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B4F89FC" w14:textId="77777777" w:rsidR="00DF132F" w:rsidRDefault="00734483">
      <w:pPr>
        <w:pStyle w:val="Title"/>
        <w:rPr>
          <w:rFonts w:ascii="Arial" w:eastAsia="Arial" w:hAnsi="Arial" w:cs="Arial"/>
        </w:rPr>
      </w:pPr>
      <w:bookmarkStart w:id="0" w:name="_heading=h.98aoxeg6bzoh" w:colFirst="0" w:colLast="0"/>
      <w:bookmarkEnd w:id="0"/>
      <w:r>
        <w:rPr>
          <w:rFonts w:ascii="Arial" w:eastAsia="Arial" w:hAnsi="Arial" w:cs="Arial"/>
          <w:noProof/>
        </w:rPr>
        <w:drawing>
          <wp:inline distT="0" distB="0" distL="0" distR="0" wp14:anchorId="0816405F" wp14:editId="58B020DA">
            <wp:extent cx="3261778" cy="966788"/>
            <wp:effectExtent l="0" t="0" r="0" b="0"/>
            <wp:docPr id="1649446938" name="image2.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launches new digital ..."/>
                    <pic:cNvPicPr preferRelativeResize="0"/>
                  </pic:nvPicPr>
                  <pic:blipFill>
                    <a:blip r:embed="rId7"/>
                    <a:srcRect t="13497" b="15951"/>
                    <a:stretch>
                      <a:fillRect/>
                    </a:stretch>
                  </pic:blipFill>
                  <pic:spPr>
                    <a:xfrm>
                      <a:off x="0" y="0"/>
                      <a:ext cx="3261778" cy="966788"/>
                    </a:xfrm>
                    <a:prstGeom prst="rect">
                      <a:avLst/>
                    </a:prstGeom>
                    <a:ln/>
                  </pic:spPr>
                </pic:pic>
              </a:graphicData>
            </a:graphic>
          </wp:inline>
        </w:drawing>
      </w:r>
    </w:p>
    <w:p w14:paraId="656D6F75" w14:textId="77777777" w:rsidR="00DF132F" w:rsidRDefault="00DF132F">
      <w:pPr>
        <w:rPr>
          <w:rFonts w:ascii="Arial" w:eastAsia="Arial" w:hAnsi="Arial" w:cs="Arial"/>
        </w:rPr>
      </w:pPr>
    </w:p>
    <w:p w14:paraId="3259DB1C" w14:textId="77777777" w:rsidR="00DF132F" w:rsidRDefault="00DF132F">
      <w:pPr>
        <w:pStyle w:val="Title"/>
        <w:rPr>
          <w:rFonts w:ascii="Arial" w:eastAsia="Arial" w:hAnsi="Arial" w:cs="Arial"/>
          <w:sz w:val="24"/>
          <w:szCs w:val="24"/>
        </w:rPr>
      </w:pPr>
    </w:p>
    <w:p w14:paraId="1225166A" w14:textId="77777777" w:rsidR="00163106" w:rsidRPr="00436054" w:rsidRDefault="00734483" w:rsidP="00163106">
      <w:pPr>
        <w:jc w:val="center"/>
        <w:rPr>
          <w:rFonts w:ascii="Arial" w:eastAsia="Arial" w:hAnsi="Arial" w:cs="Arial"/>
          <w:b/>
          <w:bCs/>
        </w:rPr>
      </w:pPr>
      <w:bookmarkStart w:id="1" w:name="_heading=h.pob9kjvxuk8q" w:colFirst="0" w:colLast="0"/>
      <w:bookmarkEnd w:id="1"/>
      <w:r>
        <w:rPr>
          <w:rFonts w:ascii="Arial" w:eastAsia="Arial" w:hAnsi="Arial" w:cs="Arial"/>
        </w:rPr>
        <w:t xml:space="preserve">Student Name: </w:t>
      </w:r>
      <w:r w:rsidR="00163106" w:rsidRPr="00436054">
        <w:rPr>
          <w:rFonts w:ascii="Arial" w:eastAsia="Arial" w:hAnsi="Arial" w:cs="Arial"/>
          <w:b/>
          <w:bCs/>
        </w:rPr>
        <w:t>Naresh Parmar</w:t>
      </w:r>
    </w:p>
    <w:p w14:paraId="3C378176" w14:textId="33D990EA" w:rsidR="00DF132F" w:rsidRDefault="00DF132F">
      <w:pPr>
        <w:pStyle w:val="Title"/>
        <w:rPr>
          <w:rFonts w:ascii="Arial" w:eastAsia="Arial" w:hAnsi="Arial" w:cs="Arial"/>
          <w:sz w:val="24"/>
          <w:szCs w:val="24"/>
        </w:rPr>
      </w:pPr>
    </w:p>
    <w:p w14:paraId="386E5FDD" w14:textId="2E78A846" w:rsidR="00DF132F" w:rsidRDefault="00734483">
      <w:pPr>
        <w:pStyle w:val="Title"/>
        <w:rPr>
          <w:rFonts w:ascii="Arial" w:eastAsia="Arial" w:hAnsi="Arial" w:cs="Arial"/>
          <w:sz w:val="24"/>
          <w:szCs w:val="24"/>
        </w:rPr>
      </w:pPr>
      <w:bookmarkStart w:id="2" w:name="_heading=h.cfzipvux7fjf" w:colFirst="0" w:colLast="0"/>
      <w:bookmarkEnd w:id="2"/>
      <w:r>
        <w:rPr>
          <w:rFonts w:ascii="Arial" w:eastAsia="Arial" w:hAnsi="Arial" w:cs="Arial"/>
          <w:sz w:val="24"/>
          <w:szCs w:val="24"/>
        </w:rPr>
        <w:t xml:space="preserve">Student ID: </w:t>
      </w:r>
      <w:r w:rsidR="00163106" w:rsidRPr="00436054">
        <w:rPr>
          <w:rFonts w:ascii="Arial" w:eastAsia="Arial" w:hAnsi="Arial" w:cs="Arial"/>
          <w:sz w:val="24"/>
          <w:szCs w:val="24"/>
        </w:rPr>
        <w:t>2518462</w:t>
      </w:r>
    </w:p>
    <w:p w14:paraId="7D606C82" w14:textId="77777777" w:rsidR="00DF132F" w:rsidRDefault="00DF132F">
      <w:pPr>
        <w:rPr>
          <w:rFonts w:ascii="Arial" w:eastAsia="Arial" w:hAnsi="Arial" w:cs="Arial"/>
        </w:rPr>
      </w:pPr>
    </w:p>
    <w:p w14:paraId="772FC583" w14:textId="77777777" w:rsidR="00DF132F" w:rsidRDefault="00734483">
      <w:pPr>
        <w:pStyle w:val="Title"/>
        <w:rPr>
          <w:rFonts w:ascii="Arial" w:eastAsia="Arial" w:hAnsi="Arial" w:cs="Arial"/>
          <w:sz w:val="24"/>
          <w:szCs w:val="24"/>
        </w:rPr>
      </w:pPr>
      <w:r>
        <w:rPr>
          <w:rFonts w:ascii="Arial" w:eastAsia="Arial" w:hAnsi="Arial" w:cs="Arial"/>
          <w:sz w:val="24"/>
          <w:szCs w:val="24"/>
        </w:rPr>
        <w:t xml:space="preserve">MASTER OF BUSINESS ADMINISTRATION </w:t>
      </w:r>
    </w:p>
    <w:p w14:paraId="7EB93064" w14:textId="77777777" w:rsidR="00DF132F" w:rsidRDefault="00DF132F">
      <w:pPr>
        <w:rPr>
          <w:rFonts w:ascii="Arial" w:eastAsia="Arial" w:hAnsi="Arial" w:cs="Arial"/>
        </w:rPr>
      </w:pPr>
    </w:p>
    <w:p w14:paraId="21826BA2" w14:textId="77777777" w:rsidR="00DF132F" w:rsidRDefault="00734483">
      <w:pPr>
        <w:pStyle w:val="Title"/>
        <w:rPr>
          <w:rFonts w:ascii="Arial" w:eastAsia="Arial" w:hAnsi="Arial" w:cs="Arial"/>
          <w:sz w:val="24"/>
          <w:szCs w:val="24"/>
        </w:rPr>
      </w:pPr>
      <w:r>
        <w:rPr>
          <w:rFonts w:ascii="Arial" w:eastAsia="Arial" w:hAnsi="Arial" w:cs="Arial"/>
          <w:sz w:val="24"/>
          <w:szCs w:val="24"/>
        </w:rPr>
        <w:t>Module name: INTERNATIONAL BUSINESS CONCEPTS</w:t>
      </w:r>
    </w:p>
    <w:p w14:paraId="2367F0B5" w14:textId="77777777" w:rsidR="00DF132F" w:rsidRDefault="00734483">
      <w:pPr>
        <w:jc w:val="center"/>
        <w:rPr>
          <w:rFonts w:ascii="Arial" w:eastAsia="Arial" w:hAnsi="Arial" w:cs="Arial"/>
          <w:b/>
          <w:bCs/>
        </w:rPr>
      </w:pPr>
      <w:r>
        <w:rPr>
          <w:rFonts w:ascii="Arial" w:eastAsia="Arial" w:hAnsi="Arial" w:cs="Arial"/>
          <w:b/>
          <w:bCs/>
        </w:rPr>
        <w:t>Module code: LCMB7034</w:t>
      </w:r>
    </w:p>
    <w:p w14:paraId="658A14D6" w14:textId="77777777" w:rsidR="00DF132F" w:rsidRDefault="00DF132F">
      <w:pPr>
        <w:pStyle w:val="Title"/>
        <w:rPr>
          <w:rFonts w:ascii="Arial" w:eastAsia="Arial" w:hAnsi="Arial" w:cs="Arial"/>
          <w:sz w:val="24"/>
          <w:szCs w:val="24"/>
        </w:rPr>
      </w:pPr>
    </w:p>
    <w:p w14:paraId="7D4E41B6" w14:textId="77777777" w:rsidR="00DF132F" w:rsidRDefault="00734483">
      <w:pPr>
        <w:pStyle w:val="Title"/>
        <w:rPr>
          <w:rFonts w:ascii="Arial" w:eastAsia="Arial" w:hAnsi="Arial" w:cs="Arial"/>
          <w:sz w:val="24"/>
          <w:szCs w:val="24"/>
        </w:rPr>
      </w:pPr>
      <w:r>
        <w:rPr>
          <w:rFonts w:ascii="Arial" w:eastAsia="Arial" w:hAnsi="Arial" w:cs="Arial"/>
          <w:sz w:val="24"/>
          <w:szCs w:val="24"/>
        </w:rPr>
        <w:t>REPORT</w:t>
      </w:r>
    </w:p>
    <w:p w14:paraId="3E3BD981" w14:textId="77777777" w:rsidR="00DF132F" w:rsidRDefault="00734483">
      <w:pPr>
        <w:pStyle w:val="Title"/>
        <w:rPr>
          <w:rFonts w:ascii="Arial" w:eastAsia="Arial" w:hAnsi="Arial" w:cs="Arial"/>
          <w:sz w:val="24"/>
          <w:szCs w:val="24"/>
        </w:rPr>
      </w:pPr>
      <w:bookmarkStart w:id="3" w:name="_heading=h.iumxba9hbw8" w:colFirst="0" w:colLast="0"/>
      <w:bookmarkEnd w:id="3"/>
      <w:r>
        <w:rPr>
          <w:rFonts w:ascii="Arial" w:eastAsia="Arial" w:hAnsi="Arial" w:cs="Arial"/>
          <w:sz w:val="24"/>
          <w:szCs w:val="24"/>
        </w:rPr>
        <w:t>EVALUATING SHELL PLC’S INTERNATIONAL MARKET ENTRY STRATEGY INTO BANGLADESH: A CRITICAL ANALYSIS OF MARKET ATTRACTIVENESS, OLI ADVANTAGES AND ENTRY MODE SELECTION</w:t>
      </w:r>
    </w:p>
    <w:p w14:paraId="19140368" w14:textId="77777777" w:rsidR="00DF132F" w:rsidRDefault="00DF132F">
      <w:pPr>
        <w:pStyle w:val="Title"/>
        <w:rPr>
          <w:rFonts w:ascii="Arial" w:eastAsia="Arial" w:hAnsi="Arial" w:cs="Arial"/>
          <w:sz w:val="24"/>
          <w:szCs w:val="24"/>
        </w:rPr>
      </w:pPr>
    </w:p>
    <w:p w14:paraId="2FD36295" w14:textId="77777777" w:rsidR="00DF132F" w:rsidRDefault="00DF132F">
      <w:pPr>
        <w:rPr>
          <w:rFonts w:ascii="Arial" w:eastAsia="Arial" w:hAnsi="Arial" w:cs="Arial"/>
        </w:rPr>
      </w:pPr>
    </w:p>
    <w:p w14:paraId="5B79B1A3" w14:textId="6D1181BE" w:rsidR="00DF132F" w:rsidRDefault="00734483">
      <w:pPr>
        <w:pStyle w:val="Title"/>
        <w:rPr>
          <w:rFonts w:ascii="Arial" w:eastAsia="Arial" w:hAnsi="Arial" w:cs="Arial"/>
          <w:sz w:val="24"/>
          <w:szCs w:val="24"/>
        </w:rPr>
      </w:pPr>
      <w:r>
        <w:rPr>
          <w:rFonts w:ascii="Arial" w:eastAsia="Arial" w:hAnsi="Arial" w:cs="Arial"/>
          <w:sz w:val="24"/>
          <w:szCs w:val="24"/>
        </w:rPr>
        <w:t>Lecturer Name:</w:t>
      </w:r>
      <w:r w:rsidR="00CB2FE3">
        <w:rPr>
          <w:rFonts w:ascii="Arial" w:eastAsia="Arial" w:hAnsi="Arial" w:cs="Arial"/>
          <w:sz w:val="24"/>
          <w:szCs w:val="24"/>
        </w:rPr>
        <w:t xml:space="preserve"> Dr. Gladious</w:t>
      </w:r>
    </w:p>
    <w:p w14:paraId="66A0AD4D" w14:textId="77777777" w:rsidR="00DF132F" w:rsidRDefault="00DF132F">
      <w:pPr>
        <w:pStyle w:val="Title"/>
        <w:jc w:val="left"/>
        <w:rPr>
          <w:rFonts w:ascii="Arial" w:eastAsia="Arial" w:hAnsi="Arial" w:cs="Arial"/>
          <w:sz w:val="24"/>
          <w:szCs w:val="24"/>
        </w:rPr>
      </w:pPr>
    </w:p>
    <w:p w14:paraId="3D25632D" w14:textId="507B1C65" w:rsidR="00DF132F" w:rsidRDefault="00734483">
      <w:pPr>
        <w:pStyle w:val="Title"/>
        <w:rPr>
          <w:rFonts w:ascii="Arial" w:eastAsia="Arial" w:hAnsi="Arial" w:cs="Arial"/>
          <w:b w:val="0"/>
          <w:bCs w:val="0"/>
          <w:sz w:val="24"/>
          <w:szCs w:val="24"/>
        </w:rPr>
      </w:pPr>
      <w:r>
        <w:rPr>
          <w:rFonts w:ascii="Arial" w:eastAsia="Arial" w:hAnsi="Arial" w:cs="Arial"/>
          <w:sz w:val="24"/>
          <w:szCs w:val="24"/>
        </w:rPr>
        <w:t xml:space="preserve">Word count: </w:t>
      </w:r>
      <w:r>
        <w:rPr>
          <w:rFonts w:ascii="Arial" w:eastAsia="Arial" w:hAnsi="Arial" w:cs="Arial"/>
          <w:b w:val="0"/>
          <w:bCs w:val="0"/>
          <w:sz w:val="24"/>
          <w:szCs w:val="24"/>
        </w:rPr>
        <w:t>50</w:t>
      </w:r>
      <w:r w:rsidR="00D075BE">
        <w:rPr>
          <w:rFonts w:ascii="Arial" w:eastAsia="Arial" w:hAnsi="Arial" w:cs="Arial"/>
          <w:b w:val="0"/>
          <w:bCs w:val="0"/>
          <w:sz w:val="24"/>
          <w:szCs w:val="24"/>
        </w:rPr>
        <w:t>69</w:t>
      </w:r>
    </w:p>
    <w:p w14:paraId="5E5A8705" w14:textId="77777777" w:rsidR="00DF132F" w:rsidRDefault="00DF132F"/>
    <w:p w14:paraId="51FAA435" w14:textId="77777777" w:rsidR="00DF132F" w:rsidRDefault="00734483">
      <w:pPr>
        <w:pStyle w:val="Title"/>
        <w:rPr>
          <w:rFonts w:ascii="Arial" w:eastAsia="Arial" w:hAnsi="Arial" w:cs="Arial"/>
          <w:sz w:val="24"/>
          <w:szCs w:val="24"/>
        </w:rPr>
      </w:pPr>
      <w:r>
        <w:rPr>
          <w:rFonts w:ascii="Arial" w:eastAsia="Arial" w:hAnsi="Arial" w:cs="Arial"/>
          <w:sz w:val="24"/>
          <w:szCs w:val="24"/>
        </w:rPr>
        <w:t xml:space="preserve">Submission Date: </w:t>
      </w:r>
      <w:r>
        <w:rPr>
          <w:rFonts w:ascii="Arial" w:eastAsia="Arial" w:hAnsi="Arial" w:cs="Arial"/>
          <w:b w:val="0"/>
          <w:bCs w:val="0"/>
          <w:sz w:val="24"/>
          <w:szCs w:val="24"/>
        </w:rPr>
        <w:t>14th August 2026</w:t>
      </w:r>
      <w:r>
        <w:br w:type="page"/>
      </w:r>
    </w:p>
    <w:p w14:paraId="177A537B" w14:textId="77777777" w:rsidR="00DF132F" w:rsidRDefault="00734483">
      <w:pPr>
        <w:jc w:val="center"/>
        <w:rPr>
          <w:rFonts w:ascii="Arial" w:eastAsia="Arial" w:hAnsi="Arial" w:cs="Arial"/>
          <w:b/>
          <w:bCs/>
        </w:rPr>
      </w:pPr>
      <w:r>
        <w:rPr>
          <w:rFonts w:ascii="Arial" w:eastAsia="Arial" w:hAnsi="Arial" w:cs="Arial"/>
          <w:b/>
          <w:bCs/>
        </w:rPr>
        <w:lastRenderedPageBreak/>
        <w:t>Executive Summary</w:t>
      </w:r>
    </w:p>
    <w:p w14:paraId="4AE16170" w14:textId="77777777" w:rsidR="00DF132F" w:rsidRDefault="00DF132F">
      <w:pPr>
        <w:jc w:val="center"/>
        <w:rPr>
          <w:rFonts w:ascii="Arial" w:eastAsia="Arial" w:hAnsi="Arial" w:cs="Arial"/>
          <w:b/>
          <w:bCs/>
        </w:rPr>
      </w:pPr>
    </w:p>
    <w:p w14:paraId="4363D1AA" w14:textId="77777777" w:rsidR="00DF132F" w:rsidRDefault="00734483">
      <w:pPr>
        <w:rPr>
          <w:rFonts w:ascii="Arial" w:eastAsia="Arial" w:hAnsi="Arial" w:cs="Arial"/>
        </w:rPr>
      </w:pPr>
      <w:r>
        <w:rPr>
          <w:rFonts w:ascii="Arial" w:eastAsia="Arial" w:hAnsi="Arial" w:cs="Arial"/>
        </w:rPr>
        <w:t xml:space="preserve">This report is aimed to analyse the potential of expansion of Shell (PLC) in Bangladesh. To do so, market attractiveness of Bangladesh, international strategy and the best entry mode for this international expansion have been assessed. Through its transnational operating model, Shell has the important technical, financial and trading capability for its benefit that is further enhanced by the breadth and length of its experience with LNG. Bangladesh has a few advantages, owing to its position, namely its growing industrialisation, growing energy demand, and energy opportunities in the sustainable energy sector. Foreign exchange risk, infrastructure, and complexity and political climate are important investment constraints. </w:t>
      </w:r>
    </w:p>
    <w:p w14:paraId="676F47A3" w14:textId="77777777" w:rsidR="00DF132F" w:rsidRDefault="00734483">
      <w:pPr>
        <w:rPr>
          <w:rFonts w:ascii="Arial" w:eastAsia="Arial" w:hAnsi="Arial" w:cs="Arial"/>
        </w:rPr>
      </w:pPr>
      <w:r>
        <w:rPr>
          <w:rFonts w:ascii="Arial" w:eastAsia="Arial" w:hAnsi="Arial" w:cs="Arial"/>
        </w:rPr>
        <w:t>Based on the PELC (Political, Economic, Legal, and Cultural) analysis, the market of Bangladesh is assessed to be in the medium level, with Porter's Five Forces and Dunning's OLI models also suggesting such. Indeed, it was decided that a strategic joint venture approach would be adopted for investing rather than a purely one-off purchase in the form of a wholly owned investment. As analysed, activities oriented to the entry mode strategy need to begin with LNG, then down to industrial energy and lubricants and lastly to solutions for a lower carbon footprint and renewables. This strategy enables Shell to leverage its global capacity and understanding, reduce risk and in Shell's case, prioritize investments for long term energy transitioning in Bangladesh.</w:t>
      </w:r>
    </w:p>
    <w:p w14:paraId="331C3319" w14:textId="77777777" w:rsidR="00DF132F" w:rsidRDefault="00734483">
      <w:pPr>
        <w:rPr>
          <w:rFonts w:ascii="Arial" w:eastAsia="Arial" w:hAnsi="Arial" w:cs="Arial"/>
        </w:rPr>
      </w:pPr>
      <w:r>
        <w:br w:type="page"/>
      </w:r>
    </w:p>
    <w:p w14:paraId="5BE11BB9" w14:textId="1EDA5130" w:rsidR="00DF132F" w:rsidRDefault="00734483">
      <w:pPr>
        <w:keepNext/>
        <w:keepLines/>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lastRenderedPageBreak/>
        <w:t>Table of Contents</w:t>
      </w:r>
    </w:p>
    <w:p w14:paraId="38695C67" w14:textId="77777777" w:rsidR="00D075BE" w:rsidRDefault="00D075BE">
      <w:pPr>
        <w:keepNext/>
        <w:keepLines/>
        <w:pBdr>
          <w:top w:val="nil"/>
          <w:left w:val="nil"/>
          <w:bottom w:val="nil"/>
          <w:right w:val="nil"/>
          <w:between w:val="nil"/>
        </w:pBdr>
        <w:jc w:val="center"/>
        <w:rPr>
          <w:rFonts w:ascii="Arial" w:eastAsia="Arial" w:hAnsi="Arial" w:cs="Arial"/>
          <w:b/>
          <w:bCs/>
          <w:color w:val="000000"/>
        </w:rPr>
      </w:pPr>
    </w:p>
    <w:sdt>
      <w:sdtPr>
        <w:rPr>
          <w:rFonts w:ascii="Times New Roman" w:hAnsi="Times New Roman"/>
          <w:b w:val="0"/>
          <w:bCs w:val="0"/>
          <w:i w:val="0"/>
          <w:iCs w:val="0"/>
        </w:rPr>
        <w:id w:val="-295336630"/>
        <w:docPartObj>
          <w:docPartGallery w:val="Table of Contents"/>
          <w:docPartUnique/>
        </w:docPartObj>
      </w:sdtPr>
      <w:sdtContent>
        <w:p w14:paraId="3CF6D314" w14:textId="646881F0" w:rsidR="00D075BE" w:rsidRPr="00D075BE" w:rsidRDefault="00734483" w:rsidP="00D075BE">
          <w:pPr>
            <w:pStyle w:val="TOC1"/>
            <w:tabs>
              <w:tab w:val="right" w:leader="dot" w:pos="9016"/>
            </w:tabs>
            <w:jc w:val="both"/>
            <w:rPr>
              <w:rFonts w:ascii="Arial" w:eastAsiaTheme="minorEastAsia" w:hAnsi="Arial" w:cs="Arial"/>
              <w:b w:val="0"/>
              <w:bCs w:val="0"/>
              <w:i w:val="0"/>
              <w:iCs w:val="0"/>
              <w:noProof/>
              <w:lang w:val="en-IN"/>
            </w:rPr>
          </w:pPr>
          <w:r w:rsidRPr="00D075BE">
            <w:rPr>
              <w:rFonts w:ascii="Arial" w:hAnsi="Arial" w:cs="Arial"/>
              <w:b w:val="0"/>
              <w:bCs w:val="0"/>
              <w:i w:val="0"/>
              <w:iCs w:val="0"/>
            </w:rPr>
            <w:fldChar w:fldCharType="begin"/>
          </w:r>
          <w:r w:rsidRPr="00D075BE">
            <w:rPr>
              <w:rFonts w:ascii="Arial" w:hAnsi="Arial" w:cs="Arial"/>
              <w:b w:val="0"/>
              <w:bCs w:val="0"/>
              <w:i w:val="0"/>
              <w:iCs w:val="0"/>
            </w:rPr>
            <w:instrText xml:space="preserve"> TOC \h \u \z \t "Heading 1,1,Heading 2,2,Heading 3,3,"</w:instrText>
          </w:r>
          <w:r w:rsidRPr="00D075BE">
            <w:rPr>
              <w:rFonts w:ascii="Arial" w:hAnsi="Arial" w:cs="Arial"/>
              <w:b w:val="0"/>
              <w:bCs w:val="0"/>
              <w:i w:val="0"/>
              <w:iCs w:val="0"/>
            </w:rPr>
            <w:fldChar w:fldCharType="separate"/>
          </w:r>
          <w:hyperlink w:anchor="_Toc237349866" w:history="1">
            <w:r w:rsidR="00D075BE" w:rsidRPr="00D075BE">
              <w:rPr>
                <w:rStyle w:val="Hyperlink"/>
                <w:rFonts w:ascii="Arial" w:eastAsia="Arial" w:hAnsi="Arial" w:cs="Arial"/>
                <w:b w:val="0"/>
                <w:bCs w:val="0"/>
                <w:i w:val="0"/>
                <w:iCs w:val="0"/>
                <w:noProof/>
              </w:rPr>
              <w:t>Section 1: International Market Entry Analysis</w:t>
            </w:r>
            <w:r w:rsidR="00D075BE" w:rsidRPr="00D075BE">
              <w:rPr>
                <w:rFonts w:ascii="Arial" w:hAnsi="Arial" w:cs="Arial"/>
                <w:b w:val="0"/>
                <w:bCs w:val="0"/>
                <w:i w:val="0"/>
                <w:iCs w:val="0"/>
                <w:noProof/>
                <w:webHidden/>
              </w:rPr>
              <w:tab/>
            </w:r>
            <w:r w:rsidR="00D075BE" w:rsidRPr="00D075BE">
              <w:rPr>
                <w:rFonts w:ascii="Arial" w:hAnsi="Arial" w:cs="Arial"/>
                <w:b w:val="0"/>
                <w:bCs w:val="0"/>
                <w:i w:val="0"/>
                <w:iCs w:val="0"/>
                <w:noProof/>
                <w:webHidden/>
              </w:rPr>
              <w:fldChar w:fldCharType="begin"/>
            </w:r>
            <w:r w:rsidR="00D075BE" w:rsidRPr="00D075BE">
              <w:rPr>
                <w:rFonts w:ascii="Arial" w:hAnsi="Arial" w:cs="Arial"/>
                <w:b w:val="0"/>
                <w:bCs w:val="0"/>
                <w:i w:val="0"/>
                <w:iCs w:val="0"/>
                <w:noProof/>
                <w:webHidden/>
              </w:rPr>
              <w:instrText xml:space="preserve"> PAGEREF _Toc237349866 \h </w:instrText>
            </w:r>
            <w:r w:rsidR="00D075BE" w:rsidRPr="00D075BE">
              <w:rPr>
                <w:rFonts w:ascii="Arial" w:hAnsi="Arial" w:cs="Arial"/>
                <w:b w:val="0"/>
                <w:bCs w:val="0"/>
                <w:i w:val="0"/>
                <w:iCs w:val="0"/>
                <w:noProof/>
                <w:webHidden/>
              </w:rPr>
            </w:r>
            <w:r w:rsidR="00D075BE" w:rsidRPr="00D075BE">
              <w:rPr>
                <w:rFonts w:ascii="Arial" w:hAnsi="Arial" w:cs="Arial"/>
                <w:b w:val="0"/>
                <w:bCs w:val="0"/>
                <w:i w:val="0"/>
                <w:iCs w:val="0"/>
                <w:noProof/>
                <w:webHidden/>
              </w:rPr>
              <w:fldChar w:fldCharType="separate"/>
            </w:r>
            <w:r w:rsidR="00D075BE" w:rsidRPr="00D075BE">
              <w:rPr>
                <w:rFonts w:ascii="Arial" w:hAnsi="Arial" w:cs="Arial"/>
                <w:b w:val="0"/>
                <w:bCs w:val="0"/>
                <w:i w:val="0"/>
                <w:iCs w:val="0"/>
                <w:noProof/>
                <w:webHidden/>
              </w:rPr>
              <w:t>4</w:t>
            </w:r>
            <w:r w:rsidR="00D075BE" w:rsidRPr="00D075BE">
              <w:rPr>
                <w:rFonts w:ascii="Arial" w:hAnsi="Arial" w:cs="Arial"/>
                <w:b w:val="0"/>
                <w:bCs w:val="0"/>
                <w:i w:val="0"/>
                <w:iCs w:val="0"/>
                <w:noProof/>
                <w:webHidden/>
              </w:rPr>
              <w:fldChar w:fldCharType="end"/>
            </w:r>
          </w:hyperlink>
        </w:p>
        <w:p w14:paraId="640C8C9E" w14:textId="66AEFB51"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67" w:history="1">
            <w:r w:rsidRPr="00D075BE">
              <w:rPr>
                <w:rStyle w:val="Hyperlink"/>
                <w:rFonts w:ascii="Arial" w:eastAsia="Arial" w:hAnsi="Arial" w:cs="Arial"/>
                <w:b w:val="0"/>
                <w:bCs w:val="0"/>
                <w:noProof/>
                <w:sz w:val="24"/>
                <w:szCs w:val="24"/>
              </w:rPr>
              <w:t>1. Organisational Classification and Global Strategy</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_Toc237349867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4</w:t>
            </w:r>
            <w:r w:rsidRPr="00D075BE">
              <w:rPr>
                <w:rFonts w:ascii="Arial" w:hAnsi="Arial" w:cs="Arial"/>
                <w:b w:val="0"/>
                <w:bCs w:val="0"/>
                <w:noProof/>
                <w:webHidden/>
                <w:sz w:val="24"/>
                <w:szCs w:val="24"/>
              </w:rPr>
              <w:fldChar w:fldCharType="end"/>
            </w:r>
          </w:hyperlink>
        </w:p>
        <w:p w14:paraId="507B67E2" w14:textId="29389AC1"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68" w:history="1">
            <w:r w:rsidRPr="00D075BE">
              <w:rPr>
                <w:rStyle w:val="Hyperlink"/>
                <w:rFonts w:ascii="Arial" w:hAnsi="Arial" w:cs="Arial"/>
                <w:noProof/>
                <w:sz w:val="24"/>
                <w:szCs w:val="24"/>
              </w:rPr>
              <w:t>1.1 Introduction to Shell plc</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_Toc237349868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4</w:t>
            </w:r>
            <w:r w:rsidRPr="00D075BE">
              <w:rPr>
                <w:rFonts w:ascii="Arial" w:hAnsi="Arial" w:cs="Arial"/>
                <w:noProof/>
                <w:webHidden/>
                <w:sz w:val="24"/>
                <w:szCs w:val="24"/>
              </w:rPr>
              <w:fldChar w:fldCharType="end"/>
            </w:r>
          </w:hyperlink>
        </w:p>
        <w:p w14:paraId="294D24D1" w14:textId="56C81E38"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69" w:history="1">
            <w:r w:rsidRPr="00D075BE">
              <w:rPr>
                <w:rStyle w:val="Hyperlink"/>
                <w:rFonts w:ascii="Arial" w:hAnsi="Arial" w:cs="Arial"/>
                <w:noProof/>
                <w:sz w:val="24"/>
                <w:szCs w:val="24"/>
              </w:rPr>
              <w:t>1.2 Shell's International Strategy Using Bartlett and Ghoshal</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_Toc237349869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4</w:t>
            </w:r>
            <w:r w:rsidRPr="00D075BE">
              <w:rPr>
                <w:rFonts w:ascii="Arial" w:hAnsi="Arial" w:cs="Arial"/>
                <w:noProof/>
                <w:webHidden/>
                <w:sz w:val="24"/>
                <w:szCs w:val="24"/>
              </w:rPr>
              <w:fldChar w:fldCharType="end"/>
            </w:r>
          </w:hyperlink>
        </w:p>
        <w:p w14:paraId="0F8A25FE" w14:textId="5EE1BE53"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0" w:history="1">
            <w:r w:rsidRPr="00D075BE">
              <w:rPr>
                <w:rStyle w:val="Hyperlink"/>
                <w:rFonts w:ascii="Arial" w:hAnsi="Arial" w:cs="Arial"/>
                <w:noProof/>
                <w:sz w:val="24"/>
                <w:szCs w:val="24"/>
              </w:rPr>
              <w:t>1.3 Shell's Global Configuration and Competitive Advantage</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_Toc237349870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5</w:t>
            </w:r>
            <w:r w:rsidRPr="00D075BE">
              <w:rPr>
                <w:rFonts w:ascii="Arial" w:hAnsi="Arial" w:cs="Arial"/>
                <w:noProof/>
                <w:webHidden/>
                <w:sz w:val="24"/>
                <w:szCs w:val="24"/>
              </w:rPr>
              <w:fldChar w:fldCharType="end"/>
            </w:r>
          </w:hyperlink>
        </w:p>
        <w:p w14:paraId="41E0405D" w14:textId="23A4669C"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71" w:history="1">
            <w:r w:rsidRPr="00D075BE">
              <w:rPr>
                <w:rStyle w:val="Hyperlink"/>
                <w:rFonts w:ascii="Arial" w:eastAsia="Arial" w:hAnsi="Arial" w:cs="Arial"/>
                <w:b w:val="0"/>
                <w:bCs w:val="0"/>
                <w:noProof/>
                <w:sz w:val="24"/>
                <w:szCs w:val="24"/>
              </w:rPr>
              <w:t>2. Macro-Environmental Appraisal and Market Attractiveness</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_Toc237349871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7</w:t>
            </w:r>
            <w:r w:rsidRPr="00D075BE">
              <w:rPr>
                <w:rFonts w:ascii="Arial" w:hAnsi="Arial" w:cs="Arial"/>
                <w:b w:val="0"/>
                <w:bCs w:val="0"/>
                <w:noProof/>
                <w:webHidden/>
                <w:sz w:val="24"/>
                <w:szCs w:val="24"/>
              </w:rPr>
              <w:fldChar w:fldCharType="end"/>
            </w:r>
          </w:hyperlink>
        </w:p>
        <w:p w14:paraId="53120760" w14:textId="3F2CA47B"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2" w:history="1">
            <w:r w:rsidRPr="00D075BE">
              <w:rPr>
                <w:rStyle w:val="Hyperlink"/>
                <w:rFonts w:ascii="Arial" w:hAnsi="Arial" w:cs="Arial"/>
                <w:noProof/>
                <w:sz w:val="24"/>
                <w:szCs w:val="24"/>
              </w:rPr>
              <w:t>2.1 Host Country Analysis: Market Context and Strategic Rationale of Bangladesh</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_Toc237349872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7</w:t>
            </w:r>
            <w:r w:rsidRPr="00D075BE">
              <w:rPr>
                <w:rFonts w:ascii="Arial" w:hAnsi="Arial" w:cs="Arial"/>
                <w:noProof/>
                <w:webHidden/>
                <w:sz w:val="24"/>
                <w:szCs w:val="24"/>
              </w:rPr>
              <w:fldChar w:fldCharType="end"/>
            </w:r>
          </w:hyperlink>
        </w:p>
        <w:p w14:paraId="75B1D4AC" w14:textId="70CF62BF"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3" w:history="1">
            <w:r w:rsidRPr="00D075BE">
              <w:rPr>
                <w:rStyle w:val="Hyperlink"/>
                <w:rFonts w:ascii="Arial" w:hAnsi="Arial" w:cs="Arial"/>
                <w:noProof/>
                <w:sz w:val="24"/>
                <w:szCs w:val="24"/>
              </w:rPr>
              <w:t>2.2 Political, Economic, Legal, and Cultural (PELC) analysis</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_Toc237349873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8</w:t>
            </w:r>
            <w:r w:rsidRPr="00D075BE">
              <w:rPr>
                <w:rFonts w:ascii="Arial" w:hAnsi="Arial" w:cs="Arial"/>
                <w:noProof/>
                <w:webHidden/>
                <w:sz w:val="24"/>
                <w:szCs w:val="24"/>
              </w:rPr>
              <w:fldChar w:fldCharType="end"/>
            </w:r>
          </w:hyperlink>
        </w:p>
        <w:p w14:paraId="4238D2C7" w14:textId="32C82FA4"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4" w:history="1">
            <w:r w:rsidRPr="00D075BE">
              <w:rPr>
                <w:rStyle w:val="Hyperlink"/>
                <w:rFonts w:ascii="Arial" w:hAnsi="Arial" w:cs="Arial"/>
                <w:noProof/>
                <w:sz w:val="24"/>
                <w:szCs w:val="24"/>
              </w:rPr>
              <w:t>2.3 Industry and Competitive Environment</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_Toc237349874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11</w:t>
            </w:r>
            <w:r w:rsidRPr="00D075BE">
              <w:rPr>
                <w:rFonts w:ascii="Arial" w:hAnsi="Arial" w:cs="Arial"/>
                <w:noProof/>
                <w:webHidden/>
                <w:sz w:val="24"/>
                <w:szCs w:val="24"/>
              </w:rPr>
              <w:fldChar w:fldCharType="end"/>
            </w:r>
          </w:hyperlink>
        </w:p>
        <w:p w14:paraId="18FB05B8" w14:textId="6283A876"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5" w:history="1">
            <w:r w:rsidRPr="00D075BE">
              <w:rPr>
                <w:rStyle w:val="Hyperlink"/>
                <w:rFonts w:ascii="Arial" w:hAnsi="Arial" w:cs="Arial"/>
                <w:noProof/>
                <w:sz w:val="24"/>
                <w:szCs w:val="24"/>
              </w:rPr>
              <w:t>2.4 Bangladesh Market Attractiveness Synthesis</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_Toc237349875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12</w:t>
            </w:r>
            <w:r w:rsidRPr="00D075BE">
              <w:rPr>
                <w:rFonts w:ascii="Arial" w:hAnsi="Arial" w:cs="Arial"/>
                <w:noProof/>
                <w:webHidden/>
                <w:sz w:val="24"/>
                <w:szCs w:val="24"/>
              </w:rPr>
              <w:fldChar w:fldCharType="end"/>
            </w:r>
          </w:hyperlink>
        </w:p>
        <w:p w14:paraId="71172D1F" w14:textId="05C21E85"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6" w:history="1">
            <w:r w:rsidRPr="00D075BE">
              <w:rPr>
                <w:rStyle w:val="Hyperlink"/>
                <w:rFonts w:ascii="Arial" w:hAnsi="Arial" w:cs="Arial"/>
                <w:noProof/>
                <w:sz w:val="24"/>
                <w:szCs w:val="24"/>
              </w:rPr>
              <w:t>2.5 OLI / Eclectic Paradigm Analysis</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_Toc237349876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13</w:t>
            </w:r>
            <w:r w:rsidRPr="00D075BE">
              <w:rPr>
                <w:rFonts w:ascii="Arial" w:hAnsi="Arial" w:cs="Arial"/>
                <w:noProof/>
                <w:webHidden/>
                <w:sz w:val="24"/>
                <w:szCs w:val="24"/>
              </w:rPr>
              <w:fldChar w:fldCharType="end"/>
            </w:r>
          </w:hyperlink>
        </w:p>
        <w:p w14:paraId="212AF0D4" w14:textId="6084F9B0"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7" w:history="1">
            <w:r w:rsidRPr="00D075BE">
              <w:rPr>
                <w:rStyle w:val="Hyperlink"/>
                <w:rFonts w:ascii="Arial" w:hAnsi="Arial" w:cs="Arial"/>
                <w:noProof/>
                <w:sz w:val="24"/>
                <w:szCs w:val="24"/>
              </w:rPr>
              <w:t>2.6 OLI Decision</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_Toc237349877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15</w:t>
            </w:r>
            <w:r w:rsidRPr="00D075BE">
              <w:rPr>
                <w:rFonts w:ascii="Arial" w:hAnsi="Arial" w:cs="Arial"/>
                <w:noProof/>
                <w:webHidden/>
                <w:sz w:val="24"/>
                <w:szCs w:val="24"/>
              </w:rPr>
              <w:fldChar w:fldCharType="end"/>
            </w:r>
          </w:hyperlink>
        </w:p>
        <w:p w14:paraId="0765C485" w14:textId="2D95C3E1"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78" w:history="1">
            <w:r w:rsidRPr="00D075BE">
              <w:rPr>
                <w:rStyle w:val="Hyperlink"/>
                <w:rFonts w:ascii="Arial" w:eastAsia="Arial" w:hAnsi="Arial" w:cs="Arial"/>
                <w:b w:val="0"/>
                <w:bCs w:val="0"/>
                <w:noProof/>
                <w:sz w:val="24"/>
                <w:szCs w:val="24"/>
              </w:rPr>
              <w:t>3. Entry Mode Strategy and Strategic Synthesis</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_Toc237349878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15</w:t>
            </w:r>
            <w:r w:rsidRPr="00D075BE">
              <w:rPr>
                <w:rFonts w:ascii="Arial" w:hAnsi="Arial" w:cs="Arial"/>
                <w:b w:val="0"/>
                <w:bCs w:val="0"/>
                <w:noProof/>
                <w:webHidden/>
                <w:sz w:val="24"/>
                <w:szCs w:val="24"/>
              </w:rPr>
              <w:fldChar w:fldCharType="end"/>
            </w:r>
          </w:hyperlink>
        </w:p>
        <w:p w14:paraId="6630CB13" w14:textId="6C0A8790"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79" w:history="1">
            <w:r w:rsidRPr="00D075BE">
              <w:rPr>
                <w:rStyle w:val="Hyperlink"/>
                <w:rFonts w:ascii="Arial" w:hAnsi="Arial" w:cs="Arial"/>
                <w:noProof/>
                <w:sz w:val="24"/>
                <w:szCs w:val="24"/>
              </w:rPr>
              <w:t>3.1 Shell's Historical International Entry Modes</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_Toc237349879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15</w:t>
            </w:r>
            <w:r w:rsidRPr="00D075BE">
              <w:rPr>
                <w:rFonts w:ascii="Arial" w:hAnsi="Arial" w:cs="Arial"/>
                <w:noProof/>
                <w:webHidden/>
                <w:sz w:val="24"/>
                <w:szCs w:val="24"/>
              </w:rPr>
              <w:fldChar w:fldCharType="end"/>
            </w:r>
          </w:hyperlink>
        </w:p>
        <w:p w14:paraId="78EB90E9" w14:textId="5197A929"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80" w:history="1">
            <w:r w:rsidRPr="00D075BE">
              <w:rPr>
                <w:rStyle w:val="Hyperlink"/>
                <w:rFonts w:ascii="Arial" w:hAnsi="Arial" w:cs="Arial"/>
                <w:noProof/>
                <w:sz w:val="24"/>
                <w:szCs w:val="24"/>
              </w:rPr>
              <w:t>3.2 Existing Indirect Presence of Shell in Bangladesh</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_Toc237349880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16</w:t>
            </w:r>
            <w:r w:rsidRPr="00D075BE">
              <w:rPr>
                <w:rFonts w:ascii="Arial" w:hAnsi="Arial" w:cs="Arial"/>
                <w:noProof/>
                <w:webHidden/>
                <w:sz w:val="24"/>
                <w:szCs w:val="24"/>
              </w:rPr>
              <w:fldChar w:fldCharType="end"/>
            </w:r>
          </w:hyperlink>
        </w:p>
        <w:p w14:paraId="002321E6" w14:textId="2A4C775D"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81" w:history="1">
            <w:r w:rsidRPr="00D075BE">
              <w:rPr>
                <w:rStyle w:val="Hyperlink"/>
                <w:rFonts w:ascii="Arial" w:hAnsi="Arial" w:cs="Arial"/>
                <w:noProof/>
                <w:sz w:val="24"/>
                <w:szCs w:val="24"/>
              </w:rPr>
              <w:t>3.3 Alternative Entry Modes</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_Toc237349881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17</w:t>
            </w:r>
            <w:r w:rsidRPr="00D075BE">
              <w:rPr>
                <w:rFonts w:ascii="Arial" w:hAnsi="Arial" w:cs="Arial"/>
                <w:noProof/>
                <w:webHidden/>
                <w:sz w:val="24"/>
                <w:szCs w:val="24"/>
              </w:rPr>
              <w:fldChar w:fldCharType="end"/>
            </w:r>
          </w:hyperlink>
        </w:p>
        <w:p w14:paraId="5ED833B8" w14:textId="288DEB3A"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82" w:history="1">
            <w:r w:rsidRPr="00D075BE">
              <w:rPr>
                <w:rStyle w:val="Hyperlink"/>
                <w:rFonts w:ascii="Arial" w:hAnsi="Arial" w:cs="Arial"/>
                <w:noProof/>
                <w:sz w:val="24"/>
                <w:szCs w:val="24"/>
              </w:rPr>
              <w:t>3.4 Recommended Entry Mode</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_Toc237349882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17</w:t>
            </w:r>
            <w:r w:rsidRPr="00D075BE">
              <w:rPr>
                <w:rFonts w:ascii="Arial" w:hAnsi="Arial" w:cs="Arial"/>
                <w:noProof/>
                <w:webHidden/>
                <w:sz w:val="24"/>
                <w:szCs w:val="24"/>
              </w:rPr>
              <w:fldChar w:fldCharType="end"/>
            </w:r>
          </w:hyperlink>
        </w:p>
        <w:p w14:paraId="2744F868" w14:textId="27D85E7C" w:rsidR="00D075BE" w:rsidRPr="00D075BE" w:rsidRDefault="00D075BE" w:rsidP="00D075BE">
          <w:pPr>
            <w:pStyle w:val="TOC3"/>
            <w:tabs>
              <w:tab w:val="right" w:leader="dot" w:pos="9016"/>
            </w:tabs>
            <w:spacing w:before="120"/>
            <w:jc w:val="both"/>
            <w:rPr>
              <w:rFonts w:ascii="Arial" w:eastAsiaTheme="minorEastAsia" w:hAnsi="Arial" w:cs="Arial"/>
              <w:noProof/>
              <w:sz w:val="24"/>
              <w:szCs w:val="24"/>
              <w:lang w:val="en-IN"/>
            </w:rPr>
          </w:pPr>
          <w:hyperlink w:anchor="_Toc237349883" w:history="1">
            <w:r w:rsidRPr="00D075BE">
              <w:rPr>
                <w:rStyle w:val="Hyperlink"/>
                <w:rFonts w:ascii="Arial" w:hAnsi="Arial" w:cs="Arial"/>
                <w:noProof/>
                <w:sz w:val="24"/>
                <w:szCs w:val="24"/>
              </w:rPr>
              <w:t>3.5 Conclusion, Strategic Synthesis and Final Recommendation</w:t>
            </w:r>
            <w:r w:rsidRPr="00D075BE">
              <w:rPr>
                <w:rFonts w:ascii="Arial" w:hAnsi="Arial" w:cs="Arial"/>
                <w:noProof/>
                <w:webHidden/>
                <w:sz w:val="24"/>
                <w:szCs w:val="24"/>
              </w:rPr>
              <w:tab/>
            </w:r>
            <w:r w:rsidRPr="00D075BE">
              <w:rPr>
                <w:rFonts w:ascii="Arial" w:hAnsi="Arial" w:cs="Arial"/>
                <w:noProof/>
                <w:webHidden/>
                <w:sz w:val="24"/>
                <w:szCs w:val="24"/>
              </w:rPr>
              <w:fldChar w:fldCharType="begin"/>
            </w:r>
            <w:r w:rsidRPr="00D075BE">
              <w:rPr>
                <w:rFonts w:ascii="Arial" w:hAnsi="Arial" w:cs="Arial"/>
                <w:noProof/>
                <w:webHidden/>
                <w:sz w:val="24"/>
                <w:szCs w:val="24"/>
              </w:rPr>
              <w:instrText xml:space="preserve"> PAGEREF _Toc237349883 \h </w:instrText>
            </w:r>
            <w:r w:rsidRPr="00D075BE">
              <w:rPr>
                <w:rFonts w:ascii="Arial" w:hAnsi="Arial" w:cs="Arial"/>
                <w:noProof/>
                <w:webHidden/>
                <w:sz w:val="24"/>
                <w:szCs w:val="24"/>
              </w:rPr>
            </w:r>
            <w:r w:rsidRPr="00D075BE">
              <w:rPr>
                <w:rFonts w:ascii="Arial" w:hAnsi="Arial" w:cs="Arial"/>
                <w:noProof/>
                <w:webHidden/>
                <w:sz w:val="24"/>
                <w:szCs w:val="24"/>
              </w:rPr>
              <w:fldChar w:fldCharType="separate"/>
            </w:r>
            <w:r w:rsidRPr="00D075BE">
              <w:rPr>
                <w:rFonts w:ascii="Arial" w:hAnsi="Arial" w:cs="Arial"/>
                <w:noProof/>
                <w:webHidden/>
                <w:sz w:val="24"/>
                <w:szCs w:val="24"/>
              </w:rPr>
              <w:t>18</w:t>
            </w:r>
            <w:r w:rsidRPr="00D075BE">
              <w:rPr>
                <w:rFonts w:ascii="Arial" w:hAnsi="Arial" w:cs="Arial"/>
                <w:noProof/>
                <w:webHidden/>
                <w:sz w:val="24"/>
                <w:szCs w:val="24"/>
              </w:rPr>
              <w:fldChar w:fldCharType="end"/>
            </w:r>
          </w:hyperlink>
        </w:p>
        <w:p w14:paraId="1BFA787D" w14:textId="21ED5CA8" w:rsidR="00D075BE" w:rsidRPr="00D075BE" w:rsidRDefault="00D075BE" w:rsidP="00D075BE">
          <w:pPr>
            <w:pStyle w:val="TOC1"/>
            <w:tabs>
              <w:tab w:val="right" w:leader="dot" w:pos="9016"/>
            </w:tabs>
            <w:jc w:val="both"/>
            <w:rPr>
              <w:rFonts w:ascii="Arial" w:eastAsiaTheme="minorEastAsia" w:hAnsi="Arial" w:cs="Arial"/>
              <w:b w:val="0"/>
              <w:bCs w:val="0"/>
              <w:i w:val="0"/>
              <w:iCs w:val="0"/>
              <w:noProof/>
              <w:lang w:val="en-IN"/>
            </w:rPr>
          </w:pPr>
          <w:hyperlink w:anchor="_Toc237349884" w:history="1">
            <w:r w:rsidRPr="00D075BE">
              <w:rPr>
                <w:rStyle w:val="Hyperlink"/>
                <w:rFonts w:ascii="Arial" w:eastAsia="Arial" w:hAnsi="Arial" w:cs="Arial"/>
                <w:b w:val="0"/>
                <w:bCs w:val="0"/>
                <w:i w:val="0"/>
                <w:iCs w:val="0"/>
                <w:noProof/>
              </w:rPr>
              <w:t>Section 2: Reflective Account</w:t>
            </w:r>
            <w:r w:rsidRPr="00D075BE">
              <w:rPr>
                <w:rFonts w:ascii="Arial" w:hAnsi="Arial" w:cs="Arial"/>
                <w:b w:val="0"/>
                <w:bCs w:val="0"/>
                <w:i w:val="0"/>
                <w:iCs w:val="0"/>
                <w:noProof/>
                <w:webHidden/>
              </w:rPr>
              <w:tab/>
            </w:r>
            <w:r w:rsidRPr="00D075BE">
              <w:rPr>
                <w:rFonts w:ascii="Arial" w:hAnsi="Arial" w:cs="Arial"/>
                <w:b w:val="0"/>
                <w:bCs w:val="0"/>
                <w:i w:val="0"/>
                <w:iCs w:val="0"/>
                <w:noProof/>
                <w:webHidden/>
              </w:rPr>
              <w:fldChar w:fldCharType="begin"/>
            </w:r>
            <w:r w:rsidRPr="00D075BE">
              <w:rPr>
                <w:rFonts w:ascii="Arial" w:hAnsi="Arial" w:cs="Arial"/>
                <w:b w:val="0"/>
                <w:bCs w:val="0"/>
                <w:i w:val="0"/>
                <w:iCs w:val="0"/>
                <w:noProof/>
                <w:webHidden/>
              </w:rPr>
              <w:instrText xml:space="preserve"> PAGEREF _Toc237349884 \h </w:instrText>
            </w:r>
            <w:r w:rsidRPr="00D075BE">
              <w:rPr>
                <w:rFonts w:ascii="Arial" w:hAnsi="Arial" w:cs="Arial"/>
                <w:b w:val="0"/>
                <w:bCs w:val="0"/>
                <w:i w:val="0"/>
                <w:iCs w:val="0"/>
                <w:noProof/>
                <w:webHidden/>
              </w:rPr>
            </w:r>
            <w:r w:rsidRPr="00D075BE">
              <w:rPr>
                <w:rFonts w:ascii="Arial" w:hAnsi="Arial" w:cs="Arial"/>
                <w:b w:val="0"/>
                <w:bCs w:val="0"/>
                <w:i w:val="0"/>
                <w:iCs w:val="0"/>
                <w:noProof/>
                <w:webHidden/>
              </w:rPr>
              <w:fldChar w:fldCharType="separate"/>
            </w:r>
            <w:r w:rsidRPr="00D075BE">
              <w:rPr>
                <w:rFonts w:ascii="Arial" w:hAnsi="Arial" w:cs="Arial"/>
                <w:b w:val="0"/>
                <w:bCs w:val="0"/>
                <w:i w:val="0"/>
                <w:iCs w:val="0"/>
                <w:noProof/>
                <w:webHidden/>
              </w:rPr>
              <w:t>20</w:t>
            </w:r>
            <w:r w:rsidRPr="00D075BE">
              <w:rPr>
                <w:rFonts w:ascii="Arial" w:hAnsi="Arial" w:cs="Arial"/>
                <w:b w:val="0"/>
                <w:bCs w:val="0"/>
                <w:i w:val="0"/>
                <w:iCs w:val="0"/>
                <w:noProof/>
                <w:webHidden/>
              </w:rPr>
              <w:fldChar w:fldCharType="end"/>
            </w:r>
          </w:hyperlink>
        </w:p>
        <w:p w14:paraId="72ED0A8E" w14:textId="7EBE8E33"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85" w:history="1">
            <w:r w:rsidRPr="00D075BE">
              <w:rPr>
                <w:rStyle w:val="Hyperlink"/>
                <w:rFonts w:ascii="Arial" w:eastAsia="Arial" w:hAnsi="Arial" w:cs="Arial"/>
                <w:b w:val="0"/>
                <w:bCs w:val="0"/>
                <w:noProof/>
                <w:sz w:val="24"/>
                <w:szCs w:val="24"/>
              </w:rPr>
              <w:t>Description</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_Toc237349885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20</w:t>
            </w:r>
            <w:r w:rsidRPr="00D075BE">
              <w:rPr>
                <w:rFonts w:ascii="Arial" w:hAnsi="Arial" w:cs="Arial"/>
                <w:b w:val="0"/>
                <w:bCs w:val="0"/>
                <w:noProof/>
                <w:webHidden/>
                <w:sz w:val="24"/>
                <w:szCs w:val="24"/>
              </w:rPr>
              <w:fldChar w:fldCharType="end"/>
            </w:r>
          </w:hyperlink>
        </w:p>
        <w:p w14:paraId="0ABADDCE" w14:textId="373A2087"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86" w:history="1">
            <w:r w:rsidRPr="00D075BE">
              <w:rPr>
                <w:rStyle w:val="Hyperlink"/>
                <w:rFonts w:ascii="Arial" w:eastAsia="Arial" w:hAnsi="Arial" w:cs="Arial"/>
                <w:b w:val="0"/>
                <w:bCs w:val="0"/>
                <w:noProof/>
                <w:sz w:val="24"/>
                <w:szCs w:val="24"/>
              </w:rPr>
              <w:t>Feelings</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_Toc237349886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20</w:t>
            </w:r>
            <w:r w:rsidRPr="00D075BE">
              <w:rPr>
                <w:rFonts w:ascii="Arial" w:hAnsi="Arial" w:cs="Arial"/>
                <w:b w:val="0"/>
                <w:bCs w:val="0"/>
                <w:noProof/>
                <w:webHidden/>
                <w:sz w:val="24"/>
                <w:szCs w:val="24"/>
              </w:rPr>
              <w:fldChar w:fldCharType="end"/>
            </w:r>
          </w:hyperlink>
        </w:p>
        <w:p w14:paraId="3DDBD0D2" w14:textId="748AB65D"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87" w:history="1">
            <w:r w:rsidRPr="00D075BE">
              <w:rPr>
                <w:rStyle w:val="Hyperlink"/>
                <w:rFonts w:ascii="Arial" w:eastAsia="Arial" w:hAnsi="Arial" w:cs="Arial"/>
                <w:b w:val="0"/>
                <w:bCs w:val="0"/>
                <w:noProof/>
                <w:sz w:val="24"/>
                <w:szCs w:val="24"/>
              </w:rPr>
              <w:t>Evaluation</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_Toc237349887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21</w:t>
            </w:r>
            <w:r w:rsidRPr="00D075BE">
              <w:rPr>
                <w:rFonts w:ascii="Arial" w:hAnsi="Arial" w:cs="Arial"/>
                <w:b w:val="0"/>
                <w:bCs w:val="0"/>
                <w:noProof/>
                <w:webHidden/>
                <w:sz w:val="24"/>
                <w:szCs w:val="24"/>
              </w:rPr>
              <w:fldChar w:fldCharType="end"/>
            </w:r>
          </w:hyperlink>
        </w:p>
        <w:p w14:paraId="34E6EFD7" w14:textId="3E98E41A"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88" w:history="1">
            <w:r w:rsidRPr="00D075BE">
              <w:rPr>
                <w:rStyle w:val="Hyperlink"/>
                <w:rFonts w:ascii="Arial" w:eastAsia="Arial" w:hAnsi="Arial" w:cs="Arial"/>
                <w:b w:val="0"/>
                <w:bCs w:val="0"/>
                <w:noProof/>
                <w:sz w:val="24"/>
                <w:szCs w:val="24"/>
              </w:rPr>
              <w:t>Analysis</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_Toc237349888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21</w:t>
            </w:r>
            <w:r w:rsidRPr="00D075BE">
              <w:rPr>
                <w:rFonts w:ascii="Arial" w:hAnsi="Arial" w:cs="Arial"/>
                <w:b w:val="0"/>
                <w:bCs w:val="0"/>
                <w:noProof/>
                <w:webHidden/>
                <w:sz w:val="24"/>
                <w:szCs w:val="24"/>
              </w:rPr>
              <w:fldChar w:fldCharType="end"/>
            </w:r>
          </w:hyperlink>
        </w:p>
        <w:p w14:paraId="1A8BE5FF" w14:textId="1322BFAE"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89" w:history="1">
            <w:r w:rsidRPr="00D075BE">
              <w:rPr>
                <w:rStyle w:val="Hyperlink"/>
                <w:rFonts w:ascii="Arial" w:eastAsia="Arial" w:hAnsi="Arial" w:cs="Arial"/>
                <w:b w:val="0"/>
                <w:bCs w:val="0"/>
                <w:noProof/>
                <w:sz w:val="24"/>
                <w:szCs w:val="24"/>
              </w:rPr>
              <w:t>Conclusion</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_Toc237349889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22</w:t>
            </w:r>
            <w:r w:rsidRPr="00D075BE">
              <w:rPr>
                <w:rFonts w:ascii="Arial" w:hAnsi="Arial" w:cs="Arial"/>
                <w:b w:val="0"/>
                <w:bCs w:val="0"/>
                <w:noProof/>
                <w:webHidden/>
                <w:sz w:val="24"/>
                <w:szCs w:val="24"/>
              </w:rPr>
              <w:fldChar w:fldCharType="end"/>
            </w:r>
          </w:hyperlink>
        </w:p>
        <w:p w14:paraId="040327C8" w14:textId="410F90D4" w:rsidR="00D075BE" w:rsidRPr="00D075BE" w:rsidRDefault="00D075BE" w:rsidP="00D075BE">
          <w:pPr>
            <w:pStyle w:val="TOC2"/>
            <w:tabs>
              <w:tab w:val="right" w:leader="dot" w:pos="9016"/>
            </w:tabs>
            <w:jc w:val="both"/>
            <w:rPr>
              <w:rFonts w:ascii="Arial" w:eastAsiaTheme="minorEastAsia" w:hAnsi="Arial" w:cs="Arial"/>
              <w:b w:val="0"/>
              <w:bCs w:val="0"/>
              <w:noProof/>
              <w:sz w:val="24"/>
              <w:szCs w:val="24"/>
              <w:lang w:val="en-IN"/>
            </w:rPr>
          </w:pPr>
          <w:hyperlink w:anchor="_Toc237349890" w:history="1">
            <w:r w:rsidRPr="00D075BE">
              <w:rPr>
                <w:rStyle w:val="Hyperlink"/>
                <w:rFonts w:ascii="Arial" w:eastAsia="Arial" w:hAnsi="Arial" w:cs="Arial"/>
                <w:b w:val="0"/>
                <w:bCs w:val="0"/>
                <w:noProof/>
                <w:sz w:val="24"/>
                <w:szCs w:val="24"/>
              </w:rPr>
              <w:t>Action Plan</w:t>
            </w:r>
            <w:r w:rsidRPr="00D075BE">
              <w:rPr>
                <w:rFonts w:ascii="Arial" w:hAnsi="Arial" w:cs="Arial"/>
                <w:b w:val="0"/>
                <w:bCs w:val="0"/>
                <w:noProof/>
                <w:webHidden/>
                <w:sz w:val="24"/>
                <w:szCs w:val="24"/>
              </w:rPr>
              <w:tab/>
            </w:r>
            <w:r w:rsidRPr="00D075BE">
              <w:rPr>
                <w:rFonts w:ascii="Arial" w:hAnsi="Arial" w:cs="Arial"/>
                <w:b w:val="0"/>
                <w:bCs w:val="0"/>
                <w:noProof/>
                <w:webHidden/>
                <w:sz w:val="24"/>
                <w:szCs w:val="24"/>
              </w:rPr>
              <w:fldChar w:fldCharType="begin"/>
            </w:r>
            <w:r w:rsidRPr="00D075BE">
              <w:rPr>
                <w:rFonts w:ascii="Arial" w:hAnsi="Arial" w:cs="Arial"/>
                <w:b w:val="0"/>
                <w:bCs w:val="0"/>
                <w:noProof/>
                <w:webHidden/>
                <w:sz w:val="24"/>
                <w:szCs w:val="24"/>
              </w:rPr>
              <w:instrText xml:space="preserve"> PAGEREF _Toc237349890 \h </w:instrText>
            </w:r>
            <w:r w:rsidRPr="00D075BE">
              <w:rPr>
                <w:rFonts w:ascii="Arial" w:hAnsi="Arial" w:cs="Arial"/>
                <w:b w:val="0"/>
                <w:bCs w:val="0"/>
                <w:noProof/>
                <w:webHidden/>
                <w:sz w:val="24"/>
                <w:szCs w:val="24"/>
              </w:rPr>
            </w:r>
            <w:r w:rsidRPr="00D075BE">
              <w:rPr>
                <w:rFonts w:ascii="Arial" w:hAnsi="Arial" w:cs="Arial"/>
                <w:b w:val="0"/>
                <w:bCs w:val="0"/>
                <w:noProof/>
                <w:webHidden/>
                <w:sz w:val="24"/>
                <w:szCs w:val="24"/>
              </w:rPr>
              <w:fldChar w:fldCharType="separate"/>
            </w:r>
            <w:r w:rsidRPr="00D075BE">
              <w:rPr>
                <w:rFonts w:ascii="Arial" w:hAnsi="Arial" w:cs="Arial"/>
                <w:b w:val="0"/>
                <w:bCs w:val="0"/>
                <w:noProof/>
                <w:webHidden/>
                <w:sz w:val="24"/>
                <w:szCs w:val="24"/>
              </w:rPr>
              <w:t>22</w:t>
            </w:r>
            <w:r w:rsidRPr="00D075BE">
              <w:rPr>
                <w:rFonts w:ascii="Arial" w:hAnsi="Arial" w:cs="Arial"/>
                <w:b w:val="0"/>
                <w:bCs w:val="0"/>
                <w:noProof/>
                <w:webHidden/>
                <w:sz w:val="24"/>
                <w:szCs w:val="24"/>
              </w:rPr>
              <w:fldChar w:fldCharType="end"/>
            </w:r>
          </w:hyperlink>
        </w:p>
        <w:p w14:paraId="0819C35B" w14:textId="10E38928" w:rsidR="00D075BE" w:rsidRPr="00D075BE" w:rsidRDefault="00D075BE" w:rsidP="00D075BE">
          <w:pPr>
            <w:pStyle w:val="TOC1"/>
            <w:tabs>
              <w:tab w:val="right" w:leader="dot" w:pos="9016"/>
            </w:tabs>
            <w:jc w:val="both"/>
            <w:rPr>
              <w:rFonts w:ascii="Arial" w:eastAsiaTheme="minorEastAsia" w:hAnsi="Arial" w:cs="Arial"/>
              <w:b w:val="0"/>
              <w:bCs w:val="0"/>
              <w:i w:val="0"/>
              <w:iCs w:val="0"/>
              <w:noProof/>
              <w:lang w:val="en-IN"/>
            </w:rPr>
          </w:pPr>
          <w:hyperlink w:anchor="_Toc237349891" w:history="1">
            <w:r w:rsidRPr="00D075BE">
              <w:rPr>
                <w:rStyle w:val="Hyperlink"/>
                <w:rFonts w:ascii="Arial" w:eastAsia="Arial" w:hAnsi="Arial" w:cs="Arial"/>
                <w:b w:val="0"/>
                <w:bCs w:val="0"/>
                <w:i w:val="0"/>
                <w:iCs w:val="0"/>
                <w:noProof/>
              </w:rPr>
              <w:t>References</w:t>
            </w:r>
            <w:r w:rsidRPr="00D075BE">
              <w:rPr>
                <w:rFonts w:ascii="Arial" w:hAnsi="Arial" w:cs="Arial"/>
                <w:b w:val="0"/>
                <w:bCs w:val="0"/>
                <w:i w:val="0"/>
                <w:iCs w:val="0"/>
                <w:noProof/>
                <w:webHidden/>
              </w:rPr>
              <w:tab/>
            </w:r>
            <w:r w:rsidRPr="00D075BE">
              <w:rPr>
                <w:rFonts w:ascii="Arial" w:hAnsi="Arial" w:cs="Arial"/>
                <w:b w:val="0"/>
                <w:bCs w:val="0"/>
                <w:i w:val="0"/>
                <w:iCs w:val="0"/>
                <w:noProof/>
                <w:webHidden/>
              </w:rPr>
              <w:fldChar w:fldCharType="begin"/>
            </w:r>
            <w:r w:rsidRPr="00D075BE">
              <w:rPr>
                <w:rFonts w:ascii="Arial" w:hAnsi="Arial" w:cs="Arial"/>
                <w:b w:val="0"/>
                <w:bCs w:val="0"/>
                <w:i w:val="0"/>
                <w:iCs w:val="0"/>
                <w:noProof/>
                <w:webHidden/>
              </w:rPr>
              <w:instrText xml:space="preserve"> PAGEREF _Toc237349891 \h </w:instrText>
            </w:r>
            <w:r w:rsidRPr="00D075BE">
              <w:rPr>
                <w:rFonts w:ascii="Arial" w:hAnsi="Arial" w:cs="Arial"/>
                <w:b w:val="0"/>
                <w:bCs w:val="0"/>
                <w:i w:val="0"/>
                <w:iCs w:val="0"/>
                <w:noProof/>
                <w:webHidden/>
              </w:rPr>
            </w:r>
            <w:r w:rsidRPr="00D075BE">
              <w:rPr>
                <w:rFonts w:ascii="Arial" w:hAnsi="Arial" w:cs="Arial"/>
                <w:b w:val="0"/>
                <w:bCs w:val="0"/>
                <w:i w:val="0"/>
                <w:iCs w:val="0"/>
                <w:noProof/>
                <w:webHidden/>
              </w:rPr>
              <w:fldChar w:fldCharType="separate"/>
            </w:r>
            <w:r w:rsidRPr="00D075BE">
              <w:rPr>
                <w:rFonts w:ascii="Arial" w:hAnsi="Arial" w:cs="Arial"/>
                <w:b w:val="0"/>
                <w:bCs w:val="0"/>
                <w:i w:val="0"/>
                <w:iCs w:val="0"/>
                <w:noProof/>
                <w:webHidden/>
              </w:rPr>
              <w:t>24</w:t>
            </w:r>
            <w:r w:rsidRPr="00D075BE">
              <w:rPr>
                <w:rFonts w:ascii="Arial" w:hAnsi="Arial" w:cs="Arial"/>
                <w:b w:val="0"/>
                <w:bCs w:val="0"/>
                <w:i w:val="0"/>
                <w:iCs w:val="0"/>
                <w:noProof/>
                <w:webHidden/>
              </w:rPr>
              <w:fldChar w:fldCharType="end"/>
            </w:r>
          </w:hyperlink>
        </w:p>
        <w:p w14:paraId="6D586741" w14:textId="5F68272A" w:rsidR="00DF132F" w:rsidRDefault="00734483" w:rsidP="00D075BE">
          <w:pPr>
            <w:spacing w:before="120"/>
            <w:rPr>
              <w:rFonts w:ascii="Arial" w:eastAsia="Arial" w:hAnsi="Arial" w:cs="Arial"/>
            </w:rPr>
          </w:pPr>
          <w:r w:rsidRPr="00D075BE">
            <w:rPr>
              <w:rFonts w:ascii="Arial" w:hAnsi="Arial" w:cs="Arial"/>
            </w:rPr>
            <w:fldChar w:fldCharType="end"/>
          </w:r>
        </w:p>
      </w:sdtContent>
    </w:sdt>
    <w:p w14:paraId="737E2105" w14:textId="77777777" w:rsidR="00DF132F" w:rsidRDefault="00734483">
      <w:pPr>
        <w:rPr>
          <w:rFonts w:ascii="Arial" w:eastAsia="Arial" w:hAnsi="Arial" w:cs="Arial"/>
        </w:rPr>
      </w:pPr>
      <w:r>
        <w:br w:type="page"/>
      </w:r>
    </w:p>
    <w:p w14:paraId="48C5B91F" w14:textId="77777777" w:rsidR="00DF132F" w:rsidRPr="00D075BE" w:rsidRDefault="00734483" w:rsidP="00D075BE">
      <w:pPr>
        <w:pStyle w:val="Heading1"/>
        <w:rPr>
          <w:rFonts w:ascii="Arial" w:eastAsia="Arial" w:hAnsi="Arial" w:cs="Arial"/>
        </w:rPr>
      </w:pPr>
      <w:bookmarkStart w:id="4" w:name="_Toc237349866"/>
      <w:r w:rsidRPr="00D075BE">
        <w:rPr>
          <w:rFonts w:ascii="Arial" w:eastAsia="Arial" w:hAnsi="Arial" w:cs="Arial"/>
        </w:rPr>
        <w:lastRenderedPageBreak/>
        <w:t>Section 1: International Market Entry Analysis</w:t>
      </w:r>
      <w:bookmarkEnd w:id="4"/>
    </w:p>
    <w:p w14:paraId="645BC149" w14:textId="77777777" w:rsidR="00DF132F" w:rsidRPr="00D075BE" w:rsidRDefault="00734483" w:rsidP="00D075BE">
      <w:pPr>
        <w:pStyle w:val="Heading2"/>
        <w:rPr>
          <w:rFonts w:eastAsia="Arial" w:cs="Arial"/>
        </w:rPr>
      </w:pPr>
      <w:bookmarkStart w:id="5" w:name="_Toc237349867"/>
      <w:r w:rsidRPr="00D075BE">
        <w:rPr>
          <w:rFonts w:eastAsia="Arial" w:cs="Arial"/>
        </w:rPr>
        <w:t>1. Organisational Classification and Global Strategy</w:t>
      </w:r>
      <w:bookmarkEnd w:id="5"/>
    </w:p>
    <w:p w14:paraId="2F13045B" w14:textId="77777777" w:rsidR="00DF132F" w:rsidRPr="00D075BE" w:rsidRDefault="00734483" w:rsidP="00D075BE">
      <w:pPr>
        <w:pStyle w:val="Heading3"/>
      </w:pPr>
      <w:bookmarkStart w:id="6" w:name="_Toc237349868"/>
      <w:r w:rsidRPr="00D075BE">
        <w:t>1.1 Introduction to Shell plc</w:t>
      </w:r>
      <w:bookmarkEnd w:id="6"/>
    </w:p>
    <w:p w14:paraId="079AF40C" w14:textId="77777777" w:rsidR="00DF132F" w:rsidRPr="00D075BE" w:rsidRDefault="00734483" w:rsidP="00D075BE">
      <w:pPr>
        <w:rPr>
          <w:rFonts w:ascii="Arial" w:eastAsia="Arial" w:hAnsi="Arial" w:cs="Arial"/>
        </w:rPr>
      </w:pPr>
      <w:r w:rsidRPr="00D075BE">
        <w:rPr>
          <w:rFonts w:ascii="Arial" w:eastAsia="Arial" w:hAnsi="Arial" w:cs="Arial"/>
        </w:rPr>
        <w:t>Shell plc is a company that is creating a wider-authority business plan that traverses global oil and gas production, worldwide integrated fuel gas, integrated fuel LNG, trading, chemicals, petroleum products, lubricants, mobility and selected low-carbon energy exercises. Shell's size and geographical distribution make it a suitable multinational enterprise to consider an international market-entry strategy. The proposed study investigates whether Shell should commit more heavily to the Bangladesh market and, if so, in what form of market entry is the most appropriate to balance degrees of control, investment, risk and local responsiveness.</w:t>
      </w:r>
    </w:p>
    <w:p w14:paraId="5E9133CB" w14:textId="77777777" w:rsidR="00DF132F" w:rsidRPr="00D075BE" w:rsidRDefault="00734483" w:rsidP="00D075BE">
      <w:pPr>
        <w:pStyle w:val="Heading3"/>
      </w:pPr>
      <w:bookmarkStart w:id="7" w:name="_Toc237349869"/>
      <w:r w:rsidRPr="00D075BE">
        <w:t>1.2 Shell's International Strategy Using Bartlett and Ghoshal</w:t>
      </w:r>
      <w:bookmarkEnd w:id="7"/>
    </w:p>
    <w:p w14:paraId="037CDEDF" w14:textId="77777777" w:rsidR="00DF132F" w:rsidRPr="00D075BE" w:rsidRDefault="00734483" w:rsidP="00D075BE">
      <w:pPr>
        <w:rPr>
          <w:rFonts w:ascii="Arial" w:eastAsia="Arial" w:hAnsi="Arial" w:cs="Arial"/>
        </w:rPr>
      </w:pPr>
      <w:r w:rsidRPr="00D075BE">
        <w:rPr>
          <w:rFonts w:ascii="Arial" w:eastAsia="Arial" w:hAnsi="Arial" w:cs="Arial"/>
        </w:rPr>
        <w:t>Bartlett and Ghoshal developed a framework that classifies international, global, multidomestic and transnational strategies based on the level of global integration and local responsiveness. Under the most suitable description, Shell can be said to follow a trans-global strategy as it tries to achieve both global efficiency and local adaptation. Its international activities rely on technology, capital, procurement, trading, the transfer of knowledge and capabilities within supply chains, which must be coordinated on a global level, and adaptation of individual markets by national regulation, infrastructure, customer needs and political conditions. Shell's international scale proves its high level of global integration. The company sold equal to 73 million tonnes of LNG annually in 30 countries, had approximately 85,000 employees and traded over 8 million tonnes of crude oil daily in 2025, although this estimate is from Shell (2026). These statistics underline the fact that Shell's efficiency relies more on coordination across nations than in a single or separate one. The model is valuable with regard to the world energy scenario. Changes in energy resource analysis, fuelled by economic development, population, energy demand, technology and the energy transition, will define energy systems of the future (Shell, 2026). Thus, Shell needs a plan that can effectively roll out skills and resources globally and localise them to the energy contexts of each country.</w:t>
      </w:r>
    </w:p>
    <w:p w14:paraId="687EC89B" w14:textId="77777777" w:rsidR="00DF132F" w:rsidRPr="00D075BE" w:rsidRDefault="00734483" w:rsidP="00D075BE">
      <w:pPr>
        <w:jc w:val="center"/>
        <w:rPr>
          <w:rFonts w:ascii="Arial" w:eastAsia="Arial" w:hAnsi="Arial" w:cs="Arial"/>
        </w:rPr>
      </w:pPr>
      <w:r w:rsidRPr="00D075BE">
        <w:rPr>
          <w:rFonts w:ascii="Arial" w:eastAsia="Arial" w:hAnsi="Arial" w:cs="Arial"/>
          <w:noProof/>
        </w:rPr>
        <w:lastRenderedPageBreak/>
        <w:drawing>
          <wp:inline distT="114300" distB="114300" distL="114300" distR="114300" wp14:anchorId="77E928B4" wp14:editId="46CB759B">
            <wp:extent cx="4067477" cy="3567113"/>
            <wp:effectExtent l="12700" t="12700" r="12700" b="12700"/>
            <wp:docPr id="164944694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67477" cy="3567113"/>
                    </a:xfrm>
                    <a:prstGeom prst="rect">
                      <a:avLst/>
                    </a:prstGeom>
                    <a:ln w="12700">
                      <a:solidFill>
                        <a:srgbClr val="000000"/>
                      </a:solidFill>
                      <a:prstDash val="solid"/>
                    </a:ln>
                  </pic:spPr>
                </pic:pic>
              </a:graphicData>
            </a:graphic>
          </wp:inline>
        </w:drawing>
      </w:r>
    </w:p>
    <w:p w14:paraId="62E2D9F8"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1: Bartlett and Ghoshal Model</w:t>
      </w:r>
    </w:p>
    <w:p w14:paraId="33D0DC02" w14:textId="77777777" w:rsidR="00DF132F" w:rsidRPr="00D075BE" w:rsidRDefault="00734483" w:rsidP="00D075BE">
      <w:pPr>
        <w:jc w:val="center"/>
        <w:rPr>
          <w:rFonts w:ascii="Arial" w:eastAsia="Arial" w:hAnsi="Arial" w:cs="Arial"/>
        </w:rPr>
      </w:pPr>
      <w:r w:rsidRPr="00D075BE">
        <w:rPr>
          <w:rFonts w:ascii="Arial" w:eastAsia="Arial" w:hAnsi="Arial" w:cs="Arial"/>
        </w:rPr>
        <w:t>(Source: AQA, 2026)</w:t>
      </w:r>
    </w:p>
    <w:p w14:paraId="6E94F531" w14:textId="77777777" w:rsidR="00DF132F" w:rsidRPr="00D075BE" w:rsidRDefault="00734483" w:rsidP="00D075BE">
      <w:pPr>
        <w:rPr>
          <w:rFonts w:ascii="Arial" w:eastAsia="Arial" w:hAnsi="Arial" w:cs="Arial"/>
        </w:rPr>
      </w:pPr>
      <w:r w:rsidRPr="00D075BE">
        <w:rPr>
          <w:rFonts w:ascii="Arial" w:eastAsia="Arial" w:hAnsi="Arial" w:cs="Arial"/>
        </w:rPr>
        <w:t>Bangladesh is an example of how local responsiveness is also significant. State influence within the energy market in the country, energy imports, infrastructure, and growing pressure to develop renewable energy are key features of the country's energy market. Mohazzem Hossain et al. (2024) pointed to the critical technological, financial, infrastructural and institutional hurdles shaping Bangladesh's journey toward sustainable energy. Therefore, it would be insufficient to merely copy Shell's global model. A transnational strategy will help Shell maintain unified global control of LNG sourcing, trading, technical specifications, brand and technology management, as well as customer engagement, regulatory relationships, distribution and project development in Bangladesh. The method follows the principle of International Business of recognising the importance of taking account of differences in political, economic, legal and cultural contexts.</w:t>
      </w:r>
    </w:p>
    <w:p w14:paraId="638F490B" w14:textId="77777777" w:rsidR="00DF132F" w:rsidRPr="00D075BE" w:rsidRDefault="00734483" w:rsidP="00D075BE">
      <w:pPr>
        <w:pStyle w:val="Heading3"/>
      </w:pPr>
      <w:bookmarkStart w:id="8" w:name="_Toc237349870"/>
      <w:r w:rsidRPr="00D075BE">
        <w:t>1.3 Shell's Global Configuration and Competitive Advantage</w:t>
      </w:r>
      <w:bookmarkEnd w:id="8"/>
    </w:p>
    <w:p w14:paraId="0AF208BC" w14:textId="77777777" w:rsidR="00DF132F" w:rsidRPr="00D075BE" w:rsidRDefault="00734483" w:rsidP="00D075BE">
      <w:pPr>
        <w:rPr>
          <w:rFonts w:ascii="Arial" w:eastAsia="Arial" w:hAnsi="Arial" w:cs="Arial"/>
        </w:rPr>
      </w:pPr>
      <w:r w:rsidRPr="00D075BE">
        <w:rPr>
          <w:rFonts w:ascii="Arial" w:eastAsia="Arial" w:hAnsi="Arial" w:cs="Arial"/>
        </w:rPr>
        <w:t xml:space="preserve">Shell's international competitive advantage comes from configurations of the interconnected activities that make up its global value chain. This knowledge, connections in international sourcing, LNG trading transactions, energy infrastructure, and brand value pose an advantage that can be passed to new markets. Scale is a special problem downstream and for technology in Shell. The company has ~29 million </w:t>
      </w:r>
      <w:r w:rsidRPr="00D075BE">
        <w:rPr>
          <w:rFonts w:ascii="Arial" w:eastAsia="Arial" w:hAnsi="Arial" w:cs="Arial"/>
        </w:rPr>
        <w:lastRenderedPageBreak/>
        <w:t xml:space="preserve">Shell-branded daily mobility customers, ~88,000 public EV charging stations, directly and indirectly fuels ~1,000 million people per year and spent $1.2 billion on R&amp;D, with $485 million of that money invested in projects that support decarbonisation (Shell, 2026). These abilities offer a crucial ownership benefit in Dunning's terms. </w:t>
      </w:r>
    </w:p>
    <w:p w14:paraId="0245D0B1" w14:textId="54E6A1A9" w:rsidR="00DF132F" w:rsidRPr="00D075BE" w:rsidRDefault="00734483" w:rsidP="00D075BE">
      <w:pPr>
        <w:rPr>
          <w:rFonts w:ascii="Arial" w:eastAsia="Arial" w:hAnsi="Arial" w:cs="Arial"/>
        </w:rPr>
      </w:pPr>
      <w:r w:rsidRPr="00D075BE">
        <w:rPr>
          <w:rFonts w:ascii="Arial" w:eastAsia="Arial" w:hAnsi="Arial" w:cs="Arial"/>
        </w:rPr>
        <w:t>It is relevant because of Shell's value-advantage coordination-ordination of inbound supply, operations, logistics, marketing, services, procurement, and technological and organisational infrastructure. Shell does not have to duplicate each and every part of this value chain in Bangladesh. Instead, the high-level goal is to have Shell transform some activities where they have advantages, and partner with local entities on those where there is more local advantage (</w:t>
      </w:r>
      <w:r w:rsidR="00D075BE" w:rsidRPr="00D075BE">
        <w:rPr>
          <w:rFonts w:ascii="Arial" w:eastAsia="Arial" w:hAnsi="Arial" w:cs="Arial"/>
        </w:rPr>
        <w:t>Shell, 2025</w:t>
      </w:r>
      <w:r w:rsidRPr="00D075BE">
        <w:rPr>
          <w:rFonts w:ascii="Arial" w:eastAsia="Arial" w:hAnsi="Arial" w:cs="Arial"/>
        </w:rPr>
        <w:t>). This is significant for Bangladesh's energy sector as well. Amuda et al. (2023) reveal that the situation of crude oil and natural-gas markets in Bangladesh must be grasped in the broader context of the region's energy-market dynamics. This implies that Shell's worldwide trading and energy market expertise could give it a competitive edge, not just a petroleum sales edge. Shell's worldwide configuration, therefore, enables a selective internationalisation strategy. The local operations can be done with Bangladeshi partners, while the other energy services like LNG trading, technical energy services, lubricants and lower-carbon solutions can be done with Shell's global capabilities.</w:t>
      </w:r>
    </w:p>
    <w:p w14:paraId="4B63D936" w14:textId="77777777" w:rsidR="00DF132F" w:rsidRPr="00D075BE" w:rsidRDefault="00734483" w:rsidP="00D075BE">
      <w:pPr>
        <w:pStyle w:val="Heading2"/>
        <w:rPr>
          <w:rFonts w:eastAsia="Arial" w:cs="Arial"/>
        </w:rPr>
      </w:pPr>
      <w:bookmarkStart w:id="9" w:name="_Toc237349871"/>
      <w:r w:rsidRPr="00D075BE">
        <w:rPr>
          <w:rFonts w:eastAsia="Arial" w:cs="Arial"/>
        </w:rPr>
        <w:lastRenderedPageBreak/>
        <w:t>2. Macro-Environmental Appraisal and Market Attractiveness</w:t>
      </w:r>
      <w:bookmarkEnd w:id="9"/>
    </w:p>
    <w:p w14:paraId="5090CE53" w14:textId="77777777" w:rsidR="00DF132F" w:rsidRPr="00D075BE" w:rsidRDefault="00734483" w:rsidP="00D075BE">
      <w:pPr>
        <w:pStyle w:val="Heading3"/>
      </w:pPr>
      <w:bookmarkStart w:id="10" w:name="_Toc237349872"/>
      <w:r w:rsidRPr="00D075BE">
        <w:t>2.1 Host Country Analysis: Market Context and Strategic Rationale of Bangladesh</w:t>
      </w:r>
      <w:bookmarkEnd w:id="10"/>
      <w:r w:rsidRPr="00D075BE">
        <w:t xml:space="preserve"> </w:t>
      </w:r>
    </w:p>
    <w:p w14:paraId="5E483199" w14:textId="77777777" w:rsidR="00DF132F" w:rsidRPr="00D075BE" w:rsidRDefault="00734483" w:rsidP="00D075BE">
      <w:pPr>
        <w:jc w:val="center"/>
        <w:rPr>
          <w:rFonts w:ascii="Arial" w:eastAsia="Arial" w:hAnsi="Arial" w:cs="Arial"/>
        </w:rPr>
      </w:pPr>
      <w:r w:rsidRPr="00D075BE">
        <w:rPr>
          <w:rFonts w:ascii="Arial" w:eastAsia="Arial" w:hAnsi="Arial" w:cs="Arial"/>
          <w:noProof/>
        </w:rPr>
        <w:drawing>
          <wp:inline distT="114300" distB="114300" distL="114300" distR="114300" wp14:anchorId="066B8AA9" wp14:editId="66B33695">
            <wp:extent cx="5522624" cy="4302509"/>
            <wp:effectExtent l="12700" t="12700" r="12700" b="12700"/>
            <wp:docPr id="164944693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522624" cy="4302509"/>
                    </a:xfrm>
                    <a:prstGeom prst="rect">
                      <a:avLst/>
                    </a:prstGeom>
                    <a:ln w="12700">
                      <a:solidFill>
                        <a:srgbClr val="000000"/>
                      </a:solidFill>
                      <a:prstDash val="solid"/>
                    </a:ln>
                  </pic:spPr>
                </pic:pic>
              </a:graphicData>
            </a:graphic>
          </wp:inline>
        </w:drawing>
      </w:r>
    </w:p>
    <w:p w14:paraId="12A3A68F"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2: GDP of Bangladesh</w:t>
      </w:r>
    </w:p>
    <w:p w14:paraId="2B39659C" w14:textId="77777777" w:rsidR="00DF132F" w:rsidRPr="00D075BE" w:rsidRDefault="00734483" w:rsidP="00D075BE">
      <w:pPr>
        <w:jc w:val="center"/>
        <w:rPr>
          <w:rFonts w:ascii="Arial" w:eastAsia="Arial" w:hAnsi="Arial" w:cs="Arial"/>
        </w:rPr>
      </w:pPr>
      <w:r w:rsidRPr="00D075BE">
        <w:rPr>
          <w:rFonts w:ascii="Arial" w:eastAsia="Arial" w:hAnsi="Arial" w:cs="Arial"/>
        </w:rPr>
        <w:t>(Source: World Bank, 2026)</w:t>
      </w:r>
    </w:p>
    <w:p w14:paraId="53FBEB36" w14:textId="371342F4" w:rsidR="00DF132F" w:rsidRPr="00D075BE" w:rsidRDefault="00734483" w:rsidP="00D075BE">
      <w:pPr>
        <w:rPr>
          <w:rFonts w:ascii="Arial" w:eastAsia="Arial" w:hAnsi="Arial" w:cs="Arial"/>
        </w:rPr>
      </w:pPr>
      <w:r w:rsidRPr="00D075BE">
        <w:rPr>
          <w:rFonts w:ascii="Arial" w:eastAsia="Arial" w:hAnsi="Arial" w:cs="Arial"/>
        </w:rPr>
        <w:t xml:space="preserve">Bangladesh is a possible emerging energy market which is complicated by institutional issues. It has a big population, industrialisation, manufacturing base, and growing energy demand that creates structural demand for electricity, natural gas, LNG, petroleum products and energy-related services. The GDP of the country was about US$456.32 billion in 2025 with GDP per capita of about 2,597.30 US$ (World Bank, 2026). Energy plays a pivotal role in Bangladesh's development journey. The country's electricity generation is still very much fossil fuel dependent with limited share of renewables. The current relevance of fossil fuels in Bangladesh primary energy supply, and country-specific data until 24-25 (OWD, 2026). This brings a double benefit for Shell. Bangladesh must have secure conventional energy supplies and LNG in </w:t>
      </w:r>
      <w:r w:rsidR="00D075BE" w:rsidRPr="00D075BE">
        <w:rPr>
          <w:rFonts w:ascii="Arial" w:eastAsia="Arial" w:hAnsi="Arial" w:cs="Arial"/>
        </w:rPr>
        <w:t>short- and medium-term</w:t>
      </w:r>
      <w:r w:rsidRPr="00D075BE">
        <w:rPr>
          <w:rFonts w:ascii="Arial" w:eastAsia="Arial" w:hAnsi="Arial" w:cs="Arial"/>
        </w:rPr>
        <w:t xml:space="preserve"> requirements. For the medium and long term, it requires further renewable energy additions, energy efficiency and lower-carbon </w:t>
      </w:r>
      <w:r w:rsidRPr="00D075BE">
        <w:rPr>
          <w:rFonts w:ascii="Arial" w:eastAsia="Arial" w:hAnsi="Arial" w:cs="Arial"/>
        </w:rPr>
        <w:lastRenderedPageBreak/>
        <w:t>technologies. Therefore, a successful Shell strategy should consider Bangladesh not only as an oil and gas market but also provide opportunities for transition.</w:t>
      </w:r>
    </w:p>
    <w:p w14:paraId="027B52C8" w14:textId="77777777" w:rsidR="00DF132F" w:rsidRPr="00D075BE" w:rsidRDefault="00734483" w:rsidP="00D075BE">
      <w:pPr>
        <w:pStyle w:val="Heading3"/>
      </w:pPr>
      <w:bookmarkStart w:id="11" w:name="_Toc237349873"/>
      <w:r w:rsidRPr="00D075BE">
        <w:t>2.2 Political, Economic, Legal, and Cultural (PELC) analysis</w:t>
      </w:r>
      <w:bookmarkEnd w:id="11"/>
    </w:p>
    <w:p w14:paraId="5023862A"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Political Environment</w:t>
      </w:r>
    </w:p>
    <w:p w14:paraId="7DDEEC59" w14:textId="77777777" w:rsidR="00DF132F" w:rsidRPr="00D075BE" w:rsidRDefault="00734483" w:rsidP="00D075BE">
      <w:pPr>
        <w:rPr>
          <w:rFonts w:ascii="Arial" w:eastAsia="Arial" w:hAnsi="Arial" w:cs="Arial"/>
        </w:rPr>
      </w:pPr>
      <w:r w:rsidRPr="00D075BE">
        <w:rPr>
          <w:rFonts w:ascii="Arial" w:eastAsia="Arial" w:hAnsi="Arial" w:cs="Arial"/>
        </w:rPr>
        <w:t>The climate in Bangladesh could be favourable to Shell despite numerous risks. Policy continuity and institutional reform are uncertain and the energy sector has been highly exposed to the activities of the government in LNG procurement, gas distribution, electricity pricing and electricity infrastructure since the policy change in 2024. Bangladesh's economic size enhances its strategic significance, as the country's GDP processes to be US$ 456.32 billion in 2025, despite decreased growth of 3.5% and enduring inflation of 8.8% (World Bank, 2026). Amuda et al. (2023) bring up the role of institutional and market factors of the oil and gas industry in Bangladesh. Mamun and Kabir (2023) define the importance of foreign direct investment for economic growth. These conditions indicate that Shell needs to invest around energy security, infrastructure, and technology transfer. Long-term energy projects, however, are still vulnerable to policy and regulatory shifts. A local partnership might therefore ameliorate political risk by bringing institutional knowledge and stakeholder access, along with Shell's technical and financial skills. In summary, the political attractiveness of Bangladesh is mid-level while the political sensitivity is high, which requires a step-by-step approach and not an all-or-nothing approach.</w:t>
      </w:r>
    </w:p>
    <w:p w14:paraId="6C1E032C"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Economic Environment</w:t>
      </w:r>
    </w:p>
    <w:p w14:paraId="566C9E1A" w14:textId="77777777" w:rsidR="00DF132F" w:rsidRPr="00D075BE" w:rsidRDefault="00734483" w:rsidP="00D075BE">
      <w:pPr>
        <w:rPr>
          <w:rFonts w:ascii="Arial" w:eastAsia="Arial" w:hAnsi="Arial" w:cs="Arial"/>
        </w:rPr>
      </w:pPr>
      <w:r w:rsidRPr="00D075BE">
        <w:rPr>
          <w:rFonts w:ascii="Arial" w:eastAsia="Arial" w:hAnsi="Arial" w:cs="Arial"/>
        </w:rPr>
        <w:t xml:space="preserve">While Shell faces the long-term energy market prospects in Bangladesh, it also faces short-term macroeconomic risks. The GDP growth in 2025 was 3.5%, wherein the consumer inflation rate in 2025 reached 8.8%, and GDP per capita was around US$2,597.30 (World Bank, 2026). Industrial development is still a consideration because gas, electricity, lubricants and process heat are still needed for manufacturing. The findings by Hasan et al. (2022) reveal strong connections between economic growth, energy use, FDI and emissions in Bangladesh, suggesting that economic development can lead to growing energy demand and environmental stress. Natural gas continues to play a pivotal role in the country's energy system, where Shell's LNG know-how will be key (IEA, 2026). However, traded-rate prices and inflation bring the danger of rising import energy and operating expenses. Murshed et al. (2022) note the relevance of FDI and renewable energy from a Bangladesh energy-environmental perspective. Mahbub et al (2022) also demonstrated that FDI </w:t>
      </w:r>
      <w:r w:rsidRPr="00D075BE">
        <w:rPr>
          <w:rFonts w:ascii="Arial" w:eastAsia="Arial" w:hAnsi="Arial" w:cs="Arial"/>
        </w:rPr>
        <w:lastRenderedPageBreak/>
        <w:t>attractiveness is dependent on resource availability, policy, institutional, and market conditions. Overall, Bangladesh is moderately economically attractive. For Shell, the best strategy is to implement a step-up investment plan to capitalise on the structural energy demand and to minimise exposure to macroeconomic uncertainty.</w:t>
      </w:r>
    </w:p>
    <w:p w14:paraId="1FFA33AC"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Legal and Regulatory Environment</w:t>
      </w:r>
    </w:p>
    <w:p w14:paraId="5C9D1A5C" w14:textId="77777777" w:rsidR="00DF132F" w:rsidRPr="00D075BE" w:rsidRDefault="00734483" w:rsidP="00D075BE">
      <w:pPr>
        <w:rPr>
          <w:rFonts w:ascii="Arial" w:eastAsia="Arial" w:hAnsi="Arial" w:cs="Arial"/>
        </w:rPr>
      </w:pPr>
      <w:r w:rsidRPr="00D075BE">
        <w:rPr>
          <w:rFonts w:ascii="Arial" w:eastAsia="Arial" w:hAnsi="Arial" w:cs="Arial"/>
        </w:rPr>
        <w:t>The legal framework is essential since energy projects involve significant investments and rely on long-term contracts, environmental and safety considerations. Government institutions have a highly visible impact on licenses, price, infrastructure and environmental approvals. The renewable-energy framework is becoming more environmentally inclusive, with 20% of power demand coming from renewables by 2030 and 30% by 2040 and a 10-year corporate tax exemption and duty breaks for eligible renewable energy equipment (IEA, 2026). Chowdhury et al. (2021) highlight the significance of policy interventions to reduce climate change and its impact on the environment. The investment opportunity is significant as renewable development can be as large as US$36.3-52.1 billion in a high-capacity scenario (Raihan et al., 2025). However, Jahan et al. (2025) identified financing, technical and institutional barriers to industrial solar adoption. Therefore, it is essential for Shell Plc to apply safeguards in contracts, local expertise within regulatory frameworks and strategic partnerships to address uncertainty. Bangladesh has a moderately attractive legal context, with improving policies on renewable energy; at the same time, there still remain regulatory and implementation challenges.</w:t>
      </w:r>
    </w:p>
    <w:p w14:paraId="12092333"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Cultural and Social Environment</w:t>
      </w:r>
    </w:p>
    <w:p w14:paraId="039824F6" w14:textId="77777777" w:rsidR="00DF132F" w:rsidRPr="00D075BE" w:rsidRDefault="00734483" w:rsidP="00D075BE">
      <w:pPr>
        <w:jc w:val="center"/>
        <w:rPr>
          <w:rFonts w:ascii="Arial" w:eastAsia="Arial" w:hAnsi="Arial" w:cs="Arial"/>
        </w:rPr>
      </w:pPr>
      <w:r w:rsidRPr="00D075BE">
        <w:rPr>
          <w:rFonts w:ascii="Arial" w:eastAsia="Arial" w:hAnsi="Arial" w:cs="Arial"/>
          <w:noProof/>
        </w:rPr>
        <w:lastRenderedPageBreak/>
        <w:drawing>
          <wp:inline distT="114300" distB="114300" distL="114300" distR="114300" wp14:anchorId="0441CD05" wp14:editId="6B62F8F4">
            <wp:extent cx="5731200" cy="3073400"/>
            <wp:effectExtent l="12700" t="12700" r="12700" b="12700"/>
            <wp:docPr id="164944694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073400"/>
                    </a:xfrm>
                    <a:prstGeom prst="rect">
                      <a:avLst/>
                    </a:prstGeom>
                    <a:ln w="12700">
                      <a:solidFill>
                        <a:srgbClr val="000000"/>
                      </a:solidFill>
                      <a:prstDash val="solid"/>
                    </a:ln>
                  </pic:spPr>
                </pic:pic>
              </a:graphicData>
            </a:graphic>
          </wp:inline>
        </w:drawing>
      </w:r>
    </w:p>
    <w:p w14:paraId="7ECEA524"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3: Cultural Dimension of Bangladesh</w:t>
      </w:r>
    </w:p>
    <w:p w14:paraId="58A2439F" w14:textId="77777777" w:rsidR="00DF132F" w:rsidRPr="00D075BE" w:rsidRDefault="00734483" w:rsidP="00D075BE">
      <w:pPr>
        <w:jc w:val="center"/>
        <w:rPr>
          <w:rFonts w:ascii="Arial" w:eastAsia="Arial" w:hAnsi="Arial" w:cs="Arial"/>
          <w:b/>
          <w:bCs/>
          <w:i/>
          <w:iCs/>
        </w:rPr>
      </w:pPr>
      <w:r w:rsidRPr="00D075BE">
        <w:rPr>
          <w:rFonts w:ascii="Arial" w:eastAsia="Arial" w:hAnsi="Arial" w:cs="Arial"/>
        </w:rPr>
        <w:t>(Source: TCF, 2026)</w:t>
      </w:r>
    </w:p>
    <w:p w14:paraId="64091A2E" w14:textId="430B1733" w:rsidR="00DF132F" w:rsidRPr="00D075BE" w:rsidRDefault="00734483" w:rsidP="00D075BE">
      <w:pPr>
        <w:rPr>
          <w:rFonts w:ascii="Arial" w:eastAsia="Arial" w:hAnsi="Arial" w:cs="Arial"/>
        </w:rPr>
      </w:pPr>
      <w:r w:rsidRPr="00D075BE">
        <w:rPr>
          <w:rFonts w:ascii="Arial" w:eastAsia="Arial" w:hAnsi="Arial" w:cs="Arial"/>
        </w:rPr>
        <w:t>Cultural and social factors impact Shell's employee management capabilities, supplier management, government relations and community acceptance. As understood from figure 3, relationships, hierarchy and interpersonal trust are valued in the business environment in Bangladesh, and all local stakeholder relationships are critical for energy projects. While Hofstede's cultural measures give some insight into the differences of power distance, collectivism and uncertainty avoidance, cultural scores are recommended to guide managers rather than influence them (TCF, 2026). There are also links between the social and the environmental dimension. In this study, Rahaman et al. (2022) illustrated the linkages of FDI with electricity consumption, economic development and CO</w:t>
      </w:r>
      <w:r w:rsidRPr="00D075BE">
        <w:rPr>
          <w:rFonts w:ascii="Cambria Math" w:eastAsia="Arial" w:hAnsi="Cambria Math" w:cs="Cambria Math"/>
        </w:rPr>
        <w:t>₂</w:t>
      </w:r>
      <w:r w:rsidRPr="00D075BE">
        <w:rPr>
          <w:rFonts w:ascii="Arial" w:eastAsia="Arial" w:hAnsi="Arial" w:cs="Arial"/>
        </w:rPr>
        <w:t xml:space="preserve"> emissions in the case of Bangladesh. Similarly, Islam et al. (2021) highlighted links between globalisation, FDI, energy consumption and emissions, alongside the importance of institutional quality. Shell will, therefore, be required to ensure that market entry will help to drive cleaner, more efficient energy development rather than add to dependence on fossil fuels. Social legitimacy would benefit from the creation of jobs, technical education, local sourcing and community-oriented projects. Local knowledge would also be available in a partnership model, as would </w:t>
      </w:r>
      <w:r w:rsidR="00D075BE" w:rsidRPr="00D075BE">
        <w:rPr>
          <w:rFonts w:ascii="Arial" w:eastAsia="Arial" w:hAnsi="Arial" w:cs="Arial"/>
        </w:rPr>
        <w:t>culturally</w:t>
      </w:r>
      <w:r w:rsidRPr="00D075BE">
        <w:rPr>
          <w:rFonts w:ascii="Arial" w:eastAsia="Arial" w:hAnsi="Arial" w:cs="Arial"/>
        </w:rPr>
        <w:t xml:space="preserve"> distance. Cultural and social contexts remain fairly appealing in Bangladesh, as long as Shell addresses local stakeholders' integration into its operations.</w:t>
      </w:r>
    </w:p>
    <w:p w14:paraId="4C3E345F" w14:textId="77777777" w:rsidR="00DF132F" w:rsidRPr="00D075BE" w:rsidRDefault="00734483" w:rsidP="00D075BE">
      <w:pPr>
        <w:pStyle w:val="Heading3"/>
      </w:pPr>
      <w:bookmarkStart w:id="12" w:name="_Toc237349874"/>
      <w:r w:rsidRPr="00D075BE">
        <w:lastRenderedPageBreak/>
        <w:t>2.3 Industry and Competitive Environment</w:t>
      </w:r>
      <w:bookmarkEnd w:id="12"/>
    </w:p>
    <w:p w14:paraId="096BFC4D" w14:textId="098AD80E" w:rsidR="00DF132F" w:rsidRPr="00D075BE" w:rsidRDefault="00734483" w:rsidP="00D075BE">
      <w:pPr>
        <w:rPr>
          <w:rFonts w:ascii="Arial" w:eastAsia="Arial" w:hAnsi="Arial" w:cs="Arial"/>
        </w:rPr>
      </w:pPr>
      <w:r w:rsidRPr="00D075BE">
        <w:rPr>
          <w:rFonts w:ascii="Arial" w:eastAsia="Arial" w:hAnsi="Arial" w:cs="Arial"/>
        </w:rPr>
        <w:t xml:space="preserve">A combined set of high institutional and competitive pressures with strong demand for energy in Bangladesh. The oil and gas market encompasses all the upstream resources, imported LNG, oil and gas transportation facilities, oil refining, distribution, and industrial uses. There is evidence of ongoing commercial relevance within the global industry. By 2026, the oil and gas market </w:t>
      </w:r>
      <w:r w:rsidR="00D075BE" w:rsidRPr="00D075BE">
        <w:rPr>
          <w:rFonts w:ascii="Arial" w:eastAsia="Arial" w:hAnsi="Arial" w:cs="Arial"/>
        </w:rPr>
        <w:t>are</w:t>
      </w:r>
      <w:r w:rsidRPr="00D075BE">
        <w:rPr>
          <w:rFonts w:ascii="Arial" w:eastAsia="Arial" w:hAnsi="Arial" w:cs="Arial"/>
        </w:rPr>
        <w:t xml:space="preserve"> estimated to be at US$6.41 trillion globally (FBI, 2026). This helps to give perspective on Shell's ongoing role in the international energy economy. Investment and technological transformation in the upstream industry are also major concerns. In 2025, global oil and gas E&amp;P is estimated at US$6.29 billion while reaching an estimated US$16.83 billion by 2034, which equates to an estimated CAGR of 11.55% (TIP, 2026). The downstream market is still important. This estimates the downstream oil and gas market at around USD 104.03 billion in 2026 and USD 125.74 billion by 2031, and is expected to grow at a CAGR of 3.86% during the forecast period. Asia-Pacific was the largest regional market, accounting for 32.85% of 2025 sales and is expected to be the fastest-growing regional market (MI, 2026).</w:t>
      </w:r>
    </w:p>
    <w:p w14:paraId="0EBADD02" w14:textId="77777777" w:rsidR="00DF132F" w:rsidRPr="00D075BE" w:rsidRDefault="00734483" w:rsidP="00D075BE">
      <w:pPr>
        <w:rPr>
          <w:rFonts w:ascii="Arial" w:eastAsia="Arial" w:hAnsi="Arial" w:cs="Arial"/>
        </w:rPr>
      </w:pPr>
      <w:r w:rsidRPr="00D075BE">
        <w:rPr>
          <w:rFonts w:ascii="Arial" w:eastAsia="Arial" w:hAnsi="Arial" w:cs="Arial"/>
        </w:rPr>
        <w:t>Other market evaluations also suggest that there remains some activity in the oil and gas world, but the magnitude is different depending on how the market is defined and measured. The growth and evolution of the global oil and gas industry are expected to continue (IMARC, 2026). It is expected that the global markets will develop further to 2035 (BRC, 2026). Similarly, PMR is also forecasting a steady growth pace until 2032 due to demand in emerging economies. Business consolidation, capital discipline, and the changing of the guard towards technology are expected to continue in oil and gas (Deloitte, 2026). Scale, technology and integration have become more significant competitive advantages, and these trends are relevant to Shell. Large integrated companies continue to dominate the global competition. Shell is one of the top global oil and gas firms, further establishing the firm's size and one-stop capabilities as a competitive advantage (SI, 2026). Thus, Porter's Five Forces can be extended to Bangladesh:</w:t>
      </w:r>
    </w:p>
    <w:tbl>
      <w:tblPr>
        <w:tblStyle w:val="a1"/>
        <w:tblW w:w="9585" w:type="dxa"/>
        <w:tblBorders>
          <w:top w:val="nil"/>
          <w:left w:val="nil"/>
          <w:bottom w:val="nil"/>
          <w:right w:val="nil"/>
          <w:insideH w:val="nil"/>
          <w:insideV w:val="nil"/>
        </w:tblBorders>
        <w:tblLayout w:type="fixed"/>
        <w:tblLook w:val="0600" w:firstRow="0" w:lastRow="0" w:firstColumn="0" w:lastColumn="0" w:noHBand="1" w:noVBand="1"/>
      </w:tblPr>
      <w:tblGrid>
        <w:gridCol w:w="1950"/>
        <w:gridCol w:w="2010"/>
        <w:gridCol w:w="5625"/>
      </w:tblGrid>
      <w:tr w:rsidR="00D075BE" w:rsidRPr="00D075BE" w14:paraId="3FBB9DE5" w14:textId="77777777">
        <w:trPr>
          <w:trHeight w:val="51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D50B2" w14:textId="77777777" w:rsidR="00DF132F" w:rsidRPr="00D075BE" w:rsidRDefault="00734483" w:rsidP="00D075BE">
            <w:pPr>
              <w:jc w:val="center"/>
              <w:rPr>
                <w:rFonts w:ascii="Arial" w:eastAsia="Arial" w:hAnsi="Arial" w:cs="Arial"/>
              </w:rPr>
            </w:pPr>
            <w:r w:rsidRPr="00D075BE">
              <w:rPr>
                <w:rFonts w:ascii="Arial" w:eastAsia="Arial" w:hAnsi="Arial" w:cs="Arial"/>
                <w:b/>
                <w:bCs/>
              </w:rPr>
              <w:t>Force</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D94A1" w14:textId="77777777" w:rsidR="00DF132F" w:rsidRPr="00D075BE" w:rsidRDefault="00734483" w:rsidP="00D075BE">
            <w:pPr>
              <w:jc w:val="center"/>
              <w:rPr>
                <w:rFonts w:ascii="Arial" w:eastAsia="Arial" w:hAnsi="Arial" w:cs="Arial"/>
              </w:rPr>
            </w:pPr>
            <w:r w:rsidRPr="00D075BE">
              <w:rPr>
                <w:rFonts w:ascii="Arial" w:eastAsia="Arial" w:hAnsi="Arial" w:cs="Arial"/>
                <w:b/>
                <w:bCs/>
              </w:rPr>
              <w:t>Assessment</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BC7C4" w14:textId="77777777" w:rsidR="00DF132F" w:rsidRPr="00D075BE" w:rsidRDefault="00734483" w:rsidP="00D075BE">
            <w:pPr>
              <w:jc w:val="center"/>
              <w:rPr>
                <w:rFonts w:ascii="Arial" w:eastAsia="Arial" w:hAnsi="Arial" w:cs="Arial"/>
              </w:rPr>
            </w:pPr>
            <w:r w:rsidRPr="00D075BE">
              <w:rPr>
                <w:rFonts w:ascii="Arial" w:eastAsia="Arial" w:hAnsi="Arial" w:cs="Arial"/>
                <w:b/>
                <w:bCs/>
              </w:rPr>
              <w:t>Implication for Shell</w:t>
            </w:r>
          </w:p>
        </w:tc>
      </w:tr>
      <w:tr w:rsidR="00D075BE" w:rsidRPr="00D075BE" w14:paraId="182DC6FC" w14:textId="77777777">
        <w:trPr>
          <w:trHeight w:val="78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51F0E" w14:textId="77777777" w:rsidR="00DF132F" w:rsidRPr="00D075BE" w:rsidRDefault="00734483" w:rsidP="00D075BE">
            <w:pPr>
              <w:rPr>
                <w:rFonts w:ascii="Arial" w:eastAsia="Arial" w:hAnsi="Arial" w:cs="Arial"/>
              </w:rPr>
            </w:pPr>
            <w:r w:rsidRPr="00D075BE">
              <w:rPr>
                <w:rFonts w:ascii="Arial" w:eastAsia="Arial" w:hAnsi="Arial" w:cs="Arial"/>
              </w:rPr>
              <w:t>Competitive rivalry</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50CCB" w14:textId="77777777" w:rsidR="00DF132F" w:rsidRPr="00D075BE" w:rsidRDefault="00734483" w:rsidP="00D075BE">
            <w:pPr>
              <w:rPr>
                <w:rFonts w:ascii="Arial" w:eastAsia="Arial" w:hAnsi="Arial" w:cs="Arial"/>
              </w:rPr>
            </w:pPr>
            <w:r w:rsidRPr="00D075BE">
              <w:rPr>
                <w:rFonts w:ascii="Arial" w:eastAsia="Arial" w:hAnsi="Arial" w:cs="Arial"/>
              </w:rPr>
              <w:t>High</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87DC5" w14:textId="77777777" w:rsidR="00DF132F" w:rsidRPr="00D075BE" w:rsidRDefault="00734483" w:rsidP="00D075BE">
            <w:pPr>
              <w:rPr>
                <w:rFonts w:ascii="Arial" w:eastAsia="Arial" w:hAnsi="Arial" w:cs="Arial"/>
              </w:rPr>
            </w:pPr>
            <w:r w:rsidRPr="00D075BE">
              <w:rPr>
                <w:rFonts w:ascii="Arial" w:eastAsia="Arial" w:hAnsi="Arial" w:cs="Arial"/>
              </w:rPr>
              <w:t>Differentiation beyond price is required</w:t>
            </w:r>
          </w:p>
        </w:tc>
      </w:tr>
      <w:tr w:rsidR="00D075BE" w:rsidRPr="00D075BE" w14:paraId="4C66C7AB" w14:textId="77777777">
        <w:trPr>
          <w:trHeight w:val="78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771E9" w14:textId="77777777" w:rsidR="00DF132F" w:rsidRPr="00D075BE" w:rsidRDefault="00734483" w:rsidP="00D075BE">
            <w:pPr>
              <w:rPr>
                <w:rFonts w:ascii="Arial" w:eastAsia="Arial" w:hAnsi="Arial" w:cs="Arial"/>
              </w:rPr>
            </w:pPr>
            <w:r w:rsidRPr="00D075BE">
              <w:rPr>
                <w:rFonts w:ascii="Arial" w:eastAsia="Arial" w:hAnsi="Arial" w:cs="Arial"/>
              </w:rPr>
              <w:lastRenderedPageBreak/>
              <w:t>Supplier power</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9D29B" w14:textId="77777777" w:rsidR="00DF132F" w:rsidRPr="00D075BE" w:rsidRDefault="00734483" w:rsidP="00D075BE">
            <w:pPr>
              <w:rPr>
                <w:rFonts w:ascii="Arial" w:eastAsia="Arial" w:hAnsi="Arial" w:cs="Arial"/>
              </w:rPr>
            </w:pPr>
            <w:r w:rsidRPr="00D075BE">
              <w:rPr>
                <w:rFonts w:ascii="Arial" w:eastAsia="Arial" w:hAnsi="Arial" w:cs="Arial"/>
              </w:rPr>
              <w:t>High</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171C7" w14:textId="77777777" w:rsidR="00DF132F" w:rsidRPr="00D075BE" w:rsidRDefault="00734483" w:rsidP="00D075BE">
            <w:pPr>
              <w:rPr>
                <w:rFonts w:ascii="Arial" w:eastAsia="Arial" w:hAnsi="Arial" w:cs="Arial"/>
              </w:rPr>
            </w:pPr>
            <w:r w:rsidRPr="00D075BE">
              <w:rPr>
                <w:rFonts w:ascii="Arial" w:eastAsia="Arial" w:hAnsi="Arial" w:cs="Arial"/>
              </w:rPr>
              <w:t>Imported LNG and energy exposure increase vulnerability</w:t>
            </w:r>
          </w:p>
        </w:tc>
      </w:tr>
      <w:tr w:rsidR="00D075BE" w:rsidRPr="00D075BE" w14:paraId="3FD1570B" w14:textId="77777777">
        <w:trPr>
          <w:trHeight w:val="78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06C5F0" w14:textId="77777777" w:rsidR="00DF132F" w:rsidRPr="00D075BE" w:rsidRDefault="00734483" w:rsidP="00D075BE">
            <w:pPr>
              <w:rPr>
                <w:rFonts w:ascii="Arial" w:eastAsia="Arial" w:hAnsi="Arial" w:cs="Arial"/>
              </w:rPr>
            </w:pPr>
            <w:r w:rsidRPr="00D075BE">
              <w:rPr>
                <w:rFonts w:ascii="Arial" w:eastAsia="Arial" w:hAnsi="Arial" w:cs="Arial"/>
              </w:rPr>
              <w:t>Buyer power</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4415D" w14:textId="77777777" w:rsidR="00DF132F" w:rsidRPr="00D075BE" w:rsidRDefault="00734483" w:rsidP="00D075BE">
            <w:pPr>
              <w:rPr>
                <w:rFonts w:ascii="Arial" w:eastAsia="Arial" w:hAnsi="Arial" w:cs="Arial"/>
              </w:rPr>
            </w:pPr>
            <w:r w:rsidRPr="00D075BE">
              <w:rPr>
                <w:rFonts w:ascii="Arial" w:eastAsia="Arial" w:hAnsi="Arial" w:cs="Arial"/>
              </w:rPr>
              <w:t>Moderate–High</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C309A" w14:textId="77777777" w:rsidR="00DF132F" w:rsidRPr="00D075BE" w:rsidRDefault="00734483" w:rsidP="00D075BE">
            <w:pPr>
              <w:rPr>
                <w:rFonts w:ascii="Arial" w:eastAsia="Arial" w:hAnsi="Arial" w:cs="Arial"/>
              </w:rPr>
            </w:pPr>
            <w:r w:rsidRPr="00D075BE">
              <w:rPr>
                <w:rFonts w:ascii="Arial" w:eastAsia="Arial" w:hAnsi="Arial" w:cs="Arial"/>
              </w:rPr>
              <w:t>Industrial and institutional buyers have negotiating strength</w:t>
            </w:r>
          </w:p>
        </w:tc>
      </w:tr>
      <w:tr w:rsidR="00D075BE" w:rsidRPr="00D075BE" w14:paraId="18120797" w14:textId="77777777">
        <w:trPr>
          <w:trHeight w:val="51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50554" w14:textId="77777777" w:rsidR="00DF132F" w:rsidRPr="00D075BE" w:rsidRDefault="00734483" w:rsidP="00D075BE">
            <w:pPr>
              <w:rPr>
                <w:rFonts w:ascii="Arial" w:eastAsia="Arial" w:hAnsi="Arial" w:cs="Arial"/>
              </w:rPr>
            </w:pPr>
            <w:r w:rsidRPr="00D075BE">
              <w:rPr>
                <w:rFonts w:ascii="Arial" w:eastAsia="Arial" w:hAnsi="Arial" w:cs="Arial"/>
              </w:rPr>
              <w:t>Threat of entrants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A5A88" w14:textId="77777777" w:rsidR="00DF132F" w:rsidRPr="00D075BE" w:rsidRDefault="00734483" w:rsidP="00D075BE">
            <w:pPr>
              <w:rPr>
                <w:rFonts w:ascii="Arial" w:eastAsia="Arial" w:hAnsi="Arial" w:cs="Arial"/>
              </w:rPr>
            </w:pPr>
            <w:r w:rsidRPr="00D075BE">
              <w:rPr>
                <w:rFonts w:ascii="Arial" w:eastAsia="Arial" w:hAnsi="Arial" w:cs="Arial"/>
              </w:rPr>
              <w:t>Moderate</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FE647" w14:textId="77777777" w:rsidR="00DF132F" w:rsidRPr="00D075BE" w:rsidRDefault="00734483" w:rsidP="00D075BE">
            <w:pPr>
              <w:rPr>
                <w:rFonts w:ascii="Arial" w:eastAsia="Arial" w:hAnsi="Arial" w:cs="Arial"/>
              </w:rPr>
            </w:pPr>
            <w:r w:rsidRPr="00D075BE">
              <w:rPr>
                <w:rFonts w:ascii="Arial" w:eastAsia="Arial" w:hAnsi="Arial" w:cs="Arial"/>
              </w:rPr>
              <w:t>Capital and regulatory requirements limit entry</w:t>
            </w:r>
          </w:p>
        </w:tc>
      </w:tr>
      <w:tr w:rsidR="00D075BE" w:rsidRPr="00D075BE" w14:paraId="19108E08" w14:textId="77777777">
        <w:trPr>
          <w:trHeight w:val="785"/>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9DE83" w14:textId="77777777" w:rsidR="00DF132F" w:rsidRPr="00D075BE" w:rsidRDefault="00734483" w:rsidP="00D075BE">
            <w:pPr>
              <w:rPr>
                <w:rFonts w:ascii="Arial" w:eastAsia="Arial" w:hAnsi="Arial" w:cs="Arial"/>
              </w:rPr>
            </w:pPr>
            <w:r w:rsidRPr="00D075BE">
              <w:rPr>
                <w:rFonts w:ascii="Arial" w:eastAsia="Arial" w:hAnsi="Arial" w:cs="Arial"/>
              </w:rPr>
              <w:t>Substitutes</w:t>
            </w:r>
          </w:p>
        </w:tc>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9F2FA" w14:textId="77777777" w:rsidR="00DF132F" w:rsidRPr="00D075BE" w:rsidRDefault="00734483" w:rsidP="00D075BE">
            <w:pPr>
              <w:rPr>
                <w:rFonts w:ascii="Arial" w:eastAsia="Arial" w:hAnsi="Arial" w:cs="Arial"/>
              </w:rPr>
            </w:pPr>
            <w:r w:rsidRPr="00D075BE">
              <w:rPr>
                <w:rFonts w:ascii="Arial" w:eastAsia="Arial" w:hAnsi="Arial" w:cs="Arial"/>
              </w:rPr>
              <w:t>Increasing</w:t>
            </w:r>
          </w:p>
        </w:tc>
        <w:tc>
          <w:tcPr>
            <w:tcW w:w="5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B1AD0" w14:textId="77777777" w:rsidR="00DF132F" w:rsidRPr="00D075BE" w:rsidRDefault="00734483" w:rsidP="00D075BE">
            <w:pPr>
              <w:rPr>
                <w:rFonts w:ascii="Arial" w:eastAsia="Arial" w:hAnsi="Arial" w:cs="Arial"/>
              </w:rPr>
            </w:pPr>
            <w:r w:rsidRPr="00D075BE">
              <w:rPr>
                <w:rFonts w:ascii="Arial" w:eastAsia="Arial" w:hAnsi="Arial" w:cs="Arial"/>
              </w:rPr>
              <w:t>Renewables and electrification threaten conventional demand</w:t>
            </w:r>
          </w:p>
        </w:tc>
      </w:tr>
    </w:tbl>
    <w:p w14:paraId="2B259509"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Table 1: Porter’s Five Forces Analysis</w:t>
      </w:r>
    </w:p>
    <w:p w14:paraId="5BD342B9" w14:textId="77777777" w:rsidR="00DF132F" w:rsidRPr="00D075BE" w:rsidRDefault="00734483" w:rsidP="00D075BE">
      <w:pPr>
        <w:rPr>
          <w:rFonts w:ascii="Arial" w:eastAsia="Arial" w:hAnsi="Arial" w:cs="Arial"/>
        </w:rPr>
      </w:pPr>
      <w:r w:rsidRPr="00D075BE">
        <w:rPr>
          <w:rFonts w:ascii="Arial" w:eastAsia="Arial" w:hAnsi="Arial" w:cs="Arial"/>
        </w:rPr>
        <w:t>Bangladesh's energy import dependency makes supplier power very critical (Amin et al., 2023). Buyer power is also significant due to the fact that industrial consumers and public sector consumers tend to have a large influence in negotiating supply conditions. Shell ought to play a role in the integrated supply, technical services, reliability and capabilities for the energy transition arena more than with commodity pricing.</w:t>
      </w:r>
    </w:p>
    <w:p w14:paraId="52B3A5D9" w14:textId="77777777" w:rsidR="00DF132F" w:rsidRPr="00D075BE" w:rsidRDefault="00734483" w:rsidP="00D075BE">
      <w:pPr>
        <w:pStyle w:val="Heading3"/>
      </w:pPr>
      <w:bookmarkStart w:id="13" w:name="_Toc237349875"/>
      <w:r w:rsidRPr="00D075BE">
        <w:t>2.4 Bangladesh Market Attractiveness Synthesis</w:t>
      </w:r>
      <w:bookmarkEnd w:id="13"/>
    </w:p>
    <w:p w14:paraId="50EE4C39" w14:textId="77777777" w:rsidR="00DF132F" w:rsidRPr="00D075BE" w:rsidRDefault="00734483" w:rsidP="00D075BE">
      <w:pPr>
        <w:rPr>
          <w:rFonts w:ascii="Arial" w:eastAsia="Arial" w:hAnsi="Arial" w:cs="Arial"/>
        </w:rPr>
      </w:pPr>
      <w:r w:rsidRPr="00D075BE">
        <w:rPr>
          <w:rFonts w:ascii="Arial" w:eastAsia="Arial" w:hAnsi="Arial" w:cs="Arial"/>
        </w:rPr>
        <w:t>This is revealed by the PELC and industry analysis that Bangladesh is not a definitely good market or a market to remain bad. Rather, its appeal is based on investment type and magnitude.</w:t>
      </w:r>
    </w:p>
    <w:tbl>
      <w:tblPr>
        <w:tblStyle w:val="a2"/>
        <w:tblW w:w="9630" w:type="dxa"/>
        <w:tblInd w:w="-165" w:type="dxa"/>
        <w:tblBorders>
          <w:top w:val="nil"/>
          <w:left w:val="nil"/>
          <w:bottom w:val="nil"/>
          <w:right w:val="nil"/>
          <w:insideH w:val="nil"/>
          <w:insideV w:val="nil"/>
        </w:tblBorders>
        <w:tblLayout w:type="fixed"/>
        <w:tblLook w:val="0600" w:firstRow="0" w:lastRow="0" w:firstColumn="0" w:lastColumn="0" w:noHBand="1" w:noVBand="1"/>
      </w:tblPr>
      <w:tblGrid>
        <w:gridCol w:w="2040"/>
        <w:gridCol w:w="3075"/>
        <w:gridCol w:w="2910"/>
        <w:gridCol w:w="1605"/>
      </w:tblGrid>
      <w:tr w:rsidR="00D075BE" w:rsidRPr="00D075BE" w14:paraId="1D06018C"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F111B" w14:textId="77777777" w:rsidR="00DF132F" w:rsidRPr="00D075BE" w:rsidRDefault="00734483" w:rsidP="00D075BE">
            <w:pPr>
              <w:jc w:val="center"/>
              <w:rPr>
                <w:rFonts w:ascii="Arial" w:eastAsia="Arial" w:hAnsi="Arial" w:cs="Arial"/>
              </w:rPr>
            </w:pPr>
            <w:r w:rsidRPr="00D075BE">
              <w:rPr>
                <w:rFonts w:ascii="Arial" w:eastAsia="Arial" w:hAnsi="Arial" w:cs="Arial"/>
                <w:b/>
                <w:bCs/>
              </w:rPr>
              <w:t>Factors</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00FF3" w14:textId="77777777" w:rsidR="00DF132F" w:rsidRPr="00D075BE" w:rsidRDefault="00734483" w:rsidP="00D075BE">
            <w:pPr>
              <w:jc w:val="center"/>
              <w:rPr>
                <w:rFonts w:ascii="Arial" w:eastAsia="Arial" w:hAnsi="Arial" w:cs="Arial"/>
              </w:rPr>
            </w:pPr>
            <w:r w:rsidRPr="00D075BE">
              <w:rPr>
                <w:rFonts w:ascii="Arial" w:eastAsia="Arial" w:hAnsi="Arial" w:cs="Arial"/>
                <w:b/>
                <w:bCs/>
              </w:rPr>
              <w:t>Opportunity</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20C0A2" w14:textId="77777777" w:rsidR="00DF132F" w:rsidRPr="00D075BE" w:rsidRDefault="00734483" w:rsidP="00D075BE">
            <w:pPr>
              <w:jc w:val="center"/>
              <w:rPr>
                <w:rFonts w:ascii="Arial" w:eastAsia="Arial" w:hAnsi="Arial" w:cs="Arial"/>
              </w:rPr>
            </w:pPr>
            <w:r w:rsidRPr="00D075BE">
              <w:rPr>
                <w:rFonts w:ascii="Arial" w:eastAsia="Arial" w:hAnsi="Arial" w:cs="Arial"/>
                <w:b/>
                <w:bCs/>
              </w:rPr>
              <w:t>Risk</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ADB25" w14:textId="77777777" w:rsidR="00DF132F" w:rsidRPr="00D075BE" w:rsidRDefault="00734483" w:rsidP="00D075BE">
            <w:pPr>
              <w:jc w:val="center"/>
              <w:rPr>
                <w:rFonts w:ascii="Arial" w:eastAsia="Arial" w:hAnsi="Arial" w:cs="Arial"/>
              </w:rPr>
            </w:pPr>
            <w:r w:rsidRPr="00D075BE">
              <w:rPr>
                <w:rFonts w:ascii="Arial" w:eastAsia="Arial" w:hAnsi="Arial" w:cs="Arial"/>
                <w:b/>
                <w:bCs/>
              </w:rPr>
              <w:t>Overall assessment</w:t>
            </w:r>
          </w:p>
        </w:tc>
      </w:tr>
      <w:tr w:rsidR="00D075BE" w:rsidRPr="00D075BE" w14:paraId="7AEB1DF8"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608F1" w14:textId="77777777" w:rsidR="00DF132F" w:rsidRPr="00D075BE" w:rsidRDefault="00734483" w:rsidP="00D075BE">
            <w:pPr>
              <w:rPr>
                <w:rFonts w:ascii="Arial" w:eastAsia="Arial" w:hAnsi="Arial" w:cs="Arial"/>
                <w:i/>
                <w:iCs/>
              </w:rPr>
            </w:pPr>
            <w:r w:rsidRPr="00D075BE">
              <w:rPr>
                <w:rFonts w:ascii="Arial" w:eastAsia="Arial" w:hAnsi="Arial" w:cs="Arial"/>
                <w:i/>
                <w:iCs/>
              </w:rPr>
              <w:t>Economic scale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1B80D" w14:textId="77777777" w:rsidR="00DF132F" w:rsidRPr="00D075BE" w:rsidRDefault="00734483" w:rsidP="00D075BE">
            <w:pPr>
              <w:rPr>
                <w:rFonts w:ascii="Arial" w:eastAsia="Arial" w:hAnsi="Arial" w:cs="Arial"/>
              </w:rPr>
            </w:pPr>
            <w:r w:rsidRPr="00D075BE">
              <w:rPr>
                <w:rFonts w:ascii="Arial" w:eastAsia="Arial" w:hAnsi="Arial" w:cs="Arial"/>
              </w:rPr>
              <w:t>US$456.32bn GDP</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EB4E6" w14:textId="77777777" w:rsidR="00DF132F" w:rsidRPr="00D075BE" w:rsidRDefault="00734483" w:rsidP="00D075BE">
            <w:pPr>
              <w:rPr>
                <w:rFonts w:ascii="Arial" w:eastAsia="Arial" w:hAnsi="Arial" w:cs="Arial"/>
              </w:rPr>
            </w:pPr>
            <w:r w:rsidRPr="00D075BE">
              <w:rPr>
                <w:rFonts w:ascii="Arial" w:eastAsia="Arial" w:hAnsi="Arial" w:cs="Arial"/>
              </w:rPr>
              <w:t>Low per-capita income</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E9DDE" w14:textId="77777777" w:rsidR="00DF132F" w:rsidRPr="00D075BE" w:rsidRDefault="00734483" w:rsidP="00D075BE">
            <w:pPr>
              <w:rPr>
                <w:rFonts w:ascii="Arial" w:eastAsia="Arial" w:hAnsi="Arial" w:cs="Arial"/>
              </w:rPr>
            </w:pPr>
            <w:r w:rsidRPr="00D075BE">
              <w:rPr>
                <w:rFonts w:ascii="Arial" w:eastAsia="Arial" w:hAnsi="Arial" w:cs="Arial"/>
              </w:rPr>
              <w:t>High</w:t>
            </w:r>
          </w:p>
        </w:tc>
      </w:tr>
      <w:tr w:rsidR="00D075BE" w:rsidRPr="00D075BE" w14:paraId="06966ED1"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9A882" w14:textId="77777777" w:rsidR="00DF132F" w:rsidRPr="00D075BE" w:rsidRDefault="00734483" w:rsidP="00D075BE">
            <w:pPr>
              <w:rPr>
                <w:rFonts w:ascii="Arial" w:eastAsia="Arial" w:hAnsi="Arial" w:cs="Arial"/>
                <w:i/>
                <w:iCs/>
              </w:rPr>
            </w:pPr>
            <w:r w:rsidRPr="00D075BE">
              <w:rPr>
                <w:rFonts w:ascii="Arial" w:eastAsia="Arial" w:hAnsi="Arial" w:cs="Arial"/>
                <w:i/>
                <w:iCs/>
              </w:rPr>
              <w:t>Industrial demand</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24EFB" w14:textId="77777777" w:rsidR="00DF132F" w:rsidRPr="00D075BE" w:rsidRDefault="00734483" w:rsidP="00D075BE">
            <w:pPr>
              <w:rPr>
                <w:rFonts w:ascii="Arial" w:eastAsia="Arial" w:hAnsi="Arial" w:cs="Arial"/>
              </w:rPr>
            </w:pPr>
            <w:r w:rsidRPr="00D075BE">
              <w:rPr>
                <w:rFonts w:ascii="Arial" w:eastAsia="Arial" w:hAnsi="Arial" w:cs="Arial"/>
              </w:rPr>
              <w:t>Strong industrial base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CBF29" w14:textId="77777777" w:rsidR="00DF132F" w:rsidRPr="00D075BE" w:rsidRDefault="00734483" w:rsidP="00D075BE">
            <w:pPr>
              <w:rPr>
                <w:rFonts w:ascii="Arial" w:eastAsia="Arial" w:hAnsi="Arial" w:cs="Arial"/>
              </w:rPr>
            </w:pPr>
            <w:r w:rsidRPr="00D075BE">
              <w:rPr>
                <w:rFonts w:ascii="Arial" w:eastAsia="Arial" w:hAnsi="Arial" w:cs="Arial"/>
              </w:rPr>
              <w:t>Economic slowdown</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E68C7" w14:textId="77777777" w:rsidR="00DF132F" w:rsidRPr="00D075BE" w:rsidRDefault="00734483" w:rsidP="00D075BE">
            <w:pPr>
              <w:rPr>
                <w:rFonts w:ascii="Arial" w:eastAsia="Arial" w:hAnsi="Arial" w:cs="Arial"/>
              </w:rPr>
            </w:pPr>
            <w:r w:rsidRPr="00D075BE">
              <w:rPr>
                <w:rFonts w:ascii="Arial" w:eastAsia="Arial" w:hAnsi="Arial" w:cs="Arial"/>
              </w:rPr>
              <w:t>High</w:t>
            </w:r>
          </w:p>
        </w:tc>
      </w:tr>
      <w:tr w:rsidR="00D075BE" w:rsidRPr="00D075BE" w14:paraId="70ADE21F"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5F734" w14:textId="77777777" w:rsidR="00DF132F" w:rsidRPr="00D075BE" w:rsidRDefault="00734483" w:rsidP="00D075BE">
            <w:pPr>
              <w:rPr>
                <w:rFonts w:ascii="Arial" w:eastAsia="Arial" w:hAnsi="Arial" w:cs="Arial"/>
                <w:i/>
                <w:iCs/>
              </w:rPr>
            </w:pPr>
            <w:r w:rsidRPr="00D075BE">
              <w:rPr>
                <w:rFonts w:ascii="Arial" w:eastAsia="Arial" w:hAnsi="Arial" w:cs="Arial"/>
                <w:i/>
                <w:iCs/>
              </w:rPr>
              <w:t>Energy demand</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97755" w14:textId="77777777" w:rsidR="00DF132F" w:rsidRPr="00D075BE" w:rsidRDefault="00734483" w:rsidP="00D075BE">
            <w:pPr>
              <w:rPr>
                <w:rFonts w:ascii="Arial" w:eastAsia="Arial" w:hAnsi="Arial" w:cs="Arial"/>
              </w:rPr>
            </w:pPr>
            <w:r w:rsidRPr="00D075BE">
              <w:rPr>
                <w:rFonts w:ascii="Arial" w:eastAsia="Arial" w:hAnsi="Arial" w:cs="Arial"/>
              </w:rPr>
              <w:t>Structural requirement</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3D1DE" w14:textId="77777777" w:rsidR="00DF132F" w:rsidRPr="00D075BE" w:rsidRDefault="00734483" w:rsidP="00D075BE">
            <w:pPr>
              <w:rPr>
                <w:rFonts w:ascii="Arial" w:eastAsia="Arial" w:hAnsi="Arial" w:cs="Arial"/>
              </w:rPr>
            </w:pPr>
            <w:r w:rsidRPr="00D075BE">
              <w:rPr>
                <w:rFonts w:ascii="Arial" w:eastAsia="Arial" w:hAnsi="Arial" w:cs="Arial"/>
              </w:rPr>
              <w:t>Import dependence</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71141" w14:textId="77777777" w:rsidR="00DF132F" w:rsidRPr="00D075BE" w:rsidRDefault="00734483" w:rsidP="00D075BE">
            <w:pPr>
              <w:rPr>
                <w:rFonts w:ascii="Arial" w:eastAsia="Arial" w:hAnsi="Arial" w:cs="Arial"/>
              </w:rPr>
            </w:pPr>
            <w:r w:rsidRPr="00D075BE">
              <w:rPr>
                <w:rFonts w:ascii="Arial" w:eastAsia="Arial" w:hAnsi="Arial" w:cs="Arial"/>
              </w:rPr>
              <w:t>High</w:t>
            </w:r>
          </w:p>
        </w:tc>
      </w:tr>
      <w:tr w:rsidR="00D075BE" w:rsidRPr="00D075BE" w14:paraId="4D74AAEB"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8B4AC" w14:textId="77777777" w:rsidR="00DF132F" w:rsidRPr="00D075BE" w:rsidRDefault="00734483" w:rsidP="00D075BE">
            <w:pPr>
              <w:rPr>
                <w:rFonts w:ascii="Arial" w:eastAsia="Arial" w:hAnsi="Arial" w:cs="Arial"/>
                <w:i/>
                <w:iCs/>
              </w:rPr>
            </w:pPr>
            <w:r w:rsidRPr="00D075BE">
              <w:rPr>
                <w:rFonts w:ascii="Arial" w:eastAsia="Arial" w:hAnsi="Arial" w:cs="Arial"/>
                <w:i/>
                <w:iCs/>
              </w:rPr>
              <w:t>LNG opportunity</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81C9B" w14:textId="77777777" w:rsidR="00DF132F" w:rsidRPr="00D075BE" w:rsidRDefault="00734483" w:rsidP="00D075BE">
            <w:pPr>
              <w:rPr>
                <w:rFonts w:ascii="Arial" w:eastAsia="Arial" w:hAnsi="Arial" w:cs="Arial"/>
              </w:rPr>
            </w:pPr>
            <w:r w:rsidRPr="00D075BE">
              <w:rPr>
                <w:rFonts w:ascii="Arial" w:eastAsia="Arial" w:hAnsi="Arial" w:cs="Arial"/>
              </w:rPr>
              <w:t>Energy-security requirement</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E0BED" w14:textId="77777777" w:rsidR="00DF132F" w:rsidRPr="00D075BE" w:rsidRDefault="00734483" w:rsidP="00D075BE">
            <w:pPr>
              <w:rPr>
                <w:rFonts w:ascii="Arial" w:eastAsia="Arial" w:hAnsi="Arial" w:cs="Arial"/>
              </w:rPr>
            </w:pPr>
            <w:r w:rsidRPr="00D075BE">
              <w:rPr>
                <w:rFonts w:ascii="Arial" w:eastAsia="Arial" w:hAnsi="Arial" w:cs="Arial"/>
              </w:rPr>
              <w:t>Price/FX exposure</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C3D9D" w14:textId="77777777" w:rsidR="00DF132F" w:rsidRPr="00D075BE" w:rsidRDefault="00734483" w:rsidP="00D075BE">
            <w:pPr>
              <w:rPr>
                <w:rFonts w:ascii="Arial" w:eastAsia="Arial" w:hAnsi="Arial" w:cs="Arial"/>
              </w:rPr>
            </w:pPr>
            <w:r w:rsidRPr="00D075BE">
              <w:rPr>
                <w:rFonts w:ascii="Arial" w:eastAsia="Arial" w:hAnsi="Arial" w:cs="Arial"/>
              </w:rPr>
              <w:t>High</w:t>
            </w:r>
          </w:p>
        </w:tc>
      </w:tr>
      <w:tr w:rsidR="00D075BE" w:rsidRPr="00D075BE" w14:paraId="75E95B1E"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DCF04" w14:textId="77777777" w:rsidR="00DF132F" w:rsidRPr="00D075BE" w:rsidRDefault="00734483" w:rsidP="00D075BE">
            <w:pPr>
              <w:rPr>
                <w:rFonts w:ascii="Arial" w:eastAsia="Arial" w:hAnsi="Arial" w:cs="Arial"/>
                <w:i/>
                <w:iCs/>
              </w:rPr>
            </w:pPr>
            <w:r w:rsidRPr="00D075BE">
              <w:rPr>
                <w:rFonts w:ascii="Arial" w:eastAsia="Arial" w:hAnsi="Arial" w:cs="Arial"/>
                <w:i/>
                <w:iCs/>
              </w:rPr>
              <w:lastRenderedPageBreak/>
              <w:t>Political environment</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B9788" w14:textId="77777777" w:rsidR="00DF132F" w:rsidRPr="00D075BE" w:rsidRDefault="00734483" w:rsidP="00D075BE">
            <w:pPr>
              <w:rPr>
                <w:rFonts w:ascii="Arial" w:eastAsia="Arial" w:hAnsi="Arial" w:cs="Arial"/>
              </w:rPr>
            </w:pPr>
            <w:r w:rsidRPr="00D075BE">
              <w:rPr>
                <w:rFonts w:ascii="Arial" w:eastAsia="Arial" w:hAnsi="Arial" w:cs="Arial"/>
              </w:rPr>
              <w:t>Stronger government mandate</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11665" w14:textId="77777777" w:rsidR="00DF132F" w:rsidRPr="00D075BE" w:rsidRDefault="00734483" w:rsidP="00D075BE">
            <w:pPr>
              <w:rPr>
                <w:rFonts w:ascii="Arial" w:eastAsia="Arial" w:hAnsi="Arial" w:cs="Arial"/>
              </w:rPr>
            </w:pPr>
            <w:r w:rsidRPr="00D075BE">
              <w:rPr>
                <w:rFonts w:ascii="Arial" w:eastAsia="Arial" w:hAnsi="Arial" w:cs="Arial"/>
              </w:rPr>
              <w:t>Institutional transition</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5004C" w14:textId="77777777" w:rsidR="00DF132F" w:rsidRPr="00D075BE" w:rsidRDefault="00734483" w:rsidP="00D075BE">
            <w:pPr>
              <w:rPr>
                <w:rFonts w:ascii="Arial" w:eastAsia="Arial" w:hAnsi="Arial" w:cs="Arial"/>
              </w:rPr>
            </w:pPr>
            <w:r w:rsidRPr="00D075BE">
              <w:rPr>
                <w:rFonts w:ascii="Arial" w:eastAsia="Arial" w:hAnsi="Arial" w:cs="Arial"/>
              </w:rPr>
              <w:t>Medium</w:t>
            </w:r>
          </w:p>
        </w:tc>
      </w:tr>
      <w:tr w:rsidR="00D075BE" w:rsidRPr="00D075BE" w14:paraId="4B5C6BE6"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9833D" w14:textId="77777777" w:rsidR="00DF132F" w:rsidRPr="00D075BE" w:rsidRDefault="00734483" w:rsidP="00D075BE">
            <w:pPr>
              <w:rPr>
                <w:rFonts w:ascii="Arial" w:eastAsia="Arial" w:hAnsi="Arial" w:cs="Arial"/>
                <w:i/>
                <w:iCs/>
              </w:rPr>
            </w:pPr>
            <w:r w:rsidRPr="00D075BE">
              <w:rPr>
                <w:rFonts w:ascii="Arial" w:eastAsia="Arial" w:hAnsi="Arial" w:cs="Arial"/>
                <w:i/>
                <w:iCs/>
              </w:rPr>
              <w:t>Legal environment</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C8005" w14:textId="77777777" w:rsidR="00DF132F" w:rsidRPr="00D075BE" w:rsidRDefault="00734483" w:rsidP="00D075BE">
            <w:pPr>
              <w:rPr>
                <w:rFonts w:ascii="Arial" w:eastAsia="Arial" w:hAnsi="Arial" w:cs="Arial"/>
              </w:rPr>
            </w:pPr>
            <w:r w:rsidRPr="00D075BE">
              <w:rPr>
                <w:rFonts w:ascii="Arial" w:eastAsia="Arial" w:hAnsi="Arial" w:cs="Arial"/>
              </w:rPr>
              <w:t>Renewable incentives</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816E1" w14:textId="77777777" w:rsidR="00DF132F" w:rsidRPr="00D075BE" w:rsidRDefault="00734483" w:rsidP="00D075BE">
            <w:pPr>
              <w:rPr>
                <w:rFonts w:ascii="Arial" w:eastAsia="Arial" w:hAnsi="Arial" w:cs="Arial"/>
              </w:rPr>
            </w:pPr>
            <w:r w:rsidRPr="00D075BE">
              <w:rPr>
                <w:rFonts w:ascii="Arial" w:eastAsia="Arial" w:hAnsi="Arial" w:cs="Arial"/>
              </w:rPr>
              <w:t>Regulatory complexity</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B2B87E" w14:textId="77777777" w:rsidR="00DF132F" w:rsidRPr="00D075BE" w:rsidRDefault="00734483" w:rsidP="00D075BE">
            <w:pPr>
              <w:rPr>
                <w:rFonts w:ascii="Arial" w:eastAsia="Arial" w:hAnsi="Arial" w:cs="Arial"/>
              </w:rPr>
            </w:pPr>
            <w:r w:rsidRPr="00D075BE">
              <w:rPr>
                <w:rFonts w:ascii="Arial" w:eastAsia="Arial" w:hAnsi="Arial" w:cs="Arial"/>
              </w:rPr>
              <w:t>Medium</w:t>
            </w:r>
          </w:p>
        </w:tc>
      </w:tr>
      <w:tr w:rsidR="00D075BE" w:rsidRPr="00D075BE" w14:paraId="6C7764F0"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44440" w14:textId="77777777" w:rsidR="00DF132F" w:rsidRPr="00D075BE" w:rsidRDefault="00734483" w:rsidP="00D075BE">
            <w:pPr>
              <w:rPr>
                <w:rFonts w:ascii="Arial" w:eastAsia="Arial" w:hAnsi="Arial" w:cs="Arial"/>
                <w:i/>
                <w:iCs/>
              </w:rPr>
            </w:pPr>
            <w:r w:rsidRPr="00D075BE">
              <w:rPr>
                <w:rFonts w:ascii="Arial" w:eastAsia="Arial" w:hAnsi="Arial" w:cs="Arial"/>
                <w:i/>
                <w:iCs/>
              </w:rPr>
              <w:t>Cultural environment</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B2218" w14:textId="77777777" w:rsidR="00DF132F" w:rsidRPr="00D075BE" w:rsidRDefault="00734483" w:rsidP="00D075BE">
            <w:pPr>
              <w:rPr>
                <w:rFonts w:ascii="Arial" w:eastAsia="Arial" w:hAnsi="Arial" w:cs="Arial"/>
              </w:rPr>
            </w:pPr>
            <w:r w:rsidRPr="00D075BE">
              <w:rPr>
                <w:rFonts w:ascii="Arial" w:eastAsia="Arial" w:hAnsi="Arial" w:cs="Arial"/>
              </w:rPr>
              <w:t>Local partnership opportunities</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7BA33" w14:textId="77777777" w:rsidR="00DF132F" w:rsidRPr="00D075BE" w:rsidRDefault="00734483" w:rsidP="00D075BE">
            <w:pPr>
              <w:rPr>
                <w:rFonts w:ascii="Arial" w:eastAsia="Arial" w:hAnsi="Arial" w:cs="Arial"/>
              </w:rPr>
            </w:pPr>
            <w:r w:rsidRPr="00D075BE">
              <w:rPr>
                <w:rFonts w:ascii="Arial" w:eastAsia="Arial" w:hAnsi="Arial" w:cs="Arial"/>
              </w:rPr>
              <w:t>Stakeholder complexity</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F1B4F" w14:textId="77777777" w:rsidR="00DF132F" w:rsidRPr="00D075BE" w:rsidRDefault="00734483" w:rsidP="00D075BE">
            <w:pPr>
              <w:rPr>
                <w:rFonts w:ascii="Arial" w:eastAsia="Arial" w:hAnsi="Arial" w:cs="Arial"/>
              </w:rPr>
            </w:pPr>
            <w:r w:rsidRPr="00D075BE">
              <w:rPr>
                <w:rFonts w:ascii="Arial" w:eastAsia="Arial" w:hAnsi="Arial" w:cs="Arial"/>
              </w:rPr>
              <w:t>Medium</w:t>
            </w:r>
          </w:p>
        </w:tc>
      </w:tr>
      <w:tr w:rsidR="00D075BE" w:rsidRPr="00D075BE" w14:paraId="60EFE82D" w14:textId="77777777">
        <w:trPr>
          <w:trHeight w:val="78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830B7" w14:textId="77777777" w:rsidR="00DF132F" w:rsidRPr="00D075BE" w:rsidRDefault="00734483" w:rsidP="00D075BE">
            <w:pPr>
              <w:rPr>
                <w:rFonts w:ascii="Arial" w:eastAsia="Arial" w:hAnsi="Arial" w:cs="Arial"/>
                <w:i/>
                <w:iCs/>
              </w:rPr>
            </w:pPr>
            <w:r w:rsidRPr="00D075BE">
              <w:rPr>
                <w:rFonts w:ascii="Arial" w:eastAsia="Arial" w:hAnsi="Arial" w:cs="Arial"/>
                <w:i/>
                <w:iCs/>
              </w:rPr>
              <w:t>Renewable energy</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1BB1E" w14:textId="77777777" w:rsidR="00DF132F" w:rsidRPr="00D075BE" w:rsidRDefault="00734483" w:rsidP="00D075BE">
            <w:pPr>
              <w:rPr>
                <w:rFonts w:ascii="Arial" w:eastAsia="Arial" w:hAnsi="Arial" w:cs="Arial"/>
              </w:rPr>
            </w:pPr>
            <w:r w:rsidRPr="00D075BE">
              <w:rPr>
                <w:rFonts w:ascii="Arial" w:eastAsia="Arial" w:hAnsi="Arial" w:cs="Arial"/>
              </w:rPr>
              <w:t>Large transition requirement</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4312F" w14:textId="77777777" w:rsidR="00DF132F" w:rsidRPr="00D075BE" w:rsidRDefault="00734483" w:rsidP="00D075BE">
            <w:pPr>
              <w:rPr>
                <w:rFonts w:ascii="Arial" w:eastAsia="Arial" w:hAnsi="Arial" w:cs="Arial"/>
              </w:rPr>
            </w:pPr>
            <w:r w:rsidRPr="00D075BE">
              <w:rPr>
                <w:rFonts w:ascii="Arial" w:eastAsia="Arial" w:hAnsi="Arial" w:cs="Arial"/>
              </w:rPr>
              <w:t>Financing/infrastructure barriers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FB643" w14:textId="77777777" w:rsidR="00DF132F" w:rsidRPr="00D075BE" w:rsidRDefault="00734483" w:rsidP="00D075BE">
            <w:pPr>
              <w:rPr>
                <w:rFonts w:ascii="Arial" w:eastAsia="Arial" w:hAnsi="Arial" w:cs="Arial"/>
              </w:rPr>
            </w:pPr>
            <w:r w:rsidRPr="00D075BE">
              <w:rPr>
                <w:rFonts w:ascii="Arial" w:eastAsia="Arial" w:hAnsi="Arial" w:cs="Arial"/>
              </w:rPr>
              <w:t>High</w:t>
            </w:r>
          </w:p>
        </w:tc>
      </w:tr>
      <w:tr w:rsidR="00D075BE" w:rsidRPr="00D075BE" w14:paraId="405BE4D6" w14:textId="77777777">
        <w:trPr>
          <w:trHeight w:val="51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AFD42" w14:textId="77777777" w:rsidR="00DF132F" w:rsidRPr="00D075BE" w:rsidRDefault="00734483" w:rsidP="00D075BE">
            <w:pPr>
              <w:rPr>
                <w:rFonts w:ascii="Arial" w:eastAsia="Arial" w:hAnsi="Arial" w:cs="Arial"/>
                <w:i/>
                <w:iCs/>
              </w:rPr>
            </w:pPr>
            <w:r w:rsidRPr="00D075BE">
              <w:rPr>
                <w:rFonts w:ascii="Arial" w:eastAsia="Arial" w:hAnsi="Arial" w:cs="Arial"/>
                <w:i/>
                <w:iCs/>
              </w:rPr>
              <w:t>Competition</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2B0EF" w14:textId="77777777" w:rsidR="00DF132F" w:rsidRPr="00D075BE" w:rsidRDefault="00734483" w:rsidP="00D075BE">
            <w:pPr>
              <w:rPr>
                <w:rFonts w:ascii="Arial" w:eastAsia="Arial" w:hAnsi="Arial" w:cs="Arial"/>
              </w:rPr>
            </w:pPr>
            <w:r w:rsidRPr="00D075BE">
              <w:rPr>
                <w:rFonts w:ascii="Arial" w:eastAsia="Arial" w:hAnsi="Arial" w:cs="Arial"/>
              </w:rPr>
              <w:t>Growing energy demand</w:t>
            </w:r>
          </w:p>
        </w:tc>
        <w:tc>
          <w:tcPr>
            <w:tcW w:w="29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A804A" w14:textId="77777777" w:rsidR="00DF132F" w:rsidRPr="00D075BE" w:rsidRDefault="00734483" w:rsidP="00D075BE">
            <w:pPr>
              <w:rPr>
                <w:rFonts w:ascii="Arial" w:eastAsia="Arial" w:hAnsi="Arial" w:cs="Arial"/>
              </w:rPr>
            </w:pPr>
            <w:r w:rsidRPr="00D075BE">
              <w:rPr>
                <w:rFonts w:ascii="Arial" w:eastAsia="Arial" w:hAnsi="Arial" w:cs="Arial"/>
              </w:rPr>
              <w:t>Strong incumbents</w:t>
            </w:r>
          </w:p>
        </w:tc>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E86AF5" w14:textId="77777777" w:rsidR="00DF132F" w:rsidRPr="00D075BE" w:rsidRDefault="00734483" w:rsidP="00D075BE">
            <w:pPr>
              <w:rPr>
                <w:rFonts w:ascii="Arial" w:eastAsia="Arial" w:hAnsi="Arial" w:cs="Arial"/>
              </w:rPr>
            </w:pPr>
            <w:r w:rsidRPr="00D075BE">
              <w:rPr>
                <w:rFonts w:ascii="Arial" w:eastAsia="Arial" w:hAnsi="Arial" w:cs="Arial"/>
              </w:rPr>
              <w:t>Medium</w:t>
            </w:r>
          </w:p>
        </w:tc>
      </w:tr>
    </w:tbl>
    <w:p w14:paraId="2066C98D"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Table 2: Market Attractiveness of Bangladesh</w:t>
      </w:r>
    </w:p>
    <w:p w14:paraId="224ED79A" w14:textId="77777777" w:rsidR="00DF132F" w:rsidRPr="00D075BE" w:rsidRDefault="00734483" w:rsidP="00D075BE">
      <w:pPr>
        <w:rPr>
          <w:rFonts w:ascii="Arial" w:eastAsia="Arial" w:hAnsi="Arial" w:cs="Arial"/>
        </w:rPr>
      </w:pPr>
      <w:r w:rsidRPr="00D075BE">
        <w:rPr>
          <w:rFonts w:ascii="Arial" w:eastAsia="Arial" w:hAnsi="Arial" w:cs="Arial"/>
        </w:rPr>
        <w:t>The best prospects are where Shell can leverage its current strengths and enable the energy transition of Bangladesh.</w:t>
      </w:r>
    </w:p>
    <w:p w14:paraId="45B1FD52" w14:textId="77777777" w:rsidR="00DF132F" w:rsidRPr="00D075BE" w:rsidRDefault="00734483" w:rsidP="00D075BE">
      <w:pPr>
        <w:pStyle w:val="Heading3"/>
      </w:pPr>
      <w:bookmarkStart w:id="14" w:name="_Toc237349876"/>
      <w:r w:rsidRPr="00D075BE">
        <w:t>2.5 OLI / Eclectic Paradigm Analysis</w:t>
      </w:r>
      <w:bookmarkEnd w:id="14"/>
    </w:p>
    <w:p w14:paraId="58500C7A" w14:textId="77777777" w:rsidR="00DF132F" w:rsidRPr="00D075BE" w:rsidRDefault="00734483" w:rsidP="00D075BE">
      <w:pPr>
        <w:rPr>
          <w:rFonts w:ascii="Arial" w:eastAsia="Arial" w:hAnsi="Arial" w:cs="Arial"/>
        </w:rPr>
      </w:pPr>
      <w:r w:rsidRPr="00D075BE">
        <w:rPr>
          <w:rFonts w:ascii="Arial" w:eastAsia="Arial" w:hAnsi="Arial" w:cs="Arial"/>
        </w:rPr>
        <w:t>Dunning's OLI paradigm allows for a systematic review of whether Shell should make further investments overseas in Bangladesh.</w:t>
      </w:r>
    </w:p>
    <w:p w14:paraId="11FB8E6C"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Ownership Advantages</w:t>
      </w:r>
    </w:p>
    <w:p w14:paraId="7A938080" w14:textId="77777777" w:rsidR="00DF132F" w:rsidRPr="00D075BE" w:rsidRDefault="00734483" w:rsidP="00D075BE">
      <w:pPr>
        <w:rPr>
          <w:rFonts w:ascii="Arial" w:eastAsia="Arial" w:hAnsi="Arial" w:cs="Arial"/>
        </w:rPr>
      </w:pPr>
      <w:r w:rsidRPr="00D075BE">
        <w:rPr>
          <w:rFonts w:ascii="Arial" w:eastAsia="Arial" w:hAnsi="Arial" w:cs="Arial"/>
        </w:rPr>
        <w:t>Shell has several ownership advantages, including its global brand, capital resources, technical knowledge, expertise in liquefied natural gas, trading networks, research, and integrated value chain. It has shipped 73 mtpa LN, and has a scale of crude trading and a $1.2 billion R&amp;D budget that domestic companies are unlikely to match on a global scale (Shell, 2026). These resources are especially relevant given the need for a reliable energy supply in Bangladesh and the technologies available for the energy transition. Against international examples, the situation of Bangladesh regarding renewable energy remains moderately limited (Abdullah-Al-Mahbub and Islam, 2023). This may lead to an ownership advantage for Shell since the company can export its international expertise in sustainable energy development into the market of an emerging country. Akash et al. (2024) also pointed out technology and infrastructure issues regarding the development of renewable energies in Bangladesh. Strategically, Shell's expertise in energy trading, engineering and technology might, therefore, offer several differentiators.</w:t>
      </w:r>
    </w:p>
    <w:p w14:paraId="07B5A258"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Location Advantages</w:t>
      </w:r>
    </w:p>
    <w:p w14:paraId="5E21B68D" w14:textId="77777777" w:rsidR="00DF132F" w:rsidRPr="00D075BE" w:rsidRDefault="00734483" w:rsidP="00D075BE">
      <w:pPr>
        <w:rPr>
          <w:rFonts w:ascii="Arial" w:eastAsia="Arial" w:hAnsi="Arial" w:cs="Arial"/>
        </w:rPr>
      </w:pPr>
      <w:r w:rsidRPr="00D075BE">
        <w:rPr>
          <w:rFonts w:ascii="Arial" w:eastAsia="Arial" w:hAnsi="Arial" w:cs="Arial"/>
        </w:rPr>
        <w:lastRenderedPageBreak/>
        <w:t xml:space="preserve">The high population, industrial economy, and geographical position of Bangladesh gives rise to its location advantages. The nation also has a significant future potential of renewable energy needs. Bangladesh has a power-transition score in Climatescope of 1.85/5, placing it 69th out of all emerging markets and 21st out of the Asia-Pacific group. In 2024, there were 11.95 GW of installed generation capacity using natural gas and 45.65 TWh of gas generation. In the same year, clean-energy investment was estimated to be about US$266.12 million (Climatescope, 2025). These figures clearly show that Bangladesh has high energy demand and low clean energy investment. This gap represents an opportunity for Shell's conventional energy solutions, as well as solutions for transition. </w:t>
      </w:r>
    </w:p>
    <w:p w14:paraId="4E651BFC" w14:textId="77777777" w:rsidR="00DF132F" w:rsidRPr="00D075BE" w:rsidRDefault="00734483" w:rsidP="00D075BE">
      <w:pPr>
        <w:rPr>
          <w:rFonts w:ascii="Arial" w:eastAsia="Arial" w:hAnsi="Arial" w:cs="Arial"/>
        </w:rPr>
      </w:pPr>
      <w:r w:rsidRPr="00D075BE">
        <w:rPr>
          <w:rFonts w:ascii="Arial" w:eastAsia="Arial" w:hAnsi="Arial" w:cs="Arial"/>
        </w:rPr>
        <w:t>Bhuiyan et al. (2021) point to the great potential resources for Renewable and Sustainable-Energy resources in Bangladesh as well as the challenges for its development. Similarly, Mahmud and Roy (2021) listed some of the financial, technological, policy and institutional risks to not enter the renewable energy market quickly enough. An alternative possibility is wind energy. GIS-AHP analysis is used to determine the suitability of wind-farm sites in Bangladesh (Islam et al. 2022). Contrarily, when these opportunities exist at the site level, the project would also need suitable technical and infrastructural conditions for development. Zaman and Razzak (2022) provide an example of how it is possible to introduce sustainable microgrids in the development of islands through the example of Kutubdia Island. This validates the broader perspective on Bangladesh's location advantage by enabling decentralised energy systems.</w:t>
      </w:r>
    </w:p>
    <w:p w14:paraId="17EF6772"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Internalisation Advantages</w:t>
      </w:r>
    </w:p>
    <w:p w14:paraId="56602C2C" w14:textId="77777777" w:rsidR="00DF132F" w:rsidRPr="00D075BE" w:rsidRDefault="00734483" w:rsidP="00D075BE">
      <w:pPr>
        <w:rPr>
          <w:rFonts w:ascii="Arial" w:eastAsia="Arial" w:hAnsi="Arial" w:cs="Arial"/>
        </w:rPr>
      </w:pPr>
      <w:r w:rsidRPr="00D075BE">
        <w:rPr>
          <w:rFonts w:ascii="Arial" w:eastAsia="Arial" w:hAnsi="Arial" w:cs="Arial"/>
        </w:rPr>
        <w:t>Shell needs to embed within itself activities that are considered important for the strategic shape of the firm, such as sourcing LNG, technology, safety, quality, proprietary systems, brand protection and selected energy trading operations. Keeping control of strategically important activities through internalisation can diminish usage of costly and uncertain transactions. Still, Shell would need to build an internal regulatory apparatus, customer base and institutional contacts in the area if it were to internalise everything. Gallagher et al. (2021) elaborate on the role of political, institutional and funding factors in overseas energy investments. A partnership could therefore allow Shell to be involved in the project and have control over their base expertise, and the rest of the process is left to the local expertise. The OLI analysis then justifies selective internalisation as part of a strategic partnership.</w:t>
      </w:r>
    </w:p>
    <w:p w14:paraId="428B70D2" w14:textId="77777777" w:rsidR="00DF132F" w:rsidRPr="00D075BE" w:rsidRDefault="00734483" w:rsidP="00D075BE">
      <w:pPr>
        <w:pStyle w:val="Heading3"/>
      </w:pPr>
      <w:bookmarkStart w:id="15" w:name="_Toc237349877"/>
      <w:r w:rsidRPr="00D075BE">
        <w:lastRenderedPageBreak/>
        <w:t>2.6 OLI Decision</w:t>
      </w:r>
      <w:bookmarkEnd w:id="15"/>
    </w:p>
    <w:p w14:paraId="7A740426" w14:textId="77777777" w:rsidR="00DF132F" w:rsidRPr="00D075BE" w:rsidRDefault="00734483" w:rsidP="00D075BE">
      <w:pPr>
        <w:rPr>
          <w:rFonts w:ascii="Arial" w:eastAsia="Arial" w:hAnsi="Arial" w:cs="Arial"/>
        </w:rPr>
      </w:pPr>
      <w:r w:rsidRPr="00D075BE">
        <w:rPr>
          <w:rFonts w:ascii="Arial" w:eastAsia="Arial" w:hAnsi="Arial" w:cs="Arial"/>
        </w:rPr>
        <w:t>Shell's ownership advantages are high due to global scale, technology, LNG expertise, financial capacity and integrated value chain, which are revealed from 2025’s outlook (</w:t>
      </w:r>
      <w:r w:rsidRPr="00D075BE">
        <w:rPr>
          <w:rFonts w:ascii="Arial" w:eastAsia="Arial" w:hAnsi="Arial" w:cs="Arial"/>
          <w:highlight w:val="white"/>
        </w:rPr>
        <w:t>Shell, 2025</w:t>
      </w:r>
      <w:r w:rsidRPr="00D075BE">
        <w:rPr>
          <w:rFonts w:ascii="Arial" w:eastAsia="Arial" w:hAnsi="Arial" w:cs="Arial"/>
        </w:rPr>
        <w:t>). Considering this, Bangladesh's location advantages are moderate to strong due to industrialisation, energy dependency, LNG demand, and future investment in renewable energy. Unless the local partners are bought and Shell gains access to their capabilities, the internalisation advantages are not broad. Thus, the OLI outcome argues for a more profound penetration of the market, but not for an immediate wholly owned FDI. A partnership structure provides a better risk return.</w:t>
      </w:r>
    </w:p>
    <w:p w14:paraId="4FD01A2B" w14:textId="77777777" w:rsidR="00DF132F" w:rsidRPr="00D075BE" w:rsidRDefault="00734483" w:rsidP="00D075BE">
      <w:pPr>
        <w:jc w:val="center"/>
        <w:rPr>
          <w:rFonts w:ascii="Arial" w:eastAsia="Arial" w:hAnsi="Arial" w:cs="Arial"/>
          <w:b/>
          <w:bCs/>
        </w:rPr>
      </w:pPr>
      <w:r w:rsidRPr="00D075BE">
        <w:rPr>
          <w:rFonts w:ascii="Arial" w:eastAsia="Arial" w:hAnsi="Arial" w:cs="Arial"/>
          <w:b/>
          <w:bCs/>
          <w:noProof/>
        </w:rPr>
        <w:drawing>
          <wp:inline distT="114300" distB="114300" distL="114300" distR="114300" wp14:anchorId="4EF59510" wp14:editId="3E645A5C">
            <wp:extent cx="5731200" cy="2514600"/>
            <wp:effectExtent l="0" t="0" r="0" b="0"/>
            <wp:docPr id="164944693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514600"/>
                    </a:xfrm>
                    <a:prstGeom prst="rect">
                      <a:avLst/>
                    </a:prstGeom>
                    <a:ln/>
                  </pic:spPr>
                </pic:pic>
              </a:graphicData>
            </a:graphic>
          </wp:inline>
        </w:drawing>
      </w:r>
    </w:p>
    <w:p w14:paraId="7D88C0E7"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4: LNG outlook of Shell (2025)</w:t>
      </w:r>
    </w:p>
    <w:p w14:paraId="025D6398" w14:textId="77777777" w:rsidR="00DF132F" w:rsidRPr="00D075BE" w:rsidRDefault="00734483" w:rsidP="00D075BE">
      <w:pPr>
        <w:jc w:val="center"/>
        <w:rPr>
          <w:rFonts w:ascii="Arial" w:eastAsia="Arial" w:hAnsi="Arial" w:cs="Arial"/>
        </w:rPr>
      </w:pPr>
      <w:r w:rsidRPr="00D075BE">
        <w:rPr>
          <w:rFonts w:ascii="Arial" w:eastAsia="Arial" w:hAnsi="Arial" w:cs="Arial"/>
        </w:rPr>
        <w:t xml:space="preserve">(Source: </w:t>
      </w:r>
      <w:r w:rsidRPr="00D075BE">
        <w:rPr>
          <w:rFonts w:ascii="Arial" w:eastAsia="Arial" w:hAnsi="Arial" w:cs="Arial"/>
          <w:highlight w:val="white"/>
        </w:rPr>
        <w:t>Shell, 2025</w:t>
      </w:r>
      <w:r w:rsidRPr="00D075BE">
        <w:rPr>
          <w:rFonts w:ascii="Arial" w:eastAsia="Arial" w:hAnsi="Arial" w:cs="Arial"/>
        </w:rPr>
        <w:t>)</w:t>
      </w:r>
    </w:p>
    <w:p w14:paraId="53C2737E" w14:textId="77777777" w:rsidR="00DF132F" w:rsidRPr="00D075BE" w:rsidRDefault="00DF132F" w:rsidP="00D075BE">
      <w:pPr>
        <w:rPr>
          <w:rFonts w:ascii="Arial" w:eastAsia="Arial" w:hAnsi="Arial" w:cs="Arial"/>
        </w:rPr>
      </w:pPr>
    </w:p>
    <w:p w14:paraId="65D5883C" w14:textId="77777777" w:rsidR="00DF132F" w:rsidRPr="00D075BE" w:rsidRDefault="00734483" w:rsidP="00D075BE">
      <w:pPr>
        <w:pStyle w:val="Heading2"/>
        <w:rPr>
          <w:rFonts w:eastAsia="Arial" w:cs="Arial"/>
        </w:rPr>
      </w:pPr>
      <w:bookmarkStart w:id="16" w:name="_Toc237349878"/>
      <w:r w:rsidRPr="00D075BE">
        <w:rPr>
          <w:rFonts w:eastAsia="Arial" w:cs="Arial"/>
        </w:rPr>
        <w:t>3. Entry Mode Strategy and Strategic Synthesis</w:t>
      </w:r>
      <w:bookmarkEnd w:id="16"/>
    </w:p>
    <w:p w14:paraId="4BD84003" w14:textId="77777777" w:rsidR="00DF132F" w:rsidRPr="00D075BE" w:rsidRDefault="00734483" w:rsidP="00D075BE">
      <w:pPr>
        <w:pStyle w:val="Heading3"/>
      </w:pPr>
      <w:bookmarkStart w:id="17" w:name="_Toc237349879"/>
      <w:r w:rsidRPr="00D075BE">
        <w:t>3.1 Shell's Historical International Entry Modes</w:t>
      </w:r>
      <w:bookmarkEnd w:id="17"/>
    </w:p>
    <w:p w14:paraId="5A96EC4E" w14:textId="6F74C0DD" w:rsidR="00DF132F" w:rsidRPr="00D075BE" w:rsidRDefault="00734483" w:rsidP="00D075BE">
      <w:pPr>
        <w:rPr>
          <w:rFonts w:ascii="Arial" w:eastAsia="Arial" w:hAnsi="Arial" w:cs="Arial"/>
        </w:rPr>
      </w:pPr>
      <w:r w:rsidRPr="00D075BE">
        <w:rPr>
          <w:rFonts w:ascii="Arial" w:eastAsia="Arial" w:hAnsi="Arial" w:cs="Arial"/>
        </w:rPr>
        <w:t>The fact that Shell is expanding internationally is proof that it is not using only one approach to market penetration. As shown in figure 5, apart from wholly-owned manufacturing facilities, Shell has owned, acquired, joint ventured, and formed strategic partnerships with several renowned companies globally (</w:t>
      </w:r>
      <w:r w:rsidRPr="00D075BE">
        <w:rPr>
          <w:rFonts w:ascii="Arial" w:eastAsia="Arial" w:hAnsi="Arial" w:cs="Arial"/>
          <w:highlight w:val="white"/>
        </w:rPr>
        <w:t>Shell, 2025b)</w:t>
      </w:r>
      <w:r w:rsidRPr="00D075BE">
        <w:rPr>
          <w:rFonts w:ascii="Arial" w:eastAsia="Arial" w:hAnsi="Arial" w:cs="Arial"/>
        </w:rPr>
        <w:t xml:space="preserve">. At the same time, the type of entry mode may differ based on different requirements of control, investment amount, country political risk, and investment knowledge in the local market. Selective ownership is also highlighted in Shell's downstream activities. Over the years, it has turned its focus towards investing with better returns and strategic advantages in businesses where it has not aimed to own all assets in all markets. The industry is in transition towards tighter capital discipline globally. </w:t>
      </w:r>
      <w:r w:rsidRPr="00D075BE">
        <w:rPr>
          <w:rFonts w:ascii="Arial" w:eastAsia="Arial" w:hAnsi="Arial" w:cs="Arial"/>
        </w:rPr>
        <w:lastRenderedPageBreak/>
        <w:t>Furthermore, the industry trends identified are consolidation, technologic transformative selective investments, where the overall market activity points to the opportunity to promote integrated companies joining hydrocarbons with lower-carbon activities (Deloitte, 2026). This means that Shell must not pursue a 'max-physical-marketing' strategy for Bangladesh. Rather, it should figure out the activities where ownership makes the most sense.</w:t>
      </w:r>
    </w:p>
    <w:p w14:paraId="243D66BA" w14:textId="43181FDB" w:rsidR="00D075BE" w:rsidRPr="00D075BE" w:rsidRDefault="00D075BE" w:rsidP="00D075BE">
      <w:pPr>
        <w:jc w:val="center"/>
        <w:rPr>
          <w:rFonts w:ascii="Arial" w:eastAsia="Arial" w:hAnsi="Arial" w:cs="Arial"/>
          <w:b/>
          <w:bCs/>
        </w:rPr>
      </w:pPr>
      <w:r w:rsidRPr="00D075BE">
        <w:rPr>
          <w:rFonts w:ascii="Arial" w:eastAsia="Arial" w:hAnsi="Arial" w:cs="Arial"/>
          <w:b/>
          <w:bCs/>
          <w:noProof/>
        </w:rPr>
        <w:drawing>
          <wp:inline distT="0" distB="0" distL="0" distR="0" wp14:anchorId="1AC5AFD6" wp14:editId="3EDD1915">
            <wp:extent cx="6048375" cy="2905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48375" cy="2905125"/>
                    </a:xfrm>
                    <a:prstGeom prst="rect">
                      <a:avLst/>
                    </a:prstGeom>
                  </pic:spPr>
                </pic:pic>
              </a:graphicData>
            </a:graphic>
          </wp:inline>
        </w:drawing>
      </w:r>
    </w:p>
    <w:p w14:paraId="0F8AFD9D" w14:textId="73A102D7" w:rsidR="00D075BE" w:rsidRPr="00D075BE" w:rsidRDefault="00D075BE" w:rsidP="00D075BE">
      <w:pPr>
        <w:jc w:val="center"/>
        <w:rPr>
          <w:rFonts w:ascii="Arial" w:eastAsia="Arial" w:hAnsi="Arial" w:cs="Arial"/>
          <w:b/>
          <w:bCs/>
        </w:rPr>
      </w:pPr>
      <w:r w:rsidRPr="00D075BE">
        <w:rPr>
          <w:rFonts w:ascii="Arial" w:eastAsia="Arial" w:hAnsi="Arial" w:cs="Arial"/>
          <w:b/>
          <w:bCs/>
          <w:noProof/>
        </w:rPr>
        <w:drawing>
          <wp:inline distT="0" distB="0" distL="0" distR="0" wp14:anchorId="02F6D670" wp14:editId="05CB9DE3">
            <wp:extent cx="603885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38850" cy="2114550"/>
                    </a:xfrm>
                    <a:prstGeom prst="rect">
                      <a:avLst/>
                    </a:prstGeom>
                  </pic:spPr>
                </pic:pic>
              </a:graphicData>
            </a:graphic>
          </wp:inline>
        </w:drawing>
      </w:r>
    </w:p>
    <w:p w14:paraId="6AF462CC"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5: Joint ventures of Shell</w:t>
      </w:r>
    </w:p>
    <w:p w14:paraId="3C7F0C9E" w14:textId="77777777" w:rsidR="00DF132F" w:rsidRPr="00D075BE" w:rsidRDefault="00734483" w:rsidP="00D075BE">
      <w:pPr>
        <w:jc w:val="center"/>
        <w:rPr>
          <w:rFonts w:ascii="Arial" w:eastAsia="Arial" w:hAnsi="Arial" w:cs="Arial"/>
        </w:rPr>
      </w:pPr>
      <w:r w:rsidRPr="00D075BE">
        <w:rPr>
          <w:rFonts w:ascii="Arial" w:eastAsia="Arial" w:hAnsi="Arial" w:cs="Arial"/>
        </w:rPr>
        <w:t xml:space="preserve">(Source: </w:t>
      </w:r>
      <w:r w:rsidRPr="00D075BE">
        <w:rPr>
          <w:rFonts w:ascii="Arial" w:eastAsia="Arial" w:hAnsi="Arial" w:cs="Arial"/>
          <w:highlight w:val="white"/>
        </w:rPr>
        <w:t>Shell, 2025b</w:t>
      </w:r>
      <w:r w:rsidRPr="00D075BE">
        <w:rPr>
          <w:rFonts w:ascii="Arial" w:eastAsia="Arial" w:hAnsi="Arial" w:cs="Arial"/>
        </w:rPr>
        <w:t>)</w:t>
      </w:r>
    </w:p>
    <w:p w14:paraId="7113E170" w14:textId="77777777" w:rsidR="00DF132F" w:rsidRPr="00D075BE" w:rsidRDefault="00734483" w:rsidP="00D075BE">
      <w:pPr>
        <w:pStyle w:val="Heading3"/>
      </w:pPr>
      <w:bookmarkStart w:id="18" w:name="_Toc237349880"/>
      <w:r w:rsidRPr="00D075BE">
        <w:t>3.2 Existing Indirect Presence of Shell in Bangladesh</w:t>
      </w:r>
      <w:bookmarkEnd w:id="18"/>
    </w:p>
    <w:p w14:paraId="22BC6FF0" w14:textId="77777777" w:rsidR="00DF132F" w:rsidRPr="00D075BE" w:rsidRDefault="00734483" w:rsidP="00D075BE">
      <w:pPr>
        <w:rPr>
          <w:rFonts w:ascii="Arial" w:eastAsia="Arial" w:hAnsi="Arial" w:cs="Arial"/>
        </w:rPr>
      </w:pPr>
      <w:r w:rsidRPr="00D075BE">
        <w:rPr>
          <w:rFonts w:ascii="Arial" w:eastAsia="Arial" w:hAnsi="Arial" w:cs="Arial"/>
        </w:rPr>
        <w:t xml:space="preserve">Shell has an indirect commercial presence in Bangladesh, mainly through distribution activities. This is a valuable strategic point since this is seen as deepening rather than a whole new country entry. Access to customers, market knowledge and commercial relationships and reduced exposure to capital are provided by the existing distribution platform in which Shell incorporates (Kirsanova, 2025). This creates a base, which can </w:t>
      </w:r>
      <w:r w:rsidRPr="00D075BE">
        <w:rPr>
          <w:rFonts w:ascii="Arial" w:eastAsia="Arial" w:hAnsi="Arial" w:cs="Arial"/>
        </w:rPr>
        <w:lastRenderedPageBreak/>
        <w:t>form a larger scale of cooperation. The proposed plan should then aim to gradually grow from the current commercial operations and not be setting up a headlong investment in creating an integrated subsidiary from scratch.</w:t>
      </w:r>
    </w:p>
    <w:p w14:paraId="321F138B" w14:textId="77777777" w:rsidR="00DF132F" w:rsidRPr="00D075BE" w:rsidRDefault="00734483" w:rsidP="00D075BE">
      <w:pPr>
        <w:pStyle w:val="Heading3"/>
      </w:pPr>
      <w:bookmarkStart w:id="19" w:name="_Toc237349881"/>
      <w:r w:rsidRPr="00D075BE">
        <w:t>3.3 Alternative Entry Modes</w:t>
      </w:r>
      <w:bookmarkEnd w:id="19"/>
    </w:p>
    <w:p w14:paraId="6D3D8EAA"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Exporting</w:t>
      </w:r>
    </w:p>
    <w:p w14:paraId="6D97016C" w14:textId="77777777" w:rsidR="00DF132F" w:rsidRPr="00D075BE" w:rsidRDefault="00734483" w:rsidP="00D075BE">
      <w:pPr>
        <w:rPr>
          <w:rFonts w:ascii="Arial" w:eastAsia="Arial" w:hAnsi="Arial" w:cs="Arial"/>
        </w:rPr>
      </w:pPr>
      <w:r w:rsidRPr="00D075BE">
        <w:rPr>
          <w:rFonts w:ascii="Arial" w:eastAsia="Arial" w:hAnsi="Arial" w:cs="Arial"/>
        </w:rPr>
        <w:t>Export entry's lowest capital requirement can leverage off the current distribution relationship of Shell. This entry mode is suitable in certain petroleum products and lubricants, and offers moderate control of infrastructure or strategic market development. It would, therefore, not be adequate for any significant LNG or integrated energy projects.</w:t>
      </w:r>
    </w:p>
    <w:p w14:paraId="551E7B34"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Licensing</w:t>
      </w:r>
    </w:p>
    <w:p w14:paraId="0D69542F" w14:textId="77777777" w:rsidR="00DF132F" w:rsidRPr="00D075BE" w:rsidRDefault="00734483" w:rsidP="00D075BE">
      <w:pPr>
        <w:rPr>
          <w:rFonts w:ascii="Arial" w:eastAsia="Arial" w:hAnsi="Arial" w:cs="Arial"/>
        </w:rPr>
      </w:pPr>
      <w:r w:rsidRPr="00D075BE">
        <w:rPr>
          <w:rFonts w:ascii="Arial" w:eastAsia="Arial" w:hAnsi="Arial" w:cs="Arial"/>
        </w:rPr>
        <w:t>Licensing can deliver quick market access without diminishing the capital risk (Yusuf and Yusuf, 2026). Yet there are also dangers related to the protection of technology, the application of operational standards, and issues related to brand. There are, therefore, sound reasons to limit Shell's right to license, to non-basic activities in which the direct ownership of the company will create only marginal added value.</w:t>
      </w:r>
    </w:p>
    <w:p w14:paraId="1CCF3DD5"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Joint Venture</w:t>
      </w:r>
    </w:p>
    <w:p w14:paraId="5583D50B" w14:textId="77777777" w:rsidR="00DF132F" w:rsidRPr="00D075BE" w:rsidRDefault="00734483" w:rsidP="00D075BE">
      <w:pPr>
        <w:rPr>
          <w:rFonts w:ascii="Arial" w:eastAsia="Arial" w:hAnsi="Arial" w:cs="Arial"/>
        </w:rPr>
      </w:pPr>
      <w:r w:rsidRPr="00D075BE">
        <w:rPr>
          <w:rFonts w:ascii="Arial" w:eastAsia="Arial" w:hAnsi="Arial" w:cs="Arial"/>
        </w:rPr>
        <w:t>As per Divrik (2023), the joint venture offers more balance of control and responsiveness at the local level. Shell may be able to bring its international financial, LNG, technology, supply and brand reputation, while the Bangladesh side may bring its local networks, regulatory know-how, distribution network and business relationships.</w:t>
      </w:r>
    </w:p>
    <w:p w14:paraId="3D90D778" w14:textId="77777777" w:rsidR="00DF132F" w:rsidRPr="00D075BE" w:rsidRDefault="00734483" w:rsidP="00D075BE">
      <w:pPr>
        <w:rPr>
          <w:rFonts w:ascii="Arial" w:eastAsia="Arial" w:hAnsi="Arial" w:cs="Arial"/>
          <w:b/>
          <w:bCs/>
          <w:i/>
          <w:iCs/>
        </w:rPr>
      </w:pPr>
      <w:r w:rsidRPr="00D075BE">
        <w:rPr>
          <w:rFonts w:ascii="Arial" w:eastAsia="Arial" w:hAnsi="Arial" w:cs="Arial"/>
          <w:b/>
          <w:bCs/>
          <w:i/>
          <w:iCs/>
        </w:rPr>
        <w:t>Wholly Owned Subsidiary</w:t>
      </w:r>
    </w:p>
    <w:p w14:paraId="78A6F394" w14:textId="77777777" w:rsidR="00DF132F" w:rsidRPr="00D075BE" w:rsidRDefault="00734483" w:rsidP="00D075BE">
      <w:pPr>
        <w:rPr>
          <w:rFonts w:ascii="Arial" w:eastAsia="Arial" w:hAnsi="Arial" w:cs="Arial"/>
        </w:rPr>
      </w:pPr>
      <w:r w:rsidRPr="00D075BE">
        <w:rPr>
          <w:rFonts w:ascii="Arial" w:eastAsia="Arial" w:hAnsi="Arial" w:cs="Arial"/>
        </w:rPr>
        <w:t>Creating a wholly owned subsidiary entails the highest capital risk and political risk to Shell, and maximum strategic control. In Bangladesh, the inflation rate and the complexity of regulations for energy markets would require too early an exposure in this approach (World Bank, 2026).</w:t>
      </w:r>
    </w:p>
    <w:p w14:paraId="37DB5E91" w14:textId="77777777" w:rsidR="00DF132F" w:rsidRPr="00D075BE" w:rsidRDefault="00734483" w:rsidP="00D075BE">
      <w:pPr>
        <w:pStyle w:val="Heading3"/>
      </w:pPr>
      <w:bookmarkStart w:id="20" w:name="_Toc237349882"/>
      <w:r w:rsidRPr="00D075BE">
        <w:t>3.4 Recommended Entry Mode</w:t>
      </w:r>
      <w:bookmarkEnd w:id="20"/>
    </w:p>
    <w:p w14:paraId="75C7A66E" w14:textId="77777777" w:rsidR="00DF132F" w:rsidRPr="00D075BE" w:rsidRDefault="00734483" w:rsidP="00D075BE">
      <w:pPr>
        <w:rPr>
          <w:rFonts w:ascii="Arial" w:eastAsia="Arial" w:hAnsi="Arial" w:cs="Arial"/>
        </w:rPr>
      </w:pPr>
      <w:r w:rsidRPr="00D075BE">
        <w:rPr>
          <w:rFonts w:ascii="Arial" w:eastAsia="Arial" w:hAnsi="Arial" w:cs="Arial"/>
        </w:rPr>
        <w:t xml:space="preserve">The recommended approach is a strategic joint venture with a staged deployment plan into the LNG energy supply, energy services, and lubricants through to selective renewable and lower-carbon investments. It is an appropriate recommendation considering the renewable investment needs of Bangladesh. For example, Raihan et al. (2025) estimate high capital needs for renewable-energy development, illustrating the size of potential opportunities available for foreign investors. There are other </w:t>
      </w:r>
      <w:r w:rsidRPr="00D075BE">
        <w:rPr>
          <w:rFonts w:ascii="Arial" w:eastAsia="Arial" w:hAnsi="Arial" w:cs="Arial"/>
        </w:rPr>
        <w:lastRenderedPageBreak/>
        <w:t>opportunities, which are industrial process heat. There are notable opportunities for renewable heat supply and process-heat solutions within the commercial and industrial sector in Bangladesh (GIZ, 2025). A shift from commodity energy supply to integrated energy-efficiency and energy-decarbonisation solutions could therefore be a possibility for Shell. Jahan et al. (2025) argued that industrial solar energy has the potential to significantly contribute to the renewable-energy transition, provided that financial, technical and institutional constraints can be overcome. One way to get over some of these restrictions could be for Shell to offer finance, technology and project-development expertise. The suggested approach would be three steps:</w:t>
      </w:r>
    </w:p>
    <w:p w14:paraId="0748CE4A" w14:textId="77777777" w:rsidR="00DF132F" w:rsidRPr="00D075BE" w:rsidRDefault="00734483" w:rsidP="00D075BE">
      <w:pPr>
        <w:rPr>
          <w:rFonts w:ascii="Arial" w:eastAsia="Arial" w:hAnsi="Arial" w:cs="Arial"/>
          <w:b/>
          <w:bCs/>
        </w:rPr>
      </w:pPr>
      <w:r w:rsidRPr="00D075BE">
        <w:rPr>
          <w:rFonts w:ascii="Arial" w:eastAsia="Arial" w:hAnsi="Arial" w:cs="Arial"/>
          <w:b/>
          <w:bCs/>
        </w:rPr>
        <w:t>Stage 1: Market deepening</w:t>
      </w:r>
    </w:p>
    <w:p w14:paraId="0F1E97F8" w14:textId="77777777" w:rsidR="00DF132F" w:rsidRPr="00D075BE" w:rsidRDefault="00734483" w:rsidP="00D075BE">
      <w:pPr>
        <w:rPr>
          <w:rFonts w:ascii="Arial" w:eastAsia="Arial" w:hAnsi="Arial" w:cs="Arial"/>
        </w:rPr>
      </w:pPr>
      <w:r w:rsidRPr="00D075BE">
        <w:rPr>
          <w:rFonts w:ascii="Arial" w:eastAsia="Arial" w:hAnsi="Arial" w:cs="Arial"/>
        </w:rPr>
        <w:t>Produce more spread lubricant and industrial energy partnerships</w:t>
      </w:r>
    </w:p>
    <w:p w14:paraId="23B8C995" w14:textId="77777777" w:rsidR="00DF132F" w:rsidRPr="00D075BE" w:rsidRDefault="00734483" w:rsidP="00D075BE">
      <w:pPr>
        <w:rPr>
          <w:rFonts w:ascii="Arial" w:eastAsia="Arial" w:hAnsi="Arial" w:cs="Arial"/>
          <w:b/>
          <w:bCs/>
        </w:rPr>
      </w:pPr>
      <w:r w:rsidRPr="00D075BE">
        <w:rPr>
          <w:rFonts w:ascii="Arial" w:eastAsia="Arial" w:hAnsi="Arial" w:cs="Arial"/>
          <w:b/>
          <w:bCs/>
        </w:rPr>
        <w:t>Stage 2: Strategic joint venture</w:t>
      </w:r>
    </w:p>
    <w:p w14:paraId="031A0D5C" w14:textId="77777777" w:rsidR="00DF132F" w:rsidRPr="00D075BE" w:rsidRDefault="00734483" w:rsidP="00D075BE">
      <w:pPr>
        <w:rPr>
          <w:rFonts w:ascii="Arial" w:eastAsia="Arial" w:hAnsi="Arial" w:cs="Arial"/>
        </w:rPr>
      </w:pPr>
      <w:r w:rsidRPr="00D075BE">
        <w:rPr>
          <w:rFonts w:ascii="Arial" w:eastAsia="Arial" w:hAnsi="Arial" w:cs="Arial"/>
        </w:rPr>
        <w:t>Develop LNG supply, energy trading and energy service</w:t>
      </w:r>
    </w:p>
    <w:p w14:paraId="197F26B1" w14:textId="77777777" w:rsidR="00DF132F" w:rsidRPr="00D075BE" w:rsidRDefault="00734483" w:rsidP="00D075BE">
      <w:pPr>
        <w:rPr>
          <w:rFonts w:ascii="Arial" w:eastAsia="Arial" w:hAnsi="Arial" w:cs="Arial"/>
          <w:b/>
          <w:bCs/>
        </w:rPr>
      </w:pPr>
      <w:r w:rsidRPr="00D075BE">
        <w:rPr>
          <w:rFonts w:ascii="Arial" w:eastAsia="Arial" w:hAnsi="Arial" w:cs="Arial"/>
          <w:b/>
          <w:bCs/>
        </w:rPr>
        <w:t>Stage 3: Energy transition</w:t>
      </w:r>
    </w:p>
    <w:p w14:paraId="3DFC047C" w14:textId="77777777" w:rsidR="00DF132F" w:rsidRPr="00D075BE" w:rsidRDefault="00734483" w:rsidP="00D075BE">
      <w:pPr>
        <w:rPr>
          <w:rFonts w:ascii="Arial" w:eastAsia="Arial" w:hAnsi="Arial" w:cs="Arial"/>
        </w:rPr>
      </w:pPr>
      <w:r w:rsidRPr="00D075BE">
        <w:rPr>
          <w:rFonts w:ascii="Arial" w:eastAsia="Arial" w:hAnsi="Arial" w:cs="Arial"/>
        </w:rPr>
        <w:t>Develop solar, energy efficiency, micro grids and renewable heat and other lower carbon opportunities</w:t>
      </w:r>
    </w:p>
    <w:p w14:paraId="0844CBA9" w14:textId="77777777" w:rsidR="00DF132F" w:rsidRPr="00D075BE" w:rsidRDefault="00734483" w:rsidP="00D075BE">
      <w:pPr>
        <w:rPr>
          <w:rFonts w:ascii="Arial" w:eastAsia="Arial" w:hAnsi="Arial" w:cs="Arial"/>
        </w:rPr>
      </w:pPr>
      <w:r w:rsidRPr="00D075BE">
        <w:rPr>
          <w:rFonts w:ascii="Arial" w:eastAsia="Arial" w:hAnsi="Arial" w:cs="Arial"/>
        </w:rPr>
        <w:t>This phased model lends Shell less capital exposure, and gives them a chance to expand down the road if there's a better opportunity.</w:t>
      </w:r>
    </w:p>
    <w:p w14:paraId="5245D83A" w14:textId="77777777" w:rsidR="00DF132F" w:rsidRPr="00D075BE" w:rsidRDefault="00734483" w:rsidP="00D075BE">
      <w:pPr>
        <w:pStyle w:val="Heading3"/>
      </w:pPr>
      <w:bookmarkStart w:id="21" w:name="_Toc237349883"/>
      <w:r w:rsidRPr="00D075BE">
        <w:t>3.5 Conclusion, Strategic Synthesis and Final Recommendation</w:t>
      </w:r>
      <w:bookmarkEnd w:id="21"/>
    </w:p>
    <w:p w14:paraId="5C850DFF" w14:textId="77777777" w:rsidR="00DF132F" w:rsidRPr="00D075BE" w:rsidRDefault="00734483" w:rsidP="00D075BE">
      <w:pPr>
        <w:rPr>
          <w:rFonts w:ascii="Arial" w:eastAsia="Arial" w:hAnsi="Arial" w:cs="Arial"/>
        </w:rPr>
      </w:pPr>
      <w:r w:rsidRPr="00D075BE">
        <w:rPr>
          <w:rFonts w:ascii="Arial" w:eastAsia="Arial" w:hAnsi="Arial" w:cs="Arial"/>
        </w:rPr>
        <w:t>The above discussions have revealed that Bangladesh is considered to be a potential market for Shell but with some risks. The country is characterised by its large economy, high industrial demand, reliance on natural gas and LNG, and high long-term renewable energy demands. Political transition, inflation, foreign-exchange exposure and regulatory complexity and institutional barriers, however, make an immediate wholly owned investment unsuitable. The greatest competitive strength for Shell is that it can combine the three disciplines of LNG, trading and technology, as well as lubricants and lower-carbon products. The best place for Bangladesh is in the middle of the increasing energy demand and the lack of infrastructure and investment in clean energy.</w:t>
      </w:r>
    </w:p>
    <w:p w14:paraId="7776E32C" w14:textId="77777777" w:rsidR="00DF132F" w:rsidRPr="00D075BE" w:rsidRDefault="00734483" w:rsidP="00D075BE">
      <w:pPr>
        <w:jc w:val="center"/>
        <w:rPr>
          <w:rFonts w:ascii="Arial" w:eastAsia="Arial" w:hAnsi="Arial" w:cs="Arial"/>
        </w:rPr>
      </w:pPr>
      <w:r w:rsidRPr="00D075BE">
        <w:rPr>
          <w:rFonts w:ascii="Arial" w:eastAsia="Arial" w:hAnsi="Arial" w:cs="Arial"/>
          <w:noProof/>
        </w:rPr>
        <w:lastRenderedPageBreak/>
        <w:drawing>
          <wp:inline distT="114300" distB="114300" distL="114300" distR="114300" wp14:anchorId="624045D4" wp14:editId="321B92B5">
            <wp:extent cx="6000750" cy="2825750"/>
            <wp:effectExtent l="19050" t="19050" r="19050" b="12700"/>
            <wp:docPr id="164944694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b="8638"/>
                    <a:stretch>
                      <a:fillRect/>
                    </a:stretch>
                  </pic:blipFill>
                  <pic:spPr>
                    <a:xfrm>
                      <a:off x="0" y="0"/>
                      <a:ext cx="6000750" cy="2825750"/>
                    </a:xfrm>
                    <a:prstGeom prst="rect">
                      <a:avLst/>
                    </a:prstGeom>
                    <a:ln w="12700">
                      <a:solidFill>
                        <a:srgbClr val="000000"/>
                      </a:solidFill>
                      <a:prstDash val="solid"/>
                    </a:ln>
                  </pic:spPr>
                </pic:pic>
              </a:graphicData>
            </a:graphic>
          </wp:inline>
        </w:drawing>
      </w:r>
    </w:p>
    <w:p w14:paraId="26F612A3" w14:textId="77777777" w:rsidR="00DF132F" w:rsidRPr="00D075BE" w:rsidRDefault="00734483" w:rsidP="00D075BE">
      <w:pPr>
        <w:jc w:val="center"/>
        <w:rPr>
          <w:rFonts w:ascii="Arial" w:eastAsia="Arial" w:hAnsi="Arial" w:cs="Arial"/>
          <w:b/>
          <w:bCs/>
        </w:rPr>
      </w:pPr>
      <w:r w:rsidRPr="00D075BE">
        <w:rPr>
          <w:rFonts w:ascii="Arial" w:eastAsia="Arial" w:hAnsi="Arial" w:cs="Arial"/>
          <w:b/>
          <w:bCs/>
        </w:rPr>
        <w:t>Figure 6: Shell's Phased Market Entry Strategy for Bangladesh</w:t>
      </w:r>
    </w:p>
    <w:p w14:paraId="4935B03C" w14:textId="77777777" w:rsidR="00DF132F" w:rsidRPr="00D075BE" w:rsidRDefault="00734483" w:rsidP="00D075BE">
      <w:pPr>
        <w:jc w:val="center"/>
        <w:rPr>
          <w:rFonts w:ascii="Arial" w:eastAsia="Arial" w:hAnsi="Arial" w:cs="Arial"/>
        </w:rPr>
      </w:pPr>
      <w:r w:rsidRPr="00D075BE">
        <w:rPr>
          <w:rFonts w:ascii="Arial" w:eastAsia="Arial" w:hAnsi="Arial" w:cs="Arial"/>
        </w:rPr>
        <w:t>(Source: Self-Developed)</w:t>
      </w:r>
    </w:p>
    <w:p w14:paraId="2BB6D067" w14:textId="77777777" w:rsidR="00DF132F" w:rsidRPr="00D075BE" w:rsidRDefault="00734483" w:rsidP="00D075BE">
      <w:pPr>
        <w:rPr>
          <w:rFonts w:ascii="Arial" w:eastAsia="Arial" w:hAnsi="Arial" w:cs="Arial"/>
        </w:rPr>
      </w:pPr>
      <w:r w:rsidRPr="00D075BE">
        <w:rPr>
          <w:rFonts w:ascii="Arial" w:eastAsia="Arial" w:hAnsi="Arial" w:cs="Arial"/>
        </w:rPr>
        <w:t>This strategy provides greater flexibility than exporting, stronger local responsiveness than licensing and lower risk than a wholly owned subsidiary. It also brings the ownership advantage of Shell to Bangladesh, equally, by selectively absorbing key competencies. Shell should increase its stake in Bangladesh in a staged format, as outlined in a proactive strategic FDI, and not do it with jumbo lump-sum investments immediately. This is the soundest strategy available and has the best chance of balancing commercial promise and control, political presentation, capital risks and strategic options.</w:t>
      </w:r>
    </w:p>
    <w:p w14:paraId="4F0E6401" w14:textId="77777777" w:rsidR="00D075BE" w:rsidRPr="00D075BE" w:rsidRDefault="00D075BE" w:rsidP="00D075BE">
      <w:pPr>
        <w:rPr>
          <w:rFonts w:ascii="Arial" w:eastAsia="Arial" w:hAnsi="Arial" w:cs="Arial"/>
          <w:b/>
          <w:bCs/>
        </w:rPr>
      </w:pPr>
      <w:r w:rsidRPr="00D075BE">
        <w:rPr>
          <w:rFonts w:ascii="Arial" w:eastAsia="Arial" w:hAnsi="Arial" w:cs="Arial"/>
        </w:rPr>
        <w:br w:type="page"/>
      </w:r>
    </w:p>
    <w:p w14:paraId="1F65DAC2" w14:textId="64208800" w:rsidR="00DF132F" w:rsidRPr="00D075BE" w:rsidRDefault="00734483" w:rsidP="00D075BE">
      <w:pPr>
        <w:pStyle w:val="Heading1"/>
        <w:rPr>
          <w:rFonts w:ascii="Arial" w:eastAsia="Arial" w:hAnsi="Arial" w:cs="Arial"/>
        </w:rPr>
      </w:pPr>
      <w:bookmarkStart w:id="22" w:name="_Toc237349884"/>
      <w:r w:rsidRPr="00D075BE">
        <w:rPr>
          <w:rFonts w:ascii="Arial" w:eastAsia="Arial" w:hAnsi="Arial" w:cs="Arial"/>
        </w:rPr>
        <w:lastRenderedPageBreak/>
        <w:t>Section 2: Reflective Account</w:t>
      </w:r>
      <w:bookmarkEnd w:id="22"/>
    </w:p>
    <w:p w14:paraId="21860810" w14:textId="77777777" w:rsidR="00DF132F" w:rsidRPr="00D075BE" w:rsidRDefault="00734483" w:rsidP="00D075BE">
      <w:pPr>
        <w:jc w:val="center"/>
        <w:rPr>
          <w:rFonts w:ascii="Arial" w:eastAsia="Arial" w:hAnsi="Arial" w:cs="Arial"/>
        </w:rPr>
      </w:pPr>
      <w:r w:rsidRPr="00D075BE">
        <w:rPr>
          <w:rFonts w:ascii="Arial" w:eastAsia="Arial" w:hAnsi="Arial" w:cs="Arial"/>
          <w:noProof/>
        </w:rPr>
        <w:drawing>
          <wp:inline distT="114300" distB="114300" distL="114300" distR="114300" wp14:anchorId="2E381F78" wp14:editId="3A1C1B95">
            <wp:extent cx="4878333" cy="3654698"/>
            <wp:effectExtent l="0" t="0" r="0" b="0"/>
            <wp:docPr id="16494469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878333" cy="3654698"/>
                    </a:xfrm>
                    <a:prstGeom prst="rect">
                      <a:avLst/>
                    </a:prstGeom>
                    <a:ln/>
                  </pic:spPr>
                </pic:pic>
              </a:graphicData>
            </a:graphic>
          </wp:inline>
        </w:drawing>
      </w:r>
    </w:p>
    <w:p w14:paraId="2DF02182" w14:textId="2E7797D4" w:rsidR="00DF132F" w:rsidRPr="00D075BE" w:rsidRDefault="00734483" w:rsidP="00D075BE">
      <w:pPr>
        <w:jc w:val="center"/>
        <w:rPr>
          <w:rFonts w:ascii="Arial" w:eastAsia="Arial" w:hAnsi="Arial" w:cs="Arial"/>
          <w:b/>
          <w:bCs/>
        </w:rPr>
      </w:pPr>
      <w:r w:rsidRPr="00D075BE">
        <w:rPr>
          <w:rFonts w:ascii="Arial" w:eastAsia="Arial" w:hAnsi="Arial" w:cs="Arial"/>
          <w:b/>
          <w:bCs/>
        </w:rPr>
        <w:t xml:space="preserve">Figure </w:t>
      </w:r>
      <w:r w:rsidR="00D075BE" w:rsidRPr="00D075BE">
        <w:rPr>
          <w:rFonts w:ascii="Arial" w:eastAsia="Arial" w:hAnsi="Arial" w:cs="Arial"/>
          <w:b/>
          <w:bCs/>
        </w:rPr>
        <w:t>7</w:t>
      </w:r>
      <w:r w:rsidRPr="00D075BE">
        <w:rPr>
          <w:rFonts w:ascii="Arial" w:eastAsia="Arial" w:hAnsi="Arial" w:cs="Arial"/>
          <w:b/>
          <w:bCs/>
        </w:rPr>
        <w:t>: Gibbs Reflective Cycle</w:t>
      </w:r>
    </w:p>
    <w:p w14:paraId="70424DF1" w14:textId="77777777" w:rsidR="00DF132F" w:rsidRPr="00D075BE" w:rsidRDefault="00734483" w:rsidP="00D075BE">
      <w:pPr>
        <w:jc w:val="center"/>
        <w:rPr>
          <w:rFonts w:ascii="Arial" w:eastAsia="Arial" w:hAnsi="Arial" w:cs="Arial"/>
        </w:rPr>
      </w:pPr>
      <w:r w:rsidRPr="00D075BE">
        <w:rPr>
          <w:rFonts w:ascii="Arial" w:eastAsia="Arial" w:hAnsi="Arial" w:cs="Arial"/>
        </w:rPr>
        <w:t>(Source: SP, 2025)</w:t>
      </w:r>
    </w:p>
    <w:p w14:paraId="3AB50EF6" w14:textId="77777777" w:rsidR="00DF132F" w:rsidRPr="00D075BE" w:rsidRDefault="00734483" w:rsidP="00D075BE">
      <w:pPr>
        <w:pStyle w:val="Heading2"/>
        <w:rPr>
          <w:rFonts w:cs="Arial"/>
        </w:rPr>
      </w:pPr>
      <w:bookmarkStart w:id="23" w:name="_Toc237349885"/>
      <w:r w:rsidRPr="00D075BE">
        <w:rPr>
          <w:rFonts w:eastAsia="Arial" w:cs="Arial"/>
        </w:rPr>
        <w:t>Description</w:t>
      </w:r>
      <w:bookmarkEnd w:id="23"/>
    </w:p>
    <w:p w14:paraId="4F0BC94F" w14:textId="77777777" w:rsidR="00DF132F" w:rsidRPr="00D075BE" w:rsidRDefault="00734483" w:rsidP="00D075BE">
      <w:pPr>
        <w:rPr>
          <w:rFonts w:ascii="Arial" w:eastAsia="Arial" w:hAnsi="Arial" w:cs="Arial"/>
        </w:rPr>
      </w:pPr>
      <w:r w:rsidRPr="00D075BE">
        <w:rPr>
          <w:rFonts w:ascii="Arial" w:eastAsia="Arial" w:hAnsi="Arial" w:cs="Arial"/>
        </w:rPr>
        <w:t>This assessment was used as a vehicle to examine and use international-business theories to Shell's attempt at expansion into Bangladesh. The analysis started with an examination of Shell's global strategy and then moved on to examining the political, economic, legal, cultural and industry parameters of Bangladesh. OLI paradigm and alternative modes of entry were then adopted to find the most appropriate way. The analysis finally concluded that a phased strategic joint venture framework would be suitable, with the first focus being the LNG and industrial energy projects, followed by renewable and lower carbon alternatives. The reason for selecting Gibbs' Reflective Cycle is that it includes a sequential method that contains description, feelings, evaluation, analysis, conclusion and action planning. Reflection can reinforce transferable skills in the context of academic learning, with relevance to future professional activities (Mello and Wattret, 2021).</w:t>
      </w:r>
    </w:p>
    <w:p w14:paraId="1236C2A7" w14:textId="77777777" w:rsidR="00DF132F" w:rsidRPr="00D075BE" w:rsidRDefault="00734483" w:rsidP="00D075BE">
      <w:pPr>
        <w:pStyle w:val="Heading2"/>
        <w:rPr>
          <w:rFonts w:cs="Arial"/>
        </w:rPr>
      </w:pPr>
      <w:bookmarkStart w:id="24" w:name="_Toc237349886"/>
      <w:r w:rsidRPr="00D075BE">
        <w:rPr>
          <w:rFonts w:eastAsia="Arial" w:cs="Arial"/>
        </w:rPr>
        <w:t>Feelings</w:t>
      </w:r>
      <w:bookmarkEnd w:id="24"/>
    </w:p>
    <w:p w14:paraId="59D64A2C" w14:textId="77777777" w:rsidR="00DF132F" w:rsidRPr="00D075BE" w:rsidRDefault="00734483" w:rsidP="00D075BE">
      <w:pPr>
        <w:rPr>
          <w:rFonts w:ascii="Arial" w:eastAsia="Arial" w:hAnsi="Arial" w:cs="Arial"/>
        </w:rPr>
      </w:pPr>
      <w:r w:rsidRPr="00D075BE">
        <w:rPr>
          <w:rFonts w:ascii="Arial" w:eastAsia="Arial" w:hAnsi="Arial" w:cs="Arial"/>
        </w:rPr>
        <w:t xml:space="preserve">I felt confident analysing Shell as an oil company due to the size of the company and its international presence. The capitalisation, however, had finally come to a point </w:t>
      </w:r>
      <w:r w:rsidRPr="00D075BE">
        <w:rPr>
          <w:rFonts w:ascii="Arial" w:eastAsia="Arial" w:hAnsi="Arial" w:cs="Arial"/>
        </w:rPr>
        <w:lastRenderedPageBreak/>
        <w:t>where I had to find out whether Bangladesh was an attractive place to enter the market, and what type of entry mode would ensure optimum opportunities versus risks. I also acknowledged that this method of using primarily size and brand of the shell can make the analysis descriptive instead of critical. The longer the research went on, the more I realized the intricacies of decisions about entering an international market. Presentations brought out varying view points on the economic development of Bangladesh as well as dependency on energy and Bangladesh's renewable energy potential. This led to some uncertainty and helped me to think more critically about evidence. Emotions are an important aspect of reflective learning as they are likely to affect subsequent response to experiences (Galli and New, 2022).</w:t>
      </w:r>
    </w:p>
    <w:p w14:paraId="0CE85B18" w14:textId="77777777" w:rsidR="00DF132F" w:rsidRPr="00D075BE" w:rsidRDefault="00734483" w:rsidP="00D075BE">
      <w:pPr>
        <w:pStyle w:val="Heading2"/>
        <w:rPr>
          <w:rFonts w:cs="Arial"/>
        </w:rPr>
      </w:pPr>
      <w:bookmarkStart w:id="25" w:name="_Toc237349887"/>
      <w:r w:rsidRPr="00D075BE">
        <w:rPr>
          <w:rFonts w:eastAsia="Arial" w:cs="Arial"/>
        </w:rPr>
        <w:t>Evaluation</w:t>
      </w:r>
      <w:bookmarkEnd w:id="25"/>
    </w:p>
    <w:p w14:paraId="48FB6AC8" w14:textId="77777777" w:rsidR="00DF132F" w:rsidRPr="00D075BE" w:rsidRDefault="00734483" w:rsidP="00D075BE">
      <w:pPr>
        <w:rPr>
          <w:rFonts w:ascii="Arial" w:eastAsia="Arial" w:hAnsi="Arial" w:cs="Arial"/>
        </w:rPr>
      </w:pPr>
      <w:r w:rsidRPr="00D075BE">
        <w:rPr>
          <w:rFonts w:ascii="Arial" w:eastAsia="Arial" w:hAnsi="Arial" w:cs="Arial"/>
        </w:rPr>
        <w:t>The large use of contemporary evidence with the integration of the theoretical framework was one of the strengths of the assessment. The international strategy of Shell was evaluated with the help of Bartlett and Ghoshal, whilst PELC analysis, Porter's Five Forces and OLI gave different issues on the attractiveness of Bangladesh. I also became more adept at aligning Shell's capabilities with host-country opportunities as a part of this process. One of the other good aspects was the use of academic and industry sources. Researching Bangladesh proved there was more to market attractiveness than GDP and its people (Pieper et al., 2021). Renewable potential and institutional conditions, political stability, and infrastructure are also factors when it comes to investment decisions. At first, though, I was concentrating on the gathering of pertinent information, not the analysis. Finally, I struggled to establish what the relevant statistics were. It helps me to realize that reflection should be done in a systematic way, not just through recall of activities. Structured feedback is valuable for reinforcing reflective skills and enhancing learning.</w:t>
      </w:r>
    </w:p>
    <w:p w14:paraId="703C43EF" w14:textId="77777777" w:rsidR="00DF132F" w:rsidRPr="00D075BE" w:rsidRDefault="00734483" w:rsidP="00D075BE">
      <w:pPr>
        <w:pStyle w:val="Heading2"/>
        <w:rPr>
          <w:rFonts w:cs="Arial"/>
        </w:rPr>
      </w:pPr>
      <w:bookmarkStart w:id="26" w:name="_Toc237349888"/>
      <w:r w:rsidRPr="00D075BE">
        <w:rPr>
          <w:rFonts w:eastAsia="Arial" w:cs="Arial"/>
        </w:rPr>
        <w:t>Analysis</w:t>
      </w:r>
      <w:bookmarkEnd w:id="26"/>
    </w:p>
    <w:p w14:paraId="53071A64" w14:textId="77777777" w:rsidR="00DF132F" w:rsidRPr="00D075BE" w:rsidRDefault="00734483" w:rsidP="00D075BE">
      <w:pPr>
        <w:rPr>
          <w:rFonts w:ascii="Arial" w:eastAsia="Arial" w:hAnsi="Arial" w:cs="Arial"/>
        </w:rPr>
      </w:pPr>
      <w:r w:rsidRPr="00D075BE">
        <w:rPr>
          <w:rFonts w:ascii="Arial" w:eastAsia="Arial" w:hAnsi="Arial" w:cs="Arial"/>
        </w:rPr>
        <w:t xml:space="preserve">The major structure of learning was to understand the difference between description and critical analysis. Bangladesh's skyrocketing energy requirement was first thought to be an opportunity for Shell. However, further research showed that high demand is no guarantee of a great investment climate – inflation, currency risk and regulatory uncertainty and institutional strength have an impact on expectations. As inspired by the views of Ahmadpour et al., (2025), use of the OLI framework had a huge impact on me. Shell has ownership advantages regarding knowledge, technology and financial capacity, LNG experience, and has a network of global trading. The country </w:t>
      </w:r>
      <w:r w:rsidRPr="00D075BE">
        <w:rPr>
          <w:rFonts w:ascii="Arial" w:eastAsia="Arial" w:hAnsi="Arial" w:cs="Arial"/>
        </w:rPr>
        <w:lastRenderedPageBreak/>
        <w:t xml:space="preserve">also has location benefits in the aspect of industrial development and energy requirements in Bangladesh. But Mandatory internalisation runs the risk of having unnecessary political and operational risks for Shell. The analysis, therefore, did not make the case for full scale FDI but rather suggested that the best approach was a partnership entry. </w:t>
      </w:r>
    </w:p>
    <w:p w14:paraId="528C3DD4" w14:textId="67849AE3" w:rsidR="00DF132F" w:rsidRPr="00D075BE" w:rsidRDefault="00734483" w:rsidP="00D075BE">
      <w:pPr>
        <w:rPr>
          <w:rFonts w:ascii="Arial" w:eastAsia="Arial" w:hAnsi="Arial" w:cs="Arial"/>
        </w:rPr>
      </w:pPr>
      <w:r w:rsidRPr="00D075BE">
        <w:rPr>
          <w:rFonts w:ascii="Arial" w:eastAsia="Arial" w:hAnsi="Arial" w:cs="Arial"/>
        </w:rPr>
        <w:t xml:space="preserve">The first part of this assessment was crucial for my knowledge on stakeholder management. I understood that what is needed for international expansion is not just the adoption of well-known non-multinational practices, but adaptation to local expectations. It helped me to look at my decisions in a structured way, and understand areas that I could improve on with Gibbs' model. In addition, my awareness of the application of academic theory in making real-world decisions has increased. To build up transferable competencies related to the workplace, reflective learning positions academic knowledge and theory in relation to situations in practice (Mello and Wattret, 2021). Since uncertainty is a complex issue, it was beneficial for me to use more than one framework to deal with uncertainty, discuss strategic options and make an </w:t>
      </w:r>
      <w:r w:rsidR="00D075BE" w:rsidRPr="00D075BE">
        <w:rPr>
          <w:rFonts w:ascii="Arial" w:eastAsia="Arial" w:hAnsi="Arial" w:cs="Arial"/>
        </w:rPr>
        <w:t>evidence-based</w:t>
      </w:r>
      <w:r w:rsidRPr="00D075BE">
        <w:rPr>
          <w:rFonts w:ascii="Arial" w:eastAsia="Arial" w:hAnsi="Arial" w:cs="Arial"/>
        </w:rPr>
        <w:t xml:space="preserve"> recommendation. It also provided me with an appreciation of communication and interpersonal issues that are inevitably relevant in reviewing complex stakeholders' environments.</w:t>
      </w:r>
    </w:p>
    <w:p w14:paraId="692CBD23" w14:textId="77777777" w:rsidR="00DF132F" w:rsidRPr="00D075BE" w:rsidRDefault="00734483" w:rsidP="00D075BE">
      <w:pPr>
        <w:pStyle w:val="Heading2"/>
        <w:rPr>
          <w:rFonts w:cs="Arial"/>
        </w:rPr>
      </w:pPr>
      <w:bookmarkStart w:id="27" w:name="_Toc237349889"/>
      <w:r w:rsidRPr="00D075BE">
        <w:rPr>
          <w:rFonts w:eastAsia="Arial" w:cs="Arial"/>
        </w:rPr>
        <w:t>Conclusion</w:t>
      </w:r>
      <w:bookmarkEnd w:id="27"/>
    </w:p>
    <w:p w14:paraId="7460E0B9" w14:textId="77777777" w:rsidR="00DF132F" w:rsidRPr="00D075BE" w:rsidRDefault="00734483" w:rsidP="00D075BE">
      <w:pPr>
        <w:rPr>
          <w:rFonts w:ascii="Arial" w:eastAsia="Arial" w:hAnsi="Arial" w:cs="Arial"/>
        </w:rPr>
      </w:pPr>
      <w:r w:rsidRPr="00D075BE">
        <w:rPr>
          <w:rFonts w:ascii="Arial" w:eastAsia="Arial" w:hAnsi="Arial" w:cs="Arial"/>
        </w:rPr>
        <w:t>Overall, this assessment helped me to develop my knowledge of the factors involved in market entry strategy and increased my capability to consider a multinational entry from a number of perspectives. I learned that internationalisation needs to fit together between the organisation's ability and the conditions in the country where it is going to operate. Political, economic, and regulatory uncertainties make a phased partnership more suitable than a wholly owned investment by Shell for the company in Bangladesh. Additionally, my first strategy was too much information gathering, as seen in the reflection. Exemplary autonomy comes when I started to ask myself the questions that lie behind evidence and began to make comparisons between various interpretations. The Gibbs cycle can provide a structured way to analyse the experiences and future learning and career growth (Ocampo et al., 2025).</w:t>
      </w:r>
    </w:p>
    <w:p w14:paraId="439A0075" w14:textId="77777777" w:rsidR="00DF132F" w:rsidRPr="00D075BE" w:rsidRDefault="00734483" w:rsidP="00D075BE">
      <w:pPr>
        <w:pStyle w:val="Heading2"/>
        <w:rPr>
          <w:rFonts w:cs="Arial"/>
        </w:rPr>
      </w:pPr>
      <w:bookmarkStart w:id="28" w:name="_Toc237349890"/>
      <w:r w:rsidRPr="00D075BE">
        <w:rPr>
          <w:rFonts w:eastAsia="Arial" w:cs="Arial"/>
        </w:rPr>
        <w:t>Action Plan</w:t>
      </w:r>
      <w:bookmarkEnd w:id="28"/>
    </w:p>
    <w:p w14:paraId="06106E09" w14:textId="77777777" w:rsidR="00DF132F" w:rsidRDefault="00734483" w:rsidP="00D075BE">
      <w:pPr>
        <w:rPr>
          <w:rFonts w:ascii="Arial" w:eastAsia="Arial" w:hAnsi="Arial" w:cs="Arial"/>
        </w:rPr>
      </w:pPr>
      <w:r w:rsidRPr="00D075BE">
        <w:rPr>
          <w:rFonts w:ascii="Arial" w:eastAsia="Arial" w:hAnsi="Arial" w:cs="Arial"/>
        </w:rPr>
        <w:t xml:space="preserve">In future International -Business assessments, I will formulate strategic focus questions and criteria of evaluations first and then gather evidence. I will use more recent, academic, government and industry sources and clearly differentiate between </w:t>
      </w:r>
      <w:r w:rsidRPr="00D075BE">
        <w:rPr>
          <w:rFonts w:ascii="Arial" w:eastAsia="Arial" w:hAnsi="Arial" w:cs="Arial"/>
        </w:rPr>
        <w:lastRenderedPageBreak/>
        <w:t>evidence and interpretation. I will also make effective use of numerical data selectively for supporting strategic arguments not just for the abundance of statistics. I will enhance my ability to analyse conflicting information and assess alternative approaches in the process of formulating a recommendation. During research and writing, I will seek feedback, as structured feedback helps to reinforce reflective learning (Pieper et al., 2021). Finally, I will be using reflective models to reflect my abilities into my research, communication decision-making ability and the future strategic and managerial contexts.</w:t>
      </w:r>
      <w:r>
        <w:br w:type="page"/>
      </w:r>
    </w:p>
    <w:p w14:paraId="3F5A0777" w14:textId="77777777" w:rsidR="00DF132F" w:rsidRDefault="00734483">
      <w:pPr>
        <w:pStyle w:val="Heading1"/>
        <w:rPr>
          <w:rFonts w:ascii="Arial" w:eastAsia="Arial" w:hAnsi="Arial" w:cs="Arial"/>
        </w:rPr>
      </w:pPr>
      <w:bookmarkStart w:id="29" w:name="_Toc237349891"/>
      <w:r>
        <w:rPr>
          <w:rFonts w:ascii="Arial" w:eastAsia="Arial" w:hAnsi="Arial" w:cs="Arial"/>
        </w:rPr>
        <w:lastRenderedPageBreak/>
        <w:t>References</w:t>
      </w:r>
      <w:bookmarkEnd w:id="29"/>
    </w:p>
    <w:p w14:paraId="1CAD13B6"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Abdullah-Al-Mahbub, M. and Islam, A.R.M.T., (2023). Current status of running renewable energy in Bangladesh and future prospect: A global comparison. </w:t>
      </w:r>
      <w:r w:rsidRPr="00D075BE">
        <w:rPr>
          <w:rFonts w:ascii="Arial" w:eastAsia="Arial" w:hAnsi="Arial" w:cs="Arial"/>
          <w:i/>
          <w:iCs/>
          <w:color w:val="222222"/>
          <w:highlight w:val="white"/>
        </w:rPr>
        <w:t>Heliyon</w:t>
      </w:r>
      <w:r w:rsidRPr="00D075BE">
        <w:rPr>
          <w:rFonts w:ascii="Arial" w:eastAsia="Arial" w:hAnsi="Arial" w:cs="Arial"/>
          <w:color w:val="222222"/>
          <w:highlight w:val="white"/>
        </w:rPr>
        <w:t>, </w:t>
      </w:r>
      <w:r w:rsidRPr="00D075BE">
        <w:rPr>
          <w:rFonts w:ascii="Arial" w:eastAsia="Arial" w:hAnsi="Arial" w:cs="Arial"/>
          <w:i/>
          <w:iCs/>
          <w:color w:val="222222"/>
          <w:highlight w:val="white"/>
        </w:rPr>
        <w:t>9</w:t>
      </w:r>
      <w:r w:rsidRPr="00D075BE">
        <w:rPr>
          <w:rFonts w:ascii="Arial" w:eastAsia="Arial" w:hAnsi="Arial" w:cs="Arial"/>
          <w:color w:val="222222"/>
          <w:highlight w:val="white"/>
        </w:rPr>
        <w:t xml:space="preserve">(3). </w:t>
      </w:r>
      <w:hyperlink r:id="rId16">
        <w:r w:rsidRPr="00D075BE">
          <w:rPr>
            <w:rFonts w:ascii="Arial" w:eastAsia="Arial" w:hAnsi="Arial" w:cs="Arial"/>
            <w:color w:val="0000FF"/>
            <w:highlight w:val="white"/>
          </w:rPr>
          <w:t>https://www.cell.com/heliyon/fulltext/S2405-8440(23)01515-3</w:t>
        </w:r>
      </w:hyperlink>
    </w:p>
    <w:p w14:paraId="36D9DD72" w14:textId="77777777" w:rsidR="00D075BE" w:rsidRPr="00D075BE" w:rsidRDefault="00D075BE" w:rsidP="00D075BE">
      <w:pPr>
        <w:spacing w:after="240"/>
        <w:rPr>
          <w:rFonts w:ascii="Arial" w:eastAsia="Arial" w:hAnsi="Arial" w:cs="Arial"/>
          <w:color w:val="222222"/>
          <w:highlight w:val="white"/>
        </w:rPr>
      </w:pPr>
      <w:r w:rsidRPr="00D075BE">
        <w:rPr>
          <w:rFonts w:ascii="Arial" w:eastAsia="Arial" w:hAnsi="Arial" w:cs="Arial"/>
          <w:color w:val="222222"/>
          <w:highlight w:val="white"/>
        </w:rPr>
        <w:t>Ahmadpour, N., Shariati, A. and Moghadam, M.P., (2025). Effect of narrative writing based on Gibbs’ reflective model on the empathy and communication skills of nursing students. </w:t>
      </w:r>
      <w:r w:rsidRPr="00D075BE">
        <w:rPr>
          <w:rFonts w:ascii="Arial" w:eastAsia="Arial" w:hAnsi="Arial" w:cs="Arial"/>
          <w:i/>
          <w:iCs/>
          <w:color w:val="222222"/>
          <w:highlight w:val="white"/>
        </w:rPr>
        <w:t>BMC medical education</w:t>
      </w:r>
      <w:r w:rsidRPr="00D075BE">
        <w:rPr>
          <w:rFonts w:ascii="Arial" w:eastAsia="Arial" w:hAnsi="Arial" w:cs="Arial"/>
          <w:color w:val="222222"/>
          <w:highlight w:val="white"/>
        </w:rPr>
        <w:t>, </w:t>
      </w:r>
      <w:r w:rsidRPr="00D075BE">
        <w:rPr>
          <w:rFonts w:ascii="Arial" w:eastAsia="Arial" w:hAnsi="Arial" w:cs="Arial"/>
          <w:i/>
          <w:iCs/>
          <w:color w:val="222222"/>
          <w:highlight w:val="white"/>
        </w:rPr>
        <w:t>25</w:t>
      </w:r>
      <w:r w:rsidRPr="00D075BE">
        <w:rPr>
          <w:rFonts w:ascii="Arial" w:eastAsia="Arial" w:hAnsi="Arial" w:cs="Arial"/>
          <w:color w:val="222222"/>
          <w:highlight w:val="white"/>
        </w:rPr>
        <w:t xml:space="preserve">(1), p.10. </w:t>
      </w:r>
      <w:hyperlink r:id="rId17">
        <w:r w:rsidRPr="00D075BE">
          <w:rPr>
            <w:rFonts w:ascii="Arial" w:eastAsia="Arial" w:hAnsi="Arial" w:cs="Arial"/>
            <w:color w:val="0000FF"/>
            <w:highlight w:val="white"/>
          </w:rPr>
          <w:t>https://link.springer.com/article/10.1186/s12909-024-06593-7</w:t>
        </w:r>
      </w:hyperlink>
    </w:p>
    <w:p w14:paraId="5F113E52"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Akash, F.A., Shovon, S.M., Rahman, W., Rahman, M.A., Chakraborty, P. and Monir, M.U., (2024). Greening the grid: A comprehensive review of renewable energy in Bangladesh. </w:t>
      </w:r>
      <w:r w:rsidRPr="00D075BE">
        <w:rPr>
          <w:rFonts w:ascii="Arial" w:eastAsia="Arial" w:hAnsi="Arial" w:cs="Arial"/>
          <w:i/>
          <w:iCs/>
          <w:color w:val="222222"/>
          <w:highlight w:val="white"/>
        </w:rPr>
        <w:t>Heliyon</w:t>
      </w:r>
      <w:r w:rsidRPr="00D075BE">
        <w:rPr>
          <w:rFonts w:ascii="Arial" w:eastAsia="Arial" w:hAnsi="Arial" w:cs="Arial"/>
          <w:color w:val="222222"/>
          <w:highlight w:val="white"/>
        </w:rPr>
        <w:t>, </w:t>
      </w:r>
      <w:r w:rsidRPr="00D075BE">
        <w:rPr>
          <w:rFonts w:ascii="Arial" w:eastAsia="Arial" w:hAnsi="Arial" w:cs="Arial"/>
          <w:i/>
          <w:iCs/>
          <w:color w:val="222222"/>
          <w:highlight w:val="white"/>
        </w:rPr>
        <w:t>10</w:t>
      </w:r>
      <w:r w:rsidRPr="00D075BE">
        <w:rPr>
          <w:rFonts w:ascii="Arial" w:eastAsia="Arial" w:hAnsi="Arial" w:cs="Arial"/>
          <w:color w:val="222222"/>
          <w:highlight w:val="white"/>
        </w:rPr>
        <w:t xml:space="preserve">(5). </w:t>
      </w:r>
      <w:hyperlink r:id="rId18">
        <w:r w:rsidRPr="00D075BE">
          <w:rPr>
            <w:rFonts w:ascii="Arial" w:eastAsia="Arial" w:hAnsi="Arial" w:cs="Arial"/>
            <w:color w:val="0000FF"/>
            <w:highlight w:val="white"/>
          </w:rPr>
          <w:t>https://www.cell.com/heliyon/fulltext/S2405-8440(24)03508-4</w:t>
        </w:r>
      </w:hyperlink>
    </w:p>
    <w:p w14:paraId="3390BCD0"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rPr>
        <w:t xml:space="preserve">Amin, S., Ahmed, M., Amreen, A., Hashin, S., Khandaker, M. and Khan, F., (2023). The Geopolitics of Energy Security in Bangladesh: A Critical Review. </w:t>
      </w:r>
      <w:r w:rsidRPr="00D075BE">
        <w:rPr>
          <w:rFonts w:ascii="Arial" w:eastAsia="Arial" w:hAnsi="Arial" w:cs="Arial"/>
          <w:i/>
          <w:iCs/>
          <w:color w:val="222222"/>
        </w:rPr>
        <w:t>North South Journal of Peace and Global Studies</w:t>
      </w:r>
      <w:r w:rsidRPr="00D075BE">
        <w:rPr>
          <w:rFonts w:ascii="Arial" w:eastAsia="Arial" w:hAnsi="Arial" w:cs="Arial"/>
          <w:color w:val="222222"/>
        </w:rPr>
        <w:t xml:space="preserve">, </w:t>
      </w:r>
      <w:r w:rsidRPr="00D075BE">
        <w:rPr>
          <w:rFonts w:ascii="Arial" w:eastAsia="Arial" w:hAnsi="Arial" w:cs="Arial"/>
          <w:i/>
          <w:iCs/>
          <w:color w:val="222222"/>
        </w:rPr>
        <w:t>1</w:t>
      </w:r>
      <w:r w:rsidRPr="00D075BE">
        <w:rPr>
          <w:rFonts w:ascii="Arial" w:eastAsia="Arial" w:hAnsi="Arial" w:cs="Arial"/>
          <w:color w:val="222222"/>
        </w:rPr>
        <w:t>(2).</w:t>
      </w:r>
      <w:r w:rsidRPr="00D075BE">
        <w:rPr>
          <w:rFonts w:ascii="Arial" w:eastAsia="Arial" w:hAnsi="Arial" w:cs="Arial"/>
        </w:rPr>
        <w:t xml:space="preserve"> </w:t>
      </w:r>
      <w:hyperlink r:id="rId19">
        <w:r w:rsidRPr="00D075BE">
          <w:rPr>
            <w:rFonts w:ascii="Arial" w:eastAsia="Arial" w:hAnsi="Arial" w:cs="Arial"/>
            <w:color w:val="1155CC"/>
            <w:u w:val="single"/>
          </w:rPr>
          <w:t>https://www.researchgate.net/profile/Mahatab-Khandaker/publication/378863543_The_Geopolitics_of_Energy_Security_in_Bangladesh_A_Critical_Review/links/65f80aa4c05fd268801fc51c/The-Geopolitics-of-Energy-Security-in-Bangladesh-A-Critical-Review.pdf</w:t>
        </w:r>
      </w:hyperlink>
      <w:r w:rsidRPr="00D075BE">
        <w:rPr>
          <w:rFonts w:ascii="Arial" w:eastAsia="Arial" w:hAnsi="Arial" w:cs="Arial"/>
        </w:rPr>
        <w:t xml:space="preserve"> </w:t>
      </w:r>
    </w:p>
    <w:p w14:paraId="52A8360D"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Amuda, Y.J., Hassan, S. and Subramaniam, U., (2023). Comparative review of energy, crude oil, and natural gas for exchange markets in Nigeria, India and Bangladesh. </w:t>
      </w:r>
      <w:r w:rsidRPr="00D075BE">
        <w:rPr>
          <w:rFonts w:ascii="Arial" w:eastAsia="Arial" w:hAnsi="Arial" w:cs="Arial"/>
          <w:i/>
          <w:iCs/>
          <w:color w:val="222222"/>
          <w:highlight w:val="white"/>
        </w:rPr>
        <w:t>Energies</w:t>
      </w:r>
      <w:r w:rsidRPr="00D075BE">
        <w:rPr>
          <w:rFonts w:ascii="Arial" w:eastAsia="Arial" w:hAnsi="Arial" w:cs="Arial"/>
          <w:color w:val="222222"/>
          <w:highlight w:val="white"/>
        </w:rPr>
        <w:t>, </w:t>
      </w:r>
      <w:r w:rsidRPr="00D075BE">
        <w:rPr>
          <w:rFonts w:ascii="Arial" w:eastAsia="Arial" w:hAnsi="Arial" w:cs="Arial"/>
          <w:i/>
          <w:iCs/>
          <w:color w:val="222222"/>
          <w:highlight w:val="white"/>
        </w:rPr>
        <w:t>16</w:t>
      </w:r>
      <w:r w:rsidRPr="00D075BE">
        <w:rPr>
          <w:rFonts w:ascii="Arial" w:eastAsia="Arial" w:hAnsi="Arial" w:cs="Arial"/>
          <w:color w:val="222222"/>
          <w:highlight w:val="white"/>
        </w:rPr>
        <w:t xml:space="preserve">(7), p.3151. </w:t>
      </w:r>
      <w:hyperlink r:id="rId20">
        <w:r w:rsidRPr="00D075BE">
          <w:rPr>
            <w:rFonts w:ascii="Arial" w:eastAsia="Arial" w:hAnsi="Arial" w:cs="Arial"/>
            <w:color w:val="0000FF"/>
            <w:highlight w:val="white"/>
          </w:rPr>
          <w:t>https://www.mdpi.com/1996-1073/16/7/3151</w:t>
        </w:r>
      </w:hyperlink>
    </w:p>
    <w:p w14:paraId="1A2E7D4C"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Bhuiyan, M.R.A., Mamur, H. and Begum, J., (2021). A brief review on renewable and sustainable energy resources in Bangladesh. </w:t>
      </w:r>
      <w:r w:rsidRPr="00D075BE">
        <w:rPr>
          <w:rFonts w:ascii="Arial" w:eastAsia="Arial" w:hAnsi="Arial" w:cs="Arial"/>
          <w:i/>
          <w:iCs/>
          <w:color w:val="222222"/>
          <w:highlight w:val="white"/>
        </w:rPr>
        <w:t>Cleaner Engineering and Technology</w:t>
      </w:r>
      <w:r w:rsidRPr="00D075BE">
        <w:rPr>
          <w:rFonts w:ascii="Arial" w:eastAsia="Arial" w:hAnsi="Arial" w:cs="Arial"/>
          <w:color w:val="222222"/>
          <w:highlight w:val="white"/>
        </w:rPr>
        <w:t>, </w:t>
      </w:r>
      <w:r w:rsidRPr="00D075BE">
        <w:rPr>
          <w:rFonts w:ascii="Arial" w:eastAsia="Arial" w:hAnsi="Arial" w:cs="Arial"/>
          <w:i/>
          <w:iCs/>
          <w:color w:val="222222"/>
          <w:highlight w:val="white"/>
        </w:rPr>
        <w:t>4</w:t>
      </w:r>
      <w:r w:rsidRPr="00D075BE">
        <w:rPr>
          <w:rFonts w:ascii="Arial" w:eastAsia="Arial" w:hAnsi="Arial" w:cs="Arial"/>
          <w:color w:val="222222"/>
          <w:highlight w:val="white"/>
        </w:rPr>
        <w:t xml:space="preserve">, p.100208. </w:t>
      </w:r>
      <w:hyperlink r:id="rId21">
        <w:r w:rsidRPr="00D075BE">
          <w:rPr>
            <w:rFonts w:ascii="Arial" w:eastAsia="Arial" w:hAnsi="Arial" w:cs="Arial"/>
            <w:color w:val="0000FF"/>
            <w:highlight w:val="white"/>
          </w:rPr>
          <w:t>https://www.sciencedirect.com/science/article/pii/S2666790821001683</w:t>
        </w:r>
      </w:hyperlink>
    </w:p>
    <w:p w14:paraId="048987A8"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BRC, (2026). </w:t>
      </w:r>
      <w:r w:rsidRPr="00D075BE">
        <w:rPr>
          <w:rFonts w:ascii="Arial" w:eastAsia="Arial" w:hAnsi="Arial" w:cs="Arial"/>
          <w:i/>
          <w:iCs/>
        </w:rPr>
        <w:t>Global Oil And Gas Market Report 2026.</w:t>
      </w:r>
      <w:r w:rsidRPr="00D075BE">
        <w:rPr>
          <w:rFonts w:ascii="Arial" w:eastAsia="Arial" w:hAnsi="Arial" w:cs="Arial"/>
        </w:rPr>
        <w:t xml:space="preserve"> Available at: </w:t>
      </w:r>
      <w:hyperlink r:id="rId22">
        <w:r w:rsidRPr="00D075BE">
          <w:rPr>
            <w:rFonts w:ascii="Arial" w:eastAsia="Arial" w:hAnsi="Arial" w:cs="Arial"/>
            <w:color w:val="0000FF"/>
          </w:rPr>
          <w:t>https://www.thebusinessresearchcompany.com/report/oil-and-gas-global-market-report</w:t>
        </w:r>
      </w:hyperlink>
      <w:r w:rsidRPr="00D075BE">
        <w:rPr>
          <w:rFonts w:ascii="Arial" w:eastAsia="Arial" w:hAnsi="Arial" w:cs="Arial"/>
        </w:rPr>
        <w:t xml:space="preserve"> [Accessed on 01.08.2026].</w:t>
      </w:r>
    </w:p>
    <w:p w14:paraId="2B25F09B"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lastRenderedPageBreak/>
        <w:t>Chowdhury, M.M.I., Rahman, S.M., Abubakar, I.R., Aina, Y.A., Hasan, M.A. and Khondaker, A.N., (2021). A review of policies and initiatives for climate change mitigation and environmental sustainability in Bangladesh: Md. MI Chowdhury et al. </w:t>
      </w:r>
      <w:r w:rsidRPr="00D075BE">
        <w:rPr>
          <w:rFonts w:ascii="Arial" w:eastAsia="Arial" w:hAnsi="Arial" w:cs="Arial"/>
          <w:i/>
          <w:iCs/>
          <w:color w:val="222222"/>
          <w:highlight w:val="white"/>
        </w:rPr>
        <w:t>Environment, Development and Sustainability</w:t>
      </w:r>
      <w:r w:rsidRPr="00D075BE">
        <w:rPr>
          <w:rFonts w:ascii="Arial" w:eastAsia="Arial" w:hAnsi="Arial" w:cs="Arial"/>
          <w:color w:val="222222"/>
          <w:highlight w:val="white"/>
        </w:rPr>
        <w:t>, </w:t>
      </w:r>
      <w:r w:rsidRPr="00D075BE">
        <w:rPr>
          <w:rFonts w:ascii="Arial" w:eastAsia="Arial" w:hAnsi="Arial" w:cs="Arial"/>
          <w:i/>
          <w:iCs/>
          <w:color w:val="222222"/>
          <w:highlight w:val="white"/>
        </w:rPr>
        <w:t>23</w:t>
      </w:r>
      <w:r w:rsidRPr="00D075BE">
        <w:rPr>
          <w:rFonts w:ascii="Arial" w:eastAsia="Arial" w:hAnsi="Arial" w:cs="Arial"/>
          <w:color w:val="222222"/>
          <w:highlight w:val="white"/>
        </w:rPr>
        <w:t xml:space="preserve">(2), pp.1133-1161. </w:t>
      </w:r>
      <w:hyperlink r:id="rId23">
        <w:r w:rsidRPr="00D075BE">
          <w:rPr>
            <w:rFonts w:ascii="Arial" w:eastAsia="Arial" w:hAnsi="Arial" w:cs="Arial"/>
            <w:color w:val="0000FF"/>
            <w:highlight w:val="white"/>
          </w:rPr>
          <w:t>https://link.springer.com/article/10.1007/s10668-020-00627-y</w:t>
        </w:r>
      </w:hyperlink>
    </w:p>
    <w:p w14:paraId="698C231A"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Climatescope, (2025). </w:t>
      </w:r>
      <w:r w:rsidRPr="00D075BE">
        <w:rPr>
          <w:rFonts w:ascii="Arial" w:eastAsia="Arial" w:hAnsi="Arial" w:cs="Arial"/>
          <w:i/>
          <w:iCs/>
        </w:rPr>
        <w:t>Bangladesh.</w:t>
      </w:r>
      <w:r w:rsidRPr="00D075BE">
        <w:rPr>
          <w:rFonts w:ascii="Arial" w:eastAsia="Arial" w:hAnsi="Arial" w:cs="Arial"/>
        </w:rPr>
        <w:t xml:space="preserve"> Available at: </w:t>
      </w:r>
      <w:hyperlink r:id="rId24">
        <w:r w:rsidRPr="00D075BE">
          <w:rPr>
            <w:rFonts w:ascii="Arial" w:eastAsia="Arial" w:hAnsi="Arial" w:cs="Arial"/>
            <w:color w:val="0000FF"/>
          </w:rPr>
          <w:t>https://www.global-climatescope.org/markets/bangladesh</w:t>
        </w:r>
      </w:hyperlink>
      <w:r w:rsidRPr="00D075BE">
        <w:rPr>
          <w:rFonts w:ascii="Arial" w:eastAsia="Arial" w:hAnsi="Arial" w:cs="Arial"/>
        </w:rPr>
        <w:t xml:space="preserve"> [Accessed on 24.07.2026].</w:t>
      </w:r>
    </w:p>
    <w:p w14:paraId="402B9082"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Deloitte, (2026). </w:t>
      </w:r>
      <w:r w:rsidRPr="00D075BE">
        <w:rPr>
          <w:rFonts w:ascii="Arial" w:eastAsia="Arial" w:hAnsi="Arial" w:cs="Arial"/>
          <w:i/>
          <w:iCs/>
        </w:rPr>
        <w:t xml:space="preserve">2025 Oil and Gas Industry Outlook. </w:t>
      </w:r>
      <w:r w:rsidRPr="00D075BE">
        <w:rPr>
          <w:rFonts w:ascii="Arial" w:eastAsia="Arial" w:hAnsi="Arial" w:cs="Arial"/>
        </w:rPr>
        <w:t xml:space="preserve">Available at: </w:t>
      </w:r>
      <w:hyperlink r:id="rId25">
        <w:r w:rsidRPr="00D075BE">
          <w:rPr>
            <w:rFonts w:ascii="Arial" w:eastAsia="Arial" w:hAnsi="Arial" w:cs="Arial"/>
            <w:color w:val="0000FF"/>
          </w:rPr>
          <w:t>https://www.deloitte.com/us/en/insights/industry/oil-and-gas/oil-and-gas-industry-outlook-2025.html</w:t>
        </w:r>
      </w:hyperlink>
      <w:r w:rsidRPr="00D075BE">
        <w:rPr>
          <w:rFonts w:ascii="Arial" w:eastAsia="Arial" w:hAnsi="Arial" w:cs="Arial"/>
        </w:rPr>
        <w:t xml:space="preserve"> [Accessed on 01.08.2026].</w:t>
      </w:r>
    </w:p>
    <w:p w14:paraId="6253B2ED"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rPr>
        <w:t xml:space="preserve">Divrik, B., (2023). International market entry strategies. In </w:t>
      </w:r>
      <w:r w:rsidRPr="00D075BE">
        <w:rPr>
          <w:rFonts w:ascii="Arial" w:eastAsia="Arial" w:hAnsi="Arial" w:cs="Arial"/>
          <w:i/>
          <w:iCs/>
          <w:color w:val="222222"/>
        </w:rPr>
        <w:t>Origin and Branding in International Market Entry Processes</w:t>
      </w:r>
      <w:r w:rsidRPr="00D075BE">
        <w:rPr>
          <w:rFonts w:ascii="Arial" w:eastAsia="Arial" w:hAnsi="Arial" w:cs="Arial"/>
          <w:color w:val="222222"/>
        </w:rPr>
        <w:t xml:space="preserve"> (pp. 1-10). IGI Global Scientific Publishing.</w:t>
      </w:r>
      <w:r w:rsidRPr="00D075BE">
        <w:rPr>
          <w:rFonts w:ascii="Arial" w:eastAsia="Arial" w:hAnsi="Arial" w:cs="Arial"/>
        </w:rPr>
        <w:t xml:space="preserve"> </w:t>
      </w:r>
      <w:hyperlink r:id="rId26">
        <w:r w:rsidRPr="00D075BE">
          <w:rPr>
            <w:rFonts w:ascii="Arial" w:eastAsia="Arial" w:hAnsi="Arial" w:cs="Arial"/>
            <w:color w:val="1155CC"/>
            <w:u w:val="single"/>
          </w:rPr>
          <w:t>https://www.igi-global.com/chapter/international-market-entry-strategies/330186</w:t>
        </w:r>
      </w:hyperlink>
      <w:r w:rsidRPr="00D075BE">
        <w:rPr>
          <w:rFonts w:ascii="Arial" w:eastAsia="Arial" w:hAnsi="Arial" w:cs="Arial"/>
        </w:rPr>
        <w:t xml:space="preserve"> </w:t>
      </w:r>
    </w:p>
    <w:p w14:paraId="400416EC"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FBI, (2026). </w:t>
      </w:r>
      <w:r w:rsidRPr="00D075BE">
        <w:rPr>
          <w:rFonts w:ascii="Arial" w:eastAsia="Arial" w:hAnsi="Arial" w:cs="Arial"/>
          <w:i/>
          <w:iCs/>
        </w:rPr>
        <w:t xml:space="preserve">Oil and Gas Market Size, Share, Trends. </w:t>
      </w:r>
      <w:r w:rsidRPr="00D075BE">
        <w:rPr>
          <w:rFonts w:ascii="Arial" w:eastAsia="Arial" w:hAnsi="Arial" w:cs="Arial"/>
        </w:rPr>
        <w:t xml:space="preserve">Available at: </w:t>
      </w:r>
      <w:hyperlink r:id="rId27">
        <w:r w:rsidRPr="00D075BE">
          <w:rPr>
            <w:rFonts w:ascii="Arial" w:eastAsia="Arial" w:hAnsi="Arial" w:cs="Arial"/>
            <w:color w:val="0000FF"/>
          </w:rPr>
          <w:t>https://www.fortunebusinessinsights.com/oil-and-gas-market-111534</w:t>
        </w:r>
      </w:hyperlink>
      <w:r w:rsidRPr="00D075BE">
        <w:rPr>
          <w:rFonts w:ascii="Arial" w:eastAsia="Arial" w:hAnsi="Arial" w:cs="Arial"/>
        </w:rPr>
        <w:t xml:space="preserve"> [Accessed on 02.08.2026].</w:t>
      </w:r>
    </w:p>
    <w:p w14:paraId="77F039FE"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Gallagher, K.S., Bhandary, R., Narassimhan, E. and Nguyen, Q.T., (2021). Banking on coal? Drivers of demand for Chinese overseas investments in coal in Bangladesh, India, Indonesia and Vietnam. </w:t>
      </w:r>
      <w:r w:rsidRPr="00D075BE">
        <w:rPr>
          <w:rFonts w:ascii="Arial" w:eastAsia="Arial" w:hAnsi="Arial" w:cs="Arial"/>
          <w:i/>
          <w:iCs/>
          <w:color w:val="222222"/>
          <w:highlight w:val="white"/>
        </w:rPr>
        <w:t>Energy Research &amp; Social Science</w:t>
      </w:r>
      <w:r w:rsidRPr="00D075BE">
        <w:rPr>
          <w:rFonts w:ascii="Arial" w:eastAsia="Arial" w:hAnsi="Arial" w:cs="Arial"/>
          <w:color w:val="222222"/>
          <w:highlight w:val="white"/>
        </w:rPr>
        <w:t>, </w:t>
      </w:r>
      <w:r w:rsidRPr="00D075BE">
        <w:rPr>
          <w:rFonts w:ascii="Arial" w:eastAsia="Arial" w:hAnsi="Arial" w:cs="Arial"/>
          <w:i/>
          <w:iCs/>
          <w:color w:val="222222"/>
          <w:highlight w:val="white"/>
        </w:rPr>
        <w:t>71</w:t>
      </w:r>
      <w:r w:rsidRPr="00D075BE">
        <w:rPr>
          <w:rFonts w:ascii="Arial" w:eastAsia="Arial" w:hAnsi="Arial" w:cs="Arial"/>
          <w:color w:val="222222"/>
          <w:highlight w:val="white"/>
        </w:rPr>
        <w:t xml:space="preserve">, p.101827. </w:t>
      </w:r>
      <w:hyperlink r:id="rId28">
        <w:r w:rsidRPr="00D075BE">
          <w:rPr>
            <w:rFonts w:ascii="Arial" w:eastAsia="Arial" w:hAnsi="Arial" w:cs="Arial"/>
            <w:color w:val="0000FF"/>
            <w:highlight w:val="white"/>
          </w:rPr>
          <w:t>https://www.sciencedirect.com/science/article/pii/S2214629620304023</w:t>
        </w:r>
      </w:hyperlink>
    </w:p>
    <w:p w14:paraId="55EDB271"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Galli, F. and New, K.J., (2022). Gibbs’ cycle review. Emotions as a part of the cycle. </w:t>
      </w:r>
      <w:r w:rsidRPr="00D075BE">
        <w:rPr>
          <w:rFonts w:ascii="Arial" w:eastAsia="Arial" w:hAnsi="Arial" w:cs="Arial"/>
          <w:i/>
          <w:iCs/>
          <w:color w:val="222222"/>
          <w:highlight w:val="white"/>
        </w:rPr>
        <w:t>E-Motion: Revista de Educación, Motricidad e Investigación</w:t>
      </w:r>
      <w:r w:rsidRPr="00D075BE">
        <w:rPr>
          <w:rFonts w:ascii="Arial" w:eastAsia="Arial" w:hAnsi="Arial" w:cs="Arial"/>
          <w:color w:val="222222"/>
          <w:highlight w:val="white"/>
        </w:rPr>
        <w:t xml:space="preserve">, (19), pp.92-101. </w:t>
      </w:r>
      <w:hyperlink r:id="rId29">
        <w:r w:rsidRPr="00D075BE">
          <w:rPr>
            <w:rFonts w:ascii="Arial" w:eastAsia="Arial" w:hAnsi="Arial" w:cs="Arial"/>
            <w:color w:val="0000FF"/>
            <w:highlight w:val="white"/>
          </w:rPr>
          <w:t>https://www.uhu.es/publicaciones/ojs/index.php/e-moti-on/article/view/7224</w:t>
        </w:r>
      </w:hyperlink>
    </w:p>
    <w:p w14:paraId="1AE38BEB"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GIZ, (2025). </w:t>
      </w:r>
      <w:r w:rsidRPr="00D075BE">
        <w:rPr>
          <w:rFonts w:ascii="Arial" w:eastAsia="Arial" w:hAnsi="Arial" w:cs="Arial"/>
          <w:i/>
          <w:iCs/>
        </w:rPr>
        <w:t xml:space="preserve">Renewable heat supply and process heat solutions for the C&amp;I sector. </w:t>
      </w:r>
      <w:r w:rsidRPr="00D075BE">
        <w:rPr>
          <w:rFonts w:ascii="Arial" w:eastAsia="Arial" w:hAnsi="Arial" w:cs="Arial"/>
        </w:rPr>
        <w:t xml:space="preserve">Available at: </w:t>
      </w:r>
      <w:hyperlink r:id="rId30">
        <w:r w:rsidRPr="00D075BE">
          <w:rPr>
            <w:rFonts w:ascii="Arial" w:eastAsia="Arial" w:hAnsi="Arial" w:cs="Arial"/>
            <w:color w:val="0000FF"/>
          </w:rPr>
          <w:t>https://www.giz.de/sites/default/files/media/pkb-document/2025-10/giz2025-en-bangladesh-pdp-sector-analysis-process-heat.pdf</w:t>
        </w:r>
      </w:hyperlink>
      <w:r w:rsidRPr="00D075BE">
        <w:rPr>
          <w:rFonts w:ascii="Arial" w:eastAsia="Arial" w:hAnsi="Arial" w:cs="Arial"/>
        </w:rPr>
        <w:t xml:space="preserve"> [Accessed on 05.08.2026].</w:t>
      </w:r>
    </w:p>
    <w:p w14:paraId="267B7B4F"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Hasan, M.A., Nahiduzzaman, K.M., Aldosary, A.S., Hewage, K. and Sadiq, R., (2022). Nexus of economic growth, energy consumption, FDI and emissions: A tale of </w:t>
      </w:r>
      <w:r w:rsidRPr="00D075BE">
        <w:rPr>
          <w:rFonts w:ascii="Arial" w:eastAsia="Arial" w:hAnsi="Arial" w:cs="Arial"/>
          <w:color w:val="222222"/>
          <w:highlight w:val="white"/>
        </w:rPr>
        <w:lastRenderedPageBreak/>
        <w:t>Bangladesh. </w:t>
      </w:r>
      <w:r w:rsidRPr="00D075BE">
        <w:rPr>
          <w:rFonts w:ascii="Arial" w:eastAsia="Arial" w:hAnsi="Arial" w:cs="Arial"/>
          <w:i/>
          <w:iCs/>
          <w:color w:val="222222"/>
          <w:highlight w:val="white"/>
        </w:rPr>
        <w:t>Environment, Development and Sustainability</w:t>
      </w:r>
      <w:r w:rsidRPr="00D075BE">
        <w:rPr>
          <w:rFonts w:ascii="Arial" w:eastAsia="Arial" w:hAnsi="Arial" w:cs="Arial"/>
          <w:color w:val="222222"/>
          <w:highlight w:val="white"/>
        </w:rPr>
        <w:t>, </w:t>
      </w:r>
      <w:r w:rsidRPr="00D075BE">
        <w:rPr>
          <w:rFonts w:ascii="Arial" w:eastAsia="Arial" w:hAnsi="Arial" w:cs="Arial"/>
          <w:i/>
          <w:iCs/>
          <w:color w:val="222222"/>
          <w:highlight w:val="white"/>
        </w:rPr>
        <w:t>24</w:t>
      </w:r>
      <w:r w:rsidRPr="00D075BE">
        <w:rPr>
          <w:rFonts w:ascii="Arial" w:eastAsia="Arial" w:hAnsi="Arial" w:cs="Arial"/>
          <w:color w:val="222222"/>
          <w:highlight w:val="white"/>
        </w:rPr>
        <w:t xml:space="preserve">(5), pp.6327-6348. </w:t>
      </w:r>
      <w:hyperlink r:id="rId31">
        <w:r w:rsidRPr="00D075BE">
          <w:rPr>
            <w:rFonts w:ascii="Arial" w:eastAsia="Arial" w:hAnsi="Arial" w:cs="Arial"/>
            <w:color w:val="0000FF"/>
            <w:highlight w:val="white"/>
          </w:rPr>
          <w:t>https://link.springer.com/article/10.1007/s10668-021-01704-6</w:t>
        </w:r>
      </w:hyperlink>
    </w:p>
    <w:p w14:paraId="6A363D5E"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IEA, (2026). </w:t>
      </w:r>
      <w:r w:rsidRPr="00D075BE">
        <w:rPr>
          <w:rFonts w:ascii="Arial" w:eastAsia="Arial" w:hAnsi="Arial" w:cs="Arial"/>
          <w:i/>
          <w:iCs/>
        </w:rPr>
        <w:t xml:space="preserve">Bangladesh - Countries &amp; Regions. </w:t>
      </w:r>
      <w:r w:rsidRPr="00D075BE">
        <w:rPr>
          <w:rFonts w:ascii="Arial" w:eastAsia="Arial" w:hAnsi="Arial" w:cs="Arial"/>
        </w:rPr>
        <w:t xml:space="preserve">Available at: </w:t>
      </w:r>
      <w:hyperlink r:id="rId32">
        <w:r w:rsidRPr="00D075BE">
          <w:rPr>
            <w:rFonts w:ascii="Arial" w:eastAsia="Arial" w:hAnsi="Arial" w:cs="Arial"/>
            <w:color w:val="0000FF"/>
          </w:rPr>
          <w:t>https://www.iea.org/countries/bangladesh</w:t>
        </w:r>
      </w:hyperlink>
      <w:r w:rsidRPr="00D075BE">
        <w:rPr>
          <w:rFonts w:ascii="Arial" w:eastAsia="Arial" w:hAnsi="Arial" w:cs="Arial"/>
        </w:rPr>
        <w:t xml:space="preserve"> [Accessed on 01.08.2026].</w:t>
      </w:r>
    </w:p>
    <w:p w14:paraId="3DDD3DC7"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Imarc, (2026). </w:t>
      </w:r>
      <w:r w:rsidRPr="00D075BE">
        <w:rPr>
          <w:rFonts w:ascii="Arial" w:eastAsia="Arial" w:hAnsi="Arial" w:cs="Arial"/>
          <w:i/>
          <w:iCs/>
        </w:rPr>
        <w:t xml:space="preserve">Oil and Gas Market Size, Share &amp; Forecast Report, 2034. </w:t>
      </w:r>
      <w:r w:rsidRPr="00D075BE">
        <w:rPr>
          <w:rFonts w:ascii="Arial" w:eastAsia="Arial" w:hAnsi="Arial" w:cs="Arial"/>
        </w:rPr>
        <w:t xml:space="preserve">Available at: </w:t>
      </w:r>
      <w:hyperlink r:id="rId33">
        <w:r w:rsidRPr="00D075BE">
          <w:rPr>
            <w:rFonts w:ascii="Arial" w:eastAsia="Arial" w:hAnsi="Arial" w:cs="Arial"/>
            <w:color w:val="0000FF"/>
          </w:rPr>
          <w:t>https://www.imarcgroup.com/oil-gas-market</w:t>
        </w:r>
      </w:hyperlink>
      <w:r w:rsidRPr="00D075BE">
        <w:rPr>
          <w:rFonts w:ascii="Arial" w:eastAsia="Arial" w:hAnsi="Arial" w:cs="Arial"/>
        </w:rPr>
        <w:t xml:space="preserve"> [Accessed on 07.08.2026].</w:t>
      </w:r>
    </w:p>
    <w:p w14:paraId="6B97D415"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Islam, M.M., Khan, M.K., Tareque, M., Jehan, N. and Dagar, V., (2021). Impact of globalization, foreign direct investment, and energy consumption on CO2 emissions in Bangladesh: Does institutional quality matter?. </w:t>
      </w:r>
      <w:r w:rsidRPr="00D075BE">
        <w:rPr>
          <w:rFonts w:ascii="Arial" w:eastAsia="Arial" w:hAnsi="Arial" w:cs="Arial"/>
          <w:i/>
          <w:iCs/>
          <w:color w:val="222222"/>
          <w:highlight w:val="white"/>
        </w:rPr>
        <w:t>Environmental Science and Pollution Research</w:t>
      </w:r>
      <w:r w:rsidRPr="00D075BE">
        <w:rPr>
          <w:rFonts w:ascii="Arial" w:eastAsia="Arial" w:hAnsi="Arial" w:cs="Arial"/>
          <w:color w:val="222222"/>
          <w:highlight w:val="white"/>
        </w:rPr>
        <w:t>, </w:t>
      </w:r>
      <w:r w:rsidRPr="00D075BE">
        <w:rPr>
          <w:rFonts w:ascii="Arial" w:eastAsia="Arial" w:hAnsi="Arial" w:cs="Arial"/>
          <w:i/>
          <w:iCs/>
          <w:color w:val="222222"/>
          <w:highlight w:val="white"/>
        </w:rPr>
        <w:t>28</w:t>
      </w:r>
      <w:r w:rsidRPr="00D075BE">
        <w:rPr>
          <w:rFonts w:ascii="Arial" w:eastAsia="Arial" w:hAnsi="Arial" w:cs="Arial"/>
          <w:color w:val="222222"/>
          <w:highlight w:val="white"/>
        </w:rPr>
        <w:t xml:space="preserve">(35), pp.48851-48871. </w:t>
      </w:r>
      <w:hyperlink r:id="rId34">
        <w:r w:rsidRPr="00D075BE">
          <w:rPr>
            <w:rFonts w:ascii="Arial" w:eastAsia="Arial" w:hAnsi="Arial" w:cs="Arial"/>
            <w:color w:val="0000FF"/>
            <w:highlight w:val="white"/>
          </w:rPr>
          <w:t>https://link.springer.com/article/10.1007/S11356-021-13441-4</w:t>
        </w:r>
      </w:hyperlink>
    </w:p>
    <w:p w14:paraId="3AB00CD6"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Islam, M.R., Islam, M.R. and Imran, H.M., (2022). Assessing wind farm site suitability in Bangladesh: A GIS-AHP approach. </w:t>
      </w:r>
      <w:r w:rsidRPr="00D075BE">
        <w:rPr>
          <w:rFonts w:ascii="Arial" w:eastAsia="Arial" w:hAnsi="Arial" w:cs="Arial"/>
          <w:i/>
          <w:iCs/>
          <w:color w:val="222222"/>
          <w:highlight w:val="white"/>
        </w:rPr>
        <w:t>Sustainability</w:t>
      </w:r>
      <w:r w:rsidRPr="00D075BE">
        <w:rPr>
          <w:rFonts w:ascii="Arial" w:eastAsia="Arial" w:hAnsi="Arial" w:cs="Arial"/>
          <w:color w:val="222222"/>
          <w:highlight w:val="white"/>
        </w:rPr>
        <w:t>, </w:t>
      </w:r>
      <w:r w:rsidRPr="00D075BE">
        <w:rPr>
          <w:rFonts w:ascii="Arial" w:eastAsia="Arial" w:hAnsi="Arial" w:cs="Arial"/>
          <w:i/>
          <w:iCs/>
          <w:color w:val="222222"/>
          <w:highlight w:val="white"/>
        </w:rPr>
        <w:t>14</w:t>
      </w:r>
      <w:r w:rsidRPr="00D075BE">
        <w:rPr>
          <w:rFonts w:ascii="Arial" w:eastAsia="Arial" w:hAnsi="Arial" w:cs="Arial"/>
          <w:color w:val="222222"/>
          <w:highlight w:val="white"/>
        </w:rPr>
        <w:t xml:space="preserve">(22), p.14819. </w:t>
      </w:r>
      <w:hyperlink r:id="rId35">
        <w:r w:rsidRPr="00D075BE">
          <w:rPr>
            <w:rFonts w:ascii="Arial" w:eastAsia="Arial" w:hAnsi="Arial" w:cs="Arial"/>
            <w:color w:val="0000FF"/>
            <w:highlight w:val="white"/>
          </w:rPr>
          <w:t>https://www.mdpi.com/2071-1050/14/22/14819</w:t>
        </w:r>
      </w:hyperlink>
    </w:p>
    <w:p w14:paraId="0EE9341A"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rPr>
        <w:t>Kirsanova, N., (2025). Internationalization Strategies in the Energy Sector from Local Players to Global Giants: A Case Based Study.</w:t>
      </w:r>
      <w:r w:rsidRPr="00D075BE">
        <w:rPr>
          <w:rFonts w:ascii="Arial" w:eastAsia="Arial" w:hAnsi="Arial" w:cs="Arial"/>
        </w:rPr>
        <w:t xml:space="preserve"> </w:t>
      </w:r>
      <w:hyperlink r:id="rId36">
        <w:r w:rsidRPr="00D075BE">
          <w:rPr>
            <w:rFonts w:ascii="Arial" w:eastAsia="Arial" w:hAnsi="Arial" w:cs="Arial"/>
            <w:color w:val="1155CC"/>
            <w:u w:val="single"/>
          </w:rPr>
          <w:t>https://openresearch.ceu.edu/bitstreams/db851a38-75fa-435a-b4ac-8d48a4133853/download</w:t>
        </w:r>
      </w:hyperlink>
      <w:r w:rsidRPr="00D075BE">
        <w:rPr>
          <w:rFonts w:ascii="Arial" w:eastAsia="Arial" w:hAnsi="Arial" w:cs="Arial"/>
        </w:rPr>
        <w:t xml:space="preserve"> </w:t>
      </w:r>
    </w:p>
    <w:p w14:paraId="2380926D"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Mahbub, T., Ahammad, M.F., Tarba, S.Y. and Mallick, S.Y., (2022). Factors encouraging foreign direct investment (FDI) in the wind and solar energy sector in an emerging country. </w:t>
      </w:r>
      <w:r w:rsidRPr="00D075BE">
        <w:rPr>
          <w:rFonts w:ascii="Arial" w:eastAsia="Arial" w:hAnsi="Arial" w:cs="Arial"/>
          <w:i/>
          <w:iCs/>
          <w:color w:val="222222"/>
          <w:highlight w:val="white"/>
        </w:rPr>
        <w:t>Energy Strategy Reviews</w:t>
      </w:r>
      <w:r w:rsidRPr="00D075BE">
        <w:rPr>
          <w:rFonts w:ascii="Arial" w:eastAsia="Arial" w:hAnsi="Arial" w:cs="Arial"/>
          <w:color w:val="222222"/>
          <w:highlight w:val="white"/>
        </w:rPr>
        <w:t>, </w:t>
      </w:r>
      <w:r w:rsidRPr="00D075BE">
        <w:rPr>
          <w:rFonts w:ascii="Arial" w:eastAsia="Arial" w:hAnsi="Arial" w:cs="Arial"/>
          <w:i/>
          <w:iCs/>
          <w:color w:val="222222"/>
          <w:highlight w:val="white"/>
        </w:rPr>
        <w:t>41</w:t>
      </w:r>
      <w:r w:rsidRPr="00D075BE">
        <w:rPr>
          <w:rFonts w:ascii="Arial" w:eastAsia="Arial" w:hAnsi="Arial" w:cs="Arial"/>
          <w:color w:val="222222"/>
          <w:highlight w:val="white"/>
        </w:rPr>
        <w:t xml:space="preserve">, p.100865. </w:t>
      </w:r>
      <w:hyperlink r:id="rId37">
        <w:r w:rsidRPr="00D075BE">
          <w:rPr>
            <w:rFonts w:ascii="Arial" w:eastAsia="Arial" w:hAnsi="Arial" w:cs="Arial"/>
            <w:color w:val="0000FF"/>
            <w:highlight w:val="white"/>
          </w:rPr>
          <w:t>https://www.sciencedirect.com/science/article/pii/S2211467X22000633</w:t>
        </w:r>
      </w:hyperlink>
    </w:p>
    <w:p w14:paraId="167E364B"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Mahmud, H. and Roy, J., (2021). Barriers to overcome in accelerating renewable energy penetration in Bangladesh. </w:t>
      </w:r>
      <w:r w:rsidRPr="00D075BE">
        <w:rPr>
          <w:rFonts w:ascii="Arial" w:eastAsia="Arial" w:hAnsi="Arial" w:cs="Arial"/>
          <w:i/>
          <w:iCs/>
          <w:color w:val="222222"/>
          <w:highlight w:val="white"/>
        </w:rPr>
        <w:t>Sustainability</w:t>
      </w:r>
      <w:r w:rsidRPr="00D075BE">
        <w:rPr>
          <w:rFonts w:ascii="Arial" w:eastAsia="Arial" w:hAnsi="Arial" w:cs="Arial"/>
          <w:color w:val="222222"/>
          <w:highlight w:val="white"/>
        </w:rPr>
        <w:t>, </w:t>
      </w:r>
      <w:r w:rsidRPr="00D075BE">
        <w:rPr>
          <w:rFonts w:ascii="Arial" w:eastAsia="Arial" w:hAnsi="Arial" w:cs="Arial"/>
          <w:i/>
          <w:iCs/>
          <w:color w:val="222222"/>
          <w:highlight w:val="white"/>
        </w:rPr>
        <w:t>13</w:t>
      </w:r>
      <w:r w:rsidRPr="00D075BE">
        <w:rPr>
          <w:rFonts w:ascii="Arial" w:eastAsia="Arial" w:hAnsi="Arial" w:cs="Arial"/>
          <w:color w:val="222222"/>
          <w:highlight w:val="white"/>
        </w:rPr>
        <w:t xml:space="preserve">(14), p.7694. </w:t>
      </w:r>
      <w:hyperlink r:id="rId38">
        <w:r w:rsidRPr="00D075BE">
          <w:rPr>
            <w:rFonts w:ascii="Arial" w:eastAsia="Arial" w:hAnsi="Arial" w:cs="Arial"/>
            <w:color w:val="0000FF"/>
            <w:highlight w:val="white"/>
          </w:rPr>
          <w:t>https://www.mdpi.com/2071-1050/13/14/7694</w:t>
        </w:r>
      </w:hyperlink>
    </w:p>
    <w:p w14:paraId="02F594CC"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Mamun, A. and Kabir, M.H.M., (2023). The remittance, foreign direct investment, export, and economic growth in Bangladesh: a time series analysis. </w:t>
      </w:r>
      <w:r w:rsidRPr="00D075BE">
        <w:rPr>
          <w:rFonts w:ascii="Arial" w:eastAsia="Arial" w:hAnsi="Arial" w:cs="Arial"/>
          <w:i/>
          <w:iCs/>
          <w:color w:val="222222"/>
          <w:highlight w:val="white"/>
        </w:rPr>
        <w:t>Arab Economic and Business Journal</w:t>
      </w:r>
      <w:r w:rsidRPr="00D075BE">
        <w:rPr>
          <w:rFonts w:ascii="Arial" w:eastAsia="Arial" w:hAnsi="Arial" w:cs="Arial"/>
          <w:color w:val="222222"/>
          <w:highlight w:val="white"/>
        </w:rPr>
        <w:t>, </w:t>
      </w:r>
      <w:r w:rsidRPr="00D075BE">
        <w:rPr>
          <w:rFonts w:ascii="Arial" w:eastAsia="Arial" w:hAnsi="Arial" w:cs="Arial"/>
          <w:i/>
          <w:iCs/>
          <w:color w:val="222222"/>
          <w:highlight w:val="white"/>
        </w:rPr>
        <w:t>15</w:t>
      </w:r>
      <w:r w:rsidRPr="00D075BE">
        <w:rPr>
          <w:rFonts w:ascii="Arial" w:eastAsia="Arial" w:hAnsi="Arial" w:cs="Arial"/>
          <w:color w:val="222222"/>
          <w:highlight w:val="white"/>
        </w:rPr>
        <w:t xml:space="preserve">(1), p.4. </w:t>
      </w:r>
      <w:hyperlink r:id="rId39">
        <w:r w:rsidRPr="00D075BE">
          <w:rPr>
            <w:rFonts w:ascii="Arial" w:eastAsia="Arial" w:hAnsi="Arial" w:cs="Arial"/>
            <w:color w:val="0000FF"/>
            <w:highlight w:val="white"/>
          </w:rPr>
          <w:t>https://journals.usek.edu.lb/aebj/vol15/iss1/4/</w:t>
        </w:r>
      </w:hyperlink>
    </w:p>
    <w:p w14:paraId="2259F668"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lastRenderedPageBreak/>
        <w:t>Mello, L.V. and Wattret, G., (2021). Developing transferable skills through embedding reflection in the science curriculum. </w:t>
      </w:r>
      <w:r w:rsidRPr="00D075BE">
        <w:rPr>
          <w:rFonts w:ascii="Arial" w:eastAsia="Arial" w:hAnsi="Arial" w:cs="Arial"/>
          <w:i/>
          <w:iCs/>
          <w:color w:val="222222"/>
          <w:highlight w:val="white"/>
        </w:rPr>
        <w:t>Biophysical reviews</w:t>
      </w:r>
      <w:r w:rsidRPr="00D075BE">
        <w:rPr>
          <w:rFonts w:ascii="Arial" w:eastAsia="Arial" w:hAnsi="Arial" w:cs="Arial"/>
          <w:color w:val="222222"/>
          <w:highlight w:val="white"/>
        </w:rPr>
        <w:t>, </w:t>
      </w:r>
      <w:r w:rsidRPr="00D075BE">
        <w:rPr>
          <w:rFonts w:ascii="Arial" w:eastAsia="Arial" w:hAnsi="Arial" w:cs="Arial"/>
          <w:i/>
          <w:iCs/>
          <w:color w:val="222222"/>
          <w:highlight w:val="white"/>
        </w:rPr>
        <w:t>13</w:t>
      </w:r>
      <w:r w:rsidRPr="00D075BE">
        <w:rPr>
          <w:rFonts w:ascii="Arial" w:eastAsia="Arial" w:hAnsi="Arial" w:cs="Arial"/>
          <w:color w:val="222222"/>
          <w:highlight w:val="white"/>
        </w:rPr>
        <w:t xml:space="preserve">(6), pp.897-903. </w:t>
      </w:r>
      <w:hyperlink r:id="rId40">
        <w:r w:rsidRPr="00D075BE">
          <w:rPr>
            <w:rFonts w:ascii="Arial" w:eastAsia="Arial" w:hAnsi="Arial" w:cs="Arial"/>
            <w:color w:val="0000FF"/>
            <w:highlight w:val="white"/>
          </w:rPr>
          <w:t>https://link.springer.com/article/10.1007/s12551-021-00852-3</w:t>
        </w:r>
      </w:hyperlink>
    </w:p>
    <w:p w14:paraId="704EB245"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MI, (2026). </w:t>
      </w:r>
      <w:r w:rsidRPr="00D075BE">
        <w:rPr>
          <w:rFonts w:ascii="Arial" w:eastAsia="Arial" w:hAnsi="Arial" w:cs="Arial"/>
          <w:i/>
          <w:iCs/>
        </w:rPr>
        <w:t>Oil and Gas Infrastructure Market Size &amp; Share Analysis.</w:t>
      </w:r>
      <w:r w:rsidRPr="00D075BE">
        <w:rPr>
          <w:rFonts w:ascii="Arial" w:eastAsia="Arial" w:hAnsi="Arial" w:cs="Arial"/>
        </w:rPr>
        <w:t xml:space="preserve"> Available at: </w:t>
      </w:r>
      <w:hyperlink r:id="rId41">
        <w:r w:rsidRPr="00D075BE">
          <w:rPr>
            <w:rFonts w:ascii="Arial" w:eastAsia="Arial" w:hAnsi="Arial" w:cs="Arial"/>
            <w:color w:val="0000FF"/>
          </w:rPr>
          <w:t>https://www.mordorintelligence.com/industry-reports/oil-and-gas-infrastructure-market</w:t>
        </w:r>
      </w:hyperlink>
      <w:r w:rsidRPr="00D075BE">
        <w:rPr>
          <w:rFonts w:ascii="Arial" w:eastAsia="Arial" w:hAnsi="Arial" w:cs="Arial"/>
        </w:rPr>
        <w:t xml:space="preserve"> [Accessed on 05.08.2026].</w:t>
      </w:r>
    </w:p>
    <w:p w14:paraId="161A04A5"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Mohazzem Hossain, S., Biswas, S. and Raihan Uddin, M., (2024). Sustainable energy transition in Bangladesh: Challenges and pathways for the future. </w:t>
      </w:r>
      <w:r w:rsidRPr="00D075BE">
        <w:rPr>
          <w:rFonts w:ascii="Arial" w:eastAsia="Arial" w:hAnsi="Arial" w:cs="Arial"/>
          <w:i/>
          <w:iCs/>
          <w:color w:val="222222"/>
          <w:highlight w:val="white"/>
        </w:rPr>
        <w:t>Engineering Reports</w:t>
      </w:r>
      <w:r w:rsidRPr="00D075BE">
        <w:rPr>
          <w:rFonts w:ascii="Arial" w:eastAsia="Arial" w:hAnsi="Arial" w:cs="Arial"/>
          <w:color w:val="222222"/>
          <w:highlight w:val="white"/>
        </w:rPr>
        <w:t>, </w:t>
      </w:r>
      <w:r w:rsidRPr="00D075BE">
        <w:rPr>
          <w:rFonts w:ascii="Arial" w:eastAsia="Arial" w:hAnsi="Arial" w:cs="Arial"/>
          <w:i/>
          <w:iCs/>
          <w:color w:val="222222"/>
          <w:highlight w:val="white"/>
        </w:rPr>
        <w:t>6</w:t>
      </w:r>
      <w:r w:rsidRPr="00D075BE">
        <w:rPr>
          <w:rFonts w:ascii="Arial" w:eastAsia="Arial" w:hAnsi="Arial" w:cs="Arial"/>
          <w:color w:val="222222"/>
          <w:highlight w:val="white"/>
        </w:rPr>
        <w:t xml:space="preserve">(1), p.e12752. </w:t>
      </w:r>
      <w:hyperlink r:id="rId42">
        <w:r w:rsidRPr="00D075BE">
          <w:rPr>
            <w:rFonts w:ascii="Arial" w:eastAsia="Arial" w:hAnsi="Arial" w:cs="Arial"/>
            <w:color w:val="0000FF"/>
            <w:highlight w:val="white"/>
          </w:rPr>
          <w:t>https://onlinelibrary.wiley.com/doi/abs/10.1002/eng2.12752</w:t>
        </w:r>
      </w:hyperlink>
    </w:p>
    <w:p w14:paraId="7F30DFEA"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Murshed, M., Elheddad, M., Ahmed, R., Bassim, M. and Than, E.T., (2022). Foreign direct investments, renewable electricity output, and ecological footprints: do financial globalization facilitate renewable energy transition and environmental welfare in Bangladesh?. </w:t>
      </w:r>
      <w:r w:rsidRPr="00D075BE">
        <w:rPr>
          <w:rFonts w:ascii="Arial" w:eastAsia="Arial" w:hAnsi="Arial" w:cs="Arial"/>
          <w:i/>
          <w:iCs/>
          <w:color w:val="222222"/>
          <w:highlight w:val="white"/>
        </w:rPr>
        <w:t>Asia-Pacific Financial Markets</w:t>
      </w:r>
      <w:r w:rsidRPr="00D075BE">
        <w:rPr>
          <w:rFonts w:ascii="Arial" w:eastAsia="Arial" w:hAnsi="Arial" w:cs="Arial"/>
          <w:color w:val="222222"/>
          <w:highlight w:val="white"/>
        </w:rPr>
        <w:t>, </w:t>
      </w:r>
      <w:r w:rsidRPr="00D075BE">
        <w:rPr>
          <w:rFonts w:ascii="Arial" w:eastAsia="Arial" w:hAnsi="Arial" w:cs="Arial"/>
          <w:i/>
          <w:iCs/>
          <w:color w:val="222222"/>
          <w:highlight w:val="white"/>
        </w:rPr>
        <w:t>29</w:t>
      </w:r>
      <w:r w:rsidRPr="00D075BE">
        <w:rPr>
          <w:rFonts w:ascii="Arial" w:eastAsia="Arial" w:hAnsi="Arial" w:cs="Arial"/>
          <w:color w:val="222222"/>
          <w:highlight w:val="white"/>
        </w:rPr>
        <w:t xml:space="preserve">(1), pp.33-78. </w:t>
      </w:r>
      <w:hyperlink r:id="rId43">
        <w:r w:rsidRPr="00D075BE">
          <w:rPr>
            <w:rFonts w:ascii="Arial" w:eastAsia="Arial" w:hAnsi="Arial" w:cs="Arial"/>
            <w:color w:val="0000FF"/>
            <w:highlight w:val="white"/>
          </w:rPr>
          <w:t>https://link.springer.com/article/10.1007/s10690-021-09335-7</w:t>
        </w:r>
      </w:hyperlink>
    </w:p>
    <w:p w14:paraId="110B1A22"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Ocampo, F.A., McIntyre, B.G., Massey, D. and Saunders, R., (2025). Nursing student reflections on a research internship: A reflective discussion following the Gibbs' reflective cycle. </w:t>
      </w:r>
      <w:r w:rsidRPr="00D075BE">
        <w:rPr>
          <w:rFonts w:ascii="Arial" w:eastAsia="Arial" w:hAnsi="Arial" w:cs="Arial"/>
          <w:i/>
          <w:iCs/>
          <w:color w:val="222222"/>
          <w:highlight w:val="white"/>
        </w:rPr>
        <w:t>Nurse education today</w:t>
      </w:r>
      <w:r w:rsidRPr="00D075BE">
        <w:rPr>
          <w:rFonts w:ascii="Arial" w:eastAsia="Arial" w:hAnsi="Arial" w:cs="Arial"/>
          <w:color w:val="222222"/>
          <w:highlight w:val="white"/>
        </w:rPr>
        <w:t>, </w:t>
      </w:r>
      <w:r w:rsidRPr="00D075BE">
        <w:rPr>
          <w:rFonts w:ascii="Arial" w:eastAsia="Arial" w:hAnsi="Arial" w:cs="Arial"/>
          <w:i/>
          <w:iCs/>
          <w:color w:val="222222"/>
          <w:highlight w:val="white"/>
        </w:rPr>
        <w:t>145</w:t>
      </w:r>
      <w:r w:rsidRPr="00D075BE">
        <w:rPr>
          <w:rFonts w:ascii="Arial" w:eastAsia="Arial" w:hAnsi="Arial" w:cs="Arial"/>
          <w:color w:val="222222"/>
          <w:highlight w:val="white"/>
        </w:rPr>
        <w:t xml:space="preserve">, p.106481. </w:t>
      </w:r>
      <w:hyperlink r:id="rId44">
        <w:r w:rsidRPr="00D075BE">
          <w:rPr>
            <w:rFonts w:ascii="Arial" w:eastAsia="Arial" w:hAnsi="Arial" w:cs="Arial"/>
            <w:color w:val="0000FF"/>
            <w:highlight w:val="white"/>
          </w:rPr>
          <w:t>https://www.sciencedirect.com/science/article/pii/S0260691724003915</w:t>
        </w:r>
      </w:hyperlink>
    </w:p>
    <w:p w14:paraId="71F64338"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OWD, (2026). </w:t>
      </w:r>
      <w:r w:rsidRPr="00D075BE">
        <w:rPr>
          <w:rFonts w:ascii="Arial" w:eastAsia="Arial" w:hAnsi="Arial" w:cs="Arial"/>
          <w:i/>
          <w:iCs/>
        </w:rPr>
        <w:t xml:space="preserve">Bangladesh - Energy Country Profile. </w:t>
      </w:r>
      <w:r w:rsidRPr="00D075BE">
        <w:rPr>
          <w:rFonts w:ascii="Arial" w:eastAsia="Arial" w:hAnsi="Arial" w:cs="Arial"/>
        </w:rPr>
        <w:t xml:space="preserve">Available at: </w:t>
      </w:r>
      <w:hyperlink r:id="rId45">
        <w:r w:rsidRPr="00D075BE">
          <w:rPr>
            <w:rFonts w:ascii="Arial" w:eastAsia="Arial" w:hAnsi="Arial" w:cs="Arial"/>
            <w:color w:val="0000FF"/>
          </w:rPr>
          <w:t>https://ourworldindata.org/profile/energy/bangladesh</w:t>
        </w:r>
      </w:hyperlink>
      <w:r w:rsidRPr="00D075BE">
        <w:rPr>
          <w:rFonts w:ascii="Arial" w:eastAsia="Arial" w:hAnsi="Arial" w:cs="Arial"/>
        </w:rPr>
        <w:t xml:space="preserve"> [Accessed on 28.07.2026].</w:t>
      </w:r>
    </w:p>
    <w:p w14:paraId="0F7DB661"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Pieper, M., Roelle, J., vom Hofe, R., Salle, A. and Berthold, K., (2021). Feedback in reflective journals fosters reflection skills of student teachers. </w:t>
      </w:r>
      <w:r w:rsidRPr="00D075BE">
        <w:rPr>
          <w:rFonts w:ascii="Arial" w:eastAsia="Arial" w:hAnsi="Arial" w:cs="Arial"/>
          <w:i/>
          <w:iCs/>
          <w:color w:val="222222"/>
          <w:highlight w:val="white"/>
        </w:rPr>
        <w:t>Psychology Learning &amp; Teaching</w:t>
      </w:r>
      <w:r w:rsidRPr="00D075BE">
        <w:rPr>
          <w:rFonts w:ascii="Arial" w:eastAsia="Arial" w:hAnsi="Arial" w:cs="Arial"/>
          <w:color w:val="222222"/>
          <w:highlight w:val="white"/>
        </w:rPr>
        <w:t>, </w:t>
      </w:r>
      <w:r w:rsidRPr="00D075BE">
        <w:rPr>
          <w:rFonts w:ascii="Arial" w:eastAsia="Arial" w:hAnsi="Arial" w:cs="Arial"/>
          <w:i/>
          <w:iCs/>
          <w:color w:val="222222"/>
          <w:highlight w:val="white"/>
        </w:rPr>
        <w:t>20</w:t>
      </w:r>
      <w:r w:rsidRPr="00D075BE">
        <w:rPr>
          <w:rFonts w:ascii="Arial" w:eastAsia="Arial" w:hAnsi="Arial" w:cs="Arial"/>
          <w:color w:val="222222"/>
          <w:highlight w:val="white"/>
        </w:rPr>
        <w:t xml:space="preserve">(1), pp.107-127. </w:t>
      </w:r>
      <w:hyperlink r:id="rId46">
        <w:r w:rsidRPr="00D075BE">
          <w:rPr>
            <w:rFonts w:ascii="Arial" w:eastAsia="Arial" w:hAnsi="Arial" w:cs="Arial"/>
            <w:color w:val="0000FF"/>
            <w:highlight w:val="white"/>
          </w:rPr>
          <w:t>https://journals.sagepub.com/doi/abs/10.1177/1475725720966190</w:t>
        </w:r>
      </w:hyperlink>
    </w:p>
    <w:p w14:paraId="64CA649A"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PMR, (2026). </w:t>
      </w:r>
      <w:r w:rsidRPr="00D075BE">
        <w:rPr>
          <w:rFonts w:ascii="Arial" w:eastAsia="Arial" w:hAnsi="Arial" w:cs="Arial"/>
          <w:i/>
          <w:iCs/>
        </w:rPr>
        <w:t xml:space="preserve">Oil and Gas Market Size, Trends &amp; Industry Overview, 2032. </w:t>
      </w:r>
      <w:r w:rsidRPr="00D075BE">
        <w:rPr>
          <w:rFonts w:ascii="Arial" w:eastAsia="Arial" w:hAnsi="Arial" w:cs="Arial"/>
        </w:rPr>
        <w:t xml:space="preserve">Available at: </w:t>
      </w:r>
      <w:hyperlink r:id="rId47">
        <w:r w:rsidRPr="00D075BE">
          <w:rPr>
            <w:rFonts w:ascii="Arial" w:eastAsia="Arial" w:hAnsi="Arial" w:cs="Arial"/>
            <w:color w:val="0000FF"/>
          </w:rPr>
          <w:t>https://www.persistencemarketresearch.com/market-research/oil-and-gas-market.asp</w:t>
        </w:r>
      </w:hyperlink>
      <w:r w:rsidRPr="00D075BE">
        <w:rPr>
          <w:rFonts w:ascii="Arial" w:eastAsia="Arial" w:hAnsi="Arial" w:cs="Arial"/>
        </w:rPr>
        <w:t xml:space="preserve"> [Accessed on 25.07.2026].</w:t>
      </w:r>
    </w:p>
    <w:p w14:paraId="43825F15"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Rahaman, M.A., Hossain, M.A. and Chen, S., (2022). The impact of foreign direct investment, tourism, electricity consumption, and economic development on CO2 </w:t>
      </w:r>
      <w:r w:rsidRPr="00D075BE">
        <w:rPr>
          <w:rFonts w:ascii="Arial" w:eastAsia="Arial" w:hAnsi="Arial" w:cs="Arial"/>
          <w:color w:val="222222"/>
          <w:highlight w:val="white"/>
        </w:rPr>
        <w:lastRenderedPageBreak/>
        <w:t>emissions in Bangladesh. </w:t>
      </w:r>
      <w:r w:rsidRPr="00D075BE">
        <w:rPr>
          <w:rFonts w:ascii="Arial" w:eastAsia="Arial" w:hAnsi="Arial" w:cs="Arial"/>
          <w:i/>
          <w:iCs/>
          <w:color w:val="222222"/>
          <w:highlight w:val="white"/>
        </w:rPr>
        <w:t>Environmental science and pollution research</w:t>
      </w:r>
      <w:r w:rsidRPr="00D075BE">
        <w:rPr>
          <w:rFonts w:ascii="Arial" w:eastAsia="Arial" w:hAnsi="Arial" w:cs="Arial"/>
          <w:color w:val="222222"/>
          <w:highlight w:val="white"/>
        </w:rPr>
        <w:t>, </w:t>
      </w:r>
      <w:r w:rsidRPr="00D075BE">
        <w:rPr>
          <w:rFonts w:ascii="Arial" w:eastAsia="Arial" w:hAnsi="Arial" w:cs="Arial"/>
          <w:i/>
          <w:iCs/>
          <w:color w:val="222222"/>
          <w:highlight w:val="white"/>
        </w:rPr>
        <w:t>29</w:t>
      </w:r>
      <w:r w:rsidRPr="00D075BE">
        <w:rPr>
          <w:rFonts w:ascii="Arial" w:eastAsia="Arial" w:hAnsi="Arial" w:cs="Arial"/>
          <w:color w:val="222222"/>
          <w:highlight w:val="white"/>
        </w:rPr>
        <w:t xml:space="preserve">(25), pp.37344-37358. </w:t>
      </w:r>
      <w:hyperlink r:id="rId48">
        <w:r w:rsidRPr="00D075BE">
          <w:rPr>
            <w:rFonts w:ascii="Arial" w:eastAsia="Arial" w:hAnsi="Arial" w:cs="Arial"/>
            <w:color w:val="0000FF"/>
            <w:highlight w:val="white"/>
          </w:rPr>
          <w:t>https://link.springer.com/article/10.1007/s11356-021-18061-6</w:t>
        </w:r>
      </w:hyperlink>
    </w:p>
    <w:p w14:paraId="7B867B1F"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Raihan, S., Hossain, I., Hasan, E. and Ahmed, M.T., (2025). </w:t>
      </w:r>
      <w:r w:rsidRPr="00D075BE">
        <w:rPr>
          <w:rFonts w:ascii="Arial" w:eastAsia="Arial" w:hAnsi="Arial" w:cs="Arial"/>
          <w:i/>
          <w:iCs/>
          <w:color w:val="222222"/>
          <w:highlight w:val="white"/>
        </w:rPr>
        <w:t xml:space="preserve">Investment Needs for Renewable Energy in Bangladesh. </w:t>
      </w:r>
      <w:r w:rsidRPr="00D075BE">
        <w:rPr>
          <w:rFonts w:ascii="Arial" w:eastAsia="Arial" w:hAnsi="Arial" w:cs="Arial"/>
        </w:rPr>
        <w:t xml:space="preserve">Available at: </w:t>
      </w:r>
      <w:hyperlink r:id="rId49">
        <w:r w:rsidRPr="00D075BE">
          <w:rPr>
            <w:rFonts w:ascii="Arial" w:eastAsia="Arial" w:hAnsi="Arial" w:cs="Arial"/>
            <w:color w:val="0000FF"/>
            <w:highlight w:val="white"/>
          </w:rPr>
          <w:t>https://sanemnet.org/wp-content/uploads/2025/02/Final_Report_RE_Investment_SANEM.pdf</w:t>
        </w:r>
      </w:hyperlink>
      <w:r w:rsidRPr="00D075BE">
        <w:rPr>
          <w:rFonts w:ascii="Arial" w:eastAsia="Arial" w:hAnsi="Arial" w:cs="Arial"/>
        </w:rPr>
        <w:t xml:space="preserve">  [Accessed on 05.08.2026].</w:t>
      </w:r>
    </w:p>
    <w:p w14:paraId="712E53F0"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Shell, (2025). </w:t>
      </w:r>
      <w:r w:rsidRPr="00D075BE">
        <w:rPr>
          <w:rFonts w:ascii="Arial" w:eastAsia="Arial" w:hAnsi="Arial" w:cs="Arial"/>
          <w:i/>
          <w:iCs/>
        </w:rPr>
        <w:t>Shell LNG Outlook 2025</w:t>
      </w:r>
      <w:r w:rsidRPr="00D075BE">
        <w:rPr>
          <w:rFonts w:ascii="Arial" w:eastAsia="Arial" w:hAnsi="Arial" w:cs="Arial"/>
          <w:i/>
          <w:iCs/>
          <w:color w:val="222222"/>
          <w:highlight w:val="white"/>
        </w:rPr>
        <w:t xml:space="preserve">. </w:t>
      </w:r>
      <w:r w:rsidRPr="00D075BE">
        <w:rPr>
          <w:rFonts w:ascii="Arial" w:eastAsia="Arial" w:hAnsi="Arial" w:cs="Arial"/>
        </w:rPr>
        <w:t xml:space="preserve">Available at: </w:t>
      </w:r>
      <w:hyperlink r:id="rId50">
        <w:r w:rsidRPr="00D075BE">
          <w:rPr>
            <w:rFonts w:ascii="Arial" w:eastAsia="Arial" w:hAnsi="Arial" w:cs="Arial"/>
            <w:color w:val="1155CC"/>
            <w:u w:val="single"/>
          </w:rPr>
          <w:t>https://www.shell.com/what-we-do/oil-and-natural-gas/liquefied-natural-gas-lng/lng-outlook-2025.html</w:t>
        </w:r>
      </w:hyperlink>
      <w:r w:rsidRPr="00D075BE">
        <w:rPr>
          <w:rFonts w:ascii="Arial" w:eastAsia="Arial" w:hAnsi="Arial" w:cs="Arial"/>
        </w:rPr>
        <w:t xml:space="preserve"> [Accessed on 02.08.2026].</w:t>
      </w:r>
    </w:p>
    <w:p w14:paraId="19570BCF"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Shell, (2025b). </w:t>
      </w:r>
      <w:r w:rsidRPr="00D075BE">
        <w:rPr>
          <w:rFonts w:ascii="Arial" w:eastAsia="Arial" w:hAnsi="Arial" w:cs="Arial"/>
          <w:i/>
          <w:iCs/>
        </w:rPr>
        <w:t>Our joint ventures</w:t>
      </w:r>
      <w:r w:rsidRPr="00D075BE">
        <w:rPr>
          <w:rFonts w:ascii="Arial" w:eastAsia="Arial" w:hAnsi="Arial" w:cs="Arial"/>
          <w:i/>
          <w:iCs/>
          <w:color w:val="222222"/>
          <w:highlight w:val="white"/>
        </w:rPr>
        <w:t xml:space="preserve">. </w:t>
      </w:r>
      <w:r w:rsidRPr="00D075BE">
        <w:rPr>
          <w:rFonts w:ascii="Arial" w:eastAsia="Arial" w:hAnsi="Arial" w:cs="Arial"/>
        </w:rPr>
        <w:t xml:space="preserve">Available at: </w:t>
      </w:r>
      <w:hyperlink r:id="rId51">
        <w:r w:rsidRPr="00D075BE">
          <w:rPr>
            <w:rFonts w:ascii="Arial" w:eastAsia="Arial" w:hAnsi="Arial" w:cs="Arial"/>
            <w:color w:val="1155CC"/>
            <w:u w:val="single"/>
          </w:rPr>
          <w:t>https://www.shell.com/business-customers/chemicals/about-shell-chemicals/our-joint-ventures.html</w:t>
        </w:r>
      </w:hyperlink>
      <w:r w:rsidRPr="00D075BE">
        <w:rPr>
          <w:rFonts w:ascii="Arial" w:eastAsia="Arial" w:hAnsi="Arial" w:cs="Arial"/>
        </w:rPr>
        <w:t xml:space="preserve"> [Accessed on 02.08.2026].</w:t>
      </w:r>
    </w:p>
    <w:p w14:paraId="3B6CD426"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 xml:space="preserve">Shell, (2026). </w:t>
      </w:r>
      <w:r w:rsidRPr="00D075BE">
        <w:rPr>
          <w:rFonts w:ascii="Arial" w:eastAsia="Arial" w:hAnsi="Arial" w:cs="Arial"/>
          <w:i/>
          <w:iCs/>
          <w:color w:val="222222"/>
          <w:highlight w:val="white"/>
        </w:rPr>
        <w:t xml:space="preserve">Energy resource database. </w:t>
      </w:r>
      <w:r w:rsidRPr="00D075BE">
        <w:rPr>
          <w:rFonts w:ascii="Arial" w:eastAsia="Arial" w:hAnsi="Arial" w:cs="Arial"/>
        </w:rPr>
        <w:t xml:space="preserve">Available at: </w:t>
      </w:r>
      <w:hyperlink r:id="rId52">
        <w:r w:rsidRPr="00D075BE">
          <w:rPr>
            <w:rFonts w:ascii="Arial" w:eastAsia="Arial" w:hAnsi="Arial" w:cs="Arial"/>
            <w:color w:val="0000FF"/>
            <w:highlight w:val="white"/>
          </w:rPr>
          <w:t>https://www.shell.com/news-and-insights/scenarios/what-scenario-planning-models-does-shell-use/energy-resource-database.html</w:t>
        </w:r>
      </w:hyperlink>
      <w:r w:rsidRPr="00D075BE">
        <w:rPr>
          <w:rFonts w:ascii="Arial" w:eastAsia="Arial" w:hAnsi="Arial" w:cs="Arial"/>
        </w:rPr>
        <w:t xml:space="preserve"> [Accessed on 01.08.2026].</w:t>
      </w:r>
    </w:p>
    <w:p w14:paraId="59138860"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SI, (2026). </w:t>
      </w:r>
      <w:r w:rsidRPr="00D075BE">
        <w:rPr>
          <w:rFonts w:ascii="Arial" w:eastAsia="Arial" w:hAnsi="Arial" w:cs="Arial"/>
          <w:i/>
          <w:iCs/>
        </w:rPr>
        <w:t xml:space="preserve">Top 20 Oil and Gas Companies in Global 2025. </w:t>
      </w:r>
      <w:r w:rsidRPr="00D075BE">
        <w:rPr>
          <w:rFonts w:ascii="Arial" w:eastAsia="Arial" w:hAnsi="Arial" w:cs="Arial"/>
        </w:rPr>
        <w:t xml:space="preserve">Available at: </w:t>
      </w:r>
      <w:hyperlink r:id="rId53">
        <w:r w:rsidRPr="00D075BE">
          <w:rPr>
            <w:rFonts w:ascii="Arial" w:eastAsia="Arial" w:hAnsi="Arial" w:cs="Arial"/>
            <w:color w:val="0000FF"/>
          </w:rPr>
          <w:t>https://www.sphericalinsights.com/blogs/top-20-oil-and-gas-companies-in-global-2025-statistics-view-by-spherical-insights-consulting</w:t>
        </w:r>
      </w:hyperlink>
      <w:r w:rsidRPr="00D075BE">
        <w:rPr>
          <w:rFonts w:ascii="Arial" w:eastAsia="Arial" w:hAnsi="Arial" w:cs="Arial"/>
        </w:rPr>
        <w:t xml:space="preserve"> [Accessed on 28.07.2026].</w:t>
      </w:r>
    </w:p>
    <w:p w14:paraId="5D63AB28" w14:textId="77777777" w:rsidR="00D075BE" w:rsidRPr="00D075BE" w:rsidRDefault="00D075BE" w:rsidP="00D075BE">
      <w:pPr>
        <w:spacing w:after="240"/>
        <w:rPr>
          <w:rFonts w:ascii="Arial" w:eastAsia="Arial" w:hAnsi="Arial" w:cs="Arial"/>
        </w:rPr>
      </w:pPr>
      <w:r w:rsidRPr="00D075BE">
        <w:rPr>
          <w:rFonts w:ascii="Arial" w:eastAsia="Arial" w:hAnsi="Arial" w:cs="Arial"/>
        </w:rPr>
        <w:t>SP, (2025).</w:t>
      </w:r>
      <w:r w:rsidRPr="00D075BE">
        <w:rPr>
          <w:rFonts w:ascii="Arial" w:eastAsia="Arial" w:hAnsi="Arial" w:cs="Arial"/>
          <w:i/>
          <w:iCs/>
        </w:rPr>
        <w:t xml:space="preserve"> Gibbs Reflective Cycle.</w:t>
      </w:r>
      <w:r w:rsidRPr="00D075BE">
        <w:rPr>
          <w:rFonts w:ascii="Arial" w:eastAsia="Arial" w:hAnsi="Arial" w:cs="Arial"/>
        </w:rPr>
        <w:t xml:space="preserve"> Available at: </w:t>
      </w:r>
      <w:hyperlink r:id="rId54">
        <w:r w:rsidRPr="00D075BE">
          <w:rPr>
            <w:rFonts w:ascii="Arial" w:eastAsia="Arial" w:hAnsi="Arial" w:cs="Arial"/>
            <w:color w:val="0000FF"/>
            <w:u w:val="single"/>
          </w:rPr>
          <w:t>https://www.simplypsychology.org/gibbs-reflective-cycle.html</w:t>
        </w:r>
      </w:hyperlink>
      <w:r w:rsidRPr="00D075BE">
        <w:rPr>
          <w:rFonts w:ascii="Arial" w:eastAsia="Arial" w:hAnsi="Arial" w:cs="Arial"/>
        </w:rPr>
        <w:t xml:space="preserve"> [Accessed on 08.08.2026].</w:t>
      </w:r>
    </w:p>
    <w:p w14:paraId="53AA0708"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TCF, (2026). </w:t>
      </w:r>
      <w:r w:rsidRPr="00D075BE">
        <w:rPr>
          <w:rFonts w:ascii="Arial" w:eastAsia="Arial" w:hAnsi="Arial" w:cs="Arial"/>
          <w:i/>
          <w:iCs/>
        </w:rPr>
        <w:t xml:space="preserve">Hofstede Cultural Dimension of Bangladesh. </w:t>
      </w:r>
      <w:r w:rsidRPr="00D075BE">
        <w:rPr>
          <w:rFonts w:ascii="Arial" w:eastAsia="Arial" w:hAnsi="Arial" w:cs="Arial"/>
        </w:rPr>
        <w:t xml:space="preserve">Available at: </w:t>
      </w:r>
      <w:hyperlink r:id="rId55">
        <w:r w:rsidRPr="00D075BE">
          <w:rPr>
            <w:rFonts w:ascii="Arial" w:eastAsia="Arial" w:hAnsi="Arial" w:cs="Arial"/>
            <w:color w:val="0000FF"/>
            <w:u w:val="single"/>
          </w:rPr>
          <w:t>https://www.theculturefactor.com/country-comparison-tool?countries=bangladesh</w:t>
        </w:r>
      </w:hyperlink>
      <w:r w:rsidRPr="00D075BE">
        <w:rPr>
          <w:rFonts w:ascii="Arial" w:eastAsia="Arial" w:hAnsi="Arial" w:cs="Arial"/>
        </w:rPr>
        <w:t xml:space="preserve"> [Accessed on 01.08.2026].</w:t>
      </w:r>
    </w:p>
    <w:p w14:paraId="3CDC8E28" w14:textId="77777777" w:rsidR="00D075BE" w:rsidRPr="00D075BE" w:rsidRDefault="00D075BE" w:rsidP="00D075BE">
      <w:pPr>
        <w:spacing w:after="240"/>
        <w:rPr>
          <w:rFonts w:ascii="Arial" w:eastAsia="Arial" w:hAnsi="Arial" w:cs="Arial"/>
        </w:rPr>
      </w:pPr>
      <w:r w:rsidRPr="00D075BE">
        <w:rPr>
          <w:rFonts w:ascii="Arial" w:eastAsia="Arial" w:hAnsi="Arial" w:cs="Arial"/>
        </w:rPr>
        <w:t xml:space="preserve">TIP, (2026). </w:t>
      </w:r>
      <w:r w:rsidRPr="00D075BE">
        <w:rPr>
          <w:rFonts w:ascii="Arial" w:eastAsia="Arial" w:hAnsi="Arial" w:cs="Arial"/>
          <w:i/>
          <w:iCs/>
        </w:rPr>
        <w:t xml:space="preserve">Oil and Gas Exploration and Production Market Size, Share. </w:t>
      </w:r>
      <w:r w:rsidRPr="00D075BE">
        <w:rPr>
          <w:rFonts w:ascii="Arial" w:eastAsia="Arial" w:hAnsi="Arial" w:cs="Arial"/>
        </w:rPr>
        <w:t xml:space="preserve">Available at: </w:t>
      </w:r>
      <w:hyperlink r:id="rId56">
        <w:r w:rsidRPr="00D075BE">
          <w:rPr>
            <w:rFonts w:ascii="Arial" w:eastAsia="Arial" w:hAnsi="Arial" w:cs="Arial"/>
            <w:color w:val="0000FF"/>
          </w:rPr>
          <w:t>https://www.theinsightpartners.com/reports/oil-and-gas-exploration-and-production-market</w:t>
        </w:r>
      </w:hyperlink>
      <w:r w:rsidRPr="00D075BE">
        <w:rPr>
          <w:rFonts w:ascii="Arial" w:eastAsia="Arial" w:hAnsi="Arial" w:cs="Arial"/>
        </w:rPr>
        <w:t xml:space="preserve"> [Accessed on 01.08.2026].</w:t>
      </w:r>
    </w:p>
    <w:p w14:paraId="74465C9C" w14:textId="77777777" w:rsidR="00D075BE" w:rsidRPr="00D075BE" w:rsidRDefault="00D075BE" w:rsidP="00D075BE">
      <w:pPr>
        <w:spacing w:after="240"/>
        <w:rPr>
          <w:rFonts w:ascii="Arial" w:eastAsia="Arial" w:hAnsi="Arial" w:cs="Arial"/>
        </w:rPr>
      </w:pPr>
      <w:r w:rsidRPr="00D075BE">
        <w:rPr>
          <w:rFonts w:ascii="Arial" w:eastAsia="Arial" w:hAnsi="Arial" w:cs="Arial"/>
        </w:rPr>
        <w:lastRenderedPageBreak/>
        <w:t xml:space="preserve">Worldbank, (2026). </w:t>
      </w:r>
      <w:r w:rsidRPr="00D075BE">
        <w:rPr>
          <w:rFonts w:ascii="Arial" w:eastAsia="Arial" w:hAnsi="Arial" w:cs="Arial"/>
          <w:i/>
          <w:iCs/>
        </w:rPr>
        <w:t>Bangladesh</w:t>
      </w:r>
      <w:r w:rsidRPr="00D075BE">
        <w:rPr>
          <w:rFonts w:ascii="Arial" w:eastAsia="Arial" w:hAnsi="Arial" w:cs="Arial"/>
        </w:rPr>
        <w:t xml:space="preserve">. Available at: </w:t>
      </w:r>
      <w:hyperlink r:id="rId57">
        <w:r w:rsidRPr="00D075BE">
          <w:rPr>
            <w:rFonts w:ascii="Arial" w:eastAsia="Arial" w:hAnsi="Arial" w:cs="Arial"/>
            <w:color w:val="0000FF"/>
            <w:u w:val="single"/>
          </w:rPr>
          <w:t>https://www.worldbank.org/ext/en/country/bangladesh</w:t>
        </w:r>
      </w:hyperlink>
      <w:r w:rsidRPr="00D075BE">
        <w:rPr>
          <w:rFonts w:ascii="Arial" w:eastAsia="Arial" w:hAnsi="Arial" w:cs="Arial"/>
        </w:rPr>
        <w:t xml:space="preserve"> [Accessed on 05.08.2026].</w:t>
      </w:r>
    </w:p>
    <w:p w14:paraId="4A5BC2D5"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rPr>
        <w:t xml:space="preserve">Yusuf, J.A. and Yusuf, I.A., (2026). From lab to ledger: a sequential policy framework for de-risking biotechnological investments in environmental sustainability. </w:t>
      </w:r>
      <w:r w:rsidRPr="00D075BE">
        <w:rPr>
          <w:rFonts w:ascii="Arial" w:eastAsia="Arial" w:hAnsi="Arial" w:cs="Arial"/>
          <w:i/>
          <w:iCs/>
          <w:color w:val="222222"/>
        </w:rPr>
        <w:t>Frontiers in Environmental Engineering</w:t>
      </w:r>
      <w:r w:rsidRPr="00D075BE">
        <w:rPr>
          <w:rFonts w:ascii="Arial" w:eastAsia="Arial" w:hAnsi="Arial" w:cs="Arial"/>
          <w:color w:val="222222"/>
        </w:rPr>
        <w:t xml:space="preserve">, </w:t>
      </w:r>
      <w:r w:rsidRPr="00D075BE">
        <w:rPr>
          <w:rFonts w:ascii="Arial" w:eastAsia="Arial" w:hAnsi="Arial" w:cs="Arial"/>
          <w:i/>
          <w:iCs/>
          <w:color w:val="222222"/>
        </w:rPr>
        <w:t>5</w:t>
      </w:r>
      <w:r w:rsidRPr="00D075BE">
        <w:rPr>
          <w:rFonts w:ascii="Arial" w:eastAsia="Arial" w:hAnsi="Arial" w:cs="Arial"/>
          <w:color w:val="222222"/>
        </w:rPr>
        <w:t>, p.1844952.</w:t>
      </w:r>
      <w:r w:rsidRPr="00D075BE">
        <w:rPr>
          <w:rFonts w:ascii="Arial" w:eastAsia="Arial" w:hAnsi="Arial" w:cs="Arial"/>
        </w:rPr>
        <w:t xml:space="preserve"> </w:t>
      </w:r>
      <w:hyperlink r:id="rId58">
        <w:r w:rsidRPr="00D075BE">
          <w:rPr>
            <w:rFonts w:ascii="Arial" w:eastAsia="Arial" w:hAnsi="Arial" w:cs="Arial"/>
            <w:color w:val="1155CC"/>
            <w:u w:val="single"/>
          </w:rPr>
          <w:t>https://www.frontiersin.org/journals/environmental-engineering/articles/10.3389/fenve.2026.1844952/pdf</w:t>
        </w:r>
      </w:hyperlink>
      <w:r w:rsidRPr="00D075BE">
        <w:rPr>
          <w:rFonts w:ascii="Arial" w:eastAsia="Arial" w:hAnsi="Arial" w:cs="Arial"/>
        </w:rPr>
        <w:t xml:space="preserve"> </w:t>
      </w:r>
    </w:p>
    <w:p w14:paraId="3D4E5074" w14:textId="77777777" w:rsidR="00D075BE" w:rsidRPr="00D075BE" w:rsidRDefault="00D075BE" w:rsidP="00D075BE">
      <w:pPr>
        <w:spacing w:after="240"/>
        <w:rPr>
          <w:rFonts w:ascii="Arial" w:eastAsia="Arial" w:hAnsi="Arial" w:cs="Arial"/>
        </w:rPr>
      </w:pPr>
      <w:r w:rsidRPr="00D075BE">
        <w:rPr>
          <w:rFonts w:ascii="Arial" w:eastAsia="Arial" w:hAnsi="Arial" w:cs="Arial"/>
          <w:color w:val="222222"/>
          <w:highlight w:val="white"/>
        </w:rPr>
        <w:t>Zaman, M.A. and Razzak, M.A., (2022). Sustainable microgrid analysis for Kutubdia Island of Bangladesh. </w:t>
      </w:r>
      <w:r w:rsidRPr="00D075BE">
        <w:rPr>
          <w:rFonts w:ascii="Arial" w:eastAsia="Arial" w:hAnsi="Arial" w:cs="Arial"/>
          <w:i/>
          <w:iCs/>
          <w:color w:val="222222"/>
          <w:highlight w:val="white"/>
        </w:rPr>
        <w:t>IEEe Access</w:t>
      </w:r>
      <w:r w:rsidRPr="00D075BE">
        <w:rPr>
          <w:rFonts w:ascii="Arial" w:eastAsia="Arial" w:hAnsi="Arial" w:cs="Arial"/>
          <w:color w:val="222222"/>
          <w:highlight w:val="white"/>
        </w:rPr>
        <w:t>, </w:t>
      </w:r>
      <w:r w:rsidRPr="00D075BE">
        <w:rPr>
          <w:rFonts w:ascii="Arial" w:eastAsia="Arial" w:hAnsi="Arial" w:cs="Arial"/>
          <w:i/>
          <w:iCs/>
          <w:color w:val="222222"/>
          <w:highlight w:val="white"/>
        </w:rPr>
        <w:t>10</w:t>
      </w:r>
      <w:r w:rsidRPr="00D075BE">
        <w:rPr>
          <w:rFonts w:ascii="Arial" w:eastAsia="Arial" w:hAnsi="Arial" w:cs="Arial"/>
          <w:color w:val="222222"/>
          <w:highlight w:val="white"/>
        </w:rPr>
        <w:t xml:space="preserve">, pp.37533-37556. </w:t>
      </w:r>
      <w:hyperlink r:id="rId59">
        <w:r w:rsidRPr="00D075BE">
          <w:rPr>
            <w:rFonts w:ascii="Arial" w:eastAsia="Arial" w:hAnsi="Arial" w:cs="Arial"/>
            <w:color w:val="0000FF"/>
            <w:highlight w:val="white"/>
          </w:rPr>
          <w:t>https://ieeexplore.ieee.org/abstract/document/9749090/</w:t>
        </w:r>
      </w:hyperlink>
    </w:p>
    <w:sectPr w:rsidR="00D075BE" w:rsidRPr="00D075BE">
      <w:headerReference w:type="even" r:id="rId60"/>
      <w:headerReference w:type="default" r:id="rId61"/>
      <w:footerReference w:type="even" r:id="rId62"/>
      <w:footerReference w:type="default" r:id="rId63"/>
      <w:headerReference w:type="first" r:id="rId6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D81B0" w14:textId="77777777" w:rsidR="0077395C" w:rsidRDefault="0077395C">
      <w:pPr>
        <w:spacing w:line="240" w:lineRule="auto"/>
      </w:pPr>
      <w:r>
        <w:separator/>
      </w:r>
    </w:p>
  </w:endnote>
  <w:endnote w:type="continuationSeparator" w:id="0">
    <w:p w14:paraId="00D68E41" w14:textId="77777777" w:rsidR="0077395C" w:rsidRDefault="007739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4515EDE-757F-40BA-AF95-AFC22EF157EF}"/>
    <w:embedBold r:id="rId2" w:fontKey="{92AD18D7-9FC9-4009-8D8B-A1FCFE50609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82729897-62F1-4901-8EA1-C42BD3DE12B3}"/>
    <w:embedBold r:id="rId4" w:fontKey="{6AB6E6B5-FDC3-4F43-8EF2-9F685626578E}"/>
    <w:embedBoldItalic r:id="rId5" w:fontKey="{82CE541E-7B10-47D8-92B1-6E71604AF1BC}"/>
  </w:font>
  <w:font w:name="Cambria Math">
    <w:panose1 w:val="02040503050406030204"/>
    <w:charset w:val="00"/>
    <w:family w:val="roman"/>
    <w:pitch w:val="variable"/>
    <w:sig w:usb0="E00006FF" w:usb1="420024FF" w:usb2="02000000" w:usb3="00000000" w:csb0="0000019F" w:csb1="00000000"/>
    <w:embedRegular r:id="rId6" w:fontKey="{6C2DF2B1-4406-4A5E-91C2-9FE66D35AA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BFB8E" w14:textId="77777777" w:rsidR="00DF132F" w:rsidRDefault="00734483">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27E56DE" w14:textId="77777777" w:rsidR="00DF132F" w:rsidRDefault="00DF132F">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5CBE0E" w14:textId="77777777" w:rsidR="00DF132F" w:rsidRDefault="00734483">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075BE">
      <w:rPr>
        <w:noProof/>
        <w:color w:val="000000"/>
      </w:rPr>
      <w:t>1</w:t>
    </w:r>
    <w:r>
      <w:rPr>
        <w:color w:val="000000"/>
      </w:rPr>
      <w:fldChar w:fldCharType="end"/>
    </w:r>
  </w:p>
  <w:p w14:paraId="22F3E72B" w14:textId="77777777" w:rsidR="00DF132F" w:rsidRDefault="00DF132F">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964B3" w14:textId="77777777" w:rsidR="0077395C" w:rsidRDefault="0077395C">
      <w:pPr>
        <w:spacing w:line="240" w:lineRule="auto"/>
      </w:pPr>
      <w:r>
        <w:separator/>
      </w:r>
    </w:p>
  </w:footnote>
  <w:footnote w:type="continuationSeparator" w:id="0">
    <w:p w14:paraId="59409E06" w14:textId="77777777" w:rsidR="0077395C" w:rsidRDefault="007739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320BC" w14:textId="77777777" w:rsidR="00DF132F" w:rsidRDefault="00DF132F">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C5717" w14:textId="77777777" w:rsidR="00DF132F" w:rsidRDefault="00DF132F">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CEFDF" w14:textId="77777777" w:rsidR="00DF132F" w:rsidRDefault="00DF132F">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32F"/>
    <w:rsid w:val="00163106"/>
    <w:rsid w:val="00734483"/>
    <w:rsid w:val="0077395C"/>
    <w:rsid w:val="00CB2FE3"/>
    <w:rsid w:val="00D075BE"/>
    <w:rsid w:val="00DF12CD"/>
    <w:rsid w:val="00DF132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2FF38"/>
  <w15:docId w15:val="{B9CF63E4-F847-4C85-BD0C-32436EFD4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rsid w:val="00D075BE"/>
    <w:pPr>
      <w:keepNext/>
      <w:keepLines/>
      <w:outlineLvl w:val="1"/>
    </w:pPr>
    <w:rPr>
      <w:rFonts w:ascii="Arial" w:hAnsi="Arial"/>
      <w:b/>
      <w:bCs/>
    </w:rPr>
  </w:style>
  <w:style w:type="paragraph" w:styleId="Heading3">
    <w:name w:val="heading 3"/>
    <w:basedOn w:val="Normal"/>
    <w:next w:val="Normal"/>
    <w:uiPriority w:val="9"/>
    <w:unhideWhenUsed/>
    <w:qFormat/>
    <w:pPr>
      <w:keepNext/>
      <w:keepLines/>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Header">
    <w:name w:val="header"/>
    <w:basedOn w:val="Normal"/>
    <w:link w:val="HeaderChar"/>
    <w:uiPriority w:val="99"/>
    <w:unhideWhenUsed/>
    <w:rsid w:val="00EB12A7"/>
    <w:pPr>
      <w:tabs>
        <w:tab w:val="center" w:pos="4680"/>
        <w:tab w:val="right" w:pos="9360"/>
      </w:tabs>
      <w:spacing w:line="240" w:lineRule="auto"/>
    </w:pPr>
  </w:style>
  <w:style w:type="character" w:customStyle="1" w:styleId="HeaderChar">
    <w:name w:val="Header Char"/>
    <w:basedOn w:val="DefaultParagraphFont"/>
    <w:link w:val="Header"/>
    <w:uiPriority w:val="99"/>
    <w:rsid w:val="00EB12A7"/>
  </w:style>
  <w:style w:type="paragraph" w:styleId="Footer">
    <w:name w:val="footer"/>
    <w:basedOn w:val="Normal"/>
    <w:link w:val="FooterChar"/>
    <w:uiPriority w:val="99"/>
    <w:unhideWhenUsed/>
    <w:rsid w:val="00EB12A7"/>
    <w:pPr>
      <w:tabs>
        <w:tab w:val="center" w:pos="4680"/>
        <w:tab w:val="right" w:pos="9360"/>
      </w:tabs>
      <w:spacing w:line="240" w:lineRule="auto"/>
    </w:pPr>
  </w:style>
  <w:style w:type="character" w:customStyle="1" w:styleId="FooterChar">
    <w:name w:val="Footer Char"/>
    <w:basedOn w:val="DefaultParagraphFont"/>
    <w:link w:val="Footer"/>
    <w:uiPriority w:val="99"/>
    <w:rsid w:val="00EB12A7"/>
  </w:style>
  <w:style w:type="character" w:styleId="PageNumber">
    <w:name w:val="page number"/>
    <w:basedOn w:val="DefaultParagraphFont"/>
    <w:uiPriority w:val="99"/>
    <w:semiHidden/>
    <w:unhideWhenUsed/>
    <w:rsid w:val="008C0A47"/>
  </w:style>
  <w:style w:type="character" w:styleId="Hyperlink">
    <w:name w:val="Hyperlink"/>
    <w:basedOn w:val="DefaultParagraphFont"/>
    <w:uiPriority w:val="99"/>
    <w:unhideWhenUsed/>
    <w:rsid w:val="008C0A47"/>
    <w:rPr>
      <w:color w:val="0000FF" w:themeColor="hyperlink"/>
      <w:u w:val="single"/>
    </w:rPr>
  </w:style>
  <w:style w:type="paragraph" w:styleId="TOCHeading">
    <w:name w:val="TOC Heading"/>
    <w:basedOn w:val="Heading1"/>
    <w:next w:val="Normal"/>
    <w:uiPriority w:val="39"/>
    <w:unhideWhenUsed/>
    <w:qFormat/>
    <w:rsid w:val="00DA1ED4"/>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DA1ED4"/>
    <w:pPr>
      <w:spacing w:before="120"/>
      <w:jc w:val="left"/>
    </w:pPr>
    <w:rPr>
      <w:rFonts w:asciiTheme="minorHAnsi" w:hAnsiTheme="minorHAnsi"/>
      <w:b/>
      <w:bCs/>
      <w:i/>
      <w:iCs/>
    </w:rPr>
  </w:style>
  <w:style w:type="paragraph" w:styleId="TOC2">
    <w:name w:val="toc 2"/>
    <w:basedOn w:val="Normal"/>
    <w:next w:val="Normal"/>
    <w:autoRedefine/>
    <w:uiPriority w:val="39"/>
    <w:unhideWhenUsed/>
    <w:rsid w:val="00DA1ED4"/>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DA1ED4"/>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DA1ED4"/>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DA1ED4"/>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DA1ED4"/>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DA1ED4"/>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DA1ED4"/>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DA1ED4"/>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igi-global.com/chapter/international-market-entry-strategies/330186" TargetMode="External"/><Relationship Id="rId21" Type="http://schemas.openxmlformats.org/officeDocument/2006/relationships/hyperlink" Target="https://www.sciencedirect.com/science/article/pii/S2666790821001683" TargetMode="External"/><Relationship Id="rId34" Type="http://schemas.openxmlformats.org/officeDocument/2006/relationships/hyperlink" Target="https://link.springer.com/article/10.1007/S11356-021-13441-4" TargetMode="External"/><Relationship Id="rId42" Type="http://schemas.openxmlformats.org/officeDocument/2006/relationships/hyperlink" Target="https://onlinelibrary.wiley.com/doi/abs/10.1002/eng2.12752" TargetMode="External"/><Relationship Id="rId47" Type="http://schemas.openxmlformats.org/officeDocument/2006/relationships/hyperlink" Target="https://www.persistencemarketresearch.com/market-research/oil-and-gas-market.asp" TargetMode="External"/><Relationship Id="rId50" Type="http://schemas.openxmlformats.org/officeDocument/2006/relationships/hyperlink" Target="https://www.shell.com/what-we-do/oil-and-natural-gas/liquefied-natural-gas-lng/lng-outlook-2025.html" TargetMode="External"/><Relationship Id="rId55" Type="http://schemas.openxmlformats.org/officeDocument/2006/relationships/hyperlink" Target="https://www.theculturefactor.com/country-comparison-tool?countries=bangladesh" TargetMode="External"/><Relationship Id="rId63"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ell.com/heliyon/fulltext/S2405-8440(23)01515-3" TargetMode="External"/><Relationship Id="rId29" Type="http://schemas.openxmlformats.org/officeDocument/2006/relationships/hyperlink" Target="https://www.uhu.es/publicaciones/ojs/index.php/e-moti-on/article/view/7224" TargetMode="External"/><Relationship Id="rId11" Type="http://schemas.openxmlformats.org/officeDocument/2006/relationships/image" Target="media/image5.png"/><Relationship Id="rId24" Type="http://schemas.openxmlformats.org/officeDocument/2006/relationships/hyperlink" Target="https://www.global-climatescope.org/markets/bangladesh" TargetMode="External"/><Relationship Id="rId32" Type="http://schemas.openxmlformats.org/officeDocument/2006/relationships/hyperlink" Target="https://www.iea.org/countries/bangladesh" TargetMode="External"/><Relationship Id="rId37" Type="http://schemas.openxmlformats.org/officeDocument/2006/relationships/hyperlink" Target="https://www.sciencedirect.com/science/article/pii/S2211467X22000633" TargetMode="External"/><Relationship Id="rId40" Type="http://schemas.openxmlformats.org/officeDocument/2006/relationships/hyperlink" Target="https://link.springer.com/article/10.1007/s12551-021-00852-3" TargetMode="External"/><Relationship Id="rId45" Type="http://schemas.openxmlformats.org/officeDocument/2006/relationships/hyperlink" Target="https://ourworldindata.org/profile/energy/bangladesh" TargetMode="External"/><Relationship Id="rId53" Type="http://schemas.openxmlformats.org/officeDocument/2006/relationships/hyperlink" Target="https://www.sphericalinsights.com/blogs/top-20-oil-and-gas-companies-in-global-2025-statistics-view-by-spherical-insights-consulting" TargetMode="External"/><Relationship Id="rId58" Type="http://schemas.openxmlformats.org/officeDocument/2006/relationships/hyperlink" Target="https://www.frontiersin.org/journals/environmental-engineering/articles/10.3389/fenve.2026.1844952/pdf"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eader" Target="header2.xml"/><Relationship Id="rId19" Type="http://schemas.openxmlformats.org/officeDocument/2006/relationships/hyperlink" Target="https://www.researchgate.net/profile/Mahatab-Khandaker/publication/378863543_The_Geopolitics_of_Energy_Security_in_Bangladesh_A_Critical_Review/links/65f80aa4c05fd268801fc51c/The-Geopolitics-of-Energy-Security-in-Bangladesh-A-Critical-Review.pdf" TargetMode="External"/><Relationship Id="rId14" Type="http://schemas.openxmlformats.org/officeDocument/2006/relationships/image" Target="media/image8.png"/><Relationship Id="rId22" Type="http://schemas.openxmlformats.org/officeDocument/2006/relationships/hyperlink" Target="https://www.thebusinessresearchcompany.com/report/oil-and-gas-global-market-report" TargetMode="External"/><Relationship Id="rId27" Type="http://schemas.openxmlformats.org/officeDocument/2006/relationships/hyperlink" Target="https://www.fortunebusinessinsights.com/oil-and-gas-market-111534" TargetMode="External"/><Relationship Id="rId30" Type="http://schemas.openxmlformats.org/officeDocument/2006/relationships/hyperlink" Target="https://www.giz.de/sites/default/files/media/pkb-document/2025-10/giz2025-en-bangladesh-pdp-sector-analysis-process-heat.pdf" TargetMode="External"/><Relationship Id="rId35" Type="http://schemas.openxmlformats.org/officeDocument/2006/relationships/hyperlink" Target="https://www.mdpi.com/2071-1050/14/22/14819" TargetMode="External"/><Relationship Id="rId43" Type="http://schemas.openxmlformats.org/officeDocument/2006/relationships/hyperlink" Target="https://link.springer.com/article/10.1007/s10690-021-09335-7" TargetMode="External"/><Relationship Id="rId48" Type="http://schemas.openxmlformats.org/officeDocument/2006/relationships/hyperlink" Target="https://link.springer.com/article/10.1007/s11356-021-18061-6" TargetMode="External"/><Relationship Id="rId56" Type="http://schemas.openxmlformats.org/officeDocument/2006/relationships/hyperlink" Target="https://www.theinsightpartners.com/reports/oil-and-gas-exploration-and-production-market" TargetMode="External"/><Relationship Id="rId64"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hyperlink" Target="https://www.shell.com/business-customers/chemicals/about-shell-chemicals/our-joint-ventures.html"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link.springer.com/article/10.1186/s12909-024-06593-7" TargetMode="External"/><Relationship Id="rId25" Type="http://schemas.openxmlformats.org/officeDocument/2006/relationships/hyperlink" Target="https://www.deloitte.com/us/en/insights/industry/oil-and-gas/oil-and-gas-industry-outlook-2025.html" TargetMode="External"/><Relationship Id="rId33" Type="http://schemas.openxmlformats.org/officeDocument/2006/relationships/hyperlink" Target="https://www.imarcgroup.com/oil-gas-market" TargetMode="External"/><Relationship Id="rId38" Type="http://schemas.openxmlformats.org/officeDocument/2006/relationships/hyperlink" Target="https://www.mdpi.com/2071-1050/13/14/7694" TargetMode="External"/><Relationship Id="rId46" Type="http://schemas.openxmlformats.org/officeDocument/2006/relationships/hyperlink" Target="https://journals.sagepub.com/doi/abs/10.1177/1475725720966190" TargetMode="External"/><Relationship Id="rId59" Type="http://schemas.openxmlformats.org/officeDocument/2006/relationships/hyperlink" Target="https://ieeexplore.ieee.org/abstract/document/9749090/" TargetMode="External"/><Relationship Id="rId20" Type="http://schemas.openxmlformats.org/officeDocument/2006/relationships/hyperlink" Target="https://www.mdpi.com/1996-1073/16/7/3151" TargetMode="External"/><Relationship Id="rId41" Type="http://schemas.openxmlformats.org/officeDocument/2006/relationships/hyperlink" Target="https://www.mordorintelligence.com/industry-reports/oil-and-gas-infrastructure-market" TargetMode="External"/><Relationship Id="rId54" Type="http://schemas.openxmlformats.org/officeDocument/2006/relationships/hyperlink" Target="https://www.simplypsychology.org/gibbs-reflective-cycle.html"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link.springer.com/article/10.1007/s10668-020-00627-y" TargetMode="External"/><Relationship Id="rId28" Type="http://schemas.openxmlformats.org/officeDocument/2006/relationships/hyperlink" Target="https://www.sciencedirect.com/science/article/pii/S2214629620304023" TargetMode="External"/><Relationship Id="rId36" Type="http://schemas.openxmlformats.org/officeDocument/2006/relationships/hyperlink" Target="https://openresearch.ceu.edu/bitstreams/db851a38-75fa-435a-b4ac-8d48a4133853/download" TargetMode="External"/><Relationship Id="rId49" Type="http://schemas.openxmlformats.org/officeDocument/2006/relationships/hyperlink" Target="https://sanemnet.org/wp-content/uploads/2025/02/Final_Report_RE_Investment_SANEM.pdf" TargetMode="External"/><Relationship Id="rId57" Type="http://schemas.openxmlformats.org/officeDocument/2006/relationships/hyperlink" Target="https://www.worldbank.org/ext/en/country/bangladesh" TargetMode="External"/><Relationship Id="rId10" Type="http://schemas.openxmlformats.org/officeDocument/2006/relationships/image" Target="media/image4.png"/><Relationship Id="rId31" Type="http://schemas.openxmlformats.org/officeDocument/2006/relationships/hyperlink" Target="https://link.springer.com/article/10.1007/s10668-021-01704-6" TargetMode="External"/><Relationship Id="rId44" Type="http://schemas.openxmlformats.org/officeDocument/2006/relationships/hyperlink" Target="https://www.sciencedirect.com/science/article/pii/S0260691724003915" TargetMode="External"/><Relationship Id="rId52" Type="http://schemas.openxmlformats.org/officeDocument/2006/relationships/hyperlink" Target="https://www.shell.com/news-and-insights/scenarios/what-scenario-planning-models-does-shell-use/energy-resource-database.html" TargetMode="External"/><Relationship Id="rId60" Type="http://schemas.openxmlformats.org/officeDocument/2006/relationships/header" Target="header1.xm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cell.com/heliyon/fulltext/S2405-8440(24)03508-4" TargetMode="External"/><Relationship Id="rId39" Type="http://schemas.openxmlformats.org/officeDocument/2006/relationships/hyperlink" Target="https://journals.usek.edu.lb/aebj/vol15/iss1/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snBszM8SORN4sbZ2slCHuJ1IgA==">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8107</Words>
  <Characters>46215</Characters>
  <Application>Microsoft Office Word</Application>
  <DocSecurity>0</DocSecurity>
  <Lines>385</Lines>
  <Paragraphs>108</Paragraphs>
  <ScaleCrop>false</ScaleCrop>
  <Company/>
  <LinksUpToDate>false</LinksUpToDate>
  <CharactersWithSpaces>54214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Nareshbhai Parmar</dc:creator>
  <cp:lastModifiedBy>Ntombizodwa Ndlovu</cp:lastModifiedBy>
  <cp:revision>5</cp:revision>
  <dcterms:created xsi:type="dcterms:W3CDTF">2026-08-10T16:36:00Z</dcterms:created>
  <dcterms:modified xsi:type="dcterms:W3CDTF">2026-08-11T06:13:00Z</dcterms:modified>
</cp:coreProperties>
</file>