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F86" w:rsidRPr="00766721" w:rsidRDefault="009F66E1" w:rsidP="00766721">
      <w:pPr>
        <w:jc w:val="center"/>
        <w:rPr>
          <w:rFonts w:asciiTheme="majorHAnsi" w:hAnsiTheme="majorHAnsi" w:cstheme="majorHAnsi"/>
          <w:sz w:val="32"/>
          <w:u w:val="single"/>
          <w:lang w:val="en-US"/>
        </w:rPr>
      </w:pPr>
      <w:proofErr w:type="spellStart"/>
      <w:r w:rsidRPr="00766721">
        <w:rPr>
          <w:rFonts w:asciiTheme="majorHAnsi" w:hAnsiTheme="majorHAnsi" w:cstheme="majorHAnsi"/>
          <w:sz w:val="32"/>
          <w:u w:val="single"/>
          <w:lang w:val="en-US"/>
        </w:rPr>
        <w:t>Analyse</w:t>
      </w:r>
      <w:proofErr w:type="spellEnd"/>
      <w:r w:rsidRPr="00766721">
        <w:rPr>
          <w:rFonts w:asciiTheme="majorHAnsi" w:hAnsiTheme="majorHAnsi" w:cstheme="majorHAnsi"/>
          <w:sz w:val="32"/>
          <w:u w:val="single"/>
          <w:lang w:val="en-US"/>
        </w:rPr>
        <w:t xml:space="preserve"> the contribution of the </w:t>
      </w:r>
      <w:proofErr w:type="gramStart"/>
      <w:r w:rsidRPr="00766721">
        <w:rPr>
          <w:rFonts w:asciiTheme="majorHAnsi" w:hAnsiTheme="majorHAnsi" w:cstheme="majorHAnsi"/>
          <w:sz w:val="32"/>
          <w:u w:val="single"/>
          <w:lang w:val="en-US"/>
        </w:rPr>
        <w:t>Middle</w:t>
      </w:r>
      <w:proofErr w:type="gramEnd"/>
      <w:r w:rsidRPr="00766721">
        <w:rPr>
          <w:rFonts w:asciiTheme="majorHAnsi" w:hAnsiTheme="majorHAnsi" w:cstheme="majorHAnsi"/>
          <w:sz w:val="32"/>
          <w:u w:val="single"/>
          <w:lang w:val="en-US"/>
        </w:rPr>
        <w:t xml:space="preserve"> Ages to Jewish-Christian relations.</w:t>
      </w:r>
    </w:p>
    <w:p w:rsidR="006C1755" w:rsidRDefault="004D4F48" w:rsidP="009F66E1">
      <w:pPr>
        <w:rPr>
          <w:rFonts w:cstheme="minorHAnsi"/>
          <w:sz w:val="24"/>
          <w:lang w:val="en-US"/>
        </w:rPr>
      </w:pPr>
      <w:r>
        <w:rPr>
          <w:rFonts w:cstheme="minorHAnsi"/>
          <w:sz w:val="24"/>
          <w:lang w:val="en-US"/>
        </w:rPr>
        <w:t xml:space="preserve">The </w:t>
      </w:r>
      <w:proofErr w:type="gramStart"/>
      <w:r>
        <w:rPr>
          <w:rFonts w:cstheme="minorHAnsi"/>
          <w:sz w:val="24"/>
          <w:lang w:val="en-US"/>
        </w:rPr>
        <w:t>Middle</w:t>
      </w:r>
      <w:proofErr w:type="gramEnd"/>
      <w:r>
        <w:rPr>
          <w:rFonts w:cstheme="minorHAnsi"/>
          <w:sz w:val="24"/>
          <w:lang w:val="en-US"/>
        </w:rPr>
        <w:t xml:space="preserve"> A</w:t>
      </w:r>
      <w:r w:rsidR="00667A45">
        <w:rPr>
          <w:rFonts w:cstheme="minorHAnsi"/>
          <w:sz w:val="24"/>
          <w:lang w:val="en-US"/>
        </w:rPr>
        <w:t xml:space="preserve">ges was an important historical period for the relations between both Christianity and Judaism. This period marked the continued growth of Christianity’s dominance and presence throughout Europe and its influence in the </w:t>
      </w:r>
      <w:r w:rsidR="00EF4A6D">
        <w:rPr>
          <w:rFonts w:cstheme="minorHAnsi"/>
          <w:sz w:val="24"/>
          <w:lang w:val="en-US"/>
        </w:rPr>
        <w:t>Middle</w:t>
      </w:r>
      <w:r w:rsidR="00667A45">
        <w:rPr>
          <w:rFonts w:cstheme="minorHAnsi"/>
          <w:sz w:val="24"/>
          <w:lang w:val="en-US"/>
        </w:rPr>
        <w:t xml:space="preserve"> East with the many crusades which took place. </w:t>
      </w:r>
      <w:r w:rsidR="00EF4A6D">
        <w:rPr>
          <w:rFonts w:cstheme="minorHAnsi"/>
          <w:sz w:val="24"/>
          <w:lang w:val="en-US"/>
        </w:rPr>
        <w:t>While this period was great for Christianity, the same cannot be said for those who followed</w:t>
      </w:r>
      <w:r w:rsidR="009D59EA">
        <w:rPr>
          <w:rFonts w:cstheme="minorHAnsi"/>
          <w:sz w:val="24"/>
          <w:lang w:val="en-US"/>
        </w:rPr>
        <w:t xml:space="preserve"> the</w:t>
      </w:r>
      <w:r w:rsidR="00EF4A6D">
        <w:rPr>
          <w:rFonts w:cstheme="minorHAnsi"/>
          <w:sz w:val="24"/>
          <w:lang w:val="en-US"/>
        </w:rPr>
        <w:t xml:space="preserve"> Jewish faith. These were times of great hardship for Jews as they were persecuted throughout both Europe and the Middle East by the Christian leadership. </w:t>
      </w:r>
      <w:r w:rsidR="00B71F86">
        <w:rPr>
          <w:rFonts w:cstheme="minorHAnsi"/>
          <w:sz w:val="24"/>
          <w:lang w:val="en-US"/>
        </w:rPr>
        <w:t xml:space="preserve">This practice of anti-Semitism had become a normal occurrence in Christianity due to the anti-Jewish beliefs taught by the Church Fathers prior to the middle ages. The Jewish communities would be condemned for a numerous amount of crimes which they had not committed and in many cases would be used as the scapegoat </w:t>
      </w:r>
      <w:r w:rsidR="006C1755">
        <w:rPr>
          <w:rFonts w:cstheme="minorHAnsi"/>
          <w:sz w:val="24"/>
          <w:lang w:val="en-US"/>
        </w:rPr>
        <w:t xml:space="preserve">for disasters like the plague. </w:t>
      </w:r>
    </w:p>
    <w:p w:rsidR="00B71F86" w:rsidRDefault="00960B00" w:rsidP="009F66E1">
      <w:pPr>
        <w:rPr>
          <w:rFonts w:cstheme="minorHAnsi"/>
          <w:sz w:val="24"/>
          <w:lang w:val="en-US"/>
        </w:rPr>
      </w:pPr>
      <w:r>
        <w:rPr>
          <w:rFonts w:cstheme="minorHAnsi"/>
          <w:sz w:val="24"/>
          <w:lang w:val="en-US"/>
        </w:rPr>
        <w:t xml:space="preserve">The Christian Church Fathers from the first few centuries of the Common Era can be seen as promoting the negative anti-Semitic views which were popular throughout medieval Europe. These important figures in the Church believed and followed the </w:t>
      </w:r>
      <w:proofErr w:type="spellStart"/>
      <w:r>
        <w:rPr>
          <w:rFonts w:cstheme="minorHAnsi"/>
          <w:i/>
          <w:sz w:val="24"/>
          <w:lang w:val="en-US"/>
        </w:rPr>
        <w:t>Adversos</w:t>
      </w:r>
      <w:proofErr w:type="spellEnd"/>
      <w:r>
        <w:rPr>
          <w:rFonts w:cstheme="minorHAnsi"/>
          <w:i/>
          <w:sz w:val="24"/>
          <w:lang w:val="en-US"/>
        </w:rPr>
        <w:t xml:space="preserve"> </w:t>
      </w:r>
      <w:proofErr w:type="spellStart"/>
      <w:r>
        <w:rPr>
          <w:rFonts w:cstheme="minorHAnsi"/>
          <w:i/>
          <w:sz w:val="24"/>
          <w:lang w:val="en-US"/>
        </w:rPr>
        <w:t>Judaeos</w:t>
      </w:r>
      <w:proofErr w:type="spellEnd"/>
      <w:r>
        <w:rPr>
          <w:rFonts w:cstheme="minorHAnsi"/>
          <w:sz w:val="24"/>
          <w:lang w:val="en-US"/>
        </w:rPr>
        <w:t xml:space="preserve"> (this is a Latin phrase for ‘against the Jews’) tradition</w:t>
      </w:r>
      <w:r w:rsidR="007330E0">
        <w:rPr>
          <w:rStyle w:val="FootnoteReference"/>
          <w:rFonts w:cstheme="minorHAnsi"/>
          <w:sz w:val="24"/>
          <w:lang w:val="en-US"/>
        </w:rPr>
        <w:footnoteReference w:id="1"/>
      </w:r>
      <w:r>
        <w:rPr>
          <w:rFonts w:cstheme="minorHAnsi"/>
          <w:sz w:val="24"/>
          <w:lang w:val="en-US"/>
        </w:rPr>
        <w:t xml:space="preserve">. </w:t>
      </w:r>
      <w:r w:rsidR="00233ED6">
        <w:rPr>
          <w:rFonts w:cstheme="minorHAnsi"/>
          <w:sz w:val="24"/>
          <w:lang w:val="en-US"/>
        </w:rPr>
        <w:t xml:space="preserve">This tradition allowed them to adopt more writings which aimed to paint Jews as a bad race of people which have been rejected by their God for their previous crimes. An example of these bad crimes committed by the Jews would be rejecting Jesus as the Messiah and being one of the main causes for his death in the first century. </w:t>
      </w:r>
    </w:p>
    <w:p w:rsidR="00353C5D" w:rsidRDefault="006A61B8" w:rsidP="009F66E1">
      <w:pPr>
        <w:rPr>
          <w:rFonts w:cstheme="minorHAnsi"/>
          <w:sz w:val="24"/>
          <w:lang w:val="en-US"/>
        </w:rPr>
      </w:pPr>
      <w:r>
        <w:rPr>
          <w:rFonts w:cstheme="minorHAnsi"/>
          <w:sz w:val="24"/>
          <w:lang w:val="en-US"/>
        </w:rPr>
        <w:t xml:space="preserve">One of the Latin Church fathers called Tertullian from </w:t>
      </w:r>
      <w:r w:rsidR="00CF41E6">
        <w:rPr>
          <w:rFonts w:cstheme="minorHAnsi"/>
          <w:sz w:val="24"/>
          <w:lang w:val="en-US"/>
        </w:rPr>
        <w:t>the ancient North African city of Carthage</w:t>
      </w:r>
      <w:r w:rsidR="000D6622">
        <w:rPr>
          <w:rFonts w:cstheme="minorHAnsi"/>
          <w:sz w:val="24"/>
          <w:lang w:val="en-US"/>
        </w:rPr>
        <w:t xml:space="preserve"> (Now located in </w:t>
      </w:r>
      <w:r w:rsidR="008B346E">
        <w:rPr>
          <w:rFonts w:cstheme="minorHAnsi"/>
          <w:sz w:val="24"/>
          <w:lang w:val="en-US"/>
        </w:rPr>
        <w:t>Tunisia) published writings regarding</w:t>
      </w:r>
      <w:r w:rsidR="000D6622">
        <w:rPr>
          <w:rFonts w:cstheme="minorHAnsi"/>
          <w:sz w:val="24"/>
          <w:lang w:val="en-US"/>
        </w:rPr>
        <w:t xml:space="preserve"> </w:t>
      </w:r>
      <w:proofErr w:type="spellStart"/>
      <w:r w:rsidR="000D6622">
        <w:rPr>
          <w:rFonts w:cstheme="minorHAnsi"/>
          <w:sz w:val="24"/>
          <w:lang w:val="en-US"/>
        </w:rPr>
        <w:t>Adversus</w:t>
      </w:r>
      <w:proofErr w:type="spellEnd"/>
      <w:r w:rsidR="000D6622">
        <w:rPr>
          <w:rFonts w:cstheme="minorHAnsi"/>
          <w:sz w:val="24"/>
          <w:lang w:val="en-US"/>
        </w:rPr>
        <w:t xml:space="preserve"> </w:t>
      </w:r>
      <w:proofErr w:type="spellStart"/>
      <w:r w:rsidR="000D6622">
        <w:rPr>
          <w:rFonts w:cstheme="minorHAnsi"/>
          <w:sz w:val="24"/>
          <w:lang w:val="en-US"/>
        </w:rPr>
        <w:t>Judaeos</w:t>
      </w:r>
      <w:proofErr w:type="spellEnd"/>
      <w:r w:rsidR="000D6622">
        <w:rPr>
          <w:rFonts w:cstheme="minorHAnsi"/>
          <w:sz w:val="24"/>
          <w:lang w:val="en-US"/>
        </w:rPr>
        <w:t xml:space="preserve"> which transcripts an argument between a Christian and a Jewish convert</w:t>
      </w:r>
      <w:r w:rsidR="00175E48">
        <w:rPr>
          <w:rStyle w:val="FootnoteReference"/>
          <w:rFonts w:cstheme="minorHAnsi"/>
          <w:sz w:val="24"/>
          <w:lang w:val="en-US"/>
        </w:rPr>
        <w:footnoteReference w:id="2"/>
      </w:r>
      <w:r w:rsidR="000D6622">
        <w:rPr>
          <w:rFonts w:cstheme="minorHAnsi"/>
          <w:sz w:val="24"/>
          <w:lang w:val="en-US"/>
        </w:rPr>
        <w:t xml:space="preserve">. The aim of this writing is to show that the Jewish people rejected the message of God and Christ as their Messiah. </w:t>
      </w:r>
      <w:r w:rsidR="00514249">
        <w:rPr>
          <w:rFonts w:cstheme="minorHAnsi"/>
          <w:sz w:val="24"/>
          <w:lang w:val="en-US"/>
        </w:rPr>
        <w:t xml:space="preserve">The Church fathers used these writings to characterize Jews as an arrogant people who were not willing to accept the truth about the Messiah and their unwillingness to convert to Christianity. </w:t>
      </w:r>
    </w:p>
    <w:p w:rsidR="00514249" w:rsidRDefault="00BD717D" w:rsidP="009F66E1">
      <w:pPr>
        <w:rPr>
          <w:rFonts w:cstheme="minorHAnsi"/>
          <w:sz w:val="24"/>
          <w:lang w:val="en-US"/>
        </w:rPr>
      </w:pPr>
      <w:r>
        <w:rPr>
          <w:rFonts w:cstheme="minorHAnsi"/>
          <w:sz w:val="24"/>
          <w:lang w:val="en-US"/>
        </w:rPr>
        <w:t xml:space="preserve">Many of the early Church fathers believed that they were now the chosen people of God and had taken this right away from the Jews. They believed that they had replaced the Jews in this important role for their acceptance of Christ as the Messiah. Because the Jewish people rejected Christ as the Messiah they in turn were seen as not upholding the Covenant and were unable to fulfill their role as Gods chosen people. The doctrines written by Paul the Apostle were also </w:t>
      </w:r>
      <w:r w:rsidR="006C1755">
        <w:rPr>
          <w:rFonts w:cstheme="minorHAnsi"/>
          <w:sz w:val="24"/>
          <w:lang w:val="en-US"/>
        </w:rPr>
        <w:t xml:space="preserve">followed closely by the early Church fathers when it came to the attitude towards the Jewish people. One of these Pauline based beliefs was that the </w:t>
      </w:r>
      <w:r w:rsidR="006C1755">
        <w:rPr>
          <w:rFonts w:cstheme="minorHAnsi"/>
          <w:i/>
          <w:sz w:val="24"/>
          <w:lang w:val="en-US"/>
        </w:rPr>
        <w:t>gentiles</w:t>
      </w:r>
      <w:r w:rsidR="006C1755">
        <w:rPr>
          <w:rFonts w:cstheme="minorHAnsi"/>
          <w:sz w:val="24"/>
          <w:lang w:val="en-US"/>
        </w:rPr>
        <w:t xml:space="preserve"> (a person who is not Jewish) had now become the true descendants of the patriarch Abraham instead of the previous Jewish people. </w:t>
      </w:r>
    </w:p>
    <w:p w:rsidR="006C1755" w:rsidRDefault="006C1755" w:rsidP="009F66E1">
      <w:pPr>
        <w:rPr>
          <w:rFonts w:cstheme="minorHAnsi"/>
          <w:sz w:val="24"/>
          <w:lang w:val="en-US"/>
        </w:rPr>
      </w:pPr>
      <w:r>
        <w:rPr>
          <w:rFonts w:cstheme="minorHAnsi"/>
          <w:sz w:val="24"/>
          <w:lang w:val="en-US"/>
        </w:rPr>
        <w:lastRenderedPageBreak/>
        <w:t xml:space="preserve">These anti-Semitic views from the early Church fathers laid the groundworks to how many people throughout the medieval period saw the Jewish people. Instead of being viewed as a normal religious group living in society, they were persecuted and punished for the supposed crimes their ancestors performed centuries ago. </w:t>
      </w:r>
      <w:r w:rsidR="00CD0CF7">
        <w:rPr>
          <w:rFonts w:cstheme="minorHAnsi"/>
          <w:sz w:val="24"/>
          <w:lang w:val="en-US"/>
        </w:rPr>
        <w:t xml:space="preserve">Many of the kingdoms and empires which were active during this period were run by those belonging to the Christian faith, this meant that the leadership in many of the countries in which these Jews had settled down in contained anti-Semitic views on their place in society. </w:t>
      </w:r>
    </w:p>
    <w:p w:rsidR="00CD0CF7" w:rsidRDefault="00CD0CF7" w:rsidP="009F66E1">
      <w:pPr>
        <w:rPr>
          <w:rFonts w:cstheme="minorHAnsi"/>
          <w:sz w:val="24"/>
          <w:lang w:val="en-US"/>
        </w:rPr>
      </w:pPr>
      <w:r>
        <w:rPr>
          <w:rFonts w:cstheme="minorHAnsi"/>
          <w:sz w:val="24"/>
          <w:lang w:val="en-US"/>
        </w:rPr>
        <w:t>One of the largest empires during the medieval period was the Byzantine Empire (formerly known as the East Roman Empire prior to the collapse of the Roman Empire in the 5</w:t>
      </w:r>
      <w:r w:rsidRPr="00CD0CF7">
        <w:rPr>
          <w:rFonts w:cstheme="minorHAnsi"/>
          <w:sz w:val="24"/>
          <w:vertAlign w:val="superscript"/>
          <w:lang w:val="en-US"/>
        </w:rPr>
        <w:t>th</w:t>
      </w:r>
      <w:r>
        <w:rPr>
          <w:rFonts w:cstheme="minorHAnsi"/>
          <w:sz w:val="24"/>
          <w:lang w:val="en-US"/>
        </w:rPr>
        <w:t xml:space="preserve"> century). </w:t>
      </w:r>
      <w:r w:rsidR="009F28EA">
        <w:rPr>
          <w:rFonts w:cstheme="minorHAnsi"/>
          <w:sz w:val="24"/>
          <w:lang w:val="en-US"/>
        </w:rPr>
        <w:t xml:space="preserve">Christianity was the leading religion of the empire and its leadership had close ties to both the Church and its anti-Semitic viewpoints on the Jewish people. Previously in the Roman Empire the Jews were seen as being </w:t>
      </w:r>
      <w:proofErr w:type="spellStart"/>
      <w:r w:rsidR="009F28EA">
        <w:rPr>
          <w:rFonts w:cstheme="minorHAnsi"/>
          <w:i/>
          <w:sz w:val="24"/>
          <w:lang w:val="en-US"/>
        </w:rPr>
        <w:t>religio</w:t>
      </w:r>
      <w:proofErr w:type="spellEnd"/>
      <w:r w:rsidR="009F28EA">
        <w:rPr>
          <w:rFonts w:cstheme="minorHAnsi"/>
          <w:i/>
          <w:sz w:val="24"/>
          <w:lang w:val="en-US"/>
        </w:rPr>
        <w:t xml:space="preserve"> </w:t>
      </w:r>
      <w:proofErr w:type="spellStart"/>
      <w:r w:rsidR="009F28EA">
        <w:rPr>
          <w:rFonts w:cstheme="minorHAnsi"/>
          <w:i/>
          <w:sz w:val="24"/>
          <w:lang w:val="en-US"/>
        </w:rPr>
        <w:t>licita</w:t>
      </w:r>
      <w:proofErr w:type="spellEnd"/>
      <w:r w:rsidR="009F28EA">
        <w:rPr>
          <w:rFonts w:cstheme="minorHAnsi"/>
          <w:i/>
          <w:sz w:val="24"/>
          <w:lang w:val="en-US"/>
        </w:rPr>
        <w:t xml:space="preserve"> </w:t>
      </w:r>
      <w:r w:rsidR="009F28EA">
        <w:rPr>
          <w:rFonts w:cstheme="minorHAnsi"/>
          <w:sz w:val="24"/>
          <w:lang w:val="en-US"/>
        </w:rPr>
        <w:t>(this was a term which was used in the Roman Empire to describe a religion which is permitted under its laws), however because the Byzantine leadership was led by anti-Semitic Christians they planned on applying restrictions and punishments for Jews living in their empire.</w:t>
      </w:r>
      <w:r w:rsidR="007330E0">
        <w:rPr>
          <w:rStyle w:val="FootnoteReference"/>
          <w:rFonts w:cstheme="minorHAnsi"/>
          <w:sz w:val="24"/>
          <w:lang w:val="en-US"/>
        </w:rPr>
        <w:footnoteReference w:id="3"/>
      </w:r>
      <w:r w:rsidR="009F28EA">
        <w:rPr>
          <w:rFonts w:cstheme="minorHAnsi"/>
          <w:sz w:val="24"/>
          <w:lang w:val="en-US"/>
        </w:rPr>
        <w:t xml:space="preserve"> </w:t>
      </w:r>
    </w:p>
    <w:p w:rsidR="009F28EA" w:rsidRDefault="00B611EF" w:rsidP="009F66E1">
      <w:pPr>
        <w:rPr>
          <w:rFonts w:cstheme="minorHAnsi"/>
          <w:sz w:val="24"/>
          <w:lang w:val="en-US"/>
        </w:rPr>
      </w:pPr>
      <w:r>
        <w:rPr>
          <w:rFonts w:cstheme="minorHAnsi"/>
          <w:sz w:val="24"/>
          <w:lang w:val="en-US"/>
        </w:rPr>
        <w:t xml:space="preserve">The new set of legalization </w:t>
      </w:r>
      <w:r w:rsidR="00264BA5">
        <w:rPr>
          <w:rFonts w:cstheme="minorHAnsi"/>
          <w:sz w:val="24"/>
          <w:lang w:val="en-US"/>
        </w:rPr>
        <w:t>published by the Church in both the 5</w:t>
      </w:r>
      <w:r w:rsidR="00264BA5" w:rsidRPr="00264BA5">
        <w:rPr>
          <w:rFonts w:cstheme="minorHAnsi"/>
          <w:sz w:val="24"/>
          <w:vertAlign w:val="superscript"/>
          <w:lang w:val="en-US"/>
        </w:rPr>
        <w:t>th</w:t>
      </w:r>
      <w:r w:rsidR="00264BA5">
        <w:rPr>
          <w:rFonts w:cstheme="minorHAnsi"/>
          <w:sz w:val="24"/>
          <w:lang w:val="en-US"/>
        </w:rPr>
        <w:t xml:space="preserve"> and 6</w:t>
      </w:r>
      <w:r w:rsidR="00264BA5" w:rsidRPr="00264BA5">
        <w:rPr>
          <w:rFonts w:cstheme="minorHAnsi"/>
          <w:sz w:val="24"/>
          <w:vertAlign w:val="superscript"/>
          <w:lang w:val="en-US"/>
        </w:rPr>
        <w:t>th</w:t>
      </w:r>
      <w:r w:rsidR="00264BA5">
        <w:rPr>
          <w:rFonts w:cstheme="minorHAnsi"/>
          <w:sz w:val="24"/>
          <w:lang w:val="en-US"/>
        </w:rPr>
        <w:t xml:space="preserve"> centuries started the declining standards of how the Jews were treated and viewed in the </w:t>
      </w:r>
      <w:proofErr w:type="gramStart"/>
      <w:r w:rsidR="00264BA5">
        <w:rPr>
          <w:rFonts w:cstheme="minorHAnsi"/>
          <w:sz w:val="24"/>
          <w:lang w:val="en-US"/>
        </w:rPr>
        <w:t>Medieval</w:t>
      </w:r>
      <w:proofErr w:type="gramEnd"/>
      <w:r w:rsidR="00264BA5">
        <w:rPr>
          <w:rFonts w:cstheme="minorHAnsi"/>
          <w:sz w:val="24"/>
          <w:lang w:val="en-US"/>
        </w:rPr>
        <w:t xml:space="preserve"> period by both Christians and others. The aim of these new restrictions by the Church was to make those belonging to Christianity look superior in society than those who did not follow the same faith, this was the same reason that they simply did not just deport all of the Jews from the lands belonging to Christian leadership, instead they simply removed their basic rights and made them look like a weak people. </w:t>
      </w:r>
    </w:p>
    <w:p w:rsidR="00264BA5" w:rsidRDefault="00264BA5" w:rsidP="009F66E1">
      <w:pPr>
        <w:rPr>
          <w:rFonts w:cstheme="minorHAnsi"/>
          <w:sz w:val="24"/>
          <w:lang w:val="en-US"/>
        </w:rPr>
      </w:pPr>
      <w:r>
        <w:rPr>
          <w:rFonts w:cstheme="minorHAnsi"/>
          <w:sz w:val="24"/>
          <w:lang w:val="en-US"/>
        </w:rPr>
        <w:t>One of the largest legalizations which came into place during the 5</w:t>
      </w:r>
      <w:r w:rsidRPr="00264BA5">
        <w:rPr>
          <w:rFonts w:cstheme="minorHAnsi"/>
          <w:sz w:val="24"/>
          <w:vertAlign w:val="superscript"/>
          <w:lang w:val="en-US"/>
        </w:rPr>
        <w:t>th</w:t>
      </w:r>
      <w:r>
        <w:rPr>
          <w:rFonts w:cstheme="minorHAnsi"/>
          <w:sz w:val="24"/>
          <w:lang w:val="en-US"/>
        </w:rPr>
        <w:t xml:space="preserve"> century which restricted the rights of Jews living in the Byzantine Empire was the </w:t>
      </w:r>
      <w:r>
        <w:rPr>
          <w:rFonts w:cstheme="minorHAnsi"/>
          <w:i/>
          <w:sz w:val="24"/>
          <w:lang w:val="en-US"/>
        </w:rPr>
        <w:t xml:space="preserve">Codex </w:t>
      </w:r>
      <w:proofErr w:type="spellStart"/>
      <w:r>
        <w:rPr>
          <w:rFonts w:cstheme="minorHAnsi"/>
          <w:i/>
          <w:sz w:val="24"/>
          <w:lang w:val="en-US"/>
        </w:rPr>
        <w:t>Theodosianus</w:t>
      </w:r>
      <w:proofErr w:type="spellEnd"/>
      <w:r>
        <w:rPr>
          <w:rFonts w:cstheme="minorHAnsi"/>
          <w:sz w:val="24"/>
          <w:lang w:val="en-US"/>
        </w:rPr>
        <w:t xml:space="preserve">. </w:t>
      </w:r>
      <w:r w:rsidR="002C7F89">
        <w:rPr>
          <w:rFonts w:cstheme="minorHAnsi"/>
          <w:sz w:val="24"/>
          <w:lang w:val="en-US"/>
        </w:rPr>
        <w:t>This was a codex which contained the writings of all the laws and commissions from the period in which the previous Roman Emperor Constantine (272-337 CE) ruled. The Codex was issued by the Byzantine Emperor Theodosius II (401-450 CE) during his reign of the empire in the early 5</w:t>
      </w:r>
      <w:r w:rsidR="002C7F89" w:rsidRPr="002C7F89">
        <w:rPr>
          <w:rFonts w:cstheme="minorHAnsi"/>
          <w:sz w:val="24"/>
          <w:vertAlign w:val="superscript"/>
          <w:lang w:val="en-US"/>
        </w:rPr>
        <w:t>th</w:t>
      </w:r>
      <w:r w:rsidR="002C7F89">
        <w:rPr>
          <w:rFonts w:cstheme="minorHAnsi"/>
          <w:sz w:val="24"/>
          <w:lang w:val="en-US"/>
        </w:rPr>
        <w:t xml:space="preserve"> century. After this code became law many new restrictions came into place towards the Jews. </w:t>
      </w:r>
    </w:p>
    <w:p w:rsidR="002C7F89" w:rsidRDefault="002C7F89" w:rsidP="009F66E1">
      <w:pPr>
        <w:rPr>
          <w:rFonts w:cstheme="minorHAnsi"/>
          <w:sz w:val="24"/>
          <w:lang w:val="en-US"/>
        </w:rPr>
      </w:pPr>
      <w:r>
        <w:rPr>
          <w:rFonts w:cstheme="minorHAnsi"/>
          <w:sz w:val="24"/>
          <w:lang w:val="en-US"/>
        </w:rPr>
        <w:t xml:space="preserve">One of the new laws became a massive problem for the Jewish people was that they were unable to convert anybody to their faith. </w:t>
      </w:r>
      <w:r w:rsidR="005D5DF5">
        <w:rPr>
          <w:rFonts w:cstheme="minorHAnsi"/>
          <w:sz w:val="24"/>
          <w:lang w:val="en-US"/>
        </w:rPr>
        <w:t xml:space="preserve">During this period it was legal for those living under the Byzantine Empire rule to have ownership and to trade slaves in their communities. Previously this allowed those belonging to both Christianity and Judaism to convert their slaves to become members of their faith, however because of the new laws set in place by Church this was now prohibited for Jews. </w:t>
      </w:r>
      <w:r w:rsidR="00982D2E">
        <w:rPr>
          <w:rFonts w:cstheme="minorHAnsi"/>
          <w:sz w:val="24"/>
          <w:lang w:val="en-US"/>
        </w:rPr>
        <w:t xml:space="preserve">For example one of the laws stated: </w:t>
      </w:r>
    </w:p>
    <w:p w:rsidR="00982D2E" w:rsidRDefault="00982D2E" w:rsidP="00982D2E">
      <w:pPr>
        <w:pStyle w:val="Quote"/>
        <w:rPr>
          <w:b/>
          <w:i w:val="0"/>
          <w:lang w:val="en-US"/>
        </w:rPr>
      </w:pPr>
      <w:r>
        <w:rPr>
          <w:lang w:val="en-US"/>
        </w:rPr>
        <w:t>“W</w:t>
      </w:r>
      <w:r w:rsidRPr="00982D2E">
        <w:rPr>
          <w:lang w:val="en-US"/>
        </w:rPr>
        <w:t>e forbid that any synagogue shall rise as a new building. However, the proppin</w:t>
      </w:r>
      <w:r>
        <w:rPr>
          <w:lang w:val="en-US"/>
        </w:rPr>
        <w:t>g up of old synagogues which ar</w:t>
      </w:r>
      <w:r w:rsidRPr="00982D2E">
        <w:rPr>
          <w:lang w:val="en-US"/>
        </w:rPr>
        <w:t xml:space="preserve">e now threatened with imminent ruin is permitted. To these things we add that he who misleads a slave or a freeman against his will or by punishable advice, from the service of the Christian religion </w:t>
      </w:r>
      <w:r w:rsidRPr="00982D2E">
        <w:rPr>
          <w:lang w:val="en-US"/>
        </w:rPr>
        <w:lastRenderedPageBreak/>
        <w:t xml:space="preserve">to that of an abominable </w:t>
      </w:r>
      <w:r>
        <w:rPr>
          <w:lang w:val="en-US"/>
        </w:rPr>
        <w:t>sect and ritual, is to be punis</w:t>
      </w:r>
      <w:r w:rsidRPr="00982D2E">
        <w:rPr>
          <w:lang w:val="en-US"/>
        </w:rPr>
        <w:t>h</w:t>
      </w:r>
      <w:r>
        <w:rPr>
          <w:lang w:val="en-US"/>
        </w:rPr>
        <w:t xml:space="preserve">ed by loss of property and life” - </w:t>
      </w:r>
      <w:r w:rsidR="00766721" w:rsidRPr="00766721">
        <w:rPr>
          <w:b/>
          <w:i w:val="0"/>
          <w:lang w:val="en-US"/>
        </w:rPr>
        <w:t>A Law of Theodosius II, January 31, 439:  Novella III: Concerning Jews, Samaritans, Heretics, And Pagans</w:t>
      </w:r>
      <w:r w:rsidR="00766721">
        <w:rPr>
          <w:rStyle w:val="FootnoteReference"/>
          <w:b/>
          <w:i w:val="0"/>
          <w:lang w:val="en-US"/>
        </w:rPr>
        <w:footnoteReference w:id="4"/>
      </w:r>
    </w:p>
    <w:p w:rsidR="00766721" w:rsidRDefault="00766721" w:rsidP="00766721">
      <w:pPr>
        <w:rPr>
          <w:iCs/>
          <w:color w:val="404040" w:themeColor="text1" w:themeTint="BF"/>
          <w:sz w:val="24"/>
          <w:lang w:val="en-US"/>
        </w:rPr>
      </w:pPr>
      <w:r>
        <w:rPr>
          <w:iCs/>
          <w:color w:val="404040" w:themeColor="text1" w:themeTint="BF"/>
          <w:sz w:val="24"/>
          <w:lang w:val="en-US"/>
        </w:rPr>
        <w:t>This shows a law taken from the third novel apart of the law of Theodosius II. It clearly shows the contempt the Christians had towards the Jewish people with these restrictions placed on them. This also shows th</w:t>
      </w:r>
      <w:r w:rsidR="009D59EA">
        <w:rPr>
          <w:iCs/>
          <w:color w:val="404040" w:themeColor="text1" w:themeTint="BF"/>
          <w:sz w:val="24"/>
          <w:lang w:val="en-US"/>
        </w:rPr>
        <w:t>at the Christian leadership was</w:t>
      </w:r>
      <w:r>
        <w:rPr>
          <w:iCs/>
          <w:color w:val="404040" w:themeColor="text1" w:themeTint="BF"/>
          <w:sz w:val="24"/>
          <w:lang w:val="en-US"/>
        </w:rPr>
        <w:t xml:space="preserve"> willing to use capital punishment on Jews who broke any laws which they had put in place, with death being used as a punishment this would make Jews want to avoid breaking these laws by any cost. </w:t>
      </w:r>
    </w:p>
    <w:p w:rsidR="00460240" w:rsidRDefault="00460240" w:rsidP="00766721">
      <w:pPr>
        <w:rPr>
          <w:iCs/>
          <w:color w:val="404040" w:themeColor="text1" w:themeTint="BF"/>
          <w:sz w:val="24"/>
          <w:lang w:val="en-US"/>
        </w:rPr>
      </w:pPr>
      <w:r w:rsidRPr="00460240">
        <w:rPr>
          <w:iCs/>
          <w:color w:val="404040" w:themeColor="text1" w:themeTint="BF"/>
          <w:sz w:val="24"/>
          <w:lang w:val="en-US"/>
        </w:rPr>
        <w:t xml:space="preserve">Unlike the standards of living under Christian rule during the </w:t>
      </w:r>
      <w:r w:rsidR="00FC299F" w:rsidRPr="00460240">
        <w:rPr>
          <w:iCs/>
          <w:color w:val="404040" w:themeColor="text1" w:themeTint="BF"/>
          <w:sz w:val="24"/>
          <w:lang w:val="en-US"/>
        </w:rPr>
        <w:t>medieval</w:t>
      </w:r>
      <w:r w:rsidRPr="00460240">
        <w:rPr>
          <w:iCs/>
          <w:color w:val="404040" w:themeColor="text1" w:themeTint="BF"/>
          <w:sz w:val="24"/>
          <w:lang w:val="en-US"/>
        </w:rPr>
        <w:t xml:space="preserve"> period, those Jews who lived in the Islamic Empire were at peace temporarily and were not as mistreated compared to those living under the rule of the Church. During the 8th century Spain had been conquered by the Islamic Moors (These were a group of Muslim people who lived in North Africa) and they added a new leadership under the Muslim ruler </w:t>
      </w:r>
      <w:proofErr w:type="spellStart"/>
      <w:r w:rsidRPr="00FC299F">
        <w:rPr>
          <w:iCs/>
          <w:sz w:val="24"/>
          <w:lang w:val="en-US"/>
        </w:rPr>
        <w:t>Abd</w:t>
      </w:r>
      <w:proofErr w:type="spellEnd"/>
      <w:r w:rsidRPr="00FC299F">
        <w:rPr>
          <w:iCs/>
          <w:sz w:val="24"/>
          <w:lang w:val="en-US"/>
        </w:rPr>
        <w:t xml:space="preserve"> al-</w:t>
      </w:r>
      <w:proofErr w:type="spellStart"/>
      <w:r w:rsidRPr="00FC299F">
        <w:rPr>
          <w:iCs/>
          <w:sz w:val="24"/>
          <w:lang w:val="en-US"/>
        </w:rPr>
        <w:t>Raḥmān</w:t>
      </w:r>
      <w:proofErr w:type="spellEnd"/>
      <w:r w:rsidRPr="00FC299F">
        <w:rPr>
          <w:iCs/>
          <w:sz w:val="24"/>
          <w:lang w:val="en-US"/>
        </w:rPr>
        <w:t xml:space="preserve"> </w:t>
      </w:r>
      <w:r w:rsidRPr="00460240">
        <w:rPr>
          <w:iCs/>
          <w:color w:val="404040" w:themeColor="text1" w:themeTint="BF"/>
          <w:sz w:val="24"/>
          <w:lang w:val="en-US"/>
        </w:rPr>
        <w:t>I</w:t>
      </w:r>
      <w:r w:rsidR="00FC299F">
        <w:rPr>
          <w:rStyle w:val="FootnoteReference"/>
          <w:iCs/>
          <w:color w:val="404040" w:themeColor="text1" w:themeTint="BF"/>
          <w:sz w:val="24"/>
          <w:lang w:val="en-US"/>
        </w:rPr>
        <w:footnoteReference w:id="5"/>
      </w:r>
      <w:r w:rsidRPr="00460240">
        <w:rPr>
          <w:iCs/>
          <w:color w:val="404040" w:themeColor="text1" w:themeTint="BF"/>
          <w:sz w:val="24"/>
          <w:lang w:val="en-US"/>
        </w:rPr>
        <w:t>. Those Jews which followed him were allowed to freely express their religion and were treated as equals with the other members of society. However this peace did not last as in the next few centuries new Islamic leadership arose and many Jews were massacred.</w:t>
      </w:r>
    </w:p>
    <w:p w:rsidR="00766721" w:rsidRDefault="00766721" w:rsidP="00766721">
      <w:pPr>
        <w:rPr>
          <w:iCs/>
          <w:color w:val="404040" w:themeColor="text1" w:themeTint="BF"/>
          <w:sz w:val="24"/>
          <w:lang w:val="en-US"/>
        </w:rPr>
      </w:pPr>
      <w:r>
        <w:rPr>
          <w:iCs/>
          <w:color w:val="404040" w:themeColor="text1" w:themeTint="BF"/>
          <w:sz w:val="24"/>
          <w:lang w:val="en-US"/>
        </w:rPr>
        <w:t xml:space="preserve">During the Medieval period there were many wars which took place all across Europe and the Middle East for both land control and for religious reasons. Many of the Jewish people were caught in the middle of these wars by different factions and in turn were massacred for their religious views. One of the most famous wars which took place during this period which the Jews suffered heavily was the Crusades. These were many campaigns in which both the Christian leadership from Europe and the Muslim kingdoms from the Middle East fought for dominance over many holy sites like Jerusalem. </w:t>
      </w:r>
    </w:p>
    <w:p w:rsidR="00246863" w:rsidRDefault="00246863" w:rsidP="00766721">
      <w:pPr>
        <w:rPr>
          <w:iCs/>
          <w:color w:val="404040" w:themeColor="text1" w:themeTint="BF"/>
          <w:sz w:val="24"/>
          <w:lang w:val="en-US"/>
        </w:rPr>
      </w:pPr>
      <w:r>
        <w:rPr>
          <w:iCs/>
          <w:color w:val="404040" w:themeColor="text1" w:themeTint="BF"/>
          <w:sz w:val="24"/>
          <w:lang w:val="en-US"/>
        </w:rPr>
        <w:t>During the First Crusade at the end of the 11</w:t>
      </w:r>
      <w:r w:rsidRPr="00246863">
        <w:rPr>
          <w:iCs/>
          <w:color w:val="404040" w:themeColor="text1" w:themeTint="BF"/>
          <w:sz w:val="24"/>
          <w:vertAlign w:val="superscript"/>
          <w:lang w:val="en-US"/>
        </w:rPr>
        <w:t>th</w:t>
      </w:r>
      <w:r>
        <w:rPr>
          <w:iCs/>
          <w:color w:val="404040" w:themeColor="text1" w:themeTint="BF"/>
          <w:sz w:val="24"/>
          <w:lang w:val="en-US"/>
        </w:rPr>
        <w:t xml:space="preserve"> century an event took place which put major stress on the relations between the Christianity and Judaism. During the year 1096 CE an army of Christian Crusaders led by Count </w:t>
      </w:r>
      <w:proofErr w:type="spellStart"/>
      <w:r>
        <w:rPr>
          <w:iCs/>
          <w:color w:val="404040" w:themeColor="text1" w:themeTint="BF"/>
          <w:sz w:val="24"/>
          <w:lang w:val="en-US"/>
        </w:rPr>
        <w:t>Emicho</w:t>
      </w:r>
      <w:proofErr w:type="spellEnd"/>
      <w:r>
        <w:rPr>
          <w:iCs/>
          <w:color w:val="404040" w:themeColor="text1" w:themeTint="BF"/>
          <w:sz w:val="24"/>
          <w:lang w:val="en-US"/>
        </w:rPr>
        <w:t xml:space="preserve"> of Rhineland stormed the German city of Mainz and committed</w:t>
      </w:r>
      <w:r w:rsidR="00C5342F">
        <w:rPr>
          <w:iCs/>
          <w:color w:val="404040" w:themeColor="text1" w:themeTint="BF"/>
          <w:sz w:val="24"/>
          <w:lang w:val="en-US"/>
        </w:rPr>
        <w:t xml:space="preserve"> a massacre of hundreds of Jews. This was also used as an opportunity to try and forcefully convert many of the Jews to Christianity. Instead of their being an outrage over these killings, many Christian chroniclers and other officials approved of the events which took place. The 11</w:t>
      </w:r>
      <w:r w:rsidR="00C5342F" w:rsidRPr="00C5342F">
        <w:rPr>
          <w:iCs/>
          <w:color w:val="404040" w:themeColor="text1" w:themeTint="BF"/>
          <w:sz w:val="24"/>
          <w:vertAlign w:val="superscript"/>
          <w:lang w:val="en-US"/>
        </w:rPr>
        <w:t>th</w:t>
      </w:r>
      <w:r w:rsidR="00C5342F">
        <w:rPr>
          <w:iCs/>
          <w:color w:val="404040" w:themeColor="text1" w:themeTint="BF"/>
          <w:sz w:val="24"/>
          <w:lang w:val="en-US"/>
        </w:rPr>
        <w:t xml:space="preserve"> century Chronicler by the name of </w:t>
      </w:r>
      <w:proofErr w:type="spellStart"/>
      <w:r w:rsidR="00C5342F">
        <w:rPr>
          <w:iCs/>
          <w:color w:val="404040" w:themeColor="text1" w:themeTint="BF"/>
          <w:sz w:val="24"/>
          <w:lang w:val="en-US"/>
        </w:rPr>
        <w:t>Fruitolf</w:t>
      </w:r>
      <w:proofErr w:type="spellEnd"/>
      <w:r w:rsidR="00C5342F">
        <w:rPr>
          <w:iCs/>
          <w:color w:val="404040" w:themeColor="text1" w:themeTint="BF"/>
          <w:sz w:val="24"/>
          <w:lang w:val="en-US"/>
        </w:rPr>
        <w:t xml:space="preserve"> stated:</w:t>
      </w:r>
    </w:p>
    <w:p w:rsidR="00C5342F" w:rsidRDefault="00C5342F" w:rsidP="00C5342F">
      <w:pPr>
        <w:pStyle w:val="Quote"/>
        <w:rPr>
          <w:lang w:val="en-US"/>
        </w:rPr>
      </w:pPr>
      <w:r>
        <w:rPr>
          <w:lang w:val="en-US"/>
        </w:rPr>
        <w:t xml:space="preserve">“In the villages they traversed, the latter (the Crusaders) killed or forced baptism upon what remained of those impious Jews, who are truly enemies which the Church tolerates in its bosom. Of these there were a certain number that returned to Judaism, even as dogs to their own vomit.” </w:t>
      </w:r>
      <w:r w:rsidR="00114F6B">
        <w:rPr>
          <w:lang w:val="en-US"/>
        </w:rPr>
        <w:t xml:space="preserve">- </w:t>
      </w:r>
      <w:r w:rsidR="00114F6B" w:rsidRPr="00114F6B">
        <w:rPr>
          <w:b/>
          <w:i w:val="0"/>
          <w:lang w:val="en-US"/>
        </w:rPr>
        <w:t xml:space="preserve">Chronicler </w:t>
      </w:r>
      <w:proofErr w:type="spellStart"/>
      <w:r w:rsidR="00114F6B" w:rsidRPr="00114F6B">
        <w:rPr>
          <w:b/>
          <w:i w:val="0"/>
          <w:lang w:val="en-US"/>
        </w:rPr>
        <w:t>Fruitolf</w:t>
      </w:r>
      <w:proofErr w:type="spellEnd"/>
      <w:r w:rsidR="00114F6B">
        <w:rPr>
          <w:rStyle w:val="FootnoteReference"/>
          <w:b/>
          <w:i w:val="0"/>
          <w:lang w:val="en-US"/>
        </w:rPr>
        <w:footnoteReference w:id="6"/>
      </w:r>
    </w:p>
    <w:p w:rsidR="00C5342F" w:rsidRDefault="00C5342F" w:rsidP="00C5342F">
      <w:pPr>
        <w:rPr>
          <w:sz w:val="24"/>
          <w:lang w:val="en-US"/>
        </w:rPr>
      </w:pPr>
      <w:r>
        <w:rPr>
          <w:sz w:val="24"/>
          <w:lang w:val="en-US"/>
        </w:rPr>
        <w:t xml:space="preserve">This clearly shows the hatred of Jews which many Christians still </w:t>
      </w:r>
      <w:proofErr w:type="spellStart"/>
      <w:r>
        <w:rPr>
          <w:sz w:val="24"/>
          <w:lang w:val="en-US"/>
        </w:rPr>
        <w:t>harboured</w:t>
      </w:r>
      <w:proofErr w:type="spellEnd"/>
      <w:r>
        <w:rPr>
          <w:sz w:val="24"/>
          <w:lang w:val="en-US"/>
        </w:rPr>
        <w:t xml:space="preserve"> after many centuries after the death of Christ. Instead of feeling remorse or sadness for the tragedy </w:t>
      </w:r>
      <w:r>
        <w:rPr>
          <w:sz w:val="24"/>
          <w:lang w:val="en-US"/>
        </w:rPr>
        <w:lastRenderedPageBreak/>
        <w:t xml:space="preserve">which took place during the Rhineland massacre during the First crusade, these Chroniclers still published hateful words towards the Jews. Although there were some members of Medieval European society who disagreed with the negative views which were put on the Jewish people, the general consensus throughout this period was that the Jews were a horrible group of people who deserved to the negativity for their beliefs. </w:t>
      </w:r>
    </w:p>
    <w:p w:rsidR="00C5342F" w:rsidRDefault="003D5560" w:rsidP="00C5342F">
      <w:pPr>
        <w:rPr>
          <w:sz w:val="24"/>
          <w:lang w:val="en-US"/>
        </w:rPr>
      </w:pPr>
      <w:r>
        <w:rPr>
          <w:sz w:val="24"/>
          <w:lang w:val="en-US"/>
        </w:rPr>
        <w:t xml:space="preserve">During this </w:t>
      </w:r>
      <w:r w:rsidR="009D59EA">
        <w:rPr>
          <w:sz w:val="24"/>
          <w:lang w:val="en-US"/>
        </w:rPr>
        <w:t>medieval</w:t>
      </w:r>
      <w:r>
        <w:rPr>
          <w:sz w:val="24"/>
          <w:lang w:val="en-US"/>
        </w:rPr>
        <w:t xml:space="preserve"> period the Jews were accused of performing many atrocities and tragedies which took place all across Europe. As they were used as the scapegoat by the Church and many other communities they would be punished severely for these crimes with or without any sufficient evidence to prove it. During the 12</w:t>
      </w:r>
      <w:r w:rsidRPr="003D5560">
        <w:rPr>
          <w:sz w:val="24"/>
          <w:vertAlign w:val="superscript"/>
          <w:lang w:val="en-US"/>
        </w:rPr>
        <w:t>th</w:t>
      </w:r>
      <w:r>
        <w:rPr>
          <w:sz w:val="24"/>
          <w:lang w:val="en-US"/>
        </w:rPr>
        <w:t xml:space="preserve"> century many Jews were accused of murdering innocent Christians throughout both England and other parts of Europe. One of the earliest cases recorded took place in Norwich, England in which a young English Christian boy was found dead in a nearby wood on the evening of Good Friday</w:t>
      </w:r>
      <w:r w:rsidR="001D1A60">
        <w:rPr>
          <w:rStyle w:val="FootnoteReference"/>
          <w:sz w:val="24"/>
          <w:lang w:val="en-US"/>
        </w:rPr>
        <w:footnoteReference w:id="7"/>
      </w:r>
      <w:r>
        <w:rPr>
          <w:sz w:val="24"/>
          <w:lang w:val="en-US"/>
        </w:rPr>
        <w:t>. Instead of investigating the evidence, the locals accused the nearby Jews which lived in the community. Because of the</w:t>
      </w:r>
      <w:r w:rsidR="00D06B18">
        <w:rPr>
          <w:sz w:val="24"/>
          <w:lang w:val="en-US"/>
        </w:rPr>
        <w:t xml:space="preserve">se accusations the local leading Jewish figure in the community was executed by a knight for his supposed crime. </w:t>
      </w:r>
    </w:p>
    <w:p w:rsidR="00D06B18" w:rsidRDefault="000F446E" w:rsidP="00C5342F">
      <w:pPr>
        <w:rPr>
          <w:sz w:val="24"/>
          <w:lang w:val="en-US"/>
        </w:rPr>
      </w:pPr>
      <w:r>
        <w:rPr>
          <w:sz w:val="24"/>
          <w:lang w:val="en-US"/>
        </w:rPr>
        <w:t xml:space="preserve">Although Jews were usually the main suspects for these murders and other atrocities which took place throughout Europe by local communities and other Christian groups, some Christian authorities and leaderships tried protecting their Jewish subjects from these attacks and massacres by denouncing any claims which were made against them. However the reputation of the Jewish people for being a violent group which aims to spill Christian blood become very popular and in turn had a massive negative affect on their lives for many centuries to come. </w:t>
      </w:r>
    </w:p>
    <w:p w:rsidR="000F446E" w:rsidRDefault="003033D2" w:rsidP="00C5342F">
      <w:pPr>
        <w:rPr>
          <w:sz w:val="24"/>
          <w:lang w:val="en-US"/>
        </w:rPr>
      </w:pPr>
      <w:r>
        <w:rPr>
          <w:sz w:val="24"/>
          <w:lang w:val="en-US"/>
        </w:rPr>
        <w:t xml:space="preserve">With the Jews having an enormous negative reputation throughout Europe, many new </w:t>
      </w:r>
      <w:proofErr w:type="spellStart"/>
      <w:r>
        <w:rPr>
          <w:sz w:val="24"/>
          <w:lang w:val="en-US"/>
        </w:rPr>
        <w:t>rumours</w:t>
      </w:r>
      <w:proofErr w:type="spellEnd"/>
      <w:r>
        <w:rPr>
          <w:sz w:val="24"/>
          <w:lang w:val="en-US"/>
        </w:rPr>
        <w:t xml:space="preserve"> were created from Christian communities to continuously demonize how they are portrayed. </w:t>
      </w:r>
      <w:r w:rsidR="004C2596">
        <w:rPr>
          <w:sz w:val="24"/>
          <w:lang w:val="en-US"/>
        </w:rPr>
        <w:t xml:space="preserve">During this period many Christian communities throughout Europe started to develop the beliefs in both demonic figures and magic in the world. Because of these beliefs in the supernatural started becoming apparent in everyday life many people started to believe that illnesses and tragedies were caused by witchcraft. The Jews were targeted and blamed for using witchcraft on many Christians throughout this period, although there was no clear evidence to support these claims they were still punished. </w:t>
      </w:r>
    </w:p>
    <w:p w:rsidR="0001239B" w:rsidRDefault="0001239B" w:rsidP="00C5342F">
      <w:pPr>
        <w:rPr>
          <w:sz w:val="24"/>
          <w:lang w:val="en-US"/>
        </w:rPr>
      </w:pPr>
      <w:r>
        <w:rPr>
          <w:sz w:val="24"/>
          <w:lang w:val="en-US"/>
        </w:rPr>
        <w:t xml:space="preserve">One of the stereotypes which the Jews were associated with was magicians or sorcerers. Because Christians of this time fantasized with the idea of their being demons and magic in the world that we live in, they started to use these new beliefs and use it to target and demonize Jews by associating them with the Devil. Many Jewish customs and ritual practices which had been practiced for centuries were restricted by Christian leadership as they were associated with magic. The </w:t>
      </w:r>
      <w:r>
        <w:rPr>
          <w:i/>
          <w:sz w:val="24"/>
          <w:lang w:val="en-US"/>
        </w:rPr>
        <w:t>Mezuzah</w:t>
      </w:r>
      <w:r>
        <w:rPr>
          <w:sz w:val="24"/>
          <w:lang w:val="en-US"/>
        </w:rPr>
        <w:t xml:space="preserve"> (Written Torah verses in Hebrew which are placed inside of a decorative case and placed on a door or gate) was later temporarily removed during this period due to Christians viewing them as magical items of dread</w:t>
      </w:r>
      <w:r w:rsidR="001D1A60">
        <w:rPr>
          <w:rStyle w:val="FootnoteReference"/>
          <w:sz w:val="24"/>
          <w:lang w:val="en-US"/>
        </w:rPr>
        <w:footnoteReference w:id="8"/>
      </w:r>
      <w:r>
        <w:rPr>
          <w:sz w:val="24"/>
          <w:lang w:val="en-US"/>
        </w:rPr>
        <w:t xml:space="preserve">. In </w:t>
      </w:r>
      <w:r>
        <w:rPr>
          <w:sz w:val="24"/>
          <w:lang w:val="en-US"/>
        </w:rPr>
        <w:lastRenderedPageBreak/>
        <w:t xml:space="preserve">retaliation they would tear them from doors and destroy the parchment paper inside which contained the words of the Torah. </w:t>
      </w:r>
    </w:p>
    <w:p w:rsidR="0031074C" w:rsidRDefault="0031074C" w:rsidP="00C5342F">
      <w:pPr>
        <w:rPr>
          <w:sz w:val="24"/>
          <w:lang w:val="en-US"/>
        </w:rPr>
      </w:pPr>
      <w:r>
        <w:rPr>
          <w:sz w:val="24"/>
          <w:lang w:val="en-US"/>
        </w:rPr>
        <w:t>During the 14</w:t>
      </w:r>
      <w:r w:rsidRPr="0031074C">
        <w:rPr>
          <w:sz w:val="24"/>
          <w:vertAlign w:val="superscript"/>
          <w:lang w:val="en-US"/>
        </w:rPr>
        <w:t>th</w:t>
      </w:r>
      <w:r>
        <w:rPr>
          <w:sz w:val="24"/>
          <w:lang w:val="en-US"/>
        </w:rPr>
        <w:t xml:space="preserve"> and 15</w:t>
      </w:r>
      <w:r w:rsidRPr="0031074C">
        <w:rPr>
          <w:sz w:val="24"/>
          <w:vertAlign w:val="superscript"/>
          <w:lang w:val="en-US"/>
        </w:rPr>
        <w:t>th</w:t>
      </w:r>
      <w:r>
        <w:rPr>
          <w:sz w:val="24"/>
          <w:lang w:val="en-US"/>
        </w:rPr>
        <w:t xml:space="preserve"> century many Jews were associated with the Devil and compared to being demons. Many people believed that the Devil and his Jewish minions would travel throughout Europe spreading death and disease to Christians. In Christian chronicles they would be depicted as being hunters who wanted to spill innocent Christian blood. One of the main Jewish groups which were targeted were the doctors and scholars who were involved with medieval medicine. Because the belief that Jewish doctors were involved with the Devil false </w:t>
      </w:r>
      <w:proofErr w:type="spellStart"/>
      <w:r>
        <w:rPr>
          <w:sz w:val="24"/>
          <w:lang w:val="en-US"/>
        </w:rPr>
        <w:t>rumours</w:t>
      </w:r>
      <w:proofErr w:type="spellEnd"/>
      <w:r>
        <w:rPr>
          <w:sz w:val="24"/>
          <w:lang w:val="en-US"/>
        </w:rPr>
        <w:t xml:space="preserve"> were created to prevent them from operating on any Christian patients</w:t>
      </w:r>
      <w:r w:rsidR="001D1A60">
        <w:rPr>
          <w:rStyle w:val="FootnoteReference"/>
          <w:sz w:val="24"/>
          <w:lang w:val="en-US"/>
        </w:rPr>
        <w:footnoteReference w:id="9"/>
      </w:r>
      <w:r>
        <w:rPr>
          <w:sz w:val="24"/>
          <w:lang w:val="en-US"/>
        </w:rPr>
        <w:t xml:space="preserve">, an example of this would be that every one in ten patients must be killed, although there was no evidence to support these claims made. </w:t>
      </w:r>
    </w:p>
    <w:p w:rsidR="007330E0" w:rsidRDefault="00AD3BA8" w:rsidP="00C5342F">
      <w:pPr>
        <w:rPr>
          <w:sz w:val="24"/>
          <w:lang w:val="en-US"/>
        </w:rPr>
      </w:pPr>
      <w:r>
        <w:rPr>
          <w:sz w:val="24"/>
          <w:lang w:val="en-US"/>
        </w:rPr>
        <w:t>During the Middle Ages period the relationship between both Christianity and Judaism was full of hostility and negativity. The</w:t>
      </w:r>
      <w:r w:rsidR="009947F0">
        <w:rPr>
          <w:sz w:val="24"/>
          <w:lang w:val="en-US"/>
        </w:rPr>
        <w:t xml:space="preserve"> continued</w:t>
      </w:r>
      <w:r>
        <w:rPr>
          <w:sz w:val="24"/>
          <w:lang w:val="en-US"/>
        </w:rPr>
        <w:t xml:space="preserve"> mistreatment and persecution against the Jews from the Church and</w:t>
      </w:r>
      <w:r w:rsidR="009947F0">
        <w:rPr>
          <w:sz w:val="24"/>
          <w:lang w:val="en-US"/>
        </w:rPr>
        <w:t xml:space="preserve"> other Christian leadership can be seen as the main factor for the hostility between the two religions. The hatred and false accusations created by many Christians during this period continued to exist and in turn may have influenced future generations to keep these anti-Semitic views and prejudices alive, for example the Nazi party during the 20</w:t>
      </w:r>
      <w:r w:rsidR="009947F0" w:rsidRPr="009947F0">
        <w:rPr>
          <w:sz w:val="24"/>
          <w:vertAlign w:val="superscript"/>
          <w:lang w:val="en-US"/>
        </w:rPr>
        <w:t>th</w:t>
      </w:r>
      <w:r w:rsidR="009947F0">
        <w:rPr>
          <w:sz w:val="24"/>
          <w:lang w:val="en-US"/>
        </w:rPr>
        <w:t xml:space="preserve"> century would use the myths and accusations to further their own anti-Semitic policies. In conclusion the Middle ages was a complicated period for Jewish-Christian relations as Jews were both defended and persecuted by Christians throughout Europe for their beliefs, but overall this period must have had a negat</w:t>
      </w:r>
      <w:r w:rsidR="00DB56DC">
        <w:rPr>
          <w:sz w:val="24"/>
          <w:lang w:val="en-US"/>
        </w:rPr>
        <w:t>ive effect o</w:t>
      </w:r>
      <w:r w:rsidR="00516EF0">
        <w:rPr>
          <w:sz w:val="24"/>
          <w:lang w:val="en-US"/>
        </w:rPr>
        <w:t>n the relationship with all negative events which took place against the Jews.</w:t>
      </w: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7330E0" w:rsidRDefault="007330E0" w:rsidP="007330E0">
      <w:pPr>
        <w:rPr>
          <w:sz w:val="24"/>
          <w:lang w:val="en-US"/>
        </w:rPr>
      </w:pPr>
    </w:p>
    <w:p w:rsidR="007330E0" w:rsidRPr="008B346E" w:rsidRDefault="007330E0" w:rsidP="008B346E">
      <w:pPr>
        <w:tabs>
          <w:tab w:val="left" w:pos="2352"/>
        </w:tabs>
        <w:jc w:val="center"/>
        <w:rPr>
          <w:sz w:val="24"/>
          <w:lang w:val="en-US"/>
        </w:rPr>
      </w:pPr>
      <w:r>
        <w:rPr>
          <w:b/>
          <w:sz w:val="36"/>
          <w:u w:val="single"/>
          <w:lang w:val="en-US"/>
        </w:rPr>
        <w:lastRenderedPageBreak/>
        <w:t>Bibliography</w:t>
      </w:r>
    </w:p>
    <w:p w:rsidR="007330E0" w:rsidRDefault="007330E0" w:rsidP="007330E0">
      <w:pPr>
        <w:rPr>
          <w:lang w:val="en-US"/>
        </w:rPr>
      </w:pPr>
    </w:p>
    <w:p w:rsidR="007330E0" w:rsidRDefault="007330E0" w:rsidP="007330E0">
      <w:pPr>
        <w:rPr>
          <w:sz w:val="28"/>
          <w:lang w:val="en-US"/>
        </w:rPr>
      </w:pPr>
      <w:r w:rsidRPr="007330E0">
        <w:rPr>
          <w:sz w:val="28"/>
          <w:lang w:val="en-US"/>
        </w:rPr>
        <w:t>Cohn-</w:t>
      </w:r>
      <w:proofErr w:type="spellStart"/>
      <w:r w:rsidRPr="007330E0">
        <w:rPr>
          <w:sz w:val="28"/>
          <w:lang w:val="en-US"/>
        </w:rPr>
        <w:t>Sherbok</w:t>
      </w:r>
      <w:proofErr w:type="spellEnd"/>
      <w:r w:rsidRPr="007330E0">
        <w:rPr>
          <w:sz w:val="28"/>
          <w:lang w:val="en-US"/>
        </w:rPr>
        <w:t xml:space="preserve">, D., 1997. </w:t>
      </w:r>
      <w:r w:rsidRPr="007330E0">
        <w:rPr>
          <w:i/>
          <w:sz w:val="28"/>
          <w:lang w:val="en-US"/>
        </w:rPr>
        <w:t>The Crucified Jew: Twenty Centuries of Christian Anti-Semitism</w:t>
      </w:r>
      <w:r w:rsidRPr="007330E0">
        <w:rPr>
          <w:sz w:val="28"/>
          <w:lang w:val="en-US"/>
        </w:rPr>
        <w:t>. William B Eerdmans Publishing Co.</w:t>
      </w:r>
    </w:p>
    <w:p w:rsidR="008B346E" w:rsidRDefault="008B346E" w:rsidP="007330E0">
      <w:pPr>
        <w:rPr>
          <w:sz w:val="28"/>
          <w:lang w:val="en-US"/>
        </w:rPr>
      </w:pPr>
      <w:proofErr w:type="gramStart"/>
      <w:r w:rsidRPr="008B346E">
        <w:rPr>
          <w:sz w:val="28"/>
          <w:lang w:val="en-US"/>
        </w:rPr>
        <w:t>faculty.uml.edu</w:t>
      </w:r>
      <w:proofErr w:type="gramEnd"/>
      <w:r w:rsidRPr="008B346E">
        <w:rPr>
          <w:sz w:val="28"/>
          <w:lang w:val="en-US"/>
        </w:rPr>
        <w:t xml:space="preserve">. </w:t>
      </w:r>
      <w:r w:rsidRPr="008B346E">
        <w:rPr>
          <w:i/>
          <w:sz w:val="28"/>
          <w:lang w:val="en-US"/>
        </w:rPr>
        <w:t xml:space="preserve">The Codex </w:t>
      </w:r>
      <w:proofErr w:type="spellStart"/>
      <w:r w:rsidRPr="008B346E">
        <w:rPr>
          <w:i/>
          <w:sz w:val="28"/>
          <w:lang w:val="en-US"/>
        </w:rPr>
        <w:t>Thedosianus</w:t>
      </w:r>
      <w:proofErr w:type="spellEnd"/>
      <w:r w:rsidRPr="008B346E">
        <w:rPr>
          <w:sz w:val="28"/>
          <w:lang w:val="en-US"/>
        </w:rPr>
        <w:t>. [ONLINE] Available at: http://faculty.uml.edu/ethan_spanier/Teaching/documents/TheCodexTheodosianus.pdf. [Accessed 20 April 2018].</w:t>
      </w:r>
    </w:p>
    <w:p w:rsidR="004D4F48" w:rsidRDefault="004D4F48" w:rsidP="007330E0">
      <w:pPr>
        <w:rPr>
          <w:sz w:val="28"/>
          <w:lang w:val="en-US"/>
        </w:rPr>
      </w:pPr>
      <w:r w:rsidRPr="004D4F48">
        <w:rPr>
          <w:sz w:val="28"/>
          <w:lang w:val="en-US"/>
        </w:rPr>
        <w:t xml:space="preserve">Jewishvirtuallibrary.org. </w:t>
      </w:r>
      <w:r w:rsidRPr="004D4F48">
        <w:rPr>
          <w:i/>
          <w:sz w:val="28"/>
          <w:lang w:val="en-US"/>
        </w:rPr>
        <w:t>byzanti</w:t>
      </w:r>
      <w:bookmarkStart w:id="0" w:name="_GoBack"/>
      <w:bookmarkEnd w:id="0"/>
      <w:r w:rsidRPr="004D4F48">
        <w:rPr>
          <w:i/>
          <w:sz w:val="28"/>
          <w:lang w:val="en-US"/>
        </w:rPr>
        <w:t>ne-Empire</w:t>
      </w:r>
      <w:r w:rsidRPr="004D4F48">
        <w:rPr>
          <w:sz w:val="28"/>
          <w:lang w:val="en-US"/>
        </w:rPr>
        <w:t>. [ONLINE] Available at: http://www.jewishvirtuallibrary.org/byzantine-empire. [Accessed 20 April 2018].</w:t>
      </w:r>
    </w:p>
    <w:p w:rsidR="004D4F48" w:rsidRDefault="004D4F48" w:rsidP="007330E0">
      <w:pPr>
        <w:rPr>
          <w:sz w:val="28"/>
          <w:lang w:val="en-US"/>
        </w:rPr>
      </w:pPr>
      <w:r w:rsidRPr="004D4F48">
        <w:rPr>
          <w:sz w:val="28"/>
          <w:lang w:val="en-US"/>
        </w:rPr>
        <w:t xml:space="preserve">My Jewish Learning. </w:t>
      </w:r>
      <w:r w:rsidRPr="004D4F48">
        <w:rPr>
          <w:i/>
          <w:sz w:val="28"/>
          <w:lang w:val="en-US"/>
        </w:rPr>
        <w:t>Medieval Jewish History</w:t>
      </w:r>
      <w:r w:rsidRPr="004D4F48">
        <w:rPr>
          <w:sz w:val="28"/>
          <w:lang w:val="en-US"/>
        </w:rPr>
        <w:t>. [ONLINE] Available at: https://www.myjewishlearning.com/article/medieval-jewish-history-632-to-1650/. [Accessed 20 April 2018].</w:t>
      </w:r>
    </w:p>
    <w:p w:rsidR="004D4F48" w:rsidRDefault="004D4F48" w:rsidP="007330E0">
      <w:pPr>
        <w:rPr>
          <w:sz w:val="28"/>
          <w:lang w:val="en-US"/>
        </w:rPr>
      </w:pPr>
      <w:r w:rsidRPr="004D4F48">
        <w:rPr>
          <w:sz w:val="28"/>
          <w:lang w:val="en-US"/>
        </w:rPr>
        <w:t xml:space="preserve">Tertullian. </w:t>
      </w:r>
      <w:proofErr w:type="spellStart"/>
      <w:r w:rsidRPr="004D4F48">
        <w:rPr>
          <w:i/>
          <w:sz w:val="28"/>
          <w:lang w:val="en-US"/>
        </w:rPr>
        <w:t>Adversus</w:t>
      </w:r>
      <w:proofErr w:type="spellEnd"/>
      <w:r w:rsidRPr="004D4F48">
        <w:rPr>
          <w:i/>
          <w:sz w:val="28"/>
          <w:lang w:val="en-US"/>
        </w:rPr>
        <w:t xml:space="preserve"> </w:t>
      </w:r>
      <w:proofErr w:type="spellStart"/>
      <w:r w:rsidRPr="004D4F48">
        <w:rPr>
          <w:i/>
          <w:sz w:val="28"/>
          <w:lang w:val="en-US"/>
        </w:rPr>
        <w:t>Judaeos</w:t>
      </w:r>
      <w:proofErr w:type="spellEnd"/>
      <w:r w:rsidRPr="004D4F48">
        <w:rPr>
          <w:sz w:val="28"/>
          <w:lang w:val="en-US"/>
        </w:rPr>
        <w:t>. [ONLINE] Available at: http://www.tertullian.org/works/adversus_judaeos.htm. [Accessed 20 April 2018].</w:t>
      </w:r>
    </w:p>
    <w:p w:rsidR="004D4F48" w:rsidRDefault="004D4F48" w:rsidP="007330E0">
      <w:pPr>
        <w:rPr>
          <w:sz w:val="28"/>
          <w:lang w:val="en-US"/>
        </w:rPr>
      </w:pPr>
    </w:p>
    <w:p w:rsidR="008B346E" w:rsidRPr="007330E0" w:rsidRDefault="008B346E" w:rsidP="007330E0">
      <w:pPr>
        <w:rPr>
          <w:sz w:val="28"/>
          <w:lang w:val="en-US"/>
        </w:rPr>
      </w:pPr>
    </w:p>
    <w:sectPr w:rsidR="008B346E" w:rsidRPr="007330E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8F0" w:rsidRDefault="00F748F0" w:rsidP="0019215D">
      <w:pPr>
        <w:spacing w:after="0" w:line="240" w:lineRule="auto"/>
      </w:pPr>
      <w:r>
        <w:separator/>
      </w:r>
    </w:p>
  </w:endnote>
  <w:endnote w:type="continuationSeparator" w:id="0">
    <w:p w:rsidR="00F748F0" w:rsidRDefault="00F748F0" w:rsidP="00192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8F0" w:rsidRDefault="00F748F0" w:rsidP="0019215D">
      <w:pPr>
        <w:spacing w:after="0" w:line="240" w:lineRule="auto"/>
      </w:pPr>
      <w:r>
        <w:separator/>
      </w:r>
    </w:p>
  </w:footnote>
  <w:footnote w:type="continuationSeparator" w:id="0">
    <w:p w:rsidR="00F748F0" w:rsidRDefault="00F748F0" w:rsidP="0019215D">
      <w:pPr>
        <w:spacing w:after="0" w:line="240" w:lineRule="auto"/>
      </w:pPr>
      <w:r>
        <w:continuationSeparator/>
      </w:r>
    </w:p>
  </w:footnote>
  <w:footnote w:id="1">
    <w:p w:rsidR="007330E0" w:rsidRPr="007330E0" w:rsidRDefault="007330E0">
      <w:pPr>
        <w:pStyle w:val="FootnoteText"/>
        <w:rPr>
          <w:lang w:val="en-US"/>
        </w:rPr>
      </w:pPr>
      <w:r>
        <w:rPr>
          <w:rStyle w:val="FootnoteReference"/>
        </w:rPr>
        <w:footnoteRef/>
      </w:r>
      <w:r>
        <w:t xml:space="preserve"> </w:t>
      </w:r>
      <w:r>
        <w:rPr>
          <w:lang w:val="en-US"/>
        </w:rPr>
        <w:t>(</w:t>
      </w:r>
      <w:r w:rsidRPr="007330E0">
        <w:rPr>
          <w:lang w:val="en-US"/>
        </w:rPr>
        <w:t>Cohn-</w:t>
      </w:r>
      <w:proofErr w:type="spellStart"/>
      <w:r w:rsidRPr="007330E0">
        <w:rPr>
          <w:lang w:val="en-US"/>
        </w:rPr>
        <w:t>Sherbok</w:t>
      </w:r>
      <w:proofErr w:type="spellEnd"/>
      <w:r>
        <w:rPr>
          <w:lang w:val="en-US"/>
        </w:rPr>
        <w:t>, 1997. P.38)</w:t>
      </w:r>
    </w:p>
  </w:footnote>
  <w:footnote w:id="2">
    <w:p w:rsidR="00175E48" w:rsidRPr="00175E48" w:rsidRDefault="00175E48">
      <w:pPr>
        <w:pStyle w:val="FootnoteText"/>
        <w:rPr>
          <w:lang w:val="en-US"/>
        </w:rPr>
      </w:pPr>
      <w:r>
        <w:rPr>
          <w:rStyle w:val="FootnoteReference"/>
        </w:rPr>
        <w:footnoteRef/>
      </w:r>
      <w:r>
        <w:t xml:space="preserve"> Tertullian</w:t>
      </w:r>
      <w:r w:rsidRPr="00175E48">
        <w:rPr>
          <w:i/>
        </w:rPr>
        <w:t xml:space="preserve">. </w:t>
      </w:r>
      <w:proofErr w:type="spellStart"/>
      <w:r w:rsidRPr="00175E48">
        <w:rPr>
          <w:i/>
        </w:rPr>
        <w:t>Adversus</w:t>
      </w:r>
      <w:proofErr w:type="spellEnd"/>
      <w:r w:rsidRPr="00175E48">
        <w:rPr>
          <w:i/>
        </w:rPr>
        <w:t xml:space="preserve"> </w:t>
      </w:r>
      <w:proofErr w:type="spellStart"/>
      <w:r w:rsidRPr="00175E48">
        <w:rPr>
          <w:i/>
        </w:rPr>
        <w:t>Judaeos</w:t>
      </w:r>
      <w:proofErr w:type="spellEnd"/>
      <w:r w:rsidRPr="00175E48">
        <w:t>. [ONLINE] Available at: http://www.tertullian.org/works/adversus_judaeos.htm. [Accessed 20 April 2018].</w:t>
      </w:r>
    </w:p>
  </w:footnote>
  <w:footnote w:id="3">
    <w:p w:rsidR="007330E0" w:rsidRPr="007330E0" w:rsidRDefault="007330E0">
      <w:pPr>
        <w:pStyle w:val="FootnoteText"/>
        <w:rPr>
          <w:lang w:val="en-US"/>
        </w:rPr>
      </w:pPr>
      <w:r>
        <w:rPr>
          <w:rStyle w:val="FootnoteReference"/>
        </w:rPr>
        <w:footnoteRef/>
      </w:r>
      <w:r>
        <w:t xml:space="preserve"> Jewishvirtuallibrary.org. </w:t>
      </w:r>
      <w:r w:rsidRPr="007330E0">
        <w:t>byzantine-Empire. [ONLINE] Available at: http://www.jewishvirtuallibrary.org/byzantine-empire. [Accessed 20 April 2018].</w:t>
      </w:r>
    </w:p>
  </w:footnote>
  <w:footnote w:id="4">
    <w:p w:rsidR="00766721" w:rsidRPr="00766721" w:rsidRDefault="00766721">
      <w:pPr>
        <w:pStyle w:val="FootnoteText"/>
        <w:rPr>
          <w:lang w:val="en-US"/>
        </w:rPr>
      </w:pPr>
      <w:r>
        <w:rPr>
          <w:rStyle w:val="FootnoteReference"/>
        </w:rPr>
        <w:footnoteRef/>
      </w:r>
      <w:r>
        <w:t xml:space="preserve"> </w:t>
      </w:r>
      <w:proofErr w:type="gramStart"/>
      <w:r w:rsidR="007330E0" w:rsidRPr="007330E0">
        <w:t>faculty.uml.edu</w:t>
      </w:r>
      <w:proofErr w:type="gramEnd"/>
      <w:r w:rsidR="007330E0" w:rsidRPr="007330E0">
        <w:t xml:space="preserve">. </w:t>
      </w:r>
      <w:r w:rsidR="007330E0" w:rsidRPr="001D1A60">
        <w:rPr>
          <w:i/>
        </w:rPr>
        <w:t xml:space="preserve">The Codex </w:t>
      </w:r>
      <w:proofErr w:type="spellStart"/>
      <w:r w:rsidR="007330E0" w:rsidRPr="001D1A60">
        <w:rPr>
          <w:i/>
        </w:rPr>
        <w:t>Thedosianus</w:t>
      </w:r>
      <w:proofErr w:type="spellEnd"/>
      <w:r w:rsidR="007330E0" w:rsidRPr="007330E0">
        <w:t>. [ONLINE] Available at: http://faculty.uml.edu/ethan_spanier/Teaching/documents/TheCodexTheodosianus.pdf. [Accessed 20 April 2018].</w:t>
      </w:r>
    </w:p>
  </w:footnote>
  <w:footnote w:id="5">
    <w:p w:rsidR="00FC299F" w:rsidRPr="00FC299F" w:rsidRDefault="00FC299F">
      <w:pPr>
        <w:pStyle w:val="FootnoteText"/>
        <w:rPr>
          <w:lang w:val="en-US"/>
        </w:rPr>
      </w:pPr>
      <w:r>
        <w:rPr>
          <w:rStyle w:val="FootnoteReference"/>
        </w:rPr>
        <w:footnoteRef/>
      </w:r>
      <w:r>
        <w:t xml:space="preserve"> </w:t>
      </w:r>
      <w:r w:rsidR="001D1A60">
        <w:t>My Jewish Learning.</w:t>
      </w:r>
      <w:r w:rsidR="001D1A60" w:rsidRPr="001D1A60">
        <w:t xml:space="preserve"> </w:t>
      </w:r>
      <w:r w:rsidR="001D1A60" w:rsidRPr="001D1A60">
        <w:rPr>
          <w:i/>
        </w:rPr>
        <w:t>Medieval Jewish History</w:t>
      </w:r>
      <w:r w:rsidR="001D1A60" w:rsidRPr="001D1A60">
        <w:t>. [ONLINE] Available at: https://www.myjewishlearning.com/article/medieval-jewish-history-632-to-1650/. [Accessed 20 April 2018].</w:t>
      </w:r>
    </w:p>
  </w:footnote>
  <w:footnote w:id="6">
    <w:p w:rsidR="00114F6B" w:rsidRPr="00114F6B" w:rsidRDefault="00114F6B">
      <w:pPr>
        <w:pStyle w:val="FootnoteText"/>
        <w:rPr>
          <w:lang w:val="en-US"/>
        </w:rPr>
      </w:pPr>
      <w:r>
        <w:rPr>
          <w:rStyle w:val="FootnoteReference"/>
        </w:rPr>
        <w:footnoteRef/>
      </w:r>
      <w:r>
        <w:t xml:space="preserve"> (Cohn-</w:t>
      </w:r>
      <w:proofErr w:type="spellStart"/>
      <w:r>
        <w:t>Sherbok</w:t>
      </w:r>
      <w:proofErr w:type="spellEnd"/>
      <w:r>
        <w:t>, 1997. P.41</w:t>
      </w:r>
      <w:r w:rsidRPr="00114F6B">
        <w:t>)</w:t>
      </w:r>
    </w:p>
  </w:footnote>
  <w:footnote w:id="7">
    <w:p w:rsidR="001D1A60" w:rsidRPr="001D1A60" w:rsidRDefault="001D1A60">
      <w:pPr>
        <w:pStyle w:val="FootnoteText"/>
        <w:rPr>
          <w:lang w:val="en-US"/>
        </w:rPr>
      </w:pPr>
      <w:r>
        <w:rPr>
          <w:rStyle w:val="FootnoteReference"/>
        </w:rPr>
        <w:footnoteRef/>
      </w:r>
      <w:r>
        <w:t xml:space="preserve"> (Cohn-</w:t>
      </w:r>
      <w:proofErr w:type="spellStart"/>
      <w:r>
        <w:t>Sherbok</w:t>
      </w:r>
      <w:proofErr w:type="spellEnd"/>
      <w:r>
        <w:t>, 1997. P.43</w:t>
      </w:r>
      <w:r w:rsidRPr="001D1A60">
        <w:t>)</w:t>
      </w:r>
    </w:p>
  </w:footnote>
  <w:footnote w:id="8">
    <w:p w:rsidR="001D1A60" w:rsidRPr="001D1A60" w:rsidRDefault="001D1A60">
      <w:pPr>
        <w:pStyle w:val="FootnoteText"/>
        <w:rPr>
          <w:lang w:val="en-US"/>
        </w:rPr>
      </w:pPr>
      <w:r>
        <w:rPr>
          <w:rStyle w:val="FootnoteReference"/>
        </w:rPr>
        <w:footnoteRef/>
      </w:r>
      <w:r>
        <w:t xml:space="preserve"> (Cohn-</w:t>
      </w:r>
      <w:proofErr w:type="spellStart"/>
      <w:r>
        <w:t>Sherbok</w:t>
      </w:r>
      <w:proofErr w:type="spellEnd"/>
      <w:r>
        <w:t>, 1997. P.56</w:t>
      </w:r>
      <w:r w:rsidRPr="001D1A60">
        <w:t>)</w:t>
      </w:r>
    </w:p>
  </w:footnote>
  <w:footnote w:id="9">
    <w:p w:rsidR="001D1A60" w:rsidRPr="001D1A60" w:rsidRDefault="001D1A60">
      <w:pPr>
        <w:pStyle w:val="FootnoteText"/>
        <w:rPr>
          <w:lang w:val="en-US"/>
        </w:rPr>
      </w:pPr>
      <w:r>
        <w:rPr>
          <w:rStyle w:val="FootnoteReference"/>
        </w:rPr>
        <w:footnoteRef/>
      </w:r>
      <w:r>
        <w:t xml:space="preserve"> (Cohn-</w:t>
      </w:r>
      <w:proofErr w:type="spellStart"/>
      <w:r>
        <w:t>Sherbok</w:t>
      </w:r>
      <w:proofErr w:type="spellEnd"/>
      <w:r>
        <w:t>, 1997. P.56</w:t>
      </w:r>
      <w:r w:rsidRPr="001D1A6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15D" w:rsidRPr="0019215D" w:rsidRDefault="0019215D" w:rsidP="0019215D">
    <w:pPr>
      <w:pStyle w:val="Header"/>
      <w:tabs>
        <w:tab w:val="clear" w:pos="4513"/>
        <w:tab w:val="clear" w:pos="9026"/>
        <w:tab w:val="left" w:pos="8025"/>
      </w:tabs>
      <w:rPr>
        <w:lang w:val="en-US"/>
      </w:rPr>
    </w:pPr>
    <w:r>
      <w:rPr>
        <w:lang w:val="en-US"/>
      </w:rPr>
      <w:t xml:space="preserve">Morgan </w:t>
    </w:r>
    <w:proofErr w:type="spellStart"/>
    <w:r>
      <w:rPr>
        <w:lang w:val="en-US"/>
      </w:rPr>
      <w:t>Llyr</w:t>
    </w:r>
    <w:proofErr w:type="spellEnd"/>
    <w:r>
      <w:rPr>
        <w:lang w:val="en-US"/>
      </w:rPr>
      <w:t xml:space="preserve"> Phillips</w:t>
    </w:r>
    <w:r>
      <w:rPr>
        <w:lang w:val="en-US"/>
      </w:rPr>
      <w:tab/>
      <w:t>1600309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15D"/>
    <w:rsid w:val="0001239B"/>
    <w:rsid w:val="000D1E17"/>
    <w:rsid w:val="000D6622"/>
    <w:rsid w:val="000F446E"/>
    <w:rsid w:val="00114F6B"/>
    <w:rsid w:val="00175E48"/>
    <w:rsid w:val="0019215D"/>
    <w:rsid w:val="001D1A60"/>
    <w:rsid w:val="00233ED6"/>
    <w:rsid w:val="00246863"/>
    <w:rsid w:val="00264BA5"/>
    <w:rsid w:val="002C7F89"/>
    <w:rsid w:val="003033D2"/>
    <w:rsid w:val="0031074C"/>
    <w:rsid w:val="00353C5D"/>
    <w:rsid w:val="003D5560"/>
    <w:rsid w:val="00456C46"/>
    <w:rsid w:val="00460240"/>
    <w:rsid w:val="004A20F5"/>
    <w:rsid w:val="004C2596"/>
    <w:rsid w:val="004D4F48"/>
    <w:rsid w:val="00514249"/>
    <w:rsid w:val="00516EF0"/>
    <w:rsid w:val="005C34A6"/>
    <w:rsid w:val="005D5DF5"/>
    <w:rsid w:val="00661E43"/>
    <w:rsid w:val="00665CC7"/>
    <w:rsid w:val="00667A45"/>
    <w:rsid w:val="006775AD"/>
    <w:rsid w:val="006A61B8"/>
    <w:rsid w:val="006C1755"/>
    <w:rsid w:val="007330E0"/>
    <w:rsid w:val="00766721"/>
    <w:rsid w:val="0078171C"/>
    <w:rsid w:val="008B346E"/>
    <w:rsid w:val="008E4475"/>
    <w:rsid w:val="00960B00"/>
    <w:rsid w:val="00982D2E"/>
    <w:rsid w:val="009947F0"/>
    <w:rsid w:val="009D59EA"/>
    <w:rsid w:val="009F28EA"/>
    <w:rsid w:val="009F66E1"/>
    <w:rsid w:val="00A24595"/>
    <w:rsid w:val="00AD3BA8"/>
    <w:rsid w:val="00B611EF"/>
    <w:rsid w:val="00B71F86"/>
    <w:rsid w:val="00BD717D"/>
    <w:rsid w:val="00C5342F"/>
    <w:rsid w:val="00CD0CF7"/>
    <w:rsid w:val="00CF41E6"/>
    <w:rsid w:val="00D06B18"/>
    <w:rsid w:val="00DB56DC"/>
    <w:rsid w:val="00DE1FBF"/>
    <w:rsid w:val="00E54017"/>
    <w:rsid w:val="00EF4A6D"/>
    <w:rsid w:val="00F748F0"/>
    <w:rsid w:val="00FC2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1989DD-7EB2-45A9-9C0D-71881D574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330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15D"/>
  </w:style>
  <w:style w:type="paragraph" w:styleId="Footer">
    <w:name w:val="footer"/>
    <w:basedOn w:val="Normal"/>
    <w:link w:val="FooterChar"/>
    <w:uiPriority w:val="99"/>
    <w:unhideWhenUsed/>
    <w:rsid w:val="00192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15D"/>
  </w:style>
  <w:style w:type="paragraph" w:styleId="Quote">
    <w:name w:val="Quote"/>
    <w:basedOn w:val="Normal"/>
    <w:next w:val="Normal"/>
    <w:link w:val="QuoteChar"/>
    <w:uiPriority w:val="29"/>
    <w:qFormat/>
    <w:rsid w:val="00982D2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82D2E"/>
    <w:rPr>
      <w:i/>
      <w:iCs/>
      <w:color w:val="404040" w:themeColor="text1" w:themeTint="BF"/>
    </w:rPr>
  </w:style>
  <w:style w:type="paragraph" w:styleId="FootnoteText">
    <w:name w:val="footnote text"/>
    <w:basedOn w:val="Normal"/>
    <w:link w:val="FootnoteTextChar"/>
    <w:uiPriority w:val="99"/>
    <w:semiHidden/>
    <w:unhideWhenUsed/>
    <w:rsid w:val="007667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6721"/>
    <w:rPr>
      <w:sz w:val="20"/>
      <w:szCs w:val="20"/>
    </w:rPr>
  </w:style>
  <w:style w:type="character" w:styleId="FootnoteReference">
    <w:name w:val="footnote reference"/>
    <w:basedOn w:val="DefaultParagraphFont"/>
    <w:uiPriority w:val="99"/>
    <w:semiHidden/>
    <w:unhideWhenUsed/>
    <w:rsid w:val="00766721"/>
    <w:rPr>
      <w:vertAlign w:val="superscript"/>
    </w:rPr>
  </w:style>
  <w:style w:type="character" w:customStyle="1" w:styleId="Heading1Char">
    <w:name w:val="Heading 1 Char"/>
    <w:basedOn w:val="DefaultParagraphFont"/>
    <w:link w:val="Heading1"/>
    <w:uiPriority w:val="9"/>
    <w:rsid w:val="007330E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C2F9235-F5A8-4BEC-A510-24EADE582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6</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Llyr Phillips</dc:creator>
  <cp:keywords/>
  <dc:description/>
  <cp:lastModifiedBy>Morgan Llyr Phillips</cp:lastModifiedBy>
  <cp:revision>43</cp:revision>
  <dcterms:created xsi:type="dcterms:W3CDTF">2018-04-22T12:09:00Z</dcterms:created>
  <dcterms:modified xsi:type="dcterms:W3CDTF">2018-04-23T13:20:00Z</dcterms:modified>
</cp:coreProperties>
</file>