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0755C" w14:textId="7AABD1AC" w:rsidR="00A81311" w:rsidRDefault="00E62851">
      <w:pPr>
        <w:rPr>
          <w:sz w:val="40"/>
          <w:szCs w:val="40"/>
        </w:rPr>
      </w:pPr>
      <w:r>
        <w:rPr>
          <w:noProof/>
          <w:sz w:val="40"/>
          <w:szCs w:val="40"/>
        </w:rPr>
        <w:drawing>
          <wp:inline distT="0" distB="0" distL="0" distR="0" wp14:anchorId="7FB1836C" wp14:editId="7C94FC9B">
            <wp:extent cx="5023485" cy="1774190"/>
            <wp:effectExtent l="0" t="0" r="5715" b="0"/>
            <wp:docPr id="416882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3485" cy="1774190"/>
                    </a:xfrm>
                    <a:prstGeom prst="rect">
                      <a:avLst/>
                    </a:prstGeom>
                    <a:noFill/>
                  </pic:spPr>
                </pic:pic>
              </a:graphicData>
            </a:graphic>
          </wp:inline>
        </w:drawing>
      </w:r>
    </w:p>
    <w:p w14:paraId="127AD0CC" w14:textId="77777777" w:rsidR="00E62851" w:rsidRPr="00A81311" w:rsidRDefault="00E62851">
      <w:pPr>
        <w:rPr>
          <w:sz w:val="40"/>
          <w:szCs w:val="40"/>
        </w:rPr>
      </w:pPr>
    </w:p>
    <w:p w14:paraId="734ED678" w14:textId="4A958684" w:rsidR="00A81311" w:rsidRPr="000D7D46" w:rsidRDefault="00A9596C" w:rsidP="00A9596C">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D7D46">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Developing a Strategic Governance Model </w:t>
      </w:r>
      <w:r w:rsidR="00973B35" w:rsidRPr="000D7D46">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for Ethical</w:t>
      </w:r>
      <w:r w:rsidRPr="000D7D46">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110A4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AI </w:t>
      </w:r>
      <w:r w:rsidRPr="000D7D46">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Implementation in </w:t>
      </w:r>
      <w:r w:rsidR="00110A4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English </w:t>
      </w:r>
      <w:r w:rsidRPr="000D7D46">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Public Universities </w:t>
      </w:r>
    </w:p>
    <w:p w14:paraId="1DDA25E7" w14:textId="77777777" w:rsidR="00BD1E08" w:rsidRDefault="00BD1E08" w:rsidP="00A9596C">
      <w:pPr>
        <w:jc w:val="center"/>
        <w:rPr>
          <w:sz w:val="40"/>
          <w:szCs w:val="40"/>
        </w:rPr>
      </w:pPr>
    </w:p>
    <w:p w14:paraId="08C0FD55" w14:textId="77777777" w:rsidR="000D7D46" w:rsidRDefault="000D7D46" w:rsidP="00A9596C">
      <w:pPr>
        <w:jc w:val="center"/>
        <w:rPr>
          <w:sz w:val="40"/>
          <w:szCs w:val="40"/>
        </w:rPr>
      </w:pPr>
    </w:p>
    <w:p w14:paraId="39CD258E" w14:textId="7E45755F" w:rsidR="00BD1E08" w:rsidRPr="00BD1E08" w:rsidRDefault="00BD1E08" w:rsidP="00BD1E08">
      <w:pPr>
        <w:jc w:val="center"/>
        <w:rPr>
          <w:b/>
          <w:bCs/>
          <w:i/>
          <w:iCs/>
          <w:sz w:val="32"/>
          <w:szCs w:val="32"/>
        </w:rPr>
      </w:pPr>
      <w:r w:rsidRPr="00BD1E08">
        <w:rPr>
          <w:b/>
          <w:bCs/>
          <w:i/>
          <w:iCs/>
          <w:sz w:val="32"/>
          <w:szCs w:val="32"/>
          <w14:textOutline w14:w="9525" w14:cap="rnd" w14:cmpd="sng" w14:algn="ctr">
            <w14:solidFill>
              <w14:srgbClr w14:val="99FF99"/>
            </w14:solidFill>
            <w14:prstDash w14:val="solid"/>
            <w14:bevel/>
          </w14:textOutline>
        </w:rPr>
        <w:t>For LCDB7007: Research Principles and Philosophy</w:t>
      </w:r>
    </w:p>
    <w:p w14:paraId="55118335" w14:textId="77777777" w:rsidR="000D7D46" w:rsidRDefault="000D7D46" w:rsidP="00A81311">
      <w:pPr>
        <w:rPr>
          <w:sz w:val="40"/>
          <w:szCs w:val="40"/>
        </w:rPr>
      </w:pPr>
    </w:p>
    <w:p w14:paraId="7E173A4D" w14:textId="77777777" w:rsidR="000D7D46" w:rsidRDefault="000D7D46" w:rsidP="00A81311">
      <w:pPr>
        <w:rPr>
          <w:sz w:val="40"/>
          <w:szCs w:val="40"/>
        </w:rPr>
      </w:pPr>
    </w:p>
    <w:p w14:paraId="0AC01341" w14:textId="7C416BB2" w:rsidR="00CC60BD" w:rsidRPr="00BD2AFC" w:rsidRDefault="00F71FDF" w:rsidP="00A81311">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Author: </w:t>
      </w:r>
      <w:r w:rsidR="00547984"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Nikolay Kanchev Kostov</w:t>
      </w:r>
      <w:r w:rsidR="0049138E"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25</w:t>
      </w:r>
      <w:r w:rsidR="00D3029A"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30998</w:t>
      </w:r>
    </w:p>
    <w:p w14:paraId="51BA46D0" w14:textId="5A7968EA" w:rsidR="00CC60BD" w:rsidRPr="00744F52" w:rsidRDefault="00547984" w:rsidP="00A81311">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DBA Candidate, </w:t>
      </w:r>
      <w:r w:rsidR="00BD2AFC" w:rsidRPr="00BD2AF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70BDE5F2" w14:textId="2050C0CA" w:rsidR="00CC60BD" w:rsidRDefault="000D7D46" w:rsidP="00A81311">
      <w:pPr>
        <w:rPr>
          <w:color w:val="D5BF19"/>
          <w:sz w:val="40"/>
          <w:szCs w:val="40"/>
          <w14:shadow w14:blurRad="114300" w14:dist="0" w14:dir="0" w14:sx="0" w14:sy="0" w14:kx="0" w14:ky="0" w14:algn="none">
            <w14:srgbClr w14:val="000000"/>
          </w14:shadow>
        </w:rPr>
      </w:pPr>
      <w:r w:rsidRPr="000D7D46">
        <w:rPr>
          <w:color w:val="D5BF19"/>
          <w:sz w:val="40"/>
          <w:szCs w:val="40"/>
          <w14:shadow w14:blurRad="114300" w14:dist="0" w14:dir="0" w14:sx="0" w14:sy="0" w14:kx="0" w14:ky="0" w14:algn="none">
            <w14:srgbClr w14:val="000000"/>
          </w14:shadow>
        </w:rPr>
        <w:t xml:space="preserve">Word Count: </w:t>
      </w:r>
      <w:r w:rsidR="00A9163C">
        <w:rPr>
          <w:color w:val="D5BF19"/>
          <w:sz w:val="40"/>
          <w:szCs w:val="40"/>
          <w14:shadow w14:blurRad="114300" w14:dist="0" w14:dir="0" w14:sx="0" w14:sy="0" w14:kx="0" w14:ky="0" w14:algn="none">
            <w14:srgbClr w14:val="000000"/>
          </w14:shadow>
        </w:rPr>
        <w:t>7888</w:t>
      </w:r>
    </w:p>
    <w:p w14:paraId="47AE026A" w14:textId="77777777" w:rsidR="006C7F70" w:rsidRDefault="006C7F70" w:rsidP="00115BEC">
      <w:pPr>
        <w:pStyle w:val="Heading1"/>
        <w:spacing w:after="60"/>
      </w:pPr>
      <w:bookmarkStart w:id="0" w:name="_Toc237383369"/>
      <w:bookmarkStart w:id="1" w:name="_Toc237384204"/>
      <w:bookmarkStart w:id="2" w:name="_Toc237384924"/>
      <w:bookmarkStart w:id="3" w:name="_Toc237444946"/>
      <w:r>
        <w:lastRenderedPageBreak/>
        <w:t>Abstract</w:t>
      </w:r>
      <w:bookmarkEnd w:id="0"/>
      <w:bookmarkEnd w:id="1"/>
      <w:bookmarkEnd w:id="2"/>
      <w:bookmarkEnd w:id="3"/>
    </w:p>
    <w:p w14:paraId="799F7478" w14:textId="03441B7E" w:rsidR="006C7F70" w:rsidRPr="00343E96" w:rsidRDefault="006C7F70" w:rsidP="00115BEC">
      <w:pPr>
        <w:spacing w:after="60" w:line="360" w:lineRule="auto"/>
        <w:jc w:val="both"/>
        <w:rPr>
          <w:rFonts w:ascii="Calibri" w:hAnsi="Calibri" w:cs="Calibri"/>
          <w:sz w:val="24"/>
          <w:szCs w:val="24"/>
        </w:rPr>
      </w:pPr>
      <w:r w:rsidRPr="00343E96">
        <w:rPr>
          <w:rFonts w:ascii="Calibri" w:hAnsi="Calibri" w:cs="Calibri"/>
          <w:sz w:val="24"/>
          <w:szCs w:val="24"/>
        </w:rPr>
        <w:t>AI is rapidly transforming HE by redesigning learning, research, institutional management, and teaching. However, it</w:t>
      </w:r>
      <w:r w:rsidR="00560223">
        <w:rPr>
          <w:rFonts w:ascii="Calibri" w:hAnsi="Calibri" w:cs="Calibri"/>
          <w:sz w:val="24"/>
          <w:szCs w:val="24"/>
        </w:rPr>
        <w:t xml:space="preserve">s implementation </w:t>
      </w:r>
      <w:r w:rsidRPr="00343E96">
        <w:rPr>
          <w:rFonts w:ascii="Calibri" w:hAnsi="Calibri" w:cs="Calibri"/>
          <w:sz w:val="24"/>
          <w:szCs w:val="24"/>
        </w:rPr>
        <w:t>creates</w:t>
      </w:r>
      <w:r w:rsidR="00560223">
        <w:rPr>
          <w:rFonts w:ascii="Calibri" w:hAnsi="Calibri" w:cs="Calibri"/>
          <w:sz w:val="24"/>
          <w:szCs w:val="24"/>
        </w:rPr>
        <w:t xml:space="preserve"> complex</w:t>
      </w:r>
      <w:r w:rsidRPr="00343E96">
        <w:rPr>
          <w:rFonts w:ascii="Calibri" w:hAnsi="Calibri" w:cs="Calibri"/>
          <w:sz w:val="24"/>
          <w:szCs w:val="24"/>
        </w:rPr>
        <w:t xml:space="preserve"> ethical, governance, </w:t>
      </w:r>
      <w:r w:rsidR="006420F3">
        <w:rPr>
          <w:rFonts w:ascii="Calibri" w:hAnsi="Calibri" w:cs="Calibri"/>
          <w:sz w:val="24"/>
          <w:szCs w:val="24"/>
        </w:rPr>
        <w:t>oversight and</w:t>
      </w:r>
      <w:r w:rsidRPr="00343E96">
        <w:rPr>
          <w:rFonts w:ascii="Calibri" w:hAnsi="Calibri" w:cs="Calibri"/>
          <w:sz w:val="24"/>
          <w:szCs w:val="24"/>
        </w:rPr>
        <w:t xml:space="preserve"> regulatory challenges. This academic work critically investigates contemporary research on the ethical adoption</w:t>
      </w:r>
      <w:r w:rsidR="00110A4F">
        <w:rPr>
          <w:rFonts w:ascii="Calibri" w:hAnsi="Calibri" w:cs="Calibri"/>
          <w:sz w:val="24"/>
          <w:szCs w:val="24"/>
        </w:rPr>
        <w:t xml:space="preserve"> of AI</w:t>
      </w:r>
      <w:r w:rsidRPr="00343E96">
        <w:rPr>
          <w:rFonts w:ascii="Calibri" w:hAnsi="Calibri" w:cs="Calibri"/>
          <w:sz w:val="24"/>
          <w:szCs w:val="24"/>
        </w:rPr>
        <w:t xml:space="preserve"> within English public universities</w:t>
      </w:r>
      <w:r w:rsidR="00560223">
        <w:rPr>
          <w:rFonts w:ascii="Calibri" w:hAnsi="Calibri" w:cs="Calibri"/>
          <w:sz w:val="24"/>
          <w:szCs w:val="24"/>
        </w:rPr>
        <w:t xml:space="preserve"> and </w:t>
      </w:r>
      <w:r w:rsidRPr="00343E96">
        <w:rPr>
          <w:rFonts w:ascii="Calibri" w:hAnsi="Calibri" w:cs="Calibri"/>
          <w:sz w:val="24"/>
          <w:szCs w:val="24"/>
        </w:rPr>
        <w:t>evaluates how</w:t>
      </w:r>
      <w:r w:rsidR="006420F3">
        <w:rPr>
          <w:rFonts w:ascii="Calibri" w:hAnsi="Calibri" w:cs="Calibri"/>
          <w:sz w:val="24"/>
          <w:szCs w:val="24"/>
        </w:rPr>
        <w:t xml:space="preserve"> </w:t>
      </w:r>
      <w:r w:rsidRPr="00343E96">
        <w:rPr>
          <w:rFonts w:ascii="Calibri" w:hAnsi="Calibri" w:cs="Calibri"/>
          <w:sz w:val="24"/>
          <w:szCs w:val="24"/>
        </w:rPr>
        <w:t xml:space="preserve">strategic governance can </w:t>
      </w:r>
      <w:r>
        <w:rPr>
          <w:rFonts w:ascii="Calibri" w:hAnsi="Calibri" w:cs="Calibri"/>
          <w:sz w:val="24"/>
          <w:szCs w:val="24"/>
        </w:rPr>
        <w:t>support</w:t>
      </w:r>
      <w:r w:rsidRPr="00343E96">
        <w:rPr>
          <w:rFonts w:ascii="Calibri" w:hAnsi="Calibri" w:cs="Calibri"/>
          <w:sz w:val="24"/>
          <w:szCs w:val="24"/>
        </w:rPr>
        <w:t xml:space="preserve"> </w:t>
      </w:r>
      <w:r w:rsidR="00560223">
        <w:rPr>
          <w:rFonts w:ascii="Calibri" w:hAnsi="Calibri" w:cs="Calibri"/>
          <w:sz w:val="24"/>
          <w:szCs w:val="24"/>
        </w:rPr>
        <w:t xml:space="preserve">its </w:t>
      </w:r>
      <w:r w:rsidRPr="00343E96">
        <w:rPr>
          <w:rFonts w:ascii="Calibri" w:hAnsi="Calibri" w:cs="Calibri"/>
          <w:sz w:val="24"/>
          <w:szCs w:val="24"/>
        </w:rPr>
        <w:t xml:space="preserve">responsible implementation. Furthermore, it explores the philosophical assumptions underpinning existing research. </w:t>
      </w:r>
      <w:r w:rsidR="000174F1">
        <w:rPr>
          <w:rFonts w:ascii="Calibri" w:hAnsi="Calibri" w:cs="Calibri"/>
          <w:sz w:val="24"/>
          <w:szCs w:val="24"/>
        </w:rPr>
        <w:t xml:space="preserve">The review identified a </w:t>
      </w:r>
      <w:r w:rsidR="00F27393">
        <w:rPr>
          <w:rFonts w:ascii="Calibri" w:hAnsi="Calibri" w:cs="Calibri"/>
          <w:sz w:val="24"/>
          <w:szCs w:val="24"/>
        </w:rPr>
        <w:t xml:space="preserve">significant </w:t>
      </w:r>
      <w:r w:rsidR="00C57065">
        <w:rPr>
          <w:rFonts w:ascii="Calibri" w:hAnsi="Calibri" w:cs="Calibri"/>
          <w:sz w:val="24"/>
          <w:szCs w:val="24"/>
        </w:rPr>
        <w:t xml:space="preserve">gap </w:t>
      </w:r>
      <w:r w:rsidR="000174F1">
        <w:rPr>
          <w:rFonts w:ascii="Calibri" w:hAnsi="Calibri" w:cs="Calibri"/>
          <w:sz w:val="24"/>
          <w:szCs w:val="24"/>
        </w:rPr>
        <w:t>in existing scholarship</w:t>
      </w:r>
      <w:r w:rsidR="004F2401">
        <w:rPr>
          <w:rFonts w:ascii="Calibri" w:hAnsi="Calibri" w:cs="Calibri"/>
          <w:sz w:val="24"/>
          <w:szCs w:val="24"/>
        </w:rPr>
        <w:t>:</w:t>
      </w:r>
      <w:r w:rsidR="000174F1">
        <w:rPr>
          <w:rFonts w:ascii="Calibri" w:hAnsi="Calibri" w:cs="Calibri"/>
          <w:sz w:val="24"/>
          <w:szCs w:val="24"/>
        </w:rPr>
        <w:t xml:space="preserve"> insufficient empirical and theoretical explanation of how English public universities translate responsible AI principles into institutional-level governance structures and strategic decision-making.  </w:t>
      </w:r>
    </w:p>
    <w:p w14:paraId="7544293C" w14:textId="584E714B" w:rsidR="006C7F70" w:rsidRPr="00343E96" w:rsidRDefault="006C7F70" w:rsidP="00115BEC">
      <w:pPr>
        <w:spacing w:after="60" w:line="360" w:lineRule="auto"/>
        <w:jc w:val="both"/>
        <w:rPr>
          <w:rFonts w:ascii="Calibri" w:hAnsi="Calibri" w:cs="Calibri"/>
          <w:sz w:val="24"/>
          <w:szCs w:val="24"/>
        </w:rPr>
      </w:pPr>
      <w:r w:rsidRPr="00343E96">
        <w:rPr>
          <w:rFonts w:ascii="Calibri" w:hAnsi="Calibri" w:cs="Calibri"/>
          <w:sz w:val="24"/>
          <w:szCs w:val="24"/>
        </w:rPr>
        <w:t xml:space="preserve">This </w:t>
      </w:r>
      <w:r>
        <w:rPr>
          <w:rFonts w:ascii="Calibri" w:hAnsi="Calibri" w:cs="Calibri"/>
          <w:sz w:val="24"/>
          <w:szCs w:val="24"/>
        </w:rPr>
        <w:t>coursework</w:t>
      </w:r>
      <w:r w:rsidRPr="00343E96">
        <w:rPr>
          <w:rFonts w:ascii="Calibri" w:hAnsi="Calibri" w:cs="Calibri"/>
          <w:sz w:val="24"/>
          <w:szCs w:val="24"/>
        </w:rPr>
        <w:t xml:space="preserve"> </w:t>
      </w:r>
      <w:r>
        <w:rPr>
          <w:rFonts w:ascii="Calibri" w:hAnsi="Calibri" w:cs="Calibri"/>
          <w:sz w:val="24"/>
          <w:szCs w:val="24"/>
        </w:rPr>
        <w:t>employs</w:t>
      </w:r>
      <w:r w:rsidRPr="00343E96">
        <w:rPr>
          <w:rFonts w:ascii="Calibri" w:hAnsi="Calibri" w:cs="Calibri"/>
          <w:sz w:val="24"/>
          <w:szCs w:val="24"/>
        </w:rPr>
        <w:t xml:space="preserve"> a systematic literature review of peer-reviewed publications from 2022 to 2026</w:t>
      </w:r>
      <w:r w:rsidR="00031FEE">
        <w:rPr>
          <w:rFonts w:ascii="Calibri" w:hAnsi="Calibri" w:cs="Calibri"/>
          <w:sz w:val="24"/>
          <w:szCs w:val="24"/>
        </w:rPr>
        <w:t xml:space="preserve">. It uses </w:t>
      </w:r>
      <w:r>
        <w:rPr>
          <w:rFonts w:ascii="Calibri" w:hAnsi="Calibri" w:cs="Calibri"/>
          <w:sz w:val="24"/>
          <w:szCs w:val="24"/>
        </w:rPr>
        <w:t>transparent search criteria and thematic synthesis</w:t>
      </w:r>
      <w:r w:rsidRPr="00343E96">
        <w:rPr>
          <w:rFonts w:ascii="Calibri" w:hAnsi="Calibri" w:cs="Calibri"/>
          <w:sz w:val="24"/>
          <w:szCs w:val="24"/>
        </w:rPr>
        <w:t>.</w:t>
      </w:r>
      <w:r w:rsidR="00560223">
        <w:rPr>
          <w:rFonts w:ascii="Calibri" w:hAnsi="Calibri" w:cs="Calibri"/>
          <w:sz w:val="24"/>
          <w:szCs w:val="24"/>
        </w:rPr>
        <w:t xml:space="preserve"> The review</w:t>
      </w:r>
      <w:r w:rsidRPr="00343E96">
        <w:rPr>
          <w:rFonts w:ascii="Calibri" w:hAnsi="Calibri" w:cs="Calibri"/>
          <w:sz w:val="24"/>
          <w:szCs w:val="24"/>
        </w:rPr>
        <w:t xml:space="preserve"> </w:t>
      </w:r>
      <w:r w:rsidR="004F2401">
        <w:rPr>
          <w:rFonts w:ascii="Calibri" w:hAnsi="Calibri" w:cs="Calibri"/>
          <w:sz w:val="24"/>
          <w:szCs w:val="24"/>
        </w:rPr>
        <w:t>followed</w:t>
      </w:r>
      <w:r w:rsidR="00560223">
        <w:rPr>
          <w:rFonts w:ascii="Calibri" w:hAnsi="Calibri" w:cs="Calibri"/>
          <w:sz w:val="24"/>
          <w:szCs w:val="24"/>
        </w:rPr>
        <w:t xml:space="preserve"> explicit</w:t>
      </w:r>
      <w:r w:rsidRPr="00343E96">
        <w:rPr>
          <w:rFonts w:ascii="Calibri" w:hAnsi="Calibri" w:cs="Calibri"/>
          <w:sz w:val="24"/>
          <w:szCs w:val="24"/>
        </w:rPr>
        <w:t xml:space="preserve"> inclusion and exclusion criteria</w:t>
      </w:r>
      <w:r w:rsidR="00560223">
        <w:rPr>
          <w:rFonts w:ascii="Calibri" w:hAnsi="Calibri" w:cs="Calibri"/>
          <w:sz w:val="24"/>
          <w:szCs w:val="24"/>
        </w:rPr>
        <w:t>, and t</w:t>
      </w:r>
      <w:r w:rsidRPr="00343E96">
        <w:rPr>
          <w:rFonts w:ascii="Calibri" w:hAnsi="Calibri" w:cs="Calibri"/>
          <w:sz w:val="24"/>
          <w:szCs w:val="24"/>
        </w:rPr>
        <w:t>he evidence was synthesised through thematic analysis. Therefore, one contemporary study was critically evaluated to examine its ontological, epistemological, methodological, and ethical foundations</w:t>
      </w:r>
      <w:r w:rsidR="00560223">
        <w:rPr>
          <w:rFonts w:ascii="Calibri" w:hAnsi="Calibri" w:cs="Calibri"/>
          <w:sz w:val="24"/>
          <w:szCs w:val="24"/>
        </w:rPr>
        <w:t xml:space="preserve">, </w:t>
      </w:r>
      <w:r w:rsidR="004F2401">
        <w:rPr>
          <w:rFonts w:ascii="Calibri" w:hAnsi="Calibri" w:cs="Calibri"/>
          <w:sz w:val="24"/>
          <w:szCs w:val="24"/>
        </w:rPr>
        <w:t xml:space="preserve">showing how research philosophy shapes outcomes and the </w:t>
      </w:r>
      <w:r w:rsidRPr="00343E96">
        <w:rPr>
          <w:rFonts w:ascii="Calibri" w:hAnsi="Calibri" w:cs="Calibri"/>
          <w:sz w:val="24"/>
          <w:szCs w:val="24"/>
        </w:rPr>
        <w:t xml:space="preserve">interpretation of knowledge. </w:t>
      </w:r>
    </w:p>
    <w:p w14:paraId="52EED68F" w14:textId="08B86FCC" w:rsidR="006C7F70" w:rsidRDefault="006C7F70" w:rsidP="00115BEC">
      <w:pPr>
        <w:spacing w:after="60" w:line="360" w:lineRule="auto"/>
        <w:jc w:val="both"/>
        <w:rPr>
          <w:rFonts w:ascii="Calibri" w:hAnsi="Calibri" w:cs="Calibri"/>
          <w:sz w:val="24"/>
          <w:szCs w:val="24"/>
        </w:rPr>
      </w:pPr>
      <w:r w:rsidRPr="00343E96">
        <w:rPr>
          <w:rFonts w:ascii="Calibri" w:hAnsi="Calibri" w:cs="Calibri"/>
          <w:sz w:val="24"/>
          <w:szCs w:val="24"/>
        </w:rPr>
        <w:t xml:space="preserve">This review identified four </w:t>
      </w:r>
      <w:r w:rsidR="00221521">
        <w:rPr>
          <w:rFonts w:ascii="Calibri" w:hAnsi="Calibri" w:cs="Calibri"/>
          <w:sz w:val="24"/>
          <w:szCs w:val="24"/>
        </w:rPr>
        <w:t xml:space="preserve">interconnected </w:t>
      </w:r>
      <w:r w:rsidRPr="00343E96">
        <w:rPr>
          <w:rFonts w:ascii="Calibri" w:hAnsi="Calibri" w:cs="Calibri"/>
          <w:sz w:val="24"/>
          <w:szCs w:val="24"/>
        </w:rPr>
        <w:t>themes</w:t>
      </w:r>
      <w:r w:rsidR="00355151">
        <w:rPr>
          <w:rFonts w:ascii="Calibri" w:hAnsi="Calibri" w:cs="Calibri"/>
          <w:sz w:val="24"/>
          <w:szCs w:val="24"/>
        </w:rPr>
        <w:t>:</w:t>
      </w:r>
      <w:r w:rsidRPr="00343E96">
        <w:rPr>
          <w:rFonts w:ascii="Calibri" w:hAnsi="Calibri" w:cs="Calibri"/>
          <w:sz w:val="24"/>
          <w:szCs w:val="24"/>
        </w:rPr>
        <w:t xml:space="preserve"> AI implementation in HE, ethical governance, strategic governance and leadership, and institutional research gaps. The recent literature converges on </w:t>
      </w:r>
      <w:r w:rsidR="00560223">
        <w:rPr>
          <w:rFonts w:ascii="Calibri" w:hAnsi="Calibri" w:cs="Calibri"/>
          <w:sz w:val="24"/>
          <w:szCs w:val="24"/>
        </w:rPr>
        <w:t xml:space="preserve">the importance of </w:t>
      </w:r>
      <w:r w:rsidRPr="00343E96">
        <w:rPr>
          <w:rFonts w:ascii="Calibri" w:hAnsi="Calibri" w:cs="Calibri"/>
          <w:sz w:val="24"/>
          <w:szCs w:val="24"/>
        </w:rPr>
        <w:t xml:space="preserve">transparency, accountability, fairness, and responsible innovation. However, it remains fragmented and predominantly conceptual. </w:t>
      </w:r>
      <w:r w:rsidR="000174F1">
        <w:rPr>
          <w:rFonts w:ascii="Calibri" w:hAnsi="Calibri" w:cs="Calibri"/>
          <w:sz w:val="24"/>
          <w:szCs w:val="24"/>
        </w:rPr>
        <w:t xml:space="preserve">Consequently, the literature offers limited guidance on how HEIs can operationalise ethical AI principles through institutional governance and strategic decision-making. </w:t>
      </w:r>
      <w:r w:rsidRPr="00343E96">
        <w:rPr>
          <w:rFonts w:ascii="Calibri" w:hAnsi="Calibri" w:cs="Calibri"/>
          <w:sz w:val="24"/>
          <w:szCs w:val="24"/>
        </w:rPr>
        <w:t xml:space="preserve"> </w:t>
      </w:r>
    </w:p>
    <w:p w14:paraId="2C55FDE5" w14:textId="2271E5D6" w:rsidR="006C7F70" w:rsidRDefault="006C7F70" w:rsidP="00115BEC">
      <w:pPr>
        <w:spacing w:after="60" w:line="360" w:lineRule="auto"/>
        <w:jc w:val="both"/>
        <w:rPr>
          <w:rFonts w:ascii="Calibri" w:hAnsi="Calibri" w:cs="Calibri"/>
          <w:sz w:val="24"/>
          <w:szCs w:val="24"/>
        </w:rPr>
      </w:pPr>
      <w:r>
        <w:rPr>
          <w:rFonts w:ascii="Calibri" w:hAnsi="Calibri" w:cs="Calibri"/>
          <w:sz w:val="24"/>
          <w:szCs w:val="24"/>
        </w:rPr>
        <w:t xml:space="preserve">This academic </w:t>
      </w:r>
      <w:r w:rsidR="006420F3">
        <w:rPr>
          <w:rFonts w:ascii="Calibri" w:hAnsi="Calibri" w:cs="Calibri"/>
          <w:sz w:val="24"/>
          <w:szCs w:val="24"/>
        </w:rPr>
        <w:t>study</w:t>
      </w:r>
      <w:r>
        <w:rPr>
          <w:rFonts w:ascii="Calibri" w:hAnsi="Calibri" w:cs="Calibri"/>
          <w:sz w:val="24"/>
          <w:szCs w:val="24"/>
        </w:rPr>
        <w:t xml:space="preserve"> contributes by </w:t>
      </w:r>
      <w:r w:rsidR="006420F3">
        <w:rPr>
          <w:rFonts w:ascii="Calibri" w:hAnsi="Calibri" w:cs="Calibri"/>
          <w:sz w:val="24"/>
          <w:szCs w:val="24"/>
        </w:rPr>
        <w:t>unifying</w:t>
      </w:r>
      <w:r>
        <w:rPr>
          <w:rFonts w:ascii="Calibri" w:hAnsi="Calibri" w:cs="Calibri"/>
          <w:sz w:val="24"/>
          <w:szCs w:val="24"/>
        </w:rPr>
        <w:t xml:space="preserve"> systematic literature synthesis with philosophical and methodological analysis to develop the conceptual foundation for a </w:t>
      </w:r>
      <w:r w:rsidRPr="000C313A">
        <w:rPr>
          <w:rFonts w:ascii="Calibri" w:hAnsi="Calibri" w:cs="Calibri"/>
          <w:b/>
          <w:bCs/>
          <w:sz w:val="24"/>
          <w:szCs w:val="24"/>
        </w:rPr>
        <w:t>Strategic Governance Model</w:t>
      </w:r>
      <w:r>
        <w:rPr>
          <w:rFonts w:ascii="Calibri" w:hAnsi="Calibri" w:cs="Calibri"/>
          <w:sz w:val="24"/>
          <w:szCs w:val="24"/>
        </w:rPr>
        <w:t xml:space="preserve"> for English public universities. </w:t>
      </w:r>
      <w:r w:rsidR="00115BEC">
        <w:rPr>
          <w:rFonts w:ascii="Calibri" w:hAnsi="Calibri" w:cs="Calibri"/>
          <w:sz w:val="24"/>
          <w:szCs w:val="24"/>
        </w:rPr>
        <w:t xml:space="preserve">The originality of the proposed SGM lies in conceptualising ethical AI governance as a dynamic strategic organisational capability, not only an initial regulatory or compliance function, integrating strategic leadership, governance mechanisms, stakeholder participation and responsible AI principles within the distinctive institutional context of English public universities. The proposed model provides more transparent, accountable and strategically sustainable AI adoption. </w:t>
      </w:r>
    </w:p>
    <w:p w14:paraId="79FA12D4" w14:textId="7DA5F34B" w:rsidR="006C7F70" w:rsidRDefault="006C7F70" w:rsidP="006C7F70">
      <w:pPr>
        <w:spacing w:line="360" w:lineRule="auto"/>
        <w:jc w:val="both"/>
        <w:rPr>
          <w:rFonts w:ascii="Calibri" w:hAnsi="Calibri" w:cs="Calibri"/>
          <w:b/>
          <w:bCs/>
          <w:sz w:val="24"/>
          <w:szCs w:val="24"/>
        </w:rPr>
      </w:pPr>
      <w:r w:rsidRPr="00880CFC">
        <w:rPr>
          <w:rFonts w:ascii="Calibri" w:hAnsi="Calibri" w:cs="Calibri"/>
          <w:b/>
          <w:bCs/>
          <w:sz w:val="24"/>
          <w:szCs w:val="24"/>
        </w:rPr>
        <w:t xml:space="preserve">Keywords: AI; HE; AI governance; </w:t>
      </w:r>
      <w:r w:rsidR="00202D31">
        <w:rPr>
          <w:rFonts w:ascii="Calibri" w:hAnsi="Calibri" w:cs="Calibri"/>
          <w:b/>
          <w:bCs/>
          <w:sz w:val="24"/>
          <w:szCs w:val="24"/>
        </w:rPr>
        <w:t>Organisational Capability</w:t>
      </w:r>
      <w:r w:rsidRPr="00880CFC">
        <w:rPr>
          <w:rFonts w:ascii="Calibri" w:hAnsi="Calibri" w:cs="Calibri"/>
          <w:b/>
          <w:bCs/>
          <w:sz w:val="24"/>
          <w:szCs w:val="24"/>
        </w:rPr>
        <w:t>; Ethical AI; Research Philosophy;</w:t>
      </w:r>
    </w:p>
    <w:sdt>
      <w:sdtPr>
        <w:rPr>
          <w:rFonts w:asciiTheme="minorHAnsi" w:eastAsiaTheme="minorHAnsi" w:hAnsiTheme="minorHAnsi" w:cstheme="minorBidi"/>
          <w:b w:val="0"/>
          <w:bCs w:val="0"/>
          <w:color w:val="auto"/>
          <w:kern w:val="2"/>
          <w:sz w:val="22"/>
          <w:szCs w:val="22"/>
          <w:lang w:val="en-GB"/>
          <w14:ligatures w14:val="standardContextual"/>
        </w:rPr>
        <w:id w:val="551898801"/>
        <w:docPartObj>
          <w:docPartGallery w:val="Table of Contents"/>
          <w:docPartUnique/>
        </w:docPartObj>
      </w:sdtPr>
      <w:sdtContent>
        <w:p w14:paraId="1A84A96B" w14:textId="21B0A33C" w:rsidR="00BA36C3" w:rsidRDefault="00BA36C3">
          <w:pPr>
            <w:pStyle w:val="TOCHeading"/>
          </w:pPr>
          <w:r>
            <w:rPr>
              <w:lang w:val="en-GB"/>
            </w:rPr>
            <w:t>Table of Contents</w:t>
          </w:r>
        </w:p>
        <w:p w14:paraId="7AA9CF67" w14:textId="5AD6812B" w:rsidR="00BA36C3" w:rsidRDefault="00BA36C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444946" w:history="1">
            <w:r w:rsidRPr="00554E06">
              <w:rPr>
                <w:rStyle w:val="Hyperlink"/>
                <w:noProof/>
              </w:rPr>
              <w:t>Abstract</w:t>
            </w:r>
            <w:r>
              <w:rPr>
                <w:noProof/>
                <w:webHidden/>
              </w:rPr>
              <w:tab/>
            </w:r>
            <w:r>
              <w:rPr>
                <w:noProof/>
                <w:webHidden/>
              </w:rPr>
              <w:fldChar w:fldCharType="begin"/>
            </w:r>
            <w:r>
              <w:rPr>
                <w:noProof/>
                <w:webHidden/>
              </w:rPr>
              <w:instrText xml:space="preserve"> PAGEREF _Toc237444946 \h </w:instrText>
            </w:r>
            <w:r>
              <w:rPr>
                <w:noProof/>
                <w:webHidden/>
              </w:rPr>
            </w:r>
            <w:r>
              <w:rPr>
                <w:noProof/>
                <w:webHidden/>
              </w:rPr>
              <w:fldChar w:fldCharType="separate"/>
            </w:r>
            <w:r>
              <w:rPr>
                <w:noProof/>
                <w:webHidden/>
              </w:rPr>
              <w:t>2</w:t>
            </w:r>
            <w:r>
              <w:rPr>
                <w:noProof/>
                <w:webHidden/>
              </w:rPr>
              <w:fldChar w:fldCharType="end"/>
            </w:r>
          </w:hyperlink>
        </w:p>
        <w:p w14:paraId="5F868C4A" w14:textId="3C13723D" w:rsidR="00BA36C3" w:rsidRDefault="00BA36C3">
          <w:pPr>
            <w:pStyle w:val="TOC1"/>
            <w:tabs>
              <w:tab w:val="right" w:leader="dot" w:pos="9016"/>
            </w:tabs>
            <w:rPr>
              <w:rFonts w:eastAsiaTheme="minorEastAsia"/>
              <w:noProof/>
              <w:sz w:val="24"/>
              <w:szCs w:val="24"/>
              <w:lang w:eastAsia="en-GB"/>
            </w:rPr>
          </w:pPr>
          <w:hyperlink w:anchor="_Toc237444947" w:history="1">
            <w:r w:rsidRPr="00554E06">
              <w:rPr>
                <w:rStyle w:val="Hyperlink"/>
                <w:noProof/>
              </w:rPr>
              <w:t>List of Tables</w:t>
            </w:r>
            <w:r>
              <w:rPr>
                <w:noProof/>
                <w:webHidden/>
              </w:rPr>
              <w:tab/>
            </w:r>
            <w:r>
              <w:rPr>
                <w:noProof/>
                <w:webHidden/>
              </w:rPr>
              <w:fldChar w:fldCharType="begin"/>
            </w:r>
            <w:r>
              <w:rPr>
                <w:noProof/>
                <w:webHidden/>
              </w:rPr>
              <w:instrText xml:space="preserve"> PAGEREF _Toc237444947 \h </w:instrText>
            </w:r>
            <w:r>
              <w:rPr>
                <w:noProof/>
                <w:webHidden/>
              </w:rPr>
            </w:r>
            <w:r>
              <w:rPr>
                <w:noProof/>
                <w:webHidden/>
              </w:rPr>
              <w:fldChar w:fldCharType="separate"/>
            </w:r>
            <w:r>
              <w:rPr>
                <w:noProof/>
                <w:webHidden/>
              </w:rPr>
              <w:t>5</w:t>
            </w:r>
            <w:r>
              <w:rPr>
                <w:noProof/>
                <w:webHidden/>
              </w:rPr>
              <w:fldChar w:fldCharType="end"/>
            </w:r>
          </w:hyperlink>
        </w:p>
        <w:p w14:paraId="47C0E60C" w14:textId="48DE4DB8" w:rsidR="00BA36C3" w:rsidRDefault="00BA36C3">
          <w:pPr>
            <w:pStyle w:val="TOC1"/>
            <w:tabs>
              <w:tab w:val="right" w:leader="dot" w:pos="9016"/>
            </w:tabs>
            <w:rPr>
              <w:rFonts w:eastAsiaTheme="minorEastAsia"/>
              <w:noProof/>
              <w:sz w:val="24"/>
              <w:szCs w:val="24"/>
              <w:lang w:eastAsia="en-GB"/>
            </w:rPr>
          </w:pPr>
          <w:hyperlink w:anchor="_Toc237444948" w:history="1">
            <w:r w:rsidRPr="00554E06">
              <w:rPr>
                <w:rStyle w:val="Hyperlink"/>
                <w:noProof/>
              </w:rPr>
              <w:t>List of Figures</w:t>
            </w:r>
            <w:r>
              <w:rPr>
                <w:noProof/>
                <w:webHidden/>
              </w:rPr>
              <w:tab/>
            </w:r>
            <w:r w:rsidR="00362C37">
              <w:rPr>
                <w:noProof/>
                <w:webHidden/>
              </w:rPr>
              <w:t>5</w:t>
            </w:r>
          </w:hyperlink>
        </w:p>
        <w:p w14:paraId="4E463B2B" w14:textId="3F5ED1F9" w:rsidR="00BA36C3" w:rsidRDefault="00BA36C3">
          <w:pPr>
            <w:pStyle w:val="TOC1"/>
            <w:tabs>
              <w:tab w:val="right" w:leader="dot" w:pos="9016"/>
            </w:tabs>
            <w:rPr>
              <w:rFonts w:eastAsiaTheme="minorEastAsia"/>
              <w:noProof/>
              <w:sz w:val="24"/>
              <w:szCs w:val="24"/>
              <w:lang w:eastAsia="en-GB"/>
            </w:rPr>
          </w:pPr>
          <w:hyperlink w:anchor="_Toc237444949" w:history="1">
            <w:r w:rsidRPr="00554E06">
              <w:rPr>
                <w:rStyle w:val="Hyperlink"/>
                <w:noProof/>
              </w:rPr>
              <w:t>List of Abbreviations</w:t>
            </w:r>
            <w:r>
              <w:rPr>
                <w:noProof/>
                <w:webHidden/>
              </w:rPr>
              <w:tab/>
            </w:r>
            <w:r w:rsidR="00362C37">
              <w:rPr>
                <w:noProof/>
                <w:webHidden/>
              </w:rPr>
              <w:t>6</w:t>
            </w:r>
          </w:hyperlink>
        </w:p>
        <w:p w14:paraId="7758AE2B" w14:textId="1F804DF5" w:rsidR="00BA36C3" w:rsidRDefault="00BA36C3">
          <w:pPr>
            <w:pStyle w:val="TOC1"/>
            <w:tabs>
              <w:tab w:val="right" w:leader="dot" w:pos="9016"/>
            </w:tabs>
            <w:rPr>
              <w:rFonts w:eastAsiaTheme="minorEastAsia"/>
              <w:noProof/>
              <w:sz w:val="24"/>
              <w:szCs w:val="24"/>
              <w:lang w:eastAsia="en-GB"/>
            </w:rPr>
          </w:pPr>
          <w:hyperlink w:anchor="_Toc237444950" w:history="1">
            <w:r w:rsidRPr="00554E06">
              <w:rPr>
                <w:rStyle w:val="Hyperlink"/>
                <w:noProof/>
              </w:rPr>
              <w:t>1. Introduction</w:t>
            </w:r>
            <w:r>
              <w:rPr>
                <w:noProof/>
                <w:webHidden/>
              </w:rPr>
              <w:tab/>
            </w:r>
            <w:r w:rsidR="00362C37">
              <w:rPr>
                <w:noProof/>
                <w:webHidden/>
              </w:rPr>
              <w:t>7</w:t>
            </w:r>
          </w:hyperlink>
        </w:p>
        <w:p w14:paraId="201EA7C0" w14:textId="64600C62" w:rsidR="00BA36C3" w:rsidRDefault="00BA36C3">
          <w:pPr>
            <w:pStyle w:val="TOC1"/>
            <w:tabs>
              <w:tab w:val="right" w:leader="dot" w:pos="9016"/>
            </w:tabs>
            <w:rPr>
              <w:rFonts w:eastAsiaTheme="minorEastAsia"/>
              <w:noProof/>
              <w:sz w:val="24"/>
              <w:szCs w:val="24"/>
              <w:lang w:eastAsia="en-GB"/>
            </w:rPr>
          </w:pPr>
          <w:hyperlink w:anchor="_Toc237444951" w:history="1">
            <w:r w:rsidRPr="00554E06">
              <w:rPr>
                <w:rStyle w:val="Hyperlink"/>
                <w:noProof/>
              </w:rPr>
              <w:t>2. Method for Conducting the Literature Review</w:t>
            </w:r>
            <w:r>
              <w:rPr>
                <w:noProof/>
                <w:webHidden/>
              </w:rPr>
              <w:tab/>
            </w:r>
            <w:r w:rsidR="00362C37">
              <w:rPr>
                <w:noProof/>
                <w:webHidden/>
              </w:rPr>
              <w:t>10</w:t>
            </w:r>
          </w:hyperlink>
        </w:p>
        <w:p w14:paraId="53163B9A" w14:textId="2D2EB342" w:rsidR="00BA36C3" w:rsidRDefault="00BA36C3">
          <w:pPr>
            <w:pStyle w:val="TOC2"/>
            <w:tabs>
              <w:tab w:val="right" w:leader="dot" w:pos="9016"/>
            </w:tabs>
            <w:rPr>
              <w:rFonts w:eastAsiaTheme="minorEastAsia"/>
              <w:noProof/>
              <w:sz w:val="24"/>
              <w:szCs w:val="24"/>
              <w:lang w:eastAsia="en-GB"/>
            </w:rPr>
          </w:pPr>
          <w:hyperlink w:anchor="_Toc237444952" w:history="1">
            <w:r w:rsidRPr="00554E06">
              <w:rPr>
                <w:rStyle w:val="Hyperlink"/>
                <w:noProof/>
              </w:rPr>
              <w:t>2.1 Search Strategy</w:t>
            </w:r>
            <w:r>
              <w:rPr>
                <w:noProof/>
                <w:webHidden/>
              </w:rPr>
              <w:tab/>
            </w:r>
            <w:r w:rsidR="00362C37">
              <w:rPr>
                <w:noProof/>
                <w:webHidden/>
              </w:rPr>
              <w:t>10</w:t>
            </w:r>
          </w:hyperlink>
        </w:p>
        <w:p w14:paraId="16F96E65" w14:textId="50B93558" w:rsidR="00BA36C3" w:rsidRDefault="00BA36C3">
          <w:pPr>
            <w:pStyle w:val="TOC2"/>
            <w:tabs>
              <w:tab w:val="right" w:leader="dot" w:pos="9016"/>
            </w:tabs>
            <w:rPr>
              <w:rFonts w:eastAsiaTheme="minorEastAsia"/>
              <w:noProof/>
              <w:sz w:val="24"/>
              <w:szCs w:val="24"/>
              <w:lang w:eastAsia="en-GB"/>
            </w:rPr>
          </w:pPr>
          <w:hyperlink w:anchor="_Toc237444953" w:history="1">
            <w:r w:rsidRPr="00554E06">
              <w:rPr>
                <w:rStyle w:val="Hyperlink"/>
                <w:noProof/>
              </w:rPr>
              <w:t>2.2 Inclusion and Exclusion Criteria</w:t>
            </w:r>
            <w:r>
              <w:rPr>
                <w:noProof/>
                <w:webHidden/>
              </w:rPr>
              <w:tab/>
            </w:r>
            <w:r>
              <w:rPr>
                <w:noProof/>
                <w:webHidden/>
              </w:rPr>
              <w:fldChar w:fldCharType="begin"/>
            </w:r>
            <w:r>
              <w:rPr>
                <w:noProof/>
                <w:webHidden/>
              </w:rPr>
              <w:instrText xml:space="preserve"> PAGEREF _Toc237444953 \h </w:instrText>
            </w:r>
            <w:r>
              <w:rPr>
                <w:noProof/>
                <w:webHidden/>
              </w:rPr>
            </w:r>
            <w:r>
              <w:rPr>
                <w:noProof/>
                <w:webHidden/>
              </w:rPr>
              <w:fldChar w:fldCharType="separate"/>
            </w:r>
            <w:r>
              <w:rPr>
                <w:noProof/>
                <w:webHidden/>
              </w:rPr>
              <w:t>1</w:t>
            </w:r>
            <w:r w:rsidR="00362C37">
              <w:rPr>
                <w:noProof/>
                <w:webHidden/>
              </w:rPr>
              <w:t>1</w:t>
            </w:r>
            <w:r>
              <w:rPr>
                <w:noProof/>
                <w:webHidden/>
              </w:rPr>
              <w:fldChar w:fldCharType="end"/>
            </w:r>
          </w:hyperlink>
        </w:p>
        <w:p w14:paraId="7A0CDE4C" w14:textId="77C24D0B" w:rsidR="00BA36C3" w:rsidRDefault="00BA36C3">
          <w:pPr>
            <w:pStyle w:val="TOC2"/>
            <w:tabs>
              <w:tab w:val="right" w:leader="dot" w:pos="9016"/>
            </w:tabs>
            <w:rPr>
              <w:rFonts w:eastAsiaTheme="minorEastAsia"/>
              <w:noProof/>
              <w:sz w:val="24"/>
              <w:szCs w:val="24"/>
              <w:lang w:eastAsia="en-GB"/>
            </w:rPr>
          </w:pPr>
          <w:hyperlink w:anchor="_Toc237444954" w:history="1">
            <w:r w:rsidRPr="00554E06">
              <w:rPr>
                <w:rStyle w:val="Hyperlink"/>
                <w:noProof/>
              </w:rPr>
              <w:t>2.3 Quality Appraisal</w:t>
            </w:r>
            <w:r>
              <w:rPr>
                <w:noProof/>
                <w:webHidden/>
              </w:rPr>
              <w:tab/>
            </w:r>
            <w:r>
              <w:rPr>
                <w:noProof/>
                <w:webHidden/>
              </w:rPr>
              <w:fldChar w:fldCharType="begin"/>
            </w:r>
            <w:r>
              <w:rPr>
                <w:noProof/>
                <w:webHidden/>
              </w:rPr>
              <w:instrText xml:space="preserve"> PAGEREF _Toc237444954 \h </w:instrText>
            </w:r>
            <w:r>
              <w:rPr>
                <w:noProof/>
                <w:webHidden/>
              </w:rPr>
            </w:r>
            <w:r>
              <w:rPr>
                <w:noProof/>
                <w:webHidden/>
              </w:rPr>
              <w:fldChar w:fldCharType="separate"/>
            </w:r>
            <w:r>
              <w:rPr>
                <w:noProof/>
                <w:webHidden/>
              </w:rPr>
              <w:t>1</w:t>
            </w:r>
            <w:r w:rsidR="00362C37">
              <w:rPr>
                <w:noProof/>
                <w:webHidden/>
              </w:rPr>
              <w:t>1</w:t>
            </w:r>
            <w:r>
              <w:rPr>
                <w:noProof/>
                <w:webHidden/>
              </w:rPr>
              <w:fldChar w:fldCharType="end"/>
            </w:r>
          </w:hyperlink>
        </w:p>
        <w:p w14:paraId="5AB8FFFF" w14:textId="080249D5" w:rsidR="00BA36C3" w:rsidRDefault="00BA36C3">
          <w:pPr>
            <w:pStyle w:val="TOC2"/>
            <w:tabs>
              <w:tab w:val="right" w:leader="dot" w:pos="9016"/>
            </w:tabs>
            <w:rPr>
              <w:rFonts w:eastAsiaTheme="minorEastAsia"/>
              <w:noProof/>
              <w:sz w:val="24"/>
              <w:szCs w:val="24"/>
              <w:lang w:eastAsia="en-GB"/>
            </w:rPr>
          </w:pPr>
          <w:hyperlink w:anchor="_Toc237444955" w:history="1">
            <w:r w:rsidRPr="00554E06">
              <w:rPr>
                <w:rStyle w:val="Hyperlink"/>
                <w:noProof/>
              </w:rPr>
              <w:t>2.4 Analytical Procedure</w:t>
            </w:r>
            <w:r>
              <w:rPr>
                <w:noProof/>
                <w:webHidden/>
              </w:rPr>
              <w:tab/>
            </w:r>
            <w:r>
              <w:rPr>
                <w:noProof/>
                <w:webHidden/>
              </w:rPr>
              <w:fldChar w:fldCharType="begin"/>
            </w:r>
            <w:r>
              <w:rPr>
                <w:noProof/>
                <w:webHidden/>
              </w:rPr>
              <w:instrText xml:space="preserve"> PAGEREF _Toc237444955 \h </w:instrText>
            </w:r>
            <w:r>
              <w:rPr>
                <w:noProof/>
                <w:webHidden/>
              </w:rPr>
            </w:r>
            <w:r>
              <w:rPr>
                <w:noProof/>
                <w:webHidden/>
              </w:rPr>
              <w:fldChar w:fldCharType="separate"/>
            </w:r>
            <w:r>
              <w:rPr>
                <w:noProof/>
                <w:webHidden/>
              </w:rPr>
              <w:t>1</w:t>
            </w:r>
            <w:r w:rsidR="00362C37">
              <w:rPr>
                <w:noProof/>
                <w:webHidden/>
              </w:rPr>
              <w:t>1</w:t>
            </w:r>
            <w:r>
              <w:rPr>
                <w:noProof/>
                <w:webHidden/>
              </w:rPr>
              <w:fldChar w:fldCharType="end"/>
            </w:r>
          </w:hyperlink>
        </w:p>
        <w:p w14:paraId="0641B32E" w14:textId="0A145F68" w:rsidR="00BA36C3" w:rsidRDefault="00BA36C3">
          <w:pPr>
            <w:pStyle w:val="TOC2"/>
            <w:tabs>
              <w:tab w:val="right" w:leader="dot" w:pos="9016"/>
            </w:tabs>
            <w:rPr>
              <w:rFonts w:eastAsiaTheme="minorEastAsia"/>
              <w:noProof/>
              <w:sz w:val="24"/>
              <w:szCs w:val="24"/>
              <w:lang w:eastAsia="en-GB"/>
            </w:rPr>
          </w:pPr>
          <w:hyperlink w:anchor="_Toc237444956" w:history="1">
            <w:r w:rsidRPr="00554E06">
              <w:rPr>
                <w:rStyle w:val="Hyperlink"/>
                <w:noProof/>
              </w:rPr>
              <w:t>2.5 Limitations of the Review Approach</w:t>
            </w:r>
            <w:r>
              <w:rPr>
                <w:noProof/>
                <w:webHidden/>
              </w:rPr>
              <w:tab/>
            </w:r>
            <w:r>
              <w:rPr>
                <w:noProof/>
                <w:webHidden/>
              </w:rPr>
              <w:fldChar w:fldCharType="begin"/>
            </w:r>
            <w:r>
              <w:rPr>
                <w:noProof/>
                <w:webHidden/>
              </w:rPr>
              <w:instrText xml:space="preserve"> PAGEREF _Toc237444956 \h </w:instrText>
            </w:r>
            <w:r>
              <w:rPr>
                <w:noProof/>
                <w:webHidden/>
              </w:rPr>
            </w:r>
            <w:r>
              <w:rPr>
                <w:noProof/>
                <w:webHidden/>
              </w:rPr>
              <w:fldChar w:fldCharType="separate"/>
            </w:r>
            <w:r>
              <w:rPr>
                <w:noProof/>
                <w:webHidden/>
              </w:rPr>
              <w:t>1</w:t>
            </w:r>
            <w:r w:rsidR="00362C37">
              <w:rPr>
                <w:noProof/>
                <w:webHidden/>
              </w:rPr>
              <w:t>2</w:t>
            </w:r>
            <w:r>
              <w:rPr>
                <w:noProof/>
                <w:webHidden/>
              </w:rPr>
              <w:fldChar w:fldCharType="end"/>
            </w:r>
          </w:hyperlink>
        </w:p>
        <w:p w14:paraId="2183A183" w14:textId="7DF87EC3" w:rsidR="00BA36C3" w:rsidRDefault="00BA36C3">
          <w:pPr>
            <w:pStyle w:val="TOC1"/>
            <w:tabs>
              <w:tab w:val="right" w:leader="dot" w:pos="9016"/>
            </w:tabs>
            <w:rPr>
              <w:rFonts w:eastAsiaTheme="minorEastAsia"/>
              <w:noProof/>
              <w:sz w:val="24"/>
              <w:szCs w:val="24"/>
              <w:lang w:eastAsia="en-GB"/>
            </w:rPr>
          </w:pPr>
          <w:hyperlink w:anchor="_Toc237444957" w:history="1">
            <w:r w:rsidRPr="00554E06">
              <w:rPr>
                <w:rStyle w:val="Hyperlink"/>
                <w:noProof/>
              </w:rPr>
              <w:t>3. Literature Review</w:t>
            </w:r>
            <w:r>
              <w:rPr>
                <w:noProof/>
                <w:webHidden/>
              </w:rPr>
              <w:tab/>
            </w:r>
            <w:r>
              <w:rPr>
                <w:noProof/>
                <w:webHidden/>
              </w:rPr>
              <w:fldChar w:fldCharType="begin"/>
            </w:r>
            <w:r>
              <w:rPr>
                <w:noProof/>
                <w:webHidden/>
              </w:rPr>
              <w:instrText xml:space="preserve"> PAGEREF _Toc237444957 \h </w:instrText>
            </w:r>
            <w:r>
              <w:rPr>
                <w:noProof/>
                <w:webHidden/>
              </w:rPr>
            </w:r>
            <w:r>
              <w:rPr>
                <w:noProof/>
                <w:webHidden/>
              </w:rPr>
              <w:fldChar w:fldCharType="separate"/>
            </w:r>
            <w:r>
              <w:rPr>
                <w:noProof/>
                <w:webHidden/>
              </w:rPr>
              <w:t>1</w:t>
            </w:r>
            <w:r w:rsidR="00362C37">
              <w:rPr>
                <w:noProof/>
                <w:webHidden/>
              </w:rPr>
              <w:t>2</w:t>
            </w:r>
            <w:r>
              <w:rPr>
                <w:noProof/>
                <w:webHidden/>
              </w:rPr>
              <w:fldChar w:fldCharType="end"/>
            </w:r>
          </w:hyperlink>
        </w:p>
        <w:p w14:paraId="51D7E219" w14:textId="1EBC8692" w:rsidR="00BA36C3" w:rsidRDefault="00BA36C3">
          <w:pPr>
            <w:pStyle w:val="TOC2"/>
            <w:tabs>
              <w:tab w:val="right" w:leader="dot" w:pos="9016"/>
            </w:tabs>
            <w:rPr>
              <w:rFonts w:eastAsiaTheme="minorEastAsia"/>
              <w:noProof/>
              <w:sz w:val="24"/>
              <w:szCs w:val="24"/>
              <w:lang w:eastAsia="en-GB"/>
            </w:rPr>
          </w:pPr>
          <w:hyperlink w:anchor="_Toc237444958" w:history="1">
            <w:r w:rsidRPr="00554E06">
              <w:rPr>
                <w:rStyle w:val="Hyperlink"/>
                <w:noProof/>
              </w:rPr>
              <w:t>3.1 Theme 1: AI Adoption in HEIs</w:t>
            </w:r>
            <w:r>
              <w:rPr>
                <w:noProof/>
                <w:webHidden/>
              </w:rPr>
              <w:tab/>
            </w:r>
            <w:r>
              <w:rPr>
                <w:noProof/>
                <w:webHidden/>
              </w:rPr>
              <w:fldChar w:fldCharType="begin"/>
            </w:r>
            <w:r>
              <w:rPr>
                <w:noProof/>
                <w:webHidden/>
              </w:rPr>
              <w:instrText xml:space="preserve"> PAGEREF _Toc237444958 \h </w:instrText>
            </w:r>
            <w:r>
              <w:rPr>
                <w:noProof/>
                <w:webHidden/>
              </w:rPr>
            </w:r>
            <w:r>
              <w:rPr>
                <w:noProof/>
                <w:webHidden/>
              </w:rPr>
              <w:fldChar w:fldCharType="separate"/>
            </w:r>
            <w:r>
              <w:rPr>
                <w:noProof/>
                <w:webHidden/>
              </w:rPr>
              <w:t>1</w:t>
            </w:r>
            <w:r w:rsidR="00362C37">
              <w:rPr>
                <w:noProof/>
                <w:webHidden/>
              </w:rPr>
              <w:t>2</w:t>
            </w:r>
            <w:r>
              <w:rPr>
                <w:noProof/>
                <w:webHidden/>
              </w:rPr>
              <w:fldChar w:fldCharType="end"/>
            </w:r>
          </w:hyperlink>
        </w:p>
        <w:p w14:paraId="6209CC2C" w14:textId="65FA1856" w:rsidR="00BA36C3" w:rsidRDefault="00BA36C3">
          <w:pPr>
            <w:pStyle w:val="TOC2"/>
            <w:tabs>
              <w:tab w:val="right" w:leader="dot" w:pos="9016"/>
            </w:tabs>
            <w:rPr>
              <w:rFonts w:eastAsiaTheme="minorEastAsia"/>
              <w:noProof/>
              <w:sz w:val="24"/>
              <w:szCs w:val="24"/>
              <w:lang w:eastAsia="en-GB"/>
            </w:rPr>
          </w:pPr>
          <w:hyperlink w:anchor="_Toc237444959" w:history="1">
            <w:r w:rsidRPr="00554E06">
              <w:rPr>
                <w:rStyle w:val="Hyperlink"/>
                <w:noProof/>
              </w:rPr>
              <w:t>3.2 Theme 2: AI Governance and Strategic Management</w:t>
            </w:r>
            <w:r>
              <w:rPr>
                <w:noProof/>
                <w:webHidden/>
              </w:rPr>
              <w:tab/>
            </w:r>
            <w:r>
              <w:rPr>
                <w:noProof/>
                <w:webHidden/>
              </w:rPr>
              <w:fldChar w:fldCharType="begin"/>
            </w:r>
            <w:r>
              <w:rPr>
                <w:noProof/>
                <w:webHidden/>
              </w:rPr>
              <w:instrText xml:space="preserve"> PAGEREF _Toc237444959 \h </w:instrText>
            </w:r>
            <w:r>
              <w:rPr>
                <w:noProof/>
                <w:webHidden/>
              </w:rPr>
            </w:r>
            <w:r>
              <w:rPr>
                <w:noProof/>
                <w:webHidden/>
              </w:rPr>
              <w:fldChar w:fldCharType="separate"/>
            </w:r>
            <w:r>
              <w:rPr>
                <w:noProof/>
                <w:webHidden/>
              </w:rPr>
              <w:t>1</w:t>
            </w:r>
            <w:r w:rsidR="00362C37">
              <w:rPr>
                <w:noProof/>
                <w:webHidden/>
              </w:rPr>
              <w:t>5</w:t>
            </w:r>
            <w:r>
              <w:rPr>
                <w:noProof/>
                <w:webHidden/>
              </w:rPr>
              <w:fldChar w:fldCharType="end"/>
            </w:r>
          </w:hyperlink>
        </w:p>
        <w:p w14:paraId="2CEA8DD3" w14:textId="6466C2F6" w:rsidR="00BA36C3" w:rsidRDefault="00BA36C3">
          <w:pPr>
            <w:pStyle w:val="TOC1"/>
            <w:tabs>
              <w:tab w:val="right" w:leader="dot" w:pos="9016"/>
            </w:tabs>
            <w:rPr>
              <w:rFonts w:eastAsiaTheme="minorEastAsia"/>
              <w:noProof/>
              <w:sz w:val="24"/>
              <w:szCs w:val="24"/>
              <w:lang w:eastAsia="en-GB"/>
            </w:rPr>
          </w:pPr>
          <w:hyperlink w:anchor="_Toc237444960" w:history="1">
            <w:r w:rsidRPr="00554E06">
              <w:rPr>
                <w:rStyle w:val="Hyperlink"/>
                <w:noProof/>
              </w:rPr>
              <w:t>3.3 Theme 3: Ethical Issues and AI Implementation</w:t>
            </w:r>
            <w:r>
              <w:rPr>
                <w:noProof/>
                <w:webHidden/>
              </w:rPr>
              <w:tab/>
            </w:r>
            <w:r>
              <w:rPr>
                <w:noProof/>
                <w:webHidden/>
              </w:rPr>
              <w:fldChar w:fldCharType="begin"/>
            </w:r>
            <w:r>
              <w:rPr>
                <w:noProof/>
                <w:webHidden/>
              </w:rPr>
              <w:instrText xml:space="preserve"> PAGEREF _Toc237444960 \h </w:instrText>
            </w:r>
            <w:r>
              <w:rPr>
                <w:noProof/>
                <w:webHidden/>
              </w:rPr>
            </w:r>
            <w:r>
              <w:rPr>
                <w:noProof/>
                <w:webHidden/>
              </w:rPr>
              <w:fldChar w:fldCharType="separate"/>
            </w:r>
            <w:r>
              <w:rPr>
                <w:noProof/>
                <w:webHidden/>
              </w:rPr>
              <w:t>1</w:t>
            </w:r>
            <w:r w:rsidR="00362C37">
              <w:rPr>
                <w:noProof/>
                <w:webHidden/>
              </w:rPr>
              <w:t>7</w:t>
            </w:r>
            <w:r>
              <w:rPr>
                <w:noProof/>
                <w:webHidden/>
              </w:rPr>
              <w:fldChar w:fldCharType="end"/>
            </w:r>
          </w:hyperlink>
        </w:p>
        <w:p w14:paraId="3D4FA953" w14:textId="685E27B9" w:rsidR="00BA36C3" w:rsidRDefault="00BA36C3">
          <w:pPr>
            <w:pStyle w:val="TOC1"/>
            <w:tabs>
              <w:tab w:val="right" w:leader="dot" w:pos="9016"/>
            </w:tabs>
            <w:rPr>
              <w:rFonts w:eastAsiaTheme="minorEastAsia"/>
              <w:noProof/>
              <w:sz w:val="24"/>
              <w:szCs w:val="24"/>
              <w:lang w:eastAsia="en-GB"/>
            </w:rPr>
          </w:pPr>
          <w:hyperlink w:anchor="_Toc237444961" w:history="1">
            <w:r w:rsidRPr="00554E06">
              <w:rPr>
                <w:rStyle w:val="Hyperlink"/>
                <w:noProof/>
              </w:rPr>
              <w:t>3.4 Research Gaps and Positioning</w:t>
            </w:r>
            <w:r>
              <w:rPr>
                <w:noProof/>
                <w:webHidden/>
              </w:rPr>
              <w:tab/>
            </w:r>
            <w:r w:rsidR="00362C37">
              <w:rPr>
                <w:noProof/>
                <w:webHidden/>
              </w:rPr>
              <w:t>19</w:t>
            </w:r>
          </w:hyperlink>
        </w:p>
        <w:p w14:paraId="341FAE8B" w14:textId="4B89B797" w:rsidR="00BA36C3" w:rsidRDefault="00BA36C3">
          <w:pPr>
            <w:pStyle w:val="TOC2"/>
            <w:tabs>
              <w:tab w:val="right" w:leader="dot" w:pos="9016"/>
            </w:tabs>
            <w:rPr>
              <w:rFonts w:eastAsiaTheme="minorEastAsia"/>
              <w:noProof/>
              <w:sz w:val="24"/>
              <w:szCs w:val="24"/>
              <w:lang w:eastAsia="en-GB"/>
            </w:rPr>
          </w:pPr>
          <w:hyperlink w:anchor="_Toc237444962" w:history="1">
            <w:r w:rsidRPr="00554E06">
              <w:rPr>
                <w:rStyle w:val="Hyperlink"/>
                <w:noProof/>
              </w:rPr>
              <w:t>3.4.1 Research Gaps</w:t>
            </w:r>
            <w:r>
              <w:rPr>
                <w:noProof/>
                <w:webHidden/>
              </w:rPr>
              <w:tab/>
            </w:r>
            <w:r w:rsidR="00362C37">
              <w:rPr>
                <w:noProof/>
                <w:webHidden/>
              </w:rPr>
              <w:t>19</w:t>
            </w:r>
          </w:hyperlink>
        </w:p>
        <w:p w14:paraId="3E77D8B9" w14:textId="402E9627" w:rsidR="00BA36C3" w:rsidRDefault="00BA36C3">
          <w:pPr>
            <w:pStyle w:val="TOC2"/>
            <w:tabs>
              <w:tab w:val="right" w:leader="dot" w:pos="9016"/>
            </w:tabs>
            <w:rPr>
              <w:rFonts w:eastAsiaTheme="minorEastAsia"/>
              <w:noProof/>
              <w:sz w:val="24"/>
              <w:szCs w:val="24"/>
              <w:lang w:eastAsia="en-GB"/>
            </w:rPr>
          </w:pPr>
          <w:hyperlink w:anchor="_Toc237444963" w:history="1">
            <w:r w:rsidRPr="00554E06">
              <w:rPr>
                <w:rStyle w:val="Hyperlink"/>
                <w:noProof/>
              </w:rPr>
              <w:t>3.4.2 Positioning this Research</w:t>
            </w:r>
            <w:r>
              <w:rPr>
                <w:noProof/>
                <w:webHidden/>
              </w:rPr>
              <w:tab/>
            </w:r>
            <w:r>
              <w:rPr>
                <w:noProof/>
                <w:webHidden/>
              </w:rPr>
              <w:fldChar w:fldCharType="begin"/>
            </w:r>
            <w:r>
              <w:rPr>
                <w:noProof/>
                <w:webHidden/>
              </w:rPr>
              <w:instrText xml:space="preserve"> PAGEREF _Toc237444963 \h </w:instrText>
            </w:r>
            <w:r>
              <w:rPr>
                <w:noProof/>
                <w:webHidden/>
              </w:rPr>
            </w:r>
            <w:r>
              <w:rPr>
                <w:noProof/>
                <w:webHidden/>
              </w:rPr>
              <w:fldChar w:fldCharType="separate"/>
            </w:r>
            <w:r>
              <w:rPr>
                <w:noProof/>
                <w:webHidden/>
              </w:rPr>
              <w:t>2</w:t>
            </w:r>
            <w:r w:rsidR="00362C37">
              <w:rPr>
                <w:noProof/>
                <w:webHidden/>
              </w:rPr>
              <w:t>1</w:t>
            </w:r>
            <w:r>
              <w:rPr>
                <w:noProof/>
                <w:webHidden/>
              </w:rPr>
              <w:fldChar w:fldCharType="end"/>
            </w:r>
          </w:hyperlink>
        </w:p>
        <w:p w14:paraId="16C1FCF6" w14:textId="6CAC3657" w:rsidR="00BA36C3" w:rsidRDefault="00BA36C3">
          <w:pPr>
            <w:pStyle w:val="TOC2"/>
            <w:tabs>
              <w:tab w:val="right" w:leader="dot" w:pos="9016"/>
            </w:tabs>
            <w:rPr>
              <w:rFonts w:eastAsiaTheme="minorEastAsia"/>
              <w:noProof/>
              <w:sz w:val="24"/>
              <w:szCs w:val="24"/>
              <w:lang w:eastAsia="en-GB"/>
            </w:rPr>
          </w:pPr>
          <w:hyperlink w:anchor="_Toc237444964" w:history="1">
            <w:r w:rsidRPr="00554E06">
              <w:rPr>
                <w:rStyle w:val="Hyperlink"/>
                <w:noProof/>
              </w:rPr>
              <w:t>3.4.3 Theoretical Contribution</w:t>
            </w:r>
            <w:r>
              <w:rPr>
                <w:noProof/>
                <w:webHidden/>
              </w:rPr>
              <w:tab/>
            </w:r>
            <w:r>
              <w:rPr>
                <w:noProof/>
                <w:webHidden/>
              </w:rPr>
              <w:fldChar w:fldCharType="begin"/>
            </w:r>
            <w:r>
              <w:rPr>
                <w:noProof/>
                <w:webHidden/>
              </w:rPr>
              <w:instrText xml:space="preserve"> PAGEREF _Toc237444964 \h </w:instrText>
            </w:r>
            <w:r>
              <w:rPr>
                <w:noProof/>
                <w:webHidden/>
              </w:rPr>
            </w:r>
            <w:r>
              <w:rPr>
                <w:noProof/>
                <w:webHidden/>
              </w:rPr>
              <w:fldChar w:fldCharType="separate"/>
            </w:r>
            <w:r>
              <w:rPr>
                <w:noProof/>
                <w:webHidden/>
              </w:rPr>
              <w:t>2</w:t>
            </w:r>
            <w:r w:rsidR="00362C37">
              <w:rPr>
                <w:noProof/>
                <w:webHidden/>
              </w:rPr>
              <w:t>1</w:t>
            </w:r>
            <w:r>
              <w:rPr>
                <w:noProof/>
                <w:webHidden/>
              </w:rPr>
              <w:fldChar w:fldCharType="end"/>
            </w:r>
          </w:hyperlink>
        </w:p>
        <w:p w14:paraId="2B123559" w14:textId="1217016F" w:rsidR="00BA36C3" w:rsidRDefault="00BA36C3">
          <w:pPr>
            <w:pStyle w:val="TOC1"/>
            <w:tabs>
              <w:tab w:val="right" w:leader="dot" w:pos="9016"/>
            </w:tabs>
            <w:rPr>
              <w:rFonts w:eastAsiaTheme="minorEastAsia"/>
              <w:noProof/>
              <w:sz w:val="24"/>
              <w:szCs w:val="24"/>
              <w:lang w:eastAsia="en-GB"/>
            </w:rPr>
          </w:pPr>
          <w:hyperlink w:anchor="_Toc237444965" w:history="1">
            <w:r w:rsidRPr="00554E06">
              <w:rPr>
                <w:rStyle w:val="Hyperlink"/>
                <w:noProof/>
              </w:rPr>
              <w:t>4. Philosophical and Methodological Analysis of One Selected Study</w:t>
            </w:r>
            <w:r>
              <w:rPr>
                <w:noProof/>
                <w:webHidden/>
              </w:rPr>
              <w:tab/>
            </w:r>
            <w:r>
              <w:rPr>
                <w:noProof/>
                <w:webHidden/>
              </w:rPr>
              <w:fldChar w:fldCharType="begin"/>
            </w:r>
            <w:r>
              <w:rPr>
                <w:noProof/>
                <w:webHidden/>
              </w:rPr>
              <w:instrText xml:space="preserve"> PAGEREF _Toc237444965 \h </w:instrText>
            </w:r>
            <w:r>
              <w:rPr>
                <w:noProof/>
                <w:webHidden/>
              </w:rPr>
            </w:r>
            <w:r>
              <w:rPr>
                <w:noProof/>
                <w:webHidden/>
              </w:rPr>
              <w:fldChar w:fldCharType="separate"/>
            </w:r>
            <w:r>
              <w:rPr>
                <w:noProof/>
                <w:webHidden/>
              </w:rPr>
              <w:t>2</w:t>
            </w:r>
            <w:r w:rsidR="00362C37">
              <w:rPr>
                <w:noProof/>
                <w:webHidden/>
              </w:rPr>
              <w:t>2</w:t>
            </w:r>
            <w:r>
              <w:rPr>
                <w:noProof/>
                <w:webHidden/>
              </w:rPr>
              <w:fldChar w:fldCharType="end"/>
            </w:r>
          </w:hyperlink>
        </w:p>
        <w:p w14:paraId="749551D9" w14:textId="3CBFE558" w:rsidR="00BA36C3" w:rsidRDefault="00BA36C3">
          <w:pPr>
            <w:pStyle w:val="TOC2"/>
            <w:tabs>
              <w:tab w:val="right" w:leader="dot" w:pos="9016"/>
            </w:tabs>
            <w:rPr>
              <w:rFonts w:eastAsiaTheme="minorEastAsia"/>
              <w:noProof/>
              <w:sz w:val="24"/>
              <w:szCs w:val="24"/>
              <w:lang w:eastAsia="en-GB"/>
            </w:rPr>
          </w:pPr>
          <w:hyperlink w:anchor="_Toc237444966" w:history="1">
            <w:r w:rsidRPr="00554E06">
              <w:rPr>
                <w:rStyle w:val="Hyperlink"/>
                <w:noProof/>
              </w:rPr>
              <w:t>4.1 Overview of the Selected Study</w:t>
            </w:r>
            <w:r>
              <w:rPr>
                <w:noProof/>
                <w:webHidden/>
              </w:rPr>
              <w:tab/>
            </w:r>
            <w:r>
              <w:rPr>
                <w:noProof/>
                <w:webHidden/>
              </w:rPr>
              <w:fldChar w:fldCharType="begin"/>
            </w:r>
            <w:r>
              <w:rPr>
                <w:noProof/>
                <w:webHidden/>
              </w:rPr>
              <w:instrText xml:space="preserve"> PAGEREF _Toc237444966 \h </w:instrText>
            </w:r>
            <w:r>
              <w:rPr>
                <w:noProof/>
                <w:webHidden/>
              </w:rPr>
            </w:r>
            <w:r>
              <w:rPr>
                <w:noProof/>
                <w:webHidden/>
              </w:rPr>
              <w:fldChar w:fldCharType="separate"/>
            </w:r>
            <w:r>
              <w:rPr>
                <w:noProof/>
                <w:webHidden/>
              </w:rPr>
              <w:t>2</w:t>
            </w:r>
            <w:r w:rsidR="00362C37">
              <w:rPr>
                <w:noProof/>
                <w:webHidden/>
              </w:rPr>
              <w:t>2</w:t>
            </w:r>
            <w:r>
              <w:rPr>
                <w:noProof/>
                <w:webHidden/>
              </w:rPr>
              <w:fldChar w:fldCharType="end"/>
            </w:r>
          </w:hyperlink>
        </w:p>
        <w:p w14:paraId="1F71ECB7" w14:textId="0C4836A4" w:rsidR="00BA36C3" w:rsidRDefault="00BA36C3">
          <w:pPr>
            <w:pStyle w:val="TOC2"/>
            <w:tabs>
              <w:tab w:val="right" w:leader="dot" w:pos="9016"/>
            </w:tabs>
            <w:rPr>
              <w:rFonts w:eastAsiaTheme="minorEastAsia"/>
              <w:noProof/>
              <w:sz w:val="24"/>
              <w:szCs w:val="24"/>
              <w:lang w:eastAsia="en-GB"/>
            </w:rPr>
          </w:pPr>
          <w:hyperlink w:anchor="_Toc237444967" w:history="1">
            <w:r w:rsidRPr="00554E06">
              <w:rPr>
                <w:rStyle w:val="Hyperlink"/>
                <w:noProof/>
              </w:rPr>
              <w:t>4.2 Ontological and Epistemological Analysis of the Selected Study</w:t>
            </w:r>
            <w:r>
              <w:rPr>
                <w:noProof/>
                <w:webHidden/>
              </w:rPr>
              <w:tab/>
            </w:r>
            <w:r>
              <w:rPr>
                <w:noProof/>
                <w:webHidden/>
              </w:rPr>
              <w:fldChar w:fldCharType="begin"/>
            </w:r>
            <w:r>
              <w:rPr>
                <w:noProof/>
                <w:webHidden/>
              </w:rPr>
              <w:instrText xml:space="preserve"> PAGEREF _Toc237444967 \h </w:instrText>
            </w:r>
            <w:r>
              <w:rPr>
                <w:noProof/>
                <w:webHidden/>
              </w:rPr>
            </w:r>
            <w:r>
              <w:rPr>
                <w:noProof/>
                <w:webHidden/>
              </w:rPr>
              <w:fldChar w:fldCharType="separate"/>
            </w:r>
            <w:r>
              <w:rPr>
                <w:noProof/>
                <w:webHidden/>
              </w:rPr>
              <w:t>2</w:t>
            </w:r>
            <w:r w:rsidR="00362C37">
              <w:rPr>
                <w:noProof/>
                <w:webHidden/>
              </w:rPr>
              <w:t>3</w:t>
            </w:r>
            <w:r>
              <w:rPr>
                <w:noProof/>
                <w:webHidden/>
              </w:rPr>
              <w:fldChar w:fldCharType="end"/>
            </w:r>
          </w:hyperlink>
        </w:p>
        <w:p w14:paraId="487F9562" w14:textId="102132C3" w:rsidR="00C85286" w:rsidRPr="00C85286" w:rsidRDefault="00BA36C3" w:rsidP="00C85286">
          <w:pPr>
            <w:pStyle w:val="TOC2"/>
            <w:tabs>
              <w:tab w:val="right" w:leader="dot" w:pos="9016"/>
            </w:tabs>
          </w:pPr>
          <w:hyperlink w:anchor="_Toc237444968" w:history="1">
            <w:r w:rsidRPr="00554E06">
              <w:rPr>
                <w:rStyle w:val="Hyperlink"/>
                <w:noProof/>
              </w:rPr>
              <w:t>4.3 Axiology and Research Positionality</w:t>
            </w:r>
            <w:r>
              <w:rPr>
                <w:noProof/>
                <w:webHidden/>
              </w:rPr>
              <w:tab/>
            </w:r>
            <w:r w:rsidR="00C85286">
              <w:rPr>
                <w:noProof/>
                <w:webHidden/>
              </w:rPr>
              <w:t>25</w:t>
            </w:r>
          </w:hyperlink>
        </w:p>
        <w:p w14:paraId="522BDCB4" w14:textId="7F7D4472" w:rsidR="00BA36C3" w:rsidRDefault="00BA36C3">
          <w:pPr>
            <w:pStyle w:val="TOC2"/>
            <w:tabs>
              <w:tab w:val="right" w:leader="dot" w:pos="9016"/>
            </w:tabs>
            <w:rPr>
              <w:rFonts w:eastAsiaTheme="minorEastAsia"/>
              <w:noProof/>
              <w:sz w:val="24"/>
              <w:szCs w:val="24"/>
              <w:lang w:eastAsia="en-GB"/>
            </w:rPr>
          </w:pPr>
          <w:hyperlink w:anchor="_Toc237444969" w:history="1">
            <w:r w:rsidRPr="00554E06">
              <w:rPr>
                <w:rStyle w:val="Hyperlink"/>
                <w:noProof/>
              </w:rPr>
              <w:t>4.4 Methodological Quality: Reliability, Validity and Trustworthiness</w:t>
            </w:r>
            <w:r>
              <w:rPr>
                <w:noProof/>
                <w:webHidden/>
              </w:rPr>
              <w:tab/>
            </w:r>
            <w:r>
              <w:rPr>
                <w:noProof/>
                <w:webHidden/>
              </w:rPr>
              <w:fldChar w:fldCharType="begin"/>
            </w:r>
            <w:r>
              <w:rPr>
                <w:noProof/>
                <w:webHidden/>
              </w:rPr>
              <w:instrText xml:space="preserve"> PAGEREF _Toc237444969 \h </w:instrText>
            </w:r>
            <w:r>
              <w:rPr>
                <w:noProof/>
                <w:webHidden/>
              </w:rPr>
            </w:r>
            <w:r>
              <w:rPr>
                <w:noProof/>
                <w:webHidden/>
              </w:rPr>
              <w:fldChar w:fldCharType="separate"/>
            </w:r>
            <w:r>
              <w:rPr>
                <w:noProof/>
                <w:webHidden/>
              </w:rPr>
              <w:t>2</w:t>
            </w:r>
            <w:r w:rsidR="00362C37">
              <w:rPr>
                <w:noProof/>
                <w:webHidden/>
              </w:rPr>
              <w:t>8</w:t>
            </w:r>
            <w:r>
              <w:rPr>
                <w:noProof/>
                <w:webHidden/>
              </w:rPr>
              <w:fldChar w:fldCharType="end"/>
            </w:r>
          </w:hyperlink>
        </w:p>
        <w:p w14:paraId="77BEBF87" w14:textId="0783B9D9" w:rsidR="00BA36C3" w:rsidRDefault="00BA36C3">
          <w:pPr>
            <w:pStyle w:val="TOC2"/>
            <w:tabs>
              <w:tab w:val="right" w:leader="dot" w:pos="9016"/>
            </w:tabs>
            <w:rPr>
              <w:rFonts w:eastAsiaTheme="minorEastAsia"/>
              <w:noProof/>
              <w:sz w:val="24"/>
              <w:szCs w:val="24"/>
              <w:lang w:eastAsia="en-GB"/>
            </w:rPr>
          </w:pPr>
          <w:hyperlink w:anchor="_Toc237444970" w:history="1">
            <w:r w:rsidRPr="00554E06">
              <w:rPr>
                <w:rStyle w:val="Hyperlink"/>
                <w:noProof/>
              </w:rPr>
              <w:t>4.5 Ethical Considerations</w:t>
            </w:r>
            <w:r>
              <w:rPr>
                <w:noProof/>
                <w:webHidden/>
              </w:rPr>
              <w:tab/>
            </w:r>
            <w:r w:rsidR="00362C37">
              <w:rPr>
                <w:noProof/>
                <w:webHidden/>
              </w:rPr>
              <w:t>29</w:t>
            </w:r>
          </w:hyperlink>
        </w:p>
        <w:p w14:paraId="6BC68B96" w14:textId="5CD48D02" w:rsidR="00BA36C3" w:rsidRDefault="00BA36C3">
          <w:pPr>
            <w:pStyle w:val="TOC2"/>
            <w:tabs>
              <w:tab w:val="right" w:leader="dot" w:pos="9016"/>
            </w:tabs>
            <w:rPr>
              <w:rFonts w:eastAsiaTheme="minorEastAsia"/>
              <w:noProof/>
              <w:sz w:val="24"/>
              <w:szCs w:val="24"/>
              <w:lang w:eastAsia="en-GB"/>
            </w:rPr>
          </w:pPr>
          <w:hyperlink w:anchor="_Toc237444971" w:history="1">
            <w:r w:rsidRPr="00554E06">
              <w:rPr>
                <w:rStyle w:val="Hyperlink"/>
                <w:noProof/>
              </w:rPr>
              <w:t>4.6 Critical Appraisal</w:t>
            </w:r>
            <w:r>
              <w:rPr>
                <w:noProof/>
                <w:webHidden/>
              </w:rPr>
              <w:tab/>
            </w:r>
            <w:r>
              <w:rPr>
                <w:noProof/>
                <w:webHidden/>
              </w:rPr>
              <w:fldChar w:fldCharType="begin"/>
            </w:r>
            <w:r>
              <w:rPr>
                <w:noProof/>
                <w:webHidden/>
              </w:rPr>
              <w:instrText xml:space="preserve"> PAGEREF _Toc237444971 \h </w:instrText>
            </w:r>
            <w:r>
              <w:rPr>
                <w:noProof/>
                <w:webHidden/>
              </w:rPr>
            </w:r>
            <w:r>
              <w:rPr>
                <w:noProof/>
                <w:webHidden/>
              </w:rPr>
              <w:fldChar w:fldCharType="separate"/>
            </w:r>
            <w:r>
              <w:rPr>
                <w:noProof/>
                <w:webHidden/>
              </w:rPr>
              <w:t>3</w:t>
            </w:r>
            <w:r w:rsidR="00362C37">
              <w:rPr>
                <w:noProof/>
                <w:webHidden/>
              </w:rPr>
              <w:t>0</w:t>
            </w:r>
            <w:r>
              <w:rPr>
                <w:noProof/>
                <w:webHidden/>
              </w:rPr>
              <w:fldChar w:fldCharType="end"/>
            </w:r>
          </w:hyperlink>
        </w:p>
        <w:p w14:paraId="3AE5E8E9" w14:textId="684EE3E4" w:rsidR="00BA36C3" w:rsidRDefault="00BA36C3">
          <w:pPr>
            <w:pStyle w:val="TOC1"/>
            <w:tabs>
              <w:tab w:val="left" w:pos="440"/>
              <w:tab w:val="right" w:leader="dot" w:pos="9016"/>
            </w:tabs>
            <w:rPr>
              <w:rFonts w:eastAsiaTheme="minorEastAsia"/>
              <w:noProof/>
              <w:sz w:val="24"/>
              <w:szCs w:val="24"/>
              <w:lang w:eastAsia="en-GB"/>
            </w:rPr>
          </w:pPr>
          <w:hyperlink w:anchor="_Toc237444972" w:history="1">
            <w:r w:rsidRPr="00554E06">
              <w:rPr>
                <w:rStyle w:val="Hyperlink"/>
                <w:noProof/>
              </w:rPr>
              <w:t>5.</w:t>
            </w:r>
            <w:r w:rsidR="00E1390D">
              <w:rPr>
                <w:rFonts w:eastAsiaTheme="minorEastAsia"/>
                <w:noProof/>
                <w:sz w:val="24"/>
                <w:szCs w:val="24"/>
                <w:lang w:eastAsia="en-GB"/>
              </w:rPr>
              <w:t xml:space="preserve"> </w:t>
            </w:r>
            <w:r w:rsidRPr="00554E06">
              <w:rPr>
                <w:rStyle w:val="Hyperlink"/>
                <w:noProof/>
              </w:rPr>
              <w:t>Discussion and Contribution</w:t>
            </w:r>
            <w:r>
              <w:rPr>
                <w:noProof/>
                <w:webHidden/>
              </w:rPr>
              <w:tab/>
            </w:r>
            <w:r>
              <w:rPr>
                <w:noProof/>
                <w:webHidden/>
              </w:rPr>
              <w:fldChar w:fldCharType="begin"/>
            </w:r>
            <w:r>
              <w:rPr>
                <w:noProof/>
                <w:webHidden/>
              </w:rPr>
              <w:instrText xml:space="preserve"> PAGEREF _Toc237444972 \h </w:instrText>
            </w:r>
            <w:r>
              <w:rPr>
                <w:noProof/>
                <w:webHidden/>
              </w:rPr>
            </w:r>
            <w:r>
              <w:rPr>
                <w:noProof/>
                <w:webHidden/>
              </w:rPr>
              <w:fldChar w:fldCharType="separate"/>
            </w:r>
            <w:r>
              <w:rPr>
                <w:noProof/>
                <w:webHidden/>
              </w:rPr>
              <w:t>3</w:t>
            </w:r>
            <w:r w:rsidR="00362C37">
              <w:rPr>
                <w:noProof/>
                <w:webHidden/>
              </w:rPr>
              <w:t>1</w:t>
            </w:r>
            <w:r>
              <w:rPr>
                <w:noProof/>
                <w:webHidden/>
              </w:rPr>
              <w:fldChar w:fldCharType="end"/>
            </w:r>
          </w:hyperlink>
        </w:p>
        <w:p w14:paraId="21251062" w14:textId="7B7EA58F" w:rsidR="00BA36C3" w:rsidRDefault="00BA36C3">
          <w:pPr>
            <w:pStyle w:val="TOC2"/>
            <w:tabs>
              <w:tab w:val="right" w:leader="dot" w:pos="9016"/>
            </w:tabs>
            <w:rPr>
              <w:rFonts w:eastAsiaTheme="minorEastAsia"/>
              <w:noProof/>
              <w:sz w:val="24"/>
              <w:szCs w:val="24"/>
              <w:lang w:eastAsia="en-GB"/>
            </w:rPr>
          </w:pPr>
          <w:hyperlink w:anchor="_Toc237444973" w:history="1">
            <w:r w:rsidRPr="00554E06">
              <w:rPr>
                <w:rStyle w:val="Hyperlink"/>
                <w:noProof/>
              </w:rPr>
              <w:t>5.1 Theoretical Contribution</w:t>
            </w:r>
            <w:r>
              <w:rPr>
                <w:noProof/>
                <w:webHidden/>
              </w:rPr>
              <w:tab/>
            </w:r>
            <w:r>
              <w:rPr>
                <w:noProof/>
                <w:webHidden/>
              </w:rPr>
              <w:fldChar w:fldCharType="begin"/>
            </w:r>
            <w:r>
              <w:rPr>
                <w:noProof/>
                <w:webHidden/>
              </w:rPr>
              <w:instrText xml:space="preserve"> PAGEREF _Toc237444973 \h </w:instrText>
            </w:r>
            <w:r>
              <w:rPr>
                <w:noProof/>
                <w:webHidden/>
              </w:rPr>
            </w:r>
            <w:r>
              <w:rPr>
                <w:noProof/>
                <w:webHidden/>
              </w:rPr>
              <w:fldChar w:fldCharType="separate"/>
            </w:r>
            <w:r>
              <w:rPr>
                <w:noProof/>
                <w:webHidden/>
              </w:rPr>
              <w:t>3</w:t>
            </w:r>
            <w:r w:rsidR="00362C37">
              <w:rPr>
                <w:noProof/>
                <w:webHidden/>
              </w:rPr>
              <w:t>2</w:t>
            </w:r>
            <w:r>
              <w:rPr>
                <w:noProof/>
                <w:webHidden/>
              </w:rPr>
              <w:fldChar w:fldCharType="end"/>
            </w:r>
          </w:hyperlink>
        </w:p>
        <w:p w14:paraId="25F23BFF" w14:textId="22F2BAE2" w:rsidR="00BA36C3" w:rsidRDefault="00BA36C3">
          <w:pPr>
            <w:pStyle w:val="TOC2"/>
            <w:tabs>
              <w:tab w:val="right" w:leader="dot" w:pos="9016"/>
            </w:tabs>
            <w:rPr>
              <w:rFonts w:eastAsiaTheme="minorEastAsia"/>
              <w:noProof/>
              <w:sz w:val="24"/>
              <w:szCs w:val="24"/>
              <w:lang w:eastAsia="en-GB"/>
            </w:rPr>
          </w:pPr>
          <w:hyperlink w:anchor="_Toc237444974" w:history="1">
            <w:r w:rsidRPr="00554E06">
              <w:rPr>
                <w:rStyle w:val="Hyperlink"/>
                <w:noProof/>
              </w:rPr>
              <w:t>5.2 Practical Contribution</w:t>
            </w:r>
            <w:r>
              <w:rPr>
                <w:noProof/>
                <w:webHidden/>
              </w:rPr>
              <w:tab/>
            </w:r>
            <w:r>
              <w:rPr>
                <w:noProof/>
                <w:webHidden/>
              </w:rPr>
              <w:fldChar w:fldCharType="begin"/>
            </w:r>
            <w:r>
              <w:rPr>
                <w:noProof/>
                <w:webHidden/>
              </w:rPr>
              <w:instrText xml:space="preserve"> PAGEREF _Toc237444974 \h </w:instrText>
            </w:r>
            <w:r>
              <w:rPr>
                <w:noProof/>
                <w:webHidden/>
              </w:rPr>
            </w:r>
            <w:r>
              <w:rPr>
                <w:noProof/>
                <w:webHidden/>
              </w:rPr>
              <w:fldChar w:fldCharType="separate"/>
            </w:r>
            <w:r>
              <w:rPr>
                <w:noProof/>
                <w:webHidden/>
              </w:rPr>
              <w:t>3</w:t>
            </w:r>
            <w:r w:rsidR="00362C37">
              <w:rPr>
                <w:noProof/>
                <w:webHidden/>
              </w:rPr>
              <w:t>3</w:t>
            </w:r>
            <w:r>
              <w:rPr>
                <w:noProof/>
                <w:webHidden/>
              </w:rPr>
              <w:fldChar w:fldCharType="end"/>
            </w:r>
          </w:hyperlink>
        </w:p>
        <w:p w14:paraId="58F4688C" w14:textId="52E9235A" w:rsidR="00BA36C3" w:rsidRDefault="00BA36C3">
          <w:pPr>
            <w:pStyle w:val="TOC1"/>
            <w:tabs>
              <w:tab w:val="right" w:leader="dot" w:pos="9016"/>
            </w:tabs>
            <w:rPr>
              <w:rFonts w:eastAsiaTheme="minorEastAsia"/>
              <w:noProof/>
              <w:sz w:val="24"/>
              <w:szCs w:val="24"/>
              <w:lang w:eastAsia="en-GB"/>
            </w:rPr>
          </w:pPr>
          <w:hyperlink w:anchor="_Toc237444975" w:history="1">
            <w:r w:rsidRPr="00554E06">
              <w:rPr>
                <w:rStyle w:val="Hyperlink"/>
                <w:noProof/>
              </w:rPr>
              <w:t>6. Conclusion</w:t>
            </w:r>
            <w:r>
              <w:rPr>
                <w:noProof/>
                <w:webHidden/>
              </w:rPr>
              <w:tab/>
            </w:r>
            <w:r>
              <w:rPr>
                <w:noProof/>
                <w:webHidden/>
              </w:rPr>
              <w:fldChar w:fldCharType="begin"/>
            </w:r>
            <w:r>
              <w:rPr>
                <w:noProof/>
                <w:webHidden/>
              </w:rPr>
              <w:instrText xml:space="preserve"> PAGEREF _Toc237444975 \h </w:instrText>
            </w:r>
            <w:r>
              <w:rPr>
                <w:noProof/>
                <w:webHidden/>
              </w:rPr>
            </w:r>
            <w:r>
              <w:rPr>
                <w:noProof/>
                <w:webHidden/>
              </w:rPr>
              <w:fldChar w:fldCharType="separate"/>
            </w:r>
            <w:r>
              <w:rPr>
                <w:noProof/>
                <w:webHidden/>
              </w:rPr>
              <w:t>3</w:t>
            </w:r>
            <w:r w:rsidR="00362C37">
              <w:rPr>
                <w:noProof/>
                <w:webHidden/>
              </w:rPr>
              <w:t>4</w:t>
            </w:r>
            <w:r>
              <w:rPr>
                <w:noProof/>
                <w:webHidden/>
              </w:rPr>
              <w:fldChar w:fldCharType="end"/>
            </w:r>
          </w:hyperlink>
        </w:p>
        <w:p w14:paraId="335BA491" w14:textId="348D4D96" w:rsidR="00BA36C3" w:rsidRDefault="00BA36C3">
          <w:pPr>
            <w:pStyle w:val="TOC1"/>
            <w:tabs>
              <w:tab w:val="right" w:leader="dot" w:pos="9016"/>
            </w:tabs>
            <w:rPr>
              <w:rFonts w:eastAsiaTheme="minorEastAsia"/>
              <w:noProof/>
              <w:sz w:val="24"/>
              <w:szCs w:val="24"/>
              <w:lang w:eastAsia="en-GB"/>
            </w:rPr>
          </w:pPr>
          <w:hyperlink w:anchor="_Toc237444976" w:history="1">
            <w:r w:rsidRPr="00554E06">
              <w:rPr>
                <w:rStyle w:val="Hyperlink"/>
                <w:noProof/>
              </w:rPr>
              <w:t>References and Bibliography</w:t>
            </w:r>
            <w:r>
              <w:rPr>
                <w:noProof/>
                <w:webHidden/>
              </w:rPr>
              <w:tab/>
            </w:r>
            <w:r>
              <w:rPr>
                <w:noProof/>
                <w:webHidden/>
              </w:rPr>
              <w:fldChar w:fldCharType="begin"/>
            </w:r>
            <w:r>
              <w:rPr>
                <w:noProof/>
                <w:webHidden/>
              </w:rPr>
              <w:instrText xml:space="preserve"> PAGEREF _Toc237444976 \h </w:instrText>
            </w:r>
            <w:r>
              <w:rPr>
                <w:noProof/>
                <w:webHidden/>
              </w:rPr>
            </w:r>
            <w:r>
              <w:rPr>
                <w:noProof/>
                <w:webHidden/>
              </w:rPr>
              <w:fldChar w:fldCharType="separate"/>
            </w:r>
            <w:r>
              <w:rPr>
                <w:noProof/>
                <w:webHidden/>
              </w:rPr>
              <w:t>3</w:t>
            </w:r>
            <w:r w:rsidR="00362C37">
              <w:rPr>
                <w:noProof/>
                <w:webHidden/>
              </w:rPr>
              <w:t>6</w:t>
            </w:r>
            <w:r>
              <w:rPr>
                <w:noProof/>
                <w:webHidden/>
              </w:rPr>
              <w:fldChar w:fldCharType="end"/>
            </w:r>
          </w:hyperlink>
        </w:p>
        <w:p w14:paraId="5DC5231E" w14:textId="69DF3EB5" w:rsidR="00BA36C3" w:rsidRDefault="00BA36C3">
          <w:pPr>
            <w:pStyle w:val="TOC1"/>
            <w:tabs>
              <w:tab w:val="right" w:leader="dot" w:pos="9016"/>
            </w:tabs>
            <w:rPr>
              <w:rFonts w:eastAsiaTheme="minorEastAsia"/>
              <w:noProof/>
              <w:sz w:val="24"/>
              <w:szCs w:val="24"/>
              <w:lang w:eastAsia="en-GB"/>
            </w:rPr>
          </w:pPr>
          <w:hyperlink w:anchor="_Toc237444977" w:history="1">
            <w:r w:rsidRPr="00554E06">
              <w:rPr>
                <w:rStyle w:val="Hyperlink"/>
                <w:noProof/>
              </w:rPr>
              <w:t>Appendix A</w:t>
            </w:r>
            <w:r>
              <w:rPr>
                <w:noProof/>
                <w:webHidden/>
              </w:rPr>
              <w:tab/>
            </w:r>
            <w:r w:rsidR="00362C37">
              <w:rPr>
                <w:noProof/>
                <w:webHidden/>
              </w:rPr>
              <w:t>47</w:t>
            </w:r>
          </w:hyperlink>
        </w:p>
        <w:p w14:paraId="6EE12AEF" w14:textId="1DE896A6" w:rsidR="00BA36C3" w:rsidRDefault="00BA36C3">
          <w:pPr>
            <w:pStyle w:val="TOC2"/>
            <w:tabs>
              <w:tab w:val="right" w:leader="dot" w:pos="9016"/>
            </w:tabs>
            <w:rPr>
              <w:rFonts w:eastAsiaTheme="minorEastAsia"/>
              <w:noProof/>
              <w:sz w:val="24"/>
              <w:szCs w:val="24"/>
              <w:lang w:eastAsia="en-GB"/>
            </w:rPr>
          </w:pPr>
          <w:hyperlink w:anchor="_Toc237444978" w:history="1">
            <w:r w:rsidRPr="00554E06">
              <w:rPr>
                <w:rStyle w:val="Hyperlink"/>
                <w:noProof/>
              </w:rPr>
              <w:t>Table A1: Potential Research Biases and Mitigation Strategies for Proposed Study</w:t>
            </w:r>
            <w:r>
              <w:rPr>
                <w:noProof/>
                <w:webHidden/>
              </w:rPr>
              <w:tab/>
            </w:r>
            <w:r>
              <w:rPr>
                <w:noProof/>
                <w:webHidden/>
              </w:rPr>
              <w:fldChar w:fldCharType="begin"/>
            </w:r>
            <w:r>
              <w:rPr>
                <w:noProof/>
                <w:webHidden/>
              </w:rPr>
              <w:instrText xml:space="preserve"> PAGEREF _Toc237444978 \h </w:instrText>
            </w:r>
            <w:r>
              <w:rPr>
                <w:noProof/>
                <w:webHidden/>
              </w:rPr>
            </w:r>
            <w:r>
              <w:rPr>
                <w:noProof/>
                <w:webHidden/>
              </w:rPr>
              <w:fldChar w:fldCharType="separate"/>
            </w:r>
            <w:r>
              <w:rPr>
                <w:noProof/>
                <w:webHidden/>
              </w:rPr>
              <w:t>4</w:t>
            </w:r>
            <w:r w:rsidR="00362C37">
              <w:rPr>
                <w:noProof/>
                <w:webHidden/>
              </w:rPr>
              <w:t>7</w:t>
            </w:r>
            <w:r>
              <w:rPr>
                <w:noProof/>
                <w:webHidden/>
              </w:rPr>
              <w:fldChar w:fldCharType="end"/>
            </w:r>
          </w:hyperlink>
        </w:p>
        <w:p w14:paraId="10F9844B" w14:textId="2849B3F8" w:rsidR="00BA36C3" w:rsidRDefault="00BA36C3">
          <w:pPr>
            <w:pStyle w:val="TOC2"/>
            <w:tabs>
              <w:tab w:val="right" w:leader="dot" w:pos="9016"/>
            </w:tabs>
            <w:rPr>
              <w:rFonts w:eastAsiaTheme="minorEastAsia"/>
              <w:noProof/>
              <w:sz w:val="24"/>
              <w:szCs w:val="24"/>
              <w:lang w:eastAsia="en-GB"/>
            </w:rPr>
          </w:pPr>
          <w:hyperlink w:anchor="_Toc237445067" w:history="1">
            <w:r w:rsidRPr="00554E06">
              <w:rPr>
                <w:rStyle w:val="Hyperlink"/>
                <w:noProof/>
              </w:rPr>
              <w:t>Table A2. Synthesis of Key Literature Themes and Research Gaps</w:t>
            </w:r>
            <w:r>
              <w:rPr>
                <w:noProof/>
                <w:webHidden/>
              </w:rPr>
              <w:tab/>
            </w:r>
            <w:r>
              <w:rPr>
                <w:noProof/>
                <w:webHidden/>
              </w:rPr>
              <w:fldChar w:fldCharType="begin"/>
            </w:r>
            <w:r>
              <w:rPr>
                <w:noProof/>
                <w:webHidden/>
              </w:rPr>
              <w:instrText xml:space="preserve"> PAGEREF _Toc237445067 \h </w:instrText>
            </w:r>
            <w:r>
              <w:rPr>
                <w:noProof/>
                <w:webHidden/>
              </w:rPr>
            </w:r>
            <w:r>
              <w:rPr>
                <w:noProof/>
                <w:webHidden/>
              </w:rPr>
              <w:fldChar w:fldCharType="separate"/>
            </w:r>
            <w:r>
              <w:rPr>
                <w:noProof/>
                <w:webHidden/>
              </w:rPr>
              <w:t>5</w:t>
            </w:r>
            <w:r w:rsidR="00362C37">
              <w:rPr>
                <w:noProof/>
                <w:webHidden/>
              </w:rPr>
              <w:t>0</w:t>
            </w:r>
            <w:r>
              <w:rPr>
                <w:noProof/>
                <w:webHidden/>
              </w:rPr>
              <w:fldChar w:fldCharType="end"/>
            </w:r>
          </w:hyperlink>
        </w:p>
        <w:p w14:paraId="4F54EA6A" w14:textId="7C31F9C6" w:rsidR="00BA36C3" w:rsidRDefault="00BA36C3">
          <w:pPr>
            <w:pStyle w:val="TOC1"/>
            <w:tabs>
              <w:tab w:val="right" w:leader="dot" w:pos="9016"/>
            </w:tabs>
            <w:rPr>
              <w:rFonts w:eastAsiaTheme="minorEastAsia"/>
              <w:noProof/>
              <w:sz w:val="24"/>
              <w:szCs w:val="24"/>
              <w:lang w:eastAsia="en-GB"/>
            </w:rPr>
          </w:pPr>
          <w:hyperlink w:anchor="_Toc237445068" w:history="1">
            <w:r w:rsidRPr="00554E06">
              <w:rPr>
                <w:rStyle w:val="Hyperlink"/>
                <w:noProof/>
              </w:rPr>
              <w:t>Appendix B</w:t>
            </w:r>
            <w:r>
              <w:rPr>
                <w:noProof/>
                <w:webHidden/>
              </w:rPr>
              <w:tab/>
            </w:r>
            <w:r>
              <w:rPr>
                <w:noProof/>
                <w:webHidden/>
              </w:rPr>
              <w:fldChar w:fldCharType="begin"/>
            </w:r>
            <w:r>
              <w:rPr>
                <w:noProof/>
                <w:webHidden/>
              </w:rPr>
              <w:instrText xml:space="preserve"> PAGEREF _Toc237445068 \h </w:instrText>
            </w:r>
            <w:r>
              <w:rPr>
                <w:noProof/>
                <w:webHidden/>
              </w:rPr>
            </w:r>
            <w:r>
              <w:rPr>
                <w:noProof/>
                <w:webHidden/>
              </w:rPr>
              <w:fldChar w:fldCharType="separate"/>
            </w:r>
            <w:r>
              <w:rPr>
                <w:noProof/>
                <w:webHidden/>
              </w:rPr>
              <w:t>5</w:t>
            </w:r>
            <w:r w:rsidR="00362C37">
              <w:rPr>
                <w:noProof/>
                <w:webHidden/>
              </w:rPr>
              <w:t>1</w:t>
            </w:r>
            <w:r>
              <w:rPr>
                <w:noProof/>
                <w:webHidden/>
              </w:rPr>
              <w:fldChar w:fldCharType="end"/>
            </w:r>
          </w:hyperlink>
        </w:p>
        <w:p w14:paraId="07B1D50E" w14:textId="7F9616CD" w:rsidR="00BA36C3" w:rsidRDefault="00BA36C3">
          <w:pPr>
            <w:pStyle w:val="TOC2"/>
            <w:tabs>
              <w:tab w:val="right" w:leader="dot" w:pos="9016"/>
            </w:tabs>
            <w:rPr>
              <w:rFonts w:eastAsiaTheme="minorEastAsia"/>
              <w:noProof/>
              <w:sz w:val="24"/>
              <w:szCs w:val="24"/>
              <w:lang w:eastAsia="en-GB"/>
            </w:rPr>
          </w:pPr>
          <w:hyperlink w:anchor="_Toc237445069" w:history="1">
            <w:r w:rsidRPr="00554E06">
              <w:rPr>
                <w:rStyle w:val="Hyperlink"/>
                <w:noProof/>
              </w:rPr>
              <w:t>Table B1: Philosophical and Methodological Positioning of the Research</w:t>
            </w:r>
            <w:r>
              <w:rPr>
                <w:noProof/>
                <w:webHidden/>
              </w:rPr>
              <w:tab/>
            </w:r>
            <w:r>
              <w:rPr>
                <w:noProof/>
                <w:webHidden/>
              </w:rPr>
              <w:fldChar w:fldCharType="begin"/>
            </w:r>
            <w:r>
              <w:rPr>
                <w:noProof/>
                <w:webHidden/>
              </w:rPr>
              <w:instrText xml:space="preserve"> PAGEREF _Toc237445069 \h </w:instrText>
            </w:r>
            <w:r>
              <w:rPr>
                <w:noProof/>
                <w:webHidden/>
              </w:rPr>
            </w:r>
            <w:r>
              <w:rPr>
                <w:noProof/>
                <w:webHidden/>
              </w:rPr>
              <w:fldChar w:fldCharType="separate"/>
            </w:r>
            <w:r>
              <w:rPr>
                <w:noProof/>
                <w:webHidden/>
              </w:rPr>
              <w:t>5</w:t>
            </w:r>
            <w:r w:rsidR="00362C37">
              <w:rPr>
                <w:noProof/>
                <w:webHidden/>
              </w:rPr>
              <w:t>1</w:t>
            </w:r>
            <w:r>
              <w:rPr>
                <w:noProof/>
                <w:webHidden/>
              </w:rPr>
              <w:fldChar w:fldCharType="end"/>
            </w:r>
          </w:hyperlink>
        </w:p>
        <w:p w14:paraId="2BA7222F" w14:textId="5A5454B4" w:rsidR="00BA36C3" w:rsidRDefault="00BA36C3">
          <w:pPr>
            <w:pStyle w:val="TOC2"/>
            <w:tabs>
              <w:tab w:val="right" w:leader="dot" w:pos="9016"/>
            </w:tabs>
            <w:rPr>
              <w:rFonts w:eastAsiaTheme="minorEastAsia"/>
              <w:noProof/>
              <w:sz w:val="24"/>
              <w:szCs w:val="24"/>
              <w:lang w:eastAsia="en-GB"/>
            </w:rPr>
          </w:pPr>
          <w:hyperlink w:anchor="_Toc237445078" w:history="1">
            <w:r w:rsidRPr="00554E06">
              <w:rPr>
                <w:rStyle w:val="Hyperlink"/>
                <w:noProof/>
              </w:rPr>
              <w:t>Table B2. Philosophical Comparison of AI Governance Research</w:t>
            </w:r>
            <w:r>
              <w:rPr>
                <w:noProof/>
                <w:webHidden/>
              </w:rPr>
              <w:tab/>
            </w:r>
            <w:r>
              <w:rPr>
                <w:noProof/>
                <w:webHidden/>
              </w:rPr>
              <w:fldChar w:fldCharType="begin"/>
            </w:r>
            <w:r>
              <w:rPr>
                <w:noProof/>
                <w:webHidden/>
              </w:rPr>
              <w:instrText xml:space="preserve"> PAGEREF _Toc237445078 \h </w:instrText>
            </w:r>
            <w:r>
              <w:rPr>
                <w:noProof/>
                <w:webHidden/>
              </w:rPr>
            </w:r>
            <w:r>
              <w:rPr>
                <w:noProof/>
                <w:webHidden/>
              </w:rPr>
              <w:fldChar w:fldCharType="separate"/>
            </w:r>
            <w:r>
              <w:rPr>
                <w:noProof/>
                <w:webHidden/>
              </w:rPr>
              <w:t>5</w:t>
            </w:r>
            <w:r w:rsidR="00362C37">
              <w:rPr>
                <w:noProof/>
                <w:webHidden/>
              </w:rPr>
              <w:t>2</w:t>
            </w:r>
            <w:r>
              <w:rPr>
                <w:noProof/>
                <w:webHidden/>
              </w:rPr>
              <w:fldChar w:fldCharType="end"/>
            </w:r>
          </w:hyperlink>
        </w:p>
        <w:p w14:paraId="45D73134" w14:textId="3C895F10" w:rsidR="00BA36C3" w:rsidRDefault="00BA36C3">
          <w:pPr>
            <w:pStyle w:val="TOC2"/>
            <w:tabs>
              <w:tab w:val="right" w:leader="dot" w:pos="9016"/>
            </w:tabs>
            <w:rPr>
              <w:rFonts w:eastAsiaTheme="minorEastAsia"/>
              <w:noProof/>
              <w:sz w:val="24"/>
              <w:szCs w:val="24"/>
              <w:lang w:eastAsia="en-GB"/>
            </w:rPr>
          </w:pPr>
          <w:hyperlink w:anchor="_Toc237445079" w:history="1">
            <w:r w:rsidRPr="00554E06">
              <w:rPr>
                <w:rStyle w:val="Hyperlink"/>
                <w:noProof/>
              </w:rPr>
              <w:t>Figure B1. Philosophical and Methodological Logic Underpinning the Study</w:t>
            </w:r>
            <w:r>
              <w:rPr>
                <w:noProof/>
                <w:webHidden/>
              </w:rPr>
              <w:tab/>
            </w:r>
            <w:r>
              <w:rPr>
                <w:noProof/>
                <w:webHidden/>
              </w:rPr>
              <w:fldChar w:fldCharType="begin"/>
            </w:r>
            <w:r>
              <w:rPr>
                <w:noProof/>
                <w:webHidden/>
              </w:rPr>
              <w:instrText xml:space="preserve"> PAGEREF _Toc237445079 \h </w:instrText>
            </w:r>
            <w:r>
              <w:rPr>
                <w:noProof/>
                <w:webHidden/>
              </w:rPr>
            </w:r>
            <w:r>
              <w:rPr>
                <w:noProof/>
                <w:webHidden/>
              </w:rPr>
              <w:fldChar w:fldCharType="separate"/>
            </w:r>
            <w:r>
              <w:rPr>
                <w:noProof/>
                <w:webHidden/>
              </w:rPr>
              <w:t>5</w:t>
            </w:r>
            <w:r w:rsidR="00362C37">
              <w:rPr>
                <w:noProof/>
                <w:webHidden/>
              </w:rPr>
              <w:t>2</w:t>
            </w:r>
            <w:r>
              <w:rPr>
                <w:noProof/>
                <w:webHidden/>
              </w:rPr>
              <w:fldChar w:fldCharType="end"/>
            </w:r>
          </w:hyperlink>
        </w:p>
        <w:p w14:paraId="6B876058" w14:textId="05E31F89" w:rsidR="00BA36C3" w:rsidRDefault="00BA36C3">
          <w:pPr>
            <w:pStyle w:val="TOC1"/>
            <w:tabs>
              <w:tab w:val="right" w:leader="dot" w:pos="9016"/>
            </w:tabs>
            <w:rPr>
              <w:rFonts w:eastAsiaTheme="minorEastAsia"/>
              <w:noProof/>
              <w:sz w:val="24"/>
              <w:szCs w:val="24"/>
              <w:lang w:eastAsia="en-GB"/>
            </w:rPr>
          </w:pPr>
          <w:hyperlink w:anchor="_Toc237445080" w:history="1">
            <w:r w:rsidRPr="00554E06">
              <w:rPr>
                <w:rStyle w:val="Hyperlink"/>
                <w:noProof/>
              </w:rPr>
              <w:t>Appendix C</w:t>
            </w:r>
            <w:r>
              <w:rPr>
                <w:noProof/>
                <w:webHidden/>
              </w:rPr>
              <w:tab/>
            </w:r>
            <w:r>
              <w:rPr>
                <w:noProof/>
                <w:webHidden/>
              </w:rPr>
              <w:fldChar w:fldCharType="begin"/>
            </w:r>
            <w:r>
              <w:rPr>
                <w:noProof/>
                <w:webHidden/>
              </w:rPr>
              <w:instrText xml:space="preserve"> PAGEREF _Toc237445080 \h </w:instrText>
            </w:r>
            <w:r>
              <w:rPr>
                <w:noProof/>
                <w:webHidden/>
              </w:rPr>
            </w:r>
            <w:r>
              <w:rPr>
                <w:noProof/>
                <w:webHidden/>
              </w:rPr>
              <w:fldChar w:fldCharType="separate"/>
            </w:r>
            <w:r>
              <w:rPr>
                <w:noProof/>
                <w:webHidden/>
              </w:rPr>
              <w:t>5</w:t>
            </w:r>
            <w:r w:rsidR="00362C37">
              <w:rPr>
                <w:noProof/>
                <w:webHidden/>
              </w:rPr>
              <w:t>3</w:t>
            </w:r>
            <w:r>
              <w:rPr>
                <w:noProof/>
                <w:webHidden/>
              </w:rPr>
              <w:fldChar w:fldCharType="end"/>
            </w:r>
          </w:hyperlink>
        </w:p>
        <w:p w14:paraId="4388029C" w14:textId="52D08C2E" w:rsidR="00BA36C3" w:rsidRDefault="00BA36C3">
          <w:pPr>
            <w:pStyle w:val="TOC1"/>
            <w:tabs>
              <w:tab w:val="right" w:leader="dot" w:pos="9016"/>
            </w:tabs>
            <w:rPr>
              <w:rFonts w:eastAsiaTheme="minorEastAsia"/>
              <w:noProof/>
              <w:sz w:val="24"/>
              <w:szCs w:val="24"/>
              <w:lang w:eastAsia="en-GB"/>
            </w:rPr>
          </w:pPr>
          <w:hyperlink w:anchor="_Toc237445081" w:history="1">
            <w:r w:rsidRPr="00554E06">
              <w:rPr>
                <w:rStyle w:val="Hyperlink"/>
                <w:noProof/>
              </w:rPr>
              <w:t>Systematic Literature Review Methodology and Supporting Evidence</w:t>
            </w:r>
            <w:r>
              <w:rPr>
                <w:noProof/>
                <w:webHidden/>
              </w:rPr>
              <w:tab/>
            </w:r>
            <w:r>
              <w:rPr>
                <w:noProof/>
                <w:webHidden/>
              </w:rPr>
              <w:fldChar w:fldCharType="begin"/>
            </w:r>
            <w:r>
              <w:rPr>
                <w:noProof/>
                <w:webHidden/>
              </w:rPr>
              <w:instrText xml:space="preserve"> PAGEREF _Toc237445081 \h </w:instrText>
            </w:r>
            <w:r>
              <w:rPr>
                <w:noProof/>
                <w:webHidden/>
              </w:rPr>
            </w:r>
            <w:r>
              <w:rPr>
                <w:noProof/>
                <w:webHidden/>
              </w:rPr>
              <w:fldChar w:fldCharType="separate"/>
            </w:r>
            <w:r>
              <w:rPr>
                <w:noProof/>
                <w:webHidden/>
              </w:rPr>
              <w:t>5</w:t>
            </w:r>
            <w:r w:rsidR="00362C37">
              <w:rPr>
                <w:noProof/>
                <w:webHidden/>
              </w:rPr>
              <w:t>3</w:t>
            </w:r>
            <w:r>
              <w:rPr>
                <w:noProof/>
                <w:webHidden/>
              </w:rPr>
              <w:fldChar w:fldCharType="end"/>
            </w:r>
          </w:hyperlink>
        </w:p>
        <w:p w14:paraId="53D8F137" w14:textId="509BE4E5" w:rsidR="00BA36C3" w:rsidRDefault="00BA36C3">
          <w:pPr>
            <w:pStyle w:val="TOC2"/>
            <w:tabs>
              <w:tab w:val="right" w:leader="dot" w:pos="9016"/>
            </w:tabs>
            <w:rPr>
              <w:rFonts w:eastAsiaTheme="minorEastAsia"/>
              <w:noProof/>
              <w:sz w:val="24"/>
              <w:szCs w:val="24"/>
              <w:lang w:eastAsia="en-GB"/>
            </w:rPr>
          </w:pPr>
          <w:hyperlink w:anchor="_Toc237445082" w:history="1">
            <w:r w:rsidRPr="00554E06">
              <w:rPr>
                <w:rStyle w:val="Hyperlink"/>
                <w:noProof/>
              </w:rPr>
              <w:t>Table C1. Academic Information Sources Used in the Systematic Literature Search</w:t>
            </w:r>
            <w:r>
              <w:rPr>
                <w:noProof/>
                <w:webHidden/>
              </w:rPr>
              <w:tab/>
            </w:r>
            <w:r>
              <w:rPr>
                <w:noProof/>
                <w:webHidden/>
              </w:rPr>
              <w:fldChar w:fldCharType="begin"/>
            </w:r>
            <w:r>
              <w:rPr>
                <w:noProof/>
                <w:webHidden/>
              </w:rPr>
              <w:instrText xml:space="preserve"> PAGEREF _Toc237445082 \h </w:instrText>
            </w:r>
            <w:r>
              <w:rPr>
                <w:noProof/>
                <w:webHidden/>
              </w:rPr>
            </w:r>
            <w:r>
              <w:rPr>
                <w:noProof/>
                <w:webHidden/>
              </w:rPr>
              <w:fldChar w:fldCharType="separate"/>
            </w:r>
            <w:r>
              <w:rPr>
                <w:noProof/>
                <w:webHidden/>
              </w:rPr>
              <w:t>5</w:t>
            </w:r>
            <w:r w:rsidR="00362C37">
              <w:rPr>
                <w:noProof/>
                <w:webHidden/>
              </w:rPr>
              <w:t>3</w:t>
            </w:r>
            <w:r>
              <w:rPr>
                <w:noProof/>
                <w:webHidden/>
              </w:rPr>
              <w:fldChar w:fldCharType="end"/>
            </w:r>
          </w:hyperlink>
        </w:p>
        <w:p w14:paraId="44AA9CF4" w14:textId="793B685A" w:rsidR="00BA36C3" w:rsidRDefault="00BA36C3">
          <w:pPr>
            <w:pStyle w:val="TOC2"/>
            <w:tabs>
              <w:tab w:val="right" w:leader="dot" w:pos="9016"/>
            </w:tabs>
            <w:rPr>
              <w:rFonts w:eastAsiaTheme="minorEastAsia"/>
              <w:noProof/>
              <w:sz w:val="24"/>
              <w:szCs w:val="24"/>
              <w:lang w:eastAsia="en-GB"/>
            </w:rPr>
          </w:pPr>
          <w:hyperlink w:anchor="_Toc237445083" w:history="1">
            <w:r w:rsidRPr="00554E06">
              <w:rPr>
                <w:rStyle w:val="Hyperlink"/>
                <w:noProof/>
              </w:rPr>
              <w:t>Table C2. Search Strategy and Boolean Search Terms</w:t>
            </w:r>
            <w:r>
              <w:rPr>
                <w:noProof/>
                <w:webHidden/>
              </w:rPr>
              <w:tab/>
            </w:r>
            <w:r>
              <w:rPr>
                <w:noProof/>
                <w:webHidden/>
              </w:rPr>
              <w:fldChar w:fldCharType="begin"/>
            </w:r>
            <w:r>
              <w:rPr>
                <w:noProof/>
                <w:webHidden/>
              </w:rPr>
              <w:instrText xml:space="preserve"> PAGEREF _Toc237445083 \h </w:instrText>
            </w:r>
            <w:r>
              <w:rPr>
                <w:noProof/>
                <w:webHidden/>
              </w:rPr>
            </w:r>
            <w:r>
              <w:rPr>
                <w:noProof/>
                <w:webHidden/>
              </w:rPr>
              <w:fldChar w:fldCharType="separate"/>
            </w:r>
            <w:r>
              <w:rPr>
                <w:noProof/>
                <w:webHidden/>
              </w:rPr>
              <w:t>5</w:t>
            </w:r>
            <w:r w:rsidR="00362C37">
              <w:rPr>
                <w:noProof/>
                <w:webHidden/>
              </w:rPr>
              <w:t>3</w:t>
            </w:r>
            <w:r>
              <w:rPr>
                <w:noProof/>
                <w:webHidden/>
              </w:rPr>
              <w:fldChar w:fldCharType="end"/>
            </w:r>
          </w:hyperlink>
        </w:p>
        <w:p w14:paraId="60540B8A" w14:textId="0386959E" w:rsidR="00BA36C3" w:rsidRDefault="00BA36C3">
          <w:pPr>
            <w:pStyle w:val="TOC2"/>
            <w:tabs>
              <w:tab w:val="right" w:leader="dot" w:pos="9016"/>
            </w:tabs>
            <w:rPr>
              <w:rFonts w:eastAsiaTheme="minorEastAsia"/>
              <w:noProof/>
              <w:sz w:val="24"/>
              <w:szCs w:val="24"/>
              <w:lang w:eastAsia="en-GB"/>
            </w:rPr>
          </w:pPr>
          <w:hyperlink w:anchor="_Toc237445084" w:history="1">
            <w:r w:rsidRPr="00554E06">
              <w:rPr>
                <w:rStyle w:val="Hyperlink"/>
                <w:noProof/>
              </w:rPr>
              <w:t>Table C3.  Combined Boolean String Used in the Systematic Literature Review</w:t>
            </w:r>
            <w:r>
              <w:rPr>
                <w:noProof/>
                <w:webHidden/>
              </w:rPr>
              <w:tab/>
            </w:r>
            <w:r>
              <w:rPr>
                <w:noProof/>
                <w:webHidden/>
              </w:rPr>
              <w:fldChar w:fldCharType="begin"/>
            </w:r>
            <w:r>
              <w:rPr>
                <w:noProof/>
                <w:webHidden/>
              </w:rPr>
              <w:instrText xml:space="preserve"> PAGEREF _Toc237445084 \h </w:instrText>
            </w:r>
            <w:r>
              <w:rPr>
                <w:noProof/>
                <w:webHidden/>
              </w:rPr>
            </w:r>
            <w:r>
              <w:rPr>
                <w:noProof/>
                <w:webHidden/>
              </w:rPr>
              <w:fldChar w:fldCharType="separate"/>
            </w:r>
            <w:r>
              <w:rPr>
                <w:noProof/>
                <w:webHidden/>
              </w:rPr>
              <w:t>5</w:t>
            </w:r>
            <w:r w:rsidR="00362C37">
              <w:rPr>
                <w:noProof/>
                <w:webHidden/>
              </w:rPr>
              <w:t>4</w:t>
            </w:r>
            <w:r>
              <w:rPr>
                <w:noProof/>
                <w:webHidden/>
              </w:rPr>
              <w:fldChar w:fldCharType="end"/>
            </w:r>
          </w:hyperlink>
        </w:p>
        <w:p w14:paraId="134B913D" w14:textId="2B6DA7BC" w:rsidR="00BA36C3" w:rsidRDefault="00BA36C3">
          <w:pPr>
            <w:pStyle w:val="TOC2"/>
            <w:tabs>
              <w:tab w:val="right" w:leader="dot" w:pos="9016"/>
            </w:tabs>
            <w:rPr>
              <w:rFonts w:eastAsiaTheme="minorEastAsia"/>
              <w:noProof/>
              <w:sz w:val="24"/>
              <w:szCs w:val="24"/>
              <w:lang w:eastAsia="en-GB"/>
            </w:rPr>
          </w:pPr>
          <w:hyperlink w:anchor="_Toc237445085" w:history="1">
            <w:r w:rsidRPr="00554E06">
              <w:rPr>
                <w:rStyle w:val="Hyperlink"/>
                <w:noProof/>
              </w:rPr>
              <w:t>Table C4: Inclusion and Exclusion Criteria for the Systematic Literature Review</w:t>
            </w:r>
            <w:r>
              <w:rPr>
                <w:noProof/>
                <w:webHidden/>
              </w:rPr>
              <w:tab/>
            </w:r>
            <w:r>
              <w:rPr>
                <w:noProof/>
                <w:webHidden/>
              </w:rPr>
              <w:fldChar w:fldCharType="begin"/>
            </w:r>
            <w:r>
              <w:rPr>
                <w:noProof/>
                <w:webHidden/>
              </w:rPr>
              <w:instrText xml:space="preserve"> PAGEREF _Toc237445085 \h </w:instrText>
            </w:r>
            <w:r>
              <w:rPr>
                <w:noProof/>
                <w:webHidden/>
              </w:rPr>
            </w:r>
            <w:r>
              <w:rPr>
                <w:noProof/>
                <w:webHidden/>
              </w:rPr>
              <w:fldChar w:fldCharType="separate"/>
            </w:r>
            <w:r>
              <w:rPr>
                <w:noProof/>
                <w:webHidden/>
              </w:rPr>
              <w:t>5</w:t>
            </w:r>
            <w:r w:rsidR="00362C37">
              <w:rPr>
                <w:noProof/>
                <w:webHidden/>
              </w:rPr>
              <w:t>4</w:t>
            </w:r>
            <w:r>
              <w:rPr>
                <w:noProof/>
                <w:webHidden/>
              </w:rPr>
              <w:fldChar w:fldCharType="end"/>
            </w:r>
          </w:hyperlink>
        </w:p>
        <w:p w14:paraId="550F9E69" w14:textId="350FAB19" w:rsidR="00BA36C3" w:rsidRDefault="00BA36C3">
          <w:pPr>
            <w:pStyle w:val="TOC2"/>
            <w:tabs>
              <w:tab w:val="right" w:leader="dot" w:pos="9016"/>
            </w:tabs>
            <w:rPr>
              <w:rFonts w:eastAsiaTheme="minorEastAsia"/>
              <w:noProof/>
              <w:sz w:val="24"/>
              <w:szCs w:val="24"/>
              <w:lang w:eastAsia="en-GB"/>
            </w:rPr>
          </w:pPr>
          <w:hyperlink w:anchor="_Toc237445086" w:history="1">
            <w:r w:rsidRPr="00554E06">
              <w:rPr>
                <w:rStyle w:val="Hyperlink"/>
                <w:noProof/>
              </w:rPr>
              <w:t>Table C5. Study Identification, Screening and Selection Process</w:t>
            </w:r>
            <w:r>
              <w:rPr>
                <w:noProof/>
                <w:webHidden/>
              </w:rPr>
              <w:tab/>
            </w:r>
            <w:r>
              <w:rPr>
                <w:noProof/>
                <w:webHidden/>
              </w:rPr>
              <w:fldChar w:fldCharType="begin"/>
            </w:r>
            <w:r>
              <w:rPr>
                <w:noProof/>
                <w:webHidden/>
              </w:rPr>
              <w:instrText xml:space="preserve"> PAGEREF _Toc237445086 \h </w:instrText>
            </w:r>
            <w:r>
              <w:rPr>
                <w:noProof/>
                <w:webHidden/>
              </w:rPr>
            </w:r>
            <w:r>
              <w:rPr>
                <w:noProof/>
                <w:webHidden/>
              </w:rPr>
              <w:fldChar w:fldCharType="separate"/>
            </w:r>
            <w:r>
              <w:rPr>
                <w:noProof/>
                <w:webHidden/>
              </w:rPr>
              <w:t>5</w:t>
            </w:r>
            <w:r w:rsidR="00362C37">
              <w:rPr>
                <w:noProof/>
                <w:webHidden/>
              </w:rPr>
              <w:t>5</w:t>
            </w:r>
            <w:r>
              <w:rPr>
                <w:noProof/>
                <w:webHidden/>
              </w:rPr>
              <w:fldChar w:fldCharType="end"/>
            </w:r>
          </w:hyperlink>
        </w:p>
        <w:p w14:paraId="533D0666" w14:textId="32BBD3CB" w:rsidR="00BA36C3" w:rsidRDefault="00BA36C3">
          <w:pPr>
            <w:pStyle w:val="TOC2"/>
            <w:tabs>
              <w:tab w:val="right" w:leader="dot" w:pos="9016"/>
            </w:tabs>
            <w:rPr>
              <w:rFonts w:eastAsiaTheme="minorEastAsia"/>
              <w:noProof/>
              <w:sz w:val="24"/>
              <w:szCs w:val="24"/>
              <w:lang w:eastAsia="en-GB"/>
            </w:rPr>
          </w:pPr>
          <w:hyperlink w:anchor="_Toc237445087" w:history="1">
            <w:r w:rsidRPr="00554E06">
              <w:rPr>
                <w:rStyle w:val="Hyperlink"/>
                <w:noProof/>
              </w:rPr>
              <w:t>Table C6. Quality Appraisal Criteria for Included Evidence and Policy Documents</w:t>
            </w:r>
            <w:r>
              <w:rPr>
                <w:noProof/>
                <w:webHidden/>
              </w:rPr>
              <w:tab/>
            </w:r>
            <w:r>
              <w:rPr>
                <w:noProof/>
                <w:webHidden/>
              </w:rPr>
              <w:fldChar w:fldCharType="begin"/>
            </w:r>
            <w:r>
              <w:rPr>
                <w:noProof/>
                <w:webHidden/>
              </w:rPr>
              <w:instrText xml:space="preserve"> PAGEREF _Toc237445087 \h </w:instrText>
            </w:r>
            <w:r>
              <w:rPr>
                <w:noProof/>
                <w:webHidden/>
              </w:rPr>
            </w:r>
            <w:r>
              <w:rPr>
                <w:noProof/>
                <w:webHidden/>
              </w:rPr>
              <w:fldChar w:fldCharType="separate"/>
            </w:r>
            <w:r>
              <w:rPr>
                <w:noProof/>
                <w:webHidden/>
              </w:rPr>
              <w:t>5</w:t>
            </w:r>
            <w:r w:rsidR="00362C37">
              <w:rPr>
                <w:noProof/>
                <w:webHidden/>
              </w:rPr>
              <w:t>5</w:t>
            </w:r>
            <w:r>
              <w:rPr>
                <w:noProof/>
                <w:webHidden/>
              </w:rPr>
              <w:fldChar w:fldCharType="end"/>
            </w:r>
          </w:hyperlink>
        </w:p>
        <w:p w14:paraId="672B523E" w14:textId="4FAFF253" w:rsidR="00BA36C3" w:rsidRDefault="00BA36C3">
          <w:pPr>
            <w:pStyle w:val="TOC2"/>
            <w:tabs>
              <w:tab w:val="right" w:leader="dot" w:pos="9016"/>
            </w:tabs>
            <w:rPr>
              <w:rFonts w:eastAsiaTheme="minorEastAsia"/>
              <w:noProof/>
              <w:sz w:val="24"/>
              <w:szCs w:val="24"/>
              <w:lang w:eastAsia="en-GB"/>
            </w:rPr>
          </w:pPr>
          <w:hyperlink w:anchor="_Toc237445088" w:history="1">
            <w:r w:rsidRPr="00554E06">
              <w:rPr>
                <w:rStyle w:val="Hyperlink"/>
                <w:noProof/>
              </w:rPr>
              <w:t>Table C7: Comparative Overview of AI Governance Frameworks Relevant to Higher Education</w:t>
            </w:r>
            <w:r>
              <w:rPr>
                <w:noProof/>
                <w:webHidden/>
              </w:rPr>
              <w:tab/>
            </w:r>
            <w:r>
              <w:rPr>
                <w:noProof/>
                <w:webHidden/>
              </w:rPr>
              <w:fldChar w:fldCharType="begin"/>
            </w:r>
            <w:r>
              <w:rPr>
                <w:noProof/>
                <w:webHidden/>
              </w:rPr>
              <w:instrText xml:space="preserve"> PAGEREF _Toc237445088 \h </w:instrText>
            </w:r>
            <w:r>
              <w:rPr>
                <w:noProof/>
                <w:webHidden/>
              </w:rPr>
            </w:r>
            <w:r>
              <w:rPr>
                <w:noProof/>
                <w:webHidden/>
              </w:rPr>
              <w:fldChar w:fldCharType="separate"/>
            </w:r>
            <w:r>
              <w:rPr>
                <w:noProof/>
                <w:webHidden/>
              </w:rPr>
              <w:t>5</w:t>
            </w:r>
            <w:r w:rsidR="00362C37">
              <w:rPr>
                <w:noProof/>
                <w:webHidden/>
              </w:rPr>
              <w:t>6</w:t>
            </w:r>
            <w:r>
              <w:rPr>
                <w:noProof/>
                <w:webHidden/>
              </w:rPr>
              <w:fldChar w:fldCharType="end"/>
            </w:r>
          </w:hyperlink>
        </w:p>
        <w:p w14:paraId="03FEF08A" w14:textId="3912E86E" w:rsidR="00BA36C3" w:rsidRDefault="00BA36C3">
          <w:pPr>
            <w:pStyle w:val="TOC2"/>
            <w:tabs>
              <w:tab w:val="right" w:leader="dot" w:pos="9016"/>
            </w:tabs>
            <w:rPr>
              <w:rFonts w:eastAsiaTheme="minorEastAsia"/>
              <w:noProof/>
              <w:sz w:val="24"/>
              <w:szCs w:val="24"/>
              <w:lang w:eastAsia="en-GB"/>
            </w:rPr>
          </w:pPr>
          <w:hyperlink w:anchor="_Toc237445089" w:history="1">
            <w:r w:rsidRPr="00554E06">
              <w:rPr>
                <w:rStyle w:val="Hyperlink"/>
                <w:noProof/>
              </w:rPr>
              <w:t>Table C8. Alignment of Research Question, Objectives, Literature Themes and SGM Pillars</w:t>
            </w:r>
            <w:r>
              <w:rPr>
                <w:noProof/>
                <w:webHidden/>
              </w:rPr>
              <w:tab/>
            </w:r>
            <w:r>
              <w:rPr>
                <w:noProof/>
                <w:webHidden/>
              </w:rPr>
              <w:fldChar w:fldCharType="begin"/>
            </w:r>
            <w:r>
              <w:rPr>
                <w:noProof/>
                <w:webHidden/>
              </w:rPr>
              <w:instrText xml:space="preserve"> PAGEREF _Toc237445089 \h </w:instrText>
            </w:r>
            <w:r>
              <w:rPr>
                <w:noProof/>
                <w:webHidden/>
              </w:rPr>
            </w:r>
            <w:r>
              <w:rPr>
                <w:noProof/>
                <w:webHidden/>
              </w:rPr>
              <w:fldChar w:fldCharType="separate"/>
            </w:r>
            <w:r>
              <w:rPr>
                <w:noProof/>
                <w:webHidden/>
              </w:rPr>
              <w:t>5</w:t>
            </w:r>
            <w:r w:rsidR="00362C37">
              <w:rPr>
                <w:noProof/>
                <w:webHidden/>
              </w:rPr>
              <w:t>6</w:t>
            </w:r>
            <w:r>
              <w:rPr>
                <w:noProof/>
                <w:webHidden/>
              </w:rPr>
              <w:fldChar w:fldCharType="end"/>
            </w:r>
          </w:hyperlink>
        </w:p>
        <w:p w14:paraId="665E93B4" w14:textId="2A07F060" w:rsidR="00BA36C3" w:rsidRDefault="00BA36C3">
          <w:pPr>
            <w:pStyle w:val="TOC1"/>
            <w:tabs>
              <w:tab w:val="right" w:leader="dot" w:pos="9016"/>
            </w:tabs>
            <w:rPr>
              <w:rFonts w:eastAsiaTheme="minorEastAsia"/>
              <w:noProof/>
              <w:sz w:val="24"/>
              <w:szCs w:val="24"/>
              <w:lang w:eastAsia="en-GB"/>
            </w:rPr>
          </w:pPr>
          <w:hyperlink w:anchor="_Toc237445090" w:history="1">
            <w:r w:rsidRPr="00554E06">
              <w:rPr>
                <w:rStyle w:val="Hyperlink"/>
                <w:noProof/>
              </w:rPr>
              <w:t>Appendix C: Systematic Literature Review Methodology</w:t>
            </w:r>
            <w:r>
              <w:rPr>
                <w:noProof/>
                <w:webHidden/>
              </w:rPr>
              <w:tab/>
            </w:r>
            <w:r>
              <w:rPr>
                <w:noProof/>
                <w:webHidden/>
              </w:rPr>
              <w:fldChar w:fldCharType="begin"/>
            </w:r>
            <w:r>
              <w:rPr>
                <w:noProof/>
                <w:webHidden/>
              </w:rPr>
              <w:instrText xml:space="preserve"> PAGEREF _Toc237445090 \h </w:instrText>
            </w:r>
            <w:r>
              <w:rPr>
                <w:noProof/>
                <w:webHidden/>
              </w:rPr>
            </w:r>
            <w:r>
              <w:rPr>
                <w:noProof/>
                <w:webHidden/>
              </w:rPr>
              <w:fldChar w:fldCharType="separate"/>
            </w:r>
            <w:r>
              <w:rPr>
                <w:noProof/>
                <w:webHidden/>
              </w:rPr>
              <w:t>5</w:t>
            </w:r>
            <w:r w:rsidR="00362C37">
              <w:rPr>
                <w:noProof/>
                <w:webHidden/>
              </w:rPr>
              <w:t>7</w:t>
            </w:r>
            <w:r>
              <w:rPr>
                <w:noProof/>
                <w:webHidden/>
              </w:rPr>
              <w:fldChar w:fldCharType="end"/>
            </w:r>
          </w:hyperlink>
        </w:p>
        <w:p w14:paraId="55555BB9" w14:textId="6727AAC7" w:rsidR="00BA36C3" w:rsidRDefault="00BA36C3">
          <w:pPr>
            <w:pStyle w:val="TOC2"/>
            <w:tabs>
              <w:tab w:val="right" w:leader="dot" w:pos="9016"/>
            </w:tabs>
            <w:rPr>
              <w:rFonts w:eastAsiaTheme="minorEastAsia"/>
              <w:noProof/>
              <w:sz w:val="24"/>
              <w:szCs w:val="24"/>
              <w:lang w:eastAsia="en-GB"/>
            </w:rPr>
          </w:pPr>
          <w:hyperlink w:anchor="_Toc237445091" w:history="1">
            <w:r w:rsidRPr="00554E06">
              <w:rPr>
                <w:rStyle w:val="Hyperlink"/>
                <w:noProof/>
              </w:rPr>
              <w:t>Figure C1. PRISMA 2020 Flow Diagram</w:t>
            </w:r>
            <w:r>
              <w:rPr>
                <w:noProof/>
                <w:webHidden/>
              </w:rPr>
              <w:tab/>
            </w:r>
            <w:r>
              <w:rPr>
                <w:noProof/>
                <w:webHidden/>
              </w:rPr>
              <w:fldChar w:fldCharType="begin"/>
            </w:r>
            <w:r>
              <w:rPr>
                <w:noProof/>
                <w:webHidden/>
              </w:rPr>
              <w:instrText xml:space="preserve"> PAGEREF _Toc237445091 \h </w:instrText>
            </w:r>
            <w:r>
              <w:rPr>
                <w:noProof/>
                <w:webHidden/>
              </w:rPr>
            </w:r>
            <w:r>
              <w:rPr>
                <w:noProof/>
                <w:webHidden/>
              </w:rPr>
              <w:fldChar w:fldCharType="separate"/>
            </w:r>
            <w:r>
              <w:rPr>
                <w:noProof/>
                <w:webHidden/>
              </w:rPr>
              <w:t>5</w:t>
            </w:r>
            <w:r w:rsidR="00362C37">
              <w:rPr>
                <w:noProof/>
                <w:webHidden/>
              </w:rPr>
              <w:t>7</w:t>
            </w:r>
            <w:r>
              <w:rPr>
                <w:noProof/>
                <w:webHidden/>
              </w:rPr>
              <w:fldChar w:fldCharType="end"/>
            </w:r>
          </w:hyperlink>
        </w:p>
        <w:p w14:paraId="46ACA14C" w14:textId="6DEE86EF" w:rsidR="00BA36C3" w:rsidRDefault="00BA36C3">
          <w:pPr>
            <w:pStyle w:val="TOC1"/>
            <w:tabs>
              <w:tab w:val="right" w:leader="dot" w:pos="9016"/>
            </w:tabs>
            <w:rPr>
              <w:rFonts w:eastAsiaTheme="minorEastAsia"/>
              <w:noProof/>
              <w:sz w:val="24"/>
              <w:szCs w:val="24"/>
              <w:lang w:eastAsia="en-GB"/>
            </w:rPr>
          </w:pPr>
          <w:hyperlink w:anchor="_Toc237445092" w:history="1">
            <w:r w:rsidRPr="00554E06">
              <w:rPr>
                <w:rStyle w:val="Hyperlink"/>
                <w:noProof/>
              </w:rPr>
              <w:t>Appendix D</w:t>
            </w:r>
            <w:r>
              <w:rPr>
                <w:noProof/>
                <w:webHidden/>
              </w:rPr>
              <w:tab/>
            </w:r>
            <w:r>
              <w:rPr>
                <w:noProof/>
                <w:webHidden/>
              </w:rPr>
              <w:fldChar w:fldCharType="begin"/>
            </w:r>
            <w:r>
              <w:rPr>
                <w:noProof/>
                <w:webHidden/>
              </w:rPr>
              <w:instrText xml:space="preserve"> PAGEREF _Toc237445092 \h </w:instrText>
            </w:r>
            <w:r>
              <w:rPr>
                <w:noProof/>
                <w:webHidden/>
              </w:rPr>
            </w:r>
            <w:r>
              <w:rPr>
                <w:noProof/>
                <w:webHidden/>
              </w:rPr>
              <w:fldChar w:fldCharType="separate"/>
            </w:r>
            <w:r>
              <w:rPr>
                <w:noProof/>
                <w:webHidden/>
              </w:rPr>
              <w:t>5</w:t>
            </w:r>
            <w:r w:rsidR="00362C37">
              <w:rPr>
                <w:noProof/>
                <w:webHidden/>
              </w:rPr>
              <w:t>8</w:t>
            </w:r>
            <w:r>
              <w:rPr>
                <w:noProof/>
                <w:webHidden/>
              </w:rPr>
              <w:fldChar w:fldCharType="end"/>
            </w:r>
          </w:hyperlink>
        </w:p>
        <w:p w14:paraId="67B4B953" w14:textId="191FB9AE" w:rsidR="00BA36C3" w:rsidRDefault="00BA36C3">
          <w:pPr>
            <w:pStyle w:val="TOC2"/>
            <w:tabs>
              <w:tab w:val="right" w:leader="dot" w:pos="9016"/>
            </w:tabs>
            <w:rPr>
              <w:rFonts w:eastAsiaTheme="minorEastAsia"/>
              <w:noProof/>
              <w:sz w:val="24"/>
              <w:szCs w:val="24"/>
              <w:lang w:eastAsia="en-GB"/>
            </w:rPr>
          </w:pPr>
          <w:hyperlink w:anchor="_Toc237445093" w:history="1">
            <w:r w:rsidRPr="00554E06">
              <w:rPr>
                <w:rStyle w:val="Hyperlink"/>
                <w:noProof/>
              </w:rPr>
              <w:t>Table D1. Pillars, Dimensions and Explanations of the Proposed  SGM</w:t>
            </w:r>
            <w:r>
              <w:rPr>
                <w:noProof/>
                <w:webHidden/>
              </w:rPr>
              <w:tab/>
            </w:r>
            <w:r>
              <w:rPr>
                <w:noProof/>
                <w:webHidden/>
              </w:rPr>
              <w:fldChar w:fldCharType="begin"/>
            </w:r>
            <w:r>
              <w:rPr>
                <w:noProof/>
                <w:webHidden/>
              </w:rPr>
              <w:instrText xml:space="preserve"> PAGEREF _Toc237445093 \h </w:instrText>
            </w:r>
            <w:r>
              <w:rPr>
                <w:noProof/>
                <w:webHidden/>
              </w:rPr>
            </w:r>
            <w:r>
              <w:rPr>
                <w:noProof/>
                <w:webHidden/>
              </w:rPr>
              <w:fldChar w:fldCharType="separate"/>
            </w:r>
            <w:r>
              <w:rPr>
                <w:noProof/>
                <w:webHidden/>
              </w:rPr>
              <w:t>5</w:t>
            </w:r>
            <w:r w:rsidR="00362C37">
              <w:rPr>
                <w:noProof/>
                <w:webHidden/>
              </w:rPr>
              <w:t>8</w:t>
            </w:r>
            <w:r>
              <w:rPr>
                <w:noProof/>
                <w:webHidden/>
              </w:rPr>
              <w:fldChar w:fldCharType="end"/>
            </w:r>
          </w:hyperlink>
        </w:p>
        <w:p w14:paraId="1B368164" w14:textId="6F86C1C5" w:rsidR="00BA36C3" w:rsidRDefault="00BA36C3">
          <w:pPr>
            <w:pStyle w:val="TOC2"/>
            <w:tabs>
              <w:tab w:val="right" w:leader="dot" w:pos="9016"/>
            </w:tabs>
            <w:rPr>
              <w:rFonts w:eastAsiaTheme="minorEastAsia"/>
              <w:noProof/>
              <w:sz w:val="24"/>
              <w:szCs w:val="24"/>
              <w:lang w:eastAsia="en-GB"/>
            </w:rPr>
          </w:pPr>
          <w:hyperlink w:anchor="_Toc237445094" w:history="1">
            <w:r w:rsidRPr="00554E06">
              <w:rPr>
                <w:rStyle w:val="Hyperlink"/>
                <w:noProof/>
              </w:rPr>
              <w:t>Table D2: Theoretical Foundations of the Proposed Strategic Governance Model</w:t>
            </w:r>
            <w:r>
              <w:rPr>
                <w:noProof/>
                <w:webHidden/>
              </w:rPr>
              <w:tab/>
            </w:r>
            <w:r w:rsidR="00362C37">
              <w:rPr>
                <w:noProof/>
                <w:webHidden/>
              </w:rPr>
              <w:t>59</w:t>
            </w:r>
          </w:hyperlink>
        </w:p>
        <w:p w14:paraId="150EA3CF" w14:textId="5637CACB" w:rsidR="00BA36C3" w:rsidRDefault="00BA36C3">
          <w:pPr>
            <w:pStyle w:val="TOC2"/>
            <w:tabs>
              <w:tab w:val="right" w:leader="dot" w:pos="9016"/>
            </w:tabs>
            <w:rPr>
              <w:rFonts w:eastAsiaTheme="minorEastAsia"/>
              <w:noProof/>
              <w:sz w:val="24"/>
              <w:szCs w:val="24"/>
              <w:lang w:eastAsia="en-GB"/>
            </w:rPr>
          </w:pPr>
          <w:hyperlink w:anchor="_Toc237445095" w:history="1">
            <w:r w:rsidRPr="00554E06">
              <w:rPr>
                <w:rStyle w:val="Hyperlink"/>
                <w:noProof/>
              </w:rPr>
              <w:t>Table D3. Evidence Base and Function of the Proposed Strategic Governance Model</w:t>
            </w:r>
            <w:r>
              <w:rPr>
                <w:noProof/>
                <w:webHidden/>
              </w:rPr>
              <w:tab/>
            </w:r>
            <w:r>
              <w:rPr>
                <w:noProof/>
                <w:webHidden/>
              </w:rPr>
              <w:fldChar w:fldCharType="begin"/>
            </w:r>
            <w:r>
              <w:rPr>
                <w:noProof/>
                <w:webHidden/>
              </w:rPr>
              <w:instrText xml:space="preserve"> PAGEREF _Toc237445095 \h </w:instrText>
            </w:r>
            <w:r>
              <w:rPr>
                <w:noProof/>
                <w:webHidden/>
              </w:rPr>
            </w:r>
            <w:r>
              <w:rPr>
                <w:noProof/>
                <w:webHidden/>
              </w:rPr>
              <w:fldChar w:fldCharType="separate"/>
            </w:r>
            <w:r>
              <w:rPr>
                <w:noProof/>
                <w:webHidden/>
              </w:rPr>
              <w:t>6</w:t>
            </w:r>
            <w:r w:rsidR="00362C37">
              <w:rPr>
                <w:noProof/>
                <w:webHidden/>
              </w:rPr>
              <w:t>1</w:t>
            </w:r>
            <w:r>
              <w:rPr>
                <w:noProof/>
                <w:webHidden/>
              </w:rPr>
              <w:fldChar w:fldCharType="end"/>
            </w:r>
          </w:hyperlink>
        </w:p>
        <w:p w14:paraId="6DAF04CD" w14:textId="7D4E1F91" w:rsidR="00BA36C3" w:rsidRDefault="00BA36C3">
          <w:pPr>
            <w:pStyle w:val="TOC2"/>
            <w:tabs>
              <w:tab w:val="right" w:leader="dot" w:pos="9016"/>
            </w:tabs>
            <w:rPr>
              <w:rFonts w:eastAsiaTheme="minorEastAsia"/>
              <w:noProof/>
              <w:sz w:val="24"/>
              <w:szCs w:val="24"/>
              <w:lang w:eastAsia="en-GB"/>
            </w:rPr>
          </w:pPr>
          <w:hyperlink w:anchor="_Toc237445096" w:history="1">
            <w:r w:rsidRPr="00554E06">
              <w:rPr>
                <w:rStyle w:val="Hyperlink"/>
                <w:noProof/>
              </w:rPr>
              <w:t>Table D4. Development of the Theoretical Contribution of the Strategic Governance Model</w:t>
            </w:r>
            <w:r>
              <w:rPr>
                <w:noProof/>
                <w:webHidden/>
              </w:rPr>
              <w:tab/>
            </w:r>
            <w:r>
              <w:rPr>
                <w:noProof/>
                <w:webHidden/>
              </w:rPr>
              <w:fldChar w:fldCharType="begin"/>
            </w:r>
            <w:r>
              <w:rPr>
                <w:noProof/>
                <w:webHidden/>
              </w:rPr>
              <w:instrText xml:space="preserve"> PAGEREF _Toc237445096 \h </w:instrText>
            </w:r>
            <w:r>
              <w:rPr>
                <w:noProof/>
                <w:webHidden/>
              </w:rPr>
            </w:r>
            <w:r>
              <w:rPr>
                <w:noProof/>
                <w:webHidden/>
              </w:rPr>
              <w:fldChar w:fldCharType="separate"/>
            </w:r>
            <w:r>
              <w:rPr>
                <w:noProof/>
                <w:webHidden/>
              </w:rPr>
              <w:t>6</w:t>
            </w:r>
            <w:r w:rsidR="00362C37">
              <w:rPr>
                <w:noProof/>
                <w:webHidden/>
              </w:rPr>
              <w:t>2</w:t>
            </w:r>
            <w:r>
              <w:rPr>
                <w:noProof/>
                <w:webHidden/>
              </w:rPr>
              <w:fldChar w:fldCharType="end"/>
            </w:r>
          </w:hyperlink>
        </w:p>
        <w:p w14:paraId="6E582D0C" w14:textId="4E765459" w:rsidR="00BA36C3" w:rsidRDefault="00BA36C3">
          <w:pPr>
            <w:pStyle w:val="TOC2"/>
            <w:tabs>
              <w:tab w:val="right" w:leader="dot" w:pos="9016"/>
            </w:tabs>
          </w:pPr>
          <w:hyperlink w:anchor="_Toc237445097" w:history="1">
            <w:r w:rsidRPr="00554E06">
              <w:rPr>
                <w:rStyle w:val="Hyperlink"/>
                <w:noProof/>
              </w:rPr>
              <w:t>Table D5. Analytical Logic Linking Literature Findings to the Strategic Governance Model</w:t>
            </w:r>
            <w:r>
              <w:rPr>
                <w:noProof/>
                <w:webHidden/>
              </w:rPr>
              <w:tab/>
            </w:r>
            <w:r>
              <w:rPr>
                <w:noProof/>
                <w:webHidden/>
              </w:rPr>
              <w:fldChar w:fldCharType="begin"/>
            </w:r>
            <w:r>
              <w:rPr>
                <w:noProof/>
                <w:webHidden/>
              </w:rPr>
              <w:instrText xml:space="preserve"> PAGEREF _Toc237445097 \h </w:instrText>
            </w:r>
            <w:r>
              <w:rPr>
                <w:noProof/>
                <w:webHidden/>
              </w:rPr>
            </w:r>
            <w:r>
              <w:rPr>
                <w:noProof/>
                <w:webHidden/>
              </w:rPr>
              <w:fldChar w:fldCharType="separate"/>
            </w:r>
            <w:r>
              <w:rPr>
                <w:noProof/>
                <w:webHidden/>
              </w:rPr>
              <w:t>6</w:t>
            </w:r>
            <w:r w:rsidR="00362C37">
              <w:rPr>
                <w:noProof/>
                <w:webHidden/>
              </w:rPr>
              <w:t>3</w:t>
            </w:r>
            <w:r>
              <w:rPr>
                <w:noProof/>
                <w:webHidden/>
              </w:rPr>
              <w:fldChar w:fldCharType="end"/>
            </w:r>
          </w:hyperlink>
        </w:p>
        <w:p w14:paraId="19370CFA" w14:textId="7D1545F3" w:rsidR="00F53C89" w:rsidRDefault="00F53C89" w:rsidP="00F53C89">
          <w:pPr>
            <w:pStyle w:val="TOC2"/>
            <w:tabs>
              <w:tab w:val="right" w:leader="dot" w:pos="9016"/>
            </w:tabs>
            <w:rPr>
              <w:rFonts w:eastAsiaTheme="minorEastAsia"/>
              <w:noProof/>
              <w:sz w:val="24"/>
              <w:szCs w:val="24"/>
              <w:lang w:eastAsia="en-GB"/>
            </w:rPr>
          </w:pPr>
          <w:hyperlink w:anchor="_Toc237445093" w:history="1">
            <w:r w:rsidRPr="00554E06">
              <w:rPr>
                <w:rStyle w:val="Hyperlink"/>
                <w:noProof/>
              </w:rPr>
              <w:t>Table D</w:t>
            </w:r>
            <w:r>
              <w:rPr>
                <w:rStyle w:val="Hyperlink"/>
                <w:noProof/>
              </w:rPr>
              <w:t>6</w:t>
            </w:r>
            <w:r w:rsidRPr="00554E06">
              <w:rPr>
                <w:rStyle w:val="Hyperlink"/>
                <w:noProof/>
              </w:rPr>
              <w:t xml:space="preserve">. </w:t>
            </w:r>
            <w:r w:rsidR="00230AE0">
              <w:rPr>
                <w:rStyle w:val="Hyperlink"/>
                <w:noProof/>
              </w:rPr>
              <w:t>Interaction of the Five SGM Pillars</w:t>
            </w:r>
            <w:r>
              <w:rPr>
                <w:noProof/>
                <w:webHidden/>
              </w:rPr>
              <w:tab/>
              <w:t>6</w:t>
            </w:r>
            <w:r w:rsidR="00362C37">
              <w:rPr>
                <w:noProof/>
                <w:webHidden/>
              </w:rPr>
              <w:t>4</w:t>
            </w:r>
          </w:hyperlink>
        </w:p>
        <w:p w14:paraId="6FF98C5D" w14:textId="36814EB6" w:rsidR="00F53C89" w:rsidRDefault="00F53C89" w:rsidP="00F53C89">
          <w:pPr>
            <w:pStyle w:val="TOC2"/>
            <w:tabs>
              <w:tab w:val="right" w:leader="dot" w:pos="9016"/>
            </w:tabs>
            <w:rPr>
              <w:rFonts w:eastAsiaTheme="minorEastAsia"/>
              <w:noProof/>
              <w:sz w:val="24"/>
              <w:szCs w:val="24"/>
              <w:lang w:eastAsia="en-GB"/>
            </w:rPr>
          </w:pPr>
          <w:hyperlink w:anchor="_Toc237445094" w:history="1">
            <w:r w:rsidRPr="00554E06">
              <w:rPr>
                <w:rStyle w:val="Hyperlink"/>
                <w:noProof/>
              </w:rPr>
              <w:t>Table D</w:t>
            </w:r>
            <w:r>
              <w:rPr>
                <w:rStyle w:val="Hyperlink"/>
                <w:noProof/>
              </w:rPr>
              <w:t>7</w:t>
            </w:r>
            <w:r w:rsidRPr="00554E06">
              <w:rPr>
                <w:rStyle w:val="Hyperlink"/>
                <w:noProof/>
              </w:rPr>
              <w:t xml:space="preserve">: </w:t>
            </w:r>
            <w:r w:rsidR="00074ADA">
              <w:rPr>
                <w:rStyle w:val="Hyperlink"/>
                <w:noProof/>
              </w:rPr>
              <w:t>Practical Application of the SGM</w:t>
            </w:r>
            <w:r w:rsidR="00972167">
              <w:rPr>
                <w:rStyle w:val="Hyperlink"/>
                <w:noProof/>
              </w:rPr>
              <w:t xml:space="preserve"> in English Public Universities</w:t>
            </w:r>
            <w:r>
              <w:rPr>
                <w:noProof/>
                <w:webHidden/>
              </w:rPr>
              <w:tab/>
              <w:t>6</w:t>
            </w:r>
            <w:r w:rsidR="00362C37">
              <w:rPr>
                <w:noProof/>
                <w:webHidden/>
              </w:rPr>
              <w:t>5</w:t>
            </w:r>
          </w:hyperlink>
        </w:p>
        <w:p w14:paraId="538AB8CE" w14:textId="5E534E04" w:rsidR="00F53C89" w:rsidRDefault="002715FD" w:rsidP="00F53C89">
          <w:pPr>
            <w:pStyle w:val="TOC2"/>
            <w:tabs>
              <w:tab w:val="right" w:leader="dot" w:pos="9016"/>
            </w:tabs>
            <w:rPr>
              <w:rFonts w:eastAsiaTheme="minorEastAsia"/>
              <w:noProof/>
              <w:sz w:val="24"/>
              <w:szCs w:val="24"/>
              <w:lang w:eastAsia="en-GB"/>
            </w:rPr>
          </w:pPr>
          <w:hyperlink w:anchor="_Toc237445095" w:history="1">
            <w:r>
              <w:rPr>
                <w:rStyle w:val="Hyperlink"/>
                <w:noProof/>
              </w:rPr>
              <w:t>Table D8. Limitations of the Literature-Derived SGM and Implications for Empirical Research</w:t>
            </w:r>
            <w:r>
              <w:rPr>
                <w:rStyle w:val="Hyperlink"/>
                <w:noProof/>
              </w:rPr>
              <w:tab/>
              <w:t>6</w:t>
            </w:r>
            <w:r w:rsidR="00362C37">
              <w:rPr>
                <w:rStyle w:val="Hyperlink"/>
                <w:noProof/>
              </w:rPr>
              <w:t>6</w:t>
            </w:r>
          </w:hyperlink>
        </w:p>
        <w:p w14:paraId="47C519DF" w14:textId="310AE869" w:rsidR="00BA36C3" w:rsidRDefault="00BA36C3">
          <w:pPr>
            <w:pStyle w:val="TOC1"/>
            <w:tabs>
              <w:tab w:val="right" w:leader="dot" w:pos="9016"/>
            </w:tabs>
            <w:rPr>
              <w:rFonts w:eastAsiaTheme="minorEastAsia"/>
              <w:noProof/>
              <w:sz w:val="24"/>
              <w:szCs w:val="24"/>
              <w:lang w:eastAsia="en-GB"/>
            </w:rPr>
          </w:pPr>
          <w:hyperlink w:anchor="_Toc237445098" w:history="1">
            <w:r w:rsidRPr="00554E06">
              <w:rPr>
                <w:rStyle w:val="Hyperlink"/>
                <w:noProof/>
              </w:rPr>
              <w:t xml:space="preserve">Appendix E: </w:t>
            </w:r>
            <w:r w:rsidR="0028539F">
              <w:rPr>
                <w:rStyle w:val="Hyperlink"/>
                <w:noProof/>
              </w:rPr>
              <w:t>DOI</w:t>
            </w:r>
            <w:r w:rsidRPr="00554E06">
              <w:rPr>
                <w:rStyle w:val="Hyperlink"/>
                <w:noProof/>
              </w:rPr>
              <w:t>-Referenced Literature and Relevance to the Study</w:t>
            </w:r>
            <w:r>
              <w:rPr>
                <w:noProof/>
                <w:webHidden/>
              </w:rPr>
              <w:tab/>
            </w:r>
            <w:r w:rsidR="00F53C89">
              <w:rPr>
                <w:noProof/>
                <w:webHidden/>
              </w:rPr>
              <w:t>6</w:t>
            </w:r>
            <w:r w:rsidR="00362C37">
              <w:rPr>
                <w:noProof/>
                <w:webHidden/>
              </w:rPr>
              <w:t>7</w:t>
            </w:r>
          </w:hyperlink>
        </w:p>
        <w:p w14:paraId="6F7E6B3B" w14:textId="5640A41C" w:rsidR="00BA36C3" w:rsidRDefault="00BA36C3">
          <w:pPr>
            <w:pStyle w:val="TOC2"/>
            <w:tabs>
              <w:tab w:val="right" w:leader="dot" w:pos="9016"/>
            </w:tabs>
            <w:rPr>
              <w:rFonts w:eastAsiaTheme="minorEastAsia"/>
              <w:noProof/>
              <w:sz w:val="24"/>
              <w:szCs w:val="24"/>
              <w:lang w:eastAsia="en-GB"/>
            </w:rPr>
          </w:pPr>
          <w:hyperlink w:anchor="_Toc237445099" w:history="1">
            <w:r w:rsidRPr="00554E06">
              <w:rPr>
                <w:rStyle w:val="Hyperlink"/>
                <w:noProof/>
              </w:rPr>
              <w:t xml:space="preserve">Table E1: Full References with </w:t>
            </w:r>
            <w:r w:rsidR="0028539F">
              <w:rPr>
                <w:rStyle w:val="Hyperlink"/>
                <w:noProof/>
              </w:rPr>
              <w:t>DOI</w:t>
            </w:r>
            <w:r w:rsidRPr="00554E06">
              <w:rPr>
                <w:rStyle w:val="Hyperlink"/>
                <w:noProof/>
              </w:rPr>
              <w:t>, Publication Year and Relevance to the Research</w:t>
            </w:r>
            <w:r>
              <w:rPr>
                <w:noProof/>
                <w:webHidden/>
              </w:rPr>
              <w:tab/>
            </w:r>
            <w:r w:rsidR="00F53C89">
              <w:rPr>
                <w:noProof/>
                <w:webHidden/>
              </w:rPr>
              <w:t>6</w:t>
            </w:r>
            <w:r w:rsidR="00362C37">
              <w:rPr>
                <w:noProof/>
                <w:webHidden/>
              </w:rPr>
              <w:t>8</w:t>
            </w:r>
          </w:hyperlink>
        </w:p>
        <w:p w14:paraId="5FE4B3DD" w14:textId="4884A61C" w:rsidR="00BA36C3" w:rsidRDefault="00BA36C3">
          <w:pPr>
            <w:pStyle w:val="TOC2"/>
            <w:tabs>
              <w:tab w:val="right" w:leader="dot" w:pos="9016"/>
            </w:tabs>
            <w:rPr>
              <w:rFonts w:eastAsiaTheme="minorEastAsia"/>
              <w:noProof/>
              <w:sz w:val="24"/>
              <w:szCs w:val="24"/>
              <w:lang w:eastAsia="en-GB"/>
            </w:rPr>
          </w:pPr>
          <w:hyperlink w:anchor="_Toc237445100" w:history="1">
            <w:r w:rsidRPr="00554E06">
              <w:rPr>
                <w:rStyle w:val="Hyperlink"/>
                <w:noProof/>
              </w:rPr>
              <w:t>Table E2. Academic References Excluded from the Final Evidence Synthesis and Reasons for Exclusion</w:t>
            </w:r>
            <w:r>
              <w:rPr>
                <w:noProof/>
                <w:webHidden/>
              </w:rPr>
              <w:tab/>
            </w:r>
            <w:r w:rsidR="00F53C89">
              <w:rPr>
                <w:noProof/>
                <w:webHidden/>
              </w:rPr>
              <w:t>7</w:t>
            </w:r>
            <w:r w:rsidR="00362C37">
              <w:rPr>
                <w:noProof/>
                <w:webHidden/>
              </w:rPr>
              <w:t>7</w:t>
            </w:r>
          </w:hyperlink>
        </w:p>
        <w:p w14:paraId="63D501D2" w14:textId="33C5F3B7" w:rsidR="00BA36C3" w:rsidRDefault="00BA36C3">
          <w:pPr>
            <w:pStyle w:val="TOC2"/>
            <w:tabs>
              <w:tab w:val="right" w:leader="dot" w:pos="9016"/>
            </w:tabs>
            <w:rPr>
              <w:rFonts w:eastAsiaTheme="minorEastAsia"/>
              <w:noProof/>
              <w:sz w:val="24"/>
              <w:szCs w:val="24"/>
              <w:lang w:eastAsia="en-GB"/>
            </w:rPr>
          </w:pPr>
          <w:hyperlink w:anchor="_Toc237445101" w:history="1">
            <w:r w:rsidRPr="00554E06">
              <w:rPr>
                <w:rStyle w:val="Hyperlink"/>
                <w:noProof/>
              </w:rPr>
              <w:t>Table E3. Exclusion Criteria Applied to Academic References</w:t>
            </w:r>
            <w:r>
              <w:rPr>
                <w:noProof/>
                <w:webHidden/>
              </w:rPr>
              <w:tab/>
            </w:r>
            <w:r w:rsidR="00F53C89">
              <w:rPr>
                <w:noProof/>
                <w:webHidden/>
              </w:rPr>
              <w:t>7</w:t>
            </w:r>
            <w:r w:rsidR="00362C37">
              <w:rPr>
                <w:noProof/>
                <w:webHidden/>
              </w:rPr>
              <w:t>8</w:t>
            </w:r>
          </w:hyperlink>
        </w:p>
        <w:p w14:paraId="7DB3BBA3" w14:textId="43EDFD25" w:rsidR="00BA36C3" w:rsidRDefault="00BA36C3">
          <w:pPr>
            <w:pStyle w:val="TOC2"/>
            <w:tabs>
              <w:tab w:val="right" w:leader="dot" w:pos="9016"/>
            </w:tabs>
            <w:rPr>
              <w:rFonts w:eastAsiaTheme="minorEastAsia"/>
              <w:noProof/>
              <w:sz w:val="24"/>
              <w:szCs w:val="24"/>
              <w:lang w:eastAsia="en-GB"/>
            </w:rPr>
          </w:pPr>
          <w:hyperlink w:anchor="_Toc237445102" w:history="1">
            <w:r w:rsidRPr="00554E06">
              <w:rPr>
                <w:rStyle w:val="Hyperlink"/>
                <w:noProof/>
              </w:rPr>
              <w:t>Table E4. Thematic Coding Matrix for the 137 Included Studies</w:t>
            </w:r>
            <w:r>
              <w:rPr>
                <w:noProof/>
                <w:webHidden/>
              </w:rPr>
              <w:tab/>
            </w:r>
            <w:r w:rsidR="00362C37">
              <w:rPr>
                <w:noProof/>
                <w:webHidden/>
              </w:rPr>
              <w:t>79</w:t>
            </w:r>
          </w:hyperlink>
        </w:p>
        <w:p w14:paraId="6E6436D9" w14:textId="01D34953" w:rsidR="00BA36C3" w:rsidRDefault="00BA36C3">
          <w:r>
            <w:rPr>
              <w:b/>
              <w:bCs/>
            </w:rPr>
            <w:fldChar w:fldCharType="end"/>
          </w:r>
        </w:p>
      </w:sdtContent>
    </w:sdt>
    <w:p w14:paraId="14B1549D" w14:textId="77777777" w:rsidR="00BA36C3" w:rsidRDefault="00BA36C3" w:rsidP="00A81311">
      <w:pPr>
        <w:rPr>
          <w:color w:val="D5BF19"/>
          <w:sz w:val="40"/>
          <w:szCs w:val="40"/>
          <w14:shadow w14:blurRad="114300" w14:dist="0" w14:dir="0" w14:sx="0" w14:sy="0" w14:kx="0" w14:ky="0" w14:algn="none">
            <w14:srgbClr w14:val="000000"/>
          </w14:shadow>
        </w:rPr>
      </w:pPr>
    </w:p>
    <w:p w14:paraId="6CE1C8D5" w14:textId="77777777" w:rsidR="00F53C89" w:rsidRDefault="00F53C89" w:rsidP="00A81311">
      <w:pPr>
        <w:rPr>
          <w:color w:val="D5BF19"/>
          <w:sz w:val="40"/>
          <w:szCs w:val="40"/>
          <w14:shadow w14:blurRad="114300" w14:dist="0" w14:dir="0" w14:sx="0" w14:sy="0" w14:kx="0" w14:ky="0" w14:algn="none">
            <w14:srgbClr w14:val="000000"/>
          </w14:shadow>
        </w:rPr>
      </w:pPr>
    </w:p>
    <w:p w14:paraId="5EC3C8E3" w14:textId="4F910706" w:rsidR="00883FA4" w:rsidRDefault="00883FA4" w:rsidP="00DC60A6">
      <w:pPr>
        <w:pStyle w:val="Heading1"/>
      </w:pPr>
      <w:bookmarkStart w:id="4" w:name="_Toc237383370"/>
      <w:bookmarkStart w:id="5" w:name="_Toc237384205"/>
      <w:bookmarkStart w:id="6" w:name="_Toc237384925"/>
      <w:bookmarkStart w:id="7" w:name="_Toc237444947"/>
      <w:r>
        <w:lastRenderedPageBreak/>
        <w:t>List of Tables</w:t>
      </w:r>
      <w:bookmarkEnd w:id="4"/>
      <w:bookmarkEnd w:id="5"/>
      <w:bookmarkEnd w:id="6"/>
      <w:bookmarkEnd w:id="7"/>
    </w:p>
    <w:p w14:paraId="3E116AED" w14:textId="77777777" w:rsidR="00883FA4" w:rsidRDefault="00883FA4" w:rsidP="00883FA4"/>
    <w:p w14:paraId="23F1D734" w14:textId="77777777" w:rsidR="00387D47" w:rsidRPr="00C13270" w:rsidRDefault="00387D47" w:rsidP="00387D47">
      <w:pPr>
        <w:tabs>
          <w:tab w:val="right" w:leader="dot" w:pos="9360"/>
        </w:tabs>
        <w:spacing w:after="100"/>
      </w:pPr>
      <w:r w:rsidRPr="00C13270">
        <w:rPr>
          <w:rFonts w:ascii="Arial" w:hAnsi="Arial"/>
        </w:rPr>
        <w:t>Table A1. Potential Research Biases and Mitigation Strategies for Proposed Study</w:t>
      </w:r>
      <w:r w:rsidRPr="00C13270">
        <w:rPr>
          <w:rFonts w:ascii="Arial" w:hAnsi="Arial"/>
        </w:rPr>
        <w:tab/>
        <w:t>48</w:t>
      </w:r>
    </w:p>
    <w:p w14:paraId="0FD9AF79" w14:textId="77777777" w:rsidR="00387D47" w:rsidRPr="00C13270" w:rsidRDefault="00387D47" w:rsidP="00387D47">
      <w:pPr>
        <w:tabs>
          <w:tab w:val="right" w:leader="dot" w:pos="9360"/>
        </w:tabs>
        <w:spacing w:after="100"/>
      </w:pPr>
      <w:r w:rsidRPr="00C13270">
        <w:rPr>
          <w:rFonts w:ascii="Arial" w:hAnsi="Arial"/>
        </w:rPr>
        <w:t>Table A2. Synthesis of Key Literature Themes and Research Gaps</w:t>
      </w:r>
      <w:r w:rsidRPr="00C13270">
        <w:rPr>
          <w:rFonts w:ascii="Arial" w:hAnsi="Arial"/>
        </w:rPr>
        <w:tab/>
        <w:t>51</w:t>
      </w:r>
    </w:p>
    <w:p w14:paraId="2D2D76AC" w14:textId="77777777" w:rsidR="00387D47" w:rsidRPr="00C13270" w:rsidRDefault="00387D47" w:rsidP="00387D47">
      <w:pPr>
        <w:tabs>
          <w:tab w:val="right" w:leader="dot" w:pos="9360"/>
        </w:tabs>
        <w:spacing w:after="100"/>
      </w:pPr>
      <w:r w:rsidRPr="00C13270">
        <w:rPr>
          <w:rFonts w:ascii="Arial" w:hAnsi="Arial"/>
        </w:rPr>
        <w:t>Table B1. Philosophical and Methodological Positioning of the Research</w:t>
      </w:r>
      <w:r w:rsidRPr="00C13270">
        <w:rPr>
          <w:rFonts w:ascii="Arial" w:hAnsi="Arial"/>
        </w:rPr>
        <w:tab/>
        <w:t>52</w:t>
      </w:r>
    </w:p>
    <w:p w14:paraId="442E636D" w14:textId="77777777" w:rsidR="00387D47" w:rsidRPr="00C13270" w:rsidRDefault="00387D47" w:rsidP="00387D47">
      <w:pPr>
        <w:tabs>
          <w:tab w:val="right" w:leader="dot" w:pos="9360"/>
        </w:tabs>
        <w:spacing w:after="100"/>
      </w:pPr>
      <w:r w:rsidRPr="00C13270">
        <w:rPr>
          <w:rFonts w:ascii="Arial" w:hAnsi="Arial"/>
        </w:rPr>
        <w:t>Table B2. Philosophical Comparison of AI Governance Research</w:t>
      </w:r>
      <w:r w:rsidRPr="00C13270">
        <w:rPr>
          <w:rFonts w:ascii="Arial" w:hAnsi="Arial"/>
        </w:rPr>
        <w:tab/>
        <w:t>53</w:t>
      </w:r>
    </w:p>
    <w:p w14:paraId="42A91641" w14:textId="77777777" w:rsidR="00387D47" w:rsidRPr="00C13270" w:rsidRDefault="00387D47" w:rsidP="00387D47">
      <w:pPr>
        <w:tabs>
          <w:tab w:val="right" w:leader="dot" w:pos="9360"/>
        </w:tabs>
        <w:spacing w:after="100"/>
      </w:pPr>
      <w:r w:rsidRPr="00C13270">
        <w:rPr>
          <w:rFonts w:ascii="Arial" w:hAnsi="Arial"/>
        </w:rPr>
        <w:t>Table C1. Academic Information Sources Used in the Systematic Literature Search</w:t>
      </w:r>
      <w:r w:rsidRPr="00C13270">
        <w:rPr>
          <w:rFonts w:ascii="Arial" w:hAnsi="Arial"/>
        </w:rPr>
        <w:tab/>
        <w:t>54</w:t>
      </w:r>
    </w:p>
    <w:p w14:paraId="6BC7844B" w14:textId="77777777" w:rsidR="00387D47" w:rsidRPr="00C13270" w:rsidRDefault="00387D47" w:rsidP="00387D47">
      <w:pPr>
        <w:tabs>
          <w:tab w:val="right" w:leader="dot" w:pos="9360"/>
        </w:tabs>
        <w:spacing w:after="100"/>
      </w:pPr>
      <w:r w:rsidRPr="00C13270">
        <w:rPr>
          <w:rFonts w:ascii="Arial" w:hAnsi="Arial"/>
        </w:rPr>
        <w:t>Table C2. Search Strategy and Boolean Search Terms</w:t>
      </w:r>
      <w:r w:rsidRPr="00C13270">
        <w:rPr>
          <w:rFonts w:ascii="Arial" w:hAnsi="Arial"/>
        </w:rPr>
        <w:tab/>
        <w:t>54</w:t>
      </w:r>
    </w:p>
    <w:p w14:paraId="602B126D" w14:textId="77777777" w:rsidR="00387D47" w:rsidRPr="00C13270" w:rsidRDefault="00387D47" w:rsidP="00387D47">
      <w:pPr>
        <w:tabs>
          <w:tab w:val="right" w:leader="dot" w:pos="9360"/>
        </w:tabs>
        <w:spacing w:after="100"/>
      </w:pPr>
      <w:r w:rsidRPr="00C13270">
        <w:rPr>
          <w:rFonts w:ascii="Arial" w:hAnsi="Arial"/>
        </w:rPr>
        <w:t>Table C3. Combined Boolean String Used in the Systematic Literature Review</w:t>
      </w:r>
      <w:r w:rsidRPr="00C13270">
        <w:rPr>
          <w:rFonts w:ascii="Arial" w:hAnsi="Arial"/>
        </w:rPr>
        <w:tab/>
        <w:t>55</w:t>
      </w:r>
    </w:p>
    <w:p w14:paraId="6F6ED010" w14:textId="77777777" w:rsidR="00387D47" w:rsidRPr="00C13270" w:rsidRDefault="00387D47" w:rsidP="00387D47">
      <w:pPr>
        <w:tabs>
          <w:tab w:val="right" w:leader="dot" w:pos="9360"/>
        </w:tabs>
        <w:spacing w:after="100"/>
      </w:pPr>
      <w:r w:rsidRPr="00C13270">
        <w:rPr>
          <w:rFonts w:ascii="Arial" w:hAnsi="Arial"/>
        </w:rPr>
        <w:t>Table C4. Inclusion and Exclusion Criteria for the Systematic Literature Review</w:t>
      </w:r>
      <w:r w:rsidRPr="00C13270">
        <w:rPr>
          <w:rFonts w:ascii="Arial" w:hAnsi="Arial"/>
        </w:rPr>
        <w:tab/>
        <w:t>55</w:t>
      </w:r>
    </w:p>
    <w:p w14:paraId="0930E84E" w14:textId="77777777" w:rsidR="00387D47" w:rsidRPr="00C13270" w:rsidRDefault="00387D47" w:rsidP="00387D47">
      <w:pPr>
        <w:tabs>
          <w:tab w:val="right" w:leader="dot" w:pos="9360"/>
        </w:tabs>
        <w:spacing w:after="100"/>
      </w:pPr>
      <w:r w:rsidRPr="00C13270">
        <w:rPr>
          <w:rFonts w:ascii="Arial" w:hAnsi="Arial"/>
        </w:rPr>
        <w:t>Table C5. Study Identification, Screening and Selection Process</w:t>
      </w:r>
      <w:r w:rsidRPr="00C13270">
        <w:rPr>
          <w:rFonts w:ascii="Arial" w:hAnsi="Arial"/>
        </w:rPr>
        <w:tab/>
        <w:t>56</w:t>
      </w:r>
    </w:p>
    <w:p w14:paraId="344CC0CB" w14:textId="77777777" w:rsidR="00387D47" w:rsidRPr="00C13270" w:rsidRDefault="00387D47" w:rsidP="00387D47">
      <w:pPr>
        <w:tabs>
          <w:tab w:val="right" w:leader="dot" w:pos="9360"/>
        </w:tabs>
        <w:spacing w:after="100"/>
      </w:pPr>
      <w:r w:rsidRPr="00C13270">
        <w:rPr>
          <w:rFonts w:ascii="Arial" w:hAnsi="Arial"/>
        </w:rPr>
        <w:t>Table C6. Quality Appraisal Criteria for Included Evidence and Policy Documents</w:t>
      </w:r>
      <w:r w:rsidRPr="00C13270">
        <w:rPr>
          <w:rFonts w:ascii="Arial" w:hAnsi="Arial"/>
        </w:rPr>
        <w:tab/>
        <w:t>56</w:t>
      </w:r>
    </w:p>
    <w:p w14:paraId="7F8CF805" w14:textId="4EAF018C" w:rsidR="00387D47" w:rsidRPr="00C13270" w:rsidRDefault="00387D47" w:rsidP="00387D47">
      <w:pPr>
        <w:tabs>
          <w:tab w:val="right" w:leader="dot" w:pos="9360"/>
        </w:tabs>
        <w:spacing w:after="100"/>
      </w:pPr>
      <w:r w:rsidRPr="00C13270">
        <w:rPr>
          <w:rFonts w:ascii="Arial" w:hAnsi="Arial"/>
        </w:rPr>
        <w:t xml:space="preserve">Table C7. Comparative Overview of AI Governance Frameworks Relevant to </w:t>
      </w:r>
      <w:r w:rsidR="00080690">
        <w:rPr>
          <w:rFonts w:ascii="Arial" w:hAnsi="Arial"/>
        </w:rPr>
        <w:t>HE</w:t>
      </w:r>
      <w:r w:rsidRPr="00C13270">
        <w:rPr>
          <w:rFonts w:ascii="Arial" w:hAnsi="Arial"/>
        </w:rPr>
        <w:tab/>
        <w:t>57</w:t>
      </w:r>
    </w:p>
    <w:p w14:paraId="5E13D492" w14:textId="2ADB35D3" w:rsidR="00387D47" w:rsidRPr="00C13270" w:rsidRDefault="00387D47" w:rsidP="00387D47">
      <w:pPr>
        <w:tabs>
          <w:tab w:val="right" w:leader="dot" w:pos="9360"/>
        </w:tabs>
        <w:spacing w:after="100"/>
      </w:pPr>
      <w:r w:rsidRPr="00C13270">
        <w:rPr>
          <w:rFonts w:ascii="Arial" w:hAnsi="Arial"/>
        </w:rPr>
        <w:t xml:space="preserve">Table C8. Alignment of Research Question, Objectives, Literature Themes and SGM </w:t>
      </w:r>
      <w:r w:rsidRPr="00C13270">
        <w:rPr>
          <w:rFonts w:ascii="Arial" w:hAnsi="Arial"/>
        </w:rPr>
        <w:tab/>
        <w:t>57</w:t>
      </w:r>
    </w:p>
    <w:p w14:paraId="39CECF83" w14:textId="6361EF4F" w:rsidR="00387D47" w:rsidRPr="00C13270" w:rsidRDefault="00387D47" w:rsidP="00387D47">
      <w:pPr>
        <w:tabs>
          <w:tab w:val="right" w:leader="dot" w:pos="9360"/>
        </w:tabs>
        <w:spacing w:after="100"/>
      </w:pPr>
      <w:r w:rsidRPr="00C13270">
        <w:rPr>
          <w:rFonts w:ascii="Arial" w:hAnsi="Arial"/>
        </w:rPr>
        <w:t>Table D1. Developing a Strategic Governance Model for Ethical AI Implementation</w:t>
      </w:r>
      <w:r w:rsidRPr="00C13270">
        <w:rPr>
          <w:rFonts w:ascii="Arial" w:hAnsi="Arial"/>
        </w:rPr>
        <w:tab/>
      </w:r>
      <w:r w:rsidR="00775B2C">
        <w:rPr>
          <w:rFonts w:ascii="Arial" w:hAnsi="Arial"/>
        </w:rPr>
        <w:t>59</w:t>
      </w:r>
    </w:p>
    <w:p w14:paraId="4DFBB2B3" w14:textId="44A533D2" w:rsidR="00387D47" w:rsidRPr="00C13270" w:rsidRDefault="00387D47" w:rsidP="00387D47">
      <w:pPr>
        <w:tabs>
          <w:tab w:val="right" w:leader="dot" w:pos="9360"/>
        </w:tabs>
        <w:spacing w:after="100"/>
      </w:pPr>
      <w:r w:rsidRPr="00C13270">
        <w:rPr>
          <w:rFonts w:ascii="Arial" w:hAnsi="Arial"/>
        </w:rPr>
        <w:t>Table D2. Theoretical Foundations of the Proposed S</w:t>
      </w:r>
      <w:r w:rsidR="00596E5E">
        <w:rPr>
          <w:rFonts w:ascii="Arial" w:hAnsi="Arial"/>
        </w:rPr>
        <w:t>GM</w:t>
      </w:r>
      <w:r w:rsidRPr="00C13270">
        <w:rPr>
          <w:rFonts w:ascii="Arial" w:hAnsi="Arial"/>
        </w:rPr>
        <w:tab/>
        <w:t>6</w:t>
      </w:r>
      <w:r w:rsidR="00775B2C">
        <w:rPr>
          <w:rFonts w:ascii="Arial" w:hAnsi="Arial"/>
        </w:rPr>
        <w:t>0</w:t>
      </w:r>
    </w:p>
    <w:p w14:paraId="4C035C43" w14:textId="7769977C" w:rsidR="00387D47" w:rsidRDefault="00387D47" w:rsidP="00387D47">
      <w:pPr>
        <w:tabs>
          <w:tab w:val="right" w:leader="dot" w:pos="9360"/>
        </w:tabs>
        <w:spacing w:after="100"/>
        <w:rPr>
          <w:rFonts w:ascii="Arial" w:hAnsi="Arial"/>
        </w:rPr>
      </w:pPr>
      <w:r w:rsidRPr="00C13270">
        <w:rPr>
          <w:rFonts w:ascii="Arial" w:hAnsi="Arial"/>
        </w:rPr>
        <w:t>Table D3. Evidence Base and Function of the Proposed S</w:t>
      </w:r>
      <w:r w:rsidR="00596E5E">
        <w:rPr>
          <w:rFonts w:ascii="Arial" w:hAnsi="Arial"/>
        </w:rPr>
        <w:t>GM</w:t>
      </w:r>
      <w:r w:rsidRPr="00C13270">
        <w:rPr>
          <w:rFonts w:ascii="Arial" w:hAnsi="Arial"/>
        </w:rPr>
        <w:tab/>
        <w:t>6</w:t>
      </w:r>
      <w:r w:rsidR="00C00F2D">
        <w:rPr>
          <w:rFonts w:ascii="Arial" w:hAnsi="Arial"/>
        </w:rPr>
        <w:t>2</w:t>
      </w:r>
    </w:p>
    <w:p w14:paraId="42735D26" w14:textId="2AA10177" w:rsidR="00F21A9E" w:rsidRDefault="00F21A9E" w:rsidP="00F21A9E">
      <w:pPr>
        <w:tabs>
          <w:tab w:val="right" w:leader="dot" w:pos="9360"/>
        </w:tabs>
        <w:spacing w:after="100"/>
        <w:rPr>
          <w:rFonts w:ascii="Arial" w:hAnsi="Arial"/>
        </w:rPr>
      </w:pPr>
      <w:r w:rsidRPr="00C13270">
        <w:rPr>
          <w:rFonts w:ascii="Arial" w:hAnsi="Arial"/>
        </w:rPr>
        <w:t>Table D</w:t>
      </w:r>
      <w:r>
        <w:rPr>
          <w:rFonts w:ascii="Arial" w:hAnsi="Arial"/>
        </w:rPr>
        <w:t>4</w:t>
      </w:r>
      <w:r w:rsidRPr="00C13270">
        <w:rPr>
          <w:rFonts w:ascii="Arial" w:hAnsi="Arial"/>
        </w:rPr>
        <w:t xml:space="preserve">. </w:t>
      </w:r>
      <w:r w:rsidR="00C00F2D">
        <w:rPr>
          <w:rFonts w:ascii="Arial" w:hAnsi="Arial"/>
        </w:rPr>
        <w:t>Development of the Theoretical Contribution of the S</w:t>
      </w:r>
      <w:r w:rsidR="00596E5E">
        <w:rPr>
          <w:rFonts w:ascii="Arial" w:hAnsi="Arial"/>
        </w:rPr>
        <w:t>GM………………………….</w:t>
      </w:r>
      <w:r w:rsidRPr="00C13270">
        <w:rPr>
          <w:rFonts w:ascii="Arial" w:hAnsi="Arial"/>
        </w:rPr>
        <w:t>63</w:t>
      </w:r>
    </w:p>
    <w:p w14:paraId="41060ACB" w14:textId="22B20127" w:rsidR="00EF102E" w:rsidRDefault="00F21A9E" w:rsidP="00387D47">
      <w:pPr>
        <w:tabs>
          <w:tab w:val="right" w:leader="dot" w:pos="9360"/>
        </w:tabs>
        <w:spacing w:after="100"/>
        <w:rPr>
          <w:rFonts w:ascii="Arial" w:hAnsi="Arial"/>
        </w:rPr>
      </w:pPr>
      <w:r w:rsidRPr="00C13270">
        <w:rPr>
          <w:rFonts w:ascii="Arial" w:hAnsi="Arial"/>
        </w:rPr>
        <w:t>Table D</w:t>
      </w:r>
      <w:r>
        <w:rPr>
          <w:rFonts w:ascii="Arial" w:hAnsi="Arial"/>
        </w:rPr>
        <w:t>5</w:t>
      </w:r>
      <w:r w:rsidRPr="00C13270">
        <w:rPr>
          <w:rFonts w:ascii="Arial" w:hAnsi="Arial"/>
        </w:rPr>
        <w:t xml:space="preserve">. </w:t>
      </w:r>
      <w:r w:rsidR="00362C37">
        <w:rPr>
          <w:rFonts w:ascii="Arial" w:hAnsi="Arial"/>
        </w:rPr>
        <w:t>Analytical logic linking literature findings to the SGM</w:t>
      </w:r>
      <w:r w:rsidRPr="00C13270">
        <w:rPr>
          <w:rFonts w:ascii="Arial" w:hAnsi="Arial"/>
        </w:rPr>
        <w:tab/>
        <w:t>6</w:t>
      </w:r>
      <w:r>
        <w:rPr>
          <w:rFonts w:ascii="Arial" w:hAnsi="Arial"/>
        </w:rPr>
        <w:t>4</w:t>
      </w:r>
    </w:p>
    <w:p w14:paraId="28DFDBB8" w14:textId="2CAEFFD3" w:rsidR="00CF787E" w:rsidRPr="00C13270" w:rsidRDefault="00CF787E" w:rsidP="00CF787E">
      <w:pPr>
        <w:tabs>
          <w:tab w:val="right" w:leader="dot" w:pos="9360"/>
        </w:tabs>
        <w:spacing w:after="100"/>
      </w:pPr>
      <w:r w:rsidRPr="00C13270">
        <w:rPr>
          <w:rFonts w:ascii="Arial" w:hAnsi="Arial"/>
        </w:rPr>
        <w:t>Table D</w:t>
      </w:r>
      <w:r>
        <w:rPr>
          <w:rFonts w:ascii="Arial" w:hAnsi="Arial"/>
        </w:rPr>
        <w:t>6</w:t>
      </w:r>
      <w:r w:rsidRPr="00C13270">
        <w:rPr>
          <w:rFonts w:ascii="Arial" w:hAnsi="Arial"/>
        </w:rPr>
        <w:t xml:space="preserve">. </w:t>
      </w:r>
      <w:r w:rsidR="00F724D7">
        <w:rPr>
          <w:rFonts w:ascii="Arial" w:hAnsi="Arial"/>
        </w:rPr>
        <w:t xml:space="preserve">Interactions of the five </w:t>
      </w:r>
      <w:r w:rsidR="006139D0">
        <w:rPr>
          <w:rFonts w:ascii="Arial" w:hAnsi="Arial"/>
        </w:rPr>
        <w:t xml:space="preserve">SGM </w:t>
      </w:r>
      <w:r w:rsidR="00F724D7">
        <w:rPr>
          <w:rFonts w:ascii="Arial" w:hAnsi="Arial"/>
        </w:rPr>
        <w:t>pillars</w:t>
      </w:r>
      <w:r w:rsidR="006139D0">
        <w:rPr>
          <w:rFonts w:ascii="Arial" w:hAnsi="Arial"/>
        </w:rPr>
        <w:t>……………………………………………………</w:t>
      </w:r>
      <w:r w:rsidR="00832D9F">
        <w:rPr>
          <w:rFonts w:ascii="Arial" w:hAnsi="Arial"/>
        </w:rPr>
        <w:t>65</w:t>
      </w:r>
    </w:p>
    <w:p w14:paraId="39563C80" w14:textId="3D90916C" w:rsidR="00CF787E" w:rsidRPr="00C13270" w:rsidRDefault="00CF787E" w:rsidP="00CF787E">
      <w:pPr>
        <w:tabs>
          <w:tab w:val="right" w:leader="dot" w:pos="9360"/>
        </w:tabs>
        <w:spacing w:after="100"/>
      </w:pPr>
      <w:r w:rsidRPr="00C13270">
        <w:rPr>
          <w:rFonts w:ascii="Arial" w:hAnsi="Arial"/>
        </w:rPr>
        <w:t>Table D</w:t>
      </w:r>
      <w:r>
        <w:rPr>
          <w:rFonts w:ascii="Arial" w:hAnsi="Arial"/>
        </w:rPr>
        <w:t>7</w:t>
      </w:r>
      <w:r w:rsidRPr="00C13270">
        <w:rPr>
          <w:rFonts w:ascii="Arial" w:hAnsi="Arial"/>
        </w:rPr>
        <w:t xml:space="preserve">. </w:t>
      </w:r>
      <w:r w:rsidR="00F724D7">
        <w:rPr>
          <w:rFonts w:ascii="Arial" w:hAnsi="Arial"/>
        </w:rPr>
        <w:t>Practical application of the SGM in English public universities</w:t>
      </w:r>
      <w:r w:rsidRPr="00C13270">
        <w:rPr>
          <w:rFonts w:ascii="Arial" w:hAnsi="Arial"/>
        </w:rPr>
        <w:tab/>
      </w:r>
      <w:r w:rsidR="00832D9F">
        <w:rPr>
          <w:rFonts w:ascii="Arial" w:hAnsi="Arial"/>
        </w:rPr>
        <w:t>66</w:t>
      </w:r>
    </w:p>
    <w:p w14:paraId="41737C77" w14:textId="300481D4" w:rsidR="00CF787E" w:rsidRPr="00CF787E" w:rsidRDefault="00CF787E" w:rsidP="00387D47">
      <w:pPr>
        <w:tabs>
          <w:tab w:val="right" w:leader="dot" w:pos="9360"/>
        </w:tabs>
        <w:spacing w:after="100"/>
      </w:pPr>
      <w:r w:rsidRPr="00C13270">
        <w:rPr>
          <w:rFonts w:ascii="Arial" w:hAnsi="Arial"/>
        </w:rPr>
        <w:t>Table D</w:t>
      </w:r>
      <w:r>
        <w:rPr>
          <w:rFonts w:ascii="Arial" w:hAnsi="Arial"/>
        </w:rPr>
        <w:t>8</w:t>
      </w:r>
      <w:r w:rsidRPr="00C13270">
        <w:rPr>
          <w:rFonts w:ascii="Arial" w:hAnsi="Arial"/>
        </w:rPr>
        <w:t xml:space="preserve">. </w:t>
      </w:r>
      <w:r w:rsidR="00DC3E7E">
        <w:rPr>
          <w:rFonts w:ascii="Arial" w:hAnsi="Arial"/>
        </w:rPr>
        <w:t xml:space="preserve">Limitations of the literature-derived SGM </w:t>
      </w:r>
      <w:r w:rsidR="00B64881">
        <w:rPr>
          <w:rFonts w:ascii="Arial" w:hAnsi="Arial"/>
        </w:rPr>
        <w:t>&amp;</w:t>
      </w:r>
      <w:r w:rsidR="00DC3E7E">
        <w:rPr>
          <w:rFonts w:ascii="Arial" w:hAnsi="Arial"/>
        </w:rPr>
        <w:t xml:space="preserve"> implications for empirical research</w:t>
      </w:r>
      <w:r w:rsidR="00B64881">
        <w:rPr>
          <w:rFonts w:ascii="Arial" w:hAnsi="Arial"/>
        </w:rPr>
        <w:t>…</w:t>
      </w:r>
      <w:r w:rsidR="00832D9F">
        <w:rPr>
          <w:rFonts w:ascii="Arial" w:hAnsi="Arial"/>
        </w:rPr>
        <w:t>67</w:t>
      </w:r>
    </w:p>
    <w:p w14:paraId="37F74B02" w14:textId="65110167" w:rsidR="00387D47" w:rsidRPr="00C13270" w:rsidRDefault="00387D47" w:rsidP="00387D47">
      <w:pPr>
        <w:tabs>
          <w:tab w:val="right" w:leader="dot" w:pos="9360"/>
        </w:tabs>
        <w:spacing w:after="100"/>
      </w:pPr>
      <w:r w:rsidRPr="00C13270">
        <w:rPr>
          <w:rFonts w:ascii="Arial" w:hAnsi="Arial"/>
        </w:rPr>
        <w:t xml:space="preserve">Table E1. Full References with </w:t>
      </w:r>
      <w:r w:rsidR="0028539F">
        <w:rPr>
          <w:rFonts w:ascii="Arial" w:hAnsi="Arial"/>
        </w:rPr>
        <w:t>DOI</w:t>
      </w:r>
      <w:r w:rsidRPr="00C13270">
        <w:rPr>
          <w:rFonts w:ascii="Arial" w:hAnsi="Arial"/>
        </w:rPr>
        <w:t>, Publication Year and Relevance to the Research</w:t>
      </w:r>
      <w:r w:rsidRPr="00C13270">
        <w:rPr>
          <w:rFonts w:ascii="Arial" w:hAnsi="Arial"/>
        </w:rPr>
        <w:tab/>
      </w:r>
      <w:r w:rsidR="00832D9F">
        <w:rPr>
          <w:rFonts w:ascii="Arial" w:hAnsi="Arial"/>
        </w:rPr>
        <w:t>68</w:t>
      </w:r>
    </w:p>
    <w:p w14:paraId="25056F4F" w14:textId="3CCA6ECA" w:rsidR="00387D47" w:rsidRPr="00C13270" w:rsidRDefault="00387D47" w:rsidP="00387D47">
      <w:pPr>
        <w:tabs>
          <w:tab w:val="right" w:leader="dot" w:pos="9360"/>
        </w:tabs>
        <w:spacing w:after="100"/>
      </w:pPr>
      <w:r w:rsidRPr="00C13270">
        <w:rPr>
          <w:rFonts w:ascii="Arial" w:hAnsi="Arial"/>
        </w:rPr>
        <w:t>Table E2. Academic References Excluded from the Final Evidence Synthesis</w:t>
      </w:r>
      <w:r w:rsidR="00C15503">
        <w:rPr>
          <w:rFonts w:ascii="Arial" w:hAnsi="Arial"/>
        </w:rPr>
        <w:t>……………...</w:t>
      </w:r>
      <w:r w:rsidRPr="00C13270">
        <w:rPr>
          <w:rFonts w:ascii="Arial" w:hAnsi="Arial"/>
        </w:rPr>
        <w:t>7</w:t>
      </w:r>
      <w:r w:rsidR="00832D9F">
        <w:rPr>
          <w:rFonts w:ascii="Arial" w:hAnsi="Arial"/>
        </w:rPr>
        <w:t>8</w:t>
      </w:r>
    </w:p>
    <w:p w14:paraId="5C8BEC89" w14:textId="5042A047" w:rsidR="00387D47" w:rsidRPr="00C13270" w:rsidRDefault="00387D47" w:rsidP="00387D47">
      <w:pPr>
        <w:tabs>
          <w:tab w:val="right" w:leader="dot" w:pos="9360"/>
        </w:tabs>
        <w:spacing w:after="100"/>
      </w:pPr>
      <w:r w:rsidRPr="00C13270">
        <w:rPr>
          <w:rFonts w:ascii="Arial" w:hAnsi="Arial"/>
        </w:rPr>
        <w:t>Table E3. Exclusion Criteria Applied to Academic References</w:t>
      </w:r>
      <w:r w:rsidRPr="00C13270">
        <w:rPr>
          <w:rFonts w:ascii="Arial" w:hAnsi="Arial"/>
        </w:rPr>
        <w:tab/>
        <w:t>7</w:t>
      </w:r>
      <w:r w:rsidR="00832D9F">
        <w:rPr>
          <w:rFonts w:ascii="Arial" w:hAnsi="Arial"/>
        </w:rPr>
        <w:t>9</w:t>
      </w:r>
    </w:p>
    <w:p w14:paraId="7EFE1E81" w14:textId="19323DC7" w:rsidR="00387D47" w:rsidRPr="00C13270" w:rsidRDefault="00387D47" w:rsidP="00387D47">
      <w:pPr>
        <w:tabs>
          <w:tab w:val="right" w:leader="dot" w:pos="9360"/>
        </w:tabs>
        <w:spacing w:after="100"/>
      </w:pPr>
      <w:r w:rsidRPr="00C13270">
        <w:rPr>
          <w:rFonts w:ascii="Arial" w:hAnsi="Arial"/>
        </w:rPr>
        <w:t>Table E4. Thematic Coding Matrix for the 137 Included Studies</w:t>
      </w:r>
      <w:r w:rsidRPr="00C13270">
        <w:rPr>
          <w:rFonts w:ascii="Arial" w:hAnsi="Arial"/>
        </w:rPr>
        <w:tab/>
      </w:r>
      <w:r w:rsidR="00832D9F">
        <w:rPr>
          <w:rFonts w:ascii="Arial" w:hAnsi="Arial"/>
        </w:rPr>
        <w:t>80</w:t>
      </w:r>
    </w:p>
    <w:p w14:paraId="0087FBA3" w14:textId="77777777" w:rsidR="00F2639C" w:rsidRDefault="00F2639C" w:rsidP="00DC60A6">
      <w:pPr>
        <w:pStyle w:val="Heading1"/>
      </w:pPr>
      <w:bookmarkStart w:id="8" w:name="_Toc237383371"/>
      <w:bookmarkStart w:id="9" w:name="_Toc237384206"/>
      <w:bookmarkStart w:id="10" w:name="_Toc237384926"/>
      <w:bookmarkStart w:id="11" w:name="_Toc237444948"/>
    </w:p>
    <w:p w14:paraId="1B30E77A" w14:textId="01825874" w:rsidR="00883FA4" w:rsidRDefault="00883FA4" w:rsidP="00DC60A6">
      <w:pPr>
        <w:pStyle w:val="Heading1"/>
      </w:pPr>
      <w:r>
        <w:t>List of Figures</w:t>
      </w:r>
      <w:bookmarkEnd w:id="8"/>
      <w:bookmarkEnd w:id="9"/>
      <w:bookmarkEnd w:id="10"/>
      <w:bookmarkEnd w:id="11"/>
    </w:p>
    <w:p w14:paraId="28A7858A" w14:textId="77777777" w:rsidR="004608B5" w:rsidRPr="004608B5" w:rsidRDefault="004608B5" w:rsidP="004608B5"/>
    <w:p w14:paraId="375D1DAE" w14:textId="24A15B30" w:rsidR="004608B5" w:rsidRPr="000E0DB2" w:rsidRDefault="004608B5" w:rsidP="000E0DB2">
      <w:pPr>
        <w:tabs>
          <w:tab w:val="right" w:leader="dot" w:pos="9360"/>
        </w:tabs>
        <w:spacing w:before="120" w:after="100" w:line="360" w:lineRule="auto"/>
        <w:rPr>
          <w:sz w:val="24"/>
          <w:szCs w:val="24"/>
        </w:rPr>
      </w:pPr>
      <w:r w:rsidRPr="000E0DB2">
        <w:rPr>
          <w:rFonts w:ascii="Arial" w:hAnsi="Arial"/>
          <w:sz w:val="24"/>
          <w:szCs w:val="24"/>
        </w:rPr>
        <w:t>Figure 5.1. Strategic Governance Model (SGM)</w:t>
      </w:r>
      <w:r w:rsidRPr="000E0DB2">
        <w:rPr>
          <w:rFonts w:ascii="Arial" w:hAnsi="Arial"/>
          <w:sz w:val="24"/>
          <w:szCs w:val="24"/>
        </w:rPr>
        <w:tab/>
        <w:t>3</w:t>
      </w:r>
      <w:r w:rsidR="00BC5065">
        <w:rPr>
          <w:rFonts w:ascii="Arial" w:hAnsi="Arial"/>
          <w:sz w:val="24"/>
          <w:szCs w:val="24"/>
        </w:rPr>
        <w:t>3</w:t>
      </w:r>
    </w:p>
    <w:p w14:paraId="0A4869FD" w14:textId="77777777" w:rsidR="004608B5" w:rsidRPr="000E0DB2" w:rsidRDefault="004608B5" w:rsidP="000E0DB2">
      <w:pPr>
        <w:tabs>
          <w:tab w:val="right" w:leader="dot" w:pos="9360"/>
        </w:tabs>
        <w:spacing w:before="120" w:after="100" w:line="360" w:lineRule="auto"/>
        <w:rPr>
          <w:sz w:val="24"/>
          <w:szCs w:val="24"/>
        </w:rPr>
      </w:pPr>
      <w:r w:rsidRPr="000E0DB2">
        <w:rPr>
          <w:rFonts w:ascii="Arial" w:hAnsi="Arial"/>
          <w:sz w:val="24"/>
          <w:szCs w:val="24"/>
        </w:rPr>
        <w:t>Figure B1. Philosophical and Methodological Logic Underpinning the Study</w:t>
      </w:r>
      <w:r w:rsidRPr="000E0DB2">
        <w:rPr>
          <w:rFonts w:ascii="Arial" w:hAnsi="Arial"/>
          <w:sz w:val="24"/>
          <w:szCs w:val="24"/>
        </w:rPr>
        <w:tab/>
        <w:t>53</w:t>
      </w:r>
    </w:p>
    <w:p w14:paraId="1716D738" w14:textId="4881DDE7" w:rsidR="004608B5" w:rsidRPr="000E0DB2" w:rsidRDefault="004608B5" w:rsidP="000E0DB2">
      <w:pPr>
        <w:tabs>
          <w:tab w:val="right" w:leader="dot" w:pos="9360"/>
        </w:tabs>
        <w:spacing w:before="120" w:after="100" w:line="360" w:lineRule="auto"/>
        <w:rPr>
          <w:sz w:val="24"/>
          <w:szCs w:val="24"/>
        </w:rPr>
      </w:pPr>
      <w:r w:rsidRPr="000E0DB2">
        <w:rPr>
          <w:rFonts w:ascii="Arial" w:hAnsi="Arial"/>
          <w:sz w:val="24"/>
          <w:szCs w:val="24"/>
        </w:rPr>
        <w:t>Figure C1. PRISMA 2020 Flow Diagram</w:t>
      </w:r>
      <w:r w:rsidRPr="000E0DB2">
        <w:rPr>
          <w:rFonts w:ascii="Arial" w:hAnsi="Arial"/>
          <w:sz w:val="24"/>
          <w:szCs w:val="24"/>
        </w:rPr>
        <w:tab/>
        <w:t>5</w:t>
      </w:r>
      <w:r w:rsidR="00775B2C">
        <w:rPr>
          <w:rFonts w:ascii="Arial" w:hAnsi="Arial"/>
          <w:sz w:val="24"/>
          <w:szCs w:val="24"/>
        </w:rPr>
        <w:t>8</w:t>
      </w:r>
    </w:p>
    <w:p w14:paraId="0A8701D1" w14:textId="77777777" w:rsidR="00883FA4" w:rsidRPr="00883FA4" w:rsidRDefault="00883FA4" w:rsidP="00883FA4"/>
    <w:p w14:paraId="17CC351C" w14:textId="7AAD100E" w:rsidR="00CC60BD" w:rsidRDefault="00F15934" w:rsidP="00DC60A6">
      <w:pPr>
        <w:pStyle w:val="Heading1"/>
      </w:pPr>
      <w:bookmarkStart w:id="12" w:name="_Toc237383372"/>
      <w:bookmarkStart w:id="13" w:name="_Toc237384207"/>
      <w:bookmarkStart w:id="14" w:name="_Toc237384927"/>
      <w:bookmarkStart w:id="15" w:name="_Toc237444949"/>
      <w:r>
        <w:t xml:space="preserve">List of </w:t>
      </w:r>
      <w:r w:rsidR="00DC60A6">
        <w:t>Abbreviations</w:t>
      </w:r>
      <w:bookmarkEnd w:id="12"/>
      <w:bookmarkEnd w:id="13"/>
      <w:bookmarkEnd w:id="14"/>
      <w:bookmarkEnd w:id="15"/>
    </w:p>
    <w:p w14:paraId="1F604CE6" w14:textId="77777777" w:rsidR="00245E5E" w:rsidRPr="00245E5E" w:rsidRDefault="00245E5E" w:rsidP="00245E5E"/>
    <w:tbl>
      <w:tblPr>
        <w:tblStyle w:val="TableGrid"/>
        <w:tblW w:w="8930" w:type="dxa"/>
        <w:jc w:val="center"/>
        <w:tblLayout w:type="fixed"/>
        <w:tblLook w:val="04A0" w:firstRow="1" w:lastRow="0" w:firstColumn="1" w:lastColumn="0" w:noHBand="0" w:noVBand="1"/>
      </w:tblPr>
      <w:tblGrid>
        <w:gridCol w:w="1955"/>
        <w:gridCol w:w="6975"/>
      </w:tblGrid>
      <w:tr w:rsidR="005E5E0C" w14:paraId="7F46BCE4"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9064713" w14:textId="77777777" w:rsidR="005E5E0C" w:rsidRPr="005E5E0C" w:rsidRDefault="005E5E0C">
            <w:pPr>
              <w:jc w:val="center"/>
              <w:rPr>
                <w:sz w:val="28"/>
                <w:szCs w:val="28"/>
              </w:rPr>
            </w:pPr>
            <w:r w:rsidRPr="005E5E0C">
              <w:rPr>
                <w:b/>
                <w:sz w:val="28"/>
                <w:szCs w:val="28"/>
              </w:rPr>
              <w:t>Abbreviation</w:t>
            </w:r>
          </w:p>
        </w:tc>
        <w:tc>
          <w:tcPr>
            <w:tcW w:w="697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20E15356" w14:textId="77777777" w:rsidR="005E5E0C" w:rsidRPr="005E5E0C" w:rsidRDefault="005E5E0C">
            <w:pPr>
              <w:jc w:val="center"/>
              <w:rPr>
                <w:sz w:val="28"/>
                <w:szCs w:val="28"/>
              </w:rPr>
            </w:pPr>
            <w:r w:rsidRPr="005E5E0C">
              <w:rPr>
                <w:b/>
                <w:sz w:val="28"/>
                <w:szCs w:val="28"/>
              </w:rPr>
              <w:t>Full Term</w:t>
            </w:r>
          </w:p>
        </w:tc>
      </w:tr>
      <w:tr w:rsidR="005E5E0C" w14:paraId="712A1DD5"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7C96EF0" w14:textId="77777777" w:rsidR="005E5E0C" w:rsidRPr="005E5E0C" w:rsidRDefault="005E5E0C">
            <w:pPr>
              <w:jc w:val="center"/>
              <w:rPr>
                <w:sz w:val="28"/>
                <w:szCs w:val="28"/>
              </w:rPr>
            </w:pPr>
            <w:r w:rsidRPr="005E5E0C">
              <w:rPr>
                <w:b/>
                <w:sz w:val="28"/>
                <w:szCs w:val="28"/>
              </w:rPr>
              <w:t>AI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65B1CD9E" w14:textId="77777777" w:rsidR="005E5E0C" w:rsidRPr="005E5E0C" w:rsidRDefault="005E5E0C">
            <w:pPr>
              <w:rPr>
                <w:sz w:val="28"/>
                <w:szCs w:val="28"/>
              </w:rPr>
            </w:pPr>
            <w:r w:rsidRPr="005E5E0C">
              <w:rPr>
                <w:sz w:val="28"/>
                <w:szCs w:val="28"/>
              </w:rPr>
              <w:t>Artificial Intelligence</w:t>
            </w:r>
          </w:p>
        </w:tc>
      </w:tr>
      <w:tr w:rsidR="005E5E0C" w14:paraId="013884D6"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77C762BF" w14:textId="77777777" w:rsidR="005E5E0C" w:rsidRPr="005E5E0C" w:rsidRDefault="005E5E0C">
            <w:pPr>
              <w:jc w:val="center"/>
              <w:rPr>
                <w:sz w:val="28"/>
                <w:szCs w:val="28"/>
              </w:rPr>
            </w:pPr>
            <w:r w:rsidRPr="005E5E0C">
              <w:rPr>
                <w:b/>
                <w:sz w:val="28"/>
                <w:szCs w:val="28"/>
              </w:rPr>
              <w:t>CGT</w:t>
            </w:r>
          </w:p>
        </w:tc>
        <w:tc>
          <w:tcPr>
            <w:tcW w:w="6975" w:type="dxa"/>
            <w:tcBorders>
              <w:top w:val="single" w:sz="4" w:space="0" w:color="auto"/>
              <w:left w:val="single" w:sz="4" w:space="0" w:color="auto"/>
              <w:bottom w:val="single" w:sz="4" w:space="0" w:color="auto"/>
              <w:right w:val="single" w:sz="4" w:space="0" w:color="auto"/>
            </w:tcBorders>
            <w:vAlign w:val="center"/>
            <w:hideMark/>
          </w:tcPr>
          <w:p w14:paraId="372428A8" w14:textId="77777777" w:rsidR="005E5E0C" w:rsidRPr="005E5E0C" w:rsidRDefault="005E5E0C">
            <w:pPr>
              <w:rPr>
                <w:sz w:val="28"/>
                <w:szCs w:val="28"/>
              </w:rPr>
            </w:pPr>
            <w:r w:rsidRPr="005E5E0C">
              <w:rPr>
                <w:sz w:val="28"/>
                <w:szCs w:val="28"/>
              </w:rPr>
              <w:t>Corporate Governance Theory</w:t>
            </w:r>
          </w:p>
        </w:tc>
      </w:tr>
      <w:tr w:rsidR="005E5E0C" w14:paraId="07C14E67"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704CA403" w14:textId="77777777" w:rsidR="005E5E0C" w:rsidRPr="005E5E0C" w:rsidRDefault="005E5E0C">
            <w:pPr>
              <w:jc w:val="center"/>
              <w:rPr>
                <w:sz w:val="28"/>
                <w:szCs w:val="28"/>
              </w:rPr>
            </w:pPr>
            <w:r w:rsidRPr="005E5E0C">
              <w:rPr>
                <w:b/>
                <w:sz w:val="28"/>
                <w:szCs w:val="28"/>
              </w:rPr>
              <w:t>DBA</w:t>
            </w:r>
          </w:p>
        </w:tc>
        <w:tc>
          <w:tcPr>
            <w:tcW w:w="6975" w:type="dxa"/>
            <w:tcBorders>
              <w:top w:val="single" w:sz="4" w:space="0" w:color="auto"/>
              <w:left w:val="single" w:sz="4" w:space="0" w:color="auto"/>
              <w:bottom w:val="single" w:sz="4" w:space="0" w:color="auto"/>
              <w:right w:val="single" w:sz="4" w:space="0" w:color="auto"/>
            </w:tcBorders>
            <w:vAlign w:val="center"/>
            <w:hideMark/>
          </w:tcPr>
          <w:p w14:paraId="473CEF9E" w14:textId="77777777" w:rsidR="005E5E0C" w:rsidRPr="005E5E0C" w:rsidRDefault="005E5E0C">
            <w:pPr>
              <w:rPr>
                <w:sz w:val="28"/>
                <w:szCs w:val="28"/>
              </w:rPr>
            </w:pPr>
            <w:r w:rsidRPr="005E5E0C">
              <w:rPr>
                <w:sz w:val="28"/>
                <w:szCs w:val="28"/>
              </w:rPr>
              <w:t>Doctor of Business Administration</w:t>
            </w:r>
          </w:p>
        </w:tc>
      </w:tr>
      <w:tr w:rsidR="005E5E0C" w14:paraId="3EA126C1"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DE97C45" w14:textId="77777777" w:rsidR="005E5E0C" w:rsidRPr="005E5E0C" w:rsidRDefault="005E5E0C">
            <w:pPr>
              <w:jc w:val="center"/>
              <w:rPr>
                <w:sz w:val="28"/>
                <w:szCs w:val="28"/>
              </w:rPr>
            </w:pPr>
            <w:r w:rsidRPr="005E5E0C">
              <w:rPr>
                <w:b/>
                <w:sz w:val="28"/>
                <w:szCs w:val="28"/>
              </w:rPr>
              <w:t>EU</w:t>
            </w:r>
          </w:p>
        </w:tc>
        <w:tc>
          <w:tcPr>
            <w:tcW w:w="6975" w:type="dxa"/>
            <w:tcBorders>
              <w:top w:val="single" w:sz="4" w:space="0" w:color="auto"/>
              <w:left w:val="single" w:sz="4" w:space="0" w:color="auto"/>
              <w:bottom w:val="single" w:sz="4" w:space="0" w:color="auto"/>
              <w:right w:val="single" w:sz="4" w:space="0" w:color="auto"/>
            </w:tcBorders>
            <w:vAlign w:val="center"/>
            <w:hideMark/>
          </w:tcPr>
          <w:p w14:paraId="2151150C" w14:textId="77777777" w:rsidR="005E5E0C" w:rsidRPr="005E5E0C" w:rsidRDefault="005E5E0C">
            <w:pPr>
              <w:rPr>
                <w:sz w:val="28"/>
                <w:szCs w:val="28"/>
              </w:rPr>
            </w:pPr>
            <w:r w:rsidRPr="005E5E0C">
              <w:rPr>
                <w:sz w:val="28"/>
                <w:szCs w:val="28"/>
              </w:rPr>
              <w:t>European Union</w:t>
            </w:r>
          </w:p>
        </w:tc>
      </w:tr>
      <w:tr w:rsidR="005E5E0C" w14:paraId="0DE8CFCD"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47589932" w14:textId="77777777" w:rsidR="005E5E0C" w:rsidRPr="005E5E0C" w:rsidRDefault="005E5E0C">
            <w:pPr>
              <w:jc w:val="center"/>
              <w:rPr>
                <w:sz w:val="28"/>
                <w:szCs w:val="28"/>
              </w:rPr>
            </w:pPr>
            <w:r w:rsidRPr="005E5E0C">
              <w:rPr>
                <w:b/>
                <w:sz w:val="28"/>
                <w:szCs w:val="28"/>
              </w:rPr>
              <w:t>GDPR</w:t>
            </w:r>
          </w:p>
        </w:tc>
        <w:tc>
          <w:tcPr>
            <w:tcW w:w="6975" w:type="dxa"/>
            <w:tcBorders>
              <w:top w:val="single" w:sz="4" w:space="0" w:color="auto"/>
              <w:left w:val="single" w:sz="4" w:space="0" w:color="auto"/>
              <w:bottom w:val="single" w:sz="4" w:space="0" w:color="auto"/>
              <w:right w:val="single" w:sz="4" w:space="0" w:color="auto"/>
            </w:tcBorders>
            <w:vAlign w:val="center"/>
            <w:hideMark/>
          </w:tcPr>
          <w:p w14:paraId="2CFA0043" w14:textId="77777777" w:rsidR="005E5E0C" w:rsidRPr="005E5E0C" w:rsidRDefault="005E5E0C">
            <w:pPr>
              <w:rPr>
                <w:sz w:val="28"/>
                <w:szCs w:val="28"/>
              </w:rPr>
            </w:pPr>
            <w:r w:rsidRPr="005E5E0C">
              <w:rPr>
                <w:sz w:val="28"/>
                <w:szCs w:val="28"/>
              </w:rPr>
              <w:t>General Data Protection Regulation</w:t>
            </w:r>
          </w:p>
        </w:tc>
      </w:tr>
      <w:tr w:rsidR="005E5E0C" w14:paraId="46D26959"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778AD8F" w14:textId="77777777" w:rsidR="005E5E0C" w:rsidRPr="005E5E0C" w:rsidRDefault="005E5E0C">
            <w:pPr>
              <w:jc w:val="center"/>
              <w:rPr>
                <w:sz w:val="28"/>
                <w:szCs w:val="28"/>
              </w:rPr>
            </w:pPr>
            <w:r w:rsidRPr="005E5E0C">
              <w:rPr>
                <w:b/>
                <w:sz w:val="28"/>
                <w:szCs w:val="28"/>
              </w:rPr>
              <w:t>GenAI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2BA728BB" w14:textId="77777777" w:rsidR="005E5E0C" w:rsidRPr="005E5E0C" w:rsidRDefault="005E5E0C">
            <w:pPr>
              <w:rPr>
                <w:sz w:val="28"/>
                <w:szCs w:val="28"/>
              </w:rPr>
            </w:pPr>
            <w:r w:rsidRPr="005E5E0C">
              <w:rPr>
                <w:sz w:val="28"/>
                <w:szCs w:val="28"/>
              </w:rPr>
              <w:t>Generative Artificial Intelligence</w:t>
            </w:r>
          </w:p>
        </w:tc>
      </w:tr>
      <w:tr w:rsidR="005E5E0C" w14:paraId="2ED086BA"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12045E4" w14:textId="77777777" w:rsidR="005E5E0C" w:rsidRPr="005E5E0C" w:rsidRDefault="005E5E0C">
            <w:pPr>
              <w:jc w:val="center"/>
              <w:rPr>
                <w:sz w:val="28"/>
                <w:szCs w:val="28"/>
              </w:rPr>
            </w:pPr>
            <w:r w:rsidRPr="005E5E0C">
              <w:rPr>
                <w:b/>
                <w:sz w:val="28"/>
                <w:szCs w:val="28"/>
              </w:rPr>
              <w:t>GT</w:t>
            </w:r>
          </w:p>
        </w:tc>
        <w:tc>
          <w:tcPr>
            <w:tcW w:w="6975" w:type="dxa"/>
            <w:tcBorders>
              <w:top w:val="single" w:sz="4" w:space="0" w:color="auto"/>
              <w:left w:val="single" w:sz="4" w:space="0" w:color="auto"/>
              <w:bottom w:val="single" w:sz="4" w:space="0" w:color="auto"/>
              <w:right w:val="single" w:sz="4" w:space="0" w:color="auto"/>
            </w:tcBorders>
            <w:vAlign w:val="center"/>
            <w:hideMark/>
          </w:tcPr>
          <w:p w14:paraId="1E25E50B" w14:textId="77777777" w:rsidR="005E5E0C" w:rsidRPr="005E5E0C" w:rsidRDefault="005E5E0C">
            <w:pPr>
              <w:rPr>
                <w:sz w:val="28"/>
                <w:szCs w:val="28"/>
              </w:rPr>
            </w:pPr>
            <w:r w:rsidRPr="005E5E0C">
              <w:rPr>
                <w:sz w:val="28"/>
                <w:szCs w:val="28"/>
              </w:rPr>
              <w:t>Governance Theory</w:t>
            </w:r>
          </w:p>
        </w:tc>
      </w:tr>
      <w:tr w:rsidR="005E5E0C" w14:paraId="5541CDD3"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0CD5C19" w14:textId="77777777" w:rsidR="005E5E0C" w:rsidRPr="005E5E0C" w:rsidRDefault="005E5E0C">
            <w:pPr>
              <w:jc w:val="center"/>
              <w:rPr>
                <w:sz w:val="28"/>
                <w:szCs w:val="28"/>
              </w:rPr>
            </w:pPr>
            <w:r w:rsidRPr="005E5E0C">
              <w:rPr>
                <w:b/>
                <w:sz w:val="28"/>
                <w:szCs w:val="28"/>
              </w:rPr>
              <w:t>HE</w:t>
            </w:r>
          </w:p>
        </w:tc>
        <w:tc>
          <w:tcPr>
            <w:tcW w:w="6975" w:type="dxa"/>
            <w:tcBorders>
              <w:top w:val="single" w:sz="4" w:space="0" w:color="auto"/>
              <w:left w:val="single" w:sz="4" w:space="0" w:color="auto"/>
              <w:bottom w:val="single" w:sz="4" w:space="0" w:color="auto"/>
              <w:right w:val="single" w:sz="4" w:space="0" w:color="auto"/>
            </w:tcBorders>
            <w:vAlign w:val="center"/>
            <w:hideMark/>
          </w:tcPr>
          <w:p w14:paraId="3152EC59" w14:textId="77777777" w:rsidR="005E5E0C" w:rsidRPr="005E5E0C" w:rsidRDefault="005E5E0C">
            <w:pPr>
              <w:rPr>
                <w:sz w:val="28"/>
                <w:szCs w:val="28"/>
              </w:rPr>
            </w:pPr>
            <w:r w:rsidRPr="005E5E0C">
              <w:rPr>
                <w:sz w:val="28"/>
                <w:szCs w:val="28"/>
              </w:rPr>
              <w:t>Higher Education</w:t>
            </w:r>
          </w:p>
        </w:tc>
      </w:tr>
      <w:tr w:rsidR="005E5E0C" w14:paraId="01825658"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881FA08" w14:textId="77777777" w:rsidR="005E5E0C" w:rsidRPr="005E5E0C" w:rsidRDefault="005E5E0C">
            <w:pPr>
              <w:jc w:val="center"/>
              <w:rPr>
                <w:sz w:val="28"/>
                <w:szCs w:val="28"/>
              </w:rPr>
            </w:pPr>
            <w:r w:rsidRPr="005E5E0C">
              <w:rPr>
                <w:b/>
                <w:sz w:val="28"/>
                <w:szCs w:val="28"/>
              </w:rPr>
              <w:t>HEI</w:t>
            </w:r>
          </w:p>
        </w:tc>
        <w:tc>
          <w:tcPr>
            <w:tcW w:w="6975" w:type="dxa"/>
            <w:tcBorders>
              <w:top w:val="single" w:sz="4" w:space="0" w:color="auto"/>
              <w:left w:val="single" w:sz="4" w:space="0" w:color="auto"/>
              <w:bottom w:val="single" w:sz="4" w:space="0" w:color="auto"/>
              <w:right w:val="single" w:sz="4" w:space="0" w:color="auto"/>
            </w:tcBorders>
            <w:vAlign w:val="center"/>
            <w:hideMark/>
          </w:tcPr>
          <w:p w14:paraId="0D61F1B5" w14:textId="77777777" w:rsidR="005E5E0C" w:rsidRPr="005E5E0C" w:rsidRDefault="005E5E0C">
            <w:pPr>
              <w:rPr>
                <w:sz w:val="28"/>
                <w:szCs w:val="28"/>
              </w:rPr>
            </w:pPr>
            <w:r w:rsidRPr="005E5E0C">
              <w:rPr>
                <w:sz w:val="28"/>
                <w:szCs w:val="28"/>
              </w:rPr>
              <w:t>Higher Education Institution</w:t>
            </w:r>
          </w:p>
        </w:tc>
      </w:tr>
      <w:tr w:rsidR="005E5E0C" w14:paraId="1A2EE57D"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00371A2E" w14:textId="77777777" w:rsidR="005E5E0C" w:rsidRPr="005E5E0C" w:rsidRDefault="005E5E0C">
            <w:pPr>
              <w:jc w:val="center"/>
              <w:rPr>
                <w:sz w:val="28"/>
                <w:szCs w:val="28"/>
              </w:rPr>
            </w:pPr>
            <w:r w:rsidRPr="005E5E0C">
              <w:rPr>
                <w:b/>
                <w:sz w:val="28"/>
                <w:szCs w:val="28"/>
              </w:rPr>
              <w:t>ML</w:t>
            </w:r>
          </w:p>
        </w:tc>
        <w:tc>
          <w:tcPr>
            <w:tcW w:w="6975" w:type="dxa"/>
            <w:tcBorders>
              <w:top w:val="single" w:sz="4" w:space="0" w:color="auto"/>
              <w:left w:val="single" w:sz="4" w:space="0" w:color="auto"/>
              <w:bottom w:val="single" w:sz="4" w:space="0" w:color="auto"/>
              <w:right w:val="single" w:sz="4" w:space="0" w:color="auto"/>
            </w:tcBorders>
            <w:vAlign w:val="center"/>
            <w:hideMark/>
          </w:tcPr>
          <w:p w14:paraId="5CF410A1" w14:textId="77777777" w:rsidR="005E5E0C" w:rsidRPr="005E5E0C" w:rsidRDefault="005E5E0C">
            <w:pPr>
              <w:rPr>
                <w:sz w:val="28"/>
                <w:szCs w:val="28"/>
              </w:rPr>
            </w:pPr>
            <w:r w:rsidRPr="005E5E0C">
              <w:rPr>
                <w:sz w:val="28"/>
                <w:szCs w:val="28"/>
              </w:rPr>
              <w:t>Machine Learning</w:t>
            </w:r>
          </w:p>
        </w:tc>
      </w:tr>
      <w:tr w:rsidR="005E5E0C" w14:paraId="5D1A5119"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1426B731" w14:textId="77777777" w:rsidR="005E5E0C" w:rsidRPr="005E5E0C" w:rsidRDefault="005E5E0C">
            <w:pPr>
              <w:jc w:val="center"/>
              <w:rPr>
                <w:sz w:val="28"/>
                <w:szCs w:val="28"/>
              </w:rPr>
            </w:pPr>
            <w:r w:rsidRPr="005E5E0C">
              <w:rPr>
                <w:b/>
                <w:sz w:val="28"/>
                <w:szCs w:val="28"/>
              </w:rPr>
              <w:t>OECD</w:t>
            </w:r>
          </w:p>
        </w:tc>
        <w:tc>
          <w:tcPr>
            <w:tcW w:w="6975" w:type="dxa"/>
            <w:tcBorders>
              <w:top w:val="single" w:sz="4" w:space="0" w:color="auto"/>
              <w:left w:val="single" w:sz="4" w:space="0" w:color="auto"/>
              <w:bottom w:val="single" w:sz="4" w:space="0" w:color="auto"/>
              <w:right w:val="single" w:sz="4" w:space="0" w:color="auto"/>
            </w:tcBorders>
            <w:vAlign w:val="center"/>
            <w:hideMark/>
          </w:tcPr>
          <w:p w14:paraId="2C4E90EB" w14:textId="77777777" w:rsidR="005E5E0C" w:rsidRPr="005E5E0C" w:rsidRDefault="005E5E0C">
            <w:pPr>
              <w:rPr>
                <w:sz w:val="28"/>
                <w:szCs w:val="28"/>
              </w:rPr>
            </w:pPr>
            <w:r w:rsidRPr="005E5E0C">
              <w:rPr>
                <w:sz w:val="28"/>
                <w:szCs w:val="28"/>
              </w:rPr>
              <w:t>Organisation for Economic Co-operation and Development</w:t>
            </w:r>
          </w:p>
        </w:tc>
      </w:tr>
      <w:tr w:rsidR="005E5E0C" w14:paraId="260DF610"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5A62218" w14:textId="77777777" w:rsidR="005E5E0C" w:rsidRPr="005E5E0C" w:rsidRDefault="005E5E0C">
            <w:pPr>
              <w:jc w:val="center"/>
              <w:rPr>
                <w:sz w:val="28"/>
                <w:szCs w:val="28"/>
              </w:rPr>
            </w:pPr>
            <w:r w:rsidRPr="005E5E0C">
              <w:rPr>
                <w:b/>
                <w:sz w:val="28"/>
                <w:szCs w:val="28"/>
              </w:rPr>
              <w:t>OfS</w:t>
            </w:r>
          </w:p>
        </w:tc>
        <w:tc>
          <w:tcPr>
            <w:tcW w:w="6975" w:type="dxa"/>
            <w:tcBorders>
              <w:top w:val="single" w:sz="4" w:space="0" w:color="auto"/>
              <w:left w:val="single" w:sz="4" w:space="0" w:color="auto"/>
              <w:bottom w:val="single" w:sz="4" w:space="0" w:color="auto"/>
              <w:right w:val="single" w:sz="4" w:space="0" w:color="auto"/>
            </w:tcBorders>
            <w:vAlign w:val="center"/>
            <w:hideMark/>
          </w:tcPr>
          <w:p w14:paraId="6176CFC7" w14:textId="77777777" w:rsidR="005E5E0C" w:rsidRPr="005E5E0C" w:rsidRDefault="005E5E0C">
            <w:pPr>
              <w:rPr>
                <w:sz w:val="28"/>
                <w:szCs w:val="28"/>
              </w:rPr>
            </w:pPr>
            <w:r w:rsidRPr="005E5E0C">
              <w:rPr>
                <w:sz w:val="28"/>
                <w:szCs w:val="28"/>
              </w:rPr>
              <w:t>Office for Students</w:t>
            </w:r>
          </w:p>
        </w:tc>
      </w:tr>
      <w:tr w:rsidR="005E5E0C" w14:paraId="5D03054F"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00A58574" w14:textId="77777777" w:rsidR="005E5E0C" w:rsidRPr="005E5E0C" w:rsidRDefault="005E5E0C">
            <w:pPr>
              <w:jc w:val="center"/>
              <w:rPr>
                <w:sz w:val="28"/>
                <w:szCs w:val="28"/>
              </w:rPr>
            </w:pPr>
            <w:r w:rsidRPr="005E5E0C">
              <w:rPr>
                <w:b/>
                <w:sz w:val="28"/>
                <w:szCs w:val="28"/>
              </w:rPr>
              <w:t>PTL</w:t>
            </w:r>
          </w:p>
        </w:tc>
        <w:tc>
          <w:tcPr>
            <w:tcW w:w="6975" w:type="dxa"/>
            <w:tcBorders>
              <w:top w:val="single" w:sz="4" w:space="0" w:color="auto"/>
              <w:left w:val="single" w:sz="4" w:space="0" w:color="auto"/>
              <w:bottom w:val="single" w:sz="4" w:space="0" w:color="auto"/>
              <w:right w:val="single" w:sz="4" w:space="0" w:color="auto"/>
            </w:tcBorders>
            <w:vAlign w:val="center"/>
            <w:hideMark/>
          </w:tcPr>
          <w:p w14:paraId="68FD6B1C" w14:textId="77777777" w:rsidR="005E5E0C" w:rsidRPr="005E5E0C" w:rsidRDefault="005E5E0C">
            <w:pPr>
              <w:rPr>
                <w:sz w:val="28"/>
                <w:szCs w:val="28"/>
              </w:rPr>
            </w:pPr>
            <w:r w:rsidRPr="005E5E0C">
              <w:rPr>
                <w:sz w:val="28"/>
                <w:szCs w:val="28"/>
              </w:rPr>
              <w:t>Primary Theoretical Lens</w:t>
            </w:r>
          </w:p>
        </w:tc>
      </w:tr>
      <w:tr w:rsidR="005E5E0C" w14:paraId="34066B1A"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7EFA1D5" w14:textId="77777777" w:rsidR="005E5E0C" w:rsidRPr="005E5E0C" w:rsidRDefault="005E5E0C">
            <w:pPr>
              <w:jc w:val="center"/>
              <w:rPr>
                <w:sz w:val="28"/>
                <w:szCs w:val="28"/>
              </w:rPr>
            </w:pPr>
            <w:r w:rsidRPr="005E5E0C">
              <w:rPr>
                <w:b/>
                <w:sz w:val="28"/>
                <w:szCs w:val="28"/>
              </w:rPr>
              <w:t>SGM</w:t>
            </w:r>
          </w:p>
        </w:tc>
        <w:tc>
          <w:tcPr>
            <w:tcW w:w="6975" w:type="dxa"/>
            <w:tcBorders>
              <w:top w:val="single" w:sz="4" w:space="0" w:color="auto"/>
              <w:left w:val="single" w:sz="4" w:space="0" w:color="auto"/>
              <w:bottom w:val="single" w:sz="4" w:space="0" w:color="auto"/>
              <w:right w:val="single" w:sz="4" w:space="0" w:color="auto"/>
            </w:tcBorders>
            <w:vAlign w:val="center"/>
            <w:hideMark/>
          </w:tcPr>
          <w:p w14:paraId="1F204511" w14:textId="77777777" w:rsidR="005E5E0C" w:rsidRPr="005E5E0C" w:rsidRDefault="005E5E0C">
            <w:pPr>
              <w:rPr>
                <w:sz w:val="28"/>
                <w:szCs w:val="28"/>
              </w:rPr>
            </w:pPr>
            <w:r w:rsidRPr="005E5E0C">
              <w:rPr>
                <w:sz w:val="28"/>
                <w:szCs w:val="28"/>
              </w:rPr>
              <w:t>Strategic Governance Model</w:t>
            </w:r>
          </w:p>
        </w:tc>
      </w:tr>
      <w:tr w:rsidR="005E5E0C" w14:paraId="232EDE97"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75479AAF" w14:textId="77777777" w:rsidR="005E5E0C" w:rsidRPr="005E5E0C" w:rsidRDefault="005E5E0C">
            <w:pPr>
              <w:jc w:val="center"/>
              <w:rPr>
                <w:sz w:val="28"/>
                <w:szCs w:val="28"/>
              </w:rPr>
            </w:pPr>
            <w:r w:rsidRPr="005E5E0C">
              <w:rPr>
                <w:b/>
                <w:sz w:val="28"/>
                <w:szCs w:val="28"/>
              </w:rPr>
              <w:t>SMT</w:t>
            </w:r>
          </w:p>
        </w:tc>
        <w:tc>
          <w:tcPr>
            <w:tcW w:w="6975" w:type="dxa"/>
            <w:tcBorders>
              <w:top w:val="single" w:sz="4" w:space="0" w:color="auto"/>
              <w:left w:val="single" w:sz="4" w:space="0" w:color="auto"/>
              <w:bottom w:val="single" w:sz="4" w:space="0" w:color="auto"/>
              <w:right w:val="single" w:sz="4" w:space="0" w:color="auto"/>
            </w:tcBorders>
            <w:vAlign w:val="center"/>
            <w:hideMark/>
          </w:tcPr>
          <w:p w14:paraId="57062E66" w14:textId="77777777" w:rsidR="005E5E0C" w:rsidRPr="005E5E0C" w:rsidRDefault="005E5E0C">
            <w:pPr>
              <w:rPr>
                <w:sz w:val="28"/>
                <w:szCs w:val="28"/>
              </w:rPr>
            </w:pPr>
            <w:r w:rsidRPr="005E5E0C">
              <w:rPr>
                <w:sz w:val="28"/>
                <w:szCs w:val="28"/>
              </w:rPr>
              <w:t>Strategic Management Theory</w:t>
            </w:r>
          </w:p>
        </w:tc>
      </w:tr>
      <w:tr w:rsidR="005E5E0C" w14:paraId="1AF12F7C"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581E1109" w14:textId="77777777" w:rsidR="005E5E0C" w:rsidRPr="005E5E0C" w:rsidRDefault="005E5E0C">
            <w:pPr>
              <w:jc w:val="center"/>
              <w:rPr>
                <w:sz w:val="28"/>
                <w:szCs w:val="28"/>
              </w:rPr>
            </w:pPr>
            <w:r w:rsidRPr="005E5E0C">
              <w:rPr>
                <w:b/>
                <w:sz w:val="28"/>
                <w:szCs w:val="28"/>
              </w:rPr>
              <w:t>UK</w:t>
            </w:r>
          </w:p>
        </w:tc>
        <w:tc>
          <w:tcPr>
            <w:tcW w:w="6975" w:type="dxa"/>
            <w:tcBorders>
              <w:top w:val="single" w:sz="4" w:space="0" w:color="auto"/>
              <w:left w:val="single" w:sz="4" w:space="0" w:color="auto"/>
              <w:bottom w:val="single" w:sz="4" w:space="0" w:color="auto"/>
              <w:right w:val="single" w:sz="4" w:space="0" w:color="auto"/>
            </w:tcBorders>
            <w:vAlign w:val="center"/>
            <w:hideMark/>
          </w:tcPr>
          <w:p w14:paraId="1480595E" w14:textId="77777777" w:rsidR="005E5E0C" w:rsidRPr="005E5E0C" w:rsidRDefault="005E5E0C">
            <w:pPr>
              <w:rPr>
                <w:sz w:val="28"/>
                <w:szCs w:val="28"/>
              </w:rPr>
            </w:pPr>
            <w:r w:rsidRPr="005E5E0C">
              <w:rPr>
                <w:sz w:val="28"/>
                <w:szCs w:val="28"/>
              </w:rPr>
              <w:t>United Kingdom</w:t>
            </w:r>
          </w:p>
        </w:tc>
      </w:tr>
      <w:tr w:rsidR="005E5E0C" w14:paraId="60C25259" w14:textId="77777777" w:rsidTr="005E5E0C">
        <w:trPr>
          <w:jc w:val="center"/>
        </w:trPr>
        <w:tc>
          <w:tcPr>
            <w:tcW w:w="1955" w:type="dxa"/>
            <w:tcBorders>
              <w:top w:val="single" w:sz="4" w:space="0" w:color="auto"/>
              <w:left w:val="single" w:sz="4" w:space="0" w:color="auto"/>
              <w:bottom w:val="single" w:sz="4" w:space="0" w:color="auto"/>
              <w:right w:val="single" w:sz="4" w:space="0" w:color="auto"/>
            </w:tcBorders>
            <w:vAlign w:val="center"/>
            <w:hideMark/>
          </w:tcPr>
          <w:p w14:paraId="31B774B3" w14:textId="77777777" w:rsidR="005E5E0C" w:rsidRPr="005E5E0C" w:rsidRDefault="005E5E0C">
            <w:pPr>
              <w:jc w:val="center"/>
              <w:rPr>
                <w:sz w:val="28"/>
                <w:szCs w:val="28"/>
              </w:rPr>
            </w:pPr>
            <w:r w:rsidRPr="005E5E0C">
              <w:rPr>
                <w:b/>
                <w:sz w:val="28"/>
                <w:szCs w:val="28"/>
              </w:rPr>
              <w:t>UWTSD</w:t>
            </w:r>
          </w:p>
        </w:tc>
        <w:tc>
          <w:tcPr>
            <w:tcW w:w="6975" w:type="dxa"/>
            <w:tcBorders>
              <w:top w:val="single" w:sz="4" w:space="0" w:color="auto"/>
              <w:left w:val="single" w:sz="4" w:space="0" w:color="auto"/>
              <w:bottom w:val="single" w:sz="4" w:space="0" w:color="auto"/>
              <w:right w:val="single" w:sz="4" w:space="0" w:color="auto"/>
            </w:tcBorders>
            <w:vAlign w:val="center"/>
            <w:hideMark/>
          </w:tcPr>
          <w:p w14:paraId="6604C9E5" w14:textId="77777777" w:rsidR="005E5E0C" w:rsidRPr="005E5E0C" w:rsidRDefault="005E5E0C">
            <w:pPr>
              <w:rPr>
                <w:sz w:val="28"/>
                <w:szCs w:val="28"/>
              </w:rPr>
            </w:pPr>
            <w:r w:rsidRPr="005E5E0C">
              <w:rPr>
                <w:sz w:val="28"/>
                <w:szCs w:val="28"/>
              </w:rPr>
              <w:t>University of Wales Trinity Saint David</w:t>
            </w:r>
          </w:p>
        </w:tc>
      </w:tr>
    </w:tbl>
    <w:p w14:paraId="19DDF959" w14:textId="77777777" w:rsidR="005E5E0C" w:rsidRDefault="005E5E0C" w:rsidP="005E5E0C">
      <w:pPr>
        <w:rPr>
          <w:rFonts w:ascii="Arial" w:hAnsi="Arial"/>
          <w:sz w:val="21"/>
          <w:lang w:val="en-US"/>
        </w:rPr>
      </w:pPr>
    </w:p>
    <w:p w14:paraId="531D76E8" w14:textId="77777777" w:rsidR="00CC60BD" w:rsidRDefault="00CC60BD" w:rsidP="00A81311">
      <w:pPr>
        <w:rPr>
          <w:sz w:val="40"/>
          <w:szCs w:val="40"/>
        </w:rPr>
      </w:pPr>
    </w:p>
    <w:p w14:paraId="1AC0AF8A" w14:textId="77777777" w:rsidR="00CC60BD" w:rsidRDefault="00CC60BD" w:rsidP="00A81311">
      <w:pPr>
        <w:rPr>
          <w:sz w:val="40"/>
          <w:szCs w:val="40"/>
        </w:rPr>
      </w:pPr>
    </w:p>
    <w:p w14:paraId="2053956A" w14:textId="77777777" w:rsidR="00CC60BD" w:rsidRDefault="00CC60BD" w:rsidP="00A81311">
      <w:pPr>
        <w:rPr>
          <w:sz w:val="40"/>
          <w:szCs w:val="40"/>
        </w:rPr>
      </w:pPr>
    </w:p>
    <w:p w14:paraId="6D554C87" w14:textId="77777777" w:rsidR="00245E5E" w:rsidRDefault="00245E5E" w:rsidP="00A81311">
      <w:pPr>
        <w:rPr>
          <w:sz w:val="40"/>
          <w:szCs w:val="40"/>
        </w:rPr>
      </w:pPr>
    </w:p>
    <w:p w14:paraId="694A45B4" w14:textId="77777777" w:rsidR="00245E5E" w:rsidRDefault="00245E5E" w:rsidP="00A81311">
      <w:pPr>
        <w:rPr>
          <w:sz w:val="40"/>
          <w:szCs w:val="40"/>
        </w:rPr>
      </w:pPr>
    </w:p>
    <w:p w14:paraId="617BCAED" w14:textId="77777777" w:rsidR="00245E5E" w:rsidRDefault="00245E5E" w:rsidP="00A81311">
      <w:pPr>
        <w:rPr>
          <w:sz w:val="40"/>
          <w:szCs w:val="40"/>
        </w:rPr>
      </w:pPr>
    </w:p>
    <w:p w14:paraId="01C1FB54" w14:textId="77777777" w:rsidR="00245E5E" w:rsidRDefault="00245E5E" w:rsidP="00A81311">
      <w:pPr>
        <w:rPr>
          <w:sz w:val="40"/>
          <w:szCs w:val="40"/>
        </w:rPr>
      </w:pPr>
    </w:p>
    <w:p w14:paraId="3C7F7E9B" w14:textId="49CD7ABF" w:rsidR="00CC60BD" w:rsidRPr="00CC60BD" w:rsidRDefault="00245E5E" w:rsidP="00245E5E">
      <w:pPr>
        <w:pStyle w:val="Heading1"/>
      </w:pPr>
      <w:bookmarkStart w:id="16" w:name="_Toc237383373"/>
      <w:bookmarkStart w:id="17" w:name="_Toc237384208"/>
      <w:bookmarkStart w:id="18" w:name="_Toc237384928"/>
      <w:bookmarkStart w:id="19" w:name="_Toc237444950"/>
      <w:r>
        <w:lastRenderedPageBreak/>
        <w:t xml:space="preserve">1. </w:t>
      </w:r>
      <w:r w:rsidR="00CC60BD">
        <w:t>Introduction</w:t>
      </w:r>
      <w:bookmarkEnd w:id="16"/>
      <w:bookmarkEnd w:id="17"/>
      <w:bookmarkEnd w:id="18"/>
      <w:bookmarkEnd w:id="19"/>
    </w:p>
    <w:p w14:paraId="20777D2D" w14:textId="564BF81C" w:rsidR="00CC60BD" w:rsidRPr="006C11DE" w:rsidRDefault="007B5DDE" w:rsidP="00CC60BD">
      <w:pPr>
        <w:spacing w:line="360" w:lineRule="auto"/>
        <w:jc w:val="both"/>
        <w:rPr>
          <w:rFonts w:ascii="Calibri" w:hAnsi="Calibri" w:cs="Calibri"/>
          <w:sz w:val="24"/>
          <w:szCs w:val="24"/>
        </w:rPr>
      </w:pPr>
      <w:r>
        <w:rPr>
          <w:rFonts w:ascii="Calibri" w:hAnsi="Calibri" w:cs="Calibri"/>
          <w:sz w:val="24"/>
          <w:szCs w:val="24"/>
        </w:rPr>
        <w:t xml:space="preserve">AI is rapidly changing HEIs </w:t>
      </w:r>
      <w:r w:rsidR="00793B96">
        <w:rPr>
          <w:rFonts w:ascii="Calibri" w:hAnsi="Calibri" w:cs="Calibri"/>
          <w:sz w:val="24"/>
          <w:szCs w:val="24"/>
        </w:rPr>
        <w:t>worldwide, affecting learning, teaching, assessment</w:t>
      </w:r>
      <w:r>
        <w:rPr>
          <w:rFonts w:ascii="Calibri" w:hAnsi="Calibri" w:cs="Calibri"/>
          <w:sz w:val="24"/>
          <w:szCs w:val="24"/>
        </w:rPr>
        <w:t>, and administrative decisions. In England, universities are adopting AI-enabled systems such as automated tools, ML, learning management systems, and predictive analytics. These applications can improve efficiency, academic outcomes, and satisfaction</w:t>
      </w:r>
      <w:r w:rsidR="004E0B19">
        <w:rPr>
          <w:rFonts w:ascii="Calibri" w:hAnsi="Calibri" w:cs="Calibri"/>
          <w:sz w:val="24"/>
          <w:szCs w:val="24"/>
        </w:rPr>
        <w:t xml:space="preserve"> (Chan, 2023; Yusuf </w:t>
      </w:r>
      <w:r w:rsidR="00495428">
        <w:rPr>
          <w:rFonts w:ascii="Calibri" w:hAnsi="Calibri" w:cs="Calibri"/>
          <w:sz w:val="24"/>
          <w:szCs w:val="24"/>
        </w:rPr>
        <w:t>et al</w:t>
      </w:r>
      <w:r w:rsidR="00884539">
        <w:rPr>
          <w:rFonts w:ascii="Calibri" w:hAnsi="Calibri" w:cs="Calibri"/>
          <w:sz w:val="24"/>
          <w:szCs w:val="24"/>
        </w:rPr>
        <w:t>.</w:t>
      </w:r>
      <w:r w:rsidR="004E0B19">
        <w:rPr>
          <w:rFonts w:ascii="Calibri" w:hAnsi="Calibri" w:cs="Calibri"/>
          <w:sz w:val="24"/>
          <w:szCs w:val="24"/>
        </w:rPr>
        <w:t>, 2024; Lee et al., 2024)</w:t>
      </w:r>
      <w:r>
        <w:rPr>
          <w:rFonts w:ascii="Calibri" w:hAnsi="Calibri" w:cs="Calibri"/>
          <w:sz w:val="24"/>
          <w:szCs w:val="24"/>
        </w:rPr>
        <w:t>. However, as AI becomes more integrated, the focus is shifting from adopting technology to building the organisational capacity needed to manage these systems responsibly</w:t>
      </w:r>
      <w:r w:rsidR="004E0B19">
        <w:rPr>
          <w:rFonts w:ascii="Calibri" w:hAnsi="Calibri" w:cs="Calibri"/>
          <w:sz w:val="24"/>
          <w:szCs w:val="24"/>
        </w:rPr>
        <w:t xml:space="preserve"> (Oncioiu et al., 2025; Jin et al., 2025; Crompton et al., 2026)</w:t>
      </w:r>
      <w:r>
        <w:rPr>
          <w:rFonts w:ascii="Calibri" w:hAnsi="Calibri" w:cs="Calibri"/>
          <w:sz w:val="24"/>
          <w:szCs w:val="24"/>
        </w:rPr>
        <w:t xml:space="preserve">. </w:t>
      </w:r>
    </w:p>
    <w:p w14:paraId="2D064E02" w14:textId="33EA4525" w:rsidR="004D282C" w:rsidRDefault="007B5DDE" w:rsidP="00CC60BD">
      <w:pPr>
        <w:spacing w:line="360" w:lineRule="auto"/>
        <w:jc w:val="both"/>
        <w:rPr>
          <w:rFonts w:ascii="Calibri" w:hAnsi="Calibri" w:cs="Calibri"/>
          <w:sz w:val="24"/>
          <w:szCs w:val="24"/>
        </w:rPr>
      </w:pPr>
      <w:r>
        <w:rPr>
          <w:rFonts w:ascii="Calibri" w:hAnsi="Calibri" w:cs="Calibri"/>
          <w:sz w:val="24"/>
          <w:szCs w:val="24"/>
        </w:rPr>
        <w:t xml:space="preserve">AI brings many </w:t>
      </w:r>
      <w:r w:rsidR="00350B9C">
        <w:rPr>
          <w:rFonts w:ascii="Calibri" w:hAnsi="Calibri" w:cs="Calibri"/>
          <w:sz w:val="24"/>
          <w:szCs w:val="24"/>
        </w:rPr>
        <w:t xml:space="preserve">valuable </w:t>
      </w:r>
      <w:r>
        <w:rPr>
          <w:rFonts w:ascii="Calibri" w:hAnsi="Calibri" w:cs="Calibri"/>
          <w:sz w:val="24"/>
          <w:szCs w:val="24"/>
        </w:rPr>
        <w:t>opportunities, but it creates complex ethical, governance, and strategic challenges. Issues like transparency, accountability, algorithmic bias, and academic integrity are now key concerns for university leaders, researchers and experts</w:t>
      </w:r>
      <w:r w:rsidR="00350B9C">
        <w:rPr>
          <w:rFonts w:ascii="Calibri" w:hAnsi="Calibri" w:cs="Calibri"/>
          <w:sz w:val="24"/>
          <w:szCs w:val="24"/>
        </w:rPr>
        <w:t xml:space="preserve"> (Wu</w:t>
      </w:r>
      <w:r w:rsidR="00495428">
        <w:rPr>
          <w:rFonts w:ascii="Calibri" w:hAnsi="Calibri" w:cs="Calibri"/>
          <w:sz w:val="24"/>
          <w:szCs w:val="24"/>
        </w:rPr>
        <w:t xml:space="preserve"> et al.</w:t>
      </w:r>
      <w:r w:rsidR="00350B9C">
        <w:rPr>
          <w:rFonts w:ascii="Calibri" w:hAnsi="Calibri" w:cs="Calibri"/>
          <w:sz w:val="24"/>
          <w:szCs w:val="24"/>
        </w:rPr>
        <w:t>, 2024; Jiang</w:t>
      </w:r>
      <w:r w:rsidR="0012518E">
        <w:rPr>
          <w:rFonts w:ascii="Calibri" w:hAnsi="Calibri" w:cs="Calibri"/>
          <w:sz w:val="24"/>
          <w:szCs w:val="24"/>
        </w:rPr>
        <w:t xml:space="preserve"> et al.</w:t>
      </w:r>
      <w:r w:rsidR="00BB70A4">
        <w:rPr>
          <w:rFonts w:ascii="Calibri" w:hAnsi="Calibri" w:cs="Calibri"/>
          <w:sz w:val="24"/>
          <w:szCs w:val="24"/>
        </w:rPr>
        <w:t>,</w:t>
      </w:r>
      <w:r w:rsidR="00350B9C">
        <w:rPr>
          <w:rFonts w:ascii="Calibri" w:hAnsi="Calibri" w:cs="Calibri"/>
          <w:sz w:val="24"/>
          <w:szCs w:val="24"/>
        </w:rPr>
        <w:t xml:space="preserve"> 2025)</w:t>
      </w:r>
      <w:r>
        <w:rPr>
          <w:rFonts w:ascii="Calibri" w:hAnsi="Calibri" w:cs="Calibri"/>
          <w:sz w:val="24"/>
          <w:szCs w:val="24"/>
        </w:rPr>
        <w:t xml:space="preserve">. The </w:t>
      </w:r>
      <w:r w:rsidR="00793B96">
        <w:rPr>
          <w:rFonts w:ascii="Calibri" w:hAnsi="Calibri" w:cs="Calibri"/>
          <w:sz w:val="24"/>
          <w:szCs w:val="24"/>
        </w:rPr>
        <w:t>rapid pace of AI adoption outpaces the development of strong governance systems, creating</w:t>
      </w:r>
      <w:r>
        <w:rPr>
          <w:rFonts w:ascii="Calibri" w:hAnsi="Calibri" w:cs="Calibri"/>
          <w:sz w:val="24"/>
          <w:szCs w:val="24"/>
        </w:rPr>
        <w:t xml:space="preserve"> uncertainty about HEI responsibilities and ethical oversight</w:t>
      </w:r>
      <w:r w:rsidR="007226F8">
        <w:rPr>
          <w:rFonts w:ascii="Calibri" w:hAnsi="Calibri" w:cs="Calibri"/>
          <w:sz w:val="24"/>
          <w:szCs w:val="24"/>
        </w:rPr>
        <w:t xml:space="preserve"> (Bilgin, 2025; Knight</w:t>
      </w:r>
      <w:r w:rsidR="00A840F1">
        <w:rPr>
          <w:rFonts w:ascii="Calibri" w:hAnsi="Calibri" w:cs="Calibri"/>
          <w:sz w:val="24"/>
          <w:szCs w:val="24"/>
        </w:rPr>
        <w:t xml:space="preserve"> et al., </w:t>
      </w:r>
      <w:r w:rsidR="007226F8">
        <w:rPr>
          <w:rFonts w:ascii="Calibri" w:hAnsi="Calibri" w:cs="Calibri"/>
          <w:sz w:val="24"/>
          <w:szCs w:val="24"/>
        </w:rPr>
        <w:t>2025)</w:t>
      </w:r>
      <w:r>
        <w:rPr>
          <w:rFonts w:ascii="Calibri" w:hAnsi="Calibri" w:cs="Calibri"/>
          <w:sz w:val="24"/>
          <w:szCs w:val="24"/>
        </w:rPr>
        <w:t xml:space="preserve">. </w:t>
      </w:r>
      <w:r w:rsidR="00C928E1">
        <w:rPr>
          <w:rFonts w:ascii="Calibri" w:hAnsi="Calibri" w:cs="Calibri"/>
          <w:sz w:val="24"/>
          <w:szCs w:val="24"/>
        </w:rPr>
        <w:t xml:space="preserve">The main research gap is not a lack of responsible AI principles, but a limited understanding of how English public universities </w:t>
      </w:r>
      <w:r w:rsidR="00793B96">
        <w:rPr>
          <w:rFonts w:ascii="Calibri" w:hAnsi="Calibri" w:cs="Calibri"/>
          <w:sz w:val="24"/>
          <w:szCs w:val="24"/>
        </w:rPr>
        <w:t xml:space="preserve">implement these principles </w:t>
      </w:r>
      <w:r w:rsidR="00C928E1">
        <w:rPr>
          <w:rFonts w:ascii="Calibri" w:hAnsi="Calibri" w:cs="Calibri"/>
          <w:sz w:val="24"/>
          <w:szCs w:val="24"/>
        </w:rPr>
        <w:t xml:space="preserve">through governance and decision-making. </w:t>
      </w:r>
    </w:p>
    <w:p w14:paraId="2AFEFB1D" w14:textId="1BCFC8DA" w:rsidR="00333F1C" w:rsidRPr="00F946F7" w:rsidRDefault="00333F1C" w:rsidP="00CC60BD">
      <w:pPr>
        <w:spacing w:line="360" w:lineRule="auto"/>
        <w:jc w:val="both"/>
        <w:rPr>
          <w:rFonts w:ascii="Calibri" w:hAnsi="Calibri" w:cs="Calibri"/>
          <w:sz w:val="24"/>
          <w:szCs w:val="24"/>
        </w:rPr>
      </w:pPr>
      <w:r>
        <w:rPr>
          <w:rFonts w:ascii="Calibri" w:hAnsi="Calibri" w:cs="Calibri"/>
          <w:sz w:val="24"/>
          <w:szCs w:val="24"/>
        </w:rPr>
        <w:t xml:space="preserve">Recent literature positions AI adoption as an organisational governance </w:t>
      </w:r>
      <w:r w:rsidR="00C3052A">
        <w:rPr>
          <w:rFonts w:ascii="Calibri" w:hAnsi="Calibri" w:cs="Calibri"/>
          <w:sz w:val="24"/>
          <w:szCs w:val="24"/>
        </w:rPr>
        <w:t>challenge</w:t>
      </w:r>
      <w:r>
        <w:rPr>
          <w:rFonts w:ascii="Calibri" w:hAnsi="Calibri" w:cs="Calibri"/>
          <w:sz w:val="24"/>
          <w:szCs w:val="24"/>
        </w:rPr>
        <w:t xml:space="preserve">, not only as a technological transition. AI can improve institutional efficiency and educational practice, </w:t>
      </w:r>
      <w:r w:rsidR="00205B49">
        <w:rPr>
          <w:rFonts w:ascii="Calibri" w:hAnsi="Calibri" w:cs="Calibri"/>
          <w:sz w:val="24"/>
          <w:szCs w:val="24"/>
        </w:rPr>
        <w:t xml:space="preserve">but </w:t>
      </w:r>
      <w:r>
        <w:rPr>
          <w:rFonts w:ascii="Calibri" w:hAnsi="Calibri" w:cs="Calibri"/>
          <w:sz w:val="24"/>
          <w:szCs w:val="24"/>
        </w:rPr>
        <w:t>these advantages depend on whether universities manage ethical risks, accountability and stakeholder responsibilities (Bitte</w:t>
      </w:r>
      <w:r w:rsidR="00B97AEE">
        <w:rPr>
          <w:rFonts w:ascii="Calibri" w:hAnsi="Calibri" w:cs="Calibri"/>
          <w:sz w:val="24"/>
          <w:szCs w:val="24"/>
        </w:rPr>
        <w:t xml:space="preserve"> </w:t>
      </w:r>
      <w:r w:rsidR="00D82198">
        <w:rPr>
          <w:rFonts w:ascii="Calibri" w:hAnsi="Calibri" w:cs="Calibri"/>
          <w:sz w:val="24"/>
          <w:szCs w:val="24"/>
        </w:rPr>
        <w:t>and</w:t>
      </w:r>
      <w:r w:rsidR="00B97AEE">
        <w:rPr>
          <w:rFonts w:ascii="Calibri" w:hAnsi="Calibri" w:cs="Calibri"/>
          <w:sz w:val="24"/>
          <w:szCs w:val="24"/>
        </w:rPr>
        <w:t xml:space="preserve"> El-Gayar,</w:t>
      </w:r>
      <w:r>
        <w:rPr>
          <w:rFonts w:ascii="Calibri" w:hAnsi="Calibri" w:cs="Calibri"/>
          <w:sz w:val="24"/>
          <w:szCs w:val="24"/>
        </w:rPr>
        <w:t xml:space="preserve"> 2025; Wu</w:t>
      </w:r>
      <w:r w:rsidR="00A840F1">
        <w:rPr>
          <w:rFonts w:ascii="Calibri" w:hAnsi="Calibri" w:cs="Calibri"/>
          <w:sz w:val="24"/>
          <w:szCs w:val="24"/>
        </w:rPr>
        <w:t xml:space="preserve"> et al.</w:t>
      </w:r>
      <w:r>
        <w:rPr>
          <w:rFonts w:ascii="Calibri" w:hAnsi="Calibri" w:cs="Calibri"/>
          <w:sz w:val="24"/>
          <w:szCs w:val="24"/>
        </w:rPr>
        <w:t xml:space="preserve">, 2024). Emerging evidence </w:t>
      </w:r>
      <w:r w:rsidR="00C3052A">
        <w:rPr>
          <w:rFonts w:ascii="Calibri" w:hAnsi="Calibri" w:cs="Calibri"/>
          <w:sz w:val="24"/>
          <w:szCs w:val="24"/>
        </w:rPr>
        <w:t xml:space="preserve">shows that responsible implementation requires governance across institutional units and clearly defined responsibilities, not </w:t>
      </w:r>
      <w:r>
        <w:rPr>
          <w:rFonts w:ascii="Calibri" w:hAnsi="Calibri" w:cs="Calibri"/>
          <w:sz w:val="24"/>
          <w:szCs w:val="24"/>
        </w:rPr>
        <w:t xml:space="preserve">isolated policies (Oh </w:t>
      </w:r>
      <w:r w:rsidR="00D82198">
        <w:rPr>
          <w:rFonts w:ascii="Calibri" w:hAnsi="Calibri" w:cs="Calibri"/>
          <w:sz w:val="24"/>
          <w:szCs w:val="24"/>
        </w:rPr>
        <w:t>and</w:t>
      </w:r>
      <w:r>
        <w:rPr>
          <w:rFonts w:ascii="Calibri" w:hAnsi="Calibri" w:cs="Calibri"/>
          <w:sz w:val="24"/>
          <w:szCs w:val="24"/>
        </w:rPr>
        <w:t xml:space="preserve"> Sanfilip</w:t>
      </w:r>
      <w:r w:rsidR="00205B49">
        <w:rPr>
          <w:rFonts w:ascii="Calibri" w:hAnsi="Calibri" w:cs="Calibri"/>
          <w:sz w:val="24"/>
          <w:szCs w:val="24"/>
        </w:rPr>
        <w:t>p</w:t>
      </w:r>
      <w:r>
        <w:rPr>
          <w:rFonts w:ascii="Calibri" w:hAnsi="Calibri" w:cs="Calibri"/>
          <w:sz w:val="24"/>
          <w:szCs w:val="24"/>
        </w:rPr>
        <w:t xml:space="preserve">o, 2024; </w:t>
      </w:r>
      <w:r w:rsidR="003945A7">
        <w:rPr>
          <w:rFonts w:ascii="Calibri" w:hAnsi="Calibri" w:cs="Calibri"/>
          <w:sz w:val="24"/>
          <w:szCs w:val="24"/>
        </w:rPr>
        <w:t>Alfiras</w:t>
      </w:r>
      <w:r>
        <w:rPr>
          <w:rFonts w:ascii="Calibri" w:hAnsi="Calibri" w:cs="Calibri"/>
          <w:sz w:val="24"/>
          <w:szCs w:val="24"/>
        </w:rPr>
        <w:t xml:space="preserve"> et al., 202</w:t>
      </w:r>
      <w:r w:rsidR="003945A7">
        <w:rPr>
          <w:rFonts w:ascii="Calibri" w:hAnsi="Calibri" w:cs="Calibri"/>
          <w:sz w:val="24"/>
          <w:szCs w:val="24"/>
        </w:rPr>
        <w:t>5</w:t>
      </w:r>
      <w:r>
        <w:rPr>
          <w:rFonts w:ascii="Calibri" w:hAnsi="Calibri" w:cs="Calibri"/>
          <w:sz w:val="24"/>
          <w:szCs w:val="24"/>
        </w:rPr>
        <w:t xml:space="preserve">). These studies suggest that technological capabilities may enable AI adoption, but governance capability shapes whether it remains responsible and aligned with institutional priorities. The strategic challenge for HEIs is not </w:t>
      </w:r>
      <w:r w:rsidR="00793B96">
        <w:rPr>
          <w:rFonts w:ascii="Calibri" w:hAnsi="Calibri" w:cs="Calibri"/>
          <w:sz w:val="24"/>
          <w:szCs w:val="24"/>
        </w:rPr>
        <w:t>adopting AI, but governing its use while balancing innovation, ethical responsibilities,</w:t>
      </w:r>
      <w:r>
        <w:rPr>
          <w:rFonts w:ascii="Calibri" w:hAnsi="Calibri" w:cs="Calibri"/>
          <w:sz w:val="24"/>
          <w:szCs w:val="24"/>
        </w:rPr>
        <w:t xml:space="preserve"> and institutional accountability</w:t>
      </w:r>
      <w:r w:rsidR="003945A7">
        <w:rPr>
          <w:rFonts w:ascii="Calibri" w:hAnsi="Calibri" w:cs="Calibri"/>
          <w:sz w:val="24"/>
          <w:szCs w:val="24"/>
        </w:rPr>
        <w:t xml:space="preserve"> (McDonald et al., 2025; An</w:t>
      </w:r>
      <w:r w:rsidR="00DD5F15">
        <w:rPr>
          <w:rFonts w:ascii="Calibri" w:hAnsi="Calibri" w:cs="Calibri"/>
          <w:sz w:val="24"/>
          <w:szCs w:val="24"/>
        </w:rPr>
        <w:t xml:space="preserve"> et al.</w:t>
      </w:r>
      <w:r w:rsidR="003945A7">
        <w:rPr>
          <w:rFonts w:ascii="Calibri" w:hAnsi="Calibri" w:cs="Calibri"/>
          <w:sz w:val="24"/>
          <w:szCs w:val="24"/>
        </w:rPr>
        <w:t>, 2025)</w:t>
      </w:r>
      <w:r>
        <w:rPr>
          <w:rFonts w:ascii="Calibri" w:hAnsi="Calibri" w:cs="Calibri"/>
          <w:sz w:val="24"/>
          <w:szCs w:val="24"/>
        </w:rPr>
        <w:t xml:space="preserve">. </w:t>
      </w:r>
    </w:p>
    <w:p w14:paraId="010423DC" w14:textId="2EE4FD12" w:rsidR="00F74010" w:rsidRDefault="0001379F" w:rsidP="00CC60BD">
      <w:pPr>
        <w:spacing w:line="360" w:lineRule="auto"/>
        <w:jc w:val="both"/>
        <w:rPr>
          <w:rFonts w:ascii="Calibri" w:hAnsi="Calibri" w:cs="Calibri"/>
          <w:sz w:val="24"/>
          <w:szCs w:val="24"/>
        </w:rPr>
      </w:pPr>
      <w:r w:rsidRPr="000C76CE">
        <w:rPr>
          <w:rFonts w:ascii="Calibri" w:hAnsi="Calibri" w:cs="Calibri"/>
          <w:sz w:val="24"/>
          <w:szCs w:val="24"/>
        </w:rPr>
        <w:t>England provides a</w:t>
      </w:r>
      <w:r w:rsidR="00833F73">
        <w:rPr>
          <w:rFonts w:ascii="Calibri" w:hAnsi="Calibri" w:cs="Calibri"/>
          <w:sz w:val="24"/>
          <w:szCs w:val="24"/>
        </w:rPr>
        <w:t>n</w:t>
      </w:r>
      <w:r w:rsidRPr="000C76CE">
        <w:rPr>
          <w:rFonts w:ascii="Calibri" w:hAnsi="Calibri" w:cs="Calibri"/>
          <w:sz w:val="24"/>
          <w:szCs w:val="24"/>
        </w:rPr>
        <w:t xml:space="preserve"> appropriate context for </w:t>
      </w:r>
      <w:r w:rsidR="00C4267C" w:rsidRPr="000C76CE">
        <w:rPr>
          <w:rFonts w:ascii="Calibri" w:hAnsi="Calibri" w:cs="Calibri"/>
          <w:sz w:val="24"/>
          <w:szCs w:val="24"/>
        </w:rPr>
        <w:t>examining</w:t>
      </w:r>
      <w:r w:rsidRPr="000C76CE">
        <w:rPr>
          <w:rFonts w:ascii="Calibri" w:hAnsi="Calibri" w:cs="Calibri"/>
          <w:sz w:val="24"/>
          <w:szCs w:val="24"/>
        </w:rPr>
        <w:t xml:space="preserve"> AI </w:t>
      </w:r>
      <w:r w:rsidR="00C4267C" w:rsidRPr="000C76CE">
        <w:rPr>
          <w:rFonts w:ascii="Calibri" w:hAnsi="Calibri" w:cs="Calibri"/>
          <w:sz w:val="24"/>
          <w:szCs w:val="24"/>
        </w:rPr>
        <w:t>governance</w:t>
      </w:r>
      <w:r w:rsidR="0045265A" w:rsidRPr="000C76CE">
        <w:rPr>
          <w:rFonts w:ascii="Calibri" w:hAnsi="Calibri" w:cs="Calibri"/>
          <w:sz w:val="24"/>
          <w:szCs w:val="24"/>
        </w:rPr>
        <w:t xml:space="preserve">, as public universities </w:t>
      </w:r>
      <w:r w:rsidR="005E59A4">
        <w:rPr>
          <w:rFonts w:ascii="Calibri" w:hAnsi="Calibri" w:cs="Calibri"/>
          <w:sz w:val="24"/>
          <w:szCs w:val="24"/>
        </w:rPr>
        <w:t xml:space="preserve">combine institutional autonomy with substantial regulatory and public accountability. </w:t>
      </w:r>
      <w:r w:rsidR="00DC1A5E" w:rsidRPr="000C76CE">
        <w:rPr>
          <w:rFonts w:ascii="Calibri" w:hAnsi="Calibri" w:cs="Calibri"/>
          <w:sz w:val="24"/>
          <w:szCs w:val="24"/>
        </w:rPr>
        <w:t xml:space="preserve">English HEIs </w:t>
      </w:r>
      <w:r w:rsidR="00793B96">
        <w:rPr>
          <w:rFonts w:ascii="Calibri" w:hAnsi="Calibri" w:cs="Calibri"/>
          <w:sz w:val="24"/>
          <w:szCs w:val="24"/>
        </w:rPr>
        <w:t>must respond to government policy, OfS expectations, data protection requirements,</w:t>
      </w:r>
      <w:r w:rsidR="005E59A4">
        <w:rPr>
          <w:rFonts w:ascii="Calibri" w:hAnsi="Calibri" w:cs="Calibri"/>
          <w:sz w:val="24"/>
          <w:szCs w:val="24"/>
        </w:rPr>
        <w:t xml:space="preserve"> and </w:t>
      </w:r>
      <w:r w:rsidR="005E59A4">
        <w:rPr>
          <w:rFonts w:ascii="Calibri" w:hAnsi="Calibri" w:cs="Calibri"/>
          <w:sz w:val="24"/>
          <w:szCs w:val="24"/>
        </w:rPr>
        <w:lastRenderedPageBreak/>
        <w:t xml:space="preserve">growing </w:t>
      </w:r>
      <w:r w:rsidR="00E8050C" w:rsidRPr="000C76CE">
        <w:rPr>
          <w:rFonts w:ascii="Calibri" w:hAnsi="Calibri" w:cs="Calibri"/>
          <w:sz w:val="24"/>
          <w:szCs w:val="24"/>
        </w:rPr>
        <w:t>scrutiny of emerging technologies</w:t>
      </w:r>
      <w:r w:rsidR="00E97776">
        <w:rPr>
          <w:rFonts w:ascii="Calibri" w:hAnsi="Calibri" w:cs="Calibri"/>
          <w:sz w:val="24"/>
          <w:szCs w:val="24"/>
        </w:rPr>
        <w:t xml:space="preserve"> (Office for Students, 2022; 2026)</w:t>
      </w:r>
      <w:r w:rsidR="00E8050C" w:rsidRPr="000C76CE">
        <w:rPr>
          <w:rFonts w:ascii="Calibri" w:hAnsi="Calibri" w:cs="Calibri"/>
          <w:sz w:val="24"/>
          <w:szCs w:val="24"/>
        </w:rPr>
        <w:t xml:space="preserve">. </w:t>
      </w:r>
      <w:r w:rsidR="0030702F" w:rsidRPr="000C76CE">
        <w:rPr>
          <w:rFonts w:ascii="Calibri" w:hAnsi="Calibri" w:cs="Calibri"/>
          <w:sz w:val="24"/>
          <w:szCs w:val="24"/>
        </w:rPr>
        <w:t xml:space="preserve">Unlike </w:t>
      </w:r>
      <w:r w:rsidR="005E59A4">
        <w:rPr>
          <w:rFonts w:ascii="Calibri" w:hAnsi="Calibri" w:cs="Calibri"/>
          <w:sz w:val="24"/>
          <w:szCs w:val="24"/>
        </w:rPr>
        <w:t xml:space="preserve">commercial organisations, universities </w:t>
      </w:r>
      <w:r w:rsidR="00793B96">
        <w:rPr>
          <w:rFonts w:ascii="Calibri" w:hAnsi="Calibri" w:cs="Calibri"/>
          <w:sz w:val="24"/>
          <w:szCs w:val="24"/>
        </w:rPr>
        <w:t>must balance educational, research,</w:t>
      </w:r>
      <w:r w:rsidR="005E59A4">
        <w:rPr>
          <w:rFonts w:ascii="Calibri" w:hAnsi="Calibri" w:cs="Calibri"/>
          <w:sz w:val="24"/>
          <w:szCs w:val="24"/>
        </w:rPr>
        <w:t xml:space="preserve"> and soci</w:t>
      </w:r>
      <w:r w:rsidR="002346CC">
        <w:rPr>
          <w:rFonts w:ascii="Calibri" w:hAnsi="Calibri" w:cs="Calibri"/>
          <w:sz w:val="24"/>
          <w:szCs w:val="24"/>
        </w:rPr>
        <w:t xml:space="preserve">etal responsibilities alongside organisational performance. These competing obligations create distinctive governance challenges, requiring strategic governance that reconciles AI-enabled innovation with institutional responsibility and </w:t>
      </w:r>
      <w:r w:rsidR="003D33DF" w:rsidRPr="000C76CE">
        <w:rPr>
          <w:rFonts w:ascii="Calibri" w:hAnsi="Calibri" w:cs="Calibri"/>
          <w:sz w:val="24"/>
          <w:szCs w:val="24"/>
        </w:rPr>
        <w:t>ethical accountability.</w:t>
      </w:r>
      <w:r w:rsidR="00205B49">
        <w:rPr>
          <w:rFonts w:ascii="Calibri" w:hAnsi="Calibri" w:cs="Calibri"/>
          <w:sz w:val="24"/>
          <w:szCs w:val="24"/>
        </w:rPr>
        <w:t xml:space="preserve"> Existing AI governance framework</w:t>
      </w:r>
      <w:r w:rsidR="00140C23">
        <w:rPr>
          <w:rFonts w:ascii="Calibri" w:hAnsi="Calibri" w:cs="Calibri"/>
          <w:sz w:val="24"/>
          <w:szCs w:val="24"/>
        </w:rPr>
        <w:t>s</w:t>
      </w:r>
      <w:r w:rsidR="00205B49">
        <w:rPr>
          <w:rFonts w:ascii="Calibri" w:hAnsi="Calibri" w:cs="Calibri"/>
          <w:sz w:val="24"/>
          <w:szCs w:val="24"/>
        </w:rPr>
        <w:t xml:space="preserve"> </w:t>
      </w:r>
      <w:r w:rsidR="004A3D4C">
        <w:rPr>
          <w:rFonts w:ascii="Calibri" w:hAnsi="Calibri" w:cs="Calibri"/>
          <w:sz w:val="24"/>
          <w:szCs w:val="24"/>
        </w:rPr>
        <w:t>provide</w:t>
      </w:r>
      <w:r w:rsidR="00205B49">
        <w:rPr>
          <w:rFonts w:ascii="Calibri" w:hAnsi="Calibri" w:cs="Calibri"/>
          <w:sz w:val="24"/>
          <w:szCs w:val="24"/>
        </w:rPr>
        <w:t xml:space="preserve"> important principles for risk, transparency and accountability, but the</w:t>
      </w:r>
      <w:r w:rsidR="004A3D4C">
        <w:rPr>
          <w:rFonts w:ascii="Calibri" w:hAnsi="Calibri" w:cs="Calibri"/>
          <w:sz w:val="24"/>
          <w:szCs w:val="24"/>
        </w:rPr>
        <w:t xml:space="preserve">y are not </w:t>
      </w:r>
      <w:r w:rsidR="00C3052A">
        <w:rPr>
          <w:rFonts w:ascii="Calibri" w:hAnsi="Calibri" w:cs="Calibri"/>
          <w:sz w:val="24"/>
          <w:szCs w:val="24"/>
        </w:rPr>
        <w:t>designed</w:t>
      </w:r>
      <w:r w:rsidR="004A3D4C">
        <w:rPr>
          <w:rFonts w:ascii="Calibri" w:hAnsi="Calibri" w:cs="Calibri"/>
          <w:sz w:val="24"/>
          <w:szCs w:val="24"/>
        </w:rPr>
        <w:t xml:space="preserve"> around the distinctive governance conditions of HE</w:t>
      </w:r>
      <w:r w:rsidR="003D2B72">
        <w:rPr>
          <w:rFonts w:ascii="Calibri" w:hAnsi="Calibri" w:cs="Calibri"/>
          <w:sz w:val="24"/>
          <w:szCs w:val="24"/>
        </w:rPr>
        <w:t xml:space="preserve"> (Department for Science, Innovation and Technology, 2024, 2025)</w:t>
      </w:r>
      <w:r w:rsidR="004A3D4C">
        <w:rPr>
          <w:rFonts w:ascii="Calibri" w:hAnsi="Calibri" w:cs="Calibri"/>
          <w:sz w:val="24"/>
          <w:szCs w:val="24"/>
        </w:rPr>
        <w:t xml:space="preserve">. English public universities </w:t>
      </w:r>
      <w:r w:rsidR="00793B96">
        <w:rPr>
          <w:rFonts w:ascii="Calibri" w:hAnsi="Calibri" w:cs="Calibri"/>
          <w:sz w:val="24"/>
          <w:szCs w:val="24"/>
        </w:rPr>
        <w:t>must protect academic freedom and institutional autonomy while meeting regulatory obligations, safeguarding students,</w:t>
      </w:r>
      <w:r w:rsidR="004A3D4C">
        <w:rPr>
          <w:rFonts w:ascii="Calibri" w:hAnsi="Calibri" w:cs="Calibri"/>
          <w:sz w:val="24"/>
          <w:szCs w:val="24"/>
        </w:rPr>
        <w:t xml:space="preserve"> and maintaining public accountability. Generic governance framework</w:t>
      </w:r>
      <w:r w:rsidR="00140C23">
        <w:rPr>
          <w:rFonts w:ascii="Calibri" w:hAnsi="Calibri" w:cs="Calibri"/>
          <w:sz w:val="24"/>
          <w:szCs w:val="24"/>
        </w:rPr>
        <w:t>s</w:t>
      </w:r>
      <w:r w:rsidR="004A3D4C">
        <w:rPr>
          <w:rFonts w:ascii="Calibri" w:hAnsi="Calibri" w:cs="Calibri"/>
          <w:sz w:val="24"/>
          <w:szCs w:val="24"/>
        </w:rPr>
        <w:t xml:space="preserve"> </w:t>
      </w:r>
      <w:r w:rsidR="00417E38">
        <w:rPr>
          <w:rFonts w:ascii="Calibri" w:hAnsi="Calibri" w:cs="Calibri"/>
          <w:sz w:val="24"/>
          <w:szCs w:val="24"/>
        </w:rPr>
        <w:t xml:space="preserve">offer limited guidance on how to reconcile these competing responsibilities </w:t>
      </w:r>
      <w:r w:rsidR="004A3D4C">
        <w:rPr>
          <w:rFonts w:ascii="Calibri" w:hAnsi="Calibri" w:cs="Calibri"/>
          <w:sz w:val="24"/>
          <w:szCs w:val="24"/>
        </w:rPr>
        <w:t xml:space="preserve">in </w:t>
      </w:r>
      <w:r w:rsidR="00B40CBE">
        <w:rPr>
          <w:rFonts w:ascii="Calibri" w:hAnsi="Calibri" w:cs="Calibri"/>
          <w:sz w:val="24"/>
          <w:szCs w:val="24"/>
        </w:rPr>
        <w:t>HEI</w:t>
      </w:r>
      <w:r w:rsidR="004A3D4C">
        <w:rPr>
          <w:rFonts w:ascii="Calibri" w:hAnsi="Calibri" w:cs="Calibri"/>
          <w:sz w:val="24"/>
          <w:szCs w:val="24"/>
        </w:rPr>
        <w:t xml:space="preserve"> AI decision-making</w:t>
      </w:r>
      <w:r w:rsidR="003D2B72">
        <w:rPr>
          <w:rFonts w:ascii="Calibri" w:hAnsi="Calibri" w:cs="Calibri"/>
          <w:sz w:val="24"/>
          <w:szCs w:val="24"/>
        </w:rPr>
        <w:t xml:space="preserve"> (Nartey, 2024; </w:t>
      </w:r>
      <w:r w:rsidR="00E8076A">
        <w:rPr>
          <w:rFonts w:ascii="Calibri" w:hAnsi="Calibri" w:cs="Calibri"/>
          <w:sz w:val="24"/>
          <w:szCs w:val="24"/>
        </w:rPr>
        <w:t>Mosha</w:t>
      </w:r>
      <w:r w:rsidR="003D2B72">
        <w:rPr>
          <w:rFonts w:ascii="Calibri" w:hAnsi="Calibri" w:cs="Calibri"/>
          <w:sz w:val="24"/>
          <w:szCs w:val="24"/>
        </w:rPr>
        <w:t xml:space="preserve"> et al., 2025; Walhidayah </w:t>
      </w:r>
      <w:r w:rsidR="00D82198">
        <w:rPr>
          <w:rFonts w:ascii="Calibri" w:hAnsi="Calibri" w:cs="Calibri"/>
          <w:sz w:val="24"/>
          <w:szCs w:val="24"/>
        </w:rPr>
        <w:t>and</w:t>
      </w:r>
      <w:r w:rsidR="003D2B72">
        <w:rPr>
          <w:rFonts w:ascii="Calibri" w:hAnsi="Calibri" w:cs="Calibri"/>
          <w:sz w:val="24"/>
          <w:szCs w:val="24"/>
        </w:rPr>
        <w:t xml:space="preserve"> Surendro, 2025). </w:t>
      </w:r>
    </w:p>
    <w:p w14:paraId="4EE468B4" w14:textId="5F90D193" w:rsidR="00A84865" w:rsidRPr="000C76CE" w:rsidRDefault="00A84865" w:rsidP="00CC60BD">
      <w:pPr>
        <w:spacing w:line="360" w:lineRule="auto"/>
        <w:jc w:val="both"/>
        <w:rPr>
          <w:rFonts w:ascii="Calibri" w:hAnsi="Calibri" w:cs="Calibri"/>
          <w:sz w:val="24"/>
          <w:szCs w:val="24"/>
        </w:rPr>
      </w:pPr>
      <w:r>
        <w:rPr>
          <w:rFonts w:ascii="Calibri" w:hAnsi="Calibri" w:cs="Calibri"/>
          <w:sz w:val="24"/>
          <w:szCs w:val="24"/>
        </w:rPr>
        <w:t>The</w:t>
      </w:r>
      <w:r w:rsidR="00606011">
        <w:rPr>
          <w:rFonts w:ascii="Calibri" w:hAnsi="Calibri" w:cs="Calibri"/>
          <w:sz w:val="24"/>
          <w:szCs w:val="24"/>
        </w:rPr>
        <w:t xml:space="preserve"> main</w:t>
      </w:r>
      <w:r>
        <w:rPr>
          <w:rFonts w:ascii="Calibri" w:hAnsi="Calibri" w:cs="Calibri"/>
          <w:sz w:val="24"/>
          <w:szCs w:val="24"/>
        </w:rPr>
        <w:t xml:space="preserve"> purpose of this academic</w:t>
      </w:r>
      <w:r w:rsidR="00D228C2">
        <w:rPr>
          <w:rFonts w:ascii="Calibri" w:hAnsi="Calibri" w:cs="Calibri"/>
          <w:sz w:val="24"/>
          <w:szCs w:val="24"/>
        </w:rPr>
        <w:t xml:space="preserve"> coursework is to critically evaluate contemporar</w:t>
      </w:r>
      <w:r w:rsidR="00FF11D0">
        <w:rPr>
          <w:rFonts w:ascii="Calibri" w:hAnsi="Calibri" w:cs="Calibri"/>
          <w:sz w:val="24"/>
          <w:szCs w:val="24"/>
        </w:rPr>
        <w:t xml:space="preserve">y literature on the ethical adoption of AI within English public universities. It </w:t>
      </w:r>
      <w:r w:rsidR="001B7962">
        <w:rPr>
          <w:rFonts w:ascii="Calibri" w:hAnsi="Calibri" w:cs="Calibri"/>
          <w:sz w:val="24"/>
          <w:szCs w:val="24"/>
        </w:rPr>
        <w:t xml:space="preserve">examines the philosophical and methodological assumptions underpinning this </w:t>
      </w:r>
      <w:r w:rsidR="008F2734">
        <w:rPr>
          <w:rFonts w:ascii="Calibri" w:hAnsi="Calibri" w:cs="Calibri"/>
          <w:sz w:val="24"/>
          <w:szCs w:val="24"/>
        </w:rPr>
        <w:t xml:space="preserve">investigation. </w:t>
      </w:r>
      <w:r w:rsidR="00232375">
        <w:rPr>
          <w:rFonts w:ascii="Calibri" w:hAnsi="Calibri" w:cs="Calibri"/>
          <w:sz w:val="24"/>
          <w:szCs w:val="24"/>
        </w:rPr>
        <w:t>This</w:t>
      </w:r>
      <w:r w:rsidR="0070101C">
        <w:rPr>
          <w:rFonts w:ascii="Calibri" w:hAnsi="Calibri" w:cs="Calibri"/>
          <w:sz w:val="24"/>
          <w:szCs w:val="24"/>
        </w:rPr>
        <w:t xml:space="preserve"> analysis identified theoretical and practical gaps that establish</w:t>
      </w:r>
      <w:r w:rsidR="0002103C">
        <w:rPr>
          <w:rFonts w:ascii="Calibri" w:hAnsi="Calibri" w:cs="Calibri"/>
          <w:sz w:val="24"/>
          <w:szCs w:val="24"/>
        </w:rPr>
        <w:t xml:space="preserve"> the rationale for developing an evidence-informed SGM for AI implementation. </w:t>
      </w:r>
      <w:r w:rsidR="00232375">
        <w:rPr>
          <w:rFonts w:ascii="Calibri" w:hAnsi="Calibri" w:cs="Calibri"/>
          <w:sz w:val="24"/>
          <w:szCs w:val="24"/>
        </w:rPr>
        <w:t xml:space="preserve"> </w:t>
      </w:r>
      <w:r w:rsidR="00BA75EC">
        <w:rPr>
          <w:rFonts w:ascii="Calibri" w:hAnsi="Calibri" w:cs="Calibri"/>
          <w:sz w:val="24"/>
          <w:szCs w:val="24"/>
        </w:rPr>
        <w:t>(Papagiannidis</w:t>
      </w:r>
      <w:r w:rsidR="00DD5809">
        <w:rPr>
          <w:rFonts w:ascii="Calibri" w:hAnsi="Calibri" w:cs="Calibri"/>
          <w:sz w:val="24"/>
          <w:szCs w:val="24"/>
        </w:rPr>
        <w:t xml:space="preserve"> et al., </w:t>
      </w:r>
      <w:r w:rsidR="00BA75EC">
        <w:rPr>
          <w:rFonts w:ascii="Calibri" w:hAnsi="Calibri" w:cs="Calibri"/>
          <w:sz w:val="24"/>
          <w:szCs w:val="24"/>
        </w:rPr>
        <w:t xml:space="preserve">2025; Wu </w:t>
      </w:r>
      <w:r w:rsidR="00DD5809">
        <w:rPr>
          <w:rFonts w:ascii="Calibri" w:hAnsi="Calibri" w:cs="Calibri"/>
          <w:sz w:val="24"/>
          <w:szCs w:val="24"/>
        </w:rPr>
        <w:t>et al.,</w:t>
      </w:r>
      <w:r w:rsidR="00BA75EC">
        <w:rPr>
          <w:rFonts w:ascii="Calibri" w:hAnsi="Calibri" w:cs="Calibri"/>
          <w:sz w:val="24"/>
          <w:szCs w:val="24"/>
        </w:rPr>
        <w:t xml:space="preserve"> 2024)</w:t>
      </w:r>
      <w:r w:rsidR="00BA75EC" w:rsidRPr="00672C7C">
        <w:rPr>
          <w:rFonts w:ascii="Calibri" w:hAnsi="Calibri" w:cs="Calibri"/>
          <w:sz w:val="24"/>
          <w:szCs w:val="24"/>
        </w:rPr>
        <w:t>.</w:t>
      </w:r>
      <w:r w:rsidR="00BA75EC">
        <w:rPr>
          <w:rFonts w:ascii="Calibri" w:hAnsi="Calibri" w:cs="Calibri"/>
          <w:sz w:val="24"/>
          <w:szCs w:val="24"/>
        </w:rPr>
        <w:t xml:space="preserve"> </w:t>
      </w:r>
      <w:r w:rsidR="00232375">
        <w:rPr>
          <w:rFonts w:ascii="Calibri" w:hAnsi="Calibri" w:cs="Calibri"/>
          <w:sz w:val="24"/>
          <w:szCs w:val="24"/>
        </w:rPr>
        <w:t xml:space="preserve"> </w:t>
      </w:r>
    </w:p>
    <w:p w14:paraId="6CFD410D" w14:textId="530E4A07" w:rsidR="00584A3B" w:rsidRDefault="00D00FD9" w:rsidP="00CC60BD">
      <w:pPr>
        <w:spacing w:line="360" w:lineRule="auto"/>
        <w:jc w:val="both"/>
        <w:rPr>
          <w:rFonts w:ascii="Calibri" w:hAnsi="Calibri" w:cs="Calibri"/>
          <w:sz w:val="24"/>
          <w:szCs w:val="24"/>
        </w:rPr>
      </w:pPr>
      <w:r w:rsidRPr="00F563EC">
        <w:rPr>
          <w:rFonts w:ascii="Calibri" w:hAnsi="Calibri" w:cs="Calibri"/>
          <w:sz w:val="24"/>
          <w:szCs w:val="24"/>
        </w:rPr>
        <w:t xml:space="preserve">AI </w:t>
      </w:r>
      <w:r w:rsidR="00324648">
        <w:rPr>
          <w:rFonts w:ascii="Calibri" w:hAnsi="Calibri" w:cs="Calibri"/>
          <w:sz w:val="24"/>
          <w:szCs w:val="24"/>
        </w:rPr>
        <w:t>refers to computer-based technologies that can perform tasks associated with human intelligence and</w:t>
      </w:r>
      <w:r w:rsidR="00466D90" w:rsidRPr="00F563EC">
        <w:rPr>
          <w:rFonts w:ascii="Calibri" w:hAnsi="Calibri" w:cs="Calibri"/>
          <w:sz w:val="24"/>
          <w:szCs w:val="24"/>
        </w:rPr>
        <w:t xml:space="preserve"> </w:t>
      </w:r>
      <w:r w:rsidR="00324648" w:rsidRPr="00F563EC">
        <w:rPr>
          <w:rFonts w:ascii="Calibri" w:hAnsi="Calibri" w:cs="Calibri"/>
          <w:sz w:val="24"/>
          <w:szCs w:val="24"/>
        </w:rPr>
        <w:t xml:space="preserve">decision-making, </w:t>
      </w:r>
      <w:r w:rsidR="00466D90" w:rsidRPr="00F563EC">
        <w:rPr>
          <w:rFonts w:ascii="Calibri" w:hAnsi="Calibri" w:cs="Calibri"/>
          <w:sz w:val="24"/>
          <w:szCs w:val="24"/>
        </w:rPr>
        <w:t xml:space="preserve">including learning, reasoning, </w:t>
      </w:r>
      <w:r w:rsidR="009C4D6D" w:rsidRPr="00F563EC">
        <w:rPr>
          <w:rFonts w:ascii="Calibri" w:hAnsi="Calibri" w:cs="Calibri"/>
          <w:sz w:val="24"/>
          <w:szCs w:val="24"/>
        </w:rPr>
        <w:t>and pattern recognition</w:t>
      </w:r>
      <w:r w:rsidR="00F43684">
        <w:rPr>
          <w:rFonts w:ascii="Calibri" w:hAnsi="Calibri" w:cs="Calibri"/>
          <w:sz w:val="24"/>
          <w:szCs w:val="24"/>
        </w:rPr>
        <w:t xml:space="preserve"> (OECD</w:t>
      </w:r>
      <w:r w:rsidR="00461C00">
        <w:rPr>
          <w:rFonts w:ascii="Calibri" w:hAnsi="Calibri" w:cs="Calibri"/>
          <w:sz w:val="24"/>
          <w:szCs w:val="24"/>
        </w:rPr>
        <w:t xml:space="preserve">, 2024). </w:t>
      </w:r>
      <w:r>
        <w:rPr>
          <w:rFonts w:ascii="Calibri" w:hAnsi="Calibri" w:cs="Calibri"/>
          <w:sz w:val="24"/>
          <w:szCs w:val="24"/>
        </w:rPr>
        <w:t>It includes</w:t>
      </w:r>
      <w:r w:rsidR="0032310C" w:rsidRPr="00F563EC">
        <w:rPr>
          <w:rFonts w:ascii="Calibri" w:hAnsi="Calibri" w:cs="Calibri"/>
          <w:sz w:val="24"/>
          <w:szCs w:val="24"/>
        </w:rPr>
        <w:t xml:space="preserve"> ML, predictive analytics, </w:t>
      </w:r>
      <w:r w:rsidR="00B63E88" w:rsidRPr="00F563EC">
        <w:rPr>
          <w:rFonts w:ascii="Calibri" w:hAnsi="Calibri" w:cs="Calibri"/>
          <w:sz w:val="24"/>
          <w:szCs w:val="24"/>
        </w:rPr>
        <w:t>intelligent</w:t>
      </w:r>
      <w:r w:rsidR="0032310C" w:rsidRPr="00F563EC">
        <w:rPr>
          <w:rFonts w:ascii="Calibri" w:hAnsi="Calibri" w:cs="Calibri"/>
          <w:sz w:val="24"/>
          <w:szCs w:val="24"/>
        </w:rPr>
        <w:t xml:space="preserve"> </w:t>
      </w:r>
      <w:r w:rsidR="007938ED" w:rsidRPr="00F563EC">
        <w:rPr>
          <w:rFonts w:ascii="Calibri" w:hAnsi="Calibri" w:cs="Calibri"/>
          <w:sz w:val="24"/>
          <w:szCs w:val="24"/>
        </w:rPr>
        <w:t>tutoring systems, and</w:t>
      </w:r>
      <w:r w:rsidR="00A22465">
        <w:rPr>
          <w:rFonts w:ascii="Calibri" w:hAnsi="Calibri" w:cs="Calibri"/>
          <w:sz w:val="24"/>
          <w:szCs w:val="24"/>
        </w:rPr>
        <w:t xml:space="preserve"> other</w:t>
      </w:r>
      <w:r w:rsidR="007938ED" w:rsidRPr="00F563EC">
        <w:rPr>
          <w:rFonts w:ascii="Calibri" w:hAnsi="Calibri" w:cs="Calibri"/>
          <w:sz w:val="24"/>
          <w:szCs w:val="24"/>
        </w:rPr>
        <w:t xml:space="preserve"> AI applications</w:t>
      </w:r>
      <w:r w:rsidR="001D05D3" w:rsidRPr="00F563EC">
        <w:rPr>
          <w:rFonts w:ascii="Calibri" w:hAnsi="Calibri" w:cs="Calibri"/>
          <w:sz w:val="24"/>
          <w:szCs w:val="24"/>
        </w:rPr>
        <w:t xml:space="preserve">. </w:t>
      </w:r>
      <w:r w:rsidR="00B63E88" w:rsidRPr="00F563EC">
        <w:rPr>
          <w:rFonts w:ascii="Calibri" w:hAnsi="Calibri" w:cs="Calibri"/>
          <w:sz w:val="24"/>
          <w:szCs w:val="24"/>
        </w:rPr>
        <w:t xml:space="preserve">This supports </w:t>
      </w:r>
      <w:r w:rsidR="00EE3188" w:rsidRPr="00F563EC">
        <w:rPr>
          <w:rFonts w:ascii="Calibri" w:hAnsi="Calibri" w:cs="Calibri"/>
          <w:sz w:val="24"/>
          <w:szCs w:val="24"/>
        </w:rPr>
        <w:t xml:space="preserve">assessment, teaching, research, and </w:t>
      </w:r>
      <w:r w:rsidR="00AB24AA">
        <w:rPr>
          <w:rFonts w:ascii="Calibri" w:hAnsi="Calibri" w:cs="Calibri"/>
          <w:sz w:val="24"/>
          <w:szCs w:val="24"/>
        </w:rPr>
        <w:t>HEI</w:t>
      </w:r>
      <w:r w:rsidR="00EE3188" w:rsidRPr="00F563EC">
        <w:rPr>
          <w:rFonts w:ascii="Calibri" w:hAnsi="Calibri" w:cs="Calibri"/>
          <w:sz w:val="24"/>
          <w:szCs w:val="24"/>
        </w:rPr>
        <w:t xml:space="preserve"> administration. </w:t>
      </w:r>
      <w:r w:rsidR="0077087A" w:rsidRPr="00F563EC">
        <w:rPr>
          <w:rFonts w:ascii="Calibri" w:hAnsi="Calibri" w:cs="Calibri"/>
          <w:sz w:val="24"/>
          <w:szCs w:val="24"/>
        </w:rPr>
        <w:t xml:space="preserve">AI governance </w:t>
      </w:r>
      <w:r w:rsidR="001A0F79">
        <w:rPr>
          <w:rFonts w:ascii="Calibri" w:hAnsi="Calibri" w:cs="Calibri"/>
          <w:sz w:val="24"/>
          <w:szCs w:val="24"/>
        </w:rPr>
        <w:t>refers</w:t>
      </w:r>
      <w:r w:rsidR="0077087A" w:rsidRPr="00F563EC">
        <w:rPr>
          <w:rFonts w:ascii="Calibri" w:hAnsi="Calibri" w:cs="Calibri"/>
          <w:sz w:val="24"/>
          <w:szCs w:val="24"/>
        </w:rPr>
        <w:t xml:space="preserve"> to organisational structures, policies and decision-making processes</w:t>
      </w:r>
      <w:r w:rsidR="00F32814" w:rsidRPr="00F563EC">
        <w:rPr>
          <w:rFonts w:ascii="Calibri" w:hAnsi="Calibri" w:cs="Calibri"/>
          <w:sz w:val="24"/>
          <w:szCs w:val="24"/>
        </w:rPr>
        <w:t>. It ensures AI technologies are implemented ethically</w:t>
      </w:r>
      <w:r w:rsidR="00F15165" w:rsidRPr="00F563EC">
        <w:rPr>
          <w:rFonts w:ascii="Calibri" w:hAnsi="Calibri" w:cs="Calibri"/>
          <w:sz w:val="24"/>
          <w:szCs w:val="24"/>
        </w:rPr>
        <w:t xml:space="preserve">, transparently, </w:t>
      </w:r>
      <w:r w:rsidR="00FE66A1">
        <w:rPr>
          <w:rFonts w:ascii="Calibri" w:hAnsi="Calibri" w:cs="Calibri"/>
          <w:sz w:val="24"/>
          <w:szCs w:val="24"/>
        </w:rPr>
        <w:t>accountably,</w:t>
      </w:r>
      <w:r w:rsidR="00F15165" w:rsidRPr="00F563EC">
        <w:rPr>
          <w:rFonts w:ascii="Calibri" w:hAnsi="Calibri" w:cs="Calibri"/>
          <w:sz w:val="24"/>
          <w:szCs w:val="24"/>
        </w:rPr>
        <w:t xml:space="preserve"> and in compliance with legal and ins</w:t>
      </w:r>
      <w:r w:rsidR="00846C93" w:rsidRPr="00F563EC">
        <w:rPr>
          <w:rFonts w:ascii="Calibri" w:hAnsi="Calibri" w:cs="Calibri"/>
          <w:sz w:val="24"/>
          <w:szCs w:val="24"/>
        </w:rPr>
        <w:t>titutional</w:t>
      </w:r>
      <w:r w:rsidR="00061733" w:rsidRPr="00F563EC">
        <w:rPr>
          <w:rFonts w:ascii="Calibri" w:hAnsi="Calibri" w:cs="Calibri"/>
          <w:sz w:val="24"/>
          <w:szCs w:val="24"/>
        </w:rPr>
        <w:t xml:space="preserve"> requirements</w:t>
      </w:r>
      <w:r w:rsidR="00461C00">
        <w:rPr>
          <w:rFonts w:ascii="Calibri" w:hAnsi="Calibri" w:cs="Calibri"/>
          <w:sz w:val="24"/>
          <w:szCs w:val="24"/>
        </w:rPr>
        <w:t xml:space="preserve"> (Zawacki-Richter</w:t>
      </w:r>
      <w:r w:rsidR="00942973">
        <w:rPr>
          <w:rFonts w:ascii="Calibri" w:hAnsi="Calibri" w:cs="Calibri"/>
          <w:sz w:val="24"/>
          <w:szCs w:val="24"/>
        </w:rPr>
        <w:t>, 2019; Mosha et al., 2026)</w:t>
      </w:r>
      <w:r w:rsidR="00061733" w:rsidRPr="00F563EC">
        <w:rPr>
          <w:rFonts w:ascii="Calibri" w:hAnsi="Calibri" w:cs="Calibri"/>
          <w:sz w:val="24"/>
          <w:szCs w:val="24"/>
        </w:rPr>
        <w:t>. Strategic governance extends beyond regulatory compliance by align</w:t>
      </w:r>
      <w:r w:rsidR="00A31CDB" w:rsidRPr="00F563EC">
        <w:rPr>
          <w:rFonts w:ascii="Calibri" w:hAnsi="Calibri" w:cs="Calibri"/>
          <w:sz w:val="24"/>
          <w:szCs w:val="24"/>
        </w:rPr>
        <w:t xml:space="preserve">ing AI adoption with institutional </w:t>
      </w:r>
      <w:r w:rsidR="00FB7704" w:rsidRPr="00F563EC">
        <w:rPr>
          <w:rFonts w:ascii="Calibri" w:hAnsi="Calibri" w:cs="Calibri"/>
          <w:sz w:val="24"/>
          <w:szCs w:val="24"/>
        </w:rPr>
        <w:t xml:space="preserve">objectives, stakeholder interests and long-term organisational sustainability. </w:t>
      </w:r>
    </w:p>
    <w:p w14:paraId="718E7793" w14:textId="2B8341D2" w:rsidR="00FF3A98" w:rsidRDefault="00793B96" w:rsidP="00CC60BD">
      <w:pPr>
        <w:spacing w:line="360" w:lineRule="auto"/>
        <w:jc w:val="both"/>
        <w:rPr>
          <w:rFonts w:ascii="Calibri" w:hAnsi="Calibri" w:cs="Calibri"/>
          <w:sz w:val="24"/>
          <w:szCs w:val="24"/>
        </w:rPr>
      </w:pPr>
      <w:r>
        <w:rPr>
          <w:rFonts w:ascii="Calibri" w:hAnsi="Calibri" w:cs="Calibri"/>
          <w:sz w:val="24"/>
          <w:szCs w:val="24"/>
        </w:rPr>
        <w:t>From a business and management perspective, AI adoption is not only a technological innovation but also</w:t>
      </w:r>
      <w:r w:rsidR="00140C23">
        <w:rPr>
          <w:rFonts w:ascii="Calibri" w:hAnsi="Calibri" w:cs="Calibri"/>
          <w:sz w:val="24"/>
          <w:szCs w:val="24"/>
        </w:rPr>
        <w:t xml:space="preserve"> </w:t>
      </w:r>
      <w:r w:rsidR="00505DC3">
        <w:rPr>
          <w:rFonts w:ascii="Calibri" w:hAnsi="Calibri" w:cs="Calibri"/>
          <w:sz w:val="24"/>
          <w:szCs w:val="24"/>
        </w:rPr>
        <w:t xml:space="preserve">a strategic organisational challenge. </w:t>
      </w:r>
      <w:r w:rsidR="009D2F51">
        <w:rPr>
          <w:rFonts w:ascii="Calibri" w:hAnsi="Calibri" w:cs="Calibri"/>
          <w:sz w:val="24"/>
          <w:szCs w:val="24"/>
        </w:rPr>
        <w:t>University leaders</w:t>
      </w:r>
      <w:r w:rsidR="00140C23">
        <w:rPr>
          <w:rFonts w:ascii="Calibri" w:hAnsi="Calibri" w:cs="Calibri"/>
          <w:sz w:val="24"/>
          <w:szCs w:val="24"/>
        </w:rPr>
        <w:t xml:space="preserve"> must manage algorithmic risks while </w:t>
      </w:r>
      <w:r w:rsidR="008B1010">
        <w:rPr>
          <w:rFonts w:ascii="Calibri" w:hAnsi="Calibri" w:cs="Calibri"/>
          <w:sz w:val="24"/>
          <w:szCs w:val="24"/>
        </w:rPr>
        <w:t>balancing innovation</w:t>
      </w:r>
      <w:r w:rsidR="009D2F51">
        <w:rPr>
          <w:rFonts w:ascii="Calibri" w:hAnsi="Calibri" w:cs="Calibri"/>
          <w:sz w:val="24"/>
          <w:szCs w:val="24"/>
        </w:rPr>
        <w:t xml:space="preserve"> with accountability</w:t>
      </w:r>
      <w:r w:rsidR="000011A0">
        <w:rPr>
          <w:rFonts w:ascii="Calibri" w:hAnsi="Calibri" w:cs="Calibri"/>
          <w:sz w:val="24"/>
          <w:szCs w:val="24"/>
        </w:rPr>
        <w:t>, regulatory compliance,</w:t>
      </w:r>
      <w:r w:rsidR="00140C23">
        <w:rPr>
          <w:rFonts w:ascii="Calibri" w:hAnsi="Calibri" w:cs="Calibri"/>
          <w:sz w:val="24"/>
          <w:szCs w:val="24"/>
        </w:rPr>
        <w:t xml:space="preserve"> and</w:t>
      </w:r>
      <w:r w:rsidR="000011A0">
        <w:rPr>
          <w:rFonts w:ascii="Calibri" w:hAnsi="Calibri" w:cs="Calibri"/>
          <w:sz w:val="24"/>
          <w:szCs w:val="24"/>
        </w:rPr>
        <w:t xml:space="preserve"> stakeholder expectations</w:t>
      </w:r>
      <w:r w:rsidR="00407891">
        <w:rPr>
          <w:rFonts w:ascii="Calibri" w:hAnsi="Calibri" w:cs="Calibri"/>
          <w:sz w:val="24"/>
          <w:szCs w:val="24"/>
        </w:rPr>
        <w:t>.</w:t>
      </w:r>
      <w:r w:rsidR="008B1010">
        <w:rPr>
          <w:rFonts w:ascii="Calibri" w:hAnsi="Calibri" w:cs="Calibri"/>
          <w:sz w:val="24"/>
          <w:szCs w:val="24"/>
        </w:rPr>
        <w:t xml:space="preserve"> AI governance is an important area of management research because it examines whether leadership, governance structures and strategic decision-making </w:t>
      </w:r>
      <w:r w:rsidR="008B1010">
        <w:rPr>
          <w:rFonts w:ascii="Calibri" w:hAnsi="Calibri" w:cs="Calibri"/>
          <w:sz w:val="24"/>
          <w:szCs w:val="24"/>
        </w:rPr>
        <w:lastRenderedPageBreak/>
        <w:t>influence organisational capability and responsible innovation</w:t>
      </w:r>
      <w:r w:rsidR="007B1646">
        <w:rPr>
          <w:rFonts w:ascii="Calibri" w:hAnsi="Calibri" w:cs="Calibri"/>
          <w:sz w:val="24"/>
          <w:szCs w:val="24"/>
        </w:rPr>
        <w:t xml:space="preserve"> (Papagiannidis</w:t>
      </w:r>
      <w:r w:rsidR="000E620E">
        <w:rPr>
          <w:rFonts w:ascii="Calibri" w:hAnsi="Calibri" w:cs="Calibri"/>
          <w:sz w:val="24"/>
          <w:szCs w:val="24"/>
        </w:rPr>
        <w:t xml:space="preserve"> et al., </w:t>
      </w:r>
      <w:r w:rsidR="007B1646">
        <w:rPr>
          <w:rFonts w:ascii="Calibri" w:hAnsi="Calibri" w:cs="Calibri"/>
          <w:sz w:val="24"/>
          <w:szCs w:val="24"/>
        </w:rPr>
        <w:t>2025; Wu</w:t>
      </w:r>
      <w:r w:rsidR="000E620E">
        <w:rPr>
          <w:rFonts w:ascii="Calibri" w:hAnsi="Calibri" w:cs="Calibri"/>
          <w:sz w:val="24"/>
          <w:szCs w:val="24"/>
        </w:rPr>
        <w:t xml:space="preserve"> et al., </w:t>
      </w:r>
      <w:r w:rsidR="007B1646">
        <w:rPr>
          <w:rFonts w:ascii="Calibri" w:hAnsi="Calibri" w:cs="Calibri"/>
          <w:sz w:val="24"/>
          <w:szCs w:val="24"/>
        </w:rPr>
        <w:t>2024)</w:t>
      </w:r>
      <w:r w:rsidR="007B1646" w:rsidRPr="00672C7C">
        <w:rPr>
          <w:rFonts w:ascii="Calibri" w:hAnsi="Calibri" w:cs="Calibri"/>
          <w:sz w:val="24"/>
          <w:szCs w:val="24"/>
        </w:rPr>
        <w:t>.</w:t>
      </w:r>
      <w:r w:rsidR="008B1010">
        <w:rPr>
          <w:rFonts w:ascii="Calibri" w:hAnsi="Calibri" w:cs="Calibri"/>
          <w:sz w:val="24"/>
          <w:szCs w:val="24"/>
        </w:rPr>
        <w:t xml:space="preserve"> </w:t>
      </w:r>
    </w:p>
    <w:p w14:paraId="77BF0D9A" w14:textId="07720DE9" w:rsidR="00B759C6" w:rsidRDefault="008F44A6" w:rsidP="00CC60BD">
      <w:pPr>
        <w:spacing w:line="360" w:lineRule="auto"/>
        <w:jc w:val="both"/>
        <w:rPr>
          <w:rFonts w:ascii="Calibri" w:hAnsi="Calibri" w:cs="Calibri"/>
          <w:sz w:val="24"/>
          <w:szCs w:val="24"/>
        </w:rPr>
      </w:pPr>
      <w:r>
        <w:rPr>
          <w:rFonts w:ascii="Calibri" w:hAnsi="Calibri" w:cs="Calibri"/>
          <w:sz w:val="24"/>
          <w:szCs w:val="24"/>
        </w:rPr>
        <w:t>AI governance is a complex organisational and social phenomenon</w:t>
      </w:r>
      <w:r w:rsidR="004A3D4C">
        <w:rPr>
          <w:rFonts w:ascii="Calibri" w:hAnsi="Calibri" w:cs="Calibri"/>
          <w:sz w:val="24"/>
          <w:szCs w:val="24"/>
        </w:rPr>
        <w:t xml:space="preserve">, requiring attention to the philosophical assumptions that shape its investigation. </w:t>
      </w:r>
      <w:r w:rsidR="00B759C6">
        <w:rPr>
          <w:rFonts w:ascii="Calibri" w:hAnsi="Calibri" w:cs="Calibri"/>
          <w:sz w:val="24"/>
          <w:szCs w:val="24"/>
        </w:rPr>
        <w:t xml:space="preserve">Critical </w:t>
      </w:r>
      <w:r w:rsidR="00265C42">
        <w:rPr>
          <w:rFonts w:ascii="Calibri" w:hAnsi="Calibri" w:cs="Calibri"/>
          <w:sz w:val="24"/>
          <w:szCs w:val="24"/>
        </w:rPr>
        <w:t>r</w:t>
      </w:r>
      <w:r w:rsidR="00B759C6">
        <w:rPr>
          <w:rFonts w:ascii="Calibri" w:hAnsi="Calibri" w:cs="Calibri"/>
          <w:sz w:val="24"/>
          <w:szCs w:val="24"/>
        </w:rPr>
        <w:t>ealism</w:t>
      </w:r>
      <w:r w:rsidR="004A3D4C">
        <w:rPr>
          <w:rFonts w:ascii="Calibri" w:hAnsi="Calibri" w:cs="Calibri"/>
          <w:sz w:val="24"/>
          <w:szCs w:val="24"/>
        </w:rPr>
        <w:t xml:space="preserve"> is appropriate because it recognises that governance structure</w:t>
      </w:r>
      <w:r w:rsidR="00B759C6">
        <w:rPr>
          <w:rFonts w:ascii="Calibri" w:hAnsi="Calibri" w:cs="Calibri"/>
          <w:sz w:val="24"/>
          <w:szCs w:val="24"/>
        </w:rPr>
        <w:t>s</w:t>
      </w:r>
      <w:r w:rsidR="004A3D4C">
        <w:rPr>
          <w:rFonts w:ascii="Calibri" w:hAnsi="Calibri" w:cs="Calibri"/>
          <w:sz w:val="24"/>
          <w:szCs w:val="24"/>
        </w:rPr>
        <w:t xml:space="preserve"> and regulatory pressures have real organisational effects</w:t>
      </w:r>
      <w:r w:rsidR="00B759C6">
        <w:rPr>
          <w:rFonts w:ascii="Calibri" w:hAnsi="Calibri" w:cs="Calibri"/>
          <w:sz w:val="24"/>
          <w:szCs w:val="24"/>
        </w:rPr>
        <w:t>, but their operation is shaped by institutional context and stakeholder interpretation. It supports examination of stakeholder experiences and the underlying mechanisms that may explain why governance practices differ across universities</w:t>
      </w:r>
      <w:r w:rsidR="000C7E27">
        <w:rPr>
          <w:rFonts w:ascii="Calibri" w:hAnsi="Calibri" w:cs="Calibri"/>
          <w:sz w:val="24"/>
          <w:szCs w:val="24"/>
        </w:rPr>
        <w:t xml:space="preserve"> (</w:t>
      </w:r>
      <w:r w:rsidR="00643547">
        <w:rPr>
          <w:rFonts w:ascii="Calibri" w:hAnsi="Calibri" w:cs="Calibri"/>
          <w:sz w:val="24"/>
          <w:szCs w:val="24"/>
        </w:rPr>
        <w:t xml:space="preserve">Fleetwood, 2005; Vincent </w:t>
      </w:r>
      <w:r w:rsidR="00D82198">
        <w:rPr>
          <w:rFonts w:ascii="Calibri" w:hAnsi="Calibri" w:cs="Calibri"/>
          <w:sz w:val="24"/>
          <w:szCs w:val="24"/>
        </w:rPr>
        <w:t>and</w:t>
      </w:r>
      <w:r w:rsidR="00643547">
        <w:rPr>
          <w:rFonts w:ascii="Calibri" w:hAnsi="Calibri" w:cs="Calibri"/>
          <w:sz w:val="24"/>
          <w:szCs w:val="24"/>
        </w:rPr>
        <w:t xml:space="preserve"> Wapshott, 2014)</w:t>
      </w:r>
      <w:r w:rsidR="00B759C6">
        <w:rPr>
          <w:rFonts w:ascii="Calibri" w:hAnsi="Calibri" w:cs="Calibri"/>
          <w:sz w:val="24"/>
          <w:szCs w:val="24"/>
        </w:rPr>
        <w:t xml:space="preserve">. </w:t>
      </w:r>
    </w:p>
    <w:p w14:paraId="5350F0B2" w14:textId="6BF9332F" w:rsidR="00C54595" w:rsidRPr="005446C4" w:rsidRDefault="008B1010" w:rsidP="00CC60BD">
      <w:pPr>
        <w:spacing w:line="360" w:lineRule="auto"/>
        <w:jc w:val="both"/>
        <w:rPr>
          <w:rFonts w:ascii="Calibri" w:hAnsi="Calibri" w:cs="Calibri"/>
          <w:sz w:val="24"/>
          <w:szCs w:val="24"/>
        </w:rPr>
      </w:pPr>
      <w:r>
        <w:rPr>
          <w:rFonts w:ascii="Calibri" w:hAnsi="Calibri" w:cs="Calibri"/>
          <w:sz w:val="24"/>
          <w:szCs w:val="24"/>
        </w:rPr>
        <w:t>The following research and sub-questions guide the proposed research</w:t>
      </w:r>
      <w:r w:rsidR="006E6A61">
        <w:rPr>
          <w:rFonts w:ascii="Calibri" w:hAnsi="Calibri" w:cs="Calibri"/>
          <w:sz w:val="24"/>
          <w:szCs w:val="24"/>
        </w:rPr>
        <w:t>.</w:t>
      </w:r>
    </w:p>
    <w:p w14:paraId="1849CDD1" w14:textId="7B8A6CB2" w:rsidR="00577F40" w:rsidRPr="005446C4" w:rsidRDefault="00082F78" w:rsidP="005446C4">
      <w:pPr>
        <w:spacing w:line="360" w:lineRule="auto"/>
        <w:jc w:val="both"/>
        <w:rPr>
          <w:rFonts w:ascii="Calibri" w:hAnsi="Calibri" w:cs="Calibri"/>
          <w:sz w:val="24"/>
          <w:szCs w:val="24"/>
        </w:rPr>
      </w:pPr>
      <w:r w:rsidRPr="005446C4">
        <w:rPr>
          <w:rFonts w:ascii="Calibri" w:hAnsi="Calibri" w:cs="Calibri"/>
          <w:sz w:val="24"/>
          <w:szCs w:val="24"/>
        </w:rPr>
        <w:t xml:space="preserve"> </w:t>
      </w:r>
      <w:r w:rsidR="00577F40" w:rsidRPr="005446C4">
        <w:rPr>
          <w:rFonts w:ascii="Calibri" w:hAnsi="Calibri" w:cs="Calibri"/>
          <w:b/>
          <w:bCs/>
          <w:sz w:val="24"/>
          <w:szCs w:val="24"/>
        </w:rPr>
        <w:t>Research question</w:t>
      </w:r>
      <w:r w:rsidR="00577F40" w:rsidRPr="005446C4">
        <w:rPr>
          <w:rFonts w:ascii="Calibri" w:hAnsi="Calibri" w:cs="Calibri"/>
          <w:sz w:val="24"/>
          <w:szCs w:val="24"/>
        </w:rPr>
        <w:t xml:space="preserve">: </w:t>
      </w:r>
      <w:r w:rsidR="006C1B0D" w:rsidRPr="005446C4">
        <w:rPr>
          <w:rFonts w:ascii="Calibri" w:hAnsi="Calibri" w:cs="Calibri"/>
          <w:sz w:val="24"/>
          <w:szCs w:val="24"/>
        </w:rPr>
        <w:t>How do English public universities operationalise</w:t>
      </w:r>
      <w:r w:rsidR="00245E5E">
        <w:rPr>
          <w:rFonts w:ascii="Calibri" w:hAnsi="Calibri" w:cs="Calibri"/>
          <w:sz w:val="24"/>
          <w:szCs w:val="24"/>
        </w:rPr>
        <w:t xml:space="preserve"> ethical AI principles through</w:t>
      </w:r>
      <w:r w:rsidR="007C5DE5">
        <w:rPr>
          <w:rFonts w:ascii="Calibri" w:hAnsi="Calibri" w:cs="Calibri"/>
          <w:sz w:val="24"/>
          <w:szCs w:val="24"/>
        </w:rPr>
        <w:t xml:space="preserve"> governance structures and</w:t>
      </w:r>
      <w:r w:rsidR="006C1B0D" w:rsidRPr="005446C4">
        <w:rPr>
          <w:rFonts w:ascii="Calibri" w:hAnsi="Calibri" w:cs="Calibri"/>
          <w:sz w:val="24"/>
          <w:szCs w:val="24"/>
        </w:rPr>
        <w:t xml:space="preserve"> institutional decision-making? </w:t>
      </w:r>
    </w:p>
    <w:p w14:paraId="469B200A" w14:textId="4A6EA6C3" w:rsidR="00A615C6" w:rsidRPr="005446C4" w:rsidRDefault="00171FA0" w:rsidP="00CC60BD">
      <w:pPr>
        <w:spacing w:line="360" w:lineRule="auto"/>
        <w:jc w:val="both"/>
        <w:rPr>
          <w:rFonts w:ascii="Calibri" w:hAnsi="Calibri" w:cs="Calibri"/>
          <w:sz w:val="24"/>
          <w:szCs w:val="24"/>
        </w:rPr>
      </w:pPr>
      <w:r w:rsidRPr="005446C4">
        <w:rPr>
          <w:rFonts w:ascii="Calibri" w:hAnsi="Calibri" w:cs="Calibri"/>
          <w:b/>
          <w:bCs/>
          <w:sz w:val="24"/>
          <w:szCs w:val="24"/>
        </w:rPr>
        <w:t>Sub-questions</w:t>
      </w:r>
      <w:r w:rsidRPr="005446C4">
        <w:rPr>
          <w:rFonts w:ascii="Calibri" w:hAnsi="Calibri" w:cs="Calibri"/>
          <w:sz w:val="24"/>
          <w:szCs w:val="24"/>
        </w:rPr>
        <w:t>:</w:t>
      </w:r>
    </w:p>
    <w:p w14:paraId="1F6A6C4F" w14:textId="75FA09CA" w:rsidR="00427225" w:rsidRPr="005446C4" w:rsidRDefault="00B90AD9" w:rsidP="00427225">
      <w:pPr>
        <w:pStyle w:val="ListParagraph"/>
        <w:numPr>
          <w:ilvl w:val="0"/>
          <w:numId w:val="3"/>
        </w:numPr>
        <w:spacing w:line="360" w:lineRule="auto"/>
        <w:jc w:val="both"/>
        <w:rPr>
          <w:rFonts w:ascii="Calibri" w:hAnsi="Calibri" w:cs="Calibri"/>
          <w:sz w:val="24"/>
          <w:szCs w:val="24"/>
        </w:rPr>
      </w:pPr>
      <w:r w:rsidRPr="005446C4">
        <w:rPr>
          <w:rFonts w:ascii="Calibri" w:hAnsi="Calibri" w:cs="Calibri"/>
          <w:sz w:val="24"/>
          <w:szCs w:val="24"/>
        </w:rPr>
        <w:t xml:space="preserve">What ethical </w:t>
      </w:r>
      <w:r w:rsidR="007C5DE5">
        <w:rPr>
          <w:rFonts w:ascii="Calibri" w:hAnsi="Calibri" w:cs="Calibri"/>
          <w:sz w:val="24"/>
          <w:szCs w:val="24"/>
        </w:rPr>
        <w:t xml:space="preserve">and organisational </w:t>
      </w:r>
      <w:r w:rsidRPr="005446C4">
        <w:rPr>
          <w:rFonts w:ascii="Calibri" w:hAnsi="Calibri" w:cs="Calibri"/>
          <w:sz w:val="24"/>
          <w:szCs w:val="24"/>
        </w:rPr>
        <w:t xml:space="preserve">challenges </w:t>
      </w:r>
      <w:r w:rsidR="007A4908" w:rsidRPr="005446C4">
        <w:rPr>
          <w:rFonts w:ascii="Calibri" w:hAnsi="Calibri" w:cs="Calibri"/>
          <w:sz w:val="24"/>
          <w:szCs w:val="24"/>
        </w:rPr>
        <w:t>result from</w:t>
      </w:r>
      <w:r w:rsidRPr="005446C4">
        <w:rPr>
          <w:rFonts w:ascii="Calibri" w:hAnsi="Calibri" w:cs="Calibri"/>
          <w:sz w:val="24"/>
          <w:szCs w:val="24"/>
        </w:rPr>
        <w:t xml:space="preserve"> </w:t>
      </w:r>
      <w:r w:rsidR="007A4908">
        <w:rPr>
          <w:rFonts w:ascii="Calibri" w:hAnsi="Calibri" w:cs="Calibri"/>
          <w:sz w:val="24"/>
          <w:szCs w:val="24"/>
        </w:rPr>
        <w:t>English public universities implementing</w:t>
      </w:r>
      <w:r w:rsidR="007C5DE5">
        <w:rPr>
          <w:rFonts w:ascii="Calibri" w:hAnsi="Calibri" w:cs="Calibri"/>
          <w:sz w:val="24"/>
          <w:szCs w:val="24"/>
        </w:rPr>
        <w:t xml:space="preserve"> AI?</w:t>
      </w:r>
    </w:p>
    <w:p w14:paraId="4B78004E" w14:textId="794317B0" w:rsidR="00B90AD9" w:rsidRPr="005446C4" w:rsidRDefault="007C5DE5" w:rsidP="00427225">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What formal and informal governance mechanisms are used to</w:t>
      </w:r>
      <w:r w:rsidR="000307AD" w:rsidRPr="005446C4">
        <w:rPr>
          <w:rFonts w:ascii="Calibri" w:hAnsi="Calibri" w:cs="Calibri"/>
          <w:sz w:val="24"/>
          <w:szCs w:val="24"/>
        </w:rPr>
        <w:t xml:space="preserve"> </w:t>
      </w:r>
      <w:r w:rsidR="00140C23">
        <w:rPr>
          <w:rFonts w:ascii="Calibri" w:hAnsi="Calibri" w:cs="Calibri"/>
          <w:sz w:val="24"/>
          <w:szCs w:val="24"/>
        </w:rPr>
        <w:t>address</w:t>
      </w:r>
      <w:r w:rsidR="000307AD" w:rsidRPr="005446C4">
        <w:rPr>
          <w:rFonts w:ascii="Calibri" w:hAnsi="Calibri" w:cs="Calibri"/>
          <w:sz w:val="24"/>
          <w:szCs w:val="24"/>
        </w:rPr>
        <w:t xml:space="preserve"> </w:t>
      </w:r>
      <w:r w:rsidR="000E620E">
        <w:rPr>
          <w:rFonts w:ascii="Calibri" w:hAnsi="Calibri" w:cs="Calibri"/>
          <w:sz w:val="24"/>
          <w:szCs w:val="24"/>
        </w:rPr>
        <w:t>identified</w:t>
      </w:r>
      <w:r w:rsidR="000307AD" w:rsidRPr="005446C4">
        <w:rPr>
          <w:rFonts w:ascii="Calibri" w:hAnsi="Calibri" w:cs="Calibri"/>
          <w:sz w:val="24"/>
          <w:szCs w:val="24"/>
        </w:rPr>
        <w:t xml:space="preserve"> challenges? </w:t>
      </w:r>
    </w:p>
    <w:p w14:paraId="3D98FAC3" w14:textId="77777777" w:rsidR="007C5DE5" w:rsidRDefault="007C5DE5">
      <w:pPr>
        <w:pStyle w:val="ListParagraph"/>
        <w:numPr>
          <w:ilvl w:val="0"/>
          <w:numId w:val="3"/>
        </w:numPr>
        <w:spacing w:line="360" w:lineRule="auto"/>
        <w:jc w:val="both"/>
        <w:rPr>
          <w:rFonts w:ascii="Calibri" w:hAnsi="Calibri" w:cs="Calibri"/>
          <w:sz w:val="24"/>
          <w:szCs w:val="24"/>
        </w:rPr>
      </w:pPr>
      <w:r w:rsidRPr="007C5DE5">
        <w:rPr>
          <w:rFonts w:ascii="Calibri" w:hAnsi="Calibri" w:cs="Calibri"/>
          <w:sz w:val="24"/>
          <w:szCs w:val="24"/>
        </w:rPr>
        <w:t xml:space="preserve">How do institutional stakeholders interpret the effectiveness and legitimacy of these mechanisms? </w:t>
      </w:r>
    </w:p>
    <w:p w14:paraId="1973C439" w14:textId="403DA19F" w:rsidR="00ED0453" w:rsidRPr="007C5DE5" w:rsidRDefault="00D348D6">
      <w:pPr>
        <w:pStyle w:val="ListParagraph"/>
        <w:numPr>
          <w:ilvl w:val="0"/>
          <w:numId w:val="3"/>
        </w:numPr>
        <w:spacing w:line="360" w:lineRule="auto"/>
        <w:jc w:val="both"/>
        <w:rPr>
          <w:rFonts w:ascii="Calibri" w:hAnsi="Calibri" w:cs="Calibri"/>
          <w:sz w:val="24"/>
          <w:szCs w:val="24"/>
        </w:rPr>
      </w:pPr>
      <w:r w:rsidRPr="007C5DE5">
        <w:rPr>
          <w:rFonts w:ascii="Calibri" w:hAnsi="Calibri" w:cs="Calibri"/>
          <w:sz w:val="24"/>
          <w:szCs w:val="24"/>
        </w:rPr>
        <w:t xml:space="preserve">What </w:t>
      </w:r>
      <w:r w:rsidR="00F51736">
        <w:rPr>
          <w:rFonts w:ascii="Calibri" w:hAnsi="Calibri" w:cs="Calibri"/>
          <w:sz w:val="24"/>
          <w:szCs w:val="24"/>
        </w:rPr>
        <w:t xml:space="preserve">components and relationships should form an evidence-informed strategic governance model? </w:t>
      </w:r>
    </w:p>
    <w:p w14:paraId="30644892" w14:textId="1CD3D21B" w:rsidR="004266EE" w:rsidRPr="005446C4" w:rsidRDefault="003B1834" w:rsidP="003B1834">
      <w:pPr>
        <w:spacing w:line="360" w:lineRule="auto"/>
        <w:jc w:val="both"/>
        <w:rPr>
          <w:rFonts w:ascii="Calibri" w:hAnsi="Calibri" w:cs="Calibri"/>
          <w:b/>
          <w:bCs/>
          <w:sz w:val="24"/>
          <w:szCs w:val="24"/>
        </w:rPr>
      </w:pPr>
      <w:r w:rsidRPr="005446C4">
        <w:rPr>
          <w:rFonts w:ascii="Calibri" w:hAnsi="Calibri" w:cs="Calibri"/>
          <w:b/>
          <w:bCs/>
          <w:sz w:val="24"/>
          <w:szCs w:val="24"/>
        </w:rPr>
        <w:t>Research Objectives</w:t>
      </w:r>
    </w:p>
    <w:p w14:paraId="22731E11" w14:textId="5E34DEBA" w:rsidR="003B1834" w:rsidRPr="005446C4" w:rsidRDefault="00523F82" w:rsidP="003B1834">
      <w:pPr>
        <w:pStyle w:val="ListParagraph"/>
        <w:numPr>
          <w:ilvl w:val="0"/>
          <w:numId w:val="4"/>
        </w:numPr>
        <w:spacing w:line="360" w:lineRule="auto"/>
        <w:jc w:val="both"/>
        <w:rPr>
          <w:rFonts w:ascii="Calibri" w:hAnsi="Calibri" w:cs="Calibri"/>
          <w:sz w:val="24"/>
          <w:szCs w:val="24"/>
        </w:rPr>
      </w:pPr>
      <w:r w:rsidRPr="005446C4">
        <w:rPr>
          <w:rFonts w:ascii="Calibri" w:hAnsi="Calibri" w:cs="Calibri"/>
          <w:sz w:val="24"/>
          <w:szCs w:val="24"/>
        </w:rPr>
        <w:t xml:space="preserve">To examine current AI governance practices in English </w:t>
      </w:r>
      <w:r w:rsidR="00F51736">
        <w:rPr>
          <w:rFonts w:ascii="Calibri" w:hAnsi="Calibri" w:cs="Calibri"/>
          <w:sz w:val="24"/>
          <w:szCs w:val="24"/>
        </w:rPr>
        <w:t>public universities.</w:t>
      </w:r>
    </w:p>
    <w:p w14:paraId="3CDAD66D" w14:textId="5EDE99A3" w:rsidR="00523F82" w:rsidRPr="005446C4" w:rsidRDefault="00523F82" w:rsidP="003B1834">
      <w:pPr>
        <w:pStyle w:val="ListParagraph"/>
        <w:numPr>
          <w:ilvl w:val="0"/>
          <w:numId w:val="4"/>
        </w:numPr>
        <w:spacing w:line="360" w:lineRule="auto"/>
        <w:jc w:val="both"/>
        <w:rPr>
          <w:rFonts w:ascii="Calibri" w:hAnsi="Calibri" w:cs="Calibri"/>
          <w:sz w:val="24"/>
          <w:szCs w:val="24"/>
        </w:rPr>
      </w:pPr>
      <w:r w:rsidRPr="005446C4">
        <w:rPr>
          <w:rFonts w:ascii="Calibri" w:hAnsi="Calibri" w:cs="Calibri"/>
          <w:sz w:val="24"/>
          <w:szCs w:val="24"/>
        </w:rPr>
        <w:t xml:space="preserve">To explore </w:t>
      </w:r>
      <w:r w:rsidR="00F51736">
        <w:rPr>
          <w:rFonts w:ascii="Calibri" w:hAnsi="Calibri" w:cs="Calibri"/>
          <w:sz w:val="24"/>
          <w:szCs w:val="24"/>
        </w:rPr>
        <w:t>how key stakeholders experience ethical and organisational challenges associated with AI.</w:t>
      </w:r>
    </w:p>
    <w:p w14:paraId="580CD716" w14:textId="12E5C578" w:rsidR="00906F0C" w:rsidRPr="005446C4" w:rsidRDefault="00F5797A" w:rsidP="003B1834">
      <w:pPr>
        <w:pStyle w:val="ListParagraph"/>
        <w:numPr>
          <w:ilvl w:val="0"/>
          <w:numId w:val="4"/>
        </w:numPr>
        <w:spacing w:line="360" w:lineRule="auto"/>
        <w:jc w:val="both"/>
        <w:rPr>
          <w:rFonts w:ascii="Calibri" w:hAnsi="Calibri" w:cs="Calibri"/>
          <w:sz w:val="24"/>
          <w:szCs w:val="24"/>
        </w:rPr>
      </w:pPr>
      <w:r w:rsidRPr="005446C4">
        <w:rPr>
          <w:rFonts w:ascii="Calibri" w:hAnsi="Calibri" w:cs="Calibri"/>
          <w:sz w:val="24"/>
          <w:szCs w:val="24"/>
        </w:rPr>
        <w:t>To i</w:t>
      </w:r>
      <w:r w:rsidR="001572EF" w:rsidRPr="005446C4">
        <w:rPr>
          <w:rFonts w:ascii="Calibri" w:hAnsi="Calibri" w:cs="Calibri"/>
          <w:sz w:val="24"/>
          <w:szCs w:val="24"/>
        </w:rPr>
        <w:t>dentify governance mechanisms supporting responsible AI implementation</w:t>
      </w:r>
      <w:r w:rsidR="00F51736">
        <w:rPr>
          <w:rFonts w:ascii="Calibri" w:hAnsi="Calibri" w:cs="Calibri"/>
          <w:sz w:val="24"/>
          <w:szCs w:val="24"/>
        </w:rPr>
        <w:t>.</w:t>
      </w:r>
    </w:p>
    <w:p w14:paraId="4DA50B93" w14:textId="78A94AD9" w:rsidR="001572EF" w:rsidRPr="005446C4" w:rsidRDefault="004B333F" w:rsidP="003B1834">
      <w:pPr>
        <w:pStyle w:val="ListParagraph"/>
        <w:numPr>
          <w:ilvl w:val="0"/>
          <w:numId w:val="4"/>
        </w:numPr>
        <w:spacing w:line="360" w:lineRule="auto"/>
        <w:jc w:val="both"/>
        <w:rPr>
          <w:rFonts w:ascii="Calibri" w:hAnsi="Calibri" w:cs="Calibri"/>
          <w:sz w:val="24"/>
          <w:szCs w:val="24"/>
        </w:rPr>
      </w:pPr>
      <w:r w:rsidRPr="005446C4">
        <w:rPr>
          <w:rFonts w:ascii="Calibri" w:hAnsi="Calibri" w:cs="Calibri"/>
          <w:sz w:val="24"/>
          <w:szCs w:val="24"/>
        </w:rPr>
        <w:t xml:space="preserve">To develop </w:t>
      </w:r>
      <w:r w:rsidR="00F51736">
        <w:rPr>
          <w:rFonts w:ascii="Calibri" w:hAnsi="Calibri" w:cs="Calibri"/>
          <w:sz w:val="24"/>
          <w:szCs w:val="24"/>
        </w:rPr>
        <w:t xml:space="preserve">and refine </w:t>
      </w:r>
      <w:r w:rsidRPr="005446C4">
        <w:rPr>
          <w:rFonts w:ascii="Calibri" w:hAnsi="Calibri" w:cs="Calibri"/>
          <w:sz w:val="24"/>
          <w:szCs w:val="24"/>
        </w:rPr>
        <w:t>an evidence-based strategic governance model</w:t>
      </w:r>
      <w:r w:rsidR="00F51736">
        <w:rPr>
          <w:rFonts w:ascii="Calibri" w:hAnsi="Calibri" w:cs="Calibri"/>
          <w:sz w:val="24"/>
          <w:szCs w:val="24"/>
        </w:rPr>
        <w:t>.</w:t>
      </w:r>
    </w:p>
    <w:p w14:paraId="7F68FD64" w14:textId="2BCFF658" w:rsidR="00882909" w:rsidRPr="005446C4" w:rsidRDefault="00AA1335" w:rsidP="00882909">
      <w:pPr>
        <w:spacing w:line="360" w:lineRule="auto"/>
        <w:jc w:val="both"/>
        <w:rPr>
          <w:rFonts w:ascii="Calibri" w:hAnsi="Calibri" w:cs="Calibri"/>
          <w:sz w:val="24"/>
          <w:szCs w:val="24"/>
        </w:rPr>
      </w:pPr>
      <w:r w:rsidRPr="005446C4">
        <w:rPr>
          <w:rFonts w:ascii="Calibri" w:hAnsi="Calibri" w:cs="Calibri"/>
          <w:sz w:val="24"/>
          <w:szCs w:val="24"/>
        </w:rPr>
        <w:t xml:space="preserve">The research objectives provide a coherent progression from </w:t>
      </w:r>
      <w:r w:rsidR="00C04F32" w:rsidRPr="005446C4">
        <w:rPr>
          <w:rFonts w:ascii="Calibri" w:hAnsi="Calibri" w:cs="Calibri"/>
          <w:sz w:val="24"/>
          <w:szCs w:val="24"/>
        </w:rPr>
        <w:t xml:space="preserve">empirical investigation towards theoretical development. They generate empirical evidence </w:t>
      </w:r>
      <w:r w:rsidR="00071549" w:rsidRPr="005446C4">
        <w:rPr>
          <w:rFonts w:ascii="Calibri" w:hAnsi="Calibri" w:cs="Calibri"/>
          <w:sz w:val="24"/>
          <w:szCs w:val="24"/>
        </w:rPr>
        <w:t xml:space="preserve">on governance practices, </w:t>
      </w:r>
      <w:r w:rsidR="00071549" w:rsidRPr="005446C4">
        <w:rPr>
          <w:rFonts w:ascii="Calibri" w:hAnsi="Calibri" w:cs="Calibri"/>
          <w:sz w:val="24"/>
          <w:szCs w:val="24"/>
        </w:rPr>
        <w:lastRenderedPageBreak/>
        <w:t xml:space="preserve">stakeholder experiences, and institutional mechanisms that support AI adoption. The last </w:t>
      </w:r>
      <w:r w:rsidR="002B21D1" w:rsidRPr="005446C4">
        <w:rPr>
          <w:rFonts w:ascii="Calibri" w:hAnsi="Calibri" w:cs="Calibri"/>
          <w:sz w:val="24"/>
          <w:szCs w:val="24"/>
        </w:rPr>
        <w:t>objective synt</w:t>
      </w:r>
      <w:r w:rsidR="005247C3" w:rsidRPr="005446C4">
        <w:rPr>
          <w:rFonts w:ascii="Calibri" w:hAnsi="Calibri" w:cs="Calibri"/>
          <w:sz w:val="24"/>
          <w:szCs w:val="24"/>
        </w:rPr>
        <w:t>hesises</w:t>
      </w:r>
      <w:r w:rsidR="007A4908">
        <w:rPr>
          <w:rFonts w:ascii="Calibri" w:hAnsi="Calibri" w:cs="Calibri"/>
          <w:sz w:val="24"/>
          <w:szCs w:val="24"/>
        </w:rPr>
        <w:t xml:space="preserve"> valuable academic</w:t>
      </w:r>
      <w:r w:rsidR="005247C3" w:rsidRPr="005446C4">
        <w:rPr>
          <w:rFonts w:ascii="Calibri" w:hAnsi="Calibri" w:cs="Calibri"/>
          <w:sz w:val="24"/>
          <w:szCs w:val="24"/>
        </w:rPr>
        <w:t xml:space="preserve"> findings to develop an evidence-informed strategic governance model that supports </w:t>
      </w:r>
      <w:r w:rsidR="009E44EF" w:rsidRPr="005446C4">
        <w:rPr>
          <w:rFonts w:ascii="Calibri" w:hAnsi="Calibri" w:cs="Calibri"/>
          <w:sz w:val="24"/>
          <w:szCs w:val="24"/>
        </w:rPr>
        <w:t xml:space="preserve">the ethical adoption of AI </w:t>
      </w:r>
      <w:r w:rsidR="005247C3" w:rsidRPr="005446C4">
        <w:rPr>
          <w:rFonts w:ascii="Calibri" w:hAnsi="Calibri" w:cs="Calibri"/>
          <w:sz w:val="24"/>
          <w:szCs w:val="24"/>
        </w:rPr>
        <w:t xml:space="preserve">within English public universities. </w:t>
      </w:r>
    </w:p>
    <w:p w14:paraId="5C04741E" w14:textId="783C565A" w:rsidR="00882909" w:rsidRDefault="009C4066" w:rsidP="000876FD">
      <w:pPr>
        <w:pStyle w:val="Heading1"/>
      </w:pPr>
      <w:bookmarkStart w:id="20" w:name="_Toc237383374"/>
      <w:bookmarkStart w:id="21" w:name="_Toc237384209"/>
      <w:bookmarkStart w:id="22" w:name="_Toc237384929"/>
      <w:bookmarkStart w:id="23" w:name="_Toc237444951"/>
      <w:r>
        <w:t xml:space="preserve">2. </w:t>
      </w:r>
      <w:r w:rsidR="000876FD">
        <w:t>Method for Conducting the Literature Review</w:t>
      </w:r>
      <w:bookmarkEnd w:id="20"/>
      <w:bookmarkEnd w:id="21"/>
      <w:bookmarkEnd w:id="22"/>
      <w:bookmarkEnd w:id="23"/>
    </w:p>
    <w:p w14:paraId="29BE4C67" w14:textId="112E6D7A" w:rsidR="000876FD" w:rsidRPr="009D16DD" w:rsidRDefault="001B5CD8" w:rsidP="009D16DD">
      <w:pPr>
        <w:spacing w:line="360" w:lineRule="auto"/>
        <w:jc w:val="both"/>
        <w:rPr>
          <w:rFonts w:ascii="Calibri" w:hAnsi="Calibri" w:cs="Calibri"/>
          <w:sz w:val="24"/>
          <w:szCs w:val="24"/>
        </w:rPr>
      </w:pPr>
      <w:r>
        <w:rPr>
          <w:rFonts w:ascii="Calibri" w:hAnsi="Calibri" w:cs="Calibri"/>
          <w:sz w:val="24"/>
          <w:szCs w:val="24"/>
        </w:rPr>
        <w:t>This coursework employs a systematic and transparent literature review to critically examine contemporary research on the ethical implementation of AI in English public universities. A systematic approach was selected because it provides a structured</w:t>
      </w:r>
      <w:r w:rsidR="00021567">
        <w:rPr>
          <w:rFonts w:ascii="Calibri" w:hAnsi="Calibri" w:cs="Calibri"/>
          <w:sz w:val="24"/>
          <w:szCs w:val="24"/>
        </w:rPr>
        <w:t xml:space="preserve">, replicable process for identifying, evaluating, and synthesising existing knowledge, </w:t>
      </w:r>
      <w:r w:rsidR="00C3052A">
        <w:rPr>
          <w:rFonts w:ascii="Calibri" w:hAnsi="Calibri" w:cs="Calibri"/>
          <w:sz w:val="24"/>
          <w:szCs w:val="24"/>
        </w:rPr>
        <w:t xml:space="preserve">reducing </w:t>
      </w:r>
      <w:r>
        <w:rPr>
          <w:rFonts w:ascii="Calibri" w:hAnsi="Calibri" w:cs="Calibri"/>
          <w:sz w:val="24"/>
          <w:szCs w:val="24"/>
        </w:rPr>
        <w:t>bias</w:t>
      </w:r>
      <w:r w:rsidR="00CB39B9">
        <w:rPr>
          <w:rFonts w:ascii="Calibri" w:hAnsi="Calibri" w:cs="Calibri"/>
          <w:sz w:val="24"/>
          <w:szCs w:val="24"/>
        </w:rPr>
        <w:t xml:space="preserve"> (Snyder, 2019; </w:t>
      </w:r>
      <w:r w:rsidR="00551A88">
        <w:rPr>
          <w:rFonts w:ascii="Calibri" w:hAnsi="Calibri" w:cs="Calibri"/>
          <w:sz w:val="24"/>
          <w:szCs w:val="24"/>
        </w:rPr>
        <w:t>Page et al., 2021)</w:t>
      </w:r>
      <w:r>
        <w:rPr>
          <w:rFonts w:ascii="Calibri" w:hAnsi="Calibri" w:cs="Calibri"/>
          <w:sz w:val="24"/>
          <w:szCs w:val="24"/>
        </w:rPr>
        <w:t xml:space="preserve">. This approach provides a </w:t>
      </w:r>
      <w:r w:rsidR="00C3052A">
        <w:rPr>
          <w:rFonts w:ascii="Calibri" w:hAnsi="Calibri" w:cs="Calibri"/>
          <w:sz w:val="24"/>
          <w:szCs w:val="24"/>
        </w:rPr>
        <w:t xml:space="preserve">rigorous academic foundation for the critical analysis and subsequent development of the </w:t>
      </w:r>
      <w:r>
        <w:rPr>
          <w:rFonts w:ascii="Calibri" w:hAnsi="Calibri" w:cs="Calibri"/>
          <w:sz w:val="24"/>
          <w:szCs w:val="24"/>
        </w:rPr>
        <w:t xml:space="preserve">proposed SGM. </w:t>
      </w:r>
    </w:p>
    <w:p w14:paraId="7D4DAFBB" w14:textId="2E52E6EF" w:rsidR="000876FD" w:rsidRDefault="00C66F18" w:rsidP="00C66F18">
      <w:pPr>
        <w:pStyle w:val="Heading2"/>
      </w:pPr>
      <w:bookmarkStart w:id="24" w:name="_Toc237383375"/>
      <w:bookmarkStart w:id="25" w:name="_Toc237384210"/>
      <w:bookmarkStart w:id="26" w:name="_Toc237384930"/>
      <w:bookmarkStart w:id="27" w:name="_Toc237444952"/>
      <w:r>
        <w:t>2.1 Search Strategy</w:t>
      </w:r>
      <w:bookmarkEnd w:id="24"/>
      <w:bookmarkEnd w:id="25"/>
      <w:bookmarkEnd w:id="26"/>
      <w:bookmarkEnd w:id="27"/>
      <w:r>
        <w:t xml:space="preserve"> </w:t>
      </w:r>
    </w:p>
    <w:p w14:paraId="61C0E5C1" w14:textId="3BDCE86E" w:rsidR="00C66F18" w:rsidRPr="00CE4B6C" w:rsidRDefault="007615DE" w:rsidP="00882909">
      <w:pPr>
        <w:spacing w:line="360" w:lineRule="auto"/>
        <w:jc w:val="both"/>
        <w:rPr>
          <w:rFonts w:ascii="Calibri" w:hAnsi="Calibri" w:cs="Calibri"/>
          <w:sz w:val="24"/>
          <w:szCs w:val="24"/>
        </w:rPr>
      </w:pPr>
      <w:r w:rsidRPr="00893F06">
        <w:rPr>
          <w:rFonts w:ascii="Calibri" w:hAnsi="Calibri" w:cs="Calibri"/>
          <w:sz w:val="24"/>
          <w:szCs w:val="24"/>
        </w:rPr>
        <w:t xml:space="preserve">The literature search </w:t>
      </w:r>
      <w:r w:rsidR="00793B96">
        <w:rPr>
          <w:rFonts w:ascii="Calibri" w:hAnsi="Calibri" w:cs="Calibri"/>
          <w:sz w:val="24"/>
          <w:szCs w:val="24"/>
        </w:rPr>
        <w:t xml:space="preserve">used six main academic databases because </w:t>
      </w:r>
      <w:r w:rsidR="008D07FD">
        <w:rPr>
          <w:rFonts w:ascii="Calibri" w:hAnsi="Calibri" w:cs="Calibri"/>
          <w:sz w:val="24"/>
          <w:szCs w:val="24"/>
        </w:rPr>
        <w:t xml:space="preserve">they provide comprehensive coverage of business, management, governance, education, and AI scholarship while reducing publication bias. </w:t>
      </w:r>
      <w:r w:rsidR="00793B96">
        <w:rPr>
          <w:rFonts w:ascii="Calibri" w:hAnsi="Calibri" w:cs="Calibri"/>
          <w:sz w:val="24"/>
          <w:szCs w:val="24"/>
        </w:rPr>
        <w:t xml:space="preserve">These include </w:t>
      </w:r>
      <w:r w:rsidR="00793B96" w:rsidRPr="00860288">
        <w:rPr>
          <w:rFonts w:ascii="Calibri" w:hAnsi="Calibri" w:cs="Calibri"/>
          <w:b/>
          <w:bCs/>
          <w:sz w:val="24"/>
          <w:szCs w:val="24"/>
        </w:rPr>
        <w:t>Scopus, Web of Science, Emerald Insight, ScienceDirect, the</w:t>
      </w:r>
      <w:r w:rsidR="00793B96">
        <w:rPr>
          <w:rFonts w:ascii="Calibri" w:hAnsi="Calibri" w:cs="Calibri"/>
          <w:sz w:val="24"/>
          <w:szCs w:val="24"/>
        </w:rPr>
        <w:t xml:space="preserve"> </w:t>
      </w:r>
      <w:r w:rsidR="00893F06" w:rsidRPr="00CC39CD">
        <w:rPr>
          <w:rFonts w:ascii="Calibri" w:hAnsi="Calibri" w:cs="Calibri"/>
          <w:b/>
          <w:bCs/>
          <w:sz w:val="24"/>
          <w:szCs w:val="24"/>
        </w:rPr>
        <w:t xml:space="preserve">UWTSD online library, </w:t>
      </w:r>
      <w:r w:rsidR="000076F5" w:rsidRPr="00CC39CD">
        <w:rPr>
          <w:rFonts w:ascii="Calibri" w:hAnsi="Calibri" w:cs="Calibri"/>
          <w:b/>
          <w:bCs/>
          <w:sz w:val="24"/>
          <w:szCs w:val="24"/>
        </w:rPr>
        <w:t>and Google Scholar</w:t>
      </w:r>
      <w:r w:rsidR="000076F5" w:rsidRPr="00893F06">
        <w:rPr>
          <w:rFonts w:ascii="Calibri" w:hAnsi="Calibri" w:cs="Calibri"/>
          <w:sz w:val="24"/>
          <w:szCs w:val="24"/>
        </w:rPr>
        <w:t>.</w:t>
      </w:r>
      <w:r w:rsidR="00723EF4">
        <w:rPr>
          <w:rFonts w:ascii="Calibri" w:hAnsi="Calibri" w:cs="Calibri"/>
          <w:sz w:val="24"/>
          <w:szCs w:val="24"/>
        </w:rPr>
        <w:t xml:space="preserve"> </w:t>
      </w:r>
      <w:r w:rsidR="00CC39CD">
        <w:rPr>
          <w:rFonts w:ascii="Calibri" w:hAnsi="Calibri" w:cs="Calibri"/>
          <w:sz w:val="24"/>
          <w:szCs w:val="24"/>
        </w:rPr>
        <w:t xml:space="preserve">These </w:t>
      </w:r>
      <w:r w:rsidR="00797FF9">
        <w:rPr>
          <w:rFonts w:ascii="Calibri" w:hAnsi="Calibri" w:cs="Calibri"/>
          <w:sz w:val="24"/>
          <w:szCs w:val="24"/>
        </w:rPr>
        <w:t>databases</w:t>
      </w:r>
      <w:r w:rsidR="00CC39CD">
        <w:rPr>
          <w:rFonts w:ascii="Calibri" w:hAnsi="Calibri" w:cs="Calibri"/>
          <w:sz w:val="24"/>
          <w:szCs w:val="24"/>
        </w:rPr>
        <w:t xml:space="preserve"> were selected because </w:t>
      </w:r>
      <w:r w:rsidR="008222F3">
        <w:rPr>
          <w:rFonts w:ascii="Calibri" w:hAnsi="Calibri" w:cs="Calibri"/>
          <w:sz w:val="24"/>
          <w:szCs w:val="24"/>
        </w:rPr>
        <w:t xml:space="preserve">they provide comprehensive coverage of peer-reviewed </w:t>
      </w:r>
      <w:r w:rsidR="00797FF9">
        <w:rPr>
          <w:rFonts w:ascii="Calibri" w:hAnsi="Calibri" w:cs="Calibri"/>
          <w:sz w:val="24"/>
          <w:szCs w:val="24"/>
        </w:rPr>
        <w:t>literature</w:t>
      </w:r>
      <w:r w:rsidR="008222F3">
        <w:rPr>
          <w:rFonts w:ascii="Calibri" w:hAnsi="Calibri" w:cs="Calibri"/>
          <w:sz w:val="24"/>
          <w:szCs w:val="24"/>
        </w:rPr>
        <w:t xml:space="preserve"> on </w:t>
      </w:r>
      <w:r w:rsidR="00797FF9">
        <w:rPr>
          <w:rFonts w:ascii="Calibri" w:hAnsi="Calibri" w:cs="Calibri"/>
          <w:sz w:val="24"/>
          <w:szCs w:val="24"/>
        </w:rPr>
        <w:t>business</w:t>
      </w:r>
      <w:r w:rsidR="008222F3">
        <w:rPr>
          <w:rFonts w:ascii="Calibri" w:hAnsi="Calibri" w:cs="Calibri"/>
          <w:sz w:val="24"/>
          <w:szCs w:val="24"/>
        </w:rPr>
        <w:t>, management</w:t>
      </w:r>
      <w:r w:rsidR="00C23682">
        <w:rPr>
          <w:rFonts w:ascii="Calibri" w:hAnsi="Calibri" w:cs="Calibri"/>
          <w:sz w:val="24"/>
          <w:szCs w:val="24"/>
        </w:rPr>
        <w:t xml:space="preserve">, HE, information systems, </w:t>
      </w:r>
      <w:r w:rsidR="00797FF9">
        <w:rPr>
          <w:rFonts w:ascii="Calibri" w:hAnsi="Calibri" w:cs="Calibri"/>
          <w:sz w:val="24"/>
          <w:szCs w:val="24"/>
        </w:rPr>
        <w:t>governance and AI research</w:t>
      </w:r>
      <w:r w:rsidR="00E64828">
        <w:rPr>
          <w:rFonts w:ascii="Calibri" w:hAnsi="Calibri" w:cs="Calibri"/>
          <w:sz w:val="24"/>
          <w:szCs w:val="24"/>
        </w:rPr>
        <w:t xml:space="preserve"> (</w:t>
      </w:r>
      <w:r w:rsidR="00E64828" w:rsidRPr="00CE4B6C">
        <w:rPr>
          <w:rFonts w:ascii="Calibri" w:hAnsi="Calibri" w:cs="Calibri"/>
          <w:sz w:val="24"/>
          <w:szCs w:val="24"/>
        </w:rPr>
        <w:t>Rethlefsen et al., 2021)</w:t>
      </w:r>
      <w:r w:rsidR="001B42EB">
        <w:rPr>
          <w:rFonts w:ascii="Calibri" w:hAnsi="Calibri" w:cs="Calibri"/>
          <w:sz w:val="24"/>
          <w:szCs w:val="24"/>
        </w:rPr>
        <w:t xml:space="preserve">. </w:t>
      </w:r>
      <w:r w:rsidR="00B3530A">
        <w:rPr>
          <w:rFonts w:ascii="Calibri" w:hAnsi="Calibri" w:cs="Calibri"/>
          <w:sz w:val="24"/>
          <w:szCs w:val="24"/>
        </w:rPr>
        <w:t xml:space="preserve">The search </w:t>
      </w:r>
      <w:r w:rsidR="00844455">
        <w:rPr>
          <w:rFonts w:ascii="Calibri" w:hAnsi="Calibri" w:cs="Calibri"/>
          <w:sz w:val="24"/>
          <w:szCs w:val="24"/>
        </w:rPr>
        <w:t>identified 2,</w:t>
      </w:r>
      <w:r w:rsidR="008104EB">
        <w:rPr>
          <w:rFonts w:ascii="Calibri" w:hAnsi="Calibri" w:cs="Calibri"/>
          <w:sz w:val="24"/>
          <w:szCs w:val="24"/>
        </w:rPr>
        <w:t>580</w:t>
      </w:r>
      <w:r w:rsidR="000134F4">
        <w:rPr>
          <w:rFonts w:ascii="Calibri" w:hAnsi="Calibri" w:cs="Calibri"/>
          <w:sz w:val="24"/>
          <w:szCs w:val="24"/>
        </w:rPr>
        <w:t xml:space="preserve"> records</w:t>
      </w:r>
      <w:r w:rsidR="00463016">
        <w:rPr>
          <w:rFonts w:ascii="Calibri" w:hAnsi="Calibri" w:cs="Calibri"/>
          <w:sz w:val="24"/>
          <w:szCs w:val="24"/>
        </w:rPr>
        <w:t xml:space="preserve"> (</w:t>
      </w:r>
      <w:r w:rsidR="009D2166">
        <w:rPr>
          <w:rFonts w:ascii="Calibri" w:hAnsi="Calibri" w:cs="Calibri"/>
          <w:sz w:val="24"/>
          <w:szCs w:val="24"/>
        </w:rPr>
        <w:t>2486 records from six databases and 94 additional records)</w:t>
      </w:r>
      <w:r w:rsidR="000134F4">
        <w:rPr>
          <w:rFonts w:ascii="Calibri" w:hAnsi="Calibri" w:cs="Calibri"/>
          <w:sz w:val="24"/>
          <w:szCs w:val="24"/>
        </w:rPr>
        <w:t>.</w:t>
      </w:r>
      <w:r w:rsidR="00844455">
        <w:rPr>
          <w:rFonts w:ascii="Calibri" w:hAnsi="Calibri" w:cs="Calibri"/>
          <w:sz w:val="24"/>
          <w:szCs w:val="24"/>
        </w:rPr>
        <w:t xml:space="preserve"> </w:t>
      </w:r>
      <w:r w:rsidR="00793B96">
        <w:rPr>
          <w:rFonts w:ascii="Calibri" w:hAnsi="Calibri" w:cs="Calibri"/>
          <w:sz w:val="24"/>
          <w:szCs w:val="24"/>
        </w:rPr>
        <w:t>After removing duplicates and screening titles and abstracts</w:t>
      </w:r>
      <w:r w:rsidR="006C4B5C">
        <w:rPr>
          <w:rFonts w:ascii="Calibri" w:hAnsi="Calibri" w:cs="Calibri"/>
          <w:sz w:val="24"/>
          <w:szCs w:val="24"/>
        </w:rPr>
        <w:t xml:space="preserve"> against the predefined eligibility criteria, relevant publications procee</w:t>
      </w:r>
      <w:r w:rsidR="00984F11">
        <w:rPr>
          <w:rFonts w:ascii="Calibri" w:hAnsi="Calibri" w:cs="Calibri"/>
          <w:sz w:val="24"/>
          <w:szCs w:val="24"/>
        </w:rPr>
        <w:t>ded to full-text assessment. Following full-text eligibility assessm</w:t>
      </w:r>
      <w:r w:rsidR="0015771F">
        <w:rPr>
          <w:rFonts w:ascii="Calibri" w:hAnsi="Calibri" w:cs="Calibri"/>
          <w:sz w:val="24"/>
          <w:szCs w:val="24"/>
        </w:rPr>
        <w:t xml:space="preserve">ent and quality appraisal, 137 studies were </w:t>
      </w:r>
      <w:r w:rsidR="00114D8B">
        <w:rPr>
          <w:rFonts w:ascii="Calibri" w:hAnsi="Calibri" w:cs="Calibri"/>
          <w:sz w:val="24"/>
          <w:szCs w:val="24"/>
        </w:rPr>
        <w:t xml:space="preserve">included in the final systematic review and thematic </w:t>
      </w:r>
      <w:r w:rsidR="00CF786C">
        <w:rPr>
          <w:rFonts w:ascii="Calibri" w:hAnsi="Calibri" w:cs="Calibri"/>
          <w:sz w:val="24"/>
          <w:szCs w:val="24"/>
        </w:rPr>
        <w:t>synthesis</w:t>
      </w:r>
      <w:r w:rsidR="00615FDF">
        <w:rPr>
          <w:rFonts w:ascii="Calibri" w:hAnsi="Calibri" w:cs="Calibri"/>
          <w:sz w:val="24"/>
          <w:szCs w:val="24"/>
        </w:rPr>
        <w:t xml:space="preserve">. </w:t>
      </w:r>
      <w:r w:rsidR="00C3016A">
        <w:rPr>
          <w:rFonts w:ascii="Calibri" w:hAnsi="Calibri" w:cs="Calibri"/>
          <w:sz w:val="24"/>
          <w:szCs w:val="24"/>
        </w:rPr>
        <w:t>Appendix E, Table E1 documents the included evidence base. Appendix E, Table E2 presents the 18 excluded studies and the reasons for their exclusion, and Table E3 summarises the corresponding exclusion criteria</w:t>
      </w:r>
      <w:r w:rsidR="001B54DB">
        <w:rPr>
          <w:rFonts w:ascii="Calibri" w:hAnsi="Calibri" w:cs="Calibri"/>
          <w:sz w:val="24"/>
          <w:szCs w:val="24"/>
        </w:rPr>
        <w:t>.</w:t>
      </w:r>
      <w:r w:rsidR="00841E75">
        <w:rPr>
          <w:rFonts w:ascii="Calibri" w:hAnsi="Calibri" w:cs="Calibri"/>
          <w:sz w:val="24"/>
          <w:szCs w:val="24"/>
        </w:rPr>
        <w:t xml:space="preserve"> </w:t>
      </w:r>
      <w:r w:rsidR="00C3016A" w:rsidRPr="00C3016A">
        <w:rPr>
          <w:rFonts w:ascii="Calibri" w:hAnsi="Calibri" w:cs="Calibri"/>
          <w:b/>
          <w:bCs/>
          <w:sz w:val="24"/>
          <w:szCs w:val="24"/>
        </w:rPr>
        <w:t>Appendix C</w:t>
      </w:r>
      <w:r w:rsidR="00C3016A">
        <w:rPr>
          <w:rFonts w:ascii="Calibri" w:hAnsi="Calibri" w:cs="Calibri"/>
          <w:sz w:val="24"/>
          <w:szCs w:val="24"/>
        </w:rPr>
        <w:t xml:space="preserve"> provides detailed study identification and screening following PRISMA 2020 principles, including search strategies, Boolean search strings, and database information</w:t>
      </w:r>
      <w:r w:rsidR="00043616">
        <w:rPr>
          <w:rFonts w:ascii="Calibri" w:hAnsi="Calibri" w:cs="Calibri"/>
          <w:b/>
          <w:bCs/>
          <w:sz w:val="24"/>
          <w:szCs w:val="24"/>
        </w:rPr>
        <w:t xml:space="preserve"> </w:t>
      </w:r>
      <w:r w:rsidR="00043616" w:rsidRPr="00CE4B6C">
        <w:rPr>
          <w:rFonts w:ascii="Calibri" w:hAnsi="Calibri" w:cs="Calibri"/>
          <w:sz w:val="24"/>
          <w:szCs w:val="24"/>
        </w:rPr>
        <w:t>(</w:t>
      </w:r>
      <w:r w:rsidR="00CE4B6C" w:rsidRPr="00CE4B6C">
        <w:rPr>
          <w:rFonts w:ascii="Calibri" w:hAnsi="Calibri" w:cs="Calibri"/>
          <w:sz w:val="24"/>
          <w:szCs w:val="24"/>
        </w:rPr>
        <w:t xml:space="preserve">Page et al., 2021; Rethlefsen et al., 2021). </w:t>
      </w:r>
    </w:p>
    <w:p w14:paraId="6F34AF03" w14:textId="01BCC022" w:rsidR="00882909" w:rsidRDefault="00003875" w:rsidP="00A22D6E">
      <w:pPr>
        <w:pStyle w:val="Heading2"/>
      </w:pPr>
      <w:bookmarkStart w:id="28" w:name="_Toc237383376"/>
      <w:bookmarkStart w:id="29" w:name="_Toc237384211"/>
      <w:bookmarkStart w:id="30" w:name="_Toc237384931"/>
      <w:bookmarkStart w:id="31" w:name="_Toc237444953"/>
      <w:r>
        <w:t>2.2 Inclu</w:t>
      </w:r>
      <w:r w:rsidR="00A22D6E">
        <w:t>sion and Exclusion Criteria</w:t>
      </w:r>
      <w:bookmarkEnd w:id="28"/>
      <w:bookmarkEnd w:id="29"/>
      <w:bookmarkEnd w:id="30"/>
      <w:bookmarkEnd w:id="31"/>
      <w:r w:rsidR="00A22D6E">
        <w:t xml:space="preserve"> </w:t>
      </w:r>
    </w:p>
    <w:p w14:paraId="0A1D0830" w14:textId="05E83E61" w:rsidR="00A22D6E" w:rsidRDefault="00692BF2" w:rsidP="00882909">
      <w:pPr>
        <w:spacing w:line="360" w:lineRule="auto"/>
        <w:jc w:val="both"/>
        <w:rPr>
          <w:rFonts w:ascii="Calibri" w:hAnsi="Calibri" w:cs="Calibri"/>
          <w:sz w:val="24"/>
          <w:szCs w:val="24"/>
        </w:rPr>
      </w:pPr>
      <w:r>
        <w:rPr>
          <w:rFonts w:ascii="Calibri" w:hAnsi="Calibri" w:cs="Calibri"/>
          <w:sz w:val="24"/>
          <w:szCs w:val="24"/>
        </w:rPr>
        <w:t>E</w:t>
      </w:r>
      <w:r w:rsidR="00703CDC">
        <w:rPr>
          <w:rFonts w:ascii="Calibri" w:hAnsi="Calibri" w:cs="Calibri"/>
          <w:sz w:val="24"/>
          <w:szCs w:val="24"/>
        </w:rPr>
        <w:t xml:space="preserve">stablished explicit inclusion and exclusion criteria </w:t>
      </w:r>
      <w:r w:rsidR="00400BAC">
        <w:rPr>
          <w:rFonts w:ascii="Calibri" w:hAnsi="Calibri" w:cs="Calibri"/>
          <w:sz w:val="24"/>
          <w:szCs w:val="24"/>
        </w:rPr>
        <w:t xml:space="preserve">before screening to strengthen </w:t>
      </w:r>
      <w:r w:rsidR="00C3052A">
        <w:rPr>
          <w:rFonts w:ascii="Calibri" w:hAnsi="Calibri" w:cs="Calibri"/>
          <w:sz w:val="24"/>
          <w:szCs w:val="24"/>
        </w:rPr>
        <w:t>methodological</w:t>
      </w:r>
      <w:r w:rsidR="00400BAC">
        <w:rPr>
          <w:rFonts w:ascii="Calibri" w:hAnsi="Calibri" w:cs="Calibri"/>
          <w:sz w:val="24"/>
          <w:szCs w:val="24"/>
        </w:rPr>
        <w:t xml:space="preserve"> consistency</w:t>
      </w:r>
      <w:r w:rsidR="00897CF6">
        <w:rPr>
          <w:rFonts w:ascii="Calibri" w:hAnsi="Calibri" w:cs="Calibri"/>
          <w:sz w:val="24"/>
          <w:szCs w:val="24"/>
        </w:rPr>
        <w:t xml:space="preserve"> (Page et al., 2021)</w:t>
      </w:r>
      <w:r w:rsidR="00400BAC">
        <w:rPr>
          <w:rFonts w:ascii="Calibri" w:hAnsi="Calibri" w:cs="Calibri"/>
          <w:sz w:val="24"/>
          <w:szCs w:val="24"/>
        </w:rPr>
        <w:t xml:space="preserve">. </w:t>
      </w:r>
      <w:r w:rsidR="00881FFE">
        <w:rPr>
          <w:rFonts w:ascii="Calibri" w:hAnsi="Calibri" w:cs="Calibri"/>
          <w:sz w:val="24"/>
          <w:szCs w:val="24"/>
        </w:rPr>
        <w:t xml:space="preserve">Included studies were published in English, </w:t>
      </w:r>
      <w:r w:rsidR="00881FFE">
        <w:rPr>
          <w:rFonts w:ascii="Calibri" w:hAnsi="Calibri" w:cs="Calibri"/>
          <w:sz w:val="24"/>
          <w:szCs w:val="24"/>
        </w:rPr>
        <w:lastRenderedPageBreak/>
        <w:t>primarily between 2022 and 2026, and</w:t>
      </w:r>
      <w:r w:rsidR="003A7B1A">
        <w:rPr>
          <w:rFonts w:ascii="Calibri" w:hAnsi="Calibri" w:cs="Calibri"/>
          <w:sz w:val="24"/>
          <w:szCs w:val="24"/>
        </w:rPr>
        <w:t xml:space="preserve"> directly addressed AI governance, ethical AI, and the </w:t>
      </w:r>
      <w:r w:rsidR="00400BAC">
        <w:rPr>
          <w:rFonts w:ascii="Calibri" w:hAnsi="Calibri" w:cs="Calibri"/>
          <w:sz w:val="24"/>
          <w:szCs w:val="24"/>
        </w:rPr>
        <w:t xml:space="preserve">strategic governance of AI adoption within HE. </w:t>
      </w:r>
      <w:r w:rsidR="00ED26AA">
        <w:rPr>
          <w:rFonts w:ascii="Calibri" w:hAnsi="Calibri" w:cs="Calibri"/>
          <w:sz w:val="24"/>
          <w:szCs w:val="24"/>
        </w:rPr>
        <w:t xml:space="preserve"> </w:t>
      </w:r>
      <w:r>
        <w:rPr>
          <w:rFonts w:ascii="Calibri" w:hAnsi="Calibri" w:cs="Calibri"/>
          <w:sz w:val="24"/>
          <w:szCs w:val="24"/>
        </w:rPr>
        <w:t>Earlier seminal sources</w:t>
      </w:r>
      <w:r w:rsidR="007435B6">
        <w:rPr>
          <w:rFonts w:ascii="Calibri" w:hAnsi="Calibri" w:cs="Calibri"/>
          <w:sz w:val="24"/>
          <w:szCs w:val="24"/>
        </w:rPr>
        <w:t xml:space="preserve"> </w:t>
      </w:r>
      <w:r>
        <w:rPr>
          <w:rFonts w:ascii="Calibri" w:hAnsi="Calibri" w:cs="Calibri"/>
          <w:sz w:val="24"/>
          <w:szCs w:val="24"/>
        </w:rPr>
        <w:t>were selectively included</w:t>
      </w:r>
      <w:r w:rsidR="00703CDC">
        <w:rPr>
          <w:rFonts w:ascii="Calibri" w:hAnsi="Calibri" w:cs="Calibri"/>
          <w:sz w:val="24"/>
          <w:szCs w:val="24"/>
        </w:rPr>
        <w:t>, where necessary, to establish the theoretical, philosophical,</w:t>
      </w:r>
      <w:r w:rsidR="00183C04">
        <w:rPr>
          <w:rFonts w:ascii="Calibri" w:hAnsi="Calibri" w:cs="Calibri"/>
          <w:sz w:val="24"/>
          <w:szCs w:val="24"/>
        </w:rPr>
        <w:t xml:space="preserve"> and methodological foundations of this investigation, rather than to present the contemporary empirical evidence base. </w:t>
      </w:r>
      <w:r w:rsidR="00400BAC">
        <w:rPr>
          <w:rFonts w:ascii="Calibri" w:hAnsi="Calibri" w:cs="Calibri"/>
          <w:sz w:val="24"/>
          <w:szCs w:val="24"/>
        </w:rPr>
        <w:t xml:space="preserve">Priority was given to peer-reviewed journal articles, while relevant policy and regulatory documents from recognised organisations, including UNESCO, the OECD, the EU and the UK government, were considered. </w:t>
      </w:r>
      <w:r w:rsidR="009D27C6">
        <w:rPr>
          <w:rFonts w:ascii="Calibri" w:hAnsi="Calibri" w:cs="Calibri"/>
          <w:sz w:val="24"/>
          <w:szCs w:val="24"/>
        </w:rPr>
        <w:t>E</w:t>
      </w:r>
      <w:r w:rsidR="00C514D5">
        <w:rPr>
          <w:rFonts w:ascii="Calibri" w:hAnsi="Calibri" w:cs="Calibri"/>
          <w:sz w:val="24"/>
          <w:szCs w:val="24"/>
        </w:rPr>
        <w:t>xcluded studies focused on technical AI development without governance implications, research outside relevant educational or organisational contexts, and non-peer-reviewed conference abstracts</w:t>
      </w:r>
      <w:r w:rsidR="00B3470B">
        <w:rPr>
          <w:rFonts w:ascii="Calibri" w:hAnsi="Calibri" w:cs="Calibri"/>
          <w:sz w:val="24"/>
          <w:szCs w:val="24"/>
        </w:rPr>
        <w:t xml:space="preserve">. </w:t>
      </w:r>
      <w:r w:rsidR="00C514D5" w:rsidRPr="00C514D5">
        <w:rPr>
          <w:rFonts w:ascii="Calibri" w:hAnsi="Calibri" w:cs="Calibri"/>
          <w:b/>
          <w:bCs/>
          <w:sz w:val="24"/>
          <w:szCs w:val="24"/>
        </w:rPr>
        <w:t>Appendix C</w:t>
      </w:r>
      <w:r w:rsidR="00C514D5">
        <w:rPr>
          <w:rFonts w:ascii="Calibri" w:hAnsi="Calibri" w:cs="Calibri"/>
          <w:sz w:val="24"/>
          <w:szCs w:val="24"/>
        </w:rPr>
        <w:t xml:space="preserve"> presents the full inclusion and exclusion criteria</w:t>
      </w:r>
      <w:r w:rsidR="00B3470B">
        <w:rPr>
          <w:rFonts w:ascii="Calibri" w:hAnsi="Calibri" w:cs="Calibri"/>
          <w:sz w:val="24"/>
          <w:szCs w:val="24"/>
        </w:rPr>
        <w:t xml:space="preserve">. </w:t>
      </w:r>
    </w:p>
    <w:p w14:paraId="14EF25CC" w14:textId="312FDAF9" w:rsidR="00903567" w:rsidRDefault="008929AA" w:rsidP="00882909">
      <w:pPr>
        <w:spacing w:line="360" w:lineRule="auto"/>
        <w:jc w:val="both"/>
        <w:rPr>
          <w:rFonts w:ascii="Calibri" w:hAnsi="Calibri" w:cs="Calibri"/>
          <w:b/>
          <w:bCs/>
          <w:sz w:val="24"/>
          <w:szCs w:val="24"/>
        </w:rPr>
      </w:pPr>
      <w:r>
        <w:rPr>
          <w:rFonts w:ascii="Calibri" w:hAnsi="Calibri" w:cs="Calibri"/>
          <w:sz w:val="24"/>
          <w:szCs w:val="24"/>
        </w:rPr>
        <w:t xml:space="preserve">The exclusion criteria are studies </w:t>
      </w:r>
      <w:r w:rsidR="006B52E0">
        <w:rPr>
          <w:rFonts w:ascii="Calibri" w:hAnsi="Calibri" w:cs="Calibri"/>
          <w:sz w:val="24"/>
          <w:szCs w:val="24"/>
        </w:rPr>
        <w:t>on technical AI development without governance implications</w:t>
      </w:r>
      <w:r w:rsidR="00EF15D3">
        <w:rPr>
          <w:rFonts w:ascii="Calibri" w:hAnsi="Calibri" w:cs="Calibri"/>
          <w:sz w:val="24"/>
          <w:szCs w:val="24"/>
        </w:rPr>
        <w:t xml:space="preserve">, </w:t>
      </w:r>
      <w:r w:rsidR="00B82F6D">
        <w:rPr>
          <w:rFonts w:ascii="Calibri" w:hAnsi="Calibri" w:cs="Calibri"/>
          <w:sz w:val="24"/>
          <w:szCs w:val="24"/>
        </w:rPr>
        <w:t>studies focusing on AI adoption outside educational or organisational contexts</w:t>
      </w:r>
      <w:r w:rsidR="00081B48">
        <w:rPr>
          <w:rFonts w:ascii="Calibri" w:hAnsi="Calibri" w:cs="Calibri"/>
          <w:sz w:val="24"/>
          <w:szCs w:val="24"/>
        </w:rPr>
        <w:t xml:space="preserve">, opinions, dissertations, </w:t>
      </w:r>
      <w:r w:rsidR="00F00E4E">
        <w:rPr>
          <w:rFonts w:ascii="Calibri" w:hAnsi="Calibri" w:cs="Calibri"/>
          <w:sz w:val="24"/>
          <w:szCs w:val="24"/>
        </w:rPr>
        <w:t xml:space="preserve">and </w:t>
      </w:r>
      <w:r w:rsidR="002D0344">
        <w:rPr>
          <w:rFonts w:ascii="Calibri" w:hAnsi="Calibri" w:cs="Calibri"/>
          <w:sz w:val="24"/>
          <w:szCs w:val="24"/>
        </w:rPr>
        <w:t xml:space="preserve">non-peer-reviewed publications </w:t>
      </w:r>
      <w:r w:rsidR="00CB1A69">
        <w:rPr>
          <w:rFonts w:ascii="Calibri" w:hAnsi="Calibri" w:cs="Calibri"/>
          <w:sz w:val="24"/>
          <w:szCs w:val="24"/>
        </w:rPr>
        <w:t xml:space="preserve">consisting </w:t>
      </w:r>
      <w:r w:rsidR="00DF3B88">
        <w:rPr>
          <w:rFonts w:ascii="Calibri" w:hAnsi="Calibri" w:cs="Calibri"/>
          <w:sz w:val="24"/>
          <w:szCs w:val="24"/>
        </w:rPr>
        <w:t>exclusively</w:t>
      </w:r>
      <w:r w:rsidR="00CB1A69">
        <w:rPr>
          <w:rFonts w:ascii="Calibri" w:hAnsi="Calibri" w:cs="Calibri"/>
          <w:sz w:val="24"/>
          <w:szCs w:val="24"/>
        </w:rPr>
        <w:t xml:space="preserve"> of conference abstracts</w:t>
      </w:r>
      <w:r w:rsidR="00900F9C">
        <w:rPr>
          <w:rFonts w:ascii="Calibri" w:hAnsi="Calibri" w:cs="Calibri"/>
          <w:sz w:val="24"/>
          <w:szCs w:val="24"/>
        </w:rPr>
        <w:t xml:space="preserve"> (Page et al., 2021)</w:t>
      </w:r>
      <w:r w:rsidR="009F058B">
        <w:rPr>
          <w:rFonts w:ascii="Calibri" w:hAnsi="Calibri" w:cs="Calibri"/>
          <w:sz w:val="24"/>
          <w:szCs w:val="24"/>
        </w:rPr>
        <w:t xml:space="preserve">. </w:t>
      </w:r>
      <w:r w:rsidR="00C514D5">
        <w:rPr>
          <w:rFonts w:ascii="Calibri" w:hAnsi="Calibri" w:cs="Calibri"/>
          <w:b/>
          <w:bCs/>
          <w:sz w:val="24"/>
          <w:szCs w:val="24"/>
        </w:rPr>
        <w:t>Appendix C presents the completed inclusion and exclusion criteria, while Appendix E (Tables E2 and E3) documents the excluded studies, reasons for exclusion, and corresponding exclusion criteria</w:t>
      </w:r>
      <w:r w:rsidR="002220C6">
        <w:rPr>
          <w:rFonts w:ascii="Calibri" w:hAnsi="Calibri" w:cs="Calibri"/>
          <w:b/>
          <w:bCs/>
          <w:sz w:val="24"/>
          <w:szCs w:val="24"/>
        </w:rPr>
        <w:t xml:space="preserve">. </w:t>
      </w:r>
    </w:p>
    <w:p w14:paraId="34CC51B1" w14:textId="6B96782E" w:rsidR="00B3470B" w:rsidRDefault="00B3470B" w:rsidP="00B3470B">
      <w:pPr>
        <w:pStyle w:val="Heading2"/>
      </w:pPr>
      <w:bookmarkStart w:id="32" w:name="_Toc237383377"/>
      <w:bookmarkStart w:id="33" w:name="_Toc237384212"/>
      <w:bookmarkStart w:id="34" w:name="_Toc237384932"/>
      <w:bookmarkStart w:id="35" w:name="_Toc237444954"/>
      <w:r>
        <w:t>2.3 Quality Appraisal</w:t>
      </w:r>
      <w:bookmarkEnd w:id="32"/>
      <w:bookmarkEnd w:id="33"/>
      <w:bookmarkEnd w:id="34"/>
      <w:bookmarkEnd w:id="35"/>
    </w:p>
    <w:p w14:paraId="7ADEA745" w14:textId="28DCFF48" w:rsidR="00B3470B" w:rsidRPr="00B3470B" w:rsidRDefault="009D27C6" w:rsidP="00882909">
      <w:pPr>
        <w:spacing w:line="360" w:lineRule="auto"/>
        <w:jc w:val="both"/>
        <w:rPr>
          <w:rFonts w:ascii="Calibri" w:hAnsi="Calibri" w:cs="Calibri"/>
          <w:sz w:val="24"/>
          <w:szCs w:val="24"/>
        </w:rPr>
      </w:pPr>
      <w:r>
        <w:rPr>
          <w:rFonts w:ascii="Calibri" w:hAnsi="Calibri" w:cs="Calibri"/>
          <w:sz w:val="24"/>
          <w:szCs w:val="24"/>
        </w:rPr>
        <w:t>A</w:t>
      </w:r>
      <w:r w:rsidR="00C514D5">
        <w:rPr>
          <w:rFonts w:ascii="Calibri" w:hAnsi="Calibri" w:cs="Calibri"/>
          <w:sz w:val="24"/>
          <w:szCs w:val="24"/>
        </w:rPr>
        <w:t xml:space="preserve">ssessed the quality and relevance of eligible studies </w:t>
      </w:r>
      <w:r w:rsidR="00B3470B" w:rsidRPr="00B3470B">
        <w:rPr>
          <w:rFonts w:ascii="Calibri" w:hAnsi="Calibri" w:cs="Calibri"/>
          <w:sz w:val="24"/>
          <w:szCs w:val="24"/>
        </w:rPr>
        <w:t>before inclusion in the synthesis.</w:t>
      </w:r>
      <w:r w:rsidR="00B3470B">
        <w:rPr>
          <w:rFonts w:ascii="Calibri" w:hAnsi="Calibri" w:cs="Calibri"/>
          <w:sz w:val="24"/>
          <w:szCs w:val="24"/>
        </w:rPr>
        <w:t xml:space="preserve"> Appraisal focused on the clarity of the research aim, appropriateness of the methodology, transparency of data collection and analysis, relevance to the research question, and acknowledgement of methodological limitations</w:t>
      </w:r>
      <w:r w:rsidR="0084553D">
        <w:rPr>
          <w:rFonts w:ascii="Calibri" w:hAnsi="Calibri" w:cs="Calibri"/>
          <w:sz w:val="24"/>
          <w:szCs w:val="24"/>
        </w:rPr>
        <w:t xml:space="preserve"> (Aromataris et al</w:t>
      </w:r>
      <w:r w:rsidR="00403E5A">
        <w:rPr>
          <w:rFonts w:ascii="Calibri" w:hAnsi="Calibri" w:cs="Calibri"/>
          <w:sz w:val="24"/>
          <w:szCs w:val="24"/>
        </w:rPr>
        <w:t>., 2024; Hong et al., 2018)</w:t>
      </w:r>
      <w:r w:rsidR="00B3470B">
        <w:rPr>
          <w:rFonts w:ascii="Calibri" w:hAnsi="Calibri" w:cs="Calibri"/>
          <w:sz w:val="24"/>
          <w:szCs w:val="24"/>
        </w:rPr>
        <w:t xml:space="preserve">. </w:t>
      </w:r>
      <w:r w:rsidR="00C514D5">
        <w:rPr>
          <w:rFonts w:ascii="Calibri" w:hAnsi="Calibri" w:cs="Calibri"/>
          <w:sz w:val="24"/>
          <w:szCs w:val="24"/>
        </w:rPr>
        <w:t xml:space="preserve">The review considered differences in methodological design and evidence quality </w:t>
      </w:r>
      <w:r w:rsidR="00312B5D">
        <w:rPr>
          <w:rFonts w:ascii="Calibri" w:hAnsi="Calibri" w:cs="Calibri"/>
          <w:sz w:val="24"/>
          <w:szCs w:val="24"/>
        </w:rPr>
        <w:t xml:space="preserve">when interpreting and </w:t>
      </w:r>
      <w:r w:rsidR="00BA6452">
        <w:rPr>
          <w:rFonts w:ascii="Calibri" w:hAnsi="Calibri" w:cs="Calibri"/>
          <w:sz w:val="24"/>
          <w:szCs w:val="24"/>
        </w:rPr>
        <w:t>comparing designs</w:t>
      </w:r>
      <w:r w:rsidR="00B3470B">
        <w:rPr>
          <w:rFonts w:ascii="Calibri" w:hAnsi="Calibri" w:cs="Calibri"/>
          <w:sz w:val="24"/>
          <w:szCs w:val="24"/>
        </w:rPr>
        <w:t>. This supported a more critical synthesis of the literature</w:t>
      </w:r>
      <w:r w:rsidR="00403E5A">
        <w:rPr>
          <w:rFonts w:ascii="Calibri" w:hAnsi="Calibri" w:cs="Calibri"/>
          <w:sz w:val="24"/>
          <w:szCs w:val="24"/>
        </w:rPr>
        <w:t xml:space="preserve"> (Ho</w:t>
      </w:r>
      <w:r w:rsidR="00A02A2E">
        <w:rPr>
          <w:rFonts w:ascii="Calibri" w:hAnsi="Calibri" w:cs="Calibri"/>
          <w:sz w:val="24"/>
          <w:szCs w:val="24"/>
        </w:rPr>
        <w:t>ng et al., 2018)</w:t>
      </w:r>
      <w:r w:rsidR="00B3470B">
        <w:rPr>
          <w:rFonts w:ascii="Calibri" w:hAnsi="Calibri" w:cs="Calibri"/>
          <w:sz w:val="24"/>
          <w:szCs w:val="24"/>
        </w:rPr>
        <w:t xml:space="preserve">. </w:t>
      </w:r>
      <w:r w:rsidR="00B3470B" w:rsidRPr="00B3470B">
        <w:rPr>
          <w:rFonts w:ascii="Calibri" w:hAnsi="Calibri" w:cs="Calibri"/>
          <w:sz w:val="24"/>
          <w:szCs w:val="24"/>
        </w:rPr>
        <w:t xml:space="preserve"> </w:t>
      </w:r>
    </w:p>
    <w:p w14:paraId="1555C791" w14:textId="16B83F5A" w:rsidR="00556DB5" w:rsidRDefault="00A86CF3" w:rsidP="00A86CF3">
      <w:pPr>
        <w:pStyle w:val="Heading2"/>
      </w:pPr>
      <w:bookmarkStart w:id="36" w:name="_Toc237383378"/>
      <w:bookmarkStart w:id="37" w:name="_Toc237384213"/>
      <w:bookmarkStart w:id="38" w:name="_Toc237384933"/>
      <w:bookmarkStart w:id="39" w:name="_Toc237444955"/>
      <w:r>
        <w:t>2.</w:t>
      </w:r>
      <w:r w:rsidR="00B3470B">
        <w:t>4</w:t>
      </w:r>
      <w:r>
        <w:t xml:space="preserve"> Analytical Procedure</w:t>
      </w:r>
      <w:bookmarkEnd w:id="36"/>
      <w:bookmarkEnd w:id="37"/>
      <w:bookmarkEnd w:id="38"/>
      <w:bookmarkEnd w:id="39"/>
    </w:p>
    <w:p w14:paraId="344C7E34" w14:textId="3F5E3004" w:rsidR="00A86CF3" w:rsidRDefault="007448DD" w:rsidP="00882909">
      <w:pPr>
        <w:spacing w:line="360" w:lineRule="auto"/>
        <w:jc w:val="both"/>
        <w:rPr>
          <w:rFonts w:ascii="Calibri" w:hAnsi="Calibri" w:cs="Calibri"/>
          <w:sz w:val="24"/>
          <w:szCs w:val="24"/>
        </w:rPr>
      </w:pPr>
      <w:r>
        <w:rPr>
          <w:rFonts w:ascii="Calibri" w:hAnsi="Calibri" w:cs="Calibri"/>
          <w:sz w:val="24"/>
          <w:szCs w:val="24"/>
        </w:rPr>
        <w:t xml:space="preserve">The 137 academic studies included in the final evidence base were analysed using thematic synthesis. </w:t>
      </w:r>
      <w:r w:rsidR="00300DEA">
        <w:rPr>
          <w:rFonts w:ascii="Calibri" w:hAnsi="Calibri" w:cs="Calibri"/>
          <w:sz w:val="24"/>
          <w:szCs w:val="24"/>
        </w:rPr>
        <w:t xml:space="preserve">All </w:t>
      </w:r>
      <w:r w:rsidR="00104D91">
        <w:rPr>
          <w:rFonts w:ascii="Calibri" w:hAnsi="Calibri" w:cs="Calibri"/>
          <w:sz w:val="24"/>
          <w:szCs w:val="24"/>
        </w:rPr>
        <w:t>eligible publications were read in full</w:t>
      </w:r>
      <w:r w:rsidR="00464020">
        <w:rPr>
          <w:rFonts w:ascii="Calibri" w:hAnsi="Calibri" w:cs="Calibri"/>
          <w:sz w:val="24"/>
          <w:szCs w:val="24"/>
        </w:rPr>
        <w:t xml:space="preserve"> and coded according to recurring concepts</w:t>
      </w:r>
      <w:r w:rsidR="009F7F9F">
        <w:rPr>
          <w:rFonts w:ascii="Calibri" w:hAnsi="Calibri" w:cs="Calibri"/>
          <w:sz w:val="24"/>
          <w:szCs w:val="24"/>
        </w:rPr>
        <w:t xml:space="preserve">, governance mechanisms, ethical issues, and strategic management perspectives. </w:t>
      </w:r>
      <w:r w:rsidR="00F34EF9">
        <w:rPr>
          <w:rFonts w:ascii="Calibri" w:hAnsi="Calibri" w:cs="Calibri"/>
          <w:sz w:val="24"/>
          <w:szCs w:val="24"/>
        </w:rPr>
        <w:t xml:space="preserve">The coding process </w:t>
      </w:r>
      <w:r w:rsidR="001A1226">
        <w:rPr>
          <w:rFonts w:ascii="Calibri" w:hAnsi="Calibri" w:cs="Calibri"/>
          <w:sz w:val="24"/>
          <w:szCs w:val="24"/>
        </w:rPr>
        <w:t>identified four overarching themes:</w:t>
      </w:r>
      <w:r w:rsidR="00F34EF9">
        <w:rPr>
          <w:rFonts w:ascii="Calibri" w:hAnsi="Calibri" w:cs="Calibri"/>
          <w:sz w:val="24"/>
          <w:szCs w:val="24"/>
        </w:rPr>
        <w:t xml:space="preserve"> AI adoption within HE, ethical governance, </w:t>
      </w:r>
      <w:r w:rsidR="00F34EF9">
        <w:rPr>
          <w:rFonts w:ascii="Calibri" w:hAnsi="Calibri" w:cs="Calibri"/>
          <w:sz w:val="24"/>
          <w:szCs w:val="24"/>
        </w:rPr>
        <w:lastRenderedPageBreak/>
        <w:t>strategic governance and leadership, and current research gaps</w:t>
      </w:r>
      <w:r w:rsidR="008924AB">
        <w:rPr>
          <w:rFonts w:ascii="Calibri" w:hAnsi="Calibri" w:cs="Calibri"/>
          <w:sz w:val="24"/>
          <w:szCs w:val="24"/>
        </w:rPr>
        <w:t xml:space="preserve"> (Byrne, 2022; </w:t>
      </w:r>
      <w:r w:rsidR="00E24ECB">
        <w:rPr>
          <w:rFonts w:ascii="Calibri" w:hAnsi="Calibri" w:cs="Calibri"/>
          <w:sz w:val="24"/>
          <w:szCs w:val="24"/>
        </w:rPr>
        <w:t xml:space="preserve">Thomas </w:t>
      </w:r>
      <w:r w:rsidR="00D82198">
        <w:rPr>
          <w:rFonts w:ascii="Calibri" w:hAnsi="Calibri" w:cs="Calibri"/>
          <w:sz w:val="24"/>
          <w:szCs w:val="24"/>
        </w:rPr>
        <w:t>and</w:t>
      </w:r>
      <w:r w:rsidR="00E24ECB">
        <w:rPr>
          <w:rFonts w:ascii="Calibri" w:hAnsi="Calibri" w:cs="Calibri"/>
          <w:sz w:val="24"/>
          <w:szCs w:val="24"/>
        </w:rPr>
        <w:t xml:space="preserve"> Harden, 2008)</w:t>
      </w:r>
      <w:r w:rsidR="00F34EF9">
        <w:rPr>
          <w:rFonts w:ascii="Calibri" w:hAnsi="Calibri" w:cs="Calibri"/>
          <w:sz w:val="24"/>
          <w:szCs w:val="24"/>
        </w:rPr>
        <w:t xml:space="preserve">. </w:t>
      </w:r>
    </w:p>
    <w:p w14:paraId="7E033C1F" w14:textId="2455670E" w:rsidR="00F34EF9" w:rsidRDefault="002A6A1D" w:rsidP="00882909">
      <w:pPr>
        <w:spacing w:line="360" w:lineRule="auto"/>
        <w:jc w:val="both"/>
        <w:rPr>
          <w:rFonts w:ascii="Calibri" w:hAnsi="Calibri" w:cs="Calibri"/>
          <w:sz w:val="24"/>
          <w:szCs w:val="24"/>
        </w:rPr>
      </w:pPr>
      <w:r>
        <w:rPr>
          <w:rFonts w:ascii="Calibri" w:hAnsi="Calibri" w:cs="Calibri"/>
          <w:sz w:val="24"/>
          <w:szCs w:val="24"/>
        </w:rPr>
        <w:t xml:space="preserve">Each study was critically evaluated from </w:t>
      </w:r>
      <w:r w:rsidR="00092EDA">
        <w:rPr>
          <w:rFonts w:ascii="Calibri" w:hAnsi="Calibri" w:cs="Calibri"/>
          <w:sz w:val="24"/>
          <w:szCs w:val="24"/>
        </w:rPr>
        <w:t xml:space="preserve">a </w:t>
      </w:r>
      <w:r>
        <w:rPr>
          <w:rFonts w:ascii="Calibri" w:hAnsi="Calibri" w:cs="Calibri"/>
          <w:sz w:val="24"/>
          <w:szCs w:val="24"/>
        </w:rPr>
        <w:t>philosophical perspective by examining ontological</w:t>
      </w:r>
      <w:r w:rsidR="00092EDA">
        <w:rPr>
          <w:rFonts w:ascii="Calibri" w:hAnsi="Calibri" w:cs="Calibri"/>
          <w:sz w:val="24"/>
          <w:szCs w:val="24"/>
        </w:rPr>
        <w:t xml:space="preserve">, epistemological, and methodological assumptions. </w:t>
      </w:r>
      <w:r w:rsidR="0057425B">
        <w:rPr>
          <w:rFonts w:ascii="Calibri" w:hAnsi="Calibri" w:cs="Calibri"/>
          <w:sz w:val="24"/>
          <w:szCs w:val="24"/>
        </w:rPr>
        <w:t>The review focuses on studies that adopt positivist, interpretivist, or critical realist viewpoints and on how these philosophical positions influence research design, evidence generation, and the interpretation of findings</w:t>
      </w:r>
      <w:r w:rsidR="00E27BD0">
        <w:rPr>
          <w:rFonts w:ascii="Calibri" w:hAnsi="Calibri" w:cs="Calibri"/>
          <w:sz w:val="24"/>
          <w:szCs w:val="24"/>
        </w:rPr>
        <w:t xml:space="preserve">. </w:t>
      </w:r>
      <w:r w:rsidR="002351AC">
        <w:rPr>
          <w:rFonts w:ascii="Calibri" w:hAnsi="Calibri" w:cs="Calibri"/>
          <w:sz w:val="24"/>
          <w:szCs w:val="24"/>
        </w:rPr>
        <w:t>This philosophical evaluation supports the wider aim of the coursework</w:t>
      </w:r>
      <w:r w:rsidR="00A77574">
        <w:rPr>
          <w:rFonts w:ascii="Calibri" w:hAnsi="Calibri" w:cs="Calibri"/>
          <w:sz w:val="24"/>
          <w:szCs w:val="24"/>
        </w:rPr>
        <w:t xml:space="preserve"> (</w:t>
      </w:r>
      <w:r w:rsidR="00B53506">
        <w:rPr>
          <w:rFonts w:ascii="Calibri" w:hAnsi="Calibri" w:cs="Calibri"/>
          <w:sz w:val="24"/>
          <w:szCs w:val="24"/>
        </w:rPr>
        <w:t>Al-Ababneh, 2020; Edwards</w:t>
      </w:r>
      <w:r w:rsidR="00C46306">
        <w:rPr>
          <w:rFonts w:ascii="Calibri" w:hAnsi="Calibri" w:cs="Calibri"/>
          <w:sz w:val="24"/>
          <w:szCs w:val="24"/>
        </w:rPr>
        <w:t xml:space="preserve"> et al.</w:t>
      </w:r>
      <w:r w:rsidR="00B53506">
        <w:rPr>
          <w:rFonts w:ascii="Calibri" w:hAnsi="Calibri" w:cs="Calibri"/>
          <w:sz w:val="24"/>
          <w:szCs w:val="24"/>
        </w:rPr>
        <w:t>, 2014)</w:t>
      </w:r>
      <w:r w:rsidR="002351AC">
        <w:rPr>
          <w:rFonts w:ascii="Calibri" w:hAnsi="Calibri" w:cs="Calibri"/>
          <w:sz w:val="24"/>
          <w:szCs w:val="24"/>
        </w:rPr>
        <w:t xml:space="preserve">. It </w:t>
      </w:r>
      <w:r w:rsidR="00002E7F">
        <w:rPr>
          <w:rFonts w:ascii="Calibri" w:hAnsi="Calibri" w:cs="Calibri"/>
          <w:sz w:val="24"/>
          <w:szCs w:val="24"/>
        </w:rPr>
        <w:t xml:space="preserve">demonstrates the relationship between research philosophy and methodological decision-making. </w:t>
      </w:r>
    </w:p>
    <w:p w14:paraId="55DD3BF7" w14:textId="4D23E012" w:rsidR="00002E7F" w:rsidRDefault="00002E7F" w:rsidP="00243D3A">
      <w:pPr>
        <w:pStyle w:val="Heading2"/>
      </w:pPr>
      <w:bookmarkStart w:id="40" w:name="_Toc237383379"/>
      <w:bookmarkStart w:id="41" w:name="_Toc237384214"/>
      <w:bookmarkStart w:id="42" w:name="_Toc237384934"/>
      <w:bookmarkStart w:id="43" w:name="_Toc237444956"/>
      <w:r>
        <w:t>2.</w:t>
      </w:r>
      <w:r w:rsidR="00DA5334">
        <w:t>5</w:t>
      </w:r>
      <w:r>
        <w:t xml:space="preserve"> </w:t>
      </w:r>
      <w:r w:rsidR="00243D3A">
        <w:t>Limitations of the Review Approach</w:t>
      </w:r>
      <w:bookmarkEnd w:id="40"/>
      <w:bookmarkEnd w:id="41"/>
      <w:bookmarkEnd w:id="42"/>
      <w:bookmarkEnd w:id="43"/>
      <w:r w:rsidR="00243D3A">
        <w:t xml:space="preserve"> </w:t>
      </w:r>
    </w:p>
    <w:p w14:paraId="47E4F2C8" w14:textId="1D8D8E82" w:rsidR="00243D3A" w:rsidRPr="000D6D67" w:rsidRDefault="00D824D9" w:rsidP="000D6D67">
      <w:pPr>
        <w:spacing w:line="360" w:lineRule="auto"/>
        <w:jc w:val="both"/>
        <w:rPr>
          <w:rFonts w:ascii="Calibri" w:hAnsi="Calibri" w:cs="Calibri"/>
          <w:sz w:val="24"/>
          <w:szCs w:val="24"/>
        </w:rPr>
      </w:pPr>
      <w:r w:rsidRPr="000D6D67">
        <w:rPr>
          <w:rFonts w:ascii="Calibri" w:hAnsi="Calibri" w:cs="Calibri"/>
          <w:sz w:val="24"/>
          <w:szCs w:val="24"/>
        </w:rPr>
        <w:t xml:space="preserve">A systematic review enhances transparency and methodological </w:t>
      </w:r>
      <w:r w:rsidR="00367A20" w:rsidRPr="000D6D67">
        <w:rPr>
          <w:rFonts w:ascii="Calibri" w:hAnsi="Calibri" w:cs="Calibri"/>
          <w:sz w:val="24"/>
          <w:szCs w:val="24"/>
        </w:rPr>
        <w:t>consistency</w:t>
      </w:r>
      <w:r w:rsidR="000D6D67" w:rsidRPr="000D6D67">
        <w:rPr>
          <w:rFonts w:ascii="Calibri" w:hAnsi="Calibri" w:cs="Calibri"/>
          <w:sz w:val="24"/>
          <w:szCs w:val="24"/>
        </w:rPr>
        <w:t xml:space="preserve">. However, several limitations are known. </w:t>
      </w:r>
      <w:r w:rsidR="00C97A5D">
        <w:rPr>
          <w:rFonts w:ascii="Calibri" w:hAnsi="Calibri" w:cs="Calibri"/>
          <w:sz w:val="24"/>
          <w:szCs w:val="24"/>
        </w:rPr>
        <w:t>Restricting the review to English-language publications may have excluded valuable, relevant international research</w:t>
      </w:r>
      <w:r w:rsidR="0084543B">
        <w:rPr>
          <w:rFonts w:ascii="Calibri" w:hAnsi="Calibri" w:cs="Calibri"/>
          <w:sz w:val="24"/>
          <w:szCs w:val="24"/>
        </w:rPr>
        <w:t xml:space="preserve"> (Page</w:t>
      </w:r>
      <w:r w:rsidR="008B318B">
        <w:rPr>
          <w:rFonts w:ascii="Calibri" w:hAnsi="Calibri" w:cs="Calibri"/>
          <w:sz w:val="24"/>
          <w:szCs w:val="24"/>
        </w:rPr>
        <w:t xml:space="preserve"> et al., 2021; Morrison et al., 2012).</w:t>
      </w:r>
      <w:r w:rsidR="00C97A5D">
        <w:rPr>
          <w:rFonts w:ascii="Calibri" w:hAnsi="Calibri" w:cs="Calibri"/>
          <w:sz w:val="24"/>
          <w:szCs w:val="24"/>
        </w:rPr>
        <w:t xml:space="preserve"> </w:t>
      </w:r>
      <w:r w:rsidR="00C514D5">
        <w:rPr>
          <w:rFonts w:ascii="Calibri" w:hAnsi="Calibri" w:cs="Calibri"/>
          <w:sz w:val="24"/>
          <w:szCs w:val="24"/>
        </w:rPr>
        <w:t>AI's rapid evolution suggests</w:t>
      </w:r>
      <w:r w:rsidR="00943398">
        <w:rPr>
          <w:rFonts w:ascii="Calibri" w:hAnsi="Calibri" w:cs="Calibri"/>
          <w:sz w:val="24"/>
          <w:szCs w:val="24"/>
        </w:rPr>
        <w:t xml:space="preserve"> that </w:t>
      </w:r>
      <w:r w:rsidR="00AA7F78">
        <w:rPr>
          <w:rFonts w:ascii="Calibri" w:hAnsi="Calibri" w:cs="Calibri"/>
          <w:sz w:val="24"/>
          <w:szCs w:val="24"/>
        </w:rPr>
        <w:t>new studies may be published</w:t>
      </w:r>
      <w:r w:rsidR="00943398">
        <w:rPr>
          <w:rFonts w:ascii="Calibri" w:hAnsi="Calibri" w:cs="Calibri"/>
          <w:sz w:val="24"/>
          <w:szCs w:val="24"/>
        </w:rPr>
        <w:t xml:space="preserve"> after this coursework is completed. </w:t>
      </w:r>
      <w:r w:rsidR="00AA7F78">
        <w:rPr>
          <w:rFonts w:ascii="Calibri" w:hAnsi="Calibri" w:cs="Calibri"/>
          <w:sz w:val="24"/>
          <w:szCs w:val="24"/>
        </w:rPr>
        <w:t xml:space="preserve">Moreover, much of the existing literature remains conceptual rather than </w:t>
      </w:r>
      <w:r w:rsidR="000E2863">
        <w:rPr>
          <w:rFonts w:ascii="Calibri" w:hAnsi="Calibri" w:cs="Calibri"/>
          <w:sz w:val="24"/>
          <w:szCs w:val="24"/>
        </w:rPr>
        <w:t xml:space="preserve">empirical. </w:t>
      </w:r>
      <w:r w:rsidR="00114A7C">
        <w:rPr>
          <w:rFonts w:ascii="Calibri" w:hAnsi="Calibri" w:cs="Calibri"/>
          <w:sz w:val="24"/>
          <w:szCs w:val="24"/>
        </w:rPr>
        <w:t>The l</w:t>
      </w:r>
      <w:r w:rsidR="00E97B1D">
        <w:rPr>
          <w:rFonts w:ascii="Calibri" w:hAnsi="Calibri" w:cs="Calibri"/>
          <w:sz w:val="24"/>
          <w:szCs w:val="24"/>
        </w:rPr>
        <w:t xml:space="preserve">iterature provides limited empirical evidence on governance practice within English </w:t>
      </w:r>
      <w:r w:rsidR="008A5F99">
        <w:rPr>
          <w:rFonts w:ascii="Calibri" w:hAnsi="Calibri" w:cs="Calibri"/>
          <w:sz w:val="24"/>
          <w:szCs w:val="24"/>
        </w:rPr>
        <w:t xml:space="preserve">public universities. </w:t>
      </w:r>
      <w:r w:rsidR="00636C06">
        <w:rPr>
          <w:rFonts w:ascii="Calibri" w:hAnsi="Calibri" w:cs="Calibri"/>
          <w:sz w:val="24"/>
          <w:szCs w:val="24"/>
        </w:rPr>
        <w:t xml:space="preserve">Despite these limitations, the systematic methodology provides a robust </w:t>
      </w:r>
      <w:r w:rsidR="006A7054">
        <w:rPr>
          <w:rFonts w:ascii="Calibri" w:hAnsi="Calibri" w:cs="Calibri"/>
          <w:sz w:val="24"/>
          <w:szCs w:val="24"/>
        </w:rPr>
        <w:t>and transparent foundation for the sub</w:t>
      </w:r>
      <w:r w:rsidR="00D26E44">
        <w:rPr>
          <w:rFonts w:ascii="Calibri" w:hAnsi="Calibri" w:cs="Calibri"/>
          <w:sz w:val="24"/>
          <w:szCs w:val="24"/>
        </w:rPr>
        <w:t xml:space="preserve">sequent philosophical analysis and development </w:t>
      </w:r>
      <w:r w:rsidR="004E3BF0">
        <w:rPr>
          <w:rFonts w:ascii="Calibri" w:hAnsi="Calibri" w:cs="Calibri"/>
          <w:sz w:val="24"/>
          <w:szCs w:val="24"/>
        </w:rPr>
        <w:t>of the proposed SGM</w:t>
      </w:r>
      <w:r w:rsidR="00DF45FB">
        <w:rPr>
          <w:rFonts w:ascii="Calibri" w:hAnsi="Calibri" w:cs="Calibri"/>
          <w:sz w:val="24"/>
          <w:szCs w:val="24"/>
        </w:rPr>
        <w:t xml:space="preserve"> (Gomes</w:t>
      </w:r>
      <w:r w:rsidR="00C46306">
        <w:rPr>
          <w:rFonts w:ascii="Calibri" w:hAnsi="Calibri" w:cs="Calibri"/>
          <w:sz w:val="24"/>
          <w:szCs w:val="24"/>
        </w:rPr>
        <w:t xml:space="preserve"> et al.</w:t>
      </w:r>
      <w:r w:rsidR="00DF45FB">
        <w:rPr>
          <w:rFonts w:ascii="Calibri" w:hAnsi="Calibri" w:cs="Calibri"/>
          <w:sz w:val="24"/>
          <w:szCs w:val="24"/>
        </w:rPr>
        <w:t>, 2025; Jiang</w:t>
      </w:r>
      <w:r w:rsidR="00355B21">
        <w:rPr>
          <w:rFonts w:ascii="Calibri" w:hAnsi="Calibri" w:cs="Calibri"/>
          <w:sz w:val="24"/>
          <w:szCs w:val="24"/>
        </w:rPr>
        <w:t xml:space="preserve"> and Abdullah,</w:t>
      </w:r>
      <w:r w:rsidR="00DF45FB">
        <w:rPr>
          <w:rFonts w:ascii="Calibri" w:hAnsi="Calibri" w:cs="Calibri"/>
          <w:sz w:val="24"/>
          <w:szCs w:val="24"/>
        </w:rPr>
        <w:t xml:space="preserve"> 2026)</w:t>
      </w:r>
      <w:r w:rsidR="004E3BF0">
        <w:rPr>
          <w:rFonts w:ascii="Calibri" w:hAnsi="Calibri" w:cs="Calibri"/>
          <w:sz w:val="24"/>
          <w:szCs w:val="24"/>
        </w:rPr>
        <w:t xml:space="preserve">. </w:t>
      </w:r>
    </w:p>
    <w:p w14:paraId="794D83C9" w14:textId="2B6BB801" w:rsidR="0072533A" w:rsidRPr="000876FD" w:rsidRDefault="004A73F1" w:rsidP="004A73F1">
      <w:pPr>
        <w:pStyle w:val="Heading1"/>
      </w:pPr>
      <w:bookmarkStart w:id="44" w:name="_Toc237383380"/>
      <w:bookmarkStart w:id="45" w:name="_Toc237384215"/>
      <w:bookmarkStart w:id="46" w:name="_Toc237384935"/>
      <w:bookmarkStart w:id="47" w:name="_Toc237444957"/>
      <w:r>
        <w:t>3</w:t>
      </w:r>
      <w:r w:rsidR="00882909" w:rsidRPr="000876FD">
        <w:t>. Literature Review</w:t>
      </w:r>
      <w:bookmarkEnd w:id="44"/>
      <w:bookmarkEnd w:id="45"/>
      <w:bookmarkEnd w:id="46"/>
      <w:bookmarkEnd w:id="47"/>
    </w:p>
    <w:p w14:paraId="136A0DD2" w14:textId="737412BF" w:rsidR="004D282C" w:rsidRPr="004A73F1" w:rsidRDefault="003F194F" w:rsidP="004A73F1">
      <w:pPr>
        <w:pStyle w:val="Heading2"/>
      </w:pPr>
      <w:bookmarkStart w:id="48" w:name="_Toc237383381"/>
      <w:bookmarkStart w:id="49" w:name="_Toc237384216"/>
      <w:bookmarkStart w:id="50" w:name="_Toc237384936"/>
      <w:bookmarkStart w:id="51" w:name="_Toc237444958"/>
      <w:r>
        <w:rPr>
          <w:rStyle w:val="Heading2Char"/>
        </w:rPr>
        <w:t>3</w:t>
      </w:r>
      <w:r w:rsidR="00BD0291" w:rsidRPr="004A73F1">
        <w:rPr>
          <w:rStyle w:val="Heading2Char"/>
        </w:rPr>
        <w:t>.</w:t>
      </w:r>
      <w:r w:rsidR="00882909" w:rsidRPr="004A73F1">
        <w:rPr>
          <w:rStyle w:val="Heading2Char"/>
        </w:rPr>
        <w:t>1</w:t>
      </w:r>
      <w:r w:rsidR="00BD0291" w:rsidRPr="004A73F1">
        <w:rPr>
          <w:rStyle w:val="Heading2Char"/>
        </w:rPr>
        <w:t xml:space="preserve"> </w:t>
      </w:r>
      <w:r>
        <w:rPr>
          <w:rStyle w:val="Heading2Char"/>
        </w:rPr>
        <w:t xml:space="preserve">Theme 1: </w:t>
      </w:r>
      <w:r w:rsidR="00BD0291" w:rsidRPr="004A73F1">
        <w:rPr>
          <w:rStyle w:val="Heading2Char"/>
        </w:rPr>
        <w:t>AI Adoption in HEIs</w:t>
      </w:r>
      <w:bookmarkEnd w:id="48"/>
      <w:bookmarkEnd w:id="49"/>
      <w:bookmarkEnd w:id="50"/>
      <w:bookmarkEnd w:id="51"/>
      <w:r w:rsidR="00BD0291" w:rsidRPr="004A73F1">
        <w:t xml:space="preserve"> </w:t>
      </w:r>
    </w:p>
    <w:p w14:paraId="50839FFF" w14:textId="3996CDE7" w:rsidR="00BD0291" w:rsidRPr="009129CB" w:rsidRDefault="00C514D5" w:rsidP="0051172A">
      <w:pPr>
        <w:spacing w:line="360" w:lineRule="auto"/>
        <w:jc w:val="both"/>
        <w:rPr>
          <w:rFonts w:ascii="Calibri" w:hAnsi="Calibri" w:cs="Calibri"/>
          <w:sz w:val="24"/>
          <w:szCs w:val="24"/>
        </w:rPr>
      </w:pPr>
      <w:r>
        <w:rPr>
          <w:rFonts w:ascii="Calibri" w:hAnsi="Calibri" w:cs="Calibri"/>
          <w:sz w:val="24"/>
          <w:szCs w:val="24"/>
        </w:rPr>
        <w:t>Academic interest has grown substantially</w:t>
      </w:r>
      <w:r w:rsidR="004A2BBC" w:rsidRPr="009129CB">
        <w:rPr>
          <w:rFonts w:ascii="Calibri" w:hAnsi="Calibri" w:cs="Calibri"/>
          <w:sz w:val="24"/>
          <w:szCs w:val="24"/>
        </w:rPr>
        <w:t xml:space="preserve"> in recent years. The literature </w:t>
      </w:r>
      <w:r w:rsidR="00E412FD" w:rsidRPr="009129CB">
        <w:rPr>
          <w:rFonts w:ascii="Calibri" w:hAnsi="Calibri" w:cs="Calibri"/>
          <w:sz w:val="24"/>
          <w:szCs w:val="24"/>
        </w:rPr>
        <w:t>converges on</w:t>
      </w:r>
      <w:r w:rsidR="004A2BBC" w:rsidRPr="009129CB">
        <w:rPr>
          <w:rFonts w:ascii="Calibri" w:hAnsi="Calibri" w:cs="Calibri"/>
          <w:sz w:val="24"/>
          <w:szCs w:val="24"/>
        </w:rPr>
        <w:t xml:space="preserve"> the transformative potential of AI technologies in </w:t>
      </w:r>
      <w:r w:rsidR="008607E1" w:rsidRPr="009129CB">
        <w:rPr>
          <w:rFonts w:ascii="Calibri" w:hAnsi="Calibri" w:cs="Calibri"/>
          <w:sz w:val="24"/>
          <w:szCs w:val="24"/>
        </w:rPr>
        <w:t>developing</w:t>
      </w:r>
      <w:r w:rsidR="004A2BBC" w:rsidRPr="009129CB">
        <w:rPr>
          <w:rFonts w:ascii="Calibri" w:hAnsi="Calibri" w:cs="Calibri"/>
          <w:sz w:val="24"/>
          <w:szCs w:val="24"/>
        </w:rPr>
        <w:t xml:space="preserve"> learning experiences. Moreover, it supports personalised education and improves decision-making. AI has significant potential to improve educational efficiency through adaptive learning systems that respond to individual student needs. Furthermore, AI can </w:t>
      </w:r>
      <w:r w:rsidR="00D46074">
        <w:rPr>
          <w:rFonts w:ascii="Calibri" w:hAnsi="Calibri" w:cs="Calibri"/>
          <w:sz w:val="24"/>
          <w:szCs w:val="24"/>
        </w:rPr>
        <w:t>assist</w:t>
      </w:r>
      <w:r w:rsidR="004A2BBC" w:rsidRPr="009129CB">
        <w:rPr>
          <w:rFonts w:ascii="Calibri" w:hAnsi="Calibri" w:cs="Calibri"/>
          <w:sz w:val="24"/>
          <w:szCs w:val="24"/>
        </w:rPr>
        <w:t xml:space="preserve"> educators </w:t>
      </w:r>
      <w:r w:rsidR="00A64C7F" w:rsidRPr="009129CB">
        <w:rPr>
          <w:rFonts w:ascii="Calibri" w:hAnsi="Calibri" w:cs="Calibri"/>
          <w:sz w:val="24"/>
          <w:szCs w:val="24"/>
        </w:rPr>
        <w:t>by automating routine administrative tasks. This leads to greater focus on pedagogic activities</w:t>
      </w:r>
      <w:r w:rsidR="008A4303">
        <w:rPr>
          <w:rFonts w:ascii="Calibri" w:hAnsi="Calibri" w:cs="Calibri"/>
          <w:sz w:val="24"/>
          <w:szCs w:val="24"/>
        </w:rPr>
        <w:t xml:space="preserve"> (</w:t>
      </w:r>
      <w:r w:rsidR="007B73A0">
        <w:rPr>
          <w:rFonts w:ascii="Calibri" w:hAnsi="Calibri" w:cs="Calibri"/>
          <w:sz w:val="24"/>
          <w:szCs w:val="24"/>
        </w:rPr>
        <w:t>Zawacki-Richter et al., 2019; Celik et al., 2022)</w:t>
      </w:r>
      <w:r w:rsidR="00A64C7F" w:rsidRPr="009129CB">
        <w:rPr>
          <w:rFonts w:ascii="Calibri" w:hAnsi="Calibri" w:cs="Calibri"/>
          <w:sz w:val="24"/>
          <w:szCs w:val="24"/>
        </w:rPr>
        <w:t xml:space="preserve">. </w:t>
      </w:r>
    </w:p>
    <w:p w14:paraId="3AD40F14" w14:textId="0D867B87" w:rsidR="00A64C7F" w:rsidRPr="009129CB" w:rsidRDefault="00A64C7F" w:rsidP="0051172A">
      <w:pPr>
        <w:spacing w:line="360" w:lineRule="auto"/>
        <w:jc w:val="both"/>
        <w:rPr>
          <w:rFonts w:ascii="Calibri" w:hAnsi="Calibri" w:cs="Calibri"/>
          <w:sz w:val="24"/>
          <w:szCs w:val="24"/>
        </w:rPr>
      </w:pPr>
      <w:r w:rsidRPr="009129CB">
        <w:rPr>
          <w:rFonts w:ascii="Calibri" w:hAnsi="Calibri" w:cs="Calibri"/>
          <w:sz w:val="24"/>
          <w:szCs w:val="24"/>
        </w:rPr>
        <w:lastRenderedPageBreak/>
        <w:t xml:space="preserve">However, a critical examination of this literature reveals considerable variation in the assumptions underpinning claims regarding AI effectiveness. </w:t>
      </w:r>
      <w:r w:rsidR="00E412FD" w:rsidRPr="009129CB">
        <w:rPr>
          <w:rFonts w:ascii="Calibri" w:hAnsi="Calibri" w:cs="Calibri"/>
          <w:sz w:val="24"/>
          <w:szCs w:val="24"/>
        </w:rPr>
        <w:t>Furthermore, m</w:t>
      </w:r>
      <w:r w:rsidRPr="009129CB">
        <w:rPr>
          <w:rFonts w:ascii="Calibri" w:hAnsi="Calibri" w:cs="Calibri"/>
          <w:sz w:val="24"/>
          <w:szCs w:val="24"/>
        </w:rPr>
        <w:t xml:space="preserve">any studies adopt a techno-optimistic perspective that assumes technological </w:t>
      </w:r>
      <w:r w:rsidR="00D46074" w:rsidRPr="009129CB">
        <w:rPr>
          <w:rFonts w:ascii="Calibri" w:hAnsi="Calibri" w:cs="Calibri"/>
          <w:sz w:val="24"/>
          <w:szCs w:val="24"/>
        </w:rPr>
        <w:t>invention</w:t>
      </w:r>
      <w:r w:rsidRPr="009129CB">
        <w:rPr>
          <w:rFonts w:ascii="Calibri" w:hAnsi="Calibri" w:cs="Calibri"/>
          <w:sz w:val="24"/>
          <w:szCs w:val="24"/>
        </w:rPr>
        <w:t xml:space="preserve"> necessarily </w:t>
      </w:r>
      <w:r w:rsidR="00C514D5">
        <w:rPr>
          <w:rFonts w:ascii="Calibri" w:hAnsi="Calibri" w:cs="Calibri"/>
          <w:sz w:val="24"/>
          <w:szCs w:val="24"/>
        </w:rPr>
        <w:t>improves</w:t>
      </w:r>
      <w:r w:rsidR="0057425B">
        <w:rPr>
          <w:rFonts w:ascii="Calibri" w:hAnsi="Calibri" w:cs="Calibri"/>
          <w:sz w:val="24"/>
          <w:szCs w:val="24"/>
        </w:rPr>
        <w:t xml:space="preserve"> learning and teaching</w:t>
      </w:r>
      <w:r w:rsidRPr="009129CB">
        <w:rPr>
          <w:rFonts w:ascii="Calibri" w:hAnsi="Calibri" w:cs="Calibri"/>
          <w:sz w:val="24"/>
          <w:szCs w:val="24"/>
        </w:rPr>
        <w:t xml:space="preserve">. Selwyn (2022) challenges this position, arguing that educational technologies often reproduce existing inequalities rather than eliminate them. </w:t>
      </w:r>
      <w:r w:rsidR="00861275">
        <w:rPr>
          <w:rFonts w:ascii="Calibri" w:hAnsi="Calibri" w:cs="Calibri"/>
          <w:sz w:val="24"/>
          <w:szCs w:val="24"/>
        </w:rPr>
        <w:t>Selwyn argues that technological solutions often</w:t>
      </w:r>
      <w:r w:rsidRPr="009129CB">
        <w:rPr>
          <w:rFonts w:ascii="Calibri" w:hAnsi="Calibri" w:cs="Calibri"/>
          <w:sz w:val="24"/>
          <w:szCs w:val="24"/>
        </w:rPr>
        <w:t xml:space="preserve"> ignore broader social, cultural, and institutional factors that shape educational outcomes. This critique highlights a significant weakness </w:t>
      </w:r>
      <w:r w:rsidR="00F159DE" w:rsidRPr="009129CB">
        <w:rPr>
          <w:rFonts w:ascii="Calibri" w:hAnsi="Calibri" w:cs="Calibri"/>
          <w:sz w:val="24"/>
          <w:szCs w:val="24"/>
        </w:rPr>
        <w:t>in p</w:t>
      </w:r>
      <w:r w:rsidR="00034C44">
        <w:rPr>
          <w:rFonts w:ascii="Calibri" w:hAnsi="Calibri" w:cs="Calibri"/>
          <w:sz w:val="24"/>
          <w:szCs w:val="24"/>
        </w:rPr>
        <w:t>arts</w:t>
      </w:r>
      <w:r w:rsidR="00F159DE" w:rsidRPr="009129CB">
        <w:rPr>
          <w:rFonts w:ascii="Calibri" w:hAnsi="Calibri" w:cs="Calibri"/>
          <w:sz w:val="24"/>
          <w:szCs w:val="24"/>
        </w:rPr>
        <w:t xml:space="preserve"> of the AI literature</w:t>
      </w:r>
      <w:r w:rsidR="00C514D5">
        <w:rPr>
          <w:rFonts w:ascii="Calibri" w:hAnsi="Calibri" w:cs="Calibri"/>
          <w:sz w:val="24"/>
          <w:szCs w:val="24"/>
        </w:rPr>
        <w:t>:</w:t>
      </w:r>
      <w:r w:rsidR="00313ACA">
        <w:rPr>
          <w:rFonts w:ascii="Calibri" w:hAnsi="Calibri" w:cs="Calibri"/>
          <w:sz w:val="24"/>
          <w:szCs w:val="24"/>
        </w:rPr>
        <w:t xml:space="preserve"> </w:t>
      </w:r>
      <w:r w:rsidR="00015D0C">
        <w:rPr>
          <w:rFonts w:ascii="Calibri" w:hAnsi="Calibri" w:cs="Calibri"/>
          <w:sz w:val="24"/>
          <w:szCs w:val="24"/>
        </w:rPr>
        <w:t>overstating</w:t>
      </w:r>
      <w:r w:rsidR="00F159DE" w:rsidRPr="009129CB">
        <w:rPr>
          <w:rFonts w:ascii="Calibri" w:hAnsi="Calibri" w:cs="Calibri"/>
          <w:sz w:val="24"/>
          <w:szCs w:val="24"/>
        </w:rPr>
        <w:t xml:space="preserve"> technological benefits while </w:t>
      </w:r>
      <w:r w:rsidR="00252542" w:rsidRPr="009129CB">
        <w:rPr>
          <w:rFonts w:ascii="Calibri" w:hAnsi="Calibri" w:cs="Calibri"/>
          <w:sz w:val="24"/>
          <w:szCs w:val="24"/>
        </w:rPr>
        <w:t>misjudging</w:t>
      </w:r>
      <w:r w:rsidR="00F159DE" w:rsidRPr="009129CB">
        <w:rPr>
          <w:rFonts w:ascii="Calibri" w:hAnsi="Calibri" w:cs="Calibri"/>
          <w:sz w:val="24"/>
          <w:szCs w:val="24"/>
        </w:rPr>
        <w:t xml:space="preserve"> </w:t>
      </w:r>
      <w:r w:rsidR="00252542" w:rsidRPr="009129CB">
        <w:rPr>
          <w:rFonts w:ascii="Calibri" w:hAnsi="Calibri" w:cs="Calibri"/>
          <w:sz w:val="24"/>
          <w:szCs w:val="24"/>
        </w:rPr>
        <w:t>operational</w:t>
      </w:r>
      <w:r w:rsidR="00F159DE" w:rsidRPr="009129CB">
        <w:rPr>
          <w:rFonts w:ascii="Calibri" w:hAnsi="Calibri" w:cs="Calibri"/>
          <w:sz w:val="24"/>
          <w:szCs w:val="24"/>
        </w:rPr>
        <w:t xml:space="preserve"> constraints</w:t>
      </w:r>
      <w:r w:rsidR="005863D7">
        <w:rPr>
          <w:rFonts w:ascii="Calibri" w:hAnsi="Calibri" w:cs="Calibri"/>
          <w:sz w:val="24"/>
          <w:szCs w:val="24"/>
        </w:rPr>
        <w:t xml:space="preserve"> (Selwyn, 2022; Danaher, 2022)</w:t>
      </w:r>
      <w:r w:rsidR="00F159DE" w:rsidRPr="009129CB">
        <w:rPr>
          <w:rFonts w:ascii="Calibri" w:hAnsi="Calibri" w:cs="Calibri"/>
          <w:sz w:val="24"/>
          <w:szCs w:val="24"/>
        </w:rPr>
        <w:t xml:space="preserve">. </w:t>
      </w:r>
    </w:p>
    <w:p w14:paraId="1C97A495" w14:textId="59EE6FAC" w:rsidR="007E3A3A" w:rsidRPr="00672C7C" w:rsidRDefault="007E3A3A" w:rsidP="0051172A">
      <w:pPr>
        <w:spacing w:line="360" w:lineRule="auto"/>
        <w:jc w:val="both"/>
        <w:rPr>
          <w:rFonts w:ascii="Calibri" w:hAnsi="Calibri" w:cs="Calibri"/>
          <w:sz w:val="24"/>
          <w:szCs w:val="24"/>
        </w:rPr>
      </w:pPr>
      <w:r w:rsidRPr="009129CB">
        <w:rPr>
          <w:rFonts w:ascii="Calibri" w:hAnsi="Calibri" w:cs="Calibri"/>
          <w:sz w:val="24"/>
          <w:szCs w:val="24"/>
        </w:rPr>
        <w:t>Despite growing evidence supporting AI implementation, much of the existing</w:t>
      </w:r>
      <w:r w:rsidRPr="00672C7C">
        <w:rPr>
          <w:rFonts w:ascii="Calibri" w:hAnsi="Calibri" w:cs="Calibri"/>
          <w:sz w:val="24"/>
          <w:szCs w:val="24"/>
        </w:rPr>
        <w:t xml:space="preserve"> empirical research is characterised by </w:t>
      </w:r>
      <w:r w:rsidR="007A01A4" w:rsidRPr="00672C7C">
        <w:rPr>
          <w:rFonts w:ascii="Calibri" w:hAnsi="Calibri" w:cs="Calibri"/>
          <w:sz w:val="24"/>
          <w:szCs w:val="24"/>
        </w:rPr>
        <w:t xml:space="preserve">methodological limitations. </w:t>
      </w:r>
      <w:r w:rsidR="00FC0C58">
        <w:rPr>
          <w:rFonts w:ascii="Calibri" w:hAnsi="Calibri" w:cs="Calibri"/>
          <w:sz w:val="24"/>
          <w:szCs w:val="24"/>
        </w:rPr>
        <w:t>Existing studies provide limited longi</w:t>
      </w:r>
      <w:r w:rsidR="00A25A6B">
        <w:rPr>
          <w:rFonts w:ascii="Calibri" w:hAnsi="Calibri" w:cs="Calibri"/>
          <w:sz w:val="24"/>
          <w:szCs w:val="24"/>
        </w:rPr>
        <w:t xml:space="preserve">tudinal evidence of how organisational change and AI governance practices evolve </w:t>
      </w:r>
      <w:r w:rsidR="00025B5B">
        <w:rPr>
          <w:rFonts w:ascii="Calibri" w:hAnsi="Calibri" w:cs="Calibri"/>
          <w:sz w:val="24"/>
          <w:szCs w:val="24"/>
        </w:rPr>
        <w:t>over</w:t>
      </w:r>
      <w:r w:rsidR="00A25A6B">
        <w:rPr>
          <w:rFonts w:ascii="Calibri" w:hAnsi="Calibri" w:cs="Calibri"/>
          <w:sz w:val="24"/>
          <w:szCs w:val="24"/>
        </w:rPr>
        <w:t xml:space="preserve"> time. </w:t>
      </w:r>
      <w:r w:rsidR="002C05DB" w:rsidRPr="00672C7C">
        <w:rPr>
          <w:rFonts w:ascii="Calibri" w:hAnsi="Calibri" w:cs="Calibri"/>
          <w:sz w:val="24"/>
          <w:szCs w:val="24"/>
        </w:rPr>
        <w:t xml:space="preserve">However, many studies rely heavily upon self-reported attitudes towards AI rather than objective measures of governance effectiveness. </w:t>
      </w:r>
      <w:r w:rsidR="001659A2" w:rsidRPr="00672C7C">
        <w:rPr>
          <w:rFonts w:ascii="Calibri" w:hAnsi="Calibri" w:cs="Calibri"/>
          <w:sz w:val="24"/>
          <w:szCs w:val="24"/>
        </w:rPr>
        <w:t xml:space="preserve">Moreover, the existing evidence base provides </w:t>
      </w:r>
      <w:r w:rsidR="002313A5" w:rsidRPr="00672C7C">
        <w:rPr>
          <w:rFonts w:ascii="Calibri" w:hAnsi="Calibri" w:cs="Calibri"/>
          <w:sz w:val="24"/>
          <w:szCs w:val="24"/>
        </w:rPr>
        <w:t xml:space="preserve">a limited understanding. Institutional responses </w:t>
      </w:r>
      <w:r w:rsidR="00D11B8A" w:rsidRPr="00672C7C">
        <w:rPr>
          <w:rFonts w:ascii="Calibri" w:hAnsi="Calibri" w:cs="Calibri"/>
          <w:sz w:val="24"/>
          <w:szCs w:val="24"/>
        </w:rPr>
        <w:t xml:space="preserve">evolve as AI technologies become </w:t>
      </w:r>
      <w:r w:rsidR="00EA6131" w:rsidRPr="00672C7C">
        <w:rPr>
          <w:rFonts w:ascii="Calibri" w:hAnsi="Calibri" w:cs="Calibri"/>
          <w:sz w:val="24"/>
          <w:szCs w:val="24"/>
        </w:rPr>
        <w:t>embedded within HEIs' operations</w:t>
      </w:r>
      <w:r w:rsidR="005275F7">
        <w:rPr>
          <w:rFonts w:ascii="Calibri" w:hAnsi="Calibri" w:cs="Calibri"/>
          <w:sz w:val="24"/>
          <w:szCs w:val="24"/>
        </w:rPr>
        <w:t xml:space="preserve"> (</w:t>
      </w:r>
      <w:r w:rsidR="0032495C">
        <w:rPr>
          <w:rFonts w:ascii="Calibri" w:hAnsi="Calibri" w:cs="Calibri"/>
          <w:sz w:val="24"/>
          <w:szCs w:val="24"/>
        </w:rPr>
        <w:t>Polyportis, 2024; M</w:t>
      </w:r>
      <w:r w:rsidR="000D4451">
        <w:rPr>
          <w:rFonts w:ascii="Calibri" w:hAnsi="Calibri" w:cs="Calibri"/>
          <w:sz w:val="24"/>
          <w:szCs w:val="24"/>
        </w:rPr>
        <w:t>osha</w:t>
      </w:r>
      <w:r w:rsidR="0032495C">
        <w:rPr>
          <w:rFonts w:ascii="Calibri" w:hAnsi="Calibri" w:cs="Calibri"/>
          <w:sz w:val="24"/>
          <w:szCs w:val="24"/>
        </w:rPr>
        <w:t xml:space="preserve"> et al., 2026)</w:t>
      </w:r>
      <w:r w:rsidR="00EA6131" w:rsidRPr="00672C7C">
        <w:rPr>
          <w:rFonts w:ascii="Calibri" w:hAnsi="Calibri" w:cs="Calibri"/>
          <w:sz w:val="24"/>
          <w:szCs w:val="24"/>
        </w:rPr>
        <w:t xml:space="preserve">. </w:t>
      </w:r>
    </w:p>
    <w:p w14:paraId="6A9A332C" w14:textId="631D3112" w:rsidR="00F159DE" w:rsidRPr="00672C7C" w:rsidRDefault="00F159DE" w:rsidP="0051172A">
      <w:pPr>
        <w:spacing w:line="360" w:lineRule="auto"/>
        <w:jc w:val="both"/>
        <w:rPr>
          <w:rFonts w:ascii="Calibri" w:hAnsi="Calibri" w:cs="Calibri"/>
          <w:sz w:val="24"/>
          <w:szCs w:val="24"/>
        </w:rPr>
      </w:pPr>
      <w:r w:rsidRPr="00672C7C">
        <w:rPr>
          <w:rFonts w:ascii="Calibri" w:hAnsi="Calibri" w:cs="Calibri"/>
          <w:sz w:val="24"/>
          <w:szCs w:val="24"/>
        </w:rPr>
        <w:t xml:space="preserve">Furthermore, while </w:t>
      </w:r>
      <w:r w:rsidR="00D46074" w:rsidRPr="00672C7C">
        <w:rPr>
          <w:rFonts w:ascii="Calibri" w:hAnsi="Calibri" w:cs="Calibri"/>
          <w:sz w:val="24"/>
          <w:szCs w:val="24"/>
        </w:rPr>
        <w:t>various</w:t>
      </w:r>
      <w:r w:rsidRPr="00672C7C">
        <w:rPr>
          <w:rFonts w:ascii="Calibri" w:hAnsi="Calibri" w:cs="Calibri"/>
          <w:sz w:val="24"/>
          <w:szCs w:val="24"/>
        </w:rPr>
        <w:t xml:space="preserve"> studies report positive outcomes </w:t>
      </w:r>
      <w:r w:rsidR="00D46074" w:rsidRPr="00672C7C">
        <w:rPr>
          <w:rFonts w:ascii="Calibri" w:hAnsi="Calibri" w:cs="Calibri"/>
          <w:sz w:val="24"/>
          <w:szCs w:val="24"/>
        </w:rPr>
        <w:t>linked</w:t>
      </w:r>
      <w:r w:rsidRPr="00672C7C">
        <w:rPr>
          <w:rFonts w:ascii="Calibri" w:hAnsi="Calibri" w:cs="Calibri"/>
          <w:sz w:val="24"/>
          <w:szCs w:val="24"/>
        </w:rPr>
        <w:t xml:space="preserve"> with AI implementation, methodological limitations call into question the </w:t>
      </w:r>
      <w:r w:rsidR="00D46074" w:rsidRPr="00672C7C">
        <w:rPr>
          <w:rFonts w:ascii="Calibri" w:hAnsi="Calibri" w:cs="Calibri"/>
          <w:sz w:val="24"/>
          <w:szCs w:val="24"/>
        </w:rPr>
        <w:t>trustworthiness</w:t>
      </w:r>
      <w:r w:rsidRPr="00672C7C">
        <w:rPr>
          <w:rFonts w:ascii="Calibri" w:hAnsi="Calibri" w:cs="Calibri"/>
          <w:sz w:val="24"/>
          <w:szCs w:val="24"/>
        </w:rPr>
        <w:t xml:space="preserve"> of these findings. Many investigations rely on small-scale studies conducted within individual institutions, limiting generalisability across HEIs</w:t>
      </w:r>
      <w:r w:rsidR="00B2572C">
        <w:rPr>
          <w:rFonts w:ascii="Calibri" w:hAnsi="Calibri" w:cs="Calibri"/>
          <w:sz w:val="24"/>
          <w:szCs w:val="24"/>
        </w:rPr>
        <w:t xml:space="preserve"> (Bond et al., 2024; Castillo-Martinez et al., 2024</w:t>
      </w:r>
      <w:r w:rsidR="003C0C33">
        <w:rPr>
          <w:rFonts w:ascii="Calibri" w:hAnsi="Calibri" w:cs="Calibri"/>
          <w:sz w:val="24"/>
          <w:szCs w:val="24"/>
        </w:rPr>
        <w:t>)</w:t>
      </w:r>
      <w:r w:rsidRPr="00672C7C">
        <w:rPr>
          <w:rFonts w:ascii="Calibri" w:hAnsi="Calibri" w:cs="Calibri"/>
          <w:sz w:val="24"/>
          <w:szCs w:val="24"/>
        </w:rPr>
        <w:t>. However, evidence suggests AI may offer substantial benefits, as the current knowledge base remains fragmented and insufficiently robust to support universal conclusions about its effectiveness</w:t>
      </w:r>
      <w:r w:rsidR="003C0C33">
        <w:rPr>
          <w:rFonts w:ascii="Calibri" w:hAnsi="Calibri" w:cs="Calibri"/>
          <w:sz w:val="24"/>
          <w:szCs w:val="24"/>
        </w:rPr>
        <w:t xml:space="preserve"> (</w:t>
      </w:r>
      <w:r w:rsidR="00B52BDC">
        <w:rPr>
          <w:rFonts w:ascii="Calibri" w:hAnsi="Calibri" w:cs="Calibri"/>
          <w:sz w:val="24"/>
          <w:szCs w:val="24"/>
        </w:rPr>
        <w:t xml:space="preserve">Ocen et al., 2025; </w:t>
      </w:r>
      <w:r w:rsidR="00092A3E">
        <w:rPr>
          <w:rFonts w:ascii="Calibri" w:hAnsi="Calibri" w:cs="Calibri"/>
          <w:sz w:val="24"/>
          <w:szCs w:val="24"/>
        </w:rPr>
        <w:t xml:space="preserve">Bitte </w:t>
      </w:r>
      <w:r w:rsidR="00D82198">
        <w:rPr>
          <w:rFonts w:ascii="Calibri" w:hAnsi="Calibri" w:cs="Calibri"/>
          <w:sz w:val="24"/>
          <w:szCs w:val="24"/>
        </w:rPr>
        <w:t>and</w:t>
      </w:r>
      <w:r w:rsidR="00092A3E" w:rsidRPr="00092A3E">
        <w:rPr>
          <w:rFonts w:ascii="Calibri" w:hAnsi="Calibri" w:cs="Calibri"/>
          <w:sz w:val="24"/>
          <w:szCs w:val="24"/>
        </w:rPr>
        <w:t xml:space="preserve"> El-Gayar, </w:t>
      </w:r>
      <w:r w:rsidR="00B52BDC">
        <w:rPr>
          <w:rFonts w:ascii="Calibri" w:hAnsi="Calibri" w:cs="Calibri"/>
          <w:sz w:val="24"/>
          <w:szCs w:val="24"/>
        </w:rPr>
        <w:t>2025)</w:t>
      </w:r>
      <w:r w:rsidRPr="00672C7C">
        <w:rPr>
          <w:rFonts w:ascii="Calibri" w:hAnsi="Calibri" w:cs="Calibri"/>
          <w:sz w:val="24"/>
          <w:szCs w:val="24"/>
        </w:rPr>
        <w:t xml:space="preserve">. </w:t>
      </w:r>
    </w:p>
    <w:p w14:paraId="58713A8E" w14:textId="7CB4349E" w:rsidR="00F13CA5" w:rsidRDefault="00F13CA5" w:rsidP="0051172A">
      <w:pPr>
        <w:spacing w:line="360" w:lineRule="auto"/>
        <w:jc w:val="both"/>
        <w:rPr>
          <w:rFonts w:ascii="Calibri" w:hAnsi="Calibri" w:cs="Calibri"/>
          <w:sz w:val="24"/>
          <w:szCs w:val="24"/>
        </w:rPr>
      </w:pPr>
      <w:r w:rsidRPr="00672C7C">
        <w:rPr>
          <w:rFonts w:ascii="Calibri" w:hAnsi="Calibri" w:cs="Calibri"/>
          <w:sz w:val="24"/>
          <w:szCs w:val="24"/>
        </w:rPr>
        <w:t xml:space="preserve">Despite the growing </w:t>
      </w:r>
      <w:r w:rsidR="004266EE" w:rsidRPr="00672C7C">
        <w:rPr>
          <w:rFonts w:ascii="Calibri" w:hAnsi="Calibri" w:cs="Calibri"/>
          <w:sz w:val="24"/>
          <w:szCs w:val="24"/>
        </w:rPr>
        <w:t>body of research on AI implementation in</w:t>
      </w:r>
      <w:r w:rsidRPr="00672C7C">
        <w:rPr>
          <w:rFonts w:ascii="Calibri" w:hAnsi="Calibri" w:cs="Calibri"/>
          <w:sz w:val="24"/>
          <w:szCs w:val="24"/>
        </w:rPr>
        <w:t xml:space="preserve"> HEIs, the literature remains characterised by technological determinism. Many empirical studies evaluate whether AI improves efficiency or educational performance. However, it </w:t>
      </w:r>
      <w:r w:rsidR="00252542">
        <w:rPr>
          <w:rFonts w:ascii="Calibri" w:hAnsi="Calibri" w:cs="Calibri"/>
          <w:sz w:val="24"/>
          <w:szCs w:val="24"/>
        </w:rPr>
        <w:t xml:space="preserve">does not </w:t>
      </w:r>
      <w:r w:rsidR="00A161E1">
        <w:rPr>
          <w:rFonts w:ascii="Calibri" w:hAnsi="Calibri" w:cs="Calibri"/>
          <w:sz w:val="24"/>
          <w:szCs w:val="24"/>
        </w:rPr>
        <w:t>focus on the governance structures that manage</w:t>
      </w:r>
      <w:r w:rsidR="00252542">
        <w:rPr>
          <w:rFonts w:ascii="Calibri" w:hAnsi="Calibri" w:cs="Calibri"/>
          <w:sz w:val="24"/>
          <w:szCs w:val="24"/>
        </w:rPr>
        <w:t xml:space="preserve"> </w:t>
      </w:r>
      <w:r w:rsidRPr="00672C7C">
        <w:rPr>
          <w:rFonts w:ascii="Calibri" w:hAnsi="Calibri" w:cs="Calibri"/>
          <w:sz w:val="24"/>
          <w:szCs w:val="24"/>
        </w:rPr>
        <w:t>ethical risk through adoption</w:t>
      </w:r>
      <w:r w:rsidR="00927601">
        <w:rPr>
          <w:rFonts w:ascii="Calibri" w:hAnsi="Calibri" w:cs="Calibri"/>
          <w:sz w:val="24"/>
          <w:szCs w:val="24"/>
        </w:rPr>
        <w:t xml:space="preserve"> (Papagiannidis</w:t>
      </w:r>
      <w:r w:rsidR="00C12943">
        <w:rPr>
          <w:rFonts w:ascii="Calibri" w:hAnsi="Calibri" w:cs="Calibri"/>
          <w:sz w:val="24"/>
          <w:szCs w:val="24"/>
        </w:rPr>
        <w:t xml:space="preserve"> et al., </w:t>
      </w:r>
      <w:r w:rsidR="00927601">
        <w:rPr>
          <w:rFonts w:ascii="Calibri" w:hAnsi="Calibri" w:cs="Calibri"/>
          <w:sz w:val="24"/>
          <w:szCs w:val="24"/>
        </w:rPr>
        <w:t>2025; Wu</w:t>
      </w:r>
      <w:r w:rsidR="00C12943">
        <w:rPr>
          <w:rFonts w:ascii="Calibri" w:hAnsi="Calibri" w:cs="Calibri"/>
          <w:sz w:val="24"/>
          <w:szCs w:val="24"/>
        </w:rPr>
        <w:t xml:space="preserve"> et al., </w:t>
      </w:r>
      <w:r w:rsidR="00927601">
        <w:rPr>
          <w:rFonts w:ascii="Calibri" w:hAnsi="Calibri" w:cs="Calibri"/>
          <w:sz w:val="24"/>
          <w:szCs w:val="24"/>
        </w:rPr>
        <w:t>2024)</w:t>
      </w:r>
      <w:r w:rsidRPr="00672C7C">
        <w:rPr>
          <w:rFonts w:ascii="Calibri" w:hAnsi="Calibri" w:cs="Calibri"/>
          <w:sz w:val="24"/>
          <w:szCs w:val="24"/>
        </w:rPr>
        <w:t xml:space="preserve">. Moreover, </w:t>
      </w:r>
      <w:r w:rsidR="00861275">
        <w:rPr>
          <w:rFonts w:ascii="Calibri" w:hAnsi="Calibri" w:cs="Calibri"/>
          <w:sz w:val="24"/>
          <w:szCs w:val="24"/>
        </w:rPr>
        <w:t xml:space="preserve">the study treats technological success as evidence of HEIs' readiness, even though it examines institutional leadership, accountability mechanisms, and decision-making processes </w:t>
      </w:r>
      <w:r w:rsidR="00C514D5">
        <w:rPr>
          <w:rFonts w:ascii="Calibri" w:hAnsi="Calibri" w:cs="Calibri"/>
          <w:sz w:val="24"/>
          <w:szCs w:val="24"/>
        </w:rPr>
        <w:t xml:space="preserve">only </w:t>
      </w:r>
      <w:r w:rsidR="008B73CD">
        <w:rPr>
          <w:rFonts w:ascii="Calibri" w:hAnsi="Calibri" w:cs="Calibri"/>
          <w:sz w:val="24"/>
          <w:szCs w:val="24"/>
        </w:rPr>
        <w:t>to a limited extent</w:t>
      </w:r>
      <w:r w:rsidRPr="00672C7C">
        <w:rPr>
          <w:rFonts w:ascii="Calibri" w:hAnsi="Calibri" w:cs="Calibri"/>
          <w:sz w:val="24"/>
          <w:szCs w:val="24"/>
        </w:rPr>
        <w:t xml:space="preserve">. This imbalance </w:t>
      </w:r>
      <w:r w:rsidR="006D1F1E" w:rsidRPr="00672C7C">
        <w:rPr>
          <w:rFonts w:ascii="Calibri" w:hAnsi="Calibri" w:cs="Calibri"/>
          <w:sz w:val="24"/>
          <w:szCs w:val="24"/>
        </w:rPr>
        <w:t xml:space="preserve">suggests that successful AI implementation cannot be understood solely </w:t>
      </w:r>
      <w:r w:rsidR="00C3016A">
        <w:rPr>
          <w:rFonts w:ascii="Calibri" w:hAnsi="Calibri" w:cs="Calibri"/>
          <w:sz w:val="24"/>
          <w:szCs w:val="24"/>
        </w:rPr>
        <w:t>through</w:t>
      </w:r>
      <w:r w:rsidR="006D1F1E" w:rsidRPr="00672C7C">
        <w:rPr>
          <w:rFonts w:ascii="Calibri" w:hAnsi="Calibri" w:cs="Calibri"/>
          <w:sz w:val="24"/>
          <w:szCs w:val="24"/>
        </w:rPr>
        <w:t xml:space="preserve"> technological capability. Furthermore, </w:t>
      </w:r>
      <w:r w:rsidR="00C3016A">
        <w:rPr>
          <w:rFonts w:ascii="Calibri" w:hAnsi="Calibri" w:cs="Calibri"/>
          <w:sz w:val="24"/>
          <w:szCs w:val="24"/>
        </w:rPr>
        <w:lastRenderedPageBreak/>
        <w:t xml:space="preserve">researchers must evaluate the effectiveness of institutional governance arrangements </w:t>
      </w:r>
      <w:r w:rsidR="006D1F1E" w:rsidRPr="00672C7C">
        <w:rPr>
          <w:rFonts w:ascii="Calibri" w:hAnsi="Calibri" w:cs="Calibri"/>
          <w:sz w:val="24"/>
          <w:szCs w:val="24"/>
        </w:rPr>
        <w:t xml:space="preserve">for responsible </w:t>
      </w:r>
      <w:r w:rsidR="00927601" w:rsidRPr="00672C7C">
        <w:rPr>
          <w:rFonts w:ascii="Calibri" w:hAnsi="Calibri" w:cs="Calibri"/>
          <w:sz w:val="24"/>
          <w:szCs w:val="24"/>
        </w:rPr>
        <w:t>adoption</w:t>
      </w:r>
      <w:r w:rsidR="00927601">
        <w:rPr>
          <w:rFonts w:ascii="Calibri" w:hAnsi="Calibri" w:cs="Calibri"/>
          <w:sz w:val="24"/>
          <w:szCs w:val="24"/>
        </w:rPr>
        <w:t xml:space="preserve"> </w:t>
      </w:r>
      <w:r w:rsidR="00927601" w:rsidRPr="00672C7C">
        <w:rPr>
          <w:rFonts w:ascii="Calibri" w:hAnsi="Calibri" w:cs="Calibri"/>
          <w:sz w:val="24"/>
          <w:szCs w:val="24"/>
        </w:rPr>
        <w:t>(</w:t>
      </w:r>
      <w:r w:rsidR="00927601">
        <w:rPr>
          <w:rFonts w:ascii="Calibri" w:hAnsi="Calibri" w:cs="Calibri"/>
          <w:sz w:val="24"/>
          <w:szCs w:val="24"/>
        </w:rPr>
        <w:t>Wu</w:t>
      </w:r>
      <w:r w:rsidR="00C12943">
        <w:rPr>
          <w:rFonts w:ascii="Calibri" w:hAnsi="Calibri" w:cs="Calibri"/>
          <w:sz w:val="24"/>
          <w:szCs w:val="24"/>
        </w:rPr>
        <w:t xml:space="preserve"> et al., </w:t>
      </w:r>
      <w:r w:rsidR="00927601">
        <w:rPr>
          <w:rFonts w:ascii="Calibri" w:hAnsi="Calibri" w:cs="Calibri"/>
          <w:sz w:val="24"/>
          <w:szCs w:val="24"/>
        </w:rPr>
        <w:t xml:space="preserve">2024; Tafesse et al., 2026). </w:t>
      </w:r>
    </w:p>
    <w:p w14:paraId="7FBEA290" w14:textId="63B7574F" w:rsidR="00BD3FFD" w:rsidRDefault="004F7CC4" w:rsidP="0051172A">
      <w:pPr>
        <w:spacing w:line="360" w:lineRule="auto"/>
        <w:jc w:val="both"/>
        <w:rPr>
          <w:rFonts w:ascii="Calibri" w:hAnsi="Calibri" w:cs="Calibri"/>
          <w:sz w:val="24"/>
          <w:szCs w:val="24"/>
        </w:rPr>
      </w:pPr>
      <w:r>
        <w:rPr>
          <w:rFonts w:ascii="Calibri" w:hAnsi="Calibri" w:cs="Calibri"/>
          <w:sz w:val="24"/>
          <w:szCs w:val="24"/>
        </w:rPr>
        <w:t>A further limitation of the current literature concerns</w:t>
      </w:r>
      <w:r w:rsidR="00B430EA">
        <w:rPr>
          <w:rFonts w:ascii="Calibri" w:hAnsi="Calibri" w:cs="Calibri"/>
          <w:sz w:val="24"/>
          <w:szCs w:val="24"/>
        </w:rPr>
        <w:t xml:space="preserve"> the philosophical assumptions underpinning </w:t>
      </w:r>
      <w:r w:rsidR="00436563">
        <w:rPr>
          <w:rFonts w:ascii="Calibri" w:hAnsi="Calibri" w:cs="Calibri"/>
          <w:sz w:val="24"/>
          <w:szCs w:val="24"/>
        </w:rPr>
        <w:t xml:space="preserve">AI implementation research. Much </w:t>
      </w:r>
      <w:r w:rsidR="00C514D5">
        <w:rPr>
          <w:rFonts w:ascii="Calibri" w:hAnsi="Calibri" w:cs="Calibri"/>
          <w:sz w:val="24"/>
          <w:szCs w:val="24"/>
        </w:rPr>
        <w:t>empirical evidence adopts a positivist orientation by measuring perceived usefulness, technology acceptance, learning outcomes,</w:t>
      </w:r>
      <w:r w:rsidR="0039723C">
        <w:rPr>
          <w:rFonts w:ascii="Calibri" w:hAnsi="Calibri" w:cs="Calibri"/>
          <w:sz w:val="24"/>
          <w:szCs w:val="24"/>
        </w:rPr>
        <w:t xml:space="preserve"> and quantitative performance indicators</w:t>
      </w:r>
      <w:r w:rsidR="003E03C9">
        <w:rPr>
          <w:rFonts w:ascii="Calibri" w:hAnsi="Calibri" w:cs="Calibri"/>
          <w:sz w:val="24"/>
          <w:szCs w:val="24"/>
        </w:rPr>
        <w:t xml:space="preserve"> (Chatterjee </w:t>
      </w:r>
      <w:r w:rsidR="00D82198">
        <w:rPr>
          <w:rFonts w:ascii="Calibri" w:hAnsi="Calibri" w:cs="Calibri"/>
          <w:sz w:val="24"/>
          <w:szCs w:val="24"/>
        </w:rPr>
        <w:t>and</w:t>
      </w:r>
      <w:r w:rsidR="003E03C9">
        <w:rPr>
          <w:rFonts w:ascii="Calibri" w:hAnsi="Calibri" w:cs="Calibri"/>
          <w:sz w:val="24"/>
          <w:szCs w:val="24"/>
        </w:rPr>
        <w:t xml:space="preserve"> </w:t>
      </w:r>
      <w:r w:rsidR="00ED7F74">
        <w:rPr>
          <w:rFonts w:ascii="Calibri" w:hAnsi="Calibri" w:cs="Calibri"/>
          <w:sz w:val="24"/>
          <w:szCs w:val="24"/>
        </w:rPr>
        <w:t>Bhattacharjee, 2020; St</w:t>
      </w:r>
      <w:r w:rsidR="008C064B">
        <w:rPr>
          <w:rFonts w:ascii="Calibri" w:hAnsi="Calibri" w:cs="Calibri"/>
          <w:sz w:val="24"/>
          <w:szCs w:val="24"/>
        </w:rPr>
        <w:t>r</w:t>
      </w:r>
      <w:r w:rsidR="00ED7F74">
        <w:rPr>
          <w:rFonts w:ascii="Calibri" w:hAnsi="Calibri" w:cs="Calibri"/>
          <w:sz w:val="24"/>
          <w:szCs w:val="24"/>
        </w:rPr>
        <w:t>zelecki, 2023)</w:t>
      </w:r>
      <w:r w:rsidR="0039723C">
        <w:rPr>
          <w:rFonts w:ascii="Calibri" w:hAnsi="Calibri" w:cs="Calibri"/>
          <w:sz w:val="24"/>
          <w:szCs w:val="24"/>
        </w:rPr>
        <w:t xml:space="preserve">. </w:t>
      </w:r>
      <w:r w:rsidR="006812C5">
        <w:rPr>
          <w:rFonts w:ascii="Calibri" w:hAnsi="Calibri" w:cs="Calibri"/>
          <w:sz w:val="24"/>
          <w:szCs w:val="24"/>
        </w:rPr>
        <w:t xml:space="preserve">These approaches assume that AI adoption represents an objective </w:t>
      </w:r>
      <w:r w:rsidR="00617863">
        <w:rPr>
          <w:rFonts w:ascii="Calibri" w:hAnsi="Calibri" w:cs="Calibri"/>
          <w:sz w:val="24"/>
          <w:szCs w:val="24"/>
        </w:rPr>
        <w:t xml:space="preserve">phenomenon. </w:t>
      </w:r>
      <w:r w:rsidR="00C514D5">
        <w:rPr>
          <w:rFonts w:ascii="Calibri" w:hAnsi="Calibri" w:cs="Calibri"/>
          <w:sz w:val="24"/>
          <w:szCs w:val="24"/>
        </w:rPr>
        <w:t>Researchers can evaluate it independently or within</w:t>
      </w:r>
      <w:r w:rsidR="003561D0">
        <w:rPr>
          <w:rFonts w:ascii="Calibri" w:hAnsi="Calibri" w:cs="Calibri"/>
          <w:sz w:val="24"/>
          <w:szCs w:val="24"/>
        </w:rPr>
        <w:t xml:space="preserve"> </w:t>
      </w:r>
      <w:r w:rsidR="00A039A9">
        <w:rPr>
          <w:rFonts w:ascii="Calibri" w:hAnsi="Calibri" w:cs="Calibri"/>
          <w:sz w:val="24"/>
          <w:szCs w:val="24"/>
        </w:rPr>
        <w:t xml:space="preserve">its organisational context. </w:t>
      </w:r>
      <w:r w:rsidR="000A5ADC">
        <w:rPr>
          <w:rFonts w:ascii="Calibri" w:hAnsi="Calibri" w:cs="Calibri"/>
          <w:sz w:val="24"/>
          <w:szCs w:val="24"/>
        </w:rPr>
        <w:t xml:space="preserve">These studies contribute valuable evidence regarding adoption trends. They </w:t>
      </w:r>
      <w:r w:rsidR="00C514D5">
        <w:rPr>
          <w:rFonts w:ascii="Calibri" w:hAnsi="Calibri" w:cs="Calibri"/>
          <w:sz w:val="24"/>
          <w:szCs w:val="24"/>
        </w:rPr>
        <w:t>often overlook the complex institutional and cultural factors that shape how universities interpret, govern, and embed AI</w:t>
      </w:r>
      <w:r w:rsidR="00ED7F74">
        <w:rPr>
          <w:rFonts w:ascii="Calibri" w:hAnsi="Calibri" w:cs="Calibri"/>
          <w:sz w:val="24"/>
          <w:szCs w:val="24"/>
        </w:rPr>
        <w:t xml:space="preserve"> (St</w:t>
      </w:r>
      <w:r w:rsidR="008C064B">
        <w:rPr>
          <w:rFonts w:ascii="Calibri" w:hAnsi="Calibri" w:cs="Calibri"/>
          <w:sz w:val="24"/>
          <w:szCs w:val="24"/>
        </w:rPr>
        <w:t>r</w:t>
      </w:r>
      <w:r w:rsidR="00ED7F74">
        <w:rPr>
          <w:rFonts w:ascii="Calibri" w:hAnsi="Calibri" w:cs="Calibri"/>
          <w:sz w:val="24"/>
          <w:szCs w:val="24"/>
        </w:rPr>
        <w:t>ze</w:t>
      </w:r>
      <w:r w:rsidR="005F6B69">
        <w:rPr>
          <w:rFonts w:ascii="Calibri" w:hAnsi="Calibri" w:cs="Calibri"/>
          <w:sz w:val="24"/>
          <w:szCs w:val="24"/>
        </w:rPr>
        <w:t>lecki, 2023; Wu</w:t>
      </w:r>
      <w:r w:rsidR="00C12943">
        <w:rPr>
          <w:rFonts w:ascii="Calibri" w:hAnsi="Calibri" w:cs="Calibri"/>
          <w:sz w:val="24"/>
          <w:szCs w:val="24"/>
        </w:rPr>
        <w:t xml:space="preserve"> et al., </w:t>
      </w:r>
      <w:r w:rsidR="005F6B69">
        <w:rPr>
          <w:rFonts w:ascii="Calibri" w:hAnsi="Calibri" w:cs="Calibri"/>
          <w:sz w:val="24"/>
          <w:szCs w:val="24"/>
        </w:rPr>
        <w:t xml:space="preserve">2024). </w:t>
      </w:r>
    </w:p>
    <w:p w14:paraId="5FB1A52B" w14:textId="066123AD" w:rsidR="004F722C" w:rsidRDefault="00455041" w:rsidP="0051172A">
      <w:pPr>
        <w:spacing w:line="360" w:lineRule="auto"/>
        <w:jc w:val="both"/>
        <w:rPr>
          <w:rFonts w:ascii="Calibri" w:hAnsi="Calibri" w:cs="Calibri"/>
          <w:sz w:val="24"/>
          <w:szCs w:val="24"/>
        </w:rPr>
      </w:pPr>
      <w:r>
        <w:rPr>
          <w:rFonts w:ascii="Calibri" w:hAnsi="Calibri" w:cs="Calibri"/>
          <w:sz w:val="24"/>
          <w:szCs w:val="24"/>
        </w:rPr>
        <w:t xml:space="preserve">By </w:t>
      </w:r>
      <w:r w:rsidR="00EA7BCB">
        <w:rPr>
          <w:rFonts w:ascii="Calibri" w:hAnsi="Calibri" w:cs="Calibri"/>
          <w:sz w:val="24"/>
          <w:szCs w:val="24"/>
        </w:rPr>
        <w:t>contrast</w:t>
      </w:r>
      <w:r>
        <w:rPr>
          <w:rFonts w:ascii="Calibri" w:hAnsi="Calibri" w:cs="Calibri"/>
          <w:sz w:val="24"/>
          <w:szCs w:val="24"/>
        </w:rPr>
        <w:t xml:space="preserve">, </w:t>
      </w:r>
      <w:r w:rsidR="00EA7BCB">
        <w:rPr>
          <w:rFonts w:ascii="Calibri" w:hAnsi="Calibri" w:cs="Calibri"/>
          <w:sz w:val="24"/>
          <w:szCs w:val="24"/>
        </w:rPr>
        <w:t>interpretivist</w:t>
      </w:r>
      <w:r>
        <w:rPr>
          <w:rFonts w:ascii="Calibri" w:hAnsi="Calibri" w:cs="Calibri"/>
          <w:sz w:val="24"/>
          <w:szCs w:val="24"/>
        </w:rPr>
        <w:t xml:space="preserve"> studies argue that successful AI implementation depends </w:t>
      </w:r>
      <w:r w:rsidR="00785070">
        <w:rPr>
          <w:rFonts w:ascii="Calibri" w:hAnsi="Calibri" w:cs="Calibri"/>
          <w:sz w:val="24"/>
          <w:szCs w:val="24"/>
        </w:rPr>
        <w:t xml:space="preserve">on the meaning </w:t>
      </w:r>
      <w:r w:rsidR="00C514D5">
        <w:rPr>
          <w:rFonts w:ascii="Calibri" w:hAnsi="Calibri" w:cs="Calibri"/>
          <w:sz w:val="24"/>
          <w:szCs w:val="24"/>
        </w:rPr>
        <w:t>institutional stakeholders assign to AI</w:t>
      </w:r>
      <w:r w:rsidR="00785070">
        <w:rPr>
          <w:rFonts w:ascii="Calibri" w:hAnsi="Calibri" w:cs="Calibri"/>
          <w:sz w:val="24"/>
          <w:szCs w:val="24"/>
        </w:rPr>
        <w:t xml:space="preserve"> rather than on the </w:t>
      </w:r>
      <w:r w:rsidR="00EA7BCB">
        <w:rPr>
          <w:rFonts w:ascii="Calibri" w:hAnsi="Calibri" w:cs="Calibri"/>
          <w:sz w:val="24"/>
          <w:szCs w:val="24"/>
        </w:rPr>
        <w:t xml:space="preserve">technology itself. </w:t>
      </w:r>
      <w:r w:rsidR="00785070">
        <w:rPr>
          <w:rFonts w:ascii="Calibri" w:hAnsi="Calibri" w:cs="Calibri"/>
          <w:sz w:val="24"/>
          <w:szCs w:val="24"/>
        </w:rPr>
        <w:t>Researchers employing interviews</w:t>
      </w:r>
      <w:r w:rsidR="00C11F13">
        <w:rPr>
          <w:rFonts w:ascii="Calibri" w:hAnsi="Calibri" w:cs="Calibri"/>
          <w:sz w:val="24"/>
          <w:szCs w:val="24"/>
        </w:rPr>
        <w:t>, case studies, and qualitative inquiry demonstrate that organisational culture, leadership priorities,</w:t>
      </w:r>
      <w:r w:rsidR="000C1E2A">
        <w:rPr>
          <w:rFonts w:ascii="Calibri" w:hAnsi="Calibri" w:cs="Calibri"/>
          <w:sz w:val="24"/>
          <w:szCs w:val="24"/>
        </w:rPr>
        <w:t xml:space="preserve"> and stakeholder </w:t>
      </w:r>
      <w:r w:rsidR="00AF2CCA">
        <w:rPr>
          <w:rFonts w:ascii="Calibri" w:hAnsi="Calibri" w:cs="Calibri"/>
          <w:sz w:val="24"/>
          <w:szCs w:val="24"/>
        </w:rPr>
        <w:t>trust significantly influence adoption outcomes</w:t>
      </w:r>
      <w:r w:rsidR="00797153">
        <w:rPr>
          <w:rFonts w:ascii="Calibri" w:hAnsi="Calibri" w:cs="Calibri"/>
          <w:sz w:val="24"/>
          <w:szCs w:val="24"/>
        </w:rPr>
        <w:t xml:space="preserve"> (Wu</w:t>
      </w:r>
      <w:r w:rsidR="00173645">
        <w:rPr>
          <w:rFonts w:ascii="Calibri" w:hAnsi="Calibri" w:cs="Calibri"/>
          <w:sz w:val="24"/>
          <w:szCs w:val="24"/>
        </w:rPr>
        <w:t xml:space="preserve"> et al., </w:t>
      </w:r>
      <w:r w:rsidR="00797153">
        <w:rPr>
          <w:rFonts w:ascii="Calibri" w:hAnsi="Calibri" w:cs="Calibri"/>
          <w:sz w:val="24"/>
          <w:szCs w:val="24"/>
        </w:rPr>
        <w:t>2024; Tafesse et al., 2026)</w:t>
      </w:r>
      <w:r w:rsidR="00AF2CCA">
        <w:rPr>
          <w:rFonts w:ascii="Calibri" w:hAnsi="Calibri" w:cs="Calibri"/>
          <w:sz w:val="24"/>
          <w:szCs w:val="24"/>
        </w:rPr>
        <w:t xml:space="preserve">. However, qualitative investigations are often </w:t>
      </w:r>
      <w:r w:rsidR="00D46074">
        <w:rPr>
          <w:rFonts w:ascii="Calibri" w:hAnsi="Calibri" w:cs="Calibri"/>
          <w:sz w:val="24"/>
          <w:szCs w:val="24"/>
        </w:rPr>
        <w:t>constructed</w:t>
      </w:r>
      <w:r w:rsidR="00AF2CCA">
        <w:rPr>
          <w:rFonts w:ascii="Calibri" w:hAnsi="Calibri" w:cs="Calibri"/>
          <w:sz w:val="24"/>
          <w:szCs w:val="24"/>
        </w:rPr>
        <w:t xml:space="preserve"> on relatively small samples</w:t>
      </w:r>
      <w:r w:rsidR="006C4982">
        <w:rPr>
          <w:rFonts w:ascii="Calibri" w:hAnsi="Calibri" w:cs="Calibri"/>
          <w:sz w:val="24"/>
          <w:szCs w:val="24"/>
        </w:rPr>
        <w:t xml:space="preserve"> drawn from individual universities. Therefore, </w:t>
      </w:r>
      <w:r w:rsidR="00524BA8">
        <w:rPr>
          <w:rFonts w:ascii="Calibri" w:hAnsi="Calibri" w:cs="Calibri"/>
          <w:sz w:val="24"/>
          <w:szCs w:val="24"/>
        </w:rPr>
        <w:t>transferability is limited</w:t>
      </w:r>
      <w:r w:rsidR="006C4982">
        <w:rPr>
          <w:rFonts w:ascii="Calibri" w:hAnsi="Calibri" w:cs="Calibri"/>
          <w:sz w:val="24"/>
          <w:szCs w:val="24"/>
        </w:rPr>
        <w:t xml:space="preserve"> across the broader </w:t>
      </w:r>
      <w:r w:rsidR="00C11F13">
        <w:rPr>
          <w:rFonts w:ascii="Calibri" w:hAnsi="Calibri" w:cs="Calibri"/>
          <w:sz w:val="24"/>
          <w:szCs w:val="24"/>
        </w:rPr>
        <w:t>HE industry</w:t>
      </w:r>
      <w:r w:rsidR="00347937">
        <w:rPr>
          <w:rFonts w:ascii="Calibri" w:hAnsi="Calibri" w:cs="Calibri"/>
          <w:sz w:val="24"/>
          <w:szCs w:val="24"/>
        </w:rPr>
        <w:t xml:space="preserve"> (</w:t>
      </w:r>
      <w:r w:rsidR="00972B24">
        <w:rPr>
          <w:rFonts w:ascii="Calibri" w:hAnsi="Calibri" w:cs="Calibri"/>
          <w:sz w:val="24"/>
          <w:szCs w:val="24"/>
        </w:rPr>
        <w:t>Jiang</w:t>
      </w:r>
      <w:r w:rsidR="00173645">
        <w:rPr>
          <w:rFonts w:ascii="Calibri" w:hAnsi="Calibri" w:cs="Calibri"/>
          <w:sz w:val="24"/>
          <w:szCs w:val="24"/>
        </w:rPr>
        <w:t xml:space="preserve"> and Abdullah,</w:t>
      </w:r>
      <w:r w:rsidR="00972B24">
        <w:rPr>
          <w:rFonts w:ascii="Calibri" w:hAnsi="Calibri" w:cs="Calibri"/>
          <w:sz w:val="24"/>
          <w:szCs w:val="24"/>
        </w:rPr>
        <w:t xml:space="preserve"> 2026; </w:t>
      </w:r>
      <w:r w:rsidR="00797153">
        <w:rPr>
          <w:rFonts w:ascii="Calibri" w:hAnsi="Calibri" w:cs="Calibri"/>
          <w:sz w:val="24"/>
          <w:szCs w:val="24"/>
        </w:rPr>
        <w:t xml:space="preserve">Tafesse et al., 2026). </w:t>
      </w:r>
    </w:p>
    <w:p w14:paraId="72197EAE" w14:textId="612CC47C" w:rsidR="00C11F13" w:rsidRDefault="00DC3D24" w:rsidP="0051172A">
      <w:pPr>
        <w:spacing w:line="360" w:lineRule="auto"/>
        <w:jc w:val="both"/>
        <w:rPr>
          <w:rFonts w:ascii="Calibri" w:hAnsi="Calibri" w:cs="Calibri"/>
          <w:sz w:val="24"/>
          <w:szCs w:val="24"/>
        </w:rPr>
      </w:pPr>
      <w:r>
        <w:rPr>
          <w:rFonts w:ascii="Calibri" w:hAnsi="Calibri" w:cs="Calibri"/>
          <w:sz w:val="24"/>
          <w:szCs w:val="24"/>
        </w:rPr>
        <w:t>Consequently, the literature remains divided between technologically focused investigations seeking measurable outcomes and socially oriented studies examining organisational experiences. Few researcher</w:t>
      </w:r>
      <w:r w:rsidR="00782211">
        <w:rPr>
          <w:rFonts w:ascii="Calibri" w:hAnsi="Calibri" w:cs="Calibri"/>
          <w:sz w:val="24"/>
          <w:szCs w:val="24"/>
        </w:rPr>
        <w:t>s integrate both perspectives within a single explanatory framework. This methodological fragmentation suggests that AI adoption cannot be</w:t>
      </w:r>
      <w:r w:rsidR="00C40E56">
        <w:rPr>
          <w:rFonts w:ascii="Calibri" w:hAnsi="Calibri" w:cs="Calibri"/>
          <w:sz w:val="24"/>
          <w:szCs w:val="24"/>
        </w:rPr>
        <w:t xml:space="preserve"> understood </w:t>
      </w:r>
      <w:r w:rsidR="008561FE">
        <w:rPr>
          <w:rFonts w:ascii="Calibri" w:hAnsi="Calibri" w:cs="Calibri"/>
          <w:sz w:val="24"/>
          <w:szCs w:val="24"/>
        </w:rPr>
        <w:t>uniquely</w:t>
      </w:r>
      <w:r w:rsidR="00844E13">
        <w:rPr>
          <w:rFonts w:ascii="Calibri" w:hAnsi="Calibri" w:cs="Calibri"/>
          <w:sz w:val="24"/>
          <w:szCs w:val="24"/>
        </w:rPr>
        <w:t xml:space="preserve"> in </w:t>
      </w:r>
      <w:r w:rsidR="008561FE">
        <w:rPr>
          <w:rFonts w:ascii="Calibri" w:hAnsi="Calibri" w:cs="Calibri"/>
          <w:sz w:val="24"/>
          <w:szCs w:val="24"/>
        </w:rPr>
        <w:t>conditions</w:t>
      </w:r>
      <w:r w:rsidR="00844E13">
        <w:rPr>
          <w:rFonts w:ascii="Calibri" w:hAnsi="Calibri" w:cs="Calibri"/>
          <w:sz w:val="24"/>
          <w:szCs w:val="24"/>
        </w:rPr>
        <w:t xml:space="preserve"> of</w:t>
      </w:r>
      <w:r w:rsidR="00C40E56">
        <w:rPr>
          <w:rFonts w:ascii="Calibri" w:hAnsi="Calibri" w:cs="Calibri"/>
          <w:sz w:val="24"/>
          <w:szCs w:val="24"/>
        </w:rPr>
        <w:t xml:space="preserve"> technological capa</w:t>
      </w:r>
      <w:r w:rsidR="00844E13">
        <w:rPr>
          <w:rFonts w:ascii="Calibri" w:hAnsi="Calibri" w:cs="Calibri"/>
          <w:sz w:val="24"/>
          <w:szCs w:val="24"/>
        </w:rPr>
        <w:t xml:space="preserve">bility. It </w:t>
      </w:r>
      <w:r w:rsidR="008561FE">
        <w:rPr>
          <w:rFonts w:ascii="Calibri" w:hAnsi="Calibri" w:cs="Calibri"/>
          <w:sz w:val="24"/>
          <w:szCs w:val="24"/>
        </w:rPr>
        <w:t>involves</w:t>
      </w:r>
      <w:r w:rsidR="00844E13">
        <w:rPr>
          <w:rFonts w:ascii="Calibri" w:hAnsi="Calibri" w:cs="Calibri"/>
          <w:sz w:val="24"/>
          <w:szCs w:val="24"/>
        </w:rPr>
        <w:t xml:space="preserve"> </w:t>
      </w:r>
      <w:r w:rsidR="00524BA8">
        <w:rPr>
          <w:rFonts w:ascii="Calibri" w:hAnsi="Calibri" w:cs="Calibri"/>
          <w:sz w:val="24"/>
          <w:szCs w:val="24"/>
        </w:rPr>
        <w:t>examining governance structures, institutional context,</w:t>
      </w:r>
      <w:r w:rsidR="00416D98">
        <w:rPr>
          <w:rFonts w:ascii="Calibri" w:hAnsi="Calibri" w:cs="Calibri"/>
          <w:sz w:val="24"/>
          <w:szCs w:val="24"/>
        </w:rPr>
        <w:t xml:space="preserve"> and stakeholder interpretation. These </w:t>
      </w:r>
      <w:r w:rsidR="008561FE">
        <w:rPr>
          <w:rFonts w:ascii="Calibri" w:hAnsi="Calibri" w:cs="Calibri"/>
          <w:sz w:val="24"/>
          <w:szCs w:val="24"/>
        </w:rPr>
        <w:t>reflections</w:t>
      </w:r>
      <w:r w:rsidR="00416D98">
        <w:rPr>
          <w:rFonts w:ascii="Calibri" w:hAnsi="Calibri" w:cs="Calibri"/>
          <w:sz w:val="24"/>
          <w:szCs w:val="24"/>
        </w:rPr>
        <w:t xml:space="preserve"> reinforce the </w:t>
      </w:r>
      <w:r w:rsidR="00C514D5">
        <w:rPr>
          <w:rFonts w:ascii="Calibri" w:hAnsi="Calibri" w:cs="Calibri"/>
          <w:sz w:val="24"/>
          <w:szCs w:val="24"/>
        </w:rPr>
        <w:t>need for research that explains</w:t>
      </w:r>
      <w:r w:rsidR="00547D93">
        <w:rPr>
          <w:rFonts w:ascii="Calibri" w:hAnsi="Calibri" w:cs="Calibri"/>
          <w:sz w:val="24"/>
          <w:szCs w:val="24"/>
        </w:rPr>
        <w:t xml:space="preserve"> the interaction between technological innovation and organisational governance</w:t>
      </w:r>
      <w:r w:rsidR="00721DD9">
        <w:rPr>
          <w:rFonts w:ascii="Calibri" w:hAnsi="Calibri" w:cs="Calibri"/>
          <w:sz w:val="24"/>
          <w:szCs w:val="24"/>
        </w:rPr>
        <w:t xml:space="preserve"> </w:t>
      </w:r>
      <w:r w:rsidR="00C83766">
        <w:rPr>
          <w:rFonts w:ascii="Calibri" w:hAnsi="Calibri" w:cs="Calibri"/>
          <w:sz w:val="24"/>
          <w:szCs w:val="24"/>
        </w:rPr>
        <w:t>(Papagia</w:t>
      </w:r>
      <w:r w:rsidR="00D25D89">
        <w:rPr>
          <w:rFonts w:ascii="Calibri" w:hAnsi="Calibri" w:cs="Calibri"/>
          <w:sz w:val="24"/>
          <w:szCs w:val="24"/>
        </w:rPr>
        <w:t>nnidis</w:t>
      </w:r>
      <w:r w:rsidR="00173645">
        <w:rPr>
          <w:rFonts w:ascii="Calibri" w:hAnsi="Calibri" w:cs="Calibri"/>
          <w:sz w:val="24"/>
          <w:szCs w:val="24"/>
        </w:rPr>
        <w:t xml:space="preserve"> et al., </w:t>
      </w:r>
      <w:r w:rsidR="00D25D89">
        <w:rPr>
          <w:rFonts w:ascii="Calibri" w:hAnsi="Calibri" w:cs="Calibri"/>
          <w:sz w:val="24"/>
          <w:szCs w:val="24"/>
        </w:rPr>
        <w:t>2025; Wu</w:t>
      </w:r>
      <w:r w:rsidR="00173645">
        <w:rPr>
          <w:rFonts w:ascii="Calibri" w:hAnsi="Calibri" w:cs="Calibri"/>
          <w:sz w:val="24"/>
          <w:szCs w:val="24"/>
        </w:rPr>
        <w:t xml:space="preserve"> et al., </w:t>
      </w:r>
      <w:r w:rsidR="007D5FA4">
        <w:rPr>
          <w:rFonts w:ascii="Calibri" w:hAnsi="Calibri" w:cs="Calibri"/>
          <w:sz w:val="24"/>
          <w:szCs w:val="24"/>
        </w:rPr>
        <w:t>2024)</w:t>
      </w:r>
      <w:r w:rsidR="00F80B1E">
        <w:rPr>
          <w:rFonts w:ascii="Calibri" w:hAnsi="Calibri" w:cs="Calibri"/>
          <w:sz w:val="24"/>
          <w:szCs w:val="24"/>
        </w:rPr>
        <w:t>.</w:t>
      </w:r>
    </w:p>
    <w:p w14:paraId="5A767D2B" w14:textId="409C4100" w:rsidR="004F722C" w:rsidRPr="00672C7C" w:rsidRDefault="00C80C81" w:rsidP="0051172A">
      <w:pPr>
        <w:spacing w:line="360" w:lineRule="auto"/>
        <w:jc w:val="both"/>
        <w:rPr>
          <w:rFonts w:ascii="Calibri" w:hAnsi="Calibri" w:cs="Calibri"/>
          <w:sz w:val="24"/>
          <w:szCs w:val="24"/>
        </w:rPr>
      </w:pPr>
      <w:r>
        <w:rPr>
          <w:rFonts w:ascii="Calibri" w:hAnsi="Calibri" w:cs="Calibri"/>
          <w:sz w:val="24"/>
          <w:szCs w:val="24"/>
        </w:rPr>
        <w:t>T</w:t>
      </w:r>
      <w:r w:rsidR="00524BA8">
        <w:rPr>
          <w:rFonts w:ascii="Calibri" w:hAnsi="Calibri" w:cs="Calibri"/>
          <w:sz w:val="24"/>
          <w:szCs w:val="24"/>
        </w:rPr>
        <w:t xml:space="preserve">aken together, the literature suggests that AI adoption </w:t>
      </w:r>
      <w:r w:rsidR="00E5021E">
        <w:rPr>
          <w:rFonts w:ascii="Calibri" w:hAnsi="Calibri" w:cs="Calibri"/>
          <w:sz w:val="24"/>
          <w:szCs w:val="24"/>
        </w:rPr>
        <w:t xml:space="preserve">should be understood as an organisational capability, not only the acquisition of new technology. Technological resources enable </w:t>
      </w:r>
      <w:r w:rsidR="009B4027">
        <w:rPr>
          <w:rFonts w:ascii="Calibri" w:hAnsi="Calibri" w:cs="Calibri"/>
          <w:sz w:val="24"/>
          <w:szCs w:val="24"/>
        </w:rPr>
        <w:t xml:space="preserve">universities </w:t>
      </w:r>
      <w:r w:rsidR="00E805DC">
        <w:rPr>
          <w:rFonts w:ascii="Calibri" w:hAnsi="Calibri" w:cs="Calibri"/>
          <w:sz w:val="24"/>
          <w:szCs w:val="24"/>
        </w:rPr>
        <w:t xml:space="preserve">to introduce AI, but they do not determine whether its </w:t>
      </w:r>
      <w:r w:rsidR="00281D30">
        <w:rPr>
          <w:rFonts w:ascii="Calibri" w:hAnsi="Calibri" w:cs="Calibri"/>
          <w:sz w:val="24"/>
          <w:szCs w:val="24"/>
        </w:rPr>
        <w:t xml:space="preserve">use becomes </w:t>
      </w:r>
      <w:r w:rsidR="00281D30">
        <w:rPr>
          <w:rFonts w:ascii="Calibri" w:hAnsi="Calibri" w:cs="Calibri"/>
          <w:sz w:val="24"/>
          <w:szCs w:val="24"/>
        </w:rPr>
        <w:lastRenderedPageBreak/>
        <w:t>responsible, sustainable or strategically valuable</w:t>
      </w:r>
      <w:r w:rsidR="003B3E19">
        <w:rPr>
          <w:rFonts w:ascii="Calibri" w:hAnsi="Calibri" w:cs="Calibri"/>
          <w:sz w:val="24"/>
          <w:szCs w:val="24"/>
        </w:rPr>
        <w:t xml:space="preserve"> (Mi</w:t>
      </w:r>
      <w:r w:rsidR="003B7C25">
        <w:rPr>
          <w:rFonts w:ascii="Calibri" w:hAnsi="Calibri" w:cs="Calibri"/>
          <w:sz w:val="24"/>
          <w:szCs w:val="24"/>
        </w:rPr>
        <w:t xml:space="preserve">kalef </w:t>
      </w:r>
      <w:r w:rsidR="00D82198">
        <w:rPr>
          <w:rFonts w:ascii="Calibri" w:hAnsi="Calibri" w:cs="Calibri"/>
          <w:sz w:val="24"/>
          <w:szCs w:val="24"/>
        </w:rPr>
        <w:t>and</w:t>
      </w:r>
      <w:r w:rsidR="003B7C25">
        <w:rPr>
          <w:rFonts w:ascii="Calibri" w:hAnsi="Calibri" w:cs="Calibri"/>
          <w:sz w:val="24"/>
          <w:szCs w:val="24"/>
        </w:rPr>
        <w:t xml:space="preserve"> Gupta, 2021; Ritala et al., 2024)</w:t>
      </w:r>
      <w:r w:rsidR="0049152D">
        <w:rPr>
          <w:rFonts w:ascii="Calibri" w:hAnsi="Calibri" w:cs="Calibri"/>
          <w:sz w:val="24"/>
          <w:szCs w:val="24"/>
        </w:rPr>
        <w:t xml:space="preserve">. </w:t>
      </w:r>
      <w:r w:rsidR="00982A36">
        <w:rPr>
          <w:rFonts w:ascii="Calibri" w:hAnsi="Calibri" w:cs="Calibri"/>
          <w:sz w:val="24"/>
          <w:szCs w:val="24"/>
        </w:rPr>
        <w:t>These outcomes depend on leadership, governance structures, organisational learning</w:t>
      </w:r>
      <w:r w:rsidR="00AD38F1">
        <w:rPr>
          <w:rFonts w:ascii="Calibri" w:hAnsi="Calibri" w:cs="Calibri"/>
          <w:sz w:val="24"/>
          <w:szCs w:val="24"/>
        </w:rPr>
        <w:t xml:space="preserve"> and the capacity to adapt institutional practices as AI develops. AI capability </w:t>
      </w:r>
      <w:r w:rsidR="001F53FD">
        <w:rPr>
          <w:rFonts w:ascii="Calibri" w:hAnsi="Calibri" w:cs="Calibri"/>
          <w:sz w:val="24"/>
          <w:szCs w:val="24"/>
        </w:rPr>
        <w:t xml:space="preserve">is closely linked to </w:t>
      </w:r>
      <w:r w:rsidR="00D270E7">
        <w:rPr>
          <w:rFonts w:ascii="Calibri" w:hAnsi="Calibri" w:cs="Calibri"/>
          <w:sz w:val="24"/>
          <w:szCs w:val="24"/>
        </w:rPr>
        <w:t>governance capability, shifting the analysis from what AI can technically achieve to how universities organise and govern its implementation</w:t>
      </w:r>
      <w:r w:rsidR="00AC71E2">
        <w:rPr>
          <w:rFonts w:ascii="Calibri" w:hAnsi="Calibri" w:cs="Calibri"/>
          <w:sz w:val="24"/>
          <w:szCs w:val="24"/>
        </w:rPr>
        <w:t xml:space="preserve"> (Wu et al., 2024). </w:t>
      </w:r>
    </w:p>
    <w:p w14:paraId="0B96B7D2" w14:textId="704BBFFC" w:rsidR="00F159DE" w:rsidRDefault="009E6C1D" w:rsidP="00672C7C">
      <w:pPr>
        <w:pStyle w:val="Heading2"/>
      </w:pPr>
      <w:bookmarkStart w:id="52" w:name="_Toc237383382"/>
      <w:bookmarkStart w:id="53" w:name="_Toc237384217"/>
      <w:bookmarkStart w:id="54" w:name="_Toc237384937"/>
      <w:bookmarkStart w:id="55" w:name="_Toc237444959"/>
      <w:r w:rsidRPr="00672C7C">
        <w:t>3</w:t>
      </w:r>
      <w:r w:rsidR="00882909" w:rsidRPr="00672C7C">
        <w:t>.2</w:t>
      </w:r>
      <w:r w:rsidR="00F159DE" w:rsidRPr="00672C7C">
        <w:t xml:space="preserve"> </w:t>
      </w:r>
      <w:r w:rsidRPr="00672C7C">
        <w:t xml:space="preserve">Theme 2: </w:t>
      </w:r>
      <w:r w:rsidR="00F159DE" w:rsidRPr="00672C7C">
        <w:t>AI Governance and</w:t>
      </w:r>
      <w:r w:rsidR="00F159DE">
        <w:t xml:space="preserve"> Strategic Management</w:t>
      </w:r>
      <w:bookmarkEnd w:id="52"/>
      <w:bookmarkEnd w:id="53"/>
      <w:bookmarkEnd w:id="54"/>
      <w:bookmarkEnd w:id="55"/>
    </w:p>
    <w:p w14:paraId="10D94957" w14:textId="3F329003" w:rsidR="00DF0DED" w:rsidRPr="006D2A9E" w:rsidRDefault="00227798" w:rsidP="0051172A">
      <w:pPr>
        <w:spacing w:line="360" w:lineRule="auto"/>
        <w:jc w:val="both"/>
        <w:rPr>
          <w:rFonts w:ascii="Calibri" w:hAnsi="Calibri" w:cs="Calibri"/>
          <w:sz w:val="24"/>
          <w:szCs w:val="24"/>
        </w:rPr>
      </w:pPr>
      <w:r>
        <w:rPr>
          <w:rFonts w:ascii="Calibri" w:hAnsi="Calibri" w:cs="Calibri"/>
          <w:sz w:val="24"/>
          <w:szCs w:val="24"/>
        </w:rPr>
        <w:t>E</w:t>
      </w:r>
      <w:r w:rsidR="00DF0DED" w:rsidRPr="006D2A9E">
        <w:rPr>
          <w:rFonts w:ascii="Calibri" w:hAnsi="Calibri" w:cs="Calibri"/>
          <w:sz w:val="24"/>
          <w:szCs w:val="24"/>
        </w:rPr>
        <w:t xml:space="preserve">ffective AI governance requires </w:t>
      </w:r>
      <w:r w:rsidR="00C514D5">
        <w:rPr>
          <w:rFonts w:ascii="Calibri" w:hAnsi="Calibri" w:cs="Calibri"/>
          <w:sz w:val="24"/>
          <w:szCs w:val="24"/>
        </w:rPr>
        <w:t>integrating technological management with</w:t>
      </w:r>
      <w:r w:rsidR="00DF0DED" w:rsidRPr="006D2A9E">
        <w:rPr>
          <w:rFonts w:ascii="Calibri" w:hAnsi="Calibri" w:cs="Calibri"/>
          <w:sz w:val="24"/>
          <w:szCs w:val="24"/>
        </w:rPr>
        <w:t xml:space="preserve"> organisational strategy. Their position </w:t>
      </w:r>
      <w:r w:rsidR="008561FE" w:rsidRPr="006D2A9E">
        <w:rPr>
          <w:rFonts w:ascii="Calibri" w:hAnsi="Calibri" w:cs="Calibri"/>
          <w:sz w:val="24"/>
          <w:szCs w:val="24"/>
        </w:rPr>
        <w:t>recommends</w:t>
      </w:r>
      <w:r w:rsidR="00DF0DED" w:rsidRPr="006D2A9E">
        <w:rPr>
          <w:rFonts w:ascii="Calibri" w:hAnsi="Calibri" w:cs="Calibri"/>
          <w:sz w:val="24"/>
          <w:szCs w:val="24"/>
        </w:rPr>
        <w:t xml:space="preserve"> that governance should not be treated as a compliance function </w:t>
      </w:r>
      <w:r w:rsidR="00C514D5">
        <w:rPr>
          <w:rFonts w:ascii="Calibri" w:hAnsi="Calibri" w:cs="Calibri"/>
          <w:sz w:val="24"/>
          <w:szCs w:val="24"/>
        </w:rPr>
        <w:t>that operates independently of</w:t>
      </w:r>
      <w:r w:rsidR="00DF0DED" w:rsidRPr="006D2A9E">
        <w:rPr>
          <w:rFonts w:ascii="Calibri" w:hAnsi="Calibri" w:cs="Calibri"/>
          <w:sz w:val="24"/>
          <w:szCs w:val="24"/>
        </w:rPr>
        <w:t xml:space="preserve"> institutional objectives. Moreover, governance mechanisms must align AI implementation with broader organisational values and strategic priorities. This perspective is </w:t>
      </w:r>
      <w:r w:rsidR="00C514D5">
        <w:rPr>
          <w:rFonts w:ascii="Calibri" w:hAnsi="Calibri" w:cs="Calibri"/>
          <w:sz w:val="24"/>
          <w:szCs w:val="24"/>
        </w:rPr>
        <w:t xml:space="preserve">reinforced by the finding that organisations that achieve the greatest value from AI </w:t>
      </w:r>
      <w:r w:rsidR="00DF0DED" w:rsidRPr="006D2A9E">
        <w:rPr>
          <w:rFonts w:ascii="Calibri" w:hAnsi="Calibri" w:cs="Calibri"/>
          <w:sz w:val="24"/>
          <w:szCs w:val="24"/>
        </w:rPr>
        <w:t xml:space="preserve">embed governance structures within strategic decision-making </w:t>
      </w:r>
      <w:r w:rsidR="008561FE" w:rsidRPr="006D2A9E">
        <w:rPr>
          <w:rFonts w:ascii="Calibri" w:hAnsi="Calibri" w:cs="Calibri"/>
          <w:sz w:val="24"/>
          <w:szCs w:val="24"/>
        </w:rPr>
        <w:t>practices</w:t>
      </w:r>
      <w:r>
        <w:rPr>
          <w:rFonts w:ascii="Calibri" w:hAnsi="Calibri" w:cs="Calibri"/>
          <w:sz w:val="24"/>
          <w:szCs w:val="24"/>
        </w:rPr>
        <w:t xml:space="preserve"> (Mi</w:t>
      </w:r>
      <w:r w:rsidR="005B13F7">
        <w:rPr>
          <w:rFonts w:ascii="Calibri" w:hAnsi="Calibri" w:cs="Calibri"/>
          <w:sz w:val="24"/>
          <w:szCs w:val="24"/>
        </w:rPr>
        <w:t>k</w:t>
      </w:r>
      <w:r w:rsidR="00540926">
        <w:rPr>
          <w:rFonts w:ascii="Calibri" w:hAnsi="Calibri" w:cs="Calibri"/>
          <w:sz w:val="24"/>
          <w:szCs w:val="24"/>
        </w:rPr>
        <w:t xml:space="preserve">alef </w:t>
      </w:r>
      <w:r w:rsidR="00D82198">
        <w:rPr>
          <w:rFonts w:ascii="Calibri" w:hAnsi="Calibri" w:cs="Calibri"/>
          <w:sz w:val="24"/>
          <w:szCs w:val="24"/>
        </w:rPr>
        <w:t>and</w:t>
      </w:r>
      <w:r w:rsidR="00540926">
        <w:rPr>
          <w:rFonts w:ascii="Calibri" w:hAnsi="Calibri" w:cs="Calibri"/>
          <w:sz w:val="24"/>
          <w:szCs w:val="24"/>
        </w:rPr>
        <w:t xml:space="preserve"> Gupta, 2021</w:t>
      </w:r>
      <w:r w:rsidR="00597B0B">
        <w:rPr>
          <w:rFonts w:ascii="Calibri" w:hAnsi="Calibri" w:cs="Calibri"/>
          <w:sz w:val="24"/>
          <w:szCs w:val="24"/>
        </w:rPr>
        <w:t xml:space="preserve">; Ritala et al., 2024). </w:t>
      </w:r>
    </w:p>
    <w:p w14:paraId="2CC7A358" w14:textId="1271AC5D" w:rsidR="00A9596C" w:rsidRPr="006D2A9E" w:rsidRDefault="00A9596C" w:rsidP="0051172A">
      <w:pPr>
        <w:spacing w:line="360" w:lineRule="auto"/>
        <w:jc w:val="both"/>
        <w:rPr>
          <w:rFonts w:ascii="Calibri" w:hAnsi="Calibri" w:cs="Calibri"/>
          <w:sz w:val="24"/>
          <w:szCs w:val="24"/>
        </w:rPr>
      </w:pPr>
      <w:r w:rsidRPr="006D2A9E">
        <w:rPr>
          <w:rFonts w:ascii="Calibri" w:hAnsi="Calibri" w:cs="Calibri"/>
          <w:sz w:val="24"/>
          <w:szCs w:val="24"/>
        </w:rPr>
        <w:t xml:space="preserve">However, significant disagreements </w:t>
      </w:r>
      <w:r w:rsidR="008561FE" w:rsidRPr="006D2A9E">
        <w:rPr>
          <w:rFonts w:ascii="Calibri" w:hAnsi="Calibri" w:cs="Calibri"/>
          <w:sz w:val="24"/>
          <w:szCs w:val="24"/>
        </w:rPr>
        <w:t>persist</w:t>
      </w:r>
      <w:r w:rsidRPr="006D2A9E">
        <w:rPr>
          <w:rFonts w:ascii="Calibri" w:hAnsi="Calibri" w:cs="Calibri"/>
          <w:sz w:val="24"/>
          <w:szCs w:val="24"/>
        </w:rPr>
        <w:t xml:space="preserve"> regarding the most appropriate governance model. The OECD (2021) advocates principles-based governance, emphasising transparency, fairness, and accountability. In contrast, the EU’s AI Act adopts a </w:t>
      </w:r>
      <w:r w:rsidR="00A57F31" w:rsidRPr="006D2A9E">
        <w:rPr>
          <w:rFonts w:ascii="Calibri" w:hAnsi="Calibri" w:cs="Calibri"/>
          <w:sz w:val="24"/>
          <w:szCs w:val="24"/>
        </w:rPr>
        <w:t>risk-based</w:t>
      </w:r>
      <w:r w:rsidRPr="006D2A9E">
        <w:rPr>
          <w:rFonts w:ascii="Calibri" w:hAnsi="Calibri" w:cs="Calibri"/>
          <w:sz w:val="24"/>
          <w:szCs w:val="24"/>
        </w:rPr>
        <w:t xml:space="preserve"> regulatory approach that imposes legal obligations according to the </w:t>
      </w:r>
      <w:r w:rsidR="00A57F31" w:rsidRPr="006D2A9E">
        <w:rPr>
          <w:rFonts w:ascii="Calibri" w:hAnsi="Calibri" w:cs="Calibri"/>
          <w:sz w:val="24"/>
          <w:szCs w:val="24"/>
        </w:rPr>
        <w:t>perceived level of AI risk</w:t>
      </w:r>
      <w:r w:rsidR="003B3342">
        <w:rPr>
          <w:rFonts w:ascii="Calibri" w:hAnsi="Calibri" w:cs="Calibri"/>
          <w:sz w:val="24"/>
          <w:szCs w:val="24"/>
        </w:rPr>
        <w:t xml:space="preserve"> (</w:t>
      </w:r>
      <w:r w:rsidR="00C3168B">
        <w:rPr>
          <w:rFonts w:ascii="Calibri" w:hAnsi="Calibri" w:cs="Calibri"/>
          <w:sz w:val="24"/>
          <w:szCs w:val="24"/>
        </w:rPr>
        <w:t>European Parliament and Council of the European Union, 2024)</w:t>
      </w:r>
      <w:r w:rsidR="00A57F31" w:rsidRPr="006D2A9E">
        <w:rPr>
          <w:rFonts w:ascii="Calibri" w:hAnsi="Calibri" w:cs="Calibri"/>
          <w:sz w:val="24"/>
          <w:szCs w:val="24"/>
        </w:rPr>
        <w:t>. Veale and Borgesius (2021) argue that highly prescriptive regulation may inhibit innovation. Moreover, proponents contend that stronger regulation is necessary to protect individuals from harmful AI applications. This debate illustrates the fundamental tension between innovation and control that characterises contemporary AI governance discussions</w:t>
      </w:r>
      <w:r w:rsidR="0023041C">
        <w:rPr>
          <w:rFonts w:ascii="Calibri" w:hAnsi="Calibri" w:cs="Calibri"/>
          <w:sz w:val="24"/>
          <w:szCs w:val="24"/>
        </w:rPr>
        <w:t xml:space="preserve"> (Ta</w:t>
      </w:r>
      <w:r w:rsidR="00B97FFB">
        <w:rPr>
          <w:rFonts w:ascii="Calibri" w:hAnsi="Calibri" w:cs="Calibri"/>
          <w:sz w:val="24"/>
          <w:szCs w:val="24"/>
        </w:rPr>
        <w:t>eihagh, 2025</w:t>
      </w:r>
      <w:r w:rsidR="00F0338C">
        <w:rPr>
          <w:rFonts w:ascii="Calibri" w:hAnsi="Calibri" w:cs="Calibri"/>
          <w:sz w:val="24"/>
          <w:szCs w:val="24"/>
        </w:rPr>
        <w:t xml:space="preserve">; </w:t>
      </w:r>
      <w:r w:rsidR="00A46499">
        <w:rPr>
          <w:rFonts w:ascii="Calibri" w:hAnsi="Calibri" w:cs="Calibri"/>
          <w:sz w:val="24"/>
          <w:szCs w:val="24"/>
        </w:rPr>
        <w:t>Bobula</w:t>
      </w:r>
      <w:r w:rsidR="00F0338C">
        <w:rPr>
          <w:rFonts w:ascii="Calibri" w:hAnsi="Calibri" w:cs="Calibri"/>
          <w:sz w:val="24"/>
          <w:szCs w:val="24"/>
        </w:rPr>
        <w:t>, 202</w:t>
      </w:r>
      <w:r w:rsidR="00A46499">
        <w:rPr>
          <w:rFonts w:ascii="Calibri" w:hAnsi="Calibri" w:cs="Calibri"/>
          <w:sz w:val="24"/>
          <w:szCs w:val="24"/>
        </w:rPr>
        <w:t>4</w:t>
      </w:r>
      <w:r w:rsidR="00F0338C">
        <w:rPr>
          <w:rFonts w:ascii="Calibri" w:hAnsi="Calibri" w:cs="Calibri"/>
          <w:sz w:val="24"/>
          <w:szCs w:val="24"/>
        </w:rPr>
        <w:t>).</w:t>
      </w:r>
    </w:p>
    <w:p w14:paraId="7A16E0B8" w14:textId="7E3ABEBC" w:rsidR="00191B4B" w:rsidRPr="006D2A9E" w:rsidRDefault="00191B4B" w:rsidP="0051172A">
      <w:pPr>
        <w:spacing w:line="360" w:lineRule="auto"/>
        <w:jc w:val="both"/>
        <w:rPr>
          <w:rFonts w:ascii="Calibri" w:hAnsi="Calibri" w:cs="Calibri"/>
          <w:sz w:val="24"/>
          <w:szCs w:val="24"/>
        </w:rPr>
      </w:pPr>
      <w:r w:rsidRPr="006D2A9E">
        <w:rPr>
          <w:rFonts w:ascii="Calibri" w:hAnsi="Calibri" w:cs="Calibri"/>
          <w:sz w:val="24"/>
          <w:szCs w:val="24"/>
        </w:rPr>
        <w:t xml:space="preserve">These governance approaches </w:t>
      </w:r>
      <w:r w:rsidR="003E1034" w:rsidRPr="006D2A9E">
        <w:rPr>
          <w:rFonts w:ascii="Calibri" w:hAnsi="Calibri" w:cs="Calibri"/>
          <w:sz w:val="24"/>
          <w:szCs w:val="24"/>
        </w:rPr>
        <w:t xml:space="preserve">differ theoretically. Principles-based </w:t>
      </w:r>
      <w:r w:rsidR="00BD32E8" w:rsidRPr="006D2A9E">
        <w:rPr>
          <w:rFonts w:ascii="Calibri" w:hAnsi="Calibri" w:cs="Calibri"/>
          <w:sz w:val="24"/>
          <w:szCs w:val="24"/>
        </w:rPr>
        <w:t>governance</w:t>
      </w:r>
      <w:r w:rsidR="00496CC5" w:rsidRPr="006D2A9E">
        <w:rPr>
          <w:rFonts w:ascii="Calibri" w:hAnsi="Calibri" w:cs="Calibri"/>
          <w:sz w:val="24"/>
          <w:szCs w:val="24"/>
        </w:rPr>
        <w:t xml:space="preserve"> </w:t>
      </w:r>
      <w:r w:rsidR="00B349EC" w:rsidRPr="006D2A9E">
        <w:rPr>
          <w:rFonts w:ascii="Calibri" w:hAnsi="Calibri" w:cs="Calibri"/>
          <w:sz w:val="24"/>
          <w:szCs w:val="24"/>
        </w:rPr>
        <w:t>emphasises organisational flexibility and ethical judgement</w:t>
      </w:r>
      <w:r w:rsidR="007570CA" w:rsidRPr="006D2A9E">
        <w:rPr>
          <w:rFonts w:ascii="Calibri" w:hAnsi="Calibri" w:cs="Calibri"/>
          <w:sz w:val="24"/>
          <w:szCs w:val="24"/>
        </w:rPr>
        <w:t xml:space="preserve">. </w:t>
      </w:r>
      <w:r w:rsidR="00D22D3F">
        <w:rPr>
          <w:rFonts w:ascii="Calibri" w:hAnsi="Calibri" w:cs="Calibri"/>
          <w:sz w:val="24"/>
          <w:szCs w:val="24"/>
        </w:rPr>
        <w:t>R</w:t>
      </w:r>
      <w:r w:rsidR="007570CA" w:rsidRPr="006D2A9E">
        <w:rPr>
          <w:rFonts w:ascii="Calibri" w:hAnsi="Calibri" w:cs="Calibri"/>
          <w:sz w:val="24"/>
          <w:szCs w:val="24"/>
        </w:rPr>
        <w:t>egulatory models prioritise legal compliance and risk mitigation</w:t>
      </w:r>
      <w:r w:rsidR="00D22D3F">
        <w:rPr>
          <w:rFonts w:ascii="Calibri" w:hAnsi="Calibri" w:cs="Calibri"/>
          <w:sz w:val="24"/>
          <w:szCs w:val="24"/>
        </w:rPr>
        <w:t xml:space="preserve">, but </w:t>
      </w:r>
      <w:r w:rsidR="006E4AD9" w:rsidRPr="006D2A9E">
        <w:rPr>
          <w:rFonts w:ascii="Calibri" w:hAnsi="Calibri" w:cs="Calibri"/>
          <w:sz w:val="24"/>
          <w:szCs w:val="24"/>
        </w:rPr>
        <w:t>neither approach reflects the organisational complexity of public universities</w:t>
      </w:r>
      <w:r w:rsidR="00301DD7">
        <w:rPr>
          <w:rFonts w:ascii="Calibri" w:hAnsi="Calibri" w:cs="Calibri"/>
          <w:sz w:val="24"/>
          <w:szCs w:val="24"/>
        </w:rPr>
        <w:t xml:space="preserve"> (Wu et al., 2024)</w:t>
      </w:r>
      <w:r w:rsidR="006E4AD9" w:rsidRPr="006D2A9E">
        <w:rPr>
          <w:rFonts w:ascii="Calibri" w:hAnsi="Calibri" w:cs="Calibri"/>
          <w:sz w:val="24"/>
          <w:szCs w:val="24"/>
        </w:rPr>
        <w:t xml:space="preserve">. </w:t>
      </w:r>
      <w:r w:rsidR="00FD4D01" w:rsidRPr="006D2A9E">
        <w:rPr>
          <w:rFonts w:ascii="Calibri" w:hAnsi="Calibri" w:cs="Calibri"/>
          <w:sz w:val="24"/>
          <w:szCs w:val="24"/>
        </w:rPr>
        <w:t xml:space="preserve">Existing governance frameworks are </w:t>
      </w:r>
      <w:r w:rsidR="00882DAE" w:rsidRPr="006D2A9E">
        <w:rPr>
          <w:rFonts w:ascii="Calibri" w:hAnsi="Calibri" w:cs="Calibri"/>
          <w:sz w:val="24"/>
          <w:szCs w:val="24"/>
        </w:rPr>
        <w:t>developed</w:t>
      </w:r>
      <w:r w:rsidR="00FD4D01" w:rsidRPr="006D2A9E">
        <w:rPr>
          <w:rFonts w:ascii="Calibri" w:hAnsi="Calibri" w:cs="Calibri"/>
          <w:sz w:val="24"/>
          <w:szCs w:val="24"/>
        </w:rPr>
        <w:t xml:space="preserve"> for commercial organisations </w:t>
      </w:r>
      <w:r w:rsidR="00882DAE" w:rsidRPr="006D2A9E">
        <w:rPr>
          <w:rFonts w:ascii="Calibri" w:hAnsi="Calibri" w:cs="Calibri"/>
          <w:sz w:val="24"/>
          <w:szCs w:val="24"/>
        </w:rPr>
        <w:t xml:space="preserve">or public administration. </w:t>
      </w:r>
      <w:r w:rsidR="005868EC" w:rsidRPr="006D2A9E">
        <w:rPr>
          <w:rFonts w:ascii="Calibri" w:hAnsi="Calibri" w:cs="Calibri"/>
          <w:sz w:val="24"/>
          <w:szCs w:val="24"/>
        </w:rPr>
        <w:t xml:space="preserve">This provides limited guidance for </w:t>
      </w:r>
      <w:r w:rsidR="002471B3" w:rsidRPr="006D2A9E">
        <w:rPr>
          <w:rFonts w:ascii="Calibri" w:hAnsi="Calibri" w:cs="Calibri"/>
          <w:sz w:val="24"/>
          <w:szCs w:val="24"/>
        </w:rPr>
        <w:t>HEIs</w:t>
      </w:r>
      <w:r w:rsidR="005868EC" w:rsidRPr="006D2A9E">
        <w:rPr>
          <w:rFonts w:ascii="Calibri" w:hAnsi="Calibri" w:cs="Calibri"/>
          <w:sz w:val="24"/>
          <w:szCs w:val="24"/>
        </w:rPr>
        <w:t xml:space="preserve"> </w:t>
      </w:r>
      <w:r w:rsidR="002471B3" w:rsidRPr="006D2A9E">
        <w:rPr>
          <w:rFonts w:ascii="Calibri" w:hAnsi="Calibri" w:cs="Calibri"/>
          <w:sz w:val="24"/>
          <w:szCs w:val="24"/>
        </w:rPr>
        <w:t xml:space="preserve">seeking to uphold academic freedom, public accountability, and educational quality. </w:t>
      </w:r>
      <w:r w:rsidR="008D5601" w:rsidRPr="006D2A9E">
        <w:rPr>
          <w:rFonts w:ascii="Calibri" w:hAnsi="Calibri" w:cs="Calibri"/>
          <w:sz w:val="24"/>
          <w:szCs w:val="24"/>
        </w:rPr>
        <w:t>Ho</w:t>
      </w:r>
      <w:r w:rsidR="006D686B" w:rsidRPr="006D2A9E">
        <w:rPr>
          <w:rFonts w:ascii="Calibri" w:hAnsi="Calibri" w:cs="Calibri"/>
          <w:sz w:val="24"/>
          <w:szCs w:val="24"/>
        </w:rPr>
        <w:t xml:space="preserve">wever, </w:t>
      </w:r>
      <w:r w:rsidR="00C514D5">
        <w:rPr>
          <w:rFonts w:ascii="Calibri" w:hAnsi="Calibri" w:cs="Calibri"/>
          <w:sz w:val="24"/>
          <w:szCs w:val="24"/>
        </w:rPr>
        <w:t>HE needs governance models designed specifically for HE, not merely</w:t>
      </w:r>
      <w:r w:rsidR="008A1D9C" w:rsidRPr="006D2A9E">
        <w:rPr>
          <w:rFonts w:ascii="Calibri" w:hAnsi="Calibri" w:cs="Calibri"/>
          <w:sz w:val="24"/>
          <w:szCs w:val="24"/>
        </w:rPr>
        <w:t xml:space="preserve"> adaptations of existing corporate governance frameworks</w:t>
      </w:r>
      <w:r w:rsidR="00705F7C">
        <w:rPr>
          <w:rFonts w:ascii="Calibri" w:hAnsi="Calibri" w:cs="Calibri"/>
          <w:sz w:val="24"/>
          <w:szCs w:val="24"/>
        </w:rPr>
        <w:t xml:space="preserve"> (</w:t>
      </w:r>
      <w:r w:rsidR="0024389F">
        <w:rPr>
          <w:rFonts w:ascii="Calibri" w:hAnsi="Calibri" w:cs="Calibri"/>
          <w:sz w:val="24"/>
          <w:szCs w:val="24"/>
        </w:rPr>
        <w:t>Gomes</w:t>
      </w:r>
      <w:r w:rsidR="00301DD7">
        <w:rPr>
          <w:rFonts w:ascii="Calibri" w:hAnsi="Calibri" w:cs="Calibri"/>
          <w:sz w:val="24"/>
          <w:szCs w:val="24"/>
        </w:rPr>
        <w:t xml:space="preserve"> et al.,</w:t>
      </w:r>
      <w:r w:rsidR="0024389F">
        <w:rPr>
          <w:rFonts w:ascii="Calibri" w:hAnsi="Calibri" w:cs="Calibri"/>
          <w:sz w:val="24"/>
          <w:szCs w:val="24"/>
        </w:rPr>
        <w:t xml:space="preserve"> 2025; </w:t>
      </w:r>
      <w:r w:rsidR="00210D40">
        <w:rPr>
          <w:rFonts w:ascii="Calibri" w:hAnsi="Calibri" w:cs="Calibri"/>
          <w:sz w:val="24"/>
          <w:szCs w:val="24"/>
        </w:rPr>
        <w:t>W</w:t>
      </w:r>
      <w:r w:rsidR="008B746A">
        <w:rPr>
          <w:rFonts w:ascii="Calibri" w:hAnsi="Calibri" w:cs="Calibri"/>
          <w:sz w:val="24"/>
          <w:szCs w:val="24"/>
        </w:rPr>
        <w:t xml:space="preserve">alhidayah </w:t>
      </w:r>
      <w:r w:rsidR="00D82198">
        <w:rPr>
          <w:rFonts w:ascii="Calibri" w:hAnsi="Calibri" w:cs="Calibri"/>
          <w:sz w:val="24"/>
          <w:szCs w:val="24"/>
        </w:rPr>
        <w:t>and</w:t>
      </w:r>
      <w:r w:rsidR="008B746A">
        <w:rPr>
          <w:rFonts w:ascii="Calibri" w:hAnsi="Calibri" w:cs="Calibri"/>
          <w:sz w:val="24"/>
          <w:szCs w:val="24"/>
        </w:rPr>
        <w:t xml:space="preserve"> Surend</w:t>
      </w:r>
      <w:r w:rsidR="008C064B">
        <w:rPr>
          <w:rFonts w:ascii="Calibri" w:hAnsi="Calibri" w:cs="Calibri"/>
          <w:sz w:val="24"/>
          <w:szCs w:val="24"/>
        </w:rPr>
        <w:t>r</w:t>
      </w:r>
      <w:r w:rsidR="008B746A">
        <w:rPr>
          <w:rFonts w:ascii="Calibri" w:hAnsi="Calibri" w:cs="Calibri"/>
          <w:sz w:val="24"/>
          <w:szCs w:val="24"/>
        </w:rPr>
        <w:t>o, 2025)</w:t>
      </w:r>
      <w:r w:rsidR="008A1D9C" w:rsidRPr="006D2A9E">
        <w:rPr>
          <w:rFonts w:ascii="Calibri" w:hAnsi="Calibri" w:cs="Calibri"/>
          <w:sz w:val="24"/>
          <w:szCs w:val="24"/>
        </w:rPr>
        <w:t xml:space="preserve">. </w:t>
      </w:r>
    </w:p>
    <w:p w14:paraId="429D5C93" w14:textId="069CB39A" w:rsidR="004710E6" w:rsidRPr="00BD6E71" w:rsidRDefault="007F7B6F" w:rsidP="00882909">
      <w:pPr>
        <w:spacing w:line="360" w:lineRule="auto"/>
        <w:jc w:val="both"/>
        <w:rPr>
          <w:rFonts w:ascii="Calibri" w:hAnsi="Calibri" w:cs="Calibri"/>
          <w:sz w:val="24"/>
          <w:szCs w:val="24"/>
        </w:rPr>
      </w:pPr>
      <w:r>
        <w:rPr>
          <w:rFonts w:ascii="Calibri" w:hAnsi="Calibri" w:cs="Calibri"/>
          <w:sz w:val="24"/>
          <w:szCs w:val="24"/>
        </w:rPr>
        <w:lastRenderedPageBreak/>
        <w:t>The OECD</w:t>
      </w:r>
      <w:r w:rsidR="00104DF6">
        <w:rPr>
          <w:rFonts w:ascii="Calibri" w:hAnsi="Calibri" w:cs="Calibri"/>
          <w:sz w:val="24"/>
          <w:szCs w:val="24"/>
        </w:rPr>
        <w:t xml:space="preserve">, UNESCO, </w:t>
      </w:r>
      <w:r w:rsidR="00841D90">
        <w:rPr>
          <w:rFonts w:ascii="Calibri" w:hAnsi="Calibri" w:cs="Calibri"/>
          <w:sz w:val="24"/>
          <w:szCs w:val="24"/>
        </w:rPr>
        <w:t>the EU AI Act, and UK approaches differ in their emphasis on principles, ethics, regulatory risks, and innovation</w:t>
      </w:r>
      <w:r w:rsidR="000501A4">
        <w:rPr>
          <w:rFonts w:ascii="Calibri" w:hAnsi="Calibri" w:cs="Calibri"/>
          <w:sz w:val="24"/>
          <w:szCs w:val="24"/>
        </w:rPr>
        <w:t xml:space="preserve"> (</w:t>
      </w:r>
      <w:r w:rsidR="00B87744">
        <w:rPr>
          <w:rFonts w:ascii="Calibri" w:hAnsi="Calibri" w:cs="Calibri"/>
          <w:sz w:val="24"/>
          <w:szCs w:val="24"/>
        </w:rPr>
        <w:t>OECD, 2019; UNESCO, 2021)</w:t>
      </w:r>
      <w:r w:rsidR="00841D90">
        <w:rPr>
          <w:rFonts w:ascii="Calibri" w:hAnsi="Calibri" w:cs="Calibri"/>
          <w:sz w:val="24"/>
          <w:szCs w:val="24"/>
        </w:rPr>
        <w:t xml:space="preserve">. </w:t>
      </w:r>
      <w:r w:rsidR="00841D90" w:rsidRPr="00D11571">
        <w:rPr>
          <w:rFonts w:ascii="Calibri" w:hAnsi="Calibri" w:cs="Calibri"/>
          <w:b/>
          <w:bCs/>
          <w:sz w:val="24"/>
          <w:szCs w:val="24"/>
        </w:rPr>
        <w:t>See Appendix C</w:t>
      </w:r>
      <w:r w:rsidR="00A07B61">
        <w:rPr>
          <w:rFonts w:ascii="Calibri" w:hAnsi="Calibri" w:cs="Calibri"/>
          <w:sz w:val="24"/>
          <w:szCs w:val="24"/>
        </w:rPr>
        <w:t xml:space="preserve">. </w:t>
      </w:r>
      <w:r w:rsidR="004710E6">
        <w:rPr>
          <w:rFonts w:ascii="Calibri" w:hAnsi="Calibri" w:cs="Calibri"/>
          <w:sz w:val="24"/>
          <w:szCs w:val="24"/>
        </w:rPr>
        <w:t>Collectively, these frameworks provide valuable normative guidance but insufficient operational direction for English public universities</w:t>
      </w:r>
      <w:r w:rsidR="00D42073">
        <w:rPr>
          <w:rFonts w:ascii="Calibri" w:hAnsi="Calibri" w:cs="Calibri"/>
          <w:sz w:val="24"/>
          <w:szCs w:val="24"/>
        </w:rPr>
        <w:t xml:space="preserve"> (Wu et al., 2024).</w:t>
      </w:r>
    </w:p>
    <w:p w14:paraId="20D066BC" w14:textId="0A13DF49" w:rsidR="00753CD5" w:rsidRDefault="00753CD5" w:rsidP="00753CD5">
      <w:pPr>
        <w:spacing w:line="360" w:lineRule="auto"/>
        <w:jc w:val="both"/>
        <w:rPr>
          <w:rFonts w:ascii="Calibri" w:hAnsi="Calibri" w:cs="Calibri"/>
          <w:sz w:val="24"/>
          <w:szCs w:val="24"/>
        </w:rPr>
      </w:pPr>
      <w:r>
        <w:rPr>
          <w:rFonts w:ascii="Calibri" w:hAnsi="Calibri" w:cs="Calibri"/>
          <w:sz w:val="24"/>
          <w:szCs w:val="24"/>
        </w:rPr>
        <w:t>The literature reflects differing epistemological positions. Positivist investigations seek measurable relationships between governance structures and organisational performance. This assumes that governance effectiveness can be objectively evaluated using predefined indicators. Interpretivist studies examine how institutional actors construct meanings around AI governance and organisational legitimacy</w:t>
      </w:r>
      <w:r w:rsidR="00944081">
        <w:rPr>
          <w:rFonts w:ascii="Calibri" w:hAnsi="Calibri" w:cs="Calibri"/>
          <w:sz w:val="24"/>
          <w:szCs w:val="24"/>
        </w:rPr>
        <w:t xml:space="preserve"> (Williams, 2000; Hay, 2011)</w:t>
      </w:r>
      <w:r>
        <w:rPr>
          <w:rFonts w:ascii="Calibri" w:hAnsi="Calibri" w:cs="Calibri"/>
          <w:sz w:val="24"/>
          <w:szCs w:val="24"/>
        </w:rPr>
        <w:t xml:space="preserve">. </w:t>
      </w:r>
      <w:r w:rsidR="00E94C1A">
        <w:rPr>
          <w:rFonts w:ascii="Calibri" w:hAnsi="Calibri" w:cs="Calibri"/>
          <w:sz w:val="24"/>
          <w:szCs w:val="24"/>
        </w:rPr>
        <w:t>These studies generate richer contextual understanding but are frequently criti</w:t>
      </w:r>
      <w:r w:rsidR="00675AF6">
        <w:rPr>
          <w:rFonts w:ascii="Calibri" w:hAnsi="Calibri" w:cs="Calibri"/>
          <w:sz w:val="24"/>
          <w:szCs w:val="24"/>
        </w:rPr>
        <w:t xml:space="preserve">cised for limited </w:t>
      </w:r>
      <w:r w:rsidR="00762B4D">
        <w:rPr>
          <w:rFonts w:ascii="Calibri" w:hAnsi="Calibri" w:cs="Calibri"/>
          <w:sz w:val="24"/>
          <w:szCs w:val="24"/>
        </w:rPr>
        <w:t>generalisability</w:t>
      </w:r>
      <w:r w:rsidR="00675AF6">
        <w:rPr>
          <w:rFonts w:ascii="Calibri" w:hAnsi="Calibri" w:cs="Calibri"/>
          <w:sz w:val="24"/>
          <w:szCs w:val="24"/>
        </w:rPr>
        <w:t>. More recently, several scholars have advocated critical realist</w:t>
      </w:r>
      <w:r w:rsidR="00762B4D">
        <w:rPr>
          <w:rFonts w:ascii="Calibri" w:hAnsi="Calibri" w:cs="Calibri"/>
          <w:sz w:val="24"/>
          <w:szCs w:val="24"/>
        </w:rPr>
        <w:t xml:space="preserve"> perspectives</w:t>
      </w:r>
      <w:r w:rsidR="00E87CDA">
        <w:rPr>
          <w:rFonts w:ascii="Calibri" w:hAnsi="Calibri" w:cs="Calibri"/>
          <w:sz w:val="24"/>
          <w:szCs w:val="24"/>
        </w:rPr>
        <w:t xml:space="preserve"> that recognise both an objective organisational culture and </w:t>
      </w:r>
      <w:r w:rsidR="002D1FE5">
        <w:rPr>
          <w:rFonts w:ascii="Calibri" w:hAnsi="Calibri" w:cs="Calibri"/>
          <w:sz w:val="24"/>
          <w:szCs w:val="24"/>
        </w:rPr>
        <w:t>external institutional pressures</w:t>
      </w:r>
      <w:r w:rsidR="003F25D3">
        <w:rPr>
          <w:rFonts w:ascii="Calibri" w:hAnsi="Calibri" w:cs="Calibri"/>
          <w:sz w:val="24"/>
          <w:szCs w:val="24"/>
        </w:rPr>
        <w:t xml:space="preserve"> (Fleetwood, 2005; Edwards et al., 2014)</w:t>
      </w:r>
      <w:r w:rsidR="002D1FE5">
        <w:rPr>
          <w:rFonts w:ascii="Calibri" w:hAnsi="Calibri" w:cs="Calibri"/>
          <w:sz w:val="24"/>
          <w:szCs w:val="24"/>
        </w:rPr>
        <w:t xml:space="preserve">. </w:t>
      </w:r>
    </w:p>
    <w:p w14:paraId="029CE620" w14:textId="5F99BE45" w:rsidR="008673E5" w:rsidRDefault="002D1FE5" w:rsidP="0051172A">
      <w:pPr>
        <w:spacing w:line="360" w:lineRule="auto"/>
        <w:jc w:val="both"/>
        <w:rPr>
          <w:rFonts w:ascii="Calibri" w:hAnsi="Calibri" w:cs="Calibri"/>
          <w:sz w:val="24"/>
          <w:szCs w:val="24"/>
        </w:rPr>
      </w:pPr>
      <w:r>
        <w:rPr>
          <w:rFonts w:ascii="Calibri" w:hAnsi="Calibri" w:cs="Calibri"/>
          <w:sz w:val="24"/>
          <w:szCs w:val="24"/>
        </w:rPr>
        <w:t xml:space="preserve">These methodological and philosophical differences significantly influence research findings. </w:t>
      </w:r>
      <w:r w:rsidR="00B05741">
        <w:rPr>
          <w:rFonts w:ascii="Calibri" w:hAnsi="Calibri" w:cs="Calibri"/>
          <w:sz w:val="24"/>
          <w:szCs w:val="24"/>
        </w:rPr>
        <w:t>Studies adopting positivist approaches tend to recommend standar</w:t>
      </w:r>
      <w:r w:rsidR="007B26C7">
        <w:rPr>
          <w:rFonts w:ascii="Calibri" w:hAnsi="Calibri" w:cs="Calibri"/>
          <w:sz w:val="24"/>
          <w:szCs w:val="24"/>
        </w:rPr>
        <w:t xml:space="preserve">dised governance </w:t>
      </w:r>
      <w:r w:rsidR="00F07D10">
        <w:rPr>
          <w:rFonts w:ascii="Calibri" w:hAnsi="Calibri" w:cs="Calibri"/>
          <w:sz w:val="24"/>
          <w:szCs w:val="24"/>
        </w:rPr>
        <w:t>frameworks and measurable performance indicators, whereas interpretivist researchers emphasise stakeholder engagement, organisational learning and contextual adaptation</w:t>
      </w:r>
      <w:r w:rsidR="00D42073">
        <w:rPr>
          <w:rFonts w:ascii="Calibri" w:hAnsi="Calibri" w:cs="Calibri"/>
          <w:sz w:val="24"/>
          <w:szCs w:val="24"/>
        </w:rPr>
        <w:t xml:space="preserve"> (Wu et al., 2024)</w:t>
      </w:r>
      <w:r w:rsidR="00F07D10">
        <w:rPr>
          <w:rFonts w:ascii="Calibri" w:hAnsi="Calibri" w:cs="Calibri"/>
          <w:sz w:val="24"/>
          <w:szCs w:val="24"/>
        </w:rPr>
        <w:t>. Fina</w:t>
      </w:r>
      <w:r w:rsidR="009D5FD2">
        <w:rPr>
          <w:rFonts w:ascii="Calibri" w:hAnsi="Calibri" w:cs="Calibri"/>
          <w:sz w:val="24"/>
          <w:szCs w:val="24"/>
        </w:rPr>
        <w:t xml:space="preserve">lly, the literature </w:t>
      </w:r>
      <w:r w:rsidR="00DA4034">
        <w:rPr>
          <w:rFonts w:ascii="Calibri" w:hAnsi="Calibri" w:cs="Calibri"/>
          <w:sz w:val="24"/>
          <w:szCs w:val="24"/>
        </w:rPr>
        <w:t>needs</w:t>
      </w:r>
      <w:r w:rsidR="009D5FD2">
        <w:rPr>
          <w:rFonts w:ascii="Calibri" w:hAnsi="Calibri" w:cs="Calibri"/>
          <w:sz w:val="24"/>
          <w:szCs w:val="24"/>
        </w:rPr>
        <w:t xml:space="preserve"> to establish a coherent governance learning model </w:t>
      </w:r>
      <w:r w:rsidR="00C514D5">
        <w:rPr>
          <w:rFonts w:ascii="Calibri" w:hAnsi="Calibri" w:cs="Calibri"/>
          <w:sz w:val="24"/>
          <w:szCs w:val="24"/>
        </w:rPr>
        <w:t>that integrates regulatory compliance, strategic leadership,</w:t>
      </w:r>
      <w:r w:rsidR="00C255BD">
        <w:rPr>
          <w:rFonts w:ascii="Calibri" w:hAnsi="Calibri" w:cs="Calibri"/>
          <w:sz w:val="24"/>
          <w:szCs w:val="24"/>
        </w:rPr>
        <w:t xml:space="preserve"> and ethical responsibility within public universities</w:t>
      </w:r>
      <w:r w:rsidR="00887EEF">
        <w:rPr>
          <w:rFonts w:ascii="Calibri" w:hAnsi="Calibri" w:cs="Calibri"/>
          <w:sz w:val="24"/>
          <w:szCs w:val="24"/>
        </w:rPr>
        <w:t xml:space="preserve"> (Gomes</w:t>
      </w:r>
      <w:r w:rsidR="00D42073">
        <w:rPr>
          <w:rFonts w:ascii="Calibri" w:hAnsi="Calibri" w:cs="Calibri"/>
          <w:sz w:val="24"/>
          <w:szCs w:val="24"/>
        </w:rPr>
        <w:t xml:space="preserve"> et al.,</w:t>
      </w:r>
      <w:r w:rsidR="00887EEF">
        <w:rPr>
          <w:rFonts w:ascii="Calibri" w:hAnsi="Calibri" w:cs="Calibri"/>
          <w:sz w:val="24"/>
          <w:szCs w:val="24"/>
        </w:rPr>
        <w:t xml:space="preserve"> 2025; </w:t>
      </w:r>
      <w:r w:rsidR="00E34C23">
        <w:rPr>
          <w:rFonts w:ascii="Calibri" w:hAnsi="Calibri" w:cs="Calibri"/>
          <w:sz w:val="24"/>
          <w:szCs w:val="24"/>
        </w:rPr>
        <w:t xml:space="preserve">Walhidayah </w:t>
      </w:r>
      <w:r w:rsidR="004E7BD9">
        <w:rPr>
          <w:rFonts w:ascii="Calibri" w:hAnsi="Calibri" w:cs="Calibri"/>
          <w:sz w:val="24"/>
          <w:szCs w:val="24"/>
        </w:rPr>
        <w:t>and</w:t>
      </w:r>
      <w:r w:rsidR="00E34C23">
        <w:rPr>
          <w:rFonts w:ascii="Calibri" w:hAnsi="Calibri" w:cs="Calibri"/>
          <w:sz w:val="24"/>
          <w:szCs w:val="24"/>
        </w:rPr>
        <w:t xml:space="preserve"> Surend</w:t>
      </w:r>
      <w:r w:rsidR="00C80113">
        <w:rPr>
          <w:rFonts w:ascii="Calibri" w:hAnsi="Calibri" w:cs="Calibri"/>
          <w:sz w:val="24"/>
          <w:szCs w:val="24"/>
        </w:rPr>
        <w:t>r</w:t>
      </w:r>
      <w:r w:rsidR="00E34C23">
        <w:rPr>
          <w:rFonts w:ascii="Calibri" w:hAnsi="Calibri" w:cs="Calibri"/>
          <w:sz w:val="24"/>
          <w:szCs w:val="24"/>
        </w:rPr>
        <w:t>o, 2025)</w:t>
      </w:r>
      <w:r w:rsidR="00C255BD">
        <w:rPr>
          <w:rFonts w:ascii="Calibri" w:hAnsi="Calibri" w:cs="Calibri"/>
          <w:sz w:val="24"/>
          <w:szCs w:val="24"/>
        </w:rPr>
        <w:t xml:space="preserve">. This </w:t>
      </w:r>
      <w:r w:rsidR="00BC7A9F">
        <w:rPr>
          <w:rFonts w:ascii="Calibri" w:hAnsi="Calibri" w:cs="Calibri"/>
          <w:sz w:val="24"/>
          <w:szCs w:val="24"/>
        </w:rPr>
        <w:t xml:space="preserve">lack of integration supports the need for an evidence-informed strategic governance model specifically designed for English HEIs. </w:t>
      </w:r>
    </w:p>
    <w:p w14:paraId="5DD71634" w14:textId="3526ADB0" w:rsidR="00A85F25" w:rsidRPr="0094529F" w:rsidRDefault="00A85F25" w:rsidP="0051172A">
      <w:pPr>
        <w:spacing w:line="360" w:lineRule="auto"/>
        <w:jc w:val="both"/>
        <w:rPr>
          <w:rFonts w:ascii="Calibri" w:hAnsi="Calibri" w:cs="Calibri"/>
          <w:sz w:val="24"/>
          <w:szCs w:val="24"/>
        </w:rPr>
      </w:pPr>
      <w:r>
        <w:rPr>
          <w:rFonts w:ascii="Calibri" w:hAnsi="Calibri" w:cs="Calibri"/>
          <w:sz w:val="24"/>
          <w:szCs w:val="24"/>
        </w:rPr>
        <w:t>The theoretical perspectives explain different dimensions of AI governance but remain insufficient when applied independently. Institutional Theory explains whether universities respond to regulatory, professional</w:t>
      </w:r>
      <w:r w:rsidR="00C514D5">
        <w:rPr>
          <w:rFonts w:ascii="Calibri" w:hAnsi="Calibri" w:cs="Calibri"/>
          <w:sz w:val="24"/>
          <w:szCs w:val="24"/>
        </w:rPr>
        <w:t>, and societal pressures to maintain legitimacy, but it offers</w:t>
      </w:r>
      <w:r>
        <w:rPr>
          <w:rFonts w:ascii="Calibri" w:hAnsi="Calibri" w:cs="Calibri"/>
          <w:sz w:val="24"/>
          <w:szCs w:val="24"/>
        </w:rPr>
        <w:t xml:space="preserve"> less explanation of how governance is operationalised internally</w:t>
      </w:r>
      <w:r w:rsidR="006208FD">
        <w:rPr>
          <w:rFonts w:ascii="Calibri" w:hAnsi="Calibri" w:cs="Calibri"/>
          <w:sz w:val="24"/>
          <w:szCs w:val="24"/>
        </w:rPr>
        <w:t xml:space="preserve"> (DiMaggio </w:t>
      </w:r>
      <w:r w:rsidR="00D82198">
        <w:rPr>
          <w:rFonts w:ascii="Calibri" w:hAnsi="Calibri" w:cs="Calibri"/>
          <w:sz w:val="24"/>
          <w:szCs w:val="24"/>
        </w:rPr>
        <w:t>and</w:t>
      </w:r>
      <w:r w:rsidR="006208FD">
        <w:rPr>
          <w:rFonts w:ascii="Calibri" w:hAnsi="Calibri" w:cs="Calibri"/>
          <w:sz w:val="24"/>
          <w:szCs w:val="24"/>
        </w:rPr>
        <w:t xml:space="preserve"> Powell, 1983)</w:t>
      </w:r>
      <w:r>
        <w:rPr>
          <w:rFonts w:ascii="Calibri" w:hAnsi="Calibri" w:cs="Calibri"/>
          <w:sz w:val="24"/>
          <w:szCs w:val="24"/>
        </w:rPr>
        <w:t>. Governance Theory contributes principles of accountability, transparency, oversight and stakeholder participation, but many governance models originate in corporate or public-sector settings, not only HE</w:t>
      </w:r>
      <w:r w:rsidR="00A77524">
        <w:rPr>
          <w:rFonts w:ascii="Calibri" w:hAnsi="Calibri" w:cs="Calibri"/>
          <w:sz w:val="24"/>
          <w:szCs w:val="24"/>
        </w:rPr>
        <w:t xml:space="preserve"> (</w:t>
      </w:r>
      <w:r w:rsidR="00753C58">
        <w:rPr>
          <w:rFonts w:ascii="Calibri" w:hAnsi="Calibri" w:cs="Calibri"/>
          <w:sz w:val="24"/>
          <w:szCs w:val="24"/>
        </w:rPr>
        <w:t xml:space="preserve">Robles </w:t>
      </w:r>
      <w:r w:rsidR="00D82198">
        <w:rPr>
          <w:rFonts w:ascii="Calibri" w:hAnsi="Calibri" w:cs="Calibri"/>
          <w:sz w:val="24"/>
          <w:szCs w:val="24"/>
        </w:rPr>
        <w:t>and</w:t>
      </w:r>
      <w:r w:rsidR="00753C58">
        <w:rPr>
          <w:rFonts w:ascii="Calibri" w:hAnsi="Calibri" w:cs="Calibri"/>
          <w:sz w:val="24"/>
          <w:szCs w:val="24"/>
        </w:rPr>
        <w:t xml:space="preserve"> Mallinson, 2023)</w:t>
      </w:r>
      <w:r>
        <w:rPr>
          <w:rFonts w:ascii="Calibri" w:hAnsi="Calibri" w:cs="Calibri"/>
          <w:sz w:val="24"/>
          <w:szCs w:val="24"/>
        </w:rPr>
        <w:t>. SMT explains how leadership, organisational capabilities</w:t>
      </w:r>
      <w:r w:rsidR="00C514D5">
        <w:rPr>
          <w:rFonts w:ascii="Calibri" w:hAnsi="Calibri" w:cs="Calibri"/>
          <w:sz w:val="24"/>
          <w:szCs w:val="24"/>
        </w:rPr>
        <w:t xml:space="preserve">, and institutional objectives shape long-term AI adoption, but pays less attention to AI's ethical implications </w:t>
      </w:r>
      <w:r w:rsidR="00E0659F">
        <w:rPr>
          <w:rFonts w:ascii="Calibri" w:hAnsi="Calibri" w:cs="Calibri"/>
          <w:sz w:val="24"/>
          <w:szCs w:val="24"/>
        </w:rPr>
        <w:t>(</w:t>
      </w:r>
      <w:r w:rsidR="00A77524">
        <w:rPr>
          <w:rFonts w:ascii="Calibri" w:hAnsi="Calibri" w:cs="Calibri"/>
          <w:sz w:val="24"/>
          <w:szCs w:val="24"/>
        </w:rPr>
        <w:t>Teece</w:t>
      </w:r>
      <w:r w:rsidR="004E7BD9">
        <w:rPr>
          <w:rFonts w:ascii="Calibri" w:hAnsi="Calibri" w:cs="Calibri"/>
          <w:sz w:val="24"/>
          <w:szCs w:val="24"/>
        </w:rPr>
        <w:t xml:space="preserve"> et al., </w:t>
      </w:r>
      <w:r w:rsidR="00A77524">
        <w:rPr>
          <w:rFonts w:ascii="Calibri" w:hAnsi="Calibri" w:cs="Calibri"/>
          <w:sz w:val="24"/>
          <w:szCs w:val="24"/>
        </w:rPr>
        <w:t>1997)</w:t>
      </w:r>
      <w:r>
        <w:rPr>
          <w:rFonts w:ascii="Calibri" w:hAnsi="Calibri" w:cs="Calibri"/>
          <w:sz w:val="24"/>
          <w:szCs w:val="24"/>
        </w:rPr>
        <w:t xml:space="preserve">. The Responsible AI Framework </w:t>
      </w:r>
      <w:r>
        <w:rPr>
          <w:rFonts w:ascii="Calibri" w:hAnsi="Calibri" w:cs="Calibri"/>
          <w:sz w:val="24"/>
          <w:szCs w:val="24"/>
        </w:rPr>
        <w:lastRenderedPageBreak/>
        <w:t>addresses this limitation through principles such as fairness, transparency, explainability, and human oversight, and provides limited guidance on institutional implementation</w:t>
      </w:r>
      <w:r w:rsidR="00E0659F">
        <w:rPr>
          <w:rFonts w:ascii="Calibri" w:hAnsi="Calibri" w:cs="Calibri"/>
          <w:sz w:val="24"/>
          <w:szCs w:val="24"/>
        </w:rPr>
        <w:t xml:space="preserve"> (Cools, 2026)</w:t>
      </w:r>
      <w:r>
        <w:rPr>
          <w:rFonts w:ascii="Calibri" w:hAnsi="Calibri" w:cs="Calibri"/>
          <w:sz w:val="24"/>
          <w:szCs w:val="24"/>
        </w:rPr>
        <w:t xml:space="preserve">. These limitations indicate that no single theoretical perspective adequately explains responsible AI governance in English public universities. Integrating these perspectives provides the theoretical foundation for the proposed SGM. </w:t>
      </w:r>
    </w:p>
    <w:p w14:paraId="0B9A43EA" w14:textId="468C36E8" w:rsidR="00500128" w:rsidRDefault="00152BD0" w:rsidP="00500128">
      <w:pPr>
        <w:pStyle w:val="Heading1"/>
      </w:pPr>
      <w:bookmarkStart w:id="56" w:name="_Toc237383383"/>
      <w:bookmarkStart w:id="57" w:name="_Toc237384218"/>
      <w:bookmarkStart w:id="58" w:name="_Toc237384938"/>
      <w:bookmarkStart w:id="59" w:name="_Toc237444960"/>
      <w:r>
        <w:t>3</w:t>
      </w:r>
      <w:r w:rsidR="00882909">
        <w:t>.3</w:t>
      </w:r>
      <w:r>
        <w:t xml:space="preserve"> Theme 3:</w:t>
      </w:r>
      <w:r w:rsidR="00500128">
        <w:t xml:space="preserve"> Ethical Issues and AI Implementation</w:t>
      </w:r>
      <w:bookmarkEnd w:id="56"/>
      <w:bookmarkEnd w:id="57"/>
      <w:bookmarkEnd w:id="58"/>
      <w:bookmarkEnd w:id="59"/>
      <w:r w:rsidR="00A90BA6">
        <w:t xml:space="preserve"> </w:t>
      </w:r>
    </w:p>
    <w:p w14:paraId="2A45CF4C" w14:textId="07F46A99" w:rsidR="00500128" w:rsidRPr="00BD6E71" w:rsidRDefault="00500128" w:rsidP="0051172A">
      <w:pPr>
        <w:spacing w:line="360" w:lineRule="auto"/>
        <w:jc w:val="both"/>
        <w:rPr>
          <w:rFonts w:ascii="Calibri" w:hAnsi="Calibri" w:cs="Calibri"/>
          <w:sz w:val="24"/>
          <w:szCs w:val="24"/>
        </w:rPr>
      </w:pPr>
      <w:r w:rsidRPr="00BD6E71">
        <w:rPr>
          <w:rFonts w:ascii="Calibri" w:hAnsi="Calibri" w:cs="Calibri"/>
          <w:sz w:val="24"/>
          <w:szCs w:val="24"/>
        </w:rPr>
        <w:t xml:space="preserve">Ethical concerns are among the most extensively researched dimensions of AI adoption. Among these concerns, algorithmic bias has attracted particular attention. </w:t>
      </w:r>
      <w:r w:rsidR="00785B0D">
        <w:rPr>
          <w:rFonts w:ascii="Calibri" w:hAnsi="Calibri" w:cs="Calibri"/>
          <w:sz w:val="24"/>
          <w:szCs w:val="24"/>
        </w:rPr>
        <w:t>Algorithms</w:t>
      </w:r>
      <w:r w:rsidRPr="00BD6E71">
        <w:rPr>
          <w:rFonts w:ascii="Calibri" w:hAnsi="Calibri" w:cs="Calibri"/>
          <w:sz w:val="24"/>
          <w:szCs w:val="24"/>
        </w:rPr>
        <w:t xml:space="preserve"> frequently reproduce existing social inequalities. They are trained on historical data that contains embedded biases. </w:t>
      </w:r>
      <w:r w:rsidR="00785B0D">
        <w:rPr>
          <w:rFonts w:ascii="Calibri" w:hAnsi="Calibri" w:cs="Calibri"/>
          <w:sz w:val="24"/>
          <w:szCs w:val="24"/>
        </w:rPr>
        <w:t xml:space="preserve">This </w:t>
      </w:r>
      <w:r w:rsidR="00C514D5">
        <w:rPr>
          <w:rFonts w:ascii="Calibri" w:hAnsi="Calibri" w:cs="Calibri"/>
          <w:sz w:val="24"/>
          <w:szCs w:val="24"/>
        </w:rPr>
        <w:t>shows how ML systems can produce</w:t>
      </w:r>
      <w:r w:rsidRPr="00BD6E71">
        <w:rPr>
          <w:rFonts w:ascii="Calibri" w:hAnsi="Calibri" w:cs="Calibri"/>
          <w:sz w:val="24"/>
          <w:szCs w:val="24"/>
        </w:rPr>
        <w:t xml:space="preserve"> discriminatory outcomes even when developers do not </w:t>
      </w:r>
      <w:r w:rsidR="00842F51" w:rsidRPr="00BD6E71">
        <w:rPr>
          <w:rFonts w:ascii="Calibri" w:hAnsi="Calibri" w:cs="Calibri"/>
          <w:sz w:val="24"/>
          <w:szCs w:val="24"/>
        </w:rPr>
        <w:t>design biased systems</w:t>
      </w:r>
      <w:r w:rsidR="00785B0D">
        <w:rPr>
          <w:rFonts w:ascii="Calibri" w:hAnsi="Calibri" w:cs="Calibri"/>
          <w:sz w:val="24"/>
          <w:szCs w:val="24"/>
        </w:rPr>
        <w:t xml:space="preserve"> (O’Neil, 2016; Mehrabi et al., 2021). </w:t>
      </w:r>
    </w:p>
    <w:p w14:paraId="74CF4A75" w14:textId="4E8F4F80" w:rsidR="00500128" w:rsidRPr="00BD6E71" w:rsidRDefault="0048287A" w:rsidP="0051172A">
      <w:pPr>
        <w:spacing w:line="360" w:lineRule="auto"/>
        <w:jc w:val="both"/>
        <w:rPr>
          <w:rFonts w:ascii="Calibri" w:hAnsi="Calibri" w:cs="Calibri"/>
          <w:sz w:val="24"/>
          <w:szCs w:val="24"/>
        </w:rPr>
      </w:pPr>
      <w:r>
        <w:rPr>
          <w:rFonts w:ascii="Calibri" w:hAnsi="Calibri" w:cs="Calibri"/>
          <w:sz w:val="24"/>
          <w:szCs w:val="24"/>
        </w:rPr>
        <w:t>B</w:t>
      </w:r>
      <w:r w:rsidR="00A90BA6" w:rsidRPr="00BD6E71">
        <w:rPr>
          <w:rFonts w:ascii="Calibri" w:hAnsi="Calibri" w:cs="Calibri"/>
          <w:sz w:val="24"/>
          <w:szCs w:val="24"/>
        </w:rPr>
        <w:t>ias</w:t>
      </w:r>
      <w:r>
        <w:rPr>
          <w:rFonts w:ascii="Calibri" w:hAnsi="Calibri" w:cs="Calibri"/>
          <w:sz w:val="24"/>
          <w:szCs w:val="24"/>
        </w:rPr>
        <w:t xml:space="preserve"> is not</w:t>
      </w:r>
      <w:r w:rsidR="00A90BA6" w:rsidRPr="00BD6E71">
        <w:rPr>
          <w:rFonts w:ascii="Calibri" w:hAnsi="Calibri" w:cs="Calibri"/>
          <w:sz w:val="24"/>
          <w:szCs w:val="24"/>
        </w:rPr>
        <w:t xml:space="preserve"> solely a technical problem. Crawford (2021) argues that bias originates </w:t>
      </w:r>
      <w:r w:rsidR="00C225BD">
        <w:rPr>
          <w:rFonts w:ascii="Calibri" w:hAnsi="Calibri" w:cs="Calibri"/>
          <w:sz w:val="24"/>
          <w:szCs w:val="24"/>
        </w:rPr>
        <w:t>in broader social structures, not only in algorithms</w:t>
      </w:r>
      <w:r w:rsidR="00A90BA6" w:rsidRPr="00BD6E71">
        <w:rPr>
          <w:rFonts w:ascii="Calibri" w:hAnsi="Calibri" w:cs="Calibri"/>
          <w:sz w:val="24"/>
          <w:szCs w:val="24"/>
        </w:rPr>
        <w:t>. From this perspective, technical interventions alone cannot eliminate discrimination because underlying societal inequalities remain embedded within data collection processes</w:t>
      </w:r>
      <w:r w:rsidR="004D26A1">
        <w:rPr>
          <w:rFonts w:ascii="Calibri" w:hAnsi="Calibri" w:cs="Calibri"/>
          <w:sz w:val="24"/>
          <w:szCs w:val="24"/>
        </w:rPr>
        <w:t xml:space="preserve"> (Baker </w:t>
      </w:r>
      <w:r w:rsidR="00D82198">
        <w:rPr>
          <w:rFonts w:ascii="Calibri" w:hAnsi="Calibri" w:cs="Calibri"/>
          <w:sz w:val="24"/>
          <w:szCs w:val="24"/>
        </w:rPr>
        <w:t>and</w:t>
      </w:r>
      <w:r w:rsidR="004D26A1">
        <w:rPr>
          <w:rFonts w:ascii="Calibri" w:hAnsi="Calibri" w:cs="Calibri"/>
          <w:sz w:val="24"/>
          <w:szCs w:val="24"/>
        </w:rPr>
        <w:t xml:space="preserve"> Hawn, 2022)</w:t>
      </w:r>
      <w:r w:rsidR="00A90BA6" w:rsidRPr="00BD6E71">
        <w:rPr>
          <w:rFonts w:ascii="Calibri" w:hAnsi="Calibri" w:cs="Calibri"/>
          <w:sz w:val="24"/>
          <w:szCs w:val="24"/>
        </w:rPr>
        <w:t>. This argument is particularly relevant within the HE industry, where historic inequalities relating to race, gender, disability, and socioeconomic status may face difficulties in explaining AI-driven decisions affecting students and staff members. The inability to provide meaningful explanations raises important questions regarding accountability and procedural fairness</w:t>
      </w:r>
      <w:r>
        <w:rPr>
          <w:rFonts w:ascii="Calibri" w:hAnsi="Calibri" w:cs="Calibri"/>
          <w:sz w:val="24"/>
          <w:szCs w:val="24"/>
        </w:rPr>
        <w:t xml:space="preserve"> </w:t>
      </w:r>
      <w:r w:rsidR="004D26A1">
        <w:rPr>
          <w:rFonts w:ascii="Calibri" w:hAnsi="Calibri" w:cs="Calibri"/>
          <w:sz w:val="24"/>
          <w:szCs w:val="24"/>
        </w:rPr>
        <w:t>(</w:t>
      </w:r>
      <w:r w:rsidR="004D26A1" w:rsidRPr="00BD6E71">
        <w:rPr>
          <w:rFonts w:ascii="Calibri" w:hAnsi="Calibri" w:cs="Calibri"/>
          <w:sz w:val="24"/>
          <w:szCs w:val="24"/>
        </w:rPr>
        <w:t>Crawford</w:t>
      </w:r>
      <w:r>
        <w:rPr>
          <w:rFonts w:ascii="Calibri" w:hAnsi="Calibri" w:cs="Calibri"/>
          <w:sz w:val="24"/>
          <w:szCs w:val="24"/>
        </w:rPr>
        <w:t xml:space="preserve">, 2021; Baker </w:t>
      </w:r>
      <w:r w:rsidR="00D82198">
        <w:rPr>
          <w:rFonts w:ascii="Calibri" w:hAnsi="Calibri" w:cs="Calibri"/>
          <w:sz w:val="24"/>
          <w:szCs w:val="24"/>
        </w:rPr>
        <w:t>and</w:t>
      </w:r>
      <w:r>
        <w:rPr>
          <w:rFonts w:ascii="Calibri" w:hAnsi="Calibri" w:cs="Calibri"/>
          <w:sz w:val="24"/>
          <w:szCs w:val="24"/>
        </w:rPr>
        <w:t xml:space="preserve"> Hawn, 2022). </w:t>
      </w:r>
    </w:p>
    <w:p w14:paraId="6AF5E84B" w14:textId="2375BDB4" w:rsidR="006B5426" w:rsidRPr="00BD6E71" w:rsidRDefault="006B5426" w:rsidP="0051172A">
      <w:pPr>
        <w:spacing w:line="360" w:lineRule="auto"/>
        <w:jc w:val="both"/>
        <w:rPr>
          <w:rFonts w:ascii="Calibri" w:hAnsi="Calibri" w:cs="Calibri"/>
          <w:sz w:val="24"/>
          <w:szCs w:val="24"/>
        </w:rPr>
      </w:pPr>
      <w:r w:rsidRPr="00BD6E71">
        <w:rPr>
          <w:rFonts w:ascii="Calibri" w:hAnsi="Calibri" w:cs="Calibri"/>
          <w:sz w:val="24"/>
          <w:szCs w:val="24"/>
        </w:rPr>
        <w:t xml:space="preserve">Transparency presents an additional ethical challenge. Explainable AI has been </w:t>
      </w:r>
      <w:r w:rsidR="002C3317">
        <w:rPr>
          <w:rFonts w:ascii="Calibri" w:hAnsi="Calibri" w:cs="Calibri"/>
          <w:sz w:val="24"/>
          <w:szCs w:val="24"/>
        </w:rPr>
        <w:t xml:space="preserve">proposed </w:t>
      </w:r>
      <w:r w:rsidR="00C514D5">
        <w:rPr>
          <w:rFonts w:ascii="Calibri" w:hAnsi="Calibri" w:cs="Calibri"/>
          <w:sz w:val="24"/>
          <w:szCs w:val="24"/>
        </w:rPr>
        <w:t xml:space="preserve">to address concerns about opaque decision-making processes, but complete transparency is impossible because many ML models are highly complex </w:t>
      </w:r>
      <w:r w:rsidR="002C3317">
        <w:rPr>
          <w:rFonts w:ascii="Calibri" w:hAnsi="Calibri" w:cs="Calibri"/>
          <w:sz w:val="24"/>
          <w:szCs w:val="24"/>
        </w:rPr>
        <w:t>(Burrell, 2016; Khosravi et al., 2022)</w:t>
      </w:r>
      <w:r w:rsidR="00A97F7B" w:rsidRPr="00BD6E71">
        <w:rPr>
          <w:rFonts w:ascii="Calibri" w:hAnsi="Calibri" w:cs="Calibri"/>
          <w:sz w:val="24"/>
          <w:szCs w:val="24"/>
        </w:rPr>
        <w:t xml:space="preserve">. </w:t>
      </w:r>
      <w:r w:rsidR="006D1FEB" w:rsidRPr="00BD6E71">
        <w:rPr>
          <w:rFonts w:ascii="Calibri" w:hAnsi="Calibri" w:cs="Calibri"/>
          <w:sz w:val="24"/>
          <w:szCs w:val="24"/>
        </w:rPr>
        <w:t>Consequently</w:t>
      </w:r>
      <w:r w:rsidR="00A97F7B" w:rsidRPr="00BD6E71">
        <w:rPr>
          <w:rFonts w:ascii="Calibri" w:hAnsi="Calibri" w:cs="Calibri"/>
          <w:sz w:val="24"/>
          <w:szCs w:val="24"/>
        </w:rPr>
        <w:t xml:space="preserve">, universities may </w:t>
      </w:r>
      <w:r w:rsidR="00C514D5">
        <w:rPr>
          <w:rFonts w:ascii="Calibri" w:hAnsi="Calibri" w:cs="Calibri"/>
          <w:sz w:val="24"/>
          <w:szCs w:val="24"/>
        </w:rPr>
        <w:t>struggle to explain</w:t>
      </w:r>
      <w:r w:rsidR="00463DDE" w:rsidRPr="00BD6E71">
        <w:rPr>
          <w:rFonts w:ascii="Calibri" w:hAnsi="Calibri" w:cs="Calibri"/>
          <w:sz w:val="24"/>
          <w:szCs w:val="24"/>
        </w:rPr>
        <w:t xml:space="preserve"> AI-driven decision-making to learners and staff. The inability to provide meaningful explanations raises important questions regarding accountability and procedural fairness</w:t>
      </w:r>
      <w:sdt>
        <w:sdtPr>
          <w:rPr>
            <w:rFonts w:ascii="Calibri" w:hAnsi="Calibri" w:cs="Calibri"/>
            <w:sz w:val="24"/>
            <w:szCs w:val="24"/>
          </w:rPr>
          <w:id w:val="-1120140514"/>
          <w:citation/>
        </w:sdtPr>
        <w:sdtContent>
          <w:r w:rsidR="002C3317">
            <w:rPr>
              <w:rFonts w:ascii="Calibri" w:hAnsi="Calibri" w:cs="Calibri"/>
              <w:sz w:val="24"/>
              <w:szCs w:val="24"/>
            </w:rPr>
            <w:fldChar w:fldCharType="begin"/>
          </w:r>
          <w:r w:rsidR="002C3317">
            <w:rPr>
              <w:rFonts w:ascii="Calibri" w:hAnsi="Calibri" w:cs="Calibri"/>
              <w:sz w:val="24"/>
              <w:szCs w:val="24"/>
            </w:rPr>
            <w:instrText xml:space="preserve"> CITATION Akb25 \l 2057 </w:instrText>
          </w:r>
          <w:r w:rsidR="002C3317">
            <w:rPr>
              <w:rFonts w:ascii="Calibri" w:hAnsi="Calibri" w:cs="Calibri"/>
              <w:sz w:val="24"/>
              <w:szCs w:val="24"/>
            </w:rPr>
            <w:fldChar w:fldCharType="separate"/>
          </w:r>
          <w:r w:rsidR="002C3317">
            <w:rPr>
              <w:rFonts w:ascii="Calibri" w:hAnsi="Calibri" w:cs="Calibri"/>
              <w:noProof/>
              <w:sz w:val="24"/>
              <w:szCs w:val="24"/>
            </w:rPr>
            <w:t xml:space="preserve"> </w:t>
          </w:r>
          <w:r w:rsidR="002C3317" w:rsidRPr="002C3317">
            <w:rPr>
              <w:rFonts w:ascii="Calibri" w:hAnsi="Calibri" w:cs="Calibri"/>
              <w:noProof/>
              <w:sz w:val="24"/>
              <w:szCs w:val="24"/>
            </w:rPr>
            <w:t>(Akbarighatar, 2025)</w:t>
          </w:r>
          <w:r w:rsidR="002C3317">
            <w:rPr>
              <w:rFonts w:ascii="Calibri" w:hAnsi="Calibri" w:cs="Calibri"/>
              <w:sz w:val="24"/>
              <w:szCs w:val="24"/>
            </w:rPr>
            <w:fldChar w:fldCharType="end"/>
          </w:r>
        </w:sdtContent>
      </w:sdt>
      <w:r w:rsidR="00463DDE" w:rsidRPr="00BD6E71">
        <w:rPr>
          <w:rFonts w:ascii="Calibri" w:hAnsi="Calibri" w:cs="Calibri"/>
          <w:sz w:val="24"/>
          <w:szCs w:val="24"/>
        </w:rPr>
        <w:t xml:space="preserve">. </w:t>
      </w:r>
    </w:p>
    <w:p w14:paraId="0128BC7A" w14:textId="47766288" w:rsidR="00C04F6D" w:rsidRPr="00BD6E71" w:rsidRDefault="00BD0003" w:rsidP="0051172A">
      <w:pPr>
        <w:spacing w:line="360" w:lineRule="auto"/>
        <w:jc w:val="both"/>
        <w:rPr>
          <w:rFonts w:ascii="Calibri" w:hAnsi="Calibri" w:cs="Calibri"/>
          <w:sz w:val="24"/>
          <w:szCs w:val="24"/>
        </w:rPr>
      </w:pPr>
      <w:r w:rsidRPr="00BD6E71">
        <w:rPr>
          <w:rFonts w:ascii="Calibri" w:hAnsi="Calibri" w:cs="Calibri"/>
          <w:sz w:val="24"/>
          <w:szCs w:val="24"/>
        </w:rPr>
        <w:t xml:space="preserve">The literature converges on the idea that </w:t>
      </w:r>
      <w:r w:rsidR="00591834" w:rsidRPr="00BD6E71">
        <w:rPr>
          <w:rFonts w:ascii="Calibri" w:hAnsi="Calibri" w:cs="Calibri"/>
          <w:sz w:val="24"/>
          <w:szCs w:val="24"/>
        </w:rPr>
        <w:t xml:space="preserve">ethical AI within HEIs is </w:t>
      </w:r>
      <w:r w:rsidR="003C695C" w:rsidRPr="00BD6E71">
        <w:rPr>
          <w:rFonts w:ascii="Calibri" w:hAnsi="Calibri" w:cs="Calibri"/>
          <w:sz w:val="24"/>
          <w:szCs w:val="24"/>
        </w:rPr>
        <w:t>predominantly</w:t>
      </w:r>
      <w:r w:rsidR="00591834" w:rsidRPr="00BD6E71">
        <w:rPr>
          <w:rFonts w:ascii="Calibri" w:hAnsi="Calibri" w:cs="Calibri"/>
          <w:sz w:val="24"/>
          <w:szCs w:val="24"/>
        </w:rPr>
        <w:t xml:space="preserve"> conceptual rather than empirical. </w:t>
      </w:r>
      <w:r w:rsidR="00AB3E9E">
        <w:rPr>
          <w:rFonts w:ascii="Calibri" w:hAnsi="Calibri" w:cs="Calibri"/>
          <w:sz w:val="24"/>
          <w:szCs w:val="24"/>
        </w:rPr>
        <w:t>M</w:t>
      </w:r>
      <w:r w:rsidR="00591834" w:rsidRPr="00BD6E71">
        <w:rPr>
          <w:rFonts w:ascii="Calibri" w:hAnsi="Calibri" w:cs="Calibri"/>
          <w:sz w:val="24"/>
          <w:szCs w:val="24"/>
        </w:rPr>
        <w:t>any ethical principles, including fairness, accountability</w:t>
      </w:r>
      <w:r w:rsidR="00C514D5">
        <w:rPr>
          <w:rFonts w:ascii="Calibri" w:hAnsi="Calibri" w:cs="Calibri"/>
          <w:sz w:val="24"/>
          <w:szCs w:val="24"/>
        </w:rPr>
        <w:t xml:space="preserve">, and </w:t>
      </w:r>
      <w:r w:rsidR="00C514D5">
        <w:rPr>
          <w:rFonts w:ascii="Calibri" w:hAnsi="Calibri" w:cs="Calibri"/>
          <w:sz w:val="24"/>
          <w:szCs w:val="24"/>
        </w:rPr>
        <w:lastRenderedPageBreak/>
        <w:t>transparency, need to be embedded in</w:t>
      </w:r>
      <w:r w:rsidR="00591834" w:rsidRPr="00BD6E71">
        <w:rPr>
          <w:rFonts w:ascii="Calibri" w:hAnsi="Calibri" w:cs="Calibri"/>
          <w:sz w:val="24"/>
          <w:szCs w:val="24"/>
        </w:rPr>
        <w:t xml:space="preserve"> a real </w:t>
      </w:r>
      <w:r w:rsidR="00452798" w:rsidRPr="00BD6E71">
        <w:rPr>
          <w:rFonts w:ascii="Calibri" w:hAnsi="Calibri" w:cs="Calibri"/>
          <w:sz w:val="24"/>
          <w:szCs w:val="24"/>
        </w:rPr>
        <w:t>HEI</w:t>
      </w:r>
      <w:r w:rsidR="00591834" w:rsidRPr="00BD6E71">
        <w:rPr>
          <w:rFonts w:ascii="Calibri" w:hAnsi="Calibri" w:cs="Calibri"/>
          <w:sz w:val="24"/>
          <w:szCs w:val="24"/>
        </w:rPr>
        <w:t xml:space="preserve"> governance framework. This limits the practical usefulness of existing recommendations </w:t>
      </w:r>
      <w:r w:rsidR="009A0185">
        <w:rPr>
          <w:rFonts w:ascii="Calibri" w:hAnsi="Calibri" w:cs="Calibri"/>
          <w:sz w:val="24"/>
          <w:szCs w:val="24"/>
        </w:rPr>
        <w:t xml:space="preserve">(Holmes et al., 2022; Marin, 2025). </w:t>
      </w:r>
    </w:p>
    <w:p w14:paraId="4C6013DE" w14:textId="5FDABBD6" w:rsidR="008708A7" w:rsidRPr="00BD6E71" w:rsidRDefault="008708A7" w:rsidP="008708A7">
      <w:pPr>
        <w:spacing w:line="360" w:lineRule="auto"/>
        <w:jc w:val="both"/>
        <w:rPr>
          <w:rFonts w:ascii="Calibri" w:hAnsi="Calibri" w:cs="Calibri"/>
          <w:sz w:val="24"/>
          <w:szCs w:val="24"/>
        </w:rPr>
      </w:pPr>
      <w:r w:rsidRPr="00BD6E71">
        <w:rPr>
          <w:rFonts w:ascii="Calibri" w:hAnsi="Calibri" w:cs="Calibri"/>
          <w:sz w:val="24"/>
          <w:szCs w:val="24"/>
        </w:rPr>
        <w:t xml:space="preserve">The ethical implementation of AI within English public universities raises numerous interconnected concerns. One of the most prominent issues involves algorithmic fairness. </w:t>
      </w:r>
      <w:r w:rsidR="005E3D8B">
        <w:rPr>
          <w:rFonts w:ascii="Calibri" w:hAnsi="Calibri" w:cs="Calibri"/>
          <w:sz w:val="24"/>
          <w:szCs w:val="24"/>
        </w:rPr>
        <w:t>E</w:t>
      </w:r>
      <w:r w:rsidRPr="00BD6E71">
        <w:rPr>
          <w:rFonts w:ascii="Calibri" w:hAnsi="Calibri" w:cs="Calibri"/>
          <w:sz w:val="24"/>
          <w:szCs w:val="24"/>
        </w:rPr>
        <w:t xml:space="preserve">thical AI systems should avoid discriminatory outcomes and promote equitable treatment of stakeholders. </w:t>
      </w:r>
      <w:r w:rsidR="00F23230">
        <w:rPr>
          <w:rFonts w:ascii="Calibri" w:hAnsi="Calibri" w:cs="Calibri"/>
          <w:sz w:val="24"/>
          <w:szCs w:val="24"/>
        </w:rPr>
        <w:t>A</w:t>
      </w:r>
      <w:r w:rsidRPr="00BD6E71">
        <w:rPr>
          <w:rFonts w:ascii="Calibri" w:hAnsi="Calibri" w:cs="Calibri"/>
          <w:sz w:val="24"/>
          <w:szCs w:val="24"/>
        </w:rPr>
        <w:t xml:space="preserve">chieving fairness remains challenging because various groups may define fairness differently. </w:t>
      </w:r>
      <w:r w:rsidR="00F23230">
        <w:rPr>
          <w:rFonts w:ascii="Calibri" w:hAnsi="Calibri" w:cs="Calibri"/>
          <w:sz w:val="24"/>
          <w:szCs w:val="24"/>
        </w:rPr>
        <w:t>A</w:t>
      </w:r>
      <w:r w:rsidRPr="00BD6E71">
        <w:rPr>
          <w:rFonts w:ascii="Calibri" w:hAnsi="Calibri" w:cs="Calibri"/>
          <w:sz w:val="24"/>
          <w:szCs w:val="24"/>
        </w:rPr>
        <w:t xml:space="preserve"> predictive analytics system </w:t>
      </w:r>
      <w:r w:rsidR="00310E4C">
        <w:rPr>
          <w:rFonts w:ascii="Calibri" w:hAnsi="Calibri" w:cs="Calibri"/>
          <w:sz w:val="24"/>
          <w:szCs w:val="24"/>
        </w:rPr>
        <w:t>designed to identify students at risk of academic failure may strengthen</w:t>
      </w:r>
      <w:r w:rsidRPr="00BD6E71">
        <w:rPr>
          <w:rFonts w:ascii="Calibri" w:hAnsi="Calibri" w:cs="Calibri"/>
          <w:sz w:val="24"/>
          <w:szCs w:val="24"/>
        </w:rPr>
        <w:t xml:space="preserve"> institutional support mechanisms while reinforcing stereotypes about disadvantaged populations. </w:t>
      </w:r>
      <w:r w:rsidR="00AB3E9E">
        <w:rPr>
          <w:rFonts w:ascii="Calibri" w:hAnsi="Calibri" w:cs="Calibri"/>
          <w:sz w:val="24"/>
          <w:szCs w:val="24"/>
        </w:rPr>
        <w:t>T</w:t>
      </w:r>
      <w:r w:rsidRPr="00BD6E71">
        <w:rPr>
          <w:rFonts w:ascii="Calibri" w:hAnsi="Calibri" w:cs="Calibri"/>
          <w:sz w:val="24"/>
          <w:szCs w:val="24"/>
        </w:rPr>
        <w:t xml:space="preserve">his tension </w:t>
      </w:r>
      <w:r w:rsidR="003C695C" w:rsidRPr="00BD6E71">
        <w:rPr>
          <w:rFonts w:ascii="Calibri" w:hAnsi="Calibri" w:cs="Calibri"/>
          <w:sz w:val="24"/>
          <w:szCs w:val="24"/>
        </w:rPr>
        <w:t>features</w:t>
      </w:r>
      <w:r w:rsidRPr="00BD6E71">
        <w:rPr>
          <w:rFonts w:ascii="Calibri" w:hAnsi="Calibri" w:cs="Calibri"/>
          <w:sz w:val="24"/>
          <w:szCs w:val="24"/>
        </w:rPr>
        <w:t xml:space="preserve"> the complexity of translating ethical principles into </w:t>
      </w:r>
      <w:r w:rsidR="003C695C" w:rsidRPr="00BD6E71">
        <w:rPr>
          <w:rFonts w:ascii="Calibri" w:hAnsi="Calibri" w:cs="Calibri"/>
          <w:sz w:val="24"/>
          <w:szCs w:val="24"/>
        </w:rPr>
        <w:t>functioning</w:t>
      </w:r>
      <w:r w:rsidRPr="00BD6E71">
        <w:rPr>
          <w:rFonts w:ascii="Calibri" w:hAnsi="Calibri" w:cs="Calibri"/>
          <w:sz w:val="24"/>
          <w:szCs w:val="24"/>
        </w:rPr>
        <w:t xml:space="preserve"> governance practices</w:t>
      </w:r>
      <w:r w:rsidR="00AB3E9E">
        <w:rPr>
          <w:rFonts w:ascii="Calibri" w:hAnsi="Calibri" w:cs="Calibri"/>
          <w:sz w:val="24"/>
          <w:szCs w:val="24"/>
        </w:rPr>
        <w:t xml:space="preserve"> (</w:t>
      </w:r>
      <w:r w:rsidR="00B11AB9">
        <w:rPr>
          <w:rFonts w:ascii="Calibri" w:hAnsi="Calibri" w:cs="Calibri"/>
          <w:sz w:val="24"/>
          <w:szCs w:val="24"/>
        </w:rPr>
        <w:t xml:space="preserve">Deho et al., 2022; </w:t>
      </w:r>
      <w:r w:rsidR="00366EBF">
        <w:rPr>
          <w:rFonts w:ascii="Calibri" w:hAnsi="Calibri" w:cs="Calibri"/>
          <w:sz w:val="24"/>
          <w:szCs w:val="24"/>
        </w:rPr>
        <w:t>Alfredo</w:t>
      </w:r>
      <w:r w:rsidR="00B11AB9">
        <w:rPr>
          <w:rFonts w:ascii="Calibri" w:hAnsi="Calibri" w:cs="Calibri"/>
          <w:sz w:val="24"/>
          <w:szCs w:val="24"/>
        </w:rPr>
        <w:t xml:space="preserve"> et al</w:t>
      </w:r>
      <w:r w:rsidRPr="00BD6E71">
        <w:rPr>
          <w:rFonts w:ascii="Calibri" w:hAnsi="Calibri" w:cs="Calibri"/>
          <w:sz w:val="24"/>
          <w:szCs w:val="24"/>
        </w:rPr>
        <w:t>.</w:t>
      </w:r>
      <w:r w:rsidR="00B11AB9">
        <w:rPr>
          <w:rFonts w:ascii="Calibri" w:hAnsi="Calibri" w:cs="Calibri"/>
          <w:sz w:val="24"/>
          <w:szCs w:val="24"/>
        </w:rPr>
        <w:t xml:space="preserve">, 2024). </w:t>
      </w:r>
      <w:r w:rsidRPr="00BD6E71">
        <w:rPr>
          <w:rFonts w:ascii="Calibri" w:hAnsi="Calibri" w:cs="Calibri"/>
          <w:sz w:val="24"/>
          <w:szCs w:val="24"/>
        </w:rPr>
        <w:t xml:space="preserve"> </w:t>
      </w:r>
    </w:p>
    <w:p w14:paraId="1CE7021E" w14:textId="260F2FE6" w:rsidR="008708A7" w:rsidRPr="00BD6E71" w:rsidRDefault="008708A7" w:rsidP="008708A7">
      <w:pPr>
        <w:spacing w:line="360" w:lineRule="auto"/>
        <w:jc w:val="both"/>
        <w:rPr>
          <w:rFonts w:ascii="Calibri" w:hAnsi="Calibri" w:cs="Calibri"/>
          <w:sz w:val="24"/>
          <w:szCs w:val="24"/>
        </w:rPr>
      </w:pPr>
      <w:r w:rsidRPr="00BD6E71">
        <w:rPr>
          <w:rFonts w:ascii="Calibri" w:hAnsi="Calibri" w:cs="Calibri"/>
          <w:sz w:val="24"/>
          <w:szCs w:val="24"/>
        </w:rPr>
        <w:t xml:space="preserve">Data privacy </w:t>
      </w:r>
      <w:r w:rsidR="003C695C" w:rsidRPr="00BD6E71">
        <w:rPr>
          <w:rFonts w:ascii="Calibri" w:hAnsi="Calibri" w:cs="Calibri"/>
          <w:sz w:val="24"/>
          <w:szCs w:val="24"/>
        </w:rPr>
        <w:t>signifies</w:t>
      </w:r>
      <w:r w:rsidRPr="00BD6E71">
        <w:rPr>
          <w:rFonts w:ascii="Calibri" w:hAnsi="Calibri" w:cs="Calibri"/>
          <w:sz w:val="24"/>
          <w:szCs w:val="24"/>
        </w:rPr>
        <w:t xml:space="preserve"> another ethical challenge. Universities increasingly collect extensive amounts of student data through digital learning platforms, learning analytics applications and attendance monitoring systems. While such data may </w:t>
      </w:r>
      <w:r w:rsidR="003C695C" w:rsidRPr="00BD6E71">
        <w:rPr>
          <w:rFonts w:ascii="Calibri" w:hAnsi="Calibri" w:cs="Calibri"/>
          <w:sz w:val="24"/>
          <w:szCs w:val="24"/>
        </w:rPr>
        <w:t>defend</w:t>
      </w:r>
      <w:r w:rsidRPr="00BD6E71">
        <w:rPr>
          <w:rFonts w:ascii="Calibri" w:hAnsi="Calibri" w:cs="Calibri"/>
          <w:sz w:val="24"/>
          <w:szCs w:val="24"/>
        </w:rPr>
        <w:t xml:space="preserve"> personalised learning interventions, excessive data collection raises concerns regarding surveillance and informed consent. HEIs are becoming increasingly data-intensive environments in which </w:t>
      </w:r>
      <w:r w:rsidR="00855031" w:rsidRPr="00BD6E71">
        <w:rPr>
          <w:rFonts w:ascii="Calibri" w:hAnsi="Calibri" w:cs="Calibri"/>
          <w:sz w:val="24"/>
          <w:szCs w:val="24"/>
        </w:rPr>
        <w:t>learners</w:t>
      </w:r>
      <w:r w:rsidRPr="00BD6E71">
        <w:rPr>
          <w:rFonts w:ascii="Calibri" w:hAnsi="Calibri" w:cs="Calibri"/>
          <w:sz w:val="24"/>
          <w:szCs w:val="24"/>
        </w:rPr>
        <w:t xml:space="preserve"> have limited control over their personal information. However, critics question whether universities can legitimately claim to be adopting AI ethically without robust mechanisms to protect individual privacy and autonomy</w:t>
      </w:r>
      <w:r w:rsidR="000C7E8E">
        <w:rPr>
          <w:rFonts w:ascii="Calibri" w:hAnsi="Calibri" w:cs="Calibri"/>
          <w:sz w:val="24"/>
          <w:szCs w:val="24"/>
        </w:rPr>
        <w:t xml:space="preserve"> (Korir et al., 2022; </w:t>
      </w:r>
      <w:r w:rsidR="00307661">
        <w:rPr>
          <w:rFonts w:ascii="Calibri" w:hAnsi="Calibri" w:cs="Calibri"/>
          <w:sz w:val="24"/>
          <w:szCs w:val="24"/>
        </w:rPr>
        <w:t xml:space="preserve">Yang </w:t>
      </w:r>
      <w:r w:rsidR="00D82198">
        <w:rPr>
          <w:rFonts w:ascii="Calibri" w:hAnsi="Calibri" w:cs="Calibri"/>
          <w:sz w:val="24"/>
          <w:szCs w:val="24"/>
        </w:rPr>
        <w:t>and</w:t>
      </w:r>
      <w:r w:rsidR="00307661">
        <w:rPr>
          <w:rFonts w:ascii="Calibri" w:hAnsi="Calibri" w:cs="Calibri"/>
          <w:sz w:val="24"/>
          <w:szCs w:val="24"/>
        </w:rPr>
        <w:t xml:space="preserve"> Beil, 2024)</w:t>
      </w:r>
    </w:p>
    <w:p w14:paraId="7D507F35" w14:textId="732DAA17" w:rsidR="00F955B1" w:rsidRDefault="00E26503" w:rsidP="0051172A">
      <w:pPr>
        <w:spacing w:line="360" w:lineRule="auto"/>
        <w:jc w:val="both"/>
        <w:rPr>
          <w:rFonts w:ascii="Calibri" w:hAnsi="Calibri" w:cs="Calibri"/>
          <w:sz w:val="24"/>
          <w:szCs w:val="24"/>
        </w:rPr>
      </w:pPr>
      <w:r>
        <w:rPr>
          <w:rFonts w:ascii="Calibri" w:hAnsi="Calibri" w:cs="Calibri"/>
          <w:sz w:val="24"/>
          <w:szCs w:val="24"/>
        </w:rPr>
        <w:t>These ethical concerns reveal organisational trade-</w:t>
      </w:r>
      <w:r w:rsidR="00E52538">
        <w:rPr>
          <w:rFonts w:ascii="Calibri" w:hAnsi="Calibri" w:cs="Calibri"/>
          <w:sz w:val="24"/>
          <w:szCs w:val="24"/>
        </w:rPr>
        <w:t>offs, not only problems with universally optimal solutions. The literature broadly supports transparency, accountability, fairness and human oversight</w:t>
      </w:r>
      <w:r w:rsidR="00995DAC">
        <w:rPr>
          <w:rFonts w:ascii="Calibri" w:hAnsi="Calibri" w:cs="Calibri"/>
          <w:sz w:val="24"/>
          <w:szCs w:val="24"/>
        </w:rPr>
        <w:t xml:space="preserve">. These principles can create competing demands when applied in practice. AI improves efficiency </w:t>
      </w:r>
      <w:r w:rsidR="0014317F">
        <w:rPr>
          <w:rFonts w:ascii="Calibri" w:hAnsi="Calibri" w:cs="Calibri"/>
          <w:sz w:val="24"/>
          <w:szCs w:val="24"/>
        </w:rPr>
        <w:t xml:space="preserve">and personalisation while </w:t>
      </w:r>
      <w:r w:rsidR="00C3052A">
        <w:rPr>
          <w:rFonts w:ascii="Calibri" w:hAnsi="Calibri" w:cs="Calibri"/>
          <w:sz w:val="24"/>
          <w:szCs w:val="24"/>
        </w:rPr>
        <w:t xml:space="preserve">raising </w:t>
      </w:r>
      <w:r w:rsidR="00D946FE">
        <w:rPr>
          <w:rFonts w:ascii="Calibri" w:hAnsi="Calibri" w:cs="Calibri"/>
          <w:sz w:val="24"/>
          <w:szCs w:val="24"/>
        </w:rPr>
        <w:t xml:space="preserve">surveillance risks. Greater transparency </w:t>
      </w:r>
      <w:r w:rsidR="007420DF">
        <w:rPr>
          <w:rFonts w:ascii="Calibri" w:hAnsi="Calibri" w:cs="Calibri"/>
          <w:sz w:val="24"/>
          <w:szCs w:val="24"/>
        </w:rPr>
        <w:t xml:space="preserve">strengthens accountability but may be difficult to achieve with complex AI systems, while stronger regulatory control reduces ethical risk but constrains institutional innovation. </w:t>
      </w:r>
      <w:r w:rsidR="0014317F">
        <w:rPr>
          <w:rFonts w:ascii="Calibri" w:hAnsi="Calibri" w:cs="Calibri"/>
          <w:sz w:val="24"/>
          <w:szCs w:val="24"/>
        </w:rPr>
        <w:t xml:space="preserve"> </w:t>
      </w:r>
      <w:r w:rsidR="007420DF">
        <w:rPr>
          <w:rFonts w:ascii="Calibri" w:hAnsi="Calibri" w:cs="Calibri"/>
          <w:sz w:val="24"/>
          <w:szCs w:val="24"/>
        </w:rPr>
        <w:t>The challenge for HEIs</w:t>
      </w:r>
      <w:r w:rsidR="00B10F34">
        <w:rPr>
          <w:rFonts w:ascii="Calibri" w:hAnsi="Calibri" w:cs="Calibri"/>
          <w:sz w:val="24"/>
          <w:szCs w:val="24"/>
        </w:rPr>
        <w:t xml:space="preserve"> is not simply to adopt ethical principles, but to determine how </w:t>
      </w:r>
      <w:r w:rsidR="00C514D5">
        <w:rPr>
          <w:rFonts w:ascii="Calibri" w:hAnsi="Calibri" w:cs="Calibri"/>
          <w:sz w:val="24"/>
          <w:szCs w:val="24"/>
        </w:rPr>
        <w:t>they make strategic decisions</w:t>
      </w:r>
      <w:r w:rsidR="00B10F34">
        <w:rPr>
          <w:rFonts w:ascii="Calibri" w:hAnsi="Calibri" w:cs="Calibri"/>
          <w:sz w:val="24"/>
          <w:szCs w:val="24"/>
        </w:rPr>
        <w:t xml:space="preserve">. </w:t>
      </w:r>
      <w:r w:rsidR="00B8264D">
        <w:rPr>
          <w:rFonts w:ascii="Calibri" w:hAnsi="Calibri" w:cs="Calibri"/>
          <w:sz w:val="24"/>
          <w:szCs w:val="24"/>
        </w:rPr>
        <w:t xml:space="preserve">This highlights a significant weakness in the literature that responsible AI is well established as an ethical </w:t>
      </w:r>
      <w:r w:rsidR="000B6CF5">
        <w:rPr>
          <w:rFonts w:ascii="Calibri" w:hAnsi="Calibri" w:cs="Calibri"/>
          <w:sz w:val="24"/>
          <w:szCs w:val="24"/>
        </w:rPr>
        <w:t>aspiration but</w:t>
      </w:r>
      <w:r w:rsidR="00B8264D">
        <w:rPr>
          <w:rFonts w:ascii="Calibri" w:hAnsi="Calibri" w:cs="Calibri"/>
          <w:sz w:val="24"/>
          <w:szCs w:val="24"/>
        </w:rPr>
        <w:t xml:space="preserve"> remains </w:t>
      </w:r>
      <w:r w:rsidR="00445857">
        <w:rPr>
          <w:rFonts w:ascii="Calibri" w:hAnsi="Calibri" w:cs="Calibri"/>
          <w:sz w:val="24"/>
          <w:szCs w:val="24"/>
        </w:rPr>
        <w:t>insufficiently</w:t>
      </w:r>
      <w:r w:rsidR="00B8264D">
        <w:rPr>
          <w:rFonts w:ascii="Calibri" w:hAnsi="Calibri" w:cs="Calibri"/>
          <w:sz w:val="24"/>
          <w:szCs w:val="24"/>
        </w:rPr>
        <w:t xml:space="preserve"> developed as an </w:t>
      </w:r>
      <w:r w:rsidR="00445857">
        <w:rPr>
          <w:rFonts w:ascii="Calibri" w:hAnsi="Calibri" w:cs="Calibri"/>
          <w:sz w:val="24"/>
          <w:szCs w:val="24"/>
        </w:rPr>
        <w:t>operational governance capability</w:t>
      </w:r>
      <w:r w:rsidR="00A84F33">
        <w:rPr>
          <w:rFonts w:ascii="Calibri" w:hAnsi="Calibri" w:cs="Calibri"/>
          <w:sz w:val="24"/>
          <w:szCs w:val="24"/>
        </w:rPr>
        <w:t xml:space="preserve"> (Herzog </w:t>
      </w:r>
      <w:r w:rsidR="00D82198">
        <w:rPr>
          <w:rFonts w:ascii="Calibri" w:hAnsi="Calibri" w:cs="Calibri"/>
          <w:sz w:val="24"/>
          <w:szCs w:val="24"/>
        </w:rPr>
        <w:t>and</w:t>
      </w:r>
      <w:r w:rsidR="00A84F33">
        <w:rPr>
          <w:rFonts w:ascii="Calibri" w:hAnsi="Calibri" w:cs="Calibri"/>
          <w:sz w:val="24"/>
          <w:szCs w:val="24"/>
        </w:rPr>
        <w:t xml:space="preserve"> Blank</w:t>
      </w:r>
      <w:r w:rsidR="006A7186">
        <w:rPr>
          <w:rFonts w:ascii="Calibri" w:hAnsi="Calibri" w:cs="Calibri"/>
          <w:sz w:val="24"/>
          <w:szCs w:val="24"/>
        </w:rPr>
        <w:t xml:space="preserve">, 2024; Akbarighatar, 2025). </w:t>
      </w:r>
    </w:p>
    <w:p w14:paraId="60EE10BB" w14:textId="432CA609" w:rsidR="005F33F9" w:rsidRDefault="005F33F9" w:rsidP="0051172A">
      <w:pPr>
        <w:spacing w:line="360" w:lineRule="auto"/>
        <w:jc w:val="both"/>
        <w:rPr>
          <w:rFonts w:ascii="Calibri" w:hAnsi="Calibri" w:cs="Calibri"/>
          <w:sz w:val="24"/>
          <w:szCs w:val="24"/>
        </w:rPr>
      </w:pPr>
      <w:r>
        <w:rPr>
          <w:rFonts w:ascii="Calibri" w:hAnsi="Calibri" w:cs="Calibri"/>
          <w:sz w:val="24"/>
          <w:szCs w:val="24"/>
        </w:rPr>
        <w:lastRenderedPageBreak/>
        <w:t xml:space="preserve">Furthermore, existing research demonstrates considerable variation in methodological design. </w:t>
      </w:r>
      <w:r w:rsidR="0054535C">
        <w:rPr>
          <w:rFonts w:ascii="Calibri" w:hAnsi="Calibri" w:cs="Calibri"/>
          <w:sz w:val="24"/>
          <w:szCs w:val="24"/>
        </w:rPr>
        <w:t>C</w:t>
      </w:r>
      <w:r>
        <w:rPr>
          <w:rFonts w:ascii="Calibri" w:hAnsi="Calibri" w:cs="Calibri"/>
          <w:sz w:val="24"/>
          <w:szCs w:val="24"/>
        </w:rPr>
        <w:t>onceptual pape</w:t>
      </w:r>
      <w:r w:rsidR="004F54DE">
        <w:rPr>
          <w:rFonts w:ascii="Calibri" w:hAnsi="Calibri" w:cs="Calibri"/>
          <w:sz w:val="24"/>
          <w:szCs w:val="24"/>
        </w:rPr>
        <w:t xml:space="preserve">rs, systematic literature reviews </w:t>
      </w:r>
      <w:r w:rsidR="002B5B38">
        <w:rPr>
          <w:rFonts w:ascii="Calibri" w:hAnsi="Calibri" w:cs="Calibri"/>
          <w:sz w:val="24"/>
          <w:szCs w:val="24"/>
        </w:rPr>
        <w:t>and policy analyses</w:t>
      </w:r>
      <w:r w:rsidR="008E04C9">
        <w:rPr>
          <w:rFonts w:ascii="Calibri" w:hAnsi="Calibri" w:cs="Calibri"/>
          <w:sz w:val="24"/>
          <w:szCs w:val="24"/>
        </w:rPr>
        <w:t xml:space="preserve"> dominate ethical discussions</w:t>
      </w:r>
      <w:r w:rsidR="002B5B38">
        <w:rPr>
          <w:rFonts w:ascii="Calibri" w:hAnsi="Calibri" w:cs="Calibri"/>
          <w:sz w:val="24"/>
          <w:szCs w:val="24"/>
        </w:rPr>
        <w:t>. However, few empirical investigations explore the practical experiences of university leaders</w:t>
      </w:r>
      <w:r w:rsidR="00347578">
        <w:rPr>
          <w:rFonts w:ascii="Calibri" w:hAnsi="Calibri" w:cs="Calibri"/>
          <w:sz w:val="24"/>
          <w:szCs w:val="24"/>
        </w:rPr>
        <w:t xml:space="preserve">, students and academic staff. This imbalance creates an evidence gap regarding </w:t>
      </w:r>
      <w:r w:rsidR="002C551A">
        <w:rPr>
          <w:rFonts w:ascii="Calibri" w:hAnsi="Calibri" w:cs="Calibri"/>
          <w:sz w:val="24"/>
          <w:szCs w:val="24"/>
        </w:rPr>
        <w:t>how ethical governance functions within everyday institutional practice. As AI technologies continue to evolve</w:t>
      </w:r>
      <w:r w:rsidR="00993C7F">
        <w:rPr>
          <w:rFonts w:ascii="Calibri" w:hAnsi="Calibri" w:cs="Calibri"/>
          <w:sz w:val="24"/>
          <w:szCs w:val="24"/>
        </w:rPr>
        <w:t xml:space="preserve">, governance arrangements must adapt. This suggests that AI </w:t>
      </w:r>
      <w:r w:rsidR="00AE617F">
        <w:rPr>
          <w:rFonts w:ascii="Calibri" w:hAnsi="Calibri" w:cs="Calibri"/>
          <w:sz w:val="24"/>
          <w:szCs w:val="24"/>
        </w:rPr>
        <w:t>should be understood as a continuous organisational process</w:t>
      </w:r>
      <w:r w:rsidR="007D6142">
        <w:rPr>
          <w:rFonts w:ascii="Calibri" w:hAnsi="Calibri" w:cs="Calibri"/>
          <w:sz w:val="24"/>
          <w:szCs w:val="24"/>
        </w:rPr>
        <w:t>,</w:t>
      </w:r>
      <w:r w:rsidR="00AE617F">
        <w:rPr>
          <w:rFonts w:ascii="Calibri" w:hAnsi="Calibri" w:cs="Calibri"/>
          <w:sz w:val="24"/>
          <w:szCs w:val="24"/>
        </w:rPr>
        <w:t xml:space="preserve"> not as a fixed regulatory framework. </w:t>
      </w:r>
      <w:r w:rsidR="007D6142">
        <w:rPr>
          <w:rFonts w:ascii="Calibri" w:hAnsi="Calibri" w:cs="Calibri"/>
          <w:sz w:val="24"/>
          <w:szCs w:val="24"/>
        </w:rPr>
        <w:t xml:space="preserve">These observations </w:t>
      </w:r>
      <w:r w:rsidR="003C695C">
        <w:rPr>
          <w:rFonts w:ascii="Calibri" w:hAnsi="Calibri" w:cs="Calibri"/>
          <w:sz w:val="24"/>
          <w:szCs w:val="24"/>
        </w:rPr>
        <w:t>specify</w:t>
      </w:r>
      <w:r w:rsidR="007D6142">
        <w:rPr>
          <w:rFonts w:ascii="Calibri" w:hAnsi="Calibri" w:cs="Calibri"/>
          <w:sz w:val="24"/>
          <w:szCs w:val="24"/>
        </w:rPr>
        <w:t xml:space="preserve"> that future research should </w:t>
      </w:r>
      <w:r w:rsidR="009A5972">
        <w:rPr>
          <w:rFonts w:ascii="Calibri" w:hAnsi="Calibri" w:cs="Calibri"/>
          <w:sz w:val="24"/>
          <w:szCs w:val="24"/>
        </w:rPr>
        <w:t>move</w:t>
      </w:r>
      <w:r w:rsidR="007D6142">
        <w:rPr>
          <w:rFonts w:ascii="Calibri" w:hAnsi="Calibri" w:cs="Calibri"/>
          <w:sz w:val="24"/>
          <w:szCs w:val="24"/>
        </w:rPr>
        <w:t xml:space="preserve"> beyond identifying ethical principles towards investigating how institution</w:t>
      </w:r>
      <w:r w:rsidR="009A5972">
        <w:rPr>
          <w:rFonts w:ascii="Calibri" w:hAnsi="Calibri" w:cs="Calibri"/>
          <w:sz w:val="24"/>
          <w:szCs w:val="24"/>
        </w:rPr>
        <w:t>s operationalise responsible AI through strategic governance</w:t>
      </w:r>
      <w:r w:rsidR="008D4353">
        <w:rPr>
          <w:rFonts w:ascii="Calibri" w:hAnsi="Calibri" w:cs="Calibri"/>
          <w:sz w:val="24"/>
          <w:szCs w:val="24"/>
        </w:rPr>
        <w:t xml:space="preserve"> (</w:t>
      </w:r>
      <w:r w:rsidR="001C25C7">
        <w:rPr>
          <w:rFonts w:ascii="Calibri" w:hAnsi="Calibri" w:cs="Calibri"/>
          <w:sz w:val="24"/>
          <w:szCs w:val="24"/>
        </w:rPr>
        <w:t>Lam, 2026; Chavarria</w:t>
      </w:r>
      <w:r w:rsidR="00753E1D">
        <w:rPr>
          <w:rFonts w:ascii="Calibri" w:hAnsi="Calibri" w:cs="Calibri"/>
          <w:sz w:val="24"/>
          <w:szCs w:val="24"/>
        </w:rPr>
        <w:t xml:space="preserve"> et al., </w:t>
      </w:r>
      <w:r w:rsidR="001C25C7">
        <w:rPr>
          <w:rFonts w:ascii="Calibri" w:hAnsi="Calibri" w:cs="Calibri"/>
          <w:sz w:val="24"/>
          <w:szCs w:val="24"/>
        </w:rPr>
        <w:t xml:space="preserve">2025). </w:t>
      </w:r>
    </w:p>
    <w:p w14:paraId="3D87DD8C" w14:textId="474B53D4" w:rsidR="00E45FE1" w:rsidRDefault="00664A7F" w:rsidP="00E45FE1">
      <w:pPr>
        <w:pStyle w:val="Heading1"/>
      </w:pPr>
      <w:bookmarkStart w:id="60" w:name="_Toc237383384"/>
      <w:bookmarkStart w:id="61" w:name="_Toc237384219"/>
      <w:bookmarkStart w:id="62" w:name="_Toc237384939"/>
      <w:bookmarkStart w:id="63" w:name="_Toc237444961"/>
      <w:r>
        <w:t>3</w:t>
      </w:r>
      <w:r w:rsidR="00287EC8">
        <w:t>.</w:t>
      </w:r>
      <w:r w:rsidR="005D6E20">
        <w:t>4</w:t>
      </w:r>
      <w:r w:rsidR="00E45FE1">
        <w:t xml:space="preserve"> Research Gaps and Positioning</w:t>
      </w:r>
      <w:bookmarkEnd w:id="60"/>
      <w:bookmarkEnd w:id="61"/>
      <w:bookmarkEnd w:id="62"/>
      <w:bookmarkEnd w:id="63"/>
    </w:p>
    <w:p w14:paraId="204B20EC" w14:textId="1B8D47E4" w:rsidR="00E45FE1" w:rsidRDefault="00664A7F" w:rsidP="00E45FE1">
      <w:pPr>
        <w:pStyle w:val="Heading2"/>
      </w:pPr>
      <w:bookmarkStart w:id="64" w:name="_Toc237383385"/>
      <w:bookmarkStart w:id="65" w:name="_Toc237384220"/>
      <w:bookmarkStart w:id="66" w:name="_Toc237384940"/>
      <w:bookmarkStart w:id="67" w:name="_Toc237444962"/>
      <w:r>
        <w:t>3</w:t>
      </w:r>
      <w:r w:rsidR="00287EC8">
        <w:t>.</w:t>
      </w:r>
      <w:r w:rsidR="005D6E20">
        <w:t>4</w:t>
      </w:r>
      <w:r w:rsidR="00E45FE1">
        <w:t>.1 Research Gaps</w:t>
      </w:r>
      <w:bookmarkEnd w:id="64"/>
      <w:bookmarkEnd w:id="65"/>
      <w:bookmarkEnd w:id="66"/>
      <w:bookmarkEnd w:id="67"/>
    </w:p>
    <w:p w14:paraId="531CCEB7" w14:textId="2A2D6FB8" w:rsidR="00E45FE1" w:rsidRPr="00BD6E71" w:rsidRDefault="00E45FE1" w:rsidP="00E45FE1">
      <w:pPr>
        <w:spacing w:line="360" w:lineRule="auto"/>
        <w:jc w:val="both"/>
        <w:rPr>
          <w:rFonts w:ascii="Calibri" w:hAnsi="Calibri" w:cs="Calibri"/>
          <w:sz w:val="24"/>
          <w:szCs w:val="24"/>
        </w:rPr>
      </w:pPr>
      <w:r w:rsidRPr="00BD6E71">
        <w:rPr>
          <w:rFonts w:ascii="Calibri" w:hAnsi="Calibri" w:cs="Calibri"/>
          <w:sz w:val="24"/>
          <w:szCs w:val="24"/>
        </w:rPr>
        <w:t xml:space="preserve">Existing research offers limited guidance regarding strategic AI governance, particularly for English public universities. Moreover, many studies discuss ethical principles or regulatory frameworks at a general level without explaining how </w:t>
      </w:r>
      <w:r w:rsidR="007F79A7">
        <w:rPr>
          <w:rFonts w:ascii="Calibri" w:hAnsi="Calibri" w:cs="Calibri"/>
          <w:sz w:val="24"/>
          <w:szCs w:val="24"/>
        </w:rPr>
        <w:t>HEIs can operationalise governance within their</w:t>
      </w:r>
      <w:r w:rsidR="00C514D5">
        <w:rPr>
          <w:rFonts w:ascii="Calibri" w:hAnsi="Calibri" w:cs="Calibri"/>
          <w:sz w:val="24"/>
          <w:szCs w:val="24"/>
        </w:rPr>
        <w:t xml:space="preserve"> complex organisational structures</w:t>
      </w:r>
      <w:r w:rsidRPr="00BD6E71">
        <w:rPr>
          <w:rFonts w:ascii="Calibri" w:hAnsi="Calibri" w:cs="Calibri"/>
          <w:sz w:val="24"/>
          <w:szCs w:val="24"/>
        </w:rPr>
        <w:t xml:space="preserve">. Furthermore, universities </w:t>
      </w:r>
      <w:r w:rsidR="0049104B" w:rsidRPr="00BD6E71">
        <w:rPr>
          <w:rFonts w:ascii="Calibri" w:hAnsi="Calibri" w:cs="Calibri"/>
          <w:sz w:val="24"/>
          <w:szCs w:val="24"/>
        </w:rPr>
        <w:t>commonly</w:t>
      </w:r>
      <w:r w:rsidRPr="00BD6E71">
        <w:rPr>
          <w:rFonts w:ascii="Calibri" w:hAnsi="Calibri" w:cs="Calibri"/>
          <w:sz w:val="24"/>
          <w:szCs w:val="24"/>
        </w:rPr>
        <w:t xml:space="preserve"> adopt fragmented institutional policies rather than integrated governance strategies that align AI implementation with organisational objectives, public accountability and educational values. Recent studies conclude that HEIs </w:t>
      </w:r>
      <w:r w:rsidR="00C514D5">
        <w:rPr>
          <w:rFonts w:ascii="Calibri" w:hAnsi="Calibri" w:cs="Calibri"/>
          <w:sz w:val="24"/>
          <w:szCs w:val="24"/>
        </w:rPr>
        <w:t>need an institution-wide governance framework that balances</w:t>
      </w:r>
      <w:r w:rsidRPr="00BD6E71">
        <w:rPr>
          <w:rFonts w:ascii="Calibri" w:hAnsi="Calibri" w:cs="Calibri"/>
          <w:sz w:val="24"/>
          <w:szCs w:val="24"/>
        </w:rPr>
        <w:t xml:space="preserve"> innovation with legal and ethical responsibilities</w:t>
      </w:r>
      <w:r w:rsidR="00E60FB8">
        <w:rPr>
          <w:rFonts w:ascii="Calibri" w:hAnsi="Calibri" w:cs="Calibri"/>
          <w:sz w:val="24"/>
          <w:szCs w:val="24"/>
        </w:rPr>
        <w:t xml:space="preserve"> (McDonald et al., 2025; </w:t>
      </w:r>
      <w:r w:rsidR="00B93897">
        <w:rPr>
          <w:rFonts w:ascii="Calibri" w:hAnsi="Calibri" w:cs="Calibri"/>
          <w:sz w:val="24"/>
          <w:szCs w:val="24"/>
        </w:rPr>
        <w:t xml:space="preserve">Chan et al., 2025). </w:t>
      </w:r>
    </w:p>
    <w:p w14:paraId="133320D1" w14:textId="6581B83C" w:rsidR="00E45FE1" w:rsidRPr="00BD6E71" w:rsidRDefault="00B61878" w:rsidP="00E45FE1">
      <w:pPr>
        <w:spacing w:line="360" w:lineRule="auto"/>
        <w:jc w:val="both"/>
        <w:rPr>
          <w:rFonts w:ascii="Calibri" w:hAnsi="Calibri" w:cs="Calibri"/>
          <w:sz w:val="24"/>
          <w:szCs w:val="24"/>
        </w:rPr>
      </w:pPr>
      <w:r>
        <w:rPr>
          <w:rFonts w:ascii="Calibri" w:hAnsi="Calibri" w:cs="Calibri"/>
          <w:sz w:val="24"/>
          <w:szCs w:val="24"/>
        </w:rPr>
        <w:t>Empirical evidence remains limited, as the literature is dominated by conceptual papers and policy analysis</w:t>
      </w:r>
      <w:r w:rsidR="007A4B53">
        <w:rPr>
          <w:rFonts w:ascii="Calibri" w:hAnsi="Calibri" w:cs="Calibri"/>
          <w:sz w:val="24"/>
          <w:szCs w:val="24"/>
        </w:rPr>
        <w:t>, with few studies examining AI governance in HEI practice.</w:t>
      </w:r>
      <w:r w:rsidR="00E45FE1" w:rsidRPr="00BD6E71">
        <w:rPr>
          <w:rFonts w:ascii="Calibri" w:hAnsi="Calibri" w:cs="Calibri"/>
          <w:sz w:val="24"/>
          <w:szCs w:val="24"/>
        </w:rPr>
        <w:t xml:space="preserve"> Existing case studies are </w:t>
      </w:r>
      <w:r w:rsidR="007572F5" w:rsidRPr="00BD6E71">
        <w:rPr>
          <w:rFonts w:ascii="Calibri" w:hAnsi="Calibri" w:cs="Calibri"/>
          <w:sz w:val="24"/>
          <w:szCs w:val="24"/>
        </w:rPr>
        <w:t>repeatedly</w:t>
      </w:r>
      <w:r w:rsidR="00E45FE1" w:rsidRPr="00BD6E71">
        <w:rPr>
          <w:rFonts w:ascii="Calibri" w:hAnsi="Calibri" w:cs="Calibri"/>
          <w:sz w:val="24"/>
          <w:szCs w:val="24"/>
        </w:rPr>
        <w:t xml:space="preserve"> conducted within single institutions or specific national contexts, limiting the transferability of findings across the English HEIs</w:t>
      </w:r>
      <w:r w:rsidR="008F1B31">
        <w:rPr>
          <w:rFonts w:ascii="Calibri" w:hAnsi="Calibri" w:cs="Calibri"/>
          <w:sz w:val="24"/>
          <w:szCs w:val="24"/>
        </w:rPr>
        <w:t xml:space="preserve"> (</w:t>
      </w:r>
      <w:r w:rsidR="00C72A1D">
        <w:rPr>
          <w:rFonts w:ascii="Calibri" w:hAnsi="Calibri" w:cs="Calibri"/>
          <w:sz w:val="24"/>
          <w:szCs w:val="24"/>
        </w:rPr>
        <w:t>Thaldar</w:t>
      </w:r>
      <w:r w:rsidR="008F1B31">
        <w:rPr>
          <w:rFonts w:ascii="Calibri" w:hAnsi="Calibri" w:cs="Calibri"/>
          <w:sz w:val="24"/>
          <w:szCs w:val="24"/>
        </w:rPr>
        <w:t xml:space="preserve"> et al., 2025; Ba</w:t>
      </w:r>
      <w:r w:rsidR="00A73889">
        <w:rPr>
          <w:rFonts w:ascii="Calibri" w:hAnsi="Calibri" w:cs="Calibri"/>
          <w:sz w:val="24"/>
          <w:szCs w:val="24"/>
        </w:rPr>
        <w:t>calso et al., 2026).</w:t>
      </w:r>
      <w:r w:rsidR="00E45FE1" w:rsidRPr="00BD6E71">
        <w:rPr>
          <w:rFonts w:ascii="Calibri" w:hAnsi="Calibri" w:cs="Calibri"/>
          <w:sz w:val="24"/>
          <w:szCs w:val="24"/>
        </w:rPr>
        <w:t xml:space="preserve"> </w:t>
      </w:r>
    </w:p>
    <w:p w14:paraId="2B7EBFB4" w14:textId="0EDA5CF8" w:rsidR="00E45FE1" w:rsidRPr="00BD6E71" w:rsidRDefault="00C514D5" w:rsidP="00E45FE1">
      <w:pPr>
        <w:spacing w:line="360" w:lineRule="auto"/>
        <w:jc w:val="both"/>
        <w:rPr>
          <w:rFonts w:ascii="Calibri" w:hAnsi="Calibri" w:cs="Calibri"/>
          <w:sz w:val="24"/>
          <w:szCs w:val="24"/>
        </w:rPr>
      </w:pPr>
      <w:r>
        <w:rPr>
          <w:rFonts w:ascii="Calibri" w:hAnsi="Calibri" w:cs="Calibri"/>
          <w:sz w:val="24"/>
          <w:szCs w:val="24"/>
        </w:rPr>
        <w:t>Another limitation is</w:t>
      </w:r>
      <w:r w:rsidR="00E45FE1" w:rsidRPr="00BD6E71">
        <w:rPr>
          <w:rFonts w:ascii="Calibri" w:hAnsi="Calibri" w:cs="Calibri"/>
          <w:sz w:val="24"/>
          <w:szCs w:val="24"/>
        </w:rPr>
        <w:t xml:space="preserve"> </w:t>
      </w:r>
      <w:r w:rsidR="007F79A7">
        <w:rPr>
          <w:rFonts w:ascii="Calibri" w:hAnsi="Calibri" w:cs="Calibri"/>
          <w:sz w:val="24"/>
          <w:szCs w:val="24"/>
        </w:rPr>
        <w:t>fragmented</w:t>
      </w:r>
      <w:r w:rsidR="00E45FE1" w:rsidRPr="00BD6E71">
        <w:rPr>
          <w:rFonts w:ascii="Calibri" w:hAnsi="Calibri" w:cs="Calibri"/>
          <w:sz w:val="24"/>
          <w:szCs w:val="24"/>
        </w:rPr>
        <w:t xml:space="preserve"> ethical frameworks. Moreover, principles such as fairness, transparency, explainability, accountability and privacy are widely recognised through the literature. </w:t>
      </w:r>
      <w:r w:rsidR="00846E22">
        <w:rPr>
          <w:rFonts w:ascii="Calibri" w:hAnsi="Calibri" w:cs="Calibri"/>
          <w:sz w:val="24"/>
          <w:szCs w:val="24"/>
        </w:rPr>
        <w:t>T</w:t>
      </w:r>
      <w:r w:rsidR="00E45FE1" w:rsidRPr="00BD6E71">
        <w:rPr>
          <w:rFonts w:ascii="Calibri" w:hAnsi="Calibri" w:cs="Calibri"/>
          <w:sz w:val="24"/>
          <w:szCs w:val="24"/>
        </w:rPr>
        <w:t xml:space="preserve">hese concepts are examined independently rather than as components of an integrated governance system. However, HEIs receive broad ethical guidance but relatively </w:t>
      </w:r>
      <w:r w:rsidR="00E45FE1" w:rsidRPr="00BD6E71">
        <w:rPr>
          <w:rFonts w:ascii="Calibri" w:hAnsi="Calibri" w:cs="Calibri"/>
          <w:sz w:val="24"/>
          <w:szCs w:val="24"/>
        </w:rPr>
        <w:lastRenderedPageBreak/>
        <w:t>little practical guidance on how to prioritise, monitor, and embed competing ethical principles in institutional decision-making. Recent governance research argues that ethical AI requires coordinated institutional policies supported by governance structures</w:t>
      </w:r>
      <w:r>
        <w:rPr>
          <w:rFonts w:ascii="Calibri" w:hAnsi="Calibri" w:cs="Calibri"/>
          <w:sz w:val="24"/>
          <w:szCs w:val="24"/>
        </w:rPr>
        <w:t>, not</w:t>
      </w:r>
      <w:r w:rsidR="00E45FE1" w:rsidRPr="00BD6E71">
        <w:rPr>
          <w:rFonts w:ascii="Calibri" w:hAnsi="Calibri" w:cs="Calibri"/>
          <w:sz w:val="24"/>
          <w:szCs w:val="24"/>
        </w:rPr>
        <w:t xml:space="preserve"> isolated guidelines</w:t>
      </w:r>
      <w:r w:rsidR="005C342E">
        <w:rPr>
          <w:rFonts w:ascii="Calibri" w:hAnsi="Calibri" w:cs="Calibri"/>
          <w:sz w:val="24"/>
          <w:szCs w:val="24"/>
        </w:rPr>
        <w:t xml:space="preserve"> (</w:t>
      </w:r>
      <w:r w:rsidR="007005D4">
        <w:rPr>
          <w:rFonts w:ascii="Calibri" w:hAnsi="Calibri" w:cs="Calibri"/>
          <w:sz w:val="24"/>
          <w:szCs w:val="24"/>
        </w:rPr>
        <w:t xml:space="preserve">Britchenko </w:t>
      </w:r>
      <w:r w:rsidR="00D82198">
        <w:rPr>
          <w:rFonts w:ascii="Calibri" w:hAnsi="Calibri" w:cs="Calibri"/>
          <w:sz w:val="24"/>
          <w:szCs w:val="24"/>
        </w:rPr>
        <w:t>and</w:t>
      </w:r>
      <w:r w:rsidR="007005D4">
        <w:rPr>
          <w:rFonts w:ascii="Calibri" w:hAnsi="Calibri" w:cs="Calibri"/>
          <w:sz w:val="24"/>
          <w:szCs w:val="24"/>
        </w:rPr>
        <w:t xml:space="preserve"> Lysiak, 2025; Azevedo et al., 2025). </w:t>
      </w:r>
    </w:p>
    <w:p w14:paraId="388D24B2" w14:textId="5AF42F7D" w:rsidR="00E45FE1" w:rsidRPr="00BD6E71" w:rsidRDefault="00E45FE1" w:rsidP="00E45FE1">
      <w:pPr>
        <w:spacing w:line="360" w:lineRule="auto"/>
        <w:jc w:val="both"/>
        <w:rPr>
          <w:rFonts w:ascii="Calibri" w:hAnsi="Calibri" w:cs="Calibri"/>
          <w:sz w:val="24"/>
          <w:szCs w:val="24"/>
        </w:rPr>
      </w:pPr>
      <w:r w:rsidRPr="00BD6E71">
        <w:rPr>
          <w:rFonts w:ascii="Calibri" w:hAnsi="Calibri" w:cs="Calibri"/>
          <w:sz w:val="24"/>
          <w:szCs w:val="24"/>
        </w:rPr>
        <w:t xml:space="preserve">The review identifies insufficient integration between strategic management and AI governance. Many studies evaluate AI adoption from technological or educational perspectives. Few investigate governance as a strategic capability that supports institutional resilience, risk management, and long-term organisational performance. This separation between strategic management and AI governance </w:t>
      </w:r>
      <w:r w:rsidR="00C514D5">
        <w:rPr>
          <w:rFonts w:ascii="Calibri" w:hAnsi="Calibri" w:cs="Calibri"/>
          <w:sz w:val="24"/>
          <w:szCs w:val="24"/>
        </w:rPr>
        <w:t>matters in</w:t>
      </w:r>
      <w:r w:rsidRPr="00BD6E71">
        <w:rPr>
          <w:rFonts w:ascii="Calibri" w:hAnsi="Calibri" w:cs="Calibri"/>
          <w:sz w:val="24"/>
          <w:szCs w:val="24"/>
        </w:rPr>
        <w:t xml:space="preserve"> English HEIs. HEI leaders must promote innovation, maintain academic integrity, comply with evolving regulations, and protect public trust</w:t>
      </w:r>
      <w:r w:rsidR="00AF5D1B">
        <w:rPr>
          <w:rFonts w:ascii="Calibri" w:hAnsi="Calibri" w:cs="Calibri"/>
          <w:sz w:val="24"/>
          <w:szCs w:val="24"/>
        </w:rPr>
        <w:t xml:space="preserve"> (</w:t>
      </w:r>
      <w:r w:rsidR="00496311">
        <w:rPr>
          <w:rFonts w:ascii="Calibri" w:hAnsi="Calibri" w:cs="Calibri"/>
          <w:sz w:val="24"/>
          <w:szCs w:val="24"/>
        </w:rPr>
        <w:t xml:space="preserve">Alhumud, 2026; Gagua et al., 2025). </w:t>
      </w:r>
    </w:p>
    <w:p w14:paraId="19C5A55F" w14:textId="67D5B049" w:rsidR="00E45FE1" w:rsidRPr="00BD6E71" w:rsidRDefault="00E45FE1" w:rsidP="00E45FE1">
      <w:pPr>
        <w:spacing w:line="360" w:lineRule="auto"/>
        <w:jc w:val="both"/>
        <w:rPr>
          <w:rFonts w:ascii="Calibri" w:hAnsi="Calibri" w:cs="Calibri"/>
          <w:sz w:val="24"/>
          <w:szCs w:val="24"/>
        </w:rPr>
      </w:pPr>
      <w:r w:rsidRPr="00BD6E71">
        <w:rPr>
          <w:rFonts w:ascii="Calibri" w:hAnsi="Calibri" w:cs="Calibri"/>
          <w:sz w:val="24"/>
          <w:szCs w:val="24"/>
        </w:rPr>
        <w:t xml:space="preserve">Stakeholder perspectives remain underrepresented within much of the current literature. Although students, academic staff, professional services, HEI leaders, and external regulators all influence AI governance, research frequently focuses on HEI policies or technological systems. This examines how these diverse stakeholder groups experience governance processes. As responsible AI increasingly depends </w:t>
      </w:r>
      <w:r w:rsidR="00C514D5">
        <w:rPr>
          <w:rFonts w:ascii="Calibri" w:hAnsi="Calibri" w:cs="Calibri"/>
          <w:sz w:val="24"/>
          <w:szCs w:val="24"/>
        </w:rPr>
        <w:t>on transparency, participation, and trust, stakeholder-centred governance requires greater attention</w:t>
      </w:r>
      <w:r w:rsidRPr="00BD6E71">
        <w:rPr>
          <w:rFonts w:ascii="Calibri" w:hAnsi="Calibri" w:cs="Calibri"/>
          <w:sz w:val="24"/>
          <w:szCs w:val="24"/>
        </w:rPr>
        <w:t xml:space="preserve"> to develop governance models that are both ethically and practically applicable</w:t>
      </w:r>
      <w:r w:rsidR="00B15DFC">
        <w:rPr>
          <w:rFonts w:ascii="Calibri" w:hAnsi="Calibri" w:cs="Calibri"/>
          <w:sz w:val="24"/>
          <w:szCs w:val="24"/>
        </w:rPr>
        <w:t xml:space="preserve"> (George </w:t>
      </w:r>
      <w:r w:rsidR="00D82198">
        <w:rPr>
          <w:rFonts w:ascii="Calibri" w:hAnsi="Calibri" w:cs="Calibri"/>
          <w:sz w:val="24"/>
          <w:szCs w:val="24"/>
        </w:rPr>
        <w:t>and</w:t>
      </w:r>
      <w:r w:rsidR="00B15DFC">
        <w:rPr>
          <w:rFonts w:ascii="Calibri" w:hAnsi="Calibri" w:cs="Calibri"/>
          <w:sz w:val="24"/>
          <w:szCs w:val="24"/>
        </w:rPr>
        <w:t xml:space="preserve"> </w:t>
      </w:r>
      <w:r w:rsidR="003475BA">
        <w:rPr>
          <w:rFonts w:ascii="Calibri" w:hAnsi="Calibri" w:cs="Calibri"/>
          <w:sz w:val="24"/>
          <w:szCs w:val="24"/>
        </w:rPr>
        <w:t xml:space="preserve">Sevak, 2026; Boticario et al., 2023). </w:t>
      </w:r>
    </w:p>
    <w:p w14:paraId="4E65E5C8" w14:textId="7BA71EAD" w:rsidR="00E45FE1" w:rsidRPr="00E0366D" w:rsidRDefault="00C514D5" w:rsidP="00E45FE1">
      <w:pPr>
        <w:spacing w:line="360" w:lineRule="auto"/>
        <w:jc w:val="both"/>
        <w:rPr>
          <w:rFonts w:ascii="Calibri" w:hAnsi="Calibri" w:cs="Calibri"/>
          <w:b/>
          <w:bCs/>
          <w:sz w:val="24"/>
          <w:szCs w:val="24"/>
        </w:rPr>
      </w:pPr>
      <w:r>
        <w:rPr>
          <w:rFonts w:ascii="Calibri" w:hAnsi="Calibri" w:cs="Calibri"/>
          <w:sz w:val="24"/>
          <w:szCs w:val="24"/>
        </w:rPr>
        <w:t>Little research treats</w:t>
      </w:r>
      <w:r w:rsidR="00E45FE1" w:rsidRPr="00BD6E71">
        <w:rPr>
          <w:rFonts w:ascii="Calibri" w:hAnsi="Calibri" w:cs="Calibri"/>
          <w:sz w:val="24"/>
          <w:szCs w:val="24"/>
        </w:rPr>
        <w:t xml:space="preserve"> AI governance as a dynamic organisational capability</w:t>
      </w:r>
      <w:r w:rsidR="0073275D">
        <w:rPr>
          <w:rFonts w:ascii="Calibri" w:hAnsi="Calibri" w:cs="Calibri"/>
          <w:sz w:val="24"/>
          <w:szCs w:val="24"/>
        </w:rPr>
        <w:t>.</w:t>
      </w:r>
      <w:r w:rsidR="00E45FE1" w:rsidRPr="00BD6E71">
        <w:rPr>
          <w:rFonts w:ascii="Calibri" w:hAnsi="Calibri" w:cs="Calibri"/>
          <w:sz w:val="24"/>
          <w:szCs w:val="24"/>
        </w:rPr>
        <w:t xml:space="preserve"> </w:t>
      </w:r>
      <w:r w:rsidR="0073275D">
        <w:rPr>
          <w:rFonts w:ascii="Calibri" w:hAnsi="Calibri" w:cs="Calibri"/>
          <w:sz w:val="24"/>
          <w:szCs w:val="24"/>
        </w:rPr>
        <w:t>This</w:t>
      </w:r>
      <w:r w:rsidR="00E45FE1" w:rsidRPr="00BD6E71">
        <w:rPr>
          <w:rFonts w:ascii="Calibri" w:hAnsi="Calibri" w:cs="Calibri"/>
          <w:sz w:val="24"/>
          <w:szCs w:val="24"/>
        </w:rPr>
        <w:t xml:space="preserve"> evolves alongside technological development, regulatory change and stakeholder expectations. Existing literature converges on governance as a static policy framework. This limitation </w:t>
      </w:r>
      <w:r w:rsidR="007F79A7">
        <w:rPr>
          <w:rFonts w:ascii="Calibri" w:hAnsi="Calibri" w:cs="Calibri"/>
          <w:sz w:val="24"/>
          <w:szCs w:val="24"/>
        </w:rPr>
        <w:t>matters for English HEIs, where AI technologies continue to develop faster</w:t>
      </w:r>
      <w:r w:rsidR="00E45FE1" w:rsidRPr="00BD6E71">
        <w:rPr>
          <w:rFonts w:ascii="Calibri" w:hAnsi="Calibri" w:cs="Calibri"/>
          <w:sz w:val="24"/>
          <w:szCs w:val="24"/>
        </w:rPr>
        <w:t xml:space="preserve"> than institutional governance arrangements. </w:t>
      </w:r>
      <w:r w:rsidR="005823D0">
        <w:rPr>
          <w:rFonts w:ascii="Calibri" w:hAnsi="Calibri" w:cs="Calibri"/>
          <w:sz w:val="24"/>
          <w:szCs w:val="24"/>
        </w:rPr>
        <w:t>An</w:t>
      </w:r>
      <w:r w:rsidR="00E45FE1" w:rsidRPr="00BD6E71">
        <w:rPr>
          <w:rFonts w:ascii="Calibri" w:hAnsi="Calibri" w:cs="Calibri"/>
          <w:sz w:val="24"/>
          <w:szCs w:val="24"/>
        </w:rPr>
        <w:t xml:space="preserve"> adaptive governance model </w:t>
      </w:r>
      <w:r>
        <w:rPr>
          <w:rFonts w:ascii="Calibri" w:hAnsi="Calibri" w:cs="Calibri"/>
          <w:sz w:val="24"/>
          <w:szCs w:val="24"/>
        </w:rPr>
        <w:t xml:space="preserve">that supports responsible innovation is </w:t>
      </w:r>
      <w:r w:rsidR="007F79A7">
        <w:rPr>
          <w:rFonts w:ascii="Calibri" w:hAnsi="Calibri" w:cs="Calibri"/>
          <w:sz w:val="24"/>
          <w:szCs w:val="24"/>
        </w:rPr>
        <w:t>needed to address</w:t>
      </w:r>
      <w:r w:rsidR="00E45FE1" w:rsidRPr="00BD6E71">
        <w:rPr>
          <w:rFonts w:ascii="Calibri" w:hAnsi="Calibri" w:cs="Calibri"/>
          <w:sz w:val="24"/>
          <w:szCs w:val="24"/>
        </w:rPr>
        <w:t xml:space="preserve"> legal, ethical, and organisational challenges</w:t>
      </w:r>
      <w:r w:rsidR="00632E57">
        <w:rPr>
          <w:rFonts w:ascii="Calibri" w:hAnsi="Calibri" w:cs="Calibri"/>
          <w:sz w:val="24"/>
          <w:szCs w:val="24"/>
        </w:rPr>
        <w:t xml:space="preserve"> (Harita</w:t>
      </w:r>
      <w:r w:rsidR="00A87981">
        <w:rPr>
          <w:rFonts w:ascii="Calibri" w:hAnsi="Calibri" w:cs="Calibri"/>
          <w:sz w:val="24"/>
          <w:szCs w:val="24"/>
        </w:rPr>
        <w:t xml:space="preserve"> et al., 2026; </w:t>
      </w:r>
      <w:r w:rsidR="00D66FB5">
        <w:rPr>
          <w:rFonts w:ascii="Calibri" w:hAnsi="Calibri" w:cs="Calibri"/>
          <w:sz w:val="24"/>
          <w:szCs w:val="24"/>
        </w:rPr>
        <w:t xml:space="preserve">Xie </w:t>
      </w:r>
      <w:r w:rsidR="00D82198">
        <w:rPr>
          <w:rFonts w:ascii="Calibri" w:hAnsi="Calibri" w:cs="Calibri"/>
          <w:sz w:val="24"/>
          <w:szCs w:val="24"/>
        </w:rPr>
        <w:t>and</w:t>
      </w:r>
      <w:r w:rsidR="00D66FB5">
        <w:rPr>
          <w:rFonts w:ascii="Calibri" w:hAnsi="Calibri" w:cs="Calibri"/>
          <w:sz w:val="24"/>
          <w:szCs w:val="24"/>
        </w:rPr>
        <w:t xml:space="preserve"> Luo</w:t>
      </w:r>
      <w:r w:rsidR="00EF20E6">
        <w:rPr>
          <w:rFonts w:ascii="Calibri" w:hAnsi="Calibri" w:cs="Calibri"/>
          <w:sz w:val="24"/>
          <w:szCs w:val="24"/>
        </w:rPr>
        <w:t xml:space="preserve">, 2025). </w:t>
      </w:r>
      <w:r w:rsidR="00615EA0" w:rsidRPr="00E0366D">
        <w:rPr>
          <w:rFonts w:ascii="Calibri" w:hAnsi="Calibri" w:cs="Calibri"/>
          <w:b/>
          <w:bCs/>
          <w:sz w:val="24"/>
          <w:szCs w:val="24"/>
        </w:rPr>
        <w:t xml:space="preserve">See Appendix A </w:t>
      </w:r>
      <w:r w:rsidR="00E10EC8" w:rsidRPr="00E0366D">
        <w:rPr>
          <w:rFonts w:ascii="Calibri" w:hAnsi="Calibri" w:cs="Calibri"/>
          <w:b/>
          <w:bCs/>
          <w:sz w:val="24"/>
          <w:szCs w:val="24"/>
        </w:rPr>
        <w:t>for a consolidated synthesis of the principal literature themes</w:t>
      </w:r>
      <w:r w:rsidR="00E0366D" w:rsidRPr="00E0366D">
        <w:rPr>
          <w:rFonts w:ascii="Calibri" w:hAnsi="Calibri" w:cs="Calibri"/>
          <w:b/>
          <w:bCs/>
          <w:sz w:val="24"/>
          <w:szCs w:val="24"/>
        </w:rPr>
        <w:t>.</w:t>
      </w:r>
    </w:p>
    <w:p w14:paraId="72C45BF3" w14:textId="6F8DFD6D" w:rsidR="004E3046" w:rsidRPr="00BD6E71" w:rsidRDefault="00094ACA" w:rsidP="00E45FE1">
      <w:pPr>
        <w:spacing w:line="360" w:lineRule="auto"/>
        <w:jc w:val="both"/>
        <w:rPr>
          <w:rFonts w:ascii="Calibri" w:hAnsi="Calibri" w:cs="Calibri"/>
          <w:sz w:val="24"/>
          <w:szCs w:val="24"/>
        </w:rPr>
      </w:pPr>
      <w:r>
        <w:rPr>
          <w:rFonts w:ascii="Calibri" w:hAnsi="Calibri" w:cs="Calibri"/>
          <w:sz w:val="24"/>
          <w:szCs w:val="24"/>
        </w:rPr>
        <w:t xml:space="preserve">The </w:t>
      </w:r>
      <w:r w:rsidR="00C514D5">
        <w:rPr>
          <w:rFonts w:ascii="Calibri" w:hAnsi="Calibri" w:cs="Calibri"/>
          <w:sz w:val="24"/>
          <w:szCs w:val="24"/>
        </w:rPr>
        <w:t xml:space="preserve">main gap is limited understanding of how English public universities operationalise responsible AI principles through governance and strategic decision-making </w:t>
      </w:r>
      <w:r w:rsidR="0081042D">
        <w:rPr>
          <w:rFonts w:ascii="Calibri" w:hAnsi="Calibri" w:cs="Calibri"/>
          <w:sz w:val="24"/>
          <w:szCs w:val="24"/>
        </w:rPr>
        <w:t>(Gellai, 2023; Ak</w:t>
      </w:r>
      <w:r w:rsidR="00491940">
        <w:rPr>
          <w:rFonts w:ascii="Calibri" w:hAnsi="Calibri" w:cs="Calibri"/>
          <w:sz w:val="24"/>
          <w:szCs w:val="24"/>
        </w:rPr>
        <w:t xml:space="preserve">barighatar, 2025). </w:t>
      </w:r>
    </w:p>
    <w:p w14:paraId="362D134E" w14:textId="5A3C920E" w:rsidR="00E45FE1" w:rsidRDefault="00664A7F" w:rsidP="00E45FE1">
      <w:pPr>
        <w:pStyle w:val="Heading2"/>
      </w:pPr>
      <w:bookmarkStart w:id="68" w:name="_Toc237383386"/>
      <w:bookmarkStart w:id="69" w:name="_Toc237384221"/>
      <w:bookmarkStart w:id="70" w:name="_Toc237384941"/>
      <w:bookmarkStart w:id="71" w:name="_Toc237444963"/>
      <w:r>
        <w:lastRenderedPageBreak/>
        <w:t>3</w:t>
      </w:r>
      <w:r w:rsidR="00287EC8">
        <w:t>.</w:t>
      </w:r>
      <w:r w:rsidR="005D6E20">
        <w:t>4</w:t>
      </w:r>
      <w:r w:rsidR="00E45FE1">
        <w:t>.2 Positioning this Research</w:t>
      </w:r>
      <w:bookmarkEnd w:id="68"/>
      <w:bookmarkEnd w:id="69"/>
      <w:bookmarkEnd w:id="70"/>
      <w:bookmarkEnd w:id="71"/>
    </w:p>
    <w:p w14:paraId="7A4A7584" w14:textId="4752A9AA" w:rsidR="00E45FE1" w:rsidRPr="00606AF5" w:rsidRDefault="00E45FE1" w:rsidP="00E45FE1">
      <w:pPr>
        <w:spacing w:line="360" w:lineRule="auto"/>
        <w:jc w:val="both"/>
        <w:rPr>
          <w:rFonts w:ascii="Calibri" w:hAnsi="Calibri" w:cs="Calibri"/>
          <w:sz w:val="24"/>
          <w:szCs w:val="24"/>
        </w:rPr>
      </w:pPr>
      <w:r w:rsidRPr="00606AF5">
        <w:rPr>
          <w:rFonts w:ascii="Calibri" w:hAnsi="Calibri" w:cs="Calibri"/>
          <w:sz w:val="24"/>
          <w:szCs w:val="24"/>
        </w:rPr>
        <w:t xml:space="preserve">The identified gap establishes a clear rationale for the present research. It </w:t>
      </w:r>
      <w:r w:rsidR="007F79A7">
        <w:rPr>
          <w:rFonts w:ascii="Calibri" w:hAnsi="Calibri" w:cs="Calibri"/>
          <w:sz w:val="24"/>
          <w:szCs w:val="24"/>
        </w:rPr>
        <w:t>integrates strategic management, AI governance,</w:t>
      </w:r>
      <w:r w:rsidRPr="00606AF5">
        <w:rPr>
          <w:rFonts w:ascii="Calibri" w:hAnsi="Calibri" w:cs="Calibri"/>
          <w:sz w:val="24"/>
          <w:szCs w:val="24"/>
        </w:rPr>
        <w:t xml:space="preserve"> and responsible innovation within a single conceptual framework tailored to English HEIs. This approach responds directly to the </w:t>
      </w:r>
      <w:r w:rsidR="00C514D5">
        <w:rPr>
          <w:rFonts w:ascii="Calibri" w:hAnsi="Calibri" w:cs="Calibri"/>
          <w:sz w:val="24"/>
          <w:szCs w:val="24"/>
        </w:rPr>
        <w:t>literature's call for institution-specific governance models that balance technological innovation with ethical responsibility, regulatory compliance,</w:t>
      </w:r>
      <w:r w:rsidRPr="00606AF5">
        <w:rPr>
          <w:rFonts w:ascii="Calibri" w:hAnsi="Calibri" w:cs="Calibri"/>
          <w:sz w:val="24"/>
          <w:szCs w:val="24"/>
        </w:rPr>
        <w:t xml:space="preserve"> and organisational effectiveness</w:t>
      </w:r>
      <w:r w:rsidR="006E2A7C">
        <w:rPr>
          <w:rFonts w:ascii="Calibri" w:hAnsi="Calibri" w:cs="Calibri"/>
          <w:sz w:val="24"/>
          <w:szCs w:val="24"/>
        </w:rPr>
        <w:t xml:space="preserve"> (Kasarci et al., 2025; Woodworth </w:t>
      </w:r>
      <w:r w:rsidR="00D82198">
        <w:rPr>
          <w:rFonts w:ascii="Calibri" w:hAnsi="Calibri" w:cs="Calibri"/>
          <w:sz w:val="24"/>
          <w:szCs w:val="24"/>
        </w:rPr>
        <w:t>and</w:t>
      </w:r>
      <w:r w:rsidR="006E2A7C">
        <w:rPr>
          <w:rFonts w:ascii="Calibri" w:hAnsi="Calibri" w:cs="Calibri"/>
          <w:sz w:val="24"/>
          <w:szCs w:val="24"/>
        </w:rPr>
        <w:t xml:space="preserve"> Ballantyne, 2026)</w:t>
      </w:r>
      <w:r w:rsidRPr="00606AF5">
        <w:rPr>
          <w:rFonts w:ascii="Calibri" w:hAnsi="Calibri" w:cs="Calibri"/>
          <w:sz w:val="24"/>
          <w:szCs w:val="24"/>
        </w:rPr>
        <w:t xml:space="preserve">. </w:t>
      </w:r>
    </w:p>
    <w:p w14:paraId="158B5586" w14:textId="2AA44107" w:rsidR="00E45FE1" w:rsidRPr="00606AF5" w:rsidRDefault="00E45FE1" w:rsidP="00E45FE1">
      <w:pPr>
        <w:spacing w:line="360" w:lineRule="auto"/>
        <w:jc w:val="both"/>
        <w:rPr>
          <w:rFonts w:ascii="Calibri" w:hAnsi="Calibri" w:cs="Calibri"/>
          <w:sz w:val="24"/>
          <w:szCs w:val="24"/>
        </w:rPr>
      </w:pPr>
      <w:r w:rsidRPr="00606AF5">
        <w:rPr>
          <w:rFonts w:ascii="Calibri" w:hAnsi="Calibri" w:cs="Calibri"/>
          <w:sz w:val="24"/>
          <w:szCs w:val="24"/>
        </w:rPr>
        <w:t xml:space="preserve">The proposed research contributes to theory and practice. </w:t>
      </w:r>
      <w:r w:rsidR="009803D2">
        <w:rPr>
          <w:rFonts w:ascii="Calibri" w:hAnsi="Calibri" w:cs="Calibri"/>
          <w:sz w:val="24"/>
          <w:szCs w:val="24"/>
        </w:rPr>
        <w:t xml:space="preserve">Theoretically, it extends the </w:t>
      </w:r>
      <w:r w:rsidRPr="00606AF5">
        <w:rPr>
          <w:rFonts w:ascii="Calibri" w:hAnsi="Calibri" w:cs="Calibri"/>
          <w:sz w:val="24"/>
          <w:szCs w:val="24"/>
        </w:rPr>
        <w:t>AI governance literature by integrating strategic governance, organisational leadership, and ethical AI principles into a coherent governance model informed by a critical realist ontology and an interpretivist epistemology</w:t>
      </w:r>
      <w:r w:rsidR="000E7D9D">
        <w:rPr>
          <w:rFonts w:ascii="Calibri" w:hAnsi="Calibri" w:cs="Calibri"/>
          <w:sz w:val="24"/>
          <w:szCs w:val="24"/>
        </w:rPr>
        <w:t xml:space="preserve"> (Bi</w:t>
      </w:r>
      <w:r w:rsidR="00B05A17">
        <w:rPr>
          <w:rFonts w:ascii="Calibri" w:hAnsi="Calibri" w:cs="Calibri"/>
          <w:sz w:val="24"/>
          <w:szCs w:val="24"/>
        </w:rPr>
        <w:t>rkstedt et al., 2023; Fuch</w:t>
      </w:r>
      <w:r w:rsidR="00003E28">
        <w:rPr>
          <w:rFonts w:ascii="Calibri" w:hAnsi="Calibri" w:cs="Calibri"/>
          <w:sz w:val="24"/>
          <w:szCs w:val="24"/>
        </w:rPr>
        <w:t>s</w:t>
      </w:r>
      <w:r w:rsidR="00B05A17">
        <w:rPr>
          <w:rFonts w:ascii="Calibri" w:hAnsi="Calibri" w:cs="Calibri"/>
          <w:sz w:val="24"/>
          <w:szCs w:val="24"/>
        </w:rPr>
        <w:t xml:space="preserve"> </w:t>
      </w:r>
      <w:r w:rsidR="00C514D5">
        <w:rPr>
          <w:rFonts w:ascii="Calibri" w:hAnsi="Calibri" w:cs="Calibri"/>
          <w:sz w:val="24"/>
          <w:szCs w:val="24"/>
        </w:rPr>
        <w:t>&amp;</w:t>
      </w:r>
      <w:r w:rsidR="00B05A17">
        <w:rPr>
          <w:rFonts w:ascii="Calibri" w:hAnsi="Calibri" w:cs="Calibri"/>
          <w:sz w:val="24"/>
          <w:szCs w:val="24"/>
        </w:rPr>
        <w:t xml:space="preserve"> Robinson, 2024)</w:t>
      </w:r>
      <w:r w:rsidRPr="00606AF5">
        <w:rPr>
          <w:rFonts w:ascii="Calibri" w:hAnsi="Calibri" w:cs="Calibri"/>
          <w:sz w:val="24"/>
          <w:szCs w:val="24"/>
        </w:rPr>
        <w:t xml:space="preserve">. From a practical perspective, the research aims to develop a </w:t>
      </w:r>
      <w:r w:rsidR="00806E68" w:rsidRPr="00606AF5">
        <w:rPr>
          <w:rFonts w:ascii="Calibri" w:hAnsi="Calibri" w:cs="Calibri"/>
          <w:sz w:val="24"/>
          <w:szCs w:val="24"/>
        </w:rPr>
        <w:t>s</w:t>
      </w:r>
      <w:r w:rsidRPr="00606AF5">
        <w:rPr>
          <w:rFonts w:ascii="Calibri" w:hAnsi="Calibri" w:cs="Calibri"/>
          <w:sz w:val="24"/>
          <w:szCs w:val="24"/>
        </w:rPr>
        <w:t xml:space="preserve">trategic </w:t>
      </w:r>
      <w:r w:rsidR="00806E68" w:rsidRPr="00606AF5">
        <w:rPr>
          <w:rFonts w:ascii="Calibri" w:hAnsi="Calibri" w:cs="Calibri"/>
          <w:sz w:val="24"/>
          <w:szCs w:val="24"/>
        </w:rPr>
        <w:t>g</w:t>
      </w:r>
      <w:r w:rsidRPr="00606AF5">
        <w:rPr>
          <w:rFonts w:ascii="Calibri" w:hAnsi="Calibri" w:cs="Calibri"/>
          <w:sz w:val="24"/>
          <w:szCs w:val="24"/>
        </w:rPr>
        <w:t xml:space="preserve">overnance </w:t>
      </w:r>
      <w:r w:rsidR="00806E68" w:rsidRPr="00606AF5">
        <w:rPr>
          <w:rFonts w:ascii="Calibri" w:hAnsi="Calibri" w:cs="Calibri"/>
          <w:sz w:val="24"/>
          <w:szCs w:val="24"/>
        </w:rPr>
        <w:t>m</w:t>
      </w:r>
      <w:r w:rsidRPr="00606AF5">
        <w:rPr>
          <w:rFonts w:ascii="Calibri" w:hAnsi="Calibri" w:cs="Calibri"/>
          <w:sz w:val="24"/>
          <w:szCs w:val="24"/>
        </w:rPr>
        <w:t xml:space="preserve">odel for the </w:t>
      </w:r>
      <w:r w:rsidR="00806E68" w:rsidRPr="00606AF5">
        <w:rPr>
          <w:rFonts w:ascii="Calibri" w:hAnsi="Calibri" w:cs="Calibri"/>
          <w:sz w:val="24"/>
          <w:szCs w:val="24"/>
        </w:rPr>
        <w:t>e</w:t>
      </w:r>
      <w:r w:rsidRPr="00606AF5">
        <w:rPr>
          <w:rFonts w:ascii="Calibri" w:hAnsi="Calibri" w:cs="Calibri"/>
          <w:sz w:val="24"/>
          <w:szCs w:val="24"/>
        </w:rPr>
        <w:t xml:space="preserve">thical </w:t>
      </w:r>
      <w:r w:rsidR="00806E68" w:rsidRPr="00606AF5">
        <w:rPr>
          <w:rFonts w:ascii="Calibri" w:hAnsi="Calibri" w:cs="Calibri"/>
          <w:sz w:val="24"/>
          <w:szCs w:val="24"/>
        </w:rPr>
        <w:t>i</w:t>
      </w:r>
      <w:r w:rsidRPr="00606AF5">
        <w:rPr>
          <w:rFonts w:ascii="Calibri" w:hAnsi="Calibri" w:cs="Calibri"/>
          <w:sz w:val="24"/>
          <w:szCs w:val="24"/>
        </w:rPr>
        <w:t xml:space="preserve">mplementation of AI to support decision-makers </w:t>
      </w:r>
      <w:r w:rsidR="00E67828" w:rsidRPr="00606AF5">
        <w:rPr>
          <w:rFonts w:ascii="Calibri" w:hAnsi="Calibri" w:cs="Calibri"/>
          <w:sz w:val="24"/>
          <w:szCs w:val="24"/>
        </w:rPr>
        <w:t>in HEIs</w:t>
      </w:r>
      <w:r w:rsidRPr="00606AF5">
        <w:rPr>
          <w:rFonts w:ascii="Calibri" w:hAnsi="Calibri" w:cs="Calibri"/>
          <w:sz w:val="24"/>
          <w:szCs w:val="24"/>
        </w:rPr>
        <w:t xml:space="preserve"> in </w:t>
      </w:r>
      <w:r w:rsidR="00E67828" w:rsidRPr="00606AF5">
        <w:rPr>
          <w:rFonts w:ascii="Calibri" w:hAnsi="Calibri" w:cs="Calibri"/>
          <w:sz w:val="24"/>
          <w:szCs w:val="24"/>
        </w:rPr>
        <w:t>creating</w:t>
      </w:r>
      <w:r w:rsidRPr="00606AF5">
        <w:rPr>
          <w:rFonts w:ascii="Calibri" w:hAnsi="Calibri" w:cs="Calibri"/>
          <w:sz w:val="24"/>
          <w:szCs w:val="24"/>
        </w:rPr>
        <w:t xml:space="preserve"> a transparent governance structure, strengthening institutional accountability, managing ethical risks and promoting stakeholder trust. By addressing the fragmentation identified in the existing literature, the proposed model </w:t>
      </w:r>
      <w:r w:rsidR="00C514D5">
        <w:rPr>
          <w:rFonts w:ascii="Calibri" w:hAnsi="Calibri" w:cs="Calibri"/>
          <w:sz w:val="24"/>
          <w:szCs w:val="24"/>
        </w:rPr>
        <w:t>provides</w:t>
      </w:r>
      <w:r w:rsidRPr="00606AF5">
        <w:rPr>
          <w:rFonts w:ascii="Calibri" w:hAnsi="Calibri" w:cs="Calibri"/>
          <w:sz w:val="24"/>
          <w:szCs w:val="24"/>
        </w:rPr>
        <w:t xml:space="preserve"> an evidence-informed framework to support the responsible, sustainable, and ethically governed implementation of AI across English HEIs. </w:t>
      </w:r>
    </w:p>
    <w:p w14:paraId="2865D238" w14:textId="251108DB" w:rsidR="000A1313" w:rsidRDefault="000A1313" w:rsidP="00D12542">
      <w:pPr>
        <w:pStyle w:val="Heading2"/>
      </w:pPr>
      <w:bookmarkStart w:id="72" w:name="_Toc237383387"/>
      <w:bookmarkStart w:id="73" w:name="_Toc237384222"/>
      <w:bookmarkStart w:id="74" w:name="_Toc237384942"/>
      <w:bookmarkStart w:id="75" w:name="_Toc237444964"/>
      <w:r>
        <w:t>3.4.3 Theoretical Contribution</w:t>
      </w:r>
      <w:bookmarkEnd w:id="72"/>
      <w:bookmarkEnd w:id="73"/>
      <w:bookmarkEnd w:id="74"/>
      <w:bookmarkEnd w:id="75"/>
    </w:p>
    <w:p w14:paraId="025276B7" w14:textId="58CE0C6B" w:rsidR="000A1313" w:rsidRDefault="008261C4" w:rsidP="00E45FE1">
      <w:pPr>
        <w:spacing w:line="360" w:lineRule="auto"/>
        <w:jc w:val="both"/>
        <w:rPr>
          <w:rFonts w:ascii="Calibri" w:hAnsi="Calibri" w:cs="Calibri"/>
          <w:sz w:val="24"/>
          <w:szCs w:val="24"/>
        </w:rPr>
      </w:pPr>
      <w:r>
        <w:rPr>
          <w:rFonts w:ascii="Calibri" w:hAnsi="Calibri" w:cs="Calibri"/>
          <w:sz w:val="24"/>
          <w:szCs w:val="24"/>
        </w:rPr>
        <w:t xml:space="preserve">This study makes a distinct theoretical contribution by integrating </w:t>
      </w:r>
      <w:r w:rsidR="00F56471">
        <w:rPr>
          <w:rFonts w:ascii="Calibri" w:hAnsi="Calibri" w:cs="Calibri"/>
          <w:sz w:val="24"/>
          <w:szCs w:val="24"/>
        </w:rPr>
        <w:t xml:space="preserve">governance theory, strategic management, and responsible AI within the context of English </w:t>
      </w:r>
      <w:r w:rsidR="006715F9">
        <w:rPr>
          <w:rFonts w:ascii="Calibri" w:hAnsi="Calibri" w:cs="Calibri"/>
          <w:sz w:val="24"/>
          <w:szCs w:val="24"/>
        </w:rPr>
        <w:t xml:space="preserve">public HE. Existing research examines AI governance, ethical AI, </w:t>
      </w:r>
      <w:r w:rsidR="00A13CEA">
        <w:rPr>
          <w:rFonts w:ascii="Calibri" w:hAnsi="Calibri" w:cs="Calibri"/>
          <w:sz w:val="24"/>
          <w:szCs w:val="24"/>
        </w:rPr>
        <w:t>and strategic leadership individually. However, this study synthesises these perspectives into a coherent conceptual framework for institutional AI governance</w:t>
      </w:r>
      <w:r w:rsidR="008E4D87">
        <w:rPr>
          <w:rFonts w:ascii="Calibri" w:hAnsi="Calibri" w:cs="Calibri"/>
          <w:sz w:val="24"/>
          <w:szCs w:val="24"/>
        </w:rPr>
        <w:t xml:space="preserve"> (Birkstedt et al., 2023; Papa</w:t>
      </w:r>
      <w:r w:rsidR="00485FDB">
        <w:rPr>
          <w:rFonts w:ascii="Calibri" w:hAnsi="Calibri" w:cs="Calibri"/>
          <w:sz w:val="24"/>
          <w:szCs w:val="24"/>
        </w:rPr>
        <w:t>giannidis</w:t>
      </w:r>
      <w:r w:rsidR="001831D9">
        <w:rPr>
          <w:rFonts w:ascii="Calibri" w:hAnsi="Calibri" w:cs="Calibri"/>
          <w:sz w:val="24"/>
          <w:szCs w:val="24"/>
        </w:rPr>
        <w:t xml:space="preserve"> et al., </w:t>
      </w:r>
      <w:r w:rsidR="00485FDB">
        <w:rPr>
          <w:rFonts w:ascii="Calibri" w:hAnsi="Calibri" w:cs="Calibri"/>
          <w:sz w:val="24"/>
          <w:szCs w:val="24"/>
        </w:rPr>
        <w:t>2025)</w:t>
      </w:r>
      <w:r w:rsidR="00A13CEA">
        <w:rPr>
          <w:rFonts w:ascii="Calibri" w:hAnsi="Calibri" w:cs="Calibri"/>
          <w:sz w:val="24"/>
          <w:szCs w:val="24"/>
        </w:rPr>
        <w:t>. By combining governance theory</w:t>
      </w:r>
      <w:r w:rsidR="00617937">
        <w:rPr>
          <w:rFonts w:ascii="Calibri" w:hAnsi="Calibri" w:cs="Calibri"/>
          <w:sz w:val="24"/>
          <w:szCs w:val="24"/>
        </w:rPr>
        <w:t xml:space="preserve"> with strategic management principles, the research conceptualised AI governance as a strategic organisational capability rather than </w:t>
      </w:r>
      <w:r w:rsidR="00A93A8C">
        <w:rPr>
          <w:rFonts w:ascii="Calibri" w:hAnsi="Calibri" w:cs="Calibri"/>
          <w:sz w:val="24"/>
          <w:szCs w:val="24"/>
        </w:rPr>
        <w:t xml:space="preserve">a regulatory or compliance function. </w:t>
      </w:r>
      <w:r w:rsidR="00C83B1F">
        <w:rPr>
          <w:rFonts w:ascii="Calibri" w:hAnsi="Calibri" w:cs="Calibri"/>
          <w:sz w:val="24"/>
          <w:szCs w:val="24"/>
        </w:rPr>
        <w:t xml:space="preserve">Moreover, it extends responsible AI scholarship by demonstrating </w:t>
      </w:r>
      <w:r w:rsidR="00EB5796">
        <w:rPr>
          <w:rFonts w:ascii="Calibri" w:hAnsi="Calibri" w:cs="Calibri"/>
          <w:sz w:val="24"/>
          <w:szCs w:val="24"/>
        </w:rPr>
        <w:t xml:space="preserve">how ethical principles can be operationalised through governance structures </w:t>
      </w:r>
      <w:r w:rsidR="003C4182">
        <w:rPr>
          <w:rFonts w:ascii="Calibri" w:hAnsi="Calibri" w:cs="Calibri"/>
          <w:sz w:val="24"/>
          <w:szCs w:val="24"/>
        </w:rPr>
        <w:t xml:space="preserve">and </w:t>
      </w:r>
      <w:r w:rsidR="00C101BC">
        <w:rPr>
          <w:rFonts w:ascii="Calibri" w:hAnsi="Calibri" w:cs="Calibri"/>
          <w:sz w:val="24"/>
          <w:szCs w:val="24"/>
        </w:rPr>
        <w:t>institutional</w:t>
      </w:r>
      <w:r w:rsidR="003C4182">
        <w:rPr>
          <w:rFonts w:ascii="Calibri" w:hAnsi="Calibri" w:cs="Calibri"/>
          <w:sz w:val="24"/>
          <w:szCs w:val="24"/>
        </w:rPr>
        <w:t xml:space="preserve"> decision-making</w:t>
      </w:r>
      <w:sdt>
        <w:sdtPr>
          <w:rPr>
            <w:rFonts w:ascii="Calibri" w:hAnsi="Calibri" w:cs="Calibri"/>
            <w:sz w:val="24"/>
            <w:szCs w:val="24"/>
          </w:rPr>
          <w:id w:val="-1520462738"/>
          <w:citation/>
        </w:sdtPr>
        <w:sdtContent>
          <w:r w:rsidR="00043421">
            <w:rPr>
              <w:rFonts w:ascii="Calibri" w:hAnsi="Calibri" w:cs="Calibri"/>
              <w:sz w:val="24"/>
              <w:szCs w:val="24"/>
            </w:rPr>
            <w:fldChar w:fldCharType="begin"/>
          </w:r>
          <w:r w:rsidR="00043421">
            <w:rPr>
              <w:rFonts w:ascii="Calibri" w:hAnsi="Calibri" w:cs="Calibri"/>
              <w:sz w:val="24"/>
              <w:szCs w:val="24"/>
            </w:rPr>
            <w:instrText xml:space="preserve"> CITATION Akb25 \l 2057 </w:instrText>
          </w:r>
          <w:r w:rsidR="00043421">
            <w:rPr>
              <w:rFonts w:ascii="Calibri" w:hAnsi="Calibri" w:cs="Calibri"/>
              <w:sz w:val="24"/>
              <w:szCs w:val="24"/>
            </w:rPr>
            <w:fldChar w:fldCharType="separate"/>
          </w:r>
          <w:r w:rsidR="00043421">
            <w:rPr>
              <w:rFonts w:ascii="Calibri" w:hAnsi="Calibri" w:cs="Calibri"/>
              <w:noProof/>
              <w:sz w:val="24"/>
              <w:szCs w:val="24"/>
            </w:rPr>
            <w:t xml:space="preserve"> </w:t>
          </w:r>
          <w:r w:rsidR="00043421" w:rsidRPr="00043421">
            <w:rPr>
              <w:rFonts w:ascii="Calibri" w:hAnsi="Calibri" w:cs="Calibri"/>
              <w:noProof/>
              <w:sz w:val="24"/>
              <w:szCs w:val="24"/>
            </w:rPr>
            <w:t>(Akbarighatar, 2025)</w:t>
          </w:r>
          <w:r w:rsidR="00043421">
            <w:rPr>
              <w:rFonts w:ascii="Calibri" w:hAnsi="Calibri" w:cs="Calibri"/>
              <w:sz w:val="24"/>
              <w:szCs w:val="24"/>
            </w:rPr>
            <w:fldChar w:fldCharType="end"/>
          </w:r>
        </w:sdtContent>
      </w:sdt>
      <w:r w:rsidR="003C4182">
        <w:rPr>
          <w:rFonts w:ascii="Calibri" w:hAnsi="Calibri" w:cs="Calibri"/>
          <w:sz w:val="24"/>
          <w:szCs w:val="24"/>
        </w:rPr>
        <w:t xml:space="preserve">. The study contributes contextually by addressing the </w:t>
      </w:r>
      <w:r w:rsidR="00FE30C1">
        <w:rPr>
          <w:rFonts w:ascii="Calibri" w:hAnsi="Calibri" w:cs="Calibri"/>
          <w:sz w:val="24"/>
          <w:szCs w:val="24"/>
        </w:rPr>
        <w:t>distinctive governance environment of English public universities</w:t>
      </w:r>
      <w:r w:rsidR="00A67606">
        <w:rPr>
          <w:rFonts w:ascii="Calibri" w:hAnsi="Calibri" w:cs="Calibri"/>
          <w:sz w:val="24"/>
          <w:szCs w:val="24"/>
        </w:rPr>
        <w:t xml:space="preserve">, </w:t>
      </w:r>
      <w:r w:rsidR="009C0318">
        <w:rPr>
          <w:rFonts w:ascii="Calibri" w:hAnsi="Calibri" w:cs="Calibri"/>
          <w:sz w:val="24"/>
          <w:szCs w:val="24"/>
        </w:rPr>
        <w:t>in which institutional autonomy, public accountability, and regulatory oversight pose</w:t>
      </w:r>
      <w:r w:rsidR="005C6A9B">
        <w:rPr>
          <w:rFonts w:ascii="Calibri" w:hAnsi="Calibri" w:cs="Calibri"/>
          <w:sz w:val="24"/>
          <w:szCs w:val="24"/>
        </w:rPr>
        <w:t xml:space="preserve"> governance challenges</w:t>
      </w:r>
      <w:r w:rsidR="008F5AF3">
        <w:rPr>
          <w:rFonts w:ascii="Calibri" w:hAnsi="Calibri" w:cs="Calibri"/>
          <w:sz w:val="24"/>
          <w:szCs w:val="24"/>
        </w:rPr>
        <w:t xml:space="preserve"> (Office for Students, 2022; 2026)</w:t>
      </w:r>
      <w:r w:rsidR="005C6A9B">
        <w:rPr>
          <w:rFonts w:ascii="Calibri" w:hAnsi="Calibri" w:cs="Calibri"/>
          <w:sz w:val="24"/>
          <w:szCs w:val="24"/>
        </w:rPr>
        <w:t xml:space="preserve">. This differs </w:t>
      </w:r>
      <w:r w:rsidR="00782F36">
        <w:rPr>
          <w:rFonts w:ascii="Calibri" w:hAnsi="Calibri" w:cs="Calibri"/>
          <w:sz w:val="24"/>
          <w:szCs w:val="24"/>
        </w:rPr>
        <w:t xml:space="preserve">from commercial organisations and other public sector institutions. </w:t>
      </w:r>
    </w:p>
    <w:p w14:paraId="7CFE068F" w14:textId="57849AF4" w:rsidR="006F64B0" w:rsidRDefault="006F64B0" w:rsidP="00551B21">
      <w:pPr>
        <w:pStyle w:val="Heading1"/>
      </w:pPr>
      <w:bookmarkStart w:id="76" w:name="_Toc237383388"/>
      <w:bookmarkStart w:id="77" w:name="_Toc237384223"/>
      <w:bookmarkStart w:id="78" w:name="_Toc237384943"/>
      <w:bookmarkStart w:id="79" w:name="_Toc237444965"/>
      <w:r>
        <w:lastRenderedPageBreak/>
        <w:t>4.</w:t>
      </w:r>
      <w:r w:rsidR="00551B21">
        <w:t xml:space="preserve"> Philosophical and Methodological Analysis of One Selected Study</w:t>
      </w:r>
      <w:bookmarkEnd w:id="76"/>
      <w:bookmarkEnd w:id="77"/>
      <w:bookmarkEnd w:id="78"/>
      <w:bookmarkEnd w:id="79"/>
    </w:p>
    <w:p w14:paraId="3D49E936" w14:textId="48E8DDC1" w:rsidR="00551B21" w:rsidRDefault="00551B21" w:rsidP="00911C54">
      <w:pPr>
        <w:pStyle w:val="Heading2"/>
      </w:pPr>
      <w:bookmarkStart w:id="80" w:name="_Toc237383389"/>
      <w:bookmarkStart w:id="81" w:name="_Toc237384224"/>
      <w:bookmarkStart w:id="82" w:name="_Toc237384944"/>
      <w:bookmarkStart w:id="83" w:name="_Toc237444966"/>
      <w:r>
        <w:t>4.</w:t>
      </w:r>
      <w:r w:rsidR="004361A5">
        <w:t>1</w:t>
      </w:r>
      <w:r>
        <w:t xml:space="preserve"> </w:t>
      </w:r>
      <w:r w:rsidR="004361A5">
        <w:t>Overview of the Selected Study</w:t>
      </w:r>
      <w:bookmarkEnd w:id="80"/>
      <w:bookmarkEnd w:id="81"/>
      <w:bookmarkEnd w:id="82"/>
      <w:bookmarkEnd w:id="83"/>
      <w:r w:rsidR="004361A5">
        <w:t xml:space="preserve"> </w:t>
      </w:r>
    </w:p>
    <w:p w14:paraId="3C8E764D" w14:textId="48830B91" w:rsidR="004361A5" w:rsidRDefault="004361A5" w:rsidP="004361A5">
      <w:pPr>
        <w:spacing w:line="360" w:lineRule="auto"/>
        <w:jc w:val="both"/>
        <w:rPr>
          <w:rFonts w:ascii="Calibri" w:hAnsi="Calibri" w:cs="Calibri"/>
          <w:sz w:val="24"/>
          <w:szCs w:val="24"/>
        </w:rPr>
      </w:pPr>
      <w:r w:rsidRPr="004361A5">
        <w:rPr>
          <w:rFonts w:ascii="Calibri" w:hAnsi="Calibri" w:cs="Calibri"/>
          <w:sz w:val="24"/>
          <w:szCs w:val="24"/>
        </w:rPr>
        <w:t xml:space="preserve">This academic work analyses the empirical study by </w:t>
      </w:r>
      <w:r w:rsidR="004754FA">
        <w:rPr>
          <w:rFonts w:ascii="Calibri" w:hAnsi="Calibri" w:cs="Calibri"/>
          <w:sz w:val="24"/>
          <w:szCs w:val="24"/>
        </w:rPr>
        <w:t>Dabis and Csaki</w:t>
      </w:r>
      <w:r w:rsidRPr="004361A5">
        <w:rPr>
          <w:rFonts w:ascii="Calibri" w:hAnsi="Calibri" w:cs="Calibri"/>
          <w:sz w:val="24"/>
          <w:szCs w:val="24"/>
        </w:rPr>
        <w:t xml:space="preserve"> (2024) to critically examine the philosophical and methodological foundations of contemporary research on AI governance in HE</w:t>
      </w:r>
      <w:r>
        <w:rPr>
          <w:rFonts w:ascii="Calibri" w:hAnsi="Calibri" w:cs="Calibri"/>
          <w:sz w:val="24"/>
          <w:szCs w:val="24"/>
        </w:rPr>
        <w:t xml:space="preserve">. The study was selected because it investigates how HEIs respond to the rapid emergence of </w:t>
      </w:r>
      <w:r w:rsidR="002875A5">
        <w:rPr>
          <w:rFonts w:ascii="Calibri" w:hAnsi="Calibri" w:cs="Calibri"/>
          <w:sz w:val="24"/>
          <w:szCs w:val="24"/>
        </w:rPr>
        <w:t xml:space="preserve">generative </w:t>
      </w:r>
      <w:r>
        <w:rPr>
          <w:rFonts w:ascii="Calibri" w:hAnsi="Calibri" w:cs="Calibri"/>
          <w:sz w:val="24"/>
          <w:szCs w:val="24"/>
        </w:rPr>
        <w:t>AI through institutional governance, policy development, and strategic decision-making. Many conceptual papers discuss ethical AI in abstract terms</w:t>
      </w:r>
      <w:r w:rsidR="009803D2">
        <w:rPr>
          <w:rFonts w:ascii="Calibri" w:hAnsi="Calibri" w:cs="Calibri"/>
          <w:sz w:val="24"/>
          <w:szCs w:val="24"/>
        </w:rPr>
        <w:t>, but empirical evidence from university practice is limited, making the study well suited</w:t>
      </w:r>
      <w:r w:rsidR="004963B6">
        <w:rPr>
          <w:rFonts w:ascii="Calibri" w:hAnsi="Calibri" w:cs="Calibri"/>
          <w:sz w:val="24"/>
          <w:szCs w:val="24"/>
        </w:rPr>
        <w:t xml:space="preserve"> to philosophical and methodological evaluation. </w:t>
      </w:r>
    </w:p>
    <w:p w14:paraId="7B704775" w14:textId="2217F3E3" w:rsidR="00B253A7" w:rsidRDefault="00B253A7" w:rsidP="004361A5">
      <w:pPr>
        <w:spacing w:line="360" w:lineRule="auto"/>
        <w:jc w:val="both"/>
        <w:rPr>
          <w:rFonts w:ascii="Calibri" w:hAnsi="Calibri" w:cs="Calibri"/>
          <w:sz w:val="24"/>
          <w:szCs w:val="24"/>
        </w:rPr>
      </w:pPr>
      <w:r>
        <w:rPr>
          <w:rFonts w:ascii="Calibri" w:hAnsi="Calibri" w:cs="Calibri"/>
          <w:sz w:val="24"/>
          <w:szCs w:val="24"/>
        </w:rPr>
        <w:t xml:space="preserve">The </w:t>
      </w:r>
      <w:r w:rsidR="009803D2">
        <w:rPr>
          <w:rFonts w:ascii="Calibri" w:hAnsi="Calibri" w:cs="Calibri"/>
          <w:sz w:val="24"/>
          <w:szCs w:val="24"/>
        </w:rPr>
        <w:t xml:space="preserve">study's principal aim </w:t>
      </w:r>
      <w:r>
        <w:rPr>
          <w:rFonts w:ascii="Calibri" w:hAnsi="Calibri" w:cs="Calibri"/>
          <w:sz w:val="24"/>
          <w:szCs w:val="24"/>
        </w:rPr>
        <w:t xml:space="preserve">is to explore how </w:t>
      </w:r>
      <w:r w:rsidR="002B3C05">
        <w:rPr>
          <w:rFonts w:ascii="Calibri" w:hAnsi="Calibri" w:cs="Calibri"/>
          <w:sz w:val="24"/>
          <w:szCs w:val="24"/>
        </w:rPr>
        <w:t xml:space="preserve">HEIs </w:t>
      </w:r>
      <w:r w:rsidR="00C3197F">
        <w:rPr>
          <w:rFonts w:ascii="Calibri" w:hAnsi="Calibri" w:cs="Calibri"/>
          <w:sz w:val="24"/>
          <w:szCs w:val="24"/>
        </w:rPr>
        <w:t>develop</w:t>
      </w:r>
      <w:r w:rsidR="002B3C05">
        <w:rPr>
          <w:rFonts w:ascii="Calibri" w:hAnsi="Calibri" w:cs="Calibri"/>
          <w:sz w:val="24"/>
          <w:szCs w:val="24"/>
        </w:rPr>
        <w:t xml:space="preserve"> governance mechanisms to manage the opportunities and risks associated with </w:t>
      </w:r>
      <w:r w:rsidR="002875A5">
        <w:rPr>
          <w:rFonts w:ascii="Calibri" w:hAnsi="Calibri" w:cs="Calibri"/>
          <w:sz w:val="24"/>
          <w:szCs w:val="24"/>
        </w:rPr>
        <w:t xml:space="preserve">generative </w:t>
      </w:r>
      <w:r w:rsidR="002B3C05">
        <w:rPr>
          <w:rFonts w:ascii="Calibri" w:hAnsi="Calibri" w:cs="Calibri"/>
          <w:sz w:val="24"/>
          <w:szCs w:val="24"/>
        </w:rPr>
        <w:t>AI</w:t>
      </w:r>
      <w:r w:rsidR="00C3197F">
        <w:rPr>
          <w:rFonts w:ascii="Calibri" w:hAnsi="Calibri" w:cs="Calibri"/>
          <w:sz w:val="24"/>
          <w:szCs w:val="24"/>
        </w:rPr>
        <w:t xml:space="preserve">. </w:t>
      </w:r>
      <w:r w:rsidR="009803D2">
        <w:rPr>
          <w:rFonts w:ascii="Calibri" w:hAnsi="Calibri" w:cs="Calibri"/>
          <w:sz w:val="24"/>
          <w:szCs w:val="24"/>
        </w:rPr>
        <w:t xml:space="preserve">The researchers also </w:t>
      </w:r>
      <w:r w:rsidR="00CC3858">
        <w:rPr>
          <w:rFonts w:ascii="Calibri" w:hAnsi="Calibri" w:cs="Calibri"/>
          <w:sz w:val="24"/>
          <w:szCs w:val="24"/>
        </w:rPr>
        <w:t>examine</w:t>
      </w:r>
      <w:r w:rsidR="00C3197F">
        <w:rPr>
          <w:rFonts w:ascii="Calibri" w:hAnsi="Calibri" w:cs="Calibri"/>
          <w:sz w:val="24"/>
          <w:szCs w:val="24"/>
        </w:rPr>
        <w:t xml:space="preserve"> institutional responses to </w:t>
      </w:r>
      <w:r w:rsidR="008F33F3">
        <w:rPr>
          <w:rFonts w:ascii="Calibri" w:hAnsi="Calibri" w:cs="Calibri"/>
          <w:sz w:val="24"/>
          <w:szCs w:val="24"/>
        </w:rPr>
        <w:t>issues</w:t>
      </w:r>
      <w:r w:rsidR="00C3197F">
        <w:rPr>
          <w:rFonts w:ascii="Calibri" w:hAnsi="Calibri" w:cs="Calibri"/>
          <w:sz w:val="24"/>
          <w:szCs w:val="24"/>
        </w:rPr>
        <w:t xml:space="preserve"> </w:t>
      </w:r>
      <w:r w:rsidR="008F33F3">
        <w:rPr>
          <w:rFonts w:ascii="Calibri" w:hAnsi="Calibri" w:cs="Calibri"/>
          <w:sz w:val="24"/>
          <w:szCs w:val="24"/>
        </w:rPr>
        <w:t xml:space="preserve">such as academic integrity, ethical responsibility, stakeholder engagement, and organisational preparedness. Rather than evaluating the technical performance of AI systems, the study focuses on governance processes and organisational decision-making, positioning AI adoption as a strategic management challenge rather than merely a </w:t>
      </w:r>
      <w:r w:rsidR="00C834E6">
        <w:rPr>
          <w:rFonts w:ascii="Calibri" w:hAnsi="Calibri" w:cs="Calibri"/>
          <w:sz w:val="24"/>
          <w:szCs w:val="24"/>
        </w:rPr>
        <w:t xml:space="preserve">technological innovation (Dabis </w:t>
      </w:r>
      <w:r w:rsidR="00D82198">
        <w:rPr>
          <w:rFonts w:ascii="Calibri" w:hAnsi="Calibri" w:cs="Calibri"/>
          <w:sz w:val="24"/>
          <w:szCs w:val="24"/>
        </w:rPr>
        <w:t>and</w:t>
      </w:r>
      <w:r w:rsidR="00C834E6">
        <w:rPr>
          <w:rFonts w:ascii="Calibri" w:hAnsi="Calibri" w:cs="Calibri"/>
          <w:sz w:val="24"/>
          <w:szCs w:val="24"/>
        </w:rPr>
        <w:t xml:space="preserve"> Csaki, 2024; Barus et al., 2025).  </w:t>
      </w:r>
      <w:r w:rsidR="008F33F3">
        <w:rPr>
          <w:rFonts w:ascii="Calibri" w:hAnsi="Calibri" w:cs="Calibri"/>
          <w:sz w:val="24"/>
          <w:szCs w:val="24"/>
        </w:rPr>
        <w:t xml:space="preserve"> </w:t>
      </w:r>
    </w:p>
    <w:p w14:paraId="59BF302B" w14:textId="7F6CB174" w:rsidR="00D47853" w:rsidRDefault="00D47853" w:rsidP="004361A5">
      <w:pPr>
        <w:spacing w:line="360" w:lineRule="auto"/>
        <w:jc w:val="both"/>
        <w:rPr>
          <w:rFonts w:ascii="Calibri" w:hAnsi="Calibri" w:cs="Calibri"/>
          <w:sz w:val="24"/>
          <w:szCs w:val="24"/>
        </w:rPr>
      </w:pPr>
      <w:r>
        <w:rPr>
          <w:rFonts w:ascii="Calibri" w:hAnsi="Calibri" w:cs="Calibri"/>
          <w:sz w:val="24"/>
          <w:szCs w:val="24"/>
        </w:rPr>
        <w:t xml:space="preserve">The study is highly relevant to the </w:t>
      </w:r>
      <w:r w:rsidR="00280543">
        <w:rPr>
          <w:rFonts w:ascii="Calibri" w:hAnsi="Calibri" w:cs="Calibri"/>
          <w:sz w:val="24"/>
          <w:szCs w:val="24"/>
        </w:rPr>
        <w:t xml:space="preserve">present DBA research for several reasons. It examines AI governance in HE, which </w:t>
      </w:r>
      <w:r w:rsidR="003576DC">
        <w:rPr>
          <w:rFonts w:ascii="Calibri" w:hAnsi="Calibri" w:cs="Calibri"/>
          <w:sz w:val="24"/>
          <w:szCs w:val="24"/>
        </w:rPr>
        <w:t xml:space="preserve">aligns with this study’s focus on English public universities. </w:t>
      </w:r>
      <w:r w:rsidR="00913960">
        <w:rPr>
          <w:rFonts w:ascii="Calibri" w:hAnsi="Calibri" w:cs="Calibri"/>
          <w:sz w:val="24"/>
          <w:szCs w:val="24"/>
        </w:rPr>
        <w:t xml:space="preserve">It recognises that successful AI adoption depends </w:t>
      </w:r>
      <w:r w:rsidR="0075131C">
        <w:rPr>
          <w:rFonts w:ascii="Calibri" w:hAnsi="Calibri" w:cs="Calibri"/>
          <w:sz w:val="24"/>
          <w:szCs w:val="24"/>
        </w:rPr>
        <w:t xml:space="preserve">not only on technological capability but on leadership, governance structures, organisational culture, and stakeholder engagement. </w:t>
      </w:r>
      <w:r w:rsidR="00D415AF">
        <w:rPr>
          <w:rFonts w:ascii="Calibri" w:hAnsi="Calibri" w:cs="Calibri"/>
          <w:sz w:val="24"/>
          <w:szCs w:val="24"/>
        </w:rPr>
        <w:t xml:space="preserve">These dimensions </w:t>
      </w:r>
      <w:r w:rsidR="004751F8">
        <w:rPr>
          <w:rFonts w:ascii="Calibri" w:hAnsi="Calibri" w:cs="Calibri"/>
          <w:sz w:val="24"/>
          <w:szCs w:val="24"/>
        </w:rPr>
        <w:t xml:space="preserve">correspond </w:t>
      </w:r>
      <w:r w:rsidR="00B54712">
        <w:rPr>
          <w:rFonts w:ascii="Calibri" w:hAnsi="Calibri" w:cs="Calibri"/>
          <w:sz w:val="24"/>
          <w:szCs w:val="24"/>
        </w:rPr>
        <w:t xml:space="preserve">with </w:t>
      </w:r>
      <w:r w:rsidR="00EC423F">
        <w:rPr>
          <w:rFonts w:ascii="Calibri" w:hAnsi="Calibri" w:cs="Calibri"/>
          <w:sz w:val="24"/>
          <w:szCs w:val="24"/>
        </w:rPr>
        <w:t>the proposed SGM developed in this study</w:t>
      </w:r>
      <w:r w:rsidR="003A2114">
        <w:rPr>
          <w:rFonts w:ascii="Calibri" w:hAnsi="Calibri" w:cs="Calibri"/>
          <w:sz w:val="24"/>
          <w:szCs w:val="24"/>
        </w:rPr>
        <w:t xml:space="preserve"> (</w:t>
      </w:r>
      <w:r w:rsidR="00137A29">
        <w:rPr>
          <w:rFonts w:ascii="Calibri" w:hAnsi="Calibri" w:cs="Calibri"/>
          <w:sz w:val="24"/>
          <w:szCs w:val="24"/>
        </w:rPr>
        <w:t>Luo</w:t>
      </w:r>
      <w:r w:rsidR="003A2114">
        <w:rPr>
          <w:rFonts w:ascii="Calibri" w:hAnsi="Calibri" w:cs="Calibri"/>
          <w:sz w:val="24"/>
          <w:szCs w:val="24"/>
        </w:rPr>
        <w:t xml:space="preserve">, 2024; Barus et al., </w:t>
      </w:r>
      <w:r w:rsidR="00A031C6">
        <w:rPr>
          <w:rFonts w:ascii="Calibri" w:hAnsi="Calibri" w:cs="Calibri"/>
          <w:sz w:val="24"/>
          <w:szCs w:val="24"/>
        </w:rPr>
        <w:t xml:space="preserve">2025). </w:t>
      </w:r>
      <w:r w:rsidR="00EC423F">
        <w:rPr>
          <w:rFonts w:ascii="Calibri" w:hAnsi="Calibri" w:cs="Calibri"/>
          <w:sz w:val="24"/>
          <w:szCs w:val="24"/>
        </w:rPr>
        <w:t xml:space="preserve"> </w:t>
      </w:r>
    </w:p>
    <w:p w14:paraId="6524F941" w14:textId="3275216A" w:rsidR="001E2BCC" w:rsidRDefault="00EC423F" w:rsidP="004361A5">
      <w:pPr>
        <w:spacing w:line="360" w:lineRule="auto"/>
        <w:jc w:val="both"/>
        <w:rPr>
          <w:rFonts w:ascii="Calibri" w:hAnsi="Calibri" w:cs="Calibri"/>
          <w:sz w:val="24"/>
          <w:szCs w:val="24"/>
        </w:rPr>
      </w:pPr>
      <w:r>
        <w:rPr>
          <w:rFonts w:ascii="Calibri" w:hAnsi="Calibri" w:cs="Calibri"/>
          <w:sz w:val="24"/>
          <w:szCs w:val="24"/>
        </w:rPr>
        <w:t xml:space="preserve">However, the study offers </w:t>
      </w:r>
      <w:r w:rsidR="00DC74BB">
        <w:rPr>
          <w:rFonts w:ascii="Calibri" w:hAnsi="Calibri" w:cs="Calibri"/>
          <w:sz w:val="24"/>
          <w:szCs w:val="24"/>
        </w:rPr>
        <w:t>beneficial</w:t>
      </w:r>
      <w:r>
        <w:rPr>
          <w:rFonts w:ascii="Calibri" w:hAnsi="Calibri" w:cs="Calibri"/>
          <w:sz w:val="24"/>
          <w:szCs w:val="24"/>
        </w:rPr>
        <w:t xml:space="preserve"> insights into institutional governance</w:t>
      </w:r>
      <w:r w:rsidR="00D130DD">
        <w:rPr>
          <w:rFonts w:ascii="Calibri" w:hAnsi="Calibri" w:cs="Calibri"/>
          <w:sz w:val="24"/>
          <w:szCs w:val="24"/>
        </w:rPr>
        <w:t xml:space="preserve">.  It </w:t>
      </w:r>
      <w:r w:rsidR="009F335F">
        <w:rPr>
          <w:rFonts w:ascii="Calibri" w:hAnsi="Calibri" w:cs="Calibri"/>
          <w:sz w:val="24"/>
          <w:szCs w:val="24"/>
        </w:rPr>
        <w:t>primarily analyses current governance efforts rather than proposing an integrated strategic framework to guide HEIs in</w:t>
      </w:r>
      <w:r w:rsidR="00D130DD">
        <w:rPr>
          <w:rFonts w:ascii="Calibri" w:hAnsi="Calibri" w:cs="Calibri"/>
          <w:sz w:val="24"/>
          <w:szCs w:val="24"/>
        </w:rPr>
        <w:t xml:space="preserve"> long-term AI adoption. </w:t>
      </w:r>
      <w:r w:rsidR="008424CB">
        <w:rPr>
          <w:rFonts w:ascii="Calibri" w:hAnsi="Calibri" w:cs="Calibri"/>
          <w:sz w:val="24"/>
          <w:szCs w:val="24"/>
        </w:rPr>
        <w:t xml:space="preserve">Moreover, its findings </w:t>
      </w:r>
      <w:r w:rsidR="004347DD">
        <w:rPr>
          <w:rFonts w:ascii="Calibri" w:hAnsi="Calibri" w:cs="Calibri"/>
          <w:sz w:val="24"/>
          <w:szCs w:val="24"/>
        </w:rPr>
        <w:t xml:space="preserve">are based on a limited number of institutional cases. This raises questions about </w:t>
      </w:r>
      <w:r w:rsidR="00023387">
        <w:rPr>
          <w:rFonts w:ascii="Calibri" w:hAnsi="Calibri" w:cs="Calibri"/>
          <w:sz w:val="24"/>
          <w:szCs w:val="24"/>
        </w:rPr>
        <w:t>their transferability across the wider HE</w:t>
      </w:r>
      <w:r w:rsidR="00E2475A">
        <w:rPr>
          <w:rFonts w:ascii="Calibri" w:hAnsi="Calibri" w:cs="Calibri"/>
          <w:sz w:val="24"/>
          <w:szCs w:val="24"/>
        </w:rPr>
        <w:t xml:space="preserve"> </w:t>
      </w:r>
      <w:r w:rsidR="003A2114">
        <w:rPr>
          <w:rFonts w:ascii="Calibri" w:hAnsi="Calibri" w:cs="Calibri"/>
          <w:sz w:val="24"/>
          <w:szCs w:val="24"/>
        </w:rPr>
        <w:t>sectors</w:t>
      </w:r>
      <w:r w:rsidR="00E2475A">
        <w:rPr>
          <w:rFonts w:ascii="Calibri" w:hAnsi="Calibri" w:cs="Calibri"/>
          <w:sz w:val="24"/>
          <w:szCs w:val="24"/>
        </w:rPr>
        <w:t xml:space="preserve">. </w:t>
      </w:r>
      <w:r w:rsidR="001D1710">
        <w:rPr>
          <w:rFonts w:ascii="Calibri" w:hAnsi="Calibri" w:cs="Calibri"/>
          <w:sz w:val="24"/>
          <w:szCs w:val="24"/>
        </w:rPr>
        <w:t xml:space="preserve">These limitations make </w:t>
      </w:r>
      <w:r w:rsidR="0088032B">
        <w:rPr>
          <w:rFonts w:ascii="Calibri" w:hAnsi="Calibri" w:cs="Calibri"/>
          <w:sz w:val="24"/>
          <w:szCs w:val="24"/>
        </w:rPr>
        <w:t xml:space="preserve">the </w:t>
      </w:r>
      <w:r w:rsidR="001D1710">
        <w:rPr>
          <w:rFonts w:ascii="Calibri" w:hAnsi="Calibri" w:cs="Calibri"/>
          <w:sz w:val="24"/>
          <w:szCs w:val="24"/>
        </w:rPr>
        <w:t xml:space="preserve">study </w:t>
      </w:r>
      <w:r w:rsidR="00AA6DA0">
        <w:rPr>
          <w:rFonts w:ascii="Calibri" w:hAnsi="Calibri" w:cs="Calibri"/>
          <w:sz w:val="24"/>
          <w:szCs w:val="24"/>
        </w:rPr>
        <w:t xml:space="preserve">suitable for critical philosophical analysis. They </w:t>
      </w:r>
      <w:r w:rsidR="009803D2">
        <w:rPr>
          <w:rFonts w:ascii="Calibri" w:hAnsi="Calibri" w:cs="Calibri"/>
          <w:sz w:val="24"/>
          <w:szCs w:val="24"/>
        </w:rPr>
        <w:t>also offer an opportunity to evaluate how underlying ontological, epistemological, and methodological assumptions shape knowledge production</w:t>
      </w:r>
      <w:r w:rsidR="0088032B">
        <w:rPr>
          <w:rFonts w:ascii="Calibri" w:hAnsi="Calibri" w:cs="Calibri"/>
          <w:sz w:val="24"/>
          <w:szCs w:val="24"/>
        </w:rPr>
        <w:t xml:space="preserve">. </w:t>
      </w:r>
      <w:r w:rsidR="005248B9">
        <w:rPr>
          <w:rFonts w:ascii="Calibri" w:hAnsi="Calibri" w:cs="Calibri"/>
          <w:sz w:val="24"/>
          <w:szCs w:val="24"/>
        </w:rPr>
        <w:t xml:space="preserve">Therefore, the </w:t>
      </w:r>
      <w:r w:rsidR="00AA648B">
        <w:rPr>
          <w:rFonts w:ascii="Calibri" w:hAnsi="Calibri" w:cs="Calibri"/>
          <w:sz w:val="24"/>
          <w:szCs w:val="24"/>
        </w:rPr>
        <w:t xml:space="preserve">coursework </w:t>
      </w:r>
      <w:r w:rsidR="00AA648B">
        <w:rPr>
          <w:rFonts w:ascii="Calibri" w:hAnsi="Calibri" w:cs="Calibri"/>
          <w:sz w:val="24"/>
          <w:szCs w:val="24"/>
        </w:rPr>
        <w:lastRenderedPageBreak/>
        <w:t xml:space="preserve">provides an appropriate foundation for examining how research philosophy influences </w:t>
      </w:r>
      <w:r w:rsidR="001E2BCC">
        <w:rPr>
          <w:rFonts w:ascii="Calibri" w:hAnsi="Calibri" w:cs="Calibri"/>
          <w:sz w:val="24"/>
          <w:szCs w:val="24"/>
        </w:rPr>
        <w:t xml:space="preserve">both the interpretation of AI governance and the methodological choices in contemporary HE </w:t>
      </w:r>
      <w:r w:rsidR="00B72508">
        <w:rPr>
          <w:rFonts w:ascii="Calibri" w:hAnsi="Calibri" w:cs="Calibri"/>
          <w:sz w:val="24"/>
          <w:szCs w:val="24"/>
        </w:rPr>
        <w:t>investigations</w:t>
      </w:r>
      <w:r w:rsidR="00513593">
        <w:rPr>
          <w:rFonts w:ascii="Calibri" w:hAnsi="Calibri" w:cs="Calibri"/>
          <w:sz w:val="24"/>
          <w:szCs w:val="24"/>
        </w:rPr>
        <w:t xml:space="preserve"> (Dabis </w:t>
      </w:r>
      <w:r w:rsidR="00D82198">
        <w:rPr>
          <w:rFonts w:ascii="Calibri" w:hAnsi="Calibri" w:cs="Calibri"/>
          <w:sz w:val="24"/>
          <w:szCs w:val="24"/>
        </w:rPr>
        <w:t>and</w:t>
      </w:r>
      <w:r w:rsidR="00513593">
        <w:rPr>
          <w:rFonts w:ascii="Calibri" w:hAnsi="Calibri" w:cs="Calibri"/>
          <w:sz w:val="24"/>
          <w:szCs w:val="24"/>
        </w:rPr>
        <w:t xml:space="preserve"> Csaki, 2024; Fuchs </w:t>
      </w:r>
      <w:r w:rsidR="00D82198">
        <w:rPr>
          <w:rFonts w:ascii="Calibri" w:hAnsi="Calibri" w:cs="Calibri"/>
          <w:sz w:val="24"/>
          <w:szCs w:val="24"/>
        </w:rPr>
        <w:t>and</w:t>
      </w:r>
      <w:r w:rsidR="00513593">
        <w:rPr>
          <w:rFonts w:ascii="Calibri" w:hAnsi="Calibri" w:cs="Calibri"/>
          <w:sz w:val="24"/>
          <w:szCs w:val="24"/>
        </w:rPr>
        <w:t xml:space="preserve"> Robinson, 2024).</w:t>
      </w:r>
    </w:p>
    <w:p w14:paraId="74EE4379" w14:textId="007C7182" w:rsidR="00911C54" w:rsidRDefault="00911C54" w:rsidP="00911C54">
      <w:pPr>
        <w:pStyle w:val="Heading2"/>
      </w:pPr>
      <w:bookmarkStart w:id="84" w:name="_Toc237383390"/>
      <w:bookmarkStart w:id="85" w:name="_Toc237384225"/>
      <w:bookmarkStart w:id="86" w:name="_Toc237384945"/>
      <w:bookmarkStart w:id="87" w:name="_Toc237444967"/>
      <w:r>
        <w:t>4.2 Ontological and Epistemological Analysis of the Selected Study</w:t>
      </w:r>
      <w:bookmarkEnd w:id="84"/>
      <w:bookmarkEnd w:id="85"/>
      <w:bookmarkEnd w:id="86"/>
      <w:bookmarkEnd w:id="87"/>
    </w:p>
    <w:p w14:paraId="48024751" w14:textId="086966F5" w:rsidR="00911C54" w:rsidRPr="00620334" w:rsidRDefault="00FE36E3" w:rsidP="002E3078">
      <w:pPr>
        <w:spacing w:line="360" w:lineRule="auto"/>
        <w:jc w:val="both"/>
        <w:rPr>
          <w:rFonts w:ascii="Calibri" w:hAnsi="Calibri" w:cs="Calibri"/>
          <w:b/>
          <w:bCs/>
          <w:sz w:val="24"/>
          <w:szCs w:val="24"/>
        </w:rPr>
      </w:pPr>
      <w:r>
        <w:rPr>
          <w:rFonts w:ascii="Calibri" w:hAnsi="Calibri" w:cs="Calibri"/>
          <w:sz w:val="24"/>
          <w:szCs w:val="24"/>
        </w:rPr>
        <w:t>The study</w:t>
      </w:r>
      <w:r w:rsidR="00C17D74">
        <w:rPr>
          <w:rFonts w:ascii="Calibri" w:hAnsi="Calibri" w:cs="Calibri"/>
          <w:sz w:val="24"/>
          <w:szCs w:val="24"/>
        </w:rPr>
        <w:t xml:space="preserve"> </w:t>
      </w:r>
      <w:r w:rsidR="009803D2">
        <w:rPr>
          <w:rFonts w:ascii="Calibri" w:hAnsi="Calibri" w:cs="Calibri"/>
          <w:sz w:val="24"/>
          <w:szCs w:val="24"/>
        </w:rPr>
        <w:t>appears</w:t>
      </w:r>
      <w:r w:rsidR="00C17D74">
        <w:rPr>
          <w:rFonts w:ascii="Calibri" w:hAnsi="Calibri" w:cs="Calibri"/>
          <w:sz w:val="24"/>
          <w:szCs w:val="24"/>
        </w:rPr>
        <w:t xml:space="preserve"> consistent with </w:t>
      </w:r>
      <w:r w:rsidR="00C17D74" w:rsidRPr="00B44BB5">
        <w:rPr>
          <w:rFonts w:ascii="Calibri" w:hAnsi="Calibri" w:cs="Calibri"/>
          <w:b/>
          <w:bCs/>
          <w:sz w:val="24"/>
          <w:szCs w:val="24"/>
        </w:rPr>
        <w:t>critical realist ontology</w:t>
      </w:r>
      <w:r w:rsidR="00C17D74">
        <w:rPr>
          <w:rFonts w:ascii="Calibri" w:hAnsi="Calibri" w:cs="Calibri"/>
          <w:sz w:val="24"/>
          <w:szCs w:val="24"/>
        </w:rPr>
        <w:t xml:space="preserve"> and </w:t>
      </w:r>
      <w:r w:rsidR="00C17D74" w:rsidRPr="00B44BB5">
        <w:rPr>
          <w:rFonts w:ascii="Calibri" w:hAnsi="Calibri" w:cs="Calibri"/>
          <w:b/>
          <w:bCs/>
          <w:sz w:val="24"/>
          <w:szCs w:val="24"/>
        </w:rPr>
        <w:t>interpretivist epistemology</w:t>
      </w:r>
      <w:r w:rsidR="00C17D74">
        <w:rPr>
          <w:rFonts w:ascii="Calibri" w:hAnsi="Calibri" w:cs="Calibri"/>
          <w:sz w:val="24"/>
          <w:szCs w:val="24"/>
        </w:rPr>
        <w:t>.</w:t>
      </w:r>
      <w:r w:rsidR="001477EC">
        <w:rPr>
          <w:rFonts w:ascii="Calibri" w:hAnsi="Calibri" w:cs="Calibri"/>
          <w:sz w:val="24"/>
          <w:szCs w:val="24"/>
        </w:rPr>
        <w:t xml:space="preserve"> </w:t>
      </w:r>
      <w:r w:rsidR="00013793">
        <w:rPr>
          <w:rFonts w:ascii="Calibri" w:hAnsi="Calibri" w:cs="Calibri"/>
          <w:sz w:val="24"/>
          <w:szCs w:val="24"/>
        </w:rPr>
        <w:t xml:space="preserve">Identifying these underlying assumptions </w:t>
      </w:r>
      <w:r w:rsidR="009803D2">
        <w:rPr>
          <w:rFonts w:ascii="Calibri" w:hAnsi="Calibri" w:cs="Calibri"/>
          <w:sz w:val="24"/>
          <w:szCs w:val="24"/>
        </w:rPr>
        <w:t>matters because research philosophy shapes how organisational phenomena are conceptualised, how evidence is interpreted,</w:t>
      </w:r>
      <w:r w:rsidR="00013793">
        <w:rPr>
          <w:rFonts w:ascii="Calibri" w:hAnsi="Calibri" w:cs="Calibri"/>
          <w:sz w:val="24"/>
          <w:szCs w:val="24"/>
        </w:rPr>
        <w:t xml:space="preserve"> and what forms of knowledge are considered legitimate</w:t>
      </w:r>
      <w:r w:rsidR="00551D0D">
        <w:rPr>
          <w:rFonts w:ascii="Calibri" w:hAnsi="Calibri" w:cs="Calibri"/>
          <w:sz w:val="24"/>
          <w:szCs w:val="24"/>
        </w:rPr>
        <w:t xml:space="preserve"> (Fuchs </w:t>
      </w:r>
      <w:r w:rsidR="00D82198">
        <w:rPr>
          <w:rFonts w:ascii="Calibri" w:hAnsi="Calibri" w:cs="Calibri"/>
          <w:sz w:val="24"/>
          <w:szCs w:val="24"/>
        </w:rPr>
        <w:t>and</w:t>
      </w:r>
      <w:r w:rsidR="00551D0D">
        <w:rPr>
          <w:rFonts w:ascii="Calibri" w:hAnsi="Calibri" w:cs="Calibri"/>
          <w:sz w:val="24"/>
          <w:szCs w:val="24"/>
        </w:rPr>
        <w:t xml:space="preserve"> Robinson, 2024; </w:t>
      </w:r>
      <w:r w:rsidR="00633297">
        <w:rPr>
          <w:rFonts w:ascii="Calibri" w:hAnsi="Calibri" w:cs="Calibri"/>
          <w:sz w:val="24"/>
          <w:szCs w:val="24"/>
        </w:rPr>
        <w:t>B</w:t>
      </w:r>
      <w:r w:rsidR="00A46499">
        <w:rPr>
          <w:rFonts w:ascii="Calibri" w:hAnsi="Calibri" w:cs="Calibri"/>
          <w:sz w:val="24"/>
          <w:szCs w:val="24"/>
        </w:rPr>
        <w:t>obula</w:t>
      </w:r>
      <w:r w:rsidR="00633297">
        <w:rPr>
          <w:rFonts w:ascii="Calibri" w:hAnsi="Calibri" w:cs="Calibri"/>
          <w:sz w:val="24"/>
          <w:szCs w:val="24"/>
        </w:rPr>
        <w:t>, 202</w:t>
      </w:r>
      <w:r w:rsidR="00A46499">
        <w:rPr>
          <w:rFonts w:ascii="Calibri" w:hAnsi="Calibri" w:cs="Calibri"/>
          <w:sz w:val="24"/>
          <w:szCs w:val="24"/>
        </w:rPr>
        <w:t>4</w:t>
      </w:r>
      <w:r w:rsidR="00633297">
        <w:rPr>
          <w:rFonts w:ascii="Calibri" w:hAnsi="Calibri" w:cs="Calibri"/>
          <w:sz w:val="24"/>
          <w:szCs w:val="24"/>
        </w:rPr>
        <w:t>)</w:t>
      </w:r>
      <w:r w:rsidR="00013793">
        <w:rPr>
          <w:rFonts w:ascii="Calibri" w:hAnsi="Calibri" w:cs="Calibri"/>
          <w:sz w:val="24"/>
          <w:szCs w:val="24"/>
        </w:rPr>
        <w:t xml:space="preserve">. </w:t>
      </w:r>
      <w:r w:rsidR="005C3C6C">
        <w:rPr>
          <w:rFonts w:ascii="Calibri" w:hAnsi="Calibri" w:cs="Calibri"/>
          <w:sz w:val="24"/>
          <w:szCs w:val="24"/>
        </w:rPr>
        <w:t>In studies of AI governance</w:t>
      </w:r>
      <w:r w:rsidR="00BF5D44">
        <w:rPr>
          <w:rFonts w:ascii="Calibri" w:hAnsi="Calibri" w:cs="Calibri"/>
          <w:sz w:val="24"/>
          <w:szCs w:val="24"/>
        </w:rPr>
        <w:t xml:space="preserve">, </w:t>
      </w:r>
      <w:r w:rsidR="009803D2">
        <w:rPr>
          <w:rFonts w:ascii="Calibri" w:hAnsi="Calibri" w:cs="Calibri"/>
          <w:sz w:val="24"/>
          <w:szCs w:val="24"/>
        </w:rPr>
        <w:t>philosophical assumptions matter</w:t>
      </w:r>
      <w:r w:rsidR="00BF5D44">
        <w:rPr>
          <w:rFonts w:ascii="Calibri" w:hAnsi="Calibri" w:cs="Calibri"/>
          <w:sz w:val="24"/>
          <w:szCs w:val="24"/>
        </w:rPr>
        <w:t xml:space="preserve"> because </w:t>
      </w:r>
      <w:r w:rsidR="00496695">
        <w:rPr>
          <w:rFonts w:ascii="Calibri" w:hAnsi="Calibri" w:cs="Calibri"/>
          <w:sz w:val="24"/>
          <w:szCs w:val="24"/>
        </w:rPr>
        <w:t xml:space="preserve">it </w:t>
      </w:r>
      <w:r w:rsidR="00BF5D44">
        <w:rPr>
          <w:rFonts w:ascii="Calibri" w:hAnsi="Calibri" w:cs="Calibri"/>
          <w:sz w:val="24"/>
          <w:szCs w:val="24"/>
        </w:rPr>
        <w:t xml:space="preserve">is not only </w:t>
      </w:r>
      <w:r w:rsidR="00D56EB6">
        <w:rPr>
          <w:rFonts w:ascii="Calibri" w:hAnsi="Calibri" w:cs="Calibri"/>
          <w:sz w:val="24"/>
          <w:szCs w:val="24"/>
        </w:rPr>
        <w:t xml:space="preserve">a technical </w:t>
      </w:r>
      <w:r w:rsidR="00CA1B1D">
        <w:rPr>
          <w:rFonts w:ascii="Calibri" w:hAnsi="Calibri" w:cs="Calibri"/>
          <w:sz w:val="24"/>
          <w:szCs w:val="24"/>
        </w:rPr>
        <w:t>process</w:t>
      </w:r>
      <w:r w:rsidR="00F62592">
        <w:rPr>
          <w:rFonts w:ascii="Calibri" w:hAnsi="Calibri" w:cs="Calibri"/>
          <w:sz w:val="24"/>
          <w:szCs w:val="24"/>
        </w:rPr>
        <w:t>.</w:t>
      </w:r>
      <w:r w:rsidR="00D56EB6">
        <w:rPr>
          <w:rFonts w:ascii="Calibri" w:hAnsi="Calibri" w:cs="Calibri"/>
          <w:sz w:val="24"/>
          <w:szCs w:val="24"/>
        </w:rPr>
        <w:t xml:space="preserve"> </w:t>
      </w:r>
      <w:r w:rsidR="00B17CCA">
        <w:rPr>
          <w:rFonts w:ascii="Calibri" w:hAnsi="Calibri" w:cs="Calibri"/>
          <w:sz w:val="24"/>
          <w:szCs w:val="24"/>
        </w:rPr>
        <w:t>I</w:t>
      </w:r>
      <w:r w:rsidR="00BE2805">
        <w:rPr>
          <w:rFonts w:ascii="Calibri" w:hAnsi="Calibri" w:cs="Calibri"/>
          <w:sz w:val="24"/>
          <w:szCs w:val="24"/>
        </w:rPr>
        <w:t xml:space="preserve">nstitutional structures, </w:t>
      </w:r>
      <w:r w:rsidR="006E2DAC">
        <w:rPr>
          <w:rFonts w:ascii="Calibri" w:hAnsi="Calibri" w:cs="Calibri"/>
          <w:sz w:val="24"/>
          <w:szCs w:val="24"/>
        </w:rPr>
        <w:t>organisational culture, and human agency</w:t>
      </w:r>
      <w:r w:rsidR="00B17CCA">
        <w:rPr>
          <w:rFonts w:ascii="Calibri" w:hAnsi="Calibri" w:cs="Calibri"/>
          <w:sz w:val="24"/>
          <w:szCs w:val="24"/>
        </w:rPr>
        <w:t xml:space="preserve"> shape this social process. </w:t>
      </w:r>
      <w:r w:rsidR="00E74DFB" w:rsidRPr="00620334">
        <w:rPr>
          <w:rFonts w:ascii="Calibri" w:hAnsi="Calibri" w:cs="Calibri"/>
          <w:b/>
          <w:bCs/>
          <w:sz w:val="24"/>
          <w:szCs w:val="24"/>
        </w:rPr>
        <w:t xml:space="preserve">See Appendix B for </w:t>
      </w:r>
      <w:r w:rsidR="004A447F" w:rsidRPr="00620334">
        <w:rPr>
          <w:rFonts w:ascii="Calibri" w:hAnsi="Calibri" w:cs="Calibri"/>
          <w:b/>
          <w:bCs/>
          <w:sz w:val="24"/>
          <w:szCs w:val="24"/>
        </w:rPr>
        <w:t>comparative evaluation and methodological pos</w:t>
      </w:r>
      <w:r w:rsidR="00620334" w:rsidRPr="00620334">
        <w:rPr>
          <w:rFonts w:ascii="Calibri" w:hAnsi="Calibri" w:cs="Calibri"/>
          <w:b/>
          <w:bCs/>
          <w:sz w:val="24"/>
          <w:szCs w:val="24"/>
        </w:rPr>
        <w:t xml:space="preserve">itioning. </w:t>
      </w:r>
    </w:p>
    <w:p w14:paraId="1FE4C28E" w14:textId="1A6FBA5D" w:rsidR="003F4621" w:rsidRDefault="0049329E" w:rsidP="002E3078">
      <w:pPr>
        <w:spacing w:line="360" w:lineRule="auto"/>
        <w:jc w:val="both"/>
        <w:rPr>
          <w:rFonts w:ascii="Calibri" w:hAnsi="Calibri" w:cs="Calibri"/>
          <w:sz w:val="24"/>
          <w:szCs w:val="24"/>
        </w:rPr>
      </w:pPr>
      <w:r>
        <w:rPr>
          <w:rFonts w:ascii="Calibri" w:hAnsi="Calibri" w:cs="Calibri"/>
          <w:sz w:val="24"/>
          <w:szCs w:val="24"/>
        </w:rPr>
        <w:t>From an ontological perspective</w:t>
      </w:r>
      <w:r w:rsidR="006F4A48">
        <w:rPr>
          <w:rFonts w:ascii="Calibri" w:hAnsi="Calibri" w:cs="Calibri"/>
          <w:sz w:val="24"/>
          <w:szCs w:val="24"/>
        </w:rPr>
        <w:t>, the study assumes that governance st</w:t>
      </w:r>
      <w:r w:rsidR="00C3737C">
        <w:rPr>
          <w:rFonts w:ascii="Calibri" w:hAnsi="Calibri" w:cs="Calibri"/>
          <w:sz w:val="24"/>
          <w:szCs w:val="24"/>
        </w:rPr>
        <w:t xml:space="preserve">ructures </w:t>
      </w:r>
      <w:r w:rsidR="004566EE">
        <w:rPr>
          <w:rFonts w:ascii="Calibri" w:hAnsi="Calibri" w:cs="Calibri"/>
          <w:sz w:val="24"/>
          <w:szCs w:val="24"/>
        </w:rPr>
        <w:t>exist</w:t>
      </w:r>
      <w:r w:rsidR="00C3737C">
        <w:rPr>
          <w:rFonts w:ascii="Calibri" w:hAnsi="Calibri" w:cs="Calibri"/>
          <w:sz w:val="24"/>
          <w:szCs w:val="24"/>
        </w:rPr>
        <w:t xml:space="preserve"> </w:t>
      </w:r>
      <w:r w:rsidR="000A47A9">
        <w:rPr>
          <w:rFonts w:ascii="Calibri" w:hAnsi="Calibri" w:cs="Calibri"/>
          <w:sz w:val="24"/>
          <w:szCs w:val="24"/>
        </w:rPr>
        <w:t>as objective organisational realit</w:t>
      </w:r>
      <w:r w:rsidR="002B038A">
        <w:rPr>
          <w:rFonts w:ascii="Calibri" w:hAnsi="Calibri" w:cs="Calibri"/>
          <w:sz w:val="24"/>
          <w:szCs w:val="24"/>
        </w:rPr>
        <w:t>ies</w:t>
      </w:r>
      <w:r w:rsidR="000A47A9">
        <w:rPr>
          <w:rFonts w:ascii="Calibri" w:hAnsi="Calibri" w:cs="Calibri"/>
          <w:sz w:val="24"/>
          <w:szCs w:val="24"/>
        </w:rPr>
        <w:t xml:space="preserve">. </w:t>
      </w:r>
      <w:r w:rsidR="00793B96">
        <w:rPr>
          <w:rFonts w:ascii="Calibri" w:hAnsi="Calibri" w:cs="Calibri"/>
          <w:sz w:val="24"/>
          <w:szCs w:val="24"/>
        </w:rPr>
        <w:t xml:space="preserve">The study treats institutional policies, leadership arrangements, and regulatory frameworks </w:t>
      </w:r>
      <w:r w:rsidR="0015103D">
        <w:rPr>
          <w:rFonts w:ascii="Calibri" w:hAnsi="Calibri" w:cs="Calibri"/>
          <w:sz w:val="24"/>
          <w:szCs w:val="24"/>
        </w:rPr>
        <w:t>as relatively stable organisational mechanisms that influence how HEIs imp</w:t>
      </w:r>
      <w:r w:rsidR="00A5734B">
        <w:rPr>
          <w:rFonts w:ascii="Calibri" w:hAnsi="Calibri" w:cs="Calibri"/>
          <w:sz w:val="24"/>
          <w:szCs w:val="24"/>
        </w:rPr>
        <w:t xml:space="preserve">lement </w:t>
      </w:r>
      <w:r w:rsidR="002875A5">
        <w:rPr>
          <w:rFonts w:ascii="Calibri" w:hAnsi="Calibri" w:cs="Calibri"/>
          <w:sz w:val="24"/>
          <w:szCs w:val="24"/>
        </w:rPr>
        <w:t xml:space="preserve">generative </w:t>
      </w:r>
      <w:r w:rsidR="00A5734B">
        <w:rPr>
          <w:rFonts w:ascii="Calibri" w:hAnsi="Calibri" w:cs="Calibri"/>
          <w:sz w:val="24"/>
          <w:szCs w:val="24"/>
        </w:rPr>
        <w:t xml:space="preserve">AI. The researchers examine these governance </w:t>
      </w:r>
      <w:r w:rsidR="009A5506">
        <w:rPr>
          <w:rFonts w:ascii="Calibri" w:hAnsi="Calibri" w:cs="Calibri"/>
          <w:sz w:val="24"/>
          <w:szCs w:val="24"/>
        </w:rPr>
        <w:t>arrangements as real organisational phenomena</w:t>
      </w:r>
      <w:r w:rsidR="00727A0C">
        <w:rPr>
          <w:rFonts w:ascii="Calibri" w:hAnsi="Calibri" w:cs="Calibri"/>
          <w:sz w:val="24"/>
          <w:szCs w:val="24"/>
        </w:rPr>
        <w:t xml:space="preserve"> while recognising</w:t>
      </w:r>
      <w:r w:rsidR="0078132D">
        <w:rPr>
          <w:rFonts w:ascii="Calibri" w:hAnsi="Calibri" w:cs="Calibri"/>
          <w:sz w:val="24"/>
          <w:szCs w:val="24"/>
        </w:rPr>
        <w:t xml:space="preserve"> that </w:t>
      </w:r>
      <w:r w:rsidR="00911523">
        <w:rPr>
          <w:rFonts w:ascii="Calibri" w:hAnsi="Calibri" w:cs="Calibri"/>
          <w:sz w:val="24"/>
          <w:szCs w:val="24"/>
        </w:rPr>
        <w:t>institutional actors</w:t>
      </w:r>
      <w:r w:rsidR="00672C50">
        <w:rPr>
          <w:rFonts w:ascii="Calibri" w:hAnsi="Calibri" w:cs="Calibri"/>
          <w:sz w:val="24"/>
          <w:szCs w:val="24"/>
        </w:rPr>
        <w:t xml:space="preserve"> </w:t>
      </w:r>
      <w:r w:rsidR="00924C92">
        <w:rPr>
          <w:rFonts w:ascii="Calibri" w:hAnsi="Calibri" w:cs="Calibri"/>
          <w:sz w:val="24"/>
          <w:szCs w:val="24"/>
        </w:rPr>
        <w:t>interpret</w:t>
      </w:r>
      <w:r w:rsidR="00672C50">
        <w:rPr>
          <w:rFonts w:ascii="Calibri" w:hAnsi="Calibri" w:cs="Calibri"/>
          <w:sz w:val="24"/>
          <w:szCs w:val="24"/>
        </w:rPr>
        <w:t xml:space="preserve"> them </w:t>
      </w:r>
      <w:r w:rsidR="00924C92">
        <w:rPr>
          <w:rFonts w:ascii="Calibri" w:hAnsi="Calibri" w:cs="Calibri"/>
          <w:sz w:val="24"/>
          <w:szCs w:val="24"/>
        </w:rPr>
        <w:t>subjectively</w:t>
      </w:r>
      <w:r w:rsidR="000A3EAE">
        <w:rPr>
          <w:rFonts w:ascii="Calibri" w:hAnsi="Calibri" w:cs="Calibri"/>
          <w:sz w:val="24"/>
          <w:szCs w:val="24"/>
        </w:rPr>
        <w:t xml:space="preserve">. </w:t>
      </w:r>
      <w:r w:rsidR="00186DE4">
        <w:rPr>
          <w:rFonts w:ascii="Calibri" w:hAnsi="Calibri" w:cs="Calibri"/>
          <w:sz w:val="24"/>
          <w:szCs w:val="24"/>
        </w:rPr>
        <w:t xml:space="preserve">This reflects a critical realist understanding </w:t>
      </w:r>
      <w:r w:rsidR="00F465C6">
        <w:rPr>
          <w:rFonts w:ascii="Calibri" w:hAnsi="Calibri" w:cs="Calibri"/>
          <w:sz w:val="24"/>
          <w:szCs w:val="24"/>
        </w:rPr>
        <w:t xml:space="preserve">that organisational structures </w:t>
      </w:r>
      <w:r w:rsidR="003F4621">
        <w:rPr>
          <w:rFonts w:ascii="Calibri" w:hAnsi="Calibri" w:cs="Calibri"/>
          <w:sz w:val="24"/>
          <w:szCs w:val="24"/>
        </w:rPr>
        <w:t>exist</w:t>
      </w:r>
      <w:r w:rsidR="00F465C6">
        <w:rPr>
          <w:rFonts w:ascii="Calibri" w:hAnsi="Calibri" w:cs="Calibri"/>
          <w:sz w:val="24"/>
          <w:szCs w:val="24"/>
        </w:rPr>
        <w:t xml:space="preserve"> independently of individual actors</w:t>
      </w:r>
      <w:r w:rsidR="00AE6C13">
        <w:rPr>
          <w:rFonts w:ascii="Calibri" w:hAnsi="Calibri" w:cs="Calibri"/>
          <w:sz w:val="24"/>
          <w:szCs w:val="24"/>
        </w:rPr>
        <w:t xml:space="preserve">, while acknowledging that their effects are mediated through </w:t>
      </w:r>
      <w:r w:rsidR="003F4621">
        <w:rPr>
          <w:rFonts w:ascii="Calibri" w:hAnsi="Calibri" w:cs="Calibri"/>
          <w:sz w:val="24"/>
          <w:szCs w:val="24"/>
        </w:rPr>
        <w:t>social interaction</w:t>
      </w:r>
      <w:r w:rsidR="00A70B93">
        <w:rPr>
          <w:rFonts w:ascii="Calibri" w:hAnsi="Calibri" w:cs="Calibri"/>
          <w:sz w:val="24"/>
          <w:szCs w:val="24"/>
        </w:rPr>
        <w:t xml:space="preserve"> (Fuchs </w:t>
      </w:r>
      <w:r w:rsidR="00D82198">
        <w:rPr>
          <w:rFonts w:ascii="Calibri" w:hAnsi="Calibri" w:cs="Calibri"/>
          <w:sz w:val="24"/>
          <w:szCs w:val="24"/>
        </w:rPr>
        <w:t>and</w:t>
      </w:r>
      <w:r w:rsidR="00A70B93">
        <w:rPr>
          <w:rFonts w:ascii="Calibri" w:hAnsi="Calibri" w:cs="Calibri"/>
          <w:sz w:val="24"/>
          <w:szCs w:val="24"/>
        </w:rPr>
        <w:t xml:space="preserve"> Robinson, 2024; Dabis </w:t>
      </w:r>
      <w:r w:rsidR="00D82198">
        <w:rPr>
          <w:rFonts w:ascii="Calibri" w:hAnsi="Calibri" w:cs="Calibri"/>
          <w:sz w:val="24"/>
          <w:szCs w:val="24"/>
        </w:rPr>
        <w:t>and</w:t>
      </w:r>
      <w:r w:rsidR="00A70B93">
        <w:rPr>
          <w:rFonts w:ascii="Calibri" w:hAnsi="Calibri" w:cs="Calibri"/>
          <w:sz w:val="24"/>
          <w:szCs w:val="24"/>
        </w:rPr>
        <w:t xml:space="preserve"> Csaki</w:t>
      </w:r>
      <w:r w:rsidR="0041431A">
        <w:rPr>
          <w:rFonts w:ascii="Calibri" w:hAnsi="Calibri" w:cs="Calibri"/>
          <w:sz w:val="24"/>
          <w:szCs w:val="24"/>
        </w:rPr>
        <w:t>, 2024</w:t>
      </w:r>
      <w:r w:rsidR="00A70B93">
        <w:rPr>
          <w:rFonts w:ascii="Calibri" w:hAnsi="Calibri" w:cs="Calibri"/>
          <w:sz w:val="24"/>
          <w:szCs w:val="24"/>
        </w:rPr>
        <w:t xml:space="preserve">). </w:t>
      </w:r>
    </w:p>
    <w:p w14:paraId="4C5C0DD9" w14:textId="7603AD4A" w:rsidR="0049329E" w:rsidRDefault="003F4621" w:rsidP="002E3078">
      <w:pPr>
        <w:spacing w:line="360" w:lineRule="auto"/>
        <w:jc w:val="both"/>
        <w:rPr>
          <w:rFonts w:ascii="Calibri" w:hAnsi="Calibri" w:cs="Calibri"/>
          <w:sz w:val="24"/>
          <w:szCs w:val="24"/>
        </w:rPr>
      </w:pPr>
      <w:r>
        <w:rPr>
          <w:rFonts w:ascii="Calibri" w:hAnsi="Calibri" w:cs="Calibri"/>
          <w:sz w:val="24"/>
          <w:szCs w:val="24"/>
        </w:rPr>
        <w:t xml:space="preserve">However, the study </w:t>
      </w:r>
      <w:r w:rsidR="00774307">
        <w:rPr>
          <w:rFonts w:ascii="Calibri" w:hAnsi="Calibri" w:cs="Calibri"/>
          <w:sz w:val="24"/>
          <w:szCs w:val="24"/>
        </w:rPr>
        <w:t xml:space="preserve">recognises that governance cannot be understood solely through formal organisational structures. </w:t>
      </w:r>
      <w:r>
        <w:rPr>
          <w:rFonts w:ascii="Calibri" w:hAnsi="Calibri" w:cs="Calibri"/>
          <w:sz w:val="24"/>
          <w:szCs w:val="24"/>
        </w:rPr>
        <w:t xml:space="preserve"> </w:t>
      </w:r>
      <w:r w:rsidR="008D05E1">
        <w:rPr>
          <w:rFonts w:ascii="Calibri" w:hAnsi="Calibri" w:cs="Calibri"/>
          <w:sz w:val="24"/>
          <w:szCs w:val="24"/>
        </w:rPr>
        <w:t>Participant</w:t>
      </w:r>
      <w:r w:rsidR="00DC74BB">
        <w:rPr>
          <w:rFonts w:ascii="Calibri" w:hAnsi="Calibri" w:cs="Calibri"/>
          <w:sz w:val="24"/>
          <w:szCs w:val="24"/>
        </w:rPr>
        <w:t>s</w:t>
      </w:r>
      <w:r w:rsidR="00F93274">
        <w:rPr>
          <w:rFonts w:ascii="Calibri" w:hAnsi="Calibri" w:cs="Calibri"/>
          <w:sz w:val="24"/>
          <w:szCs w:val="24"/>
        </w:rPr>
        <w:t xml:space="preserve"> </w:t>
      </w:r>
      <w:r w:rsidR="00DC74BB">
        <w:rPr>
          <w:rFonts w:ascii="Calibri" w:hAnsi="Calibri" w:cs="Calibri"/>
          <w:sz w:val="24"/>
          <w:szCs w:val="24"/>
        </w:rPr>
        <w:t>illustrate</w:t>
      </w:r>
      <w:r w:rsidR="00F93274">
        <w:rPr>
          <w:rFonts w:ascii="Calibri" w:hAnsi="Calibri" w:cs="Calibri"/>
          <w:sz w:val="24"/>
          <w:szCs w:val="24"/>
        </w:rPr>
        <w:t xml:space="preserve"> AI governance differently depending on their institutional </w:t>
      </w:r>
      <w:r w:rsidR="006B7D3D">
        <w:rPr>
          <w:rFonts w:ascii="Calibri" w:hAnsi="Calibri" w:cs="Calibri"/>
          <w:sz w:val="24"/>
          <w:szCs w:val="24"/>
        </w:rPr>
        <w:t xml:space="preserve">roles, professional experience and organisational </w:t>
      </w:r>
      <w:r w:rsidR="005758F7">
        <w:rPr>
          <w:rFonts w:ascii="Calibri" w:hAnsi="Calibri" w:cs="Calibri"/>
          <w:sz w:val="24"/>
          <w:szCs w:val="24"/>
        </w:rPr>
        <w:t>context</w:t>
      </w:r>
      <w:r w:rsidR="006B7D3D">
        <w:rPr>
          <w:rFonts w:ascii="Calibri" w:hAnsi="Calibri" w:cs="Calibri"/>
          <w:sz w:val="24"/>
          <w:szCs w:val="24"/>
        </w:rPr>
        <w:t xml:space="preserve">. Senior leaders interpret governance challenges through </w:t>
      </w:r>
      <w:r w:rsidR="00130775">
        <w:rPr>
          <w:rFonts w:ascii="Calibri" w:hAnsi="Calibri" w:cs="Calibri"/>
          <w:sz w:val="24"/>
          <w:szCs w:val="24"/>
        </w:rPr>
        <w:t>a strategic management lens</w:t>
      </w:r>
      <w:r w:rsidR="009F335F">
        <w:rPr>
          <w:rFonts w:ascii="Calibri" w:hAnsi="Calibri" w:cs="Calibri"/>
          <w:sz w:val="24"/>
          <w:szCs w:val="24"/>
        </w:rPr>
        <w:t>.</w:t>
      </w:r>
      <w:r w:rsidR="006B7D3D">
        <w:rPr>
          <w:rFonts w:ascii="Calibri" w:hAnsi="Calibri" w:cs="Calibri"/>
          <w:sz w:val="24"/>
          <w:szCs w:val="24"/>
        </w:rPr>
        <w:t xml:space="preserve"> </w:t>
      </w:r>
      <w:r w:rsidR="009F335F">
        <w:rPr>
          <w:rFonts w:ascii="Calibri" w:hAnsi="Calibri" w:cs="Calibri"/>
          <w:sz w:val="24"/>
          <w:szCs w:val="24"/>
        </w:rPr>
        <w:t>Moreover,</w:t>
      </w:r>
      <w:r w:rsidR="006B7D3D">
        <w:rPr>
          <w:rFonts w:ascii="Calibri" w:hAnsi="Calibri" w:cs="Calibri"/>
          <w:sz w:val="24"/>
          <w:szCs w:val="24"/>
        </w:rPr>
        <w:t xml:space="preserve"> policy documents emphasise compliance, accountability</w:t>
      </w:r>
      <w:r w:rsidR="00DE25AE">
        <w:rPr>
          <w:rFonts w:ascii="Calibri" w:hAnsi="Calibri" w:cs="Calibri"/>
          <w:sz w:val="24"/>
          <w:szCs w:val="24"/>
        </w:rPr>
        <w:t xml:space="preserve"> and institutional responsibility</w:t>
      </w:r>
      <w:r w:rsidR="00932C60">
        <w:rPr>
          <w:rFonts w:ascii="Calibri" w:hAnsi="Calibri" w:cs="Calibri"/>
          <w:sz w:val="24"/>
          <w:szCs w:val="24"/>
        </w:rPr>
        <w:t xml:space="preserve"> (Dabis and Cs</w:t>
      </w:r>
      <w:r w:rsidR="003201C9">
        <w:rPr>
          <w:rFonts w:ascii="Calibri" w:hAnsi="Calibri" w:cs="Calibri"/>
          <w:sz w:val="24"/>
          <w:szCs w:val="24"/>
        </w:rPr>
        <w:t>aki, 2024).</w:t>
      </w:r>
      <w:r w:rsidR="00DE25AE">
        <w:rPr>
          <w:rFonts w:ascii="Calibri" w:hAnsi="Calibri" w:cs="Calibri"/>
          <w:sz w:val="24"/>
          <w:szCs w:val="24"/>
        </w:rPr>
        <w:t xml:space="preserve"> These numerous interpretations suggest that governance outcomes emerge through interactions between objective institutional mecha</w:t>
      </w:r>
      <w:r w:rsidR="00876F67">
        <w:rPr>
          <w:rFonts w:ascii="Calibri" w:hAnsi="Calibri" w:cs="Calibri"/>
          <w:sz w:val="24"/>
          <w:szCs w:val="24"/>
        </w:rPr>
        <w:t xml:space="preserve">nisms </w:t>
      </w:r>
      <w:r w:rsidR="000E08A6">
        <w:rPr>
          <w:rFonts w:ascii="Calibri" w:hAnsi="Calibri" w:cs="Calibri"/>
          <w:sz w:val="24"/>
          <w:szCs w:val="24"/>
        </w:rPr>
        <w:t xml:space="preserve">and subjective human understanding. </w:t>
      </w:r>
      <w:r w:rsidR="00242BBB">
        <w:rPr>
          <w:rFonts w:ascii="Calibri" w:hAnsi="Calibri" w:cs="Calibri"/>
          <w:sz w:val="24"/>
          <w:szCs w:val="24"/>
        </w:rPr>
        <w:t xml:space="preserve">It accepts </w:t>
      </w:r>
      <w:r w:rsidR="00811D2A">
        <w:rPr>
          <w:rFonts w:ascii="Calibri" w:hAnsi="Calibri" w:cs="Calibri"/>
          <w:sz w:val="24"/>
          <w:szCs w:val="24"/>
        </w:rPr>
        <w:t>an external reality</w:t>
      </w:r>
      <w:r w:rsidR="009F335F">
        <w:rPr>
          <w:rFonts w:ascii="Calibri" w:hAnsi="Calibri" w:cs="Calibri"/>
          <w:sz w:val="24"/>
          <w:szCs w:val="24"/>
        </w:rPr>
        <w:t xml:space="preserve">. Therefore, it </w:t>
      </w:r>
      <w:r w:rsidR="008F23BE">
        <w:rPr>
          <w:rFonts w:ascii="Calibri" w:hAnsi="Calibri" w:cs="Calibri"/>
          <w:sz w:val="24"/>
          <w:szCs w:val="24"/>
        </w:rPr>
        <w:t>recognis</w:t>
      </w:r>
      <w:r w:rsidR="009F335F">
        <w:rPr>
          <w:rFonts w:ascii="Calibri" w:hAnsi="Calibri" w:cs="Calibri"/>
          <w:sz w:val="24"/>
          <w:szCs w:val="24"/>
        </w:rPr>
        <w:t>es</w:t>
      </w:r>
      <w:r w:rsidR="008F23BE">
        <w:rPr>
          <w:rFonts w:ascii="Calibri" w:hAnsi="Calibri" w:cs="Calibri"/>
          <w:sz w:val="24"/>
          <w:szCs w:val="24"/>
        </w:rPr>
        <w:t xml:space="preserve"> that knowledge of this reality </w:t>
      </w:r>
      <w:r w:rsidR="00F33C43">
        <w:rPr>
          <w:rFonts w:ascii="Calibri" w:hAnsi="Calibri" w:cs="Calibri"/>
          <w:sz w:val="24"/>
          <w:szCs w:val="24"/>
        </w:rPr>
        <w:t>is always incomplete and socially mediated</w:t>
      </w:r>
      <w:r w:rsidR="007125AB">
        <w:rPr>
          <w:rFonts w:ascii="Calibri" w:hAnsi="Calibri" w:cs="Calibri"/>
          <w:sz w:val="24"/>
          <w:szCs w:val="24"/>
        </w:rPr>
        <w:t xml:space="preserve"> (Fuchs </w:t>
      </w:r>
      <w:r w:rsidR="00D82198">
        <w:rPr>
          <w:rFonts w:ascii="Calibri" w:hAnsi="Calibri" w:cs="Calibri"/>
          <w:sz w:val="24"/>
          <w:szCs w:val="24"/>
        </w:rPr>
        <w:t>and</w:t>
      </w:r>
      <w:r w:rsidR="007125AB">
        <w:rPr>
          <w:rFonts w:ascii="Calibri" w:hAnsi="Calibri" w:cs="Calibri"/>
          <w:sz w:val="24"/>
          <w:szCs w:val="24"/>
        </w:rPr>
        <w:t xml:space="preserve"> Robinson, 2024; Haigh et al., 2019)</w:t>
      </w:r>
      <w:r w:rsidR="00F33C43">
        <w:rPr>
          <w:rFonts w:ascii="Calibri" w:hAnsi="Calibri" w:cs="Calibri"/>
          <w:sz w:val="24"/>
          <w:szCs w:val="24"/>
        </w:rPr>
        <w:t xml:space="preserve">. </w:t>
      </w:r>
    </w:p>
    <w:p w14:paraId="75DDA8EA" w14:textId="2F6F8B0D" w:rsidR="00765F6F" w:rsidRDefault="00765F6F" w:rsidP="002E3078">
      <w:pPr>
        <w:spacing w:line="360" w:lineRule="auto"/>
        <w:jc w:val="both"/>
        <w:rPr>
          <w:rFonts w:ascii="Calibri" w:hAnsi="Calibri" w:cs="Calibri"/>
          <w:sz w:val="24"/>
          <w:szCs w:val="24"/>
        </w:rPr>
      </w:pPr>
      <w:r>
        <w:rPr>
          <w:rFonts w:ascii="Calibri" w:hAnsi="Calibri" w:cs="Calibri"/>
          <w:sz w:val="24"/>
          <w:szCs w:val="24"/>
        </w:rPr>
        <w:lastRenderedPageBreak/>
        <w:t xml:space="preserve">This </w:t>
      </w:r>
      <w:r w:rsidR="007A4562">
        <w:rPr>
          <w:rFonts w:ascii="Calibri" w:hAnsi="Calibri" w:cs="Calibri"/>
          <w:sz w:val="24"/>
          <w:szCs w:val="24"/>
        </w:rPr>
        <w:t xml:space="preserve">ontological position </w:t>
      </w:r>
      <w:r w:rsidR="009803D2">
        <w:rPr>
          <w:rFonts w:ascii="Calibri" w:hAnsi="Calibri" w:cs="Calibri"/>
          <w:sz w:val="24"/>
          <w:szCs w:val="24"/>
        </w:rPr>
        <w:t>suits</w:t>
      </w:r>
      <w:r w:rsidR="007A4562">
        <w:rPr>
          <w:rFonts w:ascii="Calibri" w:hAnsi="Calibri" w:cs="Calibri"/>
          <w:sz w:val="24"/>
          <w:szCs w:val="24"/>
        </w:rPr>
        <w:t xml:space="preserve"> research examining AI governance within HE. Universities operate within </w:t>
      </w:r>
      <w:r w:rsidR="0094417F">
        <w:rPr>
          <w:rFonts w:ascii="Calibri" w:hAnsi="Calibri" w:cs="Calibri"/>
          <w:sz w:val="24"/>
          <w:szCs w:val="24"/>
        </w:rPr>
        <w:t>distinc</w:t>
      </w:r>
      <w:r w:rsidR="00BF2A1A">
        <w:rPr>
          <w:rFonts w:ascii="Calibri" w:hAnsi="Calibri" w:cs="Calibri"/>
          <w:sz w:val="24"/>
          <w:szCs w:val="24"/>
        </w:rPr>
        <w:t>t</w:t>
      </w:r>
      <w:r w:rsidR="007A4562">
        <w:rPr>
          <w:rFonts w:ascii="Calibri" w:hAnsi="Calibri" w:cs="Calibri"/>
          <w:sz w:val="24"/>
          <w:szCs w:val="24"/>
        </w:rPr>
        <w:t xml:space="preserve"> institutional environments </w:t>
      </w:r>
      <w:r w:rsidR="00DC74BB">
        <w:rPr>
          <w:rFonts w:ascii="Calibri" w:hAnsi="Calibri" w:cs="Calibri"/>
          <w:sz w:val="24"/>
          <w:szCs w:val="24"/>
        </w:rPr>
        <w:t>influenced</w:t>
      </w:r>
      <w:r w:rsidR="007A4562">
        <w:rPr>
          <w:rFonts w:ascii="Calibri" w:hAnsi="Calibri" w:cs="Calibri"/>
          <w:sz w:val="24"/>
          <w:szCs w:val="24"/>
        </w:rPr>
        <w:t xml:space="preserve"> by legislation, public accountability, academic values</w:t>
      </w:r>
      <w:r w:rsidR="006578F6">
        <w:rPr>
          <w:rFonts w:ascii="Calibri" w:hAnsi="Calibri" w:cs="Calibri"/>
          <w:sz w:val="24"/>
          <w:szCs w:val="24"/>
        </w:rPr>
        <w:t xml:space="preserve"> and organisational culture. Moreover, governance cannot be reduced to objective rules or </w:t>
      </w:r>
      <w:r w:rsidR="002E5E65">
        <w:rPr>
          <w:rFonts w:ascii="Calibri" w:hAnsi="Calibri" w:cs="Calibri"/>
          <w:sz w:val="24"/>
          <w:szCs w:val="24"/>
        </w:rPr>
        <w:t xml:space="preserve">individual perceptions. Furthermore, governance </w:t>
      </w:r>
      <w:r w:rsidR="00DC74BB">
        <w:rPr>
          <w:rFonts w:ascii="Calibri" w:hAnsi="Calibri" w:cs="Calibri"/>
          <w:sz w:val="24"/>
          <w:szCs w:val="24"/>
        </w:rPr>
        <w:t>develops</w:t>
      </w:r>
      <w:r w:rsidR="002E5E65">
        <w:rPr>
          <w:rFonts w:ascii="Calibri" w:hAnsi="Calibri" w:cs="Calibri"/>
          <w:sz w:val="24"/>
          <w:szCs w:val="24"/>
        </w:rPr>
        <w:t xml:space="preserve"> through </w:t>
      </w:r>
      <w:r w:rsidR="00213F10">
        <w:rPr>
          <w:rFonts w:ascii="Calibri" w:hAnsi="Calibri" w:cs="Calibri"/>
          <w:sz w:val="24"/>
          <w:szCs w:val="24"/>
        </w:rPr>
        <w:t>long-term</w:t>
      </w:r>
      <w:r w:rsidR="00A004D8">
        <w:rPr>
          <w:rFonts w:ascii="Calibri" w:hAnsi="Calibri" w:cs="Calibri"/>
          <w:sz w:val="24"/>
          <w:szCs w:val="24"/>
        </w:rPr>
        <w:t xml:space="preserve"> interaction between institutional structures and stakeholder behaviour. The study </w:t>
      </w:r>
      <w:r w:rsidR="0045476F">
        <w:rPr>
          <w:rFonts w:ascii="Calibri" w:hAnsi="Calibri" w:cs="Calibri"/>
          <w:sz w:val="24"/>
          <w:szCs w:val="24"/>
        </w:rPr>
        <w:t xml:space="preserve">successfully captures this complexity </w:t>
      </w:r>
      <w:r w:rsidR="009C1EC9">
        <w:rPr>
          <w:rFonts w:ascii="Calibri" w:hAnsi="Calibri" w:cs="Calibri"/>
          <w:sz w:val="24"/>
          <w:szCs w:val="24"/>
        </w:rPr>
        <w:t>by recognising that organisation</w:t>
      </w:r>
      <w:r w:rsidR="00C02F64">
        <w:rPr>
          <w:rFonts w:ascii="Calibri" w:hAnsi="Calibri" w:cs="Calibri"/>
          <w:sz w:val="24"/>
          <w:szCs w:val="24"/>
        </w:rPr>
        <w:t>al responses to AI are constrained by external regulations and influenced by internal decision-making processes</w:t>
      </w:r>
      <w:r w:rsidR="00C6783B">
        <w:rPr>
          <w:rFonts w:ascii="Calibri" w:hAnsi="Calibri" w:cs="Calibri"/>
          <w:sz w:val="24"/>
          <w:szCs w:val="24"/>
        </w:rPr>
        <w:t xml:space="preserve"> (</w:t>
      </w:r>
      <w:r w:rsidR="001F2213">
        <w:rPr>
          <w:rFonts w:ascii="Calibri" w:hAnsi="Calibri" w:cs="Calibri"/>
          <w:sz w:val="24"/>
          <w:szCs w:val="24"/>
        </w:rPr>
        <w:t xml:space="preserve">Bhattarai </w:t>
      </w:r>
      <w:r w:rsidR="003201C9">
        <w:rPr>
          <w:rFonts w:ascii="Calibri" w:hAnsi="Calibri" w:cs="Calibri"/>
          <w:sz w:val="24"/>
          <w:szCs w:val="24"/>
        </w:rPr>
        <w:t>et al.,</w:t>
      </w:r>
      <w:r w:rsidR="001F2213">
        <w:rPr>
          <w:rFonts w:ascii="Calibri" w:hAnsi="Calibri" w:cs="Calibri"/>
          <w:sz w:val="24"/>
          <w:szCs w:val="24"/>
        </w:rPr>
        <w:t xml:space="preserve"> 2025; Dabis </w:t>
      </w:r>
      <w:r w:rsidR="00D82198">
        <w:rPr>
          <w:rFonts w:ascii="Calibri" w:hAnsi="Calibri" w:cs="Calibri"/>
          <w:sz w:val="24"/>
          <w:szCs w:val="24"/>
        </w:rPr>
        <w:t>and</w:t>
      </w:r>
      <w:r w:rsidR="001F2213">
        <w:rPr>
          <w:rFonts w:ascii="Calibri" w:hAnsi="Calibri" w:cs="Calibri"/>
          <w:sz w:val="24"/>
          <w:szCs w:val="24"/>
        </w:rPr>
        <w:t xml:space="preserve"> Csaki, 2024)</w:t>
      </w:r>
      <w:r w:rsidR="00C02F64">
        <w:rPr>
          <w:rFonts w:ascii="Calibri" w:hAnsi="Calibri" w:cs="Calibri"/>
          <w:sz w:val="24"/>
          <w:szCs w:val="24"/>
        </w:rPr>
        <w:t xml:space="preserve">. </w:t>
      </w:r>
    </w:p>
    <w:p w14:paraId="2445D034" w14:textId="28734A38" w:rsidR="00303CE9" w:rsidRDefault="00303CE9" w:rsidP="002E3078">
      <w:pPr>
        <w:spacing w:line="360" w:lineRule="auto"/>
        <w:jc w:val="both"/>
        <w:rPr>
          <w:rFonts w:ascii="Calibri" w:hAnsi="Calibri" w:cs="Calibri"/>
          <w:sz w:val="24"/>
          <w:szCs w:val="24"/>
        </w:rPr>
      </w:pPr>
      <w:r>
        <w:rPr>
          <w:rFonts w:ascii="Calibri" w:hAnsi="Calibri" w:cs="Calibri"/>
          <w:sz w:val="24"/>
          <w:szCs w:val="24"/>
        </w:rPr>
        <w:t xml:space="preserve">However, the study’s ontological position presents limitations. </w:t>
      </w:r>
      <w:r w:rsidR="00427D0D">
        <w:rPr>
          <w:rFonts w:ascii="Calibri" w:hAnsi="Calibri" w:cs="Calibri"/>
          <w:sz w:val="24"/>
          <w:szCs w:val="24"/>
        </w:rPr>
        <w:t xml:space="preserve">By focusing on institutional governance arrangements, the research </w:t>
      </w:r>
      <w:r w:rsidR="00C77F04">
        <w:rPr>
          <w:rFonts w:ascii="Calibri" w:hAnsi="Calibri" w:cs="Calibri"/>
          <w:sz w:val="24"/>
          <w:szCs w:val="24"/>
        </w:rPr>
        <w:t>has paid</w:t>
      </w:r>
      <w:r w:rsidR="00AB5D74">
        <w:rPr>
          <w:rFonts w:ascii="Calibri" w:hAnsi="Calibri" w:cs="Calibri"/>
          <w:sz w:val="24"/>
          <w:szCs w:val="24"/>
        </w:rPr>
        <w:t xml:space="preserve"> little attention to </w:t>
      </w:r>
      <w:r w:rsidR="003667FE">
        <w:rPr>
          <w:rFonts w:ascii="Calibri" w:hAnsi="Calibri" w:cs="Calibri"/>
          <w:sz w:val="24"/>
          <w:szCs w:val="24"/>
        </w:rPr>
        <w:t>broader structural influences, such as national political priorities, funding regimes,</w:t>
      </w:r>
      <w:r w:rsidR="00E1305F">
        <w:rPr>
          <w:rFonts w:ascii="Calibri" w:hAnsi="Calibri" w:cs="Calibri"/>
          <w:sz w:val="24"/>
          <w:szCs w:val="24"/>
        </w:rPr>
        <w:t xml:space="preserve"> or international developments in AI regulation. These external mechanisms shape </w:t>
      </w:r>
      <w:r w:rsidR="003667FE">
        <w:rPr>
          <w:rFonts w:ascii="Calibri" w:hAnsi="Calibri" w:cs="Calibri"/>
          <w:sz w:val="24"/>
          <w:szCs w:val="24"/>
        </w:rPr>
        <w:t>HEIs'</w:t>
      </w:r>
      <w:r w:rsidR="00E1305F">
        <w:rPr>
          <w:rFonts w:ascii="Calibri" w:hAnsi="Calibri" w:cs="Calibri"/>
          <w:sz w:val="24"/>
          <w:szCs w:val="24"/>
        </w:rPr>
        <w:t xml:space="preserve"> </w:t>
      </w:r>
      <w:r w:rsidR="003667FE">
        <w:rPr>
          <w:rFonts w:ascii="Calibri" w:hAnsi="Calibri" w:cs="Calibri"/>
          <w:sz w:val="24"/>
          <w:szCs w:val="24"/>
        </w:rPr>
        <w:t>governance but remain largely implicit within the analysis</w:t>
      </w:r>
      <w:r w:rsidR="00EA5F26">
        <w:rPr>
          <w:rFonts w:ascii="Calibri" w:hAnsi="Calibri" w:cs="Calibri"/>
          <w:sz w:val="24"/>
          <w:szCs w:val="24"/>
        </w:rPr>
        <w:t xml:space="preserve"> (T</w:t>
      </w:r>
      <w:r w:rsidR="00BB1D0D">
        <w:rPr>
          <w:rFonts w:ascii="Calibri" w:hAnsi="Calibri" w:cs="Calibri"/>
          <w:sz w:val="24"/>
          <w:szCs w:val="24"/>
        </w:rPr>
        <w:t>emper</w:t>
      </w:r>
      <w:r w:rsidR="00293EA5">
        <w:rPr>
          <w:rFonts w:ascii="Calibri" w:hAnsi="Calibri" w:cs="Calibri"/>
          <w:sz w:val="24"/>
          <w:szCs w:val="24"/>
        </w:rPr>
        <w:t xml:space="preserve"> et al., </w:t>
      </w:r>
      <w:r w:rsidR="00BB1D0D">
        <w:rPr>
          <w:rFonts w:ascii="Calibri" w:hAnsi="Calibri" w:cs="Calibri"/>
          <w:sz w:val="24"/>
          <w:szCs w:val="24"/>
        </w:rPr>
        <w:t xml:space="preserve">2025; </w:t>
      </w:r>
      <w:r w:rsidR="00C6783B">
        <w:rPr>
          <w:rFonts w:ascii="Calibri" w:hAnsi="Calibri" w:cs="Calibri"/>
          <w:sz w:val="24"/>
          <w:szCs w:val="24"/>
        </w:rPr>
        <w:t xml:space="preserve">Dabis </w:t>
      </w:r>
      <w:r w:rsidR="00D82198">
        <w:rPr>
          <w:rFonts w:ascii="Calibri" w:hAnsi="Calibri" w:cs="Calibri"/>
          <w:sz w:val="24"/>
          <w:szCs w:val="24"/>
        </w:rPr>
        <w:t>and</w:t>
      </w:r>
      <w:r w:rsidR="00C6783B">
        <w:rPr>
          <w:rFonts w:ascii="Calibri" w:hAnsi="Calibri" w:cs="Calibri"/>
          <w:sz w:val="24"/>
          <w:szCs w:val="24"/>
        </w:rPr>
        <w:t xml:space="preserve"> Csaki, 2024).</w:t>
      </w:r>
      <w:r w:rsidR="003667FE">
        <w:rPr>
          <w:rFonts w:ascii="Calibri" w:hAnsi="Calibri" w:cs="Calibri"/>
          <w:sz w:val="24"/>
          <w:szCs w:val="24"/>
        </w:rPr>
        <w:t xml:space="preserve"> </w:t>
      </w:r>
      <w:r w:rsidR="001B4CF7">
        <w:rPr>
          <w:rFonts w:ascii="Calibri" w:hAnsi="Calibri" w:cs="Calibri"/>
          <w:sz w:val="24"/>
          <w:szCs w:val="24"/>
        </w:rPr>
        <w:t>A stronger critical realist approach w</w:t>
      </w:r>
      <w:r w:rsidR="00A24DB3">
        <w:rPr>
          <w:rFonts w:ascii="Calibri" w:hAnsi="Calibri" w:cs="Calibri"/>
          <w:sz w:val="24"/>
          <w:szCs w:val="24"/>
        </w:rPr>
        <w:t xml:space="preserve">ould explore how </w:t>
      </w:r>
      <w:r w:rsidR="009803D2">
        <w:rPr>
          <w:rFonts w:ascii="Calibri" w:hAnsi="Calibri" w:cs="Calibri"/>
          <w:sz w:val="24"/>
          <w:szCs w:val="24"/>
        </w:rPr>
        <w:t>broader social, political, and technological structures interact with institutional decision-making to shape</w:t>
      </w:r>
      <w:r w:rsidR="00A24DB3">
        <w:rPr>
          <w:rFonts w:ascii="Calibri" w:hAnsi="Calibri" w:cs="Calibri"/>
          <w:sz w:val="24"/>
          <w:szCs w:val="24"/>
        </w:rPr>
        <w:t xml:space="preserve"> governance outcomes.</w:t>
      </w:r>
    </w:p>
    <w:p w14:paraId="15C8D385" w14:textId="5A77D39A" w:rsidR="00A24DB3" w:rsidRDefault="00AD68B8" w:rsidP="002E3078">
      <w:pPr>
        <w:spacing w:line="360" w:lineRule="auto"/>
        <w:jc w:val="both"/>
        <w:rPr>
          <w:rFonts w:ascii="Calibri" w:hAnsi="Calibri" w:cs="Calibri"/>
          <w:sz w:val="24"/>
          <w:szCs w:val="24"/>
        </w:rPr>
      </w:pPr>
      <w:r>
        <w:rPr>
          <w:rFonts w:ascii="Calibri" w:hAnsi="Calibri" w:cs="Calibri"/>
          <w:sz w:val="24"/>
          <w:szCs w:val="24"/>
        </w:rPr>
        <w:t xml:space="preserve">Epistemologically, </w:t>
      </w:r>
      <w:r w:rsidR="002875A5">
        <w:rPr>
          <w:rFonts w:ascii="Calibri" w:hAnsi="Calibri" w:cs="Calibri"/>
          <w:sz w:val="24"/>
          <w:szCs w:val="24"/>
        </w:rPr>
        <w:t>Dabis and Csaki</w:t>
      </w:r>
      <w:r w:rsidR="00E02D07">
        <w:rPr>
          <w:rFonts w:ascii="Calibri" w:hAnsi="Calibri" w:cs="Calibri"/>
          <w:sz w:val="24"/>
          <w:szCs w:val="24"/>
        </w:rPr>
        <w:t xml:space="preserve"> (</w:t>
      </w:r>
      <w:r w:rsidR="00293EA5">
        <w:rPr>
          <w:rFonts w:ascii="Calibri" w:hAnsi="Calibri" w:cs="Calibri"/>
          <w:sz w:val="24"/>
          <w:szCs w:val="24"/>
        </w:rPr>
        <w:t>2024</w:t>
      </w:r>
      <w:r w:rsidR="00E02D07">
        <w:rPr>
          <w:rFonts w:ascii="Calibri" w:hAnsi="Calibri" w:cs="Calibri"/>
          <w:sz w:val="24"/>
          <w:szCs w:val="24"/>
        </w:rPr>
        <w:t>)</w:t>
      </w:r>
      <w:r w:rsidR="00293EA5">
        <w:rPr>
          <w:rFonts w:ascii="Calibri" w:hAnsi="Calibri" w:cs="Calibri"/>
          <w:sz w:val="24"/>
          <w:szCs w:val="24"/>
        </w:rPr>
        <w:t xml:space="preserve"> </w:t>
      </w:r>
      <w:r>
        <w:rPr>
          <w:rFonts w:ascii="Calibri" w:hAnsi="Calibri" w:cs="Calibri"/>
          <w:sz w:val="24"/>
          <w:szCs w:val="24"/>
        </w:rPr>
        <w:t>adopt an interpretivist position</w:t>
      </w:r>
      <w:r w:rsidR="0088309D">
        <w:rPr>
          <w:rFonts w:ascii="Calibri" w:hAnsi="Calibri" w:cs="Calibri"/>
          <w:sz w:val="24"/>
          <w:szCs w:val="24"/>
        </w:rPr>
        <w:t xml:space="preserve">. This </w:t>
      </w:r>
      <w:r w:rsidR="009803D2">
        <w:rPr>
          <w:rFonts w:ascii="Calibri" w:hAnsi="Calibri" w:cs="Calibri"/>
          <w:sz w:val="24"/>
          <w:szCs w:val="24"/>
        </w:rPr>
        <w:t xml:space="preserve">approach seeks to understand how HEI leaders make sense of AI governance rather than </w:t>
      </w:r>
      <w:r w:rsidR="00467447">
        <w:rPr>
          <w:rFonts w:ascii="Calibri" w:hAnsi="Calibri" w:cs="Calibri"/>
          <w:sz w:val="24"/>
          <w:szCs w:val="24"/>
        </w:rPr>
        <w:t xml:space="preserve">establish universal causal relationships. </w:t>
      </w:r>
      <w:r w:rsidR="00E113B6">
        <w:rPr>
          <w:rFonts w:ascii="Calibri" w:hAnsi="Calibri" w:cs="Calibri"/>
          <w:sz w:val="24"/>
          <w:szCs w:val="24"/>
        </w:rPr>
        <w:t>Knowledge is generated through participants’ experiences, reflections and interpretations</w:t>
      </w:r>
      <w:r w:rsidR="00011A2C">
        <w:rPr>
          <w:rFonts w:ascii="Calibri" w:hAnsi="Calibri" w:cs="Calibri"/>
          <w:sz w:val="24"/>
          <w:szCs w:val="24"/>
        </w:rPr>
        <w:t xml:space="preserve"> rather than through quantitative measurements. </w:t>
      </w:r>
      <w:r w:rsidR="00D01874">
        <w:rPr>
          <w:rFonts w:ascii="Calibri" w:hAnsi="Calibri" w:cs="Calibri"/>
          <w:sz w:val="24"/>
          <w:szCs w:val="24"/>
        </w:rPr>
        <w:t>Semi-structured interviews allow</w:t>
      </w:r>
      <w:r w:rsidR="00F32357">
        <w:rPr>
          <w:rFonts w:ascii="Calibri" w:hAnsi="Calibri" w:cs="Calibri"/>
          <w:sz w:val="24"/>
          <w:szCs w:val="24"/>
        </w:rPr>
        <w:t xml:space="preserve"> respondents to explain </w:t>
      </w:r>
      <w:r w:rsidR="0006589E">
        <w:rPr>
          <w:rFonts w:ascii="Calibri" w:hAnsi="Calibri" w:cs="Calibri"/>
          <w:sz w:val="24"/>
          <w:szCs w:val="24"/>
        </w:rPr>
        <w:t xml:space="preserve">how </w:t>
      </w:r>
      <w:r w:rsidR="009803D2">
        <w:rPr>
          <w:rFonts w:ascii="Calibri" w:hAnsi="Calibri" w:cs="Calibri"/>
          <w:sz w:val="24"/>
          <w:szCs w:val="24"/>
        </w:rPr>
        <w:t>they experience governance challenges</w:t>
      </w:r>
      <w:r w:rsidR="0006589E">
        <w:rPr>
          <w:rFonts w:ascii="Calibri" w:hAnsi="Calibri" w:cs="Calibri"/>
          <w:sz w:val="24"/>
          <w:szCs w:val="24"/>
        </w:rPr>
        <w:t xml:space="preserve"> within their own institutions</w:t>
      </w:r>
      <w:r w:rsidR="0088309D">
        <w:rPr>
          <w:rFonts w:ascii="Calibri" w:hAnsi="Calibri" w:cs="Calibri"/>
          <w:sz w:val="24"/>
          <w:szCs w:val="24"/>
        </w:rPr>
        <w:t xml:space="preserve">. This </w:t>
      </w:r>
      <w:r w:rsidR="0006589E">
        <w:rPr>
          <w:rFonts w:ascii="Calibri" w:hAnsi="Calibri" w:cs="Calibri"/>
          <w:sz w:val="24"/>
          <w:szCs w:val="24"/>
        </w:rPr>
        <w:t>enabl</w:t>
      </w:r>
      <w:r w:rsidR="0088309D">
        <w:rPr>
          <w:rFonts w:ascii="Calibri" w:hAnsi="Calibri" w:cs="Calibri"/>
          <w:sz w:val="24"/>
          <w:szCs w:val="24"/>
        </w:rPr>
        <w:t>es</w:t>
      </w:r>
      <w:r w:rsidR="0006589E">
        <w:rPr>
          <w:rFonts w:ascii="Calibri" w:hAnsi="Calibri" w:cs="Calibri"/>
          <w:sz w:val="24"/>
          <w:szCs w:val="24"/>
        </w:rPr>
        <w:t xml:space="preserve"> the researchers to explore issues that would be difficult to capture through standardised surveys or experimental methods</w:t>
      </w:r>
      <w:r w:rsidR="00AF2278">
        <w:rPr>
          <w:rFonts w:ascii="Calibri" w:hAnsi="Calibri" w:cs="Calibri"/>
          <w:sz w:val="24"/>
          <w:szCs w:val="24"/>
        </w:rPr>
        <w:t xml:space="preserve"> (</w:t>
      </w:r>
      <w:r w:rsidR="00493818">
        <w:rPr>
          <w:rFonts w:ascii="Calibri" w:hAnsi="Calibri" w:cs="Calibri"/>
          <w:sz w:val="24"/>
          <w:szCs w:val="24"/>
        </w:rPr>
        <w:t xml:space="preserve">Whittle </w:t>
      </w:r>
      <w:r w:rsidR="00D82198">
        <w:rPr>
          <w:rFonts w:ascii="Calibri" w:hAnsi="Calibri" w:cs="Calibri"/>
          <w:sz w:val="24"/>
          <w:szCs w:val="24"/>
        </w:rPr>
        <w:t>and</w:t>
      </w:r>
      <w:r w:rsidR="00493818">
        <w:rPr>
          <w:rFonts w:ascii="Calibri" w:hAnsi="Calibri" w:cs="Calibri"/>
          <w:sz w:val="24"/>
          <w:szCs w:val="24"/>
        </w:rPr>
        <w:t xml:space="preserve"> Reissner, 2025; Schaffer, 2023). </w:t>
      </w:r>
    </w:p>
    <w:p w14:paraId="03C06E72" w14:textId="7047B3F9" w:rsidR="00FC5544" w:rsidRDefault="00FC5544" w:rsidP="002E3078">
      <w:pPr>
        <w:spacing w:line="360" w:lineRule="auto"/>
        <w:jc w:val="both"/>
        <w:rPr>
          <w:rFonts w:ascii="Calibri" w:hAnsi="Calibri" w:cs="Calibri"/>
          <w:sz w:val="24"/>
          <w:szCs w:val="24"/>
        </w:rPr>
      </w:pPr>
      <w:r>
        <w:rPr>
          <w:rFonts w:ascii="Calibri" w:hAnsi="Calibri" w:cs="Calibri"/>
          <w:sz w:val="24"/>
          <w:szCs w:val="24"/>
        </w:rPr>
        <w:t>This interpretivist orientation is evident throughout the study</w:t>
      </w:r>
      <w:sdt>
        <w:sdtPr>
          <w:rPr>
            <w:rFonts w:ascii="Calibri" w:hAnsi="Calibri" w:cs="Calibri"/>
            <w:sz w:val="24"/>
            <w:szCs w:val="24"/>
          </w:rPr>
          <w:id w:val="-1478453018"/>
          <w:citation/>
        </w:sdtPr>
        <w:sdtContent>
          <w:r w:rsidR="00D50DDC">
            <w:rPr>
              <w:rFonts w:ascii="Calibri" w:hAnsi="Calibri" w:cs="Calibri"/>
              <w:sz w:val="24"/>
              <w:szCs w:val="24"/>
            </w:rPr>
            <w:fldChar w:fldCharType="begin"/>
          </w:r>
          <w:r w:rsidR="00D50DDC">
            <w:rPr>
              <w:rFonts w:ascii="Calibri" w:hAnsi="Calibri" w:cs="Calibri"/>
              <w:sz w:val="24"/>
              <w:szCs w:val="24"/>
            </w:rPr>
            <w:instrText xml:space="preserve"> CITATION Dab24 \l 2057 </w:instrText>
          </w:r>
          <w:r w:rsidR="00D50DDC">
            <w:rPr>
              <w:rFonts w:ascii="Calibri" w:hAnsi="Calibri" w:cs="Calibri"/>
              <w:sz w:val="24"/>
              <w:szCs w:val="24"/>
            </w:rPr>
            <w:fldChar w:fldCharType="separate"/>
          </w:r>
          <w:r w:rsidR="00D50DDC">
            <w:rPr>
              <w:rFonts w:ascii="Calibri" w:hAnsi="Calibri" w:cs="Calibri"/>
              <w:noProof/>
              <w:sz w:val="24"/>
              <w:szCs w:val="24"/>
            </w:rPr>
            <w:t xml:space="preserve"> </w:t>
          </w:r>
          <w:r w:rsidR="00D50DDC" w:rsidRPr="00D50DDC">
            <w:rPr>
              <w:rFonts w:ascii="Calibri" w:hAnsi="Calibri" w:cs="Calibri"/>
              <w:noProof/>
              <w:sz w:val="24"/>
              <w:szCs w:val="24"/>
            </w:rPr>
            <w:t>(Dabis &amp; Csaki, 2024)</w:t>
          </w:r>
          <w:r w:rsidR="00D50DDC">
            <w:rPr>
              <w:rFonts w:ascii="Calibri" w:hAnsi="Calibri" w:cs="Calibri"/>
              <w:sz w:val="24"/>
              <w:szCs w:val="24"/>
            </w:rPr>
            <w:fldChar w:fldCharType="end"/>
          </w:r>
        </w:sdtContent>
      </w:sdt>
      <w:r>
        <w:rPr>
          <w:rFonts w:ascii="Calibri" w:hAnsi="Calibri" w:cs="Calibri"/>
          <w:sz w:val="24"/>
          <w:szCs w:val="24"/>
        </w:rPr>
        <w:t>. Rather than measuring governance effectiveness using predefined performance indicators</w:t>
      </w:r>
      <w:r w:rsidR="001E3F17">
        <w:rPr>
          <w:rFonts w:ascii="Calibri" w:hAnsi="Calibri" w:cs="Calibri"/>
          <w:sz w:val="24"/>
          <w:szCs w:val="24"/>
        </w:rPr>
        <w:t xml:space="preserve">, the researchers examine how institutional actors understand concepts such as ethical responsibility, organisational readiness and responsible innovation. The emphasis </w:t>
      </w:r>
      <w:r w:rsidR="00D70EED">
        <w:rPr>
          <w:rFonts w:ascii="Calibri" w:hAnsi="Calibri" w:cs="Calibri"/>
          <w:sz w:val="24"/>
          <w:szCs w:val="24"/>
        </w:rPr>
        <w:t>is therefore placed on meaning-making rather than prediction. This approach acknowledges that governance is socially constructed through organisational practices and cannot be fully understood independently of its institutional context</w:t>
      </w:r>
      <w:r w:rsidR="00D50DDC">
        <w:rPr>
          <w:rFonts w:ascii="Calibri" w:hAnsi="Calibri" w:cs="Calibri"/>
          <w:sz w:val="24"/>
          <w:szCs w:val="24"/>
        </w:rPr>
        <w:t xml:space="preserve"> (</w:t>
      </w:r>
      <w:r w:rsidR="0036638E">
        <w:rPr>
          <w:rFonts w:ascii="Calibri" w:hAnsi="Calibri" w:cs="Calibri"/>
          <w:sz w:val="24"/>
          <w:szCs w:val="24"/>
        </w:rPr>
        <w:t xml:space="preserve">Al-Ababneh, 2020; </w:t>
      </w:r>
      <w:r w:rsidR="00FD0CCC">
        <w:rPr>
          <w:rFonts w:ascii="Calibri" w:hAnsi="Calibri" w:cs="Calibri"/>
          <w:sz w:val="24"/>
          <w:szCs w:val="24"/>
        </w:rPr>
        <w:t>Al</w:t>
      </w:r>
      <w:r w:rsidR="00933F01">
        <w:rPr>
          <w:rFonts w:ascii="Calibri" w:hAnsi="Calibri" w:cs="Calibri"/>
          <w:sz w:val="24"/>
          <w:szCs w:val="24"/>
        </w:rPr>
        <w:t>fira</w:t>
      </w:r>
      <w:r w:rsidR="00FD0CCC">
        <w:rPr>
          <w:rFonts w:ascii="Calibri" w:hAnsi="Calibri" w:cs="Calibri"/>
          <w:sz w:val="24"/>
          <w:szCs w:val="24"/>
        </w:rPr>
        <w:t>s et al., 2025)</w:t>
      </w:r>
      <w:r w:rsidR="00D70EED">
        <w:rPr>
          <w:rFonts w:ascii="Calibri" w:hAnsi="Calibri" w:cs="Calibri"/>
          <w:sz w:val="24"/>
          <w:szCs w:val="24"/>
        </w:rPr>
        <w:t>.</w:t>
      </w:r>
    </w:p>
    <w:p w14:paraId="179A1443" w14:textId="30FEAB81" w:rsidR="00F57539" w:rsidRDefault="00F57539" w:rsidP="002E3078">
      <w:pPr>
        <w:spacing w:line="360" w:lineRule="auto"/>
        <w:jc w:val="both"/>
        <w:rPr>
          <w:rFonts w:ascii="Calibri" w:hAnsi="Calibri" w:cs="Calibri"/>
          <w:sz w:val="24"/>
          <w:szCs w:val="24"/>
        </w:rPr>
      </w:pPr>
      <w:r>
        <w:rPr>
          <w:rFonts w:ascii="Calibri" w:hAnsi="Calibri" w:cs="Calibri"/>
          <w:sz w:val="24"/>
          <w:szCs w:val="24"/>
        </w:rPr>
        <w:lastRenderedPageBreak/>
        <w:t xml:space="preserve">The interpretivist epistemology adopted by the study provides rich contextual understanding but inevitably limits the generalisability of its findings. </w:t>
      </w:r>
      <w:r w:rsidR="00964E1A">
        <w:rPr>
          <w:rFonts w:ascii="Calibri" w:hAnsi="Calibri" w:cs="Calibri"/>
          <w:sz w:val="24"/>
          <w:szCs w:val="24"/>
        </w:rPr>
        <w:t>Participants' experiences are shaped by their universities, organisational cultures,</w:t>
      </w:r>
      <w:r w:rsidR="006A5748">
        <w:rPr>
          <w:rFonts w:ascii="Calibri" w:hAnsi="Calibri" w:cs="Calibri"/>
          <w:sz w:val="24"/>
          <w:szCs w:val="24"/>
        </w:rPr>
        <w:t xml:space="preserve"> and governance arrangements</w:t>
      </w:r>
      <w:r w:rsidR="00392F37">
        <w:rPr>
          <w:rFonts w:ascii="Calibri" w:hAnsi="Calibri" w:cs="Calibri"/>
          <w:sz w:val="24"/>
          <w:szCs w:val="24"/>
        </w:rPr>
        <w:t>.</w:t>
      </w:r>
      <w:r w:rsidR="006A5748">
        <w:rPr>
          <w:rFonts w:ascii="Calibri" w:hAnsi="Calibri" w:cs="Calibri"/>
          <w:sz w:val="24"/>
          <w:szCs w:val="24"/>
        </w:rPr>
        <w:t xml:space="preserve"> </w:t>
      </w:r>
      <w:r w:rsidR="00392F37">
        <w:rPr>
          <w:rFonts w:ascii="Calibri" w:hAnsi="Calibri" w:cs="Calibri"/>
          <w:sz w:val="24"/>
          <w:szCs w:val="24"/>
        </w:rPr>
        <w:t>This</w:t>
      </w:r>
      <w:r w:rsidR="006A5748">
        <w:rPr>
          <w:rFonts w:ascii="Calibri" w:hAnsi="Calibri" w:cs="Calibri"/>
          <w:sz w:val="24"/>
          <w:szCs w:val="24"/>
        </w:rPr>
        <w:t xml:space="preserve"> </w:t>
      </w:r>
      <w:r w:rsidR="00824B9F">
        <w:rPr>
          <w:rFonts w:ascii="Calibri" w:hAnsi="Calibri" w:cs="Calibri"/>
          <w:sz w:val="24"/>
          <w:szCs w:val="24"/>
        </w:rPr>
        <w:t xml:space="preserve">makes </w:t>
      </w:r>
      <w:r w:rsidR="006906E2">
        <w:rPr>
          <w:rFonts w:ascii="Calibri" w:hAnsi="Calibri" w:cs="Calibri"/>
          <w:sz w:val="24"/>
          <w:szCs w:val="24"/>
        </w:rPr>
        <w:t xml:space="preserve">it </w:t>
      </w:r>
      <w:r w:rsidR="006A5748">
        <w:rPr>
          <w:rFonts w:ascii="Calibri" w:hAnsi="Calibri" w:cs="Calibri"/>
          <w:sz w:val="24"/>
          <w:szCs w:val="24"/>
        </w:rPr>
        <w:t>difficult to assume that similar conclusions would apply across all HEIs. This limitation</w:t>
      </w:r>
      <w:r w:rsidR="000848F4">
        <w:rPr>
          <w:rFonts w:ascii="Calibri" w:hAnsi="Calibri" w:cs="Calibri"/>
          <w:sz w:val="24"/>
          <w:szCs w:val="24"/>
        </w:rPr>
        <w:t xml:space="preserve"> is recognised within qualitative research, where the objective is analytical depth rather than </w:t>
      </w:r>
      <w:r w:rsidR="00B64102">
        <w:rPr>
          <w:rFonts w:ascii="Calibri" w:hAnsi="Calibri" w:cs="Calibri"/>
          <w:sz w:val="24"/>
          <w:szCs w:val="24"/>
        </w:rPr>
        <w:t>statistical representativeness</w:t>
      </w:r>
      <w:r w:rsidR="00921F29">
        <w:rPr>
          <w:rFonts w:ascii="Calibri" w:hAnsi="Calibri" w:cs="Calibri"/>
          <w:sz w:val="24"/>
          <w:szCs w:val="24"/>
        </w:rPr>
        <w:t xml:space="preserve"> (</w:t>
      </w:r>
      <w:r w:rsidR="009070A9">
        <w:rPr>
          <w:rFonts w:ascii="Calibri" w:hAnsi="Calibri" w:cs="Calibri"/>
          <w:sz w:val="24"/>
          <w:szCs w:val="24"/>
        </w:rPr>
        <w:t>Stalmeijer</w:t>
      </w:r>
      <w:r w:rsidR="00E02D07">
        <w:rPr>
          <w:rFonts w:ascii="Calibri" w:hAnsi="Calibri" w:cs="Calibri"/>
          <w:sz w:val="24"/>
          <w:szCs w:val="24"/>
        </w:rPr>
        <w:t xml:space="preserve"> et al.,</w:t>
      </w:r>
      <w:r w:rsidR="009070A9">
        <w:rPr>
          <w:rFonts w:ascii="Calibri" w:hAnsi="Calibri" w:cs="Calibri"/>
          <w:sz w:val="24"/>
          <w:szCs w:val="24"/>
        </w:rPr>
        <w:t xml:space="preserve"> 2024; Drisko, 2025</w:t>
      </w:r>
      <w:r w:rsidR="00E171FE">
        <w:rPr>
          <w:rFonts w:ascii="Calibri" w:hAnsi="Calibri" w:cs="Calibri"/>
          <w:sz w:val="24"/>
          <w:szCs w:val="24"/>
        </w:rPr>
        <w:t>;</w:t>
      </w:r>
      <w:r w:rsidR="009070A9">
        <w:rPr>
          <w:rFonts w:ascii="Calibri" w:hAnsi="Calibri" w:cs="Calibri"/>
          <w:sz w:val="24"/>
          <w:szCs w:val="24"/>
        </w:rPr>
        <w:t xml:space="preserve"> Dabis </w:t>
      </w:r>
      <w:r w:rsidR="00D82198">
        <w:rPr>
          <w:rFonts w:ascii="Calibri" w:hAnsi="Calibri" w:cs="Calibri"/>
          <w:sz w:val="24"/>
          <w:szCs w:val="24"/>
        </w:rPr>
        <w:t>and</w:t>
      </w:r>
      <w:r w:rsidR="009070A9">
        <w:rPr>
          <w:rFonts w:ascii="Calibri" w:hAnsi="Calibri" w:cs="Calibri"/>
          <w:sz w:val="24"/>
          <w:szCs w:val="24"/>
        </w:rPr>
        <w:t xml:space="preserve"> </w:t>
      </w:r>
      <w:r w:rsidR="00E171FE">
        <w:rPr>
          <w:rFonts w:ascii="Calibri" w:hAnsi="Calibri" w:cs="Calibri"/>
          <w:sz w:val="24"/>
          <w:szCs w:val="24"/>
        </w:rPr>
        <w:t xml:space="preserve">Csaki, 2024). </w:t>
      </w:r>
      <w:r w:rsidR="00B64102">
        <w:rPr>
          <w:rFonts w:ascii="Calibri" w:hAnsi="Calibri" w:cs="Calibri"/>
          <w:sz w:val="24"/>
          <w:szCs w:val="24"/>
        </w:rPr>
        <w:t xml:space="preserve"> </w:t>
      </w:r>
    </w:p>
    <w:p w14:paraId="27745AA3" w14:textId="294BC61A" w:rsidR="00B64102" w:rsidRDefault="00B64102" w:rsidP="002E3078">
      <w:pPr>
        <w:spacing w:line="360" w:lineRule="auto"/>
        <w:jc w:val="both"/>
        <w:rPr>
          <w:rFonts w:ascii="Calibri" w:hAnsi="Calibri" w:cs="Calibri"/>
          <w:sz w:val="24"/>
          <w:szCs w:val="24"/>
        </w:rPr>
      </w:pPr>
      <w:r>
        <w:rPr>
          <w:rFonts w:ascii="Calibri" w:hAnsi="Calibri" w:cs="Calibri"/>
          <w:sz w:val="24"/>
          <w:szCs w:val="24"/>
        </w:rPr>
        <w:t>The philosophical assumption under</w:t>
      </w:r>
      <w:r w:rsidR="007579BE">
        <w:rPr>
          <w:rFonts w:ascii="Calibri" w:hAnsi="Calibri" w:cs="Calibri"/>
          <w:sz w:val="24"/>
          <w:szCs w:val="24"/>
        </w:rPr>
        <w:t xml:space="preserve">pinning </w:t>
      </w:r>
      <w:r w:rsidR="002875A5">
        <w:rPr>
          <w:rFonts w:ascii="Calibri" w:hAnsi="Calibri" w:cs="Calibri"/>
          <w:sz w:val="24"/>
          <w:szCs w:val="24"/>
        </w:rPr>
        <w:t xml:space="preserve">Dabis and Csaki </w:t>
      </w:r>
      <w:r w:rsidR="007579BE">
        <w:rPr>
          <w:rFonts w:ascii="Calibri" w:hAnsi="Calibri" w:cs="Calibri"/>
          <w:sz w:val="24"/>
          <w:szCs w:val="24"/>
        </w:rPr>
        <w:t xml:space="preserve">(2024) broadly aligns with the present DBA research. </w:t>
      </w:r>
      <w:r w:rsidR="006C2347">
        <w:rPr>
          <w:rFonts w:ascii="Calibri" w:hAnsi="Calibri" w:cs="Calibri"/>
          <w:sz w:val="24"/>
          <w:szCs w:val="24"/>
        </w:rPr>
        <w:t xml:space="preserve">It recognises AI governance as a socially embedded organisational phenomenon. However, the current research extends the prior study by adopting an </w:t>
      </w:r>
      <w:r w:rsidR="00ED533F">
        <w:rPr>
          <w:rFonts w:ascii="Calibri" w:hAnsi="Calibri" w:cs="Calibri"/>
          <w:sz w:val="24"/>
          <w:szCs w:val="24"/>
        </w:rPr>
        <w:t>explicitly articulated critical-realist phi</w:t>
      </w:r>
      <w:r w:rsidR="0014352F">
        <w:rPr>
          <w:rFonts w:ascii="Calibri" w:hAnsi="Calibri" w:cs="Calibri"/>
          <w:sz w:val="24"/>
          <w:szCs w:val="24"/>
        </w:rPr>
        <w:t>losophical position. While retaining an interpretivist approach to understanding stakeholder</w:t>
      </w:r>
      <w:r w:rsidR="00A652CF">
        <w:rPr>
          <w:rFonts w:ascii="Calibri" w:hAnsi="Calibri" w:cs="Calibri"/>
          <w:sz w:val="24"/>
          <w:szCs w:val="24"/>
        </w:rPr>
        <w:t xml:space="preserve"> experiences, this research places greater emphasis on identifying the underlying </w:t>
      </w:r>
      <w:r w:rsidR="00673562">
        <w:rPr>
          <w:rFonts w:ascii="Calibri" w:hAnsi="Calibri" w:cs="Calibri"/>
          <w:sz w:val="24"/>
          <w:szCs w:val="24"/>
        </w:rPr>
        <w:t>organisational mechanisms, governance structures and institutional conditions that shape ethical AI implementation within English public universities</w:t>
      </w:r>
      <w:r w:rsidR="00085210">
        <w:rPr>
          <w:rFonts w:ascii="Calibri" w:hAnsi="Calibri" w:cs="Calibri"/>
          <w:sz w:val="24"/>
          <w:szCs w:val="24"/>
        </w:rPr>
        <w:t xml:space="preserve"> (</w:t>
      </w:r>
      <w:r w:rsidR="00B10ECC">
        <w:rPr>
          <w:rFonts w:ascii="Calibri" w:hAnsi="Calibri" w:cs="Calibri"/>
          <w:sz w:val="24"/>
          <w:szCs w:val="24"/>
        </w:rPr>
        <w:t xml:space="preserve">Fuchs </w:t>
      </w:r>
      <w:r w:rsidR="00D82198">
        <w:rPr>
          <w:rFonts w:ascii="Calibri" w:hAnsi="Calibri" w:cs="Calibri"/>
          <w:sz w:val="24"/>
          <w:szCs w:val="24"/>
        </w:rPr>
        <w:t>and</w:t>
      </w:r>
      <w:r w:rsidR="00B10ECC">
        <w:rPr>
          <w:rFonts w:ascii="Calibri" w:hAnsi="Calibri" w:cs="Calibri"/>
          <w:sz w:val="24"/>
          <w:szCs w:val="24"/>
        </w:rPr>
        <w:t xml:space="preserve"> Robinson, 2024; Mercier</w:t>
      </w:r>
      <w:r w:rsidR="00A71E2D">
        <w:rPr>
          <w:rFonts w:ascii="Calibri" w:hAnsi="Calibri" w:cs="Calibri"/>
          <w:sz w:val="24"/>
          <w:szCs w:val="24"/>
        </w:rPr>
        <w:t xml:space="preserve"> et al., </w:t>
      </w:r>
      <w:r w:rsidR="00B10ECC">
        <w:rPr>
          <w:rFonts w:ascii="Calibri" w:hAnsi="Calibri" w:cs="Calibri"/>
          <w:sz w:val="24"/>
          <w:szCs w:val="24"/>
        </w:rPr>
        <w:t>2023)</w:t>
      </w:r>
      <w:r w:rsidR="00307B1F">
        <w:rPr>
          <w:rFonts w:ascii="Calibri" w:hAnsi="Calibri" w:cs="Calibri"/>
          <w:sz w:val="24"/>
          <w:szCs w:val="24"/>
        </w:rPr>
        <w:t xml:space="preserve">. This philosophical integration provides a stronger foundation for developing the proposed SGM. </w:t>
      </w:r>
      <w:r w:rsidR="009A4E39">
        <w:rPr>
          <w:rFonts w:ascii="Calibri" w:hAnsi="Calibri" w:cs="Calibri"/>
          <w:sz w:val="24"/>
          <w:szCs w:val="24"/>
        </w:rPr>
        <w:t xml:space="preserve">It seeks not only to interpret governance practices but to explain why they emerge and how to strengthen them to support responsible AI adoption. </w:t>
      </w:r>
    </w:p>
    <w:p w14:paraId="4831C231" w14:textId="6481B872" w:rsidR="00BE517B" w:rsidRDefault="00BE517B" w:rsidP="002E3078">
      <w:pPr>
        <w:spacing w:line="360" w:lineRule="auto"/>
        <w:jc w:val="both"/>
        <w:rPr>
          <w:rFonts w:ascii="Calibri" w:hAnsi="Calibri" w:cs="Calibri"/>
          <w:sz w:val="24"/>
          <w:szCs w:val="24"/>
        </w:rPr>
      </w:pPr>
      <w:r>
        <w:rPr>
          <w:rFonts w:ascii="Calibri" w:hAnsi="Calibri" w:cs="Calibri"/>
          <w:sz w:val="24"/>
          <w:szCs w:val="24"/>
        </w:rPr>
        <w:t xml:space="preserve">Alternative philosophical positions offer a useful but less complete foundation for this investigation. Positivism supports </w:t>
      </w:r>
      <w:r w:rsidR="00964E1A">
        <w:rPr>
          <w:rFonts w:ascii="Calibri" w:hAnsi="Calibri" w:cs="Calibri"/>
          <w:sz w:val="24"/>
          <w:szCs w:val="24"/>
        </w:rPr>
        <w:t>measuring governance structures, AI adoption rates, and organisational outcomes, but its emphasis on observable,</w:t>
      </w:r>
      <w:r>
        <w:rPr>
          <w:rFonts w:ascii="Calibri" w:hAnsi="Calibri" w:cs="Calibri"/>
          <w:sz w:val="24"/>
          <w:szCs w:val="24"/>
        </w:rPr>
        <w:t xml:space="preserve"> measurable relationships may overlook how institutional context and stakeholder interpretation shape governance practice. Pragmatism </w:t>
      </w:r>
      <w:r w:rsidR="00964E1A">
        <w:rPr>
          <w:rFonts w:ascii="Calibri" w:hAnsi="Calibri" w:cs="Calibri"/>
          <w:sz w:val="24"/>
          <w:szCs w:val="24"/>
        </w:rPr>
        <w:t>offers a credible alternative because it prioritises the research problem and allows multiple</w:t>
      </w:r>
      <w:r>
        <w:rPr>
          <w:rFonts w:ascii="Calibri" w:hAnsi="Calibri" w:cs="Calibri"/>
          <w:sz w:val="24"/>
          <w:szCs w:val="24"/>
        </w:rPr>
        <w:t xml:space="preserve"> methods</w:t>
      </w:r>
      <w:r w:rsidR="008A4612">
        <w:rPr>
          <w:rFonts w:ascii="Calibri" w:hAnsi="Calibri" w:cs="Calibri"/>
          <w:sz w:val="24"/>
          <w:szCs w:val="24"/>
        </w:rPr>
        <w:t xml:space="preserve"> (Fe</w:t>
      </w:r>
      <w:r w:rsidR="00EB69EF">
        <w:rPr>
          <w:rFonts w:ascii="Calibri" w:hAnsi="Calibri" w:cs="Calibri"/>
          <w:sz w:val="24"/>
          <w:szCs w:val="24"/>
        </w:rPr>
        <w:t>i</w:t>
      </w:r>
      <w:r w:rsidR="008A4612">
        <w:rPr>
          <w:rFonts w:ascii="Calibri" w:hAnsi="Calibri" w:cs="Calibri"/>
          <w:sz w:val="24"/>
          <w:szCs w:val="24"/>
        </w:rPr>
        <w:t>lzer, 2023</w:t>
      </w:r>
      <w:r w:rsidR="00094E08">
        <w:rPr>
          <w:rFonts w:ascii="Calibri" w:hAnsi="Calibri" w:cs="Calibri"/>
          <w:sz w:val="24"/>
          <w:szCs w:val="24"/>
        </w:rPr>
        <w:t xml:space="preserve">; Dabis </w:t>
      </w:r>
      <w:r w:rsidR="00D82198">
        <w:rPr>
          <w:rFonts w:ascii="Calibri" w:hAnsi="Calibri" w:cs="Calibri"/>
          <w:sz w:val="24"/>
          <w:szCs w:val="24"/>
        </w:rPr>
        <w:t>and</w:t>
      </w:r>
      <w:r w:rsidR="00094E08">
        <w:rPr>
          <w:rFonts w:ascii="Calibri" w:hAnsi="Calibri" w:cs="Calibri"/>
          <w:sz w:val="24"/>
          <w:szCs w:val="24"/>
        </w:rPr>
        <w:t xml:space="preserve"> Csaki, 2024)</w:t>
      </w:r>
      <w:r>
        <w:rPr>
          <w:rFonts w:ascii="Calibri" w:hAnsi="Calibri" w:cs="Calibri"/>
          <w:sz w:val="24"/>
          <w:szCs w:val="24"/>
        </w:rPr>
        <w:t>. However, its methodological flexibility offers less explanatory emphasis on the underlying organisational mechanisms that generate governance outcomes</w:t>
      </w:r>
      <w:r w:rsidR="00094E08">
        <w:rPr>
          <w:rFonts w:ascii="Calibri" w:hAnsi="Calibri" w:cs="Calibri"/>
          <w:sz w:val="24"/>
          <w:szCs w:val="24"/>
        </w:rPr>
        <w:t xml:space="preserve"> (Hampson </w:t>
      </w:r>
      <w:r w:rsidR="00D82198">
        <w:rPr>
          <w:rFonts w:ascii="Calibri" w:hAnsi="Calibri" w:cs="Calibri"/>
          <w:sz w:val="24"/>
          <w:szCs w:val="24"/>
        </w:rPr>
        <w:t>and</w:t>
      </w:r>
      <w:r w:rsidR="00094E08">
        <w:rPr>
          <w:rFonts w:ascii="Calibri" w:hAnsi="Calibri" w:cs="Calibri"/>
          <w:sz w:val="24"/>
          <w:szCs w:val="24"/>
        </w:rPr>
        <w:t xml:space="preserve"> McKinley, 2023; Gobo, 2023)</w:t>
      </w:r>
      <w:r>
        <w:rPr>
          <w:rFonts w:ascii="Calibri" w:hAnsi="Calibri" w:cs="Calibri"/>
          <w:sz w:val="24"/>
          <w:szCs w:val="24"/>
        </w:rPr>
        <w:t xml:space="preserve">. Critical </w:t>
      </w:r>
      <w:r w:rsidR="00265C42">
        <w:rPr>
          <w:rFonts w:ascii="Calibri" w:hAnsi="Calibri" w:cs="Calibri"/>
          <w:sz w:val="24"/>
          <w:szCs w:val="24"/>
        </w:rPr>
        <w:t>r</w:t>
      </w:r>
      <w:r>
        <w:rPr>
          <w:rFonts w:ascii="Calibri" w:hAnsi="Calibri" w:cs="Calibri"/>
          <w:sz w:val="24"/>
          <w:szCs w:val="24"/>
        </w:rPr>
        <w:t xml:space="preserve">ealism is more appropriate for this study because it supports examination of both stakeholder experiences and the deeper institutional structures </w:t>
      </w:r>
      <w:r w:rsidR="00816C88">
        <w:rPr>
          <w:rFonts w:ascii="Calibri" w:hAnsi="Calibri" w:cs="Calibri"/>
          <w:sz w:val="24"/>
          <w:szCs w:val="24"/>
        </w:rPr>
        <w:t xml:space="preserve">and mechanisms shaping ethical AI governance. </w:t>
      </w:r>
    </w:p>
    <w:p w14:paraId="1789E999" w14:textId="51AEB075" w:rsidR="00A24DB3" w:rsidRDefault="004D4E46" w:rsidP="004D4E46">
      <w:pPr>
        <w:pStyle w:val="Heading2"/>
      </w:pPr>
      <w:bookmarkStart w:id="88" w:name="_Toc237383391"/>
      <w:bookmarkStart w:id="89" w:name="_Toc237384226"/>
      <w:bookmarkStart w:id="90" w:name="_Toc237384946"/>
      <w:bookmarkStart w:id="91" w:name="_Toc237444968"/>
      <w:r>
        <w:t>4.3 Axiology and Research Positionality</w:t>
      </w:r>
      <w:bookmarkEnd w:id="88"/>
      <w:bookmarkEnd w:id="89"/>
      <w:bookmarkEnd w:id="90"/>
      <w:bookmarkEnd w:id="91"/>
    </w:p>
    <w:p w14:paraId="3F2297E6" w14:textId="26DECBDD" w:rsidR="004D4E46" w:rsidRDefault="00464AAD" w:rsidP="00464AAD">
      <w:pPr>
        <w:spacing w:line="360" w:lineRule="auto"/>
        <w:jc w:val="both"/>
        <w:rPr>
          <w:rFonts w:ascii="Calibri" w:hAnsi="Calibri" w:cs="Calibri"/>
          <w:sz w:val="24"/>
          <w:szCs w:val="24"/>
        </w:rPr>
      </w:pPr>
      <w:r w:rsidRPr="00464AAD">
        <w:rPr>
          <w:rFonts w:ascii="Calibri" w:hAnsi="Calibri" w:cs="Calibri"/>
          <w:sz w:val="24"/>
          <w:szCs w:val="24"/>
        </w:rPr>
        <w:t xml:space="preserve">Axiology examines the role of values in the research process and considers the extent to which researchers influence the production and interpretation of knowledge. </w:t>
      </w:r>
      <w:r w:rsidR="00074AAC">
        <w:rPr>
          <w:rFonts w:ascii="Calibri" w:hAnsi="Calibri" w:cs="Calibri"/>
          <w:sz w:val="24"/>
          <w:szCs w:val="24"/>
        </w:rPr>
        <w:t xml:space="preserve">While positivist </w:t>
      </w:r>
      <w:r w:rsidR="00074AAC">
        <w:rPr>
          <w:rFonts w:ascii="Calibri" w:hAnsi="Calibri" w:cs="Calibri"/>
          <w:sz w:val="24"/>
          <w:szCs w:val="24"/>
        </w:rPr>
        <w:lastRenderedPageBreak/>
        <w:t xml:space="preserve">research aspires </w:t>
      </w:r>
      <w:r w:rsidR="00EF59BF">
        <w:rPr>
          <w:rFonts w:ascii="Calibri" w:hAnsi="Calibri" w:cs="Calibri"/>
          <w:sz w:val="24"/>
          <w:szCs w:val="24"/>
        </w:rPr>
        <w:t xml:space="preserve">to value neutrality and research detachment, interpretivist and critical realist research </w:t>
      </w:r>
      <w:r w:rsidR="00866022">
        <w:rPr>
          <w:rFonts w:ascii="Calibri" w:hAnsi="Calibri" w:cs="Calibri"/>
          <w:sz w:val="24"/>
          <w:szCs w:val="24"/>
        </w:rPr>
        <w:t xml:space="preserve">recognises that complete objectivity is difficult to achieve when investigating complex social and organisational phenomena. </w:t>
      </w:r>
      <w:r w:rsidR="00677F88">
        <w:rPr>
          <w:rFonts w:ascii="Calibri" w:hAnsi="Calibri" w:cs="Calibri"/>
          <w:sz w:val="24"/>
          <w:szCs w:val="24"/>
        </w:rPr>
        <w:t>Research decisions</w:t>
      </w:r>
      <w:r w:rsidR="00D84FE2">
        <w:rPr>
          <w:rFonts w:ascii="Calibri" w:hAnsi="Calibri" w:cs="Calibri"/>
          <w:sz w:val="24"/>
          <w:szCs w:val="24"/>
        </w:rPr>
        <w:t>,</w:t>
      </w:r>
      <w:r w:rsidR="00677F88">
        <w:rPr>
          <w:rFonts w:ascii="Calibri" w:hAnsi="Calibri" w:cs="Calibri"/>
          <w:sz w:val="24"/>
          <w:szCs w:val="24"/>
        </w:rPr>
        <w:t xml:space="preserve"> including the selection of research questions</w:t>
      </w:r>
      <w:r w:rsidR="006A049F">
        <w:rPr>
          <w:rFonts w:ascii="Calibri" w:hAnsi="Calibri" w:cs="Calibri"/>
          <w:sz w:val="24"/>
          <w:szCs w:val="24"/>
        </w:rPr>
        <w:t>, methodological approaches, analytical frameworks, and interpretation of findings</w:t>
      </w:r>
      <w:r w:rsidR="008F6F7B">
        <w:rPr>
          <w:rFonts w:ascii="Calibri" w:hAnsi="Calibri" w:cs="Calibri"/>
          <w:sz w:val="24"/>
          <w:szCs w:val="24"/>
        </w:rPr>
        <w:t xml:space="preserve">, are inevitably shaped by </w:t>
      </w:r>
      <w:r w:rsidR="00377F3C">
        <w:rPr>
          <w:rFonts w:ascii="Calibri" w:hAnsi="Calibri" w:cs="Calibri"/>
          <w:sz w:val="24"/>
          <w:szCs w:val="24"/>
        </w:rPr>
        <w:t xml:space="preserve">researchers’ experiences, assumptions, and professional context. </w:t>
      </w:r>
      <w:r w:rsidR="006A126F">
        <w:rPr>
          <w:rFonts w:ascii="Calibri" w:hAnsi="Calibri" w:cs="Calibri"/>
          <w:sz w:val="24"/>
          <w:szCs w:val="24"/>
        </w:rPr>
        <w:t>Therefore, acknowledging these influences through reflexive practices enhances, rather than weakens, the credibility of qualitative research</w:t>
      </w:r>
      <w:r w:rsidR="007615DA">
        <w:rPr>
          <w:rFonts w:ascii="Calibri" w:hAnsi="Calibri" w:cs="Calibri"/>
          <w:sz w:val="24"/>
          <w:szCs w:val="24"/>
        </w:rPr>
        <w:t xml:space="preserve"> (</w:t>
      </w:r>
      <w:r w:rsidR="00F42785">
        <w:rPr>
          <w:rFonts w:ascii="Calibri" w:hAnsi="Calibri" w:cs="Calibri"/>
          <w:sz w:val="24"/>
          <w:szCs w:val="24"/>
        </w:rPr>
        <w:t>Field</w:t>
      </w:r>
      <w:r w:rsidR="00B107E4">
        <w:rPr>
          <w:rFonts w:ascii="Calibri" w:hAnsi="Calibri" w:cs="Calibri"/>
          <w:sz w:val="24"/>
          <w:szCs w:val="24"/>
        </w:rPr>
        <w:t xml:space="preserve"> et al., </w:t>
      </w:r>
      <w:r w:rsidR="008D1012">
        <w:rPr>
          <w:rFonts w:ascii="Calibri" w:hAnsi="Calibri" w:cs="Calibri"/>
          <w:sz w:val="24"/>
          <w:szCs w:val="24"/>
        </w:rPr>
        <w:t>2024; Kham, 2024)</w:t>
      </w:r>
      <w:r w:rsidR="006A126F">
        <w:rPr>
          <w:rFonts w:ascii="Calibri" w:hAnsi="Calibri" w:cs="Calibri"/>
          <w:sz w:val="24"/>
          <w:szCs w:val="24"/>
        </w:rPr>
        <w:t xml:space="preserve">. </w:t>
      </w:r>
    </w:p>
    <w:p w14:paraId="5A7F311A" w14:textId="354D9042" w:rsidR="0093299A" w:rsidRDefault="002875A5" w:rsidP="00464AAD">
      <w:pPr>
        <w:spacing w:line="360" w:lineRule="auto"/>
        <w:jc w:val="both"/>
        <w:rPr>
          <w:rFonts w:ascii="Calibri" w:hAnsi="Calibri" w:cs="Calibri"/>
          <w:sz w:val="24"/>
          <w:szCs w:val="24"/>
        </w:rPr>
      </w:pPr>
      <w:r>
        <w:rPr>
          <w:rFonts w:ascii="Calibri" w:hAnsi="Calibri" w:cs="Calibri"/>
          <w:sz w:val="24"/>
          <w:szCs w:val="24"/>
        </w:rPr>
        <w:t xml:space="preserve">Dabis and Csaki </w:t>
      </w:r>
      <w:r w:rsidR="0093299A">
        <w:rPr>
          <w:rFonts w:ascii="Calibri" w:hAnsi="Calibri" w:cs="Calibri"/>
          <w:sz w:val="24"/>
          <w:szCs w:val="24"/>
        </w:rPr>
        <w:t>(2024) do not explici</w:t>
      </w:r>
      <w:r w:rsidR="00505DCB">
        <w:rPr>
          <w:rFonts w:ascii="Calibri" w:hAnsi="Calibri" w:cs="Calibri"/>
          <w:sz w:val="24"/>
          <w:szCs w:val="24"/>
        </w:rPr>
        <w:t xml:space="preserve">tly discuss their axiological position. The study reflects an implicit value-oriented approach. </w:t>
      </w:r>
      <w:r w:rsidR="003C5F0D">
        <w:rPr>
          <w:rFonts w:ascii="Calibri" w:hAnsi="Calibri" w:cs="Calibri"/>
          <w:sz w:val="24"/>
          <w:szCs w:val="24"/>
        </w:rPr>
        <w:t xml:space="preserve">The </w:t>
      </w:r>
      <w:r w:rsidR="00AE2F06">
        <w:rPr>
          <w:rFonts w:ascii="Calibri" w:hAnsi="Calibri" w:cs="Calibri"/>
          <w:sz w:val="24"/>
          <w:szCs w:val="24"/>
        </w:rPr>
        <w:t>researchers frame AI governance as an ethical and organisational challenge rather than as a purely</w:t>
      </w:r>
      <w:r w:rsidR="00825CDB">
        <w:rPr>
          <w:rFonts w:ascii="Calibri" w:hAnsi="Calibri" w:cs="Calibri"/>
          <w:sz w:val="24"/>
          <w:szCs w:val="24"/>
        </w:rPr>
        <w:t xml:space="preserve"> technical issue, indicating that values such as transparency, accountability, fairness, </w:t>
      </w:r>
      <w:r w:rsidR="000D106C">
        <w:rPr>
          <w:rFonts w:ascii="Calibri" w:hAnsi="Calibri" w:cs="Calibri"/>
          <w:sz w:val="24"/>
          <w:szCs w:val="24"/>
        </w:rPr>
        <w:t xml:space="preserve">and institutional responsibility underpin their analysis. These values are evident in the </w:t>
      </w:r>
      <w:r w:rsidR="00120E95">
        <w:rPr>
          <w:rFonts w:ascii="Calibri" w:hAnsi="Calibri" w:cs="Calibri"/>
          <w:sz w:val="24"/>
          <w:szCs w:val="24"/>
        </w:rPr>
        <w:t>em</w:t>
      </w:r>
      <w:r w:rsidR="00892998">
        <w:rPr>
          <w:rFonts w:ascii="Calibri" w:hAnsi="Calibri" w:cs="Calibri"/>
          <w:sz w:val="24"/>
          <w:szCs w:val="24"/>
        </w:rPr>
        <w:t>phasis placed on governance mechanisms designed to protect academic integrity</w:t>
      </w:r>
      <w:r w:rsidR="00C44C81">
        <w:rPr>
          <w:rFonts w:ascii="Calibri" w:hAnsi="Calibri" w:cs="Calibri"/>
          <w:sz w:val="24"/>
          <w:szCs w:val="24"/>
        </w:rPr>
        <w:t>, encourage responsible innovation and strengthen public trust in HEIs</w:t>
      </w:r>
      <w:r w:rsidR="00C755ED">
        <w:rPr>
          <w:rFonts w:ascii="Calibri" w:hAnsi="Calibri" w:cs="Calibri"/>
          <w:sz w:val="24"/>
          <w:szCs w:val="24"/>
        </w:rPr>
        <w:t xml:space="preserve"> (</w:t>
      </w:r>
      <w:r w:rsidR="002C06F4">
        <w:rPr>
          <w:rFonts w:ascii="Calibri" w:hAnsi="Calibri" w:cs="Calibri"/>
          <w:sz w:val="24"/>
          <w:szCs w:val="24"/>
        </w:rPr>
        <w:t>Coates</w:t>
      </w:r>
      <w:r w:rsidR="00B45763">
        <w:rPr>
          <w:rFonts w:ascii="Calibri" w:hAnsi="Calibri" w:cs="Calibri"/>
          <w:sz w:val="24"/>
          <w:szCs w:val="24"/>
        </w:rPr>
        <w:t xml:space="preserve"> et al., </w:t>
      </w:r>
      <w:r w:rsidR="002C06F4">
        <w:rPr>
          <w:rFonts w:ascii="Calibri" w:hAnsi="Calibri" w:cs="Calibri"/>
          <w:sz w:val="24"/>
          <w:szCs w:val="24"/>
        </w:rPr>
        <w:t>2025; Kangwa</w:t>
      </w:r>
      <w:r w:rsidR="00B45763">
        <w:rPr>
          <w:rFonts w:ascii="Calibri" w:hAnsi="Calibri" w:cs="Calibri"/>
          <w:sz w:val="24"/>
          <w:szCs w:val="24"/>
        </w:rPr>
        <w:t xml:space="preserve"> et al.,</w:t>
      </w:r>
      <w:r w:rsidR="008522DC">
        <w:rPr>
          <w:rFonts w:ascii="Calibri" w:hAnsi="Calibri" w:cs="Calibri"/>
          <w:sz w:val="24"/>
          <w:szCs w:val="24"/>
        </w:rPr>
        <w:t xml:space="preserve"> 2025).</w:t>
      </w:r>
      <w:r w:rsidR="00C44C81">
        <w:rPr>
          <w:rFonts w:ascii="Calibri" w:hAnsi="Calibri" w:cs="Calibri"/>
          <w:sz w:val="24"/>
          <w:szCs w:val="24"/>
        </w:rPr>
        <w:t xml:space="preserve"> </w:t>
      </w:r>
      <w:r w:rsidR="00AE2F06">
        <w:rPr>
          <w:rFonts w:ascii="Calibri" w:hAnsi="Calibri" w:cs="Calibri"/>
          <w:sz w:val="24"/>
          <w:szCs w:val="24"/>
        </w:rPr>
        <w:t>The selection of these themes demonstrates that the researcher</w:t>
      </w:r>
      <w:r w:rsidR="00042933">
        <w:rPr>
          <w:rFonts w:ascii="Calibri" w:hAnsi="Calibri" w:cs="Calibri"/>
          <w:sz w:val="24"/>
          <w:szCs w:val="24"/>
        </w:rPr>
        <w:t xml:space="preserve">s view governance not simply as a managerial function but as a means of promoting ethical decision-making </w:t>
      </w:r>
      <w:r w:rsidR="00E40FB4">
        <w:rPr>
          <w:rFonts w:ascii="Calibri" w:hAnsi="Calibri" w:cs="Calibri"/>
          <w:sz w:val="24"/>
          <w:szCs w:val="24"/>
        </w:rPr>
        <w:t>within</w:t>
      </w:r>
      <w:r w:rsidR="00042933">
        <w:rPr>
          <w:rFonts w:ascii="Calibri" w:hAnsi="Calibri" w:cs="Calibri"/>
          <w:sz w:val="24"/>
          <w:szCs w:val="24"/>
        </w:rPr>
        <w:t xml:space="preserve"> HEIs. </w:t>
      </w:r>
    </w:p>
    <w:p w14:paraId="694F49E9" w14:textId="5809DF26" w:rsidR="00DC74BB" w:rsidRDefault="00DC74BB" w:rsidP="00464AAD">
      <w:pPr>
        <w:spacing w:line="360" w:lineRule="auto"/>
        <w:jc w:val="both"/>
        <w:rPr>
          <w:rFonts w:ascii="Calibri" w:hAnsi="Calibri" w:cs="Calibri"/>
          <w:sz w:val="24"/>
          <w:szCs w:val="24"/>
        </w:rPr>
      </w:pPr>
      <w:r>
        <w:rPr>
          <w:rFonts w:ascii="Calibri" w:hAnsi="Calibri" w:cs="Calibri"/>
          <w:sz w:val="24"/>
          <w:szCs w:val="24"/>
        </w:rPr>
        <w:t xml:space="preserve">The study illustrates how researchers’ values shape the interpretation of evidence. It </w:t>
      </w:r>
      <w:r w:rsidR="00E3149F">
        <w:rPr>
          <w:rFonts w:ascii="Calibri" w:hAnsi="Calibri" w:cs="Calibri"/>
          <w:sz w:val="24"/>
          <w:szCs w:val="24"/>
        </w:rPr>
        <w:t>predominantly highlights</w:t>
      </w:r>
      <w:r>
        <w:rPr>
          <w:rFonts w:ascii="Calibri" w:hAnsi="Calibri" w:cs="Calibri"/>
          <w:sz w:val="24"/>
          <w:szCs w:val="24"/>
        </w:rPr>
        <w:t xml:space="preserve"> </w:t>
      </w:r>
      <w:r w:rsidR="00E3149F">
        <w:rPr>
          <w:rFonts w:ascii="Calibri" w:hAnsi="Calibri" w:cs="Calibri"/>
          <w:sz w:val="24"/>
          <w:szCs w:val="24"/>
        </w:rPr>
        <w:t xml:space="preserve">the operational efficiencies generated by </w:t>
      </w:r>
      <w:r w:rsidR="002875A5">
        <w:rPr>
          <w:rFonts w:ascii="Calibri" w:hAnsi="Calibri" w:cs="Calibri"/>
          <w:sz w:val="24"/>
          <w:szCs w:val="24"/>
        </w:rPr>
        <w:t xml:space="preserve">generative </w:t>
      </w:r>
      <w:r w:rsidR="00E3149F">
        <w:rPr>
          <w:rFonts w:ascii="Calibri" w:hAnsi="Calibri" w:cs="Calibri"/>
          <w:sz w:val="24"/>
          <w:szCs w:val="24"/>
        </w:rPr>
        <w:t xml:space="preserve">AI. </w:t>
      </w:r>
      <w:r>
        <w:rPr>
          <w:rFonts w:ascii="Calibri" w:hAnsi="Calibri" w:cs="Calibri"/>
          <w:sz w:val="24"/>
          <w:szCs w:val="24"/>
        </w:rPr>
        <w:t xml:space="preserve"> </w:t>
      </w:r>
      <w:r w:rsidR="00E3149F">
        <w:rPr>
          <w:rFonts w:ascii="Calibri" w:hAnsi="Calibri" w:cs="Calibri"/>
          <w:sz w:val="24"/>
          <w:szCs w:val="24"/>
        </w:rPr>
        <w:t xml:space="preserve">The </w:t>
      </w:r>
      <w:r w:rsidR="008D05E1">
        <w:rPr>
          <w:rFonts w:ascii="Calibri" w:hAnsi="Calibri" w:cs="Calibri"/>
          <w:sz w:val="24"/>
          <w:szCs w:val="24"/>
        </w:rPr>
        <w:t>researchers</w:t>
      </w:r>
      <w:r w:rsidR="00E3149F">
        <w:rPr>
          <w:rFonts w:ascii="Calibri" w:hAnsi="Calibri" w:cs="Calibri"/>
          <w:sz w:val="24"/>
          <w:szCs w:val="24"/>
        </w:rPr>
        <w:t xml:space="preserve"> devote considerable attention to organisational preparedness, leadership responsibility and stakeholder engagement. This analytical emphasis suggests that the researchers regard responsible governance as essential for the successful adoption of AI. This perspective is well supported by existing literature on AI ethics</w:t>
      </w:r>
      <w:r w:rsidR="002E0984">
        <w:rPr>
          <w:rFonts w:ascii="Calibri" w:hAnsi="Calibri" w:cs="Calibri"/>
          <w:sz w:val="24"/>
          <w:szCs w:val="24"/>
        </w:rPr>
        <w:t xml:space="preserve"> (</w:t>
      </w:r>
      <w:r w:rsidR="004870D1">
        <w:rPr>
          <w:rFonts w:ascii="Calibri" w:hAnsi="Calibri" w:cs="Calibri"/>
          <w:sz w:val="24"/>
          <w:szCs w:val="24"/>
        </w:rPr>
        <w:t>Thaldar</w:t>
      </w:r>
      <w:r w:rsidR="00B133BE">
        <w:rPr>
          <w:rFonts w:ascii="Calibri" w:hAnsi="Calibri" w:cs="Calibri"/>
          <w:sz w:val="24"/>
          <w:szCs w:val="24"/>
        </w:rPr>
        <w:t xml:space="preserve"> et al., 2025; </w:t>
      </w:r>
      <w:r w:rsidR="00A4727B">
        <w:rPr>
          <w:rFonts w:ascii="Calibri" w:hAnsi="Calibri" w:cs="Calibri"/>
          <w:sz w:val="24"/>
          <w:szCs w:val="24"/>
        </w:rPr>
        <w:t xml:space="preserve">Oncioiu </w:t>
      </w:r>
      <w:r w:rsidR="00D82198">
        <w:rPr>
          <w:rFonts w:ascii="Calibri" w:hAnsi="Calibri" w:cs="Calibri"/>
          <w:sz w:val="24"/>
          <w:szCs w:val="24"/>
        </w:rPr>
        <w:t>and</w:t>
      </w:r>
      <w:r w:rsidR="00A4727B">
        <w:rPr>
          <w:rFonts w:ascii="Calibri" w:hAnsi="Calibri" w:cs="Calibri"/>
          <w:sz w:val="24"/>
          <w:szCs w:val="24"/>
        </w:rPr>
        <w:t xml:space="preserve"> Bularca, 2025</w:t>
      </w:r>
      <w:r w:rsidR="00B133BE">
        <w:rPr>
          <w:rFonts w:ascii="Calibri" w:hAnsi="Calibri" w:cs="Calibri"/>
          <w:sz w:val="24"/>
          <w:szCs w:val="24"/>
        </w:rPr>
        <w:t>)</w:t>
      </w:r>
      <w:r w:rsidR="00E3149F">
        <w:rPr>
          <w:rFonts w:ascii="Calibri" w:hAnsi="Calibri" w:cs="Calibri"/>
          <w:sz w:val="24"/>
          <w:szCs w:val="24"/>
        </w:rPr>
        <w:t xml:space="preserve">. </w:t>
      </w:r>
      <w:r w:rsidR="00492F55">
        <w:rPr>
          <w:rFonts w:ascii="Calibri" w:hAnsi="Calibri" w:cs="Calibri"/>
          <w:sz w:val="24"/>
          <w:szCs w:val="24"/>
        </w:rPr>
        <w:t xml:space="preserve">Furthermore, technological advantages receive less awareness than governance consequences. </w:t>
      </w:r>
    </w:p>
    <w:p w14:paraId="7D437392" w14:textId="37B44B65" w:rsidR="00492F55" w:rsidRDefault="00492F55" w:rsidP="00464AAD">
      <w:pPr>
        <w:spacing w:line="360" w:lineRule="auto"/>
        <w:jc w:val="both"/>
        <w:rPr>
          <w:rFonts w:ascii="Calibri" w:hAnsi="Calibri" w:cs="Calibri"/>
          <w:sz w:val="24"/>
          <w:szCs w:val="24"/>
        </w:rPr>
      </w:pPr>
      <w:r>
        <w:rPr>
          <w:rFonts w:ascii="Calibri" w:hAnsi="Calibri" w:cs="Calibri"/>
          <w:sz w:val="24"/>
          <w:szCs w:val="24"/>
        </w:rPr>
        <w:t xml:space="preserve">Another important axiological consideration concerns </w:t>
      </w:r>
      <w:r w:rsidR="002A7DF5">
        <w:rPr>
          <w:rFonts w:ascii="Calibri" w:hAnsi="Calibri" w:cs="Calibri"/>
          <w:sz w:val="24"/>
          <w:szCs w:val="24"/>
        </w:rPr>
        <w:t>participant</w:t>
      </w:r>
      <w:r>
        <w:rPr>
          <w:rFonts w:ascii="Calibri" w:hAnsi="Calibri" w:cs="Calibri"/>
          <w:sz w:val="24"/>
          <w:szCs w:val="24"/>
        </w:rPr>
        <w:t xml:space="preserve"> perspectives. The research relies</w:t>
      </w:r>
      <w:r w:rsidR="002A7DF5">
        <w:rPr>
          <w:rFonts w:ascii="Calibri" w:hAnsi="Calibri" w:cs="Calibri"/>
          <w:sz w:val="24"/>
          <w:szCs w:val="24"/>
        </w:rPr>
        <w:t xml:space="preserve"> </w:t>
      </w:r>
      <w:r>
        <w:rPr>
          <w:rFonts w:ascii="Calibri" w:hAnsi="Calibri" w:cs="Calibri"/>
          <w:sz w:val="24"/>
          <w:szCs w:val="24"/>
        </w:rPr>
        <w:t xml:space="preserve">on interviews with senior HEI </w:t>
      </w:r>
      <w:r w:rsidR="002A7DF5">
        <w:rPr>
          <w:rFonts w:ascii="Calibri" w:hAnsi="Calibri" w:cs="Calibri"/>
          <w:sz w:val="24"/>
          <w:szCs w:val="24"/>
        </w:rPr>
        <w:t xml:space="preserve">leaders, </w:t>
      </w:r>
      <w:r>
        <w:rPr>
          <w:rFonts w:ascii="Calibri" w:hAnsi="Calibri" w:cs="Calibri"/>
          <w:sz w:val="24"/>
          <w:szCs w:val="24"/>
        </w:rPr>
        <w:t xml:space="preserve">whose professional responsibilities </w:t>
      </w:r>
      <w:r w:rsidR="00964E1A">
        <w:rPr>
          <w:rFonts w:ascii="Calibri" w:hAnsi="Calibri" w:cs="Calibri"/>
          <w:sz w:val="24"/>
          <w:szCs w:val="24"/>
        </w:rPr>
        <w:t>shape how they interpret AI governance</w:t>
      </w:r>
      <w:r>
        <w:rPr>
          <w:rFonts w:ascii="Calibri" w:hAnsi="Calibri" w:cs="Calibri"/>
          <w:sz w:val="24"/>
          <w:szCs w:val="24"/>
        </w:rPr>
        <w:t xml:space="preserve">.  </w:t>
      </w:r>
      <w:r w:rsidR="00812D09">
        <w:rPr>
          <w:rFonts w:ascii="Calibri" w:hAnsi="Calibri" w:cs="Calibri"/>
          <w:sz w:val="24"/>
          <w:szCs w:val="24"/>
        </w:rPr>
        <w:t xml:space="preserve">Executive leaders prioritise regulatory compliance, strategic planning and institutional reputation. Moreover, academic staff, students, and professional services personnel place great emphasis on issues such as academic freedom, workload, accessibility, and the everyday impact of AI on technology. Therefore, the findings primarily reveal managerial interpretations of governance. This may not </w:t>
      </w:r>
      <w:r w:rsidR="00693DF7">
        <w:rPr>
          <w:rFonts w:ascii="Calibri" w:hAnsi="Calibri" w:cs="Calibri"/>
          <w:sz w:val="24"/>
          <w:szCs w:val="24"/>
        </w:rPr>
        <w:t>completely</w:t>
      </w:r>
      <w:r w:rsidR="00812D09">
        <w:rPr>
          <w:rFonts w:ascii="Calibri" w:hAnsi="Calibri" w:cs="Calibri"/>
          <w:sz w:val="24"/>
          <w:szCs w:val="24"/>
        </w:rPr>
        <w:t xml:space="preserve"> </w:t>
      </w:r>
      <w:r w:rsidR="00693DF7">
        <w:rPr>
          <w:rFonts w:ascii="Calibri" w:hAnsi="Calibri" w:cs="Calibri"/>
          <w:sz w:val="24"/>
          <w:szCs w:val="24"/>
        </w:rPr>
        <w:t xml:space="preserve">capture the </w:t>
      </w:r>
      <w:r w:rsidR="00693DF7">
        <w:rPr>
          <w:rFonts w:ascii="Calibri" w:hAnsi="Calibri" w:cs="Calibri"/>
          <w:sz w:val="24"/>
          <w:szCs w:val="24"/>
        </w:rPr>
        <w:lastRenderedPageBreak/>
        <w:t>diversity of values present across the wider HEIs community</w:t>
      </w:r>
      <w:r w:rsidR="003A3050">
        <w:rPr>
          <w:rFonts w:ascii="Calibri" w:hAnsi="Calibri" w:cs="Calibri"/>
          <w:sz w:val="24"/>
          <w:szCs w:val="24"/>
        </w:rPr>
        <w:t xml:space="preserve"> (Dabis </w:t>
      </w:r>
      <w:r w:rsidR="00D82198">
        <w:rPr>
          <w:rFonts w:ascii="Calibri" w:hAnsi="Calibri" w:cs="Calibri"/>
          <w:sz w:val="24"/>
          <w:szCs w:val="24"/>
        </w:rPr>
        <w:t>and</w:t>
      </w:r>
      <w:r w:rsidR="00944E85">
        <w:rPr>
          <w:rFonts w:ascii="Calibri" w:hAnsi="Calibri" w:cs="Calibri"/>
          <w:sz w:val="24"/>
          <w:szCs w:val="24"/>
        </w:rPr>
        <w:t xml:space="preserve"> Csaki, 2024; Chavarria</w:t>
      </w:r>
      <w:r w:rsidR="00237FB6">
        <w:rPr>
          <w:rFonts w:ascii="Calibri" w:hAnsi="Calibri" w:cs="Calibri"/>
          <w:sz w:val="24"/>
          <w:szCs w:val="24"/>
        </w:rPr>
        <w:t xml:space="preserve"> et al.,</w:t>
      </w:r>
      <w:r w:rsidR="00944E85">
        <w:rPr>
          <w:rFonts w:ascii="Calibri" w:hAnsi="Calibri" w:cs="Calibri"/>
          <w:sz w:val="24"/>
          <w:szCs w:val="24"/>
        </w:rPr>
        <w:t xml:space="preserve"> 2025)</w:t>
      </w:r>
      <w:r w:rsidR="00693DF7">
        <w:rPr>
          <w:rFonts w:ascii="Calibri" w:hAnsi="Calibri" w:cs="Calibri"/>
          <w:sz w:val="24"/>
          <w:szCs w:val="24"/>
        </w:rPr>
        <w:t xml:space="preserve">. </w:t>
      </w:r>
    </w:p>
    <w:p w14:paraId="44DC57B7" w14:textId="122281F3" w:rsidR="00693DF7" w:rsidRDefault="00693DF7" w:rsidP="00464AAD">
      <w:pPr>
        <w:spacing w:line="360" w:lineRule="auto"/>
        <w:jc w:val="both"/>
        <w:rPr>
          <w:rFonts w:ascii="Calibri" w:hAnsi="Calibri" w:cs="Calibri"/>
          <w:sz w:val="24"/>
          <w:szCs w:val="24"/>
        </w:rPr>
      </w:pPr>
      <w:r>
        <w:rPr>
          <w:rFonts w:ascii="Calibri" w:hAnsi="Calibri" w:cs="Calibri"/>
          <w:sz w:val="24"/>
          <w:szCs w:val="24"/>
        </w:rPr>
        <w:t xml:space="preserve">Reflexivity is </w:t>
      </w:r>
      <w:r w:rsidR="00F41C72">
        <w:rPr>
          <w:rFonts w:ascii="Calibri" w:hAnsi="Calibri" w:cs="Calibri"/>
          <w:sz w:val="24"/>
          <w:szCs w:val="24"/>
        </w:rPr>
        <w:t>powerful and</w:t>
      </w:r>
      <w:r>
        <w:rPr>
          <w:rFonts w:ascii="Calibri" w:hAnsi="Calibri" w:cs="Calibri"/>
          <w:sz w:val="24"/>
          <w:szCs w:val="24"/>
        </w:rPr>
        <w:t xml:space="preserve"> allied to these axiological concerns. Reflective researchers acknowledge how their assumptions and professional experiences influence decisions throughout the study.  </w:t>
      </w:r>
      <w:r w:rsidR="00570CA3">
        <w:rPr>
          <w:rFonts w:ascii="Calibri" w:hAnsi="Calibri" w:cs="Calibri"/>
          <w:sz w:val="24"/>
          <w:szCs w:val="24"/>
        </w:rPr>
        <w:t>Dabis and Csaki</w:t>
      </w:r>
      <w:r w:rsidR="00237FB6">
        <w:rPr>
          <w:rFonts w:ascii="Calibri" w:hAnsi="Calibri" w:cs="Calibri"/>
          <w:sz w:val="24"/>
          <w:szCs w:val="24"/>
        </w:rPr>
        <w:t xml:space="preserve"> (2024)</w:t>
      </w:r>
      <w:r w:rsidR="00570CA3">
        <w:rPr>
          <w:rFonts w:ascii="Calibri" w:hAnsi="Calibri" w:cs="Calibri"/>
          <w:sz w:val="24"/>
          <w:szCs w:val="24"/>
        </w:rPr>
        <w:t xml:space="preserve"> </w:t>
      </w:r>
      <w:r w:rsidR="00EA0B73">
        <w:rPr>
          <w:rFonts w:ascii="Calibri" w:hAnsi="Calibri" w:cs="Calibri"/>
          <w:sz w:val="24"/>
          <w:szCs w:val="24"/>
        </w:rPr>
        <w:t>establish</w:t>
      </w:r>
      <w:r>
        <w:rPr>
          <w:rFonts w:ascii="Calibri" w:hAnsi="Calibri" w:cs="Calibri"/>
          <w:sz w:val="24"/>
          <w:szCs w:val="24"/>
        </w:rPr>
        <w:t xml:space="preserve"> methodological transparency by describing their qualitative approach and data sources. </w:t>
      </w:r>
      <w:r w:rsidR="00EA0B73">
        <w:rPr>
          <w:rFonts w:ascii="Calibri" w:hAnsi="Calibri" w:cs="Calibri"/>
          <w:sz w:val="24"/>
          <w:szCs w:val="24"/>
        </w:rPr>
        <w:t xml:space="preserve">However, the article </w:t>
      </w:r>
      <w:r w:rsidR="00964E1A">
        <w:rPr>
          <w:rFonts w:ascii="Calibri" w:hAnsi="Calibri" w:cs="Calibri"/>
          <w:sz w:val="24"/>
          <w:szCs w:val="24"/>
        </w:rPr>
        <w:t>offers relatively little discussion of</w:t>
      </w:r>
      <w:r w:rsidR="00EA0B73">
        <w:rPr>
          <w:rFonts w:ascii="Calibri" w:hAnsi="Calibri" w:cs="Calibri"/>
          <w:sz w:val="24"/>
          <w:szCs w:val="24"/>
        </w:rPr>
        <w:t xml:space="preserve"> how investigators controlled potential bias during data collection and analysis. </w:t>
      </w:r>
      <w:r w:rsidR="003A3BDF">
        <w:rPr>
          <w:rFonts w:ascii="Calibri" w:hAnsi="Calibri" w:cs="Calibri"/>
          <w:sz w:val="24"/>
          <w:szCs w:val="24"/>
        </w:rPr>
        <w:t>The article needs more explicit reflection on researcher positionality</w:t>
      </w:r>
      <w:r w:rsidR="00EA0B73">
        <w:rPr>
          <w:rFonts w:ascii="Calibri" w:hAnsi="Calibri" w:cs="Calibri"/>
          <w:sz w:val="24"/>
          <w:szCs w:val="24"/>
        </w:rPr>
        <w:t>, such as through discussion of prior assumptions, reflective journalling, or collaborative coding procedures. This strengthens confidence in the credibility of the interpretations presented</w:t>
      </w:r>
      <w:r w:rsidR="00C65EB3">
        <w:rPr>
          <w:rFonts w:ascii="Calibri" w:hAnsi="Calibri" w:cs="Calibri"/>
          <w:sz w:val="24"/>
          <w:szCs w:val="24"/>
        </w:rPr>
        <w:t xml:space="preserve"> (</w:t>
      </w:r>
      <w:r w:rsidR="00AF019E">
        <w:rPr>
          <w:rFonts w:ascii="Calibri" w:hAnsi="Calibri" w:cs="Calibri"/>
          <w:sz w:val="24"/>
          <w:szCs w:val="24"/>
        </w:rPr>
        <w:t xml:space="preserve">Sibbald et al., 2025; Goundar, 2025; Dabis </w:t>
      </w:r>
      <w:r w:rsidR="00D82198">
        <w:rPr>
          <w:rFonts w:ascii="Calibri" w:hAnsi="Calibri" w:cs="Calibri"/>
          <w:sz w:val="24"/>
          <w:szCs w:val="24"/>
        </w:rPr>
        <w:t>and</w:t>
      </w:r>
      <w:r w:rsidR="00AF019E">
        <w:rPr>
          <w:rFonts w:ascii="Calibri" w:hAnsi="Calibri" w:cs="Calibri"/>
          <w:sz w:val="24"/>
          <w:szCs w:val="24"/>
        </w:rPr>
        <w:t xml:space="preserve"> Csaki, 2024). </w:t>
      </w:r>
    </w:p>
    <w:p w14:paraId="47FE0AAC" w14:textId="688A9A6A" w:rsidR="00EA0B73" w:rsidRDefault="00EA0B73" w:rsidP="00464AAD">
      <w:pPr>
        <w:spacing w:line="360" w:lineRule="auto"/>
        <w:jc w:val="both"/>
        <w:rPr>
          <w:rFonts w:ascii="Calibri" w:hAnsi="Calibri" w:cs="Calibri"/>
          <w:sz w:val="24"/>
          <w:szCs w:val="24"/>
        </w:rPr>
      </w:pPr>
      <w:r>
        <w:rPr>
          <w:rFonts w:ascii="Calibri" w:hAnsi="Calibri" w:cs="Calibri"/>
          <w:sz w:val="24"/>
          <w:szCs w:val="24"/>
        </w:rPr>
        <w:t xml:space="preserve">These observations </w:t>
      </w:r>
      <w:r w:rsidR="00C41454">
        <w:rPr>
          <w:rFonts w:ascii="Calibri" w:hAnsi="Calibri" w:cs="Calibri"/>
          <w:sz w:val="24"/>
          <w:szCs w:val="24"/>
        </w:rPr>
        <w:t xml:space="preserve">are </w:t>
      </w:r>
      <w:r w:rsidR="00964E1A">
        <w:rPr>
          <w:rFonts w:ascii="Calibri" w:hAnsi="Calibri" w:cs="Calibri"/>
          <w:sz w:val="24"/>
          <w:szCs w:val="24"/>
        </w:rPr>
        <w:t>crucial to</w:t>
      </w:r>
      <w:r>
        <w:rPr>
          <w:rFonts w:ascii="Calibri" w:hAnsi="Calibri" w:cs="Calibri"/>
          <w:sz w:val="24"/>
          <w:szCs w:val="24"/>
        </w:rPr>
        <w:t xml:space="preserve"> the present coursework. </w:t>
      </w:r>
      <w:r w:rsidR="00E8142A">
        <w:rPr>
          <w:rFonts w:ascii="Calibri" w:hAnsi="Calibri" w:cs="Calibri"/>
          <w:sz w:val="24"/>
          <w:szCs w:val="24"/>
        </w:rPr>
        <w:t xml:space="preserve">This investigation </w:t>
      </w:r>
      <w:r>
        <w:rPr>
          <w:rFonts w:ascii="Calibri" w:hAnsi="Calibri" w:cs="Calibri"/>
          <w:sz w:val="24"/>
          <w:szCs w:val="24"/>
        </w:rPr>
        <w:t>adopts a critical realist ontology and an interpretivist epistemology. It recognises that ethical AI governance</w:t>
      </w:r>
      <w:r w:rsidR="00B3595B">
        <w:rPr>
          <w:rFonts w:ascii="Calibri" w:hAnsi="Calibri" w:cs="Calibri"/>
          <w:sz w:val="24"/>
          <w:szCs w:val="24"/>
        </w:rPr>
        <w:t xml:space="preserve"> is shaped by both institutional structures and stakeholder interpretations. Moreover, the researcher has a professional interest in governance, leadership, and </w:t>
      </w:r>
      <w:r w:rsidR="00F80B1E">
        <w:rPr>
          <w:rFonts w:ascii="Calibri" w:hAnsi="Calibri" w:cs="Calibri"/>
          <w:sz w:val="24"/>
          <w:szCs w:val="24"/>
        </w:rPr>
        <w:t xml:space="preserve">the responsible adoption of AI </w:t>
      </w:r>
      <w:r w:rsidR="00B3595B">
        <w:rPr>
          <w:rFonts w:ascii="Calibri" w:hAnsi="Calibri" w:cs="Calibri"/>
          <w:sz w:val="24"/>
          <w:szCs w:val="24"/>
        </w:rPr>
        <w:t xml:space="preserve">within HEIs. He maintains that reflexivity will be essential throughout the research process. </w:t>
      </w:r>
      <w:r w:rsidR="006030B2">
        <w:rPr>
          <w:rFonts w:ascii="Calibri" w:hAnsi="Calibri" w:cs="Calibri"/>
          <w:sz w:val="24"/>
          <w:szCs w:val="24"/>
        </w:rPr>
        <w:t>This involves documenting methodological decisions</w:t>
      </w:r>
      <w:r w:rsidR="00F81632">
        <w:rPr>
          <w:rFonts w:ascii="Calibri" w:hAnsi="Calibri" w:cs="Calibri"/>
          <w:sz w:val="24"/>
          <w:szCs w:val="24"/>
        </w:rPr>
        <w:t xml:space="preserve"> and </w:t>
      </w:r>
      <w:r w:rsidR="006030B2">
        <w:rPr>
          <w:rFonts w:ascii="Calibri" w:hAnsi="Calibri" w:cs="Calibri"/>
          <w:sz w:val="24"/>
          <w:szCs w:val="24"/>
        </w:rPr>
        <w:t xml:space="preserve">examining personal assumptions. Therefore, purposive sampling across </w:t>
      </w:r>
      <w:r w:rsidR="007442D0">
        <w:rPr>
          <w:rFonts w:ascii="Calibri" w:hAnsi="Calibri" w:cs="Calibri"/>
          <w:sz w:val="24"/>
          <w:szCs w:val="24"/>
        </w:rPr>
        <w:t>diverse stakeholder groups reduces the risk of privileging a single</w:t>
      </w:r>
      <w:r w:rsidR="008D6FE1">
        <w:rPr>
          <w:rFonts w:ascii="Calibri" w:hAnsi="Calibri" w:cs="Calibri"/>
          <w:sz w:val="24"/>
          <w:szCs w:val="24"/>
        </w:rPr>
        <w:t xml:space="preserve"> HEI </w:t>
      </w:r>
      <w:r w:rsidR="007442D0">
        <w:rPr>
          <w:rFonts w:ascii="Calibri" w:hAnsi="Calibri" w:cs="Calibri"/>
          <w:sz w:val="24"/>
          <w:szCs w:val="24"/>
        </w:rPr>
        <w:t>perspective</w:t>
      </w:r>
      <w:r w:rsidR="00A40D67">
        <w:rPr>
          <w:rFonts w:ascii="Calibri" w:hAnsi="Calibri" w:cs="Calibri"/>
          <w:sz w:val="24"/>
          <w:szCs w:val="24"/>
        </w:rPr>
        <w:t xml:space="preserve"> (Dabis </w:t>
      </w:r>
      <w:r w:rsidR="00D82198">
        <w:rPr>
          <w:rFonts w:ascii="Calibri" w:hAnsi="Calibri" w:cs="Calibri"/>
          <w:sz w:val="24"/>
          <w:szCs w:val="24"/>
        </w:rPr>
        <w:t>and</w:t>
      </w:r>
      <w:r w:rsidR="00BE2C91">
        <w:rPr>
          <w:rFonts w:ascii="Calibri" w:hAnsi="Calibri" w:cs="Calibri"/>
          <w:sz w:val="24"/>
          <w:szCs w:val="24"/>
        </w:rPr>
        <w:t xml:space="preserve"> Csaki, 2024; Kennedy et al., 2024; Thomas, 2024)</w:t>
      </w:r>
      <w:r w:rsidR="007442D0">
        <w:rPr>
          <w:rFonts w:ascii="Calibri" w:hAnsi="Calibri" w:cs="Calibri"/>
          <w:sz w:val="24"/>
          <w:szCs w:val="24"/>
        </w:rPr>
        <w:t xml:space="preserve">. </w:t>
      </w:r>
      <w:r w:rsidR="006030B2">
        <w:rPr>
          <w:rFonts w:ascii="Calibri" w:hAnsi="Calibri" w:cs="Calibri"/>
          <w:sz w:val="24"/>
          <w:szCs w:val="24"/>
        </w:rPr>
        <w:t xml:space="preserve"> </w:t>
      </w:r>
      <w:r w:rsidR="00E466C2" w:rsidRPr="00F12130">
        <w:rPr>
          <w:rFonts w:ascii="Calibri" w:hAnsi="Calibri" w:cs="Calibri"/>
          <w:b/>
          <w:bCs/>
          <w:sz w:val="24"/>
          <w:szCs w:val="24"/>
        </w:rPr>
        <w:t>See Appendix A</w:t>
      </w:r>
      <w:r w:rsidR="00F12130" w:rsidRPr="00F12130">
        <w:rPr>
          <w:rFonts w:ascii="Calibri" w:hAnsi="Calibri" w:cs="Calibri"/>
          <w:b/>
          <w:bCs/>
          <w:sz w:val="24"/>
          <w:szCs w:val="24"/>
        </w:rPr>
        <w:t>, Table A1 for potential sources of researcher bias.</w:t>
      </w:r>
      <w:r w:rsidR="00F12130">
        <w:rPr>
          <w:rFonts w:ascii="Calibri" w:hAnsi="Calibri" w:cs="Calibri"/>
          <w:sz w:val="24"/>
          <w:szCs w:val="24"/>
        </w:rPr>
        <w:t xml:space="preserve"> </w:t>
      </w:r>
    </w:p>
    <w:p w14:paraId="7091231D" w14:textId="2AA7461F" w:rsidR="00E8095D" w:rsidRDefault="00841A58" w:rsidP="0013205A">
      <w:pPr>
        <w:pStyle w:val="Heading2"/>
      </w:pPr>
      <w:bookmarkStart w:id="92" w:name="_Toc237383392"/>
      <w:bookmarkStart w:id="93" w:name="_Toc237384227"/>
      <w:bookmarkStart w:id="94" w:name="_Toc237384947"/>
      <w:bookmarkStart w:id="95" w:name="_Toc237444969"/>
      <w:r>
        <w:t>4.4 Methodological Quality: Reliability, Validity and Trustworthiness</w:t>
      </w:r>
      <w:bookmarkEnd w:id="92"/>
      <w:bookmarkEnd w:id="93"/>
      <w:bookmarkEnd w:id="94"/>
      <w:bookmarkEnd w:id="95"/>
    </w:p>
    <w:p w14:paraId="61F50347" w14:textId="1C9C9FC2" w:rsidR="003A2AE5" w:rsidRDefault="0013205A" w:rsidP="0013205A">
      <w:pPr>
        <w:spacing w:line="360" w:lineRule="auto"/>
        <w:jc w:val="both"/>
        <w:rPr>
          <w:rFonts w:ascii="Calibri" w:hAnsi="Calibri" w:cs="Calibri"/>
          <w:sz w:val="24"/>
          <w:szCs w:val="24"/>
        </w:rPr>
      </w:pPr>
      <w:r w:rsidRPr="0013205A">
        <w:rPr>
          <w:rFonts w:ascii="Calibri" w:hAnsi="Calibri" w:cs="Calibri"/>
          <w:sz w:val="24"/>
          <w:szCs w:val="24"/>
        </w:rPr>
        <w:t xml:space="preserve">The methodological quality of </w:t>
      </w:r>
      <w:r w:rsidR="00570CA3">
        <w:rPr>
          <w:rFonts w:ascii="Calibri" w:hAnsi="Calibri" w:cs="Calibri"/>
          <w:sz w:val="24"/>
          <w:szCs w:val="24"/>
        </w:rPr>
        <w:t xml:space="preserve">Dabis and Csaki </w:t>
      </w:r>
      <w:r w:rsidR="00005B7B">
        <w:rPr>
          <w:rFonts w:ascii="Calibri" w:hAnsi="Calibri" w:cs="Calibri"/>
          <w:sz w:val="24"/>
          <w:szCs w:val="24"/>
        </w:rPr>
        <w:t xml:space="preserve">(2024) </w:t>
      </w:r>
      <w:r w:rsidR="00647CAA">
        <w:rPr>
          <w:rFonts w:ascii="Calibri" w:hAnsi="Calibri" w:cs="Calibri"/>
          <w:sz w:val="24"/>
          <w:szCs w:val="24"/>
        </w:rPr>
        <w:t>is evaluated using the qualitative research criteria of credibility, dependability, confirma</w:t>
      </w:r>
      <w:r w:rsidR="00CE1016">
        <w:rPr>
          <w:rFonts w:ascii="Calibri" w:hAnsi="Calibri" w:cs="Calibri"/>
          <w:sz w:val="24"/>
          <w:szCs w:val="24"/>
        </w:rPr>
        <w:t>bility and transferability. The study is assessed against each criterion to determine the overall trustwo</w:t>
      </w:r>
      <w:r w:rsidR="0087318A">
        <w:rPr>
          <w:rFonts w:ascii="Calibri" w:hAnsi="Calibri" w:cs="Calibri"/>
          <w:sz w:val="24"/>
          <w:szCs w:val="24"/>
        </w:rPr>
        <w:t xml:space="preserve">rthiness of its findings. </w:t>
      </w:r>
    </w:p>
    <w:p w14:paraId="45C3574E" w14:textId="114FD2C7" w:rsidR="0013205A" w:rsidRDefault="003A2AE5" w:rsidP="003A2AE5">
      <w:pPr>
        <w:pStyle w:val="Heading4"/>
      </w:pPr>
      <w:r>
        <w:t>Credibility</w:t>
      </w:r>
      <w:r w:rsidR="001B68F1">
        <w:t xml:space="preserve"> </w:t>
      </w:r>
    </w:p>
    <w:p w14:paraId="0C87E9F0" w14:textId="6144504D" w:rsidR="001B68F1" w:rsidRDefault="00E83A04" w:rsidP="0013205A">
      <w:pPr>
        <w:spacing w:line="360" w:lineRule="auto"/>
        <w:jc w:val="both"/>
        <w:rPr>
          <w:rFonts w:ascii="Calibri" w:hAnsi="Calibri" w:cs="Calibri"/>
          <w:sz w:val="24"/>
          <w:szCs w:val="24"/>
        </w:rPr>
      </w:pPr>
      <w:r>
        <w:rPr>
          <w:rFonts w:ascii="Calibri" w:hAnsi="Calibri" w:cs="Calibri"/>
          <w:sz w:val="24"/>
          <w:szCs w:val="24"/>
        </w:rPr>
        <w:t xml:space="preserve">The study demonstrates reasonable methodological credibility </w:t>
      </w:r>
      <w:r w:rsidR="00B6749A">
        <w:rPr>
          <w:rFonts w:ascii="Calibri" w:hAnsi="Calibri" w:cs="Calibri"/>
          <w:sz w:val="24"/>
          <w:szCs w:val="24"/>
        </w:rPr>
        <w:t>using semi-structured interviews</w:t>
      </w:r>
      <w:r w:rsidR="00D763B2">
        <w:rPr>
          <w:rFonts w:ascii="Calibri" w:hAnsi="Calibri" w:cs="Calibri"/>
          <w:sz w:val="24"/>
          <w:szCs w:val="24"/>
        </w:rPr>
        <w:t xml:space="preserve"> and documentary analysis. Collecting evidence </w:t>
      </w:r>
      <w:r w:rsidR="00261899">
        <w:rPr>
          <w:rFonts w:ascii="Calibri" w:hAnsi="Calibri" w:cs="Calibri"/>
          <w:sz w:val="24"/>
          <w:szCs w:val="24"/>
        </w:rPr>
        <w:t>from multiple institutional sources enables methodological triangulation</w:t>
      </w:r>
      <w:r w:rsidR="00F21BC5">
        <w:rPr>
          <w:rFonts w:ascii="Calibri" w:hAnsi="Calibri" w:cs="Calibri"/>
          <w:sz w:val="24"/>
          <w:szCs w:val="24"/>
        </w:rPr>
        <w:t>. This reduces dependence on a single form of evidence and strengthens confidence in the findings.</w:t>
      </w:r>
      <w:r w:rsidR="00FB78B9">
        <w:rPr>
          <w:rFonts w:ascii="Calibri" w:hAnsi="Calibri" w:cs="Calibri"/>
          <w:sz w:val="24"/>
          <w:szCs w:val="24"/>
        </w:rPr>
        <w:t xml:space="preserve"> The interview design allows participants to explain governance challenges within their organisational context</w:t>
      </w:r>
      <w:r w:rsidR="00666320">
        <w:rPr>
          <w:rFonts w:ascii="Calibri" w:hAnsi="Calibri" w:cs="Calibri"/>
          <w:sz w:val="24"/>
          <w:szCs w:val="24"/>
        </w:rPr>
        <w:t xml:space="preserve">. </w:t>
      </w:r>
      <w:r w:rsidR="00816C88">
        <w:rPr>
          <w:rFonts w:ascii="Calibri" w:hAnsi="Calibri" w:cs="Calibri"/>
          <w:sz w:val="24"/>
          <w:szCs w:val="24"/>
        </w:rPr>
        <w:t xml:space="preserve">However, there is limited evidence </w:t>
      </w:r>
      <w:r w:rsidR="00816C88">
        <w:rPr>
          <w:rFonts w:ascii="Calibri" w:hAnsi="Calibri" w:cs="Calibri"/>
          <w:sz w:val="24"/>
          <w:szCs w:val="24"/>
        </w:rPr>
        <w:lastRenderedPageBreak/>
        <w:t>of member checking to establish whether participants considered the researchers’ interpretations an accurate reflection of their experiences. Participant validation could have strengthened the credibility of the findings</w:t>
      </w:r>
      <w:r w:rsidR="00043EAA">
        <w:rPr>
          <w:rFonts w:ascii="Calibri" w:hAnsi="Calibri" w:cs="Calibri"/>
          <w:sz w:val="24"/>
          <w:szCs w:val="24"/>
        </w:rPr>
        <w:t xml:space="preserve"> (Dabis </w:t>
      </w:r>
      <w:r w:rsidR="00D82198">
        <w:rPr>
          <w:rFonts w:ascii="Calibri" w:hAnsi="Calibri" w:cs="Calibri"/>
          <w:sz w:val="24"/>
          <w:szCs w:val="24"/>
        </w:rPr>
        <w:t>and</w:t>
      </w:r>
      <w:r w:rsidR="00043EAA">
        <w:rPr>
          <w:rFonts w:ascii="Calibri" w:hAnsi="Calibri" w:cs="Calibri"/>
          <w:sz w:val="24"/>
          <w:szCs w:val="24"/>
        </w:rPr>
        <w:t xml:space="preserve"> Csaki, 2024; </w:t>
      </w:r>
      <w:r w:rsidR="0071715D">
        <w:rPr>
          <w:rFonts w:ascii="Calibri" w:hAnsi="Calibri" w:cs="Calibri"/>
          <w:sz w:val="24"/>
          <w:szCs w:val="24"/>
        </w:rPr>
        <w:t xml:space="preserve">Erdmann </w:t>
      </w:r>
      <w:r w:rsidR="00D82198">
        <w:rPr>
          <w:rFonts w:ascii="Calibri" w:hAnsi="Calibri" w:cs="Calibri"/>
          <w:sz w:val="24"/>
          <w:szCs w:val="24"/>
        </w:rPr>
        <w:t>and</w:t>
      </w:r>
      <w:r w:rsidR="0071715D">
        <w:rPr>
          <w:rFonts w:ascii="Calibri" w:hAnsi="Calibri" w:cs="Calibri"/>
          <w:sz w:val="24"/>
          <w:szCs w:val="24"/>
        </w:rPr>
        <w:t xml:space="preserve"> Potthoff, 2023). </w:t>
      </w:r>
    </w:p>
    <w:p w14:paraId="40350E53" w14:textId="3A7F0051" w:rsidR="00A30B93" w:rsidRDefault="00A30B93" w:rsidP="00A30B93">
      <w:pPr>
        <w:pStyle w:val="Heading4"/>
      </w:pPr>
      <w:r>
        <w:t>Dependability</w:t>
      </w:r>
    </w:p>
    <w:p w14:paraId="5BD87488" w14:textId="0BC6EFAF" w:rsidR="00BF7304" w:rsidRDefault="00A30B93" w:rsidP="0013205A">
      <w:pPr>
        <w:spacing w:line="360" w:lineRule="auto"/>
        <w:jc w:val="both"/>
        <w:rPr>
          <w:rFonts w:ascii="Calibri" w:hAnsi="Calibri" w:cs="Calibri"/>
          <w:sz w:val="24"/>
          <w:szCs w:val="24"/>
        </w:rPr>
      </w:pPr>
      <w:r>
        <w:rPr>
          <w:rFonts w:ascii="Calibri" w:hAnsi="Calibri" w:cs="Calibri"/>
          <w:sz w:val="24"/>
          <w:szCs w:val="24"/>
        </w:rPr>
        <w:t>This</w:t>
      </w:r>
      <w:r w:rsidR="00BF7304">
        <w:rPr>
          <w:rFonts w:ascii="Calibri" w:hAnsi="Calibri" w:cs="Calibri"/>
          <w:sz w:val="24"/>
          <w:szCs w:val="24"/>
        </w:rPr>
        <w:t xml:space="preserve"> </w:t>
      </w:r>
      <w:r w:rsidR="00733D8D">
        <w:rPr>
          <w:rFonts w:ascii="Calibri" w:hAnsi="Calibri" w:cs="Calibri"/>
          <w:sz w:val="24"/>
          <w:szCs w:val="24"/>
        </w:rPr>
        <w:t>is supported</w:t>
      </w:r>
      <w:r w:rsidR="00BF7304">
        <w:rPr>
          <w:rFonts w:ascii="Calibri" w:hAnsi="Calibri" w:cs="Calibri"/>
          <w:sz w:val="24"/>
          <w:szCs w:val="24"/>
        </w:rPr>
        <w:t xml:space="preserve"> through </w:t>
      </w:r>
      <w:r w:rsidR="00733D8D">
        <w:rPr>
          <w:rFonts w:ascii="Calibri" w:hAnsi="Calibri" w:cs="Calibri"/>
          <w:sz w:val="24"/>
          <w:szCs w:val="24"/>
        </w:rPr>
        <w:t>the author’s description of the research design and analytical</w:t>
      </w:r>
      <w:r w:rsidR="00BF7304">
        <w:rPr>
          <w:rFonts w:ascii="Calibri" w:hAnsi="Calibri" w:cs="Calibri"/>
          <w:sz w:val="24"/>
          <w:szCs w:val="24"/>
        </w:rPr>
        <w:t xml:space="preserve"> procedures. </w:t>
      </w:r>
      <w:r w:rsidR="009B604D">
        <w:rPr>
          <w:rFonts w:ascii="Calibri" w:hAnsi="Calibri" w:cs="Calibri"/>
          <w:sz w:val="24"/>
          <w:szCs w:val="24"/>
        </w:rPr>
        <w:t xml:space="preserve">However, the study provides </w:t>
      </w:r>
      <w:r w:rsidR="003B3B38">
        <w:rPr>
          <w:rFonts w:ascii="Calibri" w:hAnsi="Calibri" w:cs="Calibri"/>
          <w:sz w:val="24"/>
          <w:szCs w:val="24"/>
        </w:rPr>
        <w:t>limited detail regarding the coding framework</w:t>
      </w:r>
      <w:r w:rsidR="00770A34">
        <w:rPr>
          <w:rFonts w:ascii="Calibri" w:hAnsi="Calibri" w:cs="Calibri"/>
          <w:sz w:val="24"/>
          <w:szCs w:val="24"/>
        </w:rPr>
        <w:t xml:space="preserve">, theme development and procedures used to ensure analytical consistency. </w:t>
      </w:r>
      <w:r w:rsidR="004A6A59">
        <w:rPr>
          <w:rFonts w:ascii="Calibri" w:hAnsi="Calibri" w:cs="Calibri"/>
          <w:sz w:val="24"/>
          <w:szCs w:val="24"/>
        </w:rPr>
        <w:t xml:space="preserve">The absence of an explicit audit trail makes </w:t>
      </w:r>
      <w:r w:rsidR="002C2B37">
        <w:rPr>
          <w:rFonts w:ascii="Calibri" w:hAnsi="Calibri" w:cs="Calibri"/>
          <w:sz w:val="24"/>
          <w:szCs w:val="24"/>
        </w:rPr>
        <w:t>it</w:t>
      </w:r>
      <w:r w:rsidR="004A6A59">
        <w:rPr>
          <w:rFonts w:ascii="Calibri" w:hAnsi="Calibri" w:cs="Calibri"/>
          <w:sz w:val="24"/>
          <w:szCs w:val="24"/>
        </w:rPr>
        <w:t xml:space="preserve"> difficult for other researchers to assess how interpretations </w:t>
      </w:r>
      <w:r w:rsidR="002C2B37">
        <w:rPr>
          <w:rFonts w:ascii="Calibri" w:hAnsi="Calibri" w:cs="Calibri"/>
          <w:sz w:val="24"/>
          <w:szCs w:val="24"/>
        </w:rPr>
        <w:t>evolved throughout the analytical process. Greater transparency regarding coding decisions and researcher reflection would strengthen methodological rigour</w:t>
      </w:r>
      <w:r w:rsidR="00155061">
        <w:rPr>
          <w:rFonts w:ascii="Calibri" w:hAnsi="Calibri" w:cs="Calibri"/>
          <w:sz w:val="24"/>
          <w:szCs w:val="24"/>
        </w:rPr>
        <w:t xml:space="preserve"> (Dabis </w:t>
      </w:r>
      <w:r w:rsidR="00D82198">
        <w:rPr>
          <w:rFonts w:ascii="Calibri" w:hAnsi="Calibri" w:cs="Calibri"/>
          <w:sz w:val="24"/>
          <w:szCs w:val="24"/>
        </w:rPr>
        <w:t>and</w:t>
      </w:r>
      <w:r w:rsidR="00155061">
        <w:rPr>
          <w:rFonts w:ascii="Calibri" w:hAnsi="Calibri" w:cs="Calibri"/>
          <w:sz w:val="24"/>
          <w:szCs w:val="24"/>
        </w:rPr>
        <w:t xml:space="preserve"> Csaki, 2024; Reyes</w:t>
      </w:r>
      <w:r w:rsidR="003A5423">
        <w:rPr>
          <w:rFonts w:ascii="Calibri" w:hAnsi="Calibri" w:cs="Calibri"/>
          <w:sz w:val="24"/>
          <w:szCs w:val="24"/>
        </w:rPr>
        <w:t xml:space="preserve"> et al., </w:t>
      </w:r>
      <w:r w:rsidR="008002B9">
        <w:rPr>
          <w:rFonts w:ascii="Calibri" w:hAnsi="Calibri" w:cs="Calibri"/>
          <w:sz w:val="24"/>
          <w:szCs w:val="24"/>
        </w:rPr>
        <w:t>2024).</w:t>
      </w:r>
    </w:p>
    <w:p w14:paraId="575A9F2C" w14:textId="2BE576D4" w:rsidR="00333BE5" w:rsidRDefault="00333BE5" w:rsidP="00333BE5">
      <w:pPr>
        <w:pStyle w:val="Heading4"/>
      </w:pPr>
      <w:r>
        <w:t>Confirmability</w:t>
      </w:r>
    </w:p>
    <w:p w14:paraId="55C3E454" w14:textId="6A8560B4" w:rsidR="002C2B37" w:rsidRDefault="00E90C8E" w:rsidP="0013205A">
      <w:pPr>
        <w:spacing w:line="360" w:lineRule="auto"/>
        <w:jc w:val="both"/>
        <w:rPr>
          <w:rFonts w:ascii="Calibri" w:hAnsi="Calibri" w:cs="Calibri"/>
          <w:sz w:val="24"/>
          <w:szCs w:val="24"/>
        </w:rPr>
      </w:pPr>
      <w:r>
        <w:rPr>
          <w:rFonts w:ascii="Calibri" w:hAnsi="Calibri" w:cs="Calibri"/>
          <w:sz w:val="24"/>
          <w:szCs w:val="24"/>
        </w:rPr>
        <w:t xml:space="preserve">There are limitations </w:t>
      </w:r>
      <w:r w:rsidR="0088141E">
        <w:rPr>
          <w:rFonts w:ascii="Calibri" w:hAnsi="Calibri" w:cs="Calibri"/>
          <w:sz w:val="24"/>
          <w:szCs w:val="24"/>
        </w:rPr>
        <w:t>to</w:t>
      </w:r>
      <w:r>
        <w:rPr>
          <w:rFonts w:ascii="Calibri" w:hAnsi="Calibri" w:cs="Calibri"/>
          <w:sz w:val="24"/>
          <w:szCs w:val="24"/>
        </w:rPr>
        <w:t xml:space="preserve"> confirmability. Docu</w:t>
      </w:r>
      <w:r w:rsidR="0088141E">
        <w:rPr>
          <w:rFonts w:ascii="Calibri" w:hAnsi="Calibri" w:cs="Calibri"/>
          <w:sz w:val="24"/>
          <w:szCs w:val="24"/>
        </w:rPr>
        <w:t>mentary evidence complements interview data</w:t>
      </w:r>
      <w:r w:rsidR="00F12DA5">
        <w:rPr>
          <w:rFonts w:ascii="Calibri" w:hAnsi="Calibri" w:cs="Calibri"/>
          <w:sz w:val="24"/>
          <w:szCs w:val="24"/>
        </w:rPr>
        <w:t xml:space="preserve">. </w:t>
      </w:r>
      <w:r w:rsidR="00964E1A">
        <w:rPr>
          <w:rFonts w:ascii="Calibri" w:hAnsi="Calibri" w:cs="Calibri"/>
          <w:sz w:val="24"/>
          <w:szCs w:val="24"/>
        </w:rPr>
        <w:t>The study offers little discussion of how researchers addressed contradictory evidence or</w:t>
      </w:r>
      <w:r w:rsidR="00F12DA5">
        <w:rPr>
          <w:rFonts w:ascii="Calibri" w:hAnsi="Calibri" w:cs="Calibri"/>
          <w:sz w:val="24"/>
          <w:szCs w:val="24"/>
        </w:rPr>
        <w:t xml:space="preserve"> challenged their own interpretations during analysis. </w:t>
      </w:r>
      <w:r w:rsidR="00F56C57">
        <w:rPr>
          <w:rFonts w:ascii="Calibri" w:hAnsi="Calibri" w:cs="Calibri"/>
          <w:sz w:val="24"/>
          <w:szCs w:val="24"/>
        </w:rPr>
        <w:t xml:space="preserve">The absence of explicit reflective procedures raises the possibility that organisational narratives presented by </w:t>
      </w:r>
      <w:r w:rsidR="00964E1A">
        <w:rPr>
          <w:rFonts w:ascii="Calibri" w:hAnsi="Calibri" w:cs="Calibri"/>
          <w:sz w:val="24"/>
          <w:szCs w:val="24"/>
        </w:rPr>
        <w:t>senior HEI leadership</w:t>
      </w:r>
      <w:r w:rsidR="00F56C57">
        <w:rPr>
          <w:rFonts w:ascii="Calibri" w:hAnsi="Calibri" w:cs="Calibri"/>
          <w:sz w:val="24"/>
          <w:szCs w:val="24"/>
        </w:rPr>
        <w:t xml:space="preserve"> influenced the final interpretation</w:t>
      </w:r>
      <w:r w:rsidR="000668F3">
        <w:rPr>
          <w:rFonts w:ascii="Calibri" w:hAnsi="Calibri" w:cs="Calibri"/>
          <w:sz w:val="24"/>
          <w:szCs w:val="24"/>
        </w:rPr>
        <w:t xml:space="preserve"> (Olmos-Vega et al., 2023; </w:t>
      </w:r>
      <w:r w:rsidR="00C12D52">
        <w:rPr>
          <w:rFonts w:ascii="Calibri" w:hAnsi="Calibri" w:cs="Calibri"/>
          <w:sz w:val="24"/>
          <w:szCs w:val="24"/>
        </w:rPr>
        <w:t xml:space="preserve">Braun </w:t>
      </w:r>
      <w:r w:rsidR="00D82198">
        <w:rPr>
          <w:rFonts w:ascii="Calibri" w:hAnsi="Calibri" w:cs="Calibri"/>
          <w:sz w:val="24"/>
          <w:szCs w:val="24"/>
        </w:rPr>
        <w:t>and</w:t>
      </w:r>
      <w:r w:rsidR="00C12D52">
        <w:rPr>
          <w:rFonts w:ascii="Calibri" w:hAnsi="Calibri" w:cs="Calibri"/>
          <w:sz w:val="24"/>
          <w:szCs w:val="24"/>
        </w:rPr>
        <w:t xml:space="preserve"> Clarke, 2024</w:t>
      </w:r>
      <w:r w:rsidR="00FF50BD">
        <w:rPr>
          <w:rFonts w:ascii="Calibri" w:hAnsi="Calibri" w:cs="Calibri"/>
          <w:sz w:val="24"/>
          <w:szCs w:val="24"/>
        </w:rPr>
        <w:t xml:space="preserve">; Dabis </w:t>
      </w:r>
      <w:r w:rsidR="00D82198">
        <w:rPr>
          <w:rFonts w:ascii="Calibri" w:hAnsi="Calibri" w:cs="Calibri"/>
          <w:sz w:val="24"/>
          <w:szCs w:val="24"/>
        </w:rPr>
        <w:t>and</w:t>
      </w:r>
      <w:r w:rsidR="00FF50BD">
        <w:rPr>
          <w:rFonts w:ascii="Calibri" w:hAnsi="Calibri" w:cs="Calibri"/>
          <w:sz w:val="24"/>
          <w:szCs w:val="24"/>
        </w:rPr>
        <w:t xml:space="preserve"> Csaki, 2024</w:t>
      </w:r>
      <w:r w:rsidR="00C12D52">
        <w:rPr>
          <w:rFonts w:ascii="Calibri" w:hAnsi="Calibri" w:cs="Calibri"/>
          <w:sz w:val="24"/>
          <w:szCs w:val="24"/>
        </w:rPr>
        <w:t>)</w:t>
      </w:r>
      <w:r w:rsidR="00F56C57">
        <w:rPr>
          <w:rFonts w:ascii="Calibri" w:hAnsi="Calibri" w:cs="Calibri"/>
          <w:sz w:val="24"/>
          <w:szCs w:val="24"/>
        </w:rPr>
        <w:t xml:space="preserve">. </w:t>
      </w:r>
      <w:r w:rsidR="009A3E79">
        <w:rPr>
          <w:rFonts w:ascii="Calibri" w:hAnsi="Calibri" w:cs="Calibri"/>
          <w:sz w:val="24"/>
          <w:szCs w:val="24"/>
        </w:rPr>
        <w:t>Incorporating independent coding and peer debriefing would have strengthened confidence that the finding emerged from the data</w:t>
      </w:r>
      <w:r w:rsidR="007442D0">
        <w:rPr>
          <w:rFonts w:ascii="Calibri" w:hAnsi="Calibri" w:cs="Calibri"/>
          <w:sz w:val="24"/>
          <w:szCs w:val="24"/>
        </w:rPr>
        <w:t>,</w:t>
      </w:r>
      <w:r w:rsidR="009A3E79">
        <w:rPr>
          <w:rFonts w:ascii="Calibri" w:hAnsi="Calibri" w:cs="Calibri"/>
          <w:sz w:val="24"/>
          <w:szCs w:val="24"/>
        </w:rPr>
        <w:t xml:space="preserve"> </w:t>
      </w:r>
      <w:r w:rsidR="007442D0">
        <w:rPr>
          <w:rFonts w:ascii="Calibri" w:hAnsi="Calibri" w:cs="Calibri"/>
          <w:sz w:val="24"/>
          <w:szCs w:val="24"/>
        </w:rPr>
        <w:t>not only from</w:t>
      </w:r>
      <w:r w:rsidR="009A3E79">
        <w:rPr>
          <w:rFonts w:ascii="Calibri" w:hAnsi="Calibri" w:cs="Calibri"/>
          <w:sz w:val="24"/>
          <w:szCs w:val="24"/>
        </w:rPr>
        <w:t xml:space="preserve"> researcher assumptions. </w:t>
      </w:r>
    </w:p>
    <w:p w14:paraId="6C5F084E" w14:textId="011AD9C6" w:rsidR="00775A59" w:rsidRDefault="00775A59" w:rsidP="00775A59">
      <w:pPr>
        <w:pStyle w:val="Heading4"/>
      </w:pPr>
      <w:r>
        <w:t>Transferability</w:t>
      </w:r>
    </w:p>
    <w:p w14:paraId="7F79B135" w14:textId="26E37AD5" w:rsidR="009A3E79" w:rsidRDefault="00775A59" w:rsidP="0013205A">
      <w:pPr>
        <w:spacing w:line="360" w:lineRule="auto"/>
        <w:jc w:val="both"/>
        <w:rPr>
          <w:rFonts w:ascii="Calibri" w:hAnsi="Calibri" w:cs="Calibri"/>
          <w:sz w:val="24"/>
          <w:szCs w:val="24"/>
        </w:rPr>
      </w:pPr>
      <w:r>
        <w:rPr>
          <w:rFonts w:ascii="Calibri" w:hAnsi="Calibri" w:cs="Calibri"/>
          <w:sz w:val="24"/>
          <w:szCs w:val="24"/>
        </w:rPr>
        <w:t>This</w:t>
      </w:r>
      <w:r w:rsidR="009A3E79">
        <w:rPr>
          <w:rFonts w:ascii="Calibri" w:hAnsi="Calibri" w:cs="Calibri"/>
          <w:sz w:val="24"/>
          <w:szCs w:val="24"/>
        </w:rPr>
        <w:t xml:space="preserve"> represents another </w:t>
      </w:r>
      <w:r w:rsidR="00F849D2">
        <w:rPr>
          <w:rFonts w:ascii="Calibri" w:hAnsi="Calibri" w:cs="Calibri"/>
          <w:sz w:val="24"/>
          <w:szCs w:val="24"/>
        </w:rPr>
        <w:t xml:space="preserve">significant consideration. The participating universities operate within </w:t>
      </w:r>
      <w:r w:rsidR="008F6F32">
        <w:rPr>
          <w:rFonts w:ascii="Calibri" w:hAnsi="Calibri" w:cs="Calibri"/>
          <w:sz w:val="24"/>
          <w:szCs w:val="24"/>
        </w:rPr>
        <w:t xml:space="preserve">a </w:t>
      </w:r>
      <w:r w:rsidR="00F849D2">
        <w:rPr>
          <w:rFonts w:ascii="Calibri" w:hAnsi="Calibri" w:cs="Calibri"/>
          <w:sz w:val="24"/>
          <w:szCs w:val="24"/>
        </w:rPr>
        <w:t>specific institutional a</w:t>
      </w:r>
      <w:r w:rsidR="008F6F32">
        <w:rPr>
          <w:rFonts w:ascii="Calibri" w:hAnsi="Calibri" w:cs="Calibri"/>
          <w:sz w:val="24"/>
          <w:szCs w:val="24"/>
        </w:rPr>
        <w:t xml:space="preserve">nd regulatory environment. This limits the extent to which findings can be generalised across broader HEIs. </w:t>
      </w:r>
      <w:r w:rsidR="0029736E">
        <w:rPr>
          <w:rFonts w:ascii="Calibri" w:hAnsi="Calibri" w:cs="Calibri"/>
          <w:sz w:val="24"/>
          <w:szCs w:val="24"/>
        </w:rPr>
        <w:t xml:space="preserve">The study provides </w:t>
      </w:r>
      <w:r w:rsidR="001362E5">
        <w:rPr>
          <w:rFonts w:ascii="Calibri" w:hAnsi="Calibri" w:cs="Calibri"/>
          <w:sz w:val="24"/>
          <w:szCs w:val="24"/>
        </w:rPr>
        <w:t>a rich contextual description to assess whether</w:t>
      </w:r>
      <w:r w:rsidR="00B64B7C">
        <w:rPr>
          <w:rFonts w:ascii="Calibri" w:hAnsi="Calibri" w:cs="Calibri"/>
          <w:sz w:val="24"/>
          <w:szCs w:val="24"/>
        </w:rPr>
        <w:t xml:space="preserve"> the findings are applicable to comparable institutional s</w:t>
      </w:r>
      <w:r w:rsidR="001362E5">
        <w:rPr>
          <w:rFonts w:ascii="Calibri" w:hAnsi="Calibri" w:cs="Calibri"/>
          <w:sz w:val="24"/>
          <w:szCs w:val="24"/>
        </w:rPr>
        <w:t>ettings</w:t>
      </w:r>
      <w:r w:rsidR="00482555">
        <w:rPr>
          <w:rFonts w:ascii="Calibri" w:hAnsi="Calibri" w:cs="Calibri"/>
          <w:sz w:val="24"/>
          <w:szCs w:val="24"/>
        </w:rPr>
        <w:t xml:space="preserve"> (Dabis </w:t>
      </w:r>
      <w:r w:rsidR="00D82198">
        <w:rPr>
          <w:rFonts w:ascii="Calibri" w:hAnsi="Calibri" w:cs="Calibri"/>
          <w:sz w:val="24"/>
          <w:szCs w:val="24"/>
        </w:rPr>
        <w:t>and</w:t>
      </w:r>
      <w:r w:rsidR="00482555">
        <w:rPr>
          <w:rFonts w:ascii="Calibri" w:hAnsi="Calibri" w:cs="Calibri"/>
          <w:sz w:val="24"/>
          <w:szCs w:val="24"/>
        </w:rPr>
        <w:t xml:space="preserve"> Csaki, 2024; Johnson</w:t>
      </w:r>
      <w:r w:rsidR="003A5423">
        <w:rPr>
          <w:rFonts w:ascii="Calibri" w:hAnsi="Calibri" w:cs="Calibri"/>
          <w:sz w:val="24"/>
          <w:szCs w:val="24"/>
        </w:rPr>
        <w:t xml:space="preserve"> et al.,</w:t>
      </w:r>
      <w:r w:rsidR="00482555">
        <w:rPr>
          <w:rFonts w:ascii="Calibri" w:hAnsi="Calibri" w:cs="Calibri"/>
          <w:sz w:val="24"/>
          <w:szCs w:val="24"/>
        </w:rPr>
        <w:t xml:space="preserve"> 2020)</w:t>
      </w:r>
      <w:r w:rsidR="001362E5">
        <w:rPr>
          <w:rFonts w:ascii="Calibri" w:hAnsi="Calibri" w:cs="Calibri"/>
          <w:sz w:val="24"/>
          <w:szCs w:val="24"/>
        </w:rPr>
        <w:t xml:space="preserve">. Future research </w:t>
      </w:r>
      <w:r w:rsidR="00964E1A">
        <w:rPr>
          <w:rFonts w:ascii="Calibri" w:hAnsi="Calibri" w:cs="Calibri"/>
          <w:sz w:val="24"/>
          <w:szCs w:val="24"/>
        </w:rPr>
        <w:t>across universities with different institutional structures, missions,</w:t>
      </w:r>
      <w:r w:rsidR="001362E5">
        <w:rPr>
          <w:rFonts w:ascii="Calibri" w:hAnsi="Calibri" w:cs="Calibri"/>
          <w:sz w:val="24"/>
          <w:szCs w:val="24"/>
        </w:rPr>
        <w:t xml:space="preserve"> and levels of AI maturity would provide stronger evidence for theory development. </w:t>
      </w:r>
    </w:p>
    <w:p w14:paraId="246EDD95" w14:textId="1A3232F0" w:rsidR="00FB2F1C" w:rsidRDefault="00FB2F1C" w:rsidP="0013205A">
      <w:pPr>
        <w:spacing w:line="360" w:lineRule="auto"/>
        <w:jc w:val="both"/>
        <w:rPr>
          <w:rFonts w:ascii="Calibri" w:hAnsi="Calibri" w:cs="Calibri"/>
          <w:sz w:val="24"/>
          <w:szCs w:val="24"/>
        </w:rPr>
      </w:pPr>
      <w:r>
        <w:rPr>
          <w:rFonts w:ascii="Calibri" w:hAnsi="Calibri" w:cs="Calibri"/>
          <w:sz w:val="24"/>
          <w:szCs w:val="24"/>
        </w:rPr>
        <w:t xml:space="preserve">Overall, the </w:t>
      </w:r>
      <w:r w:rsidR="00964E1A">
        <w:rPr>
          <w:rFonts w:ascii="Calibri" w:hAnsi="Calibri" w:cs="Calibri"/>
          <w:sz w:val="24"/>
          <w:szCs w:val="24"/>
        </w:rPr>
        <w:t xml:space="preserve">study's methodological quality </w:t>
      </w:r>
      <w:r w:rsidR="00AC242B">
        <w:rPr>
          <w:rFonts w:ascii="Calibri" w:hAnsi="Calibri" w:cs="Calibri"/>
          <w:sz w:val="24"/>
          <w:szCs w:val="24"/>
        </w:rPr>
        <w:t xml:space="preserve">is appropriate for exploratory research into an emerging phenomenon. However, greater methodological transparency, broader stakeholder </w:t>
      </w:r>
      <w:r w:rsidR="00AC242B">
        <w:rPr>
          <w:rFonts w:ascii="Calibri" w:hAnsi="Calibri" w:cs="Calibri"/>
          <w:sz w:val="24"/>
          <w:szCs w:val="24"/>
        </w:rPr>
        <w:lastRenderedPageBreak/>
        <w:t>representation, and more explicit quality-assurance procedures would strengthen the credibility and robu</w:t>
      </w:r>
      <w:r w:rsidR="0095001A">
        <w:rPr>
          <w:rFonts w:ascii="Calibri" w:hAnsi="Calibri" w:cs="Calibri"/>
          <w:sz w:val="24"/>
          <w:szCs w:val="24"/>
        </w:rPr>
        <w:t>stness of conclusions</w:t>
      </w:r>
      <w:r w:rsidR="00025CA1">
        <w:rPr>
          <w:rFonts w:ascii="Calibri" w:hAnsi="Calibri" w:cs="Calibri"/>
          <w:sz w:val="24"/>
          <w:szCs w:val="24"/>
        </w:rPr>
        <w:t xml:space="preserve"> (Dabis </w:t>
      </w:r>
      <w:r w:rsidR="00D82198">
        <w:rPr>
          <w:rFonts w:ascii="Calibri" w:hAnsi="Calibri" w:cs="Calibri"/>
          <w:sz w:val="24"/>
          <w:szCs w:val="24"/>
        </w:rPr>
        <w:t>and</w:t>
      </w:r>
      <w:r w:rsidR="00025CA1">
        <w:rPr>
          <w:rFonts w:ascii="Calibri" w:hAnsi="Calibri" w:cs="Calibri"/>
          <w:sz w:val="24"/>
          <w:szCs w:val="24"/>
        </w:rPr>
        <w:t xml:space="preserve"> C</w:t>
      </w:r>
      <w:r w:rsidR="00283CD4">
        <w:rPr>
          <w:rFonts w:ascii="Calibri" w:hAnsi="Calibri" w:cs="Calibri"/>
          <w:sz w:val="24"/>
          <w:szCs w:val="24"/>
        </w:rPr>
        <w:t>saki, 2024; Cena et al., 2024).</w:t>
      </w:r>
    </w:p>
    <w:p w14:paraId="5D12979C" w14:textId="21819BBD" w:rsidR="0095001A" w:rsidRDefault="0095001A" w:rsidP="0095001A">
      <w:pPr>
        <w:pStyle w:val="Heading2"/>
      </w:pPr>
      <w:bookmarkStart w:id="96" w:name="_Toc237383393"/>
      <w:bookmarkStart w:id="97" w:name="_Toc237384228"/>
      <w:bookmarkStart w:id="98" w:name="_Toc237384948"/>
      <w:bookmarkStart w:id="99" w:name="_Toc237444970"/>
      <w:r>
        <w:t>4.5 Ethical Considerations</w:t>
      </w:r>
      <w:bookmarkEnd w:id="96"/>
      <w:bookmarkEnd w:id="97"/>
      <w:bookmarkEnd w:id="98"/>
      <w:bookmarkEnd w:id="99"/>
    </w:p>
    <w:p w14:paraId="351FD997" w14:textId="1B9CB09B" w:rsidR="0095001A" w:rsidRDefault="00816C88" w:rsidP="0013205A">
      <w:pPr>
        <w:spacing w:line="360" w:lineRule="auto"/>
        <w:jc w:val="both"/>
        <w:rPr>
          <w:rFonts w:ascii="Calibri" w:hAnsi="Calibri" w:cs="Calibri"/>
          <w:sz w:val="24"/>
          <w:szCs w:val="24"/>
        </w:rPr>
      </w:pPr>
      <w:r>
        <w:rPr>
          <w:rFonts w:ascii="Calibri" w:hAnsi="Calibri" w:cs="Calibri"/>
          <w:sz w:val="24"/>
          <w:szCs w:val="24"/>
        </w:rPr>
        <w:t>Ethical considerations extend beyond research approval and participant protection because AI governance is itself an ethically sensitive research subject</w:t>
      </w:r>
      <w:sdt>
        <w:sdtPr>
          <w:rPr>
            <w:rFonts w:ascii="Calibri" w:hAnsi="Calibri" w:cs="Calibri"/>
            <w:sz w:val="24"/>
            <w:szCs w:val="24"/>
          </w:rPr>
          <w:id w:val="-1617363693"/>
          <w:citation/>
        </w:sdtPr>
        <w:sdtContent>
          <w:r w:rsidR="000275F6">
            <w:rPr>
              <w:rFonts w:ascii="Calibri" w:hAnsi="Calibri" w:cs="Calibri"/>
              <w:sz w:val="24"/>
              <w:szCs w:val="24"/>
            </w:rPr>
            <w:fldChar w:fldCharType="begin"/>
          </w:r>
          <w:r w:rsidR="000275F6">
            <w:rPr>
              <w:rFonts w:ascii="Calibri" w:hAnsi="Calibri" w:cs="Calibri"/>
              <w:sz w:val="24"/>
              <w:szCs w:val="24"/>
            </w:rPr>
            <w:instrText xml:space="preserve"> CITATION Dab24 \l 2057 </w:instrText>
          </w:r>
          <w:r w:rsidR="000275F6">
            <w:rPr>
              <w:rFonts w:ascii="Calibri" w:hAnsi="Calibri" w:cs="Calibri"/>
              <w:sz w:val="24"/>
              <w:szCs w:val="24"/>
            </w:rPr>
            <w:fldChar w:fldCharType="separate"/>
          </w:r>
          <w:r w:rsidR="000275F6">
            <w:rPr>
              <w:rFonts w:ascii="Calibri" w:hAnsi="Calibri" w:cs="Calibri"/>
              <w:noProof/>
              <w:sz w:val="24"/>
              <w:szCs w:val="24"/>
            </w:rPr>
            <w:t xml:space="preserve"> </w:t>
          </w:r>
          <w:r w:rsidR="000275F6" w:rsidRPr="000275F6">
            <w:rPr>
              <w:rFonts w:ascii="Calibri" w:hAnsi="Calibri" w:cs="Calibri"/>
              <w:noProof/>
              <w:sz w:val="24"/>
              <w:szCs w:val="24"/>
            </w:rPr>
            <w:t>(Dabis &amp; Csaki, 2024)</w:t>
          </w:r>
          <w:r w:rsidR="000275F6">
            <w:rPr>
              <w:rFonts w:ascii="Calibri" w:hAnsi="Calibri" w:cs="Calibri"/>
              <w:sz w:val="24"/>
              <w:szCs w:val="24"/>
            </w:rPr>
            <w:fldChar w:fldCharType="end"/>
          </w:r>
        </w:sdtContent>
      </w:sdt>
      <w:r>
        <w:rPr>
          <w:rFonts w:ascii="Calibri" w:hAnsi="Calibri" w:cs="Calibri"/>
          <w:sz w:val="24"/>
          <w:szCs w:val="24"/>
        </w:rPr>
        <w:t>. Investigating institutional AI governance exposes weaknesses in oversight, accountability, risk management and strategic decision-making. Such disclosures affect institutional reputation and participants’ professional relationships. Confidentiality and organisational anonymity are significant, as participants may be reluctant to discuss governance failures or ethical concerns if their institution could be identified</w:t>
      </w:r>
      <w:r w:rsidR="000275F6">
        <w:rPr>
          <w:rFonts w:ascii="Calibri" w:hAnsi="Calibri" w:cs="Calibri"/>
          <w:sz w:val="24"/>
          <w:szCs w:val="24"/>
        </w:rPr>
        <w:t xml:space="preserve"> (Scheytt </w:t>
      </w:r>
      <w:r w:rsidR="00D82198">
        <w:rPr>
          <w:rFonts w:ascii="Calibri" w:hAnsi="Calibri" w:cs="Calibri"/>
          <w:sz w:val="24"/>
          <w:szCs w:val="24"/>
        </w:rPr>
        <w:t>and</w:t>
      </w:r>
      <w:r w:rsidR="000275F6">
        <w:rPr>
          <w:rFonts w:ascii="Calibri" w:hAnsi="Calibri" w:cs="Calibri"/>
          <w:sz w:val="24"/>
          <w:szCs w:val="24"/>
        </w:rPr>
        <w:t xml:space="preserve"> Pf</w:t>
      </w:r>
      <w:r w:rsidR="0041431A">
        <w:rPr>
          <w:rFonts w:ascii="Calibri" w:hAnsi="Calibri" w:cs="Calibri"/>
          <w:sz w:val="24"/>
          <w:szCs w:val="24"/>
        </w:rPr>
        <w:t>l</w:t>
      </w:r>
      <w:r w:rsidR="000275F6">
        <w:rPr>
          <w:rFonts w:ascii="Calibri" w:hAnsi="Calibri" w:cs="Calibri"/>
          <w:sz w:val="24"/>
          <w:szCs w:val="24"/>
        </w:rPr>
        <w:t xml:space="preserve">uger, 2024; Dabis </w:t>
      </w:r>
      <w:r w:rsidR="00D82198">
        <w:rPr>
          <w:rFonts w:ascii="Calibri" w:hAnsi="Calibri" w:cs="Calibri"/>
          <w:sz w:val="24"/>
          <w:szCs w:val="24"/>
        </w:rPr>
        <w:t>and</w:t>
      </w:r>
      <w:r w:rsidR="000275F6">
        <w:rPr>
          <w:rFonts w:ascii="Calibri" w:hAnsi="Calibri" w:cs="Calibri"/>
          <w:sz w:val="24"/>
          <w:szCs w:val="24"/>
        </w:rPr>
        <w:t xml:space="preserve"> Csaki, 2024). </w:t>
      </w:r>
    </w:p>
    <w:p w14:paraId="7FD128B1" w14:textId="7700AC03" w:rsidR="00EC1997" w:rsidRDefault="00EC1997" w:rsidP="0013205A">
      <w:pPr>
        <w:spacing w:line="360" w:lineRule="auto"/>
        <w:jc w:val="both"/>
        <w:rPr>
          <w:rFonts w:ascii="Calibri" w:hAnsi="Calibri" w:cs="Calibri"/>
          <w:sz w:val="24"/>
          <w:szCs w:val="24"/>
        </w:rPr>
      </w:pPr>
      <w:r>
        <w:rPr>
          <w:rFonts w:ascii="Calibri" w:hAnsi="Calibri" w:cs="Calibri"/>
          <w:sz w:val="24"/>
          <w:szCs w:val="24"/>
        </w:rPr>
        <w:t xml:space="preserve">Although </w:t>
      </w:r>
      <w:r w:rsidR="00570CA3">
        <w:rPr>
          <w:rFonts w:ascii="Calibri" w:hAnsi="Calibri" w:cs="Calibri"/>
          <w:sz w:val="24"/>
          <w:szCs w:val="24"/>
        </w:rPr>
        <w:t xml:space="preserve">Dabis and Csaki </w:t>
      </w:r>
      <w:r>
        <w:rPr>
          <w:rFonts w:ascii="Calibri" w:hAnsi="Calibri" w:cs="Calibri"/>
          <w:sz w:val="24"/>
          <w:szCs w:val="24"/>
        </w:rPr>
        <w:t xml:space="preserve">(2024) </w:t>
      </w:r>
      <w:r w:rsidR="0088456B">
        <w:rPr>
          <w:rFonts w:ascii="Calibri" w:hAnsi="Calibri" w:cs="Calibri"/>
          <w:sz w:val="24"/>
          <w:szCs w:val="24"/>
        </w:rPr>
        <w:t>recognise</w:t>
      </w:r>
      <w:r>
        <w:rPr>
          <w:rFonts w:ascii="Calibri" w:hAnsi="Calibri" w:cs="Calibri"/>
          <w:sz w:val="24"/>
          <w:szCs w:val="24"/>
        </w:rPr>
        <w:t xml:space="preserve"> the ethical </w:t>
      </w:r>
      <w:r w:rsidR="00E17CA4">
        <w:rPr>
          <w:rFonts w:ascii="Calibri" w:hAnsi="Calibri" w:cs="Calibri"/>
          <w:sz w:val="24"/>
          <w:szCs w:val="24"/>
        </w:rPr>
        <w:t xml:space="preserve">sensitivity of AI governance, their discussion of research ethics </w:t>
      </w:r>
      <w:r w:rsidR="00FD516D">
        <w:rPr>
          <w:rFonts w:ascii="Calibri" w:hAnsi="Calibri" w:cs="Calibri"/>
          <w:sz w:val="24"/>
          <w:szCs w:val="24"/>
        </w:rPr>
        <w:t>is</w:t>
      </w:r>
      <w:r w:rsidR="00E17CA4">
        <w:rPr>
          <w:rFonts w:ascii="Calibri" w:hAnsi="Calibri" w:cs="Calibri"/>
          <w:sz w:val="24"/>
          <w:szCs w:val="24"/>
        </w:rPr>
        <w:t xml:space="preserve"> limited. </w:t>
      </w:r>
      <w:r w:rsidR="00C22DCD">
        <w:rPr>
          <w:rFonts w:ascii="Calibri" w:hAnsi="Calibri" w:cs="Calibri"/>
          <w:sz w:val="24"/>
          <w:szCs w:val="24"/>
        </w:rPr>
        <w:t xml:space="preserve">The study </w:t>
      </w:r>
      <w:r w:rsidR="00964E1A">
        <w:rPr>
          <w:rFonts w:ascii="Calibri" w:hAnsi="Calibri" w:cs="Calibri"/>
          <w:sz w:val="24"/>
          <w:szCs w:val="24"/>
        </w:rPr>
        <w:t>provides insufficient detail on</w:t>
      </w:r>
      <w:r w:rsidR="00C22DCD">
        <w:rPr>
          <w:rFonts w:ascii="Calibri" w:hAnsi="Calibri" w:cs="Calibri"/>
          <w:sz w:val="24"/>
          <w:szCs w:val="24"/>
        </w:rPr>
        <w:t xml:space="preserve"> informed consent procedure</w:t>
      </w:r>
      <w:r w:rsidR="007A3CFA">
        <w:rPr>
          <w:rFonts w:ascii="Calibri" w:hAnsi="Calibri" w:cs="Calibri"/>
          <w:sz w:val="24"/>
          <w:szCs w:val="24"/>
        </w:rPr>
        <w:t>s, participant anonymity, secure data management, and compliance</w:t>
      </w:r>
      <w:r w:rsidR="00897C3C">
        <w:rPr>
          <w:rFonts w:ascii="Calibri" w:hAnsi="Calibri" w:cs="Calibri"/>
          <w:sz w:val="24"/>
          <w:szCs w:val="24"/>
        </w:rPr>
        <w:t xml:space="preserve"> with institutional ethical approval requirements. </w:t>
      </w:r>
      <w:r w:rsidR="00F70627">
        <w:rPr>
          <w:rFonts w:ascii="Calibri" w:hAnsi="Calibri" w:cs="Calibri"/>
          <w:sz w:val="24"/>
          <w:szCs w:val="24"/>
        </w:rPr>
        <w:t>Enhanced</w:t>
      </w:r>
      <w:r w:rsidR="007442D0">
        <w:rPr>
          <w:rFonts w:ascii="Calibri" w:hAnsi="Calibri" w:cs="Calibri"/>
          <w:sz w:val="24"/>
          <w:szCs w:val="24"/>
        </w:rPr>
        <w:t xml:space="preserve"> transparency in these procedures </w:t>
      </w:r>
      <w:r w:rsidR="00F70627">
        <w:rPr>
          <w:rFonts w:ascii="Calibri" w:hAnsi="Calibri" w:cs="Calibri"/>
          <w:sz w:val="24"/>
          <w:szCs w:val="24"/>
        </w:rPr>
        <w:t xml:space="preserve">would increase </w:t>
      </w:r>
      <w:r w:rsidR="007442D0">
        <w:rPr>
          <w:rFonts w:ascii="Calibri" w:hAnsi="Calibri" w:cs="Calibri"/>
          <w:sz w:val="24"/>
          <w:szCs w:val="24"/>
        </w:rPr>
        <w:t>confidence in the research's ethical integrity.</w:t>
      </w:r>
    </w:p>
    <w:p w14:paraId="6EBDC737" w14:textId="309711AB" w:rsidR="00C840CA" w:rsidRDefault="00C840CA" w:rsidP="0013205A">
      <w:pPr>
        <w:spacing w:line="360" w:lineRule="auto"/>
        <w:jc w:val="both"/>
        <w:rPr>
          <w:rFonts w:ascii="Calibri" w:hAnsi="Calibri" w:cs="Calibri"/>
          <w:sz w:val="24"/>
          <w:szCs w:val="24"/>
        </w:rPr>
      </w:pPr>
      <w:r>
        <w:rPr>
          <w:rFonts w:ascii="Calibri" w:hAnsi="Calibri" w:cs="Calibri"/>
          <w:sz w:val="24"/>
          <w:szCs w:val="24"/>
        </w:rPr>
        <w:t xml:space="preserve">Ethical considerations </w:t>
      </w:r>
      <w:r w:rsidR="00AE0B9A">
        <w:rPr>
          <w:rFonts w:ascii="Calibri" w:hAnsi="Calibri" w:cs="Calibri"/>
          <w:sz w:val="24"/>
          <w:szCs w:val="24"/>
        </w:rPr>
        <w:t>are inherent</w:t>
      </w:r>
      <w:r>
        <w:rPr>
          <w:rFonts w:ascii="Calibri" w:hAnsi="Calibri" w:cs="Calibri"/>
          <w:sz w:val="24"/>
          <w:szCs w:val="24"/>
        </w:rPr>
        <w:t xml:space="preserve"> </w:t>
      </w:r>
      <w:r w:rsidR="00AE0B9A">
        <w:rPr>
          <w:rFonts w:ascii="Calibri" w:hAnsi="Calibri" w:cs="Calibri"/>
          <w:sz w:val="24"/>
          <w:szCs w:val="24"/>
        </w:rPr>
        <w:t>in</w:t>
      </w:r>
      <w:r>
        <w:rPr>
          <w:rFonts w:ascii="Calibri" w:hAnsi="Calibri" w:cs="Calibri"/>
          <w:sz w:val="24"/>
          <w:szCs w:val="24"/>
        </w:rPr>
        <w:t xml:space="preserve"> </w:t>
      </w:r>
      <w:r w:rsidR="00964E1A">
        <w:rPr>
          <w:rFonts w:ascii="Calibri" w:hAnsi="Calibri" w:cs="Calibri"/>
          <w:sz w:val="24"/>
          <w:szCs w:val="24"/>
        </w:rPr>
        <w:t>interpreting</w:t>
      </w:r>
      <w:r>
        <w:rPr>
          <w:rFonts w:ascii="Calibri" w:hAnsi="Calibri" w:cs="Calibri"/>
          <w:sz w:val="24"/>
          <w:szCs w:val="24"/>
        </w:rPr>
        <w:t xml:space="preserve"> qualitative data. </w:t>
      </w:r>
      <w:r w:rsidR="00991E0B">
        <w:rPr>
          <w:rFonts w:ascii="Calibri" w:hAnsi="Calibri" w:cs="Calibri"/>
          <w:sz w:val="24"/>
          <w:szCs w:val="24"/>
        </w:rPr>
        <w:t>Researcher</w:t>
      </w:r>
      <w:r w:rsidR="00034388">
        <w:rPr>
          <w:rFonts w:ascii="Calibri" w:hAnsi="Calibri" w:cs="Calibri"/>
          <w:sz w:val="24"/>
          <w:szCs w:val="24"/>
        </w:rPr>
        <w:t>s</w:t>
      </w:r>
      <w:r w:rsidR="00991E0B">
        <w:rPr>
          <w:rFonts w:ascii="Calibri" w:hAnsi="Calibri" w:cs="Calibri"/>
          <w:sz w:val="24"/>
          <w:szCs w:val="24"/>
        </w:rPr>
        <w:t xml:space="preserve"> investigating AI governance </w:t>
      </w:r>
      <w:r w:rsidR="00964E1A">
        <w:rPr>
          <w:rFonts w:ascii="Calibri" w:hAnsi="Calibri" w:cs="Calibri"/>
          <w:sz w:val="24"/>
          <w:szCs w:val="24"/>
        </w:rPr>
        <w:t>must focus on fairness, accountability, transparency,</w:t>
      </w:r>
      <w:r w:rsidR="005D4B3D">
        <w:rPr>
          <w:rFonts w:ascii="Calibri" w:hAnsi="Calibri" w:cs="Calibri"/>
          <w:sz w:val="24"/>
          <w:szCs w:val="24"/>
        </w:rPr>
        <w:t xml:space="preserve"> and institutional responsibility. </w:t>
      </w:r>
      <w:r w:rsidR="00E22115">
        <w:rPr>
          <w:rFonts w:ascii="Calibri" w:hAnsi="Calibri" w:cs="Calibri"/>
          <w:sz w:val="24"/>
          <w:szCs w:val="24"/>
        </w:rPr>
        <w:t xml:space="preserve">These normative concepts </w:t>
      </w:r>
      <w:r w:rsidR="00B84C78">
        <w:rPr>
          <w:rFonts w:ascii="Calibri" w:hAnsi="Calibri" w:cs="Calibri"/>
          <w:sz w:val="24"/>
          <w:szCs w:val="24"/>
        </w:rPr>
        <w:t>shape data interpretation when researchers prioritise</w:t>
      </w:r>
      <w:r w:rsidR="004A289F">
        <w:rPr>
          <w:rFonts w:ascii="Calibri" w:hAnsi="Calibri" w:cs="Calibri"/>
          <w:sz w:val="24"/>
          <w:szCs w:val="24"/>
        </w:rPr>
        <w:t xml:space="preserve"> ethical perspectives over alternative </w:t>
      </w:r>
      <w:r w:rsidR="00107CDD">
        <w:rPr>
          <w:rFonts w:ascii="Calibri" w:hAnsi="Calibri" w:cs="Calibri"/>
          <w:sz w:val="24"/>
          <w:szCs w:val="24"/>
        </w:rPr>
        <w:t>viewpoints</w:t>
      </w:r>
      <w:r w:rsidR="004A289F">
        <w:rPr>
          <w:rFonts w:ascii="Calibri" w:hAnsi="Calibri" w:cs="Calibri"/>
          <w:sz w:val="24"/>
          <w:szCs w:val="24"/>
        </w:rPr>
        <w:t xml:space="preserve">. </w:t>
      </w:r>
      <w:r w:rsidR="00402DA5">
        <w:rPr>
          <w:rFonts w:ascii="Calibri" w:hAnsi="Calibri" w:cs="Calibri"/>
          <w:sz w:val="24"/>
          <w:szCs w:val="24"/>
        </w:rPr>
        <w:t>Sus</w:t>
      </w:r>
      <w:r w:rsidR="00422741">
        <w:rPr>
          <w:rFonts w:ascii="Calibri" w:hAnsi="Calibri" w:cs="Calibri"/>
          <w:sz w:val="24"/>
          <w:szCs w:val="24"/>
        </w:rPr>
        <w:t>tained</w:t>
      </w:r>
      <w:r w:rsidR="00F9161B">
        <w:rPr>
          <w:rFonts w:ascii="Calibri" w:hAnsi="Calibri" w:cs="Calibri"/>
          <w:sz w:val="24"/>
          <w:szCs w:val="24"/>
        </w:rPr>
        <w:t xml:space="preserve"> refle</w:t>
      </w:r>
      <w:r w:rsidR="004B52C8">
        <w:rPr>
          <w:rFonts w:ascii="Calibri" w:hAnsi="Calibri" w:cs="Calibri"/>
          <w:sz w:val="24"/>
          <w:szCs w:val="24"/>
        </w:rPr>
        <w:t xml:space="preserve">xivity </w:t>
      </w:r>
      <w:r w:rsidR="00422741">
        <w:rPr>
          <w:rFonts w:ascii="Calibri" w:hAnsi="Calibri" w:cs="Calibri"/>
          <w:sz w:val="24"/>
          <w:szCs w:val="24"/>
        </w:rPr>
        <w:t xml:space="preserve">during </w:t>
      </w:r>
      <w:r w:rsidR="004B52C8">
        <w:rPr>
          <w:rFonts w:ascii="Calibri" w:hAnsi="Calibri" w:cs="Calibri"/>
          <w:sz w:val="24"/>
          <w:szCs w:val="24"/>
        </w:rPr>
        <w:t>data collection and ana</w:t>
      </w:r>
      <w:r w:rsidR="00924E59">
        <w:rPr>
          <w:rFonts w:ascii="Calibri" w:hAnsi="Calibri" w:cs="Calibri"/>
          <w:sz w:val="24"/>
          <w:szCs w:val="24"/>
        </w:rPr>
        <w:t>lysis represents an important safeguard against unconscious bias</w:t>
      </w:r>
      <w:r w:rsidR="003B1BC1">
        <w:rPr>
          <w:rFonts w:ascii="Calibri" w:hAnsi="Calibri" w:cs="Calibri"/>
          <w:sz w:val="24"/>
          <w:szCs w:val="24"/>
        </w:rPr>
        <w:t xml:space="preserve"> (Dabis </w:t>
      </w:r>
      <w:r w:rsidR="00D82198">
        <w:rPr>
          <w:rFonts w:ascii="Calibri" w:hAnsi="Calibri" w:cs="Calibri"/>
          <w:sz w:val="24"/>
          <w:szCs w:val="24"/>
        </w:rPr>
        <w:t>and</w:t>
      </w:r>
      <w:r w:rsidR="003B1BC1">
        <w:rPr>
          <w:rFonts w:ascii="Calibri" w:hAnsi="Calibri" w:cs="Calibri"/>
          <w:sz w:val="24"/>
          <w:szCs w:val="24"/>
        </w:rPr>
        <w:t xml:space="preserve"> Csaki, </w:t>
      </w:r>
      <w:r w:rsidR="00E66FAB">
        <w:rPr>
          <w:rFonts w:ascii="Calibri" w:hAnsi="Calibri" w:cs="Calibri"/>
          <w:sz w:val="24"/>
          <w:szCs w:val="24"/>
        </w:rPr>
        <w:t xml:space="preserve">2024; Britchenko </w:t>
      </w:r>
      <w:r w:rsidR="00D82198">
        <w:rPr>
          <w:rFonts w:ascii="Calibri" w:hAnsi="Calibri" w:cs="Calibri"/>
          <w:sz w:val="24"/>
          <w:szCs w:val="24"/>
        </w:rPr>
        <w:t>and</w:t>
      </w:r>
      <w:r w:rsidR="00E66FAB">
        <w:rPr>
          <w:rFonts w:ascii="Calibri" w:hAnsi="Calibri" w:cs="Calibri"/>
          <w:sz w:val="24"/>
          <w:szCs w:val="24"/>
        </w:rPr>
        <w:t xml:space="preserve"> Lysiak, 2025)</w:t>
      </w:r>
      <w:r w:rsidR="00924E59">
        <w:rPr>
          <w:rFonts w:ascii="Calibri" w:hAnsi="Calibri" w:cs="Calibri"/>
          <w:sz w:val="24"/>
          <w:szCs w:val="24"/>
        </w:rPr>
        <w:t>.</w:t>
      </w:r>
    </w:p>
    <w:p w14:paraId="2762D1A8" w14:textId="43CA113E" w:rsidR="00924E59" w:rsidRDefault="002337C2" w:rsidP="0013205A">
      <w:pPr>
        <w:spacing w:line="360" w:lineRule="auto"/>
        <w:jc w:val="both"/>
        <w:rPr>
          <w:rFonts w:ascii="Calibri" w:hAnsi="Calibri" w:cs="Calibri"/>
          <w:sz w:val="24"/>
          <w:szCs w:val="24"/>
        </w:rPr>
      </w:pPr>
      <w:r>
        <w:rPr>
          <w:rFonts w:ascii="Calibri" w:hAnsi="Calibri" w:cs="Calibri"/>
          <w:sz w:val="24"/>
          <w:szCs w:val="24"/>
        </w:rPr>
        <w:t xml:space="preserve">A further ethical issue </w:t>
      </w:r>
      <w:r w:rsidR="008452EF">
        <w:rPr>
          <w:rFonts w:ascii="Calibri" w:hAnsi="Calibri" w:cs="Calibri"/>
          <w:sz w:val="24"/>
          <w:szCs w:val="24"/>
        </w:rPr>
        <w:t>relates</w:t>
      </w:r>
      <w:r>
        <w:rPr>
          <w:rFonts w:ascii="Calibri" w:hAnsi="Calibri" w:cs="Calibri"/>
          <w:sz w:val="24"/>
          <w:szCs w:val="24"/>
        </w:rPr>
        <w:t xml:space="preserve"> to representation. The study relies primarily </w:t>
      </w:r>
      <w:r w:rsidR="008452EF">
        <w:rPr>
          <w:rFonts w:ascii="Calibri" w:hAnsi="Calibri" w:cs="Calibri"/>
          <w:sz w:val="24"/>
          <w:szCs w:val="24"/>
        </w:rPr>
        <w:t xml:space="preserve">on </w:t>
      </w:r>
      <w:r w:rsidR="00964E1A">
        <w:rPr>
          <w:rFonts w:ascii="Calibri" w:hAnsi="Calibri" w:cs="Calibri"/>
          <w:sz w:val="24"/>
          <w:szCs w:val="24"/>
        </w:rPr>
        <w:t xml:space="preserve">senior management perspectives, </w:t>
      </w:r>
      <w:r w:rsidR="00616723">
        <w:rPr>
          <w:rFonts w:ascii="Calibri" w:hAnsi="Calibri" w:cs="Calibri"/>
          <w:sz w:val="24"/>
          <w:szCs w:val="24"/>
        </w:rPr>
        <w:t xml:space="preserve">marginalising the experiences of academic staff and learners (Dabis </w:t>
      </w:r>
      <w:r w:rsidR="00D82198">
        <w:rPr>
          <w:rFonts w:ascii="Calibri" w:hAnsi="Calibri" w:cs="Calibri"/>
          <w:sz w:val="24"/>
          <w:szCs w:val="24"/>
        </w:rPr>
        <w:t>and</w:t>
      </w:r>
      <w:r w:rsidR="00616723">
        <w:rPr>
          <w:rFonts w:ascii="Calibri" w:hAnsi="Calibri" w:cs="Calibri"/>
          <w:sz w:val="24"/>
          <w:szCs w:val="24"/>
        </w:rPr>
        <w:t xml:space="preserve"> Csaki</w:t>
      </w:r>
      <w:r w:rsidR="00E66FAB">
        <w:rPr>
          <w:rFonts w:ascii="Calibri" w:hAnsi="Calibri" w:cs="Calibri"/>
          <w:sz w:val="24"/>
          <w:szCs w:val="24"/>
        </w:rPr>
        <w:t>, 2024</w:t>
      </w:r>
      <w:r w:rsidR="00616723">
        <w:rPr>
          <w:rFonts w:ascii="Calibri" w:hAnsi="Calibri" w:cs="Calibri"/>
          <w:sz w:val="24"/>
          <w:szCs w:val="24"/>
        </w:rPr>
        <w:t xml:space="preserve">). Ethical qualitative research requires balanced representation of all stakeholder groups. Incorporating diverse perspectives </w:t>
      </w:r>
      <w:r w:rsidR="0072750F">
        <w:rPr>
          <w:rFonts w:ascii="Calibri" w:hAnsi="Calibri" w:cs="Calibri"/>
          <w:sz w:val="24"/>
          <w:szCs w:val="24"/>
        </w:rPr>
        <w:t xml:space="preserve">strengthens procedural fairness and the legitimacy of governance research. </w:t>
      </w:r>
    </w:p>
    <w:p w14:paraId="37D20C97" w14:textId="55E47FCE" w:rsidR="00445AEA" w:rsidRDefault="00445AEA" w:rsidP="00445AEA">
      <w:pPr>
        <w:pStyle w:val="Heading2"/>
      </w:pPr>
      <w:bookmarkStart w:id="100" w:name="_Toc237383394"/>
      <w:bookmarkStart w:id="101" w:name="_Toc237384229"/>
      <w:bookmarkStart w:id="102" w:name="_Toc237384949"/>
      <w:bookmarkStart w:id="103" w:name="_Toc237444971"/>
      <w:r>
        <w:t>4.6 Critical Appraisal</w:t>
      </w:r>
      <w:bookmarkEnd w:id="100"/>
      <w:bookmarkEnd w:id="101"/>
      <w:bookmarkEnd w:id="102"/>
      <w:bookmarkEnd w:id="103"/>
      <w:r>
        <w:t xml:space="preserve"> </w:t>
      </w:r>
    </w:p>
    <w:p w14:paraId="5F9423AC" w14:textId="539424BD" w:rsidR="00230C88" w:rsidRDefault="00570CA3" w:rsidP="0013205A">
      <w:pPr>
        <w:spacing w:line="360" w:lineRule="auto"/>
        <w:jc w:val="both"/>
        <w:rPr>
          <w:rFonts w:ascii="Calibri" w:hAnsi="Calibri" w:cs="Calibri"/>
          <w:sz w:val="24"/>
          <w:szCs w:val="24"/>
        </w:rPr>
      </w:pPr>
      <w:r>
        <w:rPr>
          <w:rFonts w:ascii="Calibri" w:hAnsi="Calibri" w:cs="Calibri"/>
          <w:sz w:val="24"/>
          <w:szCs w:val="24"/>
        </w:rPr>
        <w:t xml:space="preserve">Dabis and Csaki </w:t>
      </w:r>
      <w:r w:rsidR="00445AEA">
        <w:rPr>
          <w:rFonts w:ascii="Calibri" w:hAnsi="Calibri" w:cs="Calibri"/>
          <w:sz w:val="24"/>
          <w:szCs w:val="24"/>
        </w:rPr>
        <w:t>(2024)</w:t>
      </w:r>
      <w:r w:rsidR="004A0F47">
        <w:rPr>
          <w:rFonts w:ascii="Calibri" w:hAnsi="Calibri" w:cs="Calibri"/>
          <w:sz w:val="24"/>
          <w:szCs w:val="24"/>
        </w:rPr>
        <w:t xml:space="preserve"> contribute to the </w:t>
      </w:r>
      <w:r w:rsidR="00445AEA">
        <w:rPr>
          <w:rFonts w:ascii="Calibri" w:hAnsi="Calibri" w:cs="Calibri"/>
          <w:sz w:val="24"/>
          <w:szCs w:val="24"/>
        </w:rPr>
        <w:t xml:space="preserve">emerging literature on AI governance by </w:t>
      </w:r>
      <w:r w:rsidR="00A42AF3">
        <w:rPr>
          <w:rFonts w:ascii="Calibri" w:hAnsi="Calibri" w:cs="Calibri"/>
          <w:sz w:val="24"/>
          <w:szCs w:val="24"/>
        </w:rPr>
        <w:t>framing</w:t>
      </w:r>
      <w:r w:rsidR="00445AEA">
        <w:rPr>
          <w:rFonts w:ascii="Calibri" w:hAnsi="Calibri" w:cs="Calibri"/>
          <w:sz w:val="24"/>
          <w:szCs w:val="24"/>
        </w:rPr>
        <w:t xml:space="preserve"> AI as an organisational and strategic challenge. The</w:t>
      </w:r>
      <w:r w:rsidR="00A42AF3">
        <w:rPr>
          <w:rFonts w:ascii="Calibri" w:hAnsi="Calibri" w:cs="Calibri"/>
          <w:sz w:val="24"/>
          <w:szCs w:val="24"/>
        </w:rPr>
        <w:t>ir</w:t>
      </w:r>
      <w:r w:rsidR="00445AEA">
        <w:rPr>
          <w:rFonts w:ascii="Calibri" w:hAnsi="Calibri" w:cs="Calibri"/>
          <w:sz w:val="24"/>
          <w:szCs w:val="24"/>
        </w:rPr>
        <w:t xml:space="preserve"> study demonstrates that effective </w:t>
      </w:r>
      <w:r w:rsidR="00445AEA">
        <w:rPr>
          <w:rFonts w:ascii="Calibri" w:hAnsi="Calibri" w:cs="Calibri"/>
          <w:sz w:val="24"/>
          <w:szCs w:val="24"/>
        </w:rPr>
        <w:lastRenderedPageBreak/>
        <w:t xml:space="preserve">governance </w:t>
      </w:r>
      <w:r w:rsidR="00D25BE2">
        <w:rPr>
          <w:rFonts w:ascii="Calibri" w:hAnsi="Calibri" w:cs="Calibri"/>
          <w:sz w:val="24"/>
          <w:szCs w:val="24"/>
        </w:rPr>
        <w:t>relies</w:t>
      </w:r>
      <w:r w:rsidR="00445AEA">
        <w:rPr>
          <w:rFonts w:ascii="Calibri" w:hAnsi="Calibri" w:cs="Calibri"/>
          <w:sz w:val="24"/>
          <w:szCs w:val="24"/>
        </w:rPr>
        <w:t xml:space="preserve"> on institutional leadership, organisational culture and stakeholder engagement. </w:t>
      </w:r>
      <w:r w:rsidR="00D25BE2">
        <w:rPr>
          <w:rFonts w:ascii="Calibri" w:hAnsi="Calibri" w:cs="Calibri"/>
          <w:sz w:val="24"/>
          <w:szCs w:val="24"/>
        </w:rPr>
        <w:t>Furthermore, the research</w:t>
      </w:r>
      <w:r w:rsidR="00230C88">
        <w:rPr>
          <w:rFonts w:ascii="Calibri" w:hAnsi="Calibri" w:cs="Calibri"/>
          <w:sz w:val="24"/>
          <w:szCs w:val="24"/>
        </w:rPr>
        <w:t xml:space="preserve"> broadens the discussion from technical adoption to encompass organisational governance capability. This shift </w:t>
      </w:r>
      <w:r w:rsidR="00964E1A">
        <w:rPr>
          <w:rFonts w:ascii="Calibri" w:hAnsi="Calibri" w:cs="Calibri"/>
          <w:sz w:val="24"/>
          <w:szCs w:val="24"/>
        </w:rPr>
        <w:t>matters for HE studies because the literature remains less developed on governance than on technical adoption, suggesting governance is often</w:t>
      </w:r>
      <w:r w:rsidR="00666CFA">
        <w:rPr>
          <w:rFonts w:ascii="Calibri" w:hAnsi="Calibri" w:cs="Calibri"/>
          <w:sz w:val="24"/>
          <w:szCs w:val="24"/>
        </w:rPr>
        <w:t xml:space="preserve"> ignored. </w:t>
      </w:r>
    </w:p>
    <w:p w14:paraId="57307CA9" w14:textId="7357F685" w:rsidR="00445AEA" w:rsidRDefault="00445AEA" w:rsidP="0013205A">
      <w:pPr>
        <w:spacing w:line="360" w:lineRule="auto"/>
        <w:jc w:val="both"/>
        <w:rPr>
          <w:rFonts w:ascii="Calibri" w:hAnsi="Calibri" w:cs="Calibri"/>
          <w:sz w:val="24"/>
          <w:szCs w:val="24"/>
        </w:rPr>
      </w:pPr>
      <w:r>
        <w:rPr>
          <w:rFonts w:ascii="Calibri" w:hAnsi="Calibri" w:cs="Calibri"/>
          <w:sz w:val="24"/>
          <w:szCs w:val="24"/>
        </w:rPr>
        <w:t>Despite these strengths, several limitations limit the study’s explanatory power. First, the research adopts a predominantly descriptive approach</w:t>
      </w:r>
      <w:sdt>
        <w:sdtPr>
          <w:rPr>
            <w:rFonts w:ascii="Calibri" w:hAnsi="Calibri" w:cs="Calibri"/>
            <w:sz w:val="24"/>
            <w:szCs w:val="24"/>
          </w:rPr>
          <w:id w:val="-370765347"/>
          <w:citation/>
        </w:sdtPr>
        <w:sdtContent>
          <w:r w:rsidR="00BD5825">
            <w:rPr>
              <w:rFonts w:ascii="Calibri" w:hAnsi="Calibri" w:cs="Calibri"/>
              <w:sz w:val="24"/>
              <w:szCs w:val="24"/>
            </w:rPr>
            <w:fldChar w:fldCharType="begin"/>
          </w:r>
          <w:r w:rsidR="00BD5825">
            <w:rPr>
              <w:rFonts w:ascii="Calibri" w:hAnsi="Calibri" w:cs="Calibri"/>
              <w:sz w:val="24"/>
              <w:szCs w:val="24"/>
            </w:rPr>
            <w:instrText xml:space="preserve"> CITATION Dab24 \l 2057 </w:instrText>
          </w:r>
          <w:r w:rsidR="00BD5825">
            <w:rPr>
              <w:rFonts w:ascii="Calibri" w:hAnsi="Calibri" w:cs="Calibri"/>
              <w:sz w:val="24"/>
              <w:szCs w:val="24"/>
            </w:rPr>
            <w:fldChar w:fldCharType="separate"/>
          </w:r>
          <w:r w:rsidR="00BD5825">
            <w:rPr>
              <w:rFonts w:ascii="Calibri" w:hAnsi="Calibri" w:cs="Calibri"/>
              <w:noProof/>
              <w:sz w:val="24"/>
              <w:szCs w:val="24"/>
            </w:rPr>
            <w:t xml:space="preserve"> </w:t>
          </w:r>
          <w:r w:rsidR="00BD5825" w:rsidRPr="00BD5825">
            <w:rPr>
              <w:rFonts w:ascii="Calibri" w:hAnsi="Calibri" w:cs="Calibri"/>
              <w:noProof/>
              <w:sz w:val="24"/>
              <w:szCs w:val="24"/>
            </w:rPr>
            <w:t>(Dabis &amp; Csaki, 2024)</w:t>
          </w:r>
          <w:r w:rsidR="00BD5825">
            <w:rPr>
              <w:rFonts w:ascii="Calibri" w:hAnsi="Calibri" w:cs="Calibri"/>
              <w:sz w:val="24"/>
              <w:szCs w:val="24"/>
            </w:rPr>
            <w:fldChar w:fldCharType="end"/>
          </w:r>
        </w:sdtContent>
      </w:sdt>
      <w:r>
        <w:rPr>
          <w:rFonts w:ascii="Calibri" w:hAnsi="Calibri" w:cs="Calibri"/>
          <w:sz w:val="24"/>
          <w:szCs w:val="24"/>
        </w:rPr>
        <w:t xml:space="preserve">. It </w:t>
      </w:r>
      <w:r w:rsidR="002F6FB4">
        <w:rPr>
          <w:rFonts w:ascii="Calibri" w:hAnsi="Calibri" w:cs="Calibri"/>
          <w:sz w:val="24"/>
          <w:szCs w:val="24"/>
        </w:rPr>
        <w:t>identifies</w:t>
      </w:r>
      <w:r>
        <w:rPr>
          <w:rFonts w:ascii="Calibri" w:hAnsi="Calibri" w:cs="Calibri"/>
          <w:sz w:val="24"/>
          <w:szCs w:val="24"/>
        </w:rPr>
        <w:t xml:space="preserve"> governance practices </w:t>
      </w:r>
      <w:r w:rsidR="00964E1A">
        <w:rPr>
          <w:rFonts w:ascii="Calibri" w:hAnsi="Calibri" w:cs="Calibri"/>
          <w:sz w:val="24"/>
          <w:szCs w:val="24"/>
        </w:rPr>
        <w:t>but does not develop</w:t>
      </w:r>
      <w:r>
        <w:rPr>
          <w:rFonts w:ascii="Calibri" w:hAnsi="Calibri" w:cs="Calibri"/>
          <w:sz w:val="24"/>
          <w:szCs w:val="24"/>
        </w:rPr>
        <w:t xml:space="preserve"> a comprehensive theoretical framework to explain why governance mechanisms differ across HEIs. </w:t>
      </w:r>
      <w:r w:rsidR="002F6FB4">
        <w:rPr>
          <w:rFonts w:ascii="Calibri" w:hAnsi="Calibri" w:cs="Calibri"/>
          <w:sz w:val="24"/>
          <w:szCs w:val="24"/>
        </w:rPr>
        <w:t xml:space="preserve">Therefore, the findings offer useful insights into current practice. However, they provide limited theoretical advancement for understanding organisational governance more broadly. </w:t>
      </w:r>
    </w:p>
    <w:p w14:paraId="33F39E7A" w14:textId="60B1A715" w:rsidR="002F6FB4" w:rsidRDefault="002F6FB4" w:rsidP="0013205A">
      <w:pPr>
        <w:spacing w:line="360" w:lineRule="auto"/>
        <w:jc w:val="both"/>
        <w:rPr>
          <w:rFonts w:ascii="Calibri" w:hAnsi="Calibri" w:cs="Calibri"/>
          <w:sz w:val="24"/>
          <w:szCs w:val="24"/>
        </w:rPr>
      </w:pPr>
      <w:r>
        <w:rPr>
          <w:rFonts w:ascii="Calibri" w:hAnsi="Calibri" w:cs="Calibri"/>
          <w:sz w:val="24"/>
          <w:szCs w:val="24"/>
        </w:rPr>
        <w:t xml:space="preserve">Second, the </w:t>
      </w:r>
      <w:r w:rsidR="00B044D9">
        <w:rPr>
          <w:rFonts w:ascii="Calibri" w:hAnsi="Calibri" w:cs="Calibri"/>
          <w:sz w:val="24"/>
          <w:szCs w:val="24"/>
        </w:rPr>
        <w:t>study focuses initially</w:t>
      </w:r>
      <w:r>
        <w:rPr>
          <w:rFonts w:ascii="Calibri" w:hAnsi="Calibri" w:cs="Calibri"/>
          <w:sz w:val="24"/>
          <w:szCs w:val="24"/>
        </w:rPr>
        <w:t xml:space="preserve"> on senior </w:t>
      </w:r>
      <w:r w:rsidR="00B044D9">
        <w:rPr>
          <w:rFonts w:ascii="Calibri" w:hAnsi="Calibri" w:cs="Calibri"/>
          <w:sz w:val="24"/>
          <w:szCs w:val="24"/>
        </w:rPr>
        <w:t>HEI</w:t>
      </w:r>
      <w:r>
        <w:rPr>
          <w:rFonts w:ascii="Calibri" w:hAnsi="Calibri" w:cs="Calibri"/>
          <w:sz w:val="24"/>
          <w:szCs w:val="24"/>
        </w:rPr>
        <w:t xml:space="preserve"> leaders. Executive perspectives are valuable for understanding </w:t>
      </w:r>
      <w:r w:rsidR="00BD014F">
        <w:rPr>
          <w:rFonts w:ascii="Calibri" w:hAnsi="Calibri" w:cs="Calibri"/>
          <w:sz w:val="24"/>
          <w:szCs w:val="24"/>
        </w:rPr>
        <w:t>tactical</w:t>
      </w:r>
      <w:r>
        <w:rPr>
          <w:rFonts w:ascii="Calibri" w:hAnsi="Calibri" w:cs="Calibri"/>
          <w:sz w:val="24"/>
          <w:szCs w:val="24"/>
        </w:rPr>
        <w:t xml:space="preserve"> decision-making. However, they </w:t>
      </w:r>
      <w:r w:rsidR="00BD014F">
        <w:rPr>
          <w:rFonts w:ascii="Calibri" w:hAnsi="Calibri" w:cs="Calibri"/>
          <w:sz w:val="24"/>
          <w:szCs w:val="24"/>
        </w:rPr>
        <w:t xml:space="preserve">provide only part of </w:t>
      </w:r>
      <w:r w:rsidR="008B605E">
        <w:rPr>
          <w:rFonts w:ascii="Calibri" w:hAnsi="Calibri" w:cs="Calibri"/>
          <w:sz w:val="24"/>
          <w:szCs w:val="24"/>
        </w:rPr>
        <w:t>the governance picture</w:t>
      </w:r>
      <w:r w:rsidR="00FE1B9F">
        <w:rPr>
          <w:rFonts w:ascii="Calibri" w:hAnsi="Calibri" w:cs="Calibri"/>
          <w:sz w:val="24"/>
          <w:szCs w:val="24"/>
        </w:rPr>
        <w:t>. This excludes academic staff, students, AI developers, and professional services. It limits the understanding of how governance policies are interpreted and implemented across the wider university community</w:t>
      </w:r>
      <w:r w:rsidR="004E6A98">
        <w:rPr>
          <w:rFonts w:ascii="Calibri" w:hAnsi="Calibri" w:cs="Calibri"/>
          <w:sz w:val="24"/>
          <w:szCs w:val="24"/>
        </w:rPr>
        <w:t xml:space="preserve"> (Dabis </w:t>
      </w:r>
      <w:r w:rsidR="00D82198">
        <w:rPr>
          <w:rFonts w:ascii="Calibri" w:hAnsi="Calibri" w:cs="Calibri"/>
          <w:sz w:val="24"/>
          <w:szCs w:val="24"/>
        </w:rPr>
        <w:t>and</w:t>
      </w:r>
      <w:r w:rsidR="004E6A98">
        <w:rPr>
          <w:rFonts w:ascii="Calibri" w:hAnsi="Calibri" w:cs="Calibri"/>
          <w:sz w:val="24"/>
          <w:szCs w:val="24"/>
        </w:rPr>
        <w:t xml:space="preserve"> Csaki, 2024; Wu </w:t>
      </w:r>
      <w:r w:rsidR="00D82198">
        <w:rPr>
          <w:rFonts w:ascii="Calibri" w:hAnsi="Calibri" w:cs="Calibri"/>
          <w:sz w:val="24"/>
          <w:szCs w:val="24"/>
        </w:rPr>
        <w:t>and</w:t>
      </w:r>
      <w:r w:rsidR="004E6A98">
        <w:rPr>
          <w:rFonts w:ascii="Calibri" w:hAnsi="Calibri" w:cs="Calibri"/>
          <w:sz w:val="24"/>
          <w:szCs w:val="24"/>
        </w:rPr>
        <w:t xml:space="preserve"> Carroll, 2026).</w:t>
      </w:r>
      <w:r w:rsidR="00FE1B9F">
        <w:rPr>
          <w:rFonts w:ascii="Calibri" w:hAnsi="Calibri" w:cs="Calibri"/>
          <w:sz w:val="24"/>
          <w:szCs w:val="24"/>
        </w:rPr>
        <w:t xml:space="preserve"> Governance is inherently and socially negotiated. Therefore, reliance on managerial perspectives risks overlooking operational challenges experienced by other stakeholder groups</w:t>
      </w:r>
      <w:r w:rsidR="004E6A98">
        <w:rPr>
          <w:rFonts w:ascii="Calibri" w:hAnsi="Calibri" w:cs="Calibri"/>
          <w:sz w:val="24"/>
          <w:szCs w:val="24"/>
        </w:rPr>
        <w:t xml:space="preserve"> (Tafesse et al., 2026; Azevedo et al., 2025). </w:t>
      </w:r>
    </w:p>
    <w:p w14:paraId="79EAC3AC" w14:textId="677F0E9B" w:rsidR="00B911D5" w:rsidRDefault="00B911D5" w:rsidP="0013205A">
      <w:pPr>
        <w:spacing w:line="360" w:lineRule="auto"/>
        <w:jc w:val="both"/>
        <w:rPr>
          <w:rFonts w:ascii="Calibri" w:hAnsi="Calibri" w:cs="Calibri"/>
          <w:sz w:val="24"/>
          <w:szCs w:val="24"/>
        </w:rPr>
      </w:pPr>
      <w:r>
        <w:rPr>
          <w:rFonts w:ascii="Calibri" w:hAnsi="Calibri" w:cs="Calibri"/>
          <w:sz w:val="24"/>
          <w:szCs w:val="24"/>
        </w:rPr>
        <w:t xml:space="preserve">Third, the study </w:t>
      </w:r>
      <w:r w:rsidR="00C72CF8">
        <w:rPr>
          <w:rFonts w:ascii="Calibri" w:hAnsi="Calibri" w:cs="Calibri"/>
          <w:sz w:val="24"/>
          <w:szCs w:val="24"/>
        </w:rPr>
        <w:t>employs an interpretivist qualitative design, which generates rich contextual insights</w:t>
      </w:r>
      <w:r w:rsidR="004954BC">
        <w:rPr>
          <w:rFonts w:ascii="Calibri" w:hAnsi="Calibri" w:cs="Calibri"/>
          <w:sz w:val="24"/>
          <w:szCs w:val="24"/>
        </w:rPr>
        <w:t xml:space="preserve"> </w:t>
      </w:r>
      <w:sdt>
        <w:sdtPr>
          <w:rPr>
            <w:rFonts w:ascii="Calibri" w:hAnsi="Calibri" w:cs="Calibri"/>
            <w:sz w:val="24"/>
            <w:szCs w:val="24"/>
          </w:rPr>
          <w:id w:val="1108932439"/>
          <w:citation/>
        </w:sdtPr>
        <w:sdtContent>
          <w:r w:rsidR="004954BC">
            <w:rPr>
              <w:rFonts w:ascii="Calibri" w:hAnsi="Calibri" w:cs="Calibri"/>
              <w:sz w:val="24"/>
              <w:szCs w:val="24"/>
            </w:rPr>
            <w:fldChar w:fldCharType="begin"/>
          </w:r>
          <w:r w:rsidR="004954BC">
            <w:rPr>
              <w:rFonts w:ascii="Calibri" w:hAnsi="Calibri" w:cs="Calibri"/>
              <w:sz w:val="24"/>
              <w:szCs w:val="24"/>
            </w:rPr>
            <w:instrText xml:space="preserve"> CITATION Dab24 \l 2057 </w:instrText>
          </w:r>
          <w:r w:rsidR="004954BC">
            <w:rPr>
              <w:rFonts w:ascii="Calibri" w:hAnsi="Calibri" w:cs="Calibri"/>
              <w:sz w:val="24"/>
              <w:szCs w:val="24"/>
            </w:rPr>
            <w:fldChar w:fldCharType="separate"/>
          </w:r>
          <w:r w:rsidR="004954BC" w:rsidRPr="004954BC">
            <w:rPr>
              <w:rFonts w:ascii="Calibri" w:hAnsi="Calibri" w:cs="Calibri"/>
              <w:noProof/>
              <w:sz w:val="24"/>
              <w:szCs w:val="24"/>
            </w:rPr>
            <w:t>(Dabis &amp; Csaki, 2024)</w:t>
          </w:r>
          <w:r w:rsidR="004954BC">
            <w:rPr>
              <w:rFonts w:ascii="Calibri" w:hAnsi="Calibri" w:cs="Calibri"/>
              <w:sz w:val="24"/>
              <w:szCs w:val="24"/>
            </w:rPr>
            <w:fldChar w:fldCharType="end"/>
          </w:r>
        </w:sdtContent>
      </w:sdt>
      <w:r w:rsidR="00C02CE5">
        <w:rPr>
          <w:rFonts w:ascii="Calibri" w:hAnsi="Calibri" w:cs="Calibri"/>
          <w:sz w:val="24"/>
          <w:szCs w:val="24"/>
        </w:rPr>
        <w:t xml:space="preserve">. Nevertheless, this approach offers limited </w:t>
      </w:r>
      <w:r w:rsidR="003A3B78">
        <w:rPr>
          <w:rFonts w:ascii="Calibri" w:hAnsi="Calibri" w:cs="Calibri"/>
          <w:sz w:val="24"/>
          <w:szCs w:val="24"/>
        </w:rPr>
        <w:t>prospects</w:t>
      </w:r>
      <w:r w:rsidR="00C02CE5">
        <w:rPr>
          <w:rFonts w:ascii="Calibri" w:hAnsi="Calibri" w:cs="Calibri"/>
          <w:sz w:val="24"/>
          <w:szCs w:val="24"/>
        </w:rPr>
        <w:t xml:space="preserve"> for analytical comparison across HEIs.</w:t>
      </w:r>
      <w:r w:rsidR="00CA4869">
        <w:rPr>
          <w:rFonts w:ascii="Calibri" w:hAnsi="Calibri" w:cs="Calibri"/>
          <w:sz w:val="24"/>
          <w:szCs w:val="24"/>
        </w:rPr>
        <w:t xml:space="preserve"> </w:t>
      </w:r>
      <w:r w:rsidR="00964E1A">
        <w:rPr>
          <w:rFonts w:ascii="Calibri" w:hAnsi="Calibri" w:cs="Calibri"/>
          <w:sz w:val="24"/>
          <w:szCs w:val="24"/>
        </w:rPr>
        <w:t>Complementary methodological approaches could strengthen</w:t>
      </w:r>
      <w:r w:rsidR="00CA4869">
        <w:rPr>
          <w:rFonts w:ascii="Calibri" w:hAnsi="Calibri" w:cs="Calibri"/>
          <w:sz w:val="24"/>
          <w:szCs w:val="24"/>
        </w:rPr>
        <w:t xml:space="preserve"> future</w:t>
      </w:r>
      <w:r w:rsidR="00E46B26">
        <w:rPr>
          <w:rFonts w:ascii="Calibri" w:hAnsi="Calibri" w:cs="Calibri"/>
          <w:sz w:val="24"/>
          <w:szCs w:val="24"/>
        </w:rPr>
        <w:t xml:space="preserve"> research. For example</w:t>
      </w:r>
      <w:r w:rsidR="00B95C02">
        <w:rPr>
          <w:rFonts w:ascii="Calibri" w:hAnsi="Calibri" w:cs="Calibri"/>
          <w:sz w:val="24"/>
          <w:szCs w:val="24"/>
        </w:rPr>
        <w:t xml:space="preserve">, a mixed-methods design that integrates qualitative interviews with quantitative surveys may </w:t>
      </w:r>
      <w:r w:rsidR="00964E1A">
        <w:rPr>
          <w:rFonts w:ascii="Calibri" w:hAnsi="Calibri" w:cs="Calibri"/>
          <w:sz w:val="24"/>
          <w:szCs w:val="24"/>
        </w:rPr>
        <w:t>deepen explanation</w:t>
      </w:r>
      <w:r w:rsidR="00B95C02">
        <w:rPr>
          <w:rFonts w:ascii="Calibri" w:hAnsi="Calibri" w:cs="Calibri"/>
          <w:sz w:val="24"/>
          <w:szCs w:val="24"/>
        </w:rPr>
        <w:t xml:space="preserve"> and analytical generalisation</w:t>
      </w:r>
      <w:r w:rsidR="004954BC">
        <w:rPr>
          <w:rFonts w:ascii="Calibri" w:hAnsi="Calibri" w:cs="Calibri"/>
          <w:sz w:val="24"/>
          <w:szCs w:val="24"/>
        </w:rPr>
        <w:t xml:space="preserve"> (Matovic </w:t>
      </w:r>
      <w:r w:rsidR="00D82198">
        <w:rPr>
          <w:rFonts w:ascii="Calibri" w:hAnsi="Calibri" w:cs="Calibri"/>
          <w:sz w:val="24"/>
          <w:szCs w:val="24"/>
        </w:rPr>
        <w:t>and</w:t>
      </w:r>
      <w:r w:rsidR="004954BC">
        <w:rPr>
          <w:rFonts w:ascii="Calibri" w:hAnsi="Calibri" w:cs="Calibri"/>
          <w:sz w:val="24"/>
          <w:szCs w:val="24"/>
        </w:rPr>
        <w:t xml:space="preserve"> Ovesni, 2023</w:t>
      </w:r>
      <w:r w:rsidR="00F22DC6">
        <w:rPr>
          <w:rFonts w:ascii="Calibri" w:hAnsi="Calibri" w:cs="Calibri"/>
          <w:sz w:val="24"/>
          <w:szCs w:val="24"/>
        </w:rPr>
        <w:t>; Younas</w:t>
      </w:r>
      <w:r w:rsidR="005B0AD9">
        <w:rPr>
          <w:rFonts w:ascii="Calibri" w:hAnsi="Calibri" w:cs="Calibri"/>
          <w:sz w:val="24"/>
          <w:szCs w:val="24"/>
        </w:rPr>
        <w:t xml:space="preserve"> et al.,</w:t>
      </w:r>
      <w:r w:rsidR="00BE5D64">
        <w:rPr>
          <w:rFonts w:ascii="Calibri" w:hAnsi="Calibri" w:cs="Calibri"/>
          <w:sz w:val="24"/>
          <w:szCs w:val="24"/>
        </w:rPr>
        <w:t xml:space="preserve"> 2023</w:t>
      </w:r>
      <w:r w:rsidR="004954BC">
        <w:rPr>
          <w:rFonts w:ascii="Calibri" w:hAnsi="Calibri" w:cs="Calibri"/>
          <w:sz w:val="24"/>
          <w:szCs w:val="24"/>
        </w:rPr>
        <w:t>)</w:t>
      </w:r>
      <w:r w:rsidR="00B95C02">
        <w:rPr>
          <w:rFonts w:ascii="Calibri" w:hAnsi="Calibri" w:cs="Calibri"/>
          <w:sz w:val="24"/>
          <w:szCs w:val="24"/>
        </w:rPr>
        <w:t xml:space="preserve">. </w:t>
      </w:r>
    </w:p>
    <w:p w14:paraId="57ACC8EB" w14:textId="217840D9" w:rsidR="00CD5878" w:rsidRDefault="00110B40" w:rsidP="0013205A">
      <w:pPr>
        <w:spacing w:line="360" w:lineRule="auto"/>
        <w:jc w:val="both"/>
        <w:rPr>
          <w:rFonts w:ascii="Calibri" w:hAnsi="Calibri" w:cs="Calibri"/>
          <w:sz w:val="24"/>
          <w:szCs w:val="24"/>
        </w:rPr>
      </w:pPr>
      <w:r>
        <w:rPr>
          <w:rFonts w:ascii="Calibri" w:hAnsi="Calibri" w:cs="Calibri"/>
          <w:sz w:val="24"/>
          <w:szCs w:val="24"/>
        </w:rPr>
        <w:t xml:space="preserve">The </w:t>
      </w:r>
      <w:r w:rsidR="00E77F57">
        <w:rPr>
          <w:rFonts w:ascii="Calibri" w:hAnsi="Calibri" w:cs="Calibri"/>
          <w:sz w:val="24"/>
          <w:szCs w:val="24"/>
        </w:rPr>
        <w:t xml:space="preserve">coursework demonstrates </w:t>
      </w:r>
      <w:r w:rsidR="009B5AF4">
        <w:rPr>
          <w:rFonts w:ascii="Calibri" w:hAnsi="Calibri" w:cs="Calibri"/>
          <w:sz w:val="24"/>
          <w:szCs w:val="24"/>
        </w:rPr>
        <w:t xml:space="preserve">strong alignment </w:t>
      </w:r>
      <w:r w:rsidR="00757835">
        <w:rPr>
          <w:rFonts w:ascii="Calibri" w:hAnsi="Calibri" w:cs="Calibri"/>
          <w:sz w:val="24"/>
          <w:szCs w:val="24"/>
        </w:rPr>
        <w:t>between its qualitative methodology and interpretivist epistemology</w:t>
      </w:r>
      <w:r w:rsidR="00225758">
        <w:rPr>
          <w:rFonts w:ascii="Calibri" w:hAnsi="Calibri" w:cs="Calibri"/>
          <w:sz w:val="24"/>
          <w:szCs w:val="24"/>
        </w:rPr>
        <w:t xml:space="preserve">. </w:t>
      </w:r>
      <w:r w:rsidR="00931DF9">
        <w:rPr>
          <w:rFonts w:ascii="Calibri" w:hAnsi="Calibri" w:cs="Calibri"/>
          <w:sz w:val="24"/>
          <w:szCs w:val="24"/>
        </w:rPr>
        <w:t>Nevertheless</w:t>
      </w:r>
      <w:r w:rsidR="00225758">
        <w:rPr>
          <w:rFonts w:ascii="Calibri" w:hAnsi="Calibri" w:cs="Calibri"/>
          <w:sz w:val="24"/>
          <w:szCs w:val="24"/>
        </w:rPr>
        <w:t>, the implicit nature of its philosop</w:t>
      </w:r>
      <w:r w:rsidR="0033032D">
        <w:rPr>
          <w:rFonts w:ascii="Calibri" w:hAnsi="Calibri" w:cs="Calibri"/>
          <w:sz w:val="24"/>
          <w:szCs w:val="24"/>
        </w:rPr>
        <w:t xml:space="preserve">hical positioning constitutes a limitation. </w:t>
      </w:r>
      <w:r w:rsidR="00930FD8">
        <w:rPr>
          <w:rFonts w:ascii="Calibri" w:hAnsi="Calibri" w:cs="Calibri"/>
          <w:sz w:val="24"/>
          <w:szCs w:val="24"/>
        </w:rPr>
        <w:t xml:space="preserve">Explicit articulation of the philosophical paradigm improves coherence between </w:t>
      </w:r>
      <w:r w:rsidR="00CD5878">
        <w:rPr>
          <w:rFonts w:ascii="Calibri" w:hAnsi="Calibri" w:cs="Calibri"/>
          <w:sz w:val="24"/>
          <w:szCs w:val="24"/>
        </w:rPr>
        <w:t>ontology, epistemology</w:t>
      </w:r>
      <w:r w:rsidR="00E92951">
        <w:rPr>
          <w:rFonts w:ascii="Calibri" w:hAnsi="Calibri" w:cs="Calibri"/>
          <w:sz w:val="24"/>
          <w:szCs w:val="24"/>
        </w:rPr>
        <w:t>, and research design, strengthening</w:t>
      </w:r>
      <w:r w:rsidR="00CD5878">
        <w:rPr>
          <w:rFonts w:ascii="Calibri" w:hAnsi="Calibri" w:cs="Calibri"/>
          <w:sz w:val="24"/>
          <w:szCs w:val="24"/>
        </w:rPr>
        <w:t xml:space="preserve"> methodological transparency</w:t>
      </w:r>
      <w:r w:rsidR="00090B43">
        <w:rPr>
          <w:rFonts w:ascii="Calibri" w:hAnsi="Calibri" w:cs="Calibri"/>
          <w:sz w:val="24"/>
          <w:szCs w:val="24"/>
        </w:rPr>
        <w:t xml:space="preserve"> (Busetto</w:t>
      </w:r>
      <w:r w:rsidR="00305387">
        <w:rPr>
          <w:rFonts w:ascii="Calibri" w:hAnsi="Calibri" w:cs="Calibri"/>
          <w:sz w:val="24"/>
          <w:szCs w:val="24"/>
        </w:rPr>
        <w:t xml:space="preserve"> et al.,</w:t>
      </w:r>
      <w:r w:rsidR="006E74A4">
        <w:rPr>
          <w:rFonts w:ascii="Calibri" w:hAnsi="Calibri" w:cs="Calibri"/>
          <w:sz w:val="24"/>
          <w:szCs w:val="24"/>
        </w:rPr>
        <w:t xml:space="preserve"> </w:t>
      </w:r>
      <w:r w:rsidR="00090B43">
        <w:rPr>
          <w:rFonts w:ascii="Calibri" w:hAnsi="Calibri" w:cs="Calibri"/>
          <w:sz w:val="24"/>
          <w:szCs w:val="24"/>
        </w:rPr>
        <w:t xml:space="preserve">2020; </w:t>
      </w:r>
      <w:r w:rsidR="00094AF6">
        <w:rPr>
          <w:rFonts w:ascii="Calibri" w:hAnsi="Calibri" w:cs="Calibri"/>
          <w:sz w:val="24"/>
          <w:szCs w:val="24"/>
        </w:rPr>
        <w:t>Dawadi</w:t>
      </w:r>
      <w:r w:rsidR="006E74A4">
        <w:rPr>
          <w:rFonts w:ascii="Calibri" w:hAnsi="Calibri" w:cs="Calibri"/>
          <w:sz w:val="24"/>
          <w:szCs w:val="24"/>
        </w:rPr>
        <w:t xml:space="preserve"> et al., </w:t>
      </w:r>
      <w:r w:rsidR="00094AF6">
        <w:rPr>
          <w:rFonts w:ascii="Calibri" w:hAnsi="Calibri" w:cs="Calibri"/>
          <w:sz w:val="24"/>
          <w:szCs w:val="24"/>
        </w:rPr>
        <w:t>2021)</w:t>
      </w:r>
      <w:r w:rsidR="00CD5878">
        <w:rPr>
          <w:rFonts w:ascii="Calibri" w:hAnsi="Calibri" w:cs="Calibri"/>
          <w:sz w:val="24"/>
          <w:szCs w:val="24"/>
        </w:rPr>
        <w:t xml:space="preserve">. </w:t>
      </w:r>
    </w:p>
    <w:p w14:paraId="36E562DC" w14:textId="3A893055" w:rsidR="00F33C43" w:rsidRDefault="009F335F" w:rsidP="00BA2FBD">
      <w:pPr>
        <w:pStyle w:val="Heading1"/>
        <w:numPr>
          <w:ilvl w:val="0"/>
          <w:numId w:val="4"/>
        </w:numPr>
      </w:pPr>
      <w:bookmarkStart w:id="104" w:name="_Toc237383395"/>
      <w:bookmarkStart w:id="105" w:name="_Toc237384230"/>
      <w:bookmarkStart w:id="106" w:name="_Toc237384950"/>
      <w:bookmarkStart w:id="107" w:name="_Toc237444972"/>
      <w:r>
        <w:lastRenderedPageBreak/>
        <w:t>Discussion and Contribution</w:t>
      </w:r>
      <w:bookmarkEnd w:id="104"/>
      <w:bookmarkEnd w:id="105"/>
      <w:bookmarkEnd w:id="106"/>
      <w:bookmarkEnd w:id="107"/>
      <w:r>
        <w:t xml:space="preserve"> </w:t>
      </w:r>
    </w:p>
    <w:p w14:paraId="087208A9" w14:textId="0E6AD799" w:rsidR="00457C77" w:rsidRDefault="007442D0" w:rsidP="009F335F">
      <w:pPr>
        <w:spacing w:line="360" w:lineRule="auto"/>
        <w:jc w:val="both"/>
        <w:rPr>
          <w:rFonts w:ascii="Calibri" w:hAnsi="Calibri" w:cs="Calibri"/>
          <w:sz w:val="24"/>
          <w:szCs w:val="24"/>
        </w:rPr>
      </w:pPr>
      <w:r>
        <w:rPr>
          <w:rFonts w:ascii="Calibri" w:hAnsi="Calibri" w:cs="Calibri"/>
          <w:sz w:val="24"/>
          <w:szCs w:val="24"/>
        </w:rPr>
        <w:t xml:space="preserve">The literature </w:t>
      </w:r>
      <w:r w:rsidR="00964E1A">
        <w:rPr>
          <w:rFonts w:ascii="Calibri" w:hAnsi="Calibri" w:cs="Calibri"/>
          <w:sz w:val="24"/>
          <w:szCs w:val="24"/>
        </w:rPr>
        <w:t>shows broader agreement that responsible AI in HE requires transparency, accountability, fairness,</w:t>
      </w:r>
      <w:r>
        <w:rPr>
          <w:rFonts w:ascii="Calibri" w:hAnsi="Calibri" w:cs="Calibri"/>
          <w:sz w:val="24"/>
          <w:szCs w:val="24"/>
        </w:rPr>
        <w:t xml:space="preserve"> and stakeholder engagement</w:t>
      </w:r>
      <w:r w:rsidR="00057A90">
        <w:rPr>
          <w:rFonts w:ascii="Calibri" w:hAnsi="Calibri" w:cs="Calibri"/>
          <w:sz w:val="24"/>
          <w:szCs w:val="24"/>
        </w:rPr>
        <w:t xml:space="preserve"> (Crocco</w:t>
      </w:r>
      <w:r w:rsidR="006E74A4">
        <w:rPr>
          <w:rFonts w:ascii="Calibri" w:hAnsi="Calibri" w:cs="Calibri"/>
          <w:sz w:val="24"/>
          <w:szCs w:val="24"/>
        </w:rPr>
        <w:t xml:space="preserve"> et al., </w:t>
      </w:r>
      <w:r w:rsidR="00057A90">
        <w:rPr>
          <w:rFonts w:ascii="Calibri" w:hAnsi="Calibri" w:cs="Calibri"/>
          <w:sz w:val="24"/>
          <w:szCs w:val="24"/>
        </w:rPr>
        <w:t xml:space="preserve">2024; </w:t>
      </w:r>
      <w:r w:rsidR="00BA3CF0">
        <w:rPr>
          <w:rFonts w:ascii="Calibri" w:hAnsi="Calibri" w:cs="Calibri"/>
          <w:sz w:val="24"/>
          <w:szCs w:val="24"/>
        </w:rPr>
        <w:t>Pak, 2022)</w:t>
      </w:r>
      <w:r>
        <w:rPr>
          <w:rFonts w:ascii="Calibri" w:hAnsi="Calibri" w:cs="Calibri"/>
          <w:sz w:val="24"/>
          <w:szCs w:val="24"/>
        </w:rPr>
        <w:t xml:space="preserve">. However, </w:t>
      </w:r>
      <w:r w:rsidR="00964E1A">
        <w:rPr>
          <w:rFonts w:ascii="Calibri" w:hAnsi="Calibri" w:cs="Calibri"/>
          <w:sz w:val="24"/>
          <w:szCs w:val="24"/>
        </w:rPr>
        <w:t>agreement is less clear on how to operationalise these principles</w:t>
      </w:r>
      <w:r>
        <w:rPr>
          <w:rFonts w:ascii="Calibri" w:hAnsi="Calibri" w:cs="Calibri"/>
          <w:sz w:val="24"/>
          <w:szCs w:val="24"/>
        </w:rPr>
        <w:t>. Some studies favour flexible</w:t>
      </w:r>
      <w:r w:rsidR="00964E1A">
        <w:rPr>
          <w:rFonts w:ascii="Calibri" w:hAnsi="Calibri" w:cs="Calibri"/>
          <w:sz w:val="24"/>
          <w:szCs w:val="24"/>
        </w:rPr>
        <w:t>, adaptive governance that enables institutional innovation, while others emphasise formal oversight, regulation,</w:t>
      </w:r>
      <w:r>
        <w:rPr>
          <w:rFonts w:ascii="Calibri" w:hAnsi="Calibri" w:cs="Calibri"/>
          <w:sz w:val="24"/>
          <w:szCs w:val="24"/>
        </w:rPr>
        <w:t xml:space="preserve"> and accountability. </w:t>
      </w:r>
      <w:r w:rsidR="00BD6EF7">
        <w:rPr>
          <w:rFonts w:ascii="Calibri" w:hAnsi="Calibri" w:cs="Calibri"/>
          <w:sz w:val="24"/>
          <w:szCs w:val="24"/>
        </w:rPr>
        <w:t>These positions are not necessarily contradictory. They reflect differences in institutional context, research design and the level at which AI governance is examined. Conceptual and policy studies tend to emphasise normative principles, but empirical studies reveal the organisational difficulties involved in translating these principles into practice</w:t>
      </w:r>
      <w:r w:rsidR="00BA3CF0">
        <w:rPr>
          <w:rFonts w:ascii="Calibri" w:hAnsi="Calibri" w:cs="Calibri"/>
          <w:sz w:val="24"/>
          <w:szCs w:val="24"/>
        </w:rPr>
        <w:t xml:space="preserve"> (Wirtz</w:t>
      </w:r>
      <w:r w:rsidR="006E74A4">
        <w:rPr>
          <w:rFonts w:ascii="Calibri" w:hAnsi="Calibri" w:cs="Calibri"/>
          <w:sz w:val="24"/>
          <w:szCs w:val="24"/>
        </w:rPr>
        <w:t xml:space="preserve"> et al., </w:t>
      </w:r>
      <w:r w:rsidR="00BA3CF0">
        <w:rPr>
          <w:rFonts w:ascii="Calibri" w:hAnsi="Calibri" w:cs="Calibri"/>
          <w:sz w:val="24"/>
          <w:szCs w:val="24"/>
        </w:rPr>
        <w:t>2020; Nartey, 2024)</w:t>
      </w:r>
      <w:r w:rsidR="00BD6EF7">
        <w:rPr>
          <w:rFonts w:ascii="Calibri" w:hAnsi="Calibri" w:cs="Calibri"/>
          <w:sz w:val="24"/>
          <w:szCs w:val="24"/>
        </w:rPr>
        <w:t xml:space="preserve">. </w:t>
      </w:r>
      <w:r w:rsidR="003A598F">
        <w:rPr>
          <w:rFonts w:ascii="Calibri" w:hAnsi="Calibri" w:cs="Calibri"/>
          <w:sz w:val="24"/>
          <w:szCs w:val="24"/>
        </w:rPr>
        <w:t xml:space="preserve">The evidence </w:t>
      </w:r>
      <w:r w:rsidR="00A2349C">
        <w:rPr>
          <w:rFonts w:ascii="Calibri" w:hAnsi="Calibri" w:cs="Calibri"/>
          <w:sz w:val="24"/>
          <w:szCs w:val="24"/>
        </w:rPr>
        <w:t>highlights that successful implementation relies on technological capabilities but also on the HEI’s capacity for innovation, ethical responsibilities, and governance-driven tactical objectives.</w:t>
      </w:r>
      <w:r w:rsidR="00BD6EF7">
        <w:rPr>
          <w:rFonts w:ascii="Calibri" w:hAnsi="Calibri" w:cs="Calibri"/>
          <w:sz w:val="24"/>
          <w:szCs w:val="24"/>
        </w:rPr>
        <w:t xml:space="preserve"> </w:t>
      </w:r>
    </w:p>
    <w:p w14:paraId="224BF940" w14:textId="17880B01" w:rsidR="00F110D8" w:rsidRDefault="00E2471A" w:rsidP="009F335F">
      <w:pPr>
        <w:spacing w:line="360" w:lineRule="auto"/>
        <w:jc w:val="both"/>
        <w:rPr>
          <w:rFonts w:ascii="Calibri" w:hAnsi="Calibri" w:cs="Calibri"/>
          <w:sz w:val="24"/>
          <w:szCs w:val="24"/>
        </w:rPr>
      </w:pPr>
      <w:r>
        <w:rPr>
          <w:rFonts w:ascii="Calibri" w:hAnsi="Calibri" w:cs="Calibri"/>
          <w:sz w:val="24"/>
          <w:szCs w:val="24"/>
        </w:rPr>
        <w:t xml:space="preserve">Methodologically, the literature </w:t>
      </w:r>
      <w:r w:rsidR="00F110D8">
        <w:rPr>
          <w:rFonts w:ascii="Calibri" w:hAnsi="Calibri" w:cs="Calibri"/>
          <w:sz w:val="24"/>
          <w:szCs w:val="24"/>
        </w:rPr>
        <w:t>remains weighted towards policy analysis, systematic review and conceptual research, with relatively limited primary investigation within HEIs. Existing empirical studies are often cross-sectional, institution-specific and based on narrow stakeholder groups</w:t>
      </w:r>
      <w:r w:rsidR="007534FF">
        <w:rPr>
          <w:rFonts w:ascii="Calibri" w:hAnsi="Calibri" w:cs="Calibri"/>
          <w:sz w:val="24"/>
          <w:szCs w:val="24"/>
        </w:rPr>
        <w:t xml:space="preserve"> (La</w:t>
      </w:r>
      <w:r w:rsidR="003447A9">
        <w:rPr>
          <w:rFonts w:ascii="Calibri" w:hAnsi="Calibri" w:cs="Calibri"/>
          <w:sz w:val="24"/>
          <w:szCs w:val="24"/>
        </w:rPr>
        <w:t>wrence, 2026</w:t>
      </w:r>
      <w:r w:rsidR="00FB645D">
        <w:rPr>
          <w:rFonts w:ascii="Calibri" w:hAnsi="Calibri" w:cs="Calibri"/>
          <w:sz w:val="24"/>
          <w:szCs w:val="24"/>
        </w:rPr>
        <w:t>; Nnaji et al., 2026</w:t>
      </w:r>
      <w:r w:rsidR="003447A9">
        <w:rPr>
          <w:rFonts w:ascii="Calibri" w:hAnsi="Calibri" w:cs="Calibri"/>
          <w:sz w:val="24"/>
          <w:szCs w:val="24"/>
        </w:rPr>
        <w:t>)</w:t>
      </w:r>
      <w:r w:rsidR="00F110D8">
        <w:rPr>
          <w:rFonts w:ascii="Calibri" w:hAnsi="Calibri" w:cs="Calibri"/>
          <w:sz w:val="24"/>
          <w:szCs w:val="24"/>
        </w:rPr>
        <w:t>. Consequently, current evidence provides a partial understanding of whether governance develops across institutional contexts over time. These limitations support a qualitative, multi</w:t>
      </w:r>
      <w:r w:rsidR="007812B2">
        <w:rPr>
          <w:rFonts w:ascii="Calibri" w:hAnsi="Calibri" w:cs="Calibri"/>
          <w:sz w:val="24"/>
          <w:szCs w:val="24"/>
        </w:rPr>
        <w:t>-</w:t>
      </w:r>
      <w:r w:rsidR="00F110D8">
        <w:rPr>
          <w:rFonts w:ascii="Calibri" w:hAnsi="Calibri" w:cs="Calibri"/>
          <w:sz w:val="24"/>
          <w:szCs w:val="24"/>
        </w:rPr>
        <w:t>case study design that can examine governance mechanisms and stakeholder experiences across several English public universities</w:t>
      </w:r>
      <w:r w:rsidR="00E61F34">
        <w:rPr>
          <w:rFonts w:ascii="Calibri" w:hAnsi="Calibri" w:cs="Calibri"/>
          <w:sz w:val="24"/>
          <w:szCs w:val="24"/>
        </w:rPr>
        <w:t xml:space="preserve"> (Mantymaki et al., </w:t>
      </w:r>
      <w:r w:rsidR="00626E9F">
        <w:rPr>
          <w:rFonts w:ascii="Calibri" w:hAnsi="Calibri" w:cs="Calibri"/>
          <w:sz w:val="24"/>
          <w:szCs w:val="24"/>
        </w:rPr>
        <w:t>2022; Gianni</w:t>
      </w:r>
      <w:r w:rsidR="004A4686">
        <w:rPr>
          <w:rFonts w:ascii="Calibri" w:hAnsi="Calibri" w:cs="Calibri"/>
          <w:sz w:val="24"/>
          <w:szCs w:val="24"/>
        </w:rPr>
        <w:t xml:space="preserve"> et al., </w:t>
      </w:r>
      <w:r w:rsidR="00626E9F">
        <w:rPr>
          <w:rFonts w:ascii="Calibri" w:hAnsi="Calibri" w:cs="Calibri"/>
          <w:sz w:val="24"/>
          <w:szCs w:val="24"/>
        </w:rPr>
        <w:t>2022)</w:t>
      </w:r>
      <w:r w:rsidR="00F110D8">
        <w:rPr>
          <w:rFonts w:ascii="Calibri" w:hAnsi="Calibri" w:cs="Calibri"/>
          <w:sz w:val="24"/>
          <w:szCs w:val="24"/>
        </w:rPr>
        <w:t xml:space="preserve">. </w:t>
      </w:r>
    </w:p>
    <w:p w14:paraId="6E75AB13" w14:textId="6F5A5726" w:rsidR="00BD6EF7" w:rsidRDefault="00BD6EF7" w:rsidP="009F335F">
      <w:pPr>
        <w:spacing w:line="360" w:lineRule="auto"/>
        <w:jc w:val="both"/>
        <w:rPr>
          <w:rFonts w:ascii="Calibri" w:hAnsi="Calibri" w:cs="Calibri"/>
          <w:sz w:val="24"/>
          <w:szCs w:val="24"/>
        </w:rPr>
      </w:pPr>
      <w:r>
        <w:rPr>
          <w:rFonts w:ascii="Calibri" w:hAnsi="Calibri" w:cs="Calibri"/>
          <w:sz w:val="24"/>
          <w:szCs w:val="24"/>
        </w:rPr>
        <w:t xml:space="preserve">SMT </w:t>
      </w:r>
      <w:r w:rsidR="00964E1A">
        <w:rPr>
          <w:rFonts w:ascii="Calibri" w:hAnsi="Calibri" w:cs="Calibri"/>
          <w:sz w:val="24"/>
          <w:szCs w:val="24"/>
        </w:rPr>
        <w:t>offers a powerful explanation of whether responsible AI becomes an HEI capability because it links leadership, organisational resources, and objectives to</w:t>
      </w:r>
      <w:r>
        <w:rPr>
          <w:rFonts w:ascii="Calibri" w:hAnsi="Calibri" w:cs="Calibri"/>
          <w:sz w:val="24"/>
          <w:szCs w:val="24"/>
        </w:rPr>
        <w:t xml:space="preserve"> implementation</w:t>
      </w:r>
      <w:r w:rsidR="00D56704">
        <w:rPr>
          <w:rFonts w:ascii="Calibri" w:hAnsi="Calibri" w:cs="Calibri"/>
          <w:sz w:val="24"/>
          <w:szCs w:val="24"/>
        </w:rPr>
        <w:t xml:space="preserve"> (Bir</w:t>
      </w:r>
      <w:r w:rsidR="00AB406A">
        <w:rPr>
          <w:rFonts w:ascii="Calibri" w:hAnsi="Calibri" w:cs="Calibri"/>
          <w:sz w:val="24"/>
          <w:szCs w:val="24"/>
        </w:rPr>
        <w:t xml:space="preserve">kstedt et al., 2023; de Almeida </w:t>
      </w:r>
      <w:r w:rsidR="00D82198">
        <w:rPr>
          <w:rFonts w:ascii="Calibri" w:hAnsi="Calibri" w:cs="Calibri"/>
          <w:sz w:val="24"/>
          <w:szCs w:val="24"/>
        </w:rPr>
        <w:t>and</w:t>
      </w:r>
      <w:r w:rsidR="00AB406A">
        <w:rPr>
          <w:rFonts w:ascii="Calibri" w:hAnsi="Calibri" w:cs="Calibri"/>
          <w:sz w:val="24"/>
          <w:szCs w:val="24"/>
        </w:rPr>
        <w:t xml:space="preserve"> dos Santos Junior, 2025)</w:t>
      </w:r>
      <w:r>
        <w:rPr>
          <w:rFonts w:ascii="Calibri" w:hAnsi="Calibri" w:cs="Calibri"/>
          <w:sz w:val="24"/>
          <w:szCs w:val="24"/>
        </w:rPr>
        <w:t xml:space="preserve">. However, it is insufficient because it does not fully explain ethical accountability, institutional pressures or stakeholder legitimacy. </w:t>
      </w:r>
      <w:r w:rsidR="001357F1">
        <w:rPr>
          <w:rFonts w:ascii="Calibri" w:hAnsi="Calibri" w:cs="Calibri"/>
          <w:sz w:val="24"/>
          <w:szCs w:val="24"/>
        </w:rPr>
        <w:t>GT</w:t>
      </w:r>
      <w:r>
        <w:rPr>
          <w:rFonts w:ascii="Calibri" w:hAnsi="Calibri" w:cs="Calibri"/>
          <w:sz w:val="24"/>
          <w:szCs w:val="24"/>
        </w:rPr>
        <w:t xml:space="preserve"> </w:t>
      </w:r>
      <w:r w:rsidR="00844507">
        <w:rPr>
          <w:rFonts w:ascii="Calibri" w:hAnsi="Calibri" w:cs="Calibri"/>
          <w:sz w:val="24"/>
          <w:szCs w:val="24"/>
        </w:rPr>
        <w:t>delivers</w:t>
      </w:r>
      <w:r>
        <w:rPr>
          <w:rFonts w:ascii="Calibri" w:hAnsi="Calibri" w:cs="Calibri"/>
          <w:sz w:val="24"/>
          <w:szCs w:val="24"/>
        </w:rPr>
        <w:t xml:space="preserve"> mechanisms of oversight and accountability, but Institutional Theory explains whether </w:t>
      </w:r>
      <w:r w:rsidR="00F110D8">
        <w:rPr>
          <w:rFonts w:ascii="Calibri" w:hAnsi="Calibri" w:cs="Calibri"/>
          <w:sz w:val="24"/>
          <w:szCs w:val="24"/>
        </w:rPr>
        <w:t>regulatory and professional pressures shape university responses</w:t>
      </w:r>
      <w:r w:rsidR="000A1EA2">
        <w:rPr>
          <w:rFonts w:ascii="Calibri" w:hAnsi="Calibri" w:cs="Calibri"/>
          <w:sz w:val="24"/>
          <w:szCs w:val="24"/>
        </w:rPr>
        <w:t xml:space="preserve"> (Heymans </w:t>
      </w:r>
      <w:r w:rsidR="00D82198">
        <w:rPr>
          <w:rFonts w:ascii="Calibri" w:hAnsi="Calibri" w:cs="Calibri"/>
          <w:sz w:val="24"/>
          <w:szCs w:val="24"/>
        </w:rPr>
        <w:t>and</w:t>
      </w:r>
      <w:r w:rsidR="000A1EA2">
        <w:rPr>
          <w:rFonts w:ascii="Calibri" w:hAnsi="Calibri" w:cs="Calibri"/>
          <w:sz w:val="24"/>
          <w:szCs w:val="24"/>
        </w:rPr>
        <w:t xml:space="preserve"> Heman, 2024</w:t>
      </w:r>
      <w:r w:rsidR="00081B0C">
        <w:rPr>
          <w:rFonts w:ascii="Calibri" w:hAnsi="Calibri" w:cs="Calibri"/>
          <w:sz w:val="24"/>
          <w:szCs w:val="24"/>
        </w:rPr>
        <w:t>; Wang, 2024</w:t>
      </w:r>
      <w:r w:rsidR="000A1EA2">
        <w:rPr>
          <w:rFonts w:ascii="Calibri" w:hAnsi="Calibri" w:cs="Calibri"/>
          <w:sz w:val="24"/>
          <w:szCs w:val="24"/>
        </w:rPr>
        <w:t>)</w:t>
      </w:r>
      <w:r w:rsidR="00F110D8">
        <w:rPr>
          <w:rFonts w:ascii="Calibri" w:hAnsi="Calibri" w:cs="Calibri"/>
          <w:sz w:val="24"/>
          <w:szCs w:val="24"/>
        </w:rPr>
        <w:t xml:space="preserve">. </w:t>
      </w:r>
      <w:r w:rsidR="00844507">
        <w:rPr>
          <w:rFonts w:ascii="Calibri" w:hAnsi="Calibri" w:cs="Calibri"/>
          <w:sz w:val="24"/>
          <w:szCs w:val="24"/>
        </w:rPr>
        <w:t>Modern</w:t>
      </w:r>
      <w:r w:rsidR="00F110D8">
        <w:rPr>
          <w:rFonts w:ascii="Calibri" w:hAnsi="Calibri" w:cs="Calibri"/>
          <w:sz w:val="24"/>
          <w:szCs w:val="24"/>
        </w:rPr>
        <w:t xml:space="preserve"> frameworks provide the ethical principles that guide these mechanisms. The SGM draws its explanatory strength from theoretical integration, not only from reliance on a single perspective. </w:t>
      </w:r>
    </w:p>
    <w:p w14:paraId="009025E4" w14:textId="6A78A577" w:rsidR="00380507" w:rsidRDefault="00A9227E" w:rsidP="009F335F">
      <w:pPr>
        <w:spacing w:line="360" w:lineRule="auto"/>
        <w:jc w:val="both"/>
        <w:rPr>
          <w:rFonts w:ascii="Calibri" w:hAnsi="Calibri" w:cs="Calibri"/>
          <w:sz w:val="24"/>
          <w:szCs w:val="24"/>
        </w:rPr>
      </w:pPr>
      <w:r>
        <w:rPr>
          <w:rFonts w:ascii="Calibri" w:hAnsi="Calibri" w:cs="Calibri"/>
          <w:sz w:val="24"/>
          <w:szCs w:val="24"/>
        </w:rPr>
        <w:lastRenderedPageBreak/>
        <w:t xml:space="preserve">The review has </w:t>
      </w:r>
      <w:r w:rsidR="00EB50C0">
        <w:rPr>
          <w:rFonts w:ascii="Calibri" w:hAnsi="Calibri" w:cs="Calibri"/>
          <w:sz w:val="24"/>
          <w:szCs w:val="24"/>
        </w:rPr>
        <w:t>vital</w:t>
      </w:r>
      <w:r w:rsidR="006E5C99">
        <w:rPr>
          <w:rFonts w:ascii="Calibri" w:hAnsi="Calibri" w:cs="Calibri"/>
          <w:sz w:val="24"/>
          <w:szCs w:val="24"/>
        </w:rPr>
        <w:t xml:space="preserve"> implications for management practice. Effective AI governance cannot be achieved through regulatory compliance. HEIs require governance arrangements that integrate ethical oversight, strategic leadership and </w:t>
      </w:r>
      <w:r w:rsidR="00F232BF">
        <w:rPr>
          <w:rFonts w:ascii="Calibri" w:hAnsi="Calibri" w:cs="Calibri"/>
          <w:sz w:val="24"/>
          <w:szCs w:val="24"/>
        </w:rPr>
        <w:t>continuous organisational learning</w:t>
      </w:r>
      <w:r w:rsidR="00CC6F6B">
        <w:rPr>
          <w:rFonts w:ascii="Calibri" w:hAnsi="Calibri" w:cs="Calibri"/>
          <w:sz w:val="24"/>
          <w:szCs w:val="24"/>
        </w:rPr>
        <w:t xml:space="preserve"> (Papagiannidis</w:t>
      </w:r>
      <w:r w:rsidR="00AB4BBA">
        <w:rPr>
          <w:rFonts w:ascii="Calibri" w:hAnsi="Calibri" w:cs="Calibri"/>
          <w:sz w:val="24"/>
          <w:szCs w:val="24"/>
        </w:rPr>
        <w:t xml:space="preserve"> et al., </w:t>
      </w:r>
      <w:r w:rsidR="00CC6F6B">
        <w:rPr>
          <w:rFonts w:ascii="Calibri" w:hAnsi="Calibri" w:cs="Calibri"/>
          <w:sz w:val="24"/>
          <w:szCs w:val="24"/>
        </w:rPr>
        <w:t>2025; Jafari et al., 2025; Ga</w:t>
      </w:r>
      <w:r w:rsidR="009D153C">
        <w:rPr>
          <w:rFonts w:ascii="Calibri" w:hAnsi="Calibri" w:cs="Calibri"/>
          <w:sz w:val="24"/>
          <w:szCs w:val="24"/>
        </w:rPr>
        <w:t>g</w:t>
      </w:r>
      <w:r w:rsidR="00CC6F6B">
        <w:rPr>
          <w:rFonts w:ascii="Calibri" w:hAnsi="Calibri" w:cs="Calibri"/>
          <w:sz w:val="24"/>
          <w:szCs w:val="24"/>
        </w:rPr>
        <w:t>ua et al., 2025)</w:t>
      </w:r>
      <w:r w:rsidR="00F232BF">
        <w:rPr>
          <w:rFonts w:ascii="Calibri" w:hAnsi="Calibri" w:cs="Calibri"/>
          <w:sz w:val="24"/>
          <w:szCs w:val="24"/>
        </w:rPr>
        <w:t xml:space="preserve">. Senior leadership </w:t>
      </w:r>
      <w:r w:rsidR="00964E1A">
        <w:rPr>
          <w:rFonts w:ascii="Calibri" w:hAnsi="Calibri" w:cs="Calibri"/>
          <w:sz w:val="24"/>
          <w:szCs w:val="24"/>
        </w:rPr>
        <w:t>must recognise that AI governance is</w:t>
      </w:r>
      <w:r w:rsidR="00937BA4">
        <w:rPr>
          <w:rFonts w:ascii="Calibri" w:hAnsi="Calibri" w:cs="Calibri"/>
          <w:sz w:val="24"/>
          <w:szCs w:val="24"/>
        </w:rPr>
        <w:t xml:space="preserve"> an ongoing organisational capability</w:t>
      </w:r>
      <w:r w:rsidR="00AA68D8">
        <w:rPr>
          <w:rFonts w:ascii="Calibri" w:hAnsi="Calibri" w:cs="Calibri"/>
          <w:sz w:val="24"/>
          <w:szCs w:val="24"/>
        </w:rPr>
        <w:t>,</w:t>
      </w:r>
      <w:r w:rsidR="00E0508B">
        <w:rPr>
          <w:rFonts w:ascii="Calibri" w:hAnsi="Calibri" w:cs="Calibri"/>
          <w:sz w:val="24"/>
          <w:szCs w:val="24"/>
        </w:rPr>
        <w:t xml:space="preserve"> not a static compliance exercise. </w:t>
      </w:r>
      <w:r w:rsidR="00C87E60">
        <w:rPr>
          <w:rFonts w:ascii="Calibri" w:hAnsi="Calibri" w:cs="Calibri"/>
          <w:sz w:val="24"/>
          <w:szCs w:val="24"/>
        </w:rPr>
        <w:t>Universities must embed governance mechanisms</w:t>
      </w:r>
      <w:r w:rsidR="006B52C7">
        <w:rPr>
          <w:rFonts w:ascii="Calibri" w:hAnsi="Calibri" w:cs="Calibri"/>
          <w:sz w:val="24"/>
          <w:szCs w:val="24"/>
        </w:rPr>
        <w:t xml:space="preserve"> in strategy. Moreover, it </w:t>
      </w:r>
      <w:r w:rsidR="00756E77">
        <w:rPr>
          <w:rFonts w:ascii="Calibri" w:hAnsi="Calibri" w:cs="Calibri"/>
          <w:sz w:val="24"/>
          <w:szCs w:val="24"/>
        </w:rPr>
        <w:t xml:space="preserve">must be supported by </w:t>
      </w:r>
      <w:r w:rsidR="00F0025E">
        <w:rPr>
          <w:rFonts w:ascii="Calibri" w:hAnsi="Calibri" w:cs="Calibri"/>
          <w:sz w:val="24"/>
          <w:szCs w:val="24"/>
        </w:rPr>
        <w:t>multi-case</w:t>
      </w:r>
      <w:r w:rsidR="00E16E40">
        <w:rPr>
          <w:rFonts w:ascii="Calibri" w:hAnsi="Calibri" w:cs="Calibri"/>
          <w:sz w:val="24"/>
          <w:szCs w:val="24"/>
        </w:rPr>
        <w:t xml:space="preserve"> oversight committees, transparent decision-making procedures and regular evaluation of ethical risks.</w:t>
      </w:r>
      <w:r w:rsidR="00BE1CDD">
        <w:rPr>
          <w:rFonts w:ascii="Calibri" w:hAnsi="Calibri" w:cs="Calibri"/>
          <w:sz w:val="24"/>
          <w:szCs w:val="24"/>
        </w:rPr>
        <w:t xml:space="preserve"> These arrangements strengthen institutional trust</w:t>
      </w:r>
      <w:r w:rsidR="00D91A99">
        <w:rPr>
          <w:rFonts w:ascii="Calibri" w:hAnsi="Calibri" w:cs="Calibri"/>
          <w:sz w:val="24"/>
          <w:szCs w:val="24"/>
        </w:rPr>
        <w:t xml:space="preserve">. </w:t>
      </w:r>
      <w:r w:rsidR="00356813">
        <w:rPr>
          <w:rFonts w:ascii="Calibri" w:hAnsi="Calibri" w:cs="Calibri"/>
          <w:sz w:val="24"/>
          <w:szCs w:val="24"/>
        </w:rPr>
        <w:t xml:space="preserve">This enables universities to respond </w:t>
      </w:r>
      <w:r w:rsidR="00AA68D8">
        <w:rPr>
          <w:rFonts w:ascii="Calibri" w:hAnsi="Calibri" w:cs="Calibri"/>
          <w:sz w:val="24"/>
          <w:szCs w:val="24"/>
        </w:rPr>
        <w:t>successfully</w:t>
      </w:r>
      <w:r w:rsidR="00356813">
        <w:rPr>
          <w:rFonts w:ascii="Calibri" w:hAnsi="Calibri" w:cs="Calibri"/>
          <w:sz w:val="24"/>
          <w:szCs w:val="24"/>
        </w:rPr>
        <w:t xml:space="preserve"> to the rapidly evol</w:t>
      </w:r>
      <w:r w:rsidR="00AA68D8">
        <w:rPr>
          <w:rFonts w:ascii="Calibri" w:hAnsi="Calibri" w:cs="Calibri"/>
          <w:sz w:val="24"/>
          <w:szCs w:val="24"/>
        </w:rPr>
        <w:t>ving AI landscape</w:t>
      </w:r>
      <w:r w:rsidR="00CC6F6B">
        <w:rPr>
          <w:rFonts w:ascii="Calibri" w:hAnsi="Calibri" w:cs="Calibri"/>
          <w:sz w:val="24"/>
          <w:szCs w:val="24"/>
        </w:rPr>
        <w:t xml:space="preserve"> (David</w:t>
      </w:r>
      <w:r w:rsidR="00AB4BBA">
        <w:rPr>
          <w:rFonts w:ascii="Calibri" w:hAnsi="Calibri" w:cs="Calibri"/>
          <w:sz w:val="24"/>
          <w:szCs w:val="24"/>
        </w:rPr>
        <w:t xml:space="preserve"> et al., </w:t>
      </w:r>
      <w:r w:rsidR="00CC6F6B">
        <w:rPr>
          <w:rFonts w:ascii="Calibri" w:hAnsi="Calibri" w:cs="Calibri"/>
          <w:sz w:val="24"/>
          <w:szCs w:val="24"/>
        </w:rPr>
        <w:t>2024; Lahusen</w:t>
      </w:r>
      <w:r w:rsidR="00AB4BBA">
        <w:rPr>
          <w:rFonts w:ascii="Calibri" w:hAnsi="Calibri" w:cs="Calibri"/>
          <w:sz w:val="24"/>
          <w:szCs w:val="24"/>
        </w:rPr>
        <w:t xml:space="preserve"> et al., </w:t>
      </w:r>
      <w:r w:rsidR="00CC6F6B">
        <w:rPr>
          <w:rFonts w:ascii="Calibri" w:hAnsi="Calibri" w:cs="Calibri"/>
          <w:sz w:val="24"/>
          <w:szCs w:val="24"/>
        </w:rPr>
        <w:t>2024)</w:t>
      </w:r>
      <w:r w:rsidR="00AA68D8">
        <w:rPr>
          <w:rFonts w:ascii="Calibri" w:hAnsi="Calibri" w:cs="Calibri"/>
          <w:sz w:val="24"/>
          <w:szCs w:val="24"/>
        </w:rPr>
        <w:t>.</w:t>
      </w:r>
    </w:p>
    <w:p w14:paraId="664D7DB6" w14:textId="5B5763CA" w:rsidR="00214CAF" w:rsidRDefault="00214CAF" w:rsidP="005A5CC2">
      <w:pPr>
        <w:pStyle w:val="Heading2"/>
      </w:pPr>
      <w:bookmarkStart w:id="108" w:name="_Toc237383396"/>
      <w:bookmarkStart w:id="109" w:name="_Toc237384231"/>
      <w:bookmarkStart w:id="110" w:name="_Toc237384951"/>
      <w:bookmarkStart w:id="111" w:name="_Toc237444973"/>
      <w:r>
        <w:t xml:space="preserve">5.1 </w:t>
      </w:r>
      <w:r w:rsidR="005A5CC2">
        <w:t>Theoretical Contribution</w:t>
      </w:r>
      <w:bookmarkEnd w:id="108"/>
      <w:bookmarkEnd w:id="109"/>
      <w:bookmarkEnd w:id="110"/>
      <w:bookmarkEnd w:id="111"/>
      <w:r w:rsidR="005A5CC2">
        <w:t xml:space="preserve"> </w:t>
      </w:r>
    </w:p>
    <w:p w14:paraId="3E8A0E7A" w14:textId="2DB47818" w:rsidR="002710E6" w:rsidRDefault="00F110D8" w:rsidP="00073594">
      <w:pPr>
        <w:spacing w:line="360" w:lineRule="auto"/>
        <w:jc w:val="both"/>
        <w:rPr>
          <w:rFonts w:ascii="Calibri" w:hAnsi="Calibri" w:cs="Calibri"/>
          <w:sz w:val="24"/>
          <w:szCs w:val="24"/>
        </w:rPr>
      </w:pPr>
      <w:r>
        <w:rPr>
          <w:rFonts w:ascii="Calibri" w:hAnsi="Calibri" w:cs="Calibri"/>
          <w:sz w:val="24"/>
          <w:szCs w:val="24"/>
        </w:rPr>
        <w:t xml:space="preserve">This research makes a theoretical contribution by integrating SMT, GT, Institutional Theory and responsible AI within a context-specific framework for English public universities. The </w:t>
      </w:r>
      <w:r w:rsidR="001D522C">
        <w:rPr>
          <w:rFonts w:ascii="Calibri" w:hAnsi="Calibri" w:cs="Calibri"/>
          <w:sz w:val="24"/>
          <w:szCs w:val="24"/>
        </w:rPr>
        <w:t>originality of the SGM lies not simply in combining these perspectives, but in conceptualising ethical AI governance as a dynamic organisational capability</w:t>
      </w:r>
      <w:r w:rsidR="00842AC3">
        <w:rPr>
          <w:rFonts w:ascii="Calibri" w:hAnsi="Calibri" w:cs="Calibri"/>
          <w:sz w:val="24"/>
          <w:szCs w:val="24"/>
        </w:rPr>
        <w:t xml:space="preserve"> (Batool</w:t>
      </w:r>
      <w:r w:rsidR="00AB4BBA">
        <w:rPr>
          <w:rFonts w:ascii="Calibri" w:hAnsi="Calibri" w:cs="Calibri"/>
          <w:sz w:val="24"/>
          <w:szCs w:val="24"/>
        </w:rPr>
        <w:t xml:space="preserve"> et al., </w:t>
      </w:r>
      <w:r w:rsidR="00842AC3">
        <w:rPr>
          <w:rFonts w:ascii="Calibri" w:hAnsi="Calibri" w:cs="Calibri"/>
          <w:sz w:val="24"/>
          <w:szCs w:val="24"/>
        </w:rPr>
        <w:t>2025; Akbarighatar, 2025)</w:t>
      </w:r>
      <w:r w:rsidR="001D522C">
        <w:rPr>
          <w:rFonts w:ascii="Calibri" w:hAnsi="Calibri" w:cs="Calibri"/>
          <w:sz w:val="24"/>
          <w:szCs w:val="24"/>
        </w:rPr>
        <w:t>.</w:t>
      </w:r>
      <w:r>
        <w:rPr>
          <w:rFonts w:ascii="Calibri" w:hAnsi="Calibri" w:cs="Calibri"/>
          <w:sz w:val="24"/>
          <w:szCs w:val="24"/>
        </w:rPr>
        <w:t xml:space="preserve"> The model </w:t>
      </w:r>
      <w:r w:rsidR="00AB4BBA">
        <w:rPr>
          <w:rFonts w:ascii="Calibri" w:hAnsi="Calibri" w:cs="Calibri"/>
          <w:sz w:val="24"/>
          <w:szCs w:val="24"/>
        </w:rPr>
        <w:t>highlights</w:t>
      </w:r>
      <w:r>
        <w:rPr>
          <w:rFonts w:ascii="Calibri" w:hAnsi="Calibri" w:cs="Calibri"/>
          <w:sz w:val="24"/>
          <w:szCs w:val="24"/>
        </w:rPr>
        <w:t xml:space="preserve"> that </w:t>
      </w:r>
      <w:r w:rsidR="0012114C">
        <w:rPr>
          <w:rFonts w:ascii="Calibri" w:hAnsi="Calibri" w:cs="Calibri"/>
          <w:sz w:val="24"/>
          <w:szCs w:val="24"/>
        </w:rPr>
        <w:t>strategic</w:t>
      </w:r>
      <w:r w:rsidR="0001534D">
        <w:rPr>
          <w:rFonts w:ascii="Calibri" w:hAnsi="Calibri" w:cs="Calibri"/>
          <w:sz w:val="24"/>
          <w:szCs w:val="24"/>
        </w:rPr>
        <w:t xml:space="preserve"> leaders</w:t>
      </w:r>
      <w:r>
        <w:rPr>
          <w:rFonts w:ascii="Calibri" w:hAnsi="Calibri" w:cs="Calibri"/>
          <w:sz w:val="24"/>
          <w:szCs w:val="24"/>
        </w:rPr>
        <w:t xml:space="preserve"> </w:t>
      </w:r>
      <w:r w:rsidR="00371337">
        <w:rPr>
          <w:rFonts w:ascii="Calibri" w:hAnsi="Calibri" w:cs="Calibri"/>
          <w:sz w:val="24"/>
          <w:szCs w:val="24"/>
        </w:rPr>
        <w:t>provide institutional</w:t>
      </w:r>
      <w:r>
        <w:rPr>
          <w:rFonts w:ascii="Calibri" w:hAnsi="Calibri" w:cs="Calibri"/>
          <w:sz w:val="24"/>
          <w:szCs w:val="24"/>
        </w:rPr>
        <w:t xml:space="preserve"> direction</w:t>
      </w:r>
      <w:r w:rsidR="001D522C">
        <w:rPr>
          <w:rFonts w:ascii="Calibri" w:hAnsi="Calibri" w:cs="Calibri"/>
          <w:sz w:val="24"/>
          <w:szCs w:val="24"/>
        </w:rPr>
        <w:t>.</w:t>
      </w:r>
      <w:r w:rsidR="00A32D73">
        <w:rPr>
          <w:rFonts w:ascii="Calibri" w:hAnsi="Calibri" w:cs="Calibri"/>
          <w:sz w:val="24"/>
          <w:szCs w:val="24"/>
        </w:rPr>
        <w:t xml:space="preserve"> </w:t>
      </w:r>
      <w:r w:rsidR="00A32D73" w:rsidRPr="00A32D73">
        <w:rPr>
          <w:rFonts w:ascii="Calibri" w:hAnsi="Calibri" w:cs="Calibri"/>
          <w:b/>
          <w:bCs/>
          <w:sz w:val="24"/>
          <w:szCs w:val="24"/>
        </w:rPr>
        <w:t>See Fig. 5.1 below.</w:t>
      </w:r>
      <w:r w:rsidR="00A32D73">
        <w:rPr>
          <w:rFonts w:ascii="Calibri" w:hAnsi="Calibri" w:cs="Calibri"/>
          <w:sz w:val="24"/>
          <w:szCs w:val="24"/>
        </w:rPr>
        <w:t xml:space="preserve"> </w:t>
      </w:r>
      <w:r w:rsidR="001D522C">
        <w:rPr>
          <w:rFonts w:ascii="Calibri" w:hAnsi="Calibri" w:cs="Calibri"/>
          <w:sz w:val="24"/>
          <w:szCs w:val="24"/>
        </w:rPr>
        <w:t xml:space="preserve"> Moreover, stakeholder participation </w:t>
      </w:r>
      <w:r w:rsidR="00963716">
        <w:rPr>
          <w:rFonts w:ascii="Calibri" w:hAnsi="Calibri" w:cs="Calibri"/>
          <w:sz w:val="24"/>
          <w:szCs w:val="24"/>
        </w:rPr>
        <w:t xml:space="preserve">creates a basis for </w:t>
      </w:r>
      <w:r w:rsidR="001D522C">
        <w:rPr>
          <w:rFonts w:ascii="Calibri" w:hAnsi="Calibri" w:cs="Calibri"/>
          <w:sz w:val="24"/>
          <w:szCs w:val="24"/>
        </w:rPr>
        <w:t>legitimacy and contextual knowledge, and responsible AI principles establish the ethical criteria against which decisions are evaluated</w:t>
      </w:r>
      <w:r w:rsidR="00CA6FC4">
        <w:rPr>
          <w:rFonts w:ascii="Calibri" w:hAnsi="Calibri" w:cs="Calibri"/>
          <w:sz w:val="24"/>
          <w:szCs w:val="24"/>
        </w:rPr>
        <w:t>.</w:t>
      </w:r>
      <w:r w:rsidR="00693829">
        <w:rPr>
          <w:rFonts w:ascii="Calibri" w:hAnsi="Calibri" w:cs="Calibri"/>
          <w:sz w:val="24"/>
          <w:szCs w:val="24"/>
        </w:rPr>
        <w:t xml:space="preserve"> These elements interact through continuous organisational learning and adaptation, </w:t>
      </w:r>
      <w:r w:rsidR="00166BA4">
        <w:rPr>
          <w:rFonts w:ascii="Calibri" w:hAnsi="Calibri" w:cs="Calibri"/>
          <w:sz w:val="24"/>
          <w:szCs w:val="24"/>
        </w:rPr>
        <w:t xml:space="preserve">but </w:t>
      </w:r>
      <w:r w:rsidR="008B6EA4">
        <w:rPr>
          <w:rFonts w:ascii="Calibri" w:hAnsi="Calibri" w:cs="Calibri"/>
          <w:sz w:val="24"/>
          <w:szCs w:val="24"/>
        </w:rPr>
        <w:t>do not operate</w:t>
      </w:r>
      <w:r w:rsidR="00693829">
        <w:rPr>
          <w:rFonts w:ascii="Calibri" w:hAnsi="Calibri" w:cs="Calibri"/>
          <w:sz w:val="24"/>
          <w:szCs w:val="24"/>
        </w:rPr>
        <w:t xml:space="preserve"> independently. The SGM explains how governance capability develops over time as HEIs respond to technological change, regulatory pressures and stakeholder expectations</w:t>
      </w:r>
      <w:r w:rsidR="00812961">
        <w:rPr>
          <w:rFonts w:ascii="Calibri" w:hAnsi="Calibri" w:cs="Calibri"/>
          <w:sz w:val="24"/>
          <w:szCs w:val="24"/>
        </w:rPr>
        <w:t xml:space="preserve"> (Hadley</w:t>
      </w:r>
      <w:r w:rsidR="00717F0B">
        <w:rPr>
          <w:rFonts w:ascii="Calibri" w:hAnsi="Calibri" w:cs="Calibri"/>
          <w:sz w:val="24"/>
          <w:szCs w:val="24"/>
        </w:rPr>
        <w:t xml:space="preserve"> et al., </w:t>
      </w:r>
      <w:r w:rsidR="00812961">
        <w:rPr>
          <w:rFonts w:ascii="Calibri" w:hAnsi="Calibri" w:cs="Calibri"/>
          <w:sz w:val="24"/>
          <w:szCs w:val="24"/>
        </w:rPr>
        <w:t>2025; Marin et al., 2025; Bob</w:t>
      </w:r>
      <w:r w:rsidR="00196989">
        <w:rPr>
          <w:rFonts w:ascii="Calibri" w:hAnsi="Calibri" w:cs="Calibri"/>
          <w:sz w:val="24"/>
          <w:szCs w:val="24"/>
        </w:rPr>
        <w:t>u</w:t>
      </w:r>
      <w:r w:rsidR="00812961">
        <w:rPr>
          <w:rFonts w:ascii="Calibri" w:hAnsi="Calibri" w:cs="Calibri"/>
          <w:sz w:val="24"/>
          <w:szCs w:val="24"/>
        </w:rPr>
        <w:t>la, 2024)</w:t>
      </w:r>
      <w:r w:rsidR="00693829">
        <w:rPr>
          <w:rFonts w:ascii="Calibri" w:hAnsi="Calibri" w:cs="Calibri"/>
          <w:sz w:val="24"/>
          <w:szCs w:val="24"/>
        </w:rPr>
        <w:t xml:space="preserve">. This advances existing governance models by connecting ethical principles with the organisational mechanisms through which responsible AI is strategically implemented and sustained. </w:t>
      </w:r>
      <w:r w:rsidR="00CA6FC4">
        <w:rPr>
          <w:rFonts w:ascii="Calibri" w:hAnsi="Calibri" w:cs="Calibri"/>
          <w:sz w:val="24"/>
          <w:szCs w:val="24"/>
        </w:rPr>
        <w:t xml:space="preserve"> </w:t>
      </w:r>
      <w:r w:rsidR="003733E0" w:rsidRPr="00F0137C">
        <w:rPr>
          <w:rFonts w:ascii="Calibri" w:hAnsi="Calibri" w:cs="Calibri"/>
          <w:b/>
          <w:bCs/>
          <w:sz w:val="24"/>
          <w:szCs w:val="24"/>
        </w:rPr>
        <w:t>See</w:t>
      </w:r>
      <w:r w:rsidR="004C7783" w:rsidRPr="00F0137C">
        <w:rPr>
          <w:rFonts w:ascii="Calibri" w:hAnsi="Calibri" w:cs="Calibri"/>
          <w:b/>
          <w:bCs/>
          <w:sz w:val="24"/>
          <w:szCs w:val="24"/>
        </w:rPr>
        <w:t xml:space="preserve"> </w:t>
      </w:r>
      <w:r w:rsidR="00F0137C" w:rsidRPr="00F0137C">
        <w:rPr>
          <w:b/>
          <w:bCs/>
          <w:noProof/>
        </w:rPr>
        <w:t xml:space="preserve">Appendix D. </w:t>
      </w:r>
    </w:p>
    <w:p w14:paraId="03A057AF" w14:textId="77777777" w:rsidR="00F0137C" w:rsidRDefault="00F0137C" w:rsidP="004106E9">
      <w:pPr>
        <w:pStyle w:val="Caption"/>
        <w:jc w:val="center"/>
      </w:pPr>
    </w:p>
    <w:p w14:paraId="60DF33A3" w14:textId="77777777" w:rsidR="00F0137C" w:rsidRDefault="00F0137C" w:rsidP="004106E9">
      <w:pPr>
        <w:pStyle w:val="Caption"/>
        <w:jc w:val="center"/>
      </w:pPr>
    </w:p>
    <w:p w14:paraId="650F807F" w14:textId="77777777" w:rsidR="00F0137C" w:rsidRDefault="00F0137C" w:rsidP="004106E9">
      <w:pPr>
        <w:pStyle w:val="Caption"/>
        <w:jc w:val="center"/>
      </w:pPr>
    </w:p>
    <w:p w14:paraId="004AD249" w14:textId="77777777" w:rsidR="00F0137C" w:rsidRDefault="00F0137C" w:rsidP="004106E9">
      <w:pPr>
        <w:pStyle w:val="Caption"/>
        <w:jc w:val="center"/>
      </w:pPr>
    </w:p>
    <w:p w14:paraId="179985C8" w14:textId="77777777" w:rsidR="00F0137C" w:rsidRDefault="00F0137C" w:rsidP="004106E9">
      <w:pPr>
        <w:pStyle w:val="Caption"/>
        <w:jc w:val="center"/>
      </w:pPr>
    </w:p>
    <w:p w14:paraId="6C9AA791" w14:textId="77777777" w:rsidR="00F0137C" w:rsidRDefault="00F0137C" w:rsidP="004106E9">
      <w:pPr>
        <w:pStyle w:val="Caption"/>
        <w:jc w:val="center"/>
      </w:pPr>
    </w:p>
    <w:p w14:paraId="298AC136" w14:textId="4B230517" w:rsidR="00F0137C" w:rsidRDefault="00F0137C" w:rsidP="004106E9">
      <w:pPr>
        <w:pStyle w:val="Caption"/>
        <w:jc w:val="center"/>
      </w:pPr>
      <w:r>
        <w:rPr>
          <w:noProof/>
        </w:rPr>
        <w:lastRenderedPageBreak/>
        <w:drawing>
          <wp:inline distT="0" distB="0" distL="0" distR="0" wp14:anchorId="19872058" wp14:editId="6FF09367">
            <wp:extent cx="5730653" cy="37909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1_SGM_New.png"/>
                    <pic:cNvPicPr/>
                  </pic:nvPicPr>
                  <pic:blipFill>
                    <a:blip r:embed="rId9"/>
                    <a:stretch>
                      <a:fillRect/>
                    </a:stretch>
                  </pic:blipFill>
                  <pic:spPr>
                    <a:xfrm>
                      <a:off x="0" y="0"/>
                      <a:ext cx="5736466" cy="3794796"/>
                    </a:xfrm>
                    <a:prstGeom prst="rect">
                      <a:avLst/>
                    </a:prstGeom>
                  </pic:spPr>
                </pic:pic>
              </a:graphicData>
            </a:graphic>
          </wp:inline>
        </w:drawing>
      </w:r>
    </w:p>
    <w:p w14:paraId="0DD6A5E7" w14:textId="041B61FC" w:rsidR="00063FB5" w:rsidRDefault="00717F0B" w:rsidP="004106E9">
      <w:pPr>
        <w:pStyle w:val="Caption"/>
        <w:jc w:val="center"/>
      </w:pPr>
      <w:r>
        <w:t>Fi</w:t>
      </w:r>
      <w:r w:rsidR="00063FB5">
        <w:t xml:space="preserve">g. 5.1 </w:t>
      </w:r>
      <w:r w:rsidR="006B1E81">
        <w:t>Strategic Governance Model</w:t>
      </w:r>
    </w:p>
    <w:p w14:paraId="66DA026D" w14:textId="08574AB8" w:rsidR="004106E9" w:rsidRDefault="004106E9" w:rsidP="004106E9">
      <w:pPr>
        <w:pStyle w:val="Caption"/>
        <w:jc w:val="center"/>
        <w:rPr>
          <w:rFonts w:ascii="Calibri" w:hAnsi="Calibri" w:cs="Calibri"/>
          <w:sz w:val="24"/>
          <w:szCs w:val="24"/>
        </w:rPr>
      </w:pPr>
      <w:r>
        <w:t>Source: Author's own development</w:t>
      </w:r>
      <w:r w:rsidR="00A257DF">
        <w:t>, infor</w:t>
      </w:r>
      <w:r w:rsidR="00C36A97">
        <w:t xml:space="preserve">med by </w:t>
      </w:r>
      <w:r w:rsidR="00C36A97" w:rsidRPr="00C36A97">
        <w:t>Papagiannidis</w:t>
      </w:r>
      <w:r w:rsidR="00063FB5">
        <w:t xml:space="preserve"> et al.</w:t>
      </w:r>
      <w:r w:rsidR="003A57BC">
        <w:t xml:space="preserve"> (2025), Wu</w:t>
      </w:r>
      <w:r w:rsidR="00595F63">
        <w:t xml:space="preserve"> et al.</w:t>
      </w:r>
      <w:r w:rsidR="003A57BC">
        <w:t xml:space="preserve"> (</w:t>
      </w:r>
      <w:r w:rsidR="00C36A97" w:rsidRPr="00C36A97">
        <w:t>2024).</w:t>
      </w:r>
      <w:r w:rsidR="00C36A97">
        <w:rPr>
          <w:rFonts w:ascii="Calibri" w:hAnsi="Calibri" w:cs="Calibri"/>
          <w:sz w:val="24"/>
          <w:szCs w:val="24"/>
        </w:rPr>
        <w:t xml:space="preserve"> </w:t>
      </w:r>
    </w:p>
    <w:p w14:paraId="12158135" w14:textId="77777777" w:rsidR="004106E9" w:rsidRDefault="004106E9" w:rsidP="00E249FF">
      <w:pPr>
        <w:pStyle w:val="Heading2"/>
      </w:pPr>
    </w:p>
    <w:p w14:paraId="57EEDEAD" w14:textId="547E732E" w:rsidR="00E249FF" w:rsidRDefault="00E249FF" w:rsidP="00E249FF">
      <w:pPr>
        <w:pStyle w:val="Heading2"/>
      </w:pPr>
      <w:bookmarkStart w:id="112" w:name="_Toc237383397"/>
      <w:bookmarkStart w:id="113" w:name="_Toc237384232"/>
      <w:bookmarkStart w:id="114" w:name="_Toc237384952"/>
      <w:bookmarkStart w:id="115" w:name="_Toc237444974"/>
      <w:r w:rsidRPr="00E249FF">
        <w:t>5.2 Practical Contribution</w:t>
      </w:r>
      <w:bookmarkEnd w:id="112"/>
      <w:bookmarkEnd w:id="113"/>
      <w:bookmarkEnd w:id="114"/>
      <w:bookmarkEnd w:id="115"/>
      <w:r w:rsidRPr="00E249FF">
        <w:t xml:space="preserve"> </w:t>
      </w:r>
    </w:p>
    <w:p w14:paraId="745EE0C2" w14:textId="045A5268" w:rsidR="00693829" w:rsidRPr="00693829" w:rsidRDefault="00693829" w:rsidP="00693829">
      <w:pPr>
        <w:spacing w:line="360" w:lineRule="auto"/>
        <w:jc w:val="both"/>
        <w:rPr>
          <w:rFonts w:ascii="Calibri" w:hAnsi="Calibri" w:cs="Calibri"/>
          <w:sz w:val="24"/>
          <w:szCs w:val="24"/>
        </w:rPr>
      </w:pPr>
      <w:r w:rsidRPr="00693829">
        <w:rPr>
          <w:rFonts w:ascii="Calibri" w:hAnsi="Calibri" w:cs="Calibri"/>
          <w:sz w:val="24"/>
          <w:szCs w:val="24"/>
        </w:rPr>
        <w:t xml:space="preserve">The SGM </w:t>
      </w:r>
      <w:r w:rsidR="009759FD">
        <w:rPr>
          <w:rFonts w:ascii="Calibri" w:hAnsi="Calibri" w:cs="Calibri"/>
          <w:sz w:val="24"/>
          <w:szCs w:val="24"/>
        </w:rPr>
        <w:t>guides</w:t>
      </w:r>
      <w:r w:rsidRPr="00693829">
        <w:rPr>
          <w:rFonts w:ascii="Calibri" w:hAnsi="Calibri" w:cs="Calibri"/>
          <w:sz w:val="24"/>
          <w:szCs w:val="24"/>
        </w:rPr>
        <w:t xml:space="preserve"> practical </w:t>
      </w:r>
      <w:r w:rsidR="003F37CB">
        <w:rPr>
          <w:rFonts w:ascii="Calibri" w:hAnsi="Calibri" w:cs="Calibri"/>
          <w:sz w:val="24"/>
          <w:szCs w:val="24"/>
        </w:rPr>
        <w:t>contributions</w:t>
      </w:r>
      <w:r w:rsidRPr="00693829">
        <w:rPr>
          <w:rFonts w:ascii="Calibri" w:hAnsi="Calibri" w:cs="Calibri"/>
          <w:sz w:val="24"/>
          <w:szCs w:val="24"/>
        </w:rPr>
        <w:t xml:space="preserve"> for HEIs’ leaders seeking to translate responsible AI principles into </w:t>
      </w:r>
      <w:r w:rsidR="009759FD">
        <w:rPr>
          <w:rFonts w:ascii="Calibri" w:hAnsi="Calibri" w:cs="Calibri"/>
          <w:sz w:val="24"/>
          <w:szCs w:val="24"/>
        </w:rPr>
        <w:t>HE</w:t>
      </w:r>
      <w:r w:rsidRPr="00693829">
        <w:rPr>
          <w:rFonts w:ascii="Calibri" w:hAnsi="Calibri" w:cs="Calibri"/>
          <w:sz w:val="24"/>
          <w:szCs w:val="24"/>
        </w:rPr>
        <w:t xml:space="preserve"> </w:t>
      </w:r>
      <w:r w:rsidR="009759FD" w:rsidRPr="00693829">
        <w:rPr>
          <w:rFonts w:ascii="Calibri" w:hAnsi="Calibri" w:cs="Calibri"/>
          <w:sz w:val="24"/>
          <w:szCs w:val="24"/>
        </w:rPr>
        <w:t>practices</w:t>
      </w:r>
      <w:r w:rsidRPr="00693829">
        <w:rPr>
          <w:rFonts w:ascii="Calibri" w:hAnsi="Calibri" w:cs="Calibri"/>
          <w:sz w:val="24"/>
          <w:szCs w:val="24"/>
        </w:rPr>
        <w:t xml:space="preserve">. For example, senior leadership </w:t>
      </w:r>
      <w:r w:rsidR="00247ECD">
        <w:rPr>
          <w:rFonts w:ascii="Calibri" w:hAnsi="Calibri" w:cs="Calibri"/>
          <w:sz w:val="24"/>
          <w:szCs w:val="24"/>
        </w:rPr>
        <w:t xml:space="preserve">can </w:t>
      </w:r>
      <w:r w:rsidRPr="00693829">
        <w:rPr>
          <w:rFonts w:ascii="Calibri" w:hAnsi="Calibri" w:cs="Calibri"/>
          <w:sz w:val="24"/>
          <w:szCs w:val="24"/>
        </w:rPr>
        <w:t xml:space="preserve">establish a </w:t>
      </w:r>
      <w:r w:rsidR="00DA0621">
        <w:rPr>
          <w:rFonts w:ascii="Calibri" w:hAnsi="Calibri" w:cs="Calibri"/>
          <w:sz w:val="24"/>
          <w:szCs w:val="24"/>
        </w:rPr>
        <w:t>multi</w:t>
      </w:r>
      <w:r w:rsidR="00B12419">
        <w:rPr>
          <w:rFonts w:ascii="Calibri" w:hAnsi="Calibri" w:cs="Calibri"/>
          <w:sz w:val="24"/>
          <w:szCs w:val="24"/>
        </w:rPr>
        <w:t>di</w:t>
      </w:r>
      <w:r w:rsidR="00FF0BF6">
        <w:rPr>
          <w:rFonts w:ascii="Calibri" w:hAnsi="Calibri" w:cs="Calibri"/>
          <w:sz w:val="24"/>
          <w:szCs w:val="24"/>
        </w:rPr>
        <w:t>sciplinary</w:t>
      </w:r>
      <w:r w:rsidRPr="00693829">
        <w:rPr>
          <w:rFonts w:ascii="Calibri" w:hAnsi="Calibri" w:cs="Calibri"/>
          <w:sz w:val="24"/>
          <w:szCs w:val="24"/>
        </w:rPr>
        <w:t xml:space="preserve"> AI </w:t>
      </w:r>
      <w:r w:rsidR="008543A8">
        <w:rPr>
          <w:rFonts w:ascii="Calibri" w:hAnsi="Calibri" w:cs="Calibri"/>
          <w:sz w:val="24"/>
          <w:szCs w:val="24"/>
        </w:rPr>
        <w:t>governance</w:t>
      </w:r>
      <w:r w:rsidRPr="00693829">
        <w:rPr>
          <w:rFonts w:ascii="Calibri" w:hAnsi="Calibri" w:cs="Calibri"/>
          <w:sz w:val="24"/>
          <w:szCs w:val="24"/>
        </w:rPr>
        <w:t xml:space="preserve"> </w:t>
      </w:r>
      <w:r>
        <w:rPr>
          <w:rFonts w:ascii="Calibri" w:hAnsi="Calibri" w:cs="Calibri"/>
          <w:sz w:val="24"/>
          <w:szCs w:val="24"/>
        </w:rPr>
        <w:t>committee involving academic, professional services, technical and student representatives to oversee high-impact AI decisions. Universities</w:t>
      </w:r>
      <w:r w:rsidR="00E33F5F">
        <w:rPr>
          <w:rFonts w:ascii="Calibri" w:hAnsi="Calibri" w:cs="Calibri"/>
          <w:sz w:val="24"/>
          <w:szCs w:val="24"/>
        </w:rPr>
        <w:t xml:space="preserve"> need to consider the consequences</w:t>
      </w:r>
      <w:r w:rsidR="008D11E4">
        <w:rPr>
          <w:rFonts w:ascii="Calibri" w:hAnsi="Calibri" w:cs="Calibri"/>
          <w:sz w:val="24"/>
          <w:szCs w:val="24"/>
        </w:rPr>
        <w:t xml:space="preserve"> </w:t>
      </w:r>
      <w:r>
        <w:rPr>
          <w:rFonts w:ascii="Calibri" w:hAnsi="Calibri" w:cs="Calibri"/>
          <w:sz w:val="24"/>
          <w:szCs w:val="24"/>
        </w:rPr>
        <w:t>before deploying systems that affect assessment, admissions or student support, with explicit consideration of bias, privacy, transparency and accountability</w:t>
      </w:r>
      <w:r w:rsidR="005A5C19">
        <w:rPr>
          <w:rFonts w:ascii="Calibri" w:hAnsi="Calibri" w:cs="Calibri"/>
          <w:sz w:val="24"/>
          <w:szCs w:val="24"/>
        </w:rPr>
        <w:t xml:space="preserve"> (Memarian </w:t>
      </w:r>
      <w:r w:rsidR="00D82198">
        <w:rPr>
          <w:rFonts w:ascii="Calibri" w:hAnsi="Calibri" w:cs="Calibri"/>
          <w:sz w:val="24"/>
          <w:szCs w:val="24"/>
        </w:rPr>
        <w:t>and</w:t>
      </w:r>
      <w:r w:rsidR="005A5C19">
        <w:rPr>
          <w:rFonts w:ascii="Calibri" w:hAnsi="Calibri" w:cs="Calibri"/>
          <w:sz w:val="24"/>
          <w:szCs w:val="24"/>
        </w:rPr>
        <w:t xml:space="preserve"> Doleck, 2023; Moorhouse</w:t>
      </w:r>
      <w:r w:rsidR="008543A8">
        <w:rPr>
          <w:rFonts w:ascii="Calibri" w:hAnsi="Calibri" w:cs="Calibri"/>
          <w:sz w:val="24"/>
          <w:szCs w:val="24"/>
        </w:rPr>
        <w:t xml:space="preserve"> et al.,</w:t>
      </w:r>
      <w:r w:rsidR="005A5C19">
        <w:rPr>
          <w:rFonts w:ascii="Calibri" w:hAnsi="Calibri" w:cs="Calibri"/>
          <w:sz w:val="24"/>
          <w:szCs w:val="24"/>
        </w:rPr>
        <w:t xml:space="preserve"> 2023)</w:t>
      </w:r>
      <w:r>
        <w:rPr>
          <w:rFonts w:ascii="Calibri" w:hAnsi="Calibri" w:cs="Calibri"/>
          <w:sz w:val="24"/>
          <w:szCs w:val="24"/>
        </w:rPr>
        <w:t xml:space="preserve">. </w:t>
      </w:r>
      <w:r w:rsidR="00DA0621">
        <w:rPr>
          <w:rFonts w:ascii="Calibri" w:hAnsi="Calibri" w:cs="Calibri"/>
          <w:sz w:val="24"/>
          <w:szCs w:val="24"/>
        </w:rPr>
        <w:t xml:space="preserve">Governance needs to include clearly assigned responsibility for AI-related decisions, regular review of institutional AI policies and mechanisms through which staff and students can raise concerns or challenge AI-supported decisions. </w:t>
      </w:r>
      <w:r w:rsidR="00F73863">
        <w:rPr>
          <w:rFonts w:ascii="Calibri" w:hAnsi="Calibri" w:cs="Calibri"/>
          <w:sz w:val="24"/>
          <w:szCs w:val="24"/>
        </w:rPr>
        <w:t xml:space="preserve">These practices </w:t>
      </w:r>
      <w:r w:rsidR="004466C8">
        <w:rPr>
          <w:rFonts w:ascii="Calibri" w:hAnsi="Calibri" w:cs="Calibri"/>
          <w:sz w:val="24"/>
          <w:szCs w:val="24"/>
        </w:rPr>
        <w:t>need to be e</w:t>
      </w:r>
      <w:r w:rsidR="00DA0621">
        <w:rPr>
          <w:rFonts w:ascii="Calibri" w:hAnsi="Calibri" w:cs="Calibri"/>
          <w:sz w:val="24"/>
          <w:szCs w:val="24"/>
        </w:rPr>
        <w:t>mbedd</w:t>
      </w:r>
      <w:r w:rsidR="004466C8">
        <w:rPr>
          <w:rFonts w:ascii="Calibri" w:hAnsi="Calibri" w:cs="Calibri"/>
          <w:sz w:val="24"/>
          <w:szCs w:val="24"/>
        </w:rPr>
        <w:t>ed</w:t>
      </w:r>
      <w:r w:rsidR="00DA0621">
        <w:rPr>
          <w:rFonts w:ascii="Calibri" w:hAnsi="Calibri" w:cs="Calibri"/>
          <w:sz w:val="24"/>
          <w:szCs w:val="24"/>
        </w:rPr>
        <w:t xml:space="preserve"> within </w:t>
      </w:r>
      <w:r w:rsidR="00DD3F12">
        <w:rPr>
          <w:rFonts w:ascii="Calibri" w:hAnsi="Calibri" w:cs="Calibri"/>
          <w:sz w:val="24"/>
          <w:szCs w:val="24"/>
        </w:rPr>
        <w:t>HEIs'</w:t>
      </w:r>
      <w:r w:rsidR="00DA0621">
        <w:rPr>
          <w:rFonts w:ascii="Calibri" w:hAnsi="Calibri" w:cs="Calibri"/>
          <w:sz w:val="24"/>
          <w:szCs w:val="24"/>
        </w:rPr>
        <w:t xml:space="preserve"> strategy </w:t>
      </w:r>
      <w:r w:rsidR="00DD3F12">
        <w:rPr>
          <w:rFonts w:ascii="Calibri" w:hAnsi="Calibri" w:cs="Calibri"/>
          <w:sz w:val="24"/>
          <w:szCs w:val="24"/>
        </w:rPr>
        <w:t xml:space="preserve">and to </w:t>
      </w:r>
      <w:r w:rsidR="00DA0621">
        <w:rPr>
          <w:rFonts w:ascii="Calibri" w:hAnsi="Calibri" w:cs="Calibri"/>
          <w:sz w:val="24"/>
          <w:szCs w:val="24"/>
        </w:rPr>
        <w:t>move responsible AI beyond policy statements towards an operational governance capability that can adapt to technological and regulatory change</w:t>
      </w:r>
      <w:r w:rsidR="005A5C19">
        <w:rPr>
          <w:rFonts w:ascii="Calibri" w:hAnsi="Calibri" w:cs="Calibri"/>
          <w:sz w:val="24"/>
          <w:szCs w:val="24"/>
        </w:rPr>
        <w:t xml:space="preserve"> (Luo, 2024; Moore </w:t>
      </w:r>
      <w:r w:rsidR="00D82198">
        <w:rPr>
          <w:rFonts w:ascii="Calibri" w:hAnsi="Calibri" w:cs="Calibri"/>
          <w:sz w:val="24"/>
          <w:szCs w:val="24"/>
        </w:rPr>
        <w:t>and</w:t>
      </w:r>
      <w:r w:rsidR="005A5C19">
        <w:rPr>
          <w:rFonts w:ascii="Calibri" w:hAnsi="Calibri" w:cs="Calibri"/>
          <w:sz w:val="24"/>
          <w:szCs w:val="24"/>
        </w:rPr>
        <w:t xml:space="preserve"> Lookadoo, 2024)</w:t>
      </w:r>
      <w:r w:rsidR="00DA0621">
        <w:rPr>
          <w:rFonts w:ascii="Calibri" w:hAnsi="Calibri" w:cs="Calibri"/>
          <w:sz w:val="24"/>
          <w:szCs w:val="24"/>
        </w:rPr>
        <w:t xml:space="preserve">. </w:t>
      </w:r>
    </w:p>
    <w:p w14:paraId="461A34DC" w14:textId="1397173C" w:rsidR="00C40BC3" w:rsidRPr="00073594" w:rsidRDefault="00DA0621" w:rsidP="00073594">
      <w:pPr>
        <w:spacing w:line="360" w:lineRule="auto"/>
        <w:jc w:val="both"/>
        <w:rPr>
          <w:rFonts w:ascii="Calibri" w:hAnsi="Calibri" w:cs="Calibri"/>
          <w:sz w:val="24"/>
          <w:szCs w:val="24"/>
        </w:rPr>
      </w:pPr>
      <w:r>
        <w:rPr>
          <w:rFonts w:ascii="Calibri" w:hAnsi="Calibri" w:cs="Calibri"/>
          <w:sz w:val="24"/>
          <w:szCs w:val="24"/>
        </w:rPr>
        <w:lastRenderedPageBreak/>
        <w:t xml:space="preserve">Overall, the discussion moves the literature beyond a collection of ethical principles and governance recommendations for an integrated explanation of </w:t>
      </w:r>
      <w:r w:rsidR="00A56E30">
        <w:rPr>
          <w:rFonts w:ascii="Calibri" w:hAnsi="Calibri" w:cs="Calibri"/>
          <w:sz w:val="24"/>
          <w:szCs w:val="24"/>
        </w:rPr>
        <w:t>how</w:t>
      </w:r>
      <w:r>
        <w:rPr>
          <w:rFonts w:ascii="Calibri" w:hAnsi="Calibri" w:cs="Calibri"/>
          <w:sz w:val="24"/>
          <w:szCs w:val="24"/>
        </w:rPr>
        <w:t xml:space="preserve"> responsible AI can be institutionally governed</w:t>
      </w:r>
      <w:r w:rsidR="00A56E30">
        <w:rPr>
          <w:rFonts w:ascii="Calibri" w:hAnsi="Calibri" w:cs="Calibri"/>
          <w:sz w:val="24"/>
          <w:szCs w:val="24"/>
        </w:rPr>
        <w:t xml:space="preserve"> (Gomes</w:t>
      </w:r>
      <w:r w:rsidR="008F01EF">
        <w:rPr>
          <w:rFonts w:ascii="Calibri" w:hAnsi="Calibri" w:cs="Calibri"/>
          <w:sz w:val="24"/>
          <w:szCs w:val="24"/>
        </w:rPr>
        <w:t xml:space="preserve"> et al., </w:t>
      </w:r>
      <w:r w:rsidR="00A56E30">
        <w:rPr>
          <w:rFonts w:ascii="Calibri" w:hAnsi="Calibri" w:cs="Calibri"/>
          <w:sz w:val="24"/>
          <w:szCs w:val="24"/>
        </w:rPr>
        <w:t>2025; Misr</w:t>
      </w:r>
      <w:r w:rsidR="008F01EF">
        <w:rPr>
          <w:rFonts w:ascii="Calibri" w:hAnsi="Calibri" w:cs="Calibri"/>
          <w:sz w:val="24"/>
          <w:szCs w:val="24"/>
        </w:rPr>
        <w:t>a et al.</w:t>
      </w:r>
      <w:r w:rsidR="00A56E30">
        <w:rPr>
          <w:rFonts w:ascii="Calibri" w:hAnsi="Calibri" w:cs="Calibri"/>
          <w:sz w:val="24"/>
          <w:szCs w:val="24"/>
        </w:rPr>
        <w:t>, 2026; Jiang</w:t>
      </w:r>
      <w:r w:rsidR="008F01EF">
        <w:rPr>
          <w:rFonts w:ascii="Calibri" w:hAnsi="Calibri" w:cs="Calibri"/>
          <w:sz w:val="24"/>
          <w:szCs w:val="24"/>
        </w:rPr>
        <w:t xml:space="preserve"> and Abdullah,</w:t>
      </w:r>
      <w:r w:rsidR="00A56E30">
        <w:rPr>
          <w:rFonts w:ascii="Calibri" w:hAnsi="Calibri" w:cs="Calibri"/>
          <w:sz w:val="24"/>
          <w:szCs w:val="24"/>
        </w:rPr>
        <w:t xml:space="preserve"> 202</w:t>
      </w:r>
      <w:r w:rsidR="00417B8F">
        <w:rPr>
          <w:rFonts w:ascii="Calibri" w:hAnsi="Calibri" w:cs="Calibri"/>
          <w:sz w:val="24"/>
          <w:szCs w:val="24"/>
        </w:rPr>
        <w:t>6</w:t>
      </w:r>
      <w:r w:rsidR="00A56E30">
        <w:rPr>
          <w:rFonts w:ascii="Calibri" w:hAnsi="Calibri" w:cs="Calibri"/>
          <w:sz w:val="24"/>
          <w:szCs w:val="24"/>
        </w:rPr>
        <w:t>)</w:t>
      </w:r>
      <w:r>
        <w:rPr>
          <w:rFonts w:ascii="Calibri" w:hAnsi="Calibri" w:cs="Calibri"/>
          <w:sz w:val="24"/>
          <w:szCs w:val="24"/>
        </w:rPr>
        <w:t xml:space="preserve">. The proposed SGM </w:t>
      </w:r>
      <w:r w:rsidR="00A56E30">
        <w:rPr>
          <w:rFonts w:ascii="Calibri" w:hAnsi="Calibri" w:cs="Calibri"/>
          <w:sz w:val="24"/>
          <w:szCs w:val="24"/>
        </w:rPr>
        <w:t>critically synthesises these emerging perspectives by connecting</w:t>
      </w:r>
      <w:r>
        <w:rPr>
          <w:rFonts w:ascii="Calibri" w:hAnsi="Calibri" w:cs="Calibri"/>
          <w:sz w:val="24"/>
          <w:szCs w:val="24"/>
        </w:rPr>
        <w:t xml:space="preserve"> strategic leadership, governance mechanisms, stakeholder participation and responsible AI principles through continuous organisational learning. </w:t>
      </w:r>
      <w:r w:rsidR="00CC3858">
        <w:rPr>
          <w:rFonts w:ascii="Calibri" w:hAnsi="Calibri" w:cs="Calibri"/>
          <w:sz w:val="24"/>
          <w:szCs w:val="24"/>
        </w:rPr>
        <w:t xml:space="preserve">It provides </w:t>
      </w:r>
      <w:r w:rsidR="00964E1A">
        <w:rPr>
          <w:rFonts w:ascii="Calibri" w:hAnsi="Calibri" w:cs="Calibri"/>
          <w:sz w:val="24"/>
          <w:szCs w:val="24"/>
        </w:rPr>
        <w:t xml:space="preserve">a conceptual foundation for future empirical investigation into how </w:t>
      </w:r>
      <w:r w:rsidR="00392A03">
        <w:rPr>
          <w:rFonts w:ascii="Calibri" w:hAnsi="Calibri" w:cs="Calibri"/>
          <w:sz w:val="24"/>
          <w:szCs w:val="24"/>
        </w:rPr>
        <w:t>English public universities operationalise, develop, and strengthen AI governance</w:t>
      </w:r>
      <w:r w:rsidR="00CC3858">
        <w:rPr>
          <w:rFonts w:ascii="Calibri" w:hAnsi="Calibri" w:cs="Calibri"/>
          <w:sz w:val="24"/>
          <w:szCs w:val="24"/>
        </w:rPr>
        <w:t xml:space="preserve">. </w:t>
      </w:r>
    </w:p>
    <w:p w14:paraId="74A9431E" w14:textId="06E3FFAB" w:rsidR="00927072" w:rsidRDefault="00CB4C13" w:rsidP="00CB4C13">
      <w:pPr>
        <w:pStyle w:val="Heading1"/>
      </w:pPr>
      <w:bookmarkStart w:id="116" w:name="_Toc237383398"/>
      <w:bookmarkStart w:id="117" w:name="_Toc237384233"/>
      <w:bookmarkStart w:id="118" w:name="_Toc237384953"/>
      <w:bookmarkStart w:id="119" w:name="_Toc237444975"/>
      <w:r>
        <w:t xml:space="preserve">6. </w:t>
      </w:r>
      <w:r w:rsidR="00927072">
        <w:t>Conclusion</w:t>
      </w:r>
      <w:bookmarkEnd w:id="116"/>
      <w:bookmarkEnd w:id="117"/>
      <w:bookmarkEnd w:id="118"/>
      <w:bookmarkEnd w:id="119"/>
      <w:r w:rsidR="00927072">
        <w:t xml:space="preserve"> </w:t>
      </w:r>
    </w:p>
    <w:p w14:paraId="47B661E0" w14:textId="228FE97A" w:rsidR="004A4493" w:rsidRDefault="00101112" w:rsidP="00407A9F">
      <w:pPr>
        <w:spacing w:line="360" w:lineRule="auto"/>
        <w:jc w:val="both"/>
        <w:rPr>
          <w:rFonts w:ascii="Calibri" w:hAnsi="Calibri" w:cs="Calibri"/>
          <w:sz w:val="24"/>
          <w:szCs w:val="24"/>
        </w:rPr>
      </w:pPr>
      <w:r>
        <w:rPr>
          <w:rFonts w:ascii="Calibri" w:hAnsi="Calibri" w:cs="Calibri"/>
          <w:sz w:val="24"/>
          <w:szCs w:val="24"/>
        </w:rPr>
        <w:t xml:space="preserve">This coursework addressed the research question of how governance structures within English public universities can support the </w:t>
      </w:r>
      <w:r w:rsidR="00677B4B">
        <w:rPr>
          <w:rFonts w:ascii="Calibri" w:hAnsi="Calibri" w:cs="Calibri"/>
          <w:sz w:val="24"/>
          <w:szCs w:val="24"/>
        </w:rPr>
        <w:t xml:space="preserve">ethical implementation of AI in institutional decision-making. The review </w:t>
      </w:r>
      <w:r w:rsidR="00964E1A">
        <w:rPr>
          <w:rFonts w:ascii="Calibri" w:hAnsi="Calibri" w:cs="Calibri"/>
          <w:sz w:val="24"/>
          <w:szCs w:val="24"/>
        </w:rPr>
        <w:t xml:space="preserve">shows that responsible AI implementation requires strategic leadership, ethical oversight, stakeholder engagement, and organisational accountability </w:t>
      </w:r>
      <w:r w:rsidR="00CC3858">
        <w:rPr>
          <w:rFonts w:ascii="Calibri" w:hAnsi="Calibri" w:cs="Calibri"/>
          <w:sz w:val="24"/>
          <w:szCs w:val="24"/>
        </w:rPr>
        <w:t xml:space="preserve">as interconnected dimensions of institutional governance. </w:t>
      </w:r>
    </w:p>
    <w:p w14:paraId="65BC2251" w14:textId="3BFB8E41" w:rsidR="00384801" w:rsidRDefault="00CC3858" w:rsidP="00407A9F">
      <w:pPr>
        <w:spacing w:line="360" w:lineRule="auto"/>
        <w:jc w:val="both"/>
        <w:rPr>
          <w:rFonts w:ascii="Calibri" w:hAnsi="Calibri" w:cs="Calibri"/>
          <w:sz w:val="24"/>
          <w:szCs w:val="24"/>
        </w:rPr>
      </w:pPr>
      <w:r>
        <w:rPr>
          <w:rFonts w:ascii="Calibri" w:hAnsi="Calibri" w:cs="Calibri"/>
          <w:sz w:val="24"/>
          <w:szCs w:val="24"/>
        </w:rPr>
        <w:t xml:space="preserve">The systematic review identified a rapidly expanding but fragmented body of literature across AI ethics, governance, strategic management and HE research. Existing studies provide valuable ethical principles and regulatory </w:t>
      </w:r>
      <w:r w:rsidR="00964E1A">
        <w:rPr>
          <w:rFonts w:ascii="Calibri" w:hAnsi="Calibri" w:cs="Calibri"/>
          <w:sz w:val="24"/>
          <w:szCs w:val="24"/>
        </w:rPr>
        <w:t>guidance but offer limited explanation of whether these principles translate</w:t>
      </w:r>
      <w:r>
        <w:rPr>
          <w:rFonts w:ascii="Calibri" w:hAnsi="Calibri" w:cs="Calibri"/>
          <w:sz w:val="24"/>
          <w:szCs w:val="24"/>
        </w:rPr>
        <w:t xml:space="preserve"> into HEI governance and strategic decision-making. The principal gap is the limited theoretical and empirical understanding of how responsible AI principles can be operationalised within the distinctive governance context of English public universities. </w:t>
      </w:r>
    </w:p>
    <w:p w14:paraId="413C9608" w14:textId="0857A541" w:rsidR="005472E6" w:rsidRDefault="00964E1A" w:rsidP="00407A9F">
      <w:pPr>
        <w:spacing w:line="360" w:lineRule="auto"/>
        <w:jc w:val="both"/>
        <w:rPr>
          <w:rFonts w:ascii="Calibri" w:hAnsi="Calibri" w:cs="Calibri"/>
          <w:sz w:val="24"/>
          <w:szCs w:val="24"/>
        </w:rPr>
      </w:pPr>
      <w:r>
        <w:rPr>
          <w:rFonts w:ascii="Calibri" w:hAnsi="Calibri" w:cs="Calibri"/>
          <w:sz w:val="24"/>
          <w:szCs w:val="24"/>
        </w:rPr>
        <w:t xml:space="preserve">This academic investigation </w:t>
      </w:r>
      <w:r w:rsidR="00F0137C">
        <w:rPr>
          <w:rFonts w:ascii="Calibri" w:hAnsi="Calibri" w:cs="Calibri"/>
          <w:sz w:val="24"/>
          <w:szCs w:val="24"/>
        </w:rPr>
        <w:t>conceptualises</w:t>
      </w:r>
      <w:r w:rsidR="005472E6">
        <w:rPr>
          <w:rFonts w:ascii="Calibri" w:hAnsi="Calibri" w:cs="Calibri"/>
          <w:sz w:val="24"/>
          <w:szCs w:val="24"/>
        </w:rPr>
        <w:t xml:space="preserve"> ethical AI governance as a dynamic and interconnected organisational capability within English public universities. The review shows that strategic leadership, governance mechanisms, stakeholder participation and responsible AI principles should not be treated as separate governance dimensions. Their interactions, supported by organisational learning and adaptation, provide the conceptual mechanism through which ethical principles </w:t>
      </w:r>
      <w:r>
        <w:rPr>
          <w:rFonts w:ascii="Calibri" w:hAnsi="Calibri" w:cs="Calibri"/>
          <w:sz w:val="24"/>
          <w:szCs w:val="24"/>
        </w:rPr>
        <w:t>translate</w:t>
      </w:r>
      <w:r w:rsidR="005472E6">
        <w:rPr>
          <w:rFonts w:ascii="Calibri" w:hAnsi="Calibri" w:cs="Calibri"/>
          <w:sz w:val="24"/>
          <w:szCs w:val="24"/>
        </w:rPr>
        <w:t xml:space="preserve"> into HEI practice. This synthesis forms the theoretical foundation of the proposed SGM. </w:t>
      </w:r>
    </w:p>
    <w:p w14:paraId="6A732749" w14:textId="324C2A26" w:rsidR="00673CA4" w:rsidRDefault="00FD75C7" w:rsidP="00407A9F">
      <w:pPr>
        <w:spacing w:line="360" w:lineRule="auto"/>
        <w:jc w:val="both"/>
        <w:rPr>
          <w:rFonts w:ascii="Calibri" w:hAnsi="Calibri" w:cs="Calibri"/>
          <w:sz w:val="24"/>
          <w:szCs w:val="24"/>
        </w:rPr>
      </w:pPr>
      <w:r>
        <w:rPr>
          <w:rFonts w:ascii="Calibri" w:hAnsi="Calibri" w:cs="Calibri"/>
          <w:sz w:val="24"/>
          <w:szCs w:val="24"/>
        </w:rPr>
        <w:t>When completed, the</w:t>
      </w:r>
      <w:r w:rsidR="005472E6">
        <w:rPr>
          <w:rFonts w:ascii="Calibri" w:hAnsi="Calibri" w:cs="Calibri"/>
          <w:sz w:val="24"/>
          <w:szCs w:val="24"/>
        </w:rPr>
        <w:t xml:space="preserve"> SGM translates this synthesis into a </w:t>
      </w:r>
      <w:r>
        <w:rPr>
          <w:rFonts w:ascii="Calibri" w:hAnsi="Calibri" w:cs="Calibri"/>
          <w:sz w:val="24"/>
          <w:szCs w:val="24"/>
        </w:rPr>
        <w:t>HE</w:t>
      </w:r>
      <w:r w:rsidR="005472E6">
        <w:rPr>
          <w:rFonts w:ascii="Calibri" w:hAnsi="Calibri" w:cs="Calibri"/>
          <w:sz w:val="24"/>
          <w:szCs w:val="24"/>
        </w:rPr>
        <w:t xml:space="preserve">-specific framework for English public universities. By connecting strategic leadership, governance mechanisms, stakeholder </w:t>
      </w:r>
      <w:r w:rsidR="005472E6">
        <w:rPr>
          <w:rFonts w:ascii="Calibri" w:hAnsi="Calibri" w:cs="Calibri"/>
          <w:sz w:val="24"/>
          <w:szCs w:val="24"/>
        </w:rPr>
        <w:lastRenderedPageBreak/>
        <w:t xml:space="preserve">participation and responsible AI principles, it provides a theoretical basis for future empirical investigation and a practical foundation for strengthening </w:t>
      </w:r>
      <w:r>
        <w:rPr>
          <w:rFonts w:ascii="Calibri" w:hAnsi="Calibri" w:cs="Calibri"/>
          <w:sz w:val="24"/>
          <w:szCs w:val="24"/>
        </w:rPr>
        <w:t>HEIs’</w:t>
      </w:r>
      <w:r w:rsidR="005472E6">
        <w:rPr>
          <w:rFonts w:ascii="Calibri" w:hAnsi="Calibri" w:cs="Calibri"/>
          <w:sz w:val="24"/>
          <w:szCs w:val="24"/>
        </w:rPr>
        <w:t xml:space="preserve"> AI governance. </w:t>
      </w:r>
    </w:p>
    <w:p w14:paraId="3FCBEF78" w14:textId="3838A581" w:rsidR="00BD3DC1" w:rsidRPr="00407A9F" w:rsidRDefault="005472E6" w:rsidP="00407A9F">
      <w:pPr>
        <w:spacing w:line="360" w:lineRule="auto"/>
        <w:jc w:val="both"/>
        <w:rPr>
          <w:rFonts w:ascii="Calibri" w:hAnsi="Calibri" w:cs="Calibri"/>
          <w:sz w:val="24"/>
          <w:szCs w:val="24"/>
        </w:rPr>
      </w:pPr>
      <w:r>
        <w:rPr>
          <w:rFonts w:ascii="Calibri" w:hAnsi="Calibri" w:cs="Calibri"/>
          <w:sz w:val="24"/>
          <w:szCs w:val="24"/>
        </w:rPr>
        <w:t>The coursework provides the conceptual and philosophical foundation for the proposed DBA research. The next stage will involve empirical investigation across English public universities</w:t>
      </w:r>
      <w:r w:rsidR="00964E1A">
        <w:rPr>
          <w:rFonts w:ascii="Calibri" w:hAnsi="Calibri" w:cs="Calibri"/>
          <w:sz w:val="24"/>
          <w:szCs w:val="24"/>
        </w:rPr>
        <w:t>, using a qualitative multi-level design to examine how governance mechanisms operate in practice and how institutional stakeholders interpret them</w:t>
      </w:r>
      <w:r>
        <w:rPr>
          <w:rFonts w:ascii="Calibri" w:hAnsi="Calibri" w:cs="Calibri"/>
          <w:sz w:val="24"/>
          <w:szCs w:val="24"/>
        </w:rPr>
        <w:t>. Evidence from senior leaders and other stakeholder groups</w:t>
      </w:r>
      <w:r w:rsidR="00364A3C">
        <w:rPr>
          <w:rFonts w:ascii="Calibri" w:hAnsi="Calibri" w:cs="Calibri"/>
          <w:sz w:val="24"/>
          <w:szCs w:val="24"/>
        </w:rPr>
        <w:t xml:space="preserve"> will be used to refine and empirically evaluate the proposed SGM. Future research moves beyond conceptual synthesis </w:t>
      </w:r>
      <w:r w:rsidR="00964E1A">
        <w:rPr>
          <w:rFonts w:ascii="Calibri" w:hAnsi="Calibri" w:cs="Calibri"/>
          <w:sz w:val="24"/>
          <w:szCs w:val="24"/>
        </w:rPr>
        <w:t>toward an evidence-informed approach to responsible, transparent,</w:t>
      </w:r>
      <w:r w:rsidR="00364A3C">
        <w:rPr>
          <w:rFonts w:ascii="Calibri" w:hAnsi="Calibri" w:cs="Calibri"/>
          <w:sz w:val="24"/>
          <w:szCs w:val="24"/>
        </w:rPr>
        <w:t xml:space="preserve"> and strategically sustainable AI adoption in English public HE. </w:t>
      </w:r>
    </w:p>
    <w:p w14:paraId="2684F299" w14:textId="376DDEFB" w:rsidR="00911C54" w:rsidRPr="00911C54" w:rsidRDefault="00911C54" w:rsidP="00911C54">
      <w:pPr>
        <w:ind w:left="360"/>
      </w:pPr>
    </w:p>
    <w:p w14:paraId="2E3BEECB" w14:textId="49C064F7" w:rsidR="00EC423F" w:rsidRDefault="001E2BCC" w:rsidP="00911C54">
      <w:pPr>
        <w:spacing w:line="360" w:lineRule="auto"/>
        <w:jc w:val="both"/>
        <w:rPr>
          <w:rFonts w:ascii="Calibri" w:hAnsi="Calibri" w:cs="Calibri"/>
          <w:sz w:val="24"/>
          <w:szCs w:val="24"/>
        </w:rPr>
      </w:pPr>
      <w:r w:rsidRPr="00911C54">
        <w:rPr>
          <w:rFonts w:ascii="Calibri" w:hAnsi="Calibri" w:cs="Calibri"/>
          <w:sz w:val="24"/>
          <w:szCs w:val="24"/>
        </w:rPr>
        <w:t xml:space="preserve"> </w:t>
      </w:r>
    </w:p>
    <w:p w14:paraId="25FF2BA9" w14:textId="77777777" w:rsidR="00A161E1" w:rsidRDefault="00A161E1" w:rsidP="00911C54">
      <w:pPr>
        <w:spacing w:line="360" w:lineRule="auto"/>
        <w:jc w:val="both"/>
        <w:rPr>
          <w:rFonts w:ascii="Calibri" w:hAnsi="Calibri" w:cs="Calibri"/>
          <w:sz w:val="24"/>
          <w:szCs w:val="24"/>
        </w:rPr>
      </w:pPr>
    </w:p>
    <w:p w14:paraId="6C055625" w14:textId="77777777" w:rsidR="00A161E1" w:rsidRDefault="00A161E1" w:rsidP="00911C54">
      <w:pPr>
        <w:spacing w:line="360" w:lineRule="auto"/>
        <w:jc w:val="both"/>
        <w:rPr>
          <w:rFonts w:ascii="Calibri" w:hAnsi="Calibri" w:cs="Calibri"/>
          <w:sz w:val="24"/>
          <w:szCs w:val="24"/>
        </w:rPr>
      </w:pPr>
    </w:p>
    <w:p w14:paraId="0F0EED3B" w14:textId="77777777" w:rsidR="00BE6CAD" w:rsidRDefault="00BE6CAD" w:rsidP="00911C54">
      <w:pPr>
        <w:spacing w:line="360" w:lineRule="auto"/>
        <w:jc w:val="both"/>
        <w:rPr>
          <w:rFonts w:ascii="Calibri" w:hAnsi="Calibri" w:cs="Calibri"/>
          <w:sz w:val="24"/>
          <w:szCs w:val="24"/>
        </w:rPr>
      </w:pPr>
    </w:p>
    <w:p w14:paraId="4D9205F0" w14:textId="77777777" w:rsidR="00BE6CAD" w:rsidRDefault="00BE6CAD" w:rsidP="00911C54">
      <w:pPr>
        <w:spacing w:line="360" w:lineRule="auto"/>
        <w:jc w:val="both"/>
        <w:rPr>
          <w:rFonts w:ascii="Calibri" w:hAnsi="Calibri" w:cs="Calibri"/>
          <w:sz w:val="24"/>
          <w:szCs w:val="24"/>
        </w:rPr>
      </w:pPr>
    </w:p>
    <w:p w14:paraId="2DC759F4" w14:textId="77777777" w:rsidR="00BE6CAD" w:rsidRDefault="00BE6CAD" w:rsidP="00911C54">
      <w:pPr>
        <w:spacing w:line="360" w:lineRule="auto"/>
        <w:jc w:val="both"/>
        <w:rPr>
          <w:rFonts w:ascii="Calibri" w:hAnsi="Calibri" w:cs="Calibri"/>
          <w:sz w:val="24"/>
          <w:szCs w:val="24"/>
        </w:rPr>
      </w:pPr>
    </w:p>
    <w:p w14:paraId="716A54E3" w14:textId="77777777" w:rsidR="00964E1A" w:rsidRDefault="00964E1A" w:rsidP="00911C54">
      <w:pPr>
        <w:spacing w:line="360" w:lineRule="auto"/>
        <w:jc w:val="both"/>
        <w:rPr>
          <w:rFonts w:ascii="Calibri" w:hAnsi="Calibri" w:cs="Calibri"/>
          <w:sz w:val="24"/>
          <w:szCs w:val="24"/>
        </w:rPr>
      </w:pPr>
    </w:p>
    <w:p w14:paraId="2CF9E963" w14:textId="77777777" w:rsidR="00964E1A" w:rsidRDefault="00964E1A" w:rsidP="00911C54">
      <w:pPr>
        <w:spacing w:line="360" w:lineRule="auto"/>
        <w:jc w:val="both"/>
        <w:rPr>
          <w:rFonts w:ascii="Calibri" w:hAnsi="Calibri" w:cs="Calibri"/>
          <w:sz w:val="24"/>
          <w:szCs w:val="24"/>
        </w:rPr>
      </w:pPr>
    </w:p>
    <w:p w14:paraId="38CA5080" w14:textId="77777777" w:rsidR="00964E1A" w:rsidRDefault="00964E1A" w:rsidP="00911C54">
      <w:pPr>
        <w:spacing w:line="360" w:lineRule="auto"/>
        <w:jc w:val="both"/>
        <w:rPr>
          <w:rFonts w:ascii="Calibri" w:hAnsi="Calibri" w:cs="Calibri"/>
          <w:sz w:val="24"/>
          <w:szCs w:val="24"/>
        </w:rPr>
      </w:pPr>
    </w:p>
    <w:p w14:paraId="58DE89E8" w14:textId="77777777" w:rsidR="00964E1A" w:rsidRDefault="00964E1A" w:rsidP="00911C54">
      <w:pPr>
        <w:spacing w:line="360" w:lineRule="auto"/>
        <w:jc w:val="both"/>
        <w:rPr>
          <w:rFonts w:ascii="Calibri" w:hAnsi="Calibri" w:cs="Calibri"/>
          <w:sz w:val="24"/>
          <w:szCs w:val="24"/>
        </w:rPr>
      </w:pPr>
    </w:p>
    <w:p w14:paraId="6F3869FD" w14:textId="77777777" w:rsidR="00F0137C" w:rsidRDefault="00F0137C" w:rsidP="00911C54">
      <w:pPr>
        <w:spacing w:line="360" w:lineRule="auto"/>
        <w:jc w:val="both"/>
        <w:rPr>
          <w:rFonts w:ascii="Calibri" w:hAnsi="Calibri" w:cs="Calibri"/>
          <w:sz w:val="24"/>
          <w:szCs w:val="24"/>
        </w:rPr>
      </w:pPr>
    </w:p>
    <w:p w14:paraId="57F9A14A" w14:textId="77777777" w:rsidR="00F0137C" w:rsidRDefault="00F0137C" w:rsidP="00911C54">
      <w:pPr>
        <w:spacing w:line="360" w:lineRule="auto"/>
        <w:jc w:val="both"/>
        <w:rPr>
          <w:rFonts w:ascii="Calibri" w:hAnsi="Calibri" w:cs="Calibri"/>
          <w:sz w:val="24"/>
          <w:szCs w:val="24"/>
        </w:rPr>
      </w:pPr>
    </w:p>
    <w:p w14:paraId="5A36D9D0" w14:textId="77777777" w:rsidR="00964E1A" w:rsidRDefault="00964E1A" w:rsidP="00911C54">
      <w:pPr>
        <w:spacing w:line="360" w:lineRule="auto"/>
        <w:jc w:val="both"/>
        <w:rPr>
          <w:rFonts w:ascii="Calibri" w:hAnsi="Calibri" w:cs="Calibri"/>
          <w:sz w:val="24"/>
          <w:szCs w:val="24"/>
        </w:rPr>
      </w:pPr>
    </w:p>
    <w:p w14:paraId="562E2D2F" w14:textId="77777777" w:rsidR="00BE6CAD" w:rsidRDefault="00BE6CAD" w:rsidP="00911C54">
      <w:pPr>
        <w:spacing w:line="360" w:lineRule="auto"/>
        <w:jc w:val="both"/>
        <w:rPr>
          <w:rFonts w:ascii="Calibri" w:hAnsi="Calibri" w:cs="Calibri"/>
          <w:sz w:val="24"/>
          <w:szCs w:val="24"/>
        </w:rPr>
      </w:pPr>
    </w:p>
    <w:p w14:paraId="7C41F828" w14:textId="1807A036" w:rsidR="00A934C0" w:rsidRDefault="00A934C0" w:rsidP="00A934C0">
      <w:pPr>
        <w:pStyle w:val="Heading1"/>
      </w:pPr>
      <w:bookmarkStart w:id="120" w:name="_Toc237383399"/>
      <w:bookmarkStart w:id="121" w:name="_Toc237384234"/>
      <w:bookmarkStart w:id="122" w:name="_Toc237384954"/>
      <w:bookmarkStart w:id="123" w:name="_Toc237444976"/>
      <w:r>
        <w:lastRenderedPageBreak/>
        <w:t>References and Bibliography</w:t>
      </w:r>
      <w:bookmarkEnd w:id="120"/>
      <w:bookmarkEnd w:id="121"/>
      <w:bookmarkEnd w:id="122"/>
      <w:bookmarkEnd w:id="123"/>
      <w:r>
        <w:t xml:space="preserve"> </w:t>
      </w:r>
    </w:p>
    <w:p w14:paraId="41E0C959" w14:textId="083B55F9" w:rsidR="00842AC3" w:rsidRDefault="00842AC3" w:rsidP="00842AC3">
      <w:pPr>
        <w:pStyle w:val="Bibliography"/>
        <w:ind w:left="720" w:hanging="720"/>
        <w:jc w:val="both"/>
        <w:rPr>
          <w:noProof/>
        </w:rPr>
      </w:pPr>
      <w:r>
        <w:rPr>
          <w:noProof/>
        </w:rPr>
        <w:t xml:space="preserve">Akbarighatar, P. (2025). ‘Operationalising responsible AI principles through responsible AI capabilities’. </w:t>
      </w:r>
      <w:r>
        <w:rPr>
          <w:i/>
          <w:iCs/>
          <w:noProof/>
        </w:rPr>
        <w:t>AI and Ethics</w:t>
      </w:r>
      <w:r>
        <w:rPr>
          <w:noProof/>
        </w:rPr>
        <w:t xml:space="preserve">, 5, pp. 3661–3677. </w:t>
      </w:r>
      <w:r w:rsidR="0028539F">
        <w:rPr>
          <w:noProof/>
        </w:rPr>
        <w:t>DOI</w:t>
      </w:r>
      <w:r w:rsidR="00AC3F23">
        <w:rPr>
          <w:noProof/>
        </w:rPr>
        <w:t>:</w:t>
      </w:r>
      <w:r>
        <w:rPr>
          <w:noProof/>
        </w:rPr>
        <w:t xml:space="preserve"> 10.1007/s43681-024-00524-4.</w:t>
      </w:r>
    </w:p>
    <w:p w14:paraId="1E99BE45" w14:textId="1730217E" w:rsidR="00DD0A71" w:rsidRDefault="007A58CD" w:rsidP="00DD0A71">
      <w:pPr>
        <w:pStyle w:val="Bibliography"/>
        <w:ind w:left="720" w:hanging="720"/>
        <w:jc w:val="both"/>
        <w:rPr>
          <w:noProof/>
        </w:rPr>
      </w:pPr>
      <w:r w:rsidRPr="007A58CD">
        <w:rPr>
          <w:rStyle w:val="Strong"/>
          <w:b w:val="0"/>
          <w:bCs w:val="0"/>
        </w:rPr>
        <w:t>Al-Ababneh, M. (2020).</w:t>
      </w:r>
      <w:r>
        <w:t xml:space="preserve"> ‘Linking ontology, epistemology and research methodology’, </w:t>
      </w:r>
      <w:r>
        <w:rPr>
          <w:rStyle w:val="Emphasis"/>
        </w:rPr>
        <w:t>Science &amp; Philosophy</w:t>
      </w:r>
      <w:r>
        <w:t xml:space="preserve">, 8(1), pp. 75–91. </w:t>
      </w:r>
      <w:r w:rsidR="0028539F">
        <w:rPr>
          <w:noProof/>
        </w:rPr>
        <w:t>DOI</w:t>
      </w:r>
      <w:r w:rsidR="00AC3F23">
        <w:rPr>
          <w:noProof/>
        </w:rPr>
        <w:t>:</w:t>
      </w:r>
      <w:r w:rsidRPr="007A58CD">
        <w:rPr>
          <w:rStyle w:val="Strong"/>
          <w:b w:val="0"/>
          <w:bCs w:val="0"/>
        </w:rPr>
        <w:t>10.23756/</w:t>
      </w:r>
      <w:r w:rsidR="00BE6CAD" w:rsidRPr="007A58CD">
        <w:rPr>
          <w:rStyle w:val="Strong"/>
          <w:b w:val="0"/>
          <w:bCs w:val="0"/>
        </w:rPr>
        <w:t>sp.v</w:t>
      </w:r>
      <w:r w:rsidRPr="007A58CD">
        <w:rPr>
          <w:rStyle w:val="Strong"/>
          <w:b w:val="0"/>
          <w:bCs w:val="0"/>
        </w:rPr>
        <w:t>8i1.500</w:t>
      </w:r>
      <w:r w:rsidRPr="007A58CD">
        <w:rPr>
          <w:b/>
          <w:bCs/>
        </w:rPr>
        <w:t>.</w:t>
      </w:r>
    </w:p>
    <w:p w14:paraId="26A48A1A" w14:textId="1C44F03E" w:rsidR="00135A96" w:rsidRPr="00135A96" w:rsidRDefault="00366EBF" w:rsidP="008261A3">
      <w:pPr>
        <w:pStyle w:val="Bibliography"/>
        <w:ind w:left="720" w:hanging="720"/>
        <w:jc w:val="both"/>
        <w:rPr>
          <w:noProof/>
        </w:rPr>
      </w:pPr>
      <w:r w:rsidRPr="00366EBF">
        <w:rPr>
          <w:rStyle w:val="Strong"/>
          <w:b w:val="0"/>
          <w:bCs w:val="0"/>
        </w:rPr>
        <w:t>Alfredo, R., Jin, Y., Echeverria, V., Yan, L., Zhao, L., Tsai, S., Ga</w:t>
      </w:r>
      <w:r>
        <w:rPr>
          <w:rStyle w:val="Strong"/>
          <w:b w:val="0"/>
          <w:bCs w:val="0"/>
        </w:rPr>
        <w:t>s</w:t>
      </w:r>
      <w:r w:rsidRPr="00366EBF">
        <w:rPr>
          <w:rStyle w:val="Strong"/>
          <w:b w:val="0"/>
          <w:bCs w:val="0"/>
        </w:rPr>
        <w:t>evi</w:t>
      </w:r>
      <w:r>
        <w:rPr>
          <w:rStyle w:val="Strong"/>
          <w:b w:val="0"/>
          <w:bCs w:val="0"/>
        </w:rPr>
        <w:t>c</w:t>
      </w:r>
      <w:r w:rsidRPr="00366EBF">
        <w:rPr>
          <w:rStyle w:val="Strong"/>
          <w:b w:val="0"/>
          <w:bCs w:val="0"/>
        </w:rPr>
        <w:t xml:space="preserve">, D. </w:t>
      </w:r>
      <w:r w:rsidR="00D82198">
        <w:rPr>
          <w:rStyle w:val="Strong"/>
          <w:b w:val="0"/>
          <w:bCs w:val="0"/>
        </w:rPr>
        <w:t>and</w:t>
      </w:r>
      <w:r w:rsidRPr="00366EBF">
        <w:rPr>
          <w:rStyle w:val="Strong"/>
          <w:b w:val="0"/>
          <w:bCs w:val="0"/>
        </w:rPr>
        <w:t xml:space="preserve"> Martinez-Maldonado, R. (2024)</w:t>
      </w:r>
      <w:r w:rsidRPr="00366EBF">
        <w:rPr>
          <w:b/>
          <w:bCs/>
        </w:rPr>
        <w:t>.</w:t>
      </w:r>
      <w:r>
        <w:t xml:space="preserve"> ‘FATE in MMLA: A Student-Centred Exploration of Fairness, Accountability, Transparency, and Ethics in Multimodal Learning Analytics’, </w:t>
      </w:r>
      <w:r>
        <w:rPr>
          <w:rStyle w:val="Emphasis"/>
        </w:rPr>
        <w:t>Journal of Learning Analytics</w:t>
      </w:r>
      <w:r>
        <w:t xml:space="preserve">, 11(3), pp. 6–23. </w:t>
      </w:r>
      <w:r w:rsidR="0028539F">
        <w:rPr>
          <w:noProof/>
        </w:rPr>
        <w:t>DOI</w:t>
      </w:r>
      <w:r w:rsidR="00711986">
        <w:rPr>
          <w:noProof/>
        </w:rPr>
        <w:t xml:space="preserve">: </w:t>
      </w:r>
      <w:r w:rsidRPr="00366EBF">
        <w:rPr>
          <w:rStyle w:val="Strong"/>
          <w:b w:val="0"/>
          <w:bCs w:val="0"/>
        </w:rPr>
        <w:t xml:space="preserve"> 10.18608/jla.2024.8351</w:t>
      </w:r>
    </w:p>
    <w:p w14:paraId="689AFE59" w14:textId="6025041B" w:rsidR="00293930" w:rsidRDefault="00293930" w:rsidP="00293930">
      <w:pPr>
        <w:pStyle w:val="Bibliography"/>
        <w:ind w:left="720" w:hanging="720"/>
        <w:jc w:val="both"/>
        <w:rPr>
          <w:noProof/>
        </w:rPr>
      </w:pPr>
      <w:r>
        <w:rPr>
          <w:noProof/>
        </w:rPr>
        <w:t xml:space="preserve">Alfiras, M., Bozkurt, A., Alharbi, N., Alshurafa, N., </w:t>
      </w:r>
      <w:r w:rsidR="00D82198">
        <w:rPr>
          <w:noProof/>
        </w:rPr>
        <w:t>and</w:t>
      </w:r>
      <w:r>
        <w:rPr>
          <w:noProof/>
        </w:rPr>
        <w:t xml:space="preserve"> Al-Hawamdeh, N.  (2025). </w:t>
      </w:r>
      <w:r w:rsidR="000838DD">
        <w:rPr>
          <w:noProof/>
        </w:rPr>
        <w:t>‘</w:t>
      </w:r>
      <w:r>
        <w:rPr>
          <w:noProof/>
        </w:rPr>
        <w:t>Ethics and governance of generative AI in education: A systematic review</w:t>
      </w:r>
      <w:r w:rsidR="000838DD">
        <w:rPr>
          <w:noProof/>
        </w:rPr>
        <w:t>’</w:t>
      </w:r>
      <w:r>
        <w:rPr>
          <w:noProof/>
        </w:rPr>
        <w:t xml:space="preserve">. </w:t>
      </w:r>
      <w:r>
        <w:rPr>
          <w:i/>
          <w:iCs/>
          <w:noProof/>
        </w:rPr>
        <w:t xml:space="preserve">Discover Education, </w:t>
      </w:r>
      <w:r w:rsidR="00B97AEE" w:rsidRPr="00B97AEE">
        <w:rPr>
          <w:noProof/>
        </w:rPr>
        <w:t xml:space="preserve">5, 37. </w:t>
      </w:r>
      <w:r w:rsidR="0028539F">
        <w:rPr>
          <w:noProof/>
        </w:rPr>
        <w:t>DOI</w:t>
      </w:r>
      <w:r w:rsidR="00B97AEE" w:rsidRPr="00B97AEE">
        <w:rPr>
          <w:noProof/>
        </w:rPr>
        <w:t>: 10.1007/s44217-025-01051-y.</w:t>
      </w:r>
    </w:p>
    <w:p w14:paraId="6CFD152E" w14:textId="2407C3D9" w:rsidR="00A71C73" w:rsidRPr="00A71C73" w:rsidRDefault="005B37DF" w:rsidP="008261A3">
      <w:pPr>
        <w:pStyle w:val="Bibliography"/>
        <w:ind w:left="720" w:hanging="720"/>
        <w:jc w:val="both"/>
        <w:rPr>
          <w:noProof/>
        </w:rPr>
      </w:pPr>
      <w:r w:rsidRPr="005715A1">
        <w:rPr>
          <w:rStyle w:val="Strong"/>
          <w:b w:val="0"/>
          <w:bCs w:val="0"/>
        </w:rPr>
        <w:t>Alhumud, T.</w:t>
      </w:r>
      <w:r w:rsidR="005715A1" w:rsidRPr="005715A1">
        <w:rPr>
          <w:rStyle w:val="Strong"/>
          <w:b w:val="0"/>
          <w:bCs w:val="0"/>
        </w:rPr>
        <w:t xml:space="preserve"> </w:t>
      </w:r>
      <w:r w:rsidRPr="005715A1">
        <w:rPr>
          <w:rStyle w:val="Strong"/>
          <w:b w:val="0"/>
          <w:bCs w:val="0"/>
        </w:rPr>
        <w:t>(2026)</w:t>
      </w:r>
      <w:r w:rsidR="001232BC" w:rsidRPr="005715A1">
        <w:rPr>
          <w:b/>
          <w:bCs/>
        </w:rPr>
        <w:t>.</w:t>
      </w:r>
      <w:r>
        <w:t xml:space="preserve"> ‘Integration of artificial intelligence applications in the management of higher education institutions: A critical review of the literature and emerging practices to enhance institutional efficiency and digital governance’, </w:t>
      </w:r>
      <w:r>
        <w:rPr>
          <w:rStyle w:val="Emphasis"/>
        </w:rPr>
        <w:t>Research Journal in Advanced Humanities</w:t>
      </w:r>
      <w:r>
        <w:t xml:space="preserve">. </w:t>
      </w:r>
      <w:r w:rsidR="0028539F">
        <w:rPr>
          <w:noProof/>
        </w:rPr>
        <w:t>DOI</w:t>
      </w:r>
      <w:r w:rsidR="00711986">
        <w:rPr>
          <w:noProof/>
        </w:rPr>
        <w:t xml:space="preserve">: </w:t>
      </w:r>
      <w:r w:rsidRPr="005715A1">
        <w:rPr>
          <w:rStyle w:val="Strong"/>
          <w:b w:val="0"/>
          <w:bCs w:val="0"/>
        </w:rPr>
        <w:t xml:space="preserve"> 10.58256/fcrd3d96.</w:t>
      </w:r>
    </w:p>
    <w:p w14:paraId="0417A1FF" w14:textId="41DD495C" w:rsidR="00613C72" w:rsidRDefault="00613C72" w:rsidP="00613C72">
      <w:pPr>
        <w:pStyle w:val="Bibliography"/>
        <w:ind w:left="720" w:hanging="720"/>
        <w:jc w:val="both"/>
        <w:rPr>
          <w:noProof/>
        </w:rPr>
      </w:pPr>
      <w:r>
        <w:rPr>
          <w:noProof/>
        </w:rPr>
        <w:t xml:space="preserve">An, Y., Yu, J., </w:t>
      </w:r>
      <w:r w:rsidR="00D82198">
        <w:rPr>
          <w:noProof/>
        </w:rPr>
        <w:t>and</w:t>
      </w:r>
      <w:r>
        <w:rPr>
          <w:noProof/>
        </w:rPr>
        <w:t xml:space="preserve"> James, S. (2025). ‘Investigating the higher education institutions’ guidelines and policies regarding the use of generative AI in teaching, learning, research, and administration’. </w:t>
      </w:r>
      <w:r w:rsidRPr="00613C72">
        <w:rPr>
          <w:noProof/>
        </w:rPr>
        <w:t>International Journal of Educational Technology in Higher Education, 22</w:t>
      </w:r>
      <w:r>
        <w:rPr>
          <w:noProof/>
        </w:rPr>
        <w:t xml:space="preserve">, 10. </w:t>
      </w:r>
      <w:r w:rsidR="0028539F">
        <w:rPr>
          <w:noProof/>
        </w:rPr>
        <w:t>DOI</w:t>
      </w:r>
      <w:r>
        <w:rPr>
          <w:noProof/>
        </w:rPr>
        <w:t>: 10.1186/s41239-025-00507-3</w:t>
      </w:r>
      <w:r w:rsidR="00B97AEE">
        <w:rPr>
          <w:noProof/>
        </w:rPr>
        <w:t xml:space="preserve">. </w:t>
      </w:r>
    </w:p>
    <w:p w14:paraId="7A372F32" w14:textId="76D56A46" w:rsidR="00A02A2E" w:rsidRPr="00A02A2E" w:rsidRDefault="00C962E6" w:rsidP="008261A3">
      <w:pPr>
        <w:pStyle w:val="Bibliography"/>
        <w:ind w:left="720" w:hanging="720"/>
        <w:jc w:val="both"/>
        <w:rPr>
          <w:noProof/>
        </w:rPr>
      </w:pPr>
      <w:r w:rsidRPr="00C962E6">
        <w:t xml:space="preserve">Aromataris, E., Lockwood, C., Porritt, K., Pilla, B. </w:t>
      </w:r>
      <w:r w:rsidR="00D82198">
        <w:t>and</w:t>
      </w:r>
      <w:r w:rsidRPr="00C962E6">
        <w:t xml:space="preserve"> Jordan, Z</w:t>
      </w:r>
      <w:r>
        <w:t>.</w:t>
      </w:r>
      <w:r w:rsidR="000B114C">
        <w:t xml:space="preserve"> (eds.) (2024).</w:t>
      </w:r>
      <w:r w:rsidRPr="00C962E6">
        <w:t xml:space="preserve"> </w:t>
      </w:r>
      <w:r w:rsidRPr="00C962E6">
        <w:rPr>
          <w:i/>
          <w:iCs/>
        </w:rPr>
        <w:t>JBI Manual for Evidence Synthesis</w:t>
      </w:r>
      <w:r w:rsidRPr="00C962E6">
        <w:t xml:space="preserve">. Adelaide: JBI. Available at: </w:t>
      </w:r>
      <w:hyperlink r:id="rId10" w:tgtFrame="_blank" w:history="1">
        <w:r w:rsidRPr="00C962E6">
          <w:rPr>
            <w:color w:val="0000FF"/>
            <w:u w:val="single"/>
          </w:rPr>
          <w:t>JBI Manual for Evidence Synthesis</w:t>
        </w:r>
      </w:hyperlink>
      <w:r w:rsidRPr="00C962E6">
        <w:t xml:space="preserve"> (Accessed: 11 August 2026). </w:t>
      </w:r>
      <w:r w:rsidR="0028539F">
        <w:rPr>
          <w:noProof/>
        </w:rPr>
        <w:t>DOI</w:t>
      </w:r>
      <w:r>
        <w:rPr>
          <w:noProof/>
        </w:rPr>
        <w:t>:</w:t>
      </w:r>
      <w:r w:rsidRPr="00C962E6">
        <w:t>10.46658/JBIMES-24-01.</w:t>
      </w:r>
    </w:p>
    <w:p w14:paraId="668CC6B3" w14:textId="5FD1B542" w:rsidR="00972A41" w:rsidRDefault="00972A41" w:rsidP="00972A41">
      <w:pPr>
        <w:pStyle w:val="Bibliography"/>
        <w:ind w:left="720" w:hanging="720"/>
        <w:jc w:val="both"/>
        <w:rPr>
          <w:noProof/>
        </w:rPr>
      </w:pPr>
      <w:r>
        <w:rPr>
          <w:noProof/>
        </w:rPr>
        <w:t xml:space="preserve">Azevedo, L., Robles, P., Best, E., </w:t>
      </w:r>
      <w:r w:rsidR="00D82198">
        <w:rPr>
          <w:noProof/>
        </w:rPr>
        <w:t>and</w:t>
      </w:r>
      <w:r>
        <w:rPr>
          <w:noProof/>
        </w:rPr>
        <w:t xml:space="preserve"> Mallinson, D. (2025). ‘Institutional Policies on Artificial Intelligence in Higher Education: Frameworks and Best Practices for Faculty’. </w:t>
      </w:r>
      <w:r>
        <w:rPr>
          <w:i/>
          <w:iCs/>
          <w:noProof/>
        </w:rPr>
        <w:t>New Directions for Adult and Continuing Education</w:t>
      </w:r>
      <w:r>
        <w:rPr>
          <w:noProof/>
        </w:rPr>
        <w:t xml:space="preserve">, 2025(188), pp. 70–78. </w:t>
      </w:r>
      <w:r w:rsidR="0028539F">
        <w:rPr>
          <w:noProof/>
        </w:rPr>
        <w:t>DOI</w:t>
      </w:r>
      <w:r>
        <w:rPr>
          <w:noProof/>
        </w:rPr>
        <w:t>: 10.1002/ace.70013.</w:t>
      </w:r>
    </w:p>
    <w:p w14:paraId="7C486373" w14:textId="6DE15148" w:rsidR="009E1708" w:rsidRDefault="00010DA2" w:rsidP="009E1708">
      <w:pPr>
        <w:pStyle w:val="Bibliography"/>
        <w:ind w:left="720" w:hanging="720"/>
        <w:jc w:val="both"/>
        <w:rPr>
          <w:noProof/>
        </w:rPr>
      </w:pPr>
      <w:r>
        <w:t xml:space="preserve">Bacalso, F.D., Villamor, F.E., Paclipan, C.P., Orquia, C.J.B., Rendon, I.P., Albiso, A.T. </w:t>
      </w:r>
      <w:r w:rsidR="00D82198">
        <w:t>and</w:t>
      </w:r>
      <w:r>
        <w:t xml:space="preserve"> Himang, C.M. (2026). ‘Institutional approaches to generative AI management in higher education: a systematic review’, </w:t>
      </w:r>
      <w:r>
        <w:rPr>
          <w:rStyle w:val="Emphasis"/>
        </w:rPr>
        <w:t>Frontiers in Education</w:t>
      </w:r>
      <w:r>
        <w:t xml:space="preserve">, 11, 1814426. </w:t>
      </w:r>
      <w:r w:rsidR="0028539F">
        <w:rPr>
          <w:noProof/>
        </w:rPr>
        <w:t>DOI</w:t>
      </w:r>
      <w:r>
        <w:rPr>
          <w:noProof/>
        </w:rPr>
        <w:t xml:space="preserve">: </w:t>
      </w:r>
      <w:r w:rsidRPr="00010DA2">
        <w:rPr>
          <w:rStyle w:val="Strong"/>
          <w:b w:val="0"/>
          <w:bCs w:val="0"/>
        </w:rPr>
        <w:t>10.3389/feduc.2026.1814426.</w:t>
      </w:r>
    </w:p>
    <w:p w14:paraId="2A07863D" w14:textId="073FE3E2" w:rsidR="009E1708" w:rsidRDefault="003B320E" w:rsidP="008261A3">
      <w:pPr>
        <w:pStyle w:val="Bibliography"/>
        <w:ind w:left="720" w:hanging="720"/>
        <w:jc w:val="both"/>
        <w:rPr>
          <w:rStyle w:val="Strong"/>
          <w:b w:val="0"/>
          <w:bCs w:val="0"/>
          <w:noProof/>
        </w:rPr>
      </w:pPr>
      <w:r w:rsidRPr="003B320E">
        <w:rPr>
          <w:rStyle w:val="Strong"/>
          <w:b w:val="0"/>
          <w:bCs w:val="0"/>
        </w:rPr>
        <w:t xml:space="preserve">Baker, R. </w:t>
      </w:r>
      <w:r w:rsidR="00D82198">
        <w:rPr>
          <w:rStyle w:val="Strong"/>
          <w:b w:val="0"/>
          <w:bCs w:val="0"/>
        </w:rPr>
        <w:t>and</w:t>
      </w:r>
      <w:r w:rsidRPr="003B320E">
        <w:rPr>
          <w:rStyle w:val="Strong"/>
          <w:b w:val="0"/>
          <w:bCs w:val="0"/>
        </w:rPr>
        <w:t xml:space="preserve"> Hawn, A. (2022).</w:t>
      </w:r>
      <w:r>
        <w:t xml:space="preserve"> ‘Algorithmic bias in education’, </w:t>
      </w:r>
      <w:r>
        <w:rPr>
          <w:rStyle w:val="Emphasis"/>
        </w:rPr>
        <w:t>International Journal of Artificial Intelligence in Education</w:t>
      </w:r>
      <w:r>
        <w:t xml:space="preserve">, </w:t>
      </w:r>
      <w:r w:rsidRPr="003B320E">
        <w:rPr>
          <w:rStyle w:val="Strong"/>
          <w:b w:val="0"/>
          <w:bCs w:val="0"/>
        </w:rPr>
        <w:t>32</w:t>
      </w:r>
      <w:r>
        <w:t xml:space="preserve">, pp. 1052–1092. </w:t>
      </w:r>
      <w:r w:rsidR="0028539F">
        <w:rPr>
          <w:noProof/>
        </w:rPr>
        <w:t>DOI</w:t>
      </w:r>
      <w:r>
        <w:rPr>
          <w:noProof/>
        </w:rPr>
        <w:t>:</w:t>
      </w:r>
      <w:r w:rsidRPr="003B320E">
        <w:rPr>
          <w:rStyle w:val="Strong"/>
          <w:b w:val="0"/>
          <w:bCs w:val="0"/>
        </w:rPr>
        <w:t xml:space="preserve"> 10.1007/s40593-021-00285-9.</w:t>
      </w:r>
    </w:p>
    <w:p w14:paraId="473C1209" w14:textId="7C217043" w:rsidR="00972A41" w:rsidRPr="00972A41" w:rsidRDefault="00151F98" w:rsidP="00EC757B">
      <w:pPr>
        <w:pStyle w:val="Bibliography"/>
        <w:ind w:left="720" w:hanging="720"/>
        <w:jc w:val="both"/>
        <w:rPr>
          <w:noProof/>
        </w:rPr>
      </w:pPr>
      <w:r w:rsidRPr="00151F98">
        <w:rPr>
          <w:rStyle w:val="Strong"/>
          <w:b w:val="0"/>
          <w:bCs w:val="0"/>
        </w:rPr>
        <w:t xml:space="preserve">Barus, O., Hidayanto, A., Eitiveni, I., Phusavat, K. </w:t>
      </w:r>
      <w:r w:rsidR="00D82198">
        <w:rPr>
          <w:rStyle w:val="Strong"/>
          <w:b w:val="0"/>
          <w:bCs w:val="0"/>
        </w:rPr>
        <w:t>and</w:t>
      </w:r>
      <w:r w:rsidRPr="00151F98">
        <w:rPr>
          <w:rStyle w:val="Strong"/>
          <w:b w:val="0"/>
          <w:bCs w:val="0"/>
        </w:rPr>
        <w:t xml:space="preserve"> Sudibjo, N. (2025)</w:t>
      </w:r>
      <w:r>
        <w:rPr>
          <w:rStyle w:val="Strong"/>
          <w:b w:val="0"/>
          <w:bCs w:val="0"/>
        </w:rPr>
        <w:t>.</w:t>
      </w:r>
      <w:r>
        <w:t xml:space="preserve"> ‘Identifying key components and stakeholders for generative AI governance in higher education: a systematic literature review’, </w:t>
      </w:r>
      <w:r>
        <w:rPr>
          <w:rStyle w:val="Emphasis"/>
        </w:rPr>
        <w:t>Interactive Learning Environments</w:t>
      </w:r>
      <w:r>
        <w:t xml:space="preserve">. </w:t>
      </w:r>
      <w:r w:rsidR="0028539F">
        <w:rPr>
          <w:noProof/>
        </w:rPr>
        <w:t>DOI</w:t>
      </w:r>
      <w:r w:rsidR="009A0B2F">
        <w:rPr>
          <w:noProof/>
        </w:rPr>
        <w:t>:</w:t>
      </w:r>
      <w:r>
        <w:t xml:space="preserve"> </w:t>
      </w:r>
      <w:r w:rsidRPr="00151F98">
        <w:rPr>
          <w:rStyle w:val="Strong"/>
          <w:b w:val="0"/>
          <w:bCs w:val="0"/>
        </w:rPr>
        <w:t>10.1080/10494820.2025.2596058</w:t>
      </w:r>
      <w:r w:rsidRPr="00151F98">
        <w:rPr>
          <w:b/>
          <w:bCs/>
        </w:rPr>
        <w:t>.</w:t>
      </w:r>
    </w:p>
    <w:p w14:paraId="62B0DE46" w14:textId="42EC38AA" w:rsidR="00AD1BAD" w:rsidRDefault="00AD1BAD" w:rsidP="00AD1BAD">
      <w:pPr>
        <w:pStyle w:val="Bibliography"/>
        <w:ind w:left="720" w:hanging="720"/>
        <w:jc w:val="both"/>
      </w:pPr>
      <w:r>
        <w:rPr>
          <w:noProof/>
        </w:rPr>
        <w:t xml:space="preserve">Batool, A., Zowghi, D.,  </w:t>
      </w:r>
      <w:r w:rsidR="00D82198">
        <w:rPr>
          <w:noProof/>
        </w:rPr>
        <w:t>and</w:t>
      </w:r>
      <w:r>
        <w:rPr>
          <w:noProof/>
        </w:rPr>
        <w:t xml:space="preserve"> Bano, M. </w:t>
      </w:r>
      <w:r w:rsidR="00B97AEE">
        <w:t xml:space="preserve">(2025). ‘AI governance: a systematic literature review’, </w:t>
      </w:r>
      <w:r w:rsidR="00B97AEE">
        <w:rPr>
          <w:rStyle w:val="Emphasis"/>
        </w:rPr>
        <w:t>AI and Ethics</w:t>
      </w:r>
      <w:r w:rsidR="00B97AEE">
        <w:t xml:space="preserve">, 5, pp. 3265–3279. </w:t>
      </w:r>
      <w:r w:rsidR="0028539F">
        <w:rPr>
          <w:noProof/>
        </w:rPr>
        <w:t>DOI</w:t>
      </w:r>
      <w:r w:rsidR="00B97AEE">
        <w:rPr>
          <w:noProof/>
        </w:rPr>
        <w:t>:</w:t>
      </w:r>
      <w:r w:rsidR="00B97AEE">
        <w:t xml:space="preserve"> 10.1007/s43681-024-00653-w.</w:t>
      </w:r>
    </w:p>
    <w:p w14:paraId="15A76818" w14:textId="635F852A" w:rsidR="00671482" w:rsidRPr="00671482" w:rsidRDefault="00671482" w:rsidP="008261A3">
      <w:pPr>
        <w:pStyle w:val="Bibliography"/>
        <w:ind w:left="720" w:hanging="720"/>
        <w:jc w:val="both"/>
        <w:rPr>
          <w:noProof/>
        </w:rPr>
      </w:pPr>
      <w:r w:rsidRPr="00723ACF">
        <w:rPr>
          <w:rStyle w:val="Strong"/>
          <w:b w:val="0"/>
          <w:bCs w:val="0"/>
        </w:rPr>
        <w:t xml:space="preserve">Bhattarai, B.P., Khadka, K. </w:t>
      </w:r>
      <w:r w:rsidR="00D82198">
        <w:rPr>
          <w:rStyle w:val="Strong"/>
          <w:b w:val="0"/>
          <w:bCs w:val="0"/>
        </w:rPr>
        <w:t>and</w:t>
      </w:r>
      <w:r w:rsidRPr="00723ACF">
        <w:rPr>
          <w:rStyle w:val="Strong"/>
          <w:b w:val="0"/>
          <w:bCs w:val="0"/>
        </w:rPr>
        <w:t xml:space="preserve"> Rai, A. (2025).</w:t>
      </w:r>
      <w:r>
        <w:t xml:space="preserve"> ‘Critical Realism in Management Research: Bridging Structure and Agency in Organisational Analysis’, </w:t>
      </w:r>
      <w:r>
        <w:rPr>
          <w:rStyle w:val="Emphasis"/>
        </w:rPr>
        <w:t>Research Journal in Business and Economics</w:t>
      </w:r>
      <w:r>
        <w:t xml:space="preserve">, 3(2), pp. 34–45. </w:t>
      </w:r>
      <w:r w:rsidR="0028539F">
        <w:rPr>
          <w:noProof/>
        </w:rPr>
        <w:t>DOI</w:t>
      </w:r>
      <w:r w:rsidRPr="009E3666">
        <w:rPr>
          <w:noProof/>
        </w:rPr>
        <w:t>:</w:t>
      </w:r>
      <w:r>
        <w:t xml:space="preserve"> </w:t>
      </w:r>
      <w:r w:rsidRPr="00723ACF">
        <w:rPr>
          <w:rStyle w:val="Strong"/>
          <w:b w:val="0"/>
          <w:bCs w:val="0"/>
        </w:rPr>
        <w:t>10.61424/rjbe.v3i2.458</w:t>
      </w:r>
      <w:r w:rsidRPr="00723ACF">
        <w:rPr>
          <w:b/>
          <w:bCs/>
        </w:rPr>
        <w:t>.</w:t>
      </w:r>
    </w:p>
    <w:p w14:paraId="4F594DB4" w14:textId="19E883BF" w:rsidR="005769E3" w:rsidRDefault="005769E3" w:rsidP="005769E3">
      <w:pPr>
        <w:pStyle w:val="Bibliography"/>
        <w:ind w:left="720" w:hanging="720"/>
        <w:jc w:val="both"/>
        <w:rPr>
          <w:noProof/>
        </w:rPr>
      </w:pPr>
      <w:r>
        <w:rPr>
          <w:noProof/>
        </w:rPr>
        <w:lastRenderedPageBreak/>
        <w:t xml:space="preserve">Bilgin, H. (2025). ‘A framework for responsible AI in higher education’. </w:t>
      </w:r>
      <w:r>
        <w:rPr>
          <w:i/>
          <w:iCs/>
          <w:noProof/>
        </w:rPr>
        <w:t>Higher Education Governance and Policy</w:t>
      </w:r>
      <w:r>
        <w:rPr>
          <w:noProof/>
        </w:rPr>
        <w:t xml:space="preserve">, </w:t>
      </w:r>
      <w:r w:rsidR="00CD7981">
        <w:rPr>
          <w:noProof/>
        </w:rPr>
        <w:t xml:space="preserve">6(2), </w:t>
      </w:r>
      <w:r>
        <w:rPr>
          <w:noProof/>
        </w:rPr>
        <w:t xml:space="preserve">pp. 155–174. </w:t>
      </w:r>
      <w:r w:rsidR="0028539F">
        <w:rPr>
          <w:noProof/>
        </w:rPr>
        <w:t>DOI</w:t>
      </w:r>
      <w:r>
        <w:rPr>
          <w:noProof/>
        </w:rPr>
        <w:t>: 10.55993/hegp.1788343.</w:t>
      </w:r>
    </w:p>
    <w:p w14:paraId="101D4E80" w14:textId="0F8DE4EE" w:rsidR="005769E3" w:rsidRPr="005769E3" w:rsidRDefault="00B77DA7" w:rsidP="008261A3">
      <w:pPr>
        <w:pStyle w:val="Bibliography"/>
        <w:ind w:left="720" w:hanging="720"/>
        <w:jc w:val="both"/>
        <w:rPr>
          <w:noProof/>
        </w:rPr>
      </w:pPr>
      <w:r>
        <w:rPr>
          <w:noProof/>
        </w:rPr>
        <w:t xml:space="preserve">Birkstedt, </w:t>
      </w:r>
      <w:r>
        <w:t xml:space="preserve">T., Minkkinen, M., Tandon, A. </w:t>
      </w:r>
      <w:r w:rsidR="00D82198">
        <w:t>and</w:t>
      </w:r>
      <w:r>
        <w:t xml:space="preserve"> Mantymaki, M.</w:t>
      </w:r>
      <w:r>
        <w:rPr>
          <w:noProof/>
        </w:rPr>
        <w:t xml:space="preserve"> (2023). ‘AI governance: Themes, knowledge gaps and future agendas’. </w:t>
      </w:r>
      <w:r>
        <w:rPr>
          <w:i/>
          <w:iCs/>
          <w:noProof/>
        </w:rPr>
        <w:t>Internet Research</w:t>
      </w:r>
      <w:r>
        <w:rPr>
          <w:noProof/>
        </w:rPr>
        <w:t xml:space="preserve">, pp. 133–167. </w:t>
      </w:r>
      <w:r w:rsidR="0028539F">
        <w:rPr>
          <w:noProof/>
        </w:rPr>
        <w:t>DOI</w:t>
      </w:r>
      <w:r>
        <w:rPr>
          <w:noProof/>
        </w:rPr>
        <w:t>: 10.1108/INTR-01-2022-0042.</w:t>
      </w:r>
    </w:p>
    <w:p w14:paraId="794509EF" w14:textId="3C49E180" w:rsidR="00293930" w:rsidRPr="00293930" w:rsidRDefault="00AD1BAD" w:rsidP="008261A3">
      <w:pPr>
        <w:pStyle w:val="Bibliography"/>
        <w:ind w:left="720" w:hanging="720"/>
        <w:jc w:val="both"/>
        <w:rPr>
          <w:noProof/>
        </w:rPr>
      </w:pPr>
      <w:r>
        <w:rPr>
          <w:noProof/>
        </w:rPr>
        <w:t xml:space="preserve">Bitte, K. </w:t>
      </w:r>
      <w:r w:rsidR="00D82198">
        <w:t>and</w:t>
      </w:r>
      <w:r w:rsidR="00B97AEE">
        <w:t xml:space="preserve"> El-Gayar, O. (2025). ‘Generative AI and academic integrity in higher education: a systematic review and research agenda’, </w:t>
      </w:r>
      <w:r w:rsidR="00B97AEE">
        <w:rPr>
          <w:rStyle w:val="Emphasis"/>
        </w:rPr>
        <w:t>Information</w:t>
      </w:r>
      <w:r w:rsidR="00B97AEE">
        <w:t xml:space="preserve">, 16(4), 296. </w:t>
      </w:r>
      <w:r w:rsidR="0028539F">
        <w:rPr>
          <w:noProof/>
        </w:rPr>
        <w:t>DOI</w:t>
      </w:r>
      <w:r w:rsidR="00B97AEE">
        <w:t>: 10.3390/info16040296</w:t>
      </w:r>
    </w:p>
    <w:p w14:paraId="7CCFA717" w14:textId="4A0241A1" w:rsidR="00180D63" w:rsidRDefault="00180D63" w:rsidP="00F47D60">
      <w:pPr>
        <w:pStyle w:val="Bibliography"/>
        <w:ind w:left="720" w:hanging="720"/>
        <w:jc w:val="both"/>
        <w:rPr>
          <w:b/>
          <w:bCs/>
        </w:rPr>
      </w:pPr>
      <w:r>
        <w:rPr>
          <w:noProof/>
        </w:rPr>
        <w:t xml:space="preserve">Bobula, M. (2024). "Generative artificial intelligence (AI) in higher education". </w:t>
      </w:r>
      <w:r>
        <w:rPr>
          <w:i/>
          <w:iCs/>
          <w:noProof/>
        </w:rPr>
        <w:t>Journal of Learning Development in Higher Education</w:t>
      </w:r>
      <w:r w:rsidR="004D2752">
        <w:rPr>
          <w:i/>
          <w:iCs/>
          <w:noProof/>
        </w:rPr>
        <w:t xml:space="preserve"> </w:t>
      </w:r>
      <w:r>
        <w:rPr>
          <w:noProof/>
        </w:rPr>
        <w:t>(3</w:t>
      </w:r>
      <w:r w:rsidR="004D2752">
        <w:rPr>
          <w:noProof/>
        </w:rPr>
        <w:t>0</w:t>
      </w:r>
      <w:r>
        <w:rPr>
          <w:noProof/>
        </w:rPr>
        <w:t>)</w:t>
      </w:r>
      <w:r w:rsidR="004D2752">
        <w:rPr>
          <w:noProof/>
        </w:rPr>
        <w:t>.</w:t>
      </w:r>
      <w:r w:rsidR="00C31F8D">
        <w:t xml:space="preserve"> </w:t>
      </w:r>
      <w:r w:rsidR="0028539F">
        <w:rPr>
          <w:noProof/>
        </w:rPr>
        <w:t>DOI</w:t>
      </w:r>
      <w:r w:rsidR="00C31F8D">
        <w:t xml:space="preserve">: </w:t>
      </w:r>
      <w:r w:rsidR="00C31F8D" w:rsidRPr="00C31F8D">
        <w:rPr>
          <w:rStyle w:val="Strong"/>
          <w:b w:val="0"/>
          <w:bCs w:val="0"/>
        </w:rPr>
        <w:t>10.47408/jldhe.vi30.1137</w:t>
      </w:r>
      <w:r w:rsidR="00C31F8D" w:rsidRPr="00C31F8D">
        <w:rPr>
          <w:b/>
          <w:bCs/>
        </w:rPr>
        <w:t>.</w:t>
      </w:r>
    </w:p>
    <w:p w14:paraId="1191A4F5" w14:textId="75118309" w:rsidR="005A0DC4" w:rsidRPr="008261A3" w:rsidRDefault="00A77FC3" w:rsidP="008261A3">
      <w:pPr>
        <w:pStyle w:val="Bibliography"/>
        <w:ind w:left="720" w:hanging="720"/>
        <w:jc w:val="both"/>
        <w:rPr>
          <w:b/>
          <w:bCs/>
        </w:rPr>
      </w:pPr>
      <w:r w:rsidRPr="00A77FC3">
        <w:rPr>
          <w:rStyle w:val="Strong"/>
          <w:b w:val="0"/>
          <w:bCs w:val="0"/>
        </w:rPr>
        <w:t xml:space="preserve">Bond, M., Khosravi, H., De Laat, M., Bergdahl, N., Negrea, V., Oxley, E., Pham, P., Chong, S. </w:t>
      </w:r>
      <w:r w:rsidR="00D82198">
        <w:rPr>
          <w:rStyle w:val="Strong"/>
          <w:b w:val="0"/>
          <w:bCs w:val="0"/>
        </w:rPr>
        <w:t>and</w:t>
      </w:r>
      <w:r w:rsidRPr="00A77FC3">
        <w:rPr>
          <w:rStyle w:val="Strong"/>
          <w:b w:val="0"/>
          <w:bCs w:val="0"/>
        </w:rPr>
        <w:t xml:space="preserve"> Siemens, G. (2024).</w:t>
      </w:r>
      <w:r>
        <w:t xml:space="preserve"> ‘A meta systematic review of artificial intelligence in higher education: a call for increased ethics, collaboration, and rigour’, </w:t>
      </w:r>
      <w:r>
        <w:rPr>
          <w:rStyle w:val="Emphasis"/>
        </w:rPr>
        <w:t>International Journal of Educational Technology in Higher Education</w:t>
      </w:r>
      <w:r>
        <w:t xml:space="preserve">, 21, 4. </w:t>
      </w:r>
      <w:r w:rsidR="0028539F">
        <w:rPr>
          <w:noProof/>
        </w:rPr>
        <w:t>DOI</w:t>
      </w:r>
      <w:r w:rsidR="00D13A5D" w:rsidRPr="009E3666">
        <w:rPr>
          <w:noProof/>
        </w:rPr>
        <w:t>:</w:t>
      </w:r>
      <w:r w:rsidRPr="00A77FC3">
        <w:rPr>
          <w:rStyle w:val="Strong"/>
          <w:b w:val="0"/>
          <w:bCs w:val="0"/>
        </w:rPr>
        <w:t xml:space="preserve"> 10.1186/s41239-023-00436-z.</w:t>
      </w:r>
    </w:p>
    <w:p w14:paraId="3EF8720B" w14:textId="256CAA6E" w:rsidR="002775FD" w:rsidRPr="008261A3" w:rsidRDefault="00461020" w:rsidP="008261A3">
      <w:pPr>
        <w:pStyle w:val="Bibliography"/>
        <w:ind w:left="720" w:hanging="720"/>
        <w:jc w:val="both"/>
        <w:rPr>
          <w:b/>
          <w:bCs/>
        </w:rPr>
      </w:pPr>
      <w:r w:rsidRPr="00461020">
        <w:rPr>
          <w:rStyle w:val="Strong"/>
          <w:b w:val="0"/>
          <w:bCs w:val="0"/>
        </w:rPr>
        <w:t xml:space="preserve">Boticario, J., </w:t>
      </w:r>
      <w:r w:rsidR="008D4CAA" w:rsidRPr="00461020">
        <w:rPr>
          <w:rStyle w:val="Strong"/>
          <w:b w:val="0"/>
          <w:bCs w:val="0"/>
        </w:rPr>
        <w:t xml:space="preserve">Holmes, W., Iniesto, F., </w:t>
      </w:r>
      <w:r w:rsidR="00D82198">
        <w:rPr>
          <w:rStyle w:val="Strong"/>
          <w:b w:val="0"/>
          <w:bCs w:val="0"/>
        </w:rPr>
        <w:t>and</w:t>
      </w:r>
      <w:r w:rsidRPr="00461020">
        <w:rPr>
          <w:rStyle w:val="Strong"/>
          <w:b w:val="0"/>
          <w:bCs w:val="0"/>
        </w:rPr>
        <w:t xml:space="preserve"> </w:t>
      </w:r>
      <w:r w:rsidR="008D4CAA" w:rsidRPr="00461020">
        <w:rPr>
          <w:rStyle w:val="Strong"/>
          <w:b w:val="0"/>
          <w:bCs w:val="0"/>
        </w:rPr>
        <w:t>Anastopoulou, S. (2023)</w:t>
      </w:r>
      <w:r w:rsidR="008D4CAA" w:rsidRPr="00461020">
        <w:rPr>
          <w:b/>
          <w:bCs/>
        </w:rPr>
        <w:t>.</w:t>
      </w:r>
      <w:r w:rsidR="008D4CAA">
        <w:t xml:space="preserve"> ‘Stakeholder perspectives on the ethics of AI in distance-based higher education’, </w:t>
      </w:r>
      <w:r w:rsidR="008D4CAA">
        <w:rPr>
          <w:rStyle w:val="Emphasis"/>
        </w:rPr>
        <w:t>The International Review of Research in Open and Distributed Learning</w:t>
      </w:r>
      <w:r w:rsidR="008D4CAA">
        <w:t xml:space="preserve">, 24(2), pp. 96–117. </w:t>
      </w:r>
      <w:r w:rsidR="0028539F">
        <w:rPr>
          <w:noProof/>
        </w:rPr>
        <w:t>DOI</w:t>
      </w:r>
      <w:r w:rsidR="008D4CAA" w:rsidRPr="008D4CAA">
        <w:rPr>
          <w:rStyle w:val="Strong"/>
          <w:b w:val="0"/>
          <w:bCs w:val="0"/>
        </w:rPr>
        <w:t>: 10.19173/</w:t>
      </w:r>
      <w:r w:rsidRPr="008D4CAA">
        <w:rPr>
          <w:rStyle w:val="Strong"/>
          <w:b w:val="0"/>
          <w:bCs w:val="0"/>
        </w:rPr>
        <w:t>irrodl.v</w:t>
      </w:r>
      <w:r w:rsidR="008D4CAA" w:rsidRPr="008D4CAA">
        <w:rPr>
          <w:rStyle w:val="Strong"/>
          <w:b w:val="0"/>
          <w:bCs w:val="0"/>
        </w:rPr>
        <w:t>24i2.6089.</w:t>
      </w:r>
    </w:p>
    <w:p w14:paraId="3B3BAFC9" w14:textId="3FDD9550" w:rsidR="00F45F88" w:rsidRPr="00F45F88" w:rsidRDefault="007B1BEA" w:rsidP="008261A3">
      <w:pPr>
        <w:pStyle w:val="Bibliography"/>
        <w:ind w:left="720" w:hanging="720"/>
        <w:jc w:val="both"/>
      </w:pPr>
      <w:r w:rsidRPr="007B1BEA">
        <w:rPr>
          <w:rStyle w:val="Strong"/>
          <w:b w:val="0"/>
          <w:bCs w:val="0"/>
        </w:rPr>
        <w:t xml:space="preserve">Braun, V. </w:t>
      </w:r>
      <w:r w:rsidR="00D82198">
        <w:rPr>
          <w:rStyle w:val="Strong"/>
          <w:b w:val="0"/>
          <w:bCs w:val="0"/>
        </w:rPr>
        <w:t>and</w:t>
      </w:r>
      <w:r w:rsidRPr="007B1BEA">
        <w:rPr>
          <w:rStyle w:val="Strong"/>
          <w:b w:val="0"/>
          <w:bCs w:val="0"/>
        </w:rPr>
        <w:t xml:space="preserve"> Clarke, V. (2024)</w:t>
      </w:r>
      <w:r>
        <w:rPr>
          <w:rStyle w:val="Strong"/>
          <w:b w:val="0"/>
          <w:bCs w:val="0"/>
        </w:rPr>
        <w:t>.</w:t>
      </w:r>
      <w:r>
        <w:t xml:space="preserve"> ‘Reporting guidelines for qualitative research: a values-based approach’, </w:t>
      </w:r>
      <w:r>
        <w:rPr>
          <w:rStyle w:val="Emphasis"/>
        </w:rPr>
        <w:t>Qualitative Research in Psychology</w:t>
      </w:r>
      <w:r>
        <w:t xml:space="preserve">, 22(2), pp. 399–438. </w:t>
      </w:r>
      <w:r w:rsidR="0028539F">
        <w:rPr>
          <w:noProof/>
        </w:rPr>
        <w:t>DOI</w:t>
      </w:r>
      <w:r w:rsidRPr="009E3666">
        <w:rPr>
          <w:noProof/>
        </w:rPr>
        <w:t>:</w:t>
      </w:r>
      <w:r>
        <w:t xml:space="preserve"> </w:t>
      </w:r>
      <w:r w:rsidRPr="007B1BEA">
        <w:rPr>
          <w:rStyle w:val="Strong"/>
          <w:b w:val="0"/>
          <w:bCs w:val="0"/>
        </w:rPr>
        <w:t>10.1080/14780887.2024.2382244</w:t>
      </w:r>
      <w:r w:rsidRPr="007B1BEA">
        <w:rPr>
          <w:b/>
          <w:bCs/>
        </w:rPr>
        <w:t>.</w:t>
      </w:r>
    </w:p>
    <w:p w14:paraId="25250FD8" w14:textId="0698B143" w:rsidR="00025C0B" w:rsidRDefault="00B07441" w:rsidP="00025C0B">
      <w:pPr>
        <w:pStyle w:val="Bibliography"/>
        <w:ind w:left="720" w:hanging="720"/>
        <w:jc w:val="both"/>
        <w:rPr>
          <w:b/>
          <w:bCs/>
        </w:rPr>
      </w:pPr>
      <w:r w:rsidRPr="00B07441">
        <w:rPr>
          <w:rStyle w:val="Strong"/>
          <w:b w:val="0"/>
          <w:bCs w:val="0"/>
        </w:rPr>
        <w:t xml:space="preserve">Britchenko, I. </w:t>
      </w:r>
      <w:r w:rsidR="00D82198">
        <w:rPr>
          <w:rStyle w:val="Strong"/>
          <w:b w:val="0"/>
          <w:bCs w:val="0"/>
        </w:rPr>
        <w:t>and</w:t>
      </w:r>
      <w:r w:rsidRPr="00B07441">
        <w:rPr>
          <w:rStyle w:val="Strong"/>
          <w:b w:val="0"/>
          <w:bCs w:val="0"/>
        </w:rPr>
        <w:t xml:space="preserve"> Lysiak, I. (2025).</w:t>
      </w:r>
      <w:r>
        <w:t xml:space="preserve"> ‘EU Data Governance, AI Ethics, and Responsible Digitalisation in Higher Education: A Compliance–Capability Framework for Universities’, </w:t>
      </w:r>
      <w:r>
        <w:rPr>
          <w:rStyle w:val="Emphasis"/>
        </w:rPr>
        <w:t>Public Administration and Law Review</w:t>
      </w:r>
      <w:r>
        <w:t xml:space="preserve">, 4, pp. 12–19. </w:t>
      </w:r>
      <w:r w:rsidR="0028539F">
        <w:rPr>
          <w:noProof/>
        </w:rPr>
        <w:t>DOI</w:t>
      </w:r>
      <w:r>
        <w:rPr>
          <w:noProof/>
        </w:rPr>
        <w:t>:</w:t>
      </w:r>
      <w:r>
        <w:t xml:space="preserve"> </w:t>
      </w:r>
      <w:r w:rsidRPr="00B07441">
        <w:rPr>
          <w:rStyle w:val="Strong"/>
          <w:b w:val="0"/>
          <w:bCs w:val="0"/>
        </w:rPr>
        <w:t>10.36690/2674-5216-2025-4-12-19</w:t>
      </w:r>
      <w:r w:rsidRPr="00B07441">
        <w:rPr>
          <w:b/>
          <w:bCs/>
        </w:rPr>
        <w:t>.</w:t>
      </w:r>
    </w:p>
    <w:p w14:paraId="5EE8FEF0" w14:textId="4AAADE7C" w:rsidR="00025C0B" w:rsidRPr="005800B3" w:rsidRDefault="00BB67E9" w:rsidP="005800B3">
      <w:pPr>
        <w:pStyle w:val="Bibliography"/>
        <w:ind w:left="720" w:hanging="720"/>
        <w:jc w:val="both"/>
        <w:rPr>
          <w:rStyle w:val="Strong"/>
        </w:rPr>
      </w:pPr>
      <w:r w:rsidRPr="00BB67E9">
        <w:rPr>
          <w:rStyle w:val="Strong"/>
          <w:b w:val="0"/>
          <w:bCs w:val="0"/>
        </w:rPr>
        <w:t>Burrell, J. (2016)</w:t>
      </w:r>
      <w:r>
        <w:rPr>
          <w:rStyle w:val="Strong"/>
          <w:b w:val="0"/>
          <w:bCs w:val="0"/>
        </w:rPr>
        <w:t>.</w:t>
      </w:r>
      <w:r w:rsidRPr="005800B3">
        <w:rPr>
          <w:rStyle w:val="Strong"/>
        </w:rPr>
        <w:t xml:space="preserve"> </w:t>
      </w:r>
      <w:r w:rsidRPr="005800B3">
        <w:rPr>
          <w:rStyle w:val="Strong"/>
          <w:b w:val="0"/>
          <w:bCs w:val="0"/>
        </w:rPr>
        <w:t xml:space="preserve">‘How the machine “thinks”: Understanding opacity in machine learning algorithms’, </w:t>
      </w:r>
      <w:r w:rsidRPr="005800B3">
        <w:rPr>
          <w:rStyle w:val="Strong"/>
          <w:b w:val="0"/>
          <w:bCs w:val="0"/>
          <w:i/>
          <w:iCs/>
        </w:rPr>
        <w:t xml:space="preserve">Big Data </w:t>
      </w:r>
      <w:r w:rsidR="00D82198">
        <w:rPr>
          <w:rStyle w:val="Strong"/>
          <w:b w:val="0"/>
          <w:bCs w:val="0"/>
          <w:i/>
          <w:iCs/>
        </w:rPr>
        <w:t>and</w:t>
      </w:r>
      <w:r w:rsidRPr="005800B3">
        <w:rPr>
          <w:rStyle w:val="Strong"/>
          <w:b w:val="0"/>
          <w:bCs w:val="0"/>
          <w:i/>
          <w:iCs/>
        </w:rPr>
        <w:t xml:space="preserve"> Society</w:t>
      </w:r>
      <w:r w:rsidRPr="005800B3">
        <w:rPr>
          <w:rStyle w:val="Strong"/>
          <w:b w:val="0"/>
          <w:bCs w:val="0"/>
        </w:rPr>
        <w:t xml:space="preserve">, 3(1), pp. 1–12. </w:t>
      </w:r>
      <w:r w:rsidR="0028539F">
        <w:rPr>
          <w:noProof/>
        </w:rPr>
        <w:t>DOI</w:t>
      </w:r>
      <w:r w:rsidRPr="005800B3">
        <w:rPr>
          <w:rStyle w:val="Strong"/>
          <w:b w:val="0"/>
          <w:bCs w:val="0"/>
        </w:rPr>
        <w:t>:</w:t>
      </w:r>
      <w:r w:rsidRPr="005800B3">
        <w:rPr>
          <w:rStyle w:val="Strong"/>
        </w:rPr>
        <w:t xml:space="preserve">  </w:t>
      </w:r>
      <w:r w:rsidRPr="00BB67E9">
        <w:rPr>
          <w:rStyle w:val="Strong"/>
          <w:b w:val="0"/>
          <w:bCs w:val="0"/>
        </w:rPr>
        <w:t>10.1177/2053951715622512</w:t>
      </w:r>
      <w:r w:rsidRPr="005800B3">
        <w:rPr>
          <w:rStyle w:val="Strong"/>
        </w:rPr>
        <w:t>.</w:t>
      </w:r>
    </w:p>
    <w:p w14:paraId="094CA93F" w14:textId="0871F4D7" w:rsidR="003738D1" w:rsidRDefault="00CD48BB" w:rsidP="003738D1">
      <w:pPr>
        <w:pStyle w:val="Bibliography"/>
        <w:ind w:left="720" w:hanging="720"/>
        <w:jc w:val="both"/>
        <w:rPr>
          <w:b/>
          <w:bCs/>
        </w:rPr>
      </w:pPr>
      <w:r w:rsidRPr="00CD48BB">
        <w:rPr>
          <w:rStyle w:val="Strong"/>
          <w:b w:val="0"/>
          <w:bCs w:val="0"/>
        </w:rPr>
        <w:t xml:space="preserve">Busetto, L., Wick, W. </w:t>
      </w:r>
      <w:r w:rsidR="00D82198">
        <w:rPr>
          <w:rStyle w:val="Strong"/>
          <w:b w:val="0"/>
          <w:bCs w:val="0"/>
        </w:rPr>
        <w:t>and</w:t>
      </w:r>
      <w:r w:rsidRPr="00CD48BB">
        <w:rPr>
          <w:rStyle w:val="Strong"/>
          <w:b w:val="0"/>
          <w:bCs w:val="0"/>
        </w:rPr>
        <w:t xml:space="preserve"> Gumbinger, C. (2020)</w:t>
      </w:r>
      <w:r>
        <w:rPr>
          <w:rStyle w:val="Strong"/>
          <w:b w:val="0"/>
          <w:bCs w:val="0"/>
        </w:rPr>
        <w:t>.</w:t>
      </w:r>
      <w:r>
        <w:t xml:space="preserve"> ‘How to use and assess qualitative research methods’, </w:t>
      </w:r>
      <w:r>
        <w:rPr>
          <w:rStyle w:val="Emphasis"/>
        </w:rPr>
        <w:t>Neurological Research and Practice</w:t>
      </w:r>
      <w:r>
        <w:t xml:space="preserve">, 2, 14. </w:t>
      </w:r>
      <w:r w:rsidR="0028539F">
        <w:rPr>
          <w:noProof/>
        </w:rPr>
        <w:t>DOI</w:t>
      </w:r>
      <w:r w:rsidRPr="009E3666">
        <w:rPr>
          <w:noProof/>
        </w:rPr>
        <w:t xml:space="preserve">: </w:t>
      </w:r>
      <w:r>
        <w:t xml:space="preserve"> </w:t>
      </w:r>
      <w:r w:rsidRPr="00CD48BB">
        <w:rPr>
          <w:rStyle w:val="Strong"/>
          <w:b w:val="0"/>
          <w:bCs w:val="0"/>
        </w:rPr>
        <w:t>10.1186/s42466-020-00059-z</w:t>
      </w:r>
      <w:r w:rsidRPr="00CD48BB">
        <w:rPr>
          <w:b/>
          <w:bCs/>
        </w:rPr>
        <w:t>.</w:t>
      </w:r>
    </w:p>
    <w:p w14:paraId="116AA5C0" w14:textId="718ED458" w:rsidR="005800B3" w:rsidRPr="008261A3" w:rsidRDefault="00A5558A" w:rsidP="008261A3">
      <w:pPr>
        <w:pStyle w:val="Bibliography"/>
        <w:ind w:left="720" w:hanging="720"/>
        <w:jc w:val="both"/>
        <w:rPr>
          <w:b/>
          <w:bCs/>
        </w:rPr>
      </w:pPr>
      <w:r w:rsidRPr="00A5558A">
        <w:rPr>
          <w:rStyle w:val="Strong"/>
          <w:b w:val="0"/>
          <w:bCs w:val="0"/>
        </w:rPr>
        <w:t>Byrne, D. (2022)</w:t>
      </w:r>
      <w:r>
        <w:rPr>
          <w:rStyle w:val="Strong"/>
          <w:b w:val="0"/>
          <w:bCs w:val="0"/>
        </w:rPr>
        <w:t>.</w:t>
      </w:r>
      <w:r>
        <w:t xml:space="preserve"> ‘A worked example of Braun and Clarke’s approach to reflexive thematic analysis’, </w:t>
      </w:r>
      <w:r>
        <w:rPr>
          <w:rStyle w:val="Emphasis"/>
        </w:rPr>
        <w:t xml:space="preserve">Quality </w:t>
      </w:r>
      <w:r w:rsidR="00D82198">
        <w:rPr>
          <w:rStyle w:val="Emphasis"/>
        </w:rPr>
        <w:t>and</w:t>
      </w:r>
      <w:r>
        <w:rPr>
          <w:rStyle w:val="Emphasis"/>
        </w:rPr>
        <w:t xml:space="preserve"> Quantity</w:t>
      </w:r>
      <w:r>
        <w:t xml:space="preserve">, </w:t>
      </w:r>
      <w:r w:rsidRPr="00A5558A">
        <w:rPr>
          <w:rStyle w:val="Strong"/>
          <w:b w:val="0"/>
          <w:bCs w:val="0"/>
        </w:rPr>
        <w:t>56</w:t>
      </w:r>
      <w:r>
        <w:t xml:space="preserve">, pp. 1391–1412. </w:t>
      </w:r>
      <w:r w:rsidR="0028539F">
        <w:rPr>
          <w:noProof/>
        </w:rPr>
        <w:t>DOI</w:t>
      </w:r>
      <w:r w:rsidR="00143101" w:rsidRPr="009E3666">
        <w:rPr>
          <w:noProof/>
        </w:rPr>
        <w:t>:</w:t>
      </w:r>
      <w:r w:rsidR="00143101">
        <w:t xml:space="preserve"> </w:t>
      </w:r>
      <w:r w:rsidRPr="00A5558A">
        <w:rPr>
          <w:rStyle w:val="Strong"/>
          <w:b w:val="0"/>
          <w:bCs w:val="0"/>
        </w:rPr>
        <w:t xml:space="preserve"> 10.1007/s11135-021-01182-y.</w:t>
      </w:r>
    </w:p>
    <w:p w14:paraId="7631DCDB" w14:textId="1D9EB653" w:rsidR="003738D1" w:rsidRPr="008261A3" w:rsidRDefault="002F7986" w:rsidP="008261A3">
      <w:pPr>
        <w:pStyle w:val="Bibliography"/>
        <w:ind w:left="720" w:hanging="720"/>
        <w:jc w:val="both"/>
        <w:rPr>
          <w:b/>
          <w:bCs/>
        </w:rPr>
      </w:pPr>
      <w:r w:rsidRPr="002F7986">
        <w:rPr>
          <w:rStyle w:val="Strong"/>
          <w:b w:val="0"/>
          <w:bCs w:val="0"/>
        </w:rPr>
        <w:t xml:space="preserve">Castillo-Martínez, I.M., Flores-Bueno, D., Gómez-Puente, S.M. </w:t>
      </w:r>
      <w:r w:rsidR="00D82198">
        <w:rPr>
          <w:rStyle w:val="Strong"/>
          <w:b w:val="0"/>
          <w:bCs w:val="0"/>
        </w:rPr>
        <w:t>and</w:t>
      </w:r>
      <w:r w:rsidRPr="002F7986">
        <w:rPr>
          <w:rStyle w:val="Strong"/>
          <w:b w:val="0"/>
          <w:bCs w:val="0"/>
        </w:rPr>
        <w:t xml:space="preserve"> Vite-León, V.O. (2024).</w:t>
      </w:r>
      <w:r>
        <w:t xml:space="preserve"> ‘AI in higher education: a systematic literature review’, </w:t>
      </w:r>
      <w:r>
        <w:rPr>
          <w:rStyle w:val="Emphasis"/>
        </w:rPr>
        <w:t>Frontiers in Education</w:t>
      </w:r>
      <w:r>
        <w:t xml:space="preserve">, 9, 1391485. </w:t>
      </w:r>
      <w:r w:rsidR="0028539F">
        <w:rPr>
          <w:noProof/>
        </w:rPr>
        <w:t>DOI</w:t>
      </w:r>
      <w:r w:rsidR="00143101" w:rsidRPr="009E3666">
        <w:rPr>
          <w:noProof/>
        </w:rPr>
        <w:t>:</w:t>
      </w:r>
      <w:r w:rsidR="00143101">
        <w:t xml:space="preserve"> </w:t>
      </w:r>
      <w:r w:rsidRPr="002F7986">
        <w:rPr>
          <w:rStyle w:val="Strong"/>
          <w:b w:val="0"/>
          <w:bCs w:val="0"/>
        </w:rPr>
        <w:t>10.3389/feduc.2024.1391485.</w:t>
      </w:r>
    </w:p>
    <w:p w14:paraId="7527EF26" w14:textId="6D3855D1" w:rsidR="008729DB" w:rsidRDefault="00655B21" w:rsidP="0001627B">
      <w:pPr>
        <w:pStyle w:val="Bibliography"/>
        <w:ind w:left="720" w:hanging="720"/>
        <w:jc w:val="both"/>
        <w:rPr>
          <w:noProof/>
        </w:rPr>
      </w:pPr>
      <w:r>
        <w:rPr>
          <w:noProof/>
        </w:rPr>
        <w:t>Chan</w:t>
      </w:r>
      <w:r w:rsidR="00011CEF">
        <w:rPr>
          <w:noProof/>
        </w:rPr>
        <w:t>, C</w:t>
      </w:r>
      <w:r>
        <w:rPr>
          <w:noProof/>
        </w:rPr>
        <w:t xml:space="preserve">. (2023). </w:t>
      </w:r>
      <w:r w:rsidR="009256DC">
        <w:rPr>
          <w:noProof/>
        </w:rPr>
        <w:t>‘</w:t>
      </w:r>
      <w:r>
        <w:rPr>
          <w:noProof/>
        </w:rPr>
        <w:t xml:space="preserve">A comprehensive AI policy education framework for university teaching and </w:t>
      </w:r>
      <w:r w:rsidR="009256DC">
        <w:rPr>
          <w:noProof/>
        </w:rPr>
        <w:t>learning'</w:t>
      </w:r>
      <w:r>
        <w:rPr>
          <w:noProof/>
        </w:rPr>
        <w:t xml:space="preserve">. </w:t>
      </w:r>
      <w:r>
        <w:rPr>
          <w:i/>
          <w:iCs/>
          <w:noProof/>
        </w:rPr>
        <w:t>International Journal of Educational Technology in Higher Education, 20</w:t>
      </w:r>
      <w:r>
        <w:rPr>
          <w:noProof/>
        </w:rPr>
        <w:t xml:space="preserve">, </w:t>
      </w:r>
      <w:r w:rsidR="009E3666" w:rsidRPr="009E3666">
        <w:rPr>
          <w:noProof/>
        </w:rPr>
        <w:t xml:space="preserve">38. </w:t>
      </w:r>
      <w:r w:rsidR="0028539F">
        <w:rPr>
          <w:noProof/>
        </w:rPr>
        <w:t>DOI</w:t>
      </w:r>
      <w:r w:rsidR="009E3666" w:rsidRPr="009E3666">
        <w:rPr>
          <w:noProof/>
        </w:rPr>
        <w:t>: 10.1186/s41239-023-00408-3.</w:t>
      </w:r>
    </w:p>
    <w:p w14:paraId="36871DD7" w14:textId="6784A2DF" w:rsidR="00E607E6" w:rsidRPr="00E607E6" w:rsidRDefault="00301974" w:rsidP="008261A3">
      <w:pPr>
        <w:pStyle w:val="Bibliography"/>
        <w:ind w:left="720" w:hanging="720"/>
        <w:jc w:val="both"/>
        <w:rPr>
          <w:noProof/>
        </w:rPr>
      </w:pPr>
      <w:r w:rsidRPr="00301974">
        <w:rPr>
          <w:rStyle w:val="Strong"/>
          <w:b w:val="0"/>
          <w:bCs w:val="0"/>
        </w:rPr>
        <w:t xml:space="preserve">Chatterjee, S. </w:t>
      </w:r>
      <w:r w:rsidR="00D82198">
        <w:rPr>
          <w:rStyle w:val="Strong"/>
          <w:b w:val="0"/>
          <w:bCs w:val="0"/>
        </w:rPr>
        <w:t>and</w:t>
      </w:r>
      <w:r w:rsidRPr="00301974">
        <w:rPr>
          <w:rStyle w:val="Strong"/>
          <w:b w:val="0"/>
          <w:bCs w:val="0"/>
        </w:rPr>
        <w:t xml:space="preserve"> Bhattacharjee, K. (2020).</w:t>
      </w:r>
      <w:r>
        <w:t xml:space="preserve"> ‘Adoption of artificial intelligence in higher education: a quantitative analysis using structural equation modelling’, </w:t>
      </w:r>
      <w:r>
        <w:rPr>
          <w:rStyle w:val="Emphasis"/>
        </w:rPr>
        <w:t>Education and Information Technologies</w:t>
      </w:r>
      <w:r>
        <w:t xml:space="preserve">, 25, pp. 3443–3463. </w:t>
      </w:r>
      <w:r w:rsidR="0028539F">
        <w:rPr>
          <w:noProof/>
        </w:rPr>
        <w:t>DOI</w:t>
      </w:r>
      <w:r>
        <w:rPr>
          <w:noProof/>
        </w:rPr>
        <w:t>:</w:t>
      </w:r>
      <w:r w:rsidRPr="00C90738">
        <w:rPr>
          <w:b/>
          <w:bCs/>
        </w:rPr>
        <w:t xml:space="preserve"> </w:t>
      </w:r>
      <w:r w:rsidRPr="00301974">
        <w:rPr>
          <w:rStyle w:val="Strong"/>
          <w:b w:val="0"/>
          <w:bCs w:val="0"/>
        </w:rPr>
        <w:t>10.1007/s10639-020-10159-7.</w:t>
      </w:r>
    </w:p>
    <w:p w14:paraId="61CFEA68" w14:textId="6E54EEE0" w:rsidR="00A441C1" w:rsidRDefault="00C90738" w:rsidP="00A441C1">
      <w:pPr>
        <w:pStyle w:val="Bibliography"/>
        <w:ind w:left="720" w:hanging="720"/>
        <w:jc w:val="both"/>
      </w:pPr>
      <w:r w:rsidRPr="00C90738">
        <w:rPr>
          <w:rStyle w:val="Strong"/>
          <w:b w:val="0"/>
          <w:bCs w:val="0"/>
        </w:rPr>
        <w:t xml:space="preserve">Chavarria, A., Palau, R. </w:t>
      </w:r>
      <w:r w:rsidR="00D82198">
        <w:rPr>
          <w:rStyle w:val="Strong"/>
          <w:b w:val="0"/>
          <w:bCs w:val="0"/>
        </w:rPr>
        <w:t>and</w:t>
      </w:r>
      <w:r w:rsidRPr="00C90738">
        <w:rPr>
          <w:rStyle w:val="Strong"/>
          <w:b w:val="0"/>
          <w:bCs w:val="0"/>
        </w:rPr>
        <w:t xml:space="preserve"> Santiago, R. (2025).</w:t>
      </w:r>
      <w:r>
        <w:t xml:space="preserve"> ‘Navigating Stakeholders' Perspectives on Artificial Intelligence in Higher Education’, </w:t>
      </w:r>
      <w:r>
        <w:rPr>
          <w:rStyle w:val="Emphasis"/>
        </w:rPr>
        <w:t>Algorithms</w:t>
      </w:r>
      <w:r>
        <w:t xml:space="preserve">, </w:t>
      </w:r>
      <w:r w:rsidRPr="00C90738">
        <w:rPr>
          <w:rStyle w:val="Strong"/>
          <w:b w:val="0"/>
          <w:bCs w:val="0"/>
        </w:rPr>
        <w:t>18</w:t>
      </w:r>
      <w:r>
        <w:t xml:space="preserve">(6), 336. </w:t>
      </w:r>
      <w:r w:rsidR="0028539F">
        <w:rPr>
          <w:noProof/>
        </w:rPr>
        <w:t>DOI</w:t>
      </w:r>
      <w:r>
        <w:rPr>
          <w:noProof/>
        </w:rPr>
        <w:t>:</w:t>
      </w:r>
      <w:r w:rsidRPr="00C90738">
        <w:rPr>
          <w:b/>
          <w:bCs/>
        </w:rPr>
        <w:t xml:space="preserve"> </w:t>
      </w:r>
      <w:r w:rsidRPr="00C90738">
        <w:rPr>
          <w:rStyle w:val="Strong"/>
          <w:b w:val="0"/>
          <w:bCs w:val="0"/>
        </w:rPr>
        <w:t>10.3390/a18060336</w:t>
      </w:r>
      <w:r w:rsidRPr="00C90738">
        <w:rPr>
          <w:b/>
          <w:bCs/>
        </w:rPr>
        <w:t>.</w:t>
      </w:r>
    </w:p>
    <w:p w14:paraId="0F2C25F6" w14:textId="49D91772" w:rsidR="007512EE" w:rsidRPr="00A441C1" w:rsidRDefault="00DD41B0" w:rsidP="008261A3">
      <w:pPr>
        <w:pStyle w:val="Bibliography"/>
        <w:ind w:left="720" w:hanging="720"/>
        <w:jc w:val="both"/>
      </w:pPr>
      <w:r w:rsidRPr="00DD41B0">
        <w:rPr>
          <w:rStyle w:val="Strong"/>
          <w:b w:val="0"/>
          <w:bCs w:val="0"/>
        </w:rPr>
        <w:lastRenderedPageBreak/>
        <w:t xml:space="preserve">Celik, I., Dindar, M., Muukkonen, H. </w:t>
      </w:r>
      <w:r w:rsidR="00D82198">
        <w:rPr>
          <w:rStyle w:val="Strong"/>
          <w:b w:val="0"/>
          <w:bCs w:val="0"/>
        </w:rPr>
        <w:t>and</w:t>
      </w:r>
      <w:r w:rsidRPr="00DD41B0">
        <w:rPr>
          <w:rStyle w:val="Strong"/>
          <w:b w:val="0"/>
          <w:bCs w:val="0"/>
        </w:rPr>
        <w:t xml:space="preserve"> J</w:t>
      </w:r>
      <w:r>
        <w:rPr>
          <w:rStyle w:val="Strong"/>
          <w:b w:val="0"/>
          <w:bCs w:val="0"/>
        </w:rPr>
        <w:t>a</w:t>
      </w:r>
      <w:r w:rsidRPr="00DD41B0">
        <w:rPr>
          <w:rStyle w:val="Strong"/>
          <w:b w:val="0"/>
          <w:bCs w:val="0"/>
        </w:rPr>
        <w:t>rvel</w:t>
      </w:r>
      <w:r>
        <w:rPr>
          <w:rStyle w:val="Strong"/>
          <w:b w:val="0"/>
          <w:bCs w:val="0"/>
        </w:rPr>
        <w:t>a</w:t>
      </w:r>
      <w:r w:rsidRPr="00DD41B0">
        <w:rPr>
          <w:rStyle w:val="Strong"/>
          <w:b w:val="0"/>
          <w:bCs w:val="0"/>
        </w:rPr>
        <w:t>, S. (2022).</w:t>
      </w:r>
      <w:r>
        <w:t xml:space="preserve"> ‘The promises and challenges of artificial intelligence for teachers: a systematic review of research’, </w:t>
      </w:r>
      <w:r>
        <w:rPr>
          <w:rStyle w:val="Emphasis"/>
        </w:rPr>
        <w:t>TechTrends</w:t>
      </w:r>
      <w:r>
        <w:t xml:space="preserve">, </w:t>
      </w:r>
      <w:r w:rsidRPr="00DD41B0">
        <w:rPr>
          <w:rStyle w:val="Strong"/>
          <w:b w:val="0"/>
          <w:bCs w:val="0"/>
        </w:rPr>
        <w:t>66</w:t>
      </w:r>
      <w:r>
        <w:t xml:space="preserve">, pp. 616–630. </w:t>
      </w:r>
      <w:r w:rsidR="0028539F">
        <w:rPr>
          <w:noProof/>
        </w:rPr>
        <w:t>DOI</w:t>
      </w:r>
      <w:r>
        <w:rPr>
          <w:noProof/>
        </w:rPr>
        <w:t>:</w:t>
      </w:r>
      <w:r w:rsidRPr="00DD41B0">
        <w:rPr>
          <w:rStyle w:val="Strong"/>
          <w:b w:val="0"/>
          <w:bCs w:val="0"/>
        </w:rPr>
        <w:t xml:space="preserve"> 10.1007/s11528-022-00715-y.</w:t>
      </w:r>
    </w:p>
    <w:p w14:paraId="5BF90A3B" w14:textId="505D171B" w:rsidR="00283CD4" w:rsidRDefault="00981F12" w:rsidP="0030459D">
      <w:pPr>
        <w:pStyle w:val="Bibliography"/>
        <w:ind w:left="720" w:hanging="720"/>
        <w:jc w:val="both"/>
        <w:rPr>
          <w:b/>
          <w:bCs/>
        </w:rPr>
      </w:pPr>
      <w:r w:rsidRPr="00981F12">
        <w:rPr>
          <w:rStyle w:val="Strong"/>
          <w:b w:val="0"/>
          <w:bCs w:val="0"/>
        </w:rPr>
        <w:t xml:space="preserve">Cena, E., Brooks, J., Day, W., Goodman, S., Rousaki, A., Ruby-Granger, V. </w:t>
      </w:r>
      <w:r w:rsidR="00D82198">
        <w:rPr>
          <w:rStyle w:val="Strong"/>
          <w:b w:val="0"/>
          <w:bCs w:val="0"/>
        </w:rPr>
        <w:t>and</w:t>
      </w:r>
      <w:r w:rsidRPr="00981F12">
        <w:rPr>
          <w:rStyle w:val="Strong"/>
          <w:b w:val="0"/>
          <w:bCs w:val="0"/>
        </w:rPr>
        <w:t xml:space="preserve"> Seymour-Smith, S. (2024).</w:t>
      </w:r>
      <w:r>
        <w:t xml:space="preserve"> ‘Quality criteria: General and specific guidelines for qualitative approaches in psychology research. A concise guide for novice researchers and reviewers’, </w:t>
      </w:r>
      <w:r>
        <w:rPr>
          <w:rStyle w:val="Emphasis"/>
        </w:rPr>
        <w:t>International Journal of Qualitative Methods</w:t>
      </w:r>
      <w:r>
        <w:t xml:space="preserve">, 23. </w:t>
      </w:r>
      <w:r w:rsidR="0028539F">
        <w:rPr>
          <w:noProof/>
        </w:rPr>
        <w:t>DOI</w:t>
      </w:r>
      <w:r w:rsidRPr="009E3666">
        <w:rPr>
          <w:noProof/>
        </w:rPr>
        <w:t>:</w:t>
      </w:r>
      <w:r>
        <w:t xml:space="preserve"> </w:t>
      </w:r>
      <w:r w:rsidRPr="00981F12">
        <w:rPr>
          <w:rStyle w:val="Strong"/>
          <w:b w:val="0"/>
          <w:bCs w:val="0"/>
        </w:rPr>
        <w:t>10.1177/16094069241282843</w:t>
      </w:r>
      <w:r w:rsidRPr="00981F12">
        <w:rPr>
          <w:b/>
          <w:bCs/>
        </w:rPr>
        <w:t>.</w:t>
      </w:r>
    </w:p>
    <w:p w14:paraId="6C8414DF" w14:textId="6D535DBE" w:rsidR="00AB3FDE" w:rsidRDefault="007F05A9" w:rsidP="00AB3FDE">
      <w:pPr>
        <w:pStyle w:val="Bibliography"/>
        <w:ind w:left="720" w:hanging="720"/>
        <w:jc w:val="both"/>
        <w:rPr>
          <w:b/>
          <w:bCs/>
        </w:rPr>
      </w:pPr>
      <w:r w:rsidRPr="007F05A9">
        <w:rPr>
          <w:rStyle w:val="Strong"/>
          <w:b w:val="0"/>
          <w:bCs w:val="0"/>
        </w:rPr>
        <w:t xml:space="preserve">Coates, H., Croucher, G. </w:t>
      </w:r>
      <w:r w:rsidR="00D82198">
        <w:rPr>
          <w:rStyle w:val="Strong"/>
          <w:b w:val="0"/>
          <w:bCs w:val="0"/>
        </w:rPr>
        <w:t>and</w:t>
      </w:r>
      <w:r w:rsidRPr="007F05A9">
        <w:rPr>
          <w:rStyle w:val="Strong"/>
          <w:b w:val="0"/>
          <w:bCs w:val="0"/>
        </w:rPr>
        <w:t xml:space="preserve"> Calderon, A. (2025).</w:t>
      </w:r>
      <w:r>
        <w:t xml:space="preserve"> ‘Governing Academic Integrity: Ensuring the Authenticity of Higher Thinking in the Era of Generative Artificial Intelligence’, </w:t>
      </w:r>
      <w:r>
        <w:rPr>
          <w:rStyle w:val="Emphasis"/>
        </w:rPr>
        <w:t>Journal of Academic Ethics</w:t>
      </w:r>
      <w:r>
        <w:t xml:space="preserve">, 23, pp. 2015–2028. </w:t>
      </w:r>
      <w:r w:rsidR="0028539F">
        <w:rPr>
          <w:noProof/>
        </w:rPr>
        <w:t>DOI</w:t>
      </w:r>
      <w:r>
        <w:rPr>
          <w:noProof/>
        </w:rPr>
        <w:t>:</w:t>
      </w:r>
      <w:r>
        <w:t xml:space="preserve"> </w:t>
      </w:r>
      <w:r w:rsidRPr="007F05A9">
        <w:rPr>
          <w:rStyle w:val="Strong"/>
          <w:b w:val="0"/>
          <w:bCs w:val="0"/>
        </w:rPr>
        <w:t>10.1007/s10805-025-09639-7</w:t>
      </w:r>
      <w:r w:rsidRPr="007F05A9">
        <w:rPr>
          <w:b/>
          <w:bCs/>
        </w:rPr>
        <w:t>.</w:t>
      </w:r>
    </w:p>
    <w:p w14:paraId="605B8530" w14:textId="64DDAC8A" w:rsidR="009A6C63" w:rsidRPr="008261A3" w:rsidRDefault="00D5129C" w:rsidP="008261A3">
      <w:pPr>
        <w:pStyle w:val="Bibliography"/>
        <w:ind w:left="720" w:hanging="720"/>
        <w:jc w:val="both"/>
        <w:rPr>
          <w:b/>
          <w:bCs/>
        </w:rPr>
      </w:pPr>
      <w:r w:rsidRPr="00D5129C">
        <w:rPr>
          <w:rStyle w:val="Strong"/>
          <w:b w:val="0"/>
          <w:bCs w:val="0"/>
        </w:rPr>
        <w:t>Cools, H. (2026)</w:t>
      </w:r>
      <w:r>
        <w:rPr>
          <w:rStyle w:val="Strong"/>
          <w:b w:val="0"/>
          <w:bCs w:val="0"/>
        </w:rPr>
        <w:t>.</w:t>
      </w:r>
      <w:r>
        <w:t xml:space="preserve"> ‘Navigating the responsible AI landscape: unravelling the principles-to-practices gap of transparency and explainability at the BBC’, </w:t>
      </w:r>
      <w:r>
        <w:rPr>
          <w:rStyle w:val="Emphasis"/>
        </w:rPr>
        <w:t xml:space="preserve">Information, Communication </w:t>
      </w:r>
      <w:r w:rsidR="00D82198">
        <w:rPr>
          <w:rStyle w:val="Emphasis"/>
        </w:rPr>
        <w:t>and</w:t>
      </w:r>
      <w:r>
        <w:rPr>
          <w:rStyle w:val="Emphasis"/>
        </w:rPr>
        <w:t xml:space="preserve"> Society</w:t>
      </w:r>
      <w:r>
        <w:t xml:space="preserve">, 29(5), pp. 1474–1494. </w:t>
      </w:r>
      <w:r w:rsidR="0028539F">
        <w:rPr>
          <w:noProof/>
        </w:rPr>
        <w:t>DOI</w:t>
      </w:r>
      <w:r>
        <w:rPr>
          <w:noProof/>
        </w:rPr>
        <w:t>:</w:t>
      </w:r>
      <w:r w:rsidRPr="00D5129C">
        <w:rPr>
          <w:rStyle w:val="Strong"/>
          <w:b w:val="0"/>
          <w:bCs w:val="0"/>
        </w:rPr>
        <w:t>10.1080/1369118X.2025.2553382.</w:t>
      </w:r>
    </w:p>
    <w:p w14:paraId="0B7A43B4" w14:textId="270D2767" w:rsidR="00AB3FDE" w:rsidRPr="00AB3FDE" w:rsidRDefault="007840DB" w:rsidP="008261A3">
      <w:pPr>
        <w:pStyle w:val="Bibliography"/>
        <w:ind w:left="720" w:hanging="720"/>
        <w:jc w:val="both"/>
      </w:pPr>
      <w:r w:rsidRPr="007840DB">
        <w:rPr>
          <w:rStyle w:val="Strong"/>
          <w:b w:val="0"/>
          <w:bCs w:val="0"/>
        </w:rPr>
        <w:t>Crawford, K. (2021).</w:t>
      </w:r>
      <w:r>
        <w:t xml:space="preserve"> </w:t>
      </w:r>
      <w:r>
        <w:rPr>
          <w:rStyle w:val="Emphasis"/>
        </w:rPr>
        <w:t>Atlas of AI: Power, Politics, and the Planetary Costs of Artificial Intelligence</w:t>
      </w:r>
      <w:r>
        <w:t>. New Haven, CT: Yale University Press.</w:t>
      </w:r>
    </w:p>
    <w:p w14:paraId="6A23F1A4" w14:textId="781215A4" w:rsidR="00180D63" w:rsidRDefault="00180D63" w:rsidP="00F47D60">
      <w:pPr>
        <w:pStyle w:val="Bibliography"/>
        <w:ind w:left="720" w:hanging="720"/>
        <w:jc w:val="both"/>
      </w:pPr>
      <w:r>
        <w:fldChar w:fldCharType="begin"/>
      </w:r>
      <w:r>
        <w:instrText xml:space="preserve"> BIBLIOGRAPHY  \l 2057 </w:instrText>
      </w:r>
      <w:r>
        <w:fldChar w:fldCharType="separate"/>
      </w:r>
      <w:r w:rsidR="002E59F1" w:rsidRPr="002E59F1">
        <w:rPr>
          <w:rStyle w:val="Strong"/>
          <w:b w:val="0"/>
          <w:bCs w:val="0"/>
        </w:rPr>
        <w:t>Crompton, H., Burke, D., Nickel, C. et al. (2026).</w:t>
      </w:r>
      <w:r w:rsidR="002E59F1">
        <w:t xml:space="preserve"> ‘Governing generative AI in higher education: a global Delphi study on policy and practice’, </w:t>
      </w:r>
      <w:r w:rsidR="002E59F1">
        <w:rPr>
          <w:rStyle w:val="Emphasis"/>
        </w:rPr>
        <w:t>International Journal of Educational Technology in Higher Education</w:t>
      </w:r>
      <w:r w:rsidR="002E59F1">
        <w:t xml:space="preserve">, 23, 21. </w:t>
      </w:r>
      <w:r w:rsidR="0028539F">
        <w:rPr>
          <w:noProof/>
        </w:rPr>
        <w:t>DOI</w:t>
      </w:r>
      <w:r w:rsidR="008C7CF9">
        <w:rPr>
          <w:noProof/>
        </w:rPr>
        <w:t>:</w:t>
      </w:r>
      <w:r w:rsidR="002E59F1">
        <w:t xml:space="preserve"> </w:t>
      </w:r>
      <w:r w:rsidR="002E59F1" w:rsidRPr="002E59F1">
        <w:rPr>
          <w:rStyle w:val="Strong"/>
          <w:b w:val="0"/>
          <w:bCs w:val="0"/>
        </w:rPr>
        <w:t>10.1186/s41239-026-00602-z.</w:t>
      </w:r>
    </w:p>
    <w:p w14:paraId="1D967714" w14:textId="2074C1FB" w:rsidR="00270090" w:rsidRPr="00270090" w:rsidRDefault="002456E6" w:rsidP="008261A3">
      <w:pPr>
        <w:pStyle w:val="Bibliography"/>
        <w:ind w:left="720" w:hanging="720"/>
        <w:jc w:val="both"/>
        <w:rPr>
          <w:noProof/>
        </w:rPr>
      </w:pPr>
      <w:r w:rsidRPr="002456E6">
        <w:rPr>
          <w:rStyle w:val="Strong"/>
          <w:b w:val="0"/>
          <w:bCs w:val="0"/>
        </w:rPr>
        <w:t xml:space="preserve">Crocco, E., Giacosa, E. </w:t>
      </w:r>
      <w:r w:rsidR="00D82198">
        <w:rPr>
          <w:rStyle w:val="Strong"/>
          <w:b w:val="0"/>
          <w:bCs w:val="0"/>
        </w:rPr>
        <w:t>and</w:t>
      </w:r>
      <w:r w:rsidRPr="002456E6">
        <w:rPr>
          <w:rStyle w:val="Strong"/>
          <w:b w:val="0"/>
          <w:bCs w:val="0"/>
        </w:rPr>
        <w:t xml:space="preserve"> Culasso, F. (2024).</w:t>
      </w:r>
      <w:r>
        <w:t xml:space="preserve"> ‘Stakeholder Engagement in Higher Education: State of the Art and Research Agenda’, </w:t>
      </w:r>
      <w:r>
        <w:rPr>
          <w:rStyle w:val="Emphasis"/>
        </w:rPr>
        <w:t>IEEE Transactions on Engineering Management</w:t>
      </w:r>
      <w:r>
        <w:t xml:space="preserve">, 71, pp. 13457–13468. </w:t>
      </w:r>
      <w:r w:rsidR="0028539F">
        <w:rPr>
          <w:noProof/>
        </w:rPr>
        <w:t>DOI</w:t>
      </w:r>
      <w:r>
        <w:rPr>
          <w:noProof/>
        </w:rPr>
        <w:t>:</w:t>
      </w:r>
      <w:r>
        <w:t xml:space="preserve"> </w:t>
      </w:r>
      <w:r w:rsidRPr="002456E6">
        <w:rPr>
          <w:rStyle w:val="Strong"/>
          <w:b w:val="0"/>
          <w:bCs w:val="0"/>
        </w:rPr>
        <w:t>10.1109/TEM.2022.3218286</w:t>
      </w:r>
      <w:r w:rsidRPr="002456E6">
        <w:rPr>
          <w:b/>
          <w:bCs/>
        </w:rPr>
        <w:t>.</w:t>
      </w:r>
    </w:p>
    <w:p w14:paraId="0413BA07" w14:textId="25D3EBC3" w:rsidR="002A75DB" w:rsidRDefault="002A75DB" w:rsidP="0001627B">
      <w:pPr>
        <w:pStyle w:val="Bibliography"/>
        <w:ind w:left="720" w:hanging="720"/>
        <w:jc w:val="both"/>
      </w:pPr>
      <w:r>
        <w:rPr>
          <w:noProof/>
        </w:rPr>
        <w:t>Dabis,</w:t>
      </w:r>
      <w:r w:rsidR="00655B21">
        <w:rPr>
          <w:noProof/>
        </w:rPr>
        <w:t xml:space="preserve"> A.,</w:t>
      </w:r>
      <w:r>
        <w:rPr>
          <w:noProof/>
        </w:rPr>
        <w:t xml:space="preserve"> </w:t>
      </w:r>
      <w:r w:rsidR="00D82198">
        <w:rPr>
          <w:noProof/>
        </w:rPr>
        <w:t>and</w:t>
      </w:r>
      <w:r>
        <w:rPr>
          <w:noProof/>
        </w:rPr>
        <w:t xml:space="preserve"> Csaki</w:t>
      </w:r>
      <w:r w:rsidR="00655B21">
        <w:rPr>
          <w:noProof/>
        </w:rPr>
        <w:t>, C.</w:t>
      </w:r>
      <w:r>
        <w:rPr>
          <w:noProof/>
        </w:rPr>
        <w:t xml:space="preserve"> (2024). AI and ethics: Investigating the first policy responses of higher education institutions to the challenge of generative AI. </w:t>
      </w:r>
      <w:r>
        <w:rPr>
          <w:i/>
          <w:iCs/>
          <w:noProof/>
        </w:rPr>
        <w:t>Humanities and Social Sciences Communications, 11</w:t>
      </w:r>
      <w:r>
        <w:rPr>
          <w:noProof/>
        </w:rPr>
        <w:t>(1006).</w:t>
      </w:r>
      <w:r w:rsidR="00655B21">
        <w:rPr>
          <w:noProof/>
        </w:rPr>
        <w:t xml:space="preserve"> </w:t>
      </w:r>
      <w:r w:rsidR="0028539F">
        <w:rPr>
          <w:noProof/>
        </w:rPr>
        <w:t>DOI</w:t>
      </w:r>
      <w:r w:rsidR="00AE5F2D">
        <w:t>: 10.1057/s41599-024-03526-z.</w:t>
      </w:r>
    </w:p>
    <w:p w14:paraId="5C75076B" w14:textId="306646C7" w:rsidR="00CB1A52" w:rsidRPr="00CB1A52" w:rsidRDefault="00A65B04" w:rsidP="008261A3">
      <w:pPr>
        <w:pStyle w:val="Bibliography"/>
        <w:ind w:left="720" w:hanging="720"/>
        <w:jc w:val="both"/>
      </w:pPr>
      <w:r w:rsidRPr="00A65B04">
        <w:rPr>
          <w:rStyle w:val="Strong"/>
          <w:b w:val="0"/>
          <w:bCs w:val="0"/>
        </w:rPr>
        <w:t>Danaher, J. (2022).</w:t>
      </w:r>
      <w:r>
        <w:t xml:space="preserve"> ‘Techno-optimism: an analysis, an evaluation and a modest defence’, </w:t>
      </w:r>
      <w:r>
        <w:rPr>
          <w:rStyle w:val="Emphasis"/>
        </w:rPr>
        <w:t xml:space="preserve">Philosophy </w:t>
      </w:r>
      <w:r w:rsidR="00D82198">
        <w:rPr>
          <w:rStyle w:val="Emphasis"/>
        </w:rPr>
        <w:t>and</w:t>
      </w:r>
      <w:r>
        <w:rPr>
          <w:rStyle w:val="Emphasis"/>
        </w:rPr>
        <w:t xml:space="preserve"> Technology</w:t>
      </w:r>
      <w:r>
        <w:t xml:space="preserve">, </w:t>
      </w:r>
      <w:r w:rsidRPr="00A65B04">
        <w:rPr>
          <w:rStyle w:val="Strong"/>
          <w:b w:val="0"/>
          <w:bCs w:val="0"/>
        </w:rPr>
        <w:t>35</w:t>
      </w:r>
      <w:r>
        <w:t xml:space="preserve">, 54. </w:t>
      </w:r>
      <w:r w:rsidR="0028539F">
        <w:rPr>
          <w:noProof/>
        </w:rPr>
        <w:t>DOI</w:t>
      </w:r>
      <w:r w:rsidR="00446F6E">
        <w:rPr>
          <w:noProof/>
        </w:rPr>
        <w:t>:</w:t>
      </w:r>
      <w:r w:rsidRPr="00A65B04">
        <w:rPr>
          <w:rStyle w:val="Strong"/>
          <w:b w:val="0"/>
          <w:bCs w:val="0"/>
        </w:rPr>
        <w:t xml:space="preserve"> 10.1007/s13347-022-00550-2.</w:t>
      </w:r>
    </w:p>
    <w:p w14:paraId="37DDCC8D" w14:textId="0AA54112" w:rsidR="00643C9E" w:rsidRDefault="00643C9E" w:rsidP="00643C9E">
      <w:pPr>
        <w:pStyle w:val="Bibliography"/>
        <w:ind w:left="720" w:hanging="720"/>
        <w:jc w:val="both"/>
        <w:rPr>
          <w:noProof/>
        </w:rPr>
      </w:pPr>
      <w:r>
        <w:rPr>
          <w:noProof/>
        </w:rPr>
        <w:t xml:space="preserve">David, </w:t>
      </w:r>
      <w:r>
        <w:t xml:space="preserve">P., Choung, H. </w:t>
      </w:r>
      <w:r w:rsidR="00D82198">
        <w:t>and</w:t>
      </w:r>
      <w:r>
        <w:t xml:space="preserve"> Seberger, J.</w:t>
      </w:r>
      <w:r>
        <w:rPr>
          <w:noProof/>
        </w:rPr>
        <w:t xml:space="preserve"> (2024). ‘Who is responsible? US public perceptions of AI governance through the lenses of trust and ethics’. </w:t>
      </w:r>
      <w:r>
        <w:rPr>
          <w:i/>
          <w:iCs/>
          <w:noProof/>
        </w:rPr>
        <w:t>Public Understanding of Science</w:t>
      </w:r>
      <w:r>
        <w:rPr>
          <w:noProof/>
        </w:rPr>
        <w:t xml:space="preserve">, 33(5). </w:t>
      </w:r>
      <w:r w:rsidR="0028539F">
        <w:rPr>
          <w:noProof/>
        </w:rPr>
        <w:t>DOI</w:t>
      </w:r>
      <w:r>
        <w:rPr>
          <w:noProof/>
        </w:rPr>
        <w:t>: 10.1177/09636625231224592.</w:t>
      </w:r>
    </w:p>
    <w:p w14:paraId="12FD1137" w14:textId="5AB5AD3A" w:rsidR="00F81A30" w:rsidRPr="00F81A30" w:rsidRDefault="00E3088D" w:rsidP="00FC15C7">
      <w:pPr>
        <w:pStyle w:val="Bibliography"/>
        <w:ind w:left="720" w:hanging="720"/>
        <w:jc w:val="both"/>
        <w:rPr>
          <w:noProof/>
        </w:rPr>
      </w:pPr>
      <w:r w:rsidRPr="00E3088D">
        <w:rPr>
          <w:rStyle w:val="Strong"/>
          <w:b w:val="0"/>
          <w:bCs w:val="0"/>
        </w:rPr>
        <w:t xml:space="preserve">Dawadi, S., Shrestha, S. </w:t>
      </w:r>
      <w:r w:rsidR="00D82198">
        <w:rPr>
          <w:rStyle w:val="Strong"/>
          <w:b w:val="0"/>
          <w:bCs w:val="0"/>
        </w:rPr>
        <w:t>and</w:t>
      </w:r>
      <w:r w:rsidRPr="00E3088D">
        <w:rPr>
          <w:rStyle w:val="Strong"/>
          <w:b w:val="0"/>
          <w:bCs w:val="0"/>
        </w:rPr>
        <w:t xml:space="preserve"> Giri, R.A. (2021).</w:t>
      </w:r>
      <w:r>
        <w:t xml:space="preserve"> ‘Mixed-methods research: A discussion on its types, challenges, and criticisms’, </w:t>
      </w:r>
      <w:r>
        <w:rPr>
          <w:rStyle w:val="Emphasis"/>
        </w:rPr>
        <w:t>Journal of Practical Studies in Education</w:t>
      </w:r>
      <w:r>
        <w:t xml:space="preserve">, 2(2), pp. 25–36. </w:t>
      </w:r>
      <w:r w:rsidR="0028539F">
        <w:rPr>
          <w:noProof/>
        </w:rPr>
        <w:t>DOI</w:t>
      </w:r>
      <w:r w:rsidR="00F261C5">
        <w:rPr>
          <w:noProof/>
        </w:rPr>
        <w:t xml:space="preserve">: </w:t>
      </w:r>
      <w:r w:rsidRPr="00E3088D">
        <w:rPr>
          <w:rStyle w:val="Strong"/>
          <w:b w:val="0"/>
          <w:bCs w:val="0"/>
        </w:rPr>
        <w:t>10.46809/</w:t>
      </w:r>
      <w:r w:rsidR="00F261C5" w:rsidRPr="00E3088D">
        <w:rPr>
          <w:rStyle w:val="Strong"/>
          <w:b w:val="0"/>
          <w:bCs w:val="0"/>
        </w:rPr>
        <w:t>jpse.v</w:t>
      </w:r>
      <w:r w:rsidRPr="00E3088D">
        <w:rPr>
          <w:rStyle w:val="Strong"/>
          <w:b w:val="0"/>
          <w:bCs w:val="0"/>
        </w:rPr>
        <w:t>2i2.20</w:t>
      </w:r>
      <w:r w:rsidRPr="00E3088D">
        <w:rPr>
          <w:b/>
          <w:bCs/>
        </w:rPr>
        <w:t>.</w:t>
      </w:r>
    </w:p>
    <w:p w14:paraId="5C2F40AE" w14:textId="24AAF8A2" w:rsidR="00AC67A0" w:rsidRDefault="00AC67A0" w:rsidP="00232947">
      <w:pPr>
        <w:pStyle w:val="Bibliography"/>
        <w:ind w:left="720" w:hanging="720"/>
        <w:jc w:val="both"/>
        <w:rPr>
          <w:noProof/>
        </w:rPr>
      </w:pPr>
      <w:r>
        <w:rPr>
          <w:noProof/>
        </w:rPr>
        <w:t xml:space="preserve">De </w:t>
      </w:r>
      <w:r>
        <w:t xml:space="preserve">Almeida, P. </w:t>
      </w:r>
      <w:r w:rsidR="00D82198">
        <w:t>and</w:t>
      </w:r>
      <w:r>
        <w:t xml:space="preserve"> dos Santos Junior, C.</w:t>
      </w:r>
      <w:r>
        <w:rPr>
          <w:noProof/>
        </w:rPr>
        <w:t xml:space="preserve"> (2025). ‘Artificial intelligence governance: Understanding how public organisations implement it’. </w:t>
      </w:r>
      <w:r>
        <w:rPr>
          <w:i/>
          <w:iCs/>
          <w:noProof/>
        </w:rPr>
        <w:t>Government Information Quarterly</w:t>
      </w:r>
      <w:r>
        <w:rPr>
          <w:noProof/>
        </w:rPr>
        <w:t xml:space="preserve">, 42(1), 102003. </w:t>
      </w:r>
      <w:r w:rsidR="0028539F">
        <w:rPr>
          <w:noProof/>
        </w:rPr>
        <w:t>DOI</w:t>
      </w:r>
      <w:r>
        <w:rPr>
          <w:noProof/>
        </w:rPr>
        <w:t>: 10.1016/j.giq.2024.102003.</w:t>
      </w:r>
    </w:p>
    <w:p w14:paraId="3C9EE48F" w14:textId="03C7665A" w:rsidR="00904812" w:rsidRPr="00904812" w:rsidRDefault="006B73E5" w:rsidP="008261A3">
      <w:pPr>
        <w:pStyle w:val="Bibliography"/>
        <w:ind w:left="720" w:hanging="720"/>
        <w:jc w:val="both"/>
        <w:rPr>
          <w:noProof/>
        </w:rPr>
      </w:pPr>
      <w:r w:rsidRPr="006B73E5">
        <w:rPr>
          <w:rStyle w:val="Strong"/>
          <w:b w:val="0"/>
          <w:bCs w:val="0"/>
        </w:rPr>
        <w:t xml:space="preserve">Deho, O.B., Zhan, C., Li, J., Liu, J., Liu, L. </w:t>
      </w:r>
      <w:r w:rsidR="00D82198">
        <w:rPr>
          <w:rStyle w:val="Strong"/>
          <w:b w:val="0"/>
          <w:bCs w:val="0"/>
        </w:rPr>
        <w:t>and</w:t>
      </w:r>
      <w:r w:rsidRPr="006B73E5">
        <w:rPr>
          <w:rStyle w:val="Strong"/>
          <w:b w:val="0"/>
          <w:bCs w:val="0"/>
        </w:rPr>
        <w:t xml:space="preserve"> Le, T.D. (2022)</w:t>
      </w:r>
      <w:r>
        <w:t xml:space="preserve">. ‘How do the existing fairness metrics and unfairness mitigation algorithms contribute to ethical learning analytics?’, </w:t>
      </w:r>
      <w:r>
        <w:rPr>
          <w:rStyle w:val="Emphasis"/>
        </w:rPr>
        <w:t>British Journal of Educational Technology</w:t>
      </w:r>
      <w:r>
        <w:t xml:space="preserve">, 53, pp. 822–843. </w:t>
      </w:r>
      <w:r w:rsidR="0028539F">
        <w:rPr>
          <w:noProof/>
        </w:rPr>
        <w:t>DOI</w:t>
      </w:r>
      <w:r w:rsidR="00711986">
        <w:rPr>
          <w:noProof/>
        </w:rPr>
        <w:t xml:space="preserve">: </w:t>
      </w:r>
      <w:r w:rsidRPr="006B73E5">
        <w:rPr>
          <w:rStyle w:val="Strong"/>
          <w:b w:val="0"/>
          <w:bCs w:val="0"/>
        </w:rPr>
        <w:t>10.1111/bjet.13217.</w:t>
      </w:r>
    </w:p>
    <w:p w14:paraId="66AC0C90" w14:textId="77777777" w:rsidR="00623B30" w:rsidRDefault="00623B30" w:rsidP="00623B30">
      <w:pPr>
        <w:pStyle w:val="Bibliography"/>
        <w:ind w:left="720" w:hanging="720"/>
        <w:jc w:val="both"/>
        <w:rPr>
          <w:noProof/>
        </w:rPr>
      </w:pPr>
      <w:r>
        <w:rPr>
          <w:noProof/>
        </w:rPr>
        <w:t xml:space="preserve">Department for Science, Innovation and Technology. (2024). </w:t>
      </w:r>
      <w:r>
        <w:rPr>
          <w:rStyle w:val="Emphasis"/>
        </w:rPr>
        <w:t>Implementing the UK’s AI regulatory principles: initial guidance for regulators</w:t>
      </w:r>
      <w:r>
        <w:t xml:space="preserve">. London: HM Government. Available at: </w:t>
      </w:r>
      <w:hyperlink r:id="rId11" w:tgtFrame="_blank" w:history="1">
        <w:r>
          <w:rPr>
            <w:rStyle w:val="Hyperlink"/>
          </w:rPr>
          <w:t>UK AI regulatory principles guidance</w:t>
        </w:r>
      </w:hyperlink>
      <w:r>
        <w:rPr>
          <w:noProof/>
        </w:rPr>
        <w:t xml:space="preserve"> (Accessed: 08 August 2026).</w:t>
      </w:r>
    </w:p>
    <w:p w14:paraId="0A893A66" w14:textId="124916C9" w:rsidR="00643C9E" w:rsidRPr="00643C9E" w:rsidRDefault="00623B30" w:rsidP="008261A3">
      <w:pPr>
        <w:pStyle w:val="Bibliography"/>
        <w:ind w:left="720" w:hanging="720"/>
        <w:jc w:val="both"/>
      </w:pPr>
      <w:r>
        <w:rPr>
          <w:noProof/>
        </w:rPr>
        <w:lastRenderedPageBreak/>
        <w:t xml:space="preserve">Department for Science, Innovation and Technology. (2025). </w:t>
      </w:r>
      <w:r>
        <w:rPr>
          <w:rStyle w:val="Emphasis"/>
        </w:rPr>
        <w:t>AI Opportunities Action Plan: Government Response</w:t>
      </w:r>
      <w:r>
        <w:t xml:space="preserve">. CP 1242. London: HM Government. Available at: </w:t>
      </w:r>
      <w:hyperlink r:id="rId12" w:tgtFrame="_blank" w:history="1">
        <w:r>
          <w:rPr>
            <w:rStyle w:val="Hyperlink"/>
          </w:rPr>
          <w:t>AI Opportunities Action Plan: Government Response</w:t>
        </w:r>
      </w:hyperlink>
      <w:r>
        <w:t xml:space="preserve"> (Accessed: 8 August 2026).</w:t>
      </w:r>
    </w:p>
    <w:p w14:paraId="7F9828AC" w14:textId="7A1152EF" w:rsidR="00180D63" w:rsidRDefault="004650CD" w:rsidP="00F47D60">
      <w:pPr>
        <w:pStyle w:val="Bibliography"/>
        <w:ind w:left="720" w:hanging="720"/>
        <w:jc w:val="both"/>
        <w:rPr>
          <w:noProof/>
        </w:rPr>
      </w:pPr>
      <w:r>
        <w:rPr>
          <w:noProof/>
        </w:rPr>
        <w:t xml:space="preserve">Department for Science, Innovation and Technology. (2026). </w:t>
      </w:r>
      <w:r>
        <w:rPr>
          <w:i/>
          <w:iCs/>
          <w:noProof/>
        </w:rPr>
        <w:t>A pro-innovation approach to AI regulation. CP 815. London: HM Government.</w:t>
      </w:r>
      <w:r>
        <w:rPr>
          <w:noProof/>
        </w:rPr>
        <w:t xml:space="preserve"> Available at: </w:t>
      </w:r>
      <w:hyperlink r:id="rId13" w:tgtFrame="_blank" w:history="1">
        <w:r>
          <w:rPr>
            <w:rStyle w:val="Hyperlink"/>
          </w:rPr>
          <w:t>UK Government AI regulation White Paper</w:t>
        </w:r>
      </w:hyperlink>
      <w:r>
        <w:rPr>
          <w:noProof/>
        </w:rPr>
        <w:t>. (Accessed: 08 August 2026).</w:t>
      </w:r>
    </w:p>
    <w:p w14:paraId="5187533F" w14:textId="1C1E6BFB" w:rsidR="00417113" w:rsidRPr="00417113" w:rsidRDefault="004E6870" w:rsidP="008261A3">
      <w:pPr>
        <w:pStyle w:val="Bibliography"/>
        <w:ind w:left="720" w:hanging="720"/>
        <w:jc w:val="both"/>
        <w:rPr>
          <w:noProof/>
        </w:rPr>
      </w:pPr>
      <w:r w:rsidRPr="004E6870">
        <w:rPr>
          <w:rStyle w:val="Strong"/>
          <w:b w:val="0"/>
          <w:bCs w:val="0"/>
        </w:rPr>
        <w:t xml:space="preserve">DiMaggio, P. </w:t>
      </w:r>
      <w:r w:rsidR="00D82198">
        <w:rPr>
          <w:rStyle w:val="Strong"/>
          <w:b w:val="0"/>
          <w:bCs w:val="0"/>
        </w:rPr>
        <w:t>and</w:t>
      </w:r>
      <w:r w:rsidRPr="004E6870">
        <w:rPr>
          <w:rStyle w:val="Strong"/>
          <w:b w:val="0"/>
          <w:bCs w:val="0"/>
        </w:rPr>
        <w:t xml:space="preserve"> Powell, W. (1983).</w:t>
      </w:r>
      <w:r>
        <w:t xml:space="preserve"> ‘The iron cage revisited: Institutional isomorphism and collective rationality in organisational fields’, </w:t>
      </w:r>
      <w:r>
        <w:rPr>
          <w:rStyle w:val="Emphasis"/>
        </w:rPr>
        <w:t>American Sociological Review</w:t>
      </w:r>
      <w:r>
        <w:t>, 48(2), pp. 147–160.</w:t>
      </w:r>
      <w:r w:rsidRPr="004E6870">
        <w:t xml:space="preserve"> </w:t>
      </w:r>
      <w:r w:rsidR="0028539F">
        <w:rPr>
          <w:noProof/>
        </w:rPr>
        <w:t>DOI</w:t>
      </w:r>
      <w:r w:rsidR="004E6289">
        <w:rPr>
          <w:noProof/>
        </w:rPr>
        <w:t>:</w:t>
      </w:r>
      <w:r w:rsidRPr="004E6870">
        <w:rPr>
          <w:rStyle w:val="Strong"/>
          <w:b w:val="0"/>
          <w:bCs w:val="0"/>
        </w:rPr>
        <w:t xml:space="preserve"> 10.2307/2095101.</w:t>
      </w:r>
    </w:p>
    <w:p w14:paraId="3B8D82AA" w14:textId="337D79EB" w:rsidR="000B696B" w:rsidRDefault="00DE2F56" w:rsidP="000B696B">
      <w:pPr>
        <w:pStyle w:val="Bibliography"/>
        <w:ind w:left="720" w:hanging="720"/>
        <w:jc w:val="both"/>
      </w:pPr>
      <w:r w:rsidRPr="00DE2F56">
        <w:rPr>
          <w:rStyle w:val="Strong"/>
          <w:b w:val="0"/>
          <w:bCs w:val="0"/>
        </w:rPr>
        <w:t>Drisko, J. (2025).</w:t>
      </w:r>
      <w:r>
        <w:t xml:space="preserve"> ‘Transferability and Generalisation in Qualitative Research’, </w:t>
      </w:r>
      <w:r>
        <w:rPr>
          <w:rStyle w:val="Emphasis"/>
        </w:rPr>
        <w:t>Research on Social Work Practice</w:t>
      </w:r>
      <w:r>
        <w:t xml:space="preserve">, </w:t>
      </w:r>
      <w:r w:rsidRPr="00DE2F56">
        <w:rPr>
          <w:rStyle w:val="Strong"/>
          <w:b w:val="0"/>
          <w:bCs w:val="0"/>
        </w:rPr>
        <w:t>35</w:t>
      </w:r>
      <w:r>
        <w:t xml:space="preserve">(1), pp. 102–110. </w:t>
      </w:r>
      <w:r w:rsidR="0028539F">
        <w:rPr>
          <w:noProof/>
        </w:rPr>
        <w:t>DOI</w:t>
      </w:r>
      <w:r>
        <w:rPr>
          <w:noProof/>
        </w:rPr>
        <w:t>:</w:t>
      </w:r>
      <w:r>
        <w:t xml:space="preserve"> </w:t>
      </w:r>
      <w:r w:rsidRPr="00DE2F56">
        <w:rPr>
          <w:rStyle w:val="Strong"/>
          <w:b w:val="0"/>
          <w:bCs w:val="0"/>
        </w:rPr>
        <w:t>10.1177/10497315241256560</w:t>
      </w:r>
      <w:r w:rsidRPr="00DE2F56">
        <w:rPr>
          <w:b/>
          <w:bCs/>
        </w:rPr>
        <w:t>.</w:t>
      </w:r>
    </w:p>
    <w:p w14:paraId="6214304A" w14:textId="5522360D" w:rsidR="000B696B" w:rsidRPr="000B696B" w:rsidRDefault="000A2468" w:rsidP="008261A3">
      <w:pPr>
        <w:pStyle w:val="Bibliography"/>
        <w:ind w:left="720" w:hanging="720"/>
        <w:jc w:val="both"/>
      </w:pPr>
      <w:r w:rsidRPr="000A2468">
        <w:rPr>
          <w:rStyle w:val="Strong"/>
          <w:b w:val="0"/>
          <w:bCs w:val="0"/>
        </w:rPr>
        <w:t xml:space="preserve">Edwards, P., O’Mahoney, J. </w:t>
      </w:r>
      <w:r w:rsidR="00D82198">
        <w:rPr>
          <w:rStyle w:val="Strong"/>
          <w:b w:val="0"/>
          <w:bCs w:val="0"/>
        </w:rPr>
        <w:t>and</w:t>
      </w:r>
      <w:r w:rsidRPr="000A2468">
        <w:rPr>
          <w:rStyle w:val="Strong"/>
          <w:b w:val="0"/>
          <w:bCs w:val="0"/>
        </w:rPr>
        <w:t xml:space="preserve"> Vincent, S.  (2014).</w:t>
      </w:r>
      <w:r>
        <w:t xml:space="preserve"> </w:t>
      </w:r>
      <w:r>
        <w:rPr>
          <w:rStyle w:val="Emphasis"/>
        </w:rPr>
        <w:t>Studying Organizations Using Critical Realism: A Practical Guide</w:t>
      </w:r>
      <w:r>
        <w:t>. Oxford: Oxford University Press.</w:t>
      </w:r>
      <w:r w:rsidR="0028539F">
        <w:rPr>
          <w:rStyle w:val="Strong"/>
          <w:b w:val="0"/>
          <w:bCs w:val="0"/>
        </w:rPr>
        <w:t>DOI</w:t>
      </w:r>
      <w:r w:rsidRPr="000A2468">
        <w:rPr>
          <w:rStyle w:val="Strong"/>
          <w:b w:val="0"/>
          <w:bCs w:val="0"/>
        </w:rPr>
        <w:t>: 10.1093/acprof:oso/9780199665525.001.0001</w:t>
      </w:r>
      <w:r w:rsidR="007D5A34">
        <w:rPr>
          <w:rStyle w:val="Strong"/>
          <w:b w:val="0"/>
          <w:bCs w:val="0"/>
        </w:rPr>
        <w:t>.</w:t>
      </w:r>
    </w:p>
    <w:p w14:paraId="62D85900" w14:textId="09C0973B" w:rsidR="0071715D" w:rsidRDefault="000714FC" w:rsidP="0071715D">
      <w:pPr>
        <w:pStyle w:val="Bibliography"/>
        <w:ind w:left="720" w:hanging="720"/>
        <w:jc w:val="both"/>
        <w:rPr>
          <w:rStyle w:val="Strong"/>
          <w:b w:val="0"/>
          <w:bCs w:val="0"/>
        </w:rPr>
      </w:pPr>
      <w:r w:rsidRPr="000714FC">
        <w:rPr>
          <w:rStyle w:val="Strong"/>
          <w:b w:val="0"/>
          <w:bCs w:val="0"/>
        </w:rPr>
        <w:t xml:space="preserve">Erdmann, A. </w:t>
      </w:r>
      <w:r w:rsidR="00D82198">
        <w:rPr>
          <w:rStyle w:val="Strong"/>
          <w:b w:val="0"/>
          <w:bCs w:val="0"/>
        </w:rPr>
        <w:t>and</w:t>
      </w:r>
      <w:r w:rsidRPr="000714FC">
        <w:rPr>
          <w:rStyle w:val="Strong"/>
          <w:b w:val="0"/>
          <w:bCs w:val="0"/>
        </w:rPr>
        <w:t xml:space="preserve"> Potthoff, S. (2023).</w:t>
      </w:r>
      <w:r>
        <w:t xml:space="preserve"> ‘Decision Criteria for the Ethically Reflected Choice of a Member Check Method in Qualitative Research: A Proposal for Discussion’, </w:t>
      </w:r>
      <w:r>
        <w:rPr>
          <w:rStyle w:val="Emphasis"/>
        </w:rPr>
        <w:t>International Journal of Qualitative Methods</w:t>
      </w:r>
      <w:r>
        <w:t xml:space="preserve">, 22. </w:t>
      </w:r>
      <w:r w:rsidR="0028539F">
        <w:rPr>
          <w:noProof/>
        </w:rPr>
        <w:t>DOI</w:t>
      </w:r>
      <w:r>
        <w:rPr>
          <w:noProof/>
        </w:rPr>
        <w:t>:</w:t>
      </w:r>
      <w:r>
        <w:t xml:space="preserve"> </w:t>
      </w:r>
      <w:r w:rsidRPr="000714FC">
        <w:rPr>
          <w:rStyle w:val="Strong"/>
          <w:b w:val="0"/>
          <w:bCs w:val="0"/>
        </w:rPr>
        <w:t>10.1177/16094069231177664</w:t>
      </w:r>
      <w:r w:rsidR="007D5A34">
        <w:rPr>
          <w:rStyle w:val="Strong"/>
          <w:b w:val="0"/>
          <w:bCs w:val="0"/>
        </w:rPr>
        <w:t>.</w:t>
      </w:r>
    </w:p>
    <w:p w14:paraId="12B56204" w14:textId="08EF5E25" w:rsidR="007D5A34" w:rsidRPr="007D5A34" w:rsidRDefault="00F01AD7" w:rsidP="008261A3">
      <w:pPr>
        <w:pStyle w:val="Bibliography"/>
        <w:ind w:left="720" w:hanging="720"/>
        <w:jc w:val="both"/>
      </w:pPr>
      <w:r w:rsidRPr="008C4893">
        <w:rPr>
          <w:rStyle w:val="Strong"/>
          <w:b w:val="0"/>
          <w:bCs w:val="0"/>
        </w:rPr>
        <w:t>European Parliament and Council of the European Union (2024) ‘Regulation (EU) 2024/1689 of the European Parliament and of the Council of 13 June 2024 laying down harmonised rules on artificial intelligence (Artificial Intelligence Act)’, Official Journal of the European Union, L 2024/1689, 12 July 2024.</w:t>
      </w:r>
      <w:hyperlink r:id="rId14" w:tgtFrame="_blank" w:history="1">
        <w:r w:rsidRPr="008C4893">
          <w:rPr>
            <w:rStyle w:val="Strong"/>
            <w:b w:val="0"/>
            <w:bCs w:val="0"/>
          </w:rPr>
          <w:t>Official EU AI Act information</w:t>
        </w:r>
      </w:hyperlink>
      <w:r w:rsidR="008C4893">
        <w:rPr>
          <w:rStyle w:val="Strong"/>
          <w:b w:val="0"/>
          <w:bCs w:val="0"/>
        </w:rPr>
        <w:t xml:space="preserve"> </w:t>
      </w:r>
      <w:r w:rsidR="008C4893" w:rsidRPr="003B6293">
        <w:t>(Accessed: 11 August 2026).</w:t>
      </w:r>
    </w:p>
    <w:p w14:paraId="519F95A9" w14:textId="2BAF6912" w:rsidR="00440D7B" w:rsidRDefault="002540BF" w:rsidP="00440D7B">
      <w:pPr>
        <w:pStyle w:val="Bibliography"/>
        <w:ind w:left="720" w:hanging="720"/>
        <w:jc w:val="both"/>
      </w:pPr>
      <w:r w:rsidRPr="002540BF">
        <w:rPr>
          <w:rStyle w:val="Strong"/>
          <w:b w:val="0"/>
          <w:bCs w:val="0"/>
        </w:rPr>
        <w:t>Feilzer, M. (2023).</w:t>
      </w:r>
      <w:r>
        <w:t xml:space="preserve"> ‘A Pragmatist Approach to Mixed Methods Research’, </w:t>
      </w:r>
      <w:r>
        <w:rPr>
          <w:rStyle w:val="Emphasis"/>
        </w:rPr>
        <w:t>Philosophical Foundations of Mixed Methods Research</w:t>
      </w:r>
      <w:r>
        <w:t xml:space="preserve">. London: Routledge. </w:t>
      </w:r>
      <w:r w:rsidR="0028539F">
        <w:rPr>
          <w:noProof/>
        </w:rPr>
        <w:t>DOI</w:t>
      </w:r>
      <w:r>
        <w:rPr>
          <w:noProof/>
        </w:rPr>
        <w:t>:</w:t>
      </w:r>
      <w:r>
        <w:t xml:space="preserve"> </w:t>
      </w:r>
      <w:r w:rsidRPr="002540BF">
        <w:rPr>
          <w:rStyle w:val="Strong"/>
          <w:b w:val="0"/>
          <w:bCs w:val="0"/>
        </w:rPr>
        <w:t>10.4324/9781003273288</w:t>
      </w:r>
      <w:r w:rsidRPr="002540BF">
        <w:rPr>
          <w:b/>
          <w:bCs/>
        </w:rPr>
        <w:t>.</w:t>
      </w:r>
    </w:p>
    <w:p w14:paraId="0B0A41B9" w14:textId="6265EC4E" w:rsidR="00440D7B" w:rsidRPr="00722E6C" w:rsidRDefault="00D871C7" w:rsidP="00722E6C">
      <w:pPr>
        <w:pStyle w:val="Bibliography"/>
        <w:ind w:left="720" w:hanging="720"/>
        <w:jc w:val="both"/>
        <w:rPr>
          <w:rStyle w:val="Strong"/>
        </w:rPr>
      </w:pPr>
      <w:r w:rsidRPr="00D871C7">
        <w:rPr>
          <w:rStyle w:val="Strong"/>
          <w:b w:val="0"/>
          <w:bCs w:val="0"/>
        </w:rPr>
        <w:t>Fleetwood, S. (2005).</w:t>
      </w:r>
      <w:r w:rsidRPr="00722E6C">
        <w:rPr>
          <w:rStyle w:val="Strong"/>
        </w:rPr>
        <w:t xml:space="preserve"> </w:t>
      </w:r>
      <w:r w:rsidRPr="00722E6C">
        <w:rPr>
          <w:rStyle w:val="Strong"/>
          <w:b w:val="0"/>
          <w:bCs w:val="0"/>
        </w:rPr>
        <w:t>‘Ontology in Organisation and Management Studies: A Critical Realist Perspective’, Organisation, 12(2), pp. 197–222.</w:t>
      </w:r>
      <w:r w:rsidR="007B1439">
        <w:rPr>
          <w:rStyle w:val="Strong"/>
          <w:b w:val="0"/>
          <w:bCs w:val="0"/>
        </w:rPr>
        <w:t xml:space="preserve"> </w:t>
      </w:r>
      <w:r w:rsidR="0028539F">
        <w:rPr>
          <w:noProof/>
        </w:rPr>
        <w:t>DOI</w:t>
      </w:r>
      <w:r w:rsidR="007B1439">
        <w:rPr>
          <w:noProof/>
        </w:rPr>
        <w:t>:</w:t>
      </w:r>
      <w:r w:rsidRPr="00D871C7">
        <w:rPr>
          <w:rStyle w:val="Strong"/>
          <w:b w:val="0"/>
          <w:bCs w:val="0"/>
        </w:rPr>
        <w:t xml:space="preserve"> 10.1177/1350508405051188</w:t>
      </w:r>
      <w:r w:rsidR="007D5A34">
        <w:rPr>
          <w:rStyle w:val="Strong"/>
          <w:b w:val="0"/>
          <w:bCs w:val="0"/>
        </w:rPr>
        <w:t>.</w:t>
      </w:r>
    </w:p>
    <w:p w14:paraId="7978E2DE" w14:textId="306AD39A" w:rsidR="00C7124A" w:rsidRPr="008261A3" w:rsidRDefault="00CA22EF" w:rsidP="008261A3">
      <w:pPr>
        <w:pStyle w:val="Bibliography"/>
        <w:ind w:left="720" w:hanging="720"/>
        <w:jc w:val="both"/>
        <w:rPr>
          <w:b/>
          <w:bCs/>
        </w:rPr>
      </w:pPr>
      <w:r w:rsidRPr="00CA22EF">
        <w:rPr>
          <w:rStyle w:val="Strong"/>
          <w:b w:val="0"/>
          <w:bCs w:val="0"/>
        </w:rPr>
        <w:t>Field, E., Kennedy, E. and Cristancho, S. (2024)</w:t>
      </w:r>
      <w:r>
        <w:t xml:space="preserve"> ‘How to locate yourself in the research process: The role of positionality’, </w:t>
      </w:r>
      <w:r>
        <w:rPr>
          <w:rStyle w:val="Emphasis"/>
        </w:rPr>
        <w:t>The Clinical Teacher</w:t>
      </w:r>
      <w:r>
        <w:t xml:space="preserve">, 21(6), e13819.  </w:t>
      </w:r>
      <w:r w:rsidR="0028539F">
        <w:rPr>
          <w:noProof/>
        </w:rPr>
        <w:t>DOI</w:t>
      </w:r>
      <w:r>
        <w:rPr>
          <w:noProof/>
        </w:rPr>
        <w:t>:</w:t>
      </w:r>
      <w:r w:rsidRPr="00CA22EF">
        <w:rPr>
          <w:b/>
          <w:bCs/>
        </w:rPr>
        <w:t xml:space="preserve"> </w:t>
      </w:r>
      <w:r w:rsidRPr="00CA22EF">
        <w:rPr>
          <w:rStyle w:val="Strong"/>
          <w:b w:val="0"/>
          <w:bCs w:val="0"/>
        </w:rPr>
        <w:t>10.1111/tct.13819</w:t>
      </w:r>
      <w:r w:rsidRPr="00CA22EF">
        <w:rPr>
          <w:b/>
          <w:bCs/>
        </w:rPr>
        <w:t>.</w:t>
      </w:r>
    </w:p>
    <w:p w14:paraId="647EAB5B" w14:textId="03F3EAEF" w:rsidR="0071715D" w:rsidRPr="0071715D" w:rsidRDefault="00082FA6" w:rsidP="00FC15C7">
      <w:pPr>
        <w:pStyle w:val="Bibliography"/>
        <w:ind w:left="720" w:hanging="720"/>
        <w:jc w:val="both"/>
      </w:pPr>
      <w:r w:rsidRPr="00082FA6">
        <w:rPr>
          <w:rStyle w:val="Strong"/>
          <w:b w:val="0"/>
          <w:bCs w:val="0"/>
        </w:rPr>
        <w:t xml:space="preserve">Fuchs, O. </w:t>
      </w:r>
      <w:r w:rsidR="00D82198">
        <w:rPr>
          <w:rStyle w:val="Strong"/>
          <w:b w:val="0"/>
          <w:bCs w:val="0"/>
        </w:rPr>
        <w:t>and</w:t>
      </w:r>
      <w:r w:rsidRPr="00082FA6">
        <w:rPr>
          <w:rStyle w:val="Strong"/>
          <w:b w:val="0"/>
          <w:bCs w:val="0"/>
        </w:rPr>
        <w:t xml:space="preserve"> Robinson, C. (2024).</w:t>
      </w:r>
      <w:r>
        <w:t xml:space="preserve"> ‘Operationalising critical realism for case study research’, </w:t>
      </w:r>
      <w:r>
        <w:rPr>
          <w:rStyle w:val="Emphasis"/>
        </w:rPr>
        <w:t>Qualitative Research Journal</w:t>
      </w:r>
      <w:r>
        <w:t xml:space="preserve">, 24(3), pp. 245–266. </w:t>
      </w:r>
      <w:r w:rsidR="0028539F">
        <w:rPr>
          <w:noProof/>
        </w:rPr>
        <w:t>DOI</w:t>
      </w:r>
      <w:r>
        <w:rPr>
          <w:noProof/>
        </w:rPr>
        <w:t>:</w:t>
      </w:r>
      <w:r>
        <w:t xml:space="preserve"> </w:t>
      </w:r>
      <w:r w:rsidRPr="00082FA6">
        <w:rPr>
          <w:rStyle w:val="Strong"/>
          <w:b w:val="0"/>
          <w:bCs w:val="0"/>
        </w:rPr>
        <w:t>10.1108/QRJ-07-2023-0118</w:t>
      </w:r>
      <w:r w:rsidRPr="00082FA6">
        <w:rPr>
          <w:b/>
          <w:bCs/>
        </w:rPr>
        <w:t>.</w:t>
      </w:r>
    </w:p>
    <w:p w14:paraId="2854CEE3" w14:textId="2AF8E40C" w:rsidR="00643C9E" w:rsidRDefault="00643C9E" w:rsidP="00643C9E">
      <w:pPr>
        <w:pStyle w:val="Bibliography"/>
        <w:ind w:left="720" w:hanging="720"/>
        <w:jc w:val="both"/>
        <w:rPr>
          <w:noProof/>
        </w:rPr>
      </w:pPr>
      <w:r>
        <w:rPr>
          <w:noProof/>
        </w:rPr>
        <w:t xml:space="preserve">Gagua, </w:t>
      </w:r>
      <w:r>
        <w:t xml:space="preserve">A., van der Voort, H., Goyal, N. </w:t>
      </w:r>
      <w:r w:rsidR="00D82198">
        <w:t>and</w:t>
      </w:r>
      <w:r>
        <w:t xml:space="preserve"> Verbraeck, A.</w:t>
      </w:r>
      <w:r>
        <w:rPr>
          <w:noProof/>
        </w:rPr>
        <w:t xml:space="preserve"> (2025). ‘Responsible AI Governance in the Public Sector: Explaining Contextual Dynamics Through a Realist Synthesis Review’. </w:t>
      </w:r>
      <w:r>
        <w:rPr>
          <w:i/>
          <w:iCs/>
          <w:noProof/>
        </w:rPr>
        <w:t>Ethics and Society</w:t>
      </w:r>
      <w:r>
        <w:rPr>
          <w:noProof/>
        </w:rPr>
        <w:t xml:space="preserve">, 8(1), pp. 990–1002. </w:t>
      </w:r>
      <w:r w:rsidR="0028539F">
        <w:rPr>
          <w:noProof/>
        </w:rPr>
        <w:t>DOI</w:t>
      </w:r>
      <w:r>
        <w:rPr>
          <w:noProof/>
        </w:rPr>
        <w:t>: 10.1609/aies.v8i1.36606.</w:t>
      </w:r>
    </w:p>
    <w:p w14:paraId="7CEE11E3" w14:textId="1B32E6B1" w:rsidR="006F3826" w:rsidRDefault="00B105A0" w:rsidP="006F3826">
      <w:pPr>
        <w:pStyle w:val="Bibliography"/>
        <w:ind w:left="720" w:hanging="720"/>
        <w:jc w:val="both"/>
        <w:rPr>
          <w:noProof/>
        </w:rPr>
      </w:pPr>
      <w:r>
        <w:t>Gel</w:t>
      </w:r>
      <w:r w:rsidR="00024E38">
        <w:t>lai,</w:t>
      </w:r>
      <w:r>
        <w:t xml:space="preserve"> D. (2023). ‘Enterprising academics: Heterarchical policy networks for artificial intelligence in British higher education’, </w:t>
      </w:r>
      <w:r>
        <w:rPr>
          <w:rStyle w:val="Emphasis"/>
        </w:rPr>
        <w:t>ECNU Review of Education</w:t>
      </w:r>
      <w:r>
        <w:t>, 6(4).</w:t>
      </w:r>
      <w:r w:rsidR="00024E38">
        <w:t xml:space="preserve"> </w:t>
      </w:r>
      <w:r w:rsidR="0028539F">
        <w:rPr>
          <w:noProof/>
        </w:rPr>
        <w:t>DOI</w:t>
      </w:r>
      <w:r w:rsidR="00024E38">
        <w:rPr>
          <w:noProof/>
        </w:rPr>
        <w:t xml:space="preserve">: </w:t>
      </w:r>
      <w:r w:rsidRPr="00B105A0">
        <w:rPr>
          <w:rStyle w:val="Strong"/>
          <w:b w:val="0"/>
          <w:bCs w:val="0"/>
        </w:rPr>
        <w:t xml:space="preserve"> 10.1177/20965311221143798.</w:t>
      </w:r>
    </w:p>
    <w:p w14:paraId="093371B9" w14:textId="3373E31A" w:rsidR="006F3826" w:rsidRPr="006F3826" w:rsidRDefault="002775FD" w:rsidP="008261A3">
      <w:pPr>
        <w:pStyle w:val="Bibliography"/>
        <w:ind w:left="720" w:hanging="720"/>
        <w:jc w:val="both"/>
        <w:rPr>
          <w:noProof/>
        </w:rPr>
      </w:pPr>
      <w:r w:rsidRPr="002775FD">
        <w:rPr>
          <w:rStyle w:val="Strong"/>
          <w:b w:val="0"/>
          <w:bCs w:val="0"/>
        </w:rPr>
        <w:t xml:space="preserve">George, B. </w:t>
      </w:r>
      <w:r w:rsidR="00D82198">
        <w:rPr>
          <w:rStyle w:val="Strong"/>
          <w:b w:val="0"/>
          <w:bCs w:val="0"/>
        </w:rPr>
        <w:t>and</w:t>
      </w:r>
      <w:r w:rsidRPr="002775FD">
        <w:rPr>
          <w:rStyle w:val="Strong"/>
          <w:b w:val="0"/>
          <w:bCs w:val="0"/>
        </w:rPr>
        <w:t xml:space="preserve"> Sevak, K. (2026)</w:t>
      </w:r>
      <w:r w:rsidRPr="002775FD">
        <w:rPr>
          <w:b/>
          <w:bCs/>
        </w:rPr>
        <w:t>.</w:t>
      </w:r>
      <w:r>
        <w:t xml:space="preserve"> ‘Artificial intelligence in higher education: Opportunities and concerns’, </w:t>
      </w:r>
      <w:r>
        <w:rPr>
          <w:rStyle w:val="Emphasis"/>
        </w:rPr>
        <w:t>Research and Practice in Technology Enhanced Learning</w:t>
      </w:r>
      <w:r>
        <w:t xml:space="preserve">, 21, 019. </w:t>
      </w:r>
      <w:r w:rsidR="0028539F">
        <w:rPr>
          <w:noProof/>
        </w:rPr>
        <w:t>DOI</w:t>
      </w:r>
      <w:r w:rsidR="00711986">
        <w:rPr>
          <w:noProof/>
        </w:rPr>
        <w:t xml:space="preserve">: </w:t>
      </w:r>
      <w:r w:rsidRPr="002775FD">
        <w:rPr>
          <w:rStyle w:val="Strong"/>
          <w:b w:val="0"/>
          <w:bCs w:val="0"/>
        </w:rPr>
        <w:t xml:space="preserve"> 10.58459/rptel.2026.21019.</w:t>
      </w:r>
    </w:p>
    <w:p w14:paraId="21E6A501" w14:textId="3A444C6C" w:rsidR="00643C9E" w:rsidRPr="00643C9E" w:rsidRDefault="00F312CE" w:rsidP="008261A3">
      <w:pPr>
        <w:pStyle w:val="Bibliography"/>
        <w:ind w:left="720" w:hanging="720"/>
        <w:jc w:val="both"/>
        <w:rPr>
          <w:noProof/>
        </w:rPr>
      </w:pPr>
      <w:r>
        <w:lastRenderedPageBreak/>
        <w:t xml:space="preserve">Gianni, R., Lehtinen, S. </w:t>
      </w:r>
      <w:r w:rsidR="00D82198">
        <w:t>and</w:t>
      </w:r>
      <w:r>
        <w:t xml:space="preserve"> Nieminen, M. (2022). ‘Governance of Responsible AI: From Ethical Guidelines to Cooperative Policies’, </w:t>
      </w:r>
      <w:r>
        <w:rPr>
          <w:rStyle w:val="Emphasis"/>
        </w:rPr>
        <w:t>Frontiers in Computer Science</w:t>
      </w:r>
      <w:r>
        <w:t xml:space="preserve">, 4, 873437. </w:t>
      </w:r>
      <w:r w:rsidR="0028539F">
        <w:rPr>
          <w:noProof/>
        </w:rPr>
        <w:t>DOI</w:t>
      </w:r>
      <w:r>
        <w:t xml:space="preserve">: </w:t>
      </w:r>
      <w:r w:rsidRPr="00F312CE">
        <w:rPr>
          <w:rStyle w:val="Strong"/>
          <w:b w:val="0"/>
          <w:bCs w:val="0"/>
        </w:rPr>
        <w:t>10.3389/fcomp.2022.873437</w:t>
      </w:r>
      <w:r w:rsidRPr="00F312CE">
        <w:rPr>
          <w:b/>
          <w:bCs/>
        </w:rPr>
        <w:t>.</w:t>
      </w:r>
    </w:p>
    <w:p w14:paraId="0C290112" w14:textId="221B2DAF" w:rsidR="00135A96" w:rsidRDefault="00135A96" w:rsidP="00135A96">
      <w:pPr>
        <w:pStyle w:val="Bibliography"/>
        <w:ind w:left="720" w:hanging="720"/>
        <w:jc w:val="both"/>
        <w:rPr>
          <w:noProof/>
        </w:rPr>
      </w:pPr>
      <w:r>
        <w:rPr>
          <w:noProof/>
        </w:rPr>
        <w:t xml:space="preserve">Gomes, M., Ramos, A., </w:t>
      </w:r>
      <w:r w:rsidR="00D82198">
        <w:rPr>
          <w:noProof/>
        </w:rPr>
        <w:t>and</w:t>
      </w:r>
      <w:r>
        <w:rPr>
          <w:noProof/>
        </w:rPr>
        <w:t xml:space="preserve"> de Oliveira, K. (2025). ‘Guidelines and frameworks of governance for the adoption of generative artificial intelligence in higher education institutions: a scoping review’. </w:t>
      </w:r>
      <w:r>
        <w:rPr>
          <w:i/>
          <w:iCs/>
          <w:noProof/>
        </w:rPr>
        <w:t>Revista de Administração da UFSM</w:t>
      </w:r>
      <w:r>
        <w:rPr>
          <w:noProof/>
        </w:rPr>
        <w:t xml:space="preserve">, </w:t>
      </w:r>
      <w:r w:rsidR="0028539F">
        <w:rPr>
          <w:noProof/>
        </w:rPr>
        <w:t>DOI</w:t>
      </w:r>
      <w:r>
        <w:rPr>
          <w:noProof/>
        </w:rPr>
        <w:t>: 10.5902/1983465990871.</w:t>
      </w:r>
    </w:p>
    <w:p w14:paraId="4F428F5A" w14:textId="4E998EA8" w:rsidR="001E67FF" w:rsidRPr="001E67FF" w:rsidRDefault="00BD0BC8" w:rsidP="008261A3">
      <w:pPr>
        <w:pStyle w:val="Bibliography"/>
        <w:ind w:left="720" w:hanging="720"/>
        <w:jc w:val="both"/>
        <w:rPr>
          <w:noProof/>
        </w:rPr>
      </w:pPr>
      <w:r w:rsidRPr="00BD0BC8">
        <w:rPr>
          <w:rStyle w:val="Strong"/>
          <w:b w:val="0"/>
          <w:bCs w:val="0"/>
        </w:rPr>
        <w:t>Goundar, P. (2025).</w:t>
      </w:r>
      <w:r>
        <w:t xml:space="preserve"> ‘Researcher Positionality: Ways to Include it in a Qualitative Research Design’, </w:t>
      </w:r>
      <w:r>
        <w:rPr>
          <w:rStyle w:val="Emphasis"/>
        </w:rPr>
        <w:t>International Journal of Qualitative Methods</w:t>
      </w:r>
      <w:r>
        <w:t xml:space="preserve">, 24. </w:t>
      </w:r>
      <w:r w:rsidR="0028539F">
        <w:rPr>
          <w:noProof/>
        </w:rPr>
        <w:t>DOI</w:t>
      </w:r>
      <w:r>
        <w:rPr>
          <w:noProof/>
        </w:rPr>
        <w:t>:</w:t>
      </w:r>
      <w:r>
        <w:t xml:space="preserve"> </w:t>
      </w:r>
      <w:r w:rsidRPr="00BD0BC8">
        <w:rPr>
          <w:rStyle w:val="Strong"/>
          <w:b w:val="0"/>
          <w:bCs w:val="0"/>
        </w:rPr>
        <w:t>10.1177/16094069251321251</w:t>
      </w:r>
      <w:r w:rsidRPr="00BD0BC8">
        <w:rPr>
          <w:b/>
          <w:bCs/>
        </w:rPr>
        <w:t>.</w:t>
      </w:r>
    </w:p>
    <w:p w14:paraId="536277FD" w14:textId="2A187096" w:rsidR="00F54039" w:rsidRDefault="00F54039" w:rsidP="00F54039">
      <w:pPr>
        <w:pStyle w:val="Bibliography"/>
        <w:ind w:left="720" w:hanging="720"/>
        <w:jc w:val="both"/>
        <w:rPr>
          <w:noProof/>
        </w:rPr>
      </w:pPr>
      <w:r>
        <w:rPr>
          <w:noProof/>
        </w:rPr>
        <w:t xml:space="preserve">Hadley, E., Blatecky, A., </w:t>
      </w:r>
      <w:r w:rsidR="00D82198">
        <w:rPr>
          <w:noProof/>
        </w:rPr>
        <w:t>and</w:t>
      </w:r>
      <w:r>
        <w:rPr>
          <w:noProof/>
        </w:rPr>
        <w:t xml:space="preserve"> Comfort, M. (2025). ‘Investigating algorithm review boards for organisational responsible artificial intelligence governance’. </w:t>
      </w:r>
      <w:r>
        <w:rPr>
          <w:i/>
          <w:iCs/>
          <w:noProof/>
        </w:rPr>
        <w:t>AI and Ethics</w:t>
      </w:r>
      <w:r>
        <w:rPr>
          <w:noProof/>
        </w:rPr>
        <w:t xml:space="preserve">, 5, pp. 2485–2495. </w:t>
      </w:r>
      <w:r w:rsidR="0028539F">
        <w:rPr>
          <w:noProof/>
        </w:rPr>
        <w:t>DOI</w:t>
      </w:r>
      <w:r>
        <w:rPr>
          <w:noProof/>
        </w:rPr>
        <w:t>: 10.1007/s43681-024-00574-8.</w:t>
      </w:r>
    </w:p>
    <w:p w14:paraId="5958A0A8" w14:textId="5A5024B1" w:rsidR="00985342" w:rsidRDefault="00985342" w:rsidP="00985342">
      <w:pPr>
        <w:pStyle w:val="Bibliography"/>
        <w:ind w:left="720" w:hanging="720"/>
        <w:jc w:val="both"/>
        <w:rPr>
          <w:noProof/>
        </w:rPr>
      </w:pPr>
      <w:r w:rsidRPr="00286101">
        <w:rPr>
          <w:rStyle w:val="Strong"/>
          <w:b w:val="0"/>
          <w:bCs w:val="0"/>
        </w:rPr>
        <w:t xml:space="preserve">Haigh, F., Kemp, L., Bazeley, P. </w:t>
      </w:r>
      <w:r w:rsidR="00D82198">
        <w:rPr>
          <w:rStyle w:val="Strong"/>
          <w:b w:val="0"/>
          <w:bCs w:val="0"/>
        </w:rPr>
        <w:t>and</w:t>
      </w:r>
      <w:r w:rsidRPr="00286101">
        <w:rPr>
          <w:rStyle w:val="Strong"/>
          <w:b w:val="0"/>
          <w:bCs w:val="0"/>
        </w:rPr>
        <w:t xml:space="preserve"> Haigh, N. (2019).</w:t>
      </w:r>
      <w:r>
        <w:t xml:space="preserve"> ‘Developing a critical realist informed framework to explain how the human rights and social determinants of health relationship works’, </w:t>
      </w:r>
      <w:r>
        <w:rPr>
          <w:rStyle w:val="Emphasis"/>
        </w:rPr>
        <w:t>BMC Public Health</w:t>
      </w:r>
      <w:r>
        <w:t xml:space="preserve">, 19, 1571. </w:t>
      </w:r>
      <w:r w:rsidR="0028539F">
        <w:rPr>
          <w:noProof/>
        </w:rPr>
        <w:t>DOI</w:t>
      </w:r>
      <w:r>
        <w:rPr>
          <w:noProof/>
        </w:rPr>
        <w:t>:</w:t>
      </w:r>
      <w:r w:rsidRPr="00286101">
        <w:rPr>
          <w:b/>
          <w:bCs/>
        </w:rPr>
        <w:t xml:space="preserve"> </w:t>
      </w:r>
      <w:r w:rsidRPr="00286101">
        <w:rPr>
          <w:rStyle w:val="Strong"/>
          <w:b w:val="0"/>
          <w:bCs w:val="0"/>
        </w:rPr>
        <w:t>10.1186/s12889-019-7760-7</w:t>
      </w:r>
      <w:r w:rsidRPr="00286101">
        <w:rPr>
          <w:b/>
          <w:bCs/>
        </w:rPr>
        <w:t>.</w:t>
      </w:r>
    </w:p>
    <w:p w14:paraId="55E15692" w14:textId="422003BB" w:rsidR="00985342" w:rsidRDefault="00985342" w:rsidP="00985342">
      <w:pPr>
        <w:pStyle w:val="Bibliography"/>
        <w:ind w:left="720" w:hanging="720"/>
        <w:jc w:val="both"/>
        <w:rPr>
          <w:b/>
          <w:bCs/>
        </w:rPr>
      </w:pPr>
      <w:r w:rsidRPr="00A25B3C">
        <w:rPr>
          <w:rStyle w:val="Strong"/>
          <w:b w:val="0"/>
          <w:bCs w:val="0"/>
        </w:rPr>
        <w:t xml:space="preserve">Hampson, T. </w:t>
      </w:r>
      <w:r w:rsidR="00D82198">
        <w:rPr>
          <w:rStyle w:val="Strong"/>
          <w:b w:val="0"/>
          <w:bCs w:val="0"/>
        </w:rPr>
        <w:t>and</w:t>
      </w:r>
      <w:r w:rsidRPr="00A25B3C">
        <w:rPr>
          <w:rStyle w:val="Strong"/>
          <w:b w:val="0"/>
          <w:bCs w:val="0"/>
        </w:rPr>
        <w:t xml:space="preserve"> McKinley, J. (2023).</w:t>
      </w:r>
      <w:r w:rsidRPr="00A25B3C">
        <w:rPr>
          <w:b/>
          <w:bCs/>
        </w:rPr>
        <w:t xml:space="preserve"> </w:t>
      </w:r>
      <w:r>
        <w:t xml:space="preserve">‘Problems posing as solutions: Criticising pragmatism as a paradigm for mixed research’, </w:t>
      </w:r>
      <w:r>
        <w:rPr>
          <w:rStyle w:val="Emphasis"/>
        </w:rPr>
        <w:t>Research in Education</w:t>
      </w:r>
      <w:r>
        <w:t xml:space="preserve">, 116(1), pp. 124–138. </w:t>
      </w:r>
      <w:r w:rsidR="0028539F">
        <w:rPr>
          <w:noProof/>
        </w:rPr>
        <w:t>DOI</w:t>
      </w:r>
      <w:r>
        <w:rPr>
          <w:noProof/>
        </w:rPr>
        <w:t>:</w:t>
      </w:r>
      <w:r>
        <w:t xml:space="preserve"> </w:t>
      </w:r>
      <w:r w:rsidRPr="00D831F3">
        <w:rPr>
          <w:rStyle w:val="Strong"/>
          <w:b w:val="0"/>
          <w:bCs w:val="0"/>
        </w:rPr>
        <w:t>10.1177/00345237231160085</w:t>
      </w:r>
      <w:r w:rsidRPr="00D831F3">
        <w:rPr>
          <w:b/>
          <w:bCs/>
        </w:rPr>
        <w:t>.</w:t>
      </w:r>
    </w:p>
    <w:p w14:paraId="5923BBCA" w14:textId="53B36465" w:rsidR="00090E9B" w:rsidRDefault="00D14CF7" w:rsidP="00090E9B">
      <w:pPr>
        <w:pStyle w:val="Bibliography"/>
        <w:ind w:left="720" w:hanging="720"/>
        <w:jc w:val="both"/>
        <w:rPr>
          <w:rStyle w:val="Strong"/>
          <w:b w:val="0"/>
          <w:bCs w:val="0"/>
        </w:rPr>
      </w:pPr>
      <w:r w:rsidRPr="00D14CF7">
        <w:rPr>
          <w:rStyle w:val="Strong"/>
          <w:b w:val="0"/>
          <w:bCs w:val="0"/>
        </w:rPr>
        <w:t xml:space="preserve">Harita, U., Ganesan, A., Krishnakumari, S. </w:t>
      </w:r>
      <w:r w:rsidR="00D82198">
        <w:rPr>
          <w:rStyle w:val="Strong"/>
          <w:b w:val="0"/>
          <w:bCs w:val="0"/>
        </w:rPr>
        <w:t>and</w:t>
      </w:r>
      <w:r w:rsidRPr="00D14CF7">
        <w:rPr>
          <w:rStyle w:val="Strong"/>
          <w:b w:val="0"/>
          <w:bCs w:val="0"/>
        </w:rPr>
        <w:t xml:space="preserve"> Hemasundari, M. (2026)</w:t>
      </w:r>
      <w:r w:rsidRPr="00D14CF7">
        <w:rPr>
          <w:b/>
          <w:bCs/>
        </w:rPr>
        <w:t>.</w:t>
      </w:r>
      <w:r>
        <w:t xml:space="preserve"> ‘Dynamic capabilities and ethical stewardship in the age of autonomous organisational decision making’, </w:t>
      </w:r>
      <w:r>
        <w:rPr>
          <w:rStyle w:val="Emphasis"/>
        </w:rPr>
        <w:t>Acta Innovations</w:t>
      </w:r>
      <w:r>
        <w:t>, 59, pp. 301–307.</w:t>
      </w:r>
      <w:r w:rsidRPr="00D14CF7">
        <w:t xml:space="preserve"> </w:t>
      </w:r>
      <w:r w:rsidR="0028539F">
        <w:rPr>
          <w:noProof/>
        </w:rPr>
        <w:t>DOI</w:t>
      </w:r>
      <w:r w:rsidRPr="00D14CF7">
        <w:rPr>
          <w:rStyle w:val="Strong"/>
          <w:b w:val="0"/>
          <w:bCs w:val="0"/>
        </w:rPr>
        <w:t>: 10.62441/actainnovations.v59i.708.</w:t>
      </w:r>
    </w:p>
    <w:p w14:paraId="1634ADCF" w14:textId="4BF1E9D6" w:rsidR="005220CA" w:rsidRPr="005220CA" w:rsidRDefault="008B7A13" w:rsidP="008261A3">
      <w:pPr>
        <w:pStyle w:val="Bibliography"/>
        <w:ind w:left="720" w:hanging="720"/>
        <w:jc w:val="both"/>
      </w:pPr>
      <w:r w:rsidRPr="008B7A13">
        <w:rPr>
          <w:rStyle w:val="Strong"/>
          <w:b w:val="0"/>
          <w:bCs w:val="0"/>
        </w:rPr>
        <w:t>Hay, C. (2011).</w:t>
      </w:r>
      <w:r>
        <w:t xml:space="preserve"> ‘Interpreting Interpretivism Interpreting Interpretations: The New Hermeneutics of Public Administration’, </w:t>
      </w:r>
      <w:r>
        <w:rPr>
          <w:rStyle w:val="Emphasis"/>
        </w:rPr>
        <w:t>Public Administration</w:t>
      </w:r>
      <w:r>
        <w:t>, 89(1), pp. 167–182.</w:t>
      </w:r>
      <w:r w:rsidR="00354A0C">
        <w:t xml:space="preserve"> </w:t>
      </w:r>
      <w:r w:rsidR="0028539F">
        <w:rPr>
          <w:noProof/>
        </w:rPr>
        <w:t>DOI</w:t>
      </w:r>
      <w:r>
        <w:rPr>
          <w:noProof/>
        </w:rPr>
        <w:t>:</w:t>
      </w:r>
      <w:r w:rsidRPr="008B7A13">
        <w:rPr>
          <w:rStyle w:val="Strong"/>
          <w:b w:val="0"/>
          <w:bCs w:val="0"/>
        </w:rPr>
        <w:t xml:space="preserve"> 10.1111/j.1467-9299.2011.01907.x</w:t>
      </w:r>
    </w:p>
    <w:p w14:paraId="55D30BB6" w14:textId="6611A736" w:rsidR="00F54039" w:rsidRPr="00F54039" w:rsidRDefault="00CC3432" w:rsidP="00FC15C7">
      <w:pPr>
        <w:pStyle w:val="Bibliography"/>
        <w:ind w:left="720" w:hanging="720"/>
        <w:jc w:val="both"/>
        <w:rPr>
          <w:noProof/>
        </w:rPr>
      </w:pPr>
      <w:r w:rsidRPr="00CC3432">
        <w:rPr>
          <w:rStyle w:val="Strong"/>
          <w:b w:val="0"/>
          <w:bCs w:val="0"/>
        </w:rPr>
        <w:t xml:space="preserve">Herzog, C. </w:t>
      </w:r>
      <w:r w:rsidR="00D82198">
        <w:rPr>
          <w:rStyle w:val="Strong"/>
          <w:b w:val="0"/>
          <w:bCs w:val="0"/>
        </w:rPr>
        <w:t>and</w:t>
      </w:r>
      <w:r w:rsidRPr="00CC3432">
        <w:rPr>
          <w:rStyle w:val="Strong"/>
          <w:b w:val="0"/>
          <w:bCs w:val="0"/>
        </w:rPr>
        <w:t xml:space="preserve"> Blank, S. (2024)</w:t>
      </w:r>
      <w:r w:rsidRPr="00CC3432">
        <w:rPr>
          <w:b/>
          <w:bCs/>
        </w:rPr>
        <w:t>.</w:t>
      </w:r>
      <w:r>
        <w:t xml:space="preserve"> ‘A systemic perspective on bridging the principles-to-practice gap in creating ethical artificial intelligence solutions – a critique of dominant narratives and proposal for a collaborative way forward’, </w:t>
      </w:r>
      <w:r>
        <w:rPr>
          <w:rStyle w:val="Emphasis"/>
        </w:rPr>
        <w:t>Journal of Responsible Innovation</w:t>
      </w:r>
      <w:r>
        <w:t xml:space="preserve">, 11(1), 2431350. </w:t>
      </w:r>
      <w:r w:rsidR="0028539F">
        <w:rPr>
          <w:noProof/>
        </w:rPr>
        <w:t>DOI</w:t>
      </w:r>
      <w:r w:rsidR="00711986">
        <w:rPr>
          <w:noProof/>
        </w:rPr>
        <w:t xml:space="preserve">: </w:t>
      </w:r>
      <w:r w:rsidRPr="00CC3432">
        <w:rPr>
          <w:rStyle w:val="Strong"/>
          <w:b w:val="0"/>
          <w:bCs w:val="0"/>
        </w:rPr>
        <w:t xml:space="preserve"> 10.1080/23299460.2024.2431350</w:t>
      </w:r>
      <w:r>
        <w:rPr>
          <w:rStyle w:val="Strong"/>
          <w:b w:val="0"/>
          <w:bCs w:val="0"/>
        </w:rPr>
        <w:t>.</w:t>
      </w:r>
    </w:p>
    <w:p w14:paraId="1ED27D98" w14:textId="30830CAC" w:rsidR="00135A96" w:rsidRPr="00135A96" w:rsidRDefault="00ED31D1" w:rsidP="008261A3">
      <w:pPr>
        <w:pStyle w:val="Bibliography"/>
        <w:ind w:left="720" w:hanging="720"/>
        <w:jc w:val="both"/>
        <w:rPr>
          <w:noProof/>
        </w:rPr>
      </w:pPr>
      <w:r>
        <w:rPr>
          <w:noProof/>
        </w:rPr>
        <w:t xml:space="preserve">Heymans, </w:t>
      </w:r>
      <w:r>
        <w:t xml:space="preserve">F. </w:t>
      </w:r>
      <w:r w:rsidR="00D82198">
        <w:t>and</w:t>
      </w:r>
      <w:r>
        <w:t xml:space="preserve"> Heyman, R. </w:t>
      </w:r>
      <w:r>
        <w:rPr>
          <w:noProof/>
        </w:rPr>
        <w:t xml:space="preserve">(2024). ‘Identifying stakeholder motivations in normative AI governance: A systematic literature review for research guidance’. </w:t>
      </w:r>
      <w:r>
        <w:rPr>
          <w:i/>
          <w:iCs/>
          <w:noProof/>
        </w:rPr>
        <w:t>Data &amp; Policy</w:t>
      </w:r>
      <w:r>
        <w:rPr>
          <w:noProof/>
        </w:rPr>
        <w:t xml:space="preserve">, 6, e58. </w:t>
      </w:r>
      <w:r w:rsidR="0028539F">
        <w:rPr>
          <w:noProof/>
        </w:rPr>
        <w:t>DOI</w:t>
      </w:r>
      <w:r>
        <w:rPr>
          <w:noProof/>
        </w:rPr>
        <w:t>: 10.1017/dap.2024.66.</w:t>
      </w:r>
    </w:p>
    <w:p w14:paraId="4503F9BB" w14:textId="3CEE6568" w:rsidR="00F47D60" w:rsidRDefault="00F47D60" w:rsidP="00F47D60">
      <w:pPr>
        <w:pStyle w:val="Bibliography"/>
        <w:ind w:left="720" w:hanging="720"/>
        <w:jc w:val="both"/>
        <w:rPr>
          <w:noProof/>
        </w:rPr>
      </w:pPr>
      <w:r>
        <w:rPr>
          <w:noProof/>
        </w:rPr>
        <w:t>Holmes</w:t>
      </w:r>
      <w:r w:rsidR="002644D3">
        <w:rPr>
          <w:noProof/>
        </w:rPr>
        <w:t>, W</w:t>
      </w:r>
      <w:r>
        <w:rPr>
          <w:noProof/>
        </w:rPr>
        <w:t>.</w:t>
      </w:r>
      <w:r w:rsidR="002644D3">
        <w:rPr>
          <w:noProof/>
        </w:rPr>
        <w:t>, Persson, J., Chounta</w:t>
      </w:r>
      <w:r w:rsidR="00B3792F">
        <w:rPr>
          <w:noProof/>
        </w:rPr>
        <w:t>, I., Wasson, B., &amp; Dimitrova, V.</w:t>
      </w:r>
      <w:r>
        <w:rPr>
          <w:noProof/>
        </w:rPr>
        <w:t xml:space="preserve"> (2022). "Ethics of AI in Education: Towards a Community-Wide Framework". </w:t>
      </w:r>
      <w:r>
        <w:rPr>
          <w:i/>
          <w:iCs/>
          <w:noProof/>
        </w:rPr>
        <w:t>International Journal of Artificial Intelligence in Education</w:t>
      </w:r>
      <w:r>
        <w:rPr>
          <w:noProof/>
        </w:rPr>
        <w:t>, pp.504–526.</w:t>
      </w:r>
    </w:p>
    <w:p w14:paraId="121EC8DC" w14:textId="42A3A6CE" w:rsidR="00445D88" w:rsidRPr="00445D88" w:rsidRDefault="00445D88" w:rsidP="008261A3">
      <w:pPr>
        <w:pStyle w:val="Bibliography"/>
        <w:ind w:left="720" w:hanging="720"/>
        <w:jc w:val="both"/>
        <w:rPr>
          <w:noProof/>
        </w:rPr>
      </w:pPr>
      <w:r w:rsidRPr="00ED20C3">
        <w:rPr>
          <w:rStyle w:val="Strong"/>
          <w:b w:val="0"/>
          <w:bCs w:val="0"/>
        </w:rPr>
        <w:t xml:space="preserve">Hong, Q., Fàbregues, S., Bartlett, G., Boardman, F., Cargo, M., Dagenais, P., Gagnon, M., Griffiths, F., Nicolau, B., O’Cathain, A., Rousseau, M. </w:t>
      </w:r>
      <w:r w:rsidR="00ED20C3">
        <w:rPr>
          <w:rStyle w:val="Strong"/>
          <w:b w:val="0"/>
          <w:bCs w:val="0"/>
        </w:rPr>
        <w:t>&amp;</w:t>
      </w:r>
      <w:r w:rsidRPr="00ED20C3">
        <w:rPr>
          <w:rStyle w:val="Strong"/>
          <w:b w:val="0"/>
          <w:bCs w:val="0"/>
        </w:rPr>
        <w:t xml:space="preserve"> Pluye, P. (2018)</w:t>
      </w:r>
      <w:r w:rsidR="00ED20C3" w:rsidRPr="00ED20C3">
        <w:rPr>
          <w:rStyle w:val="Strong"/>
          <w:b w:val="0"/>
          <w:bCs w:val="0"/>
        </w:rPr>
        <w:t>.</w:t>
      </w:r>
      <w:r>
        <w:t xml:space="preserve"> ‘The Mixed Methods Appraisal Tool (MMAT) version 2018 for information professionals and researchers’, </w:t>
      </w:r>
      <w:r>
        <w:rPr>
          <w:rStyle w:val="Emphasis"/>
        </w:rPr>
        <w:t>Education for Information</w:t>
      </w:r>
      <w:r>
        <w:t xml:space="preserve">, </w:t>
      </w:r>
      <w:r w:rsidRPr="00445D88">
        <w:rPr>
          <w:rStyle w:val="Strong"/>
          <w:b w:val="0"/>
          <w:bCs w:val="0"/>
        </w:rPr>
        <w:t>34</w:t>
      </w:r>
      <w:r>
        <w:t xml:space="preserve">(4), pp. 285–291. </w:t>
      </w:r>
      <w:r w:rsidR="0028539F">
        <w:rPr>
          <w:noProof/>
        </w:rPr>
        <w:t>DOI</w:t>
      </w:r>
      <w:r w:rsidR="00ED20C3">
        <w:rPr>
          <w:noProof/>
        </w:rPr>
        <w:t>:</w:t>
      </w:r>
      <w:r w:rsidRPr="00445D88">
        <w:rPr>
          <w:rStyle w:val="Strong"/>
          <w:b w:val="0"/>
          <w:bCs w:val="0"/>
        </w:rPr>
        <w:t xml:space="preserve"> 10.3233/EFI-180221.</w:t>
      </w:r>
    </w:p>
    <w:p w14:paraId="52FF5043" w14:textId="758C2AB5" w:rsidR="00643C9E" w:rsidRPr="00643C9E" w:rsidRDefault="00643C9E" w:rsidP="008261A3">
      <w:pPr>
        <w:pStyle w:val="Bibliography"/>
        <w:ind w:left="720" w:hanging="720"/>
        <w:jc w:val="both"/>
        <w:rPr>
          <w:noProof/>
        </w:rPr>
      </w:pPr>
      <w:r>
        <w:rPr>
          <w:noProof/>
        </w:rPr>
        <w:t>Jafari K.</w:t>
      </w:r>
      <w:r>
        <w:t xml:space="preserve">, Reuel, A., Aranguiz-Dias, G., Rahama, H., Ayadi, A.-E., Boullier, X., Verdo, J., Montanie, L. and Kochenderfer, M. </w:t>
      </w:r>
      <w:r>
        <w:rPr>
          <w:noProof/>
        </w:rPr>
        <w:t xml:space="preserve">(2025). ‘An Adaptive Responsible AI Governance Framework for Decentralized Organizations’. </w:t>
      </w:r>
      <w:r>
        <w:rPr>
          <w:i/>
          <w:iCs/>
          <w:noProof/>
        </w:rPr>
        <w:t>Ethics and Society</w:t>
      </w:r>
      <w:r>
        <w:rPr>
          <w:noProof/>
        </w:rPr>
        <w:t xml:space="preserve">, 8(2), pp. 1324–1334. </w:t>
      </w:r>
      <w:r w:rsidR="0028539F">
        <w:rPr>
          <w:noProof/>
        </w:rPr>
        <w:t>DOI</w:t>
      </w:r>
      <w:r>
        <w:rPr>
          <w:noProof/>
        </w:rPr>
        <w:t>: 10.1609/aies.v8i2.36633.</w:t>
      </w:r>
    </w:p>
    <w:p w14:paraId="24B5CD0E" w14:textId="2D03069A" w:rsidR="005769E3" w:rsidRDefault="005769E3" w:rsidP="008261A3">
      <w:pPr>
        <w:pStyle w:val="Bibliography"/>
        <w:ind w:left="720" w:hanging="720"/>
        <w:jc w:val="both"/>
        <w:rPr>
          <w:noProof/>
        </w:rPr>
      </w:pPr>
      <w:r>
        <w:rPr>
          <w:noProof/>
        </w:rPr>
        <w:lastRenderedPageBreak/>
        <w:t xml:space="preserve">Jiang, Y., Xie, L., </w:t>
      </w:r>
      <w:r w:rsidR="00D82198">
        <w:rPr>
          <w:noProof/>
        </w:rPr>
        <w:t>and</w:t>
      </w:r>
      <w:r>
        <w:rPr>
          <w:noProof/>
        </w:rPr>
        <w:t xml:space="preserve"> Cao, X. (2025). ‘Exploring the effectiveness of institutional policies and regulations for generative AI usage in higher education’. </w:t>
      </w:r>
      <w:r>
        <w:rPr>
          <w:i/>
          <w:iCs/>
          <w:noProof/>
        </w:rPr>
        <w:t>Higher Education Quarterly, 79</w:t>
      </w:r>
      <w:r>
        <w:rPr>
          <w:noProof/>
        </w:rPr>
        <w:t xml:space="preserve">(4), e70054. </w:t>
      </w:r>
      <w:r w:rsidR="0028539F">
        <w:rPr>
          <w:noProof/>
        </w:rPr>
        <w:t>DOI</w:t>
      </w:r>
      <w:r>
        <w:rPr>
          <w:noProof/>
        </w:rPr>
        <w:t>: 10.1111/hequ.70054.</w:t>
      </w:r>
    </w:p>
    <w:p w14:paraId="1189D97B" w14:textId="26CAA68E" w:rsidR="00FB0301" w:rsidRPr="00FB0301" w:rsidRDefault="00FB0301" w:rsidP="00FB0301">
      <w:pPr>
        <w:pStyle w:val="Bibliography"/>
        <w:ind w:left="720" w:hanging="720"/>
        <w:jc w:val="both"/>
        <w:rPr>
          <w:noProof/>
          <w:kern w:val="0"/>
          <w:sz w:val="24"/>
          <w:szCs w:val="24"/>
          <w14:ligatures w14:val="none"/>
        </w:rPr>
      </w:pPr>
      <w:r>
        <w:rPr>
          <w:noProof/>
        </w:rPr>
        <w:t xml:space="preserve">Jiang, X. and Abdullah, Z. (2026). ‘AI-enabled governance in higher education: a systematic review of applications, outcomes, and emerging implications’. </w:t>
      </w:r>
      <w:r>
        <w:rPr>
          <w:i/>
          <w:iCs/>
          <w:noProof/>
        </w:rPr>
        <w:t>Frontiers in Education</w:t>
      </w:r>
      <w:r>
        <w:rPr>
          <w:noProof/>
        </w:rPr>
        <w:t>, 11, 1856440. DOI: 10.3389/feduc.2026.1856440.</w:t>
      </w:r>
    </w:p>
    <w:p w14:paraId="54CDD43F" w14:textId="57E36ED2" w:rsidR="00BF5E7F" w:rsidRDefault="00BF5E7F" w:rsidP="00BF5E7F">
      <w:pPr>
        <w:pStyle w:val="Bibliography"/>
        <w:ind w:left="720" w:hanging="720"/>
        <w:jc w:val="both"/>
        <w:rPr>
          <w:noProof/>
        </w:rPr>
      </w:pPr>
      <w:r>
        <w:rPr>
          <w:noProof/>
        </w:rPr>
        <w:t xml:space="preserve">Jin, Y., Yan, L., Echeverria, V., Gasevic, D., </w:t>
      </w:r>
      <w:r w:rsidR="00D82198">
        <w:rPr>
          <w:noProof/>
        </w:rPr>
        <w:t>and</w:t>
      </w:r>
      <w:r>
        <w:rPr>
          <w:noProof/>
        </w:rPr>
        <w:t xml:space="preserve"> Martinez-Maldonado, R.  (2025). ‘Generative AI in higher education: A global perspective of institutional adoption policies and guidelines’. </w:t>
      </w:r>
      <w:r>
        <w:rPr>
          <w:i/>
          <w:iCs/>
          <w:noProof/>
        </w:rPr>
        <w:t>Computers and Education: Artificial Intelligence, 8</w:t>
      </w:r>
      <w:r>
        <w:rPr>
          <w:noProof/>
        </w:rPr>
        <w:t xml:space="preserve">, 100348. </w:t>
      </w:r>
      <w:r w:rsidR="0028539F">
        <w:rPr>
          <w:noProof/>
        </w:rPr>
        <w:t>DOI</w:t>
      </w:r>
      <w:r>
        <w:rPr>
          <w:noProof/>
        </w:rPr>
        <w:t>: 10.1016/j.caeai.2024.100348.</w:t>
      </w:r>
    </w:p>
    <w:p w14:paraId="1B7B113B" w14:textId="0D5226CE" w:rsidR="00482555" w:rsidRDefault="00D769AC" w:rsidP="00482555">
      <w:pPr>
        <w:pStyle w:val="Bibliography"/>
        <w:ind w:left="720" w:hanging="720"/>
        <w:jc w:val="both"/>
        <w:rPr>
          <w:b/>
          <w:bCs/>
        </w:rPr>
      </w:pPr>
      <w:r w:rsidRPr="00D769AC">
        <w:rPr>
          <w:rStyle w:val="Strong"/>
          <w:b w:val="0"/>
          <w:bCs w:val="0"/>
        </w:rPr>
        <w:t xml:space="preserve">Johnson, J., Adkins, D. </w:t>
      </w:r>
      <w:r w:rsidR="00D82198">
        <w:rPr>
          <w:rStyle w:val="Strong"/>
          <w:b w:val="0"/>
          <w:bCs w:val="0"/>
        </w:rPr>
        <w:t>and</w:t>
      </w:r>
      <w:r w:rsidRPr="00D769AC">
        <w:rPr>
          <w:rStyle w:val="Strong"/>
          <w:b w:val="0"/>
          <w:bCs w:val="0"/>
        </w:rPr>
        <w:t xml:space="preserve"> Chauvin, S. (2020).</w:t>
      </w:r>
      <w:r>
        <w:t xml:space="preserve"> ‘A review of the quality indicators of rigour in qualitative research’, </w:t>
      </w:r>
      <w:r>
        <w:rPr>
          <w:rStyle w:val="Emphasis"/>
        </w:rPr>
        <w:t>American Journal of Pharmaceutical Education</w:t>
      </w:r>
      <w:r>
        <w:t xml:space="preserve">, 84(1), 7120. </w:t>
      </w:r>
      <w:r w:rsidR="0028539F">
        <w:rPr>
          <w:noProof/>
        </w:rPr>
        <w:t>DOI</w:t>
      </w:r>
      <w:r>
        <w:rPr>
          <w:noProof/>
        </w:rPr>
        <w:t>:</w:t>
      </w:r>
      <w:r>
        <w:t xml:space="preserve"> </w:t>
      </w:r>
      <w:r w:rsidRPr="00D769AC">
        <w:rPr>
          <w:rStyle w:val="Strong"/>
          <w:b w:val="0"/>
          <w:bCs w:val="0"/>
        </w:rPr>
        <w:t>10.5688/ajpe7120</w:t>
      </w:r>
      <w:r w:rsidRPr="00D769AC">
        <w:rPr>
          <w:b/>
          <w:bCs/>
        </w:rPr>
        <w:t>.</w:t>
      </w:r>
    </w:p>
    <w:p w14:paraId="023108F1" w14:textId="694BB608" w:rsidR="007E4FE9" w:rsidRDefault="008A0DB1" w:rsidP="007E4FE9">
      <w:pPr>
        <w:pStyle w:val="Bibliography"/>
        <w:ind w:left="720" w:hanging="720"/>
        <w:jc w:val="both"/>
        <w:rPr>
          <w:b/>
          <w:bCs/>
        </w:rPr>
      </w:pPr>
      <w:r w:rsidRPr="008A0DB1">
        <w:rPr>
          <w:rStyle w:val="Strong"/>
          <w:b w:val="0"/>
          <w:bCs w:val="0"/>
        </w:rPr>
        <w:t xml:space="preserve">Kangwa, D., Msafiri, M. </w:t>
      </w:r>
      <w:r w:rsidR="00D82198">
        <w:rPr>
          <w:rStyle w:val="Strong"/>
          <w:b w:val="0"/>
          <w:bCs w:val="0"/>
        </w:rPr>
        <w:t>and</w:t>
      </w:r>
      <w:r w:rsidRPr="008A0DB1">
        <w:rPr>
          <w:rStyle w:val="Strong"/>
          <w:b w:val="0"/>
          <w:bCs w:val="0"/>
        </w:rPr>
        <w:t xml:space="preserve"> Fute, A. (2025)</w:t>
      </w:r>
      <w:r>
        <w:rPr>
          <w:rStyle w:val="Strong"/>
          <w:b w:val="0"/>
          <w:bCs w:val="0"/>
        </w:rPr>
        <w:t>.</w:t>
      </w:r>
      <w:r>
        <w:t xml:space="preserve"> ‘Exploring the Factors That Promote a Balance Between Academic Integrity and the Effective Use of GenAI Tools in Higher Education: A Systematic Review’, </w:t>
      </w:r>
      <w:r>
        <w:rPr>
          <w:rStyle w:val="Emphasis"/>
        </w:rPr>
        <w:t>Journal of Computer Assisted Learning</w:t>
      </w:r>
      <w:r>
        <w:t xml:space="preserve">. </w:t>
      </w:r>
      <w:r w:rsidR="0028539F">
        <w:rPr>
          <w:noProof/>
        </w:rPr>
        <w:t>DOI</w:t>
      </w:r>
      <w:r w:rsidR="00CC4114">
        <w:rPr>
          <w:noProof/>
        </w:rPr>
        <w:t>:10.1111</w:t>
      </w:r>
      <w:r w:rsidRPr="008A0DB1">
        <w:rPr>
          <w:rStyle w:val="Strong"/>
          <w:b w:val="0"/>
          <w:bCs w:val="0"/>
        </w:rPr>
        <w:t>/jcal.70109</w:t>
      </w:r>
      <w:r w:rsidRPr="008A0DB1">
        <w:rPr>
          <w:b/>
          <w:bCs/>
        </w:rPr>
        <w:t>.</w:t>
      </w:r>
    </w:p>
    <w:p w14:paraId="48DFC0A2" w14:textId="639073E4" w:rsidR="007E4FE9" w:rsidRPr="007E4FE9" w:rsidRDefault="00D87D17" w:rsidP="008261A3">
      <w:pPr>
        <w:pStyle w:val="Bibliography"/>
        <w:ind w:left="720" w:hanging="720"/>
        <w:jc w:val="both"/>
        <w:rPr>
          <w:noProof/>
        </w:rPr>
      </w:pPr>
      <w:r w:rsidRPr="00D87D17">
        <w:rPr>
          <w:rStyle w:val="Strong"/>
          <w:b w:val="0"/>
          <w:bCs w:val="0"/>
        </w:rPr>
        <w:t>Ka</w:t>
      </w:r>
      <w:r>
        <w:rPr>
          <w:rStyle w:val="Strong"/>
          <w:b w:val="0"/>
          <w:bCs w:val="0"/>
        </w:rPr>
        <w:t>s</w:t>
      </w:r>
      <w:r w:rsidRPr="00D87D17">
        <w:rPr>
          <w:rStyle w:val="Strong"/>
          <w:b w:val="0"/>
          <w:bCs w:val="0"/>
        </w:rPr>
        <w:t xml:space="preserve">arcı, İ., Akın Demircan, Z., </w:t>
      </w:r>
      <w:r>
        <w:rPr>
          <w:rStyle w:val="Strong"/>
          <w:b w:val="0"/>
          <w:bCs w:val="0"/>
        </w:rPr>
        <w:t>C</w:t>
      </w:r>
      <w:r w:rsidRPr="00D87D17">
        <w:rPr>
          <w:rStyle w:val="Strong"/>
          <w:b w:val="0"/>
          <w:bCs w:val="0"/>
        </w:rPr>
        <w:t xml:space="preserve">eliker Ercan, G. </w:t>
      </w:r>
      <w:r w:rsidR="00D82198">
        <w:rPr>
          <w:rStyle w:val="Strong"/>
          <w:b w:val="0"/>
          <w:bCs w:val="0"/>
        </w:rPr>
        <w:t>and</w:t>
      </w:r>
      <w:r w:rsidRPr="00D87D17">
        <w:rPr>
          <w:rStyle w:val="Strong"/>
          <w:b w:val="0"/>
          <w:bCs w:val="0"/>
        </w:rPr>
        <w:t xml:space="preserve"> İnci, T. (2025).</w:t>
      </w:r>
      <w:r>
        <w:t xml:space="preserve"> ‘Managing Artificial Intelligence Ethics in Higher Education: A Systematic Framework for Issues and Policy Recommendations’, </w:t>
      </w:r>
      <w:r>
        <w:rPr>
          <w:rStyle w:val="Emphasis"/>
        </w:rPr>
        <w:t>International Journal of Current Educational Studies</w:t>
      </w:r>
      <w:r>
        <w:t xml:space="preserve">. </w:t>
      </w:r>
      <w:r w:rsidR="0028539F">
        <w:rPr>
          <w:noProof/>
        </w:rPr>
        <w:t>DOI</w:t>
      </w:r>
      <w:r w:rsidR="00694B82">
        <w:rPr>
          <w:noProof/>
        </w:rPr>
        <w:t xml:space="preserve">: </w:t>
      </w:r>
      <w:r w:rsidRPr="00D87D17">
        <w:rPr>
          <w:rStyle w:val="Strong"/>
          <w:b w:val="0"/>
          <w:bCs w:val="0"/>
        </w:rPr>
        <w:t>10.46328/ijces.223.</w:t>
      </w:r>
    </w:p>
    <w:p w14:paraId="228006E3" w14:textId="14B6CA33" w:rsidR="002A0A52" w:rsidRDefault="00B728E0" w:rsidP="002A0A52">
      <w:pPr>
        <w:pStyle w:val="Bibliography"/>
        <w:ind w:left="720" w:hanging="720"/>
        <w:jc w:val="both"/>
        <w:rPr>
          <w:noProof/>
        </w:rPr>
      </w:pPr>
      <w:r w:rsidRPr="00B728E0">
        <w:rPr>
          <w:rStyle w:val="Strong"/>
          <w:b w:val="0"/>
          <w:bCs w:val="0"/>
        </w:rPr>
        <w:t xml:space="preserve">Kennedy, E., Castanelli, D., Molloy, E. </w:t>
      </w:r>
      <w:r w:rsidR="00D82198">
        <w:rPr>
          <w:rStyle w:val="Strong"/>
          <w:b w:val="0"/>
          <w:bCs w:val="0"/>
        </w:rPr>
        <w:t>and</w:t>
      </w:r>
      <w:r w:rsidRPr="00B728E0">
        <w:rPr>
          <w:rStyle w:val="Strong"/>
          <w:b w:val="0"/>
          <w:bCs w:val="0"/>
        </w:rPr>
        <w:t xml:space="preserve"> Bearman, M. (2024).</w:t>
      </w:r>
      <w:r>
        <w:t xml:space="preserve"> ‘Addressing positionality in qualitative research: Significance, challenges and strategies’, </w:t>
      </w:r>
      <w:r>
        <w:rPr>
          <w:rStyle w:val="Emphasis"/>
        </w:rPr>
        <w:t>The Clinical Teacher</w:t>
      </w:r>
      <w:r>
        <w:t xml:space="preserve">, 21(6), e13820. </w:t>
      </w:r>
      <w:r w:rsidR="0028539F">
        <w:rPr>
          <w:noProof/>
        </w:rPr>
        <w:t>DOI</w:t>
      </w:r>
      <w:r>
        <w:rPr>
          <w:noProof/>
        </w:rPr>
        <w:t xml:space="preserve">: </w:t>
      </w:r>
      <w:r w:rsidRPr="00B728E0">
        <w:rPr>
          <w:rStyle w:val="Strong"/>
          <w:b w:val="0"/>
          <w:bCs w:val="0"/>
        </w:rPr>
        <w:t>10.1111/tct.13820</w:t>
      </w:r>
      <w:r w:rsidRPr="00B728E0">
        <w:rPr>
          <w:b/>
          <w:bCs/>
        </w:rPr>
        <w:t>.</w:t>
      </w:r>
    </w:p>
    <w:p w14:paraId="4D4B716D" w14:textId="669ACD5A" w:rsidR="00892ABA" w:rsidRDefault="00BC7051" w:rsidP="00892ABA">
      <w:pPr>
        <w:pStyle w:val="Bibliography"/>
        <w:ind w:left="720" w:hanging="720"/>
        <w:jc w:val="both"/>
        <w:rPr>
          <w:noProof/>
        </w:rPr>
      </w:pPr>
      <w:r w:rsidRPr="00BC7051">
        <w:rPr>
          <w:rStyle w:val="Strong"/>
          <w:b w:val="0"/>
          <w:bCs w:val="0"/>
        </w:rPr>
        <w:t>Kham, S. (2024).</w:t>
      </w:r>
      <w:r>
        <w:t xml:space="preserve"> ‘Outsider From Within, Insider from Without: Negotiating Researcher Positionality in Comparative Social Research’, </w:t>
      </w:r>
      <w:r>
        <w:rPr>
          <w:rStyle w:val="Emphasis"/>
        </w:rPr>
        <w:t>International Journal of Qualitative Methods</w:t>
      </w:r>
      <w:r>
        <w:t xml:space="preserve">, 23. </w:t>
      </w:r>
      <w:r w:rsidR="0028539F">
        <w:rPr>
          <w:noProof/>
        </w:rPr>
        <w:t>DOI</w:t>
      </w:r>
      <w:r>
        <w:rPr>
          <w:noProof/>
        </w:rPr>
        <w:t>:</w:t>
      </w:r>
      <w:r>
        <w:t xml:space="preserve">  </w:t>
      </w:r>
      <w:r w:rsidRPr="00BC7051">
        <w:rPr>
          <w:rStyle w:val="Strong"/>
          <w:b w:val="0"/>
          <w:bCs w:val="0"/>
        </w:rPr>
        <w:t>10.1177/16094069241254004</w:t>
      </w:r>
      <w:r w:rsidRPr="00BC7051">
        <w:rPr>
          <w:b/>
          <w:bCs/>
        </w:rPr>
        <w:t>.</w:t>
      </w:r>
    </w:p>
    <w:p w14:paraId="3B5DE085" w14:textId="6615C847" w:rsidR="00482555" w:rsidRPr="00482555" w:rsidRDefault="00A92EE5" w:rsidP="008261A3">
      <w:pPr>
        <w:pStyle w:val="Bibliography"/>
        <w:ind w:left="720" w:hanging="720"/>
        <w:jc w:val="both"/>
        <w:rPr>
          <w:noProof/>
        </w:rPr>
      </w:pPr>
      <w:r w:rsidRPr="00A92EE5">
        <w:rPr>
          <w:rStyle w:val="Strong"/>
          <w:b w:val="0"/>
          <w:bCs w:val="0"/>
        </w:rPr>
        <w:t xml:space="preserve">Khosravi, H., Shum, S., Chen, G., Conati, C., Kay, J., Knight, S., Martinez-Maldonado, R., Sadiq, S. </w:t>
      </w:r>
      <w:r w:rsidR="00D82198">
        <w:rPr>
          <w:rStyle w:val="Strong"/>
          <w:b w:val="0"/>
          <w:bCs w:val="0"/>
        </w:rPr>
        <w:t>and</w:t>
      </w:r>
      <w:r w:rsidRPr="00A92EE5">
        <w:rPr>
          <w:rStyle w:val="Strong"/>
          <w:b w:val="0"/>
          <w:bCs w:val="0"/>
        </w:rPr>
        <w:t xml:space="preserve"> Ga</w:t>
      </w:r>
      <w:r>
        <w:rPr>
          <w:rStyle w:val="Strong"/>
          <w:b w:val="0"/>
          <w:bCs w:val="0"/>
        </w:rPr>
        <w:t>s</w:t>
      </w:r>
      <w:r w:rsidRPr="00A92EE5">
        <w:rPr>
          <w:rStyle w:val="Strong"/>
          <w:b w:val="0"/>
          <w:bCs w:val="0"/>
        </w:rPr>
        <w:t>evi</w:t>
      </w:r>
      <w:r>
        <w:rPr>
          <w:rStyle w:val="Strong"/>
          <w:b w:val="0"/>
          <w:bCs w:val="0"/>
        </w:rPr>
        <w:t>c</w:t>
      </w:r>
      <w:r w:rsidRPr="00A92EE5">
        <w:rPr>
          <w:rStyle w:val="Strong"/>
          <w:b w:val="0"/>
          <w:bCs w:val="0"/>
        </w:rPr>
        <w:t>, D. (2022).</w:t>
      </w:r>
      <w:r>
        <w:t xml:space="preserve"> ‘Explainable Artificial Intelligence in education’, </w:t>
      </w:r>
      <w:r>
        <w:rPr>
          <w:rStyle w:val="Emphasis"/>
        </w:rPr>
        <w:t>Computers and Education: Artificial Intelligence</w:t>
      </w:r>
      <w:r>
        <w:t xml:space="preserve">, </w:t>
      </w:r>
      <w:r w:rsidRPr="00A92EE5">
        <w:rPr>
          <w:rStyle w:val="Strong"/>
          <w:b w:val="0"/>
          <w:bCs w:val="0"/>
        </w:rPr>
        <w:t>3</w:t>
      </w:r>
      <w:r w:rsidRPr="00A92EE5">
        <w:rPr>
          <w:b/>
          <w:bCs/>
        </w:rPr>
        <w:t>,</w:t>
      </w:r>
      <w:r>
        <w:t xml:space="preserve"> 100074.</w:t>
      </w:r>
      <w:r w:rsidR="00D13CEB">
        <w:t xml:space="preserve"> </w:t>
      </w:r>
      <w:r w:rsidR="0028539F">
        <w:rPr>
          <w:noProof/>
        </w:rPr>
        <w:t>DOI</w:t>
      </w:r>
      <w:r w:rsidR="00D13CEB">
        <w:rPr>
          <w:noProof/>
        </w:rPr>
        <w:t>:</w:t>
      </w:r>
      <w:r>
        <w:t xml:space="preserve"> </w:t>
      </w:r>
      <w:r w:rsidRPr="00A92EE5">
        <w:rPr>
          <w:rStyle w:val="Strong"/>
          <w:b w:val="0"/>
          <w:bCs w:val="0"/>
        </w:rPr>
        <w:t>10.1016/j.caeai.2022.100074</w:t>
      </w:r>
      <w:r w:rsidRPr="00A92EE5">
        <w:rPr>
          <w:b/>
          <w:bCs/>
        </w:rPr>
        <w:t>.</w:t>
      </w:r>
    </w:p>
    <w:p w14:paraId="5A39FE05" w14:textId="68756A8A" w:rsidR="005769E3" w:rsidRDefault="005769E3" w:rsidP="005769E3">
      <w:pPr>
        <w:pStyle w:val="Bibliography"/>
        <w:ind w:left="720" w:hanging="720"/>
        <w:jc w:val="both"/>
        <w:rPr>
          <w:noProof/>
        </w:rPr>
      </w:pPr>
      <w:r>
        <w:rPr>
          <w:noProof/>
        </w:rPr>
        <w:t xml:space="preserve">Knight, S., Shibani, A., </w:t>
      </w:r>
      <w:r w:rsidR="00D82198">
        <w:rPr>
          <w:noProof/>
        </w:rPr>
        <w:t>and</w:t>
      </w:r>
      <w:r>
        <w:rPr>
          <w:noProof/>
        </w:rPr>
        <w:t xml:space="preserve"> Vincent, N. (2025). ‘Ethical AI governance: mapping a research ecosystem'. </w:t>
      </w:r>
      <w:r>
        <w:rPr>
          <w:i/>
          <w:iCs/>
          <w:noProof/>
        </w:rPr>
        <w:t>AI and Ethics, 5</w:t>
      </w:r>
      <w:r>
        <w:rPr>
          <w:noProof/>
        </w:rPr>
        <w:t xml:space="preserve">, pp. 841–862. </w:t>
      </w:r>
      <w:r w:rsidR="0028539F">
        <w:rPr>
          <w:noProof/>
        </w:rPr>
        <w:t>DOI</w:t>
      </w:r>
      <w:r>
        <w:rPr>
          <w:noProof/>
        </w:rPr>
        <w:t>: 10.1007/s43681-023-00416-z.</w:t>
      </w:r>
    </w:p>
    <w:p w14:paraId="7712B585" w14:textId="3DBEFA62" w:rsidR="003B607A" w:rsidRPr="003B607A" w:rsidRDefault="00B45AB0" w:rsidP="008261A3">
      <w:pPr>
        <w:pStyle w:val="Bibliography"/>
        <w:ind w:left="720" w:hanging="720"/>
        <w:jc w:val="both"/>
        <w:rPr>
          <w:noProof/>
        </w:rPr>
      </w:pPr>
      <w:r w:rsidRPr="00B45AB0">
        <w:rPr>
          <w:rStyle w:val="Strong"/>
          <w:b w:val="0"/>
          <w:bCs w:val="0"/>
        </w:rPr>
        <w:t xml:space="preserve">Korir, M., Slade, S., Holmes, W., Heliot, Y. </w:t>
      </w:r>
      <w:r w:rsidR="00D82198">
        <w:rPr>
          <w:rStyle w:val="Strong"/>
          <w:b w:val="0"/>
          <w:bCs w:val="0"/>
        </w:rPr>
        <w:t>and</w:t>
      </w:r>
      <w:r w:rsidRPr="00B45AB0">
        <w:rPr>
          <w:rStyle w:val="Strong"/>
          <w:b w:val="0"/>
          <w:bCs w:val="0"/>
        </w:rPr>
        <w:t xml:space="preserve"> Rienties, B. (2022)</w:t>
      </w:r>
      <w:r w:rsidRPr="00B45AB0">
        <w:rPr>
          <w:b/>
          <w:bCs/>
        </w:rPr>
        <w:t>.</w:t>
      </w:r>
      <w:r>
        <w:t xml:space="preserve"> ‘Investigating the dimensions of students’ privacy concern in the collection, use, and sharing of data for learning analytics’, </w:t>
      </w:r>
      <w:r>
        <w:rPr>
          <w:rStyle w:val="Emphasis"/>
        </w:rPr>
        <w:t>Computers in Human Behaviour Reports</w:t>
      </w:r>
      <w:r>
        <w:t xml:space="preserve">, 9, 100262. </w:t>
      </w:r>
      <w:r w:rsidR="0028539F">
        <w:rPr>
          <w:noProof/>
        </w:rPr>
        <w:t>DOI</w:t>
      </w:r>
      <w:r w:rsidR="00694B82">
        <w:rPr>
          <w:noProof/>
        </w:rPr>
        <w:t xml:space="preserve">: </w:t>
      </w:r>
      <w:r w:rsidRPr="00B45AB0">
        <w:rPr>
          <w:rStyle w:val="Strong"/>
          <w:b w:val="0"/>
          <w:bCs w:val="0"/>
        </w:rPr>
        <w:t>10.1016/j.chbr.2022.100262.</w:t>
      </w:r>
    </w:p>
    <w:p w14:paraId="309DCF8F" w14:textId="08F05BA0" w:rsidR="00CC6F6B" w:rsidRDefault="00CC6F6B" w:rsidP="00CC6F6B">
      <w:pPr>
        <w:pStyle w:val="Bibliography"/>
        <w:ind w:left="720" w:hanging="720"/>
        <w:jc w:val="both"/>
        <w:rPr>
          <w:noProof/>
        </w:rPr>
      </w:pPr>
      <w:r>
        <w:rPr>
          <w:noProof/>
        </w:rPr>
        <w:t xml:space="preserve">Lahusen, </w:t>
      </w:r>
      <w:r>
        <w:t xml:space="preserve">C., Maggetti, M. </w:t>
      </w:r>
      <w:r w:rsidR="00D82198">
        <w:t>and</w:t>
      </w:r>
      <w:r>
        <w:t xml:space="preserve"> Slavkovik, M</w:t>
      </w:r>
      <w:r>
        <w:rPr>
          <w:noProof/>
        </w:rPr>
        <w:t xml:space="preserve">. (2024). ‘Trust, trustworthiness and AI governance’. </w:t>
      </w:r>
      <w:r>
        <w:rPr>
          <w:i/>
          <w:iCs/>
          <w:noProof/>
        </w:rPr>
        <w:t>Scientific Reports</w:t>
      </w:r>
      <w:r>
        <w:rPr>
          <w:noProof/>
        </w:rPr>
        <w:t xml:space="preserve">, 14, 20752. </w:t>
      </w:r>
      <w:r w:rsidR="0028539F">
        <w:rPr>
          <w:noProof/>
        </w:rPr>
        <w:t>DOI</w:t>
      </w:r>
      <w:r>
        <w:rPr>
          <w:noProof/>
        </w:rPr>
        <w:t>: 10.1038/s41598-024-71761-0.</w:t>
      </w:r>
    </w:p>
    <w:p w14:paraId="5458FEC2" w14:textId="2EDE408F" w:rsidR="00B5557B" w:rsidRPr="00B5557B" w:rsidRDefault="00E6443A" w:rsidP="008261A3">
      <w:pPr>
        <w:pStyle w:val="Bibliography"/>
        <w:ind w:left="720" w:hanging="720"/>
        <w:jc w:val="both"/>
        <w:rPr>
          <w:noProof/>
        </w:rPr>
      </w:pPr>
      <w:r w:rsidRPr="00E6443A">
        <w:rPr>
          <w:rStyle w:val="Strong"/>
          <w:b w:val="0"/>
          <w:bCs w:val="0"/>
        </w:rPr>
        <w:t>Lam, D. (2026)</w:t>
      </w:r>
      <w:r w:rsidRPr="00E6443A">
        <w:rPr>
          <w:b/>
          <w:bCs/>
        </w:rPr>
        <w:t xml:space="preserve">. </w:t>
      </w:r>
      <w:r>
        <w:t xml:space="preserve">‘The importance of ethics, governance and leadership in meeting the artificial intelligence challenge in higher education: a critical review’, </w:t>
      </w:r>
      <w:r>
        <w:rPr>
          <w:rStyle w:val="Emphasis"/>
        </w:rPr>
        <w:t>Cogent Education</w:t>
      </w:r>
      <w:r>
        <w:t xml:space="preserve">, 13(1), 2636441. </w:t>
      </w:r>
      <w:r w:rsidR="0028539F">
        <w:rPr>
          <w:noProof/>
        </w:rPr>
        <w:t>DOI</w:t>
      </w:r>
      <w:r w:rsidRPr="00E6443A">
        <w:rPr>
          <w:rStyle w:val="Strong"/>
          <w:b w:val="0"/>
          <w:bCs w:val="0"/>
        </w:rPr>
        <w:t>: 10.1080/2331186X.2026.2636441.</w:t>
      </w:r>
    </w:p>
    <w:p w14:paraId="1604E4E5" w14:textId="2B0C4E8B" w:rsidR="00BF5E7F" w:rsidRPr="008261A3" w:rsidRDefault="004A32B0" w:rsidP="008261A3">
      <w:pPr>
        <w:pStyle w:val="Bibliography"/>
        <w:ind w:left="720" w:hanging="720"/>
        <w:jc w:val="both"/>
        <w:rPr>
          <w:b/>
          <w:bCs/>
          <w:noProof/>
        </w:rPr>
      </w:pPr>
      <w:r>
        <w:t xml:space="preserve">Lawrence, S. (2026). ‘Artificial intelligence in higher education: stakeholder perceptions and policy implications’, </w:t>
      </w:r>
      <w:r>
        <w:rPr>
          <w:rStyle w:val="Emphasis"/>
        </w:rPr>
        <w:t>Journal of Applied Research in Higher Education</w:t>
      </w:r>
      <w:r>
        <w:t xml:space="preserve">. </w:t>
      </w:r>
      <w:r w:rsidR="0028539F">
        <w:rPr>
          <w:noProof/>
        </w:rPr>
        <w:t>DOI</w:t>
      </w:r>
      <w:r>
        <w:rPr>
          <w:noProof/>
        </w:rPr>
        <w:t>:</w:t>
      </w:r>
      <w:r>
        <w:t xml:space="preserve"> </w:t>
      </w:r>
      <w:r w:rsidRPr="004A32B0">
        <w:rPr>
          <w:rStyle w:val="Strong"/>
          <w:b w:val="0"/>
          <w:bCs w:val="0"/>
        </w:rPr>
        <w:t>10.1108/JARHE-10-2025-0872</w:t>
      </w:r>
      <w:r w:rsidRPr="004A32B0">
        <w:rPr>
          <w:b/>
          <w:bCs/>
        </w:rPr>
        <w:t>.</w:t>
      </w:r>
    </w:p>
    <w:p w14:paraId="1984CA9A" w14:textId="454D7A27" w:rsidR="00C74018" w:rsidRPr="00C74018" w:rsidRDefault="009256DC" w:rsidP="008261A3">
      <w:pPr>
        <w:pStyle w:val="Bibliography"/>
        <w:ind w:left="720" w:hanging="720"/>
        <w:jc w:val="both"/>
        <w:rPr>
          <w:noProof/>
        </w:rPr>
      </w:pPr>
      <w:r>
        <w:rPr>
          <w:noProof/>
        </w:rPr>
        <w:lastRenderedPageBreak/>
        <w:t xml:space="preserve">Lee, D., Arnold, M., Srivastava, A., Plastow, K., Strelan, P., Ploeckl, F., Lekkas, D., </w:t>
      </w:r>
      <w:r w:rsidR="00D82198">
        <w:rPr>
          <w:noProof/>
        </w:rPr>
        <w:t>and</w:t>
      </w:r>
      <w:r>
        <w:rPr>
          <w:noProof/>
        </w:rPr>
        <w:t xml:space="preserve"> Palmer, E. (2024). ‘The impact of generative AI on higher education learning and teaching: A study of educators’ perspectives’. </w:t>
      </w:r>
      <w:r>
        <w:rPr>
          <w:i/>
          <w:iCs/>
          <w:noProof/>
        </w:rPr>
        <w:t>Computers and Education: Artificial Intelligence, 6</w:t>
      </w:r>
      <w:r>
        <w:rPr>
          <w:noProof/>
        </w:rPr>
        <w:t xml:space="preserve">, 100221. </w:t>
      </w:r>
      <w:r w:rsidR="0028539F">
        <w:rPr>
          <w:noProof/>
        </w:rPr>
        <w:t>DOI</w:t>
      </w:r>
      <w:r>
        <w:rPr>
          <w:noProof/>
        </w:rPr>
        <w:t>: 10.1016/j.caeai.2024.100221.</w:t>
      </w:r>
    </w:p>
    <w:p w14:paraId="534434FA" w14:textId="5A9D8D39" w:rsidR="000A241B" w:rsidRDefault="000A241B" w:rsidP="000A241B">
      <w:pPr>
        <w:pStyle w:val="Bibliography"/>
        <w:ind w:left="720" w:hanging="720"/>
        <w:jc w:val="both"/>
        <w:rPr>
          <w:noProof/>
        </w:rPr>
      </w:pPr>
      <w:r>
        <w:rPr>
          <w:noProof/>
        </w:rPr>
        <w:t xml:space="preserve">Luo, J. (2024). ‘A critical review of GenAI policies in higher education assessment: A call to reconsider the “originality” of students’ work’. </w:t>
      </w:r>
      <w:r>
        <w:rPr>
          <w:i/>
          <w:iCs/>
          <w:noProof/>
        </w:rPr>
        <w:t xml:space="preserve">Assessment </w:t>
      </w:r>
      <w:r w:rsidR="00D82198">
        <w:rPr>
          <w:i/>
          <w:iCs/>
          <w:noProof/>
        </w:rPr>
        <w:t>and</w:t>
      </w:r>
      <w:r>
        <w:rPr>
          <w:i/>
          <w:iCs/>
          <w:noProof/>
        </w:rPr>
        <w:t xml:space="preserve"> Evaluation in Higher Education</w:t>
      </w:r>
      <w:r>
        <w:rPr>
          <w:noProof/>
        </w:rPr>
        <w:t xml:space="preserve">, 49(5), pp. 651–664. </w:t>
      </w:r>
      <w:r w:rsidR="0028539F">
        <w:rPr>
          <w:noProof/>
        </w:rPr>
        <w:t>DOI</w:t>
      </w:r>
      <w:r>
        <w:rPr>
          <w:noProof/>
        </w:rPr>
        <w:t>: 10.1080/02602938.2024.2309963.</w:t>
      </w:r>
    </w:p>
    <w:p w14:paraId="219DFD1D" w14:textId="4C8567C0" w:rsidR="00F47D60" w:rsidRPr="00F47D60" w:rsidRDefault="006B7ED8" w:rsidP="008261A3">
      <w:pPr>
        <w:pStyle w:val="Bibliography"/>
        <w:ind w:left="720" w:hanging="720"/>
        <w:jc w:val="both"/>
        <w:rPr>
          <w:noProof/>
        </w:rPr>
      </w:pPr>
      <w:r>
        <w:t xml:space="preserve">Mantymaki, M., Minkkinen, M., Birkstedt, T. </w:t>
      </w:r>
      <w:r w:rsidR="00D82198">
        <w:t>and</w:t>
      </w:r>
      <w:r>
        <w:t xml:space="preserve"> Viljanen, M. (2022). ‘Defining organisational AI governance’, </w:t>
      </w:r>
      <w:r>
        <w:rPr>
          <w:rStyle w:val="Emphasis"/>
        </w:rPr>
        <w:t>AI and Ethics</w:t>
      </w:r>
      <w:r>
        <w:t xml:space="preserve">, 2, pp. 603–609. </w:t>
      </w:r>
      <w:r w:rsidR="0028539F">
        <w:rPr>
          <w:noProof/>
        </w:rPr>
        <w:t>DOI</w:t>
      </w:r>
      <w:r>
        <w:rPr>
          <w:noProof/>
        </w:rPr>
        <w:t>:</w:t>
      </w:r>
      <w:r>
        <w:t xml:space="preserve"> </w:t>
      </w:r>
      <w:r w:rsidRPr="006B7ED8">
        <w:rPr>
          <w:rStyle w:val="Strong"/>
          <w:b w:val="0"/>
          <w:bCs w:val="0"/>
        </w:rPr>
        <w:t>10.1007/s43681-022-00143-x</w:t>
      </w:r>
      <w:r w:rsidRPr="006B7ED8">
        <w:rPr>
          <w:b/>
          <w:bCs/>
        </w:rPr>
        <w:t>.</w:t>
      </w:r>
    </w:p>
    <w:p w14:paraId="18803EB5" w14:textId="116B971E" w:rsidR="00AD1BAD" w:rsidRDefault="00AD1BAD" w:rsidP="00F47D60">
      <w:pPr>
        <w:pStyle w:val="Bibliography"/>
        <w:ind w:left="720" w:hanging="720"/>
        <w:jc w:val="both"/>
        <w:rPr>
          <w:b/>
          <w:bCs/>
        </w:rPr>
      </w:pPr>
      <w:r>
        <w:rPr>
          <w:noProof/>
        </w:rPr>
        <w:t>Marin, Y.</w:t>
      </w:r>
      <w:r w:rsidR="003B0E33">
        <w:rPr>
          <w:noProof/>
        </w:rPr>
        <w:t>,</w:t>
      </w:r>
      <w:r>
        <w:rPr>
          <w:noProof/>
        </w:rPr>
        <w:t xml:space="preserve"> </w:t>
      </w:r>
      <w:r w:rsidR="00C31F8D">
        <w:t>Caro, O., Carrasco, A.M., Llanos, A.</w:t>
      </w:r>
      <w:r w:rsidR="003B0E33">
        <w:t>, Perez</w:t>
      </w:r>
      <w:r w:rsidR="00C31F8D">
        <w:t xml:space="preserve">, D., Sanchez, E., Alva, N. </w:t>
      </w:r>
      <w:r w:rsidR="00D82198">
        <w:t>and</w:t>
      </w:r>
      <w:r w:rsidR="00C31F8D">
        <w:t xml:space="preserve"> Chávez, </w:t>
      </w:r>
      <w:r w:rsidR="003B0E33">
        <w:t>R.</w:t>
      </w:r>
      <w:r w:rsidR="003B0E33">
        <w:rPr>
          <w:noProof/>
        </w:rPr>
        <w:t xml:space="preserve"> (</w:t>
      </w:r>
      <w:r>
        <w:rPr>
          <w:noProof/>
        </w:rPr>
        <w:t xml:space="preserve">2025). 'Ethical Challenges Associated with the Use of Artificial Intelligence in Higher Education'. </w:t>
      </w:r>
      <w:r>
        <w:rPr>
          <w:i/>
          <w:iCs/>
          <w:noProof/>
        </w:rPr>
        <w:t>Journal of Academic Ethics</w:t>
      </w:r>
      <w:r w:rsidR="00C31F8D">
        <w:rPr>
          <w:i/>
          <w:iCs/>
          <w:noProof/>
        </w:rPr>
        <w:t xml:space="preserve">, </w:t>
      </w:r>
      <w:r w:rsidR="00C31F8D" w:rsidRPr="00C31F8D">
        <w:rPr>
          <w:rStyle w:val="Strong"/>
          <w:b w:val="0"/>
          <w:bCs w:val="0"/>
        </w:rPr>
        <w:t>23</w:t>
      </w:r>
      <w:r w:rsidR="00C31F8D" w:rsidRPr="00C31F8D">
        <w:rPr>
          <w:b/>
          <w:bCs/>
        </w:rPr>
        <w:t xml:space="preserve">, </w:t>
      </w:r>
      <w:r w:rsidR="00C31F8D" w:rsidRPr="00C31F8D">
        <w:t xml:space="preserve">pp. 2443–2467. </w:t>
      </w:r>
      <w:r w:rsidR="0028539F">
        <w:rPr>
          <w:noProof/>
        </w:rPr>
        <w:t>DOI</w:t>
      </w:r>
      <w:r w:rsidR="00C31F8D" w:rsidRPr="00C31F8D">
        <w:rPr>
          <w:noProof/>
        </w:rPr>
        <w:t>:</w:t>
      </w:r>
      <w:r w:rsidR="00C31F8D" w:rsidRPr="00C31F8D">
        <w:rPr>
          <w:b/>
          <w:bCs/>
        </w:rPr>
        <w:t xml:space="preserve"> </w:t>
      </w:r>
      <w:r w:rsidR="00C31F8D" w:rsidRPr="00C31F8D">
        <w:rPr>
          <w:rStyle w:val="Strong"/>
          <w:b w:val="0"/>
          <w:bCs w:val="0"/>
        </w:rPr>
        <w:t>10.1007/s10805-025-09660-w</w:t>
      </w:r>
      <w:r w:rsidR="00C31F8D" w:rsidRPr="00C31F8D">
        <w:rPr>
          <w:b/>
          <w:bCs/>
        </w:rPr>
        <w:t>.</w:t>
      </w:r>
    </w:p>
    <w:p w14:paraId="407594D7" w14:textId="4384247E" w:rsidR="0078740A" w:rsidRPr="0078740A" w:rsidRDefault="0078740A" w:rsidP="0078740A">
      <w:pPr>
        <w:pStyle w:val="Bibliography"/>
        <w:ind w:left="720" w:hanging="720"/>
        <w:jc w:val="both"/>
        <w:rPr>
          <w:noProof/>
        </w:rPr>
      </w:pPr>
      <w:r w:rsidRPr="0078740A">
        <w:rPr>
          <w:noProof/>
        </w:rPr>
        <w:t>Matovi</w:t>
      </w:r>
      <w:r>
        <w:rPr>
          <w:noProof/>
        </w:rPr>
        <w:t>c</w:t>
      </w:r>
      <w:r w:rsidRPr="0078740A">
        <w:rPr>
          <w:noProof/>
        </w:rPr>
        <w:t xml:space="preserve">, N. </w:t>
      </w:r>
      <w:r w:rsidR="00D82198">
        <w:rPr>
          <w:noProof/>
        </w:rPr>
        <w:t>and</w:t>
      </w:r>
      <w:r w:rsidRPr="0078740A">
        <w:rPr>
          <w:noProof/>
        </w:rPr>
        <w:t xml:space="preserve"> Ovesni, K. (2023).</w:t>
      </w:r>
      <w:r>
        <w:rPr>
          <w:noProof/>
        </w:rPr>
        <w:t xml:space="preserve"> ‘Interaction of quantitative and qualitative methodology in mixed methods research: integration and/or combination’, </w:t>
      </w:r>
      <w:r w:rsidRPr="0078740A">
        <w:rPr>
          <w:i/>
          <w:iCs/>
          <w:noProof/>
        </w:rPr>
        <w:t>International Journal of Social Research Methodology</w:t>
      </w:r>
      <w:r>
        <w:rPr>
          <w:noProof/>
        </w:rPr>
        <w:t xml:space="preserve">, 26(1), pp. 51–65. </w:t>
      </w:r>
      <w:r w:rsidR="0028539F">
        <w:rPr>
          <w:noProof/>
        </w:rPr>
        <w:t>DOI</w:t>
      </w:r>
      <w:r>
        <w:rPr>
          <w:noProof/>
        </w:rPr>
        <w:t xml:space="preserve">: </w:t>
      </w:r>
      <w:r w:rsidRPr="0078740A">
        <w:rPr>
          <w:noProof/>
        </w:rPr>
        <w:t>10.1080/13645579.2021.1964857.</w:t>
      </w:r>
    </w:p>
    <w:p w14:paraId="41D86FDD" w14:textId="1B736CAC" w:rsidR="00613C72" w:rsidRDefault="00613C72" w:rsidP="00613C72">
      <w:pPr>
        <w:pStyle w:val="Bibliography"/>
        <w:ind w:left="720" w:hanging="720"/>
        <w:jc w:val="both"/>
        <w:rPr>
          <w:noProof/>
        </w:rPr>
      </w:pPr>
      <w:r>
        <w:rPr>
          <w:noProof/>
        </w:rPr>
        <w:t xml:space="preserve">McDonald, N., Johri, A., Ali, A., </w:t>
      </w:r>
      <w:r w:rsidR="00D82198">
        <w:rPr>
          <w:noProof/>
        </w:rPr>
        <w:t>and</w:t>
      </w:r>
      <w:r>
        <w:rPr>
          <w:noProof/>
        </w:rPr>
        <w:t xml:space="preserve"> Collier, H. (2025). ‘Generative artificial intelligence in higher education: Evidence from an analysis of institutional policies and guidelines’. </w:t>
      </w:r>
      <w:r>
        <w:rPr>
          <w:i/>
          <w:iCs/>
          <w:noProof/>
        </w:rPr>
        <w:t>Computers in Human Behaviour: Artificial Humans, 3</w:t>
      </w:r>
      <w:r>
        <w:rPr>
          <w:noProof/>
        </w:rPr>
        <w:t xml:space="preserve">, 100121. </w:t>
      </w:r>
      <w:r w:rsidR="0028539F">
        <w:rPr>
          <w:noProof/>
        </w:rPr>
        <w:t>DOI</w:t>
      </w:r>
      <w:r>
        <w:rPr>
          <w:noProof/>
        </w:rPr>
        <w:t>: 10.1016/j.chbah.2025.100121.</w:t>
      </w:r>
    </w:p>
    <w:p w14:paraId="7C28F1DE" w14:textId="07AE2256" w:rsidR="00962EE4" w:rsidRPr="00962EE4" w:rsidRDefault="00E62984" w:rsidP="008261A3">
      <w:pPr>
        <w:pStyle w:val="Bibliography"/>
        <w:ind w:left="720" w:hanging="720"/>
        <w:jc w:val="both"/>
        <w:rPr>
          <w:noProof/>
        </w:rPr>
      </w:pPr>
      <w:r w:rsidRPr="00E62984">
        <w:rPr>
          <w:rStyle w:val="Strong"/>
          <w:b w:val="0"/>
          <w:bCs w:val="0"/>
        </w:rPr>
        <w:t xml:space="preserve">Mehrabi, N., Morstatter, F., Saxena, N., Lerman, K. </w:t>
      </w:r>
      <w:r w:rsidR="00D82198">
        <w:rPr>
          <w:rStyle w:val="Strong"/>
          <w:b w:val="0"/>
          <w:bCs w:val="0"/>
        </w:rPr>
        <w:t>and</w:t>
      </w:r>
      <w:r w:rsidRPr="00E62984">
        <w:rPr>
          <w:rStyle w:val="Strong"/>
          <w:b w:val="0"/>
          <w:bCs w:val="0"/>
        </w:rPr>
        <w:t xml:space="preserve"> Galstyan, A. (2021).</w:t>
      </w:r>
      <w:r>
        <w:t xml:space="preserve"> ‘A survey on bias and fairness in machine learning’, </w:t>
      </w:r>
      <w:r>
        <w:rPr>
          <w:rStyle w:val="Emphasis"/>
        </w:rPr>
        <w:t>ACM Computing Surveys</w:t>
      </w:r>
      <w:r>
        <w:t xml:space="preserve">, </w:t>
      </w:r>
      <w:r w:rsidRPr="00E62984">
        <w:rPr>
          <w:rStyle w:val="Strong"/>
          <w:b w:val="0"/>
          <w:bCs w:val="0"/>
        </w:rPr>
        <w:t>54</w:t>
      </w:r>
      <w:r>
        <w:t xml:space="preserve">(6), pp. 1–35. </w:t>
      </w:r>
      <w:r w:rsidR="0028539F">
        <w:rPr>
          <w:noProof/>
        </w:rPr>
        <w:t>DOI</w:t>
      </w:r>
      <w:r w:rsidR="00DD1FC8">
        <w:rPr>
          <w:noProof/>
        </w:rPr>
        <w:t>:</w:t>
      </w:r>
      <w:r w:rsidR="00DD1FC8">
        <w:t xml:space="preserve"> </w:t>
      </w:r>
      <w:r>
        <w:t xml:space="preserve"> </w:t>
      </w:r>
      <w:r w:rsidRPr="00E62984">
        <w:rPr>
          <w:rStyle w:val="Strong"/>
          <w:b w:val="0"/>
          <w:bCs w:val="0"/>
        </w:rPr>
        <w:t>10.1145/3457607</w:t>
      </w:r>
      <w:r w:rsidRPr="00E62984">
        <w:rPr>
          <w:b/>
          <w:bCs/>
        </w:rPr>
        <w:t>.</w:t>
      </w:r>
    </w:p>
    <w:p w14:paraId="07BD1B85" w14:textId="32402EE6" w:rsidR="000A241B" w:rsidRDefault="000A241B" w:rsidP="000A241B">
      <w:pPr>
        <w:pStyle w:val="Bibliography"/>
        <w:ind w:left="720" w:hanging="720"/>
        <w:jc w:val="both"/>
        <w:rPr>
          <w:noProof/>
        </w:rPr>
      </w:pPr>
      <w:r>
        <w:rPr>
          <w:noProof/>
        </w:rPr>
        <w:t xml:space="preserve">Memarian, </w:t>
      </w:r>
      <w:r>
        <w:t xml:space="preserve">B. </w:t>
      </w:r>
      <w:r w:rsidR="00D82198">
        <w:t>and</w:t>
      </w:r>
      <w:r>
        <w:t xml:space="preserve"> Doleck, T.</w:t>
      </w:r>
      <w:r>
        <w:rPr>
          <w:noProof/>
        </w:rPr>
        <w:t xml:space="preserve"> (2023). ‘Fairness, accountability, transparency, and ethics (FATE) in artificial intelligence (AI) and higher education: A systematic review’. </w:t>
      </w:r>
      <w:r>
        <w:rPr>
          <w:i/>
          <w:iCs/>
          <w:noProof/>
        </w:rPr>
        <w:t>Computers and Education: Artificial Intelligence</w:t>
      </w:r>
      <w:r>
        <w:rPr>
          <w:noProof/>
        </w:rPr>
        <w:t xml:space="preserve">, 5, 100152. </w:t>
      </w:r>
      <w:r w:rsidR="0028539F">
        <w:rPr>
          <w:noProof/>
        </w:rPr>
        <w:t>DOI</w:t>
      </w:r>
      <w:r>
        <w:rPr>
          <w:noProof/>
        </w:rPr>
        <w:t>: 10.1016/j.caeai.2023.100152.</w:t>
      </w:r>
    </w:p>
    <w:p w14:paraId="433912EF" w14:textId="291CC5D5" w:rsidR="00180D63" w:rsidRPr="00180D63" w:rsidRDefault="00AD48CB" w:rsidP="00226E04">
      <w:pPr>
        <w:pStyle w:val="Bibliography"/>
        <w:ind w:left="720" w:hanging="720"/>
        <w:jc w:val="both"/>
        <w:rPr>
          <w:noProof/>
        </w:rPr>
      </w:pPr>
      <w:r w:rsidRPr="00AD48CB">
        <w:rPr>
          <w:rStyle w:val="Strong"/>
          <w:b w:val="0"/>
          <w:bCs w:val="0"/>
        </w:rPr>
        <w:t xml:space="preserve">Mercier, J., Sanders, J. </w:t>
      </w:r>
      <w:r w:rsidR="00D82198">
        <w:rPr>
          <w:rStyle w:val="Strong"/>
          <w:b w:val="0"/>
          <w:bCs w:val="0"/>
        </w:rPr>
        <w:t>and</w:t>
      </w:r>
      <w:r w:rsidRPr="00AD48CB">
        <w:rPr>
          <w:rStyle w:val="Strong"/>
          <w:b w:val="0"/>
          <w:bCs w:val="0"/>
        </w:rPr>
        <w:t xml:space="preserve"> Munford, R. (2023).</w:t>
      </w:r>
      <w:r w:rsidRPr="00AD48CB">
        <w:rPr>
          <w:b/>
          <w:bCs/>
        </w:rPr>
        <w:t xml:space="preserve"> </w:t>
      </w:r>
      <w:r>
        <w:t xml:space="preserve">‘Fine Companions: Critical Realism and Framework Analysis’, </w:t>
      </w:r>
      <w:r>
        <w:rPr>
          <w:rStyle w:val="Emphasis"/>
        </w:rPr>
        <w:t>International Journal of Qualitative Methods</w:t>
      </w:r>
      <w:r>
        <w:t>, 22.</w:t>
      </w:r>
      <w:r>
        <w:rPr>
          <w:noProof/>
        </w:rPr>
        <w:t xml:space="preserve"> </w:t>
      </w:r>
      <w:r w:rsidR="0028539F">
        <w:rPr>
          <w:noProof/>
        </w:rPr>
        <w:t>DOI</w:t>
      </w:r>
      <w:r>
        <w:rPr>
          <w:noProof/>
        </w:rPr>
        <w:t>:</w:t>
      </w:r>
      <w:r>
        <w:t xml:space="preserve"> </w:t>
      </w:r>
      <w:r w:rsidRPr="00AD48CB">
        <w:rPr>
          <w:rStyle w:val="Strong"/>
          <w:b w:val="0"/>
          <w:bCs w:val="0"/>
        </w:rPr>
        <w:t>10.1177/16094069231220129</w:t>
      </w:r>
      <w:r w:rsidRPr="00AD48CB">
        <w:rPr>
          <w:b/>
          <w:bCs/>
        </w:rPr>
        <w:t>.</w:t>
      </w:r>
    </w:p>
    <w:p w14:paraId="7FFA207A" w14:textId="0F41E831" w:rsidR="00180D63" w:rsidRDefault="00227798" w:rsidP="00F47D60">
      <w:pPr>
        <w:pStyle w:val="Bibliography"/>
        <w:ind w:left="720" w:hanging="720"/>
        <w:jc w:val="both"/>
        <w:rPr>
          <w:noProof/>
        </w:rPr>
      </w:pPr>
      <w:r w:rsidRPr="00227798">
        <w:rPr>
          <w:rStyle w:val="Strong"/>
          <w:b w:val="0"/>
          <w:bCs w:val="0"/>
        </w:rPr>
        <w:t xml:space="preserve">Mikalef, P. </w:t>
      </w:r>
      <w:r w:rsidR="00D82198">
        <w:rPr>
          <w:rStyle w:val="Strong"/>
          <w:b w:val="0"/>
          <w:bCs w:val="0"/>
        </w:rPr>
        <w:t>and</w:t>
      </w:r>
      <w:r w:rsidRPr="00227798">
        <w:rPr>
          <w:rStyle w:val="Strong"/>
          <w:b w:val="0"/>
          <w:bCs w:val="0"/>
        </w:rPr>
        <w:t xml:space="preserve"> Gupta, M. (2021).</w:t>
      </w:r>
      <w:r>
        <w:t xml:space="preserve"> ‘Artificial intelligence capability: Conceptualisation, measurement calibration, and empirical study on its impact on organisational creativity and firm performance’, </w:t>
      </w:r>
      <w:r>
        <w:rPr>
          <w:rStyle w:val="Emphasis"/>
        </w:rPr>
        <w:t xml:space="preserve">Information </w:t>
      </w:r>
      <w:r w:rsidR="00D82198">
        <w:rPr>
          <w:rStyle w:val="Emphasis"/>
        </w:rPr>
        <w:t>and</w:t>
      </w:r>
      <w:r>
        <w:rPr>
          <w:rStyle w:val="Emphasis"/>
        </w:rPr>
        <w:t xml:space="preserve"> Management</w:t>
      </w:r>
      <w:r>
        <w:t xml:space="preserve">, </w:t>
      </w:r>
      <w:r w:rsidRPr="00227798">
        <w:rPr>
          <w:rStyle w:val="Strong"/>
          <w:b w:val="0"/>
          <w:bCs w:val="0"/>
        </w:rPr>
        <w:t>58(3)</w:t>
      </w:r>
      <w:r w:rsidRPr="00227798">
        <w:rPr>
          <w:b/>
          <w:bCs/>
        </w:rPr>
        <w:t>,</w:t>
      </w:r>
      <w:r>
        <w:t xml:space="preserve"> 103434. </w:t>
      </w:r>
      <w:r w:rsidR="0028539F">
        <w:rPr>
          <w:noProof/>
        </w:rPr>
        <w:t>DOI</w:t>
      </w:r>
      <w:r>
        <w:rPr>
          <w:noProof/>
        </w:rPr>
        <w:t>:</w:t>
      </w:r>
      <w:r>
        <w:t xml:space="preserve">  </w:t>
      </w:r>
      <w:r w:rsidRPr="00227798">
        <w:rPr>
          <w:rStyle w:val="Strong"/>
          <w:b w:val="0"/>
          <w:bCs w:val="0"/>
        </w:rPr>
        <w:t>10.1016/j.im.2021.103434.</w:t>
      </w:r>
    </w:p>
    <w:p w14:paraId="36C91DA6" w14:textId="248D2D8A" w:rsidR="00135A96" w:rsidRDefault="00135A96" w:rsidP="00135A96">
      <w:pPr>
        <w:pStyle w:val="Bibliography"/>
        <w:ind w:left="720" w:hanging="720"/>
        <w:jc w:val="both"/>
        <w:rPr>
          <w:noProof/>
        </w:rPr>
      </w:pPr>
      <w:r>
        <w:rPr>
          <w:noProof/>
        </w:rPr>
        <w:t xml:space="preserve">Misra, D., Nirmal, P., </w:t>
      </w:r>
      <w:r w:rsidR="00D82198">
        <w:rPr>
          <w:noProof/>
        </w:rPr>
        <w:t>and</w:t>
      </w:r>
      <w:r>
        <w:rPr>
          <w:noProof/>
        </w:rPr>
        <w:t xml:space="preserve"> Bhat, M. (2026). ‘Self-Regulated Learning and Governance of AI in Higher Education’. </w:t>
      </w:r>
      <w:r>
        <w:rPr>
          <w:i/>
          <w:iCs/>
          <w:noProof/>
        </w:rPr>
        <w:t>Higher Education Quarterly</w:t>
      </w:r>
      <w:r>
        <w:rPr>
          <w:noProof/>
        </w:rPr>
        <w:t xml:space="preserve">, 80(1), e70079. </w:t>
      </w:r>
      <w:r w:rsidR="0028539F">
        <w:rPr>
          <w:noProof/>
        </w:rPr>
        <w:t>DOI</w:t>
      </w:r>
      <w:r>
        <w:rPr>
          <w:noProof/>
        </w:rPr>
        <w:t>: 10.1111/hequ.70079.</w:t>
      </w:r>
    </w:p>
    <w:p w14:paraId="3CA6EC8F" w14:textId="6BB8B8F6" w:rsidR="000A241B" w:rsidRDefault="000A241B" w:rsidP="000A241B">
      <w:pPr>
        <w:pStyle w:val="Bibliography"/>
        <w:ind w:left="720" w:hanging="720"/>
        <w:jc w:val="both"/>
        <w:rPr>
          <w:noProof/>
        </w:rPr>
      </w:pPr>
      <w:r>
        <w:rPr>
          <w:noProof/>
        </w:rPr>
        <w:t xml:space="preserve">Moore, S. </w:t>
      </w:r>
      <w:r w:rsidR="00D82198">
        <w:rPr>
          <w:noProof/>
        </w:rPr>
        <w:t>and</w:t>
      </w:r>
      <w:r>
        <w:rPr>
          <w:noProof/>
        </w:rPr>
        <w:t xml:space="preserve"> </w:t>
      </w:r>
      <w:r>
        <w:t>Lookadoo, K.</w:t>
      </w:r>
      <w:r>
        <w:rPr>
          <w:noProof/>
        </w:rPr>
        <w:t xml:space="preserve"> (2024). ‘Communicating clear guidance: Advice for generative AI policy development in higher education’. </w:t>
      </w:r>
      <w:r>
        <w:rPr>
          <w:i/>
          <w:iCs/>
          <w:noProof/>
        </w:rPr>
        <w:t>Business and Professional Communication Quarterly</w:t>
      </w:r>
      <w:r>
        <w:rPr>
          <w:noProof/>
        </w:rPr>
        <w:t xml:space="preserve">, 87(4), pp. 610–629. </w:t>
      </w:r>
      <w:r w:rsidR="0028539F">
        <w:rPr>
          <w:noProof/>
        </w:rPr>
        <w:t>DOI</w:t>
      </w:r>
      <w:r>
        <w:rPr>
          <w:noProof/>
        </w:rPr>
        <w:t>: 10.1177/23294906241254786.</w:t>
      </w:r>
    </w:p>
    <w:p w14:paraId="4235F626" w14:textId="1C425291" w:rsidR="007009B3" w:rsidRDefault="000A241B" w:rsidP="0063789F">
      <w:pPr>
        <w:pStyle w:val="Bibliography"/>
        <w:ind w:left="720" w:hanging="720"/>
        <w:jc w:val="both"/>
        <w:rPr>
          <w:noProof/>
        </w:rPr>
      </w:pPr>
      <w:r>
        <w:rPr>
          <w:noProof/>
        </w:rPr>
        <w:t xml:space="preserve">Moorhouse, </w:t>
      </w:r>
      <w:r>
        <w:t xml:space="preserve">B., Yeo, M. </w:t>
      </w:r>
      <w:r w:rsidR="00D82198">
        <w:t>and</w:t>
      </w:r>
      <w:r>
        <w:t xml:space="preserve"> Wan, Y. </w:t>
      </w:r>
      <w:r>
        <w:rPr>
          <w:noProof/>
        </w:rPr>
        <w:t xml:space="preserve">(2023). ‘Generative AI tools and assessment: Guidelines of the world’s top-ranking universities’. </w:t>
      </w:r>
      <w:r>
        <w:rPr>
          <w:i/>
          <w:iCs/>
          <w:noProof/>
        </w:rPr>
        <w:t>Computers and Education Open</w:t>
      </w:r>
      <w:r>
        <w:rPr>
          <w:noProof/>
        </w:rPr>
        <w:t xml:space="preserve">, 5, 100151. </w:t>
      </w:r>
      <w:r w:rsidR="0028539F">
        <w:rPr>
          <w:noProof/>
        </w:rPr>
        <w:t>DOI</w:t>
      </w:r>
      <w:r>
        <w:rPr>
          <w:noProof/>
        </w:rPr>
        <w:t>: 10.1016/j.caeo.2023.100151.</w:t>
      </w:r>
    </w:p>
    <w:p w14:paraId="0E82F3AD" w14:textId="6BC0B115" w:rsidR="00C31DCD" w:rsidRPr="00C31DCD" w:rsidRDefault="00A0679B" w:rsidP="008261A3">
      <w:pPr>
        <w:pStyle w:val="Bibliography"/>
        <w:ind w:left="720" w:hanging="720"/>
        <w:jc w:val="both"/>
        <w:rPr>
          <w:noProof/>
        </w:rPr>
      </w:pPr>
      <w:r w:rsidRPr="00A0679B">
        <w:rPr>
          <w:rStyle w:val="Strong"/>
          <w:b w:val="0"/>
          <w:bCs w:val="0"/>
        </w:rPr>
        <w:t xml:space="preserve">Morrison, A., Polisena, J., Husereau, D., Moulton, K., Clark, M., Fiander, M., Mierzwinski-Urban, M., Clifford, T., Hutton, B. </w:t>
      </w:r>
      <w:r w:rsidR="00D82198">
        <w:rPr>
          <w:rStyle w:val="Strong"/>
          <w:b w:val="0"/>
          <w:bCs w:val="0"/>
        </w:rPr>
        <w:t>and</w:t>
      </w:r>
      <w:r w:rsidRPr="00A0679B">
        <w:rPr>
          <w:rStyle w:val="Strong"/>
          <w:b w:val="0"/>
          <w:bCs w:val="0"/>
        </w:rPr>
        <w:t xml:space="preserve"> Rabb, D. (2012)</w:t>
      </w:r>
      <w:r w:rsidR="00640D5D">
        <w:rPr>
          <w:rStyle w:val="Strong"/>
          <w:b w:val="0"/>
          <w:bCs w:val="0"/>
        </w:rPr>
        <w:t>.</w:t>
      </w:r>
      <w:r w:rsidRPr="00A0679B">
        <w:rPr>
          <w:b/>
          <w:bCs/>
        </w:rPr>
        <w:t xml:space="preserve"> </w:t>
      </w:r>
      <w:r>
        <w:t xml:space="preserve">‘The effect of English-language restriction on systematic review-based meta-analyses: a systematic review of empirical studies’, </w:t>
      </w:r>
      <w:r>
        <w:rPr>
          <w:rStyle w:val="Emphasis"/>
        </w:rPr>
        <w:lastRenderedPageBreak/>
        <w:t>International Journal of Technology Assessment in Health Care</w:t>
      </w:r>
      <w:r>
        <w:t xml:space="preserve">, </w:t>
      </w:r>
      <w:r w:rsidRPr="00A0679B">
        <w:rPr>
          <w:rStyle w:val="Strong"/>
          <w:b w:val="0"/>
          <w:bCs w:val="0"/>
        </w:rPr>
        <w:t>28</w:t>
      </w:r>
      <w:r>
        <w:t xml:space="preserve">(2), pp. 138–144. </w:t>
      </w:r>
      <w:r w:rsidR="0028539F">
        <w:rPr>
          <w:noProof/>
        </w:rPr>
        <w:t>DOI</w:t>
      </w:r>
      <w:r w:rsidRPr="00A0679B">
        <w:rPr>
          <w:rStyle w:val="Strong"/>
          <w:b w:val="0"/>
          <w:bCs w:val="0"/>
        </w:rPr>
        <w:t>: 10.1017/S0266462312000086</w:t>
      </w:r>
    </w:p>
    <w:p w14:paraId="7925B728" w14:textId="3E91E8F4" w:rsidR="007009B3" w:rsidRPr="007009B3" w:rsidRDefault="00AB7D48" w:rsidP="008261A3">
      <w:pPr>
        <w:pStyle w:val="Bibliography"/>
        <w:ind w:left="720" w:hanging="720"/>
        <w:jc w:val="both"/>
        <w:rPr>
          <w:noProof/>
        </w:rPr>
      </w:pPr>
      <w:r w:rsidRPr="00AB7D48">
        <w:rPr>
          <w:rStyle w:val="Strong"/>
          <w:b w:val="0"/>
          <w:bCs w:val="0"/>
        </w:rPr>
        <w:t xml:space="preserve">Mosha, N., Chigwada, J., Ketchiwou, G. </w:t>
      </w:r>
      <w:r w:rsidR="00D82198">
        <w:rPr>
          <w:rStyle w:val="Strong"/>
          <w:b w:val="0"/>
          <w:bCs w:val="0"/>
        </w:rPr>
        <w:t>and</w:t>
      </w:r>
      <w:r w:rsidRPr="00AB7D48">
        <w:rPr>
          <w:rStyle w:val="Strong"/>
          <w:b w:val="0"/>
          <w:bCs w:val="0"/>
        </w:rPr>
        <w:t xml:space="preserve"> Ngulube, P. (2026).</w:t>
      </w:r>
      <w:r>
        <w:t xml:space="preserve"> ‘A systematic review of artificial intelligence in higher education institutions (HEIs): Functionalities, challenges, and best practices’, </w:t>
      </w:r>
      <w:r>
        <w:rPr>
          <w:rStyle w:val="Emphasis"/>
        </w:rPr>
        <w:t>Education Sciences</w:t>
      </w:r>
      <w:r>
        <w:t xml:space="preserve">, </w:t>
      </w:r>
      <w:r w:rsidRPr="00AB7D48">
        <w:rPr>
          <w:rStyle w:val="Strong"/>
          <w:b w:val="0"/>
          <w:bCs w:val="0"/>
        </w:rPr>
        <w:t>16</w:t>
      </w:r>
      <w:r>
        <w:t xml:space="preserve">(2), 185. </w:t>
      </w:r>
      <w:r w:rsidR="0028539F">
        <w:rPr>
          <w:noProof/>
        </w:rPr>
        <w:t>DOI</w:t>
      </w:r>
      <w:r w:rsidR="00B71A15">
        <w:rPr>
          <w:noProof/>
        </w:rPr>
        <w:t>:</w:t>
      </w:r>
      <w:r>
        <w:t xml:space="preserve"> </w:t>
      </w:r>
      <w:r w:rsidRPr="00AB7D48">
        <w:rPr>
          <w:rStyle w:val="Strong"/>
          <w:b w:val="0"/>
          <w:bCs w:val="0"/>
        </w:rPr>
        <w:t>10.3390/educsci16020185</w:t>
      </w:r>
      <w:r w:rsidRPr="00AB7D48">
        <w:rPr>
          <w:b/>
          <w:bCs/>
        </w:rPr>
        <w:t>.</w:t>
      </w:r>
    </w:p>
    <w:p w14:paraId="771C7A3F" w14:textId="4FCF08BF" w:rsidR="005A5C19" w:rsidRDefault="005A5C19" w:rsidP="005A5C19">
      <w:pPr>
        <w:pStyle w:val="Bibliography"/>
        <w:ind w:left="720" w:hanging="720"/>
        <w:jc w:val="both"/>
        <w:rPr>
          <w:noProof/>
        </w:rPr>
      </w:pPr>
      <w:r>
        <w:rPr>
          <w:noProof/>
        </w:rPr>
        <w:t xml:space="preserve">Nartey, A. (2024). ‘Guiding principles of generative AI for employability and learning in UK universities’. </w:t>
      </w:r>
      <w:r>
        <w:rPr>
          <w:i/>
          <w:iCs/>
          <w:noProof/>
        </w:rPr>
        <w:t>Cogent Education, 11</w:t>
      </w:r>
      <w:r>
        <w:rPr>
          <w:noProof/>
        </w:rPr>
        <w:t xml:space="preserve">(1), 2357898. </w:t>
      </w:r>
      <w:r w:rsidR="0028539F">
        <w:rPr>
          <w:noProof/>
        </w:rPr>
        <w:t>DOI</w:t>
      </w:r>
      <w:r w:rsidR="00126131">
        <w:rPr>
          <w:noProof/>
        </w:rPr>
        <w:t xml:space="preserve">: </w:t>
      </w:r>
      <w:r w:rsidR="00126131">
        <w:t xml:space="preserve"> 10.1080/2331186X.2024.2357898.</w:t>
      </w:r>
    </w:p>
    <w:p w14:paraId="48E93CAA" w14:textId="5A810839" w:rsidR="00135A96" w:rsidRDefault="00A71AE2" w:rsidP="00296E6A">
      <w:pPr>
        <w:pStyle w:val="Bibliography"/>
        <w:ind w:left="720" w:hanging="720"/>
        <w:jc w:val="both"/>
        <w:rPr>
          <w:noProof/>
        </w:rPr>
      </w:pPr>
      <w:r>
        <w:rPr>
          <w:noProof/>
        </w:rPr>
        <w:t>Nnaji, I., Ayanwale, M., Ukeje, I.</w:t>
      </w:r>
      <w:r w:rsidR="0060458D">
        <w:rPr>
          <w:noProof/>
        </w:rPr>
        <w:t>,</w:t>
      </w:r>
      <w:r>
        <w:rPr>
          <w:noProof/>
        </w:rPr>
        <w:t xml:space="preserve"> Ekwunife, A., Igwe, C., Okwor, E.</w:t>
      </w:r>
      <w:r w:rsidR="00E37B2B">
        <w:rPr>
          <w:noProof/>
        </w:rPr>
        <w:t xml:space="preserve">, </w:t>
      </w:r>
      <w:r w:rsidR="00D82198">
        <w:rPr>
          <w:noProof/>
        </w:rPr>
        <w:t>and</w:t>
      </w:r>
      <w:r>
        <w:rPr>
          <w:noProof/>
        </w:rPr>
        <w:t xml:space="preserve"> Nwuzor, C. (2026)</w:t>
      </w:r>
      <w:r w:rsidR="006139EA">
        <w:rPr>
          <w:noProof/>
        </w:rPr>
        <w:t>.</w:t>
      </w:r>
      <w:r>
        <w:rPr>
          <w:noProof/>
        </w:rPr>
        <w:t xml:space="preserve"> ‘Enhancing governance and performance in Nigerian higher education through AI-driven digital transformation: Insights from stakeholder perspectives’, </w:t>
      </w:r>
      <w:r w:rsidRPr="00296E6A">
        <w:rPr>
          <w:i/>
          <w:iCs/>
          <w:noProof/>
        </w:rPr>
        <w:t xml:space="preserve">Social Sciences </w:t>
      </w:r>
      <w:r w:rsidR="00D82198">
        <w:rPr>
          <w:i/>
          <w:iCs/>
          <w:noProof/>
        </w:rPr>
        <w:t>and</w:t>
      </w:r>
      <w:r w:rsidRPr="00296E6A">
        <w:rPr>
          <w:i/>
          <w:iCs/>
          <w:noProof/>
        </w:rPr>
        <w:t xml:space="preserve"> Humanities Open</w:t>
      </w:r>
      <w:r>
        <w:rPr>
          <w:noProof/>
        </w:rPr>
        <w:t xml:space="preserve">, 13, 102348. </w:t>
      </w:r>
      <w:r w:rsidR="0028539F">
        <w:rPr>
          <w:noProof/>
        </w:rPr>
        <w:t>DOI</w:t>
      </w:r>
      <w:r w:rsidR="00E37B2B">
        <w:rPr>
          <w:noProof/>
        </w:rPr>
        <w:t>:</w:t>
      </w:r>
      <w:r>
        <w:rPr>
          <w:noProof/>
        </w:rPr>
        <w:t xml:space="preserve"> </w:t>
      </w:r>
      <w:r w:rsidRPr="00296E6A">
        <w:rPr>
          <w:noProof/>
        </w:rPr>
        <w:t>10.1016/j.ssaho.2025.102348.</w:t>
      </w:r>
    </w:p>
    <w:p w14:paraId="50FE8D63" w14:textId="212B3EA8" w:rsidR="00D233D9" w:rsidRPr="00D233D9" w:rsidRDefault="00450BA1" w:rsidP="008261A3">
      <w:pPr>
        <w:pStyle w:val="Bibliography"/>
        <w:ind w:left="720" w:hanging="720"/>
        <w:jc w:val="both"/>
        <w:rPr>
          <w:noProof/>
        </w:rPr>
      </w:pPr>
      <w:r w:rsidRPr="00450BA1">
        <w:rPr>
          <w:rStyle w:val="Strong"/>
          <w:b w:val="0"/>
          <w:bCs w:val="0"/>
        </w:rPr>
        <w:t>Ocen, S., Elasu, J., Aarakit, S. and Olupot, C. (2025).</w:t>
      </w:r>
      <w:r>
        <w:t xml:space="preserve"> ‘Artificial intelligence in higher education institutions: review of innovations, opportunities and challenges’, </w:t>
      </w:r>
      <w:r>
        <w:rPr>
          <w:rStyle w:val="Emphasis"/>
        </w:rPr>
        <w:t>Frontiers in Education</w:t>
      </w:r>
      <w:r>
        <w:t>, 10, 1530247.</w:t>
      </w:r>
      <w:r w:rsidRPr="00450BA1">
        <w:t xml:space="preserve"> </w:t>
      </w:r>
      <w:r w:rsidR="0028539F">
        <w:rPr>
          <w:noProof/>
        </w:rPr>
        <w:t>DOI</w:t>
      </w:r>
      <w:r w:rsidR="00640D5D">
        <w:rPr>
          <w:noProof/>
        </w:rPr>
        <w:t>:</w:t>
      </w:r>
      <w:r w:rsidRPr="00450BA1">
        <w:rPr>
          <w:rStyle w:val="Strong"/>
          <w:b w:val="0"/>
          <w:bCs w:val="0"/>
        </w:rPr>
        <w:t xml:space="preserve"> 10.3389/feduc.2025.1530247.</w:t>
      </w:r>
      <w:r w:rsidRPr="00450BA1">
        <w:rPr>
          <w:b/>
          <w:bCs/>
        </w:rPr>
        <w:t xml:space="preserve"> </w:t>
      </w:r>
    </w:p>
    <w:p w14:paraId="75C953AC" w14:textId="53D058E3" w:rsidR="006539F3" w:rsidRDefault="006647C0" w:rsidP="006539F3">
      <w:pPr>
        <w:pStyle w:val="Bibliography"/>
        <w:ind w:left="720" w:hanging="720"/>
        <w:jc w:val="both"/>
        <w:rPr>
          <w:noProof/>
        </w:rPr>
      </w:pPr>
      <w:r w:rsidRPr="006647C0">
        <w:rPr>
          <w:rStyle w:val="Strong"/>
          <w:b w:val="0"/>
          <w:bCs w:val="0"/>
        </w:rPr>
        <w:t>OECD (2019).</w:t>
      </w:r>
      <w:r>
        <w:t xml:space="preserve"> ‘What are the OECD Principles on AI?’, </w:t>
      </w:r>
      <w:r>
        <w:rPr>
          <w:rStyle w:val="Emphasis"/>
        </w:rPr>
        <w:t>OECD Observer</w:t>
      </w:r>
      <w:r>
        <w:t>, 2019.</w:t>
      </w:r>
      <w:r w:rsidR="003025DC">
        <w:t xml:space="preserve"> </w:t>
      </w:r>
      <w:r w:rsidR="0028539F">
        <w:rPr>
          <w:noProof/>
        </w:rPr>
        <w:t>DOI</w:t>
      </w:r>
      <w:r w:rsidR="003025DC">
        <w:rPr>
          <w:noProof/>
        </w:rPr>
        <w:t>:</w:t>
      </w:r>
      <w:r w:rsidRPr="006647C0">
        <w:rPr>
          <w:rStyle w:val="Strong"/>
          <w:b w:val="0"/>
          <w:bCs w:val="0"/>
        </w:rPr>
        <w:t xml:space="preserve"> 10.1787/6ff2a1c4-en</w:t>
      </w:r>
      <w:r w:rsidRPr="006647C0">
        <w:rPr>
          <w:b/>
          <w:bCs/>
        </w:rPr>
        <w:t>.</w:t>
      </w:r>
      <w:r w:rsidR="006539F3">
        <w:rPr>
          <w:noProof/>
        </w:rPr>
        <w:t xml:space="preserve"> </w:t>
      </w:r>
    </w:p>
    <w:p w14:paraId="77E7B667" w14:textId="5A7E1945" w:rsidR="000D288B" w:rsidRPr="0036510E" w:rsidRDefault="0094639C" w:rsidP="0036510E">
      <w:pPr>
        <w:pStyle w:val="Bibliography"/>
        <w:ind w:left="720" w:hanging="720"/>
        <w:jc w:val="both"/>
        <w:rPr>
          <w:rStyle w:val="Strong"/>
        </w:rPr>
      </w:pPr>
      <w:r w:rsidRPr="0094639C">
        <w:rPr>
          <w:rStyle w:val="Strong"/>
          <w:b w:val="0"/>
          <w:bCs w:val="0"/>
        </w:rPr>
        <w:t>OECD (2021)</w:t>
      </w:r>
      <w:r w:rsidRPr="0036510E">
        <w:rPr>
          <w:rStyle w:val="Strong"/>
        </w:rPr>
        <w:t xml:space="preserve"> </w:t>
      </w:r>
      <w:r w:rsidRPr="0036510E">
        <w:rPr>
          <w:rStyle w:val="Strong"/>
          <w:b w:val="0"/>
          <w:bCs w:val="0"/>
          <w:i/>
          <w:iCs/>
        </w:rPr>
        <w:t>Recommendation of the Council on Artificial Intelligence</w:t>
      </w:r>
      <w:r w:rsidRPr="0036510E">
        <w:rPr>
          <w:rStyle w:val="Strong"/>
          <w:b w:val="0"/>
          <w:bCs w:val="0"/>
        </w:rPr>
        <w:t>. Paris: Organisation for Economic Co-operation and Development. OECD/LEGAL/0449.</w:t>
      </w:r>
    </w:p>
    <w:p w14:paraId="46C4FBFA" w14:textId="361C3178" w:rsidR="00D02D88" w:rsidRPr="00D02D88" w:rsidRDefault="003025DC" w:rsidP="008261A3">
      <w:pPr>
        <w:pStyle w:val="Bibliography"/>
        <w:ind w:left="720" w:hanging="720"/>
        <w:jc w:val="both"/>
        <w:rPr>
          <w:noProof/>
        </w:rPr>
      </w:pPr>
      <w:r w:rsidRPr="003025DC">
        <w:rPr>
          <w:rStyle w:val="Strong"/>
          <w:b w:val="0"/>
          <w:bCs w:val="0"/>
        </w:rPr>
        <w:t>OECD</w:t>
      </w:r>
      <w:r>
        <w:rPr>
          <w:rStyle w:val="Strong"/>
          <w:b w:val="0"/>
          <w:bCs w:val="0"/>
        </w:rPr>
        <w:t xml:space="preserve"> </w:t>
      </w:r>
      <w:r w:rsidRPr="003025DC">
        <w:rPr>
          <w:rStyle w:val="Strong"/>
          <w:b w:val="0"/>
          <w:bCs w:val="0"/>
        </w:rPr>
        <w:t>(2026).</w:t>
      </w:r>
      <w:r>
        <w:t xml:space="preserve"> </w:t>
      </w:r>
      <w:r>
        <w:rPr>
          <w:rStyle w:val="Emphasis"/>
        </w:rPr>
        <w:t>Policies supporting responsible and systematic GenAI adoption in higher education</w:t>
      </w:r>
      <w:r>
        <w:t xml:space="preserve">. OECD Education Spotlights, No. 23. </w:t>
      </w:r>
      <w:r w:rsidR="0028539F">
        <w:rPr>
          <w:noProof/>
        </w:rPr>
        <w:t>DOI</w:t>
      </w:r>
      <w:r>
        <w:rPr>
          <w:noProof/>
        </w:rPr>
        <w:t>:</w:t>
      </w:r>
      <w:r w:rsidRPr="003025DC">
        <w:rPr>
          <w:rStyle w:val="Strong"/>
          <w:b w:val="0"/>
          <w:bCs w:val="0"/>
        </w:rPr>
        <w:t xml:space="preserve"> 10.1787/c4e5621f-en</w:t>
      </w:r>
      <w:r w:rsidRPr="003025DC">
        <w:rPr>
          <w:b/>
          <w:bCs/>
        </w:rPr>
        <w:t>.</w:t>
      </w:r>
    </w:p>
    <w:p w14:paraId="372127C0" w14:textId="15BBA4F7" w:rsidR="00834225" w:rsidRPr="00834225" w:rsidRDefault="00834225" w:rsidP="008261A3">
      <w:pPr>
        <w:pStyle w:val="Bibliography"/>
        <w:ind w:left="720" w:hanging="720"/>
        <w:jc w:val="both"/>
        <w:rPr>
          <w:noProof/>
        </w:rPr>
      </w:pPr>
      <w:r>
        <w:rPr>
          <w:noProof/>
        </w:rPr>
        <w:t xml:space="preserve">Office for Students. (2022). </w:t>
      </w:r>
      <w:r>
        <w:rPr>
          <w:i/>
          <w:iCs/>
          <w:noProof/>
        </w:rPr>
        <w:t>Securing student success: Regulatory framework for higher education in England.</w:t>
      </w:r>
      <w:r>
        <w:rPr>
          <w:noProof/>
        </w:rPr>
        <w:t xml:space="preserve"> Available at:</w:t>
      </w:r>
      <w:hyperlink r:id="rId15" w:history="1">
        <w:r>
          <w:rPr>
            <w:rStyle w:val="Hyperlink"/>
          </w:rPr>
          <w:t xml:space="preserve"> Regulatory framework for higher education in England - Office for Students</w:t>
        </w:r>
      </w:hyperlink>
      <w:r>
        <w:rPr>
          <w:noProof/>
        </w:rPr>
        <w:t xml:space="preserve">. (Accessed: 08 August 2026). </w:t>
      </w:r>
    </w:p>
    <w:p w14:paraId="7041ABA9" w14:textId="79FB805E" w:rsidR="00E21BF0" w:rsidRPr="00E21BF0" w:rsidRDefault="00E33FF5" w:rsidP="008261A3">
      <w:pPr>
        <w:pStyle w:val="Bibliography"/>
        <w:ind w:left="720" w:hanging="720"/>
        <w:jc w:val="both"/>
        <w:rPr>
          <w:noProof/>
        </w:rPr>
      </w:pPr>
      <w:r>
        <w:rPr>
          <w:noProof/>
        </w:rPr>
        <w:t xml:space="preserve">Office for Students. (2026). </w:t>
      </w:r>
      <w:r>
        <w:rPr>
          <w:i/>
          <w:iCs/>
          <w:noProof/>
        </w:rPr>
        <w:t>Artificial intelligence in higher education</w:t>
      </w:r>
      <w:r>
        <w:rPr>
          <w:noProof/>
        </w:rPr>
        <w:t xml:space="preserve">. Available at: </w:t>
      </w:r>
      <w:hyperlink r:id="rId16" w:tgtFrame="_blank" w:history="1">
        <w:r>
          <w:rPr>
            <w:rStyle w:val="Hyperlink"/>
          </w:rPr>
          <w:t>OfS Artificial intelligence in higher education</w:t>
        </w:r>
      </w:hyperlink>
      <w:r>
        <w:rPr>
          <w:noProof/>
        </w:rPr>
        <w:t xml:space="preserve">. (Accessed: 08 August 2026). </w:t>
      </w:r>
    </w:p>
    <w:p w14:paraId="78BBD6F7" w14:textId="6A71D775" w:rsidR="00826B3C" w:rsidRDefault="00826B3C" w:rsidP="00826B3C">
      <w:pPr>
        <w:pStyle w:val="Bibliography"/>
        <w:ind w:left="720" w:hanging="720"/>
        <w:jc w:val="both"/>
        <w:rPr>
          <w:noProof/>
        </w:rPr>
      </w:pPr>
      <w:r>
        <w:rPr>
          <w:noProof/>
        </w:rPr>
        <w:t xml:space="preserve">Oh, S., </w:t>
      </w:r>
      <w:r w:rsidR="00D82198">
        <w:rPr>
          <w:noProof/>
        </w:rPr>
        <w:t>and</w:t>
      </w:r>
      <w:r>
        <w:rPr>
          <w:noProof/>
        </w:rPr>
        <w:t xml:space="preserve"> Sanfilippo, M. (2025). ‘Responsible AI in academia: policies and guidelines in US universities’. </w:t>
      </w:r>
      <w:r>
        <w:rPr>
          <w:i/>
          <w:iCs/>
          <w:noProof/>
        </w:rPr>
        <w:t>Information and Learning Science, 126</w:t>
      </w:r>
      <w:r>
        <w:rPr>
          <w:noProof/>
        </w:rPr>
        <w:t xml:space="preserve">(9-10), </w:t>
      </w:r>
      <w:r w:rsidR="0028539F">
        <w:rPr>
          <w:noProof/>
        </w:rPr>
        <w:t>DOI</w:t>
      </w:r>
      <w:r>
        <w:rPr>
          <w:noProof/>
        </w:rPr>
        <w:t>: 10.1108/ILS-03-2025-0042.</w:t>
      </w:r>
    </w:p>
    <w:p w14:paraId="799F492C" w14:textId="0472751B" w:rsidR="003E7E19" w:rsidRDefault="00A32F02" w:rsidP="003E7E19">
      <w:pPr>
        <w:pStyle w:val="Bibliography"/>
        <w:ind w:left="720" w:hanging="720"/>
        <w:jc w:val="both"/>
        <w:rPr>
          <w:noProof/>
        </w:rPr>
      </w:pPr>
      <w:r w:rsidRPr="00A32F02">
        <w:rPr>
          <w:rStyle w:val="Strong"/>
          <w:b w:val="0"/>
          <w:bCs w:val="0"/>
        </w:rPr>
        <w:t xml:space="preserve">Olmos-Vega, F., Stalmeijer, R., Varpio, L. </w:t>
      </w:r>
      <w:r w:rsidR="00D82198">
        <w:rPr>
          <w:rStyle w:val="Strong"/>
          <w:b w:val="0"/>
          <w:bCs w:val="0"/>
        </w:rPr>
        <w:t>and</w:t>
      </w:r>
      <w:r w:rsidRPr="00A32F02">
        <w:rPr>
          <w:rStyle w:val="Strong"/>
          <w:b w:val="0"/>
          <w:bCs w:val="0"/>
        </w:rPr>
        <w:t xml:space="preserve"> Kahlke, R. (2023).</w:t>
      </w:r>
      <w:r>
        <w:t xml:space="preserve"> ‘A practical guide to reflexivity in qualitative research: AMEE Guide No. 149’, </w:t>
      </w:r>
      <w:r>
        <w:rPr>
          <w:rStyle w:val="Emphasis"/>
        </w:rPr>
        <w:t>Medical Teacher</w:t>
      </w:r>
      <w:r>
        <w:t xml:space="preserve">, 45(3), pp. 241–251. </w:t>
      </w:r>
      <w:r w:rsidR="0028539F">
        <w:rPr>
          <w:noProof/>
        </w:rPr>
        <w:t>DOI</w:t>
      </w:r>
      <w:r>
        <w:rPr>
          <w:noProof/>
        </w:rPr>
        <w:t>:</w:t>
      </w:r>
      <w:r>
        <w:t xml:space="preserve"> </w:t>
      </w:r>
      <w:r w:rsidRPr="00A32F02">
        <w:rPr>
          <w:rStyle w:val="Strong"/>
          <w:b w:val="0"/>
          <w:bCs w:val="0"/>
        </w:rPr>
        <w:t>10.1080/0142159X.2022.2057287</w:t>
      </w:r>
      <w:r w:rsidRPr="00A32F02">
        <w:rPr>
          <w:b/>
          <w:bCs/>
        </w:rPr>
        <w:t>.</w:t>
      </w:r>
      <w:r>
        <w:t xml:space="preserve"> </w:t>
      </w:r>
    </w:p>
    <w:p w14:paraId="3D921FF0" w14:textId="32FD2244" w:rsidR="00BF5E7F" w:rsidRDefault="00BF5E7F" w:rsidP="00BF5E7F">
      <w:pPr>
        <w:pStyle w:val="Bibliography"/>
        <w:ind w:left="720" w:hanging="720"/>
        <w:jc w:val="both"/>
        <w:rPr>
          <w:noProof/>
        </w:rPr>
      </w:pPr>
      <w:r>
        <w:rPr>
          <w:noProof/>
        </w:rPr>
        <w:t xml:space="preserve">Oncioiu, I.,  </w:t>
      </w:r>
      <w:r w:rsidR="00D82198">
        <w:rPr>
          <w:noProof/>
        </w:rPr>
        <w:t>and</w:t>
      </w:r>
      <w:r>
        <w:rPr>
          <w:noProof/>
        </w:rPr>
        <w:t xml:space="preserve"> Bularca, A. (2025). ‘Artificial Intelligence Governance in Higher Education: The Role of Knowledge-Based Strategies in Fostering Legal Awareness and Ethical Artificial Intelligence Literacy’. </w:t>
      </w:r>
      <w:r>
        <w:rPr>
          <w:i/>
          <w:iCs/>
          <w:noProof/>
        </w:rPr>
        <w:t>Societies, 15</w:t>
      </w:r>
      <w:r>
        <w:rPr>
          <w:noProof/>
        </w:rPr>
        <w:t xml:space="preserve">(6), 144. </w:t>
      </w:r>
      <w:r w:rsidR="0028539F">
        <w:rPr>
          <w:noProof/>
        </w:rPr>
        <w:t>DOI</w:t>
      </w:r>
      <w:r>
        <w:rPr>
          <w:noProof/>
        </w:rPr>
        <w:t>: 10.3390/soc15060144.</w:t>
      </w:r>
    </w:p>
    <w:p w14:paraId="4E5D90E7" w14:textId="491FA341" w:rsidR="00E66FAE" w:rsidRPr="00E66FAE" w:rsidRDefault="001157F2" w:rsidP="008261A3">
      <w:pPr>
        <w:pStyle w:val="Bibliography"/>
        <w:ind w:left="720" w:hanging="720"/>
        <w:jc w:val="both"/>
        <w:rPr>
          <w:noProof/>
        </w:rPr>
      </w:pPr>
      <w:r w:rsidRPr="001157F2">
        <w:rPr>
          <w:rStyle w:val="Strong"/>
          <w:b w:val="0"/>
          <w:bCs w:val="0"/>
        </w:rPr>
        <w:t>O’Neil, C. (2016).</w:t>
      </w:r>
      <w:r>
        <w:t xml:space="preserve"> </w:t>
      </w:r>
      <w:r>
        <w:rPr>
          <w:rStyle w:val="Emphasis"/>
        </w:rPr>
        <w:t>Weapons of Math Destruction: How Big Data Increases Inequality and Threatens Democracy</w:t>
      </w:r>
      <w:r>
        <w:t>. New York: Crown.</w:t>
      </w:r>
    </w:p>
    <w:p w14:paraId="18D379D9" w14:textId="44C8A752" w:rsidR="003264A0" w:rsidRPr="003264A0" w:rsidRDefault="003264A0" w:rsidP="0078740A">
      <w:pPr>
        <w:pStyle w:val="Bibliography"/>
        <w:ind w:left="720" w:hanging="720"/>
        <w:jc w:val="both"/>
        <w:rPr>
          <w:noProof/>
        </w:rPr>
      </w:pPr>
      <w:r>
        <w:rPr>
          <w:noProof/>
        </w:rPr>
        <w:t xml:space="preserve">Pak, C. (2022). ‘Responsible AI and algorithm governance: An institutional perspective’, in </w:t>
      </w:r>
      <w:r w:rsidRPr="0078740A">
        <w:rPr>
          <w:i/>
          <w:iCs/>
          <w:noProof/>
        </w:rPr>
        <w:t>Human-Centred Artificial Intelligence: Research and Applications</w:t>
      </w:r>
      <w:r>
        <w:rPr>
          <w:noProof/>
        </w:rPr>
        <w:t xml:space="preserve">. Elsevier, pp. 251–270. </w:t>
      </w:r>
      <w:r w:rsidR="0028539F">
        <w:rPr>
          <w:noProof/>
        </w:rPr>
        <w:t>DOI</w:t>
      </w:r>
      <w:r>
        <w:rPr>
          <w:noProof/>
        </w:rPr>
        <w:t xml:space="preserve">: </w:t>
      </w:r>
      <w:r w:rsidRPr="0078740A">
        <w:rPr>
          <w:noProof/>
        </w:rPr>
        <w:t>10.1016/B978-0-323-85648-5.00018-9.</w:t>
      </w:r>
    </w:p>
    <w:p w14:paraId="6FF8C906" w14:textId="24B3D2BE" w:rsidR="00812961" w:rsidRDefault="00812961" w:rsidP="00812961">
      <w:pPr>
        <w:pStyle w:val="Bibliography"/>
        <w:ind w:left="720" w:hanging="720"/>
        <w:jc w:val="both"/>
        <w:rPr>
          <w:noProof/>
        </w:rPr>
      </w:pPr>
      <w:r>
        <w:rPr>
          <w:noProof/>
        </w:rPr>
        <w:lastRenderedPageBreak/>
        <w:t xml:space="preserve">Papagiannidis, </w:t>
      </w:r>
      <w:r>
        <w:t xml:space="preserve">E., Mikalef, P. </w:t>
      </w:r>
      <w:r w:rsidR="00D82198">
        <w:t>and</w:t>
      </w:r>
      <w:r>
        <w:t xml:space="preserve"> Conboy, K.</w:t>
      </w:r>
      <w:r>
        <w:rPr>
          <w:noProof/>
        </w:rPr>
        <w:t xml:space="preserve"> (2025). ‘Responsible artificial intelligence governance: A review and research framework’. </w:t>
      </w:r>
      <w:r>
        <w:rPr>
          <w:i/>
          <w:iCs/>
          <w:noProof/>
        </w:rPr>
        <w:t>The Journal of Strategic Information Systems</w:t>
      </w:r>
      <w:r>
        <w:rPr>
          <w:noProof/>
        </w:rPr>
        <w:t xml:space="preserve">, 34(2), 101885. </w:t>
      </w:r>
      <w:r w:rsidR="0028539F">
        <w:rPr>
          <w:noProof/>
        </w:rPr>
        <w:t>DOI</w:t>
      </w:r>
      <w:r>
        <w:rPr>
          <w:noProof/>
        </w:rPr>
        <w:t>: 10.1016/j.jsis.2024.101885.</w:t>
      </w:r>
    </w:p>
    <w:p w14:paraId="3C0E2E0B" w14:textId="592143CA" w:rsidR="00B702DA" w:rsidRPr="00E64828" w:rsidRDefault="00B702DA" w:rsidP="008261A3">
      <w:pPr>
        <w:pStyle w:val="Bibliography"/>
        <w:ind w:left="720" w:hanging="720"/>
        <w:jc w:val="both"/>
        <w:rPr>
          <w:noProof/>
        </w:rPr>
      </w:pPr>
      <w:r w:rsidRPr="00B702DA">
        <w:rPr>
          <w:rStyle w:val="Strong"/>
          <w:b w:val="0"/>
          <w:bCs w:val="0"/>
        </w:rPr>
        <w:t xml:space="preserve">Rethlefsen, M.L., Kirtley, S., Waffenschmidt, S., Ayala, A.P., Moher, D., Page, M.J. </w:t>
      </w:r>
      <w:r w:rsidR="00D82198">
        <w:rPr>
          <w:rStyle w:val="Strong"/>
          <w:b w:val="0"/>
          <w:bCs w:val="0"/>
        </w:rPr>
        <w:t>and</w:t>
      </w:r>
      <w:r w:rsidRPr="00B702DA">
        <w:rPr>
          <w:rStyle w:val="Strong"/>
          <w:b w:val="0"/>
          <w:bCs w:val="0"/>
        </w:rPr>
        <w:t xml:space="preserve"> Koffel, J.B. (2021)</w:t>
      </w:r>
      <w:r>
        <w:rPr>
          <w:rStyle w:val="Strong"/>
          <w:b w:val="0"/>
          <w:bCs w:val="0"/>
        </w:rPr>
        <w:t>.</w:t>
      </w:r>
      <w:r>
        <w:t xml:space="preserve"> ‘PRISMA-S: an extension to the PRISMA Statement for Reporting Literature Searches in Systematic Reviews’, </w:t>
      </w:r>
      <w:r>
        <w:rPr>
          <w:rStyle w:val="Emphasis"/>
        </w:rPr>
        <w:t>Systematic Reviews</w:t>
      </w:r>
      <w:r>
        <w:t xml:space="preserve">, </w:t>
      </w:r>
      <w:r w:rsidRPr="00B702DA">
        <w:rPr>
          <w:rStyle w:val="Strong"/>
          <w:b w:val="0"/>
          <w:bCs w:val="0"/>
        </w:rPr>
        <w:t>10</w:t>
      </w:r>
      <w:r>
        <w:t xml:space="preserve">, 39. </w:t>
      </w:r>
      <w:r w:rsidR="0028539F">
        <w:rPr>
          <w:noProof/>
        </w:rPr>
        <w:t>DOI</w:t>
      </w:r>
      <w:r>
        <w:t xml:space="preserve">: </w:t>
      </w:r>
      <w:r w:rsidRPr="00B702DA">
        <w:rPr>
          <w:rStyle w:val="Strong"/>
          <w:b w:val="0"/>
          <w:bCs w:val="0"/>
        </w:rPr>
        <w:t>10.1186/s13643-020-01542-z</w:t>
      </w:r>
      <w:r w:rsidRPr="00B702DA">
        <w:rPr>
          <w:b/>
          <w:bCs/>
        </w:rPr>
        <w:t>.</w:t>
      </w:r>
    </w:p>
    <w:p w14:paraId="0BFC3670" w14:textId="675B7576" w:rsidR="00A611CD" w:rsidRPr="00A611CD" w:rsidRDefault="008B5ED7" w:rsidP="008261A3">
      <w:pPr>
        <w:pStyle w:val="Bibliography"/>
        <w:ind w:left="720" w:hanging="720"/>
        <w:jc w:val="both"/>
        <w:rPr>
          <w:noProof/>
        </w:rPr>
      </w:pPr>
      <w:r w:rsidRPr="008B5ED7">
        <w:rPr>
          <w:rStyle w:val="Strong"/>
          <w:b w:val="0"/>
          <w:bCs w:val="0"/>
        </w:rPr>
        <w:t xml:space="preserve">Ritala, P., Aaltonen, P., Ruokonen, M. </w:t>
      </w:r>
      <w:r w:rsidR="00D82198">
        <w:rPr>
          <w:rStyle w:val="Strong"/>
          <w:b w:val="0"/>
          <w:bCs w:val="0"/>
        </w:rPr>
        <w:t>and</w:t>
      </w:r>
      <w:r w:rsidRPr="008B5ED7">
        <w:rPr>
          <w:rStyle w:val="Strong"/>
          <w:b w:val="0"/>
          <w:bCs w:val="0"/>
        </w:rPr>
        <w:t xml:space="preserve"> Nemeh, A. (2024).</w:t>
      </w:r>
      <w:r w:rsidRPr="008B5ED7">
        <w:rPr>
          <w:b/>
          <w:bCs/>
        </w:rPr>
        <w:t xml:space="preserve"> </w:t>
      </w:r>
      <w:r>
        <w:t xml:space="preserve">‘Developing industrial AI capabilities: An organisational learning perspective’, </w:t>
      </w:r>
      <w:r>
        <w:rPr>
          <w:rStyle w:val="Emphasis"/>
        </w:rPr>
        <w:t>Technovation</w:t>
      </w:r>
      <w:r>
        <w:t xml:space="preserve">, 138, 103120. </w:t>
      </w:r>
      <w:r w:rsidR="0028539F">
        <w:rPr>
          <w:noProof/>
        </w:rPr>
        <w:t>DOI</w:t>
      </w:r>
      <w:r w:rsidR="00B702DA">
        <w:t>:</w:t>
      </w:r>
      <w:r w:rsidRPr="008B5ED7">
        <w:rPr>
          <w:rStyle w:val="Strong"/>
          <w:b w:val="0"/>
          <w:bCs w:val="0"/>
        </w:rPr>
        <w:t xml:space="preserve"> 10.1016/j.technovation.2024.103120.</w:t>
      </w:r>
    </w:p>
    <w:p w14:paraId="05304BE5" w14:textId="29D1324C" w:rsidR="00C45363" w:rsidRDefault="00C45363" w:rsidP="00C45363">
      <w:pPr>
        <w:pStyle w:val="Bibliography"/>
        <w:ind w:left="720" w:hanging="720"/>
        <w:jc w:val="both"/>
        <w:rPr>
          <w:rStyle w:val="Strong"/>
          <w:b w:val="0"/>
          <w:bCs w:val="0"/>
        </w:rPr>
      </w:pPr>
      <w:r w:rsidRPr="00C45363">
        <w:rPr>
          <w:rStyle w:val="Strong"/>
          <w:b w:val="0"/>
          <w:bCs w:val="0"/>
        </w:rPr>
        <w:t xml:space="preserve">Robles, P. </w:t>
      </w:r>
      <w:r w:rsidR="00D82198">
        <w:rPr>
          <w:rStyle w:val="Strong"/>
          <w:b w:val="0"/>
          <w:bCs w:val="0"/>
        </w:rPr>
        <w:t>and</w:t>
      </w:r>
      <w:r w:rsidRPr="00C45363">
        <w:rPr>
          <w:rStyle w:val="Strong"/>
          <w:b w:val="0"/>
          <w:bCs w:val="0"/>
        </w:rPr>
        <w:t xml:space="preserve"> Mallinson, D. (2023)</w:t>
      </w:r>
      <w:r>
        <w:rPr>
          <w:rStyle w:val="Strong"/>
          <w:b w:val="0"/>
          <w:bCs w:val="0"/>
        </w:rPr>
        <w:t>.</w:t>
      </w:r>
      <w:r>
        <w:t xml:space="preserve"> ‘Catching up with AI: Pushing toward a cohesive governance framework’, </w:t>
      </w:r>
      <w:r>
        <w:rPr>
          <w:rStyle w:val="Emphasis"/>
        </w:rPr>
        <w:t xml:space="preserve">Politics </w:t>
      </w:r>
      <w:r w:rsidR="00D82198">
        <w:rPr>
          <w:rStyle w:val="Emphasis"/>
        </w:rPr>
        <w:t>and</w:t>
      </w:r>
      <w:r>
        <w:rPr>
          <w:rStyle w:val="Emphasis"/>
        </w:rPr>
        <w:t xml:space="preserve"> Policy</w:t>
      </w:r>
      <w:r>
        <w:t>, 51(3), pp. 355–372.</w:t>
      </w:r>
      <w:r w:rsidRPr="00C45363">
        <w:t xml:space="preserve"> </w:t>
      </w:r>
      <w:r w:rsidR="0028539F">
        <w:rPr>
          <w:noProof/>
        </w:rPr>
        <w:t>DOI</w:t>
      </w:r>
      <w:r>
        <w:t>:</w:t>
      </w:r>
      <w:r w:rsidRPr="00C45363">
        <w:rPr>
          <w:rStyle w:val="Strong"/>
          <w:b w:val="0"/>
          <w:bCs w:val="0"/>
        </w:rPr>
        <w:t xml:space="preserve"> 10.1111/polp.12529.</w:t>
      </w:r>
    </w:p>
    <w:p w14:paraId="1E70D128" w14:textId="6E93DD54" w:rsidR="00DF45FB" w:rsidRPr="00DF45FB" w:rsidRDefault="00B326DE" w:rsidP="008261A3">
      <w:pPr>
        <w:pStyle w:val="Bibliography"/>
        <w:ind w:left="720" w:hanging="720"/>
        <w:jc w:val="both"/>
      </w:pPr>
      <w:r w:rsidRPr="00C31DCD">
        <w:rPr>
          <w:rStyle w:val="Strong"/>
          <w:b w:val="0"/>
          <w:bCs w:val="0"/>
        </w:rPr>
        <w:t>Page, M., McKenzie, J., Bossuyt, P., Boutron, I., Hoffmann, T., Mulrow, C</w:t>
      </w:r>
      <w:r w:rsidR="007E1DE4" w:rsidRPr="00C31DCD">
        <w:rPr>
          <w:rStyle w:val="Strong"/>
          <w:b w:val="0"/>
          <w:bCs w:val="0"/>
        </w:rPr>
        <w:t>.</w:t>
      </w:r>
      <w:r w:rsidRPr="00C31DCD">
        <w:rPr>
          <w:rStyle w:val="Strong"/>
          <w:b w:val="0"/>
          <w:bCs w:val="0"/>
        </w:rPr>
        <w:t xml:space="preserve">, Shamseer, L., Tetzlaff, J., </w:t>
      </w:r>
      <w:r w:rsidR="000E4BEC">
        <w:rPr>
          <w:rStyle w:val="Strong"/>
          <w:b w:val="0"/>
          <w:bCs w:val="0"/>
        </w:rPr>
        <w:t xml:space="preserve">and Brennan, S. </w:t>
      </w:r>
      <w:r w:rsidRPr="00C31DCD">
        <w:rPr>
          <w:rStyle w:val="Strong"/>
          <w:b w:val="0"/>
          <w:bCs w:val="0"/>
        </w:rPr>
        <w:t>(2021)</w:t>
      </w:r>
      <w:r w:rsidR="007E1DE4" w:rsidRPr="00C31DCD">
        <w:rPr>
          <w:rStyle w:val="Strong"/>
          <w:b w:val="0"/>
          <w:bCs w:val="0"/>
        </w:rPr>
        <w:t>.</w:t>
      </w:r>
      <w:r>
        <w:t xml:space="preserve"> ‘The PRISMA 2020 statement: an updated guideline for reporting systematic reviews’, </w:t>
      </w:r>
      <w:r>
        <w:rPr>
          <w:rStyle w:val="Emphasis"/>
        </w:rPr>
        <w:t>BMJ</w:t>
      </w:r>
      <w:r>
        <w:t xml:space="preserve">, </w:t>
      </w:r>
      <w:r w:rsidRPr="00B326DE">
        <w:rPr>
          <w:rStyle w:val="Strong"/>
          <w:b w:val="0"/>
          <w:bCs w:val="0"/>
        </w:rPr>
        <w:t>372</w:t>
      </w:r>
      <w:r>
        <w:t xml:space="preserve">, n71. </w:t>
      </w:r>
      <w:r w:rsidR="0028539F">
        <w:rPr>
          <w:noProof/>
        </w:rPr>
        <w:t>DOI</w:t>
      </w:r>
      <w:r w:rsidR="007E1DE4">
        <w:t xml:space="preserve">: </w:t>
      </w:r>
      <w:r w:rsidRPr="00B326DE">
        <w:rPr>
          <w:rStyle w:val="Strong"/>
          <w:b w:val="0"/>
          <w:bCs w:val="0"/>
        </w:rPr>
        <w:t xml:space="preserve"> 10.1136/bmj.n71.</w:t>
      </w:r>
    </w:p>
    <w:p w14:paraId="05061F96" w14:textId="47270AFE" w:rsidR="00B758C7" w:rsidRPr="00C45363" w:rsidRDefault="00A65C2A" w:rsidP="008261A3">
      <w:pPr>
        <w:pStyle w:val="Bibliography"/>
        <w:ind w:left="720" w:hanging="720"/>
        <w:jc w:val="both"/>
        <w:rPr>
          <w:noProof/>
        </w:rPr>
      </w:pPr>
      <w:r w:rsidRPr="00A65C2A">
        <w:rPr>
          <w:rStyle w:val="Strong"/>
          <w:b w:val="0"/>
          <w:bCs w:val="0"/>
        </w:rPr>
        <w:t>Polyportis, A. (2024).</w:t>
      </w:r>
      <w:r w:rsidRPr="00A65C2A">
        <w:rPr>
          <w:b/>
          <w:bCs/>
        </w:rPr>
        <w:t xml:space="preserve"> </w:t>
      </w:r>
      <w:r>
        <w:t xml:space="preserve">‘A longitudinal study on artificial intelligence adoption: understanding the drivers of ChatGPT usage behaviour change in higher education’, </w:t>
      </w:r>
      <w:r>
        <w:rPr>
          <w:rStyle w:val="Emphasis"/>
        </w:rPr>
        <w:t>Frontiers in Artificial Intelligence</w:t>
      </w:r>
      <w:r>
        <w:t xml:space="preserve">, 6, 1324398. </w:t>
      </w:r>
      <w:r w:rsidR="0028539F">
        <w:rPr>
          <w:noProof/>
        </w:rPr>
        <w:t>DOI</w:t>
      </w:r>
      <w:r>
        <w:t>:</w:t>
      </w:r>
      <w:r w:rsidRPr="00A65C2A">
        <w:rPr>
          <w:rStyle w:val="Strong"/>
          <w:b w:val="0"/>
          <w:bCs w:val="0"/>
        </w:rPr>
        <w:t xml:space="preserve"> 10.3389/frai.2023.1324398.</w:t>
      </w:r>
    </w:p>
    <w:p w14:paraId="13440F27" w14:textId="2EABC4DC" w:rsidR="008002B9" w:rsidRPr="008002B9" w:rsidRDefault="007B5340" w:rsidP="008261A3">
      <w:pPr>
        <w:pStyle w:val="Bibliography"/>
        <w:ind w:left="720" w:hanging="720"/>
        <w:jc w:val="both"/>
        <w:rPr>
          <w:noProof/>
        </w:rPr>
      </w:pPr>
      <w:r w:rsidRPr="007B5340">
        <w:rPr>
          <w:rStyle w:val="Strong"/>
          <w:b w:val="0"/>
          <w:bCs w:val="0"/>
        </w:rPr>
        <w:t>Schaffer, F. (2023).</w:t>
      </w:r>
      <w:r>
        <w:t xml:space="preserve"> ‘Interpretivist Interviewing’, in </w:t>
      </w:r>
      <w:r>
        <w:rPr>
          <w:rStyle w:val="Emphasis"/>
        </w:rPr>
        <w:t>The Oxford Handbook of Engaged Methodological Pluralism in Political Science</w:t>
      </w:r>
      <w:r>
        <w:t xml:space="preserve">. Oxford: Oxford University Press. </w:t>
      </w:r>
      <w:r w:rsidR="0028539F">
        <w:rPr>
          <w:noProof/>
        </w:rPr>
        <w:t>DOI</w:t>
      </w:r>
      <w:r>
        <w:t xml:space="preserve">: </w:t>
      </w:r>
      <w:r w:rsidRPr="007B5340">
        <w:rPr>
          <w:rStyle w:val="Strong"/>
          <w:b w:val="0"/>
          <w:bCs w:val="0"/>
        </w:rPr>
        <w:t>10.1093/oxfordhb/9780192868282.013.7</w:t>
      </w:r>
      <w:r w:rsidRPr="007B5340">
        <w:rPr>
          <w:b/>
          <w:bCs/>
        </w:rPr>
        <w:t>.</w:t>
      </w:r>
    </w:p>
    <w:p w14:paraId="5329DBD7" w14:textId="45B46825" w:rsidR="006C6523" w:rsidRDefault="00977A0D" w:rsidP="006C6523">
      <w:pPr>
        <w:pStyle w:val="Bibliography"/>
        <w:ind w:left="720" w:hanging="720"/>
        <w:jc w:val="both"/>
        <w:rPr>
          <w:b/>
          <w:bCs/>
        </w:rPr>
      </w:pPr>
      <w:r w:rsidRPr="00767178">
        <w:rPr>
          <w:rStyle w:val="Strong"/>
          <w:b w:val="0"/>
          <w:bCs w:val="0"/>
        </w:rPr>
        <w:t xml:space="preserve">Scheytt, C. </w:t>
      </w:r>
      <w:r w:rsidR="00D82198">
        <w:rPr>
          <w:rStyle w:val="Strong"/>
          <w:b w:val="0"/>
          <w:bCs w:val="0"/>
        </w:rPr>
        <w:t>and</w:t>
      </w:r>
      <w:r w:rsidRPr="00767178">
        <w:rPr>
          <w:rStyle w:val="Strong"/>
          <w:b w:val="0"/>
          <w:bCs w:val="0"/>
        </w:rPr>
        <w:t xml:space="preserve"> Pfl</w:t>
      </w:r>
      <w:r w:rsidR="00767178" w:rsidRPr="00767178">
        <w:rPr>
          <w:rStyle w:val="Strong"/>
          <w:b w:val="0"/>
          <w:bCs w:val="0"/>
        </w:rPr>
        <w:t>u</w:t>
      </w:r>
      <w:r w:rsidRPr="00767178">
        <w:rPr>
          <w:rStyle w:val="Strong"/>
          <w:b w:val="0"/>
          <w:bCs w:val="0"/>
        </w:rPr>
        <w:t>ger, J. (2024)</w:t>
      </w:r>
      <w:r w:rsidR="00767178" w:rsidRPr="00767178">
        <w:rPr>
          <w:rStyle w:val="Strong"/>
          <w:b w:val="0"/>
          <w:bCs w:val="0"/>
        </w:rPr>
        <w:t>.</w:t>
      </w:r>
      <w:r w:rsidRPr="00767178">
        <w:rPr>
          <w:b/>
          <w:bCs/>
        </w:rPr>
        <w:t xml:space="preserve"> </w:t>
      </w:r>
      <w:r>
        <w:t xml:space="preserve">‘Conducting qualitative research in </w:t>
      </w:r>
      <w:r w:rsidR="00767178">
        <w:t>organisations</w:t>
      </w:r>
      <w:r>
        <w:t xml:space="preserve"> ethically: </w:t>
      </w:r>
      <w:r w:rsidR="00767178">
        <w:t>Organisationally</w:t>
      </w:r>
      <w:r>
        <w:t xml:space="preserve"> as a heuristic to identify ethical challenges’, </w:t>
      </w:r>
      <w:r>
        <w:rPr>
          <w:rStyle w:val="Emphasis"/>
        </w:rPr>
        <w:t>International Journal of Qualitative Methods</w:t>
      </w:r>
      <w:r>
        <w:t xml:space="preserve">, 23. </w:t>
      </w:r>
      <w:r w:rsidR="0028539F">
        <w:rPr>
          <w:noProof/>
        </w:rPr>
        <w:t>DOI</w:t>
      </w:r>
      <w:r>
        <w:t xml:space="preserve">: </w:t>
      </w:r>
      <w:r w:rsidRPr="00767178">
        <w:rPr>
          <w:rStyle w:val="Strong"/>
          <w:b w:val="0"/>
          <w:bCs w:val="0"/>
        </w:rPr>
        <w:t>10.1177/16094069241237548</w:t>
      </w:r>
      <w:r w:rsidRPr="00767178">
        <w:rPr>
          <w:b/>
          <w:bCs/>
        </w:rPr>
        <w:t>.</w:t>
      </w:r>
    </w:p>
    <w:p w14:paraId="427EE321" w14:textId="4266072D" w:rsidR="00701ACB" w:rsidRPr="008261A3" w:rsidRDefault="00C976CE" w:rsidP="008261A3">
      <w:pPr>
        <w:pStyle w:val="Bibliography"/>
        <w:ind w:left="720" w:hanging="720"/>
        <w:jc w:val="both"/>
        <w:rPr>
          <w:b/>
          <w:bCs/>
        </w:rPr>
      </w:pPr>
      <w:r w:rsidRPr="00C976CE">
        <w:rPr>
          <w:rStyle w:val="Strong"/>
          <w:b w:val="0"/>
          <w:bCs w:val="0"/>
        </w:rPr>
        <w:t>Selwyn, N. (2022).</w:t>
      </w:r>
      <w:r>
        <w:t xml:space="preserve"> ‘The future of AI and education: Some cautionary notes’, </w:t>
      </w:r>
      <w:r>
        <w:rPr>
          <w:rStyle w:val="Emphasis"/>
        </w:rPr>
        <w:t>European Journal of Education</w:t>
      </w:r>
      <w:r>
        <w:t xml:space="preserve">, </w:t>
      </w:r>
      <w:r w:rsidRPr="00C976CE">
        <w:rPr>
          <w:rStyle w:val="Strong"/>
          <w:b w:val="0"/>
          <w:bCs w:val="0"/>
        </w:rPr>
        <w:t>57</w:t>
      </w:r>
      <w:r>
        <w:t xml:space="preserve">(4), pp. 620–631. </w:t>
      </w:r>
      <w:r w:rsidR="0028539F">
        <w:rPr>
          <w:noProof/>
        </w:rPr>
        <w:t>DOI</w:t>
      </w:r>
      <w:r>
        <w:t>:</w:t>
      </w:r>
      <w:r w:rsidRPr="00C976CE">
        <w:rPr>
          <w:rStyle w:val="Strong"/>
          <w:b w:val="0"/>
          <w:bCs w:val="0"/>
        </w:rPr>
        <w:t xml:space="preserve"> 10.1111/ejed.12532.</w:t>
      </w:r>
    </w:p>
    <w:p w14:paraId="4C734AE4" w14:textId="302929B5" w:rsidR="00297419" w:rsidRDefault="000509AE" w:rsidP="00297419">
      <w:pPr>
        <w:pStyle w:val="Bibliography"/>
        <w:ind w:left="720" w:hanging="720"/>
        <w:jc w:val="both"/>
        <w:rPr>
          <w:b/>
          <w:bCs/>
        </w:rPr>
      </w:pPr>
      <w:r w:rsidRPr="000509AE">
        <w:rPr>
          <w:rStyle w:val="Strong"/>
          <w:b w:val="0"/>
          <w:bCs w:val="0"/>
        </w:rPr>
        <w:t xml:space="preserve">Sibbald, K., Phelan, S., Beagan, B. </w:t>
      </w:r>
      <w:r w:rsidR="00D82198">
        <w:rPr>
          <w:rStyle w:val="Strong"/>
          <w:b w:val="0"/>
          <w:bCs w:val="0"/>
        </w:rPr>
        <w:t>and</w:t>
      </w:r>
      <w:r w:rsidRPr="000509AE">
        <w:rPr>
          <w:rStyle w:val="Strong"/>
          <w:b w:val="0"/>
          <w:bCs w:val="0"/>
        </w:rPr>
        <w:t xml:space="preserve"> Pride, T. (2025).</w:t>
      </w:r>
      <w:r>
        <w:t xml:space="preserve"> ‘Positioning positionality and reflecting on reflexivity: Moving from performance to practice’, </w:t>
      </w:r>
      <w:r>
        <w:rPr>
          <w:rStyle w:val="Emphasis"/>
        </w:rPr>
        <w:t>Qualitative Health Research</w:t>
      </w:r>
      <w:r>
        <w:t xml:space="preserve">. </w:t>
      </w:r>
      <w:r w:rsidR="0028539F">
        <w:rPr>
          <w:noProof/>
        </w:rPr>
        <w:t>DOI</w:t>
      </w:r>
      <w:r>
        <w:t xml:space="preserve">: </w:t>
      </w:r>
      <w:r w:rsidRPr="000509AE">
        <w:rPr>
          <w:rStyle w:val="Strong"/>
          <w:b w:val="0"/>
          <w:bCs w:val="0"/>
        </w:rPr>
        <w:t>10.1177/10497323241309230</w:t>
      </w:r>
      <w:r w:rsidRPr="000509AE">
        <w:rPr>
          <w:b/>
          <w:bCs/>
        </w:rPr>
        <w:t>.</w:t>
      </w:r>
    </w:p>
    <w:p w14:paraId="6680A2F7" w14:textId="385C1B04" w:rsidR="00812961" w:rsidRPr="00FC15C7" w:rsidRDefault="00BE49A4" w:rsidP="00FC15C7">
      <w:pPr>
        <w:pStyle w:val="Bibliography"/>
        <w:ind w:left="720" w:hanging="720"/>
        <w:jc w:val="both"/>
        <w:rPr>
          <w:b/>
          <w:bCs/>
        </w:rPr>
      </w:pPr>
      <w:r w:rsidRPr="00BE49A4">
        <w:rPr>
          <w:rStyle w:val="Strong"/>
          <w:b w:val="0"/>
          <w:bCs w:val="0"/>
        </w:rPr>
        <w:t>Snyder, H. (2019)</w:t>
      </w:r>
      <w:r>
        <w:rPr>
          <w:rStyle w:val="Strong"/>
          <w:b w:val="0"/>
          <w:bCs w:val="0"/>
        </w:rPr>
        <w:t>.</w:t>
      </w:r>
      <w:r>
        <w:t xml:space="preserve"> ‘Literature review as a research methodology: An overview and guidelines’, </w:t>
      </w:r>
      <w:r>
        <w:rPr>
          <w:rStyle w:val="Emphasis"/>
        </w:rPr>
        <w:t>Journal of Business Research</w:t>
      </w:r>
      <w:r>
        <w:t xml:space="preserve">, </w:t>
      </w:r>
      <w:r w:rsidRPr="00BE49A4">
        <w:rPr>
          <w:rStyle w:val="Strong"/>
          <w:b w:val="0"/>
          <w:bCs w:val="0"/>
        </w:rPr>
        <w:t>104</w:t>
      </w:r>
      <w:r>
        <w:t xml:space="preserve">, pp. 333–339. </w:t>
      </w:r>
      <w:r w:rsidR="0028539F">
        <w:rPr>
          <w:noProof/>
        </w:rPr>
        <w:t>DOI</w:t>
      </w:r>
      <w:r>
        <w:rPr>
          <w:noProof/>
        </w:rPr>
        <w:t>:</w:t>
      </w:r>
      <w:r>
        <w:t xml:space="preserve"> </w:t>
      </w:r>
      <w:r w:rsidRPr="00BE49A4">
        <w:rPr>
          <w:rStyle w:val="Strong"/>
          <w:b w:val="0"/>
          <w:bCs w:val="0"/>
        </w:rPr>
        <w:t>10.1016/j.jbusres.2019.07.039</w:t>
      </w:r>
      <w:r w:rsidRPr="00BE49A4">
        <w:rPr>
          <w:b/>
          <w:bCs/>
        </w:rPr>
        <w:t xml:space="preserve">. </w:t>
      </w:r>
    </w:p>
    <w:p w14:paraId="7349365F" w14:textId="30C54F72" w:rsidR="00AD1BAD" w:rsidRDefault="00180D63" w:rsidP="00DA0D36">
      <w:pPr>
        <w:pStyle w:val="Bibliography"/>
        <w:ind w:left="720" w:hanging="720"/>
        <w:jc w:val="both"/>
        <w:rPr>
          <w:b/>
          <w:bCs/>
        </w:rPr>
      </w:pPr>
      <w:r>
        <w:fldChar w:fldCharType="end"/>
      </w:r>
      <w:r w:rsidR="00AD1BAD">
        <w:rPr>
          <w:noProof/>
        </w:rPr>
        <w:t>Stracke, C.</w:t>
      </w:r>
      <w:r w:rsidR="003B0E33">
        <w:rPr>
          <w:noProof/>
        </w:rPr>
        <w:t>,</w:t>
      </w:r>
      <w:r w:rsidR="00AD1BAD">
        <w:rPr>
          <w:noProof/>
        </w:rPr>
        <w:t xml:space="preserve"> </w:t>
      </w:r>
      <w:r w:rsidR="003B0E33">
        <w:t xml:space="preserve">Nahar, N., Punzo, V., Massaro, S., Pappa, D., Di Grassi, A., Becirovic, S., Hollins, P., Ziouvelou, X., Skenduli, M. </w:t>
      </w:r>
      <w:r w:rsidR="00D82198">
        <w:t>and</w:t>
      </w:r>
      <w:r w:rsidR="003B0E33">
        <w:t xml:space="preserve"> Burgos, D. </w:t>
      </w:r>
      <w:r w:rsidR="00AD1BAD">
        <w:rPr>
          <w:noProof/>
        </w:rPr>
        <w:t xml:space="preserve">(2026). 'Artificial Intelligence Policies for Higher Education: A Roadmap for Contextual AI Governance'. </w:t>
      </w:r>
      <w:r w:rsidR="00AD1BAD">
        <w:rPr>
          <w:i/>
          <w:iCs/>
          <w:noProof/>
        </w:rPr>
        <w:t>Management and Policy in Higher Education</w:t>
      </w:r>
      <w:r w:rsidR="00AD1BAD">
        <w:rPr>
          <w:noProof/>
        </w:rPr>
        <w:t>.</w:t>
      </w:r>
      <w:r w:rsidR="003B0E33" w:rsidRPr="003B0E33">
        <w:rPr>
          <w:rStyle w:val="Strong"/>
          <w:b w:val="0"/>
          <w:bCs w:val="0"/>
        </w:rPr>
        <w:t>6</w:t>
      </w:r>
      <w:r w:rsidR="003B0E33" w:rsidRPr="003B0E33">
        <w:rPr>
          <w:b/>
          <w:bCs/>
        </w:rPr>
        <w:t xml:space="preserve">, </w:t>
      </w:r>
      <w:r w:rsidR="003B0E33" w:rsidRPr="003B0E33">
        <w:t xml:space="preserve">pp. 61–73. </w:t>
      </w:r>
      <w:r w:rsidR="0028539F">
        <w:rPr>
          <w:noProof/>
        </w:rPr>
        <w:t>DOI</w:t>
      </w:r>
      <w:r w:rsidR="003B0E33">
        <w:rPr>
          <w:noProof/>
        </w:rPr>
        <w:t>:</w:t>
      </w:r>
      <w:r w:rsidR="003B0E33" w:rsidRPr="003B0E33">
        <w:rPr>
          <w:b/>
          <w:bCs/>
        </w:rPr>
        <w:t xml:space="preserve"> </w:t>
      </w:r>
      <w:r w:rsidR="003B0E33" w:rsidRPr="003B0E33">
        <w:rPr>
          <w:rStyle w:val="Strong"/>
          <w:b w:val="0"/>
          <w:bCs w:val="0"/>
        </w:rPr>
        <w:t>10.53880/2744-2373.2025.6.61</w:t>
      </w:r>
      <w:r w:rsidR="003B0E33" w:rsidRPr="003B0E33">
        <w:rPr>
          <w:b/>
          <w:bCs/>
        </w:rPr>
        <w:t>.</w:t>
      </w:r>
    </w:p>
    <w:p w14:paraId="43EE3D57" w14:textId="5DC91857" w:rsidR="00630466" w:rsidRPr="008261A3" w:rsidRDefault="00722A57" w:rsidP="008261A3">
      <w:pPr>
        <w:pStyle w:val="Bibliography"/>
        <w:ind w:left="720" w:hanging="720"/>
        <w:jc w:val="both"/>
        <w:rPr>
          <w:b/>
          <w:bCs/>
        </w:rPr>
      </w:pPr>
      <w:r w:rsidRPr="00722A57">
        <w:rPr>
          <w:rStyle w:val="Strong"/>
          <w:b w:val="0"/>
          <w:bCs w:val="0"/>
        </w:rPr>
        <w:t>Strzelecki, A. (2023)</w:t>
      </w:r>
      <w:r>
        <w:rPr>
          <w:rStyle w:val="Strong"/>
          <w:b w:val="0"/>
          <w:bCs w:val="0"/>
        </w:rPr>
        <w:t>.</w:t>
      </w:r>
      <w:r>
        <w:t xml:space="preserve"> ‘To use or not to use ChatGPT in higher education? A study of students’ acceptance and use of technology’, </w:t>
      </w:r>
      <w:r>
        <w:rPr>
          <w:rStyle w:val="Emphasis"/>
        </w:rPr>
        <w:t>Interactive Learning Environments</w:t>
      </w:r>
      <w:r>
        <w:t xml:space="preserve">. </w:t>
      </w:r>
      <w:r w:rsidR="0028539F">
        <w:rPr>
          <w:noProof/>
        </w:rPr>
        <w:t>DOI</w:t>
      </w:r>
      <w:r w:rsidR="00BE49A4">
        <w:rPr>
          <w:noProof/>
        </w:rPr>
        <w:t>:</w:t>
      </w:r>
      <w:r w:rsidRPr="00722A57">
        <w:rPr>
          <w:rStyle w:val="Strong"/>
          <w:b w:val="0"/>
          <w:bCs w:val="0"/>
        </w:rPr>
        <w:t xml:space="preserve"> 10.1080/10494820.2023.2209881.</w:t>
      </w:r>
    </w:p>
    <w:p w14:paraId="71F2C462" w14:textId="5170A0EF" w:rsidR="00972A41" w:rsidRDefault="00972A41" w:rsidP="00972A41">
      <w:pPr>
        <w:pStyle w:val="Bibliography"/>
        <w:ind w:left="720" w:hanging="720"/>
        <w:jc w:val="both"/>
        <w:rPr>
          <w:noProof/>
        </w:rPr>
      </w:pPr>
      <w:r>
        <w:rPr>
          <w:noProof/>
        </w:rPr>
        <w:t xml:space="preserve">Taeihagh, A. (2025). ‘Governance of Generative AI’. </w:t>
      </w:r>
      <w:r>
        <w:rPr>
          <w:i/>
          <w:iCs/>
          <w:noProof/>
        </w:rPr>
        <w:t>Policy and Society</w:t>
      </w:r>
      <w:r>
        <w:rPr>
          <w:noProof/>
        </w:rPr>
        <w:t xml:space="preserve">, 44(1), pp. 1–22. </w:t>
      </w:r>
      <w:r w:rsidR="0028539F">
        <w:rPr>
          <w:noProof/>
        </w:rPr>
        <w:t>DOI</w:t>
      </w:r>
      <w:r>
        <w:rPr>
          <w:noProof/>
        </w:rPr>
        <w:t>: 10.1093/polsoc/puaf001.</w:t>
      </w:r>
    </w:p>
    <w:p w14:paraId="2E3CF2C7" w14:textId="4C2D3A9D" w:rsidR="00D2278A" w:rsidRDefault="00D2278A" w:rsidP="00D2278A">
      <w:pPr>
        <w:pStyle w:val="Bibliography"/>
        <w:ind w:left="720" w:hanging="720"/>
        <w:jc w:val="both"/>
        <w:rPr>
          <w:b/>
          <w:bCs/>
        </w:rPr>
      </w:pPr>
      <w:r w:rsidRPr="00D2278A">
        <w:rPr>
          <w:rStyle w:val="Strong"/>
          <w:b w:val="0"/>
          <w:bCs w:val="0"/>
        </w:rPr>
        <w:lastRenderedPageBreak/>
        <w:t xml:space="preserve">Tafesse, W., Aguilar, M., Sayed, S. </w:t>
      </w:r>
      <w:r w:rsidR="00D82198">
        <w:rPr>
          <w:rStyle w:val="Strong"/>
          <w:b w:val="0"/>
          <w:bCs w:val="0"/>
        </w:rPr>
        <w:t>and</w:t>
      </w:r>
      <w:r w:rsidRPr="00D2278A">
        <w:rPr>
          <w:rStyle w:val="Strong"/>
          <w:b w:val="0"/>
          <w:bCs w:val="0"/>
        </w:rPr>
        <w:t xml:space="preserve"> Sandhu, M. (2026).</w:t>
      </w:r>
      <w:r>
        <w:t xml:space="preserve"> ‘Stakeholders’ discourse on generative AI in higher education: Insights from topic modelling and sentiment analysis’, </w:t>
      </w:r>
      <w:r>
        <w:rPr>
          <w:rStyle w:val="Emphasis"/>
        </w:rPr>
        <w:t>PLOS ONE</w:t>
      </w:r>
      <w:r>
        <w:t xml:space="preserve">, 21(7), e0353685. </w:t>
      </w:r>
      <w:r w:rsidR="0028539F">
        <w:rPr>
          <w:noProof/>
        </w:rPr>
        <w:t>DOI</w:t>
      </w:r>
      <w:r>
        <w:t xml:space="preserve">: </w:t>
      </w:r>
      <w:r w:rsidRPr="00D2278A">
        <w:rPr>
          <w:rStyle w:val="Strong"/>
          <w:b w:val="0"/>
          <w:bCs w:val="0"/>
        </w:rPr>
        <w:t>10.1371/journal.pone.0353685</w:t>
      </w:r>
      <w:r w:rsidRPr="00D2278A">
        <w:rPr>
          <w:b/>
          <w:bCs/>
        </w:rPr>
        <w:t>.</w:t>
      </w:r>
    </w:p>
    <w:p w14:paraId="6FAD6579" w14:textId="592D33B3" w:rsidR="00086E33" w:rsidRPr="008261A3" w:rsidRDefault="00217628" w:rsidP="008261A3">
      <w:pPr>
        <w:pStyle w:val="Bibliography"/>
        <w:ind w:left="720" w:hanging="720"/>
        <w:jc w:val="both"/>
        <w:rPr>
          <w:b/>
          <w:bCs/>
        </w:rPr>
      </w:pPr>
      <w:r w:rsidRPr="00217628">
        <w:rPr>
          <w:rStyle w:val="Strong"/>
          <w:b w:val="0"/>
          <w:bCs w:val="0"/>
        </w:rPr>
        <w:t xml:space="preserve">Teece, D., Pisano, G. </w:t>
      </w:r>
      <w:r w:rsidR="00D82198">
        <w:rPr>
          <w:rStyle w:val="Strong"/>
          <w:b w:val="0"/>
          <w:bCs w:val="0"/>
        </w:rPr>
        <w:t>and</w:t>
      </w:r>
      <w:r w:rsidRPr="00217628">
        <w:rPr>
          <w:rStyle w:val="Strong"/>
          <w:b w:val="0"/>
          <w:bCs w:val="0"/>
        </w:rPr>
        <w:t xml:space="preserve"> Shuen, A. (1997).</w:t>
      </w:r>
      <w:r>
        <w:t xml:space="preserve"> ‘Dynamic capabilities and strategic management’, </w:t>
      </w:r>
      <w:r>
        <w:rPr>
          <w:rStyle w:val="Emphasis"/>
        </w:rPr>
        <w:t>Strategic Management Journal</w:t>
      </w:r>
      <w:r>
        <w:t xml:space="preserve">, </w:t>
      </w:r>
      <w:r w:rsidRPr="00A62DA9">
        <w:rPr>
          <w:rStyle w:val="Strong"/>
          <w:b w:val="0"/>
          <w:bCs w:val="0"/>
        </w:rPr>
        <w:t>18</w:t>
      </w:r>
      <w:r>
        <w:t xml:space="preserve">(7), pp. 509–533. </w:t>
      </w:r>
      <w:r w:rsidR="0028539F">
        <w:rPr>
          <w:noProof/>
        </w:rPr>
        <w:t>DOI</w:t>
      </w:r>
      <w:r>
        <w:t xml:space="preserve">: </w:t>
      </w:r>
      <w:r w:rsidRPr="00217628">
        <w:rPr>
          <w:rStyle w:val="Strong"/>
          <w:b w:val="0"/>
          <w:bCs w:val="0"/>
        </w:rPr>
        <w:t>10.1002/(SICI)1097-0266(199708)18:7&lt;509::AID-SMJ882&gt;3.0.CO;2-Z</w:t>
      </w:r>
      <w:r w:rsidRPr="00217628">
        <w:rPr>
          <w:b/>
          <w:bCs/>
        </w:rPr>
        <w:t>.</w:t>
      </w:r>
    </w:p>
    <w:p w14:paraId="63F193CE" w14:textId="4BE7A175" w:rsidR="001F2213" w:rsidRDefault="00424C6F" w:rsidP="001F2213">
      <w:pPr>
        <w:pStyle w:val="Bibliography"/>
        <w:ind w:left="720" w:hanging="720"/>
        <w:jc w:val="both"/>
        <w:rPr>
          <w:b/>
          <w:bCs/>
        </w:rPr>
      </w:pPr>
      <w:r w:rsidRPr="00424C6F">
        <w:rPr>
          <w:rStyle w:val="Strong"/>
          <w:b w:val="0"/>
          <w:bCs w:val="0"/>
        </w:rPr>
        <w:t>Temper, M., Tjoa, S.</w:t>
      </w:r>
      <w:r>
        <w:rPr>
          <w:rStyle w:val="Strong"/>
          <w:b w:val="0"/>
          <w:bCs w:val="0"/>
        </w:rPr>
        <w:t>,</w:t>
      </w:r>
      <w:r w:rsidRPr="00424C6F">
        <w:rPr>
          <w:rStyle w:val="Strong"/>
          <w:b w:val="0"/>
          <w:bCs w:val="0"/>
        </w:rPr>
        <w:t xml:space="preserve"> </w:t>
      </w:r>
      <w:r w:rsidR="00D82198">
        <w:rPr>
          <w:rStyle w:val="Strong"/>
          <w:b w:val="0"/>
          <w:bCs w:val="0"/>
        </w:rPr>
        <w:t>and</w:t>
      </w:r>
      <w:r w:rsidR="00584874">
        <w:rPr>
          <w:rStyle w:val="Strong"/>
          <w:b w:val="0"/>
          <w:bCs w:val="0"/>
        </w:rPr>
        <w:t xml:space="preserve"> </w:t>
      </w:r>
      <w:r w:rsidRPr="00424C6F">
        <w:rPr>
          <w:rStyle w:val="Strong"/>
          <w:b w:val="0"/>
          <w:bCs w:val="0"/>
        </w:rPr>
        <w:t>David, L. (2025)</w:t>
      </w:r>
      <w:r>
        <w:t xml:space="preserve"> ‘Higher Education Act for AI (HEAT-AI): a framework to regulate the usage of AI in higher education institutions’, </w:t>
      </w:r>
      <w:r>
        <w:rPr>
          <w:rStyle w:val="Emphasis"/>
        </w:rPr>
        <w:t>Frontiers in Education</w:t>
      </w:r>
      <w:r>
        <w:t xml:space="preserve">, 10, 1505370. </w:t>
      </w:r>
      <w:r w:rsidR="0028539F">
        <w:rPr>
          <w:noProof/>
        </w:rPr>
        <w:t>DOI</w:t>
      </w:r>
      <w:r>
        <w:rPr>
          <w:noProof/>
        </w:rPr>
        <w:t>:</w:t>
      </w:r>
      <w:r>
        <w:t xml:space="preserve"> </w:t>
      </w:r>
      <w:r w:rsidRPr="00424C6F">
        <w:rPr>
          <w:rStyle w:val="Strong"/>
          <w:b w:val="0"/>
          <w:bCs w:val="0"/>
        </w:rPr>
        <w:t>10.3389/feduc.2025.1505370</w:t>
      </w:r>
      <w:r w:rsidRPr="00424C6F">
        <w:rPr>
          <w:b/>
          <w:bCs/>
        </w:rPr>
        <w:t>.</w:t>
      </w:r>
    </w:p>
    <w:p w14:paraId="23B8AEFE" w14:textId="61FFA485" w:rsidR="004870D1" w:rsidRPr="008261A3" w:rsidRDefault="00F150A7" w:rsidP="008261A3">
      <w:pPr>
        <w:pStyle w:val="Bibliography"/>
        <w:ind w:left="720" w:hanging="720"/>
        <w:jc w:val="both"/>
        <w:rPr>
          <w:b/>
          <w:bCs/>
          <w:noProof/>
        </w:rPr>
      </w:pPr>
      <w:r w:rsidRPr="00A6124C">
        <w:rPr>
          <w:rStyle w:val="Strong"/>
          <w:b w:val="0"/>
          <w:bCs w:val="0"/>
        </w:rPr>
        <w:t>Thaldar, D., Botes, M., Badru, A., Chenia, H., Duma, S., Dlamini, S.B., Amin, N., Hugo, W., Govender,</w:t>
      </w:r>
      <w:r>
        <w:rPr>
          <w:rStyle w:val="Strong"/>
        </w:rPr>
        <w:t xml:space="preserve"> </w:t>
      </w:r>
      <w:r w:rsidRPr="00A6124C">
        <w:rPr>
          <w:rStyle w:val="Strong"/>
          <w:b w:val="0"/>
          <w:bCs w:val="0"/>
        </w:rPr>
        <w:t xml:space="preserve">R. </w:t>
      </w:r>
      <w:r w:rsidR="00D82198">
        <w:rPr>
          <w:rStyle w:val="Strong"/>
          <w:b w:val="0"/>
          <w:bCs w:val="0"/>
        </w:rPr>
        <w:t>and</w:t>
      </w:r>
      <w:r w:rsidRPr="00A6124C">
        <w:rPr>
          <w:rStyle w:val="Strong"/>
          <w:b w:val="0"/>
          <w:bCs w:val="0"/>
        </w:rPr>
        <w:t xml:space="preserve"> Bruce-Brand, J.</w:t>
      </w:r>
      <w:r w:rsidR="00DC17A1">
        <w:rPr>
          <w:rStyle w:val="Strong"/>
          <w:b w:val="0"/>
          <w:bCs w:val="0"/>
        </w:rPr>
        <w:t xml:space="preserve">, </w:t>
      </w:r>
      <w:r w:rsidR="00DC17A1">
        <w:t xml:space="preserve">Vosloo, A., Koorbanally, N. </w:t>
      </w:r>
      <w:r w:rsidR="00D82198">
        <w:t>and</w:t>
      </w:r>
      <w:r w:rsidR="00DC17A1">
        <w:t xml:space="preserve"> Chuturgoon, A.</w:t>
      </w:r>
      <w:r w:rsidRPr="00A6124C">
        <w:rPr>
          <w:rStyle w:val="Strong"/>
          <w:b w:val="0"/>
          <w:bCs w:val="0"/>
        </w:rPr>
        <w:t xml:space="preserve"> (2025).</w:t>
      </w:r>
      <w:r>
        <w:t xml:space="preserve"> ‘Generative AI governance in higher education: a case study from Africa’, </w:t>
      </w:r>
      <w:r>
        <w:rPr>
          <w:rStyle w:val="Emphasis"/>
        </w:rPr>
        <w:t>Frontiers in Political Science</w:t>
      </w:r>
      <w:r>
        <w:t xml:space="preserve">, 7, 1666661. </w:t>
      </w:r>
      <w:r w:rsidR="0028539F">
        <w:rPr>
          <w:noProof/>
        </w:rPr>
        <w:t>DOI</w:t>
      </w:r>
      <w:r>
        <w:rPr>
          <w:noProof/>
        </w:rPr>
        <w:t>:</w:t>
      </w:r>
      <w:r>
        <w:t xml:space="preserve"> </w:t>
      </w:r>
      <w:r w:rsidRPr="00A6124C">
        <w:rPr>
          <w:rStyle w:val="Strong"/>
          <w:b w:val="0"/>
          <w:bCs w:val="0"/>
        </w:rPr>
        <w:t>10.3389/fpos.2025.1666661</w:t>
      </w:r>
    </w:p>
    <w:p w14:paraId="591383D2" w14:textId="13804BEC" w:rsidR="00D67560" w:rsidRDefault="00083C99" w:rsidP="00D67560">
      <w:pPr>
        <w:pStyle w:val="Bibliography"/>
        <w:ind w:left="720" w:hanging="720"/>
        <w:jc w:val="both"/>
        <w:rPr>
          <w:b/>
          <w:bCs/>
        </w:rPr>
      </w:pPr>
      <w:r w:rsidRPr="00083C99">
        <w:rPr>
          <w:rStyle w:val="Strong"/>
          <w:b w:val="0"/>
          <w:bCs w:val="0"/>
        </w:rPr>
        <w:t>Thomas, L. (2024).</w:t>
      </w:r>
      <w:r>
        <w:t xml:space="preserve"> ‘The Researcher’s Gaze: Positionality and Reflexivity’, </w:t>
      </w:r>
      <w:r w:rsidR="0028539F">
        <w:rPr>
          <w:rStyle w:val="Emphasis"/>
        </w:rPr>
        <w:t>DOI</w:t>
      </w:r>
      <w:r>
        <w:rPr>
          <w:rStyle w:val="Emphasis"/>
        </w:rPr>
        <w:t>ng Good Qualitative Research</w:t>
      </w:r>
      <w:r>
        <w:t xml:space="preserve">. Oxford: Oxford University Press, pp. 23–36. </w:t>
      </w:r>
      <w:r w:rsidR="0028539F">
        <w:rPr>
          <w:noProof/>
        </w:rPr>
        <w:t>DOI</w:t>
      </w:r>
      <w:r w:rsidR="00424C6F">
        <w:rPr>
          <w:noProof/>
        </w:rPr>
        <w:t>:</w:t>
      </w:r>
      <w:r>
        <w:t xml:space="preserve"> </w:t>
      </w:r>
      <w:r w:rsidRPr="00083C99">
        <w:rPr>
          <w:rStyle w:val="Strong"/>
          <w:b w:val="0"/>
          <w:bCs w:val="0"/>
        </w:rPr>
        <w:t>10.1093/oso/9780197633137.003.0003</w:t>
      </w:r>
      <w:r w:rsidRPr="00083C99">
        <w:rPr>
          <w:b/>
          <w:bCs/>
        </w:rPr>
        <w:t>.</w:t>
      </w:r>
    </w:p>
    <w:p w14:paraId="6E3385F0" w14:textId="61095313" w:rsidR="00451563" w:rsidRPr="008261A3" w:rsidRDefault="00712FE3" w:rsidP="008261A3">
      <w:pPr>
        <w:pStyle w:val="Bibliography"/>
        <w:ind w:left="720" w:hanging="720"/>
        <w:jc w:val="both"/>
        <w:rPr>
          <w:b/>
          <w:bCs/>
        </w:rPr>
      </w:pPr>
      <w:r w:rsidRPr="00712FE3">
        <w:rPr>
          <w:rStyle w:val="Strong"/>
          <w:b w:val="0"/>
          <w:bCs w:val="0"/>
        </w:rPr>
        <w:t xml:space="preserve">Thomas, J. </w:t>
      </w:r>
      <w:r w:rsidR="00D82198">
        <w:rPr>
          <w:rStyle w:val="Strong"/>
          <w:b w:val="0"/>
          <w:bCs w:val="0"/>
        </w:rPr>
        <w:t>and</w:t>
      </w:r>
      <w:r w:rsidRPr="00712FE3">
        <w:rPr>
          <w:rStyle w:val="Strong"/>
          <w:b w:val="0"/>
          <w:bCs w:val="0"/>
        </w:rPr>
        <w:t xml:space="preserve"> Harden, A. (2008)</w:t>
      </w:r>
      <w:r>
        <w:rPr>
          <w:rStyle w:val="Strong"/>
          <w:b w:val="0"/>
          <w:bCs w:val="0"/>
        </w:rPr>
        <w:t>.</w:t>
      </w:r>
      <w:r>
        <w:t xml:space="preserve"> ‘Methods for the thematic synthesis of qualitative research in systematic reviews’, </w:t>
      </w:r>
      <w:r>
        <w:rPr>
          <w:rStyle w:val="Emphasis"/>
        </w:rPr>
        <w:t>BMC Medical Research Methodology</w:t>
      </w:r>
      <w:r>
        <w:t xml:space="preserve">, </w:t>
      </w:r>
      <w:r w:rsidRPr="00712FE3">
        <w:rPr>
          <w:rStyle w:val="Strong"/>
          <w:b w:val="0"/>
          <w:bCs w:val="0"/>
        </w:rPr>
        <w:t>8</w:t>
      </w:r>
      <w:r>
        <w:t xml:space="preserve">, 45. </w:t>
      </w:r>
      <w:r w:rsidR="0028539F">
        <w:rPr>
          <w:noProof/>
        </w:rPr>
        <w:t>DOI</w:t>
      </w:r>
      <w:r w:rsidRPr="00B27CEE">
        <w:rPr>
          <w:noProof/>
        </w:rPr>
        <w:t>:</w:t>
      </w:r>
      <w:r w:rsidRPr="00712FE3">
        <w:rPr>
          <w:rStyle w:val="Strong"/>
          <w:b w:val="0"/>
          <w:bCs w:val="0"/>
        </w:rPr>
        <w:t xml:space="preserve"> 10.1186/1471-2288-8-45.</w:t>
      </w:r>
    </w:p>
    <w:p w14:paraId="14CE369E" w14:textId="0F1D18EC" w:rsidR="0040003D" w:rsidRDefault="003B6293" w:rsidP="0040003D">
      <w:pPr>
        <w:pStyle w:val="Bibliography"/>
        <w:ind w:left="720" w:hanging="720"/>
        <w:jc w:val="both"/>
      </w:pPr>
      <w:r w:rsidRPr="003B6293">
        <w:t xml:space="preserve">UNESCO (2021) </w:t>
      </w:r>
      <w:r w:rsidRPr="003B6293">
        <w:rPr>
          <w:i/>
          <w:iCs/>
        </w:rPr>
        <w:t>Recommendation on the Ethics of Artificial Intelligence</w:t>
      </w:r>
      <w:r w:rsidRPr="003B6293">
        <w:t xml:space="preserve">. Paris: United Nations Educational, Scientific and Cultural </w:t>
      </w:r>
      <w:r w:rsidR="00682BEA">
        <w:t>Organisation</w:t>
      </w:r>
      <w:r w:rsidRPr="003B6293">
        <w:t xml:space="preserve">. Available at: </w:t>
      </w:r>
      <w:hyperlink r:id="rId17" w:tgtFrame="_blank" w:history="1">
        <w:r w:rsidRPr="003B6293">
          <w:rPr>
            <w:color w:val="0000FF"/>
            <w:u w:val="single"/>
          </w:rPr>
          <w:t>UNESCO Recommendation on the Ethics of Artificial Intelligence</w:t>
        </w:r>
      </w:hyperlink>
      <w:r w:rsidRPr="003B6293">
        <w:t xml:space="preserve"> (Accessed: 11 August 2026).</w:t>
      </w:r>
    </w:p>
    <w:p w14:paraId="3717FA00" w14:textId="48A4E8DC" w:rsidR="00B27CEE" w:rsidRDefault="00B27CEE" w:rsidP="00B27CEE">
      <w:pPr>
        <w:pStyle w:val="Bibliography"/>
        <w:ind w:left="720" w:hanging="720"/>
        <w:jc w:val="both"/>
        <w:rPr>
          <w:noProof/>
        </w:rPr>
      </w:pPr>
      <w:r w:rsidRPr="00B27CEE">
        <w:rPr>
          <w:noProof/>
        </w:rPr>
        <w:t xml:space="preserve">Veale, M. </w:t>
      </w:r>
      <w:r w:rsidR="00D82198">
        <w:rPr>
          <w:noProof/>
        </w:rPr>
        <w:t>and</w:t>
      </w:r>
      <w:r w:rsidRPr="00B27CEE">
        <w:rPr>
          <w:noProof/>
        </w:rPr>
        <w:t xml:space="preserve"> Zuiderveen Borgesius, F. (2021).</w:t>
      </w:r>
      <w:r>
        <w:rPr>
          <w:noProof/>
        </w:rPr>
        <w:t xml:space="preserve"> ‘Demystifying the Draft EU Artificial Intelligence Act—Analysing the good, the bad, and the unclear elements of the proposed approach’, </w:t>
      </w:r>
      <w:r w:rsidRPr="00B27CEE">
        <w:rPr>
          <w:i/>
          <w:iCs/>
          <w:noProof/>
        </w:rPr>
        <w:t>Computer Law Review International</w:t>
      </w:r>
      <w:r>
        <w:rPr>
          <w:noProof/>
        </w:rPr>
        <w:t xml:space="preserve">, 22(4), pp. 97–112. </w:t>
      </w:r>
      <w:r w:rsidR="0028539F">
        <w:rPr>
          <w:noProof/>
        </w:rPr>
        <w:t>DOI</w:t>
      </w:r>
      <w:r w:rsidRPr="00B27CEE">
        <w:rPr>
          <w:noProof/>
        </w:rPr>
        <w:t>: 10.9785/cri-2021-220402.</w:t>
      </w:r>
    </w:p>
    <w:p w14:paraId="1AEB67D1" w14:textId="2B20C249" w:rsidR="00E97215" w:rsidRDefault="000E7EB9" w:rsidP="00E97215">
      <w:pPr>
        <w:pStyle w:val="Bibliography"/>
        <w:ind w:left="720" w:hanging="720"/>
        <w:jc w:val="both"/>
        <w:rPr>
          <w:noProof/>
        </w:rPr>
      </w:pPr>
      <w:r w:rsidRPr="000E7EB9">
        <w:rPr>
          <w:rStyle w:val="Strong"/>
          <w:b w:val="0"/>
          <w:bCs w:val="0"/>
        </w:rPr>
        <w:t xml:space="preserve">Vincent, S. </w:t>
      </w:r>
      <w:r w:rsidR="00D82198">
        <w:rPr>
          <w:rStyle w:val="Strong"/>
          <w:b w:val="0"/>
          <w:bCs w:val="0"/>
        </w:rPr>
        <w:t>and</w:t>
      </w:r>
      <w:r w:rsidRPr="000E7EB9">
        <w:rPr>
          <w:rStyle w:val="Strong"/>
          <w:b w:val="0"/>
          <w:bCs w:val="0"/>
        </w:rPr>
        <w:t xml:space="preserve"> Wapshott, R. (2014)</w:t>
      </w:r>
      <w:r>
        <w:rPr>
          <w:rStyle w:val="Strong"/>
          <w:b w:val="0"/>
          <w:bCs w:val="0"/>
        </w:rPr>
        <w:t>.</w:t>
      </w:r>
      <w:r>
        <w:t xml:space="preserve"> ‘Critical realism and the organisational case study: A guide to discovering institutional mechanisms’, in Edwards, P.K., O’Mahoney, J. and Vincent, S. (eds.) </w:t>
      </w:r>
      <w:r>
        <w:rPr>
          <w:rStyle w:val="Emphasis"/>
        </w:rPr>
        <w:t>Studying Organizations Using Critical Realism: A Practical Guide</w:t>
      </w:r>
      <w:r>
        <w:t xml:space="preserve">. Oxford: Oxford University Press, pp. 148–167. </w:t>
      </w:r>
      <w:r w:rsidR="0028539F">
        <w:rPr>
          <w:noProof/>
        </w:rPr>
        <w:t>DOI</w:t>
      </w:r>
      <w:r>
        <w:t xml:space="preserve">: </w:t>
      </w:r>
      <w:r w:rsidRPr="000E7EB9">
        <w:rPr>
          <w:rStyle w:val="Strong"/>
          <w:b w:val="0"/>
          <w:bCs w:val="0"/>
        </w:rPr>
        <w:t>10.1093/acprof:oso/9780199665525.003.0008</w:t>
      </w:r>
      <w:r>
        <w:t>.</w:t>
      </w:r>
    </w:p>
    <w:p w14:paraId="2C9A99EE" w14:textId="4303E23C" w:rsidR="0040003D" w:rsidRDefault="00E239C7" w:rsidP="008261A3">
      <w:pPr>
        <w:pStyle w:val="Bibliography"/>
        <w:ind w:left="720" w:hanging="720"/>
        <w:jc w:val="both"/>
        <w:rPr>
          <w:noProof/>
        </w:rPr>
      </w:pPr>
      <w:r>
        <w:rPr>
          <w:noProof/>
        </w:rPr>
        <w:t xml:space="preserve">Walhidayah, I., </w:t>
      </w:r>
      <w:r w:rsidR="00D82198">
        <w:rPr>
          <w:noProof/>
        </w:rPr>
        <w:t>and</w:t>
      </w:r>
      <w:r>
        <w:rPr>
          <w:noProof/>
        </w:rPr>
        <w:t xml:space="preserve"> Surendro, K. (2025). ‘Development of an AI governance model for higher education using the Capability Maturity Model Integration (CMMI)’. </w:t>
      </w:r>
      <w:r>
        <w:rPr>
          <w:i/>
          <w:iCs/>
          <w:noProof/>
        </w:rPr>
        <w:t>Jurnal Teknik Informatika</w:t>
      </w:r>
      <w:r>
        <w:rPr>
          <w:noProof/>
        </w:rPr>
        <w:t xml:space="preserve">, 6(4). </w:t>
      </w:r>
      <w:r w:rsidR="0028539F">
        <w:rPr>
          <w:noProof/>
        </w:rPr>
        <w:t>DOI</w:t>
      </w:r>
      <w:r>
        <w:rPr>
          <w:noProof/>
        </w:rPr>
        <w:t>:</w:t>
      </w:r>
      <w:r>
        <w:t xml:space="preserve"> 10.52436/1.jutif.2025.6.4.4709</w:t>
      </w:r>
      <w:r w:rsidR="00813C3B">
        <w:t>.</w:t>
      </w:r>
    </w:p>
    <w:p w14:paraId="6A0B33F9" w14:textId="405C8F29" w:rsidR="00081B0C" w:rsidRDefault="00081B0C" w:rsidP="00081B0C">
      <w:pPr>
        <w:pStyle w:val="Bibliography"/>
        <w:ind w:left="720" w:hanging="720"/>
        <w:jc w:val="both"/>
        <w:rPr>
          <w:noProof/>
        </w:rPr>
      </w:pPr>
      <w:r w:rsidRPr="00081B0C">
        <w:rPr>
          <w:rStyle w:val="Strong"/>
          <w:b w:val="0"/>
          <w:bCs w:val="0"/>
        </w:rPr>
        <w:t>Wang, W. (2024)</w:t>
      </w:r>
      <w:r>
        <w:rPr>
          <w:rStyle w:val="Strong"/>
          <w:b w:val="0"/>
          <w:bCs w:val="0"/>
        </w:rPr>
        <w:t>.</w:t>
      </w:r>
      <w:r>
        <w:t xml:space="preserve"> ‘The Global Institutional Governance of AI: A Four-Dimensional Perspective’, </w:t>
      </w:r>
      <w:r>
        <w:rPr>
          <w:rStyle w:val="Emphasis"/>
        </w:rPr>
        <w:t>International Journal of Digital Law and Governance</w:t>
      </w:r>
      <w:r>
        <w:t xml:space="preserve">, 1(1), pp. 1–19. </w:t>
      </w:r>
      <w:r w:rsidR="0028539F">
        <w:rPr>
          <w:noProof/>
        </w:rPr>
        <w:t>DOI</w:t>
      </w:r>
      <w:r>
        <w:rPr>
          <w:noProof/>
        </w:rPr>
        <w:t>:</w:t>
      </w:r>
      <w:r>
        <w:t xml:space="preserve"> </w:t>
      </w:r>
      <w:r w:rsidRPr="00081B0C">
        <w:rPr>
          <w:rStyle w:val="Strong"/>
          <w:b w:val="0"/>
          <w:bCs w:val="0"/>
        </w:rPr>
        <w:t>10.1515/ijdlg-2024-0004</w:t>
      </w:r>
    </w:p>
    <w:p w14:paraId="57A331F9" w14:textId="493E1363" w:rsidR="00051B8D" w:rsidRDefault="00051B8D" w:rsidP="00051B8D">
      <w:pPr>
        <w:pStyle w:val="Bibliography"/>
        <w:ind w:left="720" w:hanging="720"/>
        <w:jc w:val="both"/>
        <w:rPr>
          <w:noProof/>
        </w:rPr>
      </w:pPr>
      <w:r w:rsidRPr="00521DFC">
        <w:rPr>
          <w:rStyle w:val="Strong"/>
          <w:b w:val="0"/>
          <w:bCs w:val="0"/>
        </w:rPr>
        <w:t xml:space="preserve">Whittle, A. </w:t>
      </w:r>
      <w:r w:rsidR="00D82198">
        <w:rPr>
          <w:rStyle w:val="Strong"/>
          <w:b w:val="0"/>
          <w:bCs w:val="0"/>
        </w:rPr>
        <w:t>and</w:t>
      </w:r>
      <w:r w:rsidRPr="00521DFC">
        <w:rPr>
          <w:rStyle w:val="Strong"/>
          <w:b w:val="0"/>
          <w:bCs w:val="0"/>
        </w:rPr>
        <w:t xml:space="preserve"> Reissner, S. (2025).</w:t>
      </w:r>
      <w:r>
        <w:t xml:space="preserve"> ‘Making Knowledge Claims from Qualitative Interviews: A Typology of Epistemological Modes’, </w:t>
      </w:r>
      <w:r>
        <w:rPr>
          <w:rStyle w:val="Emphasis"/>
        </w:rPr>
        <w:t>British Journal of Management</w:t>
      </w:r>
      <w:r>
        <w:t xml:space="preserve">, </w:t>
      </w:r>
      <w:r w:rsidRPr="00521DFC">
        <w:rPr>
          <w:rStyle w:val="Strong"/>
          <w:b w:val="0"/>
          <w:bCs w:val="0"/>
        </w:rPr>
        <w:t>36</w:t>
      </w:r>
      <w:r>
        <w:t xml:space="preserve">, pp. 3–16. </w:t>
      </w:r>
      <w:r w:rsidR="0028539F">
        <w:rPr>
          <w:noProof/>
        </w:rPr>
        <w:t>DOI</w:t>
      </w:r>
      <w:r>
        <w:rPr>
          <w:noProof/>
        </w:rPr>
        <w:t>:</w:t>
      </w:r>
      <w:r>
        <w:t xml:space="preserve"> </w:t>
      </w:r>
      <w:r w:rsidRPr="00521DFC">
        <w:rPr>
          <w:rStyle w:val="Strong"/>
          <w:b w:val="0"/>
          <w:bCs w:val="0"/>
        </w:rPr>
        <w:t>10.1111/1467-8551.12845</w:t>
      </w:r>
      <w:r w:rsidRPr="00521DFC">
        <w:rPr>
          <w:b/>
          <w:bCs/>
        </w:rPr>
        <w:t>.</w:t>
      </w:r>
    </w:p>
    <w:p w14:paraId="6FF6995E" w14:textId="22719B9C" w:rsidR="00295150" w:rsidRPr="00295150" w:rsidRDefault="00132807" w:rsidP="00B36C43">
      <w:pPr>
        <w:pStyle w:val="Bibliography"/>
        <w:ind w:left="720" w:hanging="720"/>
        <w:jc w:val="both"/>
        <w:rPr>
          <w:noProof/>
        </w:rPr>
      </w:pPr>
      <w:r w:rsidRPr="00132807">
        <w:rPr>
          <w:rStyle w:val="Strong"/>
          <w:b w:val="0"/>
          <w:bCs w:val="0"/>
        </w:rPr>
        <w:t>Williams, M. (2000).</w:t>
      </w:r>
      <w:r>
        <w:t xml:space="preserve"> ‘Interpretivism and Generalisation’, </w:t>
      </w:r>
      <w:r>
        <w:rPr>
          <w:rStyle w:val="Emphasis"/>
        </w:rPr>
        <w:t>Sociology</w:t>
      </w:r>
      <w:r>
        <w:t>, 34(2), pp. 209–224.</w:t>
      </w:r>
      <w:r w:rsidR="0028539F">
        <w:rPr>
          <w:noProof/>
        </w:rPr>
        <w:t>DOI</w:t>
      </w:r>
      <w:r>
        <w:rPr>
          <w:noProof/>
        </w:rPr>
        <w:t>:</w:t>
      </w:r>
      <w:r w:rsidRPr="00132807">
        <w:rPr>
          <w:rStyle w:val="Strong"/>
          <w:b w:val="0"/>
          <w:bCs w:val="0"/>
        </w:rPr>
        <w:t>10.1177/S0038038500000146</w:t>
      </w:r>
    </w:p>
    <w:p w14:paraId="4EC1C405" w14:textId="143A2007" w:rsidR="008729DB" w:rsidRDefault="00DA0D36" w:rsidP="003B0E33">
      <w:pPr>
        <w:pStyle w:val="Bibliography"/>
        <w:ind w:left="720" w:hanging="720"/>
        <w:jc w:val="both"/>
        <w:rPr>
          <w:b/>
          <w:bCs/>
        </w:rPr>
      </w:pPr>
      <w:r>
        <w:rPr>
          <w:noProof/>
        </w:rPr>
        <w:lastRenderedPageBreak/>
        <w:t>Williamson,</w:t>
      </w:r>
      <w:r w:rsidR="00F77F78">
        <w:rPr>
          <w:noProof/>
        </w:rPr>
        <w:t xml:space="preserve"> B., </w:t>
      </w:r>
      <w:r>
        <w:rPr>
          <w:noProof/>
        </w:rPr>
        <w:t xml:space="preserve"> </w:t>
      </w:r>
      <w:r w:rsidR="00D82198">
        <w:rPr>
          <w:noProof/>
        </w:rPr>
        <w:t>and</w:t>
      </w:r>
      <w:r>
        <w:rPr>
          <w:noProof/>
        </w:rPr>
        <w:t xml:space="preserve"> Eynon</w:t>
      </w:r>
      <w:r w:rsidR="00F77F78">
        <w:rPr>
          <w:noProof/>
        </w:rPr>
        <w:t>, R</w:t>
      </w:r>
      <w:r>
        <w:rPr>
          <w:noProof/>
        </w:rPr>
        <w:t xml:space="preserve">. (2020). "Historical threads, missing links, and future directions in AI in education". </w:t>
      </w:r>
      <w:r>
        <w:rPr>
          <w:i/>
          <w:iCs/>
          <w:noProof/>
        </w:rPr>
        <w:t>Learning, Media and Technology</w:t>
      </w:r>
      <w:r>
        <w:rPr>
          <w:noProof/>
        </w:rPr>
        <w:t xml:space="preserve">, </w:t>
      </w:r>
      <w:r w:rsidR="003B0E33" w:rsidRPr="003B0E33">
        <w:rPr>
          <w:rStyle w:val="Strong"/>
          <w:b w:val="0"/>
          <w:bCs w:val="0"/>
        </w:rPr>
        <w:t>45</w:t>
      </w:r>
      <w:r w:rsidR="003B0E33">
        <w:t xml:space="preserve">(3), pp. 223–235. </w:t>
      </w:r>
      <w:r w:rsidR="0028539F">
        <w:rPr>
          <w:noProof/>
        </w:rPr>
        <w:t>DOI</w:t>
      </w:r>
      <w:r w:rsidR="003B0E33">
        <w:rPr>
          <w:noProof/>
        </w:rPr>
        <w:t>:</w:t>
      </w:r>
      <w:r w:rsidR="003B0E33">
        <w:t xml:space="preserve"> </w:t>
      </w:r>
      <w:r w:rsidR="003B0E33" w:rsidRPr="003B0E33">
        <w:rPr>
          <w:rStyle w:val="Strong"/>
          <w:b w:val="0"/>
          <w:bCs w:val="0"/>
        </w:rPr>
        <w:t>10.1080/17439884.2020.1798995</w:t>
      </w:r>
      <w:r w:rsidR="003B0E33" w:rsidRPr="003B0E33">
        <w:rPr>
          <w:b/>
          <w:bCs/>
        </w:rPr>
        <w:t>.</w:t>
      </w:r>
    </w:p>
    <w:p w14:paraId="3676262D" w14:textId="2495F414" w:rsidR="001206C0" w:rsidRDefault="001B7F4C" w:rsidP="001206C0">
      <w:pPr>
        <w:pStyle w:val="Bibliography"/>
        <w:ind w:left="720" w:hanging="720"/>
        <w:jc w:val="both"/>
        <w:rPr>
          <w:noProof/>
        </w:rPr>
      </w:pPr>
      <w:r w:rsidRPr="001B7F4C">
        <w:rPr>
          <w:rStyle w:val="Strong"/>
          <w:b w:val="0"/>
          <w:bCs w:val="0"/>
        </w:rPr>
        <w:t xml:space="preserve">Wirtz, B., Weyerer, J. </w:t>
      </w:r>
      <w:r w:rsidR="00D82198">
        <w:rPr>
          <w:rStyle w:val="Strong"/>
          <w:b w:val="0"/>
          <w:bCs w:val="0"/>
        </w:rPr>
        <w:t>and</w:t>
      </w:r>
      <w:r w:rsidRPr="001B7F4C">
        <w:rPr>
          <w:rStyle w:val="Strong"/>
          <w:b w:val="0"/>
          <w:bCs w:val="0"/>
        </w:rPr>
        <w:t xml:space="preserve"> Sturm, B. (2020).</w:t>
      </w:r>
      <w:r>
        <w:t xml:space="preserve"> ‘The Dark Sides of Artificial Intelligence: An Integrated AI Governance Framework for Public Administration’, </w:t>
      </w:r>
      <w:r>
        <w:rPr>
          <w:rStyle w:val="Emphasis"/>
        </w:rPr>
        <w:t>International Journal of Public Administration</w:t>
      </w:r>
      <w:r>
        <w:t xml:space="preserve">, </w:t>
      </w:r>
      <w:r w:rsidRPr="001B7F4C">
        <w:rPr>
          <w:rStyle w:val="Strong"/>
          <w:b w:val="0"/>
          <w:bCs w:val="0"/>
        </w:rPr>
        <w:t>43</w:t>
      </w:r>
      <w:r>
        <w:t xml:space="preserve">(9), pp. 818–829. </w:t>
      </w:r>
      <w:r w:rsidR="0028539F">
        <w:rPr>
          <w:noProof/>
        </w:rPr>
        <w:t>DOI</w:t>
      </w:r>
      <w:r w:rsidRPr="00C31307">
        <w:rPr>
          <w:noProof/>
        </w:rPr>
        <w:t>:</w:t>
      </w:r>
      <w:r>
        <w:t xml:space="preserve"> </w:t>
      </w:r>
      <w:r w:rsidRPr="001B7F4C">
        <w:rPr>
          <w:rStyle w:val="Strong"/>
          <w:b w:val="0"/>
          <w:bCs w:val="0"/>
        </w:rPr>
        <w:t>10.1080/01900692.2020.1749851</w:t>
      </w:r>
      <w:r w:rsidR="001206C0" w:rsidRPr="00C31307">
        <w:rPr>
          <w:noProof/>
        </w:rPr>
        <w:t xml:space="preserve"> </w:t>
      </w:r>
    </w:p>
    <w:p w14:paraId="3E075FE5" w14:textId="3FF2BFA5" w:rsidR="00404864" w:rsidRPr="00404864" w:rsidRDefault="00826E66" w:rsidP="008261A3">
      <w:pPr>
        <w:pStyle w:val="Bibliography"/>
        <w:ind w:left="720" w:hanging="720"/>
        <w:jc w:val="both"/>
      </w:pPr>
      <w:r>
        <w:t xml:space="preserve">Woodworth, J. </w:t>
      </w:r>
      <w:r w:rsidR="00D82198">
        <w:t>and</w:t>
      </w:r>
      <w:r>
        <w:t xml:space="preserve"> Ballantyne, E. (2026). ‘AI policy in higher education: Relational-affective considerations for governance in a Canadian university case study’, </w:t>
      </w:r>
      <w:r w:rsidRPr="00E30DBC">
        <w:rPr>
          <w:i/>
          <w:iCs/>
        </w:rPr>
        <w:t>American Journal of STEM Education</w:t>
      </w:r>
      <w:r>
        <w:t xml:space="preserve">. </w:t>
      </w:r>
      <w:r w:rsidR="0028539F">
        <w:t>DOI</w:t>
      </w:r>
      <w:r>
        <w:t xml:space="preserve">: </w:t>
      </w:r>
      <w:r w:rsidRPr="00E30DBC">
        <w:t>10.32674/ndvc6674.</w:t>
      </w:r>
      <w:r>
        <w:t xml:space="preserve"> </w:t>
      </w:r>
      <w:r w:rsidR="00DA1E93" w:rsidRPr="00C31307">
        <w:t xml:space="preserve"> </w:t>
      </w:r>
    </w:p>
    <w:p w14:paraId="127BFB24" w14:textId="76304B80" w:rsidR="001206C0" w:rsidRPr="001206C0" w:rsidRDefault="00805BFD" w:rsidP="008261A3">
      <w:pPr>
        <w:pStyle w:val="Bibliography"/>
        <w:ind w:left="720" w:hanging="720"/>
        <w:jc w:val="both"/>
      </w:pPr>
      <w:r w:rsidRPr="00E30DBC">
        <w:t xml:space="preserve">Wu, C. </w:t>
      </w:r>
      <w:r w:rsidR="00D82198" w:rsidRPr="00E30DBC">
        <w:t>and</w:t>
      </w:r>
      <w:r w:rsidRPr="00E30DBC">
        <w:t xml:space="preserve"> Carroll, J. (2026).</w:t>
      </w:r>
      <w:r>
        <w:t xml:space="preserve"> ‘Evolving Perspectives on Generative AI in Higher Education: Insights from Two Years of University Stakeholder Analysis’, </w:t>
      </w:r>
      <w:r w:rsidRPr="00E30DBC">
        <w:rPr>
          <w:i/>
          <w:iCs/>
        </w:rPr>
        <w:t>Tech Trends</w:t>
      </w:r>
      <w:r>
        <w:t xml:space="preserve">, 70, pp. 346–363. </w:t>
      </w:r>
      <w:r w:rsidR="0028539F">
        <w:t>DOI</w:t>
      </w:r>
      <w:r>
        <w:t xml:space="preserve">: </w:t>
      </w:r>
      <w:r w:rsidRPr="00E30DBC">
        <w:t>10.1007/s11528-025-01150-5.</w:t>
      </w:r>
      <w:r w:rsidR="00B34B5E" w:rsidRPr="00C31307">
        <w:t xml:space="preserve"> </w:t>
      </w:r>
    </w:p>
    <w:p w14:paraId="0B8A14FA" w14:textId="2627166E" w:rsidR="00AD1BAD" w:rsidRPr="00C45B58" w:rsidRDefault="00AD1BAD" w:rsidP="00C31307">
      <w:pPr>
        <w:pStyle w:val="Bibliography"/>
        <w:ind w:left="720" w:hanging="720"/>
        <w:jc w:val="both"/>
      </w:pPr>
      <w:r w:rsidRPr="00E30DBC">
        <w:fldChar w:fldCharType="begin"/>
      </w:r>
      <w:r w:rsidRPr="00E30DBC">
        <w:instrText xml:space="preserve"> BIBLIOGRAPHY  \l 2057 </w:instrText>
      </w:r>
      <w:r w:rsidRPr="00E30DBC">
        <w:fldChar w:fldCharType="separate"/>
      </w:r>
      <w:r w:rsidRPr="00C45B58">
        <w:t xml:space="preserve">Wu, C., Zhang, H., </w:t>
      </w:r>
      <w:r w:rsidR="00D82198" w:rsidRPr="00C45B58">
        <w:t>and</w:t>
      </w:r>
      <w:r w:rsidRPr="00C45B58">
        <w:t xml:space="preserve"> Carroll, J. (2024). 'AI Governance in Higher Education: Case Studies of Guidance at Big Ten Universities'. </w:t>
      </w:r>
      <w:r w:rsidR="00C31307" w:rsidRPr="00C45B58">
        <w:t xml:space="preserve">Future Internet, 16(10), 354. </w:t>
      </w:r>
      <w:r w:rsidR="0028539F" w:rsidRPr="00C45B58">
        <w:t>DOI</w:t>
      </w:r>
      <w:r w:rsidR="00C31307" w:rsidRPr="00C45B58">
        <w:t xml:space="preserve">: 10.3390/fi16100354. </w:t>
      </w:r>
    </w:p>
    <w:p w14:paraId="30454EB1" w14:textId="08209F81" w:rsidR="00086730" w:rsidRPr="00C45B58" w:rsidRDefault="00EF7EC1" w:rsidP="00086730">
      <w:pPr>
        <w:pStyle w:val="Bibliography"/>
        <w:ind w:left="720" w:hanging="720"/>
        <w:jc w:val="both"/>
      </w:pPr>
      <w:r w:rsidRPr="00C45B58">
        <w:t xml:space="preserve">Xie, X. </w:t>
      </w:r>
      <w:r w:rsidR="00D82198" w:rsidRPr="00C45B58">
        <w:t>and</w:t>
      </w:r>
      <w:r w:rsidRPr="00C45B58">
        <w:t xml:space="preserve"> Luo, S. (2025). ‘Dynamic Risks and Adaptive Governance of Generative Artificial Intelligence’, Journal of Beijing University of Technology (Social Sciences Edition), 25(1), pp. 112–125. </w:t>
      </w:r>
      <w:r w:rsidR="0028539F" w:rsidRPr="00C45B58">
        <w:t>DOI</w:t>
      </w:r>
      <w:r w:rsidR="000901E7" w:rsidRPr="00C45B58">
        <w:t xml:space="preserve">: </w:t>
      </w:r>
      <w:r w:rsidRPr="00C45B58">
        <w:t xml:space="preserve"> 10.12120/bjutskxb202501112.</w:t>
      </w:r>
    </w:p>
    <w:p w14:paraId="5089B298" w14:textId="2A3681CD" w:rsidR="00086730" w:rsidRPr="00C45B58" w:rsidRDefault="0062523C" w:rsidP="008261A3">
      <w:pPr>
        <w:pStyle w:val="Bibliography"/>
        <w:ind w:left="720" w:hanging="720"/>
        <w:jc w:val="both"/>
      </w:pPr>
      <w:r w:rsidRPr="00C45B58">
        <w:t xml:space="preserve">Yang, E. and Beil, C. (2024). ‘Ensuring data privacy in AI/ML implementation’, New Directions for Higher Education, 2024, pp. 63–78. </w:t>
      </w:r>
      <w:r w:rsidR="0028539F" w:rsidRPr="00C45B58">
        <w:t>DOI</w:t>
      </w:r>
      <w:r w:rsidR="000901E7" w:rsidRPr="00C45B58">
        <w:t xml:space="preserve">: </w:t>
      </w:r>
      <w:r w:rsidRPr="00C45B58">
        <w:t xml:space="preserve"> 10.1002/he.20509.</w:t>
      </w:r>
    </w:p>
    <w:p w14:paraId="01648BF8" w14:textId="4E6B4019" w:rsidR="005A7F62" w:rsidRPr="00C45B58" w:rsidRDefault="005A7F62" w:rsidP="0078740A">
      <w:pPr>
        <w:pStyle w:val="Bibliography"/>
        <w:ind w:left="720" w:hanging="720"/>
        <w:jc w:val="both"/>
      </w:pPr>
      <w:r w:rsidRPr="00C45B58">
        <w:t>Younas, A., F</w:t>
      </w:r>
      <w:r w:rsidR="00C9228A" w:rsidRPr="00C45B58">
        <w:t>a</w:t>
      </w:r>
      <w:r w:rsidRPr="00C45B58">
        <w:t xml:space="preserve">bregues, S. </w:t>
      </w:r>
      <w:r w:rsidR="00D82198" w:rsidRPr="00C45B58">
        <w:t>and</w:t>
      </w:r>
      <w:r w:rsidRPr="00C45B58">
        <w:t xml:space="preserve"> Creswell, J. (2023)</w:t>
      </w:r>
      <w:r w:rsidR="00C9228A" w:rsidRPr="00C45B58">
        <w:t>.</w:t>
      </w:r>
      <w:r w:rsidRPr="00C45B58">
        <w:t xml:space="preserve"> ‘Generating </w:t>
      </w:r>
      <w:r w:rsidR="00C9228A" w:rsidRPr="00C45B58">
        <w:t>metainferences</w:t>
      </w:r>
      <w:r w:rsidRPr="00C45B58">
        <w:t xml:space="preserve"> in mixed methods research: A worked example in convergent mixed methods designs’, Methodological Innovations, 16. </w:t>
      </w:r>
      <w:r w:rsidR="0028539F" w:rsidRPr="00C45B58">
        <w:t>DOI</w:t>
      </w:r>
      <w:r w:rsidR="00C9228A" w:rsidRPr="00C45B58">
        <w:t>:</w:t>
      </w:r>
      <w:r w:rsidRPr="00C45B58">
        <w:t xml:space="preserve"> 10.1177/20597991231188121</w:t>
      </w:r>
    </w:p>
    <w:p w14:paraId="4232A3DC" w14:textId="6637132C" w:rsidR="004E0B19" w:rsidRPr="00C45B58" w:rsidRDefault="004E0B19" w:rsidP="00C31307">
      <w:pPr>
        <w:pStyle w:val="Bibliography"/>
        <w:ind w:left="720" w:hanging="720"/>
        <w:jc w:val="both"/>
      </w:pPr>
      <w:r w:rsidRPr="00C45B58">
        <w:t xml:space="preserve">Yusuf, A., Pervin, N., </w:t>
      </w:r>
      <w:r w:rsidR="00D82198" w:rsidRPr="00C45B58">
        <w:t>and</w:t>
      </w:r>
      <w:r w:rsidRPr="00C45B58">
        <w:t xml:space="preserve"> Roman-Gonzalez, M. (2024). ‘Generative AI and the future of higher education: a threat to academic integrity or reformation? Evidence from multicultural perspectives’.</w:t>
      </w:r>
      <w:r w:rsidRPr="006C66FD">
        <w:rPr>
          <w:i/>
          <w:iCs/>
        </w:rPr>
        <w:t xml:space="preserve"> International Journal of Educational Technology in Higher Education</w:t>
      </w:r>
      <w:r w:rsidRPr="00C45B58">
        <w:t xml:space="preserve">, 21, 21. </w:t>
      </w:r>
      <w:r w:rsidR="0028539F" w:rsidRPr="00C45B58">
        <w:t>DOI</w:t>
      </w:r>
      <w:r w:rsidRPr="00C45B58">
        <w:t>: 10.1186/s41239-024-00453-6.</w:t>
      </w:r>
    </w:p>
    <w:p w14:paraId="14AF078D" w14:textId="6FAB55C1" w:rsidR="007B73A0" w:rsidRPr="00E30DBC" w:rsidRDefault="00CE78BE" w:rsidP="007B73A0">
      <w:pPr>
        <w:pStyle w:val="Bibliography"/>
        <w:ind w:left="720" w:hanging="720"/>
        <w:jc w:val="both"/>
      </w:pPr>
      <w:r w:rsidRPr="00C45B58">
        <w:t xml:space="preserve">Zawacki-Richter, O., Marín, V., Bond, M. </w:t>
      </w:r>
      <w:r w:rsidR="00D82198" w:rsidRPr="00C45B58">
        <w:t>and</w:t>
      </w:r>
      <w:r w:rsidRPr="00C45B58">
        <w:t xml:space="preserve"> Gouverneur, F. (2019)</w:t>
      </w:r>
      <w:r w:rsidR="00883106" w:rsidRPr="00C45B58">
        <w:t>.</w:t>
      </w:r>
      <w:r w:rsidRPr="00C45B58">
        <w:t xml:space="preserve"> ‘Systematic review of research on artificial intelligence applications in higher education – where are the educators?’, </w:t>
      </w:r>
      <w:r w:rsidRPr="00C45B58">
        <w:rPr>
          <w:i/>
          <w:iCs/>
        </w:rPr>
        <w:t>International Journal of Educational Technology in Higher Education</w:t>
      </w:r>
      <w:r w:rsidRPr="00E30DBC">
        <w:t xml:space="preserve">, 16, 39. </w:t>
      </w:r>
      <w:r w:rsidR="0028539F" w:rsidRPr="00E30DBC">
        <w:t>DOI</w:t>
      </w:r>
      <w:r w:rsidRPr="00E30DBC">
        <w:t xml:space="preserve">: 10.1186/s41239-019-0171-0. </w:t>
      </w:r>
    </w:p>
    <w:p w14:paraId="5CCC364A" w14:textId="1EEF76F6" w:rsidR="00884FB0" w:rsidRPr="008E5D4D" w:rsidRDefault="00AD1BAD" w:rsidP="00E30DBC">
      <w:pPr>
        <w:pStyle w:val="Bibliography"/>
        <w:ind w:left="720" w:hanging="720"/>
        <w:jc w:val="both"/>
        <w:rPr>
          <w:i/>
          <w:iCs/>
        </w:rPr>
      </w:pPr>
      <w:r w:rsidRPr="00E30DBC">
        <w:fldChar w:fldCharType="end"/>
      </w:r>
    </w:p>
    <w:tbl>
      <w:tblPr>
        <w:tblStyle w:val="GridTable6ColourfulAccent6"/>
        <w:tblW w:w="9399" w:type="dxa"/>
        <w:tblInd w:w="-142" w:type="dxa"/>
        <w:tblLook w:val="04A0" w:firstRow="1" w:lastRow="0" w:firstColumn="1" w:lastColumn="0" w:noHBand="0" w:noVBand="1"/>
      </w:tblPr>
      <w:tblGrid>
        <w:gridCol w:w="1843"/>
        <w:gridCol w:w="2694"/>
        <w:gridCol w:w="2268"/>
        <w:gridCol w:w="2594"/>
      </w:tblGrid>
      <w:tr w:rsidR="00AD3AA2" w14:paraId="7BDD44E9" w14:textId="77777777" w:rsidTr="001516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99" w:type="dxa"/>
            <w:gridSpan w:val="4"/>
            <w:tcBorders>
              <w:top w:val="nil"/>
              <w:left w:val="nil"/>
              <w:bottom w:val="single" w:sz="4" w:space="0" w:color="auto"/>
              <w:right w:val="nil"/>
            </w:tcBorders>
          </w:tcPr>
          <w:p w14:paraId="3DEF7813" w14:textId="77777777" w:rsidR="00AD3AA2" w:rsidRDefault="00AD3AA2" w:rsidP="0015161C">
            <w:pPr>
              <w:pStyle w:val="Heading1"/>
              <w:rPr>
                <w:rFonts w:eastAsiaTheme="minorHAnsi"/>
                <w:b w:val="0"/>
                <w:bCs w:val="0"/>
              </w:rPr>
            </w:pPr>
            <w:bookmarkStart w:id="124" w:name="_Toc237383400"/>
            <w:bookmarkStart w:id="125" w:name="_Toc237384235"/>
            <w:bookmarkStart w:id="126" w:name="_Toc237384955"/>
            <w:bookmarkStart w:id="127" w:name="_Toc237444977"/>
            <w:r>
              <w:rPr>
                <w:rFonts w:eastAsiaTheme="minorHAnsi"/>
              </w:rPr>
              <w:lastRenderedPageBreak/>
              <w:t>Appendix A</w:t>
            </w:r>
            <w:bookmarkEnd w:id="124"/>
            <w:bookmarkEnd w:id="125"/>
            <w:bookmarkEnd w:id="126"/>
            <w:bookmarkEnd w:id="127"/>
          </w:p>
          <w:p w14:paraId="57553BA0" w14:textId="6E22B25A" w:rsidR="0015161C" w:rsidRPr="007934B5" w:rsidRDefault="0015161C" w:rsidP="007934B5">
            <w:pPr>
              <w:pStyle w:val="Heading2"/>
            </w:pPr>
          </w:p>
        </w:tc>
      </w:tr>
      <w:tr w:rsidR="00884FB0" w14:paraId="47DAC53C"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26C100DA" w14:textId="77777777" w:rsidR="00884FB0" w:rsidRPr="000E6942" w:rsidRDefault="00884FB0">
            <w:pPr>
              <w:pStyle w:val="Heading1"/>
              <w:jc w:val="center"/>
              <w:rPr>
                <w:rFonts w:asciiTheme="minorHAnsi" w:hAnsiTheme="minorHAnsi" w:cstheme="minorHAnsi"/>
                <w:color w:val="000000" w:themeColor="text1"/>
                <w:sz w:val="20"/>
                <w:szCs w:val="20"/>
              </w:rPr>
            </w:pPr>
            <w:bookmarkStart w:id="128" w:name="_Toc237383402"/>
            <w:bookmarkStart w:id="129" w:name="_Toc237384237"/>
            <w:bookmarkStart w:id="130" w:name="_Toc237384957"/>
            <w:bookmarkStart w:id="131" w:name="_Toc237444979"/>
            <w:r w:rsidRPr="000E6942">
              <w:rPr>
                <w:rFonts w:asciiTheme="minorHAnsi" w:eastAsiaTheme="minorHAnsi" w:hAnsiTheme="minorHAnsi" w:cstheme="minorHAnsi"/>
                <w:color w:val="000000" w:themeColor="text1"/>
                <w:sz w:val="20"/>
                <w:szCs w:val="20"/>
              </w:rPr>
              <w:t>Potential bias</w:t>
            </w:r>
            <w:bookmarkEnd w:id="128"/>
            <w:bookmarkEnd w:id="129"/>
            <w:bookmarkEnd w:id="130"/>
            <w:bookmarkEnd w:id="131"/>
          </w:p>
        </w:tc>
        <w:tc>
          <w:tcPr>
            <w:tcW w:w="2694" w:type="dxa"/>
            <w:tcBorders>
              <w:top w:val="single" w:sz="4" w:space="0" w:color="auto"/>
            </w:tcBorders>
          </w:tcPr>
          <w:p w14:paraId="554A766C" w14:textId="77777777" w:rsidR="00884FB0" w:rsidRPr="000E6942" w:rsidRDefault="00884FB0">
            <w:pPr>
              <w:pStyle w:val="Heading1"/>
              <w:jc w:val="center"/>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color w:val="000000" w:themeColor="text1"/>
                <w:sz w:val="20"/>
                <w:szCs w:val="20"/>
              </w:rPr>
            </w:pPr>
            <w:bookmarkStart w:id="132" w:name="_Toc237383403"/>
            <w:bookmarkStart w:id="133" w:name="_Toc237384238"/>
            <w:bookmarkStart w:id="134" w:name="_Toc237384958"/>
            <w:bookmarkStart w:id="135" w:name="_Toc237444980"/>
            <w:r w:rsidRPr="000E6942">
              <w:rPr>
                <w:rFonts w:asciiTheme="minorHAnsi" w:eastAsiaTheme="minorHAnsi" w:hAnsiTheme="minorHAnsi" w:cstheme="minorHAnsi"/>
                <w:color w:val="000000" w:themeColor="text1"/>
                <w:sz w:val="20"/>
                <w:szCs w:val="20"/>
              </w:rPr>
              <w:t>Description</w:t>
            </w:r>
            <w:bookmarkEnd w:id="132"/>
            <w:bookmarkEnd w:id="133"/>
            <w:bookmarkEnd w:id="134"/>
            <w:bookmarkEnd w:id="135"/>
          </w:p>
        </w:tc>
        <w:tc>
          <w:tcPr>
            <w:tcW w:w="2268" w:type="dxa"/>
            <w:tcBorders>
              <w:top w:val="single" w:sz="4" w:space="0" w:color="auto"/>
            </w:tcBorders>
          </w:tcPr>
          <w:p w14:paraId="24ADF529" w14:textId="77777777" w:rsidR="00884FB0" w:rsidRPr="000E6942" w:rsidRDefault="00884FB0">
            <w:pPr>
              <w:pStyle w:val="Heading1"/>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bookmarkStart w:id="136" w:name="_Toc237383404"/>
            <w:bookmarkStart w:id="137" w:name="_Toc237384239"/>
            <w:bookmarkStart w:id="138" w:name="_Toc237384959"/>
            <w:bookmarkStart w:id="139" w:name="_Toc237444981"/>
            <w:r w:rsidRPr="000E6942">
              <w:rPr>
                <w:rFonts w:asciiTheme="minorHAnsi" w:eastAsiaTheme="minorHAnsi" w:hAnsiTheme="minorHAnsi" w:cstheme="minorHAnsi"/>
                <w:color w:val="000000" w:themeColor="text1"/>
                <w:sz w:val="20"/>
                <w:szCs w:val="20"/>
              </w:rPr>
              <w:t>Potential impact on research</w:t>
            </w:r>
            <w:bookmarkEnd w:id="136"/>
            <w:bookmarkEnd w:id="137"/>
            <w:bookmarkEnd w:id="138"/>
            <w:bookmarkEnd w:id="139"/>
          </w:p>
        </w:tc>
        <w:tc>
          <w:tcPr>
            <w:tcW w:w="2594" w:type="dxa"/>
            <w:tcBorders>
              <w:top w:val="single" w:sz="4" w:space="0" w:color="auto"/>
            </w:tcBorders>
          </w:tcPr>
          <w:p w14:paraId="40A2FD43" w14:textId="77777777" w:rsidR="00884FB0" w:rsidRPr="000E6942" w:rsidRDefault="00884FB0">
            <w:pPr>
              <w:pStyle w:val="Heading1"/>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bookmarkStart w:id="140" w:name="_Toc237383405"/>
            <w:bookmarkStart w:id="141" w:name="_Toc237384240"/>
            <w:bookmarkStart w:id="142" w:name="_Toc237384960"/>
            <w:bookmarkStart w:id="143" w:name="_Toc237444982"/>
            <w:r w:rsidRPr="000E6942">
              <w:rPr>
                <w:rFonts w:asciiTheme="minorHAnsi" w:eastAsiaTheme="minorHAnsi" w:hAnsiTheme="minorHAnsi" w:cstheme="minorHAnsi"/>
                <w:color w:val="000000" w:themeColor="text1"/>
                <w:sz w:val="20"/>
                <w:szCs w:val="20"/>
              </w:rPr>
              <w:t>Strategies to minimise bias</w:t>
            </w:r>
            <w:bookmarkEnd w:id="140"/>
            <w:bookmarkEnd w:id="141"/>
            <w:bookmarkEnd w:id="142"/>
            <w:bookmarkEnd w:id="143"/>
          </w:p>
        </w:tc>
      </w:tr>
      <w:tr w:rsidR="00884FB0" w:rsidRPr="0031068C" w14:paraId="3A85FC82"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2ECD7D18" w14:textId="77777777" w:rsidR="00884FB0" w:rsidRPr="000E6942" w:rsidRDefault="00884FB0">
            <w:pPr>
              <w:pStyle w:val="Heading1"/>
              <w:jc w:val="center"/>
              <w:rPr>
                <w:rFonts w:asciiTheme="minorHAnsi" w:hAnsiTheme="minorHAnsi" w:cstheme="minorHAnsi"/>
                <w:sz w:val="20"/>
                <w:szCs w:val="20"/>
              </w:rPr>
            </w:pPr>
            <w:bookmarkStart w:id="144" w:name="_Toc237383406"/>
            <w:bookmarkStart w:id="145" w:name="_Toc237384241"/>
            <w:bookmarkStart w:id="146" w:name="_Toc237384961"/>
            <w:bookmarkStart w:id="147" w:name="_Toc237444983"/>
            <w:r w:rsidRPr="000E6942">
              <w:rPr>
                <w:rFonts w:asciiTheme="minorHAnsi" w:eastAsiaTheme="minorHAnsi" w:hAnsiTheme="minorHAnsi" w:cstheme="minorHAnsi"/>
                <w:color w:val="000000" w:themeColor="text1"/>
                <w:sz w:val="20"/>
                <w:szCs w:val="20"/>
              </w:rPr>
              <w:t>Algorithmic bias</w:t>
            </w:r>
            <w:bookmarkEnd w:id="144"/>
            <w:bookmarkEnd w:id="145"/>
            <w:bookmarkEnd w:id="146"/>
            <w:bookmarkEnd w:id="147"/>
            <w:r w:rsidRPr="000E6942">
              <w:rPr>
                <w:rFonts w:asciiTheme="minorHAnsi" w:hAnsiTheme="minorHAnsi" w:cstheme="minorHAnsi"/>
                <w:sz w:val="20"/>
                <w:szCs w:val="20"/>
              </w:rPr>
              <w:t xml:space="preserve"> </w:t>
            </w:r>
          </w:p>
        </w:tc>
        <w:tc>
          <w:tcPr>
            <w:tcW w:w="2694" w:type="dxa"/>
          </w:tcPr>
          <w:p w14:paraId="1C44C395"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bookmarkStart w:id="148" w:name="_Toc237383407"/>
            <w:bookmarkStart w:id="149" w:name="_Toc237384242"/>
            <w:bookmarkStart w:id="150" w:name="_Toc237384962"/>
            <w:bookmarkStart w:id="151" w:name="_Toc237444984"/>
            <w:r w:rsidRPr="000E6942">
              <w:rPr>
                <w:rFonts w:asciiTheme="minorHAnsi" w:hAnsiTheme="minorHAnsi" w:cstheme="minorHAnsi"/>
                <w:color w:val="000000" w:themeColor="text1"/>
                <w:sz w:val="20"/>
                <w:szCs w:val="20"/>
              </w:rPr>
              <w:t>AI systems used within HEIs may themselves generate outcomes</w:t>
            </w:r>
            <w:bookmarkEnd w:id="148"/>
            <w:bookmarkEnd w:id="149"/>
            <w:bookmarkEnd w:id="150"/>
            <w:bookmarkEnd w:id="151"/>
          </w:p>
        </w:tc>
        <w:tc>
          <w:tcPr>
            <w:tcW w:w="2268" w:type="dxa"/>
          </w:tcPr>
          <w:p w14:paraId="150FF802"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152" w:name="_Toc237383408"/>
            <w:bookmarkStart w:id="153" w:name="_Toc237384243"/>
            <w:bookmarkStart w:id="154" w:name="_Toc237384963"/>
            <w:bookmarkStart w:id="155" w:name="_Toc237444985"/>
            <w:r w:rsidRPr="000E6942">
              <w:rPr>
                <w:rFonts w:asciiTheme="minorHAnsi" w:hAnsiTheme="minorHAnsi" w:cstheme="minorHAnsi"/>
                <w:color w:val="000000" w:themeColor="text1"/>
                <w:sz w:val="20"/>
                <w:szCs w:val="20"/>
              </w:rPr>
              <w:t>Ethical governance challenges may be underestimated if AI outputs are accepted uncritically</w:t>
            </w:r>
            <w:bookmarkEnd w:id="152"/>
            <w:bookmarkEnd w:id="153"/>
            <w:bookmarkEnd w:id="154"/>
            <w:bookmarkEnd w:id="155"/>
            <w:r w:rsidRPr="000E6942">
              <w:rPr>
                <w:rFonts w:asciiTheme="minorHAnsi" w:hAnsiTheme="minorHAnsi" w:cstheme="minorHAnsi"/>
                <w:color w:val="000000" w:themeColor="text1"/>
                <w:sz w:val="20"/>
                <w:szCs w:val="20"/>
              </w:rPr>
              <w:t xml:space="preserve"> </w:t>
            </w:r>
          </w:p>
        </w:tc>
        <w:tc>
          <w:tcPr>
            <w:tcW w:w="2594" w:type="dxa"/>
          </w:tcPr>
          <w:p w14:paraId="20AA2624"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156" w:name="_Toc237383409"/>
            <w:bookmarkStart w:id="157" w:name="_Toc237384244"/>
            <w:bookmarkStart w:id="158" w:name="_Toc237384964"/>
            <w:bookmarkStart w:id="159" w:name="_Toc237444986"/>
            <w:r w:rsidRPr="000E6942">
              <w:rPr>
                <w:rFonts w:asciiTheme="minorHAnsi" w:hAnsiTheme="minorHAnsi" w:cstheme="minorHAnsi"/>
                <w:color w:val="000000" w:themeColor="text1"/>
                <w:sz w:val="20"/>
                <w:szCs w:val="20"/>
              </w:rPr>
              <w:t>Critically evaluate AI decision-making processes, consider fairness, transparency and explainability when analysing governance practices</w:t>
            </w:r>
            <w:bookmarkEnd w:id="156"/>
            <w:bookmarkEnd w:id="157"/>
            <w:bookmarkEnd w:id="158"/>
            <w:bookmarkEnd w:id="159"/>
          </w:p>
        </w:tc>
      </w:tr>
      <w:tr w:rsidR="00884FB0" w:rsidRPr="0031068C" w14:paraId="0031420F"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4134E15E" w14:textId="77777777" w:rsidR="00884FB0" w:rsidRPr="000E6942" w:rsidRDefault="00884FB0">
            <w:pPr>
              <w:pStyle w:val="Heading1"/>
              <w:jc w:val="center"/>
              <w:rPr>
                <w:rFonts w:asciiTheme="minorHAnsi" w:eastAsiaTheme="minorHAnsi" w:hAnsiTheme="minorHAnsi" w:cstheme="minorHAnsi"/>
                <w:color w:val="000000" w:themeColor="text1"/>
                <w:sz w:val="20"/>
                <w:szCs w:val="20"/>
              </w:rPr>
            </w:pPr>
            <w:bookmarkStart w:id="160" w:name="_Toc237383410"/>
            <w:bookmarkStart w:id="161" w:name="_Toc237384245"/>
            <w:bookmarkStart w:id="162" w:name="_Toc237384965"/>
            <w:bookmarkStart w:id="163" w:name="_Toc237444987"/>
            <w:r w:rsidRPr="000E6942">
              <w:rPr>
                <w:rFonts w:asciiTheme="minorHAnsi" w:eastAsiaTheme="minorHAnsi" w:hAnsiTheme="minorHAnsi" w:cstheme="minorHAnsi"/>
                <w:color w:val="000000" w:themeColor="text1"/>
                <w:sz w:val="20"/>
                <w:szCs w:val="20"/>
              </w:rPr>
              <w:t>Cultural bias</w:t>
            </w:r>
            <w:bookmarkEnd w:id="160"/>
            <w:bookmarkEnd w:id="161"/>
            <w:bookmarkEnd w:id="162"/>
            <w:bookmarkEnd w:id="163"/>
          </w:p>
        </w:tc>
        <w:tc>
          <w:tcPr>
            <w:tcW w:w="2694" w:type="dxa"/>
          </w:tcPr>
          <w:p w14:paraId="24B69A55" w14:textId="77777777" w:rsidR="00884FB0" w:rsidRPr="000E6942" w:rsidRDefault="00884FB0" w:rsidP="00B804A5">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164" w:name="_Toc237383411"/>
            <w:bookmarkStart w:id="165" w:name="_Toc237384246"/>
            <w:bookmarkStart w:id="166" w:name="_Toc237384966"/>
            <w:bookmarkStart w:id="167" w:name="_Toc237444988"/>
            <w:r w:rsidRPr="000E6942">
              <w:rPr>
                <w:rFonts w:asciiTheme="minorHAnsi" w:hAnsiTheme="minorHAnsi" w:cstheme="minorHAnsi"/>
                <w:color w:val="000000" w:themeColor="text1"/>
                <w:sz w:val="20"/>
                <w:szCs w:val="20"/>
              </w:rPr>
              <w:t>Research assumptions reflect one institutional culture</w:t>
            </w:r>
            <w:bookmarkEnd w:id="164"/>
            <w:bookmarkEnd w:id="165"/>
            <w:bookmarkEnd w:id="166"/>
            <w:bookmarkEnd w:id="167"/>
          </w:p>
        </w:tc>
        <w:tc>
          <w:tcPr>
            <w:tcW w:w="2268" w:type="dxa"/>
          </w:tcPr>
          <w:p w14:paraId="0C4B77CA" w14:textId="77777777" w:rsidR="00884FB0" w:rsidRPr="000E6942" w:rsidRDefault="00884FB0" w:rsidP="00B804A5">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168" w:name="_Toc237383412"/>
            <w:bookmarkStart w:id="169" w:name="_Toc237384247"/>
            <w:bookmarkStart w:id="170" w:name="_Toc237384967"/>
            <w:bookmarkStart w:id="171" w:name="_Toc237444989"/>
            <w:r w:rsidRPr="000E6942">
              <w:rPr>
                <w:rFonts w:asciiTheme="minorHAnsi" w:hAnsiTheme="minorHAnsi" w:cstheme="minorHAnsi"/>
                <w:color w:val="000000" w:themeColor="text1"/>
                <w:sz w:val="20"/>
                <w:szCs w:val="20"/>
              </w:rPr>
              <w:t>Findings may not transfer across different HEIs</w:t>
            </w:r>
            <w:bookmarkEnd w:id="168"/>
            <w:bookmarkEnd w:id="169"/>
            <w:bookmarkEnd w:id="170"/>
            <w:bookmarkEnd w:id="171"/>
          </w:p>
        </w:tc>
        <w:tc>
          <w:tcPr>
            <w:tcW w:w="2594" w:type="dxa"/>
          </w:tcPr>
          <w:p w14:paraId="463F29BE" w14:textId="77777777" w:rsidR="00884FB0" w:rsidRPr="000E6942" w:rsidRDefault="00884FB0" w:rsidP="00B804A5">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172" w:name="_Toc237383413"/>
            <w:bookmarkStart w:id="173" w:name="_Toc237384248"/>
            <w:bookmarkStart w:id="174" w:name="_Toc237384968"/>
            <w:bookmarkStart w:id="175" w:name="_Toc237444990"/>
            <w:r w:rsidRPr="000E6942">
              <w:rPr>
                <w:rFonts w:asciiTheme="minorHAnsi" w:hAnsiTheme="minorHAnsi" w:cstheme="minorHAnsi"/>
                <w:color w:val="000000" w:themeColor="text1"/>
                <w:sz w:val="20"/>
                <w:szCs w:val="20"/>
              </w:rPr>
              <w:t>Include HEIs with various missions, sizes and governance structures.</w:t>
            </w:r>
            <w:bookmarkEnd w:id="172"/>
            <w:bookmarkEnd w:id="173"/>
            <w:bookmarkEnd w:id="174"/>
            <w:bookmarkEnd w:id="175"/>
            <w:r w:rsidRPr="000E6942">
              <w:rPr>
                <w:rFonts w:asciiTheme="minorHAnsi" w:hAnsiTheme="minorHAnsi" w:cstheme="minorHAnsi"/>
                <w:color w:val="000000" w:themeColor="text1"/>
                <w:sz w:val="20"/>
                <w:szCs w:val="20"/>
              </w:rPr>
              <w:t xml:space="preserve"> </w:t>
            </w:r>
          </w:p>
        </w:tc>
      </w:tr>
      <w:tr w:rsidR="00884FB0" w:rsidRPr="00D21668" w14:paraId="5E9258C6"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7CBFD95E" w14:textId="77777777" w:rsidR="00884FB0" w:rsidRPr="000E6942" w:rsidRDefault="00884FB0">
            <w:pPr>
              <w:pStyle w:val="Heading1"/>
              <w:jc w:val="center"/>
              <w:rPr>
                <w:rFonts w:asciiTheme="minorHAnsi" w:eastAsiaTheme="minorHAnsi" w:hAnsiTheme="minorHAnsi" w:cstheme="minorHAnsi"/>
                <w:color w:val="000000" w:themeColor="text1"/>
                <w:sz w:val="20"/>
                <w:szCs w:val="20"/>
              </w:rPr>
            </w:pPr>
            <w:bookmarkStart w:id="176" w:name="_Toc237383414"/>
            <w:bookmarkStart w:id="177" w:name="_Toc237384249"/>
            <w:bookmarkStart w:id="178" w:name="_Toc237384969"/>
            <w:bookmarkStart w:id="179" w:name="_Toc237444991"/>
            <w:r w:rsidRPr="000E6942">
              <w:rPr>
                <w:rFonts w:asciiTheme="minorHAnsi" w:eastAsiaTheme="minorHAnsi" w:hAnsiTheme="minorHAnsi" w:cstheme="minorHAnsi"/>
                <w:color w:val="000000" w:themeColor="text1"/>
                <w:sz w:val="20"/>
                <w:szCs w:val="20"/>
              </w:rPr>
              <w:t>Transferability bias</w:t>
            </w:r>
            <w:bookmarkEnd w:id="176"/>
            <w:bookmarkEnd w:id="177"/>
            <w:bookmarkEnd w:id="178"/>
            <w:bookmarkEnd w:id="179"/>
          </w:p>
        </w:tc>
        <w:tc>
          <w:tcPr>
            <w:tcW w:w="2694" w:type="dxa"/>
          </w:tcPr>
          <w:p w14:paraId="6702D386"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180" w:name="_Toc237383415"/>
            <w:bookmarkStart w:id="181" w:name="_Toc237384250"/>
            <w:bookmarkStart w:id="182" w:name="_Toc237384970"/>
            <w:bookmarkStart w:id="183" w:name="_Toc237444992"/>
            <w:r w:rsidRPr="000E6942">
              <w:rPr>
                <w:rFonts w:asciiTheme="minorHAnsi" w:hAnsiTheme="minorHAnsi" w:cstheme="minorHAnsi"/>
                <w:color w:val="000000" w:themeColor="text1"/>
                <w:sz w:val="20"/>
                <w:szCs w:val="20"/>
              </w:rPr>
              <w:t>Findings are assumed to apply to all HEIs.</w:t>
            </w:r>
            <w:bookmarkEnd w:id="180"/>
            <w:bookmarkEnd w:id="181"/>
            <w:bookmarkEnd w:id="182"/>
            <w:bookmarkEnd w:id="183"/>
            <w:r w:rsidRPr="000E6942">
              <w:rPr>
                <w:rFonts w:asciiTheme="minorHAnsi" w:hAnsiTheme="minorHAnsi" w:cstheme="minorHAnsi"/>
                <w:color w:val="000000" w:themeColor="text1"/>
                <w:sz w:val="20"/>
                <w:szCs w:val="20"/>
              </w:rPr>
              <w:t xml:space="preserve"> </w:t>
            </w:r>
          </w:p>
        </w:tc>
        <w:tc>
          <w:tcPr>
            <w:tcW w:w="2268" w:type="dxa"/>
          </w:tcPr>
          <w:p w14:paraId="7279A4F4"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184" w:name="_Toc237383416"/>
            <w:bookmarkStart w:id="185" w:name="_Toc237384251"/>
            <w:bookmarkStart w:id="186" w:name="_Toc237384971"/>
            <w:bookmarkStart w:id="187" w:name="_Toc237444993"/>
            <w:r w:rsidRPr="000E6942">
              <w:rPr>
                <w:rFonts w:asciiTheme="minorHAnsi" w:hAnsiTheme="minorHAnsi" w:cstheme="minorHAnsi"/>
                <w:color w:val="000000" w:themeColor="text1"/>
                <w:sz w:val="20"/>
                <w:szCs w:val="20"/>
              </w:rPr>
              <w:t>Overgeneralisation beyond English public HEIs</w:t>
            </w:r>
            <w:bookmarkEnd w:id="184"/>
            <w:bookmarkEnd w:id="185"/>
            <w:bookmarkEnd w:id="186"/>
            <w:bookmarkEnd w:id="187"/>
            <w:r w:rsidRPr="000E6942">
              <w:rPr>
                <w:rFonts w:asciiTheme="minorHAnsi" w:hAnsiTheme="minorHAnsi" w:cstheme="minorHAnsi"/>
                <w:color w:val="000000" w:themeColor="text1"/>
                <w:sz w:val="20"/>
                <w:szCs w:val="20"/>
              </w:rPr>
              <w:t xml:space="preserve"> </w:t>
            </w:r>
          </w:p>
        </w:tc>
        <w:tc>
          <w:tcPr>
            <w:tcW w:w="2594" w:type="dxa"/>
          </w:tcPr>
          <w:p w14:paraId="3FBA0659" w14:textId="77777777" w:rsidR="00884FB0" w:rsidRPr="000E6942" w:rsidRDefault="00884FB0" w:rsidP="00B804A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188" w:name="_Toc237383417"/>
            <w:bookmarkStart w:id="189" w:name="_Toc237384252"/>
            <w:bookmarkStart w:id="190" w:name="_Toc237384972"/>
            <w:bookmarkStart w:id="191" w:name="_Toc237444994"/>
            <w:r w:rsidRPr="000E6942">
              <w:rPr>
                <w:rFonts w:asciiTheme="minorHAnsi" w:hAnsiTheme="minorHAnsi" w:cstheme="minorHAnsi"/>
                <w:color w:val="000000" w:themeColor="text1"/>
                <w:sz w:val="20"/>
                <w:szCs w:val="20"/>
              </w:rPr>
              <w:t>Clearly define research boundaries and provide a thick description of the research context</w:t>
            </w:r>
            <w:bookmarkEnd w:id="188"/>
            <w:bookmarkEnd w:id="189"/>
            <w:bookmarkEnd w:id="190"/>
            <w:bookmarkEnd w:id="191"/>
          </w:p>
        </w:tc>
      </w:tr>
      <w:tr w:rsidR="00884FB0" w:rsidRPr="00D21668" w14:paraId="392AA27A"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2F6498F8" w14:textId="77777777" w:rsidR="00884FB0" w:rsidRPr="000E6942" w:rsidRDefault="00884FB0">
            <w:pPr>
              <w:pStyle w:val="Heading1"/>
              <w:jc w:val="center"/>
              <w:rPr>
                <w:rFonts w:asciiTheme="minorHAnsi" w:eastAsiaTheme="minorHAnsi" w:hAnsiTheme="minorHAnsi" w:cstheme="minorHAnsi"/>
                <w:color w:val="000000" w:themeColor="text1"/>
                <w:sz w:val="20"/>
                <w:szCs w:val="20"/>
              </w:rPr>
            </w:pPr>
            <w:bookmarkStart w:id="192" w:name="_Toc237383418"/>
            <w:bookmarkStart w:id="193" w:name="_Toc237384253"/>
            <w:bookmarkStart w:id="194" w:name="_Toc237384973"/>
            <w:bookmarkStart w:id="195" w:name="_Toc237444995"/>
            <w:r w:rsidRPr="000E6942">
              <w:rPr>
                <w:rFonts w:asciiTheme="minorHAnsi" w:eastAsiaTheme="minorHAnsi" w:hAnsiTheme="minorHAnsi" w:cstheme="minorHAnsi"/>
                <w:color w:val="000000" w:themeColor="text1"/>
                <w:sz w:val="20"/>
                <w:szCs w:val="20"/>
              </w:rPr>
              <w:t>Non-response bias</w:t>
            </w:r>
            <w:bookmarkEnd w:id="192"/>
            <w:bookmarkEnd w:id="193"/>
            <w:bookmarkEnd w:id="194"/>
            <w:bookmarkEnd w:id="195"/>
            <w:r w:rsidRPr="000E6942">
              <w:rPr>
                <w:rFonts w:asciiTheme="minorHAnsi" w:eastAsiaTheme="minorHAnsi" w:hAnsiTheme="minorHAnsi" w:cstheme="minorHAnsi"/>
                <w:color w:val="000000" w:themeColor="text1"/>
                <w:sz w:val="20"/>
                <w:szCs w:val="20"/>
              </w:rPr>
              <w:t xml:space="preserve"> </w:t>
            </w:r>
          </w:p>
        </w:tc>
        <w:tc>
          <w:tcPr>
            <w:tcW w:w="2694" w:type="dxa"/>
          </w:tcPr>
          <w:p w14:paraId="414D314B" w14:textId="77777777"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196" w:name="_Toc237383419"/>
            <w:bookmarkStart w:id="197" w:name="_Toc237384254"/>
            <w:bookmarkStart w:id="198" w:name="_Toc237384974"/>
            <w:bookmarkStart w:id="199" w:name="_Toc237444996"/>
            <w:r w:rsidRPr="000E6942">
              <w:rPr>
                <w:rFonts w:asciiTheme="minorHAnsi" w:hAnsiTheme="minorHAnsi" w:cstheme="minorHAnsi"/>
                <w:color w:val="000000" w:themeColor="text1"/>
                <w:sz w:val="20"/>
                <w:szCs w:val="20"/>
              </w:rPr>
              <w:t>Some invited participants declined participation</w:t>
            </w:r>
            <w:bookmarkEnd w:id="196"/>
            <w:bookmarkEnd w:id="197"/>
            <w:bookmarkEnd w:id="198"/>
            <w:bookmarkEnd w:id="199"/>
            <w:r w:rsidRPr="000E6942">
              <w:rPr>
                <w:rFonts w:asciiTheme="minorHAnsi" w:hAnsiTheme="minorHAnsi" w:cstheme="minorHAnsi"/>
                <w:color w:val="000000" w:themeColor="text1"/>
                <w:sz w:val="20"/>
                <w:szCs w:val="20"/>
              </w:rPr>
              <w:t xml:space="preserve"> </w:t>
            </w:r>
          </w:p>
        </w:tc>
        <w:tc>
          <w:tcPr>
            <w:tcW w:w="2268" w:type="dxa"/>
          </w:tcPr>
          <w:p w14:paraId="4968E3DC" w14:textId="77777777"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r w:rsidRPr="000E6942">
              <w:rPr>
                <w:rFonts w:asciiTheme="minorHAnsi" w:hAnsiTheme="minorHAnsi" w:cstheme="minorHAnsi"/>
                <w:color w:val="000000" w:themeColor="text1"/>
                <w:sz w:val="20"/>
                <w:szCs w:val="20"/>
              </w:rPr>
              <w:t xml:space="preserve"> </w:t>
            </w:r>
            <w:bookmarkStart w:id="200" w:name="_Toc237383420"/>
            <w:bookmarkStart w:id="201" w:name="_Toc237384255"/>
            <w:bookmarkStart w:id="202" w:name="_Toc237384975"/>
            <w:bookmarkStart w:id="203" w:name="_Toc237444997"/>
            <w:r w:rsidRPr="000E6942">
              <w:rPr>
                <w:rFonts w:asciiTheme="minorHAnsi" w:hAnsiTheme="minorHAnsi" w:cstheme="minorHAnsi"/>
                <w:color w:val="000000" w:themeColor="text1"/>
                <w:sz w:val="20"/>
                <w:szCs w:val="20"/>
              </w:rPr>
              <w:t>Missing perspective from key stakeholder groups.</w:t>
            </w:r>
            <w:bookmarkEnd w:id="200"/>
            <w:bookmarkEnd w:id="201"/>
            <w:bookmarkEnd w:id="202"/>
            <w:bookmarkEnd w:id="203"/>
            <w:r w:rsidRPr="000E6942">
              <w:rPr>
                <w:rFonts w:asciiTheme="minorHAnsi" w:hAnsiTheme="minorHAnsi" w:cstheme="minorHAnsi"/>
                <w:color w:val="000000" w:themeColor="text1"/>
                <w:sz w:val="20"/>
                <w:szCs w:val="20"/>
              </w:rPr>
              <w:t xml:space="preserve"> </w:t>
            </w:r>
          </w:p>
        </w:tc>
        <w:tc>
          <w:tcPr>
            <w:tcW w:w="2594" w:type="dxa"/>
          </w:tcPr>
          <w:p w14:paraId="57FA520D" w14:textId="77777777"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04" w:name="_Toc237383421"/>
            <w:bookmarkStart w:id="205" w:name="_Toc237384256"/>
            <w:bookmarkStart w:id="206" w:name="_Toc237384976"/>
            <w:bookmarkStart w:id="207" w:name="_Toc237444998"/>
            <w:r w:rsidRPr="000E6942">
              <w:rPr>
                <w:rFonts w:asciiTheme="minorHAnsi" w:hAnsiTheme="minorHAnsi" w:cstheme="minorHAnsi"/>
                <w:color w:val="000000" w:themeColor="text1"/>
                <w:sz w:val="20"/>
                <w:szCs w:val="20"/>
              </w:rPr>
              <w:t>Recruit participants from multiple institutions until data saturation is achieved.</w:t>
            </w:r>
            <w:bookmarkEnd w:id="204"/>
            <w:bookmarkEnd w:id="205"/>
            <w:bookmarkEnd w:id="206"/>
            <w:bookmarkEnd w:id="207"/>
          </w:p>
        </w:tc>
      </w:tr>
      <w:tr w:rsidR="00884FB0" w:rsidRPr="00D21668" w14:paraId="6DBEA670"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33A7EF6C" w14:textId="44AE94C3" w:rsidR="00884FB0" w:rsidRPr="000E6942" w:rsidRDefault="00C663F0">
            <w:pPr>
              <w:pStyle w:val="Heading1"/>
              <w:jc w:val="center"/>
              <w:rPr>
                <w:rFonts w:asciiTheme="minorHAnsi" w:eastAsiaTheme="minorHAnsi" w:hAnsiTheme="minorHAnsi" w:cstheme="minorHAnsi"/>
                <w:color w:val="000000" w:themeColor="text1"/>
                <w:sz w:val="20"/>
                <w:szCs w:val="20"/>
              </w:rPr>
            </w:pPr>
            <w:bookmarkStart w:id="208" w:name="_Toc237383422"/>
            <w:bookmarkStart w:id="209" w:name="_Toc237384257"/>
            <w:bookmarkStart w:id="210" w:name="_Toc237384977"/>
            <w:bookmarkStart w:id="211" w:name="_Toc237444999"/>
            <w:r>
              <w:rPr>
                <w:rFonts w:asciiTheme="minorHAnsi" w:eastAsiaTheme="minorHAnsi" w:hAnsiTheme="minorHAnsi" w:cstheme="minorHAnsi"/>
                <w:color w:val="000000" w:themeColor="text1"/>
                <w:sz w:val="20"/>
                <w:szCs w:val="20"/>
              </w:rPr>
              <w:t>Tri</w:t>
            </w:r>
            <w:r w:rsidR="00FA170A">
              <w:rPr>
                <w:rFonts w:asciiTheme="minorHAnsi" w:eastAsiaTheme="minorHAnsi" w:hAnsiTheme="minorHAnsi" w:cstheme="minorHAnsi"/>
                <w:color w:val="000000" w:themeColor="text1"/>
                <w:sz w:val="20"/>
                <w:szCs w:val="20"/>
              </w:rPr>
              <w:t>an</w:t>
            </w:r>
            <w:r>
              <w:rPr>
                <w:rFonts w:asciiTheme="minorHAnsi" w:eastAsiaTheme="minorHAnsi" w:hAnsiTheme="minorHAnsi" w:cstheme="minorHAnsi"/>
                <w:color w:val="000000" w:themeColor="text1"/>
                <w:sz w:val="20"/>
                <w:szCs w:val="20"/>
              </w:rPr>
              <w:t>gulation</w:t>
            </w:r>
            <w:r w:rsidR="00884FB0" w:rsidRPr="000E6942">
              <w:rPr>
                <w:rFonts w:asciiTheme="minorHAnsi" w:eastAsiaTheme="minorHAnsi" w:hAnsiTheme="minorHAnsi" w:cstheme="minorHAnsi"/>
                <w:color w:val="000000" w:themeColor="text1"/>
                <w:sz w:val="20"/>
                <w:szCs w:val="20"/>
              </w:rPr>
              <w:t xml:space="preserve"> bias</w:t>
            </w:r>
            <w:bookmarkEnd w:id="208"/>
            <w:bookmarkEnd w:id="209"/>
            <w:bookmarkEnd w:id="210"/>
            <w:bookmarkEnd w:id="211"/>
          </w:p>
        </w:tc>
        <w:tc>
          <w:tcPr>
            <w:tcW w:w="2694" w:type="dxa"/>
          </w:tcPr>
          <w:p w14:paraId="4C98D88D"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12" w:name="_Toc237383423"/>
            <w:bookmarkStart w:id="213" w:name="_Toc237384258"/>
            <w:bookmarkStart w:id="214" w:name="_Toc237384978"/>
            <w:bookmarkStart w:id="215" w:name="_Toc237445000"/>
            <w:r w:rsidRPr="000E6942">
              <w:rPr>
                <w:rFonts w:asciiTheme="minorHAnsi" w:hAnsiTheme="minorHAnsi" w:cstheme="minorHAnsi"/>
                <w:color w:val="000000" w:themeColor="text1"/>
                <w:sz w:val="20"/>
                <w:szCs w:val="20"/>
              </w:rPr>
              <w:t>Over-reliance on one source of evidence</w:t>
            </w:r>
            <w:bookmarkEnd w:id="212"/>
            <w:bookmarkEnd w:id="213"/>
            <w:bookmarkEnd w:id="214"/>
            <w:bookmarkEnd w:id="215"/>
          </w:p>
        </w:tc>
        <w:tc>
          <w:tcPr>
            <w:tcW w:w="2268" w:type="dxa"/>
          </w:tcPr>
          <w:p w14:paraId="1EB87CA8"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0E6942">
              <w:rPr>
                <w:rFonts w:asciiTheme="minorHAnsi" w:hAnsiTheme="minorHAnsi" w:cstheme="minorHAnsi"/>
                <w:color w:val="000000" w:themeColor="text1"/>
                <w:sz w:val="20"/>
                <w:szCs w:val="20"/>
              </w:rPr>
              <w:t xml:space="preserve"> </w:t>
            </w:r>
            <w:bookmarkStart w:id="216" w:name="_Toc237383424"/>
            <w:bookmarkStart w:id="217" w:name="_Toc237384259"/>
            <w:bookmarkStart w:id="218" w:name="_Toc237384979"/>
            <w:bookmarkStart w:id="219" w:name="_Toc237445001"/>
            <w:r w:rsidRPr="000E6942">
              <w:rPr>
                <w:rFonts w:asciiTheme="minorHAnsi" w:hAnsiTheme="minorHAnsi" w:cstheme="minorHAnsi"/>
                <w:color w:val="000000" w:themeColor="text1"/>
                <w:sz w:val="20"/>
                <w:szCs w:val="20"/>
              </w:rPr>
              <w:t>Findings become less credible</w:t>
            </w:r>
            <w:bookmarkEnd w:id="216"/>
            <w:bookmarkEnd w:id="217"/>
            <w:bookmarkEnd w:id="218"/>
            <w:bookmarkEnd w:id="219"/>
            <w:r w:rsidRPr="000E6942">
              <w:rPr>
                <w:rFonts w:asciiTheme="minorHAnsi" w:hAnsiTheme="minorHAnsi" w:cstheme="minorHAnsi"/>
                <w:color w:val="000000" w:themeColor="text1"/>
                <w:sz w:val="20"/>
                <w:szCs w:val="20"/>
              </w:rPr>
              <w:t xml:space="preserve"> </w:t>
            </w:r>
          </w:p>
        </w:tc>
        <w:tc>
          <w:tcPr>
            <w:tcW w:w="2594" w:type="dxa"/>
          </w:tcPr>
          <w:p w14:paraId="2692EDEF"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20" w:name="_Toc237383425"/>
            <w:bookmarkStart w:id="221" w:name="_Toc237384260"/>
            <w:bookmarkStart w:id="222" w:name="_Toc237384980"/>
            <w:bookmarkStart w:id="223" w:name="_Toc237445002"/>
            <w:r w:rsidRPr="000E6942">
              <w:rPr>
                <w:rFonts w:asciiTheme="minorHAnsi" w:hAnsiTheme="minorHAnsi" w:cstheme="minorHAnsi"/>
                <w:color w:val="000000" w:themeColor="text1"/>
                <w:sz w:val="20"/>
                <w:szCs w:val="20"/>
              </w:rPr>
              <w:t>Use methodological triangulation through interviews, institutional documents and policy analysis</w:t>
            </w:r>
            <w:bookmarkEnd w:id="220"/>
            <w:bookmarkEnd w:id="221"/>
            <w:bookmarkEnd w:id="222"/>
            <w:bookmarkEnd w:id="223"/>
          </w:p>
        </w:tc>
      </w:tr>
      <w:tr w:rsidR="00884FB0" w:rsidRPr="00D21668" w14:paraId="6A6A03E0"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460414DE" w14:textId="77777777" w:rsidR="00884FB0" w:rsidRPr="000E6942" w:rsidRDefault="00884FB0">
            <w:pPr>
              <w:pStyle w:val="Heading1"/>
              <w:jc w:val="center"/>
              <w:rPr>
                <w:rFonts w:asciiTheme="minorHAnsi" w:eastAsiaTheme="minorHAnsi" w:hAnsiTheme="minorHAnsi" w:cstheme="minorHAnsi"/>
                <w:color w:val="000000" w:themeColor="text1"/>
                <w:sz w:val="20"/>
                <w:szCs w:val="20"/>
              </w:rPr>
            </w:pPr>
            <w:bookmarkStart w:id="224" w:name="_Toc237383426"/>
            <w:bookmarkStart w:id="225" w:name="_Toc237384261"/>
            <w:bookmarkStart w:id="226" w:name="_Toc237384981"/>
            <w:bookmarkStart w:id="227" w:name="_Toc237445003"/>
            <w:r w:rsidRPr="000E6942">
              <w:rPr>
                <w:rFonts w:asciiTheme="minorHAnsi" w:eastAsiaTheme="minorHAnsi" w:hAnsiTheme="minorHAnsi" w:cstheme="minorHAnsi"/>
                <w:color w:val="000000" w:themeColor="text1"/>
                <w:sz w:val="20"/>
                <w:szCs w:val="20"/>
              </w:rPr>
              <w:t>Validity threats</w:t>
            </w:r>
            <w:bookmarkEnd w:id="224"/>
            <w:bookmarkEnd w:id="225"/>
            <w:bookmarkEnd w:id="226"/>
            <w:bookmarkEnd w:id="227"/>
          </w:p>
        </w:tc>
        <w:tc>
          <w:tcPr>
            <w:tcW w:w="2694" w:type="dxa"/>
          </w:tcPr>
          <w:p w14:paraId="25A15DFE" w14:textId="77777777"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28" w:name="_Toc237383427"/>
            <w:bookmarkStart w:id="229" w:name="_Toc237384262"/>
            <w:bookmarkStart w:id="230" w:name="_Toc237384982"/>
            <w:bookmarkStart w:id="231" w:name="_Toc237445004"/>
            <w:r w:rsidRPr="000E6942">
              <w:rPr>
                <w:rFonts w:asciiTheme="minorHAnsi" w:hAnsiTheme="minorHAnsi" w:cstheme="minorHAnsi"/>
                <w:color w:val="000000" w:themeColor="text1"/>
                <w:sz w:val="20"/>
                <w:szCs w:val="20"/>
              </w:rPr>
              <w:t>Findings do not accurately reflect organisational reality</w:t>
            </w:r>
            <w:bookmarkEnd w:id="228"/>
            <w:bookmarkEnd w:id="229"/>
            <w:bookmarkEnd w:id="230"/>
            <w:bookmarkEnd w:id="231"/>
            <w:r w:rsidRPr="000E6942">
              <w:rPr>
                <w:rFonts w:asciiTheme="minorHAnsi" w:hAnsiTheme="minorHAnsi" w:cstheme="minorHAnsi"/>
                <w:color w:val="000000" w:themeColor="text1"/>
                <w:sz w:val="20"/>
                <w:szCs w:val="20"/>
              </w:rPr>
              <w:t xml:space="preserve"> </w:t>
            </w:r>
          </w:p>
        </w:tc>
        <w:tc>
          <w:tcPr>
            <w:tcW w:w="2268" w:type="dxa"/>
          </w:tcPr>
          <w:p w14:paraId="3A9FAED8" w14:textId="7A63A863"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32" w:name="_Toc237383428"/>
            <w:bookmarkStart w:id="233" w:name="_Toc237384263"/>
            <w:bookmarkStart w:id="234" w:name="_Toc237384983"/>
            <w:bookmarkStart w:id="235" w:name="_Toc237445005"/>
            <w:r w:rsidRPr="000E6942">
              <w:rPr>
                <w:rFonts w:asciiTheme="minorHAnsi" w:hAnsiTheme="minorHAnsi" w:cstheme="minorHAnsi"/>
                <w:color w:val="000000" w:themeColor="text1"/>
                <w:sz w:val="20"/>
                <w:szCs w:val="20"/>
              </w:rPr>
              <w:t>Reduced trustworthiness</w:t>
            </w:r>
            <w:r w:rsidR="004F0356">
              <w:rPr>
                <w:rFonts w:asciiTheme="minorHAnsi" w:hAnsiTheme="minorHAnsi" w:cstheme="minorHAnsi"/>
                <w:color w:val="000000" w:themeColor="text1"/>
                <w:sz w:val="20"/>
                <w:szCs w:val="20"/>
              </w:rPr>
              <w:t xml:space="preserve"> of conclusions</w:t>
            </w:r>
            <w:bookmarkEnd w:id="232"/>
            <w:bookmarkEnd w:id="233"/>
            <w:bookmarkEnd w:id="234"/>
            <w:bookmarkEnd w:id="235"/>
            <w:r w:rsidR="00690FAC">
              <w:rPr>
                <w:rFonts w:asciiTheme="minorHAnsi" w:hAnsiTheme="minorHAnsi" w:cstheme="minorHAnsi"/>
                <w:color w:val="000000" w:themeColor="text1"/>
                <w:sz w:val="20"/>
                <w:szCs w:val="20"/>
              </w:rPr>
              <w:t xml:space="preserve"> </w:t>
            </w:r>
          </w:p>
        </w:tc>
        <w:tc>
          <w:tcPr>
            <w:tcW w:w="2594" w:type="dxa"/>
          </w:tcPr>
          <w:p w14:paraId="1B035895" w14:textId="77777777" w:rsidR="00884FB0" w:rsidRPr="000E6942" w:rsidRDefault="00884FB0"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36" w:name="_Toc237383429"/>
            <w:bookmarkStart w:id="237" w:name="_Toc237384264"/>
            <w:bookmarkStart w:id="238" w:name="_Toc237384984"/>
            <w:bookmarkStart w:id="239" w:name="_Toc237445006"/>
            <w:r w:rsidRPr="000E6942">
              <w:rPr>
                <w:rFonts w:asciiTheme="minorHAnsi" w:hAnsiTheme="minorHAnsi" w:cstheme="minorHAnsi"/>
                <w:color w:val="000000" w:themeColor="text1"/>
                <w:sz w:val="20"/>
                <w:szCs w:val="20"/>
              </w:rPr>
              <w:t>Member checking, triangulation, rich descriptions, and transparent analytical procedures</w:t>
            </w:r>
            <w:bookmarkEnd w:id="236"/>
            <w:bookmarkEnd w:id="237"/>
            <w:bookmarkEnd w:id="238"/>
            <w:bookmarkEnd w:id="239"/>
          </w:p>
        </w:tc>
      </w:tr>
      <w:tr w:rsidR="00884FB0" w:rsidRPr="00D21668" w14:paraId="707D1835"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0023879D" w14:textId="77777777" w:rsidR="00884FB0" w:rsidRPr="000E6942" w:rsidRDefault="00884FB0">
            <w:pPr>
              <w:pStyle w:val="Heading1"/>
              <w:jc w:val="center"/>
              <w:rPr>
                <w:rFonts w:asciiTheme="minorHAnsi" w:eastAsiaTheme="minorHAnsi" w:hAnsiTheme="minorHAnsi" w:cstheme="minorHAnsi"/>
                <w:color w:val="000000" w:themeColor="text1"/>
                <w:sz w:val="20"/>
                <w:szCs w:val="20"/>
              </w:rPr>
            </w:pPr>
            <w:bookmarkStart w:id="240" w:name="_Toc237383430"/>
            <w:bookmarkStart w:id="241" w:name="_Toc237384265"/>
            <w:bookmarkStart w:id="242" w:name="_Toc237384985"/>
            <w:bookmarkStart w:id="243" w:name="_Toc237445007"/>
            <w:r w:rsidRPr="000E6942">
              <w:rPr>
                <w:rFonts w:asciiTheme="minorHAnsi" w:eastAsiaTheme="minorHAnsi" w:hAnsiTheme="minorHAnsi" w:cstheme="minorHAnsi"/>
                <w:color w:val="000000" w:themeColor="text1"/>
                <w:sz w:val="20"/>
                <w:szCs w:val="20"/>
              </w:rPr>
              <w:t>Reliability (Dependability) threats</w:t>
            </w:r>
            <w:bookmarkEnd w:id="240"/>
            <w:bookmarkEnd w:id="241"/>
            <w:bookmarkEnd w:id="242"/>
            <w:bookmarkEnd w:id="243"/>
            <w:r w:rsidRPr="000E6942">
              <w:rPr>
                <w:rFonts w:asciiTheme="minorHAnsi" w:eastAsiaTheme="minorHAnsi" w:hAnsiTheme="minorHAnsi" w:cstheme="minorHAnsi"/>
                <w:color w:val="000000" w:themeColor="text1"/>
                <w:sz w:val="20"/>
                <w:szCs w:val="20"/>
              </w:rPr>
              <w:t xml:space="preserve"> </w:t>
            </w:r>
          </w:p>
        </w:tc>
        <w:tc>
          <w:tcPr>
            <w:tcW w:w="2694" w:type="dxa"/>
          </w:tcPr>
          <w:p w14:paraId="6E164057"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44" w:name="_Toc237383431"/>
            <w:bookmarkStart w:id="245" w:name="_Toc237384266"/>
            <w:bookmarkStart w:id="246" w:name="_Toc237384986"/>
            <w:bookmarkStart w:id="247" w:name="_Toc237445008"/>
            <w:r w:rsidRPr="000E6942">
              <w:rPr>
                <w:rFonts w:asciiTheme="minorHAnsi" w:hAnsiTheme="minorHAnsi" w:cstheme="minorHAnsi"/>
                <w:color w:val="000000" w:themeColor="text1"/>
                <w:sz w:val="20"/>
                <w:szCs w:val="20"/>
              </w:rPr>
              <w:t>Inconsistent research procedures reduce reproducibility</w:t>
            </w:r>
            <w:bookmarkEnd w:id="244"/>
            <w:bookmarkEnd w:id="245"/>
            <w:bookmarkEnd w:id="246"/>
            <w:bookmarkEnd w:id="247"/>
          </w:p>
        </w:tc>
        <w:tc>
          <w:tcPr>
            <w:tcW w:w="2268" w:type="dxa"/>
          </w:tcPr>
          <w:p w14:paraId="66AF2D2F"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48" w:name="_Toc237383432"/>
            <w:bookmarkStart w:id="249" w:name="_Toc237384267"/>
            <w:bookmarkStart w:id="250" w:name="_Toc237384987"/>
            <w:bookmarkStart w:id="251" w:name="_Toc237445009"/>
            <w:r w:rsidRPr="000E6942">
              <w:rPr>
                <w:rFonts w:asciiTheme="minorHAnsi" w:hAnsiTheme="minorHAnsi" w:cstheme="minorHAnsi"/>
                <w:color w:val="000000" w:themeColor="text1"/>
                <w:sz w:val="20"/>
                <w:szCs w:val="20"/>
              </w:rPr>
              <w:t>Lower methodological rigour</w:t>
            </w:r>
            <w:bookmarkEnd w:id="248"/>
            <w:bookmarkEnd w:id="249"/>
            <w:bookmarkEnd w:id="250"/>
            <w:bookmarkEnd w:id="251"/>
          </w:p>
        </w:tc>
        <w:tc>
          <w:tcPr>
            <w:tcW w:w="2594" w:type="dxa"/>
          </w:tcPr>
          <w:p w14:paraId="69655BBC" w14:textId="77777777" w:rsidR="00884FB0" w:rsidRPr="000E6942" w:rsidRDefault="00884FB0" w:rsidP="000F76EF">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0E6942">
              <w:rPr>
                <w:rFonts w:asciiTheme="minorHAnsi" w:hAnsiTheme="minorHAnsi" w:cstheme="minorHAnsi"/>
                <w:color w:val="000000" w:themeColor="text1"/>
                <w:sz w:val="20"/>
                <w:szCs w:val="20"/>
              </w:rPr>
              <w:t xml:space="preserve"> </w:t>
            </w:r>
            <w:bookmarkStart w:id="252" w:name="_Toc237383433"/>
            <w:bookmarkStart w:id="253" w:name="_Toc237384268"/>
            <w:bookmarkStart w:id="254" w:name="_Toc237384988"/>
            <w:bookmarkStart w:id="255" w:name="_Toc237445010"/>
            <w:r w:rsidRPr="000E6942">
              <w:rPr>
                <w:rFonts w:asciiTheme="minorHAnsi" w:hAnsiTheme="minorHAnsi" w:cstheme="minorHAnsi"/>
                <w:color w:val="000000" w:themeColor="text1"/>
                <w:sz w:val="20"/>
                <w:szCs w:val="20"/>
              </w:rPr>
              <w:t>Maintain an audit trail, document methodological decisions, use consistent interview protocols and systematic thematic analysis</w:t>
            </w:r>
            <w:bookmarkEnd w:id="252"/>
            <w:bookmarkEnd w:id="253"/>
            <w:bookmarkEnd w:id="254"/>
            <w:bookmarkEnd w:id="255"/>
          </w:p>
        </w:tc>
      </w:tr>
      <w:tr w:rsidR="00813E60" w:rsidRPr="000E6942" w14:paraId="11B7F3B3"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B2013A2" w14:textId="163E368B" w:rsidR="00813E60" w:rsidRPr="000E6942" w:rsidRDefault="0026297C">
            <w:pPr>
              <w:pStyle w:val="Heading1"/>
              <w:jc w:val="center"/>
              <w:rPr>
                <w:rFonts w:asciiTheme="minorHAnsi" w:eastAsiaTheme="minorHAnsi" w:hAnsiTheme="minorHAnsi" w:cstheme="minorHAnsi"/>
                <w:color w:val="000000" w:themeColor="text1"/>
                <w:sz w:val="20"/>
                <w:szCs w:val="20"/>
              </w:rPr>
            </w:pPr>
            <w:bookmarkStart w:id="256" w:name="_Toc237383434"/>
            <w:bookmarkStart w:id="257" w:name="_Toc237384269"/>
            <w:bookmarkStart w:id="258" w:name="_Toc237384989"/>
            <w:bookmarkStart w:id="259" w:name="_Toc237445011"/>
            <w:r>
              <w:rPr>
                <w:rFonts w:asciiTheme="minorHAnsi" w:eastAsiaTheme="minorHAnsi" w:hAnsiTheme="minorHAnsi" w:cstheme="minorHAnsi"/>
                <w:color w:val="000000" w:themeColor="text1"/>
                <w:sz w:val="20"/>
                <w:szCs w:val="20"/>
              </w:rPr>
              <w:lastRenderedPageBreak/>
              <w:t>Researcher bias</w:t>
            </w:r>
            <w:bookmarkEnd w:id="256"/>
            <w:bookmarkEnd w:id="257"/>
            <w:bookmarkEnd w:id="258"/>
            <w:bookmarkEnd w:id="259"/>
          </w:p>
        </w:tc>
        <w:tc>
          <w:tcPr>
            <w:tcW w:w="2694" w:type="dxa"/>
          </w:tcPr>
          <w:p w14:paraId="389DEDB1" w14:textId="420B5965" w:rsidR="00813E60" w:rsidRPr="000E6942" w:rsidRDefault="0026297C"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60" w:name="_Toc237383435"/>
            <w:bookmarkStart w:id="261" w:name="_Toc237384270"/>
            <w:bookmarkStart w:id="262" w:name="_Toc237384990"/>
            <w:bookmarkStart w:id="263" w:name="_Toc237445012"/>
            <w:r>
              <w:rPr>
                <w:rFonts w:asciiTheme="minorHAnsi" w:hAnsiTheme="minorHAnsi" w:cstheme="minorHAnsi"/>
                <w:color w:val="000000" w:themeColor="text1"/>
                <w:sz w:val="20"/>
                <w:szCs w:val="20"/>
              </w:rPr>
              <w:t>The researcher’s personal beliefs</w:t>
            </w:r>
            <w:r w:rsidR="00B804A5">
              <w:rPr>
                <w:rFonts w:asciiTheme="minorHAnsi" w:hAnsiTheme="minorHAnsi" w:cstheme="minorHAnsi"/>
                <w:color w:val="000000" w:themeColor="text1"/>
                <w:sz w:val="20"/>
                <w:szCs w:val="20"/>
              </w:rPr>
              <w:t>, experiences or expectations influence data collection and interpretation</w:t>
            </w:r>
            <w:bookmarkEnd w:id="260"/>
            <w:bookmarkEnd w:id="261"/>
            <w:bookmarkEnd w:id="262"/>
            <w:bookmarkEnd w:id="263"/>
            <w:r w:rsidR="00B804A5">
              <w:rPr>
                <w:rFonts w:asciiTheme="minorHAnsi" w:hAnsiTheme="minorHAnsi" w:cstheme="minorHAnsi"/>
                <w:color w:val="000000" w:themeColor="text1"/>
                <w:sz w:val="20"/>
                <w:szCs w:val="20"/>
              </w:rPr>
              <w:t xml:space="preserve"> </w:t>
            </w:r>
          </w:p>
        </w:tc>
        <w:tc>
          <w:tcPr>
            <w:tcW w:w="2268" w:type="dxa"/>
          </w:tcPr>
          <w:p w14:paraId="1DB46FDA" w14:textId="1F5500C7" w:rsidR="00813E60" w:rsidRPr="000E6942" w:rsidRDefault="00B804A5"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64" w:name="_Toc237383436"/>
            <w:bookmarkStart w:id="265" w:name="_Toc237384271"/>
            <w:bookmarkStart w:id="266" w:name="_Toc237384991"/>
            <w:bookmarkStart w:id="267" w:name="_Toc237445013"/>
            <w:r>
              <w:rPr>
                <w:rFonts w:asciiTheme="minorHAnsi" w:hAnsiTheme="minorHAnsi" w:cstheme="minorHAnsi"/>
                <w:color w:val="000000" w:themeColor="text1"/>
                <w:sz w:val="20"/>
                <w:szCs w:val="20"/>
              </w:rPr>
              <w:t>Selective interpretation of participants’ responses and confirmation of pre</w:t>
            </w:r>
            <w:r w:rsidR="00F1528D">
              <w:rPr>
                <w:rFonts w:asciiTheme="minorHAnsi" w:hAnsiTheme="minorHAnsi" w:cstheme="minorHAnsi"/>
                <w:color w:val="000000" w:themeColor="text1"/>
                <w:sz w:val="20"/>
                <w:szCs w:val="20"/>
              </w:rPr>
              <w:t>-existing assumptions</w:t>
            </w:r>
            <w:bookmarkEnd w:id="264"/>
            <w:bookmarkEnd w:id="265"/>
            <w:bookmarkEnd w:id="266"/>
            <w:bookmarkEnd w:id="267"/>
          </w:p>
        </w:tc>
        <w:tc>
          <w:tcPr>
            <w:tcW w:w="2594" w:type="dxa"/>
          </w:tcPr>
          <w:p w14:paraId="2E33BBCA" w14:textId="20B24C5B" w:rsidR="00813E60" w:rsidRPr="000E6942" w:rsidRDefault="00F1528D" w:rsidP="000F76E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68" w:name="_Toc237383437"/>
            <w:bookmarkStart w:id="269" w:name="_Toc237384272"/>
            <w:bookmarkStart w:id="270" w:name="_Toc237384992"/>
            <w:bookmarkStart w:id="271" w:name="_Toc237445014"/>
            <w:r>
              <w:rPr>
                <w:rFonts w:asciiTheme="minorHAnsi" w:hAnsiTheme="minorHAnsi" w:cstheme="minorHAnsi"/>
                <w:color w:val="000000" w:themeColor="text1"/>
                <w:sz w:val="20"/>
                <w:szCs w:val="20"/>
              </w:rPr>
              <w:t xml:space="preserve">Maintain a reflective journal, </w:t>
            </w:r>
            <w:r w:rsidR="00CE6055">
              <w:rPr>
                <w:rFonts w:asciiTheme="minorHAnsi" w:hAnsiTheme="minorHAnsi" w:cstheme="minorHAnsi"/>
                <w:color w:val="000000" w:themeColor="text1"/>
                <w:sz w:val="20"/>
                <w:szCs w:val="20"/>
              </w:rPr>
              <w:t>acknowledge personal assumptions, use systematic coding, maintain an audit trail and engage in continual self-reflection</w:t>
            </w:r>
            <w:bookmarkEnd w:id="268"/>
            <w:bookmarkEnd w:id="269"/>
            <w:bookmarkEnd w:id="270"/>
            <w:bookmarkEnd w:id="271"/>
          </w:p>
        </w:tc>
      </w:tr>
      <w:tr w:rsidR="00813E60" w:rsidRPr="000E6942" w14:paraId="758876E4"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590CE029" w14:textId="4D2EA4E2" w:rsidR="00813E60" w:rsidRPr="000E6942" w:rsidRDefault="00CE6055">
            <w:pPr>
              <w:pStyle w:val="Heading1"/>
              <w:jc w:val="center"/>
              <w:rPr>
                <w:rFonts w:asciiTheme="minorHAnsi" w:eastAsiaTheme="minorHAnsi" w:hAnsiTheme="minorHAnsi" w:cstheme="minorHAnsi"/>
                <w:color w:val="000000" w:themeColor="text1"/>
                <w:sz w:val="20"/>
                <w:szCs w:val="20"/>
              </w:rPr>
            </w:pPr>
            <w:bookmarkStart w:id="272" w:name="_Toc237383438"/>
            <w:bookmarkStart w:id="273" w:name="_Toc237384273"/>
            <w:bookmarkStart w:id="274" w:name="_Toc237384993"/>
            <w:bookmarkStart w:id="275" w:name="_Toc237445015"/>
            <w:r>
              <w:rPr>
                <w:rFonts w:asciiTheme="minorHAnsi" w:eastAsiaTheme="minorHAnsi" w:hAnsiTheme="minorHAnsi" w:cstheme="minorHAnsi"/>
                <w:color w:val="000000" w:themeColor="text1"/>
                <w:sz w:val="20"/>
                <w:szCs w:val="20"/>
              </w:rPr>
              <w:t>Confirmation bias</w:t>
            </w:r>
            <w:bookmarkEnd w:id="272"/>
            <w:bookmarkEnd w:id="273"/>
            <w:bookmarkEnd w:id="274"/>
            <w:bookmarkEnd w:id="275"/>
          </w:p>
        </w:tc>
        <w:tc>
          <w:tcPr>
            <w:tcW w:w="2694" w:type="dxa"/>
          </w:tcPr>
          <w:p w14:paraId="5E005F55" w14:textId="3720441B" w:rsidR="00813E60" w:rsidRPr="000E6942" w:rsidRDefault="00CE6055"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76" w:name="_Toc237383439"/>
            <w:bookmarkStart w:id="277" w:name="_Toc237384274"/>
            <w:bookmarkStart w:id="278" w:name="_Toc237384994"/>
            <w:bookmarkStart w:id="279" w:name="_Toc237445016"/>
            <w:r>
              <w:rPr>
                <w:rFonts w:asciiTheme="minorHAnsi" w:hAnsiTheme="minorHAnsi" w:cstheme="minorHAnsi"/>
                <w:color w:val="000000" w:themeColor="text1"/>
                <w:sz w:val="20"/>
                <w:szCs w:val="20"/>
              </w:rPr>
              <w:t>Tendency to seek evidence that supports existing beliefs about ethical AI governance</w:t>
            </w:r>
            <w:bookmarkEnd w:id="276"/>
            <w:bookmarkEnd w:id="277"/>
            <w:bookmarkEnd w:id="278"/>
            <w:bookmarkEnd w:id="279"/>
          </w:p>
        </w:tc>
        <w:tc>
          <w:tcPr>
            <w:tcW w:w="2268" w:type="dxa"/>
          </w:tcPr>
          <w:p w14:paraId="4F5622EF" w14:textId="3B5E3BA2" w:rsidR="00813E60" w:rsidRPr="000E6942" w:rsidRDefault="00CE6055"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280" w:name="_Toc237383440"/>
            <w:bookmarkStart w:id="281" w:name="_Toc237384275"/>
            <w:bookmarkStart w:id="282" w:name="_Toc237384995"/>
            <w:bookmarkStart w:id="283" w:name="_Toc237445017"/>
            <w:r>
              <w:rPr>
                <w:rFonts w:asciiTheme="minorHAnsi" w:hAnsiTheme="minorHAnsi" w:cstheme="minorHAnsi"/>
                <w:color w:val="000000" w:themeColor="text1"/>
                <w:sz w:val="20"/>
                <w:szCs w:val="20"/>
              </w:rPr>
              <w:t>Important contradictory findings may be ignored</w:t>
            </w:r>
            <w:bookmarkEnd w:id="280"/>
            <w:bookmarkEnd w:id="281"/>
            <w:bookmarkEnd w:id="282"/>
            <w:bookmarkEnd w:id="283"/>
          </w:p>
        </w:tc>
        <w:tc>
          <w:tcPr>
            <w:tcW w:w="2594" w:type="dxa"/>
          </w:tcPr>
          <w:p w14:paraId="3687099C" w14:textId="476E6C9A" w:rsidR="00813E60" w:rsidRPr="000E6942" w:rsidRDefault="00CE6055"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bookmarkStart w:id="284" w:name="_Toc237383441"/>
            <w:bookmarkStart w:id="285" w:name="_Toc237384276"/>
            <w:bookmarkStart w:id="286" w:name="_Toc237384996"/>
            <w:bookmarkStart w:id="287" w:name="_Toc237445018"/>
            <w:r>
              <w:rPr>
                <w:rFonts w:asciiTheme="minorHAnsi" w:hAnsiTheme="minorHAnsi" w:cstheme="minorHAnsi"/>
                <w:color w:val="000000" w:themeColor="text1"/>
                <w:sz w:val="20"/>
                <w:szCs w:val="20"/>
              </w:rPr>
              <w:t>Actively search for disconfirming evidence, compare alternative interpretations and discuss contradictory findings</w:t>
            </w:r>
            <w:bookmarkEnd w:id="284"/>
            <w:bookmarkEnd w:id="285"/>
            <w:bookmarkEnd w:id="286"/>
            <w:bookmarkEnd w:id="287"/>
          </w:p>
        </w:tc>
      </w:tr>
      <w:tr w:rsidR="00813E60" w:rsidRPr="000E6942" w14:paraId="55C4773E"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F460523" w14:textId="0C89BBFD" w:rsidR="00813E60" w:rsidRPr="000E6942" w:rsidRDefault="00CE6055">
            <w:pPr>
              <w:pStyle w:val="Heading1"/>
              <w:jc w:val="center"/>
              <w:rPr>
                <w:rFonts w:asciiTheme="minorHAnsi" w:eastAsiaTheme="minorHAnsi" w:hAnsiTheme="minorHAnsi" w:cstheme="minorHAnsi"/>
                <w:color w:val="000000" w:themeColor="text1"/>
                <w:sz w:val="20"/>
                <w:szCs w:val="20"/>
              </w:rPr>
            </w:pPr>
            <w:bookmarkStart w:id="288" w:name="_Toc237383442"/>
            <w:bookmarkStart w:id="289" w:name="_Toc237384277"/>
            <w:bookmarkStart w:id="290" w:name="_Toc237384997"/>
            <w:bookmarkStart w:id="291" w:name="_Toc237445019"/>
            <w:r>
              <w:rPr>
                <w:rFonts w:asciiTheme="minorHAnsi" w:eastAsiaTheme="minorHAnsi" w:hAnsiTheme="minorHAnsi" w:cstheme="minorHAnsi"/>
                <w:color w:val="000000" w:themeColor="text1"/>
                <w:sz w:val="20"/>
                <w:szCs w:val="20"/>
              </w:rPr>
              <w:t>Selection bias</w:t>
            </w:r>
            <w:bookmarkEnd w:id="288"/>
            <w:bookmarkEnd w:id="289"/>
            <w:bookmarkEnd w:id="290"/>
            <w:bookmarkEnd w:id="291"/>
          </w:p>
        </w:tc>
        <w:tc>
          <w:tcPr>
            <w:tcW w:w="2694" w:type="dxa"/>
          </w:tcPr>
          <w:p w14:paraId="0C3FD062" w14:textId="4D5B94C0" w:rsidR="00813E60" w:rsidRPr="000E6942" w:rsidRDefault="00CE6055" w:rsidP="000F76EF">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92" w:name="_Toc237383443"/>
            <w:bookmarkStart w:id="293" w:name="_Toc237384278"/>
            <w:bookmarkStart w:id="294" w:name="_Toc237384998"/>
            <w:bookmarkStart w:id="295" w:name="_Toc237445020"/>
            <w:r>
              <w:rPr>
                <w:rFonts w:asciiTheme="minorHAnsi" w:hAnsiTheme="minorHAnsi" w:cstheme="minorHAnsi"/>
                <w:color w:val="000000" w:themeColor="text1"/>
                <w:sz w:val="20"/>
                <w:szCs w:val="20"/>
              </w:rPr>
              <w:t>Participants are not representative of the range of stakeholders within English public universities</w:t>
            </w:r>
            <w:bookmarkEnd w:id="292"/>
            <w:bookmarkEnd w:id="293"/>
            <w:bookmarkEnd w:id="294"/>
            <w:bookmarkEnd w:id="295"/>
          </w:p>
        </w:tc>
        <w:tc>
          <w:tcPr>
            <w:tcW w:w="2268" w:type="dxa"/>
          </w:tcPr>
          <w:p w14:paraId="0729E9B7" w14:textId="6BD56E31" w:rsidR="00813E60" w:rsidRPr="000E6942" w:rsidRDefault="00300A0C" w:rsidP="000F76EF">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296" w:name="_Toc237383444"/>
            <w:bookmarkStart w:id="297" w:name="_Toc237384279"/>
            <w:bookmarkStart w:id="298" w:name="_Toc237384999"/>
            <w:bookmarkStart w:id="299" w:name="_Toc237445021"/>
            <w:r>
              <w:rPr>
                <w:rFonts w:asciiTheme="minorHAnsi" w:hAnsiTheme="minorHAnsi" w:cstheme="minorHAnsi"/>
                <w:color w:val="000000" w:themeColor="text1"/>
                <w:sz w:val="20"/>
                <w:szCs w:val="20"/>
              </w:rPr>
              <w:t>Findings may over-represent one stakeholder group or institutional perspective</w:t>
            </w:r>
            <w:bookmarkEnd w:id="296"/>
            <w:bookmarkEnd w:id="297"/>
            <w:bookmarkEnd w:id="298"/>
            <w:bookmarkEnd w:id="299"/>
          </w:p>
        </w:tc>
        <w:tc>
          <w:tcPr>
            <w:tcW w:w="2594" w:type="dxa"/>
          </w:tcPr>
          <w:p w14:paraId="6DF7C81A" w14:textId="12273496" w:rsidR="00813E60" w:rsidRPr="000E6942" w:rsidRDefault="00300A0C" w:rsidP="000F76EF">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bookmarkStart w:id="300" w:name="_Toc237383445"/>
            <w:bookmarkStart w:id="301" w:name="_Toc237384280"/>
            <w:bookmarkStart w:id="302" w:name="_Toc237385000"/>
            <w:bookmarkStart w:id="303" w:name="_Toc237445022"/>
            <w:r>
              <w:rPr>
                <w:rFonts w:asciiTheme="minorHAnsi" w:hAnsiTheme="minorHAnsi" w:cstheme="minorHAnsi"/>
                <w:color w:val="000000" w:themeColor="text1"/>
                <w:sz w:val="20"/>
                <w:szCs w:val="20"/>
              </w:rPr>
              <w:t>Use purposive sampling across multiple HEIs and include leaders, academics</w:t>
            </w:r>
            <w:r w:rsidR="00D454ED">
              <w:rPr>
                <w:rFonts w:asciiTheme="minorHAnsi" w:hAnsiTheme="minorHAnsi" w:cstheme="minorHAnsi"/>
                <w:color w:val="000000" w:themeColor="text1"/>
                <w:sz w:val="20"/>
                <w:szCs w:val="20"/>
              </w:rPr>
              <w:t>, professional staff, AI specialists and policy makers</w:t>
            </w:r>
            <w:bookmarkEnd w:id="300"/>
            <w:bookmarkEnd w:id="301"/>
            <w:bookmarkEnd w:id="302"/>
            <w:bookmarkEnd w:id="303"/>
          </w:p>
        </w:tc>
      </w:tr>
      <w:tr w:rsidR="00813E60" w:rsidRPr="000E6942" w14:paraId="5649AE70"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6D1F71A4" w14:textId="79E109EA" w:rsidR="00813E60" w:rsidRPr="000E6942" w:rsidRDefault="000A6116">
            <w:pPr>
              <w:pStyle w:val="Heading1"/>
              <w:jc w:val="center"/>
              <w:rPr>
                <w:rFonts w:asciiTheme="minorHAnsi" w:eastAsiaTheme="minorHAnsi" w:hAnsiTheme="minorHAnsi" w:cstheme="minorHAnsi"/>
                <w:color w:val="000000" w:themeColor="text1"/>
                <w:sz w:val="20"/>
                <w:szCs w:val="20"/>
              </w:rPr>
            </w:pPr>
            <w:bookmarkStart w:id="304" w:name="_Toc237383446"/>
            <w:bookmarkStart w:id="305" w:name="_Toc237384281"/>
            <w:bookmarkStart w:id="306" w:name="_Toc237385001"/>
            <w:bookmarkStart w:id="307" w:name="_Toc237445023"/>
            <w:r>
              <w:rPr>
                <w:rFonts w:asciiTheme="minorHAnsi" w:eastAsiaTheme="minorHAnsi" w:hAnsiTheme="minorHAnsi" w:cstheme="minorHAnsi"/>
                <w:color w:val="000000" w:themeColor="text1"/>
                <w:sz w:val="20"/>
                <w:szCs w:val="20"/>
              </w:rPr>
              <w:t>Sampling bias</w:t>
            </w:r>
            <w:bookmarkEnd w:id="304"/>
            <w:bookmarkEnd w:id="305"/>
            <w:bookmarkEnd w:id="306"/>
            <w:bookmarkEnd w:id="307"/>
          </w:p>
        </w:tc>
        <w:tc>
          <w:tcPr>
            <w:tcW w:w="2694" w:type="dxa"/>
          </w:tcPr>
          <w:p w14:paraId="6A57A4E6" w14:textId="099CF82F" w:rsidR="00813E60" w:rsidRPr="000E6942" w:rsidRDefault="000F76EF"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08" w:name="_Toc237383447"/>
            <w:bookmarkStart w:id="309" w:name="_Toc237384282"/>
            <w:bookmarkStart w:id="310" w:name="_Toc237385002"/>
            <w:bookmarkStart w:id="311" w:name="_Toc237445024"/>
            <w:r>
              <w:rPr>
                <w:rFonts w:asciiTheme="minorHAnsi" w:hAnsiTheme="minorHAnsi" w:cstheme="minorHAnsi"/>
                <w:color w:val="000000" w:themeColor="text1"/>
                <w:sz w:val="20"/>
                <w:szCs w:val="20"/>
              </w:rPr>
              <w:t>Recruitment</w:t>
            </w:r>
            <w:r w:rsidR="00A519A4">
              <w:rPr>
                <w:rFonts w:asciiTheme="minorHAnsi" w:hAnsiTheme="minorHAnsi" w:cstheme="minorHAnsi"/>
                <w:color w:val="000000" w:themeColor="text1"/>
                <w:sz w:val="20"/>
                <w:szCs w:val="20"/>
              </w:rPr>
              <w:t xml:space="preserve"> favours participants with positive or negative views of AI</w:t>
            </w:r>
            <w:bookmarkEnd w:id="308"/>
            <w:bookmarkEnd w:id="309"/>
            <w:bookmarkEnd w:id="310"/>
            <w:bookmarkEnd w:id="311"/>
            <w:r w:rsidR="00A519A4">
              <w:rPr>
                <w:rFonts w:asciiTheme="minorHAnsi" w:hAnsiTheme="minorHAnsi" w:cstheme="minorHAnsi"/>
                <w:color w:val="000000" w:themeColor="text1"/>
                <w:sz w:val="20"/>
                <w:szCs w:val="20"/>
              </w:rPr>
              <w:t xml:space="preserve"> </w:t>
            </w:r>
          </w:p>
        </w:tc>
        <w:tc>
          <w:tcPr>
            <w:tcW w:w="2268" w:type="dxa"/>
          </w:tcPr>
          <w:p w14:paraId="3F5E035E" w14:textId="0CEE6B12" w:rsidR="00813E60" w:rsidRPr="000E6942" w:rsidRDefault="00A519A4"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12" w:name="_Toc237383448"/>
            <w:bookmarkStart w:id="313" w:name="_Toc237384283"/>
            <w:bookmarkStart w:id="314" w:name="_Toc237385003"/>
            <w:bookmarkStart w:id="315" w:name="_Toc237445025"/>
            <w:r>
              <w:rPr>
                <w:rFonts w:asciiTheme="minorHAnsi" w:hAnsiTheme="minorHAnsi" w:cstheme="minorHAnsi"/>
                <w:color w:val="000000" w:themeColor="text1"/>
                <w:sz w:val="20"/>
                <w:szCs w:val="20"/>
              </w:rPr>
              <w:t>Limited diversity of perspectives reduces credibility</w:t>
            </w:r>
            <w:bookmarkEnd w:id="312"/>
            <w:bookmarkEnd w:id="313"/>
            <w:bookmarkEnd w:id="314"/>
            <w:bookmarkEnd w:id="315"/>
          </w:p>
        </w:tc>
        <w:tc>
          <w:tcPr>
            <w:tcW w:w="2594" w:type="dxa"/>
          </w:tcPr>
          <w:p w14:paraId="14B3F1A3" w14:textId="5A196326" w:rsidR="00813E60" w:rsidRPr="000E6942" w:rsidRDefault="00A519A4" w:rsidP="000F76EF">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bookmarkStart w:id="316" w:name="_Toc237383449"/>
            <w:bookmarkStart w:id="317" w:name="_Toc237384284"/>
            <w:bookmarkStart w:id="318" w:name="_Toc237385004"/>
            <w:bookmarkStart w:id="319" w:name="_Toc237445026"/>
            <w:r>
              <w:rPr>
                <w:rFonts w:asciiTheme="minorHAnsi" w:hAnsiTheme="minorHAnsi" w:cstheme="minorHAnsi"/>
                <w:color w:val="000000" w:themeColor="text1"/>
                <w:sz w:val="20"/>
                <w:szCs w:val="20"/>
              </w:rPr>
              <w:t>Define clear inclusion criteria and recruit participants with varying AI experiences and governance responsibilities</w:t>
            </w:r>
            <w:bookmarkEnd w:id="316"/>
            <w:bookmarkEnd w:id="317"/>
            <w:bookmarkEnd w:id="318"/>
            <w:bookmarkEnd w:id="319"/>
          </w:p>
        </w:tc>
      </w:tr>
      <w:tr w:rsidR="00813E60" w:rsidRPr="000E6942" w14:paraId="2E6C5AEF"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63B5EFAD" w14:textId="6A3518D7" w:rsidR="00813E60" w:rsidRPr="000E6942" w:rsidRDefault="008E7E04">
            <w:pPr>
              <w:pStyle w:val="Heading1"/>
              <w:jc w:val="center"/>
              <w:rPr>
                <w:rFonts w:asciiTheme="minorHAnsi" w:eastAsiaTheme="minorHAnsi" w:hAnsiTheme="minorHAnsi" w:cstheme="minorHAnsi"/>
                <w:color w:val="000000" w:themeColor="text1"/>
                <w:sz w:val="20"/>
                <w:szCs w:val="20"/>
              </w:rPr>
            </w:pPr>
            <w:bookmarkStart w:id="320" w:name="_Toc237383450"/>
            <w:bookmarkStart w:id="321" w:name="_Toc237384285"/>
            <w:bookmarkStart w:id="322" w:name="_Toc237385005"/>
            <w:bookmarkStart w:id="323" w:name="_Toc237445027"/>
            <w:r>
              <w:rPr>
                <w:rFonts w:asciiTheme="minorHAnsi" w:eastAsiaTheme="minorHAnsi" w:hAnsiTheme="minorHAnsi" w:cstheme="minorHAnsi"/>
                <w:color w:val="000000" w:themeColor="text1"/>
                <w:sz w:val="20"/>
                <w:szCs w:val="20"/>
              </w:rPr>
              <w:t>Response bias</w:t>
            </w:r>
            <w:bookmarkEnd w:id="320"/>
            <w:bookmarkEnd w:id="321"/>
            <w:bookmarkEnd w:id="322"/>
            <w:bookmarkEnd w:id="323"/>
          </w:p>
        </w:tc>
        <w:tc>
          <w:tcPr>
            <w:tcW w:w="2694" w:type="dxa"/>
          </w:tcPr>
          <w:p w14:paraId="55B8BCC1" w14:textId="363B81C1" w:rsidR="00813E60" w:rsidRPr="000E6942" w:rsidRDefault="008E7E04" w:rsidP="00833C4C">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24" w:name="_Toc237383451"/>
            <w:bookmarkStart w:id="325" w:name="_Toc237384286"/>
            <w:bookmarkStart w:id="326" w:name="_Toc237385006"/>
            <w:bookmarkStart w:id="327" w:name="_Toc237445028"/>
            <w:r>
              <w:rPr>
                <w:rFonts w:asciiTheme="minorHAnsi" w:hAnsiTheme="minorHAnsi" w:cstheme="minorHAnsi"/>
                <w:color w:val="000000" w:themeColor="text1"/>
                <w:sz w:val="20"/>
                <w:szCs w:val="20"/>
              </w:rPr>
              <w:t>Participants provide socially desirable responses</w:t>
            </w:r>
            <w:r w:rsidR="00FC1A30">
              <w:rPr>
                <w:rFonts w:asciiTheme="minorHAnsi" w:hAnsiTheme="minorHAnsi" w:cstheme="minorHAnsi"/>
                <w:color w:val="000000" w:themeColor="text1"/>
                <w:sz w:val="20"/>
                <w:szCs w:val="20"/>
              </w:rPr>
              <w:t>, not honest opinions</w:t>
            </w:r>
            <w:bookmarkEnd w:id="324"/>
            <w:bookmarkEnd w:id="325"/>
            <w:bookmarkEnd w:id="326"/>
            <w:bookmarkEnd w:id="327"/>
          </w:p>
        </w:tc>
        <w:tc>
          <w:tcPr>
            <w:tcW w:w="2268" w:type="dxa"/>
          </w:tcPr>
          <w:p w14:paraId="2B2E0A16" w14:textId="0BFDAFF4" w:rsidR="00813E60" w:rsidRPr="000E6942" w:rsidRDefault="00FC1A30" w:rsidP="00833C4C">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28" w:name="_Toc237383452"/>
            <w:bookmarkStart w:id="329" w:name="_Toc237384287"/>
            <w:bookmarkStart w:id="330" w:name="_Toc237385007"/>
            <w:bookmarkStart w:id="331" w:name="_Toc237445029"/>
            <w:r>
              <w:rPr>
                <w:rFonts w:asciiTheme="minorHAnsi" w:hAnsiTheme="minorHAnsi" w:cstheme="minorHAnsi"/>
                <w:color w:val="000000" w:themeColor="text1"/>
                <w:sz w:val="20"/>
                <w:szCs w:val="20"/>
              </w:rPr>
              <w:t>Ethical challenges may be underreported</w:t>
            </w:r>
            <w:bookmarkEnd w:id="328"/>
            <w:bookmarkEnd w:id="329"/>
            <w:bookmarkEnd w:id="330"/>
            <w:bookmarkEnd w:id="331"/>
            <w:r>
              <w:rPr>
                <w:rFonts w:asciiTheme="minorHAnsi" w:hAnsiTheme="minorHAnsi" w:cstheme="minorHAnsi"/>
                <w:color w:val="000000" w:themeColor="text1"/>
                <w:sz w:val="20"/>
                <w:szCs w:val="20"/>
              </w:rPr>
              <w:t xml:space="preserve"> </w:t>
            </w:r>
          </w:p>
        </w:tc>
        <w:tc>
          <w:tcPr>
            <w:tcW w:w="2594" w:type="dxa"/>
          </w:tcPr>
          <w:p w14:paraId="2045BCE5" w14:textId="1774BC1A" w:rsidR="00813E60" w:rsidRPr="000E6942" w:rsidRDefault="00FC1A30" w:rsidP="00833C4C">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32" w:name="_Toc237383453"/>
            <w:bookmarkStart w:id="333" w:name="_Toc237384288"/>
            <w:bookmarkStart w:id="334" w:name="_Toc237385008"/>
            <w:bookmarkStart w:id="335" w:name="_Toc237445030"/>
            <w:r>
              <w:rPr>
                <w:rFonts w:asciiTheme="minorHAnsi" w:hAnsiTheme="minorHAnsi" w:cstheme="minorHAnsi"/>
                <w:color w:val="000000" w:themeColor="text1"/>
                <w:sz w:val="20"/>
                <w:szCs w:val="20"/>
              </w:rPr>
              <w:t>Assure anonymity and confidentiality, use open-ended questions and establish rapport during interviews</w:t>
            </w:r>
            <w:bookmarkEnd w:id="332"/>
            <w:bookmarkEnd w:id="333"/>
            <w:bookmarkEnd w:id="334"/>
            <w:bookmarkEnd w:id="335"/>
          </w:p>
        </w:tc>
      </w:tr>
      <w:tr w:rsidR="00813E60" w:rsidRPr="000E6942" w14:paraId="60D4057E"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0DE95014" w14:textId="7460538F" w:rsidR="00813E60" w:rsidRPr="000E6942" w:rsidRDefault="00833C4C">
            <w:pPr>
              <w:pStyle w:val="Heading1"/>
              <w:jc w:val="center"/>
              <w:rPr>
                <w:rFonts w:asciiTheme="minorHAnsi" w:eastAsiaTheme="minorHAnsi" w:hAnsiTheme="minorHAnsi" w:cstheme="minorHAnsi"/>
                <w:color w:val="000000" w:themeColor="text1"/>
                <w:sz w:val="20"/>
                <w:szCs w:val="20"/>
              </w:rPr>
            </w:pPr>
            <w:bookmarkStart w:id="336" w:name="_Toc237383454"/>
            <w:bookmarkStart w:id="337" w:name="_Toc237384289"/>
            <w:bookmarkStart w:id="338" w:name="_Toc237385009"/>
            <w:bookmarkStart w:id="339" w:name="_Toc237445031"/>
            <w:r>
              <w:rPr>
                <w:rFonts w:asciiTheme="minorHAnsi" w:eastAsiaTheme="minorHAnsi" w:hAnsiTheme="minorHAnsi" w:cstheme="minorHAnsi"/>
                <w:color w:val="000000" w:themeColor="text1"/>
                <w:sz w:val="20"/>
                <w:szCs w:val="20"/>
              </w:rPr>
              <w:t>Social desirability bias</w:t>
            </w:r>
            <w:bookmarkEnd w:id="336"/>
            <w:bookmarkEnd w:id="337"/>
            <w:bookmarkEnd w:id="338"/>
            <w:bookmarkEnd w:id="339"/>
          </w:p>
        </w:tc>
        <w:tc>
          <w:tcPr>
            <w:tcW w:w="2694" w:type="dxa"/>
          </w:tcPr>
          <w:p w14:paraId="4AB1CD28" w14:textId="229B2172" w:rsidR="00813E60" w:rsidRPr="000E6942" w:rsidRDefault="00833C4C" w:rsidP="00C82B99">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40" w:name="_Toc237383455"/>
            <w:bookmarkStart w:id="341" w:name="_Toc237384290"/>
            <w:bookmarkStart w:id="342" w:name="_Toc237385010"/>
            <w:bookmarkStart w:id="343" w:name="_Toc237445032"/>
            <w:r>
              <w:rPr>
                <w:rFonts w:asciiTheme="minorHAnsi" w:hAnsiTheme="minorHAnsi" w:cstheme="minorHAnsi"/>
                <w:color w:val="000000" w:themeColor="text1"/>
                <w:sz w:val="20"/>
                <w:szCs w:val="20"/>
              </w:rPr>
              <w:t>Partici</w:t>
            </w:r>
            <w:r w:rsidR="00717213">
              <w:rPr>
                <w:rFonts w:asciiTheme="minorHAnsi" w:hAnsiTheme="minorHAnsi" w:cstheme="minorHAnsi"/>
                <w:color w:val="000000" w:themeColor="text1"/>
                <w:sz w:val="20"/>
                <w:szCs w:val="20"/>
              </w:rPr>
              <w:t>pants portray their institu</w:t>
            </w:r>
            <w:r w:rsidR="00C026F0">
              <w:rPr>
                <w:rFonts w:asciiTheme="minorHAnsi" w:hAnsiTheme="minorHAnsi" w:cstheme="minorHAnsi"/>
                <w:color w:val="000000" w:themeColor="text1"/>
                <w:sz w:val="20"/>
                <w:szCs w:val="20"/>
              </w:rPr>
              <w:t>tion as more ethically responsible than reality</w:t>
            </w:r>
            <w:bookmarkEnd w:id="340"/>
            <w:bookmarkEnd w:id="341"/>
            <w:bookmarkEnd w:id="342"/>
            <w:bookmarkEnd w:id="343"/>
          </w:p>
        </w:tc>
        <w:tc>
          <w:tcPr>
            <w:tcW w:w="2268" w:type="dxa"/>
          </w:tcPr>
          <w:p w14:paraId="221852B9" w14:textId="62FE262D" w:rsidR="00813E60" w:rsidRPr="000E6942" w:rsidRDefault="00C026F0" w:rsidP="00C82B99">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44" w:name="_Toc237383456"/>
            <w:bookmarkStart w:id="345" w:name="_Toc237384291"/>
            <w:bookmarkStart w:id="346" w:name="_Toc237385011"/>
            <w:bookmarkStart w:id="347" w:name="_Toc237445033"/>
            <w:r>
              <w:rPr>
                <w:rFonts w:asciiTheme="minorHAnsi" w:hAnsiTheme="minorHAnsi" w:cstheme="minorHAnsi"/>
                <w:color w:val="000000" w:themeColor="text1"/>
                <w:sz w:val="20"/>
                <w:szCs w:val="20"/>
              </w:rPr>
              <w:t>Governance prac</w:t>
            </w:r>
            <w:r w:rsidR="00C53348">
              <w:rPr>
                <w:rFonts w:asciiTheme="minorHAnsi" w:hAnsiTheme="minorHAnsi" w:cstheme="minorHAnsi"/>
                <w:color w:val="000000" w:themeColor="text1"/>
                <w:sz w:val="20"/>
                <w:szCs w:val="20"/>
              </w:rPr>
              <w:t xml:space="preserve">tices may appear more mature than they </w:t>
            </w:r>
            <w:r w:rsidR="00C82B99">
              <w:rPr>
                <w:rFonts w:asciiTheme="minorHAnsi" w:hAnsiTheme="minorHAnsi" w:cstheme="minorHAnsi"/>
                <w:color w:val="000000" w:themeColor="text1"/>
                <w:sz w:val="20"/>
                <w:szCs w:val="20"/>
              </w:rPr>
              <w:t>are</w:t>
            </w:r>
            <w:bookmarkEnd w:id="344"/>
            <w:bookmarkEnd w:id="345"/>
            <w:bookmarkEnd w:id="346"/>
            <w:bookmarkEnd w:id="347"/>
            <w:r w:rsidR="00C53348">
              <w:rPr>
                <w:rFonts w:asciiTheme="minorHAnsi" w:hAnsiTheme="minorHAnsi" w:cstheme="minorHAnsi"/>
                <w:color w:val="000000" w:themeColor="text1"/>
                <w:sz w:val="20"/>
                <w:szCs w:val="20"/>
              </w:rPr>
              <w:t xml:space="preserve"> </w:t>
            </w:r>
          </w:p>
        </w:tc>
        <w:tc>
          <w:tcPr>
            <w:tcW w:w="2594" w:type="dxa"/>
          </w:tcPr>
          <w:p w14:paraId="1A2A38DC" w14:textId="1316662D" w:rsidR="00813E60" w:rsidRPr="000E6942" w:rsidRDefault="00C53348" w:rsidP="00C82B99">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48" w:name="_Toc237383457"/>
            <w:bookmarkStart w:id="349" w:name="_Toc237384292"/>
            <w:bookmarkStart w:id="350" w:name="_Toc237385012"/>
            <w:bookmarkStart w:id="351" w:name="_Toc237445034"/>
            <w:r>
              <w:rPr>
                <w:rFonts w:asciiTheme="minorHAnsi" w:hAnsiTheme="minorHAnsi" w:cstheme="minorHAnsi"/>
                <w:color w:val="000000" w:themeColor="text1"/>
                <w:sz w:val="20"/>
                <w:szCs w:val="20"/>
              </w:rPr>
              <w:t xml:space="preserve">Encourage honest reflection, avoid </w:t>
            </w:r>
            <w:r w:rsidR="00C82B99">
              <w:rPr>
                <w:rFonts w:asciiTheme="minorHAnsi" w:hAnsiTheme="minorHAnsi" w:cstheme="minorHAnsi"/>
                <w:color w:val="000000" w:themeColor="text1"/>
                <w:sz w:val="20"/>
                <w:szCs w:val="20"/>
              </w:rPr>
              <w:t>judgmental questioning and triangulate interview data with institutional documents</w:t>
            </w:r>
            <w:bookmarkEnd w:id="348"/>
            <w:bookmarkEnd w:id="349"/>
            <w:bookmarkEnd w:id="350"/>
            <w:bookmarkEnd w:id="351"/>
          </w:p>
        </w:tc>
      </w:tr>
      <w:tr w:rsidR="00DA7EF7" w:rsidRPr="000E6942" w14:paraId="12C04BBB"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52AF381" w14:textId="7F169F07" w:rsidR="00DA7EF7" w:rsidRPr="000E6942" w:rsidRDefault="005156BC">
            <w:pPr>
              <w:pStyle w:val="Heading1"/>
              <w:jc w:val="center"/>
              <w:rPr>
                <w:rFonts w:asciiTheme="minorHAnsi" w:eastAsiaTheme="minorHAnsi" w:hAnsiTheme="minorHAnsi" w:cstheme="minorHAnsi"/>
                <w:color w:val="000000" w:themeColor="text1"/>
                <w:sz w:val="20"/>
                <w:szCs w:val="20"/>
              </w:rPr>
            </w:pPr>
            <w:bookmarkStart w:id="352" w:name="_Toc237383458"/>
            <w:bookmarkStart w:id="353" w:name="_Toc237384293"/>
            <w:bookmarkStart w:id="354" w:name="_Toc237385013"/>
            <w:bookmarkStart w:id="355" w:name="_Toc237445035"/>
            <w:r>
              <w:rPr>
                <w:rFonts w:asciiTheme="minorHAnsi" w:eastAsiaTheme="minorHAnsi" w:hAnsiTheme="minorHAnsi" w:cstheme="minorHAnsi"/>
                <w:color w:val="000000" w:themeColor="text1"/>
                <w:sz w:val="20"/>
                <w:szCs w:val="20"/>
              </w:rPr>
              <w:t>Interviewer bias</w:t>
            </w:r>
            <w:bookmarkEnd w:id="352"/>
            <w:bookmarkEnd w:id="353"/>
            <w:bookmarkEnd w:id="354"/>
            <w:bookmarkEnd w:id="355"/>
          </w:p>
        </w:tc>
        <w:tc>
          <w:tcPr>
            <w:tcW w:w="2694" w:type="dxa"/>
          </w:tcPr>
          <w:p w14:paraId="2BCC6B37" w14:textId="0C327878" w:rsidR="00DA7EF7" w:rsidRPr="000E6942" w:rsidRDefault="005156BC" w:rsidP="00D83322">
            <w:pPr>
              <w:pStyle w:val="Heading1"/>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56" w:name="_Toc237383459"/>
            <w:bookmarkStart w:id="357" w:name="_Toc237384294"/>
            <w:bookmarkStart w:id="358" w:name="_Toc237385014"/>
            <w:bookmarkStart w:id="359" w:name="_Toc237445036"/>
            <w:r>
              <w:rPr>
                <w:rFonts w:asciiTheme="minorHAnsi" w:hAnsiTheme="minorHAnsi" w:cstheme="minorHAnsi"/>
                <w:color w:val="000000" w:themeColor="text1"/>
                <w:sz w:val="20"/>
                <w:szCs w:val="20"/>
              </w:rPr>
              <w:t>Interview</w:t>
            </w:r>
            <w:r w:rsidR="00D83322">
              <w:rPr>
                <w:rFonts w:asciiTheme="minorHAnsi" w:hAnsiTheme="minorHAnsi" w:cstheme="minorHAnsi"/>
                <w:color w:val="000000" w:themeColor="text1"/>
                <w:sz w:val="20"/>
                <w:szCs w:val="20"/>
              </w:rPr>
              <w:t>er’s tone, wording or body language influences participant responses</w:t>
            </w:r>
            <w:bookmarkEnd w:id="356"/>
            <w:bookmarkEnd w:id="357"/>
            <w:bookmarkEnd w:id="358"/>
            <w:bookmarkEnd w:id="359"/>
          </w:p>
        </w:tc>
        <w:tc>
          <w:tcPr>
            <w:tcW w:w="2268" w:type="dxa"/>
          </w:tcPr>
          <w:p w14:paraId="5C39DE2B" w14:textId="4868A4F6" w:rsidR="00DA7EF7" w:rsidRPr="000E6942" w:rsidRDefault="00EC54A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60" w:name="_Toc237383460"/>
            <w:bookmarkStart w:id="361" w:name="_Toc237384295"/>
            <w:bookmarkStart w:id="362" w:name="_Toc237385015"/>
            <w:bookmarkStart w:id="363" w:name="_Toc237445037"/>
            <w:r>
              <w:rPr>
                <w:rFonts w:asciiTheme="minorHAnsi" w:hAnsiTheme="minorHAnsi" w:cstheme="minorHAnsi"/>
                <w:color w:val="000000" w:themeColor="text1"/>
                <w:sz w:val="20"/>
                <w:szCs w:val="20"/>
              </w:rPr>
              <w:t>Participants may modify answers to satisfy perceived expectations</w:t>
            </w:r>
            <w:bookmarkEnd w:id="360"/>
            <w:bookmarkEnd w:id="361"/>
            <w:bookmarkEnd w:id="362"/>
            <w:bookmarkEnd w:id="363"/>
          </w:p>
        </w:tc>
        <w:tc>
          <w:tcPr>
            <w:tcW w:w="2594" w:type="dxa"/>
          </w:tcPr>
          <w:p w14:paraId="330CF283" w14:textId="027252AC" w:rsidR="00DA7EF7" w:rsidRPr="000E6942" w:rsidRDefault="0002327E">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64" w:name="_Toc237383461"/>
            <w:bookmarkStart w:id="365" w:name="_Toc237384296"/>
            <w:bookmarkStart w:id="366" w:name="_Toc237385016"/>
            <w:bookmarkStart w:id="367" w:name="_Toc237445038"/>
            <w:r>
              <w:rPr>
                <w:rFonts w:asciiTheme="minorHAnsi" w:hAnsiTheme="minorHAnsi" w:cstheme="minorHAnsi"/>
                <w:color w:val="000000" w:themeColor="text1"/>
                <w:sz w:val="20"/>
                <w:szCs w:val="20"/>
              </w:rPr>
              <w:t>Use a semi-structured interview guide, employ neutral language, avoid leading questions and pilot interview questions</w:t>
            </w:r>
            <w:bookmarkEnd w:id="364"/>
            <w:bookmarkEnd w:id="365"/>
            <w:bookmarkEnd w:id="366"/>
            <w:bookmarkEnd w:id="367"/>
          </w:p>
        </w:tc>
      </w:tr>
      <w:tr w:rsidR="00DA7EF7" w:rsidRPr="000E6942" w14:paraId="3E43D2B7"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76260AFD" w14:textId="7E47EF76" w:rsidR="00DA7EF7" w:rsidRPr="000E6942" w:rsidRDefault="00292BA2">
            <w:pPr>
              <w:pStyle w:val="Heading1"/>
              <w:jc w:val="center"/>
              <w:rPr>
                <w:rFonts w:asciiTheme="minorHAnsi" w:eastAsiaTheme="minorHAnsi" w:hAnsiTheme="minorHAnsi" w:cstheme="minorHAnsi"/>
                <w:color w:val="000000" w:themeColor="text1"/>
                <w:sz w:val="20"/>
                <w:szCs w:val="20"/>
              </w:rPr>
            </w:pPr>
            <w:bookmarkStart w:id="368" w:name="_Toc237383462"/>
            <w:bookmarkStart w:id="369" w:name="_Toc237384297"/>
            <w:bookmarkStart w:id="370" w:name="_Toc237385017"/>
            <w:bookmarkStart w:id="371" w:name="_Toc237445039"/>
            <w:r>
              <w:rPr>
                <w:rFonts w:asciiTheme="minorHAnsi" w:eastAsiaTheme="minorHAnsi" w:hAnsiTheme="minorHAnsi" w:cstheme="minorHAnsi"/>
                <w:color w:val="000000" w:themeColor="text1"/>
                <w:sz w:val="20"/>
                <w:szCs w:val="20"/>
              </w:rPr>
              <w:t>Recall bias</w:t>
            </w:r>
            <w:bookmarkEnd w:id="368"/>
            <w:bookmarkEnd w:id="369"/>
            <w:bookmarkEnd w:id="370"/>
            <w:bookmarkEnd w:id="371"/>
          </w:p>
        </w:tc>
        <w:tc>
          <w:tcPr>
            <w:tcW w:w="2694" w:type="dxa"/>
          </w:tcPr>
          <w:p w14:paraId="2C8085BF" w14:textId="27451FFA" w:rsidR="00DA7EF7" w:rsidRPr="000E6942" w:rsidRDefault="003D42CF" w:rsidP="00050ED3">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72" w:name="_Toc237383463"/>
            <w:bookmarkStart w:id="373" w:name="_Toc237384298"/>
            <w:bookmarkStart w:id="374" w:name="_Toc237385018"/>
            <w:bookmarkStart w:id="375" w:name="_Toc237445040"/>
            <w:r>
              <w:rPr>
                <w:rFonts w:asciiTheme="minorHAnsi" w:hAnsiTheme="minorHAnsi" w:cstheme="minorHAnsi"/>
                <w:color w:val="000000" w:themeColor="text1"/>
                <w:sz w:val="20"/>
                <w:szCs w:val="20"/>
              </w:rPr>
              <w:t>Participants cannot accurately remember past AI governance decisions or events</w:t>
            </w:r>
            <w:bookmarkEnd w:id="372"/>
            <w:bookmarkEnd w:id="373"/>
            <w:bookmarkEnd w:id="374"/>
            <w:bookmarkEnd w:id="375"/>
          </w:p>
        </w:tc>
        <w:tc>
          <w:tcPr>
            <w:tcW w:w="2268" w:type="dxa"/>
          </w:tcPr>
          <w:p w14:paraId="5997B159" w14:textId="1E5F53B9" w:rsidR="00DA7EF7" w:rsidRPr="000E6942" w:rsidRDefault="00C47F39" w:rsidP="00050ED3">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76" w:name="_Toc237383464"/>
            <w:bookmarkStart w:id="377" w:name="_Toc237384299"/>
            <w:bookmarkStart w:id="378" w:name="_Toc237385019"/>
            <w:bookmarkStart w:id="379" w:name="_Toc237445041"/>
            <w:r>
              <w:rPr>
                <w:rFonts w:asciiTheme="minorHAnsi" w:hAnsiTheme="minorHAnsi" w:cstheme="minorHAnsi"/>
                <w:color w:val="000000" w:themeColor="text1"/>
                <w:sz w:val="20"/>
                <w:szCs w:val="20"/>
              </w:rPr>
              <w:t>Inaccurate or incomplete data regarding governance implementation</w:t>
            </w:r>
            <w:bookmarkEnd w:id="376"/>
            <w:bookmarkEnd w:id="377"/>
            <w:bookmarkEnd w:id="378"/>
            <w:bookmarkEnd w:id="379"/>
            <w:r>
              <w:rPr>
                <w:rFonts w:asciiTheme="minorHAnsi" w:hAnsiTheme="minorHAnsi" w:cstheme="minorHAnsi"/>
                <w:color w:val="000000" w:themeColor="text1"/>
                <w:sz w:val="20"/>
                <w:szCs w:val="20"/>
              </w:rPr>
              <w:t xml:space="preserve"> </w:t>
            </w:r>
          </w:p>
        </w:tc>
        <w:tc>
          <w:tcPr>
            <w:tcW w:w="2594" w:type="dxa"/>
          </w:tcPr>
          <w:p w14:paraId="2B7B8FAE" w14:textId="71EA5496" w:rsidR="00DA7EF7" w:rsidRPr="000E6942" w:rsidRDefault="00C47F39" w:rsidP="00050ED3">
            <w:pPr>
              <w:pStyle w:val="Heading1"/>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380" w:name="_Toc237383465"/>
            <w:bookmarkStart w:id="381" w:name="_Toc237384300"/>
            <w:bookmarkStart w:id="382" w:name="_Toc237385020"/>
            <w:bookmarkStart w:id="383" w:name="_Toc237445042"/>
            <w:r>
              <w:rPr>
                <w:rFonts w:asciiTheme="minorHAnsi" w:hAnsiTheme="minorHAnsi" w:cstheme="minorHAnsi"/>
                <w:color w:val="000000" w:themeColor="text1"/>
                <w:sz w:val="20"/>
                <w:szCs w:val="20"/>
              </w:rPr>
              <w:t>Focus on recent experiences and verify responses through institutional documents where possible</w:t>
            </w:r>
            <w:bookmarkEnd w:id="380"/>
            <w:bookmarkEnd w:id="381"/>
            <w:bookmarkEnd w:id="382"/>
            <w:bookmarkEnd w:id="383"/>
          </w:p>
        </w:tc>
      </w:tr>
      <w:tr w:rsidR="00DA7EF7" w:rsidRPr="000E6942" w14:paraId="197767B2"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4AF77B6A" w14:textId="5F2120E0" w:rsidR="00DA7EF7" w:rsidRPr="000E6942" w:rsidRDefault="00001C10">
            <w:pPr>
              <w:pStyle w:val="Heading1"/>
              <w:jc w:val="center"/>
              <w:rPr>
                <w:rFonts w:asciiTheme="minorHAnsi" w:eastAsiaTheme="minorHAnsi" w:hAnsiTheme="minorHAnsi" w:cstheme="minorHAnsi"/>
                <w:color w:val="000000" w:themeColor="text1"/>
                <w:sz w:val="20"/>
                <w:szCs w:val="20"/>
              </w:rPr>
            </w:pPr>
            <w:bookmarkStart w:id="384" w:name="_Toc237383466"/>
            <w:bookmarkStart w:id="385" w:name="_Toc237384301"/>
            <w:bookmarkStart w:id="386" w:name="_Toc237385021"/>
            <w:bookmarkStart w:id="387" w:name="_Toc237445043"/>
            <w:r>
              <w:rPr>
                <w:rFonts w:asciiTheme="minorHAnsi" w:eastAsiaTheme="minorHAnsi" w:hAnsiTheme="minorHAnsi" w:cstheme="minorHAnsi"/>
                <w:color w:val="000000" w:themeColor="text1"/>
                <w:sz w:val="20"/>
                <w:szCs w:val="20"/>
              </w:rPr>
              <w:lastRenderedPageBreak/>
              <w:t>Interpretation bias</w:t>
            </w:r>
            <w:bookmarkEnd w:id="384"/>
            <w:bookmarkEnd w:id="385"/>
            <w:bookmarkEnd w:id="386"/>
            <w:bookmarkEnd w:id="387"/>
          </w:p>
        </w:tc>
        <w:tc>
          <w:tcPr>
            <w:tcW w:w="2694" w:type="dxa"/>
          </w:tcPr>
          <w:p w14:paraId="13466F8C" w14:textId="7E0722FD" w:rsidR="00DA7EF7" w:rsidRPr="000E6942" w:rsidRDefault="00001C10">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88" w:name="_Toc237383467"/>
            <w:bookmarkStart w:id="389" w:name="_Toc237384302"/>
            <w:bookmarkStart w:id="390" w:name="_Toc237385022"/>
            <w:bookmarkStart w:id="391" w:name="_Toc237445044"/>
            <w:r>
              <w:rPr>
                <w:rFonts w:asciiTheme="minorHAnsi" w:hAnsiTheme="minorHAnsi" w:cstheme="minorHAnsi"/>
                <w:color w:val="000000" w:themeColor="text1"/>
                <w:sz w:val="20"/>
                <w:szCs w:val="20"/>
              </w:rPr>
              <w:t>Researchers interpret qualitative data according to their personal perspectives</w:t>
            </w:r>
            <w:bookmarkEnd w:id="388"/>
            <w:bookmarkEnd w:id="389"/>
            <w:bookmarkEnd w:id="390"/>
            <w:bookmarkEnd w:id="391"/>
          </w:p>
        </w:tc>
        <w:tc>
          <w:tcPr>
            <w:tcW w:w="2268" w:type="dxa"/>
          </w:tcPr>
          <w:p w14:paraId="1031FFC4" w14:textId="1361014F" w:rsidR="00DA7EF7" w:rsidRPr="000E6942" w:rsidRDefault="00E43E2E">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92" w:name="_Toc237383468"/>
            <w:bookmarkStart w:id="393" w:name="_Toc237384303"/>
            <w:bookmarkStart w:id="394" w:name="_Toc237385023"/>
            <w:bookmarkStart w:id="395" w:name="_Toc237445045"/>
            <w:r>
              <w:rPr>
                <w:rFonts w:asciiTheme="minorHAnsi" w:hAnsiTheme="minorHAnsi" w:cstheme="minorHAnsi"/>
                <w:color w:val="000000" w:themeColor="text1"/>
                <w:sz w:val="20"/>
                <w:szCs w:val="20"/>
              </w:rPr>
              <w:t>Themes may not accurately represent participant meaning</w:t>
            </w:r>
            <w:bookmarkEnd w:id="392"/>
            <w:bookmarkEnd w:id="393"/>
            <w:bookmarkEnd w:id="394"/>
            <w:bookmarkEnd w:id="395"/>
            <w:r>
              <w:rPr>
                <w:rFonts w:asciiTheme="minorHAnsi" w:hAnsiTheme="minorHAnsi" w:cstheme="minorHAnsi"/>
                <w:color w:val="000000" w:themeColor="text1"/>
                <w:sz w:val="20"/>
                <w:szCs w:val="20"/>
              </w:rPr>
              <w:t xml:space="preserve"> </w:t>
            </w:r>
          </w:p>
        </w:tc>
        <w:tc>
          <w:tcPr>
            <w:tcW w:w="2594" w:type="dxa"/>
          </w:tcPr>
          <w:p w14:paraId="692DB4A1" w14:textId="1C6DD3D8" w:rsidR="00DA7EF7" w:rsidRPr="000E6942" w:rsidRDefault="00E43E2E">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396" w:name="_Toc237383469"/>
            <w:bookmarkStart w:id="397" w:name="_Toc237384304"/>
            <w:bookmarkStart w:id="398" w:name="_Toc237385024"/>
            <w:bookmarkStart w:id="399" w:name="_Toc237445046"/>
            <w:r>
              <w:rPr>
                <w:rFonts w:asciiTheme="minorHAnsi" w:hAnsiTheme="minorHAnsi" w:cstheme="minorHAnsi"/>
                <w:color w:val="000000" w:themeColor="text1"/>
                <w:sz w:val="20"/>
                <w:szCs w:val="20"/>
              </w:rPr>
              <w:t>Use thematic analysis systematically, retain participant quotations, conduct peer review of coding and maintain coding consistency</w:t>
            </w:r>
            <w:bookmarkEnd w:id="396"/>
            <w:bookmarkEnd w:id="397"/>
            <w:bookmarkEnd w:id="398"/>
            <w:bookmarkEnd w:id="399"/>
          </w:p>
        </w:tc>
      </w:tr>
      <w:tr w:rsidR="00DA7EF7" w:rsidRPr="000E6942" w14:paraId="652AA413"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14D1DE06" w14:textId="26B4C533" w:rsidR="00DA7EF7" w:rsidRPr="000E6942" w:rsidRDefault="002741F7">
            <w:pPr>
              <w:pStyle w:val="Heading1"/>
              <w:jc w:val="center"/>
              <w:rPr>
                <w:rFonts w:asciiTheme="minorHAnsi" w:eastAsiaTheme="minorHAnsi" w:hAnsiTheme="minorHAnsi" w:cstheme="minorHAnsi"/>
                <w:color w:val="000000" w:themeColor="text1"/>
                <w:sz w:val="20"/>
                <w:szCs w:val="20"/>
              </w:rPr>
            </w:pPr>
            <w:bookmarkStart w:id="400" w:name="_Toc237383470"/>
            <w:bookmarkStart w:id="401" w:name="_Toc237384305"/>
            <w:bookmarkStart w:id="402" w:name="_Toc237385025"/>
            <w:bookmarkStart w:id="403" w:name="_Toc237445047"/>
            <w:r>
              <w:rPr>
                <w:rFonts w:asciiTheme="minorHAnsi" w:eastAsiaTheme="minorHAnsi" w:hAnsiTheme="minorHAnsi" w:cstheme="minorHAnsi"/>
                <w:color w:val="000000" w:themeColor="text1"/>
                <w:sz w:val="20"/>
                <w:szCs w:val="20"/>
              </w:rPr>
              <w:t>Coding bias</w:t>
            </w:r>
            <w:bookmarkEnd w:id="400"/>
            <w:bookmarkEnd w:id="401"/>
            <w:bookmarkEnd w:id="402"/>
            <w:bookmarkEnd w:id="403"/>
          </w:p>
        </w:tc>
        <w:tc>
          <w:tcPr>
            <w:tcW w:w="2694" w:type="dxa"/>
          </w:tcPr>
          <w:p w14:paraId="523F5529" w14:textId="22175E55" w:rsidR="00DA7EF7" w:rsidRPr="000E6942" w:rsidRDefault="002741F7">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04" w:name="_Toc237383471"/>
            <w:bookmarkStart w:id="405" w:name="_Toc237384306"/>
            <w:bookmarkStart w:id="406" w:name="_Toc237385026"/>
            <w:bookmarkStart w:id="407" w:name="_Toc237445048"/>
            <w:r>
              <w:rPr>
                <w:rFonts w:asciiTheme="minorHAnsi" w:hAnsiTheme="minorHAnsi" w:cstheme="minorHAnsi"/>
                <w:color w:val="000000" w:themeColor="text1"/>
                <w:sz w:val="20"/>
                <w:szCs w:val="20"/>
              </w:rPr>
              <w:t>Themes are developed incon</w:t>
            </w:r>
            <w:r w:rsidR="00487FC1">
              <w:rPr>
                <w:rFonts w:asciiTheme="minorHAnsi" w:hAnsiTheme="minorHAnsi" w:cstheme="minorHAnsi"/>
                <w:color w:val="000000" w:themeColor="text1"/>
                <w:sz w:val="20"/>
                <w:szCs w:val="20"/>
              </w:rPr>
              <w:t>sistently during qualitative analysis</w:t>
            </w:r>
            <w:bookmarkEnd w:id="404"/>
            <w:bookmarkEnd w:id="405"/>
            <w:bookmarkEnd w:id="406"/>
            <w:bookmarkEnd w:id="407"/>
          </w:p>
        </w:tc>
        <w:tc>
          <w:tcPr>
            <w:tcW w:w="2268" w:type="dxa"/>
          </w:tcPr>
          <w:p w14:paraId="62B2DC96" w14:textId="3FED5060" w:rsidR="00DA7EF7" w:rsidRPr="000E6942" w:rsidRDefault="00487FC1">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08" w:name="_Toc237383472"/>
            <w:bookmarkStart w:id="409" w:name="_Toc237384307"/>
            <w:bookmarkStart w:id="410" w:name="_Toc237385027"/>
            <w:bookmarkStart w:id="411" w:name="_Toc237445049"/>
            <w:r>
              <w:rPr>
                <w:rFonts w:asciiTheme="minorHAnsi" w:hAnsiTheme="minorHAnsi" w:cstheme="minorHAnsi"/>
                <w:color w:val="000000" w:themeColor="text1"/>
                <w:sz w:val="20"/>
                <w:szCs w:val="20"/>
              </w:rPr>
              <w:t>Reduced dependability and transparency</w:t>
            </w:r>
            <w:bookmarkEnd w:id="408"/>
            <w:bookmarkEnd w:id="409"/>
            <w:bookmarkEnd w:id="410"/>
            <w:bookmarkEnd w:id="411"/>
          </w:p>
        </w:tc>
        <w:tc>
          <w:tcPr>
            <w:tcW w:w="2594" w:type="dxa"/>
          </w:tcPr>
          <w:p w14:paraId="02C54668" w14:textId="70E575AA" w:rsidR="00DA7EF7" w:rsidRPr="000E6942" w:rsidRDefault="00487FC1">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bookmarkStart w:id="412" w:name="_Toc237383473"/>
            <w:bookmarkStart w:id="413" w:name="_Toc237384308"/>
            <w:bookmarkStart w:id="414" w:name="_Toc237385028"/>
            <w:bookmarkStart w:id="415" w:name="_Toc237445050"/>
            <w:r>
              <w:rPr>
                <w:rFonts w:asciiTheme="minorHAnsi" w:hAnsiTheme="minorHAnsi" w:cstheme="minorHAnsi"/>
                <w:color w:val="000000" w:themeColor="text1"/>
                <w:sz w:val="20"/>
                <w:szCs w:val="20"/>
              </w:rPr>
              <w:t xml:space="preserve">Develop a coding framework, maintain detailed coding notes and </w:t>
            </w:r>
            <w:r w:rsidR="007C378F">
              <w:rPr>
                <w:rFonts w:asciiTheme="minorHAnsi" w:hAnsiTheme="minorHAnsi" w:cstheme="minorHAnsi"/>
                <w:color w:val="000000" w:themeColor="text1"/>
                <w:sz w:val="20"/>
                <w:szCs w:val="20"/>
              </w:rPr>
              <w:t>revisit coding iteratively</w:t>
            </w:r>
            <w:bookmarkEnd w:id="412"/>
            <w:bookmarkEnd w:id="413"/>
            <w:bookmarkEnd w:id="414"/>
            <w:bookmarkEnd w:id="415"/>
          </w:p>
        </w:tc>
      </w:tr>
      <w:tr w:rsidR="00DA7EF7" w:rsidRPr="000E6942" w14:paraId="43995B4F"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2FE551C2" w14:textId="37B48696" w:rsidR="00DA7EF7" w:rsidRPr="000E6942" w:rsidRDefault="007C378F">
            <w:pPr>
              <w:pStyle w:val="Heading1"/>
              <w:jc w:val="center"/>
              <w:rPr>
                <w:rFonts w:asciiTheme="minorHAnsi" w:eastAsiaTheme="minorHAnsi" w:hAnsiTheme="minorHAnsi" w:cstheme="minorHAnsi"/>
                <w:color w:val="000000" w:themeColor="text1"/>
                <w:sz w:val="20"/>
                <w:szCs w:val="20"/>
              </w:rPr>
            </w:pPr>
            <w:bookmarkStart w:id="416" w:name="_Toc237383474"/>
            <w:bookmarkStart w:id="417" w:name="_Toc237384309"/>
            <w:bookmarkStart w:id="418" w:name="_Toc237385029"/>
            <w:bookmarkStart w:id="419" w:name="_Toc237445051"/>
            <w:r>
              <w:rPr>
                <w:rFonts w:asciiTheme="minorHAnsi" w:eastAsiaTheme="minorHAnsi" w:hAnsiTheme="minorHAnsi" w:cstheme="minorHAnsi"/>
                <w:color w:val="000000" w:themeColor="text1"/>
                <w:sz w:val="20"/>
                <w:szCs w:val="20"/>
              </w:rPr>
              <w:t>Publication bias in the literature</w:t>
            </w:r>
            <w:bookmarkEnd w:id="416"/>
            <w:bookmarkEnd w:id="417"/>
            <w:bookmarkEnd w:id="418"/>
            <w:bookmarkEnd w:id="419"/>
            <w:r>
              <w:rPr>
                <w:rFonts w:asciiTheme="minorHAnsi" w:eastAsiaTheme="minorHAnsi" w:hAnsiTheme="minorHAnsi" w:cstheme="minorHAnsi"/>
                <w:color w:val="000000" w:themeColor="text1"/>
                <w:sz w:val="20"/>
                <w:szCs w:val="20"/>
              </w:rPr>
              <w:t xml:space="preserve"> </w:t>
            </w:r>
          </w:p>
        </w:tc>
        <w:tc>
          <w:tcPr>
            <w:tcW w:w="2694" w:type="dxa"/>
          </w:tcPr>
          <w:p w14:paraId="0B7E5CB1" w14:textId="089C988F" w:rsidR="00DA7EF7" w:rsidRPr="000E6942" w:rsidRDefault="007C378F">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420" w:name="_Toc237383475"/>
            <w:bookmarkStart w:id="421" w:name="_Toc237384310"/>
            <w:bookmarkStart w:id="422" w:name="_Toc237385030"/>
            <w:bookmarkStart w:id="423" w:name="_Toc237445052"/>
            <w:r>
              <w:rPr>
                <w:rFonts w:asciiTheme="minorHAnsi" w:hAnsiTheme="minorHAnsi" w:cstheme="minorHAnsi"/>
                <w:color w:val="000000" w:themeColor="text1"/>
                <w:sz w:val="20"/>
                <w:szCs w:val="20"/>
              </w:rPr>
              <w:t>Published studies tend to report successful AI implementation more frequently than failures</w:t>
            </w:r>
            <w:bookmarkEnd w:id="420"/>
            <w:bookmarkEnd w:id="421"/>
            <w:bookmarkEnd w:id="422"/>
            <w:bookmarkEnd w:id="423"/>
          </w:p>
        </w:tc>
        <w:tc>
          <w:tcPr>
            <w:tcW w:w="2268" w:type="dxa"/>
          </w:tcPr>
          <w:p w14:paraId="09B6A448" w14:textId="6D66BBB0" w:rsidR="00DA7EF7" w:rsidRPr="000E6942" w:rsidRDefault="009879A8">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424" w:name="_Toc237383476"/>
            <w:bookmarkStart w:id="425" w:name="_Toc237384311"/>
            <w:bookmarkStart w:id="426" w:name="_Toc237385031"/>
            <w:bookmarkStart w:id="427" w:name="_Toc237445053"/>
            <w:r>
              <w:rPr>
                <w:rFonts w:asciiTheme="minorHAnsi" w:hAnsiTheme="minorHAnsi" w:cstheme="minorHAnsi"/>
                <w:color w:val="000000" w:themeColor="text1"/>
                <w:sz w:val="20"/>
                <w:szCs w:val="20"/>
              </w:rPr>
              <w:t>Literature review may overestimate AI governance effectiveness</w:t>
            </w:r>
            <w:bookmarkEnd w:id="424"/>
            <w:bookmarkEnd w:id="425"/>
            <w:bookmarkEnd w:id="426"/>
            <w:bookmarkEnd w:id="427"/>
          </w:p>
        </w:tc>
        <w:tc>
          <w:tcPr>
            <w:tcW w:w="2594" w:type="dxa"/>
          </w:tcPr>
          <w:p w14:paraId="3EC9178D" w14:textId="65AC9547" w:rsidR="00DA7EF7" w:rsidRPr="000E6942" w:rsidRDefault="009879A8">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bookmarkStart w:id="428" w:name="_Toc237383477"/>
            <w:bookmarkStart w:id="429" w:name="_Toc237384312"/>
            <w:bookmarkStart w:id="430" w:name="_Toc237385032"/>
            <w:bookmarkStart w:id="431" w:name="_Toc237445054"/>
            <w:r>
              <w:rPr>
                <w:rFonts w:asciiTheme="minorHAnsi" w:hAnsiTheme="minorHAnsi" w:cstheme="minorHAnsi"/>
                <w:color w:val="000000" w:themeColor="text1"/>
                <w:sz w:val="20"/>
                <w:szCs w:val="20"/>
              </w:rPr>
              <w:t>Include critical studies, policy reports, systematic reviews and grey literature where appropriate</w:t>
            </w:r>
            <w:bookmarkEnd w:id="428"/>
            <w:bookmarkEnd w:id="429"/>
            <w:bookmarkEnd w:id="430"/>
            <w:bookmarkEnd w:id="431"/>
          </w:p>
        </w:tc>
      </w:tr>
      <w:tr w:rsidR="00DA7EF7" w:rsidRPr="000E6942" w14:paraId="56A11728"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6D50AC6E" w14:textId="3256A9D8" w:rsidR="00DA7EF7" w:rsidRPr="000E6942" w:rsidRDefault="00EF431B">
            <w:pPr>
              <w:pStyle w:val="Heading1"/>
              <w:jc w:val="center"/>
              <w:rPr>
                <w:rFonts w:asciiTheme="minorHAnsi" w:eastAsiaTheme="minorHAnsi" w:hAnsiTheme="minorHAnsi" w:cstheme="minorHAnsi"/>
                <w:color w:val="000000" w:themeColor="text1"/>
                <w:sz w:val="20"/>
                <w:szCs w:val="20"/>
              </w:rPr>
            </w:pPr>
            <w:bookmarkStart w:id="432" w:name="_Toc237383478"/>
            <w:bookmarkStart w:id="433" w:name="_Toc237384313"/>
            <w:bookmarkStart w:id="434" w:name="_Toc237385033"/>
            <w:bookmarkStart w:id="435" w:name="_Toc237445055"/>
            <w:r>
              <w:rPr>
                <w:rFonts w:asciiTheme="minorHAnsi" w:eastAsiaTheme="minorHAnsi" w:hAnsiTheme="minorHAnsi" w:cstheme="minorHAnsi"/>
                <w:color w:val="000000" w:themeColor="text1"/>
                <w:sz w:val="20"/>
                <w:szCs w:val="20"/>
              </w:rPr>
              <w:t>Institutional bias</w:t>
            </w:r>
            <w:bookmarkEnd w:id="432"/>
            <w:bookmarkEnd w:id="433"/>
            <w:bookmarkEnd w:id="434"/>
            <w:bookmarkEnd w:id="435"/>
          </w:p>
        </w:tc>
        <w:tc>
          <w:tcPr>
            <w:tcW w:w="2694" w:type="dxa"/>
          </w:tcPr>
          <w:p w14:paraId="4AF3E3C8" w14:textId="14722AA5" w:rsidR="00DA7EF7" w:rsidRPr="000E6942" w:rsidRDefault="00253025">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36" w:name="_Toc237383479"/>
            <w:bookmarkStart w:id="437" w:name="_Toc237384314"/>
            <w:bookmarkStart w:id="438" w:name="_Toc237385034"/>
            <w:bookmarkStart w:id="439" w:name="_Toc237445056"/>
            <w:r>
              <w:rPr>
                <w:rFonts w:asciiTheme="minorHAnsi" w:hAnsiTheme="minorHAnsi" w:cstheme="minorHAnsi"/>
                <w:color w:val="000000" w:themeColor="text1"/>
                <w:sz w:val="20"/>
                <w:szCs w:val="20"/>
              </w:rPr>
              <w:t>HEIs may present official governance policies rather than actual practices</w:t>
            </w:r>
            <w:bookmarkEnd w:id="436"/>
            <w:bookmarkEnd w:id="437"/>
            <w:bookmarkEnd w:id="438"/>
            <w:bookmarkEnd w:id="439"/>
          </w:p>
        </w:tc>
        <w:tc>
          <w:tcPr>
            <w:tcW w:w="2268" w:type="dxa"/>
          </w:tcPr>
          <w:p w14:paraId="0976582F" w14:textId="513FC554" w:rsidR="00DA7EF7" w:rsidRPr="000E6942" w:rsidRDefault="00E15953">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40" w:name="_Toc237383480"/>
            <w:bookmarkStart w:id="441" w:name="_Toc237384315"/>
            <w:bookmarkStart w:id="442" w:name="_Toc237385035"/>
            <w:bookmarkStart w:id="443" w:name="_Toc237445057"/>
            <w:r>
              <w:rPr>
                <w:rFonts w:asciiTheme="minorHAnsi" w:hAnsiTheme="minorHAnsi" w:cstheme="minorHAnsi"/>
                <w:color w:val="000000" w:themeColor="text1"/>
                <w:sz w:val="20"/>
                <w:szCs w:val="20"/>
              </w:rPr>
              <w:t>The difference</w:t>
            </w:r>
            <w:r w:rsidR="00AB2443">
              <w:rPr>
                <w:rFonts w:asciiTheme="minorHAnsi" w:hAnsiTheme="minorHAnsi" w:cstheme="minorHAnsi"/>
                <w:color w:val="000000" w:themeColor="text1"/>
                <w:sz w:val="20"/>
                <w:szCs w:val="20"/>
              </w:rPr>
              <w:t xml:space="preserve"> between policy and practice may remain </w:t>
            </w:r>
            <w:r>
              <w:rPr>
                <w:rFonts w:asciiTheme="minorHAnsi" w:hAnsiTheme="minorHAnsi" w:cstheme="minorHAnsi"/>
                <w:color w:val="000000" w:themeColor="text1"/>
                <w:sz w:val="20"/>
                <w:szCs w:val="20"/>
              </w:rPr>
              <w:t>hidden</w:t>
            </w:r>
            <w:bookmarkEnd w:id="440"/>
            <w:bookmarkEnd w:id="441"/>
            <w:bookmarkEnd w:id="442"/>
            <w:bookmarkEnd w:id="443"/>
            <w:r>
              <w:rPr>
                <w:rFonts w:asciiTheme="minorHAnsi" w:hAnsiTheme="minorHAnsi" w:cstheme="minorHAnsi"/>
                <w:color w:val="000000" w:themeColor="text1"/>
                <w:sz w:val="20"/>
                <w:szCs w:val="20"/>
              </w:rPr>
              <w:t xml:space="preserve"> </w:t>
            </w:r>
          </w:p>
        </w:tc>
        <w:tc>
          <w:tcPr>
            <w:tcW w:w="2594" w:type="dxa"/>
          </w:tcPr>
          <w:p w14:paraId="1C21C577" w14:textId="015A82F0" w:rsidR="00DA7EF7" w:rsidRPr="000E6942" w:rsidRDefault="00E15953">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44" w:name="_Toc237383481"/>
            <w:bookmarkStart w:id="445" w:name="_Toc237384316"/>
            <w:bookmarkStart w:id="446" w:name="_Toc237385036"/>
            <w:bookmarkStart w:id="447" w:name="_Toc237445058"/>
            <w:r>
              <w:rPr>
                <w:rFonts w:asciiTheme="minorHAnsi" w:hAnsiTheme="minorHAnsi" w:cstheme="minorHAnsi"/>
                <w:color w:val="000000" w:themeColor="text1"/>
                <w:sz w:val="20"/>
                <w:szCs w:val="20"/>
              </w:rPr>
              <w:t>Compare institutional documents with participant interviews and identify inconsistencies</w:t>
            </w:r>
            <w:bookmarkEnd w:id="444"/>
            <w:bookmarkEnd w:id="445"/>
            <w:bookmarkEnd w:id="446"/>
            <w:bookmarkEnd w:id="447"/>
          </w:p>
        </w:tc>
      </w:tr>
      <w:tr w:rsidR="00F81C90" w:rsidRPr="000E6942" w14:paraId="74199578" w14:textId="77777777" w:rsidTr="00596C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8D3FFDA" w14:textId="1EC080A5" w:rsidR="00F81C90" w:rsidRPr="000E6942" w:rsidRDefault="00F81C90">
            <w:pPr>
              <w:pStyle w:val="Heading1"/>
              <w:jc w:val="center"/>
              <w:rPr>
                <w:rFonts w:asciiTheme="minorHAnsi" w:eastAsiaTheme="minorHAnsi" w:hAnsiTheme="minorHAnsi" w:cstheme="minorHAnsi"/>
                <w:color w:val="000000" w:themeColor="text1"/>
                <w:sz w:val="20"/>
                <w:szCs w:val="20"/>
              </w:rPr>
            </w:pPr>
            <w:bookmarkStart w:id="448" w:name="_Toc237383482"/>
            <w:bookmarkStart w:id="449" w:name="_Toc237384317"/>
            <w:bookmarkStart w:id="450" w:name="_Toc237385037"/>
            <w:bookmarkStart w:id="451" w:name="_Toc237445059"/>
            <w:r>
              <w:rPr>
                <w:rFonts w:asciiTheme="minorHAnsi" w:eastAsiaTheme="minorHAnsi" w:hAnsiTheme="minorHAnsi" w:cstheme="minorHAnsi"/>
                <w:color w:val="000000" w:themeColor="text1"/>
                <w:sz w:val="20"/>
                <w:szCs w:val="20"/>
              </w:rPr>
              <w:t>Document bias</w:t>
            </w:r>
            <w:bookmarkEnd w:id="448"/>
            <w:bookmarkEnd w:id="449"/>
            <w:bookmarkEnd w:id="450"/>
            <w:bookmarkEnd w:id="451"/>
          </w:p>
        </w:tc>
        <w:tc>
          <w:tcPr>
            <w:tcW w:w="2694" w:type="dxa"/>
          </w:tcPr>
          <w:p w14:paraId="180B081E" w14:textId="04A99BEA" w:rsidR="00F81C90" w:rsidRPr="000E6942" w:rsidRDefault="00F81C90">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452" w:name="_Toc237383483"/>
            <w:bookmarkStart w:id="453" w:name="_Toc237384318"/>
            <w:bookmarkStart w:id="454" w:name="_Toc237385038"/>
            <w:bookmarkStart w:id="455" w:name="_Toc237445060"/>
            <w:r>
              <w:rPr>
                <w:rFonts w:asciiTheme="minorHAnsi" w:hAnsiTheme="minorHAnsi" w:cstheme="minorHAnsi"/>
                <w:color w:val="000000" w:themeColor="text1"/>
                <w:sz w:val="20"/>
                <w:szCs w:val="20"/>
              </w:rPr>
              <w:t>Organisa</w:t>
            </w:r>
            <w:r w:rsidR="00966C3E">
              <w:rPr>
                <w:rFonts w:asciiTheme="minorHAnsi" w:hAnsiTheme="minorHAnsi" w:cstheme="minorHAnsi"/>
                <w:color w:val="000000" w:themeColor="text1"/>
                <w:sz w:val="20"/>
                <w:szCs w:val="20"/>
              </w:rPr>
              <w:t>tional documents present an idealised version of governance</w:t>
            </w:r>
            <w:bookmarkEnd w:id="452"/>
            <w:bookmarkEnd w:id="453"/>
            <w:bookmarkEnd w:id="454"/>
            <w:bookmarkEnd w:id="455"/>
          </w:p>
        </w:tc>
        <w:tc>
          <w:tcPr>
            <w:tcW w:w="2268" w:type="dxa"/>
          </w:tcPr>
          <w:p w14:paraId="7A432A08" w14:textId="7FA0E33B" w:rsidR="00F81C90" w:rsidRPr="000E6942" w:rsidRDefault="00966C3E">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456" w:name="_Toc237383484"/>
            <w:bookmarkStart w:id="457" w:name="_Toc237384319"/>
            <w:bookmarkStart w:id="458" w:name="_Toc237385039"/>
            <w:bookmarkStart w:id="459" w:name="_Toc237445061"/>
            <w:r>
              <w:rPr>
                <w:rFonts w:asciiTheme="minorHAnsi" w:hAnsiTheme="minorHAnsi" w:cstheme="minorHAnsi"/>
                <w:color w:val="000000" w:themeColor="text1"/>
                <w:sz w:val="20"/>
                <w:szCs w:val="20"/>
              </w:rPr>
              <w:t>Governance maturity may be overstated</w:t>
            </w:r>
            <w:bookmarkEnd w:id="456"/>
            <w:bookmarkEnd w:id="457"/>
            <w:bookmarkEnd w:id="458"/>
            <w:bookmarkEnd w:id="459"/>
            <w:r>
              <w:rPr>
                <w:rFonts w:asciiTheme="minorHAnsi" w:hAnsiTheme="minorHAnsi" w:cstheme="minorHAnsi"/>
                <w:color w:val="000000" w:themeColor="text1"/>
                <w:sz w:val="20"/>
                <w:szCs w:val="20"/>
              </w:rPr>
              <w:t xml:space="preserve"> </w:t>
            </w:r>
          </w:p>
        </w:tc>
        <w:tc>
          <w:tcPr>
            <w:tcW w:w="2594" w:type="dxa"/>
          </w:tcPr>
          <w:p w14:paraId="7DB06B84" w14:textId="08B0FAD2" w:rsidR="00F81C90" w:rsidRPr="000E6942" w:rsidRDefault="00966C3E">
            <w:pPr>
              <w:pStyle w:val="Heading1"/>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bookmarkStart w:id="460" w:name="_Toc237383485"/>
            <w:bookmarkStart w:id="461" w:name="_Toc237384320"/>
            <w:bookmarkStart w:id="462" w:name="_Toc237385040"/>
            <w:bookmarkStart w:id="463" w:name="_Toc237445062"/>
            <w:r>
              <w:rPr>
                <w:rFonts w:asciiTheme="minorHAnsi" w:hAnsiTheme="minorHAnsi" w:cstheme="minorHAnsi"/>
                <w:color w:val="000000" w:themeColor="text1"/>
                <w:sz w:val="20"/>
                <w:szCs w:val="20"/>
              </w:rPr>
              <w:t xml:space="preserve">Use documents as one data source only and </w:t>
            </w:r>
            <w:r w:rsidR="00F12534">
              <w:rPr>
                <w:rFonts w:asciiTheme="minorHAnsi" w:hAnsiTheme="minorHAnsi" w:cstheme="minorHAnsi"/>
                <w:color w:val="000000" w:themeColor="text1"/>
                <w:sz w:val="20"/>
                <w:szCs w:val="20"/>
              </w:rPr>
              <w:t>triangulate findings with interviews</w:t>
            </w:r>
            <w:bookmarkEnd w:id="460"/>
            <w:bookmarkEnd w:id="461"/>
            <w:bookmarkEnd w:id="462"/>
            <w:bookmarkEnd w:id="463"/>
          </w:p>
        </w:tc>
      </w:tr>
      <w:tr w:rsidR="00F81C90" w:rsidRPr="000E6942" w14:paraId="40B48EB0" w14:textId="77777777" w:rsidTr="00596C50">
        <w:tc>
          <w:tcPr>
            <w:cnfStyle w:val="001000000000" w:firstRow="0" w:lastRow="0" w:firstColumn="1" w:lastColumn="0" w:oddVBand="0" w:evenVBand="0" w:oddHBand="0" w:evenHBand="0" w:firstRowFirstColumn="0" w:firstRowLastColumn="0" w:lastRowFirstColumn="0" w:lastRowLastColumn="0"/>
            <w:tcW w:w="1843" w:type="dxa"/>
          </w:tcPr>
          <w:p w14:paraId="148819CD" w14:textId="5F076B4A" w:rsidR="00F81C90" w:rsidRPr="000E6942" w:rsidRDefault="00C663F0">
            <w:pPr>
              <w:pStyle w:val="Heading1"/>
              <w:jc w:val="center"/>
              <w:rPr>
                <w:rFonts w:asciiTheme="minorHAnsi" w:eastAsiaTheme="minorHAnsi" w:hAnsiTheme="minorHAnsi" w:cstheme="minorHAnsi"/>
                <w:color w:val="000000" w:themeColor="text1"/>
                <w:sz w:val="20"/>
                <w:szCs w:val="20"/>
              </w:rPr>
            </w:pPr>
            <w:bookmarkStart w:id="464" w:name="_Toc237383486"/>
            <w:bookmarkStart w:id="465" w:name="_Toc237384321"/>
            <w:bookmarkStart w:id="466" w:name="_Toc237385041"/>
            <w:bookmarkStart w:id="467" w:name="_Toc237445063"/>
            <w:r>
              <w:rPr>
                <w:rFonts w:asciiTheme="minorHAnsi" w:eastAsiaTheme="minorHAnsi" w:hAnsiTheme="minorHAnsi" w:cstheme="minorHAnsi"/>
                <w:color w:val="000000" w:themeColor="text1"/>
                <w:sz w:val="20"/>
                <w:szCs w:val="20"/>
              </w:rPr>
              <w:t>Reflexivity bias</w:t>
            </w:r>
            <w:bookmarkEnd w:id="464"/>
            <w:bookmarkEnd w:id="465"/>
            <w:bookmarkEnd w:id="466"/>
            <w:bookmarkEnd w:id="467"/>
          </w:p>
        </w:tc>
        <w:tc>
          <w:tcPr>
            <w:tcW w:w="2694" w:type="dxa"/>
          </w:tcPr>
          <w:p w14:paraId="44529507" w14:textId="664050B2" w:rsidR="00F81C90" w:rsidRPr="000E6942" w:rsidRDefault="00C663F0">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68" w:name="_Toc237383487"/>
            <w:bookmarkStart w:id="469" w:name="_Toc237384322"/>
            <w:bookmarkStart w:id="470" w:name="_Toc237385042"/>
            <w:bookmarkStart w:id="471" w:name="_Toc237445064"/>
            <w:r>
              <w:rPr>
                <w:rFonts w:asciiTheme="minorHAnsi" w:hAnsiTheme="minorHAnsi" w:cstheme="minorHAnsi"/>
                <w:color w:val="000000" w:themeColor="text1"/>
                <w:sz w:val="20"/>
                <w:szCs w:val="20"/>
              </w:rPr>
              <w:t>Failure to recognise the influence of the researcher’s values</w:t>
            </w:r>
            <w:bookmarkEnd w:id="468"/>
            <w:bookmarkEnd w:id="469"/>
            <w:bookmarkEnd w:id="470"/>
            <w:bookmarkEnd w:id="471"/>
            <w:r>
              <w:rPr>
                <w:rFonts w:asciiTheme="minorHAnsi" w:hAnsiTheme="minorHAnsi" w:cstheme="minorHAnsi"/>
                <w:color w:val="000000" w:themeColor="text1"/>
                <w:sz w:val="20"/>
                <w:szCs w:val="20"/>
              </w:rPr>
              <w:t xml:space="preserve"> </w:t>
            </w:r>
          </w:p>
        </w:tc>
        <w:tc>
          <w:tcPr>
            <w:tcW w:w="2268" w:type="dxa"/>
          </w:tcPr>
          <w:p w14:paraId="2F2C194B" w14:textId="675F7DE2" w:rsidR="00F81C90" w:rsidRPr="000E6942" w:rsidRDefault="00C663F0">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72" w:name="_Toc237383488"/>
            <w:bookmarkStart w:id="473" w:name="_Toc237384323"/>
            <w:bookmarkStart w:id="474" w:name="_Toc237385043"/>
            <w:bookmarkStart w:id="475" w:name="_Toc237445065"/>
            <w:r>
              <w:rPr>
                <w:rFonts w:asciiTheme="minorHAnsi" w:hAnsiTheme="minorHAnsi" w:cstheme="minorHAnsi"/>
                <w:color w:val="000000" w:themeColor="text1"/>
                <w:sz w:val="20"/>
                <w:szCs w:val="20"/>
              </w:rPr>
              <w:t>Reduce</w:t>
            </w:r>
            <w:r w:rsidR="003A6B30">
              <w:rPr>
                <w:rFonts w:asciiTheme="minorHAnsi" w:hAnsiTheme="minorHAnsi" w:cstheme="minorHAnsi"/>
                <w:color w:val="000000" w:themeColor="text1"/>
                <w:sz w:val="20"/>
                <w:szCs w:val="20"/>
              </w:rPr>
              <w:t>d credibility of qualitative interpretation</w:t>
            </w:r>
            <w:bookmarkEnd w:id="472"/>
            <w:bookmarkEnd w:id="473"/>
            <w:bookmarkEnd w:id="474"/>
            <w:bookmarkEnd w:id="475"/>
            <w:r w:rsidR="003A6B30">
              <w:rPr>
                <w:rFonts w:asciiTheme="minorHAnsi" w:hAnsiTheme="minorHAnsi" w:cstheme="minorHAnsi"/>
                <w:color w:val="000000" w:themeColor="text1"/>
                <w:sz w:val="20"/>
                <w:szCs w:val="20"/>
              </w:rPr>
              <w:t xml:space="preserve">  </w:t>
            </w:r>
          </w:p>
        </w:tc>
        <w:tc>
          <w:tcPr>
            <w:tcW w:w="2594" w:type="dxa"/>
          </w:tcPr>
          <w:p w14:paraId="49D30D5D" w14:textId="61C429BB" w:rsidR="00F81C90" w:rsidRPr="000E6942" w:rsidRDefault="0090561E">
            <w:pPr>
              <w:pStyle w:val="Heading1"/>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bookmarkStart w:id="476" w:name="_Toc237383489"/>
            <w:bookmarkStart w:id="477" w:name="_Toc237384324"/>
            <w:bookmarkStart w:id="478" w:name="_Toc237385044"/>
            <w:bookmarkStart w:id="479" w:name="_Toc237445066"/>
            <w:r>
              <w:rPr>
                <w:rFonts w:asciiTheme="minorHAnsi" w:hAnsiTheme="minorHAnsi" w:cstheme="minorHAnsi"/>
                <w:color w:val="000000" w:themeColor="text1"/>
                <w:sz w:val="20"/>
                <w:szCs w:val="20"/>
              </w:rPr>
              <w:t>Maintain continuous reflective practice throughout data collection and analysis, and explicitly discuss positionality</w:t>
            </w:r>
            <w:bookmarkEnd w:id="476"/>
            <w:bookmarkEnd w:id="477"/>
            <w:bookmarkEnd w:id="478"/>
            <w:bookmarkEnd w:id="479"/>
            <w:r>
              <w:rPr>
                <w:rFonts w:asciiTheme="minorHAnsi" w:hAnsiTheme="minorHAnsi" w:cstheme="minorHAnsi"/>
                <w:color w:val="000000" w:themeColor="text1"/>
                <w:sz w:val="20"/>
                <w:szCs w:val="20"/>
              </w:rPr>
              <w:t xml:space="preserve"> </w:t>
            </w:r>
          </w:p>
        </w:tc>
      </w:tr>
    </w:tbl>
    <w:p w14:paraId="57D2C593" w14:textId="77777777" w:rsidR="00D51867" w:rsidRDefault="00D51867" w:rsidP="00596C50">
      <w:pPr>
        <w:pStyle w:val="Caption"/>
        <w:jc w:val="center"/>
      </w:pPr>
    </w:p>
    <w:p w14:paraId="3FE9D2E1" w14:textId="77777777" w:rsidR="001358B1" w:rsidRPr="00316680" w:rsidRDefault="00B47F28" w:rsidP="00596C50">
      <w:pPr>
        <w:pStyle w:val="Caption"/>
        <w:jc w:val="center"/>
        <w:rPr>
          <w:sz w:val="20"/>
          <w:szCs w:val="20"/>
        </w:rPr>
      </w:pPr>
      <w:r w:rsidRPr="00316680">
        <w:rPr>
          <w:sz w:val="20"/>
          <w:szCs w:val="20"/>
        </w:rPr>
        <w:t xml:space="preserve">Table A1: </w:t>
      </w:r>
      <w:r w:rsidR="007465DA" w:rsidRPr="00316680">
        <w:rPr>
          <w:sz w:val="20"/>
          <w:szCs w:val="20"/>
        </w:rPr>
        <w:t>Potential research biases and mitigation strategies for the proposed study</w:t>
      </w:r>
      <w:r w:rsidR="001358B1" w:rsidRPr="00316680">
        <w:rPr>
          <w:sz w:val="20"/>
          <w:szCs w:val="20"/>
        </w:rPr>
        <w:t xml:space="preserve"> </w:t>
      </w:r>
    </w:p>
    <w:p w14:paraId="16BBDE63" w14:textId="43B0E500" w:rsidR="00E1795C" w:rsidRPr="00316680" w:rsidRDefault="00596C50" w:rsidP="00596C50">
      <w:pPr>
        <w:pStyle w:val="Caption"/>
        <w:jc w:val="center"/>
        <w:rPr>
          <w:sz w:val="20"/>
          <w:szCs w:val="20"/>
        </w:rPr>
      </w:pPr>
      <w:r w:rsidRPr="00316680">
        <w:rPr>
          <w:sz w:val="20"/>
          <w:szCs w:val="20"/>
        </w:rPr>
        <w:t>Source: Author's own development, informed by Mehrabi et al. (2021) and Papagiannidis</w:t>
      </w:r>
      <w:r w:rsidR="001358B1" w:rsidRPr="00316680">
        <w:rPr>
          <w:sz w:val="20"/>
          <w:szCs w:val="20"/>
        </w:rPr>
        <w:t xml:space="preserve"> et al. </w:t>
      </w:r>
      <w:r w:rsidRPr="00316680">
        <w:rPr>
          <w:sz w:val="20"/>
          <w:szCs w:val="20"/>
        </w:rPr>
        <w:t>(2025).</w:t>
      </w:r>
    </w:p>
    <w:p w14:paraId="036DDCCE" w14:textId="77777777" w:rsidR="00CE1921" w:rsidRDefault="00CE1921" w:rsidP="00CE1921"/>
    <w:p w14:paraId="62C7EEEA" w14:textId="77777777" w:rsidR="00CE1921" w:rsidRDefault="00CE1921" w:rsidP="00CE1921"/>
    <w:p w14:paraId="54E44C49" w14:textId="77777777" w:rsidR="00CE1921" w:rsidRDefault="00CE1921" w:rsidP="00CE1921"/>
    <w:p w14:paraId="64F967DB" w14:textId="77777777" w:rsidR="00CE1921" w:rsidRDefault="00CE1921" w:rsidP="00CE1921"/>
    <w:p w14:paraId="06229F83" w14:textId="77777777" w:rsidR="00CE1921" w:rsidRDefault="00CE1921" w:rsidP="00CE1921"/>
    <w:p w14:paraId="443A7322" w14:textId="77777777" w:rsidR="00CE1921" w:rsidRDefault="00CE1921" w:rsidP="00CE1921"/>
    <w:p w14:paraId="1EC97010" w14:textId="77777777" w:rsidR="00CE1921" w:rsidRDefault="00CE1921" w:rsidP="00CE1921"/>
    <w:p w14:paraId="249285FC" w14:textId="77777777" w:rsidR="00CE1921" w:rsidRDefault="00CE1921" w:rsidP="00CE1921"/>
    <w:p w14:paraId="18F4D818" w14:textId="77777777" w:rsidR="00CE1921" w:rsidRDefault="00CE1921" w:rsidP="00CE1921"/>
    <w:p w14:paraId="0BBB3752" w14:textId="77777777" w:rsidR="00C15E20" w:rsidRDefault="00C15E20" w:rsidP="00CE1921"/>
    <w:tbl>
      <w:tblPr>
        <w:tblStyle w:val="TableGrid"/>
        <w:tblW w:w="9918" w:type="dxa"/>
        <w:jc w:val="center"/>
        <w:tblLayout w:type="fixed"/>
        <w:tblLook w:val="04A0" w:firstRow="1" w:lastRow="0" w:firstColumn="1" w:lastColumn="0" w:noHBand="0" w:noVBand="1"/>
      </w:tblPr>
      <w:tblGrid>
        <w:gridCol w:w="1559"/>
        <w:gridCol w:w="2556"/>
        <w:gridCol w:w="2543"/>
        <w:gridCol w:w="3260"/>
      </w:tblGrid>
      <w:tr w:rsidR="00160042" w:rsidRPr="00160042" w14:paraId="2FEDFFFB" w14:textId="77777777" w:rsidTr="00160042">
        <w:trPr>
          <w:jc w:val="center"/>
        </w:trPr>
        <w:tc>
          <w:tcPr>
            <w:tcW w:w="1559" w:type="dxa"/>
            <w:shd w:val="clear" w:color="auto" w:fill="D9EAF7"/>
            <w:vAlign w:val="center"/>
          </w:tcPr>
          <w:p w14:paraId="182F7715" w14:textId="77777777" w:rsidR="00160042" w:rsidRPr="00160042" w:rsidRDefault="00160042" w:rsidP="0022635B">
            <w:pPr>
              <w:jc w:val="center"/>
              <w:rPr>
                <w:sz w:val="20"/>
                <w:szCs w:val="20"/>
              </w:rPr>
            </w:pPr>
            <w:r w:rsidRPr="00160042">
              <w:rPr>
                <w:b/>
                <w:sz w:val="20"/>
                <w:szCs w:val="20"/>
              </w:rPr>
              <w:t>Literature theme</w:t>
            </w:r>
          </w:p>
        </w:tc>
        <w:tc>
          <w:tcPr>
            <w:tcW w:w="2556" w:type="dxa"/>
            <w:shd w:val="clear" w:color="auto" w:fill="D9EAF7"/>
            <w:vAlign w:val="center"/>
          </w:tcPr>
          <w:p w14:paraId="6FF81719" w14:textId="77777777" w:rsidR="00160042" w:rsidRPr="00160042" w:rsidRDefault="00160042" w:rsidP="0022635B">
            <w:pPr>
              <w:jc w:val="center"/>
              <w:rPr>
                <w:sz w:val="20"/>
                <w:szCs w:val="20"/>
              </w:rPr>
            </w:pPr>
            <w:r w:rsidRPr="00160042">
              <w:rPr>
                <w:b/>
                <w:sz w:val="20"/>
                <w:szCs w:val="20"/>
              </w:rPr>
              <w:t>Literature synthesis</w:t>
            </w:r>
          </w:p>
        </w:tc>
        <w:tc>
          <w:tcPr>
            <w:tcW w:w="2543" w:type="dxa"/>
            <w:shd w:val="clear" w:color="auto" w:fill="D9EAF7"/>
            <w:vAlign w:val="center"/>
          </w:tcPr>
          <w:p w14:paraId="1B9B1C4F" w14:textId="77777777" w:rsidR="00160042" w:rsidRPr="00160042" w:rsidRDefault="00160042" w:rsidP="0022635B">
            <w:pPr>
              <w:jc w:val="center"/>
              <w:rPr>
                <w:sz w:val="20"/>
                <w:szCs w:val="20"/>
              </w:rPr>
            </w:pPr>
            <w:r w:rsidRPr="00160042">
              <w:rPr>
                <w:b/>
                <w:sz w:val="20"/>
                <w:szCs w:val="20"/>
              </w:rPr>
              <w:t>Key limitation/disagreement</w:t>
            </w:r>
          </w:p>
        </w:tc>
        <w:tc>
          <w:tcPr>
            <w:tcW w:w="3260" w:type="dxa"/>
            <w:shd w:val="clear" w:color="auto" w:fill="D9EAF7"/>
            <w:vAlign w:val="center"/>
          </w:tcPr>
          <w:p w14:paraId="2899D0DA" w14:textId="77777777" w:rsidR="00160042" w:rsidRPr="00160042" w:rsidRDefault="00160042" w:rsidP="0022635B">
            <w:pPr>
              <w:jc w:val="center"/>
              <w:rPr>
                <w:sz w:val="20"/>
                <w:szCs w:val="20"/>
              </w:rPr>
            </w:pPr>
            <w:r w:rsidRPr="00160042">
              <w:rPr>
                <w:b/>
                <w:sz w:val="20"/>
                <w:szCs w:val="20"/>
              </w:rPr>
              <w:t>Research gap</w:t>
            </w:r>
          </w:p>
        </w:tc>
      </w:tr>
      <w:tr w:rsidR="00160042" w:rsidRPr="00160042" w14:paraId="311699A1" w14:textId="77777777" w:rsidTr="00160042">
        <w:trPr>
          <w:jc w:val="center"/>
        </w:trPr>
        <w:tc>
          <w:tcPr>
            <w:tcW w:w="1559" w:type="dxa"/>
          </w:tcPr>
          <w:p w14:paraId="58821048" w14:textId="77777777" w:rsidR="00160042" w:rsidRPr="00160042" w:rsidRDefault="00160042" w:rsidP="0022635B">
            <w:pPr>
              <w:jc w:val="center"/>
              <w:rPr>
                <w:sz w:val="20"/>
                <w:szCs w:val="20"/>
              </w:rPr>
            </w:pPr>
            <w:r w:rsidRPr="00160042">
              <w:rPr>
                <w:sz w:val="20"/>
                <w:szCs w:val="20"/>
              </w:rPr>
              <w:t>AI implementation in HE</w:t>
            </w:r>
          </w:p>
        </w:tc>
        <w:tc>
          <w:tcPr>
            <w:tcW w:w="2556" w:type="dxa"/>
          </w:tcPr>
          <w:p w14:paraId="10B77AAB" w14:textId="77777777" w:rsidR="00160042" w:rsidRPr="00160042" w:rsidRDefault="00160042" w:rsidP="0022635B">
            <w:pPr>
              <w:jc w:val="center"/>
              <w:rPr>
                <w:sz w:val="20"/>
                <w:szCs w:val="20"/>
              </w:rPr>
            </w:pPr>
            <w:r w:rsidRPr="00160042">
              <w:rPr>
                <w:sz w:val="20"/>
                <w:szCs w:val="20"/>
              </w:rPr>
              <w:t>AI can support learning, administration and institutional decision-making.</w:t>
            </w:r>
          </w:p>
        </w:tc>
        <w:tc>
          <w:tcPr>
            <w:tcW w:w="2543" w:type="dxa"/>
          </w:tcPr>
          <w:p w14:paraId="69E9A3CC" w14:textId="77777777" w:rsidR="00160042" w:rsidRPr="00160042" w:rsidRDefault="00160042" w:rsidP="0022635B">
            <w:pPr>
              <w:jc w:val="center"/>
              <w:rPr>
                <w:sz w:val="20"/>
                <w:szCs w:val="20"/>
              </w:rPr>
            </w:pPr>
            <w:r w:rsidRPr="00160042">
              <w:rPr>
                <w:sz w:val="20"/>
                <w:szCs w:val="20"/>
              </w:rPr>
              <w:t>Evidence often emphasises technological capability, efficiency and perceived benefits.</w:t>
            </w:r>
          </w:p>
        </w:tc>
        <w:tc>
          <w:tcPr>
            <w:tcW w:w="3260" w:type="dxa"/>
          </w:tcPr>
          <w:p w14:paraId="433DB35C" w14:textId="77777777" w:rsidR="00160042" w:rsidRPr="00160042" w:rsidRDefault="00160042" w:rsidP="0022635B">
            <w:pPr>
              <w:jc w:val="center"/>
              <w:rPr>
                <w:sz w:val="20"/>
                <w:szCs w:val="20"/>
              </w:rPr>
            </w:pPr>
            <w:r w:rsidRPr="00160042">
              <w:rPr>
                <w:sz w:val="20"/>
                <w:szCs w:val="20"/>
              </w:rPr>
              <w:t>Limited evidence explaining how technological capability interacts with institutional governance maturity.</w:t>
            </w:r>
          </w:p>
        </w:tc>
      </w:tr>
      <w:tr w:rsidR="00160042" w:rsidRPr="00160042" w14:paraId="683CC3CD" w14:textId="77777777" w:rsidTr="00160042">
        <w:trPr>
          <w:jc w:val="center"/>
        </w:trPr>
        <w:tc>
          <w:tcPr>
            <w:tcW w:w="1559" w:type="dxa"/>
          </w:tcPr>
          <w:p w14:paraId="4B107AB9" w14:textId="77777777" w:rsidR="00160042" w:rsidRPr="00160042" w:rsidRDefault="00160042" w:rsidP="0022635B">
            <w:pPr>
              <w:jc w:val="center"/>
              <w:rPr>
                <w:sz w:val="20"/>
                <w:szCs w:val="20"/>
              </w:rPr>
            </w:pPr>
            <w:r w:rsidRPr="00160042">
              <w:rPr>
                <w:sz w:val="20"/>
                <w:szCs w:val="20"/>
              </w:rPr>
              <w:t>Ethical AI governance</w:t>
            </w:r>
          </w:p>
        </w:tc>
        <w:tc>
          <w:tcPr>
            <w:tcW w:w="2556" w:type="dxa"/>
          </w:tcPr>
          <w:p w14:paraId="5240DEC0" w14:textId="77777777" w:rsidR="00160042" w:rsidRPr="00160042" w:rsidRDefault="00160042" w:rsidP="0022635B">
            <w:pPr>
              <w:jc w:val="center"/>
              <w:rPr>
                <w:sz w:val="20"/>
                <w:szCs w:val="20"/>
              </w:rPr>
            </w:pPr>
            <w:r w:rsidRPr="00160042">
              <w:rPr>
                <w:sz w:val="20"/>
                <w:szCs w:val="20"/>
              </w:rPr>
              <w:t>Transparency, fairness, accountability and human oversight are recurring responsible-AI principles.</w:t>
            </w:r>
          </w:p>
        </w:tc>
        <w:tc>
          <w:tcPr>
            <w:tcW w:w="2543" w:type="dxa"/>
          </w:tcPr>
          <w:p w14:paraId="1DAE59E6" w14:textId="77777777" w:rsidR="00160042" w:rsidRPr="00160042" w:rsidRDefault="00160042" w:rsidP="0022635B">
            <w:pPr>
              <w:jc w:val="center"/>
              <w:rPr>
                <w:sz w:val="20"/>
                <w:szCs w:val="20"/>
              </w:rPr>
            </w:pPr>
            <w:r w:rsidRPr="00160042">
              <w:rPr>
                <w:sz w:val="20"/>
                <w:szCs w:val="20"/>
              </w:rPr>
              <w:t>Principles provide normative direction but often limited operational guidance for universities.</w:t>
            </w:r>
          </w:p>
        </w:tc>
        <w:tc>
          <w:tcPr>
            <w:tcW w:w="3260" w:type="dxa"/>
          </w:tcPr>
          <w:p w14:paraId="44BB807B" w14:textId="77777777" w:rsidR="00160042" w:rsidRPr="00160042" w:rsidRDefault="00160042" w:rsidP="0022635B">
            <w:pPr>
              <w:jc w:val="center"/>
              <w:rPr>
                <w:sz w:val="20"/>
                <w:szCs w:val="20"/>
              </w:rPr>
            </w:pPr>
            <w:r w:rsidRPr="00160042">
              <w:rPr>
                <w:sz w:val="20"/>
                <w:szCs w:val="20"/>
              </w:rPr>
              <w:t>Need for HE-specific mechanisms that translate ethical principles into institutional governance practice.</w:t>
            </w:r>
          </w:p>
        </w:tc>
      </w:tr>
      <w:tr w:rsidR="00160042" w:rsidRPr="00160042" w14:paraId="5D5A5DBC" w14:textId="77777777" w:rsidTr="00160042">
        <w:trPr>
          <w:jc w:val="center"/>
        </w:trPr>
        <w:tc>
          <w:tcPr>
            <w:tcW w:w="1559" w:type="dxa"/>
          </w:tcPr>
          <w:p w14:paraId="7E30767F" w14:textId="77777777" w:rsidR="00160042" w:rsidRPr="00160042" w:rsidRDefault="00160042" w:rsidP="0022635B">
            <w:pPr>
              <w:jc w:val="center"/>
              <w:rPr>
                <w:sz w:val="20"/>
                <w:szCs w:val="20"/>
              </w:rPr>
            </w:pPr>
            <w:r w:rsidRPr="00160042">
              <w:rPr>
                <w:sz w:val="20"/>
                <w:szCs w:val="20"/>
              </w:rPr>
              <w:t>Strategic governance and leadership</w:t>
            </w:r>
          </w:p>
        </w:tc>
        <w:tc>
          <w:tcPr>
            <w:tcW w:w="2556" w:type="dxa"/>
          </w:tcPr>
          <w:p w14:paraId="243EDCFA" w14:textId="77777777" w:rsidR="00160042" w:rsidRPr="00160042" w:rsidRDefault="00160042" w:rsidP="0022635B">
            <w:pPr>
              <w:jc w:val="center"/>
              <w:rPr>
                <w:sz w:val="20"/>
                <w:szCs w:val="20"/>
              </w:rPr>
            </w:pPr>
            <w:r w:rsidRPr="00160042">
              <w:rPr>
                <w:sz w:val="20"/>
                <w:szCs w:val="20"/>
              </w:rPr>
              <w:t>Leadership, governance capability and organisational alignment influence responsible AI adoption.</w:t>
            </w:r>
          </w:p>
        </w:tc>
        <w:tc>
          <w:tcPr>
            <w:tcW w:w="2543" w:type="dxa"/>
          </w:tcPr>
          <w:p w14:paraId="1AB01998" w14:textId="77777777" w:rsidR="00160042" w:rsidRPr="00160042" w:rsidRDefault="00160042" w:rsidP="0022635B">
            <w:pPr>
              <w:jc w:val="center"/>
              <w:rPr>
                <w:sz w:val="20"/>
                <w:szCs w:val="20"/>
              </w:rPr>
            </w:pPr>
            <w:r w:rsidRPr="00160042">
              <w:rPr>
                <w:sz w:val="20"/>
                <w:szCs w:val="20"/>
              </w:rPr>
              <w:t>Governance is frequently treated as compliance rather than integrated with institutional strategy.</w:t>
            </w:r>
          </w:p>
        </w:tc>
        <w:tc>
          <w:tcPr>
            <w:tcW w:w="3260" w:type="dxa"/>
          </w:tcPr>
          <w:p w14:paraId="70D2AD97" w14:textId="77777777" w:rsidR="00160042" w:rsidRPr="00160042" w:rsidRDefault="00160042" w:rsidP="0022635B">
            <w:pPr>
              <w:jc w:val="center"/>
              <w:rPr>
                <w:sz w:val="20"/>
                <w:szCs w:val="20"/>
              </w:rPr>
            </w:pPr>
            <w:r w:rsidRPr="00160042">
              <w:rPr>
                <w:sz w:val="20"/>
                <w:szCs w:val="20"/>
              </w:rPr>
              <w:t>Insufficient integration of AI governance with strategic leadership and university decision-making.</w:t>
            </w:r>
          </w:p>
        </w:tc>
      </w:tr>
      <w:tr w:rsidR="00160042" w:rsidRPr="00160042" w14:paraId="2098E580" w14:textId="77777777" w:rsidTr="00160042">
        <w:trPr>
          <w:jc w:val="center"/>
        </w:trPr>
        <w:tc>
          <w:tcPr>
            <w:tcW w:w="1559" w:type="dxa"/>
          </w:tcPr>
          <w:p w14:paraId="6ECAD414" w14:textId="77777777" w:rsidR="00160042" w:rsidRPr="00160042" w:rsidRDefault="00160042" w:rsidP="0022635B">
            <w:pPr>
              <w:jc w:val="center"/>
              <w:rPr>
                <w:sz w:val="20"/>
                <w:szCs w:val="20"/>
              </w:rPr>
            </w:pPr>
            <w:r w:rsidRPr="00160042">
              <w:rPr>
                <w:sz w:val="20"/>
                <w:szCs w:val="20"/>
              </w:rPr>
              <w:t>Methodological and philosophical gaps</w:t>
            </w:r>
          </w:p>
        </w:tc>
        <w:tc>
          <w:tcPr>
            <w:tcW w:w="2556" w:type="dxa"/>
          </w:tcPr>
          <w:p w14:paraId="7636FAD9" w14:textId="77777777" w:rsidR="00160042" w:rsidRPr="00160042" w:rsidRDefault="00160042" w:rsidP="0022635B">
            <w:pPr>
              <w:jc w:val="center"/>
              <w:rPr>
                <w:sz w:val="20"/>
                <w:szCs w:val="20"/>
              </w:rPr>
            </w:pPr>
            <w:r w:rsidRPr="00160042">
              <w:rPr>
                <w:sz w:val="20"/>
                <w:szCs w:val="20"/>
              </w:rPr>
              <w:t>Quantitative and qualitative approaches provide complementary insights into AI adoption.</w:t>
            </w:r>
          </w:p>
        </w:tc>
        <w:tc>
          <w:tcPr>
            <w:tcW w:w="2543" w:type="dxa"/>
          </w:tcPr>
          <w:p w14:paraId="36425324" w14:textId="3E2DDA59" w:rsidR="00160042" w:rsidRPr="00160042" w:rsidRDefault="00160042" w:rsidP="0022635B">
            <w:pPr>
              <w:jc w:val="center"/>
              <w:rPr>
                <w:sz w:val="20"/>
                <w:szCs w:val="20"/>
              </w:rPr>
            </w:pPr>
            <w:r w:rsidRPr="00160042">
              <w:rPr>
                <w:sz w:val="20"/>
                <w:szCs w:val="20"/>
              </w:rPr>
              <w:t>Positivist and interpretivist evidence remains fragmented</w:t>
            </w:r>
            <w:r w:rsidR="000C56A1">
              <w:rPr>
                <w:sz w:val="20"/>
                <w:szCs w:val="20"/>
              </w:rPr>
              <w:t>.</w:t>
            </w:r>
          </w:p>
        </w:tc>
        <w:tc>
          <w:tcPr>
            <w:tcW w:w="3260" w:type="dxa"/>
          </w:tcPr>
          <w:p w14:paraId="297C4CBE" w14:textId="1910BC68" w:rsidR="00160042" w:rsidRPr="00160042" w:rsidRDefault="002C6068" w:rsidP="0022635B">
            <w:pPr>
              <w:jc w:val="center"/>
              <w:rPr>
                <w:sz w:val="20"/>
                <w:szCs w:val="20"/>
              </w:rPr>
            </w:pPr>
            <w:r>
              <w:rPr>
                <w:sz w:val="20"/>
                <w:szCs w:val="20"/>
              </w:rPr>
              <w:t>An explanatory approach is needed to connect structures, institutional context,</w:t>
            </w:r>
            <w:r w:rsidR="00160042" w:rsidRPr="00160042">
              <w:rPr>
                <w:sz w:val="20"/>
                <w:szCs w:val="20"/>
              </w:rPr>
              <w:t xml:space="preserve"> and stakeholder interpretation.</w:t>
            </w:r>
          </w:p>
        </w:tc>
      </w:tr>
    </w:tbl>
    <w:p w14:paraId="499ACC90" w14:textId="77777777" w:rsidR="00D51867" w:rsidRDefault="00D51867" w:rsidP="0028222D">
      <w:pPr>
        <w:pStyle w:val="Caption"/>
        <w:jc w:val="center"/>
      </w:pPr>
    </w:p>
    <w:p w14:paraId="501BEA5A" w14:textId="77777777" w:rsidR="00316680" w:rsidRPr="00316680" w:rsidRDefault="001358B1" w:rsidP="0028222D">
      <w:pPr>
        <w:pStyle w:val="Caption"/>
        <w:jc w:val="center"/>
        <w:rPr>
          <w:sz w:val="20"/>
          <w:szCs w:val="20"/>
        </w:rPr>
      </w:pPr>
      <w:r w:rsidRPr="00316680">
        <w:rPr>
          <w:sz w:val="20"/>
          <w:szCs w:val="20"/>
        </w:rPr>
        <w:t xml:space="preserve">Table </w:t>
      </w:r>
      <w:r w:rsidR="00316680" w:rsidRPr="00316680">
        <w:rPr>
          <w:sz w:val="20"/>
          <w:szCs w:val="20"/>
        </w:rPr>
        <w:t xml:space="preserve">A2: Synthesis of key literature themes and research gaps </w:t>
      </w:r>
    </w:p>
    <w:p w14:paraId="4055AFB0" w14:textId="4A2FAFB8" w:rsidR="0028222D" w:rsidRPr="00316680" w:rsidRDefault="0028222D" w:rsidP="0028222D">
      <w:pPr>
        <w:pStyle w:val="Caption"/>
        <w:jc w:val="center"/>
        <w:rPr>
          <w:sz w:val="20"/>
          <w:szCs w:val="20"/>
        </w:rPr>
      </w:pPr>
      <w:r w:rsidRPr="00316680">
        <w:rPr>
          <w:sz w:val="20"/>
          <w:szCs w:val="20"/>
        </w:rPr>
        <w:t>Source: Author's own development, informed by Mehrabi et al. (2021) and Papagiannidis</w:t>
      </w:r>
      <w:r w:rsidR="00316680">
        <w:rPr>
          <w:sz w:val="20"/>
          <w:szCs w:val="20"/>
        </w:rPr>
        <w:t xml:space="preserve"> et al. </w:t>
      </w:r>
      <w:r w:rsidRPr="00316680">
        <w:rPr>
          <w:sz w:val="20"/>
          <w:szCs w:val="20"/>
        </w:rPr>
        <w:t>(2025).</w:t>
      </w:r>
    </w:p>
    <w:p w14:paraId="21F59BFC" w14:textId="77777777" w:rsidR="00C15E20" w:rsidRDefault="00C15E20" w:rsidP="00CE1921"/>
    <w:p w14:paraId="2099D495" w14:textId="77777777" w:rsidR="00C15E20" w:rsidRDefault="00C15E20" w:rsidP="00CE1921"/>
    <w:p w14:paraId="008C26FA" w14:textId="77777777" w:rsidR="00C15E20" w:rsidRDefault="00C15E20" w:rsidP="00CE1921"/>
    <w:p w14:paraId="2CAE43EA" w14:textId="77777777" w:rsidR="00C15E20" w:rsidRDefault="00C15E20" w:rsidP="00CE1921"/>
    <w:p w14:paraId="521ADDC0" w14:textId="77777777" w:rsidR="00C15E20" w:rsidRDefault="00C15E20" w:rsidP="00CE1921"/>
    <w:p w14:paraId="546EFDD3" w14:textId="77777777" w:rsidR="00C15E20" w:rsidRDefault="00C15E20" w:rsidP="00CE1921"/>
    <w:p w14:paraId="12CB7309" w14:textId="77777777" w:rsidR="00C15E20" w:rsidRPr="00CE1921" w:rsidRDefault="00C15E20" w:rsidP="00CE1921"/>
    <w:p w14:paraId="4813BA40" w14:textId="116F1011" w:rsidR="00DE6FB6" w:rsidRDefault="00A705A1" w:rsidP="00E1795C">
      <w:pPr>
        <w:pStyle w:val="Heading1"/>
      </w:pPr>
      <w:bookmarkStart w:id="480" w:name="_Toc237383491"/>
      <w:bookmarkStart w:id="481" w:name="_Toc237384326"/>
      <w:bookmarkStart w:id="482" w:name="_Toc237385046"/>
      <w:bookmarkStart w:id="483" w:name="_Toc237445068"/>
      <w:r>
        <w:lastRenderedPageBreak/>
        <w:t>Appendix B</w:t>
      </w:r>
      <w:bookmarkEnd w:id="480"/>
      <w:bookmarkEnd w:id="481"/>
      <w:bookmarkEnd w:id="482"/>
      <w:bookmarkEnd w:id="483"/>
    </w:p>
    <w:p w14:paraId="5B11ED1A" w14:textId="6B26EE77" w:rsidR="0067777E" w:rsidRPr="0067777E" w:rsidRDefault="0067777E" w:rsidP="00596C50">
      <w:pPr>
        <w:pStyle w:val="Heading2"/>
      </w:pPr>
    </w:p>
    <w:tbl>
      <w:tblPr>
        <w:tblStyle w:val="GridTable6ColourfulAccent4"/>
        <w:tblW w:w="0" w:type="auto"/>
        <w:tblLook w:val="04A0" w:firstRow="1" w:lastRow="0" w:firstColumn="1" w:lastColumn="0" w:noHBand="0" w:noVBand="1"/>
      </w:tblPr>
      <w:tblGrid>
        <w:gridCol w:w="2405"/>
        <w:gridCol w:w="2552"/>
        <w:gridCol w:w="4059"/>
      </w:tblGrid>
      <w:tr w:rsidR="00E1795C" w:rsidRPr="00F45B0B" w14:paraId="24908C6C" w14:textId="77777777" w:rsidTr="00C61B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04F4578" w14:textId="77777777" w:rsidR="00E1795C" w:rsidRPr="00E1795C" w:rsidRDefault="00E1795C" w:rsidP="00C61BEE">
            <w:pPr>
              <w:pStyle w:val="Heading1"/>
              <w:jc w:val="center"/>
              <w:rPr>
                <w:rFonts w:asciiTheme="minorHAnsi" w:eastAsiaTheme="minorHAnsi" w:hAnsiTheme="minorHAnsi" w:cstheme="minorHAnsi"/>
                <w:color w:val="000000" w:themeColor="text1"/>
                <w:sz w:val="24"/>
                <w:szCs w:val="24"/>
              </w:rPr>
            </w:pPr>
            <w:bookmarkStart w:id="484" w:name="_Toc237383493"/>
            <w:bookmarkStart w:id="485" w:name="_Toc237384328"/>
            <w:bookmarkStart w:id="486" w:name="_Toc237385048"/>
            <w:bookmarkStart w:id="487" w:name="_Toc237445070"/>
            <w:r w:rsidRPr="00E1795C">
              <w:rPr>
                <w:rFonts w:asciiTheme="minorHAnsi" w:eastAsiaTheme="minorHAnsi" w:hAnsiTheme="minorHAnsi" w:cstheme="minorHAnsi"/>
                <w:color w:val="000000" w:themeColor="text1"/>
                <w:sz w:val="24"/>
                <w:szCs w:val="24"/>
              </w:rPr>
              <w:t>Philosophical component</w:t>
            </w:r>
            <w:bookmarkEnd w:id="484"/>
            <w:bookmarkEnd w:id="485"/>
            <w:bookmarkEnd w:id="486"/>
            <w:bookmarkEnd w:id="487"/>
            <w:r w:rsidRPr="00E1795C">
              <w:rPr>
                <w:rFonts w:asciiTheme="minorHAnsi" w:eastAsiaTheme="minorHAnsi" w:hAnsiTheme="minorHAnsi" w:cstheme="minorHAnsi"/>
                <w:color w:val="000000" w:themeColor="text1"/>
                <w:sz w:val="24"/>
                <w:szCs w:val="24"/>
              </w:rPr>
              <w:t xml:space="preserve"> </w:t>
            </w:r>
          </w:p>
        </w:tc>
        <w:tc>
          <w:tcPr>
            <w:tcW w:w="2552" w:type="dxa"/>
          </w:tcPr>
          <w:p w14:paraId="3C28EDB4" w14:textId="77777777" w:rsidR="00E1795C" w:rsidRPr="00E1795C" w:rsidRDefault="00E1795C" w:rsidP="00C61BEE">
            <w:pPr>
              <w:pStyle w:val="Heading1"/>
              <w:jc w:val="center"/>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themeColor="text1"/>
                <w:sz w:val="24"/>
                <w:szCs w:val="24"/>
              </w:rPr>
            </w:pPr>
            <w:bookmarkStart w:id="488" w:name="_Toc237383494"/>
            <w:bookmarkStart w:id="489" w:name="_Toc237384329"/>
            <w:bookmarkStart w:id="490" w:name="_Toc237385049"/>
            <w:bookmarkStart w:id="491" w:name="_Toc237445071"/>
            <w:r w:rsidRPr="00E1795C">
              <w:rPr>
                <w:rFonts w:asciiTheme="minorHAnsi" w:eastAsiaTheme="minorHAnsi" w:hAnsiTheme="minorHAnsi" w:cstheme="minorHAnsi"/>
                <w:color w:val="000000" w:themeColor="text1"/>
                <w:sz w:val="24"/>
                <w:szCs w:val="24"/>
              </w:rPr>
              <w:t>Position in this research</w:t>
            </w:r>
            <w:bookmarkEnd w:id="488"/>
            <w:bookmarkEnd w:id="489"/>
            <w:bookmarkEnd w:id="490"/>
            <w:bookmarkEnd w:id="491"/>
            <w:r w:rsidRPr="00E1795C">
              <w:rPr>
                <w:rFonts w:asciiTheme="minorHAnsi" w:eastAsiaTheme="minorHAnsi" w:hAnsiTheme="minorHAnsi" w:cstheme="minorHAnsi"/>
                <w:color w:val="000000" w:themeColor="text1"/>
                <w:sz w:val="24"/>
                <w:szCs w:val="24"/>
              </w:rPr>
              <w:t xml:space="preserve"> </w:t>
            </w:r>
          </w:p>
        </w:tc>
        <w:tc>
          <w:tcPr>
            <w:tcW w:w="4059" w:type="dxa"/>
          </w:tcPr>
          <w:p w14:paraId="0933D575" w14:textId="77777777" w:rsidR="00E1795C" w:rsidRPr="00E1795C" w:rsidRDefault="00E1795C" w:rsidP="00C61BEE">
            <w:pPr>
              <w:pStyle w:val="Heading1"/>
              <w:jc w:val="center"/>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themeColor="text1"/>
                <w:sz w:val="24"/>
                <w:szCs w:val="24"/>
              </w:rPr>
            </w:pPr>
            <w:bookmarkStart w:id="492" w:name="_Toc237383495"/>
            <w:bookmarkStart w:id="493" w:name="_Toc237384330"/>
            <w:bookmarkStart w:id="494" w:name="_Toc237385050"/>
            <w:bookmarkStart w:id="495" w:name="_Toc237445072"/>
            <w:r w:rsidRPr="00E1795C">
              <w:rPr>
                <w:rFonts w:asciiTheme="minorHAnsi" w:eastAsiaTheme="minorHAnsi" w:hAnsiTheme="minorHAnsi" w:cstheme="minorHAnsi"/>
                <w:color w:val="000000" w:themeColor="text1"/>
                <w:sz w:val="24"/>
                <w:szCs w:val="24"/>
              </w:rPr>
              <w:t>Why is it appropriate</w:t>
            </w:r>
            <w:bookmarkEnd w:id="492"/>
            <w:bookmarkEnd w:id="493"/>
            <w:bookmarkEnd w:id="494"/>
            <w:bookmarkEnd w:id="495"/>
          </w:p>
        </w:tc>
      </w:tr>
      <w:tr w:rsidR="00E1795C" w14:paraId="15938812"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867D76F" w14:textId="77777777" w:rsidR="00E1795C" w:rsidRPr="00E1795C" w:rsidRDefault="00E1795C" w:rsidP="00E1795C">
            <w:pPr>
              <w:pStyle w:val="Heading1"/>
              <w:rPr>
                <w:rFonts w:asciiTheme="minorHAnsi" w:hAnsiTheme="minorHAnsi" w:cstheme="minorHAnsi"/>
                <w:b w:val="0"/>
                <w:bCs w:val="0"/>
                <w:color w:val="000000" w:themeColor="text1"/>
                <w:sz w:val="24"/>
                <w:szCs w:val="24"/>
              </w:rPr>
            </w:pPr>
            <w:bookmarkStart w:id="496" w:name="_Toc237383496"/>
            <w:bookmarkStart w:id="497" w:name="_Toc237384331"/>
            <w:bookmarkStart w:id="498" w:name="_Toc237385051"/>
            <w:bookmarkStart w:id="499" w:name="_Toc237445073"/>
            <w:r w:rsidRPr="00E1795C">
              <w:rPr>
                <w:rFonts w:asciiTheme="minorHAnsi" w:hAnsiTheme="minorHAnsi" w:cstheme="minorHAnsi"/>
                <w:b w:val="0"/>
                <w:bCs w:val="0"/>
                <w:color w:val="000000" w:themeColor="text1"/>
                <w:sz w:val="24"/>
                <w:szCs w:val="24"/>
              </w:rPr>
              <w:t>Research philosophy (paradigm)</w:t>
            </w:r>
            <w:bookmarkEnd w:id="496"/>
            <w:bookmarkEnd w:id="497"/>
            <w:bookmarkEnd w:id="498"/>
            <w:bookmarkEnd w:id="499"/>
          </w:p>
        </w:tc>
        <w:tc>
          <w:tcPr>
            <w:tcW w:w="2552" w:type="dxa"/>
          </w:tcPr>
          <w:p w14:paraId="22C0B31D"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Critical realism</w:t>
            </w:r>
          </w:p>
        </w:tc>
        <w:tc>
          <w:tcPr>
            <w:tcW w:w="4059" w:type="dxa"/>
          </w:tcPr>
          <w:p w14:paraId="55A427B1"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AI governance is treated as a real organisational phenomenon whose effects depend on institutional structures, mechanisms, context and human agency.</w:t>
            </w:r>
          </w:p>
        </w:tc>
      </w:tr>
      <w:tr w:rsidR="00E1795C" w14:paraId="6181E4F5" w14:textId="77777777" w:rsidTr="00C61BEE">
        <w:tc>
          <w:tcPr>
            <w:cnfStyle w:val="001000000000" w:firstRow="0" w:lastRow="0" w:firstColumn="1" w:lastColumn="0" w:oddVBand="0" w:evenVBand="0" w:oddHBand="0" w:evenHBand="0" w:firstRowFirstColumn="0" w:firstRowLastColumn="0" w:lastRowFirstColumn="0" w:lastRowLastColumn="0"/>
            <w:tcW w:w="2405" w:type="dxa"/>
          </w:tcPr>
          <w:p w14:paraId="57D7DB0D" w14:textId="77777777" w:rsidR="00E1795C" w:rsidRPr="00E1795C" w:rsidRDefault="00E1795C" w:rsidP="00E1795C">
            <w:pPr>
              <w:pStyle w:val="Heading1"/>
              <w:rPr>
                <w:rFonts w:asciiTheme="minorHAnsi" w:hAnsiTheme="minorHAnsi" w:cstheme="minorHAnsi"/>
                <w:b w:val="0"/>
                <w:bCs w:val="0"/>
                <w:color w:val="000000" w:themeColor="text1"/>
                <w:sz w:val="24"/>
                <w:szCs w:val="24"/>
              </w:rPr>
            </w:pPr>
            <w:bookmarkStart w:id="500" w:name="_Toc237383497"/>
            <w:bookmarkStart w:id="501" w:name="_Toc237384332"/>
            <w:bookmarkStart w:id="502" w:name="_Toc237385052"/>
            <w:bookmarkStart w:id="503" w:name="_Toc237445074"/>
            <w:r w:rsidRPr="00E1795C">
              <w:rPr>
                <w:rFonts w:asciiTheme="minorHAnsi" w:hAnsiTheme="minorHAnsi" w:cstheme="minorHAnsi"/>
                <w:b w:val="0"/>
                <w:bCs w:val="0"/>
                <w:color w:val="000000" w:themeColor="text1"/>
                <w:sz w:val="24"/>
                <w:szCs w:val="24"/>
              </w:rPr>
              <w:t>Ontology</w:t>
            </w:r>
            <w:bookmarkEnd w:id="500"/>
            <w:bookmarkEnd w:id="501"/>
            <w:bookmarkEnd w:id="502"/>
            <w:bookmarkEnd w:id="503"/>
            <w:r w:rsidRPr="00E1795C">
              <w:rPr>
                <w:rFonts w:asciiTheme="minorHAnsi" w:hAnsiTheme="minorHAnsi" w:cstheme="minorHAnsi"/>
                <w:b w:val="0"/>
                <w:bCs w:val="0"/>
                <w:color w:val="000000" w:themeColor="text1"/>
                <w:sz w:val="24"/>
                <w:szCs w:val="24"/>
              </w:rPr>
              <w:t xml:space="preserve"> </w:t>
            </w:r>
          </w:p>
        </w:tc>
        <w:tc>
          <w:tcPr>
            <w:tcW w:w="2552" w:type="dxa"/>
          </w:tcPr>
          <w:p w14:paraId="0EFB6AA0" w14:textId="77777777" w:rsidR="00E1795C" w:rsidRPr="00E1795C" w:rsidRDefault="00E1795C" w:rsidP="00E1795C">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1795C">
              <w:rPr>
                <w:color w:val="000000" w:themeColor="text1"/>
                <w:sz w:val="24"/>
                <w:szCs w:val="24"/>
              </w:rPr>
              <w:t>Realist ontology (critical realist)</w:t>
            </w:r>
          </w:p>
        </w:tc>
        <w:tc>
          <w:tcPr>
            <w:tcW w:w="4059" w:type="dxa"/>
          </w:tcPr>
          <w:p w14:paraId="5E363AFD" w14:textId="77777777" w:rsidR="00E1795C" w:rsidRPr="00E1795C" w:rsidRDefault="00E1795C" w:rsidP="00E1795C">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1795C">
              <w:rPr>
                <w:color w:val="000000" w:themeColor="text1"/>
                <w:sz w:val="24"/>
                <w:szCs w:val="24"/>
              </w:rPr>
              <w:t>Organisational structures and mechanisms exist independently of any single participant, while their effects are contingent and may not be directly observable.</w:t>
            </w:r>
          </w:p>
        </w:tc>
      </w:tr>
      <w:tr w:rsidR="00E1795C" w14:paraId="51DED86E"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F397E2B" w14:textId="77777777" w:rsidR="00E1795C" w:rsidRPr="00E1795C" w:rsidRDefault="00E1795C" w:rsidP="00E1795C">
            <w:pPr>
              <w:pStyle w:val="Heading1"/>
              <w:rPr>
                <w:rFonts w:asciiTheme="minorHAnsi" w:hAnsiTheme="minorHAnsi" w:cstheme="minorHAnsi"/>
                <w:b w:val="0"/>
                <w:bCs w:val="0"/>
                <w:color w:val="000000" w:themeColor="text1"/>
                <w:sz w:val="24"/>
                <w:szCs w:val="24"/>
              </w:rPr>
            </w:pPr>
            <w:bookmarkStart w:id="504" w:name="_Toc237383498"/>
            <w:bookmarkStart w:id="505" w:name="_Toc237384333"/>
            <w:bookmarkStart w:id="506" w:name="_Toc237385053"/>
            <w:bookmarkStart w:id="507" w:name="_Toc237445075"/>
            <w:r w:rsidRPr="00E1795C">
              <w:rPr>
                <w:rFonts w:asciiTheme="minorHAnsi" w:hAnsiTheme="minorHAnsi" w:cstheme="minorHAnsi"/>
                <w:b w:val="0"/>
                <w:bCs w:val="0"/>
                <w:color w:val="000000" w:themeColor="text1"/>
                <w:sz w:val="24"/>
                <w:szCs w:val="24"/>
              </w:rPr>
              <w:t>Epistemology</w:t>
            </w:r>
            <w:bookmarkEnd w:id="504"/>
            <w:bookmarkEnd w:id="505"/>
            <w:bookmarkEnd w:id="506"/>
            <w:bookmarkEnd w:id="507"/>
          </w:p>
        </w:tc>
        <w:tc>
          <w:tcPr>
            <w:tcW w:w="2552" w:type="dxa"/>
          </w:tcPr>
          <w:p w14:paraId="6BAA186D"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Interpretive epistemological orientation within critical realism</w:t>
            </w:r>
          </w:p>
        </w:tc>
        <w:tc>
          <w:tcPr>
            <w:tcW w:w="4059" w:type="dxa"/>
          </w:tcPr>
          <w:p w14:paraId="77780182"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Knowledge is treated as fallible and situated. Stakeholder accounts are used to interpret how governance mechanisms are experienced while analysis seeks deeper explanatory mechanisms.</w:t>
            </w:r>
          </w:p>
        </w:tc>
      </w:tr>
      <w:tr w:rsidR="00E1795C" w14:paraId="38695273" w14:textId="77777777" w:rsidTr="00C61BEE">
        <w:tc>
          <w:tcPr>
            <w:cnfStyle w:val="001000000000" w:firstRow="0" w:lastRow="0" w:firstColumn="1" w:lastColumn="0" w:oddVBand="0" w:evenVBand="0" w:oddHBand="0" w:evenHBand="0" w:firstRowFirstColumn="0" w:firstRowLastColumn="0" w:lastRowFirstColumn="0" w:lastRowLastColumn="0"/>
            <w:tcW w:w="2405" w:type="dxa"/>
          </w:tcPr>
          <w:p w14:paraId="6D21C5B5" w14:textId="77777777" w:rsidR="00E1795C" w:rsidRPr="00E1795C" w:rsidRDefault="00E1795C" w:rsidP="00E1795C">
            <w:pPr>
              <w:pStyle w:val="Heading1"/>
              <w:rPr>
                <w:rFonts w:asciiTheme="minorHAnsi" w:hAnsiTheme="minorHAnsi" w:cstheme="minorHAnsi"/>
                <w:b w:val="0"/>
                <w:bCs w:val="0"/>
                <w:color w:val="000000" w:themeColor="text1"/>
                <w:sz w:val="24"/>
                <w:szCs w:val="24"/>
              </w:rPr>
            </w:pPr>
            <w:bookmarkStart w:id="508" w:name="_Toc237383499"/>
            <w:bookmarkStart w:id="509" w:name="_Toc237384334"/>
            <w:bookmarkStart w:id="510" w:name="_Toc237385054"/>
            <w:bookmarkStart w:id="511" w:name="_Toc237445076"/>
            <w:r w:rsidRPr="00E1795C">
              <w:rPr>
                <w:rFonts w:asciiTheme="minorHAnsi" w:hAnsiTheme="minorHAnsi" w:cstheme="minorHAnsi"/>
                <w:b w:val="0"/>
                <w:bCs w:val="0"/>
                <w:color w:val="000000" w:themeColor="text1"/>
                <w:sz w:val="24"/>
                <w:szCs w:val="24"/>
              </w:rPr>
              <w:t>Axiology</w:t>
            </w:r>
            <w:bookmarkEnd w:id="508"/>
            <w:bookmarkEnd w:id="509"/>
            <w:bookmarkEnd w:id="510"/>
            <w:bookmarkEnd w:id="511"/>
            <w:r w:rsidRPr="00E1795C">
              <w:rPr>
                <w:rFonts w:asciiTheme="minorHAnsi" w:hAnsiTheme="minorHAnsi" w:cstheme="minorHAnsi"/>
                <w:b w:val="0"/>
                <w:bCs w:val="0"/>
                <w:color w:val="000000" w:themeColor="text1"/>
                <w:sz w:val="24"/>
                <w:szCs w:val="24"/>
              </w:rPr>
              <w:t xml:space="preserve"> </w:t>
            </w:r>
          </w:p>
        </w:tc>
        <w:tc>
          <w:tcPr>
            <w:tcW w:w="2552" w:type="dxa"/>
          </w:tcPr>
          <w:p w14:paraId="43AA911D" w14:textId="77777777" w:rsidR="00E1795C" w:rsidRPr="00E1795C" w:rsidRDefault="00E1795C" w:rsidP="00E1795C">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1795C">
              <w:rPr>
                <w:color w:val="000000" w:themeColor="text1"/>
                <w:sz w:val="24"/>
                <w:szCs w:val="24"/>
              </w:rPr>
              <w:t>Reflexive and value-aware</w:t>
            </w:r>
          </w:p>
        </w:tc>
        <w:tc>
          <w:tcPr>
            <w:tcW w:w="4059" w:type="dxa"/>
          </w:tcPr>
          <w:p w14:paraId="018DCFCB" w14:textId="77777777" w:rsidR="00E1795C" w:rsidRPr="00E1795C" w:rsidRDefault="00E1795C" w:rsidP="00E1795C">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1795C">
              <w:rPr>
                <w:color w:val="000000" w:themeColor="text1"/>
                <w:sz w:val="24"/>
                <w:szCs w:val="24"/>
              </w:rPr>
              <w:t>The researcher acknowledges that complete neutrality is unattainable in qualitative organisational research and maintains reflexivity throughout the study.</w:t>
            </w:r>
          </w:p>
        </w:tc>
      </w:tr>
      <w:tr w:rsidR="00E1795C" w14:paraId="45FD2D9D"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B8CC5FE" w14:textId="77777777" w:rsidR="00E1795C" w:rsidRPr="00E1795C" w:rsidRDefault="00E1795C" w:rsidP="00E1795C">
            <w:pPr>
              <w:pStyle w:val="Heading1"/>
              <w:rPr>
                <w:rFonts w:asciiTheme="minorHAnsi" w:hAnsiTheme="minorHAnsi" w:cstheme="minorHAnsi"/>
                <w:b w:val="0"/>
                <w:bCs w:val="0"/>
                <w:color w:val="000000" w:themeColor="text1"/>
                <w:sz w:val="24"/>
                <w:szCs w:val="24"/>
              </w:rPr>
            </w:pPr>
            <w:bookmarkStart w:id="512" w:name="_Toc237383500"/>
            <w:bookmarkStart w:id="513" w:name="_Toc237384335"/>
            <w:bookmarkStart w:id="514" w:name="_Toc237385055"/>
            <w:bookmarkStart w:id="515" w:name="_Toc237445077"/>
            <w:r w:rsidRPr="00E1795C">
              <w:rPr>
                <w:rFonts w:asciiTheme="minorHAnsi" w:hAnsiTheme="minorHAnsi" w:cstheme="minorHAnsi"/>
                <w:b w:val="0"/>
                <w:bCs w:val="0"/>
                <w:color w:val="000000" w:themeColor="text1"/>
                <w:sz w:val="24"/>
                <w:szCs w:val="24"/>
              </w:rPr>
              <w:t>Methodology</w:t>
            </w:r>
            <w:bookmarkEnd w:id="512"/>
            <w:bookmarkEnd w:id="513"/>
            <w:bookmarkEnd w:id="514"/>
            <w:bookmarkEnd w:id="515"/>
            <w:r w:rsidRPr="00E1795C">
              <w:rPr>
                <w:rFonts w:asciiTheme="minorHAnsi" w:hAnsiTheme="minorHAnsi" w:cstheme="minorHAnsi"/>
                <w:b w:val="0"/>
                <w:bCs w:val="0"/>
                <w:color w:val="000000" w:themeColor="text1"/>
                <w:sz w:val="24"/>
                <w:szCs w:val="24"/>
              </w:rPr>
              <w:t xml:space="preserve"> </w:t>
            </w:r>
          </w:p>
        </w:tc>
        <w:tc>
          <w:tcPr>
            <w:tcW w:w="2552" w:type="dxa"/>
          </w:tcPr>
          <w:p w14:paraId="229479C4"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Qualitative multiple-case study</w:t>
            </w:r>
          </w:p>
        </w:tc>
        <w:tc>
          <w:tcPr>
            <w:tcW w:w="4059" w:type="dxa"/>
          </w:tcPr>
          <w:p w14:paraId="35101B89" w14:textId="77777777" w:rsidR="00E1795C" w:rsidRPr="00E1795C" w:rsidRDefault="00E1795C" w:rsidP="00E1795C">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1795C">
              <w:rPr>
                <w:color w:val="000000" w:themeColor="text1"/>
                <w:sz w:val="24"/>
                <w:szCs w:val="24"/>
              </w:rPr>
              <w:t>Enables in-depth comparison of governance practices, institutional context and stakeholder perspectives across several English public universities.</w:t>
            </w:r>
          </w:p>
        </w:tc>
      </w:tr>
    </w:tbl>
    <w:p w14:paraId="10A3614E" w14:textId="77777777" w:rsidR="00DC7CEA" w:rsidRPr="00E575E0" w:rsidRDefault="00DC7CEA" w:rsidP="00C27C1A">
      <w:pPr>
        <w:pStyle w:val="Caption"/>
        <w:jc w:val="center"/>
        <w:rPr>
          <w:sz w:val="20"/>
          <w:szCs w:val="20"/>
        </w:rPr>
      </w:pPr>
      <w:r w:rsidRPr="00E575E0">
        <w:rPr>
          <w:sz w:val="20"/>
          <w:szCs w:val="20"/>
        </w:rPr>
        <w:t xml:space="preserve">Table B1: Philosophical and methodological positioning of the research </w:t>
      </w:r>
    </w:p>
    <w:p w14:paraId="50C879F4" w14:textId="7C70DB8B" w:rsidR="00E1795C" w:rsidRPr="00E575E0" w:rsidRDefault="008C4BC9" w:rsidP="00C27C1A">
      <w:pPr>
        <w:pStyle w:val="Caption"/>
        <w:jc w:val="center"/>
        <w:rPr>
          <w:sz w:val="20"/>
          <w:szCs w:val="20"/>
        </w:rPr>
      </w:pPr>
      <w:r w:rsidRPr="00E575E0">
        <w:rPr>
          <w:sz w:val="20"/>
          <w:szCs w:val="20"/>
        </w:rPr>
        <w:t xml:space="preserve">Source: Author’s own development, informed by Fleetwood (2005), Al-Ababneh (2020), and </w:t>
      </w:r>
      <w:r w:rsidR="00C27C1A" w:rsidRPr="00E575E0">
        <w:rPr>
          <w:sz w:val="20"/>
          <w:szCs w:val="20"/>
        </w:rPr>
        <w:t>Vincent and O’Mahoney (2014).</w:t>
      </w:r>
    </w:p>
    <w:p w14:paraId="19D4EB8A" w14:textId="77777777" w:rsidR="00E1795C" w:rsidRDefault="00E1795C" w:rsidP="00E1795C"/>
    <w:p w14:paraId="3A8C6461" w14:textId="77777777" w:rsidR="00E1795C" w:rsidRDefault="00E1795C" w:rsidP="00E1795C"/>
    <w:p w14:paraId="3B3CB48C" w14:textId="77777777" w:rsidR="00E1795C" w:rsidRDefault="00E1795C" w:rsidP="00E1795C"/>
    <w:p w14:paraId="19D90F53" w14:textId="77777777" w:rsidR="00E1795C" w:rsidRDefault="00E1795C" w:rsidP="00E1795C"/>
    <w:p w14:paraId="304B63E2" w14:textId="2D687195" w:rsidR="00607C7C" w:rsidRDefault="00607C7C" w:rsidP="00607C7C">
      <w:pPr>
        <w:pStyle w:val="Heading2"/>
      </w:pPr>
    </w:p>
    <w:p w14:paraId="690601C2" w14:textId="77777777" w:rsidR="007415AE" w:rsidRPr="007415AE" w:rsidRDefault="007415AE" w:rsidP="007415AE"/>
    <w:tbl>
      <w:tblPr>
        <w:tblStyle w:val="TableGrid"/>
        <w:tblW w:w="9776" w:type="dxa"/>
        <w:jc w:val="center"/>
        <w:tblLayout w:type="fixed"/>
        <w:tblLook w:val="04A0" w:firstRow="1" w:lastRow="0" w:firstColumn="1" w:lastColumn="0" w:noHBand="0" w:noVBand="1"/>
      </w:tblPr>
      <w:tblGrid>
        <w:gridCol w:w="1276"/>
        <w:gridCol w:w="2126"/>
        <w:gridCol w:w="2131"/>
        <w:gridCol w:w="2409"/>
        <w:gridCol w:w="1834"/>
      </w:tblGrid>
      <w:tr w:rsidR="00607C7C" w14:paraId="471D6034" w14:textId="77777777" w:rsidTr="00607C7C">
        <w:trPr>
          <w:jc w:val="center"/>
        </w:trPr>
        <w:tc>
          <w:tcPr>
            <w:tcW w:w="1276" w:type="dxa"/>
            <w:shd w:val="clear" w:color="auto" w:fill="D9EAF7"/>
            <w:vAlign w:val="center"/>
          </w:tcPr>
          <w:p w14:paraId="5743ADF7" w14:textId="77777777" w:rsidR="00607C7C" w:rsidRPr="000E2EB3" w:rsidRDefault="00607C7C" w:rsidP="0022635B">
            <w:pPr>
              <w:jc w:val="center"/>
              <w:rPr>
                <w:sz w:val="18"/>
                <w:szCs w:val="18"/>
              </w:rPr>
            </w:pPr>
            <w:r w:rsidRPr="000E2EB3">
              <w:rPr>
                <w:b/>
                <w:sz w:val="18"/>
                <w:szCs w:val="18"/>
              </w:rPr>
              <w:lastRenderedPageBreak/>
              <w:t>Dimension</w:t>
            </w:r>
          </w:p>
        </w:tc>
        <w:tc>
          <w:tcPr>
            <w:tcW w:w="2126" w:type="dxa"/>
            <w:shd w:val="clear" w:color="auto" w:fill="D9EAF7"/>
            <w:vAlign w:val="center"/>
          </w:tcPr>
          <w:p w14:paraId="5A75C6E7" w14:textId="77777777" w:rsidR="00607C7C" w:rsidRPr="000E2EB3" w:rsidRDefault="00607C7C" w:rsidP="0022635B">
            <w:pPr>
              <w:jc w:val="center"/>
              <w:rPr>
                <w:sz w:val="18"/>
                <w:szCs w:val="18"/>
              </w:rPr>
            </w:pPr>
            <w:r w:rsidRPr="000E2EB3">
              <w:rPr>
                <w:b/>
                <w:sz w:val="18"/>
                <w:szCs w:val="18"/>
              </w:rPr>
              <w:t>Positivism</w:t>
            </w:r>
          </w:p>
        </w:tc>
        <w:tc>
          <w:tcPr>
            <w:tcW w:w="2131" w:type="dxa"/>
            <w:shd w:val="clear" w:color="auto" w:fill="D9EAF7"/>
            <w:vAlign w:val="center"/>
          </w:tcPr>
          <w:p w14:paraId="735C7484" w14:textId="77777777" w:rsidR="00607C7C" w:rsidRPr="000E2EB3" w:rsidRDefault="00607C7C" w:rsidP="0022635B">
            <w:pPr>
              <w:jc w:val="center"/>
              <w:rPr>
                <w:sz w:val="18"/>
                <w:szCs w:val="18"/>
              </w:rPr>
            </w:pPr>
            <w:r w:rsidRPr="000E2EB3">
              <w:rPr>
                <w:b/>
                <w:sz w:val="18"/>
                <w:szCs w:val="18"/>
              </w:rPr>
              <w:t>Interpretivism</w:t>
            </w:r>
          </w:p>
        </w:tc>
        <w:tc>
          <w:tcPr>
            <w:tcW w:w="2409" w:type="dxa"/>
            <w:shd w:val="clear" w:color="auto" w:fill="D9EAF7"/>
            <w:vAlign w:val="center"/>
          </w:tcPr>
          <w:p w14:paraId="3CEEDBAC" w14:textId="1E92FC60" w:rsidR="00607C7C" w:rsidRPr="000E2EB3" w:rsidRDefault="00607C7C" w:rsidP="0022635B">
            <w:pPr>
              <w:jc w:val="center"/>
              <w:rPr>
                <w:sz w:val="18"/>
                <w:szCs w:val="18"/>
              </w:rPr>
            </w:pPr>
            <w:r w:rsidRPr="000E2EB3">
              <w:rPr>
                <w:b/>
                <w:sz w:val="18"/>
                <w:szCs w:val="18"/>
              </w:rPr>
              <w:t xml:space="preserve">Critical </w:t>
            </w:r>
            <w:r w:rsidR="00A11252" w:rsidRPr="000E2EB3">
              <w:rPr>
                <w:b/>
                <w:sz w:val="18"/>
                <w:szCs w:val="18"/>
              </w:rPr>
              <w:t>r</w:t>
            </w:r>
            <w:r w:rsidRPr="000E2EB3">
              <w:rPr>
                <w:b/>
                <w:sz w:val="18"/>
                <w:szCs w:val="18"/>
              </w:rPr>
              <w:t>ealism</w:t>
            </w:r>
          </w:p>
        </w:tc>
        <w:tc>
          <w:tcPr>
            <w:tcW w:w="1834" w:type="dxa"/>
            <w:shd w:val="clear" w:color="auto" w:fill="D9EAF7"/>
            <w:vAlign w:val="center"/>
          </w:tcPr>
          <w:p w14:paraId="326E28BB" w14:textId="77777777" w:rsidR="00607C7C" w:rsidRPr="000E2EB3" w:rsidRDefault="00607C7C" w:rsidP="0022635B">
            <w:pPr>
              <w:jc w:val="center"/>
              <w:rPr>
                <w:sz w:val="18"/>
                <w:szCs w:val="18"/>
              </w:rPr>
            </w:pPr>
            <w:r w:rsidRPr="000E2EB3">
              <w:rPr>
                <w:b/>
                <w:sz w:val="18"/>
                <w:szCs w:val="18"/>
              </w:rPr>
              <w:t>Position in this study</w:t>
            </w:r>
          </w:p>
        </w:tc>
      </w:tr>
      <w:tr w:rsidR="00607C7C" w14:paraId="24B13AFC" w14:textId="77777777" w:rsidTr="00607C7C">
        <w:trPr>
          <w:jc w:val="center"/>
        </w:trPr>
        <w:tc>
          <w:tcPr>
            <w:tcW w:w="1276" w:type="dxa"/>
          </w:tcPr>
          <w:p w14:paraId="4D0095AA" w14:textId="77777777" w:rsidR="00607C7C" w:rsidRPr="000E2EB3" w:rsidRDefault="00607C7C" w:rsidP="0022635B">
            <w:pPr>
              <w:rPr>
                <w:sz w:val="18"/>
                <w:szCs w:val="18"/>
              </w:rPr>
            </w:pPr>
            <w:r w:rsidRPr="000E2EB3">
              <w:rPr>
                <w:sz w:val="18"/>
                <w:szCs w:val="18"/>
              </w:rPr>
              <w:t>Ontology</w:t>
            </w:r>
          </w:p>
        </w:tc>
        <w:tc>
          <w:tcPr>
            <w:tcW w:w="2126" w:type="dxa"/>
          </w:tcPr>
          <w:p w14:paraId="2A7A6E61" w14:textId="77777777" w:rsidR="00607C7C" w:rsidRPr="000E2EB3" w:rsidRDefault="00607C7C" w:rsidP="0022635B">
            <w:pPr>
              <w:rPr>
                <w:sz w:val="18"/>
                <w:szCs w:val="18"/>
              </w:rPr>
            </w:pPr>
            <w:r w:rsidRPr="000E2EB3">
              <w:rPr>
                <w:sz w:val="18"/>
                <w:szCs w:val="18"/>
              </w:rPr>
              <w:t>Reality is treated as objective and measurable.</w:t>
            </w:r>
          </w:p>
        </w:tc>
        <w:tc>
          <w:tcPr>
            <w:tcW w:w="2131" w:type="dxa"/>
          </w:tcPr>
          <w:p w14:paraId="35E94DFD" w14:textId="77777777" w:rsidR="00607C7C" w:rsidRPr="000E2EB3" w:rsidRDefault="00607C7C" w:rsidP="0022635B">
            <w:pPr>
              <w:rPr>
                <w:sz w:val="18"/>
                <w:szCs w:val="18"/>
              </w:rPr>
            </w:pPr>
            <w:r w:rsidRPr="000E2EB3">
              <w:rPr>
                <w:sz w:val="18"/>
                <w:szCs w:val="18"/>
              </w:rPr>
              <w:t>Reality is socially constructed through actors’ meanings and experiences.</w:t>
            </w:r>
          </w:p>
        </w:tc>
        <w:tc>
          <w:tcPr>
            <w:tcW w:w="2409" w:type="dxa"/>
          </w:tcPr>
          <w:p w14:paraId="5261B914" w14:textId="77777777" w:rsidR="00607C7C" w:rsidRPr="000E2EB3" w:rsidRDefault="00607C7C" w:rsidP="0022635B">
            <w:pPr>
              <w:rPr>
                <w:sz w:val="18"/>
                <w:szCs w:val="18"/>
              </w:rPr>
            </w:pPr>
            <w:r w:rsidRPr="000E2EB3">
              <w:rPr>
                <w:sz w:val="18"/>
                <w:szCs w:val="18"/>
              </w:rPr>
              <w:t>A real, stratified world exists independently of knowledge, while observed outcomes are contextually mediated.</w:t>
            </w:r>
          </w:p>
        </w:tc>
        <w:tc>
          <w:tcPr>
            <w:tcW w:w="1834" w:type="dxa"/>
          </w:tcPr>
          <w:p w14:paraId="0A0609C3" w14:textId="77777777" w:rsidR="00607C7C" w:rsidRPr="000E2EB3" w:rsidRDefault="00607C7C" w:rsidP="0022635B">
            <w:pPr>
              <w:rPr>
                <w:sz w:val="18"/>
                <w:szCs w:val="18"/>
              </w:rPr>
            </w:pPr>
            <w:r w:rsidRPr="000E2EB3">
              <w:rPr>
                <w:sz w:val="18"/>
                <w:szCs w:val="18"/>
              </w:rPr>
              <w:t>Critical realist ontology.</w:t>
            </w:r>
          </w:p>
        </w:tc>
      </w:tr>
      <w:tr w:rsidR="00607C7C" w14:paraId="69BC7D14" w14:textId="77777777" w:rsidTr="00607C7C">
        <w:trPr>
          <w:jc w:val="center"/>
        </w:trPr>
        <w:tc>
          <w:tcPr>
            <w:tcW w:w="1276" w:type="dxa"/>
          </w:tcPr>
          <w:p w14:paraId="3E30916A" w14:textId="77777777" w:rsidR="00607C7C" w:rsidRPr="000E2EB3" w:rsidRDefault="00607C7C" w:rsidP="0022635B">
            <w:pPr>
              <w:rPr>
                <w:sz w:val="18"/>
                <w:szCs w:val="18"/>
              </w:rPr>
            </w:pPr>
            <w:r w:rsidRPr="000E2EB3">
              <w:rPr>
                <w:sz w:val="18"/>
                <w:szCs w:val="18"/>
              </w:rPr>
              <w:t>Epistemology</w:t>
            </w:r>
          </w:p>
        </w:tc>
        <w:tc>
          <w:tcPr>
            <w:tcW w:w="2126" w:type="dxa"/>
          </w:tcPr>
          <w:p w14:paraId="68476E5D" w14:textId="77777777" w:rsidR="00607C7C" w:rsidRPr="000E2EB3" w:rsidRDefault="00607C7C" w:rsidP="0022635B">
            <w:pPr>
              <w:rPr>
                <w:sz w:val="18"/>
                <w:szCs w:val="18"/>
              </w:rPr>
            </w:pPr>
            <w:r w:rsidRPr="000E2EB3">
              <w:rPr>
                <w:sz w:val="18"/>
                <w:szCs w:val="18"/>
              </w:rPr>
              <w:t>Knowledge is generated through observation, measurement and testing.</w:t>
            </w:r>
          </w:p>
        </w:tc>
        <w:tc>
          <w:tcPr>
            <w:tcW w:w="2131" w:type="dxa"/>
          </w:tcPr>
          <w:p w14:paraId="1761E458" w14:textId="77777777" w:rsidR="00607C7C" w:rsidRPr="000E2EB3" w:rsidRDefault="00607C7C" w:rsidP="0022635B">
            <w:pPr>
              <w:rPr>
                <w:sz w:val="18"/>
                <w:szCs w:val="18"/>
              </w:rPr>
            </w:pPr>
            <w:r w:rsidRPr="000E2EB3">
              <w:rPr>
                <w:sz w:val="18"/>
                <w:szCs w:val="18"/>
              </w:rPr>
              <w:t>Knowledge is generated through interpretation of meanings and experiences.</w:t>
            </w:r>
          </w:p>
        </w:tc>
        <w:tc>
          <w:tcPr>
            <w:tcW w:w="2409" w:type="dxa"/>
          </w:tcPr>
          <w:p w14:paraId="2181AF6E" w14:textId="77777777" w:rsidR="00607C7C" w:rsidRPr="000E2EB3" w:rsidRDefault="00607C7C" w:rsidP="0022635B">
            <w:pPr>
              <w:rPr>
                <w:sz w:val="18"/>
                <w:szCs w:val="18"/>
              </w:rPr>
            </w:pPr>
            <w:r w:rsidRPr="000E2EB3">
              <w:rPr>
                <w:sz w:val="18"/>
                <w:szCs w:val="18"/>
              </w:rPr>
              <w:t>Knowledge is fallible and theory-laden; explanation seeks underlying mechanisms as well as observed events.</w:t>
            </w:r>
          </w:p>
        </w:tc>
        <w:tc>
          <w:tcPr>
            <w:tcW w:w="1834" w:type="dxa"/>
          </w:tcPr>
          <w:p w14:paraId="0733CFED" w14:textId="77777777" w:rsidR="00607C7C" w:rsidRPr="000E2EB3" w:rsidRDefault="00607C7C" w:rsidP="0022635B">
            <w:pPr>
              <w:rPr>
                <w:sz w:val="18"/>
                <w:szCs w:val="18"/>
              </w:rPr>
            </w:pPr>
            <w:r w:rsidRPr="000E2EB3">
              <w:rPr>
                <w:sz w:val="18"/>
                <w:szCs w:val="18"/>
              </w:rPr>
              <w:t>Interpretivist-informed epistemology within a critical realist framing.</w:t>
            </w:r>
          </w:p>
        </w:tc>
      </w:tr>
      <w:tr w:rsidR="00607C7C" w14:paraId="593546C0" w14:textId="77777777" w:rsidTr="00607C7C">
        <w:trPr>
          <w:jc w:val="center"/>
        </w:trPr>
        <w:tc>
          <w:tcPr>
            <w:tcW w:w="1276" w:type="dxa"/>
          </w:tcPr>
          <w:p w14:paraId="7F175B21" w14:textId="77777777" w:rsidR="00607C7C" w:rsidRPr="000E2EB3" w:rsidRDefault="00607C7C" w:rsidP="0022635B">
            <w:pPr>
              <w:rPr>
                <w:sz w:val="18"/>
                <w:szCs w:val="18"/>
              </w:rPr>
            </w:pPr>
            <w:r w:rsidRPr="000E2EB3">
              <w:rPr>
                <w:sz w:val="18"/>
                <w:szCs w:val="18"/>
              </w:rPr>
              <w:t>Typical methodology</w:t>
            </w:r>
          </w:p>
        </w:tc>
        <w:tc>
          <w:tcPr>
            <w:tcW w:w="2126" w:type="dxa"/>
          </w:tcPr>
          <w:p w14:paraId="3E0FEC49" w14:textId="77777777" w:rsidR="00607C7C" w:rsidRPr="000E2EB3" w:rsidRDefault="00607C7C" w:rsidP="0022635B">
            <w:pPr>
              <w:rPr>
                <w:sz w:val="18"/>
                <w:szCs w:val="18"/>
              </w:rPr>
            </w:pPr>
            <w:r w:rsidRPr="000E2EB3">
              <w:rPr>
                <w:sz w:val="18"/>
                <w:szCs w:val="18"/>
              </w:rPr>
              <w:t>Surveys, experiments and statistical modelling.</w:t>
            </w:r>
          </w:p>
        </w:tc>
        <w:tc>
          <w:tcPr>
            <w:tcW w:w="2131" w:type="dxa"/>
          </w:tcPr>
          <w:p w14:paraId="03E88A8F" w14:textId="77777777" w:rsidR="00607C7C" w:rsidRPr="000E2EB3" w:rsidRDefault="00607C7C" w:rsidP="0022635B">
            <w:pPr>
              <w:rPr>
                <w:sz w:val="18"/>
                <w:szCs w:val="18"/>
              </w:rPr>
            </w:pPr>
            <w:r w:rsidRPr="000E2EB3">
              <w:rPr>
                <w:sz w:val="18"/>
                <w:szCs w:val="18"/>
              </w:rPr>
              <w:t>Interviews, case studies and qualitative analysis.</w:t>
            </w:r>
          </w:p>
        </w:tc>
        <w:tc>
          <w:tcPr>
            <w:tcW w:w="2409" w:type="dxa"/>
          </w:tcPr>
          <w:p w14:paraId="0B1841DB" w14:textId="77777777" w:rsidR="00607C7C" w:rsidRPr="000E2EB3" w:rsidRDefault="00607C7C" w:rsidP="0022635B">
            <w:pPr>
              <w:rPr>
                <w:sz w:val="18"/>
                <w:szCs w:val="18"/>
              </w:rPr>
            </w:pPr>
            <w:r w:rsidRPr="000E2EB3">
              <w:rPr>
                <w:sz w:val="18"/>
                <w:szCs w:val="18"/>
              </w:rPr>
              <w:t>Explanatory qualitative, mixed-method or theoretically informed inquiry.</w:t>
            </w:r>
          </w:p>
        </w:tc>
        <w:tc>
          <w:tcPr>
            <w:tcW w:w="1834" w:type="dxa"/>
          </w:tcPr>
          <w:p w14:paraId="3CA320FC" w14:textId="77777777" w:rsidR="00607C7C" w:rsidRPr="000E2EB3" w:rsidRDefault="00607C7C" w:rsidP="0022635B">
            <w:pPr>
              <w:rPr>
                <w:sz w:val="18"/>
                <w:szCs w:val="18"/>
              </w:rPr>
            </w:pPr>
            <w:r w:rsidRPr="000E2EB3">
              <w:rPr>
                <w:sz w:val="18"/>
                <w:szCs w:val="18"/>
              </w:rPr>
              <w:t>Systematic critical literature review and thematic synthesis.</w:t>
            </w:r>
          </w:p>
        </w:tc>
      </w:tr>
      <w:tr w:rsidR="00607C7C" w14:paraId="0C0FEAA1" w14:textId="77777777" w:rsidTr="00607C7C">
        <w:trPr>
          <w:jc w:val="center"/>
        </w:trPr>
        <w:tc>
          <w:tcPr>
            <w:tcW w:w="1276" w:type="dxa"/>
          </w:tcPr>
          <w:p w14:paraId="6BE82078" w14:textId="77777777" w:rsidR="00607C7C" w:rsidRPr="000E2EB3" w:rsidRDefault="00607C7C" w:rsidP="0022635B">
            <w:pPr>
              <w:rPr>
                <w:sz w:val="18"/>
                <w:szCs w:val="18"/>
              </w:rPr>
            </w:pPr>
            <w:r w:rsidRPr="000E2EB3">
              <w:rPr>
                <w:sz w:val="18"/>
                <w:szCs w:val="18"/>
              </w:rPr>
              <w:t>Strength</w:t>
            </w:r>
          </w:p>
        </w:tc>
        <w:tc>
          <w:tcPr>
            <w:tcW w:w="2126" w:type="dxa"/>
          </w:tcPr>
          <w:p w14:paraId="43328AF0" w14:textId="77777777" w:rsidR="00607C7C" w:rsidRPr="000E2EB3" w:rsidRDefault="00607C7C" w:rsidP="0022635B">
            <w:pPr>
              <w:rPr>
                <w:sz w:val="18"/>
                <w:szCs w:val="18"/>
              </w:rPr>
            </w:pPr>
            <w:r w:rsidRPr="000E2EB3">
              <w:rPr>
                <w:sz w:val="18"/>
                <w:szCs w:val="18"/>
              </w:rPr>
              <w:t>Supports comparison and identification of measurable relationships.</w:t>
            </w:r>
          </w:p>
        </w:tc>
        <w:tc>
          <w:tcPr>
            <w:tcW w:w="2131" w:type="dxa"/>
          </w:tcPr>
          <w:p w14:paraId="0508F009" w14:textId="77777777" w:rsidR="00607C7C" w:rsidRPr="000E2EB3" w:rsidRDefault="00607C7C" w:rsidP="0022635B">
            <w:pPr>
              <w:rPr>
                <w:sz w:val="18"/>
                <w:szCs w:val="18"/>
              </w:rPr>
            </w:pPr>
            <w:r w:rsidRPr="000E2EB3">
              <w:rPr>
                <w:sz w:val="18"/>
                <w:szCs w:val="18"/>
              </w:rPr>
              <w:t>Provides contextual understanding of stakeholder experience and institutional meaning.</w:t>
            </w:r>
          </w:p>
        </w:tc>
        <w:tc>
          <w:tcPr>
            <w:tcW w:w="2409" w:type="dxa"/>
          </w:tcPr>
          <w:p w14:paraId="42ED2A63" w14:textId="77777777" w:rsidR="00607C7C" w:rsidRPr="000E2EB3" w:rsidRDefault="00607C7C" w:rsidP="0022635B">
            <w:pPr>
              <w:rPr>
                <w:sz w:val="18"/>
                <w:szCs w:val="18"/>
              </w:rPr>
            </w:pPr>
            <w:r w:rsidRPr="000E2EB3">
              <w:rPr>
                <w:sz w:val="18"/>
                <w:szCs w:val="18"/>
              </w:rPr>
              <w:t>Connects observable events with underlying structures, mechanisms and contextual conditions.</w:t>
            </w:r>
          </w:p>
        </w:tc>
        <w:tc>
          <w:tcPr>
            <w:tcW w:w="1834" w:type="dxa"/>
          </w:tcPr>
          <w:p w14:paraId="1F7FFCBF" w14:textId="77777777" w:rsidR="00607C7C" w:rsidRPr="000E2EB3" w:rsidRDefault="00607C7C" w:rsidP="0022635B">
            <w:pPr>
              <w:rPr>
                <w:sz w:val="18"/>
                <w:szCs w:val="18"/>
              </w:rPr>
            </w:pPr>
            <w:r w:rsidRPr="000E2EB3">
              <w:rPr>
                <w:sz w:val="18"/>
                <w:szCs w:val="18"/>
              </w:rPr>
              <w:t>Supports analysis of governance structures alongside stakeholder interpretation.</w:t>
            </w:r>
          </w:p>
        </w:tc>
      </w:tr>
      <w:tr w:rsidR="00607C7C" w14:paraId="1EFE3428" w14:textId="77777777" w:rsidTr="00607C7C">
        <w:trPr>
          <w:jc w:val="center"/>
        </w:trPr>
        <w:tc>
          <w:tcPr>
            <w:tcW w:w="1276" w:type="dxa"/>
          </w:tcPr>
          <w:p w14:paraId="59A8E1A7" w14:textId="77777777" w:rsidR="00607C7C" w:rsidRPr="000E2EB3" w:rsidRDefault="00607C7C" w:rsidP="0022635B">
            <w:pPr>
              <w:rPr>
                <w:sz w:val="18"/>
                <w:szCs w:val="18"/>
              </w:rPr>
            </w:pPr>
            <w:r w:rsidRPr="000E2EB3">
              <w:rPr>
                <w:sz w:val="18"/>
                <w:szCs w:val="18"/>
              </w:rPr>
              <w:t>Limitation</w:t>
            </w:r>
          </w:p>
        </w:tc>
        <w:tc>
          <w:tcPr>
            <w:tcW w:w="2126" w:type="dxa"/>
          </w:tcPr>
          <w:p w14:paraId="3EE5A23A" w14:textId="77777777" w:rsidR="00607C7C" w:rsidRPr="000E2EB3" w:rsidRDefault="00607C7C" w:rsidP="0022635B">
            <w:pPr>
              <w:rPr>
                <w:sz w:val="18"/>
                <w:szCs w:val="18"/>
              </w:rPr>
            </w:pPr>
            <w:r w:rsidRPr="000E2EB3">
              <w:rPr>
                <w:sz w:val="18"/>
                <w:szCs w:val="18"/>
              </w:rPr>
              <w:t>May understate institutional context and meaning.</w:t>
            </w:r>
          </w:p>
        </w:tc>
        <w:tc>
          <w:tcPr>
            <w:tcW w:w="2131" w:type="dxa"/>
          </w:tcPr>
          <w:p w14:paraId="0A8D6DC1" w14:textId="77777777" w:rsidR="00607C7C" w:rsidRPr="000E2EB3" w:rsidRDefault="00607C7C" w:rsidP="0022635B">
            <w:pPr>
              <w:rPr>
                <w:sz w:val="18"/>
                <w:szCs w:val="18"/>
              </w:rPr>
            </w:pPr>
            <w:r w:rsidRPr="000E2EB3">
              <w:rPr>
                <w:sz w:val="18"/>
                <w:szCs w:val="18"/>
              </w:rPr>
              <w:t>Findings can be context-specific and less statistically generalisable.</w:t>
            </w:r>
          </w:p>
        </w:tc>
        <w:tc>
          <w:tcPr>
            <w:tcW w:w="2409" w:type="dxa"/>
          </w:tcPr>
          <w:p w14:paraId="6EB8410E" w14:textId="77777777" w:rsidR="00607C7C" w:rsidRPr="000E2EB3" w:rsidRDefault="00607C7C" w:rsidP="0022635B">
            <w:pPr>
              <w:rPr>
                <w:sz w:val="18"/>
                <w:szCs w:val="18"/>
              </w:rPr>
            </w:pPr>
            <w:r w:rsidRPr="000E2EB3">
              <w:rPr>
                <w:sz w:val="18"/>
                <w:szCs w:val="18"/>
              </w:rPr>
              <w:t>Underlying mechanisms are not always directly observable and require careful inference.</w:t>
            </w:r>
          </w:p>
        </w:tc>
        <w:tc>
          <w:tcPr>
            <w:tcW w:w="1834" w:type="dxa"/>
          </w:tcPr>
          <w:p w14:paraId="2DA49BEA" w14:textId="77777777" w:rsidR="00607C7C" w:rsidRPr="000E2EB3" w:rsidRDefault="00607C7C" w:rsidP="0022635B">
            <w:pPr>
              <w:rPr>
                <w:sz w:val="18"/>
                <w:szCs w:val="18"/>
              </w:rPr>
            </w:pPr>
            <w:r w:rsidRPr="000E2EB3">
              <w:rPr>
                <w:sz w:val="18"/>
                <w:szCs w:val="18"/>
              </w:rPr>
              <w:t>Mitigated through transparent synthesis and explicit philosophical reasoning.</w:t>
            </w:r>
          </w:p>
        </w:tc>
      </w:tr>
    </w:tbl>
    <w:p w14:paraId="5195C723" w14:textId="3C308B9A" w:rsidR="007415AE" w:rsidRDefault="00177B04" w:rsidP="0093663C">
      <w:pPr>
        <w:pStyle w:val="Caption"/>
        <w:jc w:val="center"/>
      </w:pPr>
      <w:r>
        <w:t xml:space="preserve">Table B2: Philosophical comparison of AI </w:t>
      </w:r>
      <w:r w:rsidR="007415AE">
        <w:t>g</w:t>
      </w:r>
      <w:r>
        <w:t xml:space="preserve">overnance </w:t>
      </w:r>
      <w:r w:rsidR="007415AE">
        <w:t xml:space="preserve">research </w:t>
      </w:r>
    </w:p>
    <w:p w14:paraId="544DD3CC" w14:textId="04732D19" w:rsidR="0093663C" w:rsidRDefault="0093663C" w:rsidP="0093663C">
      <w:pPr>
        <w:pStyle w:val="Caption"/>
        <w:jc w:val="center"/>
      </w:pPr>
      <w:r>
        <w:t>Source: Author’s own development, informed by Fleetwood (2005), Al-Ababneh (2020), and Vincent and O’Mahoney (2014).</w:t>
      </w:r>
    </w:p>
    <w:p w14:paraId="6D89156D" w14:textId="77777777" w:rsidR="00607C7C" w:rsidRDefault="00607C7C" w:rsidP="00E1795C"/>
    <w:p w14:paraId="2BC3F6F1" w14:textId="77777777" w:rsidR="00607C7C" w:rsidRDefault="00607C7C" w:rsidP="00E1795C"/>
    <w:p w14:paraId="540C8EDF" w14:textId="04966C18" w:rsidR="00607C7C" w:rsidRDefault="00B641F5" w:rsidP="00E1795C">
      <w:r w:rsidRPr="00B641F5">
        <w:rPr>
          <w:noProof/>
        </w:rPr>
        <w:drawing>
          <wp:inline distT="0" distB="0" distL="0" distR="0" wp14:anchorId="19BD92B0" wp14:editId="0729AD33">
            <wp:extent cx="5732310" cy="3246120"/>
            <wp:effectExtent l="0" t="0" r="1905" b="0"/>
            <wp:docPr id="1667590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90032" name=""/>
                    <pic:cNvPicPr/>
                  </pic:nvPicPr>
                  <pic:blipFill>
                    <a:blip r:embed="rId18"/>
                    <a:stretch>
                      <a:fillRect/>
                    </a:stretch>
                  </pic:blipFill>
                  <pic:spPr>
                    <a:xfrm>
                      <a:off x="0" y="0"/>
                      <a:ext cx="5741378" cy="3251255"/>
                    </a:xfrm>
                    <a:prstGeom prst="rect">
                      <a:avLst/>
                    </a:prstGeom>
                  </pic:spPr>
                </pic:pic>
              </a:graphicData>
            </a:graphic>
          </wp:inline>
        </w:drawing>
      </w:r>
    </w:p>
    <w:p w14:paraId="094772B6" w14:textId="77777777" w:rsidR="007F174A" w:rsidRPr="007F174A" w:rsidRDefault="007415AE" w:rsidP="000C56A1">
      <w:pPr>
        <w:pStyle w:val="Caption"/>
        <w:jc w:val="center"/>
        <w:rPr>
          <w:sz w:val="20"/>
          <w:szCs w:val="20"/>
        </w:rPr>
      </w:pPr>
      <w:r w:rsidRPr="007F174A">
        <w:rPr>
          <w:sz w:val="20"/>
          <w:szCs w:val="20"/>
        </w:rPr>
        <w:t>Figure B1</w:t>
      </w:r>
      <w:r w:rsidR="003C1126" w:rsidRPr="007F174A">
        <w:rPr>
          <w:sz w:val="20"/>
          <w:szCs w:val="20"/>
        </w:rPr>
        <w:t xml:space="preserve">: Philosophical and methodological logic underpinning </w:t>
      </w:r>
      <w:r w:rsidR="007F174A" w:rsidRPr="007F174A">
        <w:rPr>
          <w:sz w:val="20"/>
          <w:szCs w:val="20"/>
        </w:rPr>
        <w:t xml:space="preserve">the study </w:t>
      </w:r>
    </w:p>
    <w:p w14:paraId="4B101A06" w14:textId="607BD280" w:rsidR="000C56A1" w:rsidRPr="007F174A" w:rsidRDefault="000C56A1" w:rsidP="000C56A1">
      <w:pPr>
        <w:pStyle w:val="Caption"/>
        <w:jc w:val="center"/>
        <w:rPr>
          <w:sz w:val="20"/>
          <w:szCs w:val="20"/>
        </w:rPr>
      </w:pPr>
      <w:r w:rsidRPr="007F174A">
        <w:rPr>
          <w:sz w:val="20"/>
          <w:szCs w:val="20"/>
        </w:rPr>
        <w:t>Source: Author’s own development, informed by Fleetwood (2005), Al-Ababneh (2020), and Vincent and O’Mahoney (2014).</w:t>
      </w:r>
    </w:p>
    <w:p w14:paraId="6D945A65" w14:textId="1BF5D51A" w:rsidR="00DE6FB6" w:rsidRDefault="00DE6FB6" w:rsidP="00DE6FB6">
      <w:pPr>
        <w:pStyle w:val="Heading1"/>
      </w:pPr>
      <w:bookmarkStart w:id="516" w:name="_Toc237383503"/>
      <w:bookmarkStart w:id="517" w:name="_Toc237384338"/>
      <w:bookmarkStart w:id="518" w:name="_Toc237385058"/>
      <w:bookmarkStart w:id="519" w:name="_Toc237445080"/>
      <w:r>
        <w:lastRenderedPageBreak/>
        <w:t>Appendix C</w:t>
      </w:r>
      <w:bookmarkEnd w:id="516"/>
      <w:bookmarkEnd w:id="517"/>
      <w:bookmarkEnd w:id="518"/>
      <w:bookmarkEnd w:id="519"/>
    </w:p>
    <w:p w14:paraId="369A15F9" w14:textId="26DD60FA" w:rsidR="000D53DB" w:rsidRPr="00DE6FB6" w:rsidRDefault="00DE6FB6" w:rsidP="00DE6FB6">
      <w:pPr>
        <w:pStyle w:val="Heading1"/>
      </w:pPr>
      <w:bookmarkStart w:id="520" w:name="_Toc237383504"/>
      <w:bookmarkStart w:id="521" w:name="_Toc237384339"/>
      <w:bookmarkStart w:id="522" w:name="_Toc237385059"/>
      <w:bookmarkStart w:id="523" w:name="_Toc237445081"/>
      <w:r w:rsidRPr="00DE6FB6">
        <w:t xml:space="preserve">Systematic Literature </w:t>
      </w:r>
      <w:r w:rsidR="00B4485B">
        <w:t>Review Methodology and Supporting Evidence</w:t>
      </w:r>
      <w:bookmarkEnd w:id="520"/>
      <w:bookmarkEnd w:id="521"/>
      <w:bookmarkEnd w:id="522"/>
      <w:bookmarkEnd w:id="523"/>
    </w:p>
    <w:p w14:paraId="3935ADC0" w14:textId="7CBB113F" w:rsidR="000D53DB" w:rsidRDefault="000D53DB" w:rsidP="00DE6FB6">
      <w:pPr>
        <w:pStyle w:val="Heading2"/>
      </w:pPr>
    </w:p>
    <w:tbl>
      <w:tblPr>
        <w:tblStyle w:val="GridTable6ColourfulAccent2"/>
        <w:tblW w:w="0" w:type="auto"/>
        <w:tblLook w:val="04A0" w:firstRow="1" w:lastRow="0" w:firstColumn="1" w:lastColumn="0" w:noHBand="0" w:noVBand="1"/>
      </w:tblPr>
      <w:tblGrid>
        <w:gridCol w:w="2547"/>
        <w:gridCol w:w="6469"/>
      </w:tblGrid>
      <w:tr w:rsidR="00DE6FB6" w14:paraId="039A7E1A" w14:textId="77777777" w:rsidTr="00DE6F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3AA5CE5" w14:textId="44A57E94" w:rsidR="00DE6FB6" w:rsidRPr="00DE6FB6" w:rsidRDefault="00DE6FB6" w:rsidP="00DE6FB6">
            <w:pPr>
              <w:rPr>
                <w:color w:val="000000" w:themeColor="text1"/>
                <w:sz w:val="24"/>
                <w:szCs w:val="24"/>
              </w:rPr>
            </w:pPr>
            <w:r w:rsidRPr="00DE6FB6">
              <w:rPr>
                <w:color w:val="000000" w:themeColor="text1"/>
                <w:sz w:val="24"/>
                <w:szCs w:val="24"/>
              </w:rPr>
              <w:t>Database</w:t>
            </w:r>
          </w:p>
        </w:tc>
        <w:tc>
          <w:tcPr>
            <w:tcW w:w="6469" w:type="dxa"/>
          </w:tcPr>
          <w:p w14:paraId="79BA8558" w14:textId="1D093C9F" w:rsidR="00DE6FB6" w:rsidRPr="003E4882" w:rsidRDefault="003E4882" w:rsidP="00DE6FB6">
            <w:pPr>
              <w:cnfStyle w:val="100000000000" w:firstRow="1" w:lastRow="0" w:firstColumn="0" w:lastColumn="0" w:oddVBand="0" w:evenVBand="0" w:oddHBand="0" w:evenHBand="0" w:firstRowFirstColumn="0" w:firstRowLastColumn="0" w:lastRowFirstColumn="0" w:lastRowLastColumn="0"/>
              <w:rPr>
                <w:sz w:val="24"/>
                <w:szCs w:val="24"/>
              </w:rPr>
            </w:pPr>
            <w:r w:rsidRPr="003E4882">
              <w:rPr>
                <w:color w:val="000000" w:themeColor="text1"/>
                <w:sz w:val="24"/>
                <w:szCs w:val="24"/>
              </w:rPr>
              <w:t>Purpose of Inclusion</w:t>
            </w:r>
          </w:p>
        </w:tc>
      </w:tr>
      <w:tr w:rsidR="00DE6FB6" w14:paraId="79B41CED" w14:textId="77777777" w:rsidTr="00DE6F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8E46C1B" w14:textId="3ACD5DD0" w:rsidR="00DE6FB6" w:rsidRPr="00DE6FB6" w:rsidRDefault="00DE6FB6" w:rsidP="00DE6FB6">
            <w:pPr>
              <w:rPr>
                <w:color w:val="000000" w:themeColor="text1"/>
                <w:sz w:val="24"/>
                <w:szCs w:val="24"/>
              </w:rPr>
            </w:pPr>
            <w:r w:rsidRPr="00DE6FB6">
              <w:rPr>
                <w:color w:val="000000" w:themeColor="text1"/>
                <w:sz w:val="24"/>
                <w:szCs w:val="24"/>
              </w:rPr>
              <w:t>Scopus</w:t>
            </w:r>
          </w:p>
        </w:tc>
        <w:tc>
          <w:tcPr>
            <w:tcW w:w="6469" w:type="dxa"/>
          </w:tcPr>
          <w:p w14:paraId="4E143EA5" w14:textId="02DF7DC7" w:rsidR="00DE6FB6" w:rsidRPr="003E4882" w:rsidRDefault="003E4882" w:rsidP="003E4882">
            <w:pPr>
              <w:jc w:val="both"/>
              <w:cnfStyle w:val="000000100000" w:firstRow="0" w:lastRow="0" w:firstColumn="0" w:lastColumn="0" w:oddVBand="0" w:evenVBand="0" w:oddHBand="1" w:evenHBand="0" w:firstRowFirstColumn="0" w:firstRowLastColumn="0" w:lastRowFirstColumn="0" w:lastRowLastColumn="0"/>
              <w:rPr>
                <w:sz w:val="24"/>
                <w:szCs w:val="24"/>
              </w:rPr>
            </w:pPr>
            <w:r w:rsidRPr="003E4882">
              <w:rPr>
                <w:color w:val="000000" w:themeColor="text1"/>
                <w:sz w:val="24"/>
                <w:szCs w:val="24"/>
              </w:rPr>
              <w:t>Comprehensive</w:t>
            </w:r>
            <w:r w:rsidR="00E1795C">
              <w:rPr>
                <w:color w:val="000000" w:themeColor="text1"/>
                <w:sz w:val="24"/>
                <w:szCs w:val="24"/>
              </w:rPr>
              <w:t>,</w:t>
            </w:r>
            <w:r w:rsidRPr="003E4882">
              <w:rPr>
                <w:color w:val="000000" w:themeColor="text1"/>
                <w:sz w:val="24"/>
                <w:szCs w:val="24"/>
              </w:rPr>
              <w:t xml:space="preserve"> numerous disciplinary databases covering business, management, governance, information systems and AI research. </w:t>
            </w:r>
          </w:p>
        </w:tc>
      </w:tr>
      <w:tr w:rsidR="00DE6FB6" w14:paraId="15332507" w14:textId="77777777" w:rsidTr="00DE6FB6">
        <w:tc>
          <w:tcPr>
            <w:cnfStyle w:val="001000000000" w:firstRow="0" w:lastRow="0" w:firstColumn="1" w:lastColumn="0" w:oddVBand="0" w:evenVBand="0" w:oddHBand="0" w:evenHBand="0" w:firstRowFirstColumn="0" w:firstRowLastColumn="0" w:lastRowFirstColumn="0" w:lastRowLastColumn="0"/>
            <w:tcW w:w="2547" w:type="dxa"/>
          </w:tcPr>
          <w:p w14:paraId="0DC699E6" w14:textId="62B7DA6B" w:rsidR="00DE6FB6" w:rsidRPr="00DE6FB6" w:rsidRDefault="00DE6FB6" w:rsidP="00DE6FB6">
            <w:pPr>
              <w:rPr>
                <w:color w:val="000000" w:themeColor="text1"/>
                <w:sz w:val="24"/>
                <w:szCs w:val="24"/>
              </w:rPr>
            </w:pPr>
            <w:r w:rsidRPr="00DE6FB6">
              <w:rPr>
                <w:color w:val="000000" w:themeColor="text1"/>
                <w:sz w:val="24"/>
                <w:szCs w:val="24"/>
              </w:rPr>
              <w:t>Web of Science</w:t>
            </w:r>
          </w:p>
        </w:tc>
        <w:tc>
          <w:tcPr>
            <w:tcW w:w="6469" w:type="dxa"/>
          </w:tcPr>
          <w:p w14:paraId="170AD251" w14:textId="320689C0" w:rsidR="00DE6FB6" w:rsidRPr="003E4882" w:rsidRDefault="003E4882" w:rsidP="003E4882">
            <w:pPr>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3E4882">
              <w:rPr>
                <w:color w:val="000000" w:themeColor="text1"/>
                <w:sz w:val="24"/>
                <w:szCs w:val="24"/>
              </w:rPr>
              <w:t>High-quality peer-reviewed literature with strong citation indexing for governance and organisational studies</w:t>
            </w:r>
          </w:p>
        </w:tc>
      </w:tr>
      <w:tr w:rsidR="00DE6FB6" w14:paraId="59AB9343" w14:textId="77777777" w:rsidTr="00DE6F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620287A" w14:textId="3B08177E" w:rsidR="00DE6FB6" w:rsidRPr="00DE6FB6" w:rsidRDefault="00DE6FB6" w:rsidP="00DE6FB6">
            <w:pPr>
              <w:rPr>
                <w:color w:val="000000" w:themeColor="text1"/>
                <w:sz w:val="24"/>
                <w:szCs w:val="24"/>
              </w:rPr>
            </w:pPr>
            <w:r w:rsidRPr="00DE6FB6">
              <w:rPr>
                <w:color w:val="000000" w:themeColor="text1"/>
                <w:sz w:val="24"/>
                <w:szCs w:val="24"/>
              </w:rPr>
              <w:t>Emerald Insight</w:t>
            </w:r>
          </w:p>
        </w:tc>
        <w:tc>
          <w:tcPr>
            <w:tcW w:w="6469" w:type="dxa"/>
          </w:tcPr>
          <w:p w14:paraId="7ABDAD3A" w14:textId="6AEF9246" w:rsidR="00DE6FB6" w:rsidRPr="003E4882" w:rsidRDefault="003E4882" w:rsidP="00DE6FB6">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3E4882">
              <w:rPr>
                <w:color w:val="000000" w:themeColor="text1"/>
                <w:sz w:val="24"/>
                <w:szCs w:val="24"/>
              </w:rPr>
              <w:t>Business, management, leadership and governance journals relevant to strategic management research</w:t>
            </w:r>
          </w:p>
        </w:tc>
      </w:tr>
      <w:tr w:rsidR="00DE6FB6" w14:paraId="544BA130" w14:textId="77777777" w:rsidTr="00DE6FB6">
        <w:tc>
          <w:tcPr>
            <w:cnfStyle w:val="001000000000" w:firstRow="0" w:lastRow="0" w:firstColumn="1" w:lastColumn="0" w:oddVBand="0" w:evenVBand="0" w:oddHBand="0" w:evenHBand="0" w:firstRowFirstColumn="0" w:firstRowLastColumn="0" w:lastRowFirstColumn="0" w:lastRowLastColumn="0"/>
            <w:tcW w:w="2547" w:type="dxa"/>
          </w:tcPr>
          <w:p w14:paraId="263D61A9" w14:textId="0B3A89FF" w:rsidR="00DE6FB6" w:rsidRPr="00DE6FB6" w:rsidRDefault="00DE6FB6" w:rsidP="00DE6FB6">
            <w:pPr>
              <w:rPr>
                <w:color w:val="000000" w:themeColor="text1"/>
                <w:sz w:val="24"/>
                <w:szCs w:val="24"/>
              </w:rPr>
            </w:pPr>
            <w:r w:rsidRPr="00DE6FB6">
              <w:rPr>
                <w:color w:val="000000" w:themeColor="text1"/>
                <w:sz w:val="24"/>
                <w:szCs w:val="24"/>
              </w:rPr>
              <w:t>Science Direct</w:t>
            </w:r>
          </w:p>
        </w:tc>
        <w:tc>
          <w:tcPr>
            <w:tcW w:w="6469" w:type="dxa"/>
          </w:tcPr>
          <w:p w14:paraId="1BD84E96" w14:textId="4711404D" w:rsidR="00DE6FB6" w:rsidRPr="003E4882" w:rsidRDefault="003E4882" w:rsidP="00DE6FB6">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3E4882">
              <w:rPr>
                <w:color w:val="000000" w:themeColor="text1"/>
                <w:sz w:val="24"/>
                <w:szCs w:val="24"/>
              </w:rPr>
              <w:t>Contemporary publications on AI, information systems and HE</w:t>
            </w:r>
          </w:p>
        </w:tc>
      </w:tr>
      <w:tr w:rsidR="00DE6FB6" w14:paraId="666ABE98" w14:textId="77777777" w:rsidTr="00DE6F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473A053" w14:textId="013838D0" w:rsidR="00DE6FB6" w:rsidRPr="00DE6FB6" w:rsidRDefault="00DE6FB6" w:rsidP="00DE6FB6">
            <w:pPr>
              <w:rPr>
                <w:color w:val="000000" w:themeColor="text1"/>
                <w:sz w:val="24"/>
                <w:szCs w:val="24"/>
              </w:rPr>
            </w:pPr>
            <w:r w:rsidRPr="00DE6FB6">
              <w:rPr>
                <w:color w:val="000000" w:themeColor="text1"/>
                <w:sz w:val="24"/>
                <w:szCs w:val="24"/>
              </w:rPr>
              <w:t>UWTSD Online Library</w:t>
            </w:r>
          </w:p>
        </w:tc>
        <w:tc>
          <w:tcPr>
            <w:tcW w:w="6469" w:type="dxa"/>
          </w:tcPr>
          <w:p w14:paraId="12DA93F4" w14:textId="6FCFB4C3" w:rsidR="00DE6FB6" w:rsidRPr="003E4882" w:rsidRDefault="003E4882" w:rsidP="00DE6FB6">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3E4882">
              <w:rPr>
                <w:color w:val="000000" w:themeColor="text1"/>
                <w:sz w:val="24"/>
                <w:szCs w:val="24"/>
              </w:rPr>
              <w:t>Access to institutional subscriptions and academic resources</w:t>
            </w:r>
          </w:p>
        </w:tc>
      </w:tr>
      <w:tr w:rsidR="00DE6FB6" w14:paraId="772D77E7" w14:textId="77777777" w:rsidTr="00DE6FB6">
        <w:tc>
          <w:tcPr>
            <w:cnfStyle w:val="001000000000" w:firstRow="0" w:lastRow="0" w:firstColumn="1" w:lastColumn="0" w:oddVBand="0" w:evenVBand="0" w:oddHBand="0" w:evenHBand="0" w:firstRowFirstColumn="0" w:firstRowLastColumn="0" w:lastRowFirstColumn="0" w:lastRowLastColumn="0"/>
            <w:tcW w:w="2547" w:type="dxa"/>
          </w:tcPr>
          <w:p w14:paraId="281ECDF3" w14:textId="322CE11C" w:rsidR="00DE6FB6" w:rsidRPr="00DE6FB6" w:rsidRDefault="00DE6FB6" w:rsidP="00DE6FB6">
            <w:pPr>
              <w:rPr>
                <w:color w:val="000000" w:themeColor="text1"/>
                <w:sz w:val="24"/>
                <w:szCs w:val="24"/>
              </w:rPr>
            </w:pPr>
            <w:r w:rsidRPr="00DE6FB6">
              <w:rPr>
                <w:color w:val="000000" w:themeColor="text1"/>
                <w:sz w:val="24"/>
                <w:szCs w:val="24"/>
              </w:rPr>
              <w:t>Google Scholar</w:t>
            </w:r>
          </w:p>
        </w:tc>
        <w:tc>
          <w:tcPr>
            <w:tcW w:w="6469" w:type="dxa"/>
          </w:tcPr>
          <w:p w14:paraId="40CF9900" w14:textId="499C49C3" w:rsidR="00DE6FB6" w:rsidRPr="003E4882" w:rsidRDefault="003E4882" w:rsidP="00DE6FB6">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3E4882">
              <w:rPr>
                <w:color w:val="000000" w:themeColor="text1"/>
                <w:sz w:val="24"/>
                <w:szCs w:val="24"/>
              </w:rPr>
              <w:t>Identification of recent publications, policy reports and forward / backward citation searching</w:t>
            </w:r>
          </w:p>
        </w:tc>
      </w:tr>
    </w:tbl>
    <w:p w14:paraId="6F0418EE" w14:textId="77777777" w:rsidR="00D51867" w:rsidRDefault="00D51867" w:rsidP="00047303">
      <w:pPr>
        <w:pStyle w:val="Caption"/>
      </w:pPr>
    </w:p>
    <w:p w14:paraId="7061EC40" w14:textId="77777777" w:rsidR="006174B0" w:rsidRPr="006174B0" w:rsidRDefault="007F174A" w:rsidP="00342CDB">
      <w:pPr>
        <w:pStyle w:val="Caption"/>
        <w:jc w:val="center"/>
        <w:rPr>
          <w:sz w:val="20"/>
          <w:szCs w:val="20"/>
        </w:rPr>
      </w:pPr>
      <w:r w:rsidRPr="006174B0">
        <w:rPr>
          <w:sz w:val="20"/>
          <w:szCs w:val="20"/>
        </w:rPr>
        <w:t xml:space="preserve">Table </w:t>
      </w:r>
      <w:r w:rsidR="006174B0" w:rsidRPr="006174B0">
        <w:rPr>
          <w:sz w:val="20"/>
          <w:szCs w:val="20"/>
        </w:rPr>
        <w:t xml:space="preserve">C1: Academic information sources used in the systematic literature search </w:t>
      </w:r>
    </w:p>
    <w:p w14:paraId="24B5495C" w14:textId="326BE5F6" w:rsidR="00DE6FB6" w:rsidRDefault="00454D5A" w:rsidP="00342CDB">
      <w:pPr>
        <w:pStyle w:val="Caption"/>
        <w:jc w:val="center"/>
      </w:pPr>
      <w:r w:rsidRPr="006174B0">
        <w:rPr>
          <w:sz w:val="20"/>
          <w:szCs w:val="20"/>
        </w:rPr>
        <w:t xml:space="preserve">Source: Author’s </w:t>
      </w:r>
      <w:r w:rsidR="009A13A2" w:rsidRPr="006174B0">
        <w:rPr>
          <w:sz w:val="20"/>
          <w:szCs w:val="20"/>
        </w:rPr>
        <w:t>own development, informed by Page et al. (2021), Rethlefsen et al. (2021)</w:t>
      </w:r>
      <w:r w:rsidR="00342CDB" w:rsidRPr="006174B0">
        <w:rPr>
          <w:sz w:val="20"/>
          <w:szCs w:val="20"/>
        </w:rPr>
        <w:t>, and database/platform documentation</w:t>
      </w:r>
      <w:r w:rsidR="00342CDB">
        <w:t>.</w:t>
      </w:r>
    </w:p>
    <w:p w14:paraId="2178304F" w14:textId="77777777" w:rsidR="008F2EE4" w:rsidRPr="008F2EE4" w:rsidRDefault="008F2EE4" w:rsidP="008F2EE4"/>
    <w:p w14:paraId="64747564" w14:textId="19C1D241" w:rsidR="003E4882" w:rsidRDefault="003E4882" w:rsidP="003E4882">
      <w:pPr>
        <w:pStyle w:val="Heading2"/>
      </w:pPr>
    </w:p>
    <w:tbl>
      <w:tblPr>
        <w:tblStyle w:val="GridTable2-Accent6"/>
        <w:tblW w:w="0" w:type="auto"/>
        <w:tblLook w:val="04A0" w:firstRow="1" w:lastRow="0" w:firstColumn="1" w:lastColumn="0" w:noHBand="0" w:noVBand="1"/>
      </w:tblPr>
      <w:tblGrid>
        <w:gridCol w:w="4508"/>
        <w:gridCol w:w="4508"/>
      </w:tblGrid>
      <w:tr w:rsidR="003E4882" w14:paraId="515E1091" w14:textId="77777777" w:rsidTr="003E48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51A51B" w14:textId="652E79F9" w:rsidR="003E4882" w:rsidRDefault="002020F6" w:rsidP="003E4882">
            <w:r w:rsidRPr="002020F6">
              <w:rPr>
                <w:color w:val="000000" w:themeColor="text1"/>
              </w:rPr>
              <w:t>Concept</w:t>
            </w:r>
          </w:p>
        </w:tc>
        <w:tc>
          <w:tcPr>
            <w:tcW w:w="4508" w:type="dxa"/>
          </w:tcPr>
          <w:p w14:paraId="1737C3C5" w14:textId="0F7190C7" w:rsidR="003E4882" w:rsidRDefault="002020F6" w:rsidP="003E4882">
            <w:pPr>
              <w:cnfStyle w:val="100000000000" w:firstRow="1" w:lastRow="0" w:firstColumn="0" w:lastColumn="0" w:oddVBand="0" w:evenVBand="0" w:oddHBand="0" w:evenHBand="0" w:firstRowFirstColumn="0" w:firstRowLastColumn="0" w:lastRowFirstColumn="0" w:lastRowLastColumn="0"/>
            </w:pPr>
            <w:r>
              <w:t>Search Terms</w:t>
            </w:r>
          </w:p>
        </w:tc>
      </w:tr>
      <w:tr w:rsidR="003E4882" w14:paraId="3DB3553C" w14:textId="77777777" w:rsidTr="003E48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0AE66C4" w14:textId="75839599" w:rsidR="003E4882" w:rsidRDefault="002020F6" w:rsidP="003E4882">
            <w:r>
              <w:t>Artificial Intelligence</w:t>
            </w:r>
          </w:p>
        </w:tc>
        <w:tc>
          <w:tcPr>
            <w:tcW w:w="4508" w:type="dxa"/>
          </w:tcPr>
          <w:p w14:paraId="5DA929BE" w14:textId="66D53008" w:rsidR="003E4882" w:rsidRDefault="002020F6" w:rsidP="003E4882">
            <w:pPr>
              <w:cnfStyle w:val="000000100000" w:firstRow="0" w:lastRow="0" w:firstColumn="0" w:lastColumn="0" w:oddVBand="0" w:evenVBand="0" w:oddHBand="1" w:evenHBand="0" w:firstRowFirstColumn="0" w:firstRowLastColumn="0" w:lastRowFirstColumn="0" w:lastRowLastColumn="0"/>
            </w:pPr>
            <w:r>
              <w:t>“Artificial Intelligence” OR AI OR “Generative Artificial Intelligence” OR GAI OR “Machine Learning”</w:t>
            </w:r>
          </w:p>
        </w:tc>
      </w:tr>
      <w:tr w:rsidR="003E4882" w14:paraId="0253CA68" w14:textId="77777777" w:rsidTr="003E4882">
        <w:tc>
          <w:tcPr>
            <w:cnfStyle w:val="001000000000" w:firstRow="0" w:lastRow="0" w:firstColumn="1" w:lastColumn="0" w:oddVBand="0" w:evenVBand="0" w:oddHBand="0" w:evenHBand="0" w:firstRowFirstColumn="0" w:firstRowLastColumn="0" w:lastRowFirstColumn="0" w:lastRowLastColumn="0"/>
            <w:tcW w:w="4508" w:type="dxa"/>
          </w:tcPr>
          <w:p w14:paraId="23D9B843" w14:textId="135EF1C3" w:rsidR="003E4882" w:rsidRDefault="002020F6" w:rsidP="003E4882">
            <w:r>
              <w:t xml:space="preserve">Higher Education </w:t>
            </w:r>
          </w:p>
        </w:tc>
        <w:tc>
          <w:tcPr>
            <w:tcW w:w="4508" w:type="dxa"/>
          </w:tcPr>
          <w:p w14:paraId="727EB788" w14:textId="2952CBFC" w:rsidR="003E4882" w:rsidRDefault="002020F6" w:rsidP="003E4882">
            <w:pPr>
              <w:cnfStyle w:val="000000000000" w:firstRow="0" w:lastRow="0" w:firstColumn="0" w:lastColumn="0" w:oddVBand="0" w:evenVBand="0" w:oddHBand="0" w:evenHBand="0" w:firstRowFirstColumn="0" w:firstRowLastColumn="0" w:lastRowFirstColumn="0" w:lastRowLastColumn="0"/>
            </w:pPr>
            <w:r>
              <w:t>“Higher Education” OR Universities OR “Higher Education Institutions” OR HEI</w:t>
            </w:r>
          </w:p>
        </w:tc>
      </w:tr>
      <w:tr w:rsidR="003E4882" w14:paraId="694E6060" w14:textId="77777777" w:rsidTr="003E48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889DC5" w14:textId="4A983868" w:rsidR="003E4882" w:rsidRDefault="002020F6" w:rsidP="003E4882">
            <w:r>
              <w:t>Governance</w:t>
            </w:r>
          </w:p>
        </w:tc>
        <w:tc>
          <w:tcPr>
            <w:tcW w:w="4508" w:type="dxa"/>
          </w:tcPr>
          <w:p w14:paraId="0B196BEF" w14:textId="0DF8F29D" w:rsidR="003E4882" w:rsidRDefault="002020F6" w:rsidP="003E4882">
            <w:pPr>
              <w:cnfStyle w:val="000000100000" w:firstRow="0" w:lastRow="0" w:firstColumn="0" w:lastColumn="0" w:oddVBand="0" w:evenVBand="0" w:oddHBand="1" w:evenHBand="0" w:firstRowFirstColumn="0" w:firstRowLastColumn="0" w:lastRowFirstColumn="0" w:lastRowLastColumn="0"/>
            </w:pPr>
            <w:r>
              <w:t>“AI Governance” OR “Responsible AI” OR “Ethical AI” OR “Governance Framework”</w:t>
            </w:r>
          </w:p>
        </w:tc>
      </w:tr>
      <w:tr w:rsidR="003E4882" w14:paraId="16201C59" w14:textId="77777777" w:rsidTr="003E4882">
        <w:tc>
          <w:tcPr>
            <w:cnfStyle w:val="001000000000" w:firstRow="0" w:lastRow="0" w:firstColumn="1" w:lastColumn="0" w:oddVBand="0" w:evenVBand="0" w:oddHBand="0" w:evenHBand="0" w:firstRowFirstColumn="0" w:firstRowLastColumn="0" w:lastRowFirstColumn="0" w:lastRowLastColumn="0"/>
            <w:tcW w:w="4508" w:type="dxa"/>
          </w:tcPr>
          <w:p w14:paraId="7ED437AF" w14:textId="00E6A821" w:rsidR="003E4882" w:rsidRDefault="002020F6" w:rsidP="003E4882">
            <w:r>
              <w:t>Strategic Management</w:t>
            </w:r>
          </w:p>
        </w:tc>
        <w:tc>
          <w:tcPr>
            <w:tcW w:w="4508" w:type="dxa"/>
          </w:tcPr>
          <w:p w14:paraId="2E693B99" w14:textId="5C6929A3" w:rsidR="003E4882" w:rsidRDefault="002020F6" w:rsidP="003E4882">
            <w:pPr>
              <w:cnfStyle w:val="000000000000" w:firstRow="0" w:lastRow="0" w:firstColumn="0" w:lastColumn="0" w:oddVBand="0" w:evenVBand="0" w:oddHBand="0" w:evenHBand="0" w:firstRowFirstColumn="0" w:firstRowLastColumn="0" w:lastRowFirstColumn="0" w:lastRowLastColumn="0"/>
            </w:pPr>
            <w:r>
              <w:t xml:space="preserve">“Strategic Governance” OR “Strategic Management” OR Leadership </w:t>
            </w:r>
          </w:p>
        </w:tc>
      </w:tr>
      <w:tr w:rsidR="003E4882" w14:paraId="5E99A525" w14:textId="77777777" w:rsidTr="003E48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EC4BE9" w14:textId="3C39E041" w:rsidR="003E4882" w:rsidRDefault="002020F6" w:rsidP="003E4882">
            <w:r>
              <w:t xml:space="preserve">Context </w:t>
            </w:r>
          </w:p>
        </w:tc>
        <w:tc>
          <w:tcPr>
            <w:tcW w:w="4508" w:type="dxa"/>
          </w:tcPr>
          <w:p w14:paraId="4C2911B8" w14:textId="3E088282" w:rsidR="003E4882" w:rsidRDefault="002020F6" w:rsidP="003E4882">
            <w:pPr>
              <w:cnfStyle w:val="000000100000" w:firstRow="0" w:lastRow="0" w:firstColumn="0" w:lastColumn="0" w:oddVBand="0" w:evenVBand="0" w:oddHBand="1" w:evenHBand="0" w:firstRowFirstColumn="0" w:firstRowLastColumn="0" w:lastRowFirstColumn="0" w:lastRowLastColumn="0"/>
            </w:pPr>
            <w:r>
              <w:t>England OR “United Kingdom” OR UK</w:t>
            </w:r>
          </w:p>
        </w:tc>
      </w:tr>
    </w:tbl>
    <w:p w14:paraId="770DF108" w14:textId="77777777" w:rsidR="00D51867" w:rsidRDefault="00D51867" w:rsidP="003B07CA">
      <w:pPr>
        <w:pStyle w:val="Caption"/>
        <w:jc w:val="center"/>
      </w:pPr>
    </w:p>
    <w:p w14:paraId="5FC9AA29" w14:textId="77777777" w:rsidR="00047303" w:rsidRPr="002E18DF" w:rsidRDefault="00047303" w:rsidP="003B07CA">
      <w:pPr>
        <w:pStyle w:val="Caption"/>
        <w:jc w:val="center"/>
        <w:rPr>
          <w:sz w:val="20"/>
          <w:szCs w:val="20"/>
        </w:rPr>
      </w:pPr>
      <w:r w:rsidRPr="002E18DF">
        <w:rPr>
          <w:sz w:val="20"/>
          <w:szCs w:val="20"/>
        </w:rPr>
        <w:t xml:space="preserve">Table C2: Search strategy and Boolean search terms </w:t>
      </w:r>
    </w:p>
    <w:p w14:paraId="49D22F76" w14:textId="47DF6244" w:rsidR="003E4882" w:rsidRPr="002E18DF" w:rsidRDefault="003B07CA" w:rsidP="003B07CA">
      <w:pPr>
        <w:pStyle w:val="Caption"/>
        <w:jc w:val="center"/>
        <w:rPr>
          <w:sz w:val="20"/>
          <w:szCs w:val="20"/>
        </w:rPr>
      </w:pPr>
      <w:r w:rsidRPr="002E18DF">
        <w:rPr>
          <w:sz w:val="20"/>
          <w:szCs w:val="20"/>
        </w:rPr>
        <w:t>Source: Author’s own development, informed by Page et al. (2021), Rethlefsen et al. (2021).</w:t>
      </w:r>
    </w:p>
    <w:p w14:paraId="6F7D2602" w14:textId="77777777" w:rsidR="008F2EE4" w:rsidRDefault="008F2EE4" w:rsidP="003E4882"/>
    <w:p w14:paraId="3172A4A4" w14:textId="77777777" w:rsidR="008F2EE4" w:rsidRPr="003E4882" w:rsidRDefault="008F2EE4" w:rsidP="003E4882"/>
    <w:p w14:paraId="5805471F" w14:textId="4D87B63D" w:rsidR="00DE6FB6" w:rsidRDefault="00DE6FB6" w:rsidP="002C670D">
      <w:pPr>
        <w:pStyle w:val="Heading2"/>
      </w:pPr>
    </w:p>
    <w:tbl>
      <w:tblPr>
        <w:tblStyle w:val="GridTable6ColourfulAccent2"/>
        <w:tblW w:w="0" w:type="auto"/>
        <w:tblLook w:val="04A0" w:firstRow="1" w:lastRow="0" w:firstColumn="1" w:lastColumn="0" w:noHBand="0" w:noVBand="1"/>
      </w:tblPr>
      <w:tblGrid>
        <w:gridCol w:w="9016"/>
      </w:tblGrid>
      <w:tr w:rsidR="00E1795C" w14:paraId="672C33D7" w14:textId="77777777" w:rsidTr="00C61B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83965D" w14:textId="77777777" w:rsidR="00E1795C" w:rsidRPr="00E1795C" w:rsidRDefault="00E1795C" w:rsidP="00C61BEE">
            <w:pPr>
              <w:rPr>
                <w:b w:val="0"/>
                <w:bCs w:val="0"/>
                <w:color w:val="000000" w:themeColor="text1"/>
              </w:rPr>
            </w:pPr>
            <w:r w:rsidRPr="00E1795C">
              <w:rPr>
                <w:b w:val="0"/>
                <w:bCs w:val="0"/>
                <w:color w:val="000000" w:themeColor="text1"/>
              </w:rPr>
              <w:t>("Artificial Intelligence" OR AI OR "Generative Artificial Intelligence" OR GAI OR "Machine Learning")</w:t>
            </w:r>
          </w:p>
        </w:tc>
      </w:tr>
      <w:tr w:rsidR="00E1795C" w14:paraId="603CB65D"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5CDB8F1" w14:textId="77777777" w:rsidR="00E1795C" w:rsidRPr="00E1795C" w:rsidRDefault="00E1795C" w:rsidP="00C61BEE">
            <w:pPr>
              <w:rPr>
                <w:b w:val="0"/>
                <w:bCs w:val="0"/>
                <w:color w:val="000000" w:themeColor="text1"/>
              </w:rPr>
            </w:pPr>
            <w:r w:rsidRPr="00E1795C">
              <w:rPr>
                <w:b w:val="0"/>
                <w:bCs w:val="0"/>
                <w:color w:val="000000" w:themeColor="text1"/>
              </w:rPr>
              <w:t>AND</w:t>
            </w:r>
          </w:p>
        </w:tc>
      </w:tr>
      <w:tr w:rsidR="00E1795C" w14:paraId="1A6E0EE9" w14:textId="77777777" w:rsidTr="00C61BEE">
        <w:tc>
          <w:tcPr>
            <w:cnfStyle w:val="001000000000" w:firstRow="0" w:lastRow="0" w:firstColumn="1" w:lastColumn="0" w:oddVBand="0" w:evenVBand="0" w:oddHBand="0" w:evenHBand="0" w:firstRowFirstColumn="0" w:firstRowLastColumn="0" w:lastRowFirstColumn="0" w:lastRowLastColumn="0"/>
            <w:tcW w:w="9016" w:type="dxa"/>
          </w:tcPr>
          <w:p w14:paraId="142CEC33" w14:textId="77777777" w:rsidR="00E1795C" w:rsidRPr="00E1795C" w:rsidRDefault="00E1795C" w:rsidP="00C61BEE">
            <w:pPr>
              <w:rPr>
                <w:b w:val="0"/>
                <w:bCs w:val="0"/>
                <w:color w:val="000000" w:themeColor="text1"/>
              </w:rPr>
            </w:pPr>
            <w:r w:rsidRPr="00E1795C">
              <w:rPr>
                <w:b w:val="0"/>
                <w:bCs w:val="0"/>
                <w:color w:val="000000" w:themeColor="text1"/>
              </w:rPr>
              <w:t>("Higher Education" OR Universities OR "Higher Education Institutions" OR HEI)</w:t>
            </w:r>
          </w:p>
        </w:tc>
      </w:tr>
      <w:tr w:rsidR="00E1795C" w14:paraId="0211DE19"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3EC4D5" w14:textId="77777777" w:rsidR="00E1795C" w:rsidRPr="00E1795C" w:rsidRDefault="00E1795C" w:rsidP="00C61BEE">
            <w:pPr>
              <w:rPr>
                <w:b w:val="0"/>
                <w:bCs w:val="0"/>
                <w:color w:val="000000" w:themeColor="text1"/>
              </w:rPr>
            </w:pPr>
            <w:r w:rsidRPr="00E1795C">
              <w:rPr>
                <w:b w:val="0"/>
                <w:bCs w:val="0"/>
                <w:color w:val="000000" w:themeColor="text1"/>
              </w:rPr>
              <w:t>AND</w:t>
            </w:r>
          </w:p>
        </w:tc>
      </w:tr>
      <w:tr w:rsidR="00E1795C" w14:paraId="5425D56D" w14:textId="77777777" w:rsidTr="00C61BEE">
        <w:tc>
          <w:tcPr>
            <w:cnfStyle w:val="001000000000" w:firstRow="0" w:lastRow="0" w:firstColumn="1" w:lastColumn="0" w:oddVBand="0" w:evenVBand="0" w:oddHBand="0" w:evenHBand="0" w:firstRowFirstColumn="0" w:firstRowLastColumn="0" w:lastRowFirstColumn="0" w:lastRowLastColumn="0"/>
            <w:tcW w:w="9016" w:type="dxa"/>
          </w:tcPr>
          <w:p w14:paraId="028219D6" w14:textId="77777777" w:rsidR="00E1795C" w:rsidRPr="00E1795C" w:rsidRDefault="00E1795C" w:rsidP="00C61BEE">
            <w:pPr>
              <w:rPr>
                <w:b w:val="0"/>
                <w:bCs w:val="0"/>
                <w:color w:val="000000" w:themeColor="text1"/>
              </w:rPr>
            </w:pPr>
            <w:r w:rsidRPr="00E1795C">
              <w:rPr>
                <w:b w:val="0"/>
                <w:bCs w:val="0"/>
                <w:color w:val="000000" w:themeColor="text1"/>
              </w:rPr>
              <w:t>("AI Governance" OR "Responsible AI" OR "Ethical AI" OR "Governance Framework")</w:t>
            </w:r>
          </w:p>
        </w:tc>
      </w:tr>
      <w:tr w:rsidR="00E1795C" w14:paraId="33480C22"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79874A" w14:textId="77777777" w:rsidR="00E1795C" w:rsidRPr="00E1795C" w:rsidRDefault="00E1795C" w:rsidP="00C61BEE">
            <w:pPr>
              <w:rPr>
                <w:b w:val="0"/>
                <w:bCs w:val="0"/>
                <w:color w:val="000000" w:themeColor="text1"/>
              </w:rPr>
            </w:pPr>
            <w:r w:rsidRPr="00E1795C">
              <w:rPr>
                <w:b w:val="0"/>
                <w:bCs w:val="0"/>
                <w:color w:val="000000" w:themeColor="text1"/>
              </w:rPr>
              <w:t>AND</w:t>
            </w:r>
          </w:p>
        </w:tc>
      </w:tr>
      <w:tr w:rsidR="00E1795C" w14:paraId="00745C30" w14:textId="77777777" w:rsidTr="00C61BEE">
        <w:tc>
          <w:tcPr>
            <w:cnfStyle w:val="001000000000" w:firstRow="0" w:lastRow="0" w:firstColumn="1" w:lastColumn="0" w:oddVBand="0" w:evenVBand="0" w:oddHBand="0" w:evenHBand="0" w:firstRowFirstColumn="0" w:firstRowLastColumn="0" w:lastRowFirstColumn="0" w:lastRowLastColumn="0"/>
            <w:tcW w:w="9016" w:type="dxa"/>
          </w:tcPr>
          <w:p w14:paraId="6E063D8E" w14:textId="77777777" w:rsidR="00E1795C" w:rsidRPr="00E1795C" w:rsidRDefault="00E1795C" w:rsidP="00C61BEE">
            <w:pPr>
              <w:rPr>
                <w:b w:val="0"/>
                <w:bCs w:val="0"/>
                <w:color w:val="000000" w:themeColor="text1"/>
              </w:rPr>
            </w:pPr>
            <w:r w:rsidRPr="00E1795C">
              <w:rPr>
                <w:b w:val="0"/>
                <w:bCs w:val="0"/>
                <w:color w:val="000000" w:themeColor="text1"/>
              </w:rPr>
              <w:t>("Strategic Governance" OR "Strategic Management" OR Leadership)</w:t>
            </w:r>
          </w:p>
        </w:tc>
      </w:tr>
      <w:tr w:rsidR="00E1795C" w14:paraId="4B987D8B" w14:textId="77777777" w:rsidTr="00C61B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014A9F" w14:textId="77777777" w:rsidR="00E1795C" w:rsidRPr="00E1795C" w:rsidRDefault="00E1795C" w:rsidP="00C61BEE">
            <w:pPr>
              <w:rPr>
                <w:b w:val="0"/>
                <w:bCs w:val="0"/>
                <w:color w:val="000000" w:themeColor="text1"/>
              </w:rPr>
            </w:pPr>
            <w:r w:rsidRPr="00E1795C">
              <w:rPr>
                <w:b w:val="0"/>
                <w:bCs w:val="0"/>
                <w:color w:val="000000" w:themeColor="text1"/>
              </w:rPr>
              <w:t>AND</w:t>
            </w:r>
          </w:p>
        </w:tc>
      </w:tr>
      <w:tr w:rsidR="00E1795C" w14:paraId="29F78B53" w14:textId="77777777" w:rsidTr="00C61BEE">
        <w:tc>
          <w:tcPr>
            <w:cnfStyle w:val="001000000000" w:firstRow="0" w:lastRow="0" w:firstColumn="1" w:lastColumn="0" w:oddVBand="0" w:evenVBand="0" w:oddHBand="0" w:evenHBand="0" w:firstRowFirstColumn="0" w:firstRowLastColumn="0" w:lastRowFirstColumn="0" w:lastRowLastColumn="0"/>
            <w:tcW w:w="9016" w:type="dxa"/>
          </w:tcPr>
          <w:p w14:paraId="3415234A" w14:textId="77777777" w:rsidR="00E1795C" w:rsidRPr="00E1795C" w:rsidRDefault="00E1795C" w:rsidP="00C61BEE">
            <w:pPr>
              <w:rPr>
                <w:b w:val="0"/>
                <w:bCs w:val="0"/>
                <w:color w:val="000000" w:themeColor="text1"/>
              </w:rPr>
            </w:pPr>
            <w:r w:rsidRPr="00E1795C">
              <w:rPr>
                <w:b w:val="0"/>
                <w:bCs w:val="0"/>
                <w:color w:val="000000" w:themeColor="text1"/>
              </w:rPr>
              <w:t>(England OR "United Kingdom" OR UK)</w:t>
            </w:r>
          </w:p>
        </w:tc>
      </w:tr>
    </w:tbl>
    <w:p w14:paraId="53036C68" w14:textId="77777777" w:rsidR="00D51867" w:rsidRPr="00FE7CDA" w:rsidRDefault="00D51867" w:rsidP="005E5869">
      <w:pPr>
        <w:pStyle w:val="Caption"/>
        <w:jc w:val="center"/>
        <w:rPr>
          <w:sz w:val="20"/>
          <w:szCs w:val="20"/>
        </w:rPr>
      </w:pPr>
    </w:p>
    <w:p w14:paraId="164B17A3" w14:textId="77777777" w:rsidR="00FE7CDA" w:rsidRPr="00FE7CDA" w:rsidRDefault="002E18DF" w:rsidP="005E5869">
      <w:pPr>
        <w:pStyle w:val="Caption"/>
        <w:jc w:val="center"/>
        <w:rPr>
          <w:sz w:val="20"/>
          <w:szCs w:val="20"/>
        </w:rPr>
      </w:pPr>
      <w:r w:rsidRPr="00FE7CDA">
        <w:rPr>
          <w:sz w:val="20"/>
          <w:szCs w:val="20"/>
        </w:rPr>
        <w:t>Table C3: Combine</w:t>
      </w:r>
      <w:r w:rsidR="00FE7CDA" w:rsidRPr="00FE7CDA">
        <w:rPr>
          <w:sz w:val="20"/>
          <w:szCs w:val="20"/>
        </w:rPr>
        <w:t xml:space="preserve">d Boolean string used in the systematic literature review </w:t>
      </w:r>
    </w:p>
    <w:p w14:paraId="7A9DA11F" w14:textId="1051342B" w:rsidR="00845AB4" w:rsidRPr="00FE7CDA" w:rsidRDefault="000A5F39" w:rsidP="005E5869">
      <w:pPr>
        <w:pStyle w:val="Caption"/>
        <w:jc w:val="center"/>
        <w:rPr>
          <w:sz w:val="20"/>
          <w:szCs w:val="20"/>
        </w:rPr>
      </w:pPr>
      <w:r w:rsidRPr="00FE7CDA">
        <w:rPr>
          <w:sz w:val="20"/>
          <w:szCs w:val="20"/>
        </w:rPr>
        <w:t xml:space="preserve">Source: </w:t>
      </w:r>
      <w:r w:rsidR="005E5869" w:rsidRPr="00FE7CDA">
        <w:rPr>
          <w:sz w:val="20"/>
          <w:szCs w:val="20"/>
        </w:rPr>
        <w:t>Author’s own development, informed by Page et al. (2021), Rethlefsen et al. (2021).</w:t>
      </w:r>
    </w:p>
    <w:p w14:paraId="53D3FEE8" w14:textId="77777777" w:rsidR="00845AB4" w:rsidRDefault="00845AB4" w:rsidP="001D2E6D">
      <w:pPr>
        <w:pStyle w:val="Heading2"/>
      </w:pPr>
    </w:p>
    <w:p w14:paraId="71AA9419" w14:textId="77777777" w:rsidR="005E5869" w:rsidRDefault="005E5869" w:rsidP="005E5869"/>
    <w:p w14:paraId="05CDA3E0" w14:textId="77777777" w:rsidR="005E5869" w:rsidRPr="005E5869" w:rsidRDefault="005E5869" w:rsidP="005E5869"/>
    <w:p w14:paraId="2C0EDE9D" w14:textId="4728C272" w:rsidR="001D2E6D" w:rsidRDefault="001D2E6D" w:rsidP="001D2E6D">
      <w:pPr>
        <w:pStyle w:val="Heading2"/>
      </w:pPr>
    </w:p>
    <w:tbl>
      <w:tblPr>
        <w:tblStyle w:val="GridTable6ColourfulAccent4"/>
        <w:tblW w:w="0" w:type="auto"/>
        <w:tblLook w:val="04A0" w:firstRow="1" w:lastRow="0" w:firstColumn="1" w:lastColumn="0" w:noHBand="0" w:noVBand="1"/>
      </w:tblPr>
      <w:tblGrid>
        <w:gridCol w:w="4508"/>
        <w:gridCol w:w="4508"/>
      </w:tblGrid>
      <w:tr w:rsidR="001D2E6D" w14:paraId="069A4BD6" w14:textId="77777777" w:rsidTr="00727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7EF2F1" w14:textId="77777777" w:rsidR="001D2E6D" w:rsidRPr="002C670D" w:rsidRDefault="001D2E6D" w:rsidP="00727460">
            <w:pPr>
              <w:jc w:val="center"/>
              <w:rPr>
                <w:color w:val="000000" w:themeColor="text1"/>
                <w:sz w:val="24"/>
                <w:szCs w:val="24"/>
              </w:rPr>
            </w:pPr>
            <w:r w:rsidRPr="002C670D">
              <w:rPr>
                <w:color w:val="000000" w:themeColor="text1"/>
                <w:sz w:val="24"/>
                <w:szCs w:val="24"/>
              </w:rPr>
              <w:t>Inclusion Criteria</w:t>
            </w:r>
          </w:p>
        </w:tc>
        <w:tc>
          <w:tcPr>
            <w:tcW w:w="4508" w:type="dxa"/>
          </w:tcPr>
          <w:p w14:paraId="0E3AF373" w14:textId="77777777" w:rsidR="001D2E6D" w:rsidRPr="002C670D" w:rsidRDefault="001D2E6D" w:rsidP="00727460">
            <w:pPr>
              <w:jc w:val="cente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2C670D">
              <w:rPr>
                <w:color w:val="000000" w:themeColor="text1"/>
                <w:sz w:val="24"/>
                <w:szCs w:val="24"/>
              </w:rPr>
              <w:t>Exclusion Criteria</w:t>
            </w:r>
          </w:p>
        </w:tc>
      </w:tr>
      <w:tr w:rsidR="001D2E6D" w14:paraId="6B004D44" w14:textId="77777777" w:rsidTr="00727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5C080A" w14:textId="77777777" w:rsidR="001D2E6D" w:rsidRPr="002C670D" w:rsidRDefault="001D2E6D" w:rsidP="00727460">
            <w:pPr>
              <w:rPr>
                <w:b w:val="0"/>
                <w:bCs w:val="0"/>
                <w:color w:val="000000" w:themeColor="text1"/>
                <w:sz w:val="24"/>
                <w:szCs w:val="24"/>
              </w:rPr>
            </w:pPr>
            <w:r w:rsidRPr="002C670D">
              <w:rPr>
                <w:b w:val="0"/>
                <w:bCs w:val="0"/>
                <w:color w:val="000000" w:themeColor="text1"/>
                <w:sz w:val="24"/>
                <w:szCs w:val="24"/>
              </w:rPr>
              <w:t>Peer-reviewed journal articles</w:t>
            </w:r>
          </w:p>
        </w:tc>
        <w:tc>
          <w:tcPr>
            <w:tcW w:w="4508" w:type="dxa"/>
          </w:tcPr>
          <w:p w14:paraId="2DAD436C" w14:textId="77777777" w:rsidR="001D2E6D" w:rsidRPr="002C670D"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2C670D">
              <w:rPr>
                <w:color w:val="000000" w:themeColor="text1"/>
                <w:sz w:val="24"/>
                <w:szCs w:val="24"/>
              </w:rPr>
              <w:t>Conference abstracts only</w:t>
            </w:r>
          </w:p>
        </w:tc>
      </w:tr>
      <w:tr w:rsidR="001D2E6D" w14:paraId="101730F3" w14:textId="77777777" w:rsidTr="00727460">
        <w:tc>
          <w:tcPr>
            <w:cnfStyle w:val="001000000000" w:firstRow="0" w:lastRow="0" w:firstColumn="1" w:lastColumn="0" w:oddVBand="0" w:evenVBand="0" w:oddHBand="0" w:evenHBand="0" w:firstRowFirstColumn="0" w:firstRowLastColumn="0" w:lastRowFirstColumn="0" w:lastRowLastColumn="0"/>
            <w:tcW w:w="4508" w:type="dxa"/>
          </w:tcPr>
          <w:p w14:paraId="05A10B0A" w14:textId="77777777" w:rsidR="001D2E6D" w:rsidRPr="002C670D" w:rsidRDefault="001D2E6D" w:rsidP="00727460">
            <w:pPr>
              <w:rPr>
                <w:b w:val="0"/>
                <w:bCs w:val="0"/>
                <w:color w:val="000000" w:themeColor="text1"/>
                <w:sz w:val="24"/>
                <w:szCs w:val="24"/>
              </w:rPr>
            </w:pPr>
            <w:r w:rsidRPr="002C670D">
              <w:rPr>
                <w:b w:val="0"/>
                <w:bCs w:val="0"/>
                <w:color w:val="000000" w:themeColor="text1"/>
                <w:sz w:val="24"/>
                <w:szCs w:val="24"/>
              </w:rPr>
              <w:t>English-language publications</w:t>
            </w:r>
          </w:p>
        </w:tc>
        <w:tc>
          <w:tcPr>
            <w:tcW w:w="4508" w:type="dxa"/>
          </w:tcPr>
          <w:p w14:paraId="0E313050" w14:textId="77777777" w:rsidR="001D2E6D" w:rsidRPr="002C670D" w:rsidRDefault="001D2E6D" w:rsidP="00727460">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C670D">
              <w:rPr>
                <w:color w:val="000000" w:themeColor="text1"/>
                <w:sz w:val="24"/>
                <w:szCs w:val="24"/>
              </w:rPr>
              <w:t>Non-English publications</w:t>
            </w:r>
          </w:p>
        </w:tc>
      </w:tr>
      <w:tr w:rsidR="001D2E6D" w14:paraId="54134AB3" w14:textId="77777777" w:rsidTr="00727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BDA37B" w14:textId="77777777" w:rsidR="001D2E6D" w:rsidRPr="002C670D" w:rsidRDefault="001D2E6D" w:rsidP="00727460">
            <w:pPr>
              <w:rPr>
                <w:b w:val="0"/>
                <w:bCs w:val="0"/>
                <w:color w:val="000000" w:themeColor="text1"/>
                <w:sz w:val="24"/>
                <w:szCs w:val="24"/>
              </w:rPr>
            </w:pPr>
            <w:r w:rsidRPr="002C670D">
              <w:rPr>
                <w:b w:val="0"/>
                <w:bCs w:val="0"/>
                <w:color w:val="000000" w:themeColor="text1"/>
                <w:sz w:val="24"/>
                <w:szCs w:val="24"/>
              </w:rPr>
              <w:t>Published between 2022 and 2026</w:t>
            </w:r>
          </w:p>
        </w:tc>
        <w:tc>
          <w:tcPr>
            <w:tcW w:w="4508" w:type="dxa"/>
          </w:tcPr>
          <w:p w14:paraId="5A359148" w14:textId="77777777" w:rsidR="001D2E6D" w:rsidRPr="002C670D"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2C670D">
              <w:rPr>
                <w:color w:val="000000" w:themeColor="text1"/>
                <w:sz w:val="24"/>
                <w:szCs w:val="24"/>
              </w:rPr>
              <w:t>Publications before 2022 unless recognised as seminal works</w:t>
            </w:r>
          </w:p>
        </w:tc>
      </w:tr>
      <w:tr w:rsidR="001D2E6D" w14:paraId="32F7B78D" w14:textId="77777777" w:rsidTr="00727460">
        <w:tc>
          <w:tcPr>
            <w:cnfStyle w:val="001000000000" w:firstRow="0" w:lastRow="0" w:firstColumn="1" w:lastColumn="0" w:oddVBand="0" w:evenVBand="0" w:oddHBand="0" w:evenHBand="0" w:firstRowFirstColumn="0" w:firstRowLastColumn="0" w:lastRowFirstColumn="0" w:lastRowLastColumn="0"/>
            <w:tcW w:w="4508" w:type="dxa"/>
          </w:tcPr>
          <w:p w14:paraId="0325A32D" w14:textId="77777777" w:rsidR="001D2E6D" w:rsidRPr="008C1AB7" w:rsidRDefault="001D2E6D" w:rsidP="00727460">
            <w:pPr>
              <w:rPr>
                <w:b w:val="0"/>
                <w:bCs w:val="0"/>
                <w:color w:val="000000" w:themeColor="text1"/>
                <w:sz w:val="24"/>
                <w:szCs w:val="24"/>
              </w:rPr>
            </w:pPr>
            <w:r w:rsidRPr="008C1AB7">
              <w:rPr>
                <w:b w:val="0"/>
                <w:bCs w:val="0"/>
                <w:color w:val="000000" w:themeColor="text1"/>
                <w:sz w:val="24"/>
                <w:szCs w:val="24"/>
              </w:rPr>
              <w:t>Research focusing on AI governance, ethical AI, strategic governance or AI implementation in HE</w:t>
            </w:r>
          </w:p>
        </w:tc>
        <w:tc>
          <w:tcPr>
            <w:tcW w:w="4508" w:type="dxa"/>
          </w:tcPr>
          <w:p w14:paraId="55F1A946" w14:textId="77777777" w:rsidR="001D2E6D" w:rsidRPr="008C1AB7" w:rsidRDefault="001D2E6D" w:rsidP="00727460">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8C1AB7">
              <w:rPr>
                <w:color w:val="000000" w:themeColor="text1"/>
                <w:sz w:val="24"/>
                <w:szCs w:val="24"/>
              </w:rPr>
              <w:t xml:space="preserve">Technical AI development without governance or organisational implications </w:t>
            </w:r>
          </w:p>
        </w:tc>
      </w:tr>
      <w:tr w:rsidR="001D2E6D" w14:paraId="37A2109C" w14:textId="77777777" w:rsidTr="00727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4973E3" w14:textId="77777777" w:rsidR="001D2E6D" w:rsidRPr="008C1AB7" w:rsidRDefault="001D2E6D" w:rsidP="00727460">
            <w:pPr>
              <w:rPr>
                <w:b w:val="0"/>
                <w:bCs w:val="0"/>
                <w:color w:val="000000" w:themeColor="text1"/>
                <w:sz w:val="24"/>
                <w:szCs w:val="24"/>
              </w:rPr>
            </w:pPr>
            <w:r w:rsidRPr="008C1AB7">
              <w:rPr>
                <w:b w:val="0"/>
                <w:bCs w:val="0"/>
                <w:color w:val="000000" w:themeColor="text1"/>
                <w:sz w:val="24"/>
                <w:szCs w:val="24"/>
              </w:rPr>
              <w:t>Studies concerning universities or higher education institutions</w:t>
            </w:r>
          </w:p>
        </w:tc>
        <w:tc>
          <w:tcPr>
            <w:tcW w:w="4508" w:type="dxa"/>
          </w:tcPr>
          <w:p w14:paraId="70EFB93B" w14:textId="77777777" w:rsidR="001D2E6D" w:rsidRPr="008C1AB7"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8C1AB7">
              <w:rPr>
                <w:color w:val="000000" w:themeColor="text1"/>
                <w:sz w:val="24"/>
                <w:szCs w:val="24"/>
              </w:rPr>
              <w:t>Studies focusing exclusively on schools, healthcare or commercial AI applications</w:t>
            </w:r>
          </w:p>
        </w:tc>
      </w:tr>
      <w:tr w:rsidR="001D2E6D" w:rsidRPr="008C1AB7" w14:paraId="435C6D88" w14:textId="77777777" w:rsidTr="00727460">
        <w:tc>
          <w:tcPr>
            <w:cnfStyle w:val="001000000000" w:firstRow="0" w:lastRow="0" w:firstColumn="1" w:lastColumn="0" w:oddVBand="0" w:evenVBand="0" w:oddHBand="0" w:evenHBand="0" w:firstRowFirstColumn="0" w:firstRowLastColumn="0" w:lastRowFirstColumn="0" w:lastRowLastColumn="0"/>
            <w:tcW w:w="4508" w:type="dxa"/>
          </w:tcPr>
          <w:p w14:paraId="5F63F408" w14:textId="77777777" w:rsidR="001D2E6D" w:rsidRPr="008C1AB7" w:rsidRDefault="001D2E6D" w:rsidP="00727460">
            <w:pPr>
              <w:rPr>
                <w:b w:val="0"/>
                <w:bCs w:val="0"/>
                <w:color w:val="000000" w:themeColor="text1"/>
                <w:sz w:val="24"/>
                <w:szCs w:val="24"/>
              </w:rPr>
            </w:pPr>
            <w:r w:rsidRPr="008C1AB7">
              <w:rPr>
                <w:b w:val="0"/>
                <w:bCs w:val="0"/>
                <w:color w:val="000000" w:themeColor="text1"/>
                <w:sz w:val="24"/>
                <w:szCs w:val="24"/>
              </w:rPr>
              <w:t>High-quality policy documents (OECD, UNESCO, EU, UK Government)</w:t>
            </w:r>
          </w:p>
        </w:tc>
        <w:tc>
          <w:tcPr>
            <w:tcW w:w="4508" w:type="dxa"/>
          </w:tcPr>
          <w:p w14:paraId="1895BC10" w14:textId="77777777" w:rsidR="001D2E6D" w:rsidRPr="008C1AB7" w:rsidRDefault="001D2E6D" w:rsidP="00727460">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8C1AB7">
              <w:rPr>
                <w:color w:val="000000" w:themeColor="text1"/>
                <w:sz w:val="24"/>
                <w:szCs w:val="24"/>
              </w:rPr>
              <w:t>Opinion pieces, blogs and non-peer-reviewed sources</w:t>
            </w:r>
          </w:p>
        </w:tc>
      </w:tr>
    </w:tbl>
    <w:p w14:paraId="7ADB2805" w14:textId="77777777" w:rsidR="00D51867" w:rsidRPr="00FE7CDA" w:rsidRDefault="00D51867" w:rsidP="009E0D0E">
      <w:pPr>
        <w:pStyle w:val="Caption"/>
        <w:jc w:val="center"/>
        <w:rPr>
          <w:sz w:val="20"/>
          <w:szCs w:val="20"/>
        </w:rPr>
      </w:pPr>
    </w:p>
    <w:p w14:paraId="792325EA" w14:textId="77777777" w:rsidR="00FE7CDA" w:rsidRPr="00FE7CDA" w:rsidRDefault="00FE7CDA" w:rsidP="009E0D0E">
      <w:pPr>
        <w:pStyle w:val="Caption"/>
        <w:jc w:val="center"/>
        <w:rPr>
          <w:sz w:val="20"/>
          <w:szCs w:val="20"/>
        </w:rPr>
      </w:pPr>
      <w:r w:rsidRPr="00FE7CDA">
        <w:rPr>
          <w:sz w:val="20"/>
          <w:szCs w:val="20"/>
        </w:rPr>
        <w:t xml:space="preserve">Table C4: Inclusion and exclusion criteria for the systematic literature review </w:t>
      </w:r>
    </w:p>
    <w:p w14:paraId="0FF4590F" w14:textId="0B027A86" w:rsidR="000D53DB" w:rsidRPr="00FE7CDA" w:rsidRDefault="00C64752" w:rsidP="009E0D0E">
      <w:pPr>
        <w:pStyle w:val="Caption"/>
        <w:jc w:val="center"/>
        <w:rPr>
          <w:sz w:val="20"/>
          <w:szCs w:val="20"/>
        </w:rPr>
      </w:pPr>
      <w:r w:rsidRPr="00FE7CDA">
        <w:rPr>
          <w:sz w:val="20"/>
          <w:szCs w:val="20"/>
        </w:rPr>
        <w:t xml:space="preserve">Source: </w:t>
      </w:r>
      <w:r w:rsidR="009E0D0E" w:rsidRPr="00FE7CDA">
        <w:rPr>
          <w:sz w:val="20"/>
          <w:szCs w:val="20"/>
        </w:rPr>
        <w:t xml:space="preserve">Author’s own development, informed by Page et al. (2021), </w:t>
      </w:r>
      <w:r w:rsidR="00254017" w:rsidRPr="00FE7CDA">
        <w:rPr>
          <w:sz w:val="20"/>
          <w:szCs w:val="20"/>
        </w:rPr>
        <w:t>Aromataris</w:t>
      </w:r>
      <w:r w:rsidR="009E0D0E" w:rsidRPr="00FE7CDA">
        <w:rPr>
          <w:sz w:val="20"/>
          <w:szCs w:val="20"/>
        </w:rPr>
        <w:t xml:space="preserve"> et al. (2024).</w:t>
      </w:r>
    </w:p>
    <w:p w14:paraId="4F46464C" w14:textId="77777777" w:rsidR="005E5869" w:rsidRDefault="005E5869" w:rsidP="00884FB0"/>
    <w:p w14:paraId="6958E3F8" w14:textId="77777777" w:rsidR="005E5869" w:rsidRDefault="005E5869" w:rsidP="00884FB0"/>
    <w:p w14:paraId="1E487C51" w14:textId="77777777" w:rsidR="005E5869" w:rsidRDefault="005E5869" w:rsidP="00884FB0"/>
    <w:p w14:paraId="1F302891" w14:textId="77777777" w:rsidR="005E5869" w:rsidRDefault="005E5869" w:rsidP="00884FB0"/>
    <w:p w14:paraId="75B302AA" w14:textId="77777777" w:rsidR="005E5869" w:rsidRDefault="005E5869" w:rsidP="00884FB0"/>
    <w:p w14:paraId="3C620A8C" w14:textId="77777777" w:rsidR="005E5869" w:rsidRDefault="005E5869" w:rsidP="00884FB0"/>
    <w:p w14:paraId="7262D855" w14:textId="17980353" w:rsidR="001D2E6D" w:rsidRDefault="001D2E6D" w:rsidP="001D2E6D">
      <w:pPr>
        <w:pStyle w:val="Heading2"/>
      </w:pPr>
    </w:p>
    <w:tbl>
      <w:tblPr>
        <w:tblStyle w:val="TableGrid"/>
        <w:tblW w:w="7905" w:type="dxa"/>
        <w:jc w:val="center"/>
        <w:tblLayout w:type="fixed"/>
        <w:tblCellMar>
          <w:top w:w="70" w:type="dxa"/>
          <w:left w:w="70" w:type="dxa"/>
          <w:bottom w:w="70" w:type="dxa"/>
          <w:right w:w="70" w:type="dxa"/>
        </w:tblCellMar>
        <w:tblLook w:val="04A0" w:firstRow="1" w:lastRow="0" w:firstColumn="1" w:lastColumn="0" w:noHBand="0" w:noVBand="1"/>
      </w:tblPr>
      <w:tblGrid>
        <w:gridCol w:w="1602"/>
        <w:gridCol w:w="6303"/>
      </w:tblGrid>
      <w:tr w:rsidR="009C63E8" w14:paraId="7A792453" w14:textId="77777777" w:rsidTr="00EF5B04">
        <w:trPr>
          <w:jc w:val="center"/>
        </w:trPr>
        <w:tc>
          <w:tcPr>
            <w:tcW w:w="1602" w:type="dxa"/>
            <w:shd w:val="clear" w:color="auto" w:fill="D9EAF7"/>
            <w:vAlign w:val="center"/>
          </w:tcPr>
          <w:p w14:paraId="6CC26153" w14:textId="77777777" w:rsidR="009C63E8" w:rsidRPr="00C91881" w:rsidRDefault="009C63E8" w:rsidP="00EF5B04">
            <w:pPr>
              <w:jc w:val="center"/>
              <w:rPr>
                <w:rFonts w:ascii="Calibri" w:hAnsi="Calibri" w:cs="Calibri"/>
                <w:sz w:val="24"/>
                <w:szCs w:val="24"/>
              </w:rPr>
            </w:pPr>
            <w:r w:rsidRPr="00C91881">
              <w:rPr>
                <w:rFonts w:ascii="Calibri" w:hAnsi="Calibri" w:cs="Calibri"/>
                <w:b/>
                <w:sz w:val="24"/>
                <w:szCs w:val="24"/>
              </w:rPr>
              <w:t>Stage</w:t>
            </w:r>
          </w:p>
        </w:tc>
        <w:tc>
          <w:tcPr>
            <w:tcW w:w="6303" w:type="dxa"/>
            <w:shd w:val="clear" w:color="auto" w:fill="D9EAF7"/>
            <w:vAlign w:val="center"/>
          </w:tcPr>
          <w:p w14:paraId="781C8DCF" w14:textId="77777777" w:rsidR="009C63E8" w:rsidRPr="00C91881" w:rsidRDefault="009C63E8" w:rsidP="00EF5B04">
            <w:pPr>
              <w:jc w:val="center"/>
              <w:rPr>
                <w:rFonts w:ascii="Calibri" w:hAnsi="Calibri" w:cs="Calibri"/>
                <w:sz w:val="24"/>
                <w:szCs w:val="24"/>
              </w:rPr>
            </w:pPr>
            <w:r w:rsidRPr="00C91881">
              <w:rPr>
                <w:rFonts w:ascii="Calibri" w:hAnsi="Calibri" w:cs="Calibri"/>
                <w:b/>
                <w:sz w:val="24"/>
                <w:szCs w:val="24"/>
              </w:rPr>
              <w:t>Selection Activity</w:t>
            </w:r>
          </w:p>
        </w:tc>
      </w:tr>
      <w:tr w:rsidR="009C63E8" w14:paraId="28BD2ED0" w14:textId="77777777" w:rsidTr="00EF5B04">
        <w:trPr>
          <w:jc w:val="center"/>
        </w:trPr>
        <w:tc>
          <w:tcPr>
            <w:tcW w:w="1602" w:type="dxa"/>
          </w:tcPr>
          <w:p w14:paraId="1473742C"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Identification</w:t>
            </w:r>
          </w:p>
        </w:tc>
        <w:tc>
          <w:tcPr>
            <w:tcW w:w="6303" w:type="dxa"/>
          </w:tcPr>
          <w:p w14:paraId="2C3C84BE" w14:textId="10717017" w:rsidR="009C63E8" w:rsidRPr="00C91881" w:rsidRDefault="008A4292" w:rsidP="00EF5B04">
            <w:pPr>
              <w:rPr>
                <w:rFonts w:ascii="Calibri" w:hAnsi="Calibri" w:cs="Calibri"/>
                <w:sz w:val="24"/>
                <w:szCs w:val="24"/>
              </w:rPr>
            </w:pPr>
            <w:r w:rsidRPr="00C91881">
              <w:rPr>
                <w:rFonts w:ascii="Calibri" w:hAnsi="Calibri" w:cs="Calibri"/>
                <w:sz w:val="24"/>
                <w:szCs w:val="24"/>
              </w:rPr>
              <w:t>I</w:t>
            </w:r>
            <w:r w:rsidR="00CB016A" w:rsidRPr="00C91881">
              <w:rPr>
                <w:rFonts w:ascii="Calibri" w:hAnsi="Calibri" w:cs="Calibri"/>
                <w:sz w:val="24"/>
                <w:szCs w:val="24"/>
              </w:rPr>
              <w:t xml:space="preserve">dentified </w:t>
            </w:r>
            <w:r w:rsidRPr="00C91881">
              <w:rPr>
                <w:rFonts w:ascii="Calibri" w:hAnsi="Calibri" w:cs="Calibri"/>
                <w:sz w:val="24"/>
                <w:szCs w:val="24"/>
              </w:rPr>
              <w:t xml:space="preserve">records are </w:t>
            </w:r>
            <w:r w:rsidR="00C91881" w:rsidRPr="00C91881">
              <w:rPr>
                <w:rFonts w:ascii="Calibri" w:hAnsi="Calibri" w:cs="Calibri"/>
                <w:sz w:val="24"/>
                <w:szCs w:val="24"/>
              </w:rPr>
              <w:t>2,486 through</w:t>
            </w:r>
            <w:r w:rsidR="00CB016A" w:rsidRPr="00C91881">
              <w:rPr>
                <w:rFonts w:ascii="Calibri" w:hAnsi="Calibri" w:cs="Calibri"/>
                <w:sz w:val="24"/>
                <w:szCs w:val="24"/>
              </w:rPr>
              <w:t xml:space="preserve"> six academic databases, plus 94 additional records </w:t>
            </w:r>
            <w:r w:rsidR="009C63E8" w:rsidRPr="00C91881">
              <w:rPr>
                <w:rFonts w:ascii="Calibri" w:hAnsi="Calibri" w:cs="Calibri"/>
                <w:sz w:val="24"/>
                <w:szCs w:val="24"/>
              </w:rPr>
              <w:t>through citation searching and reference lists, for a total of 2,580 records.</w:t>
            </w:r>
          </w:p>
        </w:tc>
      </w:tr>
      <w:tr w:rsidR="009C63E8" w14:paraId="22B2B4D5" w14:textId="77777777" w:rsidTr="00EF5B04">
        <w:trPr>
          <w:jc w:val="center"/>
        </w:trPr>
        <w:tc>
          <w:tcPr>
            <w:tcW w:w="1602" w:type="dxa"/>
          </w:tcPr>
          <w:p w14:paraId="7CB9A778"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Pre-screening</w:t>
            </w:r>
          </w:p>
        </w:tc>
        <w:tc>
          <w:tcPr>
            <w:tcW w:w="6303" w:type="dxa"/>
          </w:tcPr>
          <w:p w14:paraId="795A927D" w14:textId="2A4A78FD" w:rsidR="009C63E8" w:rsidRPr="00C91881" w:rsidRDefault="00CB016A" w:rsidP="00EF5B04">
            <w:pPr>
              <w:rPr>
                <w:rFonts w:ascii="Calibri" w:hAnsi="Calibri" w:cs="Calibri"/>
                <w:sz w:val="24"/>
                <w:szCs w:val="24"/>
              </w:rPr>
            </w:pPr>
            <w:r w:rsidRPr="00C91881">
              <w:rPr>
                <w:rFonts w:ascii="Calibri" w:hAnsi="Calibri" w:cs="Calibri"/>
                <w:sz w:val="24"/>
                <w:szCs w:val="24"/>
              </w:rPr>
              <w:t xml:space="preserve">We removed 612 duplicate </w:t>
            </w:r>
            <w:r w:rsidR="00C91881" w:rsidRPr="00C91881">
              <w:rPr>
                <w:rFonts w:ascii="Calibri" w:hAnsi="Calibri" w:cs="Calibri"/>
                <w:sz w:val="24"/>
                <w:szCs w:val="24"/>
              </w:rPr>
              <w:t>records</w:t>
            </w:r>
            <w:r w:rsidRPr="00C91881">
              <w:rPr>
                <w:rFonts w:ascii="Calibri" w:hAnsi="Calibri" w:cs="Calibri"/>
                <w:sz w:val="24"/>
                <w:szCs w:val="24"/>
              </w:rPr>
              <w:t xml:space="preserve"> and 73 records marked ineligible by automated filters </w:t>
            </w:r>
            <w:r w:rsidR="009C63E8" w:rsidRPr="00C91881">
              <w:rPr>
                <w:rFonts w:ascii="Calibri" w:hAnsi="Calibri" w:cs="Calibri"/>
                <w:sz w:val="24"/>
                <w:szCs w:val="24"/>
              </w:rPr>
              <w:t>before screening (685 records removed in total).</w:t>
            </w:r>
          </w:p>
        </w:tc>
      </w:tr>
      <w:tr w:rsidR="009C63E8" w14:paraId="75F4FC22" w14:textId="77777777" w:rsidTr="00EF5B04">
        <w:trPr>
          <w:jc w:val="center"/>
        </w:trPr>
        <w:tc>
          <w:tcPr>
            <w:tcW w:w="1602" w:type="dxa"/>
          </w:tcPr>
          <w:p w14:paraId="3CD006C0"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Screening</w:t>
            </w:r>
          </w:p>
        </w:tc>
        <w:tc>
          <w:tcPr>
            <w:tcW w:w="6303" w:type="dxa"/>
          </w:tcPr>
          <w:p w14:paraId="139FD682"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1,895 records were screened by title and abstract; 1,433 records were excluded because they did not meet the preliminary eligibility criteria.</w:t>
            </w:r>
          </w:p>
        </w:tc>
      </w:tr>
      <w:tr w:rsidR="009C63E8" w14:paraId="2CA704E3" w14:textId="77777777" w:rsidTr="00EF5B04">
        <w:trPr>
          <w:jc w:val="center"/>
        </w:trPr>
        <w:tc>
          <w:tcPr>
            <w:tcW w:w="1602" w:type="dxa"/>
          </w:tcPr>
          <w:p w14:paraId="5279AC6C"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Retrieval</w:t>
            </w:r>
          </w:p>
        </w:tc>
        <w:tc>
          <w:tcPr>
            <w:tcW w:w="6303" w:type="dxa"/>
          </w:tcPr>
          <w:p w14:paraId="20D87FAE"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462 reports were sought for retrieval; 17 reports were not retrieved, leaving 445 full-text reports available for eligibility assessment.</w:t>
            </w:r>
          </w:p>
        </w:tc>
      </w:tr>
      <w:tr w:rsidR="009C63E8" w14:paraId="254705A5" w14:textId="77777777" w:rsidTr="00EF5B04">
        <w:trPr>
          <w:jc w:val="center"/>
        </w:trPr>
        <w:tc>
          <w:tcPr>
            <w:tcW w:w="1602" w:type="dxa"/>
          </w:tcPr>
          <w:p w14:paraId="1E7347AB"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Eligibility</w:t>
            </w:r>
          </w:p>
        </w:tc>
        <w:tc>
          <w:tcPr>
            <w:tcW w:w="6303" w:type="dxa"/>
          </w:tcPr>
          <w:p w14:paraId="47911E5F"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445 full-text reports were assessed against the predefined inclusion and exclusion criteria. Of these, 290 reports were excluded during full-text eligibility assessment, leaving 155 studies for final appraisal. A further 18 studies were excluded at the final eligibility/appraisal stage, leaving 137 studies in the final evidence base.</w:t>
            </w:r>
          </w:p>
        </w:tc>
      </w:tr>
      <w:tr w:rsidR="009C63E8" w14:paraId="54DB5280" w14:textId="77777777" w:rsidTr="00EF5B04">
        <w:trPr>
          <w:jc w:val="center"/>
        </w:trPr>
        <w:tc>
          <w:tcPr>
            <w:tcW w:w="1602" w:type="dxa"/>
          </w:tcPr>
          <w:p w14:paraId="30B04A55" w14:textId="77777777" w:rsidR="009C63E8" w:rsidRPr="00C91881" w:rsidRDefault="009C63E8" w:rsidP="00EF5B04">
            <w:pPr>
              <w:rPr>
                <w:rFonts w:ascii="Calibri" w:hAnsi="Calibri" w:cs="Calibri"/>
                <w:sz w:val="24"/>
                <w:szCs w:val="24"/>
              </w:rPr>
            </w:pPr>
            <w:r w:rsidRPr="00C91881">
              <w:rPr>
                <w:rFonts w:ascii="Calibri" w:hAnsi="Calibri" w:cs="Calibri"/>
                <w:sz w:val="24"/>
                <w:szCs w:val="24"/>
              </w:rPr>
              <w:t>Final selection</w:t>
            </w:r>
          </w:p>
        </w:tc>
        <w:tc>
          <w:tcPr>
            <w:tcW w:w="6303" w:type="dxa"/>
          </w:tcPr>
          <w:p w14:paraId="76206BFA" w14:textId="7E23DA36" w:rsidR="009C63E8" w:rsidRPr="00C91881" w:rsidRDefault="008A4292" w:rsidP="00EF5B04">
            <w:pPr>
              <w:rPr>
                <w:rFonts w:ascii="Calibri" w:hAnsi="Calibri" w:cs="Calibri"/>
                <w:sz w:val="24"/>
                <w:szCs w:val="24"/>
              </w:rPr>
            </w:pPr>
            <w:r w:rsidRPr="00C91881">
              <w:rPr>
                <w:rFonts w:ascii="Calibri" w:hAnsi="Calibri" w:cs="Calibri"/>
                <w:sz w:val="24"/>
                <w:szCs w:val="24"/>
              </w:rPr>
              <w:t xml:space="preserve">The final systematic review, thematic synthesis, and critical review included 137 studies </w:t>
            </w:r>
            <w:r w:rsidR="009C63E8" w:rsidRPr="00C91881">
              <w:rPr>
                <w:rFonts w:ascii="Calibri" w:hAnsi="Calibri" w:cs="Calibri"/>
                <w:sz w:val="24"/>
                <w:szCs w:val="24"/>
              </w:rPr>
              <w:t xml:space="preserve">(Appendix E, Table E1). </w:t>
            </w:r>
            <w:r w:rsidR="00C91881" w:rsidRPr="00C91881">
              <w:rPr>
                <w:rFonts w:ascii="Calibri" w:hAnsi="Calibri" w:cs="Calibri"/>
                <w:sz w:val="24"/>
                <w:szCs w:val="24"/>
              </w:rPr>
              <w:t>Table E2 documents the 18 studies excluded at the final eligibility/appraisal stage and their reasons for rejection</w:t>
            </w:r>
            <w:r w:rsidR="009C63E8" w:rsidRPr="00C91881">
              <w:rPr>
                <w:rFonts w:ascii="Calibri" w:hAnsi="Calibri" w:cs="Calibri"/>
                <w:sz w:val="24"/>
                <w:szCs w:val="24"/>
              </w:rPr>
              <w:t>, with the corresponding exclusion criteria presented in Table E3.</w:t>
            </w:r>
          </w:p>
        </w:tc>
      </w:tr>
    </w:tbl>
    <w:p w14:paraId="29448FDF" w14:textId="77777777" w:rsidR="00D51867" w:rsidRDefault="00D51867" w:rsidP="00044BA3">
      <w:pPr>
        <w:pStyle w:val="Caption"/>
        <w:jc w:val="center"/>
      </w:pPr>
    </w:p>
    <w:p w14:paraId="3A0ACA5C" w14:textId="77777777" w:rsidR="00F3511A" w:rsidRPr="00F3511A" w:rsidRDefault="00F3511A" w:rsidP="00044BA3">
      <w:pPr>
        <w:pStyle w:val="Caption"/>
        <w:jc w:val="center"/>
        <w:rPr>
          <w:sz w:val="20"/>
          <w:szCs w:val="20"/>
        </w:rPr>
      </w:pPr>
      <w:r w:rsidRPr="00F3511A">
        <w:rPr>
          <w:sz w:val="20"/>
          <w:szCs w:val="20"/>
        </w:rPr>
        <w:t xml:space="preserve">Table C5: Study identification, screening and selection process </w:t>
      </w:r>
    </w:p>
    <w:p w14:paraId="5D8FB8DF" w14:textId="4AC28E3C" w:rsidR="001D2E6D" w:rsidRPr="00C91881" w:rsidRDefault="00044BA3" w:rsidP="00C91881">
      <w:pPr>
        <w:pStyle w:val="Caption"/>
        <w:jc w:val="center"/>
        <w:rPr>
          <w:sz w:val="20"/>
          <w:szCs w:val="20"/>
        </w:rPr>
      </w:pPr>
      <w:r w:rsidRPr="00F3511A">
        <w:rPr>
          <w:sz w:val="20"/>
          <w:szCs w:val="20"/>
        </w:rPr>
        <w:t>Source: Author’s own development, following PRISMA 2020 (Page et al., 2021)</w:t>
      </w:r>
    </w:p>
    <w:tbl>
      <w:tblPr>
        <w:tblStyle w:val="GridTable6ColourfulAccent6"/>
        <w:tblW w:w="0" w:type="auto"/>
        <w:tblLook w:val="04A0" w:firstRow="1" w:lastRow="0" w:firstColumn="1" w:lastColumn="0" w:noHBand="0" w:noVBand="1"/>
      </w:tblPr>
      <w:tblGrid>
        <w:gridCol w:w="4508"/>
        <w:gridCol w:w="4508"/>
      </w:tblGrid>
      <w:tr w:rsidR="001D2E6D" w14:paraId="22668C91" w14:textId="77777777" w:rsidTr="00727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B42371" w14:textId="77777777" w:rsidR="001D2E6D" w:rsidRPr="00D93B34" w:rsidRDefault="001D2E6D" w:rsidP="00727460">
            <w:pPr>
              <w:jc w:val="center"/>
              <w:rPr>
                <w:color w:val="000000" w:themeColor="text1"/>
                <w:sz w:val="24"/>
                <w:szCs w:val="24"/>
              </w:rPr>
            </w:pPr>
            <w:r w:rsidRPr="00D93B34">
              <w:rPr>
                <w:color w:val="000000" w:themeColor="text1"/>
                <w:sz w:val="24"/>
                <w:szCs w:val="24"/>
              </w:rPr>
              <w:t>Policy Documents</w:t>
            </w:r>
          </w:p>
        </w:tc>
        <w:tc>
          <w:tcPr>
            <w:tcW w:w="4508" w:type="dxa"/>
          </w:tcPr>
          <w:p w14:paraId="32C09D7D" w14:textId="77777777" w:rsidR="001D2E6D" w:rsidRPr="00D93B34" w:rsidRDefault="001D2E6D" w:rsidP="00727460">
            <w:pPr>
              <w:jc w:val="cente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D93B34">
              <w:rPr>
                <w:color w:val="000000" w:themeColor="text1"/>
                <w:sz w:val="24"/>
                <w:szCs w:val="24"/>
              </w:rPr>
              <w:t>Quality Assessment Criteria</w:t>
            </w:r>
          </w:p>
        </w:tc>
      </w:tr>
      <w:tr w:rsidR="001D2E6D" w14:paraId="1B07CAA8" w14:textId="77777777" w:rsidTr="00727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32B6D71" w14:textId="77777777" w:rsidR="001D2E6D" w:rsidRPr="00D93B34" w:rsidRDefault="001D2E6D" w:rsidP="00727460">
            <w:pPr>
              <w:rPr>
                <w:b w:val="0"/>
                <w:bCs w:val="0"/>
                <w:color w:val="000000" w:themeColor="text1"/>
                <w:sz w:val="24"/>
                <w:szCs w:val="24"/>
              </w:rPr>
            </w:pPr>
            <w:r w:rsidRPr="00D93B34">
              <w:rPr>
                <w:color w:val="000000" w:themeColor="text1"/>
                <w:sz w:val="24"/>
                <w:szCs w:val="24"/>
              </w:rPr>
              <w:t>UNESCO</w:t>
            </w:r>
          </w:p>
          <w:p w14:paraId="44126EED" w14:textId="77777777" w:rsidR="001D2E6D" w:rsidRPr="00D93B34" w:rsidRDefault="001D2E6D" w:rsidP="00727460">
            <w:pPr>
              <w:rPr>
                <w:b w:val="0"/>
                <w:bCs w:val="0"/>
                <w:color w:val="000000" w:themeColor="text1"/>
                <w:sz w:val="24"/>
                <w:szCs w:val="24"/>
              </w:rPr>
            </w:pPr>
            <w:r w:rsidRPr="00D93B34">
              <w:rPr>
                <w:color w:val="000000" w:themeColor="text1"/>
                <w:sz w:val="24"/>
                <w:szCs w:val="24"/>
              </w:rPr>
              <w:t>OECD</w:t>
            </w:r>
          </w:p>
          <w:p w14:paraId="12366300" w14:textId="77777777" w:rsidR="001D2E6D" w:rsidRPr="00D93B34" w:rsidRDefault="001D2E6D" w:rsidP="00727460">
            <w:pPr>
              <w:rPr>
                <w:b w:val="0"/>
                <w:bCs w:val="0"/>
                <w:color w:val="000000" w:themeColor="text1"/>
                <w:sz w:val="24"/>
                <w:szCs w:val="24"/>
              </w:rPr>
            </w:pPr>
            <w:r w:rsidRPr="00D93B34">
              <w:rPr>
                <w:color w:val="000000" w:themeColor="text1"/>
                <w:sz w:val="24"/>
                <w:szCs w:val="24"/>
              </w:rPr>
              <w:t>The EU</w:t>
            </w:r>
          </w:p>
          <w:p w14:paraId="4B80B5DD" w14:textId="77777777" w:rsidR="001D2E6D" w:rsidRPr="00D93B34" w:rsidRDefault="001D2E6D" w:rsidP="00727460">
            <w:pPr>
              <w:rPr>
                <w:b w:val="0"/>
                <w:bCs w:val="0"/>
                <w:color w:val="000000" w:themeColor="text1"/>
                <w:sz w:val="24"/>
                <w:szCs w:val="24"/>
              </w:rPr>
            </w:pPr>
            <w:r w:rsidRPr="00D93B34">
              <w:rPr>
                <w:color w:val="000000" w:themeColor="text1"/>
                <w:sz w:val="24"/>
                <w:szCs w:val="24"/>
              </w:rPr>
              <w:t>The UK Government</w:t>
            </w:r>
          </w:p>
          <w:p w14:paraId="23CDC856" w14:textId="77777777" w:rsidR="001D2E6D" w:rsidRPr="00D93B34" w:rsidRDefault="001D2E6D" w:rsidP="00727460">
            <w:pPr>
              <w:rPr>
                <w:color w:val="000000" w:themeColor="text1"/>
                <w:sz w:val="24"/>
                <w:szCs w:val="24"/>
              </w:rPr>
            </w:pPr>
            <w:r w:rsidRPr="00D93B34">
              <w:rPr>
                <w:color w:val="000000" w:themeColor="text1"/>
                <w:sz w:val="24"/>
                <w:szCs w:val="24"/>
              </w:rPr>
              <w:t>Office for Students</w:t>
            </w:r>
          </w:p>
        </w:tc>
        <w:tc>
          <w:tcPr>
            <w:tcW w:w="4508" w:type="dxa"/>
          </w:tcPr>
          <w:p w14:paraId="288B580C"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Relevance to the research question</w:t>
            </w:r>
          </w:p>
          <w:p w14:paraId="04BD7ECF"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Methodological quality</w:t>
            </w:r>
          </w:p>
          <w:p w14:paraId="74B67262"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Philosophical and theoretical contribution</w:t>
            </w:r>
          </w:p>
          <w:p w14:paraId="164F19BB"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Relevance to English HE</w:t>
            </w:r>
          </w:p>
          <w:p w14:paraId="739AE5C9"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 xml:space="preserve">Contribution to AI Governance </w:t>
            </w:r>
          </w:p>
          <w:p w14:paraId="186E3B78"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Strategic management</w:t>
            </w:r>
          </w:p>
          <w:p w14:paraId="57EC305A" w14:textId="77777777" w:rsidR="001D2E6D" w:rsidRPr="00D93B34" w:rsidRDefault="001D2E6D" w:rsidP="00727460">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D93B34">
              <w:rPr>
                <w:color w:val="000000" w:themeColor="text1"/>
                <w:sz w:val="24"/>
                <w:szCs w:val="24"/>
              </w:rPr>
              <w:t>Ethical AI implementation</w:t>
            </w:r>
          </w:p>
        </w:tc>
      </w:tr>
    </w:tbl>
    <w:p w14:paraId="38C57908" w14:textId="77777777" w:rsidR="00D51867" w:rsidRDefault="00D51867" w:rsidP="00346676">
      <w:pPr>
        <w:pStyle w:val="Caption"/>
        <w:jc w:val="center"/>
      </w:pPr>
    </w:p>
    <w:p w14:paraId="07515EC5" w14:textId="77777777" w:rsidR="00AE7089" w:rsidRPr="003472CF" w:rsidRDefault="00346676" w:rsidP="00346676">
      <w:pPr>
        <w:pStyle w:val="Caption"/>
        <w:jc w:val="center"/>
        <w:rPr>
          <w:sz w:val="20"/>
          <w:szCs w:val="20"/>
        </w:rPr>
      </w:pPr>
      <w:r>
        <w:t xml:space="preserve"> </w:t>
      </w:r>
      <w:r w:rsidR="00AE7089" w:rsidRPr="003472CF">
        <w:rPr>
          <w:sz w:val="20"/>
          <w:szCs w:val="20"/>
        </w:rPr>
        <w:t xml:space="preserve">Table C6: Quality appraisal criteria for included evidence and policy documents </w:t>
      </w:r>
    </w:p>
    <w:p w14:paraId="10A7E35E" w14:textId="710BE3EE" w:rsidR="001D2E6D" w:rsidRPr="00C91881" w:rsidRDefault="00346676" w:rsidP="00C91881">
      <w:pPr>
        <w:pStyle w:val="Caption"/>
        <w:jc w:val="center"/>
        <w:rPr>
          <w:sz w:val="20"/>
          <w:szCs w:val="20"/>
        </w:rPr>
      </w:pPr>
      <w:r w:rsidRPr="003472CF">
        <w:rPr>
          <w:sz w:val="20"/>
          <w:szCs w:val="20"/>
        </w:rPr>
        <w:t>Source: Author’s own development, informed by Page et al. (2021), Aromataris et al. (2024).</w:t>
      </w:r>
    </w:p>
    <w:p w14:paraId="2BF052C1" w14:textId="49F6DAE5" w:rsidR="00417D14" w:rsidRPr="00682E2F" w:rsidRDefault="00417D14" w:rsidP="00682E2F">
      <w:pPr>
        <w:pStyle w:val="Heading2"/>
      </w:pPr>
    </w:p>
    <w:tbl>
      <w:tblPr>
        <w:tblStyle w:val="GridTable6ColourfulAccent5"/>
        <w:tblW w:w="0" w:type="auto"/>
        <w:tblLook w:val="04A0" w:firstRow="1" w:lastRow="0" w:firstColumn="1" w:lastColumn="0" w:noHBand="0" w:noVBand="1"/>
      </w:tblPr>
      <w:tblGrid>
        <w:gridCol w:w="1346"/>
        <w:gridCol w:w="3469"/>
        <w:gridCol w:w="4201"/>
      </w:tblGrid>
      <w:tr w:rsidR="00417D14" w:rsidRPr="00BD6E71" w14:paraId="7582B444" w14:textId="77777777" w:rsidTr="00682E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6" w:type="dxa"/>
          </w:tcPr>
          <w:p w14:paraId="3DA38D55" w14:textId="77777777" w:rsidR="00417D14" w:rsidRPr="00BD6E71" w:rsidRDefault="00417D14" w:rsidP="00727460">
            <w:pPr>
              <w:spacing w:line="360" w:lineRule="auto"/>
              <w:jc w:val="both"/>
              <w:rPr>
                <w:rFonts w:ascii="Calibri" w:hAnsi="Calibri" w:cs="Calibri"/>
                <w:color w:val="000000" w:themeColor="text1"/>
                <w:sz w:val="24"/>
                <w:szCs w:val="24"/>
              </w:rPr>
            </w:pPr>
            <w:r w:rsidRPr="00BD6E71">
              <w:rPr>
                <w:rFonts w:ascii="Calibri" w:hAnsi="Calibri" w:cs="Calibri"/>
                <w:color w:val="000000" w:themeColor="text1"/>
                <w:sz w:val="24"/>
                <w:szCs w:val="24"/>
              </w:rPr>
              <w:t>Framework</w:t>
            </w:r>
          </w:p>
        </w:tc>
        <w:tc>
          <w:tcPr>
            <w:tcW w:w="3469" w:type="dxa"/>
          </w:tcPr>
          <w:p w14:paraId="4671B9D7" w14:textId="77777777" w:rsidR="00417D14" w:rsidRPr="00BD6E71" w:rsidRDefault="00417D14" w:rsidP="00727460">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sidRPr="00BD6E71">
              <w:rPr>
                <w:rFonts w:ascii="Calibri" w:hAnsi="Calibri" w:cs="Calibri"/>
                <w:color w:val="000000" w:themeColor="text1"/>
                <w:sz w:val="24"/>
                <w:szCs w:val="24"/>
              </w:rPr>
              <w:t xml:space="preserve">Strengths </w:t>
            </w:r>
          </w:p>
        </w:tc>
        <w:tc>
          <w:tcPr>
            <w:tcW w:w="4201" w:type="dxa"/>
          </w:tcPr>
          <w:p w14:paraId="13F33D48" w14:textId="77777777" w:rsidR="00417D14" w:rsidRPr="00BD6E71" w:rsidRDefault="00417D14" w:rsidP="00727460">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sidRPr="00BD6E71">
              <w:rPr>
                <w:rFonts w:ascii="Calibri" w:hAnsi="Calibri" w:cs="Calibri"/>
                <w:color w:val="000000" w:themeColor="text1"/>
                <w:sz w:val="24"/>
                <w:szCs w:val="24"/>
              </w:rPr>
              <w:t>Weaknesses</w:t>
            </w:r>
          </w:p>
        </w:tc>
      </w:tr>
      <w:tr w:rsidR="00417D14" w:rsidRPr="00BD6E71" w14:paraId="2CA2A444" w14:textId="77777777" w:rsidTr="00682E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6" w:type="dxa"/>
          </w:tcPr>
          <w:p w14:paraId="324A8EFD" w14:textId="77777777" w:rsidR="00417D14" w:rsidRPr="00BD6E71" w:rsidRDefault="00417D14" w:rsidP="00727460">
            <w:pPr>
              <w:spacing w:line="360" w:lineRule="auto"/>
              <w:jc w:val="both"/>
              <w:rPr>
                <w:rFonts w:ascii="Calibri" w:hAnsi="Calibri" w:cs="Calibri"/>
                <w:color w:val="000000" w:themeColor="text1"/>
                <w:sz w:val="24"/>
                <w:szCs w:val="24"/>
              </w:rPr>
            </w:pPr>
            <w:r w:rsidRPr="00BD6E71">
              <w:rPr>
                <w:rFonts w:ascii="Calibri" w:hAnsi="Calibri" w:cs="Calibri"/>
                <w:color w:val="000000" w:themeColor="text1"/>
                <w:sz w:val="24"/>
                <w:szCs w:val="24"/>
              </w:rPr>
              <w:t>OECD</w:t>
            </w:r>
          </w:p>
        </w:tc>
        <w:tc>
          <w:tcPr>
            <w:tcW w:w="3469" w:type="dxa"/>
          </w:tcPr>
          <w:p w14:paraId="715C442B" w14:textId="77777777" w:rsidR="00417D14" w:rsidRPr="00BD6E71" w:rsidRDefault="00417D14" w:rsidP="00727460">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sz w:val="24"/>
                <w:szCs w:val="24"/>
              </w:rPr>
            </w:pPr>
            <w:r w:rsidRPr="00BD6E71">
              <w:rPr>
                <w:rFonts w:ascii="Calibri" w:hAnsi="Calibri" w:cs="Calibri"/>
                <w:color w:val="000000" w:themeColor="text1"/>
                <w:sz w:val="24"/>
                <w:szCs w:val="24"/>
              </w:rPr>
              <w:t>Global Recognition</w:t>
            </w:r>
            <w:r>
              <w:rPr>
                <w:rFonts w:ascii="Calibri" w:hAnsi="Calibri" w:cs="Calibri"/>
                <w:color w:val="000000" w:themeColor="text1"/>
                <w:sz w:val="24"/>
                <w:szCs w:val="24"/>
              </w:rPr>
              <w:t xml:space="preserve"> and principles-based flexibility</w:t>
            </w:r>
          </w:p>
        </w:tc>
        <w:tc>
          <w:tcPr>
            <w:tcW w:w="4201" w:type="dxa"/>
          </w:tcPr>
          <w:p w14:paraId="7BB011AA" w14:textId="77777777" w:rsidR="00417D14" w:rsidRPr="00BD6E71" w:rsidRDefault="00417D14" w:rsidP="00727460">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sz w:val="24"/>
                <w:szCs w:val="24"/>
              </w:rPr>
            </w:pPr>
            <w:r w:rsidRPr="00BD6E71">
              <w:rPr>
                <w:rFonts w:ascii="Calibri" w:hAnsi="Calibri" w:cs="Calibri"/>
                <w:color w:val="000000" w:themeColor="text1"/>
                <w:sz w:val="24"/>
                <w:szCs w:val="24"/>
              </w:rPr>
              <w:t>Broad guidance</w:t>
            </w:r>
            <w:r>
              <w:rPr>
                <w:rFonts w:ascii="Calibri" w:hAnsi="Calibri" w:cs="Calibri"/>
                <w:color w:val="000000" w:themeColor="text1"/>
                <w:sz w:val="24"/>
                <w:szCs w:val="24"/>
              </w:rPr>
              <w:t xml:space="preserve"> with limited HE-specific operational detail</w:t>
            </w:r>
          </w:p>
        </w:tc>
      </w:tr>
      <w:tr w:rsidR="00417D14" w:rsidRPr="00BD6E71" w14:paraId="00BF5E33" w14:textId="77777777" w:rsidTr="00682E2F">
        <w:tc>
          <w:tcPr>
            <w:cnfStyle w:val="001000000000" w:firstRow="0" w:lastRow="0" w:firstColumn="1" w:lastColumn="0" w:oddVBand="0" w:evenVBand="0" w:oddHBand="0" w:evenHBand="0" w:firstRowFirstColumn="0" w:firstRowLastColumn="0" w:lastRowFirstColumn="0" w:lastRowLastColumn="0"/>
            <w:tcW w:w="1346" w:type="dxa"/>
          </w:tcPr>
          <w:p w14:paraId="768481C4" w14:textId="77777777" w:rsidR="00417D14" w:rsidRPr="00BD6E71" w:rsidRDefault="00417D14" w:rsidP="00727460">
            <w:pPr>
              <w:spacing w:line="360" w:lineRule="auto"/>
              <w:jc w:val="both"/>
              <w:rPr>
                <w:rFonts w:ascii="Calibri" w:hAnsi="Calibri" w:cs="Calibri"/>
                <w:color w:val="000000" w:themeColor="text1"/>
                <w:sz w:val="24"/>
                <w:szCs w:val="24"/>
              </w:rPr>
            </w:pPr>
            <w:r w:rsidRPr="00BD6E71">
              <w:rPr>
                <w:rFonts w:ascii="Calibri" w:hAnsi="Calibri" w:cs="Calibri"/>
                <w:color w:val="000000" w:themeColor="text1"/>
                <w:sz w:val="24"/>
                <w:szCs w:val="24"/>
              </w:rPr>
              <w:t xml:space="preserve">UNESCO </w:t>
            </w:r>
          </w:p>
        </w:tc>
        <w:tc>
          <w:tcPr>
            <w:tcW w:w="3469" w:type="dxa"/>
          </w:tcPr>
          <w:p w14:paraId="54733DD4" w14:textId="77777777" w:rsidR="00417D14" w:rsidRPr="00BD6E71" w:rsidRDefault="00417D14" w:rsidP="00727460">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Pr>
                <w:rFonts w:ascii="Calibri" w:hAnsi="Calibri" w:cs="Calibri"/>
                <w:color w:val="000000" w:themeColor="text1"/>
                <w:sz w:val="24"/>
                <w:szCs w:val="24"/>
              </w:rPr>
              <w:t>Strong ethical and human-centred orientation</w:t>
            </w:r>
          </w:p>
        </w:tc>
        <w:tc>
          <w:tcPr>
            <w:tcW w:w="4201" w:type="dxa"/>
          </w:tcPr>
          <w:p w14:paraId="6417D125" w14:textId="77777777" w:rsidR="00417D14" w:rsidRPr="00BD6E71" w:rsidRDefault="00417D14" w:rsidP="00727460">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Pr>
                <w:rFonts w:ascii="Calibri" w:hAnsi="Calibri" w:cs="Calibri"/>
                <w:color w:val="000000" w:themeColor="text1"/>
                <w:sz w:val="24"/>
                <w:szCs w:val="24"/>
              </w:rPr>
              <w:t>Implementation mechanisms remain relatively high-level</w:t>
            </w:r>
          </w:p>
        </w:tc>
      </w:tr>
      <w:tr w:rsidR="00417D14" w:rsidRPr="00BD6E71" w14:paraId="033F035E" w14:textId="77777777" w:rsidTr="00682E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6" w:type="dxa"/>
          </w:tcPr>
          <w:p w14:paraId="488D7144" w14:textId="77777777" w:rsidR="00417D14" w:rsidRPr="00BD6E71" w:rsidRDefault="00417D14" w:rsidP="00727460">
            <w:pPr>
              <w:spacing w:line="360" w:lineRule="auto"/>
              <w:jc w:val="both"/>
              <w:rPr>
                <w:rFonts w:ascii="Calibri" w:hAnsi="Calibri" w:cs="Calibri"/>
                <w:color w:val="000000" w:themeColor="text1"/>
                <w:sz w:val="24"/>
                <w:szCs w:val="24"/>
              </w:rPr>
            </w:pPr>
            <w:r w:rsidRPr="00BD6E71">
              <w:rPr>
                <w:rFonts w:ascii="Calibri" w:hAnsi="Calibri" w:cs="Calibri"/>
                <w:color w:val="000000" w:themeColor="text1"/>
                <w:sz w:val="24"/>
                <w:szCs w:val="24"/>
              </w:rPr>
              <w:t>EU AI Act</w:t>
            </w:r>
          </w:p>
        </w:tc>
        <w:tc>
          <w:tcPr>
            <w:tcW w:w="3469" w:type="dxa"/>
          </w:tcPr>
          <w:p w14:paraId="753F1405" w14:textId="77777777" w:rsidR="00417D14" w:rsidRPr="00BD6E71" w:rsidRDefault="00417D14" w:rsidP="00727460">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sz w:val="24"/>
                <w:szCs w:val="24"/>
              </w:rPr>
            </w:pPr>
            <w:r>
              <w:rPr>
                <w:rFonts w:ascii="Calibri" w:hAnsi="Calibri" w:cs="Calibri"/>
                <w:color w:val="000000" w:themeColor="text1"/>
                <w:sz w:val="24"/>
                <w:szCs w:val="24"/>
              </w:rPr>
              <w:t>Clear risk-based regulatory obligations</w:t>
            </w:r>
          </w:p>
        </w:tc>
        <w:tc>
          <w:tcPr>
            <w:tcW w:w="4201" w:type="dxa"/>
          </w:tcPr>
          <w:p w14:paraId="0FEFF2B7" w14:textId="77777777" w:rsidR="00417D14" w:rsidRPr="00BD6E71" w:rsidRDefault="00417D14" w:rsidP="00727460">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sz w:val="24"/>
                <w:szCs w:val="24"/>
              </w:rPr>
            </w:pPr>
            <w:r>
              <w:rPr>
                <w:rFonts w:ascii="Calibri" w:hAnsi="Calibri" w:cs="Calibri"/>
                <w:color w:val="000000" w:themeColor="text1"/>
                <w:sz w:val="24"/>
                <w:szCs w:val="24"/>
              </w:rPr>
              <w:t>Potential compliance burden and limited HE-specific tailoring</w:t>
            </w:r>
          </w:p>
        </w:tc>
      </w:tr>
      <w:tr w:rsidR="00417D14" w:rsidRPr="00BD6E71" w14:paraId="1115728C" w14:textId="77777777" w:rsidTr="00682E2F">
        <w:tc>
          <w:tcPr>
            <w:cnfStyle w:val="001000000000" w:firstRow="0" w:lastRow="0" w:firstColumn="1" w:lastColumn="0" w:oddVBand="0" w:evenVBand="0" w:oddHBand="0" w:evenHBand="0" w:firstRowFirstColumn="0" w:firstRowLastColumn="0" w:lastRowFirstColumn="0" w:lastRowLastColumn="0"/>
            <w:tcW w:w="1346" w:type="dxa"/>
          </w:tcPr>
          <w:p w14:paraId="2370D90F" w14:textId="77777777" w:rsidR="00417D14" w:rsidRPr="00BD6E71" w:rsidRDefault="00417D14" w:rsidP="00727460">
            <w:pPr>
              <w:spacing w:line="360" w:lineRule="auto"/>
              <w:jc w:val="both"/>
              <w:rPr>
                <w:rFonts w:ascii="Calibri" w:hAnsi="Calibri" w:cs="Calibri"/>
                <w:color w:val="000000" w:themeColor="text1"/>
                <w:sz w:val="24"/>
                <w:szCs w:val="24"/>
              </w:rPr>
            </w:pPr>
            <w:r w:rsidRPr="00BD6E71">
              <w:rPr>
                <w:rFonts w:ascii="Calibri" w:hAnsi="Calibri" w:cs="Calibri"/>
                <w:color w:val="000000" w:themeColor="text1"/>
                <w:sz w:val="24"/>
                <w:szCs w:val="24"/>
              </w:rPr>
              <w:t>UK Model</w:t>
            </w:r>
          </w:p>
        </w:tc>
        <w:tc>
          <w:tcPr>
            <w:tcW w:w="3469" w:type="dxa"/>
          </w:tcPr>
          <w:p w14:paraId="3B43D8DD" w14:textId="77777777" w:rsidR="00417D14" w:rsidRPr="00BD6E71" w:rsidRDefault="00417D14" w:rsidP="00727460">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sidRPr="00BD6E71">
              <w:rPr>
                <w:rFonts w:ascii="Calibri" w:hAnsi="Calibri" w:cs="Calibri"/>
                <w:color w:val="000000" w:themeColor="text1"/>
                <w:sz w:val="24"/>
                <w:szCs w:val="24"/>
              </w:rPr>
              <w:t>Flexible</w:t>
            </w:r>
            <w:r>
              <w:rPr>
                <w:rFonts w:ascii="Calibri" w:hAnsi="Calibri" w:cs="Calibri"/>
                <w:color w:val="000000" w:themeColor="text1"/>
                <w:sz w:val="24"/>
                <w:szCs w:val="24"/>
              </w:rPr>
              <w:t xml:space="preserve"> and innovation-oriented approach</w:t>
            </w:r>
          </w:p>
        </w:tc>
        <w:tc>
          <w:tcPr>
            <w:tcW w:w="4201" w:type="dxa"/>
          </w:tcPr>
          <w:p w14:paraId="34E35A8C" w14:textId="77777777" w:rsidR="00417D14" w:rsidRPr="00BD6E71" w:rsidRDefault="00417D14" w:rsidP="00727460">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sz w:val="24"/>
                <w:szCs w:val="24"/>
              </w:rPr>
            </w:pPr>
            <w:r>
              <w:rPr>
                <w:rFonts w:ascii="Calibri" w:hAnsi="Calibri" w:cs="Calibri"/>
                <w:color w:val="000000" w:themeColor="text1"/>
                <w:sz w:val="24"/>
                <w:szCs w:val="24"/>
              </w:rPr>
              <w:t>Potential inconsistency across regulators and institutions</w:t>
            </w:r>
            <w:r w:rsidRPr="00BD6E71">
              <w:rPr>
                <w:rFonts w:ascii="Calibri" w:hAnsi="Calibri" w:cs="Calibri"/>
                <w:color w:val="000000" w:themeColor="text1"/>
                <w:sz w:val="24"/>
                <w:szCs w:val="24"/>
              </w:rPr>
              <w:t xml:space="preserve"> </w:t>
            </w:r>
          </w:p>
        </w:tc>
      </w:tr>
    </w:tbl>
    <w:p w14:paraId="488D2E23" w14:textId="77777777" w:rsidR="00D51867" w:rsidRDefault="00D51867" w:rsidP="00441EDC">
      <w:pPr>
        <w:pStyle w:val="Caption"/>
        <w:jc w:val="center"/>
      </w:pPr>
    </w:p>
    <w:p w14:paraId="2DA26484" w14:textId="77777777" w:rsidR="00F8365D" w:rsidRPr="00F8365D" w:rsidRDefault="00E33B75" w:rsidP="00441EDC">
      <w:pPr>
        <w:pStyle w:val="Caption"/>
        <w:jc w:val="center"/>
        <w:rPr>
          <w:sz w:val="20"/>
          <w:szCs w:val="20"/>
        </w:rPr>
      </w:pPr>
      <w:r w:rsidRPr="00F8365D">
        <w:rPr>
          <w:sz w:val="20"/>
          <w:szCs w:val="20"/>
        </w:rPr>
        <w:t xml:space="preserve">Table C7: Comparative overview </w:t>
      </w:r>
      <w:r w:rsidR="00F8365D" w:rsidRPr="00F8365D">
        <w:rPr>
          <w:sz w:val="20"/>
          <w:szCs w:val="20"/>
        </w:rPr>
        <w:t xml:space="preserve">of AI governance frameworks relevant to higher education </w:t>
      </w:r>
    </w:p>
    <w:p w14:paraId="112419CD" w14:textId="03ECC731" w:rsidR="00E31B3D" w:rsidRPr="00F8365D" w:rsidRDefault="00EA4E0D" w:rsidP="00441EDC">
      <w:pPr>
        <w:pStyle w:val="Caption"/>
        <w:jc w:val="center"/>
        <w:rPr>
          <w:sz w:val="20"/>
          <w:szCs w:val="20"/>
        </w:rPr>
      </w:pPr>
      <w:r w:rsidRPr="00F8365D">
        <w:rPr>
          <w:sz w:val="20"/>
          <w:szCs w:val="20"/>
        </w:rPr>
        <w:t>Source: Author’s own analysis, informed by OECD (2019</w:t>
      </w:r>
      <w:r w:rsidR="00441EDC" w:rsidRPr="00F8365D">
        <w:rPr>
          <w:sz w:val="20"/>
          <w:szCs w:val="20"/>
        </w:rPr>
        <w:t>), UNESCO (2021), European Union (2024), and Department for Science, Innovation and Technology (2023).</w:t>
      </w:r>
    </w:p>
    <w:p w14:paraId="25CC1AAE" w14:textId="77777777" w:rsidR="0011485D" w:rsidRDefault="0011485D" w:rsidP="00417D14"/>
    <w:p w14:paraId="0E76FB33" w14:textId="77777777" w:rsidR="00417D14" w:rsidRDefault="00417D14" w:rsidP="00417D14"/>
    <w:p w14:paraId="5353FDA8" w14:textId="0782D72F" w:rsidR="00CC6BD0" w:rsidRDefault="00CC6BD0" w:rsidP="00531830">
      <w:pPr>
        <w:pStyle w:val="Heading2"/>
      </w:pPr>
    </w:p>
    <w:tbl>
      <w:tblPr>
        <w:tblStyle w:val="TableGrid"/>
        <w:tblW w:w="0" w:type="auto"/>
        <w:jc w:val="center"/>
        <w:tblLayout w:type="fixed"/>
        <w:tblCellMar>
          <w:top w:w="28" w:type="dxa"/>
          <w:left w:w="28" w:type="dxa"/>
          <w:bottom w:w="28" w:type="dxa"/>
          <w:right w:w="28" w:type="dxa"/>
        </w:tblCellMar>
        <w:tblLook w:val="04A0" w:firstRow="1" w:lastRow="0" w:firstColumn="1" w:lastColumn="0" w:noHBand="0" w:noVBand="1"/>
      </w:tblPr>
      <w:tblGrid>
        <w:gridCol w:w="1224"/>
        <w:gridCol w:w="1728"/>
        <w:gridCol w:w="2232"/>
        <w:gridCol w:w="3168"/>
      </w:tblGrid>
      <w:tr w:rsidR="00544810" w14:paraId="151D5EB0" w14:textId="77777777" w:rsidTr="00316D81">
        <w:trPr>
          <w:jc w:val="center"/>
        </w:trPr>
        <w:tc>
          <w:tcPr>
            <w:tcW w:w="1224" w:type="dxa"/>
            <w:shd w:val="clear" w:color="auto" w:fill="D9EAF7"/>
          </w:tcPr>
          <w:p w14:paraId="431BF103" w14:textId="77777777" w:rsidR="00544810" w:rsidRPr="00531830" w:rsidRDefault="00544810" w:rsidP="00316D81">
            <w:pPr>
              <w:spacing w:line="211" w:lineRule="auto"/>
              <w:jc w:val="center"/>
              <w:rPr>
                <w:rFonts w:ascii="Calibri" w:hAnsi="Calibri" w:cs="Calibri"/>
                <w:sz w:val="20"/>
                <w:szCs w:val="20"/>
              </w:rPr>
            </w:pPr>
            <w:r w:rsidRPr="00531830">
              <w:rPr>
                <w:rFonts w:ascii="Calibri" w:hAnsi="Calibri" w:cs="Calibri"/>
                <w:b/>
                <w:sz w:val="20"/>
                <w:szCs w:val="20"/>
              </w:rPr>
              <w:t>Research element</w:t>
            </w:r>
          </w:p>
        </w:tc>
        <w:tc>
          <w:tcPr>
            <w:tcW w:w="1728" w:type="dxa"/>
            <w:shd w:val="clear" w:color="auto" w:fill="D9EAF7"/>
          </w:tcPr>
          <w:p w14:paraId="21F9E060" w14:textId="77777777" w:rsidR="00544810" w:rsidRPr="00531830" w:rsidRDefault="00544810" w:rsidP="00316D81">
            <w:pPr>
              <w:spacing w:line="211" w:lineRule="auto"/>
              <w:jc w:val="center"/>
              <w:rPr>
                <w:rFonts w:ascii="Calibri" w:hAnsi="Calibri" w:cs="Calibri"/>
                <w:sz w:val="20"/>
                <w:szCs w:val="20"/>
              </w:rPr>
            </w:pPr>
            <w:r w:rsidRPr="00531830">
              <w:rPr>
                <w:rFonts w:ascii="Calibri" w:hAnsi="Calibri" w:cs="Calibri"/>
                <w:b/>
                <w:sz w:val="20"/>
                <w:szCs w:val="20"/>
              </w:rPr>
              <w:t>Literature theme</w:t>
            </w:r>
          </w:p>
        </w:tc>
        <w:tc>
          <w:tcPr>
            <w:tcW w:w="2232" w:type="dxa"/>
            <w:shd w:val="clear" w:color="auto" w:fill="D9EAF7"/>
          </w:tcPr>
          <w:p w14:paraId="0A218604" w14:textId="77777777" w:rsidR="00544810" w:rsidRPr="00531830" w:rsidRDefault="00544810" w:rsidP="00316D81">
            <w:pPr>
              <w:spacing w:line="211" w:lineRule="auto"/>
              <w:jc w:val="center"/>
              <w:rPr>
                <w:rFonts w:ascii="Calibri" w:hAnsi="Calibri" w:cs="Calibri"/>
                <w:sz w:val="20"/>
                <w:szCs w:val="20"/>
              </w:rPr>
            </w:pPr>
            <w:r w:rsidRPr="00531830">
              <w:rPr>
                <w:rFonts w:ascii="Calibri" w:hAnsi="Calibri" w:cs="Calibri"/>
                <w:b/>
                <w:sz w:val="20"/>
                <w:szCs w:val="20"/>
              </w:rPr>
              <w:t>Key governance issue</w:t>
            </w:r>
          </w:p>
        </w:tc>
        <w:tc>
          <w:tcPr>
            <w:tcW w:w="3168" w:type="dxa"/>
            <w:shd w:val="clear" w:color="auto" w:fill="D9EAF7"/>
          </w:tcPr>
          <w:p w14:paraId="431EF157" w14:textId="77777777" w:rsidR="00544810" w:rsidRPr="00531830" w:rsidRDefault="00544810" w:rsidP="00316D81">
            <w:pPr>
              <w:spacing w:line="211" w:lineRule="auto"/>
              <w:jc w:val="center"/>
              <w:rPr>
                <w:rFonts w:ascii="Calibri" w:hAnsi="Calibri" w:cs="Calibri"/>
                <w:sz w:val="20"/>
                <w:szCs w:val="20"/>
              </w:rPr>
            </w:pPr>
            <w:r w:rsidRPr="00531830">
              <w:rPr>
                <w:rFonts w:ascii="Calibri" w:hAnsi="Calibri" w:cs="Calibri"/>
                <w:b/>
                <w:sz w:val="20"/>
                <w:szCs w:val="20"/>
              </w:rPr>
              <w:t>SGM pillar</w:t>
            </w:r>
          </w:p>
        </w:tc>
      </w:tr>
      <w:tr w:rsidR="00544810" w14:paraId="6100D5B7" w14:textId="77777777" w:rsidTr="00316D81">
        <w:trPr>
          <w:jc w:val="center"/>
        </w:trPr>
        <w:tc>
          <w:tcPr>
            <w:tcW w:w="1224" w:type="dxa"/>
          </w:tcPr>
          <w:p w14:paraId="22C655BD" w14:textId="77777777" w:rsidR="00544810" w:rsidRPr="00531830" w:rsidRDefault="00544810" w:rsidP="00531830">
            <w:pPr>
              <w:spacing w:line="211" w:lineRule="auto"/>
              <w:jc w:val="center"/>
              <w:rPr>
                <w:rFonts w:ascii="Calibri" w:hAnsi="Calibri" w:cs="Calibri"/>
                <w:sz w:val="20"/>
                <w:szCs w:val="20"/>
              </w:rPr>
            </w:pPr>
            <w:r w:rsidRPr="00531830">
              <w:rPr>
                <w:rFonts w:ascii="Calibri" w:hAnsi="Calibri" w:cs="Calibri"/>
                <w:b/>
                <w:sz w:val="20"/>
                <w:szCs w:val="20"/>
              </w:rPr>
              <w:t>RQ / Objective 1</w:t>
            </w:r>
          </w:p>
        </w:tc>
        <w:tc>
          <w:tcPr>
            <w:tcW w:w="1728" w:type="dxa"/>
          </w:tcPr>
          <w:p w14:paraId="2DD3F84C"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AI implementation in HE</w:t>
            </w:r>
          </w:p>
        </w:tc>
        <w:tc>
          <w:tcPr>
            <w:tcW w:w="2232" w:type="dxa"/>
          </w:tcPr>
          <w:p w14:paraId="37E93DC6"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Institutional readiness, strategic direction and adoption</w:t>
            </w:r>
          </w:p>
        </w:tc>
        <w:tc>
          <w:tcPr>
            <w:tcW w:w="3168" w:type="dxa"/>
          </w:tcPr>
          <w:p w14:paraId="09F39752"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Strategic Leadership and Accountability</w:t>
            </w:r>
          </w:p>
        </w:tc>
      </w:tr>
      <w:tr w:rsidR="00544810" w14:paraId="5CDFA307" w14:textId="77777777" w:rsidTr="00316D81">
        <w:trPr>
          <w:jc w:val="center"/>
        </w:trPr>
        <w:tc>
          <w:tcPr>
            <w:tcW w:w="1224" w:type="dxa"/>
          </w:tcPr>
          <w:p w14:paraId="7813BEC5" w14:textId="77777777" w:rsidR="00544810" w:rsidRPr="00531830" w:rsidRDefault="00544810" w:rsidP="00531830">
            <w:pPr>
              <w:spacing w:line="211" w:lineRule="auto"/>
              <w:jc w:val="center"/>
              <w:rPr>
                <w:rFonts w:ascii="Calibri" w:hAnsi="Calibri" w:cs="Calibri"/>
                <w:sz w:val="20"/>
                <w:szCs w:val="20"/>
              </w:rPr>
            </w:pPr>
            <w:r w:rsidRPr="00531830">
              <w:rPr>
                <w:rFonts w:ascii="Calibri" w:hAnsi="Calibri" w:cs="Calibri"/>
                <w:b/>
                <w:sz w:val="20"/>
                <w:szCs w:val="20"/>
              </w:rPr>
              <w:t>Objective 2</w:t>
            </w:r>
          </w:p>
        </w:tc>
        <w:tc>
          <w:tcPr>
            <w:tcW w:w="1728" w:type="dxa"/>
          </w:tcPr>
          <w:p w14:paraId="288A7DFC"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Ethical AI governance</w:t>
            </w:r>
          </w:p>
        </w:tc>
        <w:tc>
          <w:tcPr>
            <w:tcW w:w="2232" w:type="dxa"/>
          </w:tcPr>
          <w:p w14:paraId="640FEE1B"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Fairness, ethical oversight and responsible innovation</w:t>
            </w:r>
          </w:p>
        </w:tc>
        <w:tc>
          <w:tcPr>
            <w:tcW w:w="3168" w:type="dxa"/>
          </w:tcPr>
          <w:p w14:paraId="522E7F8A"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Ethical Oversight and Responsible Innovation</w:t>
            </w:r>
          </w:p>
        </w:tc>
      </w:tr>
      <w:tr w:rsidR="00544810" w14:paraId="0DE26572" w14:textId="77777777" w:rsidTr="00316D81">
        <w:trPr>
          <w:jc w:val="center"/>
        </w:trPr>
        <w:tc>
          <w:tcPr>
            <w:tcW w:w="1224" w:type="dxa"/>
          </w:tcPr>
          <w:p w14:paraId="0A7E31D7" w14:textId="77777777" w:rsidR="00544810" w:rsidRPr="00531830" w:rsidRDefault="00544810" w:rsidP="00531830">
            <w:pPr>
              <w:spacing w:line="211" w:lineRule="auto"/>
              <w:jc w:val="center"/>
              <w:rPr>
                <w:rFonts w:ascii="Calibri" w:hAnsi="Calibri" w:cs="Calibri"/>
                <w:sz w:val="20"/>
                <w:szCs w:val="20"/>
              </w:rPr>
            </w:pPr>
            <w:r w:rsidRPr="00531830">
              <w:rPr>
                <w:rFonts w:ascii="Calibri" w:hAnsi="Calibri" w:cs="Calibri"/>
                <w:b/>
                <w:sz w:val="20"/>
                <w:szCs w:val="20"/>
              </w:rPr>
              <w:t>Objective 3</w:t>
            </w:r>
          </w:p>
        </w:tc>
        <w:tc>
          <w:tcPr>
            <w:tcW w:w="1728" w:type="dxa"/>
          </w:tcPr>
          <w:p w14:paraId="264AC6F8"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Regulation and institutional risk</w:t>
            </w:r>
          </w:p>
        </w:tc>
        <w:tc>
          <w:tcPr>
            <w:tcW w:w="2232" w:type="dxa"/>
          </w:tcPr>
          <w:p w14:paraId="1DBFE4F9"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Compliance, privacy and risk</w:t>
            </w:r>
          </w:p>
        </w:tc>
        <w:tc>
          <w:tcPr>
            <w:tcW w:w="3168" w:type="dxa"/>
          </w:tcPr>
          <w:p w14:paraId="65BFE5DE"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Regulatory Compliance and Risk Management</w:t>
            </w:r>
          </w:p>
        </w:tc>
      </w:tr>
      <w:tr w:rsidR="00544810" w14:paraId="0B3FEB51" w14:textId="77777777" w:rsidTr="00316D81">
        <w:trPr>
          <w:jc w:val="center"/>
        </w:trPr>
        <w:tc>
          <w:tcPr>
            <w:tcW w:w="1224" w:type="dxa"/>
          </w:tcPr>
          <w:p w14:paraId="415A7A31" w14:textId="77777777" w:rsidR="00544810" w:rsidRPr="00531830" w:rsidRDefault="00544810" w:rsidP="00531830">
            <w:pPr>
              <w:spacing w:line="211" w:lineRule="auto"/>
              <w:jc w:val="center"/>
              <w:rPr>
                <w:rFonts w:ascii="Calibri" w:hAnsi="Calibri" w:cs="Calibri"/>
                <w:sz w:val="20"/>
                <w:szCs w:val="20"/>
              </w:rPr>
            </w:pPr>
            <w:r w:rsidRPr="00531830">
              <w:rPr>
                <w:rFonts w:ascii="Calibri" w:hAnsi="Calibri" w:cs="Calibri"/>
                <w:b/>
                <w:sz w:val="20"/>
                <w:szCs w:val="20"/>
              </w:rPr>
              <w:t>Objective 3 / Objective 4</w:t>
            </w:r>
          </w:p>
        </w:tc>
        <w:tc>
          <w:tcPr>
            <w:tcW w:w="1728" w:type="dxa"/>
          </w:tcPr>
          <w:p w14:paraId="470E70FC"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Stakeholder-centred governance</w:t>
            </w:r>
          </w:p>
        </w:tc>
        <w:tc>
          <w:tcPr>
            <w:tcW w:w="2232" w:type="dxa"/>
          </w:tcPr>
          <w:p w14:paraId="10113C75"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Participation, transparency, legitimacy and trust</w:t>
            </w:r>
          </w:p>
        </w:tc>
        <w:tc>
          <w:tcPr>
            <w:tcW w:w="3168" w:type="dxa"/>
          </w:tcPr>
          <w:p w14:paraId="0048FDDE"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Stakeholder Participation and Transparency</w:t>
            </w:r>
          </w:p>
        </w:tc>
      </w:tr>
      <w:tr w:rsidR="00544810" w14:paraId="0181E08E" w14:textId="77777777" w:rsidTr="00316D81">
        <w:trPr>
          <w:jc w:val="center"/>
        </w:trPr>
        <w:tc>
          <w:tcPr>
            <w:tcW w:w="1224" w:type="dxa"/>
          </w:tcPr>
          <w:p w14:paraId="2E3348B6" w14:textId="77777777" w:rsidR="00544810" w:rsidRPr="00531830" w:rsidRDefault="00544810" w:rsidP="00531830">
            <w:pPr>
              <w:spacing w:line="211" w:lineRule="auto"/>
              <w:jc w:val="center"/>
              <w:rPr>
                <w:rFonts w:ascii="Calibri" w:hAnsi="Calibri" w:cs="Calibri"/>
                <w:sz w:val="20"/>
                <w:szCs w:val="20"/>
              </w:rPr>
            </w:pPr>
            <w:r w:rsidRPr="00531830">
              <w:rPr>
                <w:rFonts w:ascii="Calibri" w:hAnsi="Calibri" w:cs="Calibri"/>
                <w:b/>
                <w:sz w:val="20"/>
                <w:szCs w:val="20"/>
              </w:rPr>
              <w:t>Objective 4</w:t>
            </w:r>
          </w:p>
        </w:tc>
        <w:tc>
          <w:tcPr>
            <w:tcW w:w="1728" w:type="dxa"/>
          </w:tcPr>
          <w:p w14:paraId="00793E83"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Organisational capability and research gaps</w:t>
            </w:r>
          </w:p>
        </w:tc>
        <w:tc>
          <w:tcPr>
            <w:tcW w:w="2232" w:type="dxa"/>
          </w:tcPr>
          <w:p w14:paraId="465FC7FF"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Monitoring, learning, adaptation and continuing improvement</w:t>
            </w:r>
          </w:p>
        </w:tc>
        <w:tc>
          <w:tcPr>
            <w:tcW w:w="3168" w:type="dxa"/>
          </w:tcPr>
          <w:p w14:paraId="63885DC3" w14:textId="77777777" w:rsidR="00544810" w:rsidRPr="00531830" w:rsidRDefault="00544810" w:rsidP="00316D81">
            <w:pPr>
              <w:spacing w:line="211" w:lineRule="auto"/>
              <w:rPr>
                <w:rFonts w:ascii="Calibri" w:hAnsi="Calibri" w:cs="Calibri"/>
                <w:sz w:val="20"/>
                <w:szCs w:val="20"/>
              </w:rPr>
            </w:pPr>
            <w:r w:rsidRPr="00531830">
              <w:rPr>
                <w:rFonts w:ascii="Calibri" w:hAnsi="Calibri" w:cs="Calibri"/>
                <w:sz w:val="20"/>
                <w:szCs w:val="20"/>
              </w:rPr>
              <w:t>Continuous Monitoring, Evaluation and Adaptive Improvement</w:t>
            </w:r>
          </w:p>
        </w:tc>
      </w:tr>
    </w:tbl>
    <w:p w14:paraId="783E28D7" w14:textId="77777777" w:rsidR="00CC6BD0" w:rsidRDefault="00CC6BD0" w:rsidP="00531830">
      <w:pPr>
        <w:spacing w:before="60" w:after="0"/>
        <w:rPr>
          <w:rFonts w:cstheme="minorHAnsi"/>
          <w:i/>
        </w:rPr>
      </w:pPr>
    </w:p>
    <w:p w14:paraId="76472AAE" w14:textId="77777777" w:rsidR="00347B50" w:rsidRPr="00347B50" w:rsidRDefault="00347B50" w:rsidP="00347B50">
      <w:pPr>
        <w:pStyle w:val="Caption"/>
        <w:jc w:val="center"/>
        <w:rPr>
          <w:sz w:val="20"/>
          <w:szCs w:val="20"/>
        </w:rPr>
      </w:pPr>
      <w:r w:rsidRPr="00347B50">
        <w:rPr>
          <w:sz w:val="20"/>
          <w:szCs w:val="20"/>
        </w:rPr>
        <w:t xml:space="preserve">Table C8: Alignment of research question, objectives, literature themes and SGM pillars </w:t>
      </w:r>
    </w:p>
    <w:p w14:paraId="18656AAA" w14:textId="60F6C742" w:rsidR="00857ECD" w:rsidRPr="00347B50" w:rsidRDefault="00857ECD" w:rsidP="00347B50">
      <w:pPr>
        <w:pStyle w:val="Caption"/>
        <w:jc w:val="center"/>
        <w:rPr>
          <w:sz w:val="20"/>
          <w:szCs w:val="20"/>
        </w:rPr>
      </w:pPr>
      <w:r w:rsidRPr="00347B50">
        <w:rPr>
          <w:sz w:val="20"/>
          <w:szCs w:val="20"/>
        </w:rPr>
        <w:t>Source: Author’s own development, informed by Wu</w:t>
      </w:r>
      <w:r w:rsidR="00347B50" w:rsidRPr="00347B50">
        <w:rPr>
          <w:sz w:val="20"/>
          <w:szCs w:val="20"/>
        </w:rPr>
        <w:t xml:space="preserve"> et al. (2024), Mantymaki et al. (2022), and Papagiannidis et al. </w:t>
      </w:r>
      <w:r w:rsidRPr="00347B50">
        <w:rPr>
          <w:sz w:val="20"/>
          <w:szCs w:val="20"/>
        </w:rPr>
        <w:t>(2025).</w:t>
      </w:r>
    </w:p>
    <w:p w14:paraId="523D7DB0" w14:textId="357D9AE1" w:rsidR="008D72AF" w:rsidRPr="00961E4F" w:rsidRDefault="008D72AF" w:rsidP="00961E4F">
      <w:pPr>
        <w:pStyle w:val="Caption"/>
        <w:sectPr w:rsidR="008D72AF" w:rsidRPr="00961E4F" w:rsidSect="00274E90">
          <w:footerReference w:type="default" r:id="rId19"/>
          <w:pgSz w:w="11906" w:h="16838"/>
          <w:pgMar w:top="1440" w:right="1440" w:bottom="1440" w:left="1440" w:header="708" w:footer="708" w:gutter="0"/>
          <w:cols w:space="708"/>
          <w:titlePg/>
          <w:docGrid w:linePitch="360"/>
        </w:sectPr>
      </w:pPr>
    </w:p>
    <w:p w14:paraId="7B884997" w14:textId="3FC1024E" w:rsidR="0095119D" w:rsidRDefault="0005608D" w:rsidP="00C921BD">
      <w:bookmarkStart w:id="524" w:name="_Toc237383515"/>
      <w:bookmarkStart w:id="525" w:name="_Toc237384350"/>
      <w:bookmarkStart w:id="526" w:name="_Toc237385070"/>
      <w:r w:rsidRPr="0042510B">
        <w:rPr>
          <w:noProof/>
        </w:rPr>
        <w:lastRenderedPageBreak/>
        <w:drawing>
          <wp:inline distT="0" distB="0" distL="0" distR="0" wp14:anchorId="6A8241C6" wp14:editId="12B2E32F">
            <wp:extent cx="9052560" cy="5463540"/>
            <wp:effectExtent l="0" t="0" r="0" b="3810"/>
            <wp:docPr id="1549670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70888" name=""/>
                    <pic:cNvPicPr/>
                  </pic:nvPicPr>
                  <pic:blipFill>
                    <a:blip r:embed="rId20"/>
                    <a:stretch>
                      <a:fillRect/>
                    </a:stretch>
                  </pic:blipFill>
                  <pic:spPr>
                    <a:xfrm>
                      <a:off x="0" y="0"/>
                      <a:ext cx="9052560" cy="5463540"/>
                    </a:xfrm>
                    <a:prstGeom prst="rect">
                      <a:avLst/>
                    </a:prstGeom>
                  </pic:spPr>
                </pic:pic>
              </a:graphicData>
            </a:graphic>
          </wp:inline>
        </w:drawing>
      </w:r>
      <w:bookmarkEnd w:id="524"/>
      <w:bookmarkEnd w:id="525"/>
      <w:bookmarkEnd w:id="526"/>
    </w:p>
    <w:p w14:paraId="1BFBDBD2" w14:textId="44A7981D" w:rsidR="00785F5D" w:rsidRPr="00785F5D" w:rsidRDefault="002924FB" w:rsidP="00785F5D">
      <w:pPr>
        <w:pStyle w:val="Heading1"/>
      </w:pPr>
      <w:bookmarkStart w:id="527" w:name="_Toc237383516"/>
      <w:bookmarkStart w:id="528" w:name="_Toc237384351"/>
      <w:bookmarkStart w:id="529" w:name="_Toc237385071"/>
      <w:bookmarkStart w:id="530" w:name="_Toc237445092"/>
      <w:r>
        <w:lastRenderedPageBreak/>
        <w:t>Appendix D</w:t>
      </w:r>
      <w:bookmarkEnd w:id="527"/>
      <w:bookmarkEnd w:id="528"/>
      <w:bookmarkEnd w:id="529"/>
      <w:bookmarkEnd w:id="530"/>
    </w:p>
    <w:p w14:paraId="6DC04CCD" w14:textId="77777777" w:rsidR="00785F5D" w:rsidRDefault="00785F5D" w:rsidP="00785F5D">
      <w:pPr>
        <w:spacing w:after="60"/>
        <w:jc w:val="center"/>
      </w:pPr>
    </w:p>
    <w:p w14:paraId="0A804070" w14:textId="77777777" w:rsidR="00785F5D" w:rsidRDefault="00785F5D" w:rsidP="00785F5D">
      <w:pPr>
        <w:spacing w:after="60"/>
        <w:jc w:val="center"/>
      </w:pPr>
    </w:p>
    <w:tbl>
      <w:tblPr>
        <w:tblStyle w:val="TableGrid"/>
        <w:tblW w:w="0" w:type="auto"/>
        <w:jc w:val="center"/>
        <w:tblLayout w:type="fixed"/>
        <w:tblCellMar>
          <w:top w:w="28" w:type="dxa"/>
          <w:left w:w="28" w:type="dxa"/>
          <w:bottom w:w="28" w:type="dxa"/>
          <w:right w:w="28" w:type="dxa"/>
        </w:tblCellMar>
        <w:tblLook w:val="04A0" w:firstRow="1" w:lastRow="0" w:firstColumn="1" w:lastColumn="0" w:noHBand="0" w:noVBand="1"/>
      </w:tblPr>
      <w:tblGrid>
        <w:gridCol w:w="2972"/>
        <w:gridCol w:w="3052"/>
        <w:gridCol w:w="5737"/>
      </w:tblGrid>
      <w:tr w:rsidR="00785F5D" w14:paraId="1CE40561" w14:textId="77777777" w:rsidTr="00785F5D">
        <w:trPr>
          <w:jc w:val="center"/>
        </w:trPr>
        <w:tc>
          <w:tcPr>
            <w:tcW w:w="2972" w:type="dxa"/>
            <w:shd w:val="clear" w:color="auto" w:fill="D9EAF7"/>
          </w:tcPr>
          <w:p w14:paraId="1854E104" w14:textId="77777777" w:rsidR="00785F5D" w:rsidRPr="00785F5D" w:rsidRDefault="00785F5D" w:rsidP="00316D81">
            <w:pPr>
              <w:spacing w:line="211" w:lineRule="auto"/>
              <w:jc w:val="center"/>
              <w:rPr>
                <w:rFonts w:ascii="Calibri" w:hAnsi="Calibri" w:cs="Calibri"/>
                <w:sz w:val="20"/>
                <w:szCs w:val="20"/>
              </w:rPr>
            </w:pPr>
            <w:r w:rsidRPr="00785F5D">
              <w:rPr>
                <w:rFonts w:ascii="Calibri" w:hAnsi="Calibri" w:cs="Calibri"/>
                <w:b/>
                <w:sz w:val="20"/>
                <w:szCs w:val="20"/>
              </w:rPr>
              <w:t>Pillar</w:t>
            </w:r>
          </w:p>
        </w:tc>
        <w:tc>
          <w:tcPr>
            <w:tcW w:w="3052" w:type="dxa"/>
            <w:shd w:val="clear" w:color="auto" w:fill="D9EAF7"/>
          </w:tcPr>
          <w:p w14:paraId="0B491B51" w14:textId="77777777" w:rsidR="00785F5D" w:rsidRPr="00785F5D" w:rsidRDefault="00785F5D" w:rsidP="00316D81">
            <w:pPr>
              <w:spacing w:line="211" w:lineRule="auto"/>
              <w:jc w:val="center"/>
              <w:rPr>
                <w:rFonts w:ascii="Calibri" w:hAnsi="Calibri" w:cs="Calibri"/>
                <w:sz w:val="20"/>
                <w:szCs w:val="20"/>
              </w:rPr>
            </w:pPr>
            <w:r w:rsidRPr="00785F5D">
              <w:rPr>
                <w:rFonts w:ascii="Calibri" w:hAnsi="Calibri" w:cs="Calibri"/>
                <w:b/>
                <w:sz w:val="20"/>
                <w:szCs w:val="20"/>
              </w:rPr>
              <w:t>Dimension</w:t>
            </w:r>
          </w:p>
        </w:tc>
        <w:tc>
          <w:tcPr>
            <w:tcW w:w="5737" w:type="dxa"/>
            <w:shd w:val="clear" w:color="auto" w:fill="D9EAF7"/>
          </w:tcPr>
          <w:p w14:paraId="0EA9A322" w14:textId="77777777" w:rsidR="00785F5D" w:rsidRPr="00785F5D" w:rsidRDefault="00785F5D" w:rsidP="00316D81">
            <w:pPr>
              <w:spacing w:line="211" w:lineRule="auto"/>
              <w:jc w:val="center"/>
              <w:rPr>
                <w:rFonts w:ascii="Calibri" w:hAnsi="Calibri" w:cs="Calibri"/>
                <w:sz w:val="20"/>
                <w:szCs w:val="20"/>
              </w:rPr>
            </w:pPr>
            <w:r w:rsidRPr="00785F5D">
              <w:rPr>
                <w:rFonts w:ascii="Calibri" w:hAnsi="Calibri" w:cs="Calibri"/>
                <w:b/>
                <w:sz w:val="20"/>
                <w:szCs w:val="20"/>
              </w:rPr>
              <w:t>Explanation</w:t>
            </w:r>
          </w:p>
        </w:tc>
      </w:tr>
      <w:tr w:rsidR="00785F5D" w14:paraId="797D6430" w14:textId="77777777" w:rsidTr="00785F5D">
        <w:trPr>
          <w:jc w:val="center"/>
        </w:trPr>
        <w:tc>
          <w:tcPr>
            <w:tcW w:w="2972" w:type="dxa"/>
          </w:tcPr>
          <w:p w14:paraId="72AF0C4A"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b/>
                <w:sz w:val="20"/>
                <w:szCs w:val="20"/>
              </w:rPr>
              <w:t>Strategic Leadership and Accountability</w:t>
            </w:r>
          </w:p>
        </w:tc>
        <w:tc>
          <w:tcPr>
            <w:tcW w:w="3052" w:type="dxa"/>
          </w:tcPr>
          <w:p w14:paraId="4077599C"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sz w:val="20"/>
                <w:szCs w:val="20"/>
              </w:rPr>
              <w:t>Institutional leadership, strategic oversight and accountability</w:t>
            </w:r>
          </w:p>
        </w:tc>
        <w:tc>
          <w:tcPr>
            <w:tcW w:w="5737" w:type="dxa"/>
          </w:tcPr>
          <w:p w14:paraId="3DB590B6" w14:textId="77777777" w:rsidR="00785F5D" w:rsidRPr="00785F5D" w:rsidRDefault="00785F5D" w:rsidP="00D63803">
            <w:pPr>
              <w:spacing w:line="211" w:lineRule="auto"/>
              <w:jc w:val="both"/>
              <w:rPr>
                <w:rFonts w:ascii="Calibri" w:hAnsi="Calibri" w:cs="Calibri"/>
                <w:sz w:val="20"/>
                <w:szCs w:val="20"/>
              </w:rPr>
            </w:pPr>
            <w:r w:rsidRPr="00785F5D">
              <w:rPr>
                <w:rFonts w:ascii="Calibri" w:hAnsi="Calibri" w:cs="Calibri"/>
                <w:sz w:val="20"/>
                <w:szCs w:val="20"/>
              </w:rPr>
              <w:t>Requires visible commitment from university boards, vice-chancellors and executive leadership. AI governance should be embedded within institutional governance structures, with clear responsibility for strategic oversight and organisational accountability.</w:t>
            </w:r>
          </w:p>
        </w:tc>
      </w:tr>
      <w:tr w:rsidR="00785F5D" w14:paraId="168A9DAE" w14:textId="77777777" w:rsidTr="00785F5D">
        <w:trPr>
          <w:jc w:val="center"/>
        </w:trPr>
        <w:tc>
          <w:tcPr>
            <w:tcW w:w="2972" w:type="dxa"/>
          </w:tcPr>
          <w:p w14:paraId="5A798FFB"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b/>
                <w:sz w:val="20"/>
                <w:szCs w:val="20"/>
              </w:rPr>
              <w:t>Ethical Oversight and Responsible Innovation</w:t>
            </w:r>
          </w:p>
        </w:tc>
        <w:tc>
          <w:tcPr>
            <w:tcW w:w="3052" w:type="dxa"/>
          </w:tcPr>
          <w:p w14:paraId="0495647B"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sz w:val="20"/>
                <w:szCs w:val="20"/>
              </w:rPr>
              <w:t>Ethical review, multidisciplinary oversight and responsible innovation</w:t>
            </w:r>
          </w:p>
        </w:tc>
        <w:tc>
          <w:tcPr>
            <w:tcW w:w="5737" w:type="dxa"/>
          </w:tcPr>
          <w:p w14:paraId="723C836B" w14:textId="77777777" w:rsidR="00785F5D" w:rsidRPr="00785F5D" w:rsidRDefault="00785F5D" w:rsidP="00D63803">
            <w:pPr>
              <w:spacing w:line="211" w:lineRule="auto"/>
              <w:jc w:val="both"/>
              <w:rPr>
                <w:rFonts w:ascii="Calibri" w:hAnsi="Calibri" w:cs="Calibri"/>
                <w:sz w:val="20"/>
                <w:szCs w:val="20"/>
              </w:rPr>
            </w:pPr>
            <w:r w:rsidRPr="00785F5D">
              <w:rPr>
                <w:rFonts w:ascii="Calibri" w:hAnsi="Calibri" w:cs="Calibri"/>
                <w:sz w:val="20"/>
                <w:szCs w:val="20"/>
              </w:rPr>
              <w:t>Requires mechanisms such as AI ethics committees to assess proposed AI applications, monitor ethical risks and ensure alignment with institutional values. Oversight should incorporate multidisciplinary perspectives, including academic, legal, technical, student and ethics expertise.</w:t>
            </w:r>
          </w:p>
        </w:tc>
      </w:tr>
      <w:tr w:rsidR="00785F5D" w14:paraId="50FA079B" w14:textId="77777777" w:rsidTr="00785F5D">
        <w:trPr>
          <w:jc w:val="center"/>
        </w:trPr>
        <w:tc>
          <w:tcPr>
            <w:tcW w:w="2972" w:type="dxa"/>
          </w:tcPr>
          <w:p w14:paraId="5ECFCEC9"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b/>
                <w:sz w:val="20"/>
                <w:szCs w:val="20"/>
              </w:rPr>
              <w:t>Regulatory Compliance and Risk Management</w:t>
            </w:r>
          </w:p>
        </w:tc>
        <w:tc>
          <w:tcPr>
            <w:tcW w:w="3052" w:type="dxa"/>
          </w:tcPr>
          <w:p w14:paraId="653CE629"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sz w:val="20"/>
                <w:szCs w:val="20"/>
              </w:rPr>
              <w:t>Legal compliance, risk assessment, monitoring and impact evaluation</w:t>
            </w:r>
          </w:p>
        </w:tc>
        <w:tc>
          <w:tcPr>
            <w:tcW w:w="5737" w:type="dxa"/>
          </w:tcPr>
          <w:p w14:paraId="6C56975F" w14:textId="04F428BD" w:rsidR="00785F5D" w:rsidRPr="00785F5D" w:rsidRDefault="00D63803" w:rsidP="00D63803">
            <w:pPr>
              <w:spacing w:line="211" w:lineRule="auto"/>
              <w:jc w:val="both"/>
              <w:rPr>
                <w:rFonts w:ascii="Calibri" w:hAnsi="Calibri" w:cs="Calibri"/>
                <w:sz w:val="20"/>
                <w:szCs w:val="20"/>
              </w:rPr>
            </w:pPr>
            <w:r>
              <w:rPr>
                <w:rFonts w:ascii="Calibri" w:hAnsi="Calibri" w:cs="Calibri"/>
                <w:sz w:val="20"/>
                <w:szCs w:val="20"/>
              </w:rPr>
              <w:t>Recognises</w:t>
            </w:r>
            <w:r w:rsidR="00785F5D" w:rsidRPr="00785F5D">
              <w:rPr>
                <w:rFonts w:ascii="Calibri" w:hAnsi="Calibri" w:cs="Calibri"/>
                <w:sz w:val="20"/>
                <w:szCs w:val="20"/>
              </w:rPr>
              <w:t xml:space="preserve"> that universities operate within complex regulatory environments shaped by data protection, equality requirements and emerging AI governance frameworks. Governance should include systematic risk assessment, compliance monitoring and evaluation of potential impacts.</w:t>
            </w:r>
          </w:p>
        </w:tc>
      </w:tr>
      <w:tr w:rsidR="00785F5D" w14:paraId="45576BC4" w14:textId="77777777" w:rsidTr="00785F5D">
        <w:trPr>
          <w:jc w:val="center"/>
        </w:trPr>
        <w:tc>
          <w:tcPr>
            <w:tcW w:w="2972" w:type="dxa"/>
          </w:tcPr>
          <w:p w14:paraId="230294F6"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b/>
                <w:sz w:val="20"/>
                <w:szCs w:val="20"/>
              </w:rPr>
              <w:t>Stakeholder Participation and Transparency</w:t>
            </w:r>
          </w:p>
        </w:tc>
        <w:tc>
          <w:tcPr>
            <w:tcW w:w="3052" w:type="dxa"/>
          </w:tcPr>
          <w:p w14:paraId="35195811"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sz w:val="20"/>
                <w:szCs w:val="20"/>
              </w:rPr>
              <w:t>Participation, communication, transparency and institutional trust</w:t>
            </w:r>
          </w:p>
        </w:tc>
        <w:tc>
          <w:tcPr>
            <w:tcW w:w="5737" w:type="dxa"/>
          </w:tcPr>
          <w:p w14:paraId="28544E95" w14:textId="77777777" w:rsidR="00785F5D" w:rsidRPr="00785F5D" w:rsidRDefault="00785F5D" w:rsidP="00D63803">
            <w:pPr>
              <w:spacing w:line="211" w:lineRule="auto"/>
              <w:jc w:val="both"/>
              <w:rPr>
                <w:rFonts w:ascii="Calibri" w:hAnsi="Calibri" w:cs="Calibri"/>
                <w:sz w:val="20"/>
                <w:szCs w:val="20"/>
              </w:rPr>
            </w:pPr>
            <w:r w:rsidRPr="00785F5D">
              <w:rPr>
                <w:rFonts w:ascii="Calibri" w:hAnsi="Calibri" w:cs="Calibri"/>
                <w:sz w:val="20"/>
                <w:szCs w:val="20"/>
              </w:rPr>
              <w:t>Requires meaningful involvement of academic staff, professional services, students and relevant external stakeholders in AI governance. Transparent communication about AI objectives, decision-making processes and risk mitigation can support institutional trust and accountability.</w:t>
            </w:r>
          </w:p>
        </w:tc>
      </w:tr>
      <w:tr w:rsidR="00785F5D" w14:paraId="50F017FB" w14:textId="77777777" w:rsidTr="00785F5D">
        <w:trPr>
          <w:jc w:val="center"/>
        </w:trPr>
        <w:tc>
          <w:tcPr>
            <w:tcW w:w="2972" w:type="dxa"/>
          </w:tcPr>
          <w:p w14:paraId="45CE1C8A" w14:textId="77777777"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b/>
                <w:sz w:val="20"/>
                <w:szCs w:val="20"/>
              </w:rPr>
              <w:t>Continuous Monitoring, Evaluation and Adaptive Improvement</w:t>
            </w:r>
          </w:p>
        </w:tc>
        <w:tc>
          <w:tcPr>
            <w:tcW w:w="3052" w:type="dxa"/>
          </w:tcPr>
          <w:p w14:paraId="0F29A7E9" w14:textId="7B52ED0B" w:rsidR="00785F5D" w:rsidRPr="00785F5D" w:rsidRDefault="00785F5D" w:rsidP="00D63803">
            <w:pPr>
              <w:spacing w:line="211" w:lineRule="auto"/>
              <w:jc w:val="center"/>
              <w:rPr>
                <w:rFonts w:ascii="Calibri" w:hAnsi="Calibri" w:cs="Calibri"/>
                <w:sz w:val="20"/>
                <w:szCs w:val="20"/>
              </w:rPr>
            </w:pPr>
            <w:r w:rsidRPr="00785F5D">
              <w:rPr>
                <w:rFonts w:ascii="Calibri" w:hAnsi="Calibri" w:cs="Calibri"/>
                <w:sz w:val="20"/>
                <w:szCs w:val="20"/>
              </w:rPr>
              <w:t xml:space="preserve">Review, audit, feedback, </w:t>
            </w:r>
            <w:r w:rsidR="00D63803">
              <w:rPr>
                <w:rFonts w:ascii="Calibri" w:hAnsi="Calibri" w:cs="Calibri"/>
                <w:sz w:val="20"/>
                <w:szCs w:val="20"/>
              </w:rPr>
              <w:t xml:space="preserve">organisational </w:t>
            </w:r>
            <w:r w:rsidRPr="00785F5D">
              <w:rPr>
                <w:rFonts w:ascii="Calibri" w:hAnsi="Calibri" w:cs="Calibri"/>
                <w:sz w:val="20"/>
                <w:szCs w:val="20"/>
              </w:rPr>
              <w:t>learning and adaptation</w:t>
            </w:r>
          </w:p>
        </w:tc>
        <w:tc>
          <w:tcPr>
            <w:tcW w:w="5737" w:type="dxa"/>
          </w:tcPr>
          <w:p w14:paraId="4C1B5DF3" w14:textId="77777777" w:rsidR="00785F5D" w:rsidRPr="00785F5D" w:rsidRDefault="00785F5D" w:rsidP="00D63803">
            <w:pPr>
              <w:spacing w:line="211" w:lineRule="auto"/>
              <w:jc w:val="both"/>
              <w:rPr>
                <w:rFonts w:ascii="Calibri" w:hAnsi="Calibri" w:cs="Calibri"/>
                <w:sz w:val="20"/>
                <w:szCs w:val="20"/>
              </w:rPr>
            </w:pPr>
            <w:r w:rsidRPr="00785F5D">
              <w:rPr>
                <w:rFonts w:ascii="Calibri" w:hAnsi="Calibri" w:cs="Calibri"/>
                <w:sz w:val="20"/>
                <w:szCs w:val="20"/>
              </w:rPr>
              <w:t>Treats AI governance as an adaptive rather than static process. Universities should regularly review AI systems, audit ethical risks, update policies and evaluate stakeholder feedback as technologies, regulation and institutional risks evolve.</w:t>
            </w:r>
          </w:p>
        </w:tc>
      </w:tr>
    </w:tbl>
    <w:p w14:paraId="5802302A" w14:textId="110E7426" w:rsidR="007B48EC" w:rsidRPr="007B48EC" w:rsidRDefault="00524FFE" w:rsidP="007B48EC">
      <w:pPr>
        <w:pStyle w:val="Caption"/>
        <w:jc w:val="center"/>
        <w:rPr>
          <w:sz w:val="20"/>
          <w:szCs w:val="20"/>
        </w:rPr>
      </w:pPr>
      <w:r w:rsidRPr="007B48EC">
        <w:rPr>
          <w:sz w:val="20"/>
          <w:szCs w:val="20"/>
        </w:rPr>
        <w:t xml:space="preserve">Table D1: Pillars, dimensions and explanations of the proposed </w:t>
      </w:r>
      <w:r w:rsidR="009A3484">
        <w:rPr>
          <w:sz w:val="20"/>
          <w:szCs w:val="20"/>
        </w:rPr>
        <w:t>SGM.</w:t>
      </w:r>
      <w:r w:rsidR="007B48EC" w:rsidRPr="007B48EC">
        <w:rPr>
          <w:sz w:val="20"/>
          <w:szCs w:val="20"/>
        </w:rPr>
        <w:t xml:space="preserve"> </w:t>
      </w:r>
    </w:p>
    <w:p w14:paraId="0CF907D0" w14:textId="7C8F628C" w:rsidR="00D63803" w:rsidRPr="007B48EC" w:rsidRDefault="00D63803" w:rsidP="007B48EC">
      <w:pPr>
        <w:pStyle w:val="Caption"/>
        <w:jc w:val="center"/>
        <w:rPr>
          <w:sz w:val="20"/>
          <w:szCs w:val="20"/>
        </w:rPr>
      </w:pPr>
      <w:r w:rsidRPr="007B48EC">
        <w:rPr>
          <w:sz w:val="20"/>
          <w:szCs w:val="20"/>
        </w:rPr>
        <w:t xml:space="preserve">Source: </w:t>
      </w:r>
      <w:r w:rsidR="00785F5D" w:rsidRPr="007B48EC">
        <w:rPr>
          <w:sz w:val="20"/>
          <w:szCs w:val="20"/>
        </w:rPr>
        <w:t>Author’s own development, informed by Teece</w:t>
      </w:r>
      <w:r w:rsidR="007B48EC">
        <w:rPr>
          <w:sz w:val="20"/>
          <w:szCs w:val="20"/>
        </w:rPr>
        <w:t xml:space="preserve"> et al. </w:t>
      </w:r>
      <w:r w:rsidR="00785F5D" w:rsidRPr="007B48EC">
        <w:rPr>
          <w:sz w:val="20"/>
          <w:szCs w:val="20"/>
        </w:rPr>
        <w:t xml:space="preserve"> (1997), Wu</w:t>
      </w:r>
      <w:r w:rsidR="007B48EC">
        <w:rPr>
          <w:sz w:val="20"/>
          <w:szCs w:val="20"/>
        </w:rPr>
        <w:t xml:space="preserve"> et al.</w:t>
      </w:r>
      <w:r w:rsidR="00785F5D" w:rsidRPr="007B48EC">
        <w:rPr>
          <w:sz w:val="20"/>
          <w:szCs w:val="20"/>
        </w:rPr>
        <w:t xml:space="preserve"> (2024), </w:t>
      </w:r>
    </w:p>
    <w:p w14:paraId="25D4D6D2" w14:textId="268F2622" w:rsidR="00785F5D" w:rsidRPr="007B48EC" w:rsidRDefault="00785F5D" w:rsidP="007B48EC">
      <w:pPr>
        <w:pStyle w:val="Caption"/>
        <w:jc w:val="center"/>
        <w:rPr>
          <w:sz w:val="20"/>
          <w:szCs w:val="20"/>
        </w:rPr>
      </w:pPr>
      <w:r w:rsidRPr="007B48EC">
        <w:rPr>
          <w:sz w:val="20"/>
          <w:szCs w:val="20"/>
        </w:rPr>
        <w:t xml:space="preserve">and Papagiannidis, </w:t>
      </w:r>
      <w:r w:rsidR="00237804">
        <w:rPr>
          <w:sz w:val="20"/>
          <w:szCs w:val="20"/>
        </w:rPr>
        <w:t xml:space="preserve">et al. </w:t>
      </w:r>
      <w:r w:rsidRPr="007B48EC">
        <w:rPr>
          <w:sz w:val="20"/>
          <w:szCs w:val="20"/>
        </w:rPr>
        <w:t xml:space="preserve"> (2025).</w:t>
      </w:r>
    </w:p>
    <w:p w14:paraId="78B3147B" w14:textId="5936D60A" w:rsidR="00A447F1" w:rsidRDefault="00A447F1" w:rsidP="00D13EE7">
      <w:pPr>
        <w:pStyle w:val="Heading2"/>
      </w:pPr>
    </w:p>
    <w:tbl>
      <w:tblPr>
        <w:tblStyle w:val="GridTable6ColourfulAccent6"/>
        <w:tblW w:w="0" w:type="auto"/>
        <w:tblInd w:w="5" w:type="dxa"/>
        <w:tblLook w:val="04A0" w:firstRow="1" w:lastRow="0" w:firstColumn="1" w:lastColumn="0" w:noHBand="0" w:noVBand="1"/>
      </w:tblPr>
      <w:tblGrid>
        <w:gridCol w:w="2117"/>
        <w:gridCol w:w="2880"/>
        <w:gridCol w:w="2506"/>
        <w:gridCol w:w="2977"/>
        <w:gridCol w:w="3463"/>
      </w:tblGrid>
      <w:tr w:rsidR="00D13EE7" w:rsidRPr="003F3F04" w14:paraId="379D7ACE" w14:textId="77777777" w:rsidTr="009E4EB6">
        <w:trPr>
          <w:cnfStyle w:val="100000000000" w:firstRow="1" w:lastRow="0" w:firstColumn="0" w:lastColumn="0" w:oddVBand="0" w:evenVBand="0" w:oddHBand="0"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2117" w:type="dxa"/>
            <w:tcBorders>
              <w:top w:val="single" w:sz="4" w:space="0" w:color="auto"/>
            </w:tcBorders>
          </w:tcPr>
          <w:p w14:paraId="72985C59" w14:textId="77777777" w:rsidR="00D13EE7" w:rsidRPr="003F3F04" w:rsidRDefault="00D13EE7" w:rsidP="00316D81">
            <w:pPr>
              <w:spacing w:line="360" w:lineRule="auto"/>
              <w:jc w:val="center"/>
              <w:rPr>
                <w:rFonts w:ascii="Calibri" w:hAnsi="Calibri" w:cs="Calibri"/>
                <w:color w:val="000000" w:themeColor="text1"/>
              </w:rPr>
            </w:pPr>
            <w:r w:rsidRPr="003F3F04">
              <w:rPr>
                <w:rFonts w:ascii="Calibri" w:hAnsi="Calibri" w:cs="Calibri"/>
                <w:color w:val="000000" w:themeColor="text1"/>
              </w:rPr>
              <w:t>Theory</w:t>
            </w:r>
          </w:p>
        </w:tc>
        <w:tc>
          <w:tcPr>
            <w:tcW w:w="2880" w:type="dxa"/>
            <w:tcBorders>
              <w:top w:val="single" w:sz="4" w:space="0" w:color="auto"/>
            </w:tcBorders>
          </w:tcPr>
          <w:p w14:paraId="5A1BBC77" w14:textId="77777777" w:rsidR="00D13EE7" w:rsidRPr="003F3F04" w:rsidRDefault="00D13EE7" w:rsidP="00316D81">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sz w:val="24"/>
                <w:szCs w:val="24"/>
              </w:rPr>
            </w:pPr>
            <w:r w:rsidRPr="003F3F04">
              <w:rPr>
                <w:rFonts w:ascii="Calibri" w:hAnsi="Calibri" w:cs="Calibri"/>
                <w:color w:val="000000" w:themeColor="text1"/>
                <w:sz w:val="24"/>
                <w:szCs w:val="24"/>
              </w:rPr>
              <w:t>Core Assumption</w:t>
            </w:r>
          </w:p>
        </w:tc>
        <w:tc>
          <w:tcPr>
            <w:tcW w:w="2506" w:type="dxa"/>
            <w:tcBorders>
              <w:top w:val="single" w:sz="4" w:space="0" w:color="auto"/>
            </w:tcBorders>
          </w:tcPr>
          <w:p w14:paraId="7519FE10" w14:textId="77777777" w:rsidR="00D13EE7" w:rsidRPr="003F3F04" w:rsidRDefault="00D13EE7" w:rsidP="00316D81">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sz w:val="24"/>
                <w:szCs w:val="24"/>
              </w:rPr>
            </w:pPr>
            <w:r w:rsidRPr="003F3F04">
              <w:rPr>
                <w:rFonts w:ascii="Calibri" w:hAnsi="Calibri" w:cs="Calibri"/>
                <w:color w:val="000000" w:themeColor="text1"/>
                <w:sz w:val="24"/>
                <w:szCs w:val="24"/>
              </w:rPr>
              <w:t>Strengths</w:t>
            </w:r>
          </w:p>
        </w:tc>
        <w:tc>
          <w:tcPr>
            <w:tcW w:w="2977" w:type="dxa"/>
            <w:tcBorders>
              <w:top w:val="single" w:sz="4" w:space="0" w:color="auto"/>
            </w:tcBorders>
          </w:tcPr>
          <w:p w14:paraId="0134AE0B" w14:textId="77777777" w:rsidR="00D13EE7" w:rsidRPr="003F3F04" w:rsidRDefault="00D13EE7" w:rsidP="00316D81">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sz w:val="24"/>
                <w:szCs w:val="24"/>
              </w:rPr>
            </w:pPr>
            <w:r w:rsidRPr="003F3F04">
              <w:rPr>
                <w:rFonts w:ascii="Calibri" w:hAnsi="Calibri" w:cs="Calibri"/>
                <w:color w:val="000000" w:themeColor="text1"/>
                <w:sz w:val="24"/>
                <w:szCs w:val="24"/>
              </w:rPr>
              <w:t>Limitation</w:t>
            </w:r>
          </w:p>
        </w:tc>
        <w:tc>
          <w:tcPr>
            <w:tcW w:w="3463" w:type="dxa"/>
            <w:tcBorders>
              <w:top w:val="single" w:sz="4" w:space="0" w:color="auto"/>
            </w:tcBorders>
          </w:tcPr>
          <w:p w14:paraId="5D0583C8" w14:textId="77777777" w:rsidR="00D13EE7" w:rsidRPr="003F3F04" w:rsidRDefault="00D13EE7" w:rsidP="00316D81">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sz w:val="24"/>
                <w:szCs w:val="24"/>
              </w:rPr>
            </w:pPr>
            <w:r w:rsidRPr="003F3F04">
              <w:rPr>
                <w:rFonts w:ascii="Calibri" w:hAnsi="Calibri" w:cs="Calibri"/>
                <w:color w:val="000000" w:themeColor="text1"/>
                <w:sz w:val="24"/>
                <w:szCs w:val="24"/>
              </w:rPr>
              <w:t>Contribution to this Research</w:t>
            </w:r>
          </w:p>
        </w:tc>
      </w:tr>
      <w:tr w:rsidR="00D13EE7" w:rsidRPr="00562EB5" w14:paraId="57BBE603" w14:textId="77777777" w:rsidTr="009E4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7" w:type="dxa"/>
          </w:tcPr>
          <w:p w14:paraId="2F7D0C66" w14:textId="77777777" w:rsidR="00D13EE7" w:rsidRPr="0069558C" w:rsidRDefault="00D13EE7" w:rsidP="00316D81">
            <w:pPr>
              <w:spacing w:after="160" w:line="360" w:lineRule="auto"/>
              <w:rPr>
                <w:rFonts w:ascii="Calibri" w:hAnsi="Calibri" w:cs="Calibri"/>
                <w:color w:val="auto"/>
              </w:rPr>
            </w:pPr>
            <w:r w:rsidRPr="0069558C">
              <w:rPr>
                <w:rFonts w:ascii="Calibri" w:hAnsi="Calibri" w:cs="Calibri"/>
                <w:color w:val="auto"/>
              </w:rPr>
              <w:t>Institutional Theory</w:t>
            </w:r>
          </w:p>
        </w:tc>
        <w:tc>
          <w:tcPr>
            <w:tcW w:w="2880" w:type="dxa"/>
          </w:tcPr>
          <w:p w14:paraId="6B517D8B" w14:textId="77777777" w:rsidR="00D13EE7" w:rsidRPr="00562EB5"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562EB5">
              <w:rPr>
                <w:rFonts w:ascii="Calibri" w:hAnsi="Calibri" w:cs="Calibri"/>
                <w:color w:val="auto"/>
              </w:rPr>
              <w:t>Organisations respond to external institutional pressures, regulations, norms, and stakeholder expectations to gain legitimacy</w:t>
            </w:r>
          </w:p>
        </w:tc>
        <w:tc>
          <w:tcPr>
            <w:tcW w:w="2506" w:type="dxa"/>
          </w:tcPr>
          <w:p w14:paraId="304A2B31" w14:textId="77777777" w:rsidR="00D13EE7" w:rsidRPr="00562EB5"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562EB5">
              <w:rPr>
                <w:rFonts w:ascii="Calibri" w:hAnsi="Calibri" w:cs="Calibri"/>
                <w:color w:val="auto"/>
              </w:rPr>
              <w:t xml:space="preserve">Explain how public universities respond to the OfS, GDPR, professional expectations and societal pressures regarding ethical AI. </w:t>
            </w:r>
          </w:p>
        </w:tc>
        <w:tc>
          <w:tcPr>
            <w:tcW w:w="2977" w:type="dxa"/>
          </w:tcPr>
          <w:p w14:paraId="2867CDA5" w14:textId="77777777" w:rsidR="00D13EE7" w:rsidRPr="00562EB5"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562EB5">
              <w:rPr>
                <w:rFonts w:ascii="Calibri" w:hAnsi="Calibri" w:cs="Calibri"/>
                <w:color w:val="auto"/>
              </w:rPr>
              <w:t xml:space="preserve">Emphasises external pressures more than internal leadership processes, but less clearly how governance is operationalised. </w:t>
            </w:r>
          </w:p>
        </w:tc>
        <w:tc>
          <w:tcPr>
            <w:tcW w:w="3463" w:type="dxa"/>
          </w:tcPr>
          <w:p w14:paraId="3148FA6D" w14:textId="77777777" w:rsidR="00D13EE7" w:rsidRPr="00562EB5"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562EB5">
              <w:rPr>
                <w:rFonts w:ascii="Calibri" w:hAnsi="Calibri" w:cs="Calibri"/>
                <w:color w:val="auto"/>
              </w:rPr>
              <w:t>Provides the institutional context explaining why English universities adopt AI governance policies to achieve legitimacy, compliance, and public trust.</w:t>
            </w:r>
          </w:p>
        </w:tc>
      </w:tr>
      <w:tr w:rsidR="00D13EE7" w:rsidRPr="008139DE" w14:paraId="05DF73A8" w14:textId="77777777" w:rsidTr="009E4EB6">
        <w:tc>
          <w:tcPr>
            <w:cnfStyle w:val="001000000000" w:firstRow="0" w:lastRow="0" w:firstColumn="1" w:lastColumn="0" w:oddVBand="0" w:evenVBand="0" w:oddHBand="0" w:evenHBand="0" w:firstRowFirstColumn="0" w:firstRowLastColumn="0" w:lastRowFirstColumn="0" w:lastRowLastColumn="0"/>
            <w:tcW w:w="2117" w:type="dxa"/>
          </w:tcPr>
          <w:p w14:paraId="5E73E6B1" w14:textId="77777777" w:rsidR="00D13EE7" w:rsidRPr="0069558C" w:rsidRDefault="00D13EE7" w:rsidP="00316D81">
            <w:pPr>
              <w:spacing w:after="160" w:line="360" w:lineRule="auto"/>
              <w:rPr>
                <w:rFonts w:ascii="Calibri" w:hAnsi="Calibri" w:cs="Calibri"/>
                <w:color w:val="auto"/>
              </w:rPr>
            </w:pPr>
            <w:r w:rsidRPr="0069558C">
              <w:rPr>
                <w:rFonts w:ascii="Calibri" w:hAnsi="Calibri" w:cs="Calibri"/>
                <w:color w:val="auto"/>
              </w:rPr>
              <w:t xml:space="preserve">Governance Theory (Corporate / Public Governance) </w:t>
            </w:r>
          </w:p>
        </w:tc>
        <w:tc>
          <w:tcPr>
            <w:tcW w:w="2880" w:type="dxa"/>
          </w:tcPr>
          <w:p w14:paraId="1F65F9D5" w14:textId="77777777" w:rsidR="00D13EE7" w:rsidRPr="00562EB5" w:rsidRDefault="00D13EE7" w:rsidP="00316D81">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562EB5">
              <w:rPr>
                <w:rFonts w:ascii="Calibri" w:hAnsi="Calibri" w:cs="Calibri"/>
                <w:color w:val="auto"/>
              </w:rPr>
              <w:t xml:space="preserve">Effective governance depends on accountability, transparency, oversight, stakeholder participation and risk management. </w:t>
            </w:r>
          </w:p>
        </w:tc>
        <w:tc>
          <w:tcPr>
            <w:tcW w:w="2506" w:type="dxa"/>
          </w:tcPr>
          <w:p w14:paraId="262E1894" w14:textId="77777777" w:rsidR="00D13EE7" w:rsidRPr="0037667C" w:rsidRDefault="00D13EE7" w:rsidP="00316D81">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37667C">
              <w:rPr>
                <w:rFonts w:ascii="Calibri" w:hAnsi="Calibri" w:cs="Calibri"/>
                <w:color w:val="auto"/>
              </w:rPr>
              <w:t xml:space="preserve">Provide clear governance principles </w:t>
            </w:r>
            <w:r>
              <w:rPr>
                <w:rFonts w:ascii="Calibri" w:hAnsi="Calibri" w:cs="Calibri"/>
                <w:color w:val="auto"/>
              </w:rPr>
              <w:t>for ethical AI, including accountability, fairness, transparency,</w:t>
            </w:r>
            <w:r w:rsidRPr="0037667C">
              <w:rPr>
                <w:rFonts w:ascii="Calibri" w:hAnsi="Calibri" w:cs="Calibri"/>
                <w:color w:val="auto"/>
              </w:rPr>
              <w:t xml:space="preserve"> and organisational oversight. </w:t>
            </w:r>
          </w:p>
        </w:tc>
        <w:tc>
          <w:tcPr>
            <w:tcW w:w="2977" w:type="dxa"/>
          </w:tcPr>
          <w:p w14:paraId="5171A215" w14:textId="77777777" w:rsidR="00D13EE7" w:rsidRPr="0037667C"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37667C">
              <w:rPr>
                <w:rFonts w:ascii="Calibri" w:hAnsi="Calibri" w:cs="Calibri"/>
                <w:color w:val="auto"/>
              </w:rPr>
              <w:t xml:space="preserve">Existing governance frameworks are largely designed for corporations or public administration rather than HE. They provide limited guidance for university-specific governance challenges. </w:t>
            </w:r>
          </w:p>
        </w:tc>
        <w:tc>
          <w:tcPr>
            <w:tcW w:w="3463" w:type="dxa"/>
          </w:tcPr>
          <w:p w14:paraId="0F63E1F0" w14:textId="77777777" w:rsidR="00D13EE7" w:rsidRPr="008139DE"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8139DE">
              <w:rPr>
                <w:rFonts w:ascii="Calibri" w:hAnsi="Calibri" w:cs="Calibri"/>
                <w:color w:val="auto"/>
              </w:rPr>
              <w:t>Forms the normative governance foundation for the proposed SGM by identifying governance mechanisms that support ethical AI implementation.</w:t>
            </w:r>
          </w:p>
        </w:tc>
      </w:tr>
      <w:tr w:rsidR="00D13EE7" w:rsidRPr="00DB6000" w14:paraId="032B406F" w14:textId="77777777" w:rsidTr="009E4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7" w:type="dxa"/>
          </w:tcPr>
          <w:p w14:paraId="6864A1BC" w14:textId="77777777" w:rsidR="00D13EE7" w:rsidRPr="0069558C" w:rsidRDefault="00D13EE7" w:rsidP="00316D81">
            <w:pPr>
              <w:spacing w:after="160" w:line="360" w:lineRule="auto"/>
              <w:rPr>
                <w:rFonts w:ascii="Calibri" w:hAnsi="Calibri" w:cs="Calibri"/>
                <w:color w:val="auto"/>
              </w:rPr>
            </w:pPr>
            <w:r w:rsidRPr="0069558C">
              <w:rPr>
                <w:rFonts w:ascii="Calibri" w:hAnsi="Calibri" w:cs="Calibri"/>
                <w:color w:val="auto"/>
              </w:rPr>
              <w:t>Strategic Management Theory (SMT)</w:t>
            </w:r>
          </w:p>
        </w:tc>
        <w:tc>
          <w:tcPr>
            <w:tcW w:w="2880" w:type="dxa"/>
          </w:tcPr>
          <w:p w14:paraId="779DA1DA" w14:textId="77777777" w:rsidR="00D13EE7" w:rsidRPr="0069558C"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69558C">
              <w:rPr>
                <w:rFonts w:ascii="Calibri" w:hAnsi="Calibri" w:cs="Calibri"/>
                <w:color w:val="auto"/>
              </w:rPr>
              <w:t xml:space="preserve">Organisational success depends upon aligning resources, leadership, organisational capabilities </w:t>
            </w:r>
            <w:r w:rsidRPr="0069558C">
              <w:rPr>
                <w:rFonts w:ascii="Calibri" w:hAnsi="Calibri" w:cs="Calibri"/>
                <w:color w:val="auto"/>
              </w:rPr>
              <w:lastRenderedPageBreak/>
              <w:t xml:space="preserve">and long-term strategic objectives. </w:t>
            </w:r>
          </w:p>
        </w:tc>
        <w:tc>
          <w:tcPr>
            <w:tcW w:w="2506" w:type="dxa"/>
          </w:tcPr>
          <w:p w14:paraId="7557325C" w14:textId="77777777" w:rsidR="00D13EE7" w:rsidRPr="003B263F"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3B263F">
              <w:rPr>
                <w:rFonts w:ascii="Calibri" w:hAnsi="Calibri" w:cs="Calibri"/>
                <w:color w:val="auto"/>
              </w:rPr>
              <w:lastRenderedPageBreak/>
              <w:t xml:space="preserve">Explains how AI can become a strategic organisational capability rather than merely a </w:t>
            </w:r>
            <w:r w:rsidRPr="003B263F">
              <w:rPr>
                <w:rFonts w:ascii="Calibri" w:hAnsi="Calibri" w:cs="Calibri"/>
                <w:color w:val="auto"/>
              </w:rPr>
              <w:lastRenderedPageBreak/>
              <w:t xml:space="preserve">compliance activity. Emphasises leadership, organisational learning and long-term sustainability. </w:t>
            </w:r>
          </w:p>
        </w:tc>
        <w:tc>
          <w:tcPr>
            <w:tcW w:w="2977" w:type="dxa"/>
          </w:tcPr>
          <w:p w14:paraId="2D33F187" w14:textId="4B0F60E1" w:rsidR="00D13EE7" w:rsidRPr="00DB6000"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DB6000">
              <w:rPr>
                <w:rFonts w:ascii="Calibri" w:hAnsi="Calibri" w:cs="Calibri"/>
                <w:color w:val="auto"/>
              </w:rPr>
              <w:lastRenderedPageBreak/>
              <w:t xml:space="preserve">Traditional strategic management </w:t>
            </w:r>
            <w:r>
              <w:rPr>
                <w:rFonts w:ascii="Calibri" w:hAnsi="Calibri" w:cs="Calibri"/>
                <w:color w:val="auto"/>
              </w:rPr>
              <w:t xml:space="preserve">literature rarely </w:t>
            </w:r>
            <w:r w:rsidR="008B54BC">
              <w:rPr>
                <w:rFonts w:ascii="Calibri" w:hAnsi="Calibri" w:cs="Calibri"/>
                <w:color w:val="auto"/>
              </w:rPr>
              <w:t>addresses AI ethics or public-sector governance explicitly</w:t>
            </w:r>
            <w:r>
              <w:rPr>
                <w:rFonts w:ascii="Calibri" w:hAnsi="Calibri" w:cs="Calibri"/>
                <w:color w:val="auto"/>
              </w:rPr>
              <w:t xml:space="preserve">. </w:t>
            </w:r>
            <w:r>
              <w:rPr>
                <w:rFonts w:ascii="Calibri" w:hAnsi="Calibri" w:cs="Calibri"/>
                <w:color w:val="auto"/>
              </w:rPr>
              <w:lastRenderedPageBreak/>
              <w:t>Ethical responsibility is often secondary regarding institutional implementation and governance structures.</w:t>
            </w:r>
          </w:p>
        </w:tc>
        <w:tc>
          <w:tcPr>
            <w:tcW w:w="3463" w:type="dxa"/>
          </w:tcPr>
          <w:p w14:paraId="3CC5967E" w14:textId="77777777" w:rsidR="00D13EE7" w:rsidRPr="00DB6000"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Pr>
                <w:rFonts w:ascii="Calibri" w:hAnsi="Calibri" w:cs="Calibri"/>
                <w:color w:val="auto"/>
              </w:rPr>
              <w:lastRenderedPageBreak/>
              <w:t>Positions AI governance as an organisational capability integrated into university strategy, leadership and institutional decision-making.</w:t>
            </w:r>
          </w:p>
        </w:tc>
      </w:tr>
      <w:tr w:rsidR="00D13EE7" w:rsidRPr="009C5E62" w14:paraId="35DD88AA" w14:textId="77777777" w:rsidTr="009E4EB6">
        <w:tc>
          <w:tcPr>
            <w:cnfStyle w:val="001000000000" w:firstRow="0" w:lastRow="0" w:firstColumn="1" w:lastColumn="0" w:oddVBand="0" w:evenVBand="0" w:oddHBand="0" w:evenHBand="0" w:firstRowFirstColumn="0" w:firstRowLastColumn="0" w:lastRowFirstColumn="0" w:lastRowLastColumn="0"/>
            <w:tcW w:w="2117" w:type="dxa"/>
          </w:tcPr>
          <w:p w14:paraId="2D53A1F1" w14:textId="77777777" w:rsidR="00D13EE7" w:rsidRPr="00C87346" w:rsidRDefault="00D13EE7" w:rsidP="00316D81">
            <w:pPr>
              <w:spacing w:after="160" w:line="360" w:lineRule="auto"/>
              <w:jc w:val="both"/>
              <w:rPr>
                <w:rFonts w:ascii="Calibri" w:hAnsi="Calibri" w:cs="Calibri"/>
                <w:color w:val="auto"/>
              </w:rPr>
            </w:pPr>
            <w:r w:rsidRPr="00C87346">
              <w:rPr>
                <w:rFonts w:ascii="Calibri" w:hAnsi="Calibri" w:cs="Calibri"/>
                <w:color w:val="auto"/>
              </w:rPr>
              <w:t>Responsible AI / AI Ethics Frameworks</w:t>
            </w:r>
          </w:p>
        </w:tc>
        <w:tc>
          <w:tcPr>
            <w:tcW w:w="2880" w:type="dxa"/>
          </w:tcPr>
          <w:p w14:paraId="7C785631" w14:textId="77777777" w:rsidR="00D13EE7" w:rsidRPr="00C87346"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C87346">
              <w:rPr>
                <w:rFonts w:ascii="Calibri" w:hAnsi="Calibri" w:cs="Calibri"/>
                <w:color w:val="auto"/>
              </w:rPr>
              <w:t>AI should be implemented according to principles such as fairness, accountability, transparency, explainability, privacy and human oversight.</w:t>
            </w:r>
          </w:p>
        </w:tc>
        <w:tc>
          <w:tcPr>
            <w:tcW w:w="2506" w:type="dxa"/>
          </w:tcPr>
          <w:p w14:paraId="2F8F9D1F" w14:textId="77777777" w:rsidR="00D13EE7" w:rsidRPr="00C87346"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C87346">
              <w:rPr>
                <w:rFonts w:ascii="Calibri" w:hAnsi="Calibri" w:cs="Calibri"/>
                <w:color w:val="auto"/>
              </w:rPr>
              <w:t xml:space="preserve">Establishes internationally recognised ethical principles for </w:t>
            </w:r>
            <w:r>
              <w:rPr>
                <w:rFonts w:ascii="Calibri" w:hAnsi="Calibri" w:cs="Calibri"/>
                <w:color w:val="auto"/>
              </w:rPr>
              <w:t xml:space="preserve">the responsible implementation of AI </w:t>
            </w:r>
            <w:r w:rsidRPr="00C87346">
              <w:rPr>
                <w:rFonts w:ascii="Calibri" w:hAnsi="Calibri" w:cs="Calibri"/>
                <w:color w:val="auto"/>
              </w:rPr>
              <w:t>and supports public trust</w:t>
            </w:r>
            <w:r>
              <w:rPr>
                <w:rFonts w:ascii="Calibri" w:hAnsi="Calibri" w:cs="Calibri"/>
                <w:color w:val="auto"/>
              </w:rPr>
              <w:t>.</w:t>
            </w:r>
          </w:p>
        </w:tc>
        <w:tc>
          <w:tcPr>
            <w:tcW w:w="2977" w:type="dxa"/>
          </w:tcPr>
          <w:p w14:paraId="338B89E6" w14:textId="77777777" w:rsidR="00D13EE7" w:rsidRPr="00FC2E83"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FC2E83">
              <w:rPr>
                <w:rFonts w:ascii="Calibri" w:hAnsi="Calibri" w:cs="Calibri"/>
                <w:color w:val="auto"/>
              </w:rPr>
              <w:t>Most frameworks remain normative and conceptual, providing limited guidance regarding institutional implementation and governance structures</w:t>
            </w:r>
          </w:p>
        </w:tc>
        <w:tc>
          <w:tcPr>
            <w:tcW w:w="3463" w:type="dxa"/>
          </w:tcPr>
          <w:p w14:paraId="0B361C04" w14:textId="77777777" w:rsidR="00D13EE7" w:rsidRPr="009C5E62" w:rsidRDefault="00D13EE7" w:rsidP="00316D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color w:val="auto"/>
              </w:rPr>
            </w:pPr>
            <w:r w:rsidRPr="009C5E62">
              <w:rPr>
                <w:rFonts w:ascii="Calibri" w:hAnsi="Calibri" w:cs="Calibri"/>
                <w:color w:val="auto"/>
              </w:rPr>
              <w:t xml:space="preserve">Provides the ethical principles embedded in the Strategic Governance Model and informs the governance mechanisms that support responsible AI adoption. </w:t>
            </w:r>
          </w:p>
        </w:tc>
      </w:tr>
      <w:tr w:rsidR="00D13EE7" w:rsidRPr="00A6315F" w14:paraId="2FF08B94" w14:textId="77777777" w:rsidTr="009E4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7" w:type="dxa"/>
          </w:tcPr>
          <w:p w14:paraId="0ED0B8FA" w14:textId="77777777" w:rsidR="00D13EE7" w:rsidRPr="003F3F04" w:rsidRDefault="00D13EE7" w:rsidP="00316D81">
            <w:pPr>
              <w:spacing w:after="160" w:line="360" w:lineRule="auto"/>
              <w:jc w:val="both"/>
              <w:rPr>
                <w:rFonts w:ascii="Calibri" w:hAnsi="Calibri" w:cs="Calibri"/>
                <w:color w:val="auto"/>
              </w:rPr>
            </w:pPr>
            <w:r w:rsidRPr="003F3F04">
              <w:rPr>
                <w:rFonts w:ascii="Calibri" w:hAnsi="Calibri" w:cs="Calibri"/>
                <w:color w:val="auto"/>
              </w:rPr>
              <w:t xml:space="preserve">Integrated Strategic Governance Model (This research) </w:t>
            </w:r>
          </w:p>
        </w:tc>
        <w:tc>
          <w:tcPr>
            <w:tcW w:w="2880" w:type="dxa"/>
          </w:tcPr>
          <w:p w14:paraId="785512C7" w14:textId="77777777" w:rsidR="00D13EE7" w:rsidRPr="00384568"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384568">
              <w:rPr>
                <w:rFonts w:ascii="Calibri" w:hAnsi="Calibri" w:cs="Calibri"/>
                <w:color w:val="auto"/>
              </w:rPr>
              <w:t xml:space="preserve">Ethical AI implementation requires integrating strategic leadership, governance mechanisms, institutional legitimacy, and ethical principles into a single organisational framework. </w:t>
            </w:r>
          </w:p>
        </w:tc>
        <w:tc>
          <w:tcPr>
            <w:tcW w:w="2506" w:type="dxa"/>
          </w:tcPr>
          <w:p w14:paraId="72BE52D4" w14:textId="77777777" w:rsidR="00D13EE7" w:rsidRPr="00991CCF"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991CCF">
              <w:rPr>
                <w:rFonts w:ascii="Calibri" w:hAnsi="Calibri" w:cs="Calibri"/>
                <w:color w:val="auto"/>
              </w:rPr>
              <w:t>Combines organisational strategy, governance, ethics and institutional context into a coherent model specially designed for English public universities</w:t>
            </w:r>
          </w:p>
        </w:tc>
        <w:tc>
          <w:tcPr>
            <w:tcW w:w="2977" w:type="dxa"/>
          </w:tcPr>
          <w:p w14:paraId="0A7C76A5" w14:textId="77777777" w:rsidR="00D13EE7" w:rsidRPr="00037D5A"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037D5A">
              <w:rPr>
                <w:rFonts w:ascii="Calibri" w:hAnsi="Calibri" w:cs="Calibri"/>
                <w:color w:val="auto"/>
              </w:rPr>
              <w:t xml:space="preserve">Requires empirical validation through qualitative </w:t>
            </w:r>
            <w:r>
              <w:rPr>
                <w:rFonts w:ascii="Calibri" w:hAnsi="Calibri" w:cs="Calibri"/>
                <w:color w:val="auto"/>
              </w:rPr>
              <w:t>research on numerous cases</w:t>
            </w:r>
            <w:r w:rsidRPr="00037D5A">
              <w:rPr>
                <w:rFonts w:ascii="Calibri" w:hAnsi="Calibri" w:cs="Calibri"/>
                <w:color w:val="auto"/>
              </w:rPr>
              <w:t xml:space="preserve"> before wider validations. </w:t>
            </w:r>
          </w:p>
        </w:tc>
        <w:tc>
          <w:tcPr>
            <w:tcW w:w="3463" w:type="dxa"/>
          </w:tcPr>
          <w:p w14:paraId="63E05382" w14:textId="77777777" w:rsidR="00D13EE7" w:rsidRPr="00A6315F" w:rsidRDefault="00D13EE7" w:rsidP="00316D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color w:val="auto"/>
              </w:rPr>
            </w:pPr>
            <w:r w:rsidRPr="00A6315F">
              <w:rPr>
                <w:rFonts w:ascii="Calibri" w:hAnsi="Calibri" w:cs="Calibri"/>
                <w:color w:val="auto"/>
              </w:rPr>
              <w:t>Addresses the theoretical fragmentation identified throughout the literature by integrating Institutional Theory, Governance Theory</w:t>
            </w:r>
            <w:r>
              <w:rPr>
                <w:rFonts w:ascii="Calibri" w:hAnsi="Calibri" w:cs="Calibri"/>
                <w:color w:val="auto"/>
              </w:rPr>
              <w:t>, and Strategic Management Theory into a single</w:t>
            </w:r>
            <w:r w:rsidRPr="00A6315F">
              <w:rPr>
                <w:rFonts w:ascii="Calibri" w:hAnsi="Calibri" w:cs="Calibri"/>
                <w:color w:val="auto"/>
              </w:rPr>
              <w:t xml:space="preserve"> evidence-informed governance framework.</w:t>
            </w:r>
          </w:p>
        </w:tc>
      </w:tr>
    </w:tbl>
    <w:p w14:paraId="191EC04E" w14:textId="3A66006A" w:rsidR="00393DE3" w:rsidRPr="00865260" w:rsidRDefault="00393DE3" w:rsidP="003C6688">
      <w:pPr>
        <w:pStyle w:val="Caption"/>
        <w:jc w:val="center"/>
        <w:rPr>
          <w:sz w:val="20"/>
          <w:szCs w:val="20"/>
        </w:rPr>
      </w:pPr>
      <w:r w:rsidRPr="00865260">
        <w:rPr>
          <w:sz w:val="20"/>
          <w:szCs w:val="20"/>
        </w:rPr>
        <w:t xml:space="preserve">Table D2: Theoretical foundations of the proposed </w:t>
      </w:r>
      <w:r w:rsidR="00596E5E">
        <w:rPr>
          <w:sz w:val="20"/>
          <w:szCs w:val="20"/>
        </w:rPr>
        <w:t>SGM</w:t>
      </w:r>
    </w:p>
    <w:p w14:paraId="42BCFC2C" w14:textId="69411D32" w:rsidR="003C6688" w:rsidRPr="00865260" w:rsidRDefault="003C6688" w:rsidP="003C6688">
      <w:pPr>
        <w:pStyle w:val="Caption"/>
        <w:jc w:val="center"/>
        <w:rPr>
          <w:sz w:val="20"/>
          <w:szCs w:val="20"/>
        </w:rPr>
      </w:pPr>
      <w:r w:rsidRPr="00865260">
        <w:rPr>
          <w:sz w:val="20"/>
          <w:szCs w:val="20"/>
        </w:rPr>
        <w:t>Source: Author's own development, informed by DiMaggio and Powell (1983), Teece</w:t>
      </w:r>
      <w:r w:rsidR="00865260" w:rsidRPr="00865260">
        <w:rPr>
          <w:sz w:val="20"/>
          <w:szCs w:val="20"/>
        </w:rPr>
        <w:t xml:space="preserve"> et al.</w:t>
      </w:r>
      <w:r w:rsidRPr="00865260">
        <w:rPr>
          <w:sz w:val="20"/>
          <w:szCs w:val="20"/>
        </w:rPr>
        <w:t xml:space="preserve"> (1997), Mantymaki et al. (2022), and Papagiannidis</w:t>
      </w:r>
      <w:r w:rsidR="009E4EB6" w:rsidRPr="00865260">
        <w:rPr>
          <w:sz w:val="20"/>
          <w:szCs w:val="20"/>
        </w:rPr>
        <w:t xml:space="preserve"> et al.</w:t>
      </w:r>
      <w:r w:rsidRPr="00865260">
        <w:rPr>
          <w:sz w:val="20"/>
          <w:szCs w:val="20"/>
        </w:rPr>
        <w:t xml:space="preserve"> (2025)</w:t>
      </w:r>
    </w:p>
    <w:p w14:paraId="035DBC94" w14:textId="77777777" w:rsidR="003C6688" w:rsidRPr="003C6688" w:rsidRDefault="003C6688" w:rsidP="003C6688"/>
    <w:tbl>
      <w:tblPr>
        <w:tblStyle w:val="TableGrid"/>
        <w:tblW w:w="0" w:type="auto"/>
        <w:jc w:val="center"/>
        <w:tblLayout w:type="fixed"/>
        <w:tblCellMar>
          <w:top w:w="28" w:type="dxa"/>
          <w:left w:w="28" w:type="dxa"/>
          <w:bottom w:w="28" w:type="dxa"/>
          <w:right w:w="28" w:type="dxa"/>
        </w:tblCellMar>
        <w:tblLook w:val="04A0" w:firstRow="1" w:lastRow="0" w:firstColumn="1" w:lastColumn="0" w:noHBand="0" w:noVBand="1"/>
      </w:tblPr>
      <w:tblGrid>
        <w:gridCol w:w="2405"/>
        <w:gridCol w:w="4622"/>
        <w:gridCol w:w="2749"/>
        <w:gridCol w:w="3554"/>
      </w:tblGrid>
      <w:tr w:rsidR="00AE65B0" w:rsidRPr="00AE65B0" w14:paraId="79DE0041" w14:textId="77777777" w:rsidTr="00246E08">
        <w:trPr>
          <w:jc w:val="center"/>
        </w:trPr>
        <w:tc>
          <w:tcPr>
            <w:tcW w:w="2405" w:type="dxa"/>
            <w:shd w:val="clear" w:color="auto" w:fill="D9EAF7"/>
          </w:tcPr>
          <w:p w14:paraId="39802D86" w14:textId="77777777" w:rsidR="00AE65B0" w:rsidRPr="00AE65B0" w:rsidRDefault="00AE65B0" w:rsidP="00316D81">
            <w:pPr>
              <w:spacing w:line="211" w:lineRule="auto"/>
              <w:jc w:val="center"/>
              <w:rPr>
                <w:sz w:val="24"/>
                <w:szCs w:val="24"/>
              </w:rPr>
            </w:pPr>
            <w:r w:rsidRPr="00AE65B0">
              <w:rPr>
                <w:rFonts w:ascii="Times New Roman" w:hAnsi="Times New Roman"/>
                <w:b/>
                <w:sz w:val="24"/>
                <w:szCs w:val="24"/>
              </w:rPr>
              <w:t>SGM pillar</w:t>
            </w:r>
          </w:p>
        </w:tc>
        <w:tc>
          <w:tcPr>
            <w:tcW w:w="4622" w:type="dxa"/>
            <w:shd w:val="clear" w:color="auto" w:fill="D9EAF7"/>
          </w:tcPr>
          <w:p w14:paraId="055F3E4E" w14:textId="77777777" w:rsidR="00AE65B0" w:rsidRPr="00AE65B0" w:rsidRDefault="00AE65B0" w:rsidP="00316D81">
            <w:pPr>
              <w:spacing w:line="211" w:lineRule="auto"/>
              <w:jc w:val="center"/>
              <w:rPr>
                <w:sz w:val="24"/>
                <w:szCs w:val="24"/>
              </w:rPr>
            </w:pPr>
            <w:r w:rsidRPr="00AE65B0">
              <w:rPr>
                <w:rFonts w:ascii="Times New Roman" w:hAnsi="Times New Roman"/>
                <w:b/>
                <w:sz w:val="24"/>
                <w:szCs w:val="24"/>
              </w:rPr>
              <w:t>Governance problem</w:t>
            </w:r>
          </w:p>
        </w:tc>
        <w:tc>
          <w:tcPr>
            <w:tcW w:w="2749" w:type="dxa"/>
            <w:shd w:val="clear" w:color="auto" w:fill="D9EAF7"/>
          </w:tcPr>
          <w:p w14:paraId="31E5FAE6" w14:textId="77777777" w:rsidR="00AE65B0" w:rsidRPr="00AE65B0" w:rsidRDefault="00AE65B0" w:rsidP="00316D81">
            <w:pPr>
              <w:spacing w:line="211" w:lineRule="auto"/>
              <w:jc w:val="center"/>
              <w:rPr>
                <w:sz w:val="24"/>
                <w:szCs w:val="24"/>
              </w:rPr>
            </w:pPr>
            <w:r w:rsidRPr="00AE65B0">
              <w:rPr>
                <w:rFonts w:ascii="Times New Roman" w:hAnsi="Times New Roman"/>
                <w:b/>
                <w:sz w:val="24"/>
                <w:szCs w:val="24"/>
              </w:rPr>
              <w:t>Governance function</w:t>
            </w:r>
          </w:p>
        </w:tc>
        <w:tc>
          <w:tcPr>
            <w:tcW w:w="3554" w:type="dxa"/>
            <w:shd w:val="clear" w:color="auto" w:fill="D9EAF7"/>
          </w:tcPr>
          <w:p w14:paraId="5ED704BF" w14:textId="77777777" w:rsidR="00AE65B0" w:rsidRPr="00AE65B0" w:rsidRDefault="00AE65B0" w:rsidP="00316D81">
            <w:pPr>
              <w:spacing w:line="211" w:lineRule="auto"/>
              <w:jc w:val="center"/>
              <w:rPr>
                <w:sz w:val="24"/>
                <w:szCs w:val="24"/>
              </w:rPr>
            </w:pPr>
            <w:r w:rsidRPr="00AE65B0">
              <w:rPr>
                <w:rFonts w:ascii="Times New Roman" w:hAnsi="Times New Roman"/>
                <w:b/>
                <w:sz w:val="24"/>
                <w:szCs w:val="24"/>
              </w:rPr>
              <w:t>Intended outcome</w:t>
            </w:r>
          </w:p>
        </w:tc>
      </w:tr>
      <w:tr w:rsidR="00AE65B0" w:rsidRPr="00AE65B0" w14:paraId="76E98DEF" w14:textId="77777777" w:rsidTr="00246E08">
        <w:trPr>
          <w:jc w:val="center"/>
        </w:trPr>
        <w:tc>
          <w:tcPr>
            <w:tcW w:w="2405" w:type="dxa"/>
          </w:tcPr>
          <w:p w14:paraId="54BCBAE4" w14:textId="77777777" w:rsidR="00AE65B0" w:rsidRPr="00AE65B0" w:rsidRDefault="00AE65B0" w:rsidP="00316D81">
            <w:pPr>
              <w:spacing w:line="211" w:lineRule="auto"/>
              <w:rPr>
                <w:sz w:val="24"/>
                <w:szCs w:val="24"/>
              </w:rPr>
            </w:pPr>
            <w:r w:rsidRPr="00AE65B0">
              <w:rPr>
                <w:rFonts w:ascii="Times New Roman" w:hAnsi="Times New Roman"/>
                <w:b/>
                <w:sz w:val="24"/>
                <w:szCs w:val="24"/>
              </w:rPr>
              <w:t>Strategic Leadership and Accountability</w:t>
            </w:r>
          </w:p>
        </w:tc>
        <w:tc>
          <w:tcPr>
            <w:tcW w:w="4622" w:type="dxa"/>
          </w:tcPr>
          <w:p w14:paraId="675AB1A4" w14:textId="77777777" w:rsidR="00AE65B0" w:rsidRPr="00AE65B0" w:rsidRDefault="00AE65B0" w:rsidP="00316D81">
            <w:pPr>
              <w:spacing w:line="211" w:lineRule="auto"/>
              <w:rPr>
                <w:sz w:val="24"/>
                <w:szCs w:val="24"/>
              </w:rPr>
            </w:pPr>
            <w:r w:rsidRPr="00AE65B0">
              <w:rPr>
                <w:rFonts w:ascii="Times New Roman" w:hAnsi="Times New Roman"/>
                <w:sz w:val="24"/>
                <w:szCs w:val="24"/>
              </w:rPr>
              <w:t>AI initiatives may develop independently of institutional priorities, while responsibility and decision rights may remain fragmented.</w:t>
            </w:r>
          </w:p>
        </w:tc>
        <w:tc>
          <w:tcPr>
            <w:tcW w:w="2749" w:type="dxa"/>
          </w:tcPr>
          <w:p w14:paraId="1D5DC13D" w14:textId="77777777" w:rsidR="00AE65B0" w:rsidRPr="00AE65B0" w:rsidRDefault="00AE65B0" w:rsidP="00316D81">
            <w:pPr>
              <w:spacing w:line="211" w:lineRule="auto"/>
              <w:rPr>
                <w:sz w:val="24"/>
                <w:szCs w:val="24"/>
              </w:rPr>
            </w:pPr>
            <w:r w:rsidRPr="00AE65B0">
              <w:rPr>
                <w:rFonts w:ascii="Times New Roman" w:hAnsi="Times New Roman"/>
                <w:sz w:val="24"/>
                <w:szCs w:val="24"/>
              </w:rPr>
              <w:t>Embed AI within institutional strategy and establish clear leadership, oversight, responsibilities and escalation routes.</w:t>
            </w:r>
          </w:p>
        </w:tc>
        <w:tc>
          <w:tcPr>
            <w:tcW w:w="3554" w:type="dxa"/>
          </w:tcPr>
          <w:p w14:paraId="30CB00C7" w14:textId="77777777" w:rsidR="00AE65B0" w:rsidRPr="00AE65B0" w:rsidRDefault="00AE65B0" w:rsidP="00316D81">
            <w:pPr>
              <w:spacing w:line="211" w:lineRule="auto"/>
              <w:rPr>
                <w:sz w:val="24"/>
                <w:szCs w:val="24"/>
              </w:rPr>
            </w:pPr>
            <w:r w:rsidRPr="00AE65B0">
              <w:rPr>
                <w:rFonts w:ascii="Times New Roman" w:hAnsi="Times New Roman"/>
                <w:sz w:val="24"/>
                <w:szCs w:val="24"/>
              </w:rPr>
              <w:t>Strategic coherence, clear accountability and sustainable institutional value.</w:t>
            </w:r>
          </w:p>
        </w:tc>
      </w:tr>
      <w:tr w:rsidR="00AE65B0" w:rsidRPr="00AE65B0" w14:paraId="27CCAF6E" w14:textId="77777777" w:rsidTr="00246E08">
        <w:trPr>
          <w:jc w:val="center"/>
        </w:trPr>
        <w:tc>
          <w:tcPr>
            <w:tcW w:w="2405" w:type="dxa"/>
          </w:tcPr>
          <w:p w14:paraId="78F6FA23" w14:textId="77777777" w:rsidR="00AE65B0" w:rsidRPr="00AE65B0" w:rsidRDefault="00AE65B0" w:rsidP="00316D81">
            <w:pPr>
              <w:spacing w:line="211" w:lineRule="auto"/>
              <w:rPr>
                <w:sz w:val="24"/>
                <w:szCs w:val="24"/>
              </w:rPr>
            </w:pPr>
            <w:r w:rsidRPr="00AE65B0">
              <w:rPr>
                <w:rFonts w:ascii="Times New Roman" w:hAnsi="Times New Roman"/>
                <w:b/>
                <w:sz w:val="24"/>
                <w:szCs w:val="24"/>
              </w:rPr>
              <w:t>Ethical Oversight and Responsible Innovation</w:t>
            </w:r>
          </w:p>
        </w:tc>
        <w:tc>
          <w:tcPr>
            <w:tcW w:w="4622" w:type="dxa"/>
          </w:tcPr>
          <w:p w14:paraId="35E71BB5" w14:textId="34FED4D1" w:rsidR="00AE65B0" w:rsidRPr="00AE65B0" w:rsidRDefault="00AE65B0" w:rsidP="00316D81">
            <w:pPr>
              <w:spacing w:line="211" w:lineRule="auto"/>
              <w:rPr>
                <w:sz w:val="24"/>
                <w:szCs w:val="24"/>
              </w:rPr>
            </w:pPr>
            <w:r w:rsidRPr="00AE65B0">
              <w:rPr>
                <w:rFonts w:ascii="Times New Roman" w:hAnsi="Times New Roman"/>
                <w:sz w:val="24"/>
                <w:szCs w:val="24"/>
              </w:rPr>
              <w:t xml:space="preserve">AI creates risks </w:t>
            </w:r>
            <w:r w:rsidR="0043703F">
              <w:rPr>
                <w:rFonts w:ascii="Times New Roman" w:hAnsi="Times New Roman"/>
                <w:sz w:val="24"/>
                <w:szCs w:val="24"/>
              </w:rPr>
              <w:t>related to fairness, transparency, explainability, autonomy,</w:t>
            </w:r>
            <w:r w:rsidRPr="00AE65B0">
              <w:rPr>
                <w:rFonts w:ascii="Times New Roman" w:hAnsi="Times New Roman"/>
                <w:sz w:val="24"/>
                <w:szCs w:val="24"/>
              </w:rPr>
              <w:t xml:space="preserve"> and human oversight.</w:t>
            </w:r>
          </w:p>
        </w:tc>
        <w:tc>
          <w:tcPr>
            <w:tcW w:w="2749" w:type="dxa"/>
          </w:tcPr>
          <w:p w14:paraId="7E1EC67E" w14:textId="77777777" w:rsidR="00AE65B0" w:rsidRPr="00AE65B0" w:rsidRDefault="00AE65B0" w:rsidP="00316D81">
            <w:pPr>
              <w:spacing w:line="211" w:lineRule="auto"/>
              <w:rPr>
                <w:sz w:val="24"/>
                <w:szCs w:val="24"/>
              </w:rPr>
            </w:pPr>
            <w:r w:rsidRPr="00AE65B0">
              <w:rPr>
                <w:rFonts w:ascii="Times New Roman" w:hAnsi="Times New Roman"/>
                <w:sz w:val="24"/>
                <w:szCs w:val="24"/>
              </w:rPr>
              <w:t>Establish multidisciplinary ethical review and embed responsible-AI principles throughout AI adoption and use.</w:t>
            </w:r>
          </w:p>
        </w:tc>
        <w:tc>
          <w:tcPr>
            <w:tcW w:w="3554" w:type="dxa"/>
          </w:tcPr>
          <w:p w14:paraId="7DB1C482" w14:textId="77777777" w:rsidR="00AE65B0" w:rsidRPr="00AE65B0" w:rsidRDefault="00AE65B0" w:rsidP="00316D81">
            <w:pPr>
              <w:spacing w:line="211" w:lineRule="auto"/>
              <w:rPr>
                <w:sz w:val="24"/>
                <w:szCs w:val="24"/>
              </w:rPr>
            </w:pPr>
            <w:r w:rsidRPr="00AE65B0">
              <w:rPr>
                <w:rFonts w:ascii="Times New Roman" w:hAnsi="Times New Roman"/>
                <w:sz w:val="24"/>
                <w:szCs w:val="24"/>
              </w:rPr>
              <w:t>Trustworthy, legitimate and values-aligned AI implementation.</w:t>
            </w:r>
          </w:p>
        </w:tc>
      </w:tr>
      <w:tr w:rsidR="00AE65B0" w:rsidRPr="00AE65B0" w14:paraId="14A0D0FE" w14:textId="77777777" w:rsidTr="00246E08">
        <w:trPr>
          <w:jc w:val="center"/>
        </w:trPr>
        <w:tc>
          <w:tcPr>
            <w:tcW w:w="2405" w:type="dxa"/>
          </w:tcPr>
          <w:p w14:paraId="7272E0B4" w14:textId="77777777" w:rsidR="00AE65B0" w:rsidRPr="00AE65B0" w:rsidRDefault="00AE65B0" w:rsidP="00316D81">
            <w:pPr>
              <w:spacing w:line="211" w:lineRule="auto"/>
              <w:rPr>
                <w:sz w:val="24"/>
                <w:szCs w:val="24"/>
              </w:rPr>
            </w:pPr>
            <w:r w:rsidRPr="00AE65B0">
              <w:rPr>
                <w:rFonts w:ascii="Times New Roman" w:hAnsi="Times New Roman"/>
                <w:b/>
                <w:sz w:val="24"/>
                <w:szCs w:val="24"/>
              </w:rPr>
              <w:t>Regulatory Compliance and Risk Management</w:t>
            </w:r>
          </w:p>
        </w:tc>
        <w:tc>
          <w:tcPr>
            <w:tcW w:w="4622" w:type="dxa"/>
          </w:tcPr>
          <w:p w14:paraId="3C23601D" w14:textId="77777777" w:rsidR="00AE65B0" w:rsidRPr="00AE65B0" w:rsidRDefault="00AE65B0" w:rsidP="00316D81">
            <w:pPr>
              <w:spacing w:line="211" w:lineRule="auto"/>
              <w:rPr>
                <w:sz w:val="24"/>
                <w:szCs w:val="24"/>
              </w:rPr>
            </w:pPr>
            <w:r w:rsidRPr="00AE65B0">
              <w:rPr>
                <w:rFonts w:ascii="Times New Roman" w:hAnsi="Times New Roman"/>
                <w:sz w:val="24"/>
                <w:szCs w:val="24"/>
              </w:rPr>
              <w:t>Universities face data-protection, regulatory, operational and reputational risks.</w:t>
            </w:r>
          </w:p>
        </w:tc>
        <w:tc>
          <w:tcPr>
            <w:tcW w:w="2749" w:type="dxa"/>
          </w:tcPr>
          <w:p w14:paraId="342B02CA" w14:textId="77777777" w:rsidR="00AE65B0" w:rsidRPr="00AE65B0" w:rsidRDefault="00AE65B0" w:rsidP="00316D81">
            <w:pPr>
              <w:spacing w:line="211" w:lineRule="auto"/>
              <w:rPr>
                <w:sz w:val="24"/>
                <w:szCs w:val="24"/>
              </w:rPr>
            </w:pPr>
            <w:r w:rsidRPr="00AE65B0">
              <w:rPr>
                <w:rFonts w:ascii="Times New Roman" w:hAnsi="Times New Roman"/>
                <w:sz w:val="24"/>
                <w:szCs w:val="24"/>
              </w:rPr>
              <w:t>Integrate legal compliance, risk assessment, monitoring and impact evaluation into governance.</w:t>
            </w:r>
          </w:p>
        </w:tc>
        <w:tc>
          <w:tcPr>
            <w:tcW w:w="3554" w:type="dxa"/>
          </w:tcPr>
          <w:p w14:paraId="7116D972" w14:textId="77777777" w:rsidR="00AE65B0" w:rsidRPr="00AE65B0" w:rsidRDefault="00AE65B0" w:rsidP="00316D81">
            <w:pPr>
              <w:spacing w:line="211" w:lineRule="auto"/>
              <w:rPr>
                <w:sz w:val="24"/>
                <w:szCs w:val="24"/>
              </w:rPr>
            </w:pPr>
            <w:r w:rsidRPr="00AE65B0">
              <w:rPr>
                <w:rFonts w:ascii="Times New Roman" w:hAnsi="Times New Roman"/>
                <w:sz w:val="24"/>
                <w:szCs w:val="24"/>
              </w:rPr>
              <w:t>Regulatory assurance, risk mitigation and institutional resilience.</w:t>
            </w:r>
          </w:p>
        </w:tc>
      </w:tr>
      <w:tr w:rsidR="00AE65B0" w:rsidRPr="00AE65B0" w14:paraId="0608A6A6" w14:textId="77777777" w:rsidTr="00246E08">
        <w:trPr>
          <w:jc w:val="center"/>
        </w:trPr>
        <w:tc>
          <w:tcPr>
            <w:tcW w:w="2405" w:type="dxa"/>
          </w:tcPr>
          <w:p w14:paraId="787E6D5F" w14:textId="77777777" w:rsidR="00AE65B0" w:rsidRPr="00AE65B0" w:rsidRDefault="00AE65B0" w:rsidP="00316D81">
            <w:pPr>
              <w:spacing w:line="211" w:lineRule="auto"/>
              <w:rPr>
                <w:sz w:val="24"/>
                <w:szCs w:val="24"/>
              </w:rPr>
            </w:pPr>
            <w:r w:rsidRPr="00AE65B0">
              <w:rPr>
                <w:rFonts w:ascii="Times New Roman" w:hAnsi="Times New Roman"/>
                <w:b/>
                <w:sz w:val="24"/>
                <w:szCs w:val="24"/>
              </w:rPr>
              <w:t>Stakeholder Participation and Transparency</w:t>
            </w:r>
          </w:p>
        </w:tc>
        <w:tc>
          <w:tcPr>
            <w:tcW w:w="4622" w:type="dxa"/>
          </w:tcPr>
          <w:p w14:paraId="2536D232" w14:textId="77777777" w:rsidR="00AE65B0" w:rsidRPr="00AE65B0" w:rsidRDefault="00AE65B0" w:rsidP="00316D81">
            <w:pPr>
              <w:spacing w:line="211" w:lineRule="auto"/>
              <w:rPr>
                <w:sz w:val="24"/>
                <w:szCs w:val="24"/>
              </w:rPr>
            </w:pPr>
            <w:r w:rsidRPr="00AE65B0">
              <w:rPr>
                <w:rFonts w:ascii="Times New Roman" w:hAnsi="Times New Roman"/>
                <w:sz w:val="24"/>
                <w:szCs w:val="24"/>
              </w:rPr>
              <w:t>AI governance may inadequately represent affected stakeholders, reducing transparency and institutional legitimacy.</w:t>
            </w:r>
          </w:p>
        </w:tc>
        <w:tc>
          <w:tcPr>
            <w:tcW w:w="2749" w:type="dxa"/>
          </w:tcPr>
          <w:p w14:paraId="432A853B" w14:textId="77777777" w:rsidR="00AE65B0" w:rsidRPr="00AE65B0" w:rsidRDefault="00AE65B0" w:rsidP="00316D81">
            <w:pPr>
              <w:spacing w:line="211" w:lineRule="auto"/>
              <w:rPr>
                <w:sz w:val="24"/>
                <w:szCs w:val="24"/>
              </w:rPr>
            </w:pPr>
            <w:r w:rsidRPr="00AE65B0">
              <w:rPr>
                <w:rFonts w:ascii="Times New Roman" w:hAnsi="Times New Roman"/>
                <w:sz w:val="24"/>
                <w:szCs w:val="24"/>
              </w:rPr>
              <w:t>Establish stakeholder participation, transparent communication and mechanisms through which affected groups contribute to AI governance.</w:t>
            </w:r>
          </w:p>
        </w:tc>
        <w:tc>
          <w:tcPr>
            <w:tcW w:w="3554" w:type="dxa"/>
          </w:tcPr>
          <w:p w14:paraId="514603B2" w14:textId="77777777" w:rsidR="00AE65B0" w:rsidRPr="00AE65B0" w:rsidRDefault="00AE65B0" w:rsidP="00316D81">
            <w:pPr>
              <w:spacing w:line="211" w:lineRule="auto"/>
              <w:rPr>
                <w:sz w:val="24"/>
                <w:szCs w:val="24"/>
              </w:rPr>
            </w:pPr>
            <w:r w:rsidRPr="00AE65B0">
              <w:rPr>
                <w:rFonts w:ascii="Times New Roman" w:hAnsi="Times New Roman"/>
                <w:sz w:val="24"/>
                <w:szCs w:val="24"/>
              </w:rPr>
              <w:t>Greater institutional trust, legitimacy, transparency and stakeholder accountability.</w:t>
            </w:r>
          </w:p>
        </w:tc>
      </w:tr>
      <w:tr w:rsidR="00AE65B0" w:rsidRPr="00AE65B0" w14:paraId="166A6405" w14:textId="77777777" w:rsidTr="00246E08">
        <w:trPr>
          <w:jc w:val="center"/>
        </w:trPr>
        <w:tc>
          <w:tcPr>
            <w:tcW w:w="2405" w:type="dxa"/>
          </w:tcPr>
          <w:p w14:paraId="14EDDFC3" w14:textId="77777777" w:rsidR="00AE65B0" w:rsidRPr="00AE65B0" w:rsidRDefault="00AE65B0" w:rsidP="00316D81">
            <w:pPr>
              <w:spacing w:line="211" w:lineRule="auto"/>
              <w:rPr>
                <w:sz w:val="24"/>
                <w:szCs w:val="24"/>
              </w:rPr>
            </w:pPr>
            <w:r w:rsidRPr="00AE65B0">
              <w:rPr>
                <w:rFonts w:ascii="Times New Roman" w:hAnsi="Times New Roman"/>
                <w:b/>
                <w:sz w:val="24"/>
                <w:szCs w:val="24"/>
              </w:rPr>
              <w:t>Continuous Monitoring, Evaluation and Adaptive Improvement</w:t>
            </w:r>
          </w:p>
        </w:tc>
        <w:tc>
          <w:tcPr>
            <w:tcW w:w="4622" w:type="dxa"/>
          </w:tcPr>
          <w:p w14:paraId="04ADEAD3" w14:textId="77777777" w:rsidR="00AE65B0" w:rsidRPr="00AE65B0" w:rsidRDefault="00AE65B0" w:rsidP="00316D81">
            <w:pPr>
              <w:spacing w:line="211" w:lineRule="auto"/>
              <w:rPr>
                <w:sz w:val="24"/>
                <w:szCs w:val="24"/>
              </w:rPr>
            </w:pPr>
            <w:r w:rsidRPr="00AE65B0">
              <w:rPr>
                <w:rFonts w:ascii="Times New Roman" w:hAnsi="Times New Roman"/>
                <w:sz w:val="24"/>
                <w:szCs w:val="24"/>
              </w:rPr>
              <w:t>AI technologies, regulation and stakeholder expectations evolve rapidly, making static governance arrangements insufficient.</w:t>
            </w:r>
          </w:p>
        </w:tc>
        <w:tc>
          <w:tcPr>
            <w:tcW w:w="2749" w:type="dxa"/>
          </w:tcPr>
          <w:p w14:paraId="1F164FDC" w14:textId="77777777" w:rsidR="00AE65B0" w:rsidRPr="00AE65B0" w:rsidRDefault="00AE65B0" w:rsidP="00316D81">
            <w:pPr>
              <w:spacing w:line="211" w:lineRule="auto"/>
              <w:rPr>
                <w:sz w:val="24"/>
                <w:szCs w:val="24"/>
              </w:rPr>
            </w:pPr>
            <w:r w:rsidRPr="00AE65B0">
              <w:rPr>
                <w:rFonts w:ascii="Times New Roman" w:hAnsi="Times New Roman"/>
                <w:sz w:val="24"/>
                <w:szCs w:val="24"/>
              </w:rPr>
              <w:t>Establish review, audit, feedback, organisational learning and adaptive policy-development mechanisms.</w:t>
            </w:r>
          </w:p>
        </w:tc>
        <w:tc>
          <w:tcPr>
            <w:tcW w:w="3554" w:type="dxa"/>
          </w:tcPr>
          <w:p w14:paraId="36026F08" w14:textId="77777777" w:rsidR="00AE65B0" w:rsidRPr="00AE65B0" w:rsidRDefault="00AE65B0" w:rsidP="00316D81">
            <w:pPr>
              <w:spacing w:line="211" w:lineRule="auto"/>
              <w:rPr>
                <w:sz w:val="24"/>
                <w:szCs w:val="24"/>
              </w:rPr>
            </w:pPr>
            <w:r w:rsidRPr="00AE65B0">
              <w:rPr>
                <w:rFonts w:ascii="Times New Roman" w:hAnsi="Times New Roman"/>
                <w:sz w:val="24"/>
                <w:szCs w:val="24"/>
              </w:rPr>
              <w:t>Adaptive governance and sustainable institutional capability.</w:t>
            </w:r>
          </w:p>
        </w:tc>
      </w:tr>
    </w:tbl>
    <w:p w14:paraId="39F43136" w14:textId="1AAE14EB" w:rsidR="00984D13" w:rsidRPr="00984D13" w:rsidRDefault="00865260" w:rsidP="008655A8">
      <w:pPr>
        <w:pStyle w:val="Caption"/>
        <w:jc w:val="center"/>
        <w:rPr>
          <w:sz w:val="20"/>
          <w:szCs w:val="20"/>
        </w:rPr>
      </w:pPr>
      <w:r w:rsidRPr="00984D13">
        <w:rPr>
          <w:sz w:val="20"/>
          <w:szCs w:val="20"/>
        </w:rPr>
        <w:t xml:space="preserve">Table D3: Evidence base and function of the proposed </w:t>
      </w:r>
      <w:r w:rsidR="00596E5E">
        <w:rPr>
          <w:sz w:val="20"/>
          <w:szCs w:val="20"/>
        </w:rPr>
        <w:t>SGM</w:t>
      </w:r>
      <w:r w:rsidR="00984D13" w:rsidRPr="00984D13">
        <w:rPr>
          <w:sz w:val="20"/>
          <w:szCs w:val="20"/>
        </w:rPr>
        <w:t xml:space="preserve"> </w:t>
      </w:r>
    </w:p>
    <w:p w14:paraId="0A8BCCB1" w14:textId="2F3D3DF0" w:rsidR="00AE65B0" w:rsidRPr="00984D13" w:rsidRDefault="00AE65B0" w:rsidP="008655A8">
      <w:pPr>
        <w:pStyle w:val="Caption"/>
        <w:jc w:val="center"/>
        <w:rPr>
          <w:sz w:val="20"/>
          <w:szCs w:val="20"/>
        </w:rPr>
      </w:pPr>
      <w:r w:rsidRPr="00984D13">
        <w:rPr>
          <w:sz w:val="20"/>
          <w:szCs w:val="20"/>
        </w:rPr>
        <w:t>Source: Author’s own development, informed by Wu</w:t>
      </w:r>
      <w:r w:rsidR="00984D13" w:rsidRPr="00984D13">
        <w:rPr>
          <w:sz w:val="20"/>
          <w:szCs w:val="20"/>
        </w:rPr>
        <w:t xml:space="preserve"> et al.</w:t>
      </w:r>
      <w:r w:rsidRPr="00984D13">
        <w:rPr>
          <w:sz w:val="20"/>
          <w:szCs w:val="20"/>
        </w:rPr>
        <w:t xml:space="preserve"> (2024), Mäntymäki et al. (2022), and Papagiannidis</w:t>
      </w:r>
      <w:r w:rsidR="00984D13" w:rsidRPr="00984D13">
        <w:rPr>
          <w:sz w:val="20"/>
          <w:szCs w:val="20"/>
        </w:rPr>
        <w:t xml:space="preserve"> et al. </w:t>
      </w:r>
      <w:r w:rsidRPr="00984D13">
        <w:rPr>
          <w:sz w:val="20"/>
          <w:szCs w:val="20"/>
        </w:rPr>
        <w:t>(2025).</w:t>
      </w:r>
    </w:p>
    <w:p w14:paraId="5291495E" w14:textId="77777777" w:rsidR="00AE65B0" w:rsidRDefault="00AE65B0" w:rsidP="00C921BD"/>
    <w:p w14:paraId="7FE0316D" w14:textId="77777777" w:rsidR="00AE65B0" w:rsidRDefault="00AE65B0" w:rsidP="00C921BD"/>
    <w:p w14:paraId="43B89931" w14:textId="77777777" w:rsidR="00A60427" w:rsidRDefault="00A60427" w:rsidP="00A60427">
      <w:pPr>
        <w:spacing w:after="60"/>
        <w:jc w:val="center"/>
      </w:pPr>
    </w:p>
    <w:tbl>
      <w:tblPr>
        <w:tblStyle w:val="TableGrid"/>
        <w:tblW w:w="0" w:type="auto"/>
        <w:jc w:val="center"/>
        <w:tblLayout w:type="fixed"/>
        <w:tblCellMar>
          <w:top w:w="28" w:type="dxa"/>
          <w:left w:w="28" w:type="dxa"/>
          <w:bottom w:w="28" w:type="dxa"/>
          <w:right w:w="28" w:type="dxa"/>
        </w:tblCellMar>
        <w:tblLook w:val="04A0" w:firstRow="1" w:lastRow="0" w:firstColumn="1" w:lastColumn="0" w:noHBand="0" w:noVBand="1"/>
      </w:tblPr>
      <w:tblGrid>
        <w:gridCol w:w="2263"/>
        <w:gridCol w:w="3833"/>
        <w:gridCol w:w="3153"/>
        <w:gridCol w:w="3651"/>
      </w:tblGrid>
      <w:tr w:rsidR="00A60427" w14:paraId="2A8B0F97" w14:textId="77777777" w:rsidTr="00246E08">
        <w:trPr>
          <w:jc w:val="center"/>
        </w:trPr>
        <w:tc>
          <w:tcPr>
            <w:tcW w:w="2263" w:type="dxa"/>
            <w:shd w:val="clear" w:color="auto" w:fill="D9EAF7"/>
          </w:tcPr>
          <w:p w14:paraId="68EE5EF6" w14:textId="77777777" w:rsidR="00A60427" w:rsidRPr="00A60427" w:rsidRDefault="00A60427" w:rsidP="00316D81">
            <w:pPr>
              <w:spacing w:line="211" w:lineRule="auto"/>
              <w:jc w:val="center"/>
              <w:rPr>
                <w:rFonts w:ascii="Calibri" w:hAnsi="Calibri" w:cs="Calibri"/>
                <w:sz w:val="24"/>
                <w:szCs w:val="24"/>
              </w:rPr>
            </w:pPr>
            <w:r w:rsidRPr="00A60427">
              <w:rPr>
                <w:rFonts w:ascii="Calibri" w:hAnsi="Calibri" w:cs="Calibri"/>
                <w:b/>
                <w:sz w:val="24"/>
                <w:szCs w:val="24"/>
              </w:rPr>
              <w:t>Stage</w:t>
            </w:r>
          </w:p>
        </w:tc>
        <w:tc>
          <w:tcPr>
            <w:tcW w:w="3833" w:type="dxa"/>
            <w:shd w:val="clear" w:color="auto" w:fill="D9EAF7"/>
          </w:tcPr>
          <w:p w14:paraId="1BBDE6CD" w14:textId="77777777" w:rsidR="00A60427" w:rsidRPr="00A60427" w:rsidRDefault="00A60427" w:rsidP="00316D81">
            <w:pPr>
              <w:spacing w:line="211" w:lineRule="auto"/>
              <w:jc w:val="center"/>
              <w:rPr>
                <w:rFonts w:ascii="Calibri" w:hAnsi="Calibri" w:cs="Calibri"/>
                <w:sz w:val="24"/>
                <w:szCs w:val="24"/>
              </w:rPr>
            </w:pPr>
            <w:r w:rsidRPr="00A60427">
              <w:rPr>
                <w:rFonts w:ascii="Calibri" w:hAnsi="Calibri" w:cs="Calibri"/>
                <w:b/>
                <w:sz w:val="24"/>
                <w:szCs w:val="24"/>
              </w:rPr>
              <w:t>Evidence from literature</w:t>
            </w:r>
          </w:p>
        </w:tc>
        <w:tc>
          <w:tcPr>
            <w:tcW w:w="3153" w:type="dxa"/>
            <w:shd w:val="clear" w:color="auto" w:fill="D9EAF7"/>
          </w:tcPr>
          <w:p w14:paraId="5F4BFB5F" w14:textId="77777777" w:rsidR="00A60427" w:rsidRPr="00A60427" w:rsidRDefault="00A60427" w:rsidP="00316D81">
            <w:pPr>
              <w:spacing w:line="211" w:lineRule="auto"/>
              <w:jc w:val="center"/>
              <w:rPr>
                <w:rFonts w:ascii="Calibri" w:hAnsi="Calibri" w:cs="Calibri"/>
                <w:sz w:val="24"/>
                <w:szCs w:val="24"/>
              </w:rPr>
            </w:pPr>
            <w:r w:rsidRPr="00A60427">
              <w:rPr>
                <w:rFonts w:ascii="Calibri" w:hAnsi="Calibri" w:cs="Calibri"/>
                <w:b/>
                <w:sz w:val="24"/>
                <w:szCs w:val="24"/>
              </w:rPr>
              <w:t>Theoretical interpretation</w:t>
            </w:r>
          </w:p>
        </w:tc>
        <w:tc>
          <w:tcPr>
            <w:tcW w:w="3651" w:type="dxa"/>
            <w:shd w:val="clear" w:color="auto" w:fill="D9EAF7"/>
          </w:tcPr>
          <w:p w14:paraId="00F74E7F" w14:textId="77777777" w:rsidR="00A60427" w:rsidRPr="00A60427" w:rsidRDefault="00A60427" w:rsidP="00316D81">
            <w:pPr>
              <w:spacing w:line="211" w:lineRule="auto"/>
              <w:jc w:val="center"/>
              <w:rPr>
                <w:rFonts w:ascii="Calibri" w:hAnsi="Calibri" w:cs="Calibri"/>
                <w:sz w:val="24"/>
                <w:szCs w:val="24"/>
              </w:rPr>
            </w:pPr>
            <w:r w:rsidRPr="00A60427">
              <w:rPr>
                <w:rFonts w:ascii="Calibri" w:hAnsi="Calibri" w:cs="Calibri"/>
                <w:b/>
                <w:sz w:val="24"/>
                <w:szCs w:val="24"/>
              </w:rPr>
              <w:t>Contribution to SGM</w:t>
            </w:r>
          </w:p>
        </w:tc>
      </w:tr>
      <w:tr w:rsidR="00A60427" w14:paraId="4E3DE7CF" w14:textId="77777777" w:rsidTr="00246E08">
        <w:trPr>
          <w:jc w:val="center"/>
        </w:trPr>
        <w:tc>
          <w:tcPr>
            <w:tcW w:w="2263" w:type="dxa"/>
          </w:tcPr>
          <w:p w14:paraId="33E1E933" w14:textId="77777777" w:rsidR="00A60427" w:rsidRPr="00A6042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1. Fragmented perspectives</w:t>
            </w:r>
          </w:p>
        </w:tc>
        <w:tc>
          <w:tcPr>
            <w:tcW w:w="3833" w:type="dxa"/>
          </w:tcPr>
          <w:p w14:paraId="7CBC2A98"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Institutional pressures, governance, strategy and responsible AI are frequently examined separately.</w:t>
            </w:r>
          </w:p>
        </w:tc>
        <w:tc>
          <w:tcPr>
            <w:tcW w:w="3153" w:type="dxa"/>
          </w:tcPr>
          <w:p w14:paraId="59BB0257"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No single perspective explains the institutional, strategic, governance and ethical dimensions together.</w:t>
            </w:r>
          </w:p>
        </w:tc>
        <w:tc>
          <w:tcPr>
            <w:tcW w:w="3651" w:type="dxa"/>
          </w:tcPr>
          <w:p w14:paraId="7655A23D"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Establishes the need for an integrated explanation of ethical AI governance.</w:t>
            </w:r>
          </w:p>
        </w:tc>
      </w:tr>
      <w:tr w:rsidR="00A60427" w14:paraId="40CAA0DF" w14:textId="77777777" w:rsidTr="00246E08">
        <w:trPr>
          <w:jc w:val="center"/>
        </w:trPr>
        <w:tc>
          <w:tcPr>
            <w:tcW w:w="2263" w:type="dxa"/>
          </w:tcPr>
          <w:p w14:paraId="37F2CE89" w14:textId="77777777" w:rsidR="00A60427" w:rsidRPr="00A6042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2. Theoretical integration</w:t>
            </w:r>
          </w:p>
        </w:tc>
        <w:tc>
          <w:tcPr>
            <w:tcW w:w="3833" w:type="dxa"/>
          </w:tcPr>
          <w:p w14:paraId="78EA2B8B"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Institutional Theory explains external pressures; Governance Theory explains oversight; Strategic Management Theory explains alignment and capability; Responsible AI supplies ethical principles.</w:t>
            </w:r>
          </w:p>
        </w:tc>
        <w:tc>
          <w:tcPr>
            <w:tcW w:w="3153" w:type="dxa"/>
          </w:tcPr>
          <w:p w14:paraId="4A95622A"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The perspectives provide complementary rather than competing explanations.</w:t>
            </w:r>
          </w:p>
        </w:tc>
        <w:tc>
          <w:tcPr>
            <w:tcW w:w="3651" w:type="dxa"/>
          </w:tcPr>
          <w:p w14:paraId="5FE3CA09" w14:textId="7C2AFBA8" w:rsidR="00A60427" w:rsidRPr="00A60427" w:rsidRDefault="0043703F" w:rsidP="00316D81">
            <w:pPr>
              <w:spacing w:line="211" w:lineRule="auto"/>
              <w:rPr>
                <w:rFonts w:ascii="Calibri" w:hAnsi="Calibri" w:cs="Calibri"/>
                <w:sz w:val="24"/>
                <w:szCs w:val="24"/>
              </w:rPr>
            </w:pPr>
            <w:r>
              <w:rPr>
                <w:rFonts w:ascii="Calibri" w:hAnsi="Calibri" w:cs="Calibri"/>
                <w:sz w:val="24"/>
                <w:szCs w:val="24"/>
              </w:rPr>
              <w:t>It integrates institutional context, governance mechanisms, strategic capability,</w:t>
            </w:r>
            <w:r w:rsidR="00A60427" w:rsidRPr="00A60427">
              <w:rPr>
                <w:rFonts w:ascii="Calibri" w:hAnsi="Calibri" w:cs="Calibri"/>
                <w:sz w:val="24"/>
                <w:szCs w:val="24"/>
              </w:rPr>
              <w:t xml:space="preserve"> and ethical principles.</w:t>
            </w:r>
          </w:p>
        </w:tc>
      </w:tr>
      <w:tr w:rsidR="00A60427" w14:paraId="7A27983C" w14:textId="77777777" w:rsidTr="00246E08">
        <w:trPr>
          <w:jc w:val="center"/>
        </w:trPr>
        <w:tc>
          <w:tcPr>
            <w:tcW w:w="2263" w:type="dxa"/>
          </w:tcPr>
          <w:p w14:paraId="388A708A" w14:textId="77777777" w:rsidR="00A60427" w:rsidRPr="00A6042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3. Interaction of mechanisms</w:t>
            </w:r>
          </w:p>
        </w:tc>
        <w:tc>
          <w:tcPr>
            <w:tcW w:w="3833" w:type="dxa"/>
          </w:tcPr>
          <w:p w14:paraId="320C3CB2" w14:textId="54F1C668"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 xml:space="preserve">Leadership, governance structures, stakeholder participation and </w:t>
            </w:r>
            <w:r w:rsidR="005659C7">
              <w:rPr>
                <w:rFonts w:ascii="Calibri" w:hAnsi="Calibri" w:cs="Calibri"/>
                <w:sz w:val="24"/>
                <w:szCs w:val="24"/>
              </w:rPr>
              <w:t>organisational</w:t>
            </w:r>
            <w:r w:rsidRPr="00A60427">
              <w:rPr>
                <w:rFonts w:ascii="Calibri" w:hAnsi="Calibri" w:cs="Calibri"/>
                <w:sz w:val="24"/>
                <w:szCs w:val="24"/>
              </w:rPr>
              <w:t xml:space="preserve"> learning interact in practice.</w:t>
            </w:r>
          </w:p>
        </w:tc>
        <w:tc>
          <w:tcPr>
            <w:tcW w:w="3153" w:type="dxa"/>
          </w:tcPr>
          <w:p w14:paraId="1A8134FC"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Ethical AI governance is a system of interacting mechanisms rather than isolated practices.</w:t>
            </w:r>
          </w:p>
        </w:tc>
        <w:tc>
          <w:tcPr>
            <w:tcW w:w="3651" w:type="dxa"/>
          </w:tcPr>
          <w:p w14:paraId="69DA637D"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Explains how the five SGM pillars operate interdependently.</w:t>
            </w:r>
          </w:p>
        </w:tc>
      </w:tr>
      <w:tr w:rsidR="00A60427" w14:paraId="58FA3DB1" w14:textId="77777777" w:rsidTr="00246E08">
        <w:trPr>
          <w:jc w:val="center"/>
        </w:trPr>
        <w:tc>
          <w:tcPr>
            <w:tcW w:w="2263" w:type="dxa"/>
          </w:tcPr>
          <w:p w14:paraId="2D806B65" w14:textId="77777777" w:rsidR="005659C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 xml:space="preserve">4. Dynamic </w:t>
            </w:r>
            <w:r w:rsidR="005659C7" w:rsidRPr="008655A8">
              <w:rPr>
                <w:rFonts w:ascii="Calibri" w:hAnsi="Calibri" w:cs="Calibri"/>
                <w:b/>
                <w:bCs/>
                <w:sz w:val="24"/>
                <w:szCs w:val="24"/>
              </w:rPr>
              <w:t>organisational</w:t>
            </w:r>
          </w:p>
          <w:p w14:paraId="5C08303A" w14:textId="0E033E79" w:rsidR="00A60427" w:rsidRPr="00A6042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capability</w:t>
            </w:r>
          </w:p>
        </w:tc>
        <w:tc>
          <w:tcPr>
            <w:tcW w:w="3833" w:type="dxa"/>
          </w:tcPr>
          <w:p w14:paraId="412F19C8"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Technology, regulation and stakeholder expectations evolve, requiring learning and adaptation.</w:t>
            </w:r>
          </w:p>
        </w:tc>
        <w:tc>
          <w:tcPr>
            <w:tcW w:w="3153" w:type="dxa"/>
          </w:tcPr>
          <w:p w14:paraId="46FCD909" w14:textId="553857B8"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 xml:space="preserve">Ethical AI governance is </w:t>
            </w:r>
            <w:r w:rsidR="008655A8">
              <w:rPr>
                <w:rFonts w:ascii="Calibri" w:hAnsi="Calibri" w:cs="Calibri"/>
                <w:sz w:val="24"/>
                <w:szCs w:val="24"/>
              </w:rPr>
              <w:t>conceptualised</w:t>
            </w:r>
            <w:r w:rsidRPr="00A60427">
              <w:rPr>
                <w:rFonts w:ascii="Calibri" w:hAnsi="Calibri" w:cs="Calibri"/>
                <w:sz w:val="24"/>
                <w:szCs w:val="24"/>
              </w:rPr>
              <w:t xml:space="preserve"> as a dynamic </w:t>
            </w:r>
            <w:r w:rsidR="005659C7">
              <w:rPr>
                <w:rFonts w:ascii="Calibri" w:hAnsi="Calibri" w:cs="Calibri"/>
                <w:sz w:val="24"/>
                <w:szCs w:val="24"/>
              </w:rPr>
              <w:t xml:space="preserve">organisational </w:t>
            </w:r>
            <w:r w:rsidRPr="00A60427">
              <w:rPr>
                <w:rFonts w:ascii="Calibri" w:hAnsi="Calibri" w:cs="Calibri"/>
                <w:sz w:val="24"/>
                <w:szCs w:val="24"/>
              </w:rPr>
              <w:t>capability.</w:t>
            </w:r>
          </w:p>
        </w:tc>
        <w:tc>
          <w:tcPr>
            <w:tcW w:w="3651" w:type="dxa"/>
          </w:tcPr>
          <w:p w14:paraId="6D1EFDC4"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Explains how responsible AI governance develops and adapts over time.</w:t>
            </w:r>
          </w:p>
        </w:tc>
      </w:tr>
      <w:tr w:rsidR="00A60427" w14:paraId="37D0DD89" w14:textId="77777777" w:rsidTr="00246E08">
        <w:trPr>
          <w:jc w:val="center"/>
        </w:trPr>
        <w:tc>
          <w:tcPr>
            <w:tcW w:w="2263" w:type="dxa"/>
          </w:tcPr>
          <w:p w14:paraId="131D81F3" w14:textId="77777777" w:rsidR="00A60427" w:rsidRPr="00A60427" w:rsidRDefault="00A60427" w:rsidP="008655A8">
            <w:pPr>
              <w:spacing w:line="211" w:lineRule="auto"/>
              <w:jc w:val="center"/>
              <w:rPr>
                <w:rFonts w:ascii="Calibri" w:hAnsi="Calibri" w:cs="Calibri"/>
                <w:sz w:val="24"/>
                <w:szCs w:val="24"/>
              </w:rPr>
            </w:pPr>
            <w:r w:rsidRPr="00A60427">
              <w:rPr>
                <w:rFonts w:ascii="Calibri" w:hAnsi="Calibri" w:cs="Calibri"/>
                <w:b/>
                <w:sz w:val="24"/>
                <w:szCs w:val="24"/>
              </w:rPr>
              <w:t>5. SGM</w:t>
            </w:r>
          </w:p>
        </w:tc>
        <w:tc>
          <w:tcPr>
            <w:tcW w:w="3833" w:type="dxa"/>
          </w:tcPr>
          <w:p w14:paraId="6E0F082A" w14:textId="77777777"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The review identifies recurring requirements for leadership, ethical oversight, compliance and risk, participation and transparency, and continuous learning and adaptation.</w:t>
            </w:r>
          </w:p>
        </w:tc>
        <w:tc>
          <w:tcPr>
            <w:tcW w:w="3153" w:type="dxa"/>
          </w:tcPr>
          <w:p w14:paraId="51B918A3" w14:textId="43AB4FE5" w:rsidR="00A60427" w:rsidRPr="00A60427" w:rsidRDefault="00A60427" w:rsidP="00316D81">
            <w:pPr>
              <w:spacing w:line="211" w:lineRule="auto"/>
              <w:rPr>
                <w:rFonts w:ascii="Calibri" w:hAnsi="Calibri" w:cs="Calibri"/>
                <w:sz w:val="24"/>
                <w:szCs w:val="24"/>
              </w:rPr>
            </w:pPr>
            <w:r w:rsidRPr="00A60427">
              <w:rPr>
                <w:rFonts w:ascii="Calibri" w:hAnsi="Calibri" w:cs="Calibri"/>
                <w:sz w:val="24"/>
                <w:szCs w:val="24"/>
              </w:rPr>
              <w:t>The integrated explanation is o</w:t>
            </w:r>
            <w:r w:rsidR="005659C7">
              <w:rPr>
                <w:rFonts w:ascii="Calibri" w:hAnsi="Calibri" w:cs="Calibri"/>
                <w:sz w:val="24"/>
                <w:szCs w:val="24"/>
              </w:rPr>
              <w:t>perationalised</w:t>
            </w:r>
            <w:r w:rsidRPr="00A60427">
              <w:rPr>
                <w:rFonts w:ascii="Calibri" w:hAnsi="Calibri" w:cs="Calibri"/>
                <w:sz w:val="24"/>
                <w:szCs w:val="24"/>
              </w:rPr>
              <w:t xml:space="preserve"> through a context-specific governance framework.</w:t>
            </w:r>
          </w:p>
        </w:tc>
        <w:tc>
          <w:tcPr>
            <w:tcW w:w="3651" w:type="dxa"/>
          </w:tcPr>
          <w:p w14:paraId="44F2F5EA" w14:textId="2C41FBCB" w:rsidR="00A60427" w:rsidRPr="00A60427" w:rsidRDefault="00B11AD7" w:rsidP="00316D81">
            <w:pPr>
              <w:spacing w:line="211" w:lineRule="auto"/>
              <w:rPr>
                <w:rFonts w:ascii="Calibri" w:hAnsi="Calibri" w:cs="Calibri"/>
                <w:sz w:val="24"/>
                <w:szCs w:val="24"/>
              </w:rPr>
            </w:pPr>
            <w:r>
              <w:rPr>
                <w:rFonts w:ascii="Calibri" w:hAnsi="Calibri" w:cs="Calibri"/>
                <w:sz w:val="24"/>
                <w:szCs w:val="24"/>
              </w:rPr>
              <w:t xml:space="preserve">The synthesis is operationalised </w:t>
            </w:r>
            <w:r w:rsidR="00A60427" w:rsidRPr="00A60427">
              <w:rPr>
                <w:rFonts w:ascii="Calibri" w:hAnsi="Calibri" w:cs="Calibri"/>
                <w:sz w:val="24"/>
                <w:szCs w:val="24"/>
              </w:rPr>
              <w:t>through the five formal SGM pillars.</w:t>
            </w:r>
          </w:p>
        </w:tc>
      </w:tr>
    </w:tbl>
    <w:p w14:paraId="184E2861" w14:textId="18F0C71B" w:rsidR="00C10F3D" w:rsidRDefault="001042FA" w:rsidP="008655A8">
      <w:pPr>
        <w:pStyle w:val="Caption"/>
        <w:jc w:val="center"/>
      </w:pPr>
      <w:r>
        <w:t xml:space="preserve">Table D4: </w:t>
      </w:r>
      <w:r w:rsidR="00C10F3D">
        <w:t>Development</w:t>
      </w:r>
      <w:r>
        <w:t xml:space="preserve"> of the theoretical contribution of the </w:t>
      </w:r>
      <w:r w:rsidR="002A1DBB">
        <w:t>SGM</w:t>
      </w:r>
      <w:r w:rsidR="00C10F3D">
        <w:t xml:space="preserve"> </w:t>
      </w:r>
    </w:p>
    <w:p w14:paraId="62CFAE34" w14:textId="6A6768EC" w:rsidR="00A60427" w:rsidRDefault="00A60427" w:rsidP="008655A8">
      <w:pPr>
        <w:pStyle w:val="Caption"/>
        <w:jc w:val="center"/>
      </w:pPr>
      <w:r w:rsidRPr="008655A8">
        <w:t>Source: Author’s own development, informed by DiMaggio and Powell (1983), Teece</w:t>
      </w:r>
      <w:r w:rsidR="00C10F3D">
        <w:t xml:space="preserve"> et al.</w:t>
      </w:r>
      <w:r w:rsidRPr="008655A8">
        <w:t xml:space="preserve"> (1997), Mäntymäki et al. (2022), and Papagiannidis</w:t>
      </w:r>
      <w:r w:rsidR="00C10F3D">
        <w:t xml:space="preserve"> et al. </w:t>
      </w:r>
      <w:r w:rsidRPr="008655A8">
        <w:t>(2025).</w:t>
      </w:r>
    </w:p>
    <w:p w14:paraId="707C3ABE" w14:textId="77777777" w:rsidR="00246E08" w:rsidRPr="00246E08" w:rsidRDefault="00246E08" w:rsidP="00246E08"/>
    <w:p w14:paraId="433C896F" w14:textId="77777777" w:rsidR="00C10F3D" w:rsidRDefault="00C10F3D" w:rsidP="00B11AD7">
      <w:pPr>
        <w:pStyle w:val="Heading2"/>
      </w:pPr>
      <w:bookmarkStart w:id="531" w:name="_Toc237445097"/>
    </w:p>
    <w:bookmarkEnd w:id="531"/>
    <w:p w14:paraId="4890F0A2" w14:textId="77777777" w:rsidR="00AE65B0" w:rsidRDefault="00AE65B0" w:rsidP="008655A8">
      <w:pPr>
        <w:jc w:val="center"/>
        <w:rPr>
          <w:iCs/>
        </w:rPr>
      </w:pPr>
    </w:p>
    <w:tbl>
      <w:tblPr>
        <w:tblStyle w:val="TableGrid"/>
        <w:tblW w:w="0" w:type="auto"/>
        <w:jc w:val="center"/>
        <w:tblLayout w:type="fixed"/>
        <w:tblCellMar>
          <w:top w:w="28" w:type="dxa"/>
          <w:left w:w="28" w:type="dxa"/>
          <w:bottom w:w="28" w:type="dxa"/>
          <w:right w:w="28" w:type="dxa"/>
        </w:tblCellMar>
        <w:tblLook w:val="04A0" w:firstRow="1" w:lastRow="0" w:firstColumn="1" w:lastColumn="0" w:noHBand="0" w:noVBand="1"/>
      </w:tblPr>
      <w:tblGrid>
        <w:gridCol w:w="2547"/>
        <w:gridCol w:w="2410"/>
        <w:gridCol w:w="2854"/>
        <w:gridCol w:w="2395"/>
        <w:gridCol w:w="2552"/>
      </w:tblGrid>
      <w:tr w:rsidR="008631BA" w:rsidRPr="008631BA" w14:paraId="7763A72C" w14:textId="77777777" w:rsidTr="008631BA">
        <w:trPr>
          <w:jc w:val="center"/>
        </w:trPr>
        <w:tc>
          <w:tcPr>
            <w:tcW w:w="2547" w:type="dxa"/>
            <w:shd w:val="clear" w:color="auto" w:fill="D9EAF7"/>
          </w:tcPr>
          <w:p w14:paraId="7A998FFC" w14:textId="77777777" w:rsidR="008631BA" w:rsidRPr="008631BA" w:rsidRDefault="008631BA" w:rsidP="00316D81">
            <w:pPr>
              <w:spacing w:line="211" w:lineRule="auto"/>
              <w:jc w:val="center"/>
              <w:rPr>
                <w:rFonts w:ascii="Calibri" w:hAnsi="Calibri" w:cs="Calibri"/>
              </w:rPr>
            </w:pPr>
            <w:r w:rsidRPr="008631BA">
              <w:rPr>
                <w:rFonts w:ascii="Calibri" w:hAnsi="Calibri" w:cs="Calibri"/>
                <w:b/>
              </w:rPr>
              <w:lastRenderedPageBreak/>
              <w:t>Finding</w:t>
            </w:r>
          </w:p>
        </w:tc>
        <w:tc>
          <w:tcPr>
            <w:tcW w:w="2410" w:type="dxa"/>
            <w:shd w:val="clear" w:color="auto" w:fill="D9EAF7"/>
          </w:tcPr>
          <w:p w14:paraId="7035A25E" w14:textId="55D49ED2" w:rsidR="008631BA" w:rsidRPr="008631BA" w:rsidRDefault="008631BA" w:rsidP="00316D81">
            <w:pPr>
              <w:spacing w:line="211" w:lineRule="auto"/>
              <w:jc w:val="center"/>
              <w:rPr>
                <w:rFonts w:ascii="Calibri" w:hAnsi="Calibri" w:cs="Calibri"/>
              </w:rPr>
            </w:pPr>
            <w:r>
              <w:rPr>
                <w:rFonts w:ascii="Calibri" w:hAnsi="Calibri" w:cs="Calibri"/>
                <w:b/>
              </w:rPr>
              <w:t>Gap/disagreement</w:t>
            </w:r>
          </w:p>
        </w:tc>
        <w:tc>
          <w:tcPr>
            <w:tcW w:w="2854" w:type="dxa"/>
            <w:shd w:val="clear" w:color="auto" w:fill="D9EAF7"/>
          </w:tcPr>
          <w:p w14:paraId="54A2D8AC" w14:textId="77777777" w:rsidR="008631BA" w:rsidRPr="008631BA" w:rsidRDefault="008631BA" w:rsidP="00316D81">
            <w:pPr>
              <w:spacing w:line="211" w:lineRule="auto"/>
              <w:jc w:val="center"/>
              <w:rPr>
                <w:rFonts w:ascii="Calibri" w:hAnsi="Calibri" w:cs="Calibri"/>
              </w:rPr>
            </w:pPr>
            <w:r w:rsidRPr="008631BA">
              <w:rPr>
                <w:rFonts w:ascii="Calibri" w:hAnsi="Calibri" w:cs="Calibri"/>
                <w:b/>
              </w:rPr>
              <w:t>Explanation</w:t>
            </w:r>
          </w:p>
        </w:tc>
        <w:tc>
          <w:tcPr>
            <w:tcW w:w="2395" w:type="dxa"/>
            <w:shd w:val="clear" w:color="auto" w:fill="D9EAF7"/>
          </w:tcPr>
          <w:p w14:paraId="065F2750" w14:textId="77777777" w:rsidR="008631BA" w:rsidRPr="008631BA" w:rsidRDefault="008631BA" w:rsidP="00316D81">
            <w:pPr>
              <w:spacing w:line="211" w:lineRule="auto"/>
              <w:jc w:val="center"/>
              <w:rPr>
                <w:rFonts w:ascii="Calibri" w:hAnsi="Calibri" w:cs="Calibri"/>
              </w:rPr>
            </w:pPr>
            <w:r w:rsidRPr="008631BA">
              <w:rPr>
                <w:rFonts w:ascii="Calibri" w:hAnsi="Calibri" w:cs="Calibri"/>
                <w:b/>
              </w:rPr>
              <w:t>Theory</w:t>
            </w:r>
          </w:p>
        </w:tc>
        <w:tc>
          <w:tcPr>
            <w:tcW w:w="2552" w:type="dxa"/>
            <w:shd w:val="clear" w:color="auto" w:fill="D9EAF7"/>
          </w:tcPr>
          <w:p w14:paraId="0B73DFF6" w14:textId="77777777" w:rsidR="008631BA" w:rsidRPr="008631BA" w:rsidRDefault="008631BA" w:rsidP="00316D81">
            <w:pPr>
              <w:spacing w:line="211" w:lineRule="auto"/>
              <w:jc w:val="center"/>
              <w:rPr>
                <w:rFonts w:ascii="Calibri" w:hAnsi="Calibri" w:cs="Calibri"/>
              </w:rPr>
            </w:pPr>
            <w:r w:rsidRPr="008631BA">
              <w:rPr>
                <w:rFonts w:ascii="Calibri" w:hAnsi="Calibri" w:cs="Calibri"/>
                <w:b/>
              </w:rPr>
              <w:t>SGM implication</w:t>
            </w:r>
          </w:p>
        </w:tc>
      </w:tr>
      <w:tr w:rsidR="008631BA" w:rsidRPr="008631BA" w14:paraId="36CDA031" w14:textId="77777777" w:rsidTr="008631BA">
        <w:trPr>
          <w:jc w:val="center"/>
        </w:trPr>
        <w:tc>
          <w:tcPr>
            <w:tcW w:w="2547" w:type="dxa"/>
          </w:tcPr>
          <w:p w14:paraId="451135C6" w14:textId="18221E30" w:rsidR="008631BA" w:rsidRPr="00246E08" w:rsidRDefault="008631BA" w:rsidP="00246E08">
            <w:pPr>
              <w:spacing w:line="211" w:lineRule="auto"/>
              <w:jc w:val="center"/>
              <w:rPr>
                <w:rFonts w:ascii="Calibri" w:hAnsi="Calibri" w:cs="Calibri"/>
                <w:sz w:val="24"/>
                <w:szCs w:val="24"/>
              </w:rPr>
            </w:pPr>
            <w:r w:rsidRPr="00246E08">
              <w:rPr>
                <w:rFonts w:ascii="Calibri" w:hAnsi="Calibri" w:cs="Calibri"/>
                <w:b/>
                <w:sz w:val="24"/>
                <w:szCs w:val="24"/>
              </w:rPr>
              <w:t>Responsible AI emphasises transparency, accountability, fairness and engagement.</w:t>
            </w:r>
          </w:p>
        </w:tc>
        <w:tc>
          <w:tcPr>
            <w:tcW w:w="2410" w:type="dxa"/>
          </w:tcPr>
          <w:p w14:paraId="4048D142" w14:textId="79EDBFCE"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 xml:space="preserve">Studies differ on how </w:t>
            </w:r>
            <w:r w:rsidR="0043703F">
              <w:rPr>
                <w:rFonts w:ascii="Calibri" w:hAnsi="Calibri" w:cs="Calibri"/>
                <w:sz w:val="24"/>
                <w:szCs w:val="24"/>
              </w:rPr>
              <w:t>to operationalise these principles</w:t>
            </w:r>
            <w:r w:rsidRPr="00246E08">
              <w:rPr>
                <w:rFonts w:ascii="Calibri" w:hAnsi="Calibri" w:cs="Calibri"/>
                <w:sz w:val="24"/>
                <w:szCs w:val="24"/>
              </w:rPr>
              <w:t>.</w:t>
            </w:r>
          </w:p>
        </w:tc>
        <w:tc>
          <w:tcPr>
            <w:tcW w:w="2854" w:type="dxa"/>
          </w:tcPr>
          <w:p w14:paraId="4490B322"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Ethical principles identify requirements but do not fully explain institutional implementation.</w:t>
            </w:r>
          </w:p>
        </w:tc>
        <w:tc>
          <w:tcPr>
            <w:tcW w:w="2395" w:type="dxa"/>
          </w:tcPr>
          <w:p w14:paraId="7E34F73D"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Responsible AI + Governance Theory</w:t>
            </w:r>
          </w:p>
        </w:tc>
        <w:tc>
          <w:tcPr>
            <w:tcW w:w="2552" w:type="dxa"/>
          </w:tcPr>
          <w:p w14:paraId="50FDE1D6"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Ethical Oversight and Responsible Innovation; Strategic Leadership and Accountability.</w:t>
            </w:r>
          </w:p>
        </w:tc>
      </w:tr>
      <w:tr w:rsidR="008631BA" w:rsidRPr="008631BA" w14:paraId="17367D80" w14:textId="77777777" w:rsidTr="008631BA">
        <w:trPr>
          <w:jc w:val="center"/>
        </w:trPr>
        <w:tc>
          <w:tcPr>
            <w:tcW w:w="2547" w:type="dxa"/>
          </w:tcPr>
          <w:p w14:paraId="09873C4A" w14:textId="549F8171" w:rsidR="008631BA" w:rsidRPr="00246E08" w:rsidRDefault="008631BA" w:rsidP="00246E08">
            <w:pPr>
              <w:spacing w:line="211" w:lineRule="auto"/>
              <w:jc w:val="center"/>
              <w:rPr>
                <w:rFonts w:ascii="Calibri" w:hAnsi="Calibri" w:cs="Calibri"/>
                <w:sz w:val="24"/>
                <w:szCs w:val="24"/>
              </w:rPr>
            </w:pPr>
            <w:r w:rsidRPr="00246E08">
              <w:rPr>
                <w:rFonts w:ascii="Calibri" w:hAnsi="Calibri" w:cs="Calibri"/>
                <w:b/>
                <w:sz w:val="24"/>
                <w:szCs w:val="24"/>
              </w:rPr>
              <w:t xml:space="preserve">AI governance is </w:t>
            </w:r>
            <w:r w:rsidRPr="00246E08">
              <w:rPr>
                <w:rFonts w:ascii="Calibri" w:hAnsi="Calibri" w:cs="Calibri"/>
                <w:b/>
                <w:bCs/>
                <w:sz w:val="24"/>
                <w:szCs w:val="24"/>
              </w:rPr>
              <w:t>organisational</w:t>
            </w:r>
            <w:r w:rsidRPr="00246E08">
              <w:rPr>
                <w:rFonts w:ascii="Calibri" w:hAnsi="Calibri" w:cs="Calibri"/>
                <w:b/>
                <w:sz w:val="24"/>
                <w:szCs w:val="24"/>
              </w:rPr>
              <w:t xml:space="preserve"> and strategic.</w:t>
            </w:r>
          </w:p>
        </w:tc>
        <w:tc>
          <w:tcPr>
            <w:tcW w:w="2410" w:type="dxa"/>
          </w:tcPr>
          <w:p w14:paraId="2420971C"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Compliance approaches insufficiently explain alignment, capability and adaptation.</w:t>
            </w:r>
          </w:p>
        </w:tc>
        <w:tc>
          <w:tcPr>
            <w:tcW w:w="2854" w:type="dxa"/>
          </w:tcPr>
          <w:p w14:paraId="1151D7CE"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Implementation also depends on leadership, resources, learning and institutional objectives.</w:t>
            </w:r>
          </w:p>
        </w:tc>
        <w:tc>
          <w:tcPr>
            <w:tcW w:w="2395" w:type="dxa"/>
          </w:tcPr>
          <w:p w14:paraId="0BD0AA05"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Strategic Management Theory + Governance Theory</w:t>
            </w:r>
          </w:p>
        </w:tc>
        <w:tc>
          <w:tcPr>
            <w:tcW w:w="2552" w:type="dxa"/>
          </w:tcPr>
          <w:p w14:paraId="5F172D6C"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Strategic Leadership and Accountability.</w:t>
            </w:r>
          </w:p>
        </w:tc>
      </w:tr>
      <w:tr w:rsidR="008631BA" w:rsidRPr="008631BA" w14:paraId="2F5BC4A3" w14:textId="77777777" w:rsidTr="008631BA">
        <w:trPr>
          <w:jc w:val="center"/>
        </w:trPr>
        <w:tc>
          <w:tcPr>
            <w:tcW w:w="2547" w:type="dxa"/>
          </w:tcPr>
          <w:p w14:paraId="2079553E" w14:textId="77777777" w:rsidR="008631BA" w:rsidRPr="00246E08" w:rsidRDefault="008631BA" w:rsidP="00246E08">
            <w:pPr>
              <w:spacing w:line="211" w:lineRule="auto"/>
              <w:jc w:val="center"/>
              <w:rPr>
                <w:rFonts w:ascii="Calibri" w:hAnsi="Calibri" w:cs="Calibri"/>
                <w:sz w:val="24"/>
                <w:szCs w:val="24"/>
              </w:rPr>
            </w:pPr>
            <w:r w:rsidRPr="00246E08">
              <w:rPr>
                <w:rFonts w:ascii="Calibri" w:hAnsi="Calibri" w:cs="Calibri"/>
                <w:b/>
                <w:sz w:val="24"/>
                <w:szCs w:val="24"/>
              </w:rPr>
              <w:t>Universities face regulatory and societal pressures.</w:t>
            </w:r>
          </w:p>
        </w:tc>
        <w:tc>
          <w:tcPr>
            <w:tcW w:w="2410" w:type="dxa"/>
          </w:tcPr>
          <w:p w14:paraId="69C7F8C6"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Internal governance alone does not explain different responses to similar external pressures.</w:t>
            </w:r>
          </w:p>
        </w:tc>
        <w:tc>
          <w:tcPr>
            <w:tcW w:w="2854" w:type="dxa"/>
          </w:tcPr>
          <w:p w14:paraId="379FA82F"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Responses are shaped by regulation, legitimacy, norms and stakeholder expectations.</w:t>
            </w:r>
          </w:p>
        </w:tc>
        <w:tc>
          <w:tcPr>
            <w:tcW w:w="2395" w:type="dxa"/>
          </w:tcPr>
          <w:p w14:paraId="0303EE44"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Institutional Theory</w:t>
            </w:r>
          </w:p>
        </w:tc>
        <w:tc>
          <w:tcPr>
            <w:tcW w:w="2552" w:type="dxa"/>
          </w:tcPr>
          <w:p w14:paraId="48D85C5A"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Regulatory Compliance and Risk Management.</w:t>
            </w:r>
          </w:p>
        </w:tc>
      </w:tr>
      <w:tr w:rsidR="008631BA" w:rsidRPr="008631BA" w14:paraId="5FEC983A" w14:textId="77777777" w:rsidTr="008631BA">
        <w:trPr>
          <w:jc w:val="center"/>
        </w:trPr>
        <w:tc>
          <w:tcPr>
            <w:tcW w:w="2547" w:type="dxa"/>
          </w:tcPr>
          <w:p w14:paraId="6E9366D2" w14:textId="77777777" w:rsidR="008631BA" w:rsidRPr="00246E08" w:rsidRDefault="008631BA" w:rsidP="00246E08">
            <w:pPr>
              <w:spacing w:line="211" w:lineRule="auto"/>
              <w:jc w:val="center"/>
              <w:rPr>
                <w:rFonts w:ascii="Calibri" w:hAnsi="Calibri" w:cs="Calibri"/>
                <w:sz w:val="24"/>
                <w:szCs w:val="24"/>
              </w:rPr>
            </w:pPr>
            <w:r w:rsidRPr="00246E08">
              <w:rPr>
                <w:rFonts w:ascii="Calibri" w:hAnsi="Calibri" w:cs="Calibri"/>
                <w:b/>
                <w:sz w:val="24"/>
                <w:szCs w:val="24"/>
              </w:rPr>
              <w:t>Evidence is often cross-sectional and based on narrow stakeholder groups.</w:t>
            </w:r>
          </w:p>
        </w:tc>
        <w:tc>
          <w:tcPr>
            <w:tcW w:w="2410" w:type="dxa"/>
          </w:tcPr>
          <w:p w14:paraId="27DC7CAD"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Limited evidence explains how governance evolves across contexts and time.</w:t>
            </w:r>
          </w:p>
        </w:tc>
        <w:tc>
          <w:tcPr>
            <w:tcW w:w="2854" w:type="dxa"/>
          </w:tcPr>
          <w:p w14:paraId="50A7D263"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Changing technology and expectations require participation, learning and adaptation.</w:t>
            </w:r>
          </w:p>
        </w:tc>
        <w:tc>
          <w:tcPr>
            <w:tcW w:w="2395" w:type="dxa"/>
          </w:tcPr>
          <w:p w14:paraId="513EFC20"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Integrated theoretical perspective</w:t>
            </w:r>
          </w:p>
        </w:tc>
        <w:tc>
          <w:tcPr>
            <w:tcW w:w="2552" w:type="dxa"/>
          </w:tcPr>
          <w:p w14:paraId="785B417F"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Stakeholder Participation and Transparency; Continuous Monitoring, Evaluation and Adaptive Improvement.</w:t>
            </w:r>
          </w:p>
        </w:tc>
      </w:tr>
      <w:tr w:rsidR="008631BA" w:rsidRPr="008631BA" w14:paraId="674982B6" w14:textId="77777777" w:rsidTr="008631BA">
        <w:trPr>
          <w:jc w:val="center"/>
        </w:trPr>
        <w:tc>
          <w:tcPr>
            <w:tcW w:w="2547" w:type="dxa"/>
          </w:tcPr>
          <w:p w14:paraId="1298C2EA" w14:textId="77777777" w:rsidR="008631BA" w:rsidRPr="00246E08" w:rsidRDefault="008631BA" w:rsidP="00246E08">
            <w:pPr>
              <w:spacing w:line="211" w:lineRule="auto"/>
              <w:jc w:val="center"/>
              <w:rPr>
                <w:rFonts w:ascii="Calibri" w:hAnsi="Calibri" w:cs="Calibri"/>
                <w:sz w:val="24"/>
                <w:szCs w:val="24"/>
              </w:rPr>
            </w:pPr>
            <w:r w:rsidRPr="00246E08">
              <w:rPr>
                <w:rFonts w:ascii="Calibri" w:hAnsi="Calibri" w:cs="Calibri"/>
                <w:b/>
                <w:sz w:val="24"/>
                <w:szCs w:val="24"/>
              </w:rPr>
              <w:t>The literature offers complementary but fragmented explanations.</w:t>
            </w:r>
          </w:p>
        </w:tc>
        <w:tc>
          <w:tcPr>
            <w:tcW w:w="2410" w:type="dxa"/>
          </w:tcPr>
          <w:p w14:paraId="097A3652"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No single perspective explains ethics, pressures, governance, strategy and adaptation together.</w:t>
            </w:r>
          </w:p>
        </w:tc>
        <w:tc>
          <w:tcPr>
            <w:tcW w:w="2854" w:type="dxa"/>
          </w:tcPr>
          <w:p w14:paraId="30829AD1"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Fragmentation limits explanation of how responsible-AI principles become embedded in practice.</w:t>
            </w:r>
          </w:p>
        </w:tc>
        <w:tc>
          <w:tcPr>
            <w:tcW w:w="2395" w:type="dxa"/>
          </w:tcPr>
          <w:p w14:paraId="1D7A1227" w14:textId="77777777"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Integrated four-perspective synthesis</w:t>
            </w:r>
          </w:p>
        </w:tc>
        <w:tc>
          <w:tcPr>
            <w:tcW w:w="2552" w:type="dxa"/>
          </w:tcPr>
          <w:p w14:paraId="6F172DEB" w14:textId="25FD7CC9" w:rsidR="008631BA" w:rsidRPr="00246E08" w:rsidRDefault="008631BA" w:rsidP="00316D81">
            <w:pPr>
              <w:spacing w:line="211" w:lineRule="auto"/>
              <w:rPr>
                <w:rFonts w:ascii="Calibri" w:hAnsi="Calibri" w:cs="Calibri"/>
                <w:sz w:val="24"/>
                <w:szCs w:val="24"/>
              </w:rPr>
            </w:pPr>
            <w:r w:rsidRPr="00246E08">
              <w:rPr>
                <w:rFonts w:ascii="Calibri" w:hAnsi="Calibri" w:cs="Calibri"/>
                <w:sz w:val="24"/>
                <w:szCs w:val="24"/>
              </w:rPr>
              <w:t>All five pillars; ethical AI governance as a dynamic organisational capability.</w:t>
            </w:r>
          </w:p>
        </w:tc>
      </w:tr>
    </w:tbl>
    <w:p w14:paraId="5DBFA2F5" w14:textId="77A94B56" w:rsidR="000D1B73" w:rsidRPr="000D1B73" w:rsidRDefault="000D1B73" w:rsidP="008631BA">
      <w:pPr>
        <w:pStyle w:val="Caption"/>
        <w:jc w:val="center"/>
        <w:rPr>
          <w:sz w:val="20"/>
          <w:szCs w:val="20"/>
        </w:rPr>
      </w:pPr>
      <w:r w:rsidRPr="000D1B73">
        <w:rPr>
          <w:sz w:val="20"/>
          <w:szCs w:val="20"/>
        </w:rPr>
        <w:t xml:space="preserve">Table D5: Analytical logic linking literature findings to the </w:t>
      </w:r>
      <w:r w:rsidR="002A1DBB">
        <w:rPr>
          <w:sz w:val="20"/>
          <w:szCs w:val="20"/>
        </w:rPr>
        <w:t>SGM</w:t>
      </w:r>
      <w:r w:rsidRPr="000D1B73">
        <w:rPr>
          <w:sz w:val="20"/>
          <w:szCs w:val="20"/>
        </w:rPr>
        <w:t xml:space="preserve"> </w:t>
      </w:r>
    </w:p>
    <w:p w14:paraId="0A286127" w14:textId="03DA035C" w:rsidR="008631BA" w:rsidRPr="000D1B73" w:rsidRDefault="008631BA" w:rsidP="008631BA">
      <w:pPr>
        <w:pStyle w:val="Caption"/>
        <w:jc w:val="center"/>
        <w:rPr>
          <w:sz w:val="20"/>
          <w:szCs w:val="20"/>
        </w:rPr>
      </w:pPr>
      <w:r w:rsidRPr="000D1B73">
        <w:rPr>
          <w:sz w:val="20"/>
          <w:szCs w:val="20"/>
        </w:rPr>
        <w:t>Source: Author’s own development, informed by DiMaggio and Powell (1983), Teece</w:t>
      </w:r>
      <w:r w:rsidR="00C10F3D" w:rsidRPr="000D1B73">
        <w:rPr>
          <w:sz w:val="20"/>
          <w:szCs w:val="20"/>
        </w:rPr>
        <w:t xml:space="preserve"> et al. </w:t>
      </w:r>
      <w:r w:rsidRPr="000D1B73">
        <w:rPr>
          <w:sz w:val="20"/>
          <w:szCs w:val="20"/>
        </w:rPr>
        <w:t xml:space="preserve"> (1997), Mäntymäki et al. (2022), and Papagiannidis</w:t>
      </w:r>
      <w:r w:rsidR="00C10F3D" w:rsidRPr="000D1B73">
        <w:rPr>
          <w:sz w:val="20"/>
          <w:szCs w:val="20"/>
        </w:rPr>
        <w:t xml:space="preserve"> et al.</w:t>
      </w:r>
      <w:r w:rsidR="000D1B73" w:rsidRPr="000D1B73">
        <w:rPr>
          <w:sz w:val="20"/>
          <w:szCs w:val="20"/>
        </w:rPr>
        <w:t xml:space="preserve"> </w:t>
      </w:r>
      <w:r w:rsidRPr="000D1B73">
        <w:rPr>
          <w:sz w:val="20"/>
          <w:szCs w:val="20"/>
        </w:rPr>
        <w:t>(2025).</w:t>
      </w:r>
    </w:p>
    <w:p w14:paraId="092555FD" w14:textId="77777777" w:rsidR="00287628" w:rsidRDefault="00287628" w:rsidP="00287628"/>
    <w:p w14:paraId="299E04F9" w14:textId="77777777" w:rsidR="00287628" w:rsidRDefault="00287628" w:rsidP="00287628"/>
    <w:p w14:paraId="3F61E8FD" w14:textId="77777777" w:rsidR="00287628" w:rsidRPr="00287628" w:rsidRDefault="00287628" w:rsidP="00287628"/>
    <w:tbl>
      <w:tblPr>
        <w:tblStyle w:val="TableGrid"/>
        <w:tblW w:w="0" w:type="auto"/>
        <w:jc w:val="center"/>
        <w:tblLayout w:type="fixed"/>
        <w:tblCellMar>
          <w:top w:w="35" w:type="dxa"/>
          <w:left w:w="35" w:type="dxa"/>
          <w:bottom w:w="35" w:type="dxa"/>
          <w:right w:w="35" w:type="dxa"/>
        </w:tblCellMar>
        <w:tblLook w:val="04A0" w:firstRow="1" w:lastRow="0" w:firstColumn="1" w:lastColumn="0" w:noHBand="0" w:noVBand="1"/>
      </w:tblPr>
      <w:tblGrid>
        <w:gridCol w:w="3119"/>
        <w:gridCol w:w="3250"/>
        <w:gridCol w:w="3528"/>
        <w:gridCol w:w="3428"/>
      </w:tblGrid>
      <w:tr w:rsidR="00F538A5" w14:paraId="72F8CE3F" w14:textId="77777777" w:rsidTr="00F538A5">
        <w:trPr>
          <w:jc w:val="center"/>
        </w:trPr>
        <w:tc>
          <w:tcPr>
            <w:tcW w:w="3119" w:type="dxa"/>
            <w:shd w:val="clear" w:color="auto" w:fill="D9EAF7"/>
            <w:vAlign w:val="center"/>
          </w:tcPr>
          <w:p w14:paraId="50BED7F8" w14:textId="77777777" w:rsidR="00F538A5" w:rsidRPr="00F538A5" w:rsidRDefault="00F538A5" w:rsidP="004327D7">
            <w:pPr>
              <w:jc w:val="center"/>
              <w:rPr>
                <w:rFonts w:cstheme="minorHAnsi"/>
                <w:sz w:val="24"/>
                <w:szCs w:val="24"/>
              </w:rPr>
            </w:pPr>
            <w:r w:rsidRPr="00F538A5">
              <w:rPr>
                <w:rFonts w:cstheme="minorHAnsi"/>
                <w:b/>
                <w:sz w:val="24"/>
                <w:szCs w:val="24"/>
              </w:rPr>
              <w:lastRenderedPageBreak/>
              <w:t>SGM pillar</w:t>
            </w:r>
          </w:p>
        </w:tc>
        <w:tc>
          <w:tcPr>
            <w:tcW w:w="3250" w:type="dxa"/>
            <w:shd w:val="clear" w:color="auto" w:fill="D9EAF7"/>
            <w:vAlign w:val="center"/>
          </w:tcPr>
          <w:p w14:paraId="44701903" w14:textId="77777777" w:rsidR="00F538A5" w:rsidRPr="00F538A5" w:rsidRDefault="00F538A5" w:rsidP="004327D7">
            <w:pPr>
              <w:jc w:val="center"/>
              <w:rPr>
                <w:rFonts w:cstheme="minorHAnsi"/>
                <w:sz w:val="24"/>
                <w:szCs w:val="24"/>
              </w:rPr>
            </w:pPr>
            <w:r w:rsidRPr="00F538A5">
              <w:rPr>
                <w:rFonts w:cstheme="minorHAnsi"/>
                <w:b/>
                <w:sz w:val="24"/>
                <w:szCs w:val="24"/>
              </w:rPr>
              <w:t>Primary role</w:t>
            </w:r>
          </w:p>
        </w:tc>
        <w:tc>
          <w:tcPr>
            <w:tcW w:w="3528" w:type="dxa"/>
            <w:shd w:val="clear" w:color="auto" w:fill="D9EAF7"/>
            <w:vAlign w:val="center"/>
          </w:tcPr>
          <w:p w14:paraId="1B7C72B7" w14:textId="77777777" w:rsidR="00F538A5" w:rsidRPr="00F538A5" w:rsidRDefault="00F538A5" w:rsidP="004327D7">
            <w:pPr>
              <w:jc w:val="center"/>
              <w:rPr>
                <w:rFonts w:cstheme="minorHAnsi"/>
                <w:sz w:val="24"/>
                <w:szCs w:val="24"/>
              </w:rPr>
            </w:pPr>
            <w:r w:rsidRPr="00F538A5">
              <w:rPr>
                <w:rFonts w:cstheme="minorHAnsi"/>
                <w:b/>
                <w:sz w:val="24"/>
                <w:szCs w:val="24"/>
              </w:rPr>
              <w:t>Interaction with other pillars</w:t>
            </w:r>
          </w:p>
        </w:tc>
        <w:tc>
          <w:tcPr>
            <w:tcW w:w="3428" w:type="dxa"/>
            <w:shd w:val="clear" w:color="auto" w:fill="D9EAF7"/>
            <w:vAlign w:val="center"/>
          </w:tcPr>
          <w:p w14:paraId="10499C2B" w14:textId="77777777" w:rsidR="00F538A5" w:rsidRPr="00F538A5" w:rsidRDefault="00F538A5" w:rsidP="004327D7">
            <w:pPr>
              <w:jc w:val="center"/>
              <w:rPr>
                <w:rFonts w:cstheme="minorHAnsi"/>
                <w:sz w:val="24"/>
                <w:szCs w:val="24"/>
              </w:rPr>
            </w:pPr>
            <w:r w:rsidRPr="00F538A5">
              <w:rPr>
                <w:rFonts w:cstheme="minorHAnsi"/>
                <w:b/>
                <w:sz w:val="24"/>
                <w:szCs w:val="24"/>
              </w:rPr>
              <w:t>Result</w:t>
            </w:r>
          </w:p>
        </w:tc>
      </w:tr>
      <w:tr w:rsidR="00F538A5" w14:paraId="4019B685" w14:textId="77777777" w:rsidTr="00F538A5">
        <w:trPr>
          <w:jc w:val="center"/>
        </w:trPr>
        <w:tc>
          <w:tcPr>
            <w:tcW w:w="3119" w:type="dxa"/>
          </w:tcPr>
          <w:p w14:paraId="4E0D42AB" w14:textId="77777777" w:rsidR="00F538A5" w:rsidRPr="00F538A5" w:rsidRDefault="00F538A5" w:rsidP="004327D7">
            <w:pPr>
              <w:spacing w:line="216" w:lineRule="auto"/>
              <w:rPr>
                <w:rFonts w:cstheme="minorHAnsi"/>
                <w:sz w:val="24"/>
                <w:szCs w:val="24"/>
              </w:rPr>
            </w:pPr>
            <w:r w:rsidRPr="00F538A5">
              <w:rPr>
                <w:rFonts w:cstheme="minorHAnsi"/>
                <w:b/>
                <w:sz w:val="24"/>
                <w:szCs w:val="24"/>
              </w:rPr>
              <w:t>Strategic Leadership and Accountability</w:t>
            </w:r>
          </w:p>
        </w:tc>
        <w:tc>
          <w:tcPr>
            <w:tcW w:w="3250" w:type="dxa"/>
          </w:tcPr>
          <w:p w14:paraId="6DC376A8" w14:textId="77777777" w:rsidR="00F538A5" w:rsidRPr="00F538A5" w:rsidRDefault="00F538A5" w:rsidP="004327D7">
            <w:pPr>
              <w:spacing w:line="216" w:lineRule="auto"/>
              <w:rPr>
                <w:rFonts w:cstheme="minorHAnsi"/>
                <w:sz w:val="24"/>
                <w:szCs w:val="24"/>
              </w:rPr>
            </w:pPr>
            <w:r w:rsidRPr="00F538A5">
              <w:rPr>
                <w:rFonts w:cstheme="minorHAnsi"/>
                <w:sz w:val="24"/>
                <w:szCs w:val="24"/>
              </w:rPr>
              <w:t>Sets institutional direction, ownership and decision responsibility.</w:t>
            </w:r>
          </w:p>
        </w:tc>
        <w:tc>
          <w:tcPr>
            <w:tcW w:w="3528" w:type="dxa"/>
          </w:tcPr>
          <w:p w14:paraId="7EABF161" w14:textId="77777777" w:rsidR="00F538A5" w:rsidRPr="00F538A5" w:rsidRDefault="00F538A5" w:rsidP="004327D7">
            <w:pPr>
              <w:spacing w:line="216" w:lineRule="auto"/>
              <w:rPr>
                <w:rFonts w:cstheme="minorHAnsi"/>
                <w:sz w:val="24"/>
                <w:szCs w:val="24"/>
              </w:rPr>
            </w:pPr>
            <w:r w:rsidRPr="00F538A5">
              <w:rPr>
                <w:rFonts w:cstheme="minorHAnsi"/>
                <w:sz w:val="24"/>
                <w:szCs w:val="24"/>
              </w:rPr>
              <w:t>Directs ethical oversight, risk management and resource allocation; receives feedback from monitoring and stakeholders.</w:t>
            </w:r>
          </w:p>
        </w:tc>
        <w:tc>
          <w:tcPr>
            <w:tcW w:w="3428" w:type="dxa"/>
          </w:tcPr>
          <w:p w14:paraId="25581B3D" w14:textId="77777777" w:rsidR="00F538A5" w:rsidRPr="00F538A5" w:rsidRDefault="00F538A5" w:rsidP="004327D7">
            <w:pPr>
              <w:spacing w:line="216" w:lineRule="auto"/>
              <w:rPr>
                <w:rFonts w:cstheme="minorHAnsi"/>
                <w:sz w:val="24"/>
                <w:szCs w:val="24"/>
              </w:rPr>
            </w:pPr>
            <w:r w:rsidRPr="00F538A5">
              <w:rPr>
                <w:rFonts w:cstheme="minorHAnsi"/>
                <w:sz w:val="24"/>
                <w:szCs w:val="24"/>
              </w:rPr>
              <w:t>Strategic coherence and accountable AI governance.</w:t>
            </w:r>
          </w:p>
        </w:tc>
      </w:tr>
      <w:tr w:rsidR="00F538A5" w14:paraId="25F45613" w14:textId="77777777" w:rsidTr="00F538A5">
        <w:trPr>
          <w:jc w:val="center"/>
        </w:trPr>
        <w:tc>
          <w:tcPr>
            <w:tcW w:w="3119" w:type="dxa"/>
          </w:tcPr>
          <w:p w14:paraId="357BF178" w14:textId="77777777" w:rsidR="00F538A5" w:rsidRPr="00F538A5" w:rsidRDefault="00F538A5" w:rsidP="004327D7">
            <w:pPr>
              <w:spacing w:line="216" w:lineRule="auto"/>
              <w:rPr>
                <w:rFonts w:cstheme="minorHAnsi"/>
                <w:sz w:val="24"/>
                <w:szCs w:val="24"/>
              </w:rPr>
            </w:pPr>
            <w:r w:rsidRPr="00F538A5">
              <w:rPr>
                <w:rFonts w:cstheme="minorHAnsi"/>
                <w:b/>
                <w:sz w:val="24"/>
                <w:szCs w:val="24"/>
              </w:rPr>
              <w:t>Ethical Oversight and Responsible Innovation</w:t>
            </w:r>
          </w:p>
        </w:tc>
        <w:tc>
          <w:tcPr>
            <w:tcW w:w="3250" w:type="dxa"/>
          </w:tcPr>
          <w:p w14:paraId="6EEB6AAC" w14:textId="77777777" w:rsidR="00F538A5" w:rsidRPr="00F538A5" w:rsidRDefault="00F538A5" w:rsidP="004327D7">
            <w:pPr>
              <w:spacing w:line="216" w:lineRule="auto"/>
              <w:rPr>
                <w:rFonts w:cstheme="minorHAnsi"/>
                <w:sz w:val="24"/>
                <w:szCs w:val="24"/>
              </w:rPr>
            </w:pPr>
            <w:r w:rsidRPr="00F538A5">
              <w:rPr>
                <w:rFonts w:cstheme="minorHAnsi"/>
                <w:sz w:val="24"/>
                <w:szCs w:val="24"/>
              </w:rPr>
              <w:t>Provides normative criteria for evaluating AI applications.</w:t>
            </w:r>
          </w:p>
        </w:tc>
        <w:tc>
          <w:tcPr>
            <w:tcW w:w="3528" w:type="dxa"/>
          </w:tcPr>
          <w:p w14:paraId="58683FC5" w14:textId="77777777" w:rsidR="00F538A5" w:rsidRPr="00F538A5" w:rsidRDefault="00F538A5" w:rsidP="004327D7">
            <w:pPr>
              <w:spacing w:line="216" w:lineRule="auto"/>
              <w:rPr>
                <w:rFonts w:cstheme="minorHAnsi"/>
                <w:sz w:val="24"/>
                <w:szCs w:val="24"/>
              </w:rPr>
            </w:pPr>
            <w:r w:rsidRPr="00F538A5">
              <w:rPr>
                <w:rFonts w:cstheme="minorHAnsi"/>
                <w:sz w:val="24"/>
                <w:szCs w:val="24"/>
              </w:rPr>
              <w:t>Translates responsible-AI principles into review processes and informs leadership and risk decisions.</w:t>
            </w:r>
          </w:p>
        </w:tc>
        <w:tc>
          <w:tcPr>
            <w:tcW w:w="3428" w:type="dxa"/>
          </w:tcPr>
          <w:p w14:paraId="32634900" w14:textId="77777777" w:rsidR="00F538A5" w:rsidRPr="00F538A5" w:rsidRDefault="00F538A5" w:rsidP="004327D7">
            <w:pPr>
              <w:spacing w:line="216" w:lineRule="auto"/>
              <w:rPr>
                <w:rFonts w:cstheme="minorHAnsi"/>
                <w:sz w:val="24"/>
                <w:szCs w:val="24"/>
              </w:rPr>
            </w:pPr>
            <w:r w:rsidRPr="00F538A5">
              <w:rPr>
                <w:rFonts w:cstheme="minorHAnsi"/>
                <w:sz w:val="24"/>
                <w:szCs w:val="24"/>
              </w:rPr>
              <w:t>Values-aligned and trustworthy AI implementation.</w:t>
            </w:r>
          </w:p>
        </w:tc>
      </w:tr>
      <w:tr w:rsidR="00F538A5" w14:paraId="6CA311FE" w14:textId="77777777" w:rsidTr="00F538A5">
        <w:trPr>
          <w:jc w:val="center"/>
        </w:trPr>
        <w:tc>
          <w:tcPr>
            <w:tcW w:w="3119" w:type="dxa"/>
          </w:tcPr>
          <w:p w14:paraId="2996DEE9" w14:textId="77777777" w:rsidR="00F538A5" w:rsidRPr="00F538A5" w:rsidRDefault="00F538A5" w:rsidP="004327D7">
            <w:pPr>
              <w:spacing w:line="216" w:lineRule="auto"/>
              <w:rPr>
                <w:rFonts w:cstheme="minorHAnsi"/>
                <w:sz w:val="24"/>
                <w:szCs w:val="24"/>
              </w:rPr>
            </w:pPr>
            <w:r w:rsidRPr="00F538A5">
              <w:rPr>
                <w:rFonts w:cstheme="minorHAnsi"/>
                <w:b/>
                <w:sz w:val="24"/>
                <w:szCs w:val="24"/>
              </w:rPr>
              <w:t>Regulatory Compliance and Risk Management</w:t>
            </w:r>
          </w:p>
        </w:tc>
        <w:tc>
          <w:tcPr>
            <w:tcW w:w="3250" w:type="dxa"/>
          </w:tcPr>
          <w:p w14:paraId="1BF2597A" w14:textId="77777777" w:rsidR="00F538A5" w:rsidRPr="00F538A5" w:rsidRDefault="00F538A5" w:rsidP="004327D7">
            <w:pPr>
              <w:spacing w:line="216" w:lineRule="auto"/>
              <w:rPr>
                <w:rFonts w:cstheme="minorHAnsi"/>
                <w:sz w:val="24"/>
                <w:szCs w:val="24"/>
              </w:rPr>
            </w:pPr>
            <w:r w:rsidRPr="00F538A5">
              <w:rPr>
                <w:rFonts w:cstheme="minorHAnsi"/>
                <w:sz w:val="24"/>
                <w:szCs w:val="24"/>
              </w:rPr>
              <w:t>Establishes legal, regulatory and institutional safeguards.</w:t>
            </w:r>
          </w:p>
        </w:tc>
        <w:tc>
          <w:tcPr>
            <w:tcW w:w="3528" w:type="dxa"/>
          </w:tcPr>
          <w:p w14:paraId="3B5F6614" w14:textId="77777777" w:rsidR="00F538A5" w:rsidRPr="00F538A5" w:rsidRDefault="00F538A5" w:rsidP="004327D7">
            <w:pPr>
              <w:spacing w:line="216" w:lineRule="auto"/>
              <w:rPr>
                <w:rFonts w:cstheme="minorHAnsi"/>
                <w:sz w:val="24"/>
                <w:szCs w:val="24"/>
              </w:rPr>
            </w:pPr>
            <w:r w:rsidRPr="00F538A5">
              <w:rPr>
                <w:rFonts w:cstheme="minorHAnsi"/>
                <w:sz w:val="24"/>
                <w:szCs w:val="24"/>
              </w:rPr>
              <w:t>Connects external obligations and identified risks with oversight, leadership and monitoring.</w:t>
            </w:r>
          </w:p>
        </w:tc>
        <w:tc>
          <w:tcPr>
            <w:tcW w:w="3428" w:type="dxa"/>
          </w:tcPr>
          <w:p w14:paraId="55DBCF0D" w14:textId="77777777" w:rsidR="00F538A5" w:rsidRPr="00F538A5" w:rsidRDefault="00F538A5" w:rsidP="004327D7">
            <w:pPr>
              <w:spacing w:line="216" w:lineRule="auto"/>
              <w:rPr>
                <w:rFonts w:cstheme="minorHAnsi"/>
                <w:sz w:val="24"/>
                <w:szCs w:val="24"/>
              </w:rPr>
            </w:pPr>
            <w:r w:rsidRPr="00F538A5">
              <w:rPr>
                <w:rFonts w:cstheme="minorHAnsi"/>
                <w:sz w:val="24"/>
                <w:szCs w:val="24"/>
              </w:rPr>
              <w:t>Regulatory assurance, risk mitigation and resilience.</w:t>
            </w:r>
          </w:p>
        </w:tc>
      </w:tr>
      <w:tr w:rsidR="00F538A5" w14:paraId="7A1A580A" w14:textId="77777777" w:rsidTr="00F538A5">
        <w:trPr>
          <w:jc w:val="center"/>
        </w:trPr>
        <w:tc>
          <w:tcPr>
            <w:tcW w:w="3119" w:type="dxa"/>
          </w:tcPr>
          <w:p w14:paraId="46F6292C" w14:textId="77777777" w:rsidR="00F538A5" w:rsidRPr="00F538A5" w:rsidRDefault="00F538A5" w:rsidP="004327D7">
            <w:pPr>
              <w:spacing w:line="216" w:lineRule="auto"/>
              <w:rPr>
                <w:rFonts w:cstheme="minorHAnsi"/>
                <w:sz w:val="24"/>
                <w:szCs w:val="24"/>
              </w:rPr>
            </w:pPr>
            <w:r w:rsidRPr="00F538A5">
              <w:rPr>
                <w:rFonts w:cstheme="minorHAnsi"/>
                <w:b/>
                <w:sz w:val="24"/>
                <w:szCs w:val="24"/>
              </w:rPr>
              <w:t>Stakeholder Participation and Transparency</w:t>
            </w:r>
          </w:p>
        </w:tc>
        <w:tc>
          <w:tcPr>
            <w:tcW w:w="3250" w:type="dxa"/>
          </w:tcPr>
          <w:p w14:paraId="6C964609" w14:textId="77777777" w:rsidR="00F538A5" w:rsidRPr="00F538A5" w:rsidRDefault="00F538A5" w:rsidP="004327D7">
            <w:pPr>
              <w:spacing w:line="216" w:lineRule="auto"/>
              <w:rPr>
                <w:rFonts w:cstheme="minorHAnsi"/>
                <w:sz w:val="24"/>
                <w:szCs w:val="24"/>
              </w:rPr>
            </w:pPr>
            <w:r w:rsidRPr="00F538A5">
              <w:rPr>
                <w:rFonts w:cstheme="minorHAnsi"/>
                <w:sz w:val="24"/>
                <w:szCs w:val="24"/>
              </w:rPr>
              <w:t>Provides contextual knowledge, representation, legitimacy and trust.</w:t>
            </w:r>
          </w:p>
        </w:tc>
        <w:tc>
          <w:tcPr>
            <w:tcW w:w="3528" w:type="dxa"/>
          </w:tcPr>
          <w:p w14:paraId="5C09CB4B" w14:textId="77777777" w:rsidR="00F538A5" w:rsidRPr="00F538A5" w:rsidRDefault="00F538A5" w:rsidP="004327D7">
            <w:pPr>
              <w:spacing w:line="216" w:lineRule="auto"/>
              <w:rPr>
                <w:rFonts w:cstheme="minorHAnsi"/>
                <w:sz w:val="24"/>
                <w:szCs w:val="24"/>
              </w:rPr>
            </w:pPr>
            <w:r w:rsidRPr="00F538A5">
              <w:rPr>
                <w:rFonts w:cstheme="minorHAnsi"/>
                <w:sz w:val="24"/>
                <w:szCs w:val="24"/>
              </w:rPr>
              <w:t>Feeds stakeholder experience into ethical review, leadership decisions and continuing evaluation.</w:t>
            </w:r>
          </w:p>
        </w:tc>
        <w:tc>
          <w:tcPr>
            <w:tcW w:w="3428" w:type="dxa"/>
          </w:tcPr>
          <w:p w14:paraId="7EC8D82E" w14:textId="77777777" w:rsidR="00F538A5" w:rsidRPr="00F538A5" w:rsidRDefault="00F538A5" w:rsidP="004327D7">
            <w:pPr>
              <w:spacing w:line="216" w:lineRule="auto"/>
              <w:rPr>
                <w:rFonts w:cstheme="minorHAnsi"/>
                <w:sz w:val="24"/>
                <w:szCs w:val="24"/>
              </w:rPr>
            </w:pPr>
            <w:r w:rsidRPr="00F538A5">
              <w:rPr>
                <w:rFonts w:cstheme="minorHAnsi"/>
                <w:sz w:val="24"/>
                <w:szCs w:val="24"/>
              </w:rPr>
              <w:t>Legitimate, transparent and participatory governance.</w:t>
            </w:r>
          </w:p>
        </w:tc>
      </w:tr>
      <w:tr w:rsidR="00F538A5" w14:paraId="03A2D3AA" w14:textId="77777777" w:rsidTr="00F538A5">
        <w:trPr>
          <w:jc w:val="center"/>
        </w:trPr>
        <w:tc>
          <w:tcPr>
            <w:tcW w:w="3119" w:type="dxa"/>
          </w:tcPr>
          <w:p w14:paraId="5FB0773C" w14:textId="77777777" w:rsidR="00F538A5" w:rsidRPr="00F538A5" w:rsidRDefault="00F538A5" w:rsidP="004327D7">
            <w:pPr>
              <w:spacing w:line="216" w:lineRule="auto"/>
              <w:rPr>
                <w:rFonts w:cstheme="minorHAnsi"/>
                <w:sz w:val="24"/>
                <w:szCs w:val="24"/>
              </w:rPr>
            </w:pPr>
            <w:r w:rsidRPr="00F538A5">
              <w:rPr>
                <w:rFonts w:cstheme="minorHAnsi"/>
                <w:b/>
                <w:sz w:val="24"/>
                <w:szCs w:val="24"/>
              </w:rPr>
              <w:t>Continuous Monitoring, Evaluation and Adaptive Improvement</w:t>
            </w:r>
          </w:p>
        </w:tc>
        <w:tc>
          <w:tcPr>
            <w:tcW w:w="3250" w:type="dxa"/>
          </w:tcPr>
          <w:p w14:paraId="0FDB1F87" w14:textId="77777777" w:rsidR="00F538A5" w:rsidRPr="00F538A5" w:rsidRDefault="00F538A5" w:rsidP="004327D7">
            <w:pPr>
              <w:spacing w:line="216" w:lineRule="auto"/>
              <w:rPr>
                <w:rFonts w:cstheme="minorHAnsi"/>
                <w:sz w:val="24"/>
                <w:szCs w:val="24"/>
              </w:rPr>
            </w:pPr>
            <w:r w:rsidRPr="00F538A5">
              <w:rPr>
                <w:rFonts w:cstheme="minorHAnsi"/>
                <w:sz w:val="24"/>
                <w:szCs w:val="24"/>
              </w:rPr>
              <w:t>Generates feedback, organisational learning and adaptation.</w:t>
            </w:r>
          </w:p>
        </w:tc>
        <w:tc>
          <w:tcPr>
            <w:tcW w:w="3528" w:type="dxa"/>
          </w:tcPr>
          <w:p w14:paraId="645532A4" w14:textId="77777777" w:rsidR="00F538A5" w:rsidRPr="00F538A5" w:rsidRDefault="00F538A5" w:rsidP="004327D7">
            <w:pPr>
              <w:spacing w:line="216" w:lineRule="auto"/>
              <w:rPr>
                <w:rFonts w:cstheme="minorHAnsi"/>
                <w:sz w:val="24"/>
                <w:szCs w:val="24"/>
              </w:rPr>
            </w:pPr>
            <w:r w:rsidRPr="00F538A5">
              <w:rPr>
                <w:rFonts w:cstheme="minorHAnsi"/>
                <w:sz w:val="24"/>
                <w:szCs w:val="24"/>
              </w:rPr>
              <w:t>Feeds evidence from implementation back into all other pillars as technologies, regulation and expectations change.</w:t>
            </w:r>
          </w:p>
        </w:tc>
        <w:tc>
          <w:tcPr>
            <w:tcW w:w="3428" w:type="dxa"/>
          </w:tcPr>
          <w:p w14:paraId="3384AB0D" w14:textId="77777777" w:rsidR="00F538A5" w:rsidRPr="00F538A5" w:rsidRDefault="00F538A5" w:rsidP="004327D7">
            <w:pPr>
              <w:spacing w:line="216" w:lineRule="auto"/>
              <w:rPr>
                <w:rFonts w:cstheme="minorHAnsi"/>
                <w:sz w:val="24"/>
                <w:szCs w:val="24"/>
              </w:rPr>
            </w:pPr>
            <w:r w:rsidRPr="00F538A5">
              <w:rPr>
                <w:rFonts w:cstheme="minorHAnsi"/>
                <w:sz w:val="24"/>
                <w:szCs w:val="24"/>
              </w:rPr>
              <w:t>Adaptive and sustainable governance capability.</w:t>
            </w:r>
          </w:p>
        </w:tc>
      </w:tr>
    </w:tbl>
    <w:p w14:paraId="17C4664D" w14:textId="77777777" w:rsidR="00D13EF2" w:rsidRPr="00FE3479" w:rsidRDefault="00D13EF2" w:rsidP="00CC7239">
      <w:pPr>
        <w:pStyle w:val="Caption"/>
        <w:jc w:val="center"/>
        <w:rPr>
          <w:sz w:val="20"/>
          <w:szCs w:val="20"/>
        </w:rPr>
      </w:pPr>
      <w:r w:rsidRPr="00FE3479">
        <w:rPr>
          <w:sz w:val="20"/>
          <w:szCs w:val="20"/>
        </w:rPr>
        <w:t xml:space="preserve">Table D6: Interaction of the five SGM pillars </w:t>
      </w:r>
    </w:p>
    <w:p w14:paraId="684DE32D" w14:textId="6C691E83" w:rsidR="00CC7239" w:rsidRPr="00FE3479" w:rsidRDefault="00CC7239" w:rsidP="00CC7239">
      <w:pPr>
        <w:pStyle w:val="Caption"/>
        <w:jc w:val="center"/>
        <w:rPr>
          <w:sz w:val="20"/>
          <w:szCs w:val="20"/>
        </w:rPr>
      </w:pPr>
      <w:r w:rsidRPr="00FE3479">
        <w:rPr>
          <w:sz w:val="20"/>
          <w:szCs w:val="20"/>
        </w:rPr>
        <w:t>Source: Author’s own development, informed by DiMaggio and Powell (1983), Teece</w:t>
      </w:r>
      <w:r w:rsidR="00611E5E" w:rsidRPr="00FE3479">
        <w:rPr>
          <w:sz w:val="20"/>
          <w:szCs w:val="20"/>
        </w:rPr>
        <w:t xml:space="preserve"> et al.</w:t>
      </w:r>
      <w:r w:rsidRPr="00FE3479">
        <w:rPr>
          <w:sz w:val="20"/>
          <w:szCs w:val="20"/>
        </w:rPr>
        <w:t xml:space="preserve"> (1997), Mäntymäki et al. (2022), and Papagiannidis,</w:t>
      </w:r>
      <w:r w:rsidR="00611E5E" w:rsidRPr="00FE3479">
        <w:rPr>
          <w:sz w:val="20"/>
          <w:szCs w:val="20"/>
        </w:rPr>
        <w:t xml:space="preserve"> et al.</w:t>
      </w:r>
      <w:r w:rsidRPr="00FE3479">
        <w:rPr>
          <w:sz w:val="20"/>
          <w:szCs w:val="20"/>
        </w:rPr>
        <w:t xml:space="preserve"> (2025)</w:t>
      </w:r>
      <w:r w:rsidR="00415173" w:rsidRPr="00FE3479">
        <w:rPr>
          <w:sz w:val="20"/>
          <w:szCs w:val="20"/>
        </w:rPr>
        <w:t xml:space="preserve">, Heymans </w:t>
      </w:r>
      <w:r w:rsidR="00D82198" w:rsidRPr="00FE3479">
        <w:rPr>
          <w:sz w:val="20"/>
          <w:szCs w:val="20"/>
        </w:rPr>
        <w:t>and</w:t>
      </w:r>
      <w:r w:rsidR="00415173" w:rsidRPr="00FE3479">
        <w:rPr>
          <w:sz w:val="20"/>
          <w:szCs w:val="20"/>
        </w:rPr>
        <w:t xml:space="preserve"> Heyman (2024), Jafari et al. (2025). </w:t>
      </w:r>
    </w:p>
    <w:p w14:paraId="709AB834" w14:textId="77777777" w:rsidR="008631BA" w:rsidRDefault="008631BA" w:rsidP="008631BA">
      <w:pPr>
        <w:rPr>
          <w:rFonts w:ascii="Calibri" w:hAnsi="Calibri" w:cs="Calibri"/>
          <w:iCs/>
        </w:rPr>
      </w:pPr>
    </w:p>
    <w:p w14:paraId="11BAEDD7" w14:textId="77777777" w:rsidR="00116079" w:rsidRDefault="00116079" w:rsidP="008631BA">
      <w:pPr>
        <w:rPr>
          <w:rFonts w:ascii="Calibri" w:hAnsi="Calibri" w:cs="Calibri"/>
          <w:iCs/>
        </w:rPr>
      </w:pPr>
    </w:p>
    <w:p w14:paraId="68C54F40" w14:textId="77777777" w:rsidR="00116079" w:rsidRDefault="00116079" w:rsidP="008631BA">
      <w:pPr>
        <w:rPr>
          <w:rFonts w:ascii="Calibri" w:hAnsi="Calibri" w:cs="Calibri"/>
          <w:iCs/>
        </w:rPr>
      </w:pPr>
    </w:p>
    <w:p w14:paraId="29F2CD39" w14:textId="77777777" w:rsidR="00116079" w:rsidRDefault="00116079" w:rsidP="008631BA">
      <w:pPr>
        <w:rPr>
          <w:rFonts w:ascii="Calibri" w:hAnsi="Calibri" w:cs="Calibri"/>
          <w:iCs/>
        </w:rPr>
      </w:pPr>
    </w:p>
    <w:p w14:paraId="3F797B09" w14:textId="77777777" w:rsidR="00116079" w:rsidRDefault="00116079" w:rsidP="008631BA">
      <w:pPr>
        <w:rPr>
          <w:rFonts w:ascii="Calibri" w:hAnsi="Calibri" w:cs="Calibri"/>
          <w:iCs/>
        </w:rPr>
      </w:pPr>
    </w:p>
    <w:p w14:paraId="1D37B698" w14:textId="77777777" w:rsidR="00BB59F7" w:rsidRPr="00BB59F7" w:rsidRDefault="00BB59F7" w:rsidP="00BB59F7"/>
    <w:tbl>
      <w:tblPr>
        <w:tblStyle w:val="TableGrid"/>
        <w:tblW w:w="0" w:type="auto"/>
        <w:jc w:val="center"/>
        <w:tblLayout w:type="fixed"/>
        <w:tblCellMar>
          <w:top w:w="35" w:type="dxa"/>
          <w:left w:w="35" w:type="dxa"/>
          <w:bottom w:w="35" w:type="dxa"/>
          <w:right w:w="35" w:type="dxa"/>
        </w:tblCellMar>
        <w:tblLook w:val="04A0" w:firstRow="1" w:lastRow="0" w:firstColumn="1" w:lastColumn="0" w:noHBand="0" w:noVBand="1"/>
      </w:tblPr>
      <w:tblGrid>
        <w:gridCol w:w="2694"/>
        <w:gridCol w:w="2835"/>
        <w:gridCol w:w="3938"/>
        <w:gridCol w:w="2473"/>
      </w:tblGrid>
      <w:tr w:rsidR="00B60F44" w14:paraId="3D678EA9" w14:textId="77777777" w:rsidTr="00B60F44">
        <w:trPr>
          <w:jc w:val="center"/>
        </w:trPr>
        <w:tc>
          <w:tcPr>
            <w:tcW w:w="2694" w:type="dxa"/>
            <w:shd w:val="clear" w:color="auto" w:fill="D9EAF7"/>
            <w:vAlign w:val="center"/>
          </w:tcPr>
          <w:p w14:paraId="46912970" w14:textId="77777777" w:rsidR="00B60F44" w:rsidRPr="00B60F44" w:rsidRDefault="00B60F44" w:rsidP="004327D7">
            <w:pPr>
              <w:jc w:val="center"/>
              <w:rPr>
                <w:rFonts w:ascii="Calibri" w:hAnsi="Calibri" w:cs="Calibri"/>
                <w:sz w:val="24"/>
                <w:szCs w:val="24"/>
              </w:rPr>
            </w:pPr>
            <w:r w:rsidRPr="00B60F44">
              <w:rPr>
                <w:rFonts w:ascii="Calibri" w:hAnsi="Calibri" w:cs="Calibri"/>
                <w:b/>
                <w:sz w:val="24"/>
                <w:szCs w:val="24"/>
              </w:rPr>
              <w:lastRenderedPageBreak/>
              <w:t>Institutional actor</w:t>
            </w:r>
          </w:p>
        </w:tc>
        <w:tc>
          <w:tcPr>
            <w:tcW w:w="2835" w:type="dxa"/>
            <w:shd w:val="clear" w:color="auto" w:fill="D9EAF7"/>
            <w:vAlign w:val="center"/>
          </w:tcPr>
          <w:p w14:paraId="49EF77CB" w14:textId="77777777" w:rsidR="00B60F44" w:rsidRPr="00B60F44" w:rsidRDefault="00B60F44" w:rsidP="004327D7">
            <w:pPr>
              <w:jc w:val="center"/>
              <w:rPr>
                <w:rFonts w:ascii="Calibri" w:hAnsi="Calibri" w:cs="Calibri"/>
                <w:sz w:val="24"/>
                <w:szCs w:val="24"/>
              </w:rPr>
            </w:pPr>
            <w:r w:rsidRPr="00B60F44">
              <w:rPr>
                <w:rFonts w:ascii="Calibri" w:hAnsi="Calibri" w:cs="Calibri"/>
                <w:b/>
                <w:sz w:val="24"/>
                <w:szCs w:val="24"/>
              </w:rPr>
              <w:t>SGM pillar</w:t>
            </w:r>
          </w:p>
        </w:tc>
        <w:tc>
          <w:tcPr>
            <w:tcW w:w="3938" w:type="dxa"/>
            <w:shd w:val="clear" w:color="auto" w:fill="D9EAF7"/>
            <w:vAlign w:val="center"/>
          </w:tcPr>
          <w:p w14:paraId="02D372E1" w14:textId="77777777" w:rsidR="00B60F44" w:rsidRPr="00B60F44" w:rsidRDefault="00B60F44" w:rsidP="004327D7">
            <w:pPr>
              <w:jc w:val="center"/>
              <w:rPr>
                <w:rFonts w:ascii="Calibri" w:hAnsi="Calibri" w:cs="Calibri"/>
                <w:sz w:val="24"/>
                <w:szCs w:val="24"/>
              </w:rPr>
            </w:pPr>
            <w:r w:rsidRPr="00B60F44">
              <w:rPr>
                <w:rFonts w:ascii="Calibri" w:hAnsi="Calibri" w:cs="Calibri"/>
                <w:b/>
                <w:sz w:val="24"/>
                <w:szCs w:val="24"/>
              </w:rPr>
              <w:t>Practical use</w:t>
            </w:r>
          </w:p>
        </w:tc>
        <w:tc>
          <w:tcPr>
            <w:tcW w:w="2473" w:type="dxa"/>
            <w:shd w:val="clear" w:color="auto" w:fill="D9EAF7"/>
            <w:vAlign w:val="center"/>
          </w:tcPr>
          <w:p w14:paraId="04EAC3D6" w14:textId="77777777" w:rsidR="00B60F44" w:rsidRPr="00B60F44" w:rsidRDefault="00B60F44" w:rsidP="004327D7">
            <w:pPr>
              <w:jc w:val="center"/>
              <w:rPr>
                <w:rFonts w:ascii="Calibri" w:hAnsi="Calibri" w:cs="Calibri"/>
                <w:sz w:val="24"/>
                <w:szCs w:val="24"/>
              </w:rPr>
            </w:pPr>
            <w:r w:rsidRPr="00B60F44">
              <w:rPr>
                <w:rFonts w:ascii="Calibri" w:hAnsi="Calibri" w:cs="Calibri"/>
                <w:b/>
                <w:sz w:val="24"/>
                <w:szCs w:val="24"/>
              </w:rPr>
              <w:t>Expected governance contribution</w:t>
            </w:r>
          </w:p>
        </w:tc>
      </w:tr>
      <w:tr w:rsidR="00B60F44" w14:paraId="2394F412" w14:textId="77777777" w:rsidTr="00B60F44">
        <w:trPr>
          <w:jc w:val="center"/>
        </w:trPr>
        <w:tc>
          <w:tcPr>
            <w:tcW w:w="2694" w:type="dxa"/>
          </w:tcPr>
          <w:p w14:paraId="48D8B06B"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b/>
                <w:sz w:val="24"/>
                <w:szCs w:val="24"/>
              </w:rPr>
              <w:t>Governing bodies and executive leadership</w:t>
            </w:r>
          </w:p>
        </w:tc>
        <w:tc>
          <w:tcPr>
            <w:tcW w:w="2835" w:type="dxa"/>
          </w:tcPr>
          <w:p w14:paraId="3BF4CAEB"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Strategic Leadership and Accountability</w:t>
            </w:r>
          </w:p>
        </w:tc>
        <w:tc>
          <w:tcPr>
            <w:tcW w:w="3938" w:type="dxa"/>
          </w:tcPr>
          <w:p w14:paraId="39196F3D"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Define strategic ownership, decision rights, reporting responsibilities and escalation routes.</w:t>
            </w:r>
          </w:p>
        </w:tc>
        <w:tc>
          <w:tcPr>
            <w:tcW w:w="2473" w:type="dxa"/>
          </w:tcPr>
          <w:p w14:paraId="1FCD5725"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Clear accountability and alignment of AI initiatives with institutional priorities.</w:t>
            </w:r>
          </w:p>
        </w:tc>
      </w:tr>
      <w:tr w:rsidR="00B60F44" w14:paraId="1A557DEA" w14:textId="77777777" w:rsidTr="00B60F44">
        <w:trPr>
          <w:jc w:val="center"/>
        </w:trPr>
        <w:tc>
          <w:tcPr>
            <w:tcW w:w="2694" w:type="dxa"/>
          </w:tcPr>
          <w:p w14:paraId="246410E9" w14:textId="6E329F5B" w:rsidR="00B60F44" w:rsidRPr="00B60F44" w:rsidRDefault="00B60F44" w:rsidP="004327D7">
            <w:pPr>
              <w:spacing w:line="216" w:lineRule="auto"/>
              <w:rPr>
                <w:rFonts w:ascii="Calibri" w:hAnsi="Calibri" w:cs="Calibri"/>
                <w:sz w:val="24"/>
                <w:szCs w:val="24"/>
              </w:rPr>
            </w:pPr>
            <w:r w:rsidRPr="00B60F44">
              <w:rPr>
                <w:rFonts w:ascii="Calibri" w:hAnsi="Calibri" w:cs="Calibri"/>
                <w:b/>
                <w:sz w:val="24"/>
                <w:szCs w:val="24"/>
              </w:rPr>
              <w:t xml:space="preserve">Multidisciplinary </w:t>
            </w:r>
            <w:r>
              <w:rPr>
                <w:rFonts w:ascii="Calibri" w:hAnsi="Calibri" w:cs="Calibri"/>
                <w:b/>
                <w:sz w:val="24"/>
                <w:szCs w:val="24"/>
              </w:rPr>
              <w:t>governance/ethics</w:t>
            </w:r>
            <w:r w:rsidRPr="00B60F44">
              <w:rPr>
                <w:rFonts w:ascii="Calibri" w:hAnsi="Calibri" w:cs="Calibri"/>
                <w:b/>
                <w:sz w:val="24"/>
                <w:szCs w:val="24"/>
              </w:rPr>
              <w:t xml:space="preserve"> committees</w:t>
            </w:r>
          </w:p>
        </w:tc>
        <w:tc>
          <w:tcPr>
            <w:tcW w:w="2835" w:type="dxa"/>
          </w:tcPr>
          <w:p w14:paraId="2DE9813A"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Ethical Oversight and Responsible Innovation</w:t>
            </w:r>
          </w:p>
        </w:tc>
        <w:tc>
          <w:tcPr>
            <w:tcW w:w="3938" w:type="dxa"/>
          </w:tcPr>
          <w:p w14:paraId="720F6BF4"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Review proposed AI uses, ethical risks, fairness, transparency, human oversight and alignment with institutional values.</w:t>
            </w:r>
          </w:p>
        </w:tc>
        <w:tc>
          <w:tcPr>
            <w:tcW w:w="2473" w:type="dxa"/>
          </w:tcPr>
          <w:p w14:paraId="54AD6055"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Responsible and legitimate AI adoption.</w:t>
            </w:r>
          </w:p>
        </w:tc>
      </w:tr>
      <w:tr w:rsidR="00B60F44" w14:paraId="1113145F" w14:textId="77777777" w:rsidTr="00B60F44">
        <w:trPr>
          <w:jc w:val="center"/>
        </w:trPr>
        <w:tc>
          <w:tcPr>
            <w:tcW w:w="2694" w:type="dxa"/>
          </w:tcPr>
          <w:p w14:paraId="5CCC3619"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b/>
                <w:sz w:val="24"/>
                <w:szCs w:val="24"/>
              </w:rPr>
              <w:t>Risk, legal, compliance and data-protection functions</w:t>
            </w:r>
          </w:p>
        </w:tc>
        <w:tc>
          <w:tcPr>
            <w:tcW w:w="2835" w:type="dxa"/>
          </w:tcPr>
          <w:p w14:paraId="214450D9"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Regulatory Compliance and Risk Management</w:t>
            </w:r>
          </w:p>
        </w:tc>
        <w:tc>
          <w:tcPr>
            <w:tcW w:w="3938" w:type="dxa"/>
          </w:tcPr>
          <w:p w14:paraId="54DE60A9"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Conduct risk and impact assessments; monitor compliance, privacy obligations and emerging regulatory requirements.</w:t>
            </w:r>
          </w:p>
        </w:tc>
        <w:tc>
          <w:tcPr>
            <w:tcW w:w="2473" w:type="dxa"/>
          </w:tcPr>
          <w:p w14:paraId="722F0656"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Risk mitigation, regulatory assurance and institutional resilience.</w:t>
            </w:r>
          </w:p>
        </w:tc>
      </w:tr>
      <w:tr w:rsidR="00B60F44" w14:paraId="0F24B3A3" w14:textId="77777777" w:rsidTr="00B60F44">
        <w:trPr>
          <w:jc w:val="center"/>
        </w:trPr>
        <w:tc>
          <w:tcPr>
            <w:tcW w:w="2694" w:type="dxa"/>
          </w:tcPr>
          <w:p w14:paraId="24012F32"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b/>
                <w:sz w:val="24"/>
                <w:szCs w:val="24"/>
              </w:rPr>
              <w:t>Academic staff, professional services, students and relevant external stakeholders</w:t>
            </w:r>
          </w:p>
        </w:tc>
        <w:tc>
          <w:tcPr>
            <w:tcW w:w="2835" w:type="dxa"/>
          </w:tcPr>
          <w:p w14:paraId="5C7C4ADC"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Stakeholder Participation and Transparency</w:t>
            </w:r>
          </w:p>
        </w:tc>
        <w:tc>
          <w:tcPr>
            <w:tcW w:w="3938" w:type="dxa"/>
          </w:tcPr>
          <w:p w14:paraId="2750AE85"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Participate in governance, provide contextual knowledge and feedback, and receive transparent communication about AI decisions.</w:t>
            </w:r>
          </w:p>
        </w:tc>
        <w:tc>
          <w:tcPr>
            <w:tcW w:w="2473" w:type="dxa"/>
          </w:tcPr>
          <w:p w14:paraId="5D43DA90"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Greater trust, legitimacy and stakeholder accountability.</w:t>
            </w:r>
          </w:p>
        </w:tc>
      </w:tr>
      <w:tr w:rsidR="00B60F44" w14:paraId="113ED0DD" w14:textId="77777777" w:rsidTr="00B60F44">
        <w:trPr>
          <w:jc w:val="center"/>
        </w:trPr>
        <w:tc>
          <w:tcPr>
            <w:tcW w:w="2694" w:type="dxa"/>
          </w:tcPr>
          <w:p w14:paraId="0E0C2838"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b/>
                <w:sz w:val="24"/>
                <w:szCs w:val="24"/>
              </w:rPr>
              <w:t>Institutional governance, audit and review functions</w:t>
            </w:r>
          </w:p>
        </w:tc>
        <w:tc>
          <w:tcPr>
            <w:tcW w:w="2835" w:type="dxa"/>
          </w:tcPr>
          <w:p w14:paraId="036FA212"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Continuous Monitoring, Evaluation and Adaptive Improvement</w:t>
            </w:r>
          </w:p>
        </w:tc>
        <w:tc>
          <w:tcPr>
            <w:tcW w:w="3938" w:type="dxa"/>
          </w:tcPr>
          <w:p w14:paraId="6CA94914"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Review AI systems and policies, audit emerging risks, evaluate feedback and update governance arrangements.</w:t>
            </w:r>
          </w:p>
        </w:tc>
        <w:tc>
          <w:tcPr>
            <w:tcW w:w="2473" w:type="dxa"/>
          </w:tcPr>
          <w:p w14:paraId="35657B7A" w14:textId="77777777" w:rsidR="00B60F44" w:rsidRPr="00B60F44" w:rsidRDefault="00B60F44" w:rsidP="004327D7">
            <w:pPr>
              <w:spacing w:line="216" w:lineRule="auto"/>
              <w:rPr>
                <w:rFonts w:ascii="Calibri" w:hAnsi="Calibri" w:cs="Calibri"/>
                <w:sz w:val="24"/>
                <w:szCs w:val="24"/>
              </w:rPr>
            </w:pPr>
            <w:r w:rsidRPr="00B60F44">
              <w:rPr>
                <w:rFonts w:ascii="Calibri" w:hAnsi="Calibri" w:cs="Calibri"/>
                <w:sz w:val="24"/>
                <w:szCs w:val="24"/>
              </w:rPr>
              <w:t>Organisational learning and adaptive governance.</w:t>
            </w:r>
          </w:p>
        </w:tc>
      </w:tr>
    </w:tbl>
    <w:p w14:paraId="79D321B1" w14:textId="77777777" w:rsidR="0018669F" w:rsidRDefault="0018669F" w:rsidP="00FE3479">
      <w:pPr>
        <w:pStyle w:val="Caption"/>
        <w:jc w:val="center"/>
        <w:rPr>
          <w:sz w:val="20"/>
          <w:szCs w:val="20"/>
        </w:rPr>
      </w:pPr>
    </w:p>
    <w:p w14:paraId="1012A83C" w14:textId="77777777" w:rsidR="00F97A76" w:rsidRDefault="0018669F" w:rsidP="00FE3479">
      <w:pPr>
        <w:pStyle w:val="Caption"/>
        <w:jc w:val="center"/>
        <w:rPr>
          <w:sz w:val="20"/>
          <w:szCs w:val="20"/>
        </w:rPr>
      </w:pPr>
      <w:r>
        <w:rPr>
          <w:sz w:val="20"/>
          <w:szCs w:val="20"/>
        </w:rPr>
        <w:t>Table D7: Practical application of the SGM in English public universities</w:t>
      </w:r>
      <w:r w:rsidR="00F97A76">
        <w:rPr>
          <w:sz w:val="20"/>
          <w:szCs w:val="20"/>
        </w:rPr>
        <w:t xml:space="preserve"> </w:t>
      </w:r>
    </w:p>
    <w:p w14:paraId="3E22942A" w14:textId="62B68B80" w:rsidR="00DA7CC4" w:rsidRDefault="00B60F44" w:rsidP="00FE3479">
      <w:pPr>
        <w:pStyle w:val="Caption"/>
        <w:jc w:val="center"/>
        <w:rPr>
          <w:sz w:val="20"/>
          <w:szCs w:val="20"/>
        </w:rPr>
      </w:pPr>
      <w:r w:rsidRPr="00D13EF2">
        <w:rPr>
          <w:sz w:val="20"/>
          <w:szCs w:val="20"/>
        </w:rPr>
        <w:t>Source: Author’s own development, informed by DiMaggio and Powell (1983), Teece</w:t>
      </w:r>
      <w:r w:rsidR="00FE3479">
        <w:rPr>
          <w:sz w:val="20"/>
          <w:szCs w:val="20"/>
        </w:rPr>
        <w:t xml:space="preserve"> et al. </w:t>
      </w:r>
      <w:r w:rsidRPr="00D13EF2">
        <w:rPr>
          <w:sz w:val="20"/>
          <w:szCs w:val="20"/>
        </w:rPr>
        <w:t xml:space="preserve">(1997), Mäntymäki et al. (2022), </w:t>
      </w:r>
    </w:p>
    <w:p w14:paraId="3FF8CFDC" w14:textId="003CF8D4" w:rsidR="00B60F44" w:rsidRPr="00D13EF2" w:rsidRDefault="00DA7CC4" w:rsidP="00FE3479">
      <w:pPr>
        <w:pStyle w:val="Caption"/>
        <w:jc w:val="center"/>
        <w:rPr>
          <w:sz w:val="20"/>
          <w:szCs w:val="20"/>
        </w:rPr>
      </w:pPr>
      <w:r>
        <w:rPr>
          <w:sz w:val="20"/>
          <w:szCs w:val="20"/>
        </w:rPr>
        <w:t>Papagiannidis et al.  (2025), Barus et al. (2025), Bilgin (2025), and</w:t>
      </w:r>
      <w:r w:rsidR="00415173" w:rsidRPr="00D13EF2">
        <w:rPr>
          <w:sz w:val="20"/>
          <w:szCs w:val="20"/>
        </w:rPr>
        <w:t xml:space="preserve"> Hadley</w:t>
      </w:r>
      <w:r>
        <w:rPr>
          <w:sz w:val="20"/>
          <w:szCs w:val="20"/>
        </w:rPr>
        <w:t xml:space="preserve"> et al. </w:t>
      </w:r>
      <w:r w:rsidR="00415173" w:rsidRPr="00D13EF2">
        <w:rPr>
          <w:sz w:val="20"/>
          <w:szCs w:val="20"/>
        </w:rPr>
        <w:t xml:space="preserve">(2025). </w:t>
      </w:r>
    </w:p>
    <w:p w14:paraId="474AF46D" w14:textId="77777777" w:rsidR="00B60F44" w:rsidRDefault="00B60F44" w:rsidP="00B60F44">
      <w:pPr>
        <w:rPr>
          <w:rFonts w:ascii="Calibri" w:hAnsi="Calibri" w:cs="Calibri"/>
          <w:iCs/>
        </w:rPr>
      </w:pPr>
    </w:p>
    <w:p w14:paraId="56CB1488" w14:textId="77777777" w:rsidR="00116079" w:rsidRDefault="00116079" w:rsidP="008631BA">
      <w:pPr>
        <w:rPr>
          <w:rFonts w:ascii="Calibri" w:hAnsi="Calibri" w:cs="Calibri"/>
          <w:iCs/>
        </w:rPr>
      </w:pPr>
    </w:p>
    <w:p w14:paraId="7616AF89" w14:textId="77777777" w:rsidR="00EC78A6" w:rsidRDefault="00EC78A6" w:rsidP="008631BA">
      <w:pPr>
        <w:rPr>
          <w:rFonts w:ascii="Calibri" w:hAnsi="Calibri" w:cs="Calibri"/>
          <w:iCs/>
        </w:rPr>
      </w:pPr>
    </w:p>
    <w:p w14:paraId="754D7827" w14:textId="77777777" w:rsidR="00EC78A6" w:rsidRDefault="00EC78A6" w:rsidP="008631BA">
      <w:pPr>
        <w:rPr>
          <w:rFonts w:ascii="Calibri" w:hAnsi="Calibri" w:cs="Calibri"/>
          <w:iCs/>
        </w:rPr>
      </w:pPr>
    </w:p>
    <w:tbl>
      <w:tblPr>
        <w:tblStyle w:val="TableGrid"/>
        <w:tblW w:w="0" w:type="auto"/>
        <w:jc w:val="center"/>
        <w:tblLayout w:type="fixed"/>
        <w:tblCellMar>
          <w:top w:w="35" w:type="dxa"/>
          <w:left w:w="35" w:type="dxa"/>
          <w:bottom w:w="35" w:type="dxa"/>
          <w:right w:w="35" w:type="dxa"/>
        </w:tblCellMar>
        <w:tblLook w:val="04A0" w:firstRow="1" w:lastRow="0" w:firstColumn="1" w:lastColumn="0" w:noHBand="0" w:noVBand="1"/>
      </w:tblPr>
      <w:tblGrid>
        <w:gridCol w:w="2689"/>
        <w:gridCol w:w="3260"/>
        <w:gridCol w:w="2977"/>
        <w:gridCol w:w="3131"/>
      </w:tblGrid>
      <w:tr w:rsidR="00770B07" w14:paraId="24BEF863" w14:textId="77777777" w:rsidTr="00770B07">
        <w:trPr>
          <w:jc w:val="center"/>
        </w:trPr>
        <w:tc>
          <w:tcPr>
            <w:tcW w:w="2689" w:type="dxa"/>
            <w:shd w:val="clear" w:color="auto" w:fill="D9EAF7"/>
            <w:vAlign w:val="center"/>
          </w:tcPr>
          <w:p w14:paraId="4DA79F13" w14:textId="77777777" w:rsidR="00770B07" w:rsidRPr="00770B07" w:rsidRDefault="00770B07" w:rsidP="004327D7">
            <w:pPr>
              <w:jc w:val="center"/>
              <w:rPr>
                <w:rFonts w:cstheme="minorHAnsi"/>
                <w:sz w:val="24"/>
                <w:szCs w:val="24"/>
              </w:rPr>
            </w:pPr>
            <w:r w:rsidRPr="00770B07">
              <w:rPr>
                <w:rFonts w:cstheme="minorHAnsi"/>
                <w:b/>
                <w:sz w:val="24"/>
                <w:szCs w:val="24"/>
              </w:rPr>
              <w:t>Limitation</w:t>
            </w:r>
          </w:p>
        </w:tc>
        <w:tc>
          <w:tcPr>
            <w:tcW w:w="3260" w:type="dxa"/>
            <w:shd w:val="clear" w:color="auto" w:fill="D9EAF7"/>
            <w:vAlign w:val="center"/>
          </w:tcPr>
          <w:p w14:paraId="328E8D6B" w14:textId="77777777" w:rsidR="00770B07" w:rsidRPr="00770B07" w:rsidRDefault="00770B07" w:rsidP="004327D7">
            <w:pPr>
              <w:jc w:val="center"/>
              <w:rPr>
                <w:rFonts w:cstheme="minorHAnsi"/>
                <w:sz w:val="24"/>
                <w:szCs w:val="24"/>
              </w:rPr>
            </w:pPr>
            <w:r w:rsidRPr="00770B07">
              <w:rPr>
                <w:rFonts w:cstheme="minorHAnsi"/>
                <w:b/>
                <w:sz w:val="24"/>
                <w:szCs w:val="24"/>
              </w:rPr>
              <w:t>Nature of limitation</w:t>
            </w:r>
          </w:p>
        </w:tc>
        <w:tc>
          <w:tcPr>
            <w:tcW w:w="2977" w:type="dxa"/>
            <w:shd w:val="clear" w:color="auto" w:fill="D9EAF7"/>
            <w:vAlign w:val="center"/>
          </w:tcPr>
          <w:p w14:paraId="21D422D5" w14:textId="77777777" w:rsidR="00770B07" w:rsidRPr="00770B07" w:rsidRDefault="00770B07" w:rsidP="004327D7">
            <w:pPr>
              <w:jc w:val="center"/>
              <w:rPr>
                <w:rFonts w:cstheme="minorHAnsi"/>
                <w:sz w:val="24"/>
                <w:szCs w:val="24"/>
              </w:rPr>
            </w:pPr>
            <w:r w:rsidRPr="00770B07">
              <w:rPr>
                <w:rFonts w:cstheme="minorHAnsi"/>
                <w:b/>
                <w:sz w:val="24"/>
                <w:szCs w:val="24"/>
              </w:rPr>
              <w:t>Implication for interpretation</w:t>
            </w:r>
          </w:p>
        </w:tc>
        <w:tc>
          <w:tcPr>
            <w:tcW w:w="3131" w:type="dxa"/>
            <w:shd w:val="clear" w:color="auto" w:fill="D9EAF7"/>
            <w:vAlign w:val="center"/>
          </w:tcPr>
          <w:p w14:paraId="6248FA80" w14:textId="77777777" w:rsidR="00770B07" w:rsidRPr="00770B07" w:rsidRDefault="00770B07" w:rsidP="004327D7">
            <w:pPr>
              <w:jc w:val="center"/>
              <w:rPr>
                <w:rFonts w:cstheme="minorHAnsi"/>
                <w:sz w:val="24"/>
                <w:szCs w:val="24"/>
              </w:rPr>
            </w:pPr>
            <w:r w:rsidRPr="00770B07">
              <w:rPr>
                <w:rFonts w:cstheme="minorHAnsi"/>
                <w:b/>
                <w:sz w:val="24"/>
                <w:szCs w:val="24"/>
              </w:rPr>
              <w:t>Response in subsequent research</w:t>
            </w:r>
          </w:p>
        </w:tc>
      </w:tr>
      <w:tr w:rsidR="00770B07" w14:paraId="70B7A8E6" w14:textId="77777777" w:rsidTr="00770B07">
        <w:trPr>
          <w:jc w:val="center"/>
        </w:trPr>
        <w:tc>
          <w:tcPr>
            <w:tcW w:w="2689" w:type="dxa"/>
          </w:tcPr>
          <w:p w14:paraId="4D4BB96B" w14:textId="77777777" w:rsidR="00770B07" w:rsidRPr="00770B07" w:rsidRDefault="00770B07" w:rsidP="004327D7">
            <w:pPr>
              <w:spacing w:line="216" w:lineRule="auto"/>
              <w:rPr>
                <w:rFonts w:cstheme="minorHAnsi"/>
                <w:sz w:val="24"/>
                <w:szCs w:val="24"/>
              </w:rPr>
            </w:pPr>
            <w:r w:rsidRPr="00770B07">
              <w:rPr>
                <w:rFonts w:cstheme="minorHAnsi"/>
                <w:b/>
                <w:sz w:val="24"/>
                <w:szCs w:val="24"/>
              </w:rPr>
              <w:t>Literature-derived model</w:t>
            </w:r>
          </w:p>
        </w:tc>
        <w:tc>
          <w:tcPr>
            <w:tcW w:w="3260" w:type="dxa"/>
          </w:tcPr>
          <w:p w14:paraId="6D151456" w14:textId="77777777" w:rsidR="00770B07" w:rsidRPr="00770B07" w:rsidRDefault="00770B07" w:rsidP="004327D7">
            <w:pPr>
              <w:spacing w:line="216" w:lineRule="auto"/>
              <w:rPr>
                <w:rFonts w:cstheme="minorHAnsi"/>
                <w:sz w:val="24"/>
                <w:szCs w:val="24"/>
              </w:rPr>
            </w:pPr>
            <w:r w:rsidRPr="00770B07">
              <w:rPr>
                <w:rFonts w:cstheme="minorHAnsi"/>
                <w:sz w:val="24"/>
                <w:szCs w:val="24"/>
              </w:rPr>
              <w:t>The SGM is based on theoretical integration and systematic literature synthesis rather than direct empirical testing.</w:t>
            </w:r>
          </w:p>
        </w:tc>
        <w:tc>
          <w:tcPr>
            <w:tcW w:w="2977" w:type="dxa"/>
          </w:tcPr>
          <w:p w14:paraId="5CBA189B" w14:textId="1490BA84" w:rsidR="00770B07" w:rsidRPr="00770B07" w:rsidRDefault="009F4266" w:rsidP="004327D7">
            <w:pPr>
              <w:spacing w:line="216" w:lineRule="auto"/>
              <w:rPr>
                <w:rFonts w:cstheme="minorHAnsi"/>
                <w:sz w:val="24"/>
                <w:szCs w:val="24"/>
              </w:rPr>
            </w:pPr>
            <w:r>
              <w:rPr>
                <w:rFonts w:cstheme="minorHAnsi"/>
                <w:sz w:val="24"/>
                <w:szCs w:val="24"/>
              </w:rPr>
              <w:t>Treat the framework</w:t>
            </w:r>
            <w:r w:rsidR="00770B07" w:rsidRPr="00770B07">
              <w:rPr>
                <w:rFonts w:cstheme="minorHAnsi"/>
                <w:sz w:val="24"/>
                <w:szCs w:val="24"/>
              </w:rPr>
              <w:t xml:space="preserve"> as conceptual, not as a validated governance instrument.</w:t>
            </w:r>
          </w:p>
        </w:tc>
        <w:tc>
          <w:tcPr>
            <w:tcW w:w="3131" w:type="dxa"/>
          </w:tcPr>
          <w:p w14:paraId="6A4EEBC4" w14:textId="77777777" w:rsidR="00770B07" w:rsidRPr="00770B07" w:rsidRDefault="00770B07" w:rsidP="004327D7">
            <w:pPr>
              <w:spacing w:line="216" w:lineRule="auto"/>
              <w:rPr>
                <w:rFonts w:cstheme="minorHAnsi"/>
                <w:sz w:val="24"/>
                <w:szCs w:val="24"/>
              </w:rPr>
            </w:pPr>
            <w:r w:rsidRPr="00770B07">
              <w:rPr>
                <w:rFonts w:cstheme="minorHAnsi"/>
                <w:sz w:val="24"/>
                <w:szCs w:val="24"/>
              </w:rPr>
              <w:t>Empirically examine how the SGM is interpreted and enacted across cases.</w:t>
            </w:r>
          </w:p>
        </w:tc>
      </w:tr>
      <w:tr w:rsidR="00770B07" w14:paraId="52A8A915" w14:textId="77777777" w:rsidTr="00770B07">
        <w:trPr>
          <w:jc w:val="center"/>
        </w:trPr>
        <w:tc>
          <w:tcPr>
            <w:tcW w:w="2689" w:type="dxa"/>
          </w:tcPr>
          <w:p w14:paraId="50D77292" w14:textId="77777777" w:rsidR="00770B07" w:rsidRPr="00770B07" w:rsidRDefault="00770B07" w:rsidP="004327D7">
            <w:pPr>
              <w:spacing w:line="216" w:lineRule="auto"/>
              <w:rPr>
                <w:rFonts w:cstheme="minorHAnsi"/>
                <w:sz w:val="24"/>
                <w:szCs w:val="24"/>
              </w:rPr>
            </w:pPr>
            <w:r w:rsidRPr="00770B07">
              <w:rPr>
                <w:rFonts w:cstheme="minorHAnsi"/>
                <w:b/>
                <w:sz w:val="24"/>
                <w:szCs w:val="24"/>
              </w:rPr>
              <w:t>Contextual transferability</w:t>
            </w:r>
          </w:p>
        </w:tc>
        <w:tc>
          <w:tcPr>
            <w:tcW w:w="3260" w:type="dxa"/>
          </w:tcPr>
          <w:p w14:paraId="74531DFB" w14:textId="77777777" w:rsidR="00770B07" w:rsidRPr="00770B07" w:rsidRDefault="00770B07" w:rsidP="004327D7">
            <w:pPr>
              <w:spacing w:line="216" w:lineRule="auto"/>
              <w:rPr>
                <w:rFonts w:cstheme="minorHAnsi"/>
                <w:sz w:val="24"/>
                <w:szCs w:val="24"/>
              </w:rPr>
            </w:pPr>
            <w:r w:rsidRPr="00770B07">
              <w:rPr>
                <w:rFonts w:cstheme="minorHAnsi"/>
                <w:sz w:val="24"/>
                <w:szCs w:val="24"/>
              </w:rPr>
              <w:t>The model is designed for English public universities, while the evidence base includes studies from different national and institutional contexts.</w:t>
            </w:r>
          </w:p>
        </w:tc>
        <w:tc>
          <w:tcPr>
            <w:tcW w:w="2977" w:type="dxa"/>
          </w:tcPr>
          <w:p w14:paraId="33B2294F" w14:textId="5640B870" w:rsidR="00770B07" w:rsidRPr="00770B07" w:rsidRDefault="009F4266" w:rsidP="004327D7">
            <w:pPr>
              <w:spacing w:line="216" w:lineRule="auto"/>
              <w:rPr>
                <w:rFonts w:cstheme="minorHAnsi"/>
                <w:sz w:val="24"/>
                <w:szCs w:val="24"/>
              </w:rPr>
            </w:pPr>
            <w:r>
              <w:rPr>
                <w:rFonts w:cstheme="minorHAnsi"/>
                <w:sz w:val="24"/>
                <w:szCs w:val="24"/>
              </w:rPr>
              <w:t>Do not assume direct transfer of findings to English HEIs</w:t>
            </w:r>
            <w:r w:rsidR="00770B07" w:rsidRPr="00770B07">
              <w:rPr>
                <w:rFonts w:cstheme="minorHAnsi"/>
                <w:sz w:val="24"/>
                <w:szCs w:val="24"/>
              </w:rPr>
              <w:t>.</w:t>
            </w:r>
          </w:p>
        </w:tc>
        <w:tc>
          <w:tcPr>
            <w:tcW w:w="3131" w:type="dxa"/>
          </w:tcPr>
          <w:p w14:paraId="54E790BE" w14:textId="77777777" w:rsidR="00770B07" w:rsidRPr="00770B07" w:rsidRDefault="00770B07" w:rsidP="004327D7">
            <w:pPr>
              <w:spacing w:line="216" w:lineRule="auto"/>
              <w:rPr>
                <w:rFonts w:cstheme="minorHAnsi"/>
                <w:sz w:val="24"/>
                <w:szCs w:val="24"/>
              </w:rPr>
            </w:pPr>
            <w:r w:rsidRPr="00770B07">
              <w:rPr>
                <w:rFonts w:cstheme="minorHAnsi"/>
                <w:sz w:val="24"/>
                <w:szCs w:val="24"/>
              </w:rPr>
              <w:t>Investigate variation across English public universities with different institutional characteristics.</w:t>
            </w:r>
          </w:p>
        </w:tc>
      </w:tr>
      <w:tr w:rsidR="00770B07" w14:paraId="0372B8D7" w14:textId="77777777" w:rsidTr="00770B07">
        <w:trPr>
          <w:jc w:val="center"/>
        </w:trPr>
        <w:tc>
          <w:tcPr>
            <w:tcW w:w="2689" w:type="dxa"/>
          </w:tcPr>
          <w:p w14:paraId="2B6B5F39" w14:textId="77777777" w:rsidR="00770B07" w:rsidRPr="00770B07" w:rsidRDefault="00770B07" w:rsidP="004327D7">
            <w:pPr>
              <w:spacing w:line="216" w:lineRule="auto"/>
              <w:rPr>
                <w:rFonts w:cstheme="minorHAnsi"/>
                <w:sz w:val="24"/>
                <w:szCs w:val="24"/>
              </w:rPr>
            </w:pPr>
            <w:r w:rsidRPr="00770B07">
              <w:rPr>
                <w:rFonts w:cstheme="minorHAnsi"/>
                <w:b/>
                <w:sz w:val="24"/>
                <w:szCs w:val="24"/>
              </w:rPr>
              <w:t>Evidence design</w:t>
            </w:r>
          </w:p>
        </w:tc>
        <w:tc>
          <w:tcPr>
            <w:tcW w:w="3260" w:type="dxa"/>
          </w:tcPr>
          <w:p w14:paraId="5130EA51" w14:textId="77777777" w:rsidR="00770B07" w:rsidRPr="00770B07" w:rsidRDefault="00770B07" w:rsidP="004327D7">
            <w:pPr>
              <w:spacing w:line="216" w:lineRule="auto"/>
              <w:rPr>
                <w:rFonts w:cstheme="minorHAnsi"/>
                <w:sz w:val="24"/>
                <w:szCs w:val="24"/>
              </w:rPr>
            </w:pPr>
            <w:r w:rsidRPr="00770B07">
              <w:rPr>
                <w:rFonts w:cstheme="minorHAnsi"/>
                <w:sz w:val="24"/>
                <w:szCs w:val="24"/>
              </w:rPr>
              <w:t>The evidence base contains substantial conceptual and cross-sectional research.</w:t>
            </w:r>
          </w:p>
        </w:tc>
        <w:tc>
          <w:tcPr>
            <w:tcW w:w="2977" w:type="dxa"/>
          </w:tcPr>
          <w:p w14:paraId="5C9A12BF" w14:textId="77777777" w:rsidR="00770B07" w:rsidRPr="00770B07" w:rsidRDefault="00770B07" w:rsidP="004327D7">
            <w:pPr>
              <w:spacing w:line="216" w:lineRule="auto"/>
              <w:rPr>
                <w:rFonts w:cstheme="minorHAnsi"/>
                <w:sz w:val="24"/>
                <w:szCs w:val="24"/>
              </w:rPr>
            </w:pPr>
            <w:r w:rsidRPr="00770B07">
              <w:rPr>
                <w:rFonts w:cstheme="minorHAnsi"/>
                <w:sz w:val="24"/>
                <w:szCs w:val="24"/>
              </w:rPr>
              <w:t>Limited evidence explains how governance capability develops longitudinally.</w:t>
            </w:r>
          </w:p>
        </w:tc>
        <w:tc>
          <w:tcPr>
            <w:tcW w:w="3131" w:type="dxa"/>
          </w:tcPr>
          <w:p w14:paraId="1DCE03C1" w14:textId="77777777" w:rsidR="00770B07" w:rsidRPr="00770B07" w:rsidRDefault="00770B07" w:rsidP="004327D7">
            <w:pPr>
              <w:spacing w:line="216" w:lineRule="auto"/>
              <w:rPr>
                <w:rFonts w:cstheme="minorHAnsi"/>
                <w:sz w:val="24"/>
                <w:szCs w:val="24"/>
              </w:rPr>
            </w:pPr>
            <w:r w:rsidRPr="00770B07">
              <w:rPr>
                <w:rFonts w:cstheme="minorHAnsi"/>
                <w:sz w:val="24"/>
                <w:szCs w:val="24"/>
              </w:rPr>
              <w:t>Explore governance processes, change and adaptation through qualitative case evidence.</w:t>
            </w:r>
          </w:p>
        </w:tc>
      </w:tr>
      <w:tr w:rsidR="00770B07" w14:paraId="3A43BA11" w14:textId="77777777" w:rsidTr="00770B07">
        <w:trPr>
          <w:jc w:val="center"/>
        </w:trPr>
        <w:tc>
          <w:tcPr>
            <w:tcW w:w="2689" w:type="dxa"/>
          </w:tcPr>
          <w:p w14:paraId="6329CCA5" w14:textId="77777777" w:rsidR="00770B07" w:rsidRPr="00770B07" w:rsidRDefault="00770B07" w:rsidP="004327D7">
            <w:pPr>
              <w:spacing w:line="216" w:lineRule="auto"/>
              <w:rPr>
                <w:rFonts w:cstheme="minorHAnsi"/>
                <w:sz w:val="24"/>
                <w:szCs w:val="24"/>
              </w:rPr>
            </w:pPr>
            <w:r w:rsidRPr="00770B07">
              <w:rPr>
                <w:rFonts w:cstheme="minorHAnsi"/>
                <w:b/>
                <w:sz w:val="24"/>
                <w:szCs w:val="24"/>
              </w:rPr>
              <w:t>Stakeholder representation</w:t>
            </w:r>
          </w:p>
        </w:tc>
        <w:tc>
          <w:tcPr>
            <w:tcW w:w="3260" w:type="dxa"/>
          </w:tcPr>
          <w:p w14:paraId="559CCD27" w14:textId="77777777" w:rsidR="00770B07" w:rsidRPr="00770B07" w:rsidRDefault="00770B07" w:rsidP="004327D7">
            <w:pPr>
              <w:spacing w:line="216" w:lineRule="auto"/>
              <w:rPr>
                <w:rFonts w:cstheme="minorHAnsi"/>
                <w:sz w:val="24"/>
                <w:szCs w:val="24"/>
              </w:rPr>
            </w:pPr>
            <w:r w:rsidRPr="00770B07">
              <w:rPr>
                <w:rFonts w:cstheme="minorHAnsi"/>
                <w:sz w:val="24"/>
                <w:szCs w:val="24"/>
              </w:rPr>
              <w:t>Stakeholder perspectives are unevenly represented, particularly students and professional-services staff.</w:t>
            </w:r>
          </w:p>
        </w:tc>
        <w:tc>
          <w:tcPr>
            <w:tcW w:w="2977" w:type="dxa"/>
          </w:tcPr>
          <w:p w14:paraId="7B772AA1" w14:textId="324B067B" w:rsidR="00770B07" w:rsidRPr="00770B07" w:rsidRDefault="00770B07" w:rsidP="004327D7">
            <w:pPr>
              <w:spacing w:line="216" w:lineRule="auto"/>
              <w:rPr>
                <w:rFonts w:cstheme="minorHAnsi"/>
                <w:sz w:val="24"/>
                <w:szCs w:val="24"/>
              </w:rPr>
            </w:pPr>
            <w:r w:rsidRPr="00770B07">
              <w:rPr>
                <w:rFonts w:cstheme="minorHAnsi"/>
                <w:sz w:val="24"/>
                <w:szCs w:val="24"/>
              </w:rPr>
              <w:t xml:space="preserve">The literature may understate how </w:t>
            </w:r>
            <w:r w:rsidR="009F4266">
              <w:rPr>
                <w:rFonts w:cstheme="minorHAnsi"/>
                <w:sz w:val="24"/>
                <w:szCs w:val="24"/>
              </w:rPr>
              <w:t>affected groups experience governance</w:t>
            </w:r>
            <w:r w:rsidRPr="00770B07">
              <w:rPr>
                <w:rFonts w:cstheme="minorHAnsi"/>
                <w:sz w:val="24"/>
                <w:szCs w:val="24"/>
              </w:rPr>
              <w:t>.</w:t>
            </w:r>
          </w:p>
        </w:tc>
        <w:tc>
          <w:tcPr>
            <w:tcW w:w="3131" w:type="dxa"/>
          </w:tcPr>
          <w:p w14:paraId="25AB5E0C" w14:textId="77777777" w:rsidR="00770B07" w:rsidRPr="00770B07" w:rsidRDefault="00770B07" w:rsidP="004327D7">
            <w:pPr>
              <w:spacing w:line="216" w:lineRule="auto"/>
              <w:rPr>
                <w:rFonts w:cstheme="minorHAnsi"/>
                <w:sz w:val="24"/>
                <w:szCs w:val="24"/>
              </w:rPr>
            </w:pPr>
            <w:r w:rsidRPr="00770B07">
              <w:rPr>
                <w:rFonts w:cstheme="minorHAnsi"/>
                <w:sz w:val="24"/>
                <w:szCs w:val="24"/>
              </w:rPr>
              <w:t>Include multiple stakeholder groups in empirical data collection.</w:t>
            </w:r>
          </w:p>
        </w:tc>
      </w:tr>
      <w:tr w:rsidR="00770B07" w14:paraId="651434DC" w14:textId="77777777" w:rsidTr="00770B07">
        <w:trPr>
          <w:jc w:val="center"/>
        </w:trPr>
        <w:tc>
          <w:tcPr>
            <w:tcW w:w="2689" w:type="dxa"/>
          </w:tcPr>
          <w:p w14:paraId="5345F17F" w14:textId="77777777" w:rsidR="00770B07" w:rsidRPr="00770B07" w:rsidRDefault="00770B07" w:rsidP="004327D7">
            <w:pPr>
              <w:spacing w:line="216" w:lineRule="auto"/>
              <w:rPr>
                <w:rFonts w:cstheme="minorHAnsi"/>
                <w:sz w:val="24"/>
                <w:szCs w:val="24"/>
              </w:rPr>
            </w:pPr>
            <w:r w:rsidRPr="00770B07">
              <w:rPr>
                <w:rFonts w:cstheme="minorHAnsi"/>
                <w:b/>
                <w:sz w:val="24"/>
                <w:szCs w:val="24"/>
              </w:rPr>
              <w:t>Rapid technological and regulatory change</w:t>
            </w:r>
          </w:p>
        </w:tc>
        <w:tc>
          <w:tcPr>
            <w:tcW w:w="3260" w:type="dxa"/>
          </w:tcPr>
          <w:p w14:paraId="3D4E6E60" w14:textId="77777777" w:rsidR="00770B07" w:rsidRPr="00770B07" w:rsidRDefault="00770B07" w:rsidP="004327D7">
            <w:pPr>
              <w:spacing w:line="216" w:lineRule="auto"/>
              <w:rPr>
                <w:rFonts w:cstheme="minorHAnsi"/>
                <w:sz w:val="24"/>
                <w:szCs w:val="24"/>
              </w:rPr>
            </w:pPr>
            <w:r w:rsidRPr="00770B07">
              <w:rPr>
                <w:rFonts w:cstheme="minorHAnsi"/>
                <w:sz w:val="24"/>
                <w:szCs w:val="24"/>
              </w:rPr>
              <w:t>AI technologies, regulation and stakeholder expectations continue to evolve.</w:t>
            </w:r>
          </w:p>
        </w:tc>
        <w:tc>
          <w:tcPr>
            <w:tcW w:w="2977" w:type="dxa"/>
          </w:tcPr>
          <w:p w14:paraId="04ED3F88" w14:textId="77777777" w:rsidR="00770B07" w:rsidRPr="00770B07" w:rsidRDefault="00770B07" w:rsidP="004327D7">
            <w:pPr>
              <w:spacing w:line="216" w:lineRule="auto"/>
              <w:rPr>
                <w:rFonts w:cstheme="minorHAnsi"/>
                <w:sz w:val="24"/>
                <w:szCs w:val="24"/>
              </w:rPr>
            </w:pPr>
            <w:r w:rsidRPr="00770B07">
              <w:rPr>
                <w:rFonts w:cstheme="minorHAnsi"/>
                <w:sz w:val="24"/>
                <w:szCs w:val="24"/>
              </w:rPr>
              <w:t>Governance requirements identified in the review may change over time.</w:t>
            </w:r>
          </w:p>
        </w:tc>
        <w:tc>
          <w:tcPr>
            <w:tcW w:w="3131" w:type="dxa"/>
          </w:tcPr>
          <w:p w14:paraId="1CAAF20A" w14:textId="77777777" w:rsidR="00770B07" w:rsidRPr="00770B07" w:rsidRDefault="00770B07" w:rsidP="004327D7">
            <w:pPr>
              <w:spacing w:line="216" w:lineRule="auto"/>
              <w:rPr>
                <w:rFonts w:cstheme="minorHAnsi"/>
                <w:sz w:val="24"/>
                <w:szCs w:val="24"/>
              </w:rPr>
            </w:pPr>
            <w:r w:rsidRPr="00770B07">
              <w:rPr>
                <w:rFonts w:cstheme="minorHAnsi"/>
                <w:sz w:val="24"/>
                <w:szCs w:val="24"/>
              </w:rPr>
              <w:t>Examine adaptive governance and organisational learning as continuing processes.</w:t>
            </w:r>
          </w:p>
        </w:tc>
      </w:tr>
    </w:tbl>
    <w:p w14:paraId="026AA1B3" w14:textId="77777777" w:rsidR="00343609" w:rsidRPr="005C4B4D" w:rsidRDefault="00343609" w:rsidP="00770B07">
      <w:pPr>
        <w:pStyle w:val="Caption"/>
        <w:jc w:val="center"/>
        <w:rPr>
          <w:sz w:val="20"/>
          <w:szCs w:val="20"/>
        </w:rPr>
      </w:pPr>
      <w:r w:rsidRPr="005C4B4D">
        <w:rPr>
          <w:sz w:val="20"/>
          <w:szCs w:val="20"/>
        </w:rPr>
        <w:t xml:space="preserve">Table D8: Limitations of the literature-derived SGM and implications for empirical research </w:t>
      </w:r>
    </w:p>
    <w:p w14:paraId="579FBFFA" w14:textId="79DAEAC0" w:rsidR="00770B07" w:rsidRPr="005C4B4D" w:rsidRDefault="00770B07" w:rsidP="00770B07">
      <w:pPr>
        <w:pStyle w:val="Caption"/>
        <w:jc w:val="center"/>
        <w:rPr>
          <w:sz w:val="20"/>
          <w:szCs w:val="20"/>
        </w:rPr>
      </w:pPr>
      <w:r w:rsidRPr="005C4B4D">
        <w:rPr>
          <w:sz w:val="20"/>
          <w:szCs w:val="20"/>
        </w:rPr>
        <w:t xml:space="preserve">Source: Author’s own development, informed by </w:t>
      </w:r>
      <w:r w:rsidR="00415173" w:rsidRPr="005C4B4D">
        <w:rPr>
          <w:sz w:val="20"/>
          <w:szCs w:val="20"/>
        </w:rPr>
        <w:t>Boticario et al. (2023), Bond et al. (2024), Drisko (2025), Gomes</w:t>
      </w:r>
      <w:r w:rsidR="005C4B4D">
        <w:rPr>
          <w:sz w:val="20"/>
          <w:szCs w:val="20"/>
        </w:rPr>
        <w:t xml:space="preserve"> et al.</w:t>
      </w:r>
      <w:r w:rsidR="00415173" w:rsidRPr="005C4B4D">
        <w:rPr>
          <w:sz w:val="20"/>
          <w:szCs w:val="20"/>
        </w:rPr>
        <w:t xml:space="preserve"> (2025), </w:t>
      </w:r>
      <w:r w:rsidR="004B44BB">
        <w:rPr>
          <w:sz w:val="20"/>
          <w:szCs w:val="20"/>
        </w:rPr>
        <w:t xml:space="preserve">and </w:t>
      </w:r>
      <w:r w:rsidR="00415173" w:rsidRPr="005C4B4D">
        <w:rPr>
          <w:sz w:val="20"/>
          <w:szCs w:val="20"/>
        </w:rPr>
        <w:t>Jafari et al. (2025).</w:t>
      </w:r>
    </w:p>
    <w:p w14:paraId="2694BA54" w14:textId="77777777" w:rsidR="00770B07" w:rsidRDefault="00770B07" w:rsidP="00770B07">
      <w:pPr>
        <w:rPr>
          <w:rFonts w:ascii="Calibri" w:hAnsi="Calibri" w:cs="Calibri"/>
          <w:iCs/>
        </w:rPr>
      </w:pPr>
    </w:p>
    <w:p w14:paraId="109F9BFD" w14:textId="77777777" w:rsidR="00EC78A6" w:rsidRDefault="00EC78A6" w:rsidP="008631BA">
      <w:pPr>
        <w:rPr>
          <w:rFonts w:ascii="Calibri" w:hAnsi="Calibri" w:cs="Calibri"/>
          <w:iCs/>
        </w:rPr>
      </w:pPr>
    </w:p>
    <w:p w14:paraId="087AF8E8" w14:textId="77777777" w:rsidR="00EC78A6" w:rsidRDefault="00EC78A6" w:rsidP="008631BA">
      <w:pPr>
        <w:rPr>
          <w:rFonts w:ascii="Calibri" w:hAnsi="Calibri" w:cs="Calibri"/>
          <w:iCs/>
        </w:rPr>
      </w:pPr>
    </w:p>
    <w:p w14:paraId="25EDFFDB" w14:textId="0DE2DBE4" w:rsidR="003D52C5" w:rsidRPr="00766400" w:rsidRDefault="003D52C5" w:rsidP="003D52C5">
      <w:pPr>
        <w:pStyle w:val="Heading1"/>
      </w:pPr>
      <w:bookmarkStart w:id="532" w:name="_Toc237383520"/>
      <w:bookmarkStart w:id="533" w:name="_Toc237384355"/>
      <w:bookmarkStart w:id="534" w:name="_Toc237385075"/>
      <w:bookmarkStart w:id="535" w:name="_Toc237445098"/>
      <w:r w:rsidRPr="00766400">
        <w:t xml:space="preserve">Appendix E: </w:t>
      </w:r>
      <w:r w:rsidR="0028539F">
        <w:t>DOI</w:t>
      </w:r>
      <w:r w:rsidRPr="00766400">
        <w:t>-Referenced Literature and Relevance to the Study</w:t>
      </w:r>
      <w:bookmarkEnd w:id="532"/>
      <w:bookmarkEnd w:id="533"/>
      <w:bookmarkEnd w:id="534"/>
      <w:bookmarkEnd w:id="535"/>
    </w:p>
    <w:p w14:paraId="7D21D429" w14:textId="77777777" w:rsidR="003D52C5" w:rsidRDefault="003D52C5" w:rsidP="003D52C5">
      <w:pPr>
        <w:spacing w:after="100"/>
      </w:pPr>
    </w:p>
    <w:tbl>
      <w:tblPr>
        <w:tblStyle w:val="TableGrid"/>
        <w:tblW w:w="0" w:type="auto"/>
        <w:jc w:val="center"/>
        <w:tblLayout w:type="fixed"/>
        <w:tblLook w:val="04A0" w:firstRow="1" w:lastRow="0" w:firstColumn="1" w:lastColumn="0" w:noHBand="0" w:noVBand="1"/>
      </w:tblPr>
      <w:tblGrid>
        <w:gridCol w:w="576"/>
        <w:gridCol w:w="7848"/>
        <w:gridCol w:w="792"/>
        <w:gridCol w:w="3528"/>
        <w:gridCol w:w="3384"/>
      </w:tblGrid>
      <w:tr w:rsidR="003D52C5" w14:paraId="3645B829" w14:textId="77777777" w:rsidTr="00316D81">
        <w:trPr>
          <w:tblHeader/>
          <w:jc w:val="center"/>
        </w:trPr>
        <w:tc>
          <w:tcPr>
            <w:tcW w:w="576" w:type="dxa"/>
            <w:shd w:val="clear" w:color="auto" w:fill="D9EAF7"/>
            <w:vAlign w:val="center"/>
          </w:tcPr>
          <w:p w14:paraId="15D512EC" w14:textId="77777777" w:rsidR="003D52C5" w:rsidRDefault="003D52C5" w:rsidP="00316D81">
            <w:pPr>
              <w:jc w:val="center"/>
            </w:pPr>
            <w:r>
              <w:rPr>
                <w:rFonts w:ascii="Arial" w:hAnsi="Arial"/>
                <w:b/>
                <w:sz w:val="16"/>
              </w:rPr>
              <w:t>No.</w:t>
            </w:r>
          </w:p>
        </w:tc>
        <w:tc>
          <w:tcPr>
            <w:tcW w:w="7848" w:type="dxa"/>
            <w:shd w:val="clear" w:color="auto" w:fill="D9EAF7"/>
            <w:vAlign w:val="center"/>
          </w:tcPr>
          <w:p w14:paraId="2A439C1C" w14:textId="77777777" w:rsidR="003D52C5" w:rsidRDefault="003D52C5" w:rsidP="00316D81">
            <w:pPr>
              <w:jc w:val="center"/>
            </w:pPr>
            <w:r>
              <w:rPr>
                <w:rFonts w:ascii="Arial" w:hAnsi="Arial"/>
                <w:b/>
                <w:sz w:val="16"/>
              </w:rPr>
              <w:t>Full reference</w:t>
            </w:r>
          </w:p>
        </w:tc>
        <w:tc>
          <w:tcPr>
            <w:tcW w:w="792" w:type="dxa"/>
            <w:shd w:val="clear" w:color="auto" w:fill="D9EAF7"/>
            <w:vAlign w:val="center"/>
          </w:tcPr>
          <w:p w14:paraId="7EC8B6BC" w14:textId="77777777" w:rsidR="003D52C5" w:rsidRDefault="003D52C5" w:rsidP="00316D81">
            <w:pPr>
              <w:jc w:val="center"/>
            </w:pPr>
            <w:r>
              <w:rPr>
                <w:rFonts w:ascii="Arial" w:hAnsi="Arial"/>
                <w:b/>
                <w:sz w:val="16"/>
              </w:rPr>
              <w:t>Year</w:t>
            </w:r>
          </w:p>
        </w:tc>
        <w:tc>
          <w:tcPr>
            <w:tcW w:w="3528" w:type="dxa"/>
            <w:shd w:val="clear" w:color="auto" w:fill="D9EAF7"/>
            <w:vAlign w:val="center"/>
          </w:tcPr>
          <w:p w14:paraId="75173EF5" w14:textId="5A69E93C" w:rsidR="003D52C5" w:rsidRDefault="0028539F" w:rsidP="00316D81">
            <w:pPr>
              <w:jc w:val="center"/>
            </w:pPr>
            <w:r>
              <w:rPr>
                <w:rFonts w:ascii="Arial" w:hAnsi="Arial"/>
                <w:b/>
                <w:sz w:val="16"/>
              </w:rPr>
              <w:t>DOI</w:t>
            </w:r>
          </w:p>
        </w:tc>
        <w:tc>
          <w:tcPr>
            <w:tcW w:w="3384" w:type="dxa"/>
            <w:shd w:val="clear" w:color="auto" w:fill="D9EAF7"/>
            <w:vAlign w:val="center"/>
          </w:tcPr>
          <w:p w14:paraId="17D7362A" w14:textId="77777777" w:rsidR="003D52C5" w:rsidRDefault="003D52C5" w:rsidP="00316D81">
            <w:pPr>
              <w:jc w:val="center"/>
            </w:pPr>
            <w:r>
              <w:rPr>
                <w:rFonts w:ascii="Arial" w:hAnsi="Arial"/>
                <w:b/>
                <w:sz w:val="16"/>
              </w:rPr>
              <w:t>Relevance to study</w:t>
            </w:r>
          </w:p>
        </w:tc>
      </w:tr>
      <w:tr w:rsidR="003D52C5" w14:paraId="3D51AF02" w14:textId="77777777" w:rsidTr="00316D81">
        <w:trPr>
          <w:jc w:val="center"/>
        </w:trPr>
        <w:tc>
          <w:tcPr>
            <w:tcW w:w="576" w:type="dxa"/>
          </w:tcPr>
          <w:p w14:paraId="2BB6BAA3" w14:textId="77777777" w:rsidR="003D52C5" w:rsidRDefault="003D52C5" w:rsidP="00316D81">
            <w:pPr>
              <w:jc w:val="center"/>
            </w:pPr>
            <w:r>
              <w:rPr>
                <w:rFonts w:ascii="Arial" w:hAnsi="Arial"/>
                <w:sz w:val="15"/>
              </w:rPr>
              <w:t>1</w:t>
            </w:r>
          </w:p>
        </w:tc>
        <w:tc>
          <w:tcPr>
            <w:tcW w:w="7848" w:type="dxa"/>
          </w:tcPr>
          <w:p w14:paraId="1C22CC78" w14:textId="76FC79D5" w:rsidR="003D52C5" w:rsidRDefault="003D52C5" w:rsidP="00316D81">
            <w:r>
              <w:rPr>
                <w:rFonts w:ascii="Arial" w:hAnsi="Arial"/>
                <w:sz w:val="14"/>
              </w:rPr>
              <w:t xml:space="preserve">Abdullah, Z. </w:t>
            </w:r>
            <w:r w:rsidR="00D82198">
              <w:rPr>
                <w:rFonts w:ascii="Arial" w:hAnsi="Arial"/>
                <w:sz w:val="14"/>
              </w:rPr>
              <w:t>and</w:t>
            </w:r>
            <w:r>
              <w:rPr>
                <w:rFonts w:ascii="Arial" w:hAnsi="Arial"/>
                <w:sz w:val="14"/>
              </w:rPr>
              <w:t xml:space="preserve"> Jiang, X. (2026). ‘AI-enabled governance in higher education: a systematic review of applications, outcomes, and emerging implications’. Frontiers in Education, 11, 1856440. </w:t>
            </w:r>
            <w:r w:rsidR="0028539F">
              <w:rPr>
                <w:rFonts w:ascii="Arial" w:hAnsi="Arial"/>
                <w:sz w:val="14"/>
              </w:rPr>
              <w:t>DOI</w:t>
            </w:r>
            <w:r>
              <w:rPr>
                <w:rFonts w:ascii="Arial" w:hAnsi="Arial"/>
                <w:sz w:val="14"/>
              </w:rPr>
              <w:t>: 10.3389/feduc.2026.1856440.</w:t>
            </w:r>
          </w:p>
        </w:tc>
        <w:tc>
          <w:tcPr>
            <w:tcW w:w="792" w:type="dxa"/>
          </w:tcPr>
          <w:p w14:paraId="7E0AD57B" w14:textId="77777777" w:rsidR="003D52C5" w:rsidRDefault="003D52C5" w:rsidP="00316D81">
            <w:pPr>
              <w:jc w:val="center"/>
            </w:pPr>
            <w:r>
              <w:rPr>
                <w:rFonts w:ascii="Arial" w:hAnsi="Arial"/>
                <w:sz w:val="15"/>
              </w:rPr>
              <w:t>2026</w:t>
            </w:r>
          </w:p>
        </w:tc>
        <w:tc>
          <w:tcPr>
            <w:tcW w:w="3528" w:type="dxa"/>
          </w:tcPr>
          <w:p w14:paraId="00ACD13D" w14:textId="77777777" w:rsidR="003D52C5" w:rsidRDefault="003D52C5" w:rsidP="00316D81">
            <w:r>
              <w:rPr>
                <w:rFonts w:ascii="Arial" w:hAnsi="Arial"/>
                <w:sz w:val="14"/>
              </w:rPr>
              <w:t>10.3389/feduc.2026.1856440</w:t>
            </w:r>
          </w:p>
        </w:tc>
        <w:tc>
          <w:tcPr>
            <w:tcW w:w="3384" w:type="dxa"/>
          </w:tcPr>
          <w:p w14:paraId="00E3C6E3"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26D41F72" w14:textId="77777777" w:rsidTr="00316D81">
        <w:trPr>
          <w:jc w:val="center"/>
        </w:trPr>
        <w:tc>
          <w:tcPr>
            <w:tcW w:w="576" w:type="dxa"/>
          </w:tcPr>
          <w:p w14:paraId="01B3BC14" w14:textId="77777777" w:rsidR="003D52C5" w:rsidRDefault="003D52C5" w:rsidP="00316D81">
            <w:pPr>
              <w:jc w:val="center"/>
            </w:pPr>
            <w:r>
              <w:rPr>
                <w:rFonts w:ascii="Arial" w:hAnsi="Arial"/>
                <w:sz w:val="15"/>
              </w:rPr>
              <w:t>2</w:t>
            </w:r>
          </w:p>
        </w:tc>
        <w:tc>
          <w:tcPr>
            <w:tcW w:w="7848" w:type="dxa"/>
          </w:tcPr>
          <w:p w14:paraId="6742F60C" w14:textId="684742D6" w:rsidR="003D52C5" w:rsidRDefault="003D52C5" w:rsidP="00316D81">
            <w:r>
              <w:rPr>
                <w:rFonts w:ascii="Arial" w:hAnsi="Arial"/>
                <w:sz w:val="14"/>
              </w:rPr>
              <w:t xml:space="preserve">Akbarighatar, P. (2025). ‘Operationalising responsible AI principles through responsible AI capabilities’. AI and Ethics, 5, pp. 3661–3677. </w:t>
            </w:r>
            <w:r w:rsidR="0028539F">
              <w:rPr>
                <w:rFonts w:ascii="Arial" w:hAnsi="Arial"/>
                <w:sz w:val="14"/>
              </w:rPr>
              <w:t>DOI</w:t>
            </w:r>
            <w:r>
              <w:rPr>
                <w:rFonts w:ascii="Arial" w:hAnsi="Arial"/>
                <w:sz w:val="14"/>
              </w:rPr>
              <w:t>: 10.1007/s43681-024-00524-4.</w:t>
            </w:r>
          </w:p>
        </w:tc>
        <w:tc>
          <w:tcPr>
            <w:tcW w:w="792" w:type="dxa"/>
          </w:tcPr>
          <w:p w14:paraId="0EE61FB4" w14:textId="77777777" w:rsidR="003D52C5" w:rsidRDefault="003D52C5" w:rsidP="00316D81">
            <w:pPr>
              <w:jc w:val="center"/>
            </w:pPr>
            <w:r>
              <w:rPr>
                <w:rFonts w:ascii="Arial" w:hAnsi="Arial"/>
                <w:sz w:val="15"/>
              </w:rPr>
              <w:t>2025</w:t>
            </w:r>
          </w:p>
        </w:tc>
        <w:tc>
          <w:tcPr>
            <w:tcW w:w="3528" w:type="dxa"/>
          </w:tcPr>
          <w:p w14:paraId="2D5AF1BE" w14:textId="77777777" w:rsidR="003D52C5" w:rsidRDefault="003D52C5" w:rsidP="00316D81">
            <w:r>
              <w:rPr>
                <w:rFonts w:ascii="Arial" w:hAnsi="Arial"/>
                <w:sz w:val="14"/>
              </w:rPr>
              <w:t>10.1007/s43681-024-00524-4</w:t>
            </w:r>
          </w:p>
        </w:tc>
        <w:tc>
          <w:tcPr>
            <w:tcW w:w="3384" w:type="dxa"/>
          </w:tcPr>
          <w:p w14:paraId="14F8C617"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55DF5FFC" w14:textId="77777777" w:rsidTr="00316D81">
        <w:trPr>
          <w:jc w:val="center"/>
        </w:trPr>
        <w:tc>
          <w:tcPr>
            <w:tcW w:w="576" w:type="dxa"/>
          </w:tcPr>
          <w:p w14:paraId="32C73002" w14:textId="77777777" w:rsidR="003D52C5" w:rsidRDefault="003D52C5" w:rsidP="00316D81">
            <w:pPr>
              <w:jc w:val="center"/>
            </w:pPr>
            <w:r>
              <w:rPr>
                <w:rFonts w:ascii="Arial" w:hAnsi="Arial"/>
                <w:sz w:val="15"/>
              </w:rPr>
              <w:t>3</w:t>
            </w:r>
          </w:p>
        </w:tc>
        <w:tc>
          <w:tcPr>
            <w:tcW w:w="7848" w:type="dxa"/>
          </w:tcPr>
          <w:p w14:paraId="1E897D2B" w14:textId="6410DC9A" w:rsidR="003D52C5" w:rsidRDefault="003D52C5" w:rsidP="00316D81">
            <w:r>
              <w:rPr>
                <w:rFonts w:ascii="Arial" w:hAnsi="Arial"/>
                <w:sz w:val="14"/>
              </w:rPr>
              <w:t xml:space="preserve">Al-Ababneh, M. (2020). ‘Linking ontology, epistemology and research methodology’, Science &amp; Philosophy, 8(1), pp. 75–91. </w:t>
            </w:r>
            <w:r w:rsidR="0028539F">
              <w:rPr>
                <w:rFonts w:ascii="Arial" w:hAnsi="Arial"/>
                <w:sz w:val="14"/>
              </w:rPr>
              <w:t>DOI</w:t>
            </w:r>
            <w:r>
              <w:rPr>
                <w:rFonts w:ascii="Arial" w:hAnsi="Arial"/>
                <w:sz w:val="14"/>
              </w:rPr>
              <w:t>: 10.23756/sp.v8i1.500.</w:t>
            </w:r>
          </w:p>
        </w:tc>
        <w:tc>
          <w:tcPr>
            <w:tcW w:w="792" w:type="dxa"/>
          </w:tcPr>
          <w:p w14:paraId="1B939631" w14:textId="77777777" w:rsidR="003D52C5" w:rsidRDefault="003D52C5" w:rsidP="00316D81">
            <w:pPr>
              <w:jc w:val="center"/>
            </w:pPr>
            <w:r>
              <w:rPr>
                <w:rFonts w:ascii="Arial" w:hAnsi="Arial"/>
                <w:sz w:val="15"/>
              </w:rPr>
              <w:t>2020</w:t>
            </w:r>
          </w:p>
        </w:tc>
        <w:tc>
          <w:tcPr>
            <w:tcW w:w="3528" w:type="dxa"/>
          </w:tcPr>
          <w:p w14:paraId="07F598CA" w14:textId="77777777" w:rsidR="003D52C5" w:rsidRDefault="003D52C5" w:rsidP="00316D81">
            <w:r>
              <w:rPr>
                <w:rFonts w:ascii="Arial" w:hAnsi="Arial"/>
                <w:sz w:val="14"/>
              </w:rPr>
              <w:t>10.23756/sp.v8i1.500</w:t>
            </w:r>
          </w:p>
        </w:tc>
        <w:tc>
          <w:tcPr>
            <w:tcW w:w="3384" w:type="dxa"/>
          </w:tcPr>
          <w:p w14:paraId="73F33FB1"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27B53260" w14:textId="77777777" w:rsidTr="00316D81">
        <w:trPr>
          <w:jc w:val="center"/>
        </w:trPr>
        <w:tc>
          <w:tcPr>
            <w:tcW w:w="576" w:type="dxa"/>
          </w:tcPr>
          <w:p w14:paraId="75723BF5" w14:textId="77777777" w:rsidR="003D52C5" w:rsidRDefault="003D52C5" w:rsidP="00316D81">
            <w:pPr>
              <w:jc w:val="center"/>
            </w:pPr>
            <w:r>
              <w:rPr>
                <w:rFonts w:ascii="Arial" w:hAnsi="Arial"/>
                <w:sz w:val="15"/>
              </w:rPr>
              <w:t>4</w:t>
            </w:r>
          </w:p>
        </w:tc>
        <w:tc>
          <w:tcPr>
            <w:tcW w:w="7848" w:type="dxa"/>
          </w:tcPr>
          <w:p w14:paraId="3A73180C" w14:textId="77C91AC1" w:rsidR="003D52C5" w:rsidRDefault="003D52C5" w:rsidP="00316D81">
            <w:r>
              <w:rPr>
                <w:rFonts w:ascii="Arial" w:hAnsi="Arial"/>
                <w:sz w:val="14"/>
              </w:rPr>
              <w:t xml:space="preserve">Alfredo, R., Jin, Y., Echeverria, V., Yan, L., Zhao, L., Tsai, S., Gasevic, D. &amp; Martinez-Maldonado, R. (2024). ‘FATE in MMLA: A Student-Centred Exploration of Fairness, Accountability, Transparency, and Ethics in Multimodal Learning Analytics’, Journal of Learning Analytics, 11(3), pp. 6–23. </w:t>
            </w:r>
            <w:r w:rsidR="0028539F">
              <w:rPr>
                <w:rFonts w:ascii="Arial" w:hAnsi="Arial"/>
                <w:sz w:val="14"/>
              </w:rPr>
              <w:t>DOI</w:t>
            </w:r>
            <w:r>
              <w:rPr>
                <w:rFonts w:ascii="Arial" w:hAnsi="Arial"/>
                <w:sz w:val="14"/>
              </w:rPr>
              <w:t>: 10.18608/jla.2024.8351</w:t>
            </w:r>
          </w:p>
        </w:tc>
        <w:tc>
          <w:tcPr>
            <w:tcW w:w="792" w:type="dxa"/>
          </w:tcPr>
          <w:p w14:paraId="6C6E4984" w14:textId="77777777" w:rsidR="003D52C5" w:rsidRDefault="003D52C5" w:rsidP="00316D81">
            <w:pPr>
              <w:jc w:val="center"/>
            </w:pPr>
            <w:r>
              <w:rPr>
                <w:rFonts w:ascii="Arial" w:hAnsi="Arial"/>
                <w:sz w:val="15"/>
              </w:rPr>
              <w:t>2024</w:t>
            </w:r>
          </w:p>
        </w:tc>
        <w:tc>
          <w:tcPr>
            <w:tcW w:w="3528" w:type="dxa"/>
          </w:tcPr>
          <w:p w14:paraId="5E073FE4" w14:textId="77777777" w:rsidR="003D52C5" w:rsidRDefault="003D52C5" w:rsidP="00316D81">
            <w:r>
              <w:rPr>
                <w:rFonts w:ascii="Arial" w:hAnsi="Arial"/>
                <w:sz w:val="14"/>
              </w:rPr>
              <w:t>10.18608/jla.2024.8351</w:t>
            </w:r>
          </w:p>
        </w:tc>
        <w:tc>
          <w:tcPr>
            <w:tcW w:w="3384" w:type="dxa"/>
          </w:tcPr>
          <w:p w14:paraId="572B003E"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22888237" w14:textId="77777777" w:rsidTr="00316D81">
        <w:trPr>
          <w:jc w:val="center"/>
        </w:trPr>
        <w:tc>
          <w:tcPr>
            <w:tcW w:w="576" w:type="dxa"/>
          </w:tcPr>
          <w:p w14:paraId="6D5A5D45" w14:textId="77777777" w:rsidR="003D52C5" w:rsidRDefault="003D52C5" w:rsidP="00316D81">
            <w:pPr>
              <w:jc w:val="center"/>
            </w:pPr>
            <w:r>
              <w:rPr>
                <w:rFonts w:ascii="Arial" w:hAnsi="Arial"/>
                <w:sz w:val="15"/>
              </w:rPr>
              <w:t>5</w:t>
            </w:r>
          </w:p>
        </w:tc>
        <w:tc>
          <w:tcPr>
            <w:tcW w:w="7848" w:type="dxa"/>
          </w:tcPr>
          <w:p w14:paraId="3EB91C73" w14:textId="199647AA" w:rsidR="003D52C5" w:rsidRDefault="003D52C5" w:rsidP="00316D81">
            <w:r>
              <w:rPr>
                <w:rFonts w:ascii="Arial" w:hAnsi="Arial"/>
                <w:sz w:val="14"/>
              </w:rPr>
              <w:t xml:space="preserve">Alfiras, M., Bozkurt, A., Alharbi, N., Alshurafa, N., &amp; Al-Hawamdeh, N. (2025). ‘Ethics and governance of generative AI in education: A systematic review’. Discover Education, 5, 37. </w:t>
            </w:r>
            <w:r w:rsidR="0028539F">
              <w:rPr>
                <w:rFonts w:ascii="Arial" w:hAnsi="Arial"/>
                <w:sz w:val="14"/>
              </w:rPr>
              <w:t>DOI</w:t>
            </w:r>
            <w:r>
              <w:rPr>
                <w:rFonts w:ascii="Arial" w:hAnsi="Arial"/>
                <w:sz w:val="14"/>
              </w:rPr>
              <w:t>: 10.1007/s44217-025-01051-y.</w:t>
            </w:r>
          </w:p>
        </w:tc>
        <w:tc>
          <w:tcPr>
            <w:tcW w:w="792" w:type="dxa"/>
          </w:tcPr>
          <w:p w14:paraId="5E852F55" w14:textId="77777777" w:rsidR="003D52C5" w:rsidRDefault="003D52C5" w:rsidP="00316D81">
            <w:pPr>
              <w:jc w:val="center"/>
            </w:pPr>
            <w:r>
              <w:rPr>
                <w:rFonts w:ascii="Arial" w:hAnsi="Arial"/>
                <w:sz w:val="15"/>
              </w:rPr>
              <w:t>2025</w:t>
            </w:r>
          </w:p>
        </w:tc>
        <w:tc>
          <w:tcPr>
            <w:tcW w:w="3528" w:type="dxa"/>
          </w:tcPr>
          <w:p w14:paraId="3675BBA0" w14:textId="77777777" w:rsidR="003D52C5" w:rsidRDefault="003D52C5" w:rsidP="00316D81">
            <w:r>
              <w:rPr>
                <w:rFonts w:ascii="Arial" w:hAnsi="Arial"/>
                <w:sz w:val="14"/>
              </w:rPr>
              <w:t>10.1007/s44217-025-01051-y</w:t>
            </w:r>
          </w:p>
        </w:tc>
        <w:tc>
          <w:tcPr>
            <w:tcW w:w="3384" w:type="dxa"/>
          </w:tcPr>
          <w:p w14:paraId="5DABCA9B"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6B36B4B6" w14:textId="77777777" w:rsidTr="00316D81">
        <w:trPr>
          <w:jc w:val="center"/>
        </w:trPr>
        <w:tc>
          <w:tcPr>
            <w:tcW w:w="576" w:type="dxa"/>
          </w:tcPr>
          <w:p w14:paraId="69F82CA7" w14:textId="77777777" w:rsidR="003D52C5" w:rsidRDefault="003D52C5" w:rsidP="00316D81">
            <w:pPr>
              <w:jc w:val="center"/>
            </w:pPr>
            <w:r>
              <w:rPr>
                <w:rFonts w:ascii="Arial" w:hAnsi="Arial"/>
                <w:sz w:val="15"/>
              </w:rPr>
              <w:t>6</w:t>
            </w:r>
          </w:p>
        </w:tc>
        <w:tc>
          <w:tcPr>
            <w:tcW w:w="7848" w:type="dxa"/>
          </w:tcPr>
          <w:p w14:paraId="70D5F71B" w14:textId="25C2DF32" w:rsidR="003D52C5" w:rsidRDefault="003D52C5" w:rsidP="00316D81">
            <w:r>
              <w:rPr>
                <w:rFonts w:ascii="Arial" w:hAnsi="Arial"/>
                <w:sz w:val="14"/>
              </w:rPr>
              <w:t xml:space="preserve">Alhumud, T. (2026). ‘Integration of artificial intelligence applications in the management of higher education institutions: A critical review of the literature and emerging practices to enhance institutional efficiency and digital governance’, Research Journal in Advanced Humanities. </w:t>
            </w:r>
            <w:r w:rsidR="0028539F">
              <w:rPr>
                <w:rFonts w:ascii="Arial" w:hAnsi="Arial"/>
                <w:sz w:val="14"/>
              </w:rPr>
              <w:t>DOI</w:t>
            </w:r>
            <w:r>
              <w:rPr>
                <w:rFonts w:ascii="Arial" w:hAnsi="Arial"/>
                <w:sz w:val="14"/>
              </w:rPr>
              <w:t>: 10.58256/fcrd3d96.</w:t>
            </w:r>
          </w:p>
        </w:tc>
        <w:tc>
          <w:tcPr>
            <w:tcW w:w="792" w:type="dxa"/>
          </w:tcPr>
          <w:p w14:paraId="5B75AAFD" w14:textId="77777777" w:rsidR="003D52C5" w:rsidRDefault="003D52C5" w:rsidP="00316D81">
            <w:pPr>
              <w:jc w:val="center"/>
            </w:pPr>
            <w:r>
              <w:rPr>
                <w:rFonts w:ascii="Arial" w:hAnsi="Arial"/>
                <w:sz w:val="15"/>
              </w:rPr>
              <w:t>2026</w:t>
            </w:r>
          </w:p>
        </w:tc>
        <w:tc>
          <w:tcPr>
            <w:tcW w:w="3528" w:type="dxa"/>
          </w:tcPr>
          <w:p w14:paraId="4C2D8034" w14:textId="77777777" w:rsidR="003D52C5" w:rsidRDefault="003D52C5" w:rsidP="00316D81">
            <w:r>
              <w:rPr>
                <w:rFonts w:ascii="Arial" w:hAnsi="Arial"/>
                <w:sz w:val="14"/>
              </w:rPr>
              <w:t>10.58256/fcrd3d96</w:t>
            </w:r>
          </w:p>
        </w:tc>
        <w:tc>
          <w:tcPr>
            <w:tcW w:w="3384" w:type="dxa"/>
          </w:tcPr>
          <w:p w14:paraId="089C31FF"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01AD23E1" w14:textId="77777777" w:rsidTr="00316D81">
        <w:trPr>
          <w:jc w:val="center"/>
        </w:trPr>
        <w:tc>
          <w:tcPr>
            <w:tcW w:w="576" w:type="dxa"/>
          </w:tcPr>
          <w:p w14:paraId="2CBFA959" w14:textId="77777777" w:rsidR="003D52C5" w:rsidRDefault="003D52C5" w:rsidP="00316D81">
            <w:pPr>
              <w:jc w:val="center"/>
            </w:pPr>
            <w:r>
              <w:rPr>
                <w:rFonts w:ascii="Arial" w:hAnsi="Arial"/>
                <w:sz w:val="15"/>
              </w:rPr>
              <w:t>7</w:t>
            </w:r>
          </w:p>
        </w:tc>
        <w:tc>
          <w:tcPr>
            <w:tcW w:w="7848" w:type="dxa"/>
          </w:tcPr>
          <w:p w14:paraId="4FD07F4B" w14:textId="3F36D6AC" w:rsidR="003D52C5" w:rsidRDefault="003D52C5" w:rsidP="00316D81">
            <w:r>
              <w:rPr>
                <w:rFonts w:ascii="Arial" w:hAnsi="Arial"/>
                <w:sz w:val="14"/>
              </w:rPr>
              <w:t xml:space="preserve">An, Y., Yu, J., </w:t>
            </w:r>
            <w:r w:rsidR="00D82198">
              <w:rPr>
                <w:rFonts w:ascii="Arial" w:hAnsi="Arial"/>
                <w:sz w:val="14"/>
              </w:rPr>
              <w:t>and</w:t>
            </w:r>
            <w:r>
              <w:rPr>
                <w:rFonts w:ascii="Arial" w:hAnsi="Arial"/>
                <w:sz w:val="14"/>
              </w:rPr>
              <w:t xml:space="preserve"> James, S. (2025). ‘Investigating the higher education institutions’ guidelines and policies regarding the use of generative AI in teaching, learning, research, and administration’. International Journal of Educational Technology in Higher Education, 22, 10. </w:t>
            </w:r>
            <w:r w:rsidR="0028539F">
              <w:rPr>
                <w:rFonts w:ascii="Arial" w:hAnsi="Arial"/>
                <w:sz w:val="14"/>
              </w:rPr>
              <w:t>DOI</w:t>
            </w:r>
            <w:r>
              <w:rPr>
                <w:rFonts w:ascii="Arial" w:hAnsi="Arial"/>
                <w:sz w:val="14"/>
              </w:rPr>
              <w:t>: 10.1186/s41239-025-00507-3.</w:t>
            </w:r>
          </w:p>
        </w:tc>
        <w:tc>
          <w:tcPr>
            <w:tcW w:w="792" w:type="dxa"/>
          </w:tcPr>
          <w:p w14:paraId="0CB0306C" w14:textId="77777777" w:rsidR="003D52C5" w:rsidRDefault="003D52C5" w:rsidP="00316D81">
            <w:pPr>
              <w:jc w:val="center"/>
            </w:pPr>
            <w:r>
              <w:rPr>
                <w:rFonts w:ascii="Arial" w:hAnsi="Arial"/>
                <w:sz w:val="15"/>
              </w:rPr>
              <w:t>2025</w:t>
            </w:r>
          </w:p>
        </w:tc>
        <w:tc>
          <w:tcPr>
            <w:tcW w:w="3528" w:type="dxa"/>
          </w:tcPr>
          <w:p w14:paraId="5E3E6058" w14:textId="77777777" w:rsidR="003D52C5" w:rsidRDefault="003D52C5" w:rsidP="00316D81">
            <w:r>
              <w:rPr>
                <w:rFonts w:ascii="Arial" w:hAnsi="Arial"/>
                <w:sz w:val="14"/>
              </w:rPr>
              <w:t>10.1186/s41239-025-00507-3</w:t>
            </w:r>
          </w:p>
        </w:tc>
        <w:tc>
          <w:tcPr>
            <w:tcW w:w="3384" w:type="dxa"/>
          </w:tcPr>
          <w:p w14:paraId="1A030A41"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ADBE657" w14:textId="77777777" w:rsidTr="00316D81">
        <w:trPr>
          <w:jc w:val="center"/>
        </w:trPr>
        <w:tc>
          <w:tcPr>
            <w:tcW w:w="576" w:type="dxa"/>
          </w:tcPr>
          <w:p w14:paraId="6A460E0E" w14:textId="77777777" w:rsidR="003D52C5" w:rsidRDefault="003D52C5" w:rsidP="00316D81">
            <w:pPr>
              <w:jc w:val="center"/>
            </w:pPr>
            <w:r>
              <w:rPr>
                <w:rFonts w:ascii="Arial" w:hAnsi="Arial"/>
                <w:sz w:val="15"/>
              </w:rPr>
              <w:t>8</w:t>
            </w:r>
          </w:p>
        </w:tc>
        <w:tc>
          <w:tcPr>
            <w:tcW w:w="7848" w:type="dxa"/>
          </w:tcPr>
          <w:p w14:paraId="1C962C72" w14:textId="7897AE3B" w:rsidR="003D52C5" w:rsidRDefault="003D52C5" w:rsidP="00316D81">
            <w:r>
              <w:rPr>
                <w:rFonts w:ascii="Arial" w:hAnsi="Arial"/>
                <w:sz w:val="14"/>
              </w:rPr>
              <w:t xml:space="preserve">Aromataris, E., Lockwood, C., Porritt, K., Pilla, B. </w:t>
            </w:r>
            <w:r w:rsidR="00D82198">
              <w:rPr>
                <w:rFonts w:ascii="Arial" w:hAnsi="Arial"/>
                <w:sz w:val="14"/>
              </w:rPr>
              <w:t>and</w:t>
            </w:r>
            <w:r>
              <w:rPr>
                <w:rFonts w:ascii="Arial" w:hAnsi="Arial"/>
                <w:sz w:val="14"/>
              </w:rPr>
              <w:t xml:space="preserve"> Jordan, Z. JBI Manual for Evidence Synthesis. Adelaide: JBI. Available at: JBI Manual for Evidence Synthesis (Accessed: 11 August 2026). </w:t>
            </w:r>
            <w:r w:rsidR="0028539F">
              <w:rPr>
                <w:rFonts w:ascii="Arial" w:hAnsi="Arial"/>
                <w:sz w:val="14"/>
              </w:rPr>
              <w:t>DOI</w:t>
            </w:r>
            <w:r>
              <w:rPr>
                <w:rFonts w:ascii="Arial" w:hAnsi="Arial"/>
                <w:sz w:val="14"/>
              </w:rPr>
              <w:t>: 10.46658/JBIMES-24-01.</w:t>
            </w:r>
          </w:p>
        </w:tc>
        <w:tc>
          <w:tcPr>
            <w:tcW w:w="792" w:type="dxa"/>
          </w:tcPr>
          <w:p w14:paraId="4833D779" w14:textId="44714F78" w:rsidR="003D52C5" w:rsidRPr="0008778D" w:rsidRDefault="0008778D" w:rsidP="00316D81">
            <w:pPr>
              <w:jc w:val="center"/>
              <w:rPr>
                <w:rFonts w:ascii="Arial" w:hAnsi="Arial"/>
                <w:sz w:val="15"/>
              </w:rPr>
            </w:pPr>
            <w:r w:rsidRPr="0008778D">
              <w:rPr>
                <w:rFonts w:ascii="Arial" w:hAnsi="Arial"/>
                <w:sz w:val="15"/>
              </w:rPr>
              <w:t>2026</w:t>
            </w:r>
          </w:p>
        </w:tc>
        <w:tc>
          <w:tcPr>
            <w:tcW w:w="3528" w:type="dxa"/>
          </w:tcPr>
          <w:p w14:paraId="07DE106E" w14:textId="77777777" w:rsidR="003D52C5" w:rsidRDefault="003D52C5" w:rsidP="00316D81">
            <w:r>
              <w:rPr>
                <w:rFonts w:ascii="Arial" w:hAnsi="Arial"/>
                <w:sz w:val="14"/>
              </w:rPr>
              <w:t>10.46658/JBIMES-24-01</w:t>
            </w:r>
          </w:p>
        </w:tc>
        <w:tc>
          <w:tcPr>
            <w:tcW w:w="3384" w:type="dxa"/>
          </w:tcPr>
          <w:p w14:paraId="6D290CC5"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4E06EDFB" w14:textId="77777777" w:rsidTr="00316D81">
        <w:trPr>
          <w:jc w:val="center"/>
        </w:trPr>
        <w:tc>
          <w:tcPr>
            <w:tcW w:w="576" w:type="dxa"/>
          </w:tcPr>
          <w:p w14:paraId="41206C5A" w14:textId="77777777" w:rsidR="003D52C5" w:rsidRDefault="003D52C5" w:rsidP="00316D81">
            <w:pPr>
              <w:jc w:val="center"/>
            </w:pPr>
            <w:r>
              <w:rPr>
                <w:rFonts w:ascii="Arial" w:hAnsi="Arial"/>
                <w:sz w:val="15"/>
              </w:rPr>
              <w:t>9</w:t>
            </w:r>
          </w:p>
        </w:tc>
        <w:tc>
          <w:tcPr>
            <w:tcW w:w="7848" w:type="dxa"/>
          </w:tcPr>
          <w:p w14:paraId="13E97CE2" w14:textId="2BEDDF00" w:rsidR="003D52C5" w:rsidRDefault="003D52C5" w:rsidP="00316D81">
            <w:r>
              <w:rPr>
                <w:rFonts w:ascii="Arial" w:hAnsi="Arial"/>
                <w:sz w:val="14"/>
              </w:rPr>
              <w:t xml:space="preserve">Azevedo, L., Robles, P., Best, E., </w:t>
            </w:r>
            <w:r w:rsidR="00D82198">
              <w:rPr>
                <w:rFonts w:ascii="Arial" w:hAnsi="Arial"/>
                <w:sz w:val="14"/>
              </w:rPr>
              <w:t>and</w:t>
            </w:r>
            <w:r>
              <w:rPr>
                <w:rFonts w:ascii="Arial" w:hAnsi="Arial"/>
                <w:sz w:val="14"/>
              </w:rPr>
              <w:t xml:space="preserve"> Mallinson, D. (2025). ‘Institutional Policies on Artificial Intelligence in Higher Education: Frameworks and Best Practices for Faculty’. New Directions for Adult and Continuing Education, 2025(188), pp. 70–78. </w:t>
            </w:r>
            <w:r w:rsidR="0028539F">
              <w:rPr>
                <w:rFonts w:ascii="Arial" w:hAnsi="Arial"/>
                <w:sz w:val="14"/>
              </w:rPr>
              <w:t>DOI</w:t>
            </w:r>
            <w:r>
              <w:rPr>
                <w:rFonts w:ascii="Arial" w:hAnsi="Arial"/>
                <w:sz w:val="14"/>
              </w:rPr>
              <w:t>: 10.1002/ace.70013.</w:t>
            </w:r>
          </w:p>
        </w:tc>
        <w:tc>
          <w:tcPr>
            <w:tcW w:w="792" w:type="dxa"/>
          </w:tcPr>
          <w:p w14:paraId="7F68A8D0" w14:textId="77777777" w:rsidR="003D52C5" w:rsidRDefault="003D52C5" w:rsidP="00316D81">
            <w:pPr>
              <w:jc w:val="center"/>
            </w:pPr>
            <w:r>
              <w:rPr>
                <w:rFonts w:ascii="Arial" w:hAnsi="Arial"/>
                <w:sz w:val="15"/>
              </w:rPr>
              <w:t>2025</w:t>
            </w:r>
          </w:p>
        </w:tc>
        <w:tc>
          <w:tcPr>
            <w:tcW w:w="3528" w:type="dxa"/>
          </w:tcPr>
          <w:p w14:paraId="6D213509" w14:textId="77777777" w:rsidR="003D52C5" w:rsidRDefault="003D52C5" w:rsidP="00316D81">
            <w:r>
              <w:rPr>
                <w:rFonts w:ascii="Arial" w:hAnsi="Arial"/>
                <w:sz w:val="14"/>
              </w:rPr>
              <w:t>10.1002/ace.70013</w:t>
            </w:r>
          </w:p>
        </w:tc>
        <w:tc>
          <w:tcPr>
            <w:tcW w:w="3384" w:type="dxa"/>
          </w:tcPr>
          <w:p w14:paraId="2DFC95AE"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B4A059C" w14:textId="77777777" w:rsidTr="00316D81">
        <w:trPr>
          <w:jc w:val="center"/>
        </w:trPr>
        <w:tc>
          <w:tcPr>
            <w:tcW w:w="576" w:type="dxa"/>
          </w:tcPr>
          <w:p w14:paraId="7AE491BE" w14:textId="77777777" w:rsidR="003D52C5" w:rsidRDefault="003D52C5" w:rsidP="00316D81">
            <w:pPr>
              <w:jc w:val="center"/>
            </w:pPr>
            <w:r>
              <w:rPr>
                <w:rFonts w:ascii="Arial" w:hAnsi="Arial"/>
                <w:sz w:val="15"/>
              </w:rPr>
              <w:t>10</w:t>
            </w:r>
          </w:p>
        </w:tc>
        <w:tc>
          <w:tcPr>
            <w:tcW w:w="7848" w:type="dxa"/>
          </w:tcPr>
          <w:p w14:paraId="2DB824E1" w14:textId="52DF7C80" w:rsidR="003D52C5" w:rsidRDefault="003D52C5" w:rsidP="00316D81">
            <w:r>
              <w:rPr>
                <w:rFonts w:ascii="Arial" w:hAnsi="Arial"/>
                <w:sz w:val="14"/>
              </w:rPr>
              <w:t xml:space="preserve">Bacalso, F.D., Villamor, F.E., Paclipan, C.P., Orquia, C.J.B., Rendon, I.P., Albiso, A.T. </w:t>
            </w:r>
            <w:r w:rsidR="00D82198">
              <w:rPr>
                <w:rFonts w:ascii="Arial" w:hAnsi="Arial"/>
                <w:sz w:val="14"/>
              </w:rPr>
              <w:t>and</w:t>
            </w:r>
            <w:r>
              <w:rPr>
                <w:rFonts w:ascii="Arial" w:hAnsi="Arial"/>
                <w:sz w:val="14"/>
              </w:rPr>
              <w:t xml:space="preserve"> Himang, C.M. (2026). ‘Institutional approaches to generative AI management in higher education: a systematic review’, Frontiers in Education, 11, 1814426. </w:t>
            </w:r>
            <w:r w:rsidR="0028539F">
              <w:rPr>
                <w:rFonts w:ascii="Arial" w:hAnsi="Arial"/>
                <w:sz w:val="14"/>
              </w:rPr>
              <w:t>DOI</w:t>
            </w:r>
            <w:r>
              <w:rPr>
                <w:rFonts w:ascii="Arial" w:hAnsi="Arial"/>
                <w:sz w:val="14"/>
              </w:rPr>
              <w:t>: 10.3389/feduc.2026.1814426.</w:t>
            </w:r>
          </w:p>
        </w:tc>
        <w:tc>
          <w:tcPr>
            <w:tcW w:w="792" w:type="dxa"/>
          </w:tcPr>
          <w:p w14:paraId="0C6B9326" w14:textId="77777777" w:rsidR="003D52C5" w:rsidRDefault="003D52C5" w:rsidP="00316D81">
            <w:pPr>
              <w:jc w:val="center"/>
            </w:pPr>
            <w:r>
              <w:rPr>
                <w:rFonts w:ascii="Arial" w:hAnsi="Arial"/>
                <w:sz w:val="15"/>
              </w:rPr>
              <w:t>2026</w:t>
            </w:r>
          </w:p>
        </w:tc>
        <w:tc>
          <w:tcPr>
            <w:tcW w:w="3528" w:type="dxa"/>
          </w:tcPr>
          <w:p w14:paraId="15F8D041" w14:textId="77777777" w:rsidR="003D52C5" w:rsidRDefault="003D52C5" w:rsidP="00316D81">
            <w:r>
              <w:rPr>
                <w:rFonts w:ascii="Arial" w:hAnsi="Arial"/>
                <w:sz w:val="14"/>
              </w:rPr>
              <w:t>10.3389/feduc.2026.1814426</w:t>
            </w:r>
          </w:p>
        </w:tc>
        <w:tc>
          <w:tcPr>
            <w:tcW w:w="3384" w:type="dxa"/>
          </w:tcPr>
          <w:p w14:paraId="055A10FA"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AC4685B" w14:textId="77777777" w:rsidTr="00316D81">
        <w:trPr>
          <w:jc w:val="center"/>
        </w:trPr>
        <w:tc>
          <w:tcPr>
            <w:tcW w:w="576" w:type="dxa"/>
          </w:tcPr>
          <w:p w14:paraId="11C613C2" w14:textId="77777777" w:rsidR="003D52C5" w:rsidRDefault="003D52C5" w:rsidP="00316D81">
            <w:pPr>
              <w:jc w:val="center"/>
            </w:pPr>
            <w:r>
              <w:rPr>
                <w:rFonts w:ascii="Arial" w:hAnsi="Arial"/>
                <w:sz w:val="15"/>
              </w:rPr>
              <w:t>11</w:t>
            </w:r>
          </w:p>
        </w:tc>
        <w:tc>
          <w:tcPr>
            <w:tcW w:w="7848" w:type="dxa"/>
          </w:tcPr>
          <w:p w14:paraId="76F0A41C" w14:textId="4E3E3941" w:rsidR="003D52C5" w:rsidRDefault="003D52C5" w:rsidP="00316D81">
            <w:r>
              <w:rPr>
                <w:rFonts w:ascii="Arial" w:hAnsi="Arial"/>
                <w:sz w:val="14"/>
              </w:rPr>
              <w:t xml:space="preserve">Baker, R. </w:t>
            </w:r>
            <w:r w:rsidR="00D82198">
              <w:rPr>
                <w:rFonts w:ascii="Arial" w:hAnsi="Arial"/>
                <w:sz w:val="14"/>
              </w:rPr>
              <w:t>and</w:t>
            </w:r>
            <w:r>
              <w:rPr>
                <w:rFonts w:ascii="Arial" w:hAnsi="Arial"/>
                <w:sz w:val="14"/>
              </w:rPr>
              <w:t xml:space="preserve"> Hawn, A. (2022). ‘Algorithmic bias in education’, International Journal of Artificial Intelligence in Education, 32, pp. 1052–1092. </w:t>
            </w:r>
            <w:r w:rsidR="0028539F">
              <w:rPr>
                <w:rFonts w:ascii="Arial" w:hAnsi="Arial"/>
                <w:sz w:val="14"/>
              </w:rPr>
              <w:t>DOI</w:t>
            </w:r>
            <w:r>
              <w:rPr>
                <w:rFonts w:ascii="Arial" w:hAnsi="Arial"/>
                <w:sz w:val="14"/>
              </w:rPr>
              <w:t>: 10.1007/s40593-021-00285-9.</w:t>
            </w:r>
          </w:p>
        </w:tc>
        <w:tc>
          <w:tcPr>
            <w:tcW w:w="792" w:type="dxa"/>
          </w:tcPr>
          <w:p w14:paraId="08D4AD94" w14:textId="77777777" w:rsidR="003D52C5" w:rsidRDefault="003D52C5" w:rsidP="00316D81">
            <w:pPr>
              <w:jc w:val="center"/>
            </w:pPr>
            <w:r>
              <w:rPr>
                <w:rFonts w:ascii="Arial" w:hAnsi="Arial"/>
                <w:sz w:val="15"/>
              </w:rPr>
              <w:t>2022</w:t>
            </w:r>
          </w:p>
        </w:tc>
        <w:tc>
          <w:tcPr>
            <w:tcW w:w="3528" w:type="dxa"/>
          </w:tcPr>
          <w:p w14:paraId="6213AD5A" w14:textId="77777777" w:rsidR="003D52C5" w:rsidRDefault="003D52C5" w:rsidP="00316D81">
            <w:r>
              <w:rPr>
                <w:rFonts w:ascii="Arial" w:hAnsi="Arial"/>
                <w:sz w:val="14"/>
              </w:rPr>
              <w:t>10.1007/s40593-021-00285-9</w:t>
            </w:r>
          </w:p>
        </w:tc>
        <w:tc>
          <w:tcPr>
            <w:tcW w:w="3384" w:type="dxa"/>
          </w:tcPr>
          <w:p w14:paraId="27EE4471"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24BAD031" w14:textId="77777777" w:rsidTr="00316D81">
        <w:trPr>
          <w:jc w:val="center"/>
        </w:trPr>
        <w:tc>
          <w:tcPr>
            <w:tcW w:w="576" w:type="dxa"/>
          </w:tcPr>
          <w:p w14:paraId="5BE46BEF" w14:textId="77777777" w:rsidR="003D52C5" w:rsidRDefault="003D52C5" w:rsidP="00316D81">
            <w:pPr>
              <w:jc w:val="center"/>
            </w:pPr>
            <w:r>
              <w:rPr>
                <w:rFonts w:ascii="Arial" w:hAnsi="Arial"/>
                <w:sz w:val="15"/>
              </w:rPr>
              <w:t>12</w:t>
            </w:r>
          </w:p>
        </w:tc>
        <w:tc>
          <w:tcPr>
            <w:tcW w:w="7848" w:type="dxa"/>
          </w:tcPr>
          <w:p w14:paraId="650D99D9" w14:textId="3502B4EA" w:rsidR="003D52C5" w:rsidRDefault="003D52C5" w:rsidP="00316D81">
            <w:r>
              <w:rPr>
                <w:rFonts w:ascii="Arial" w:hAnsi="Arial"/>
                <w:sz w:val="14"/>
              </w:rPr>
              <w:t xml:space="preserve">Barus, O., Hidayanto, A., Eitiveni, I., Phusavat, K. </w:t>
            </w:r>
            <w:r w:rsidR="00D82198">
              <w:rPr>
                <w:rFonts w:ascii="Arial" w:hAnsi="Arial"/>
                <w:sz w:val="14"/>
              </w:rPr>
              <w:t>and</w:t>
            </w:r>
            <w:r>
              <w:rPr>
                <w:rFonts w:ascii="Arial" w:hAnsi="Arial"/>
                <w:sz w:val="14"/>
              </w:rPr>
              <w:t xml:space="preserve"> Sudibjo, N. (2025). ‘Identifying key components and stakeholders for generative AI governance in higher education: a systematic literature review’, Interactive Learning Environments. </w:t>
            </w:r>
            <w:r w:rsidR="0028539F">
              <w:rPr>
                <w:rFonts w:ascii="Arial" w:hAnsi="Arial"/>
                <w:sz w:val="14"/>
              </w:rPr>
              <w:t>DOI</w:t>
            </w:r>
            <w:r>
              <w:rPr>
                <w:rFonts w:ascii="Arial" w:hAnsi="Arial"/>
                <w:sz w:val="14"/>
              </w:rPr>
              <w:t>: 10.1080/10494820.2025.2596058.</w:t>
            </w:r>
          </w:p>
        </w:tc>
        <w:tc>
          <w:tcPr>
            <w:tcW w:w="792" w:type="dxa"/>
          </w:tcPr>
          <w:p w14:paraId="55D3F47F" w14:textId="77777777" w:rsidR="003D52C5" w:rsidRDefault="003D52C5" w:rsidP="00316D81">
            <w:pPr>
              <w:jc w:val="center"/>
            </w:pPr>
            <w:r>
              <w:rPr>
                <w:rFonts w:ascii="Arial" w:hAnsi="Arial"/>
                <w:sz w:val="15"/>
              </w:rPr>
              <w:t>2025</w:t>
            </w:r>
          </w:p>
        </w:tc>
        <w:tc>
          <w:tcPr>
            <w:tcW w:w="3528" w:type="dxa"/>
          </w:tcPr>
          <w:p w14:paraId="3F577DBC" w14:textId="77777777" w:rsidR="003D52C5" w:rsidRDefault="003D52C5" w:rsidP="00316D81">
            <w:r>
              <w:rPr>
                <w:rFonts w:ascii="Arial" w:hAnsi="Arial"/>
                <w:sz w:val="14"/>
              </w:rPr>
              <w:t>10.1080/10494820.2025.2596058</w:t>
            </w:r>
          </w:p>
        </w:tc>
        <w:tc>
          <w:tcPr>
            <w:tcW w:w="3384" w:type="dxa"/>
          </w:tcPr>
          <w:p w14:paraId="1A7F67B8" w14:textId="77777777" w:rsidR="003D52C5" w:rsidRDefault="003D52C5" w:rsidP="00316D81">
            <w:r>
              <w:rPr>
                <w:rFonts w:ascii="Arial" w:hAnsi="Arial"/>
                <w:sz w:val="15"/>
              </w:rPr>
              <w:t xml:space="preserve">Directly informs AI governance in higher education, including institutional policy, </w:t>
            </w:r>
            <w:r>
              <w:rPr>
                <w:rFonts w:ascii="Arial" w:hAnsi="Arial"/>
                <w:sz w:val="15"/>
              </w:rPr>
              <w:lastRenderedPageBreak/>
              <w:t>accountability, ethics, stakeholder roles and governance mechanisms.</w:t>
            </w:r>
          </w:p>
        </w:tc>
      </w:tr>
      <w:tr w:rsidR="003D52C5" w14:paraId="7F2038E3" w14:textId="77777777" w:rsidTr="00316D81">
        <w:trPr>
          <w:jc w:val="center"/>
        </w:trPr>
        <w:tc>
          <w:tcPr>
            <w:tcW w:w="576" w:type="dxa"/>
          </w:tcPr>
          <w:p w14:paraId="2DD1B32E" w14:textId="77777777" w:rsidR="003D52C5" w:rsidRDefault="003D52C5" w:rsidP="00316D81">
            <w:pPr>
              <w:jc w:val="center"/>
            </w:pPr>
            <w:r>
              <w:rPr>
                <w:rFonts w:ascii="Arial" w:hAnsi="Arial"/>
                <w:sz w:val="15"/>
              </w:rPr>
              <w:t>13</w:t>
            </w:r>
          </w:p>
        </w:tc>
        <w:tc>
          <w:tcPr>
            <w:tcW w:w="7848" w:type="dxa"/>
          </w:tcPr>
          <w:p w14:paraId="60D3BB35" w14:textId="0049840C" w:rsidR="003D52C5" w:rsidRDefault="003D52C5" w:rsidP="00316D81">
            <w:r>
              <w:rPr>
                <w:rFonts w:ascii="Arial" w:hAnsi="Arial"/>
                <w:sz w:val="14"/>
              </w:rPr>
              <w:t xml:space="preserve">Batool, A., Zowghi, D., </w:t>
            </w:r>
            <w:r w:rsidR="00D82198">
              <w:rPr>
                <w:rFonts w:ascii="Arial" w:hAnsi="Arial"/>
                <w:sz w:val="14"/>
              </w:rPr>
              <w:t>and</w:t>
            </w:r>
            <w:r>
              <w:rPr>
                <w:rFonts w:ascii="Arial" w:hAnsi="Arial"/>
                <w:sz w:val="14"/>
              </w:rPr>
              <w:t xml:space="preserve"> Bano, M. (2025). ‘AI governance: a systematic literature review’, AI and Ethics, 5, pp. 3265–3279. </w:t>
            </w:r>
            <w:r w:rsidR="0028539F">
              <w:rPr>
                <w:rFonts w:ascii="Arial" w:hAnsi="Arial"/>
                <w:sz w:val="14"/>
              </w:rPr>
              <w:t>DOI</w:t>
            </w:r>
            <w:r>
              <w:rPr>
                <w:rFonts w:ascii="Arial" w:hAnsi="Arial"/>
                <w:sz w:val="14"/>
              </w:rPr>
              <w:t>: 10.1007/s43681-024-00653-w.</w:t>
            </w:r>
          </w:p>
        </w:tc>
        <w:tc>
          <w:tcPr>
            <w:tcW w:w="792" w:type="dxa"/>
          </w:tcPr>
          <w:p w14:paraId="35C1D5BE" w14:textId="77777777" w:rsidR="003D52C5" w:rsidRDefault="003D52C5" w:rsidP="00316D81">
            <w:pPr>
              <w:jc w:val="center"/>
            </w:pPr>
            <w:r>
              <w:rPr>
                <w:rFonts w:ascii="Arial" w:hAnsi="Arial"/>
                <w:sz w:val="15"/>
              </w:rPr>
              <w:t>2025</w:t>
            </w:r>
          </w:p>
        </w:tc>
        <w:tc>
          <w:tcPr>
            <w:tcW w:w="3528" w:type="dxa"/>
          </w:tcPr>
          <w:p w14:paraId="6831ACAB" w14:textId="77777777" w:rsidR="003D52C5" w:rsidRDefault="003D52C5" w:rsidP="00316D81">
            <w:r>
              <w:rPr>
                <w:rFonts w:ascii="Arial" w:hAnsi="Arial"/>
                <w:sz w:val="14"/>
              </w:rPr>
              <w:t>10.1007/s43681-024-00653-w</w:t>
            </w:r>
          </w:p>
        </w:tc>
        <w:tc>
          <w:tcPr>
            <w:tcW w:w="3384" w:type="dxa"/>
          </w:tcPr>
          <w:p w14:paraId="54BA035F"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0D0E2DD3" w14:textId="77777777" w:rsidTr="00316D81">
        <w:trPr>
          <w:jc w:val="center"/>
        </w:trPr>
        <w:tc>
          <w:tcPr>
            <w:tcW w:w="576" w:type="dxa"/>
          </w:tcPr>
          <w:p w14:paraId="12335374" w14:textId="77777777" w:rsidR="003D52C5" w:rsidRDefault="003D52C5" w:rsidP="00316D81">
            <w:pPr>
              <w:jc w:val="center"/>
            </w:pPr>
            <w:r>
              <w:rPr>
                <w:rFonts w:ascii="Arial" w:hAnsi="Arial"/>
                <w:sz w:val="15"/>
              </w:rPr>
              <w:t>14</w:t>
            </w:r>
          </w:p>
        </w:tc>
        <w:tc>
          <w:tcPr>
            <w:tcW w:w="7848" w:type="dxa"/>
          </w:tcPr>
          <w:p w14:paraId="56154DB3" w14:textId="0FD148F1" w:rsidR="003D52C5" w:rsidRDefault="003D52C5" w:rsidP="00316D81">
            <w:r>
              <w:rPr>
                <w:rFonts w:ascii="Arial" w:hAnsi="Arial"/>
                <w:sz w:val="14"/>
              </w:rPr>
              <w:t xml:space="preserve">Bhattarai, B.P., Khadka, K. </w:t>
            </w:r>
            <w:r w:rsidR="00D82198">
              <w:rPr>
                <w:rFonts w:ascii="Arial" w:hAnsi="Arial"/>
                <w:sz w:val="14"/>
              </w:rPr>
              <w:t>and</w:t>
            </w:r>
            <w:r>
              <w:rPr>
                <w:rFonts w:ascii="Arial" w:hAnsi="Arial"/>
                <w:sz w:val="14"/>
              </w:rPr>
              <w:t xml:space="preserve"> Rai, A. (2025). ‘Critical Realism in Management Research: Bridging Structure and Agency in Organisational Analysis’, Research Journal in Business and Economics, 3(2), pp. 34–45. </w:t>
            </w:r>
            <w:r w:rsidR="0028539F">
              <w:rPr>
                <w:rFonts w:ascii="Arial" w:hAnsi="Arial"/>
                <w:sz w:val="14"/>
              </w:rPr>
              <w:t>DOI</w:t>
            </w:r>
            <w:r>
              <w:rPr>
                <w:rFonts w:ascii="Arial" w:hAnsi="Arial"/>
                <w:sz w:val="14"/>
              </w:rPr>
              <w:t>: 10.61424/rjbe.v3i2.458.</w:t>
            </w:r>
          </w:p>
        </w:tc>
        <w:tc>
          <w:tcPr>
            <w:tcW w:w="792" w:type="dxa"/>
          </w:tcPr>
          <w:p w14:paraId="0A52AD96" w14:textId="77777777" w:rsidR="003D52C5" w:rsidRDefault="003D52C5" w:rsidP="00316D81">
            <w:pPr>
              <w:jc w:val="center"/>
            </w:pPr>
            <w:r>
              <w:rPr>
                <w:rFonts w:ascii="Arial" w:hAnsi="Arial"/>
                <w:sz w:val="15"/>
              </w:rPr>
              <w:t>2025</w:t>
            </w:r>
          </w:p>
        </w:tc>
        <w:tc>
          <w:tcPr>
            <w:tcW w:w="3528" w:type="dxa"/>
          </w:tcPr>
          <w:p w14:paraId="20DA1A00" w14:textId="77777777" w:rsidR="003D52C5" w:rsidRDefault="003D52C5" w:rsidP="00316D81">
            <w:r>
              <w:rPr>
                <w:rFonts w:ascii="Arial" w:hAnsi="Arial"/>
                <w:sz w:val="14"/>
              </w:rPr>
              <w:t>10.61424/rjbe.v3i2.458</w:t>
            </w:r>
          </w:p>
        </w:tc>
        <w:tc>
          <w:tcPr>
            <w:tcW w:w="3384" w:type="dxa"/>
          </w:tcPr>
          <w:p w14:paraId="6A2448EA"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30BAB73F" w14:textId="77777777" w:rsidTr="00316D81">
        <w:trPr>
          <w:jc w:val="center"/>
        </w:trPr>
        <w:tc>
          <w:tcPr>
            <w:tcW w:w="576" w:type="dxa"/>
          </w:tcPr>
          <w:p w14:paraId="7400B1F2" w14:textId="77777777" w:rsidR="003D52C5" w:rsidRDefault="003D52C5" w:rsidP="00316D81">
            <w:pPr>
              <w:jc w:val="center"/>
            </w:pPr>
            <w:r>
              <w:rPr>
                <w:rFonts w:ascii="Arial" w:hAnsi="Arial"/>
                <w:sz w:val="15"/>
              </w:rPr>
              <w:t>15</w:t>
            </w:r>
          </w:p>
        </w:tc>
        <w:tc>
          <w:tcPr>
            <w:tcW w:w="7848" w:type="dxa"/>
          </w:tcPr>
          <w:p w14:paraId="59B776E4" w14:textId="6E2761EE" w:rsidR="003D52C5" w:rsidRDefault="003D52C5" w:rsidP="00316D81">
            <w:r>
              <w:rPr>
                <w:rFonts w:ascii="Arial" w:hAnsi="Arial"/>
                <w:sz w:val="14"/>
              </w:rPr>
              <w:t xml:space="preserve">Bilgin, H. (2025). ‘A framework for responsible AI in higher education’. Higher Education Governance and Policy, 6(2), pp. 155–174. </w:t>
            </w:r>
            <w:r w:rsidR="0028539F">
              <w:rPr>
                <w:rFonts w:ascii="Arial" w:hAnsi="Arial"/>
                <w:sz w:val="14"/>
              </w:rPr>
              <w:t>DOI</w:t>
            </w:r>
            <w:r>
              <w:rPr>
                <w:rFonts w:ascii="Arial" w:hAnsi="Arial"/>
                <w:sz w:val="14"/>
              </w:rPr>
              <w:t>: 10.55993/hegp.1788343.</w:t>
            </w:r>
          </w:p>
        </w:tc>
        <w:tc>
          <w:tcPr>
            <w:tcW w:w="792" w:type="dxa"/>
          </w:tcPr>
          <w:p w14:paraId="6E58EAE8" w14:textId="77777777" w:rsidR="003D52C5" w:rsidRDefault="003D52C5" w:rsidP="00316D81">
            <w:pPr>
              <w:jc w:val="center"/>
            </w:pPr>
            <w:r>
              <w:rPr>
                <w:rFonts w:ascii="Arial" w:hAnsi="Arial"/>
                <w:sz w:val="15"/>
              </w:rPr>
              <w:t>2025</w:t>
            </w:r>
          </w:p>
        </w:tc>
        <w:tc>
          <w:tcPr>
            <w:tcW w:w="3528" w:type="dxa"/>
          </w:tcPr>
          <w:p w14:paraId="6438BD91" w14:textId="77777777" w:rsidR="003D52C5" w:rsidRDefault="003D52C5" w:rsidP="00316D81">
            <w:r>
              <w:rPr>
                <w:rFonts w:ascii="Arial" w:hAnsi="Arial"/>
                <w:sz w:val="14"/>
              </w:rPr>
              <w:t>10.55993/hegp.1788343</w:t>
            </w:r>
          </w:p>
        </w:tc>
        <w:tc>
          <w:tcPr>
            <w:tcW w:w="3384" w:type="dxa"/>
          </w:tcPr>
          <w:p w14:paraId="6FCD441B"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1FF1EC48" w14:textId="77777777" w:rsidTr="00316D81">
        <w:trPr>
          <w:jc w:val="center"/>
        </w:trPr>
        <w:tc>
          <w:tcPr>
            <w:tcW w:w="576" w:type="dxa"/>
          </w:tcPr>
          <w:p w14:paraId="0614B40C" w14:textId="77777777" w:rsidR="003D52C5" w:rsidRDefault="003D52C5" w:rsidP="00316D81">
            <w:pPr>
              <w:jc w:val="center"/>
            </w:pPr>
            <w:r>
              <w:rPr>
                <w:rFonts w:ascii="Arial" w:hAnsi="Arial"/>
                <w:sz w:val="15"/>
              </w:rPr>
              <w:t>16</w:t>
            </w:r>
          </w:p>
        </w:tc>
        <w:tc>
          <w:tcPr>
            <w:tcW w:w="7848" w:type="dxa"/>
          </w:tcPr>
          <w:p w14:paraId="634BE0C3" w14:textId="5EA5A618" w:rsidR="003D52C5" w:rsidRDefault="003D52C5" w:rsidP="00316D81">
            <w:r>
              <w:rPr>
                <w:rFonts w:ascii="Arial" w:hAnsi="Arial"/>
                <w:sz w:val="14"/>
              </w:rPr>
              <w:t xml:space="preserve">Birkstedt, T., Minkkinen, M., Tandon, A. </w:t>
            </w:r>
            <w:r w:rsidR="00D82198">
              <w:rPr>
                <w:rFonts w:ascii="Arial" w:hAnsi="Arial"/>
                <w:sz w:val="14"/>
              </w:rPr>
              <w:t>and</w:t>
            </w:r>
            <w:r>
              <w:rPr>
                <w:rFonts w:ascii="Arial" w:hAnsi="Arial"/>
                <w:sz w:val="14"/>
              </w:rPr>
              <w:t xml:space="preserve"> Mantymaki, M. (2023). ‘AI governance: Themes, knowledge gaps and future agendas’. Internet Research, pp. 133–167. </w:t>
            </w:r>
            <w:r w:rsidR="0028539F">
              <w:rPr>
                <w:rFonts w:ascii="Arial" w:hAnsi="Arial"/>
                <w:sz w:val="14"/>
              </w:rPr>
              <w:t>DOI</w:t>
            </w:r>
            <w:r>
              <w:rPr>
                <w:rFonts w:ascii="Arial" w:hAnsi="Arial"/>
                <w:sz w:val="14"/>
              </w:rPr>
              <w:t>: 10.1108/INTR-01-2022-0042.</w:t>
            </w:r>
          </w:p>
        </w:tc>
        <w:tc>
          <w:tcPr>
            <w:tcW w:w="792" w:type="dxa"/>
          </w:tcPr>
          <w:p w14:paraId="70FA7FB7" w14:textId="77777777" w:rsidR="003D52C5" w:rsidRDefault="003D52C5" w:rsidP="00316D81">
            <w:pPr>
              <w:jc w:val="center"/>
            </w:pPr>
            <w:r>
              <w:rPr>
                <w:rFonts w:ascii="Arial" w:hAnsi="Arial"/>
                <w:sz w:val="15"/>
              </w:rPr>
              <w:t>2023</w:t>
            </w:r>
          </w:p>
        </w:tc>
        <w:tc>
          <w:tcPr>
            <w:tcW w:w="3528" w:type="dxa"/>
          </w:tcPr>
          <w:p w14:paraId="55027861" w14:textId="77777777" w:rsidR="003D52C5" w:rsidRDefault="003D52C5" w:rsidP="00316D81">
            <w:r>
              <w:rPr>
                <w:rFonts w:ascii="Arial" w:hAnsi="Arial"/>
                <w:sz w:val="14"/>
              </w:rPr>
              <w:t>10.1108/INTR-01-2022-0042</w:t>
            </w:r>
          </w:p>
        </w:tc>
        <w:tc>
          <w:tcPr>
            <w:tcW w:w="3384" w:type="dxa"/>
          </w:tcPr>
          <w:p w14:paraId="5AD10677"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19DE9E5C" w14:textId="77777777" w:rsidTr="00316D81">
        <w:trPr>
          <w:jc w:val="center"/>
        </w:trPr>
        <w:tc>
          <w:tcPr>
            <w:tcW w:w="576" w:type="dxa"/>
          </w:tcPr>
          <w:p w14:paraId="1F0252F6" w14:textId="77777777" w:rsidR="003D52C5" w:rsidRDefault="003D52C5" w:rsidP="00316D81">
            <w:pPr>
              <w:jc w:val="center"/>
            </w:pPr>
            <w:r>
              <w:rPr>
                <w:rFonts w:ascii="Arial" w:hAnsi="Arial"/>
                <w:sz w:val="15"/>
              </w:rPr>
              <w:t>17</w:t>
            </w:r>
          </w:p>
        </w:tc>
        <w:tc>
          <w:tcPr>
            <w:tcW w:w="7848" w:type="dxa"/>
          </w:tcPr>
          <w:p w14:paraId="373561D0" w14:textId="5A81D322" w:rsidR="003D52C5" w:rsidRDefault="003D52C5" w:rsidP="00316D81">
            <w:r>
              <w:rPr>
                <w:rFonts w:ascii="Arial" w:hAnsi="Arial"/>
                <w:sz w:val="14"/>
              </w:rPr>
              <w:t xml:space="preserve">Bitte, K. </w:t>
            </w:r>
            <w:r w:rsidR="00D82198">
              <w:rPr>
                <w:rFonts w:ascii="Arial" w:hAnsi="Arial"/>
                <w:sz w:val="14"/>
              </w:rPr>
              <w:t>and</w:t>
            </w:r>
            <w:r>
              <w:rPr>
                <w:rFonts w:ascii="Arial" w:hAnsi="Arial"/>
                <w:sz w:val="14"/>
              </w:rPr>
              <w:t xml:space="preserve"> El-Gayar, O. (2025). ‘Generative AI and academic integrity in higher education: a systematic review and research agenda’, Information, 16(4), 296. </w:t>
            </w:r>
            <w:r w:rsidR="0028539F">
              <w:rPr>
                <w:rFonts w:ascii="Arial" w:hAnsi="Arial"/>
                <w:sz w:val="14"/>
              </w:rPr>
              <w:t>DOI</w:t>
            </w:r>
            <w:r>
              <w:rPr>
                <w:rFonts w:ascii="Arial" w:hAnsi="Arial"/>
                <w:sz w:val="14"/>
              </w:rPr>
              <w:t>: 10.3390/info16040296</w:t>
            </w:r>
          </w:p>
        </w:tc>
        <w:tc>
          <w:tcPr>
            <w:tcW w:w="792" w:type="dxa"/>
          </w:tcPr>
          <w:p w14:paraId="15F6361E" w14:textId="77777777" w:rsidR="003D52C5" w:rsidRDefault="003D52C5" w:rsidP="00316D81">
            <w:pPr>
              <w:jc w:val="center"/>
            </w:pPr>
            <w:r>
              <w:rPr>
                <w:rFonts w:ascii="Arial" w:hAnsi="Arial"/>
                <w:sz w:val="15"/>
              </w:rPr>
              <w:t>2025</w:t>
            </w:r>
          </w:p>
        </w:tc>
        <w:tc>
          <w:tcPr>
            <w:tcW w:w="3528" w:type="dxa"/>
          </w:tcPr>
          <w:p w14:paraId="2186D04D" w14:textId="77777777" w:rsidR="003D52C5" w:rsidRDefault="003D52C5" w:rsidP="00316D81">
            <w:r>
              <w:rPr>
                <w:rFonts w:ascii="Arial" w:hAnsi="Arial"/>
                <w:sz w:val="14"/>
              </w:rPr>
              <w:t>10.3390/info16040296</w:t>
            </w:r>
          </w:p>
        </w:tc>
        <w:tc>
          <w:tcPr>
            <w:tcW w:w="3384" w:type="dxa"/>
          </w:tcPr>
          <w:p w14:paraId="4BF1E4AD"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2AEE54E5" w14:textId="77777777" w:rsidTr="00316D81">
        <w:trPr>
          <w:jc w:val="center"/>
        </w:trPr>
        <w:tc>
          <w:tcPr>
            <w:tcW w:w="576" w:type="dxa"/>
          </w:tcPr>
          <w:p w14:paraId="0C6DFD47" w14:textId="77777777" w:rsidR="003D52C5" w:rsidRDefault="003D52C5" w:rsidP="00316D81">
            <w:pPr>
              <w:jc w:val="center"/>
            </w:pPr>
            <w:r>
              <w:rPr>
                <w:rFonts w:ascii="Arial" w:hAnsi="Arial"/>
                <w:sz w:val="15"/>
              </w:rPr>
              <w:t>18</w:t>
            </w:r>
          </w:p>
        </w:tc>
        <w:tc>
          <w:tcPr>
            <w:tcW w:w="7848" w:type="dxa"/>
          </w:tcPr>
          <w:p w14:paraId="729A35B3" w14:textId="7CDAB59E" w:rsidR="003D52C5" w:rsidRDefault="003D52C5" w:rsidP="00316D81">
            <w:r>
              <w:rPr>
                <w:rFonts w:ascii="Arial" w:hAnsi="Arial"/>
                <w:sz w:val="14"/>
              </w:rPr>
              <w:t xml:space="preserve">Bobula, M. (2024). "Generative artificial intelligence (AI) in higher education". Journal of Learning Development in Higher Education (30). </w:t>
            </w:r>
            <w:r w:rsidR="0028539F">
              <w:rPr>
                <w:rFonts w:ascii="Arial" w:hAnsi="Arial"/>
                <w:sz w:val="14"/>
              </w:rPr>
              <w:t>DOI</w:t>
            </w:r>
            <w:r>
              <w:rPr>
                <w:rFonts w:ascii="Arial" w:hAnsi="Arial"/>
                <w:sz w:val="14"/>
              </w:rPr>
              <w:t>: 10.47408/jldhe.vi30.1137.</w:t>
            </w:r>
          </w:p>
        </w:tc>
        <w:tc>
          <w:tcPr>
            <w:tcW w:w="792" w:type="dxa"/>
          </w:tcPr>
          <w:p w14:paraId="210B1AFA" w14:textId="77777777" w:rsidR="003D52C5" w:rsidRDefault="003D52C5" w:rsidP="00316D81">
            <w:pPr>
              <w:jc w:val="center"/>
            </w:pPr>
            <w:r>
              <w:rPr>
                <w:rFonts w:ascii="Arial" w:hAnsi="Arial"/>
                <w:sz w:val="15"/>
              </w:rPr>
              <w:t>2024</w:t>
            </w:r>
          </w:p>
        </w:tc>
        <w:tc>
          <w:tcPr>
            <w:tcW w:w="3528" w:type="dxa"/>
          </w:tcPr>
          <w:p w14:paraId="4216A18B" w14:textId="77777777" w:rsidR="003D52C5" w:rsidRDefault="003D52C5" w:rsidP="00316D81">
            <w:r>
              <w:rPr>
                <w:rFonts w:ascii="Arial" w:hAnsi="Arial"/>
                <w:sz w:val="14"/>
              </w:rPr>
              <w:t>10.47408/jldhe.vi30.1137</w:t>
            </w:r>
          </w:p>
        </w:tc>
        <w:tc>
          <w:tcPr>
            <w:tcW w:w="3384" w:type="dxa"/>
          </w:tcPr>
          <w:p w14:paraId="7940183A"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E5C490E" w14:textId="77777777" w:rsidTr="00316D81">
        <w:trPr>
          <w:jc w:val="center"/>
        </w:trPr>
        <w:tc>
          <w:tcPr>
            <w:tcW w:w="576" w:type="dxa"/>
          </w:tcPr>
          <w:p w14:paraId="143B975B" w14:textId="77777777" w:rsidR="003D52C5" w:rsidRDefault="003D52C5" w:rsidP="00316D81">
            <w:pPr>
              <w:jc w:val="center"/>
            </w:pPr>
            <w:r>
              <w:rPr>
                <w:rFonts w:ascii="Arial" w:hAnsi="Arial"/>
                <w:sz w:val="15"/>
              </w:rPr>
              <w:t>19</w:t>
            </w:r>
          </w:p>
        </w:tc>
        <w:tc>
          <w:tcPr>
            <w:tcW w:w="7848" w:type="dxa"/>
          </w:tcPr>
          <w:p w14:paraId="4D2A4072" w14:textId="706E7C24" w:rsidR="003D52C5" w:rsidRDefault="003D52C5" w:rsidP="00316D81">
            <w:r>
              <w:rPr>
                <w:rFonts w:ascii="Arial" w:hAnsi="Arial"/>
                <w:sz w:val="14"/>
              </w:rPr>
              <w:t xml:space="preserve">Bond, M., Khosravi, H., De Laat, M., Bergdahl, N., Negrea, V., Oxley, E., Pham, P., Chong, S. </w:t>
            </w:r>
            <w:r w:rsidR="00D82198">
              <w:rPr>
                <w:rFonts w:ascii="Arial" w:hAnsi="Arial"/>
                <w:sz w:val="14"/>
              </w:rPr>
              <w:t>and</w:t>
            </w:r>
            <w:r>
              <w:rPr>
                <w:rFonts w:ascii="Arial" w:hAnsi="Arial"/>
                <w:sz w:val="14"/>
              </w:rPr>
              <w:t xml:space="preserve"> Siemens, G. (2024). ‘A meta systematic review of artificial intelligence in higher education: a call for increased ethics, collaboration, and rigour’, International Journal of Educational Technology in Higher Education, 21, 4. </w:t>
            </w:r>
            <w:r w:rsidR="0028539F">
              <w:rPr>
                <w:rFonts w:ascii="Arial" w:hAnsi="Arial"/>
                <w:sz w:val="14"/>
              </w:rPr>
              <w:t>DOI</w:t>
            </w:r>
            <w:r>
              <w:rPr>
                <w:rFonts w:ascii="Arial" w:hAnsi="Arial"/>
                <w:sz w:val="14"/>
              </w:rPr>
              <w:t>: 10.1186/s41239-023-00436-z.</w:t>
            </w:r>
          </w:p>
        </w:tc>
        <w:tc>
          <w:tcPr>
            <w:tcW w:w="792" w:type="dxa"/>
          </w:tcPr>
          <w:p w14:paraId="68F72CB4" w14:textId="77777777" w:rsidR="003D52C5" w:rsidRDefault="003D52C5" w:rsidP="00316D81">
            <w:pPr>
              <w:jc w:val="center"/>
            </w:pPr>
            <w:r>
              <w:rPr>
                <w:rFonts w:ascii="Arial" w:hAnsi="Arial"/>
                <w:sz w:val="15"/>
              </w:rPr>
              <w:t>2024</w:t>
            </w:r>
          </w:p>
        </w:tc>
        <w:tc>
          <w:tcPr>
            <w:tcW w:w="3528" w:type="dxa"/>
          </w:tcPr>
          <w:p w14:paraId="6D7AE6AE" w14:textId="77777777" w:rsidR="003D52C5" w:rsidRDefault="003D52C5" w:rsidP="00316D81">
            <w:r>
              <w:rPr>
                <w:rFonts w:ascii="Arial" w:hAnsi="Arial"/>
                <w:sz w:val="14"/>
              </w:rPr>
              <w:t>10.1186/s41239-023-00436-z</w:t>
            </w:r>
          </w:p>
        </w:tc>
        <w:tc>
          <w:tcPr>
            <w:tcW w:w="3384" w:type="dxa"/>
          </w:tcPr>
          <w:p w14:paraId="1EF093A1"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E05639E" w14:textId="77777777" w:rsidTr="00316D81">
        <w:trPr>
          <w:jc w:val="center"/>
        </w:trPr>
        <w:tc>
          <w:tcPr>
            <w:tcW w:w="576" w:type="dxa"/>
          </w:tcPr>
          <w:p w14:paraId="056B4F18" w14:textId="77777777" w:rsidR="003D52C5" w:rsidRDefault="003D52C5" w:rsidP="00316D81">
            <w:pPr>
              <w:jc w:val="center"/>
            </w:pPr>
            <w:r>
              <w:rPr>
                <w:rFonts w:ascii="Arial" w:hAnsi="Arial"/>
                <w:sz w:val="15"/>
              </w:rPr>
              <w:t>20</w:t>
            </w:r>
          </w:p>
        </w:tc>
        <w:tc>
          <w:tcPr>
            <w:tcW w:w="7848" w:type="dxa"/>
          </w:tcPr>
          <w:p w14:paraId="00C5F742" w14:textId="08602549" w:rsidR="003D52C5" w:rsidRDefault="003D52C5" w:rsidP="00316D81">
            <w:r>
              <w:rPr>
                <w:rFonts w:ascii="Arial" w:hAnsi="Arial"/>
                <w:sz w:val="14"/>
              </w:rPr>
              <w:t xml:space="preserve">Boticario, J., Holmes, W., Iniesto, F., </w:t>
            </w:r>
            <w:r w:rsidR="00D82198">
              <w:rPr>
                <w:rFonts w:ascii="Arial" w:hAnsi="Arial"/>
                <w:sz w:val="14"/>
              </w:rPr>
              <w:t>and</w:t>
            </w:r>
            <w:r>
              <w:rPr>
                <w:rFonts w:ascii="Arial" w:hAnsi="Arial"/>
                <w:sz w:val="14"/>
              </w:rPr>
              <w:t xml:space="preserve"> Anastopoulou, S. (2023). ‘Stakeholder perspectives on the ethics of AI in distance-based higher education’, The International Review of Research in Open and Distributed Learning, 24(2), pp. 96–117. </w:t>
            </w:r>
            <w:r w:rsidR="0028539F">
              <w:rPr>
                <w:rFonts w:ascii="Arial" w:hAnsi="Arial"/>
                <w:sz w:val="14"/>
              </w:rPr>
              <w:t>DOI</w:t>
            </w:r>
            <w:r>
              <w:rPr>
                <w:rFonts w:ascii="Arial" w:hAnsi="Arial"/>
                <w:sz w:val="14"/>
              </w:rPr>
              <w:t>: 10.19173/irrodl.v24i2.6089.</w:t>
            </w:r>
          </w:p>
        </w:tc>
        <w:tc>
          <w:tcPr>
            <w:tcW w:w="792" w:type="dxa"/>
          </w:tcPr>
          <w:p w14:paraId="45AB408B" w14:textId="77777777" w:rsidR="003D52C5" w:rsidRDefault="003D52C5" w:rsidP="00316D81">
            <w:pPr>
              <w:jc w:val="center"/>
            </w:pPr>
            <w:r>
              <w:rPr>
                <w:rFonts w:ascii="Arial" w:hAnsi="Arial"/>
                <w:sz w:val="15"/>
              </w:rPr>
              <w:t>2023</w:t>
            </w:r>
          </w:p>
        </w:tc>
        <w:tc>
          <w:tcPr>
            <w:tcW w:w="3528" w:type="dxa"/>
          </w:tcPr>
          <w:p w14:paraId="55D7FCB9" w14:textId="77777777" w:rsidR="003D52C5" w:rsidRDefault="003D52C5" w:rsidP="00316D81">
            <w:r>
              <w:rPr>
                <w:rFonts w:ascii="Arial" w:hAnsi="Arial"/>
                <w:sz w:val="14"/>
              </w:rPr>
              <w:t>10.19173/irrodl.v24i2.6089</w:t>
            </w:r>
          </w:p>
        </w:tc>
        <w:tc>
          <w:tcPr>
            <w:tcW w:w="3384" w:type="dxa"/>
          </w:tcPr>
          <w:p w14:paraId="5A071D8C"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3E0F68C" w14:textId="77777777" w:rsidTr="00316D81">
        <w:trPr>
          <w:jc w:val="center"/>
        </w:trPr>
        <w:tc>
          <w:tcPr>
            <w:tcW w:w="576" w:type="dxa"/>
          </w:tcPr>
          <w:p w14:paraId="0FCB837C" w14:textId="77777777" w:rsidR="003D52C5" w:rsidRDefault="003D52C5" w:rsidP="00316D81">
            <w:pPr>
              <w:jc w:val="center"/>
            </w:pPr>
            <w:r>
              <w:rPr>
                <w:rFonts w:ascii="Arial" w:hAnsi="Arial"/>
                <w:sz w:val="15"/>
              </w:rPr>
              <w:t>21</w:t>
            </w:r>
          </w:p>
        </w:tc>
        <w:tc>
          <w:tcPr>
            <w:tcW w:w="7848" w:type="dxa"/>
          </w:tcPr>
          <w:p w14:paraId="0D7FF2C8" w14:textId="1FB7E194" w:rsidR="003D52C5" w:rsidRDefault="003D52C5" w:rsidP="00316D81">
            <w:r>
              <w:rPr>
                <w:rFonts w:ascii="Arial" w:hAnsi="Arial"/>
                <w:sz w:val="14"/>
              </w:rPr>
              <w:t xml:space="preserve">Braun, V. </w:t>
            </w:r>
            <w:r w:rsidR="00D82198">
              <w:rPr>
                <w:rFonts w:ascii="Arial" w:hAnsi="Arial"/>
                <w:sz w:val="14"/>
              </w:rPr>
              <w:t>and</w:t>
            </w:r>
            <w:r>
              <w:rPr>
                <w:rFonts w:ascii="Arial" w:hAnsi="Arial"/>
                <w:sz w:val="14"/>
              </w:rPr>
              <w:t xml:space="preserve"> Clarke, V. (2024). ‘Reporting guidelines for qualitative research: a values-based approach’, Qualitative Research in Psychology, 22(2), pp. 399–438. </w:t>
            </w:r>
            <w:r w:rsidR="0028539F">
              <w:rPr>
                <w:rFonts w:ascii="Arial" w:hAnsi="Arial"/>
                <w:sz w:val="14"/>
              </w:rPr>
              <w:t>DOI</w:t>
            </w:r>
            <w:r>
              <w:rPr>
                <w:rFonts w:ascii="Arial" w:hAnsi="Arial"/>
                <w:sz w:val="14"/>
              </w:rPr>
              <w:t>: 10.1080/14780887.2024.2382244.</w:t>
            </w:r>
          </w:p>
        </w:tc>
        <w:tc>
          <w:tcPr>
            <w:tcW w:w="792" w:type="dxa"/>
          </w:tcPr>
          <w:p w14:paraId="0091A81E" w14:textId="77777777" w:rsidR="003D52C5" w:rsidRDefault="003D52C5" w:rsidP="00316D81">
            <w:pPr>
              <w:jc w:val="center"/>
            </w:pPr>
            <w:r>
              <w:rPr>
                <w:rFonts w:ascii="Arial" w:hAnsi="Arial"/>
                <w:sz w:val="15"/>
              </w:rPr>
              <w:t>2024</w:t>
            </w:r>
          </w:p>
        </w:tc>
        <w:tc>
          <w:tcPr>
            <w:tcW w:w="3528" w:type="dxa"/>
          </w:tcPr>
          <w:p w14:paraId="6EEB48FC" w14:textId="77777777" w:rsidR="003D52C5" w:rsidRDefault="003D52C5" w:rsidP="00316D81">
            <w:r>
              <w:rPr>
                <w:rFonts w:ascii="Arial" w:hAnsi="Arial"/>
                <w:sz w:val="14"/>
              </w:rPr>
              <w:t>10.1080/14780887.2024.2382244</w:t>
            </w:r>
          </w:p>
        </w:tc>
        <w:tc>
          <w:tcPr>
            <w:tcW w:w="3384" w:type="dxa"/>
          </w:tcPr>
          <w:p w14:paraId="535BCD54"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28F1BD30" w14:textId="77777777" w:rsidTr="00316D81">
        <w:trPr>
          <w:jc w:val="center"/>
        </w:trPr>
        <w:tc>
          <w:tcPr>
            <w:tcW w:w="576" w:type="dxa"/>
          </w:tcPr>
          <w:p w14:paraId="685F02F8" w14:textId="77777777" w:rsidR="003D52C5" w:rsidRDefault="003D52C5" w:rsidP="00316D81">
            <w:pPr>
              <w:jc w:val="center"/>
            </w:pPr>
            <w:r>
              <w:rPr>
                <w:rFonts w:ascii="Arial" w:hAnsi="Arial"/>
                <w:sz w:val="15"/>
              </w:rPr>
              <w:t>22</w:t>
            </w:r>
          </w:p>
        </w:tc>
        <w:tc>
          <w:tcPr>
            <w:tcW w:w="7848" w:type="dxa"/>
          </w:tcPr>
          <w:p w14:paraId="2001C115" w14:textId="2C11BD48" w:rsidR="003D52C5" w:rsidRDefault="003D52C5" w:rsidP="00316D81">
            <w:r>
              <w:rPr>
                <w:rFonts w:ascii="Arial" w:hAnsi="Arial"/>
                <w:sz w:val="14"/>
              </w:rPr>
              <w:t xml:space="preserve">Britchenko, I. </w:t>
            </w:r>
            <w:r w:rsidR="00D82198">
              <w:rPr>
                <w:rFonts w:ascii="Arial" w:hAnsi="Arial"/>
                <w:sz w:val="14"/>
              </w:rPr>
              <w:t>and</w:t>
            </w:r>
            <w:r>
              <w:rPr>
                <w:rFonts w:ascii="Arial" w:hAnsi="Arial"/>
                <w:sz w:val="14"/>
              </w:rPr>
              <w:t xml:space="preserve"> Lysiak, I. (2025). ‘EU Data Governance, AI Ethics, and Responsible Digitalisation in Higher Education: A Compliance–Capability Framework for Universities’, Public Administration and Law Review, 4, pp. 12–19. </w:t>
            </w:r>
            <w:r w:rsidR="0028539F">
              <w:rPr>
                <w:rFonts w:ascii="Arial" w:hAnsi="Arial"/>
                <w:sz w:val="14"/>
              </w:rPr>
              <w:t>DOI</w:t>
            </w:r>
            <w:r>
              <w:rPr>
                <w:rFonts w:ascii="Arial" w:hAnsi="Arial"/>
                <w:sz w:val="14"/>
              </w:rPr>
              <w:t>: 10.36690/2674-5216-2025-4-12-19.</w:t>
            </w:r>
          </w:p>
        </w:tc>
        <w:tc>
          <w:tcPr>
            <w:tcW w:w="792" w:type="dxa"/>
          </w:tcPr>
          <w:p w14:paraId="7E590610" w14:textId="77777777" w:rsidR="003D52C5" w:rsidRDefault="003D52C5" w:rsidP="00316D81">
            <w:pPr>
              <w:jc w:val="center"/>
            </w:pPr>
            <w:r>
              <w:rPr>
                <w:rFonts w:ascii="Arial" w:hAnsi="Arial"/>
                <w:sz w:val="15"/>
              </w:rPr>
              <w:t>2025</w:t>
            </w:r>
          </w:p>
        </w:tc>
        <w:tc>
          <w:tcPr>
            <w:tcW w:w="3528" w:type="dxa"/>
          </w:tcPr>
          <w:p w14:paraId="384A7FEF" w14:textId="77777777" w:rsidR="003D52C5" w:rsidRDefault="003D52C5" w:rsidP="00316D81">
            <w:r>
              <w:rPr>
                <w:rFonts w:ascii="Arial" w:hAnsi="Arial"/>
                <w:sz w:val="14"/>
              </w:rPr>
              <w:t>10.36690/2674-5216-2025-4-12-19</w:t>
            </w:r>
          </w:p>
        </w:tc>
        <w:tc>
          <w:tcPr>
            <w:tcW w:w="3384" w:type="dxa"/>
          </w:tcPr>
          <w:p w14:paraId="1D1AD1DD"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7D08560B" w14:textId="77777777" w:rsidTr="00316D81">
        <w:trPr>
          <w:jc w:val="center"/>
        </w:trPr>
        <w:tc>
          <w:tcPr>
            <w:tcW w:w="576" w:type="dxa"/>
          </w:tcPr>
          <w:p w14:paraId="5CF3B33A" w14:textId="77777777" w:rsidR="003D52C5" w:rsidRDefault="003D52C5" w:rsidP="00316D81">
            <w:pPr>
              <w:jc w:val="center"/>
            </w:pPr>
            <w:r>
              <w:rPr>
                <w:rFonts w:ascii="Arial" w:hAnsi="Arial"/>
                <w:sz w:val="15"/>
              </w:rPr>
              <w:t>23</w:t>
            </w:r>
          </w:p>
        </w:tc>
        <w:tc>
          <w:tcPr>
            <w:tcW w:w="7848" w:type="dxa"/>
          </w:tcPr>
          <w:p w14:paraId="0C2F9B47" w14:textId="29E7AA85" w:rsidR="003D52C5" w:rsidRDefault="003D52C5" w:rsidP="00316D81">
            <w:r>
              <w:rPr>
                <w:rFonts w:ascii="Arial" w:hAnsi="Arial"/>
                <w:sz w:val="14"/>
              </w:rPr>
              <w:t xml:space="preserve">Burrell, J. (2016). ‘How the machine “thinks”: Understanding opacity in machine learning algorithms’, Big Data </w:t>
            </w:r>
            <w:r w:rsidR="00D82198">
              <w:rPr>
                <w:rFonts w:ascii="Arial" w:hAnsi="Arial"/>
                <w:sz w:val="14"/>
              </w:rPr>
              <w:t>and</w:t>
            </w:r>
            <w:r>
              <w:rPr>
                <w:rFonts w:ascii="Arial" w:hAnsi="Arial"/>
                <w:sz w:val="14"/>
              </w:rPr>
              <w:t xml:space="preserve"> Society, 3(1), pp. 1–12. </w:t>
            </w:r>
            <w:r w:rsidR="0028539F">
              <w:rPr>
                <w:rFonts w:ascii="Arial" w:hAnsi="Arial"/>
                <w:sz w:val="14"/>
              </w:rPr>
              <w:t>DOI</w:t>
            </w:r>
            <w:r>
              <w:rPr>
                <w:rFonts w:ascii="Arial" w:hAnsi="Arial"/>
                <w:sz w:val="14"/>
              </w:rPr>
              <w:t>: 10.1177/2053951715622512.</w:t>
            </w:r>
          </w:p>
        </w:tc>
        <w:tc>
          <w:tcPr>
            <w:tcW w:w="792" w:type="dxa"/>
          </w:tcPr>
          <w:p w14:paraId="1964B927" w14:textId="77777777" w:rsidR="003D52C5" w:rsidRDefault="003D52C5" w:rsidP="00316D81">
            <w:pPr>
              <w:jc w:val="center"/>
            </w:pPr>
            <w:r>
              <w:rPr>
                <w:rFonts w:ascii="Arial" w:hAnsi="Arial"/>
                <w:sz w:val="15"/>
              </w:rPr>
              <w:t>2016</w:t>
            </w:r>
          </w:p>
        </w:tc>
        <w:tc>
          <w:tcPr>
            <w:tcW w:w="3528" w:type="dxa"/>
          </w:tcPr>
          <w:p w14:paraId="481FD626" w14:textId="77777777" w:rsidR="003D52C5" w:rsidRDefault="003D52C5" w:rsidP="00316D81">
            <w:r>
              <w:rPr>
                <w:rFonts w:ascii="Arial" w:hAnsi="Arial"/>
                <w:sz w:val="14"/>
              </w:rPr>
              <w:t>10.1177/2053951715622512</w:t>
            </w:r>
          </w:p>
        </w:tc>
        <w:tc>
          <w:tcPr>
            <w:tcW w:w="3384" w:type="dxa"/>
          </w:tcPr>
          <w:p w14:paraId="08674680"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5FB47B7C" w14:textId="77777777" w:rsidTr="00316D81">
        <w:trPr>
          <w:jc w:val="center"/>
        </w:trPr>
        <w:tc>
          <w:tcPr>
            <w:tcW w:w="576" w:type="dxa"/>
          </w:tcPr>
          <w:p w14:paraId="43D9D104" w14:textId="77777777" w:rsidR="003D52C5" w:rsidRDefault="003D52C5" w:rsidP="00316D81">
            <w:pPr>
              <w:jc w:val="center"/>
            </w:pPr>
            <w:r>
              <w:rPr>
                <w:rFonts w:ascii="Arial" w:hAnsi="Arial"/>
                <w:sz w:val="15"/>
              </w:rPr>
              <w:t>24</w:t>
            </w:r>
          </w:p>
        </w:tc>
        <w:tc>
          <w:tcPr>
            <w:tcW w:w="7848" w:type="dxa"/>
          </w:tcPr>
          <w:p w14:paraId="16346B62" w14:textId="1426EADA" w:rsidR="003D52C5" w:rsidRDefault="003D52C5" w:rsidP="00316D81">
            <w:r>
              <w:rPr>
                <w:rFonts w:ascii="Arial" w:hAnsi="Arial"/>
                <w:sz w:val="14"/>
              </w:rPr>
              <w:t xml:space="preserve">Busetto, L., Wick, W. </w:t>
            </w:r>
            <w:r w:rsidR="00D82198">
              <w:rPr>
                <w:rFonts w:ascii="Arial" w:hAnsi="Arial"/>
                <w:sz w:val="14"/>
              </w:rPr>
              <w:t>and</w:t>
            </w:r>
            <w:r>
              <w:rPr>
                <w:rFonts w:ascii="Arial" w:hAnsi="Arial"/>
                <w:sz w:val="14"/>
              </w:rPr>
              <w:t xml:space="preserve"> Gumbinger, C. (2020). ‘How to use and assess qualitative research methods’, Neurological Research and Practice, 2, 14. </w:t>
            </w:r>
            <w:r w:rsidR="0028539F">
              <w:rPr>
                <w:rFonts w:ascii="Arial" w:hAnsi="Arial"/>
                <w:sz w:val="14"/>
              </w:rPr>
              <w:t>DOI</w:t>
            </w:r>
            <w:r>
              <w:rPr>
                <w:rFonts w:ascii="Arial" w:hAnsi="Arial"/>
                <w:sz w:val="14"/>
              </w:rPr>
              <w:t>: 10.1186/s42466-020-00059-z.</w:t>
            </w:r>
          </w:p>
        </w:tc>
        <w:tc>
          <w:tcPr>
            <w:tcW w:w="792" w:type="dxa"/>
          </w:tcPr>
          <w:p w14:paraId="74085BC6" w14:textId="77777777" w:rsidR="003D52C5" w:rsidRDefault="003D52C5" w:rsidP="00316D81">
            <w:pPr>
              <w:jc w:val="center"/>
            </w:pPr>
            <w:r>
              <w:rPr>
                <w:rFonts w:ascii="Arial" w:hAnsi="Arial"/>
                <w:sz w:val="15"/>
              </w:rPr>
              <w:t>2020</w:t>
            </w:r>
          </w:p>
        </w:tc>
        <w:tc>
          <w:tcPr>
            <w:tcW w:w="3528" w:type="dxa"/>
          </w:tcPr>
          <w:p w14:paraId="7FB5BE93" w14:textId="77777777" w:rsidR="003D52C5" w:rsidRDefault="003D52C5" w:rsidP="00316D81">
            <w:r>
              <w:rPr>
                <w:rFonts w:ascii="Arial" w:hAnsi="Arial"/>
                <w:sz w:val="14"/>
              </w:rPr>
              <w:t>10.1186/s42466-020-00059-z</w:t>
            </w:r>
          </w:p>
        </w:tc>
        <w:tc>
          <w:tcPr>
            <w:tcW w:w="3384" w:type="dxa"/>
          </w:tcPr>
          <w:p w14:paraId="7A5D1325"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31481F7E" w14:textId="77777777" w:rsidTr="00316D81">
        <w:trPr>
          <w:jc w:val="center"/>
        </w:trPr>
        <w:tc>
          <w:tcPr>
            <w:tcW w:w="576" w:type="dxa"/>
          </w:tcPr>
          <w:p w14:paraId="29F2266E" w14:textId="77777777" w:rsidR="003D52C5" w:rsidRDefault="003D52C5" w:rsidP="00316D81">
            <w:pPr>
              <w:jc w:val="center"/>
            </w:pPr>
            <w:r>
              <w:rPr>
                <w:rFonts w:ascii="Arial" w:hAnsi="Arial"/>
                <w:sz w:val="15"/>
              </w:rPr>
              <w:t>25</w:t>
            </w:r>
          </w:p>
        </w:tc>
        <w:tc>
          <w:tcPr>
            <w:tcW w:w="7848" w:type="dxa"/>
          </w:tcPr>
          <w:p w14:paraId="49B91065" w14:textId="5A1EF592" w:rsidR="003D52C5" w:rsidRDefault="003D52C5" w:rsidP="00316D81">
            <w:r>
              <w:rPr>
                <w:rFonts w:ascii="Arial" w:hAnsi="Arial"/>
                <w:sz w:val="14"/>
              </w:rPr>
              <w:t xml:space="preserve">Byrne, D. (2022). ‘A worked example of Braun and Clarke’s approach to reflexive thematic analysis’, Quality </w:t>
            </w:r>
            <w:r w:rsidR="00D82198">
              <w:rPr>
                <w:rFonts w:ascii="Arial" w:hAnsi="Arial"/>
                <w:sz w:val="14"/>
              </w:rPr>
              <w:t>and</w:t>
            </w:r>
            <w:r>
              <w:rPr>
                <w:rFonts w:ascii="Arial" w:hAnsi="Arial"/>
                <w:sz w:val="14"/>
              </w:rPr>
              <w:t xml:space="preserve"> Quantity, 56, pp. 1391–1412. </w:t>
            </w:r>
            <w:r w:rsidR="0028539F">
              <w:rPr>
                <w:rFonts w:ascii="Arial" w:hAnsi="Arial"/>
                <w:sz w:val="14"/>
              </w:rPr>
              <w:t>DOI</w:t>
            </w:r>
            <w:r>
              <w:rPr>
                <w:rFonts w:ascii="Arial" w:hAnsi="Arial"/>
                <w:sz w:val="14"/>
              </w:rPr>
              <w:t>: 10.1007/s11135-021-01182-y.</w:t>
            </w:r>
          </w:p>
        </w:tc>
        <w:tc>
          <w:tcPr>
            <w:tcW w:w="792" w:type="dxa"/>
          </w:tcPr>
          <w:p w14:paraId="5BB6C2A3" w14:textId="77777777" w:rsidR="003D52C5" w:rsidRDefault="003D52C5" w:rsidP="00316D81">
            <w:pPr>
              <w:jc w:val="center"/>
            </w:pPr>
            <w:r>
              <w:rPr>
                <w:rFonts w:ascii="Arial" w:hAnsi="Arial"/>
                <w:sz w:val="15"/>
              </w:rPr>
              <w:t>2022</w:t>
            </w:r>
          </w:p>
        </w:tc>
        <w:tc>
          <w:tcPr>
            <w:tcW w:w="3528" w:type="dxa"/>
          </w:tcPr>
          <w:p w14:paraId="0D55E027" w14:textId="77777777" w:rsidR="003D52C5" w:rsidRDefault="003D52C5" w:rsidP="00316D81">
            <w:r>
              <w:rPr>
                <w:rFonts w:ascii="Arial" w:hAnsi="Arial"/>
                <w:sz w:val="14"/>
              </w:rPr>
              <w:t>10.1007/s11135-021-01182-y</w:t>
            </w:r>
          </w:p>
        </w:tc>
        <w:tc>
          <w:tcPr>
            <w:tcW w:w="3384" w:type="dxa"/>
          </w:tcPr>
          <w:p w14:paraId="3284F217"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7A538453" w14:textId="77777777" w:rsidTr="00316D81">
        <w:trPr>
          <w:jc w:val="center"/>
        </w:trPr>
        <w:tc>
          <w:tcPr>
            <w:tcW w:w="576" w:type="dxa"/>
          </w:tcPr>
          <w:p w14:paraId="36ECF506" w14:textId="77777777" w:rsidR="003D52C5" w:rsidRDefault="003D52C5" w:rsidP="00316D81">
            <w:pPr>
              <w:jc w:val="center"/>
            </w:pPr>
            <w:r>
              <w:rPr>
                <w:rFonts w:ascii="Arial" w:hAnsi="Arial"/>
                <w:sz w:val="15"/>
              </w:rPr>
              <w:t>26</w:t>
            </w:r>
          </w:p>
        </w:tc>
        <w:tc>
          <w:tcPr>
            <w:tcW w:w="7848" w:type="dxa"/>
          </w:tcPr>
          <w:p w14:paraId="3B80AF43" w14:textId="05ABC305" w:rsidR="003D52C5" w:rsidRDefault="003D52C5" w:rsidP="00316D81">
            <w:r>
              <w:rPr>
                <w:rFonts w:ascii="Arial" w:hAnsi="Arial"/>
                <w:sz w:val="14"/>
              </w:rPr>
              <w:t xml:space="preserve">Castillo-Martínez, I.M., Flores-Bueno, D., Gómez-Puente, S.M. </w:t>
            </w:r>
            <w:r w:rsidR="00D82198">
              <w:rPr>
                <w:rFonts w:ascii="Arial" w:hAnsi="Arial"/>
                <w:sz w:val="14"/>
              </w:rPr>
              <w:t>and</w:t>
            </w:r>
            <w:r>
              <w:rPr>
                <w:rFonts w:ascii="Arial" w:hAnsi="Arial"/>
                <w:sz w:val="14"/>
              </w:rPr>
              <w:t xml:space="preserve"> Vite-León, V.O. (2024). ‘AI in higher education: a systematic literature review’, Frontiers in Education, 9, 1391485. </w:t>
            </w:r>
            <w:r w:rsidR="0028539F">
              <w:rPr>
                <w:rFonts w:ascii="Arial" w:hAnsi="Arial"/>
                <w:sz w:val="14"/>
              </w:rPr>
              <w:t>DOI</w:t>
            </w:r>
            <w:r>
              <w:rPr>
                <w:rFonts w:ascii="Arial" w:hAnsi="Arial"/>
                <w:sz w:val="14"/>
              </w:rPr>
              <w:t>: 10.3389/feduc.2024.1391485.</w:t>
            </w:r>
          </w:p>
        </w:tc>
        <w:tc>
          <w:tcPr>
            <w:tcW w:w="792" w:type="dxa"/>
          </w:tcPr>
          <w:p w14:paraId="52D06D23" w14:textId="77777777" w:rsidR="003D52C5" w:rsidRDefault="003D52C5" w:rsidP="00316D81">
            <w:pPr>
              <w:jc w:val="center"/>
            </w:pPr>
            <w:r>
              <w:rPr>
                <w:rFonts w:ascii="Arial" w:hAnsi="Arial"/>
                <w:sz w:val="15"/>
              </w:rPr>
              <w:t>2024</w:t>
            </w:r>
          </w:p>
        </w:tc>
        <w:tc>
          <w:tcPr>
            <w:tcW w:w="3528" w:type="dxa"/>
          </w:tcPr>
          <w:p w14:paraId="20F7C2B7" w14:textId="77777777" w:rsidR="003D52C5" w:rsidRDefault="003D52C5" w:rsidP="00316D81">
            <w:r>
              <w:rPr>
                <w:rFonts w:ascii="Arial" w:hAnsi="Arial"/>
                <w:sz w:val="14"/>
              </w:rPr>
              <w:t>10.3389/feduc.2024.1391485</w:t>
            </w:r>
          </w:p>
        </w:tc>
        <w:tc>
          <w:tcPr>
            <w:tcW w:w="3384" w:type="dxa"/>
          </w:tcPr>
          <w:p w14:paraId="5BF5A8A4"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905F600" w14:textId="77777777" w:rsidTr="00316D81">
        <w:trPr>
          <w:jc w:val="center"/>
        </w:trPr>
        <w:tc>
          <w:tcPr>
            <w:tcW w:w="576" w:type="dxa"/>
          </w:tcPr>
          <w:p w14:paraId="710861CE" w14:textId="77777777" w:rsidR="003D52C5" w:rsidRDefault="003D52C5" w:rsidP="00316D81">
            <w:pPr>
              <w:jc w:val="center"/>
            </w:pPr>
            <w:r>
              <w:rPr>
                <w:rFonts w:ascii="Arial" w:hAnsi="Arial"/>
                <w:sz w:val="15"/>
              </w:rPr>
              <w:lastRenderedPageBreak/>
              <w:t>27</w:t>
            </w:r>
          </w:p>
        </w:tc>
        <w:tc>
          <w:tcPr>
            <w:tcW w:w="7848" w:type="dxa"/>
          </w:tcPr>
          <w:p w14:paraId="699D0D33" w14:textId="5FF86595" w:rsidR="003D52C5" w:rsidRDefault="003D52C5" w:rsidP="00316D81">
            <w:r>
              <w:rPr>
                <w:rFonts w:ascii="Arial" w:hAnsi="Arial"/>
                <w:sz w:val="14"/>
              </w:rPr>
              <w:t xml:space="preserve">Chan, C. (2023). ‘A comprehensive AI policy education framework for university teaching and learning'. International Journal of Educational Technology in Higher Education, 20, 38. </w:t>
            </w:r>
            <w:r w:rsidR="0028539F">
              <w:rPr>
                <w:rFonts w:ascii="Arial" w:hAnsi="Arial"/>
                <w:sz w:val="14"/>
              </w:rPr>
              <w:t>DOI</w:t>
            </w:r>
            <w:r>
              <w:rPr>
                <w:rFonts w:ascii="Arial" w:hAnsi="Arial"/>
                <w:sz w:val="14"/>
              </w:rPr>
              <w:t>: 10.1186/s41239-023-00408-3.</w:t>
            </w:r>
          </w:p>
        </w:tc>
        <w:tc>
          <w:tcPr>
            <w:tcW w:w="792" w:type="dxa"/>
          </w:tcPr>
          <w:p w14:paraId="491056FC" w14:textId="77777777" w:rsidR="003D52C5" w:rsidRDefault="003D52C5" w:rsidP="00316D81">
            <w:pPr>
              <w:jc w:val="center"/>
            </w:pPr>
            <w:r>
              <w:rPr>
                <w:rFonts w:ascii="Arial" w:hAnsi="Arial"/>
                <w:sz w:val="15"/>
              </w:rPr>
              <w:t>2023</w:t>
            </w:r>
          </w:p>
        </w:tc>
        <w:tc>
          <w:tcPr>
            <w:tcW w:w="3528" w:type="dxa"/>
          </w:tcPr>
          <w:p w14:paraId="12E5EC3F" w14:textId="77777777" w:rsidR="003D52C5" w:rsidRDefault="003D52C5" w:rsidP="00316D81">
            <w:r>
              <w:rPr>
                <w:rFonts w:ascii="Arial" w:hAnsi="Arial"/>
                <w:sz w:val="14"/>
              </w:rPr>
              <w:t>10.1186/s41239-023-00408-3</w:t>
            </w:r>
          </w:p>
        </w:tc>
        <w:tc>
          <w:tcPr>
            <w:tcW w:w="3384" w:type="dxa"/>
          </w:tcPr>
          <w:p w14:paraId="19A4F98B"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DC63E32" w14:textId="77777777" w:rsidTr="00316D81">
        <w:trPr>
          <w:jc w:val="center"/>
        </w:trPr>
        <w:tc>
          <w:tcPr>
            <w:tcW w:w="576" w:type="dxa"/>
          </w:tcPr>
          <w:p w14:paraId="24BB5A28" w14:textId="77777777" w:rsidR="003D52C5" w:rsidRDefault="003D52C5" w:rsidP="00316D81">
            <w:pPr>
              <w:jc w:val="center"/>
            </w:pPr>
            <w:r>
              <w:rPr>
                <w:rFonts w:ascii="Arial" w:hAnsi="Arial"/>
                <w:sz w:val="15"/>
              </w:rPr>
              <w:t>28</w:t>
            </w:r>
          </w:p>
        </w:tc>
        <w:tc>
          <w:tcPr>
            <w:tcW w:w="7848" w:type="dxa"/>
          </w:tcPr>
          <w:p w14:paraId="427E898C" w14:textId="2CB4FE5F" w:rsidR="003D52C5" w:rsidRDefault="003D52C5" w:rsidP="00316D81">
            <w:r>
              <w:rPr>
                <w:rFonts w:ascii="Arial" w:hAnsi="Arial"/>
                <w:sz w:val="14"/>
              </w:rPr>
              <w:t xml:space="preserve">Chatterjee, S. </w:t>
            </w:r>
            <w:r w:rsidR="00D82198">
              <w:rPr>
                <w:rFonts w:ascii="Arial" w:hAnsi="Arial"/>
                <w:sz w:val="14"/>
              </w:rPr>
              <w:t>and</w:t>
            </w:r>
            <w:r>
              <w:rPr>
                <w:rFonts w:ascii="Arial" w:hAnsi="Arial"/>
                <w:sz w:val="14"/>
              </w:rPr>
              <w:t xml:space="preserve"> Bhattacharjee, K. (2020). ‘Adoption of artificial intelligence in higher education: a quantitative analysis using structural equation modelling’, Education and Information Technologies, 25, pp. 3443–3463. </w:t>
            </w:r>
            <w:r w:rsidR="0028539F">
              <w:rPr>
                <w:rFonts w:ascii="Arial" w:hAnsi="Arial"/>
                <w:sz w:val="14"/>
              </w:rPr>
              <w:t>DOI</w:t>
            </w:r>
            <w:r>
              <w:rPr>
                <w:rFonts w:ascii="Arial" w:hAnsi="Arial"/>
                <w:sz w:val="14"/>
              </w:rPr>
              <w:t>: 10.1007/s10639-020-10159-7.</w:t>
            </w:r>
          </w:p>
        </w:tc>
        <w:tc>
          <w:tcPr>
            <w:tcW w:w="792" w:type="dxa"/>
          </w:tcPr>
          <w:p w14:paraId="0B6F919C" w14:textId="77777777" w:rsidR="003D52C5" w:rsidRDefault="003D52C5" w:rsidP="00316D81">
            <w:pPr>
              <w:jc w:val="center"/>
            </w:pPr>
            <w:r>
              <w:rPr>
                <w:rFonts w:ascii="Arial" w:hAnsi="Arial"/>
                <w:sz w:val="15"/>
              </w:rPr>
              <w:t>2020</w:t>
            </w:r>
          </w:p>
        </w:tc>
        <w:tc>
          <w:tcPr>
            <w:tcW w:w="3528" w:type="dxa"/>
          </w:tcPr>
          <w:p w14:paraId="5231C7AA" w14:textId="77777777" w:rsidR="003D52C5" w:rsidRDefault="003D52C5" w:rsidP="00316D81">
            <w:r>
              <w:rPr>
                <w:rFonts w:ascii="Arial" w:hAnsi="Arial"/>
                <w:sz w:val="14"/>
              </w:rPr>
              <w:t>10.1007/s10639-020-10159-7</w:t>
            </w:r>
          </w:p>
        </w:tc>
        <w:tc>
          <w:tcPr>
            <w:tcW w:w="3384" w:type="dxa"/>
          </w:tcPr>
          <w:p w14:paraId="5AC5B539"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28B63D1B" w14:textId="77777777" w:rsidTr="00316D81">
        <w:trPr>
          <w:jc w:val="center"/>
        </w:trPr>
        <w:tc>
          <w:tcPr>
            <w:tcW w:w="576" w:type="dxa"/>
          </w:tcPr>
          <w:p w14:paraId="694CF2FB" w14:textId="77777777" w:rsidR="003D52C5" w:rsidRDefault="003D52C5" w:rsidP="00316D81">
            <w:pPr>
              <w:jc w:val="center"/>
            </w:pPr>
            <w:r>
              <w:rPr>
                <w:rFonts w:ascii="Arial" w:hAnsi="Arial"/>
                <w:sz w:val="15"/>
              </w:rPr>
              <w:t>29</w:t>
            </w:r>
          </w:p>
        </w:tc>
        <w:tc>
          <w:tcPr>
            <w:tcW w:w="7848" w:type="dxa"/>
          </w:tcPr>
          <w:p w14:paraId="481279E6" w14:textId="3002B1FB" w:rsidR="003D52C5" w:rsidRDefault="003D52C5" w:rsidP="00316D81">
            <w:r>
              <w:rPr>
                <w:rFonts w:ascii="Arial" w:hAnsi="Arial"/>
                <w:sz w:val="14"/>
              </w:rPr>
              <w:t xml:space="preserve">Chavarria, A., Palau, R. </w:t>
            </w:r>
            <w:r w:rsidR="00D82198">
              <w:rPr>
                <w:rFonts w:ascii="Arial" w:hAnsi="Arial"/>
                <w:sz w:val="14"/>
              </w:rPr>
              <w:t>and</w:t>
            </w:r>
            <w:r>
              <w:rPr>
                <w:rFonts w:ascii="Arial" w:hAnsi="Arial"/>
                <w:sz w:val="14"/>
              </w:rPr>
              <w:t xml:space="preserve"> Santiago, R. (2025). ‘Navigating Stakeholders' Perspectives on Artificial Intelligence in Higher Education’, Algorithms, 18(6), 336. </w:t>
            </w:r>
            <w:r w:rsidR="0028539F">
              <w:rPr>
                <w:rFonts w:ascii="Arial" w:hAnsi="Arial"/>
                <w:sz w:val="14"/>
              </w:rPr>
              <w:t>DOI</w:t>
            </w:r>
            <w:r>
              <w:rPr>
                <w:rFonts w:ascii="Arial" w:hAnsi="Arial"/>
                <w:sz w:val="14"/>
              </w:rPr>
              <w:t>: 10.3390/a18060336.</w:t>
            </w:r>
          </w:p>
        </w:tc>
        <w:tc>
          <w:tcPr>
            <w:tcW w:w="792" w:type="dxa"/>
          </w:tcPr>
          <w:p w14:paraId="07DB49EB" w14:textId="77777777" w:rsidR="003D52C5" w:rsidRDefault="003D52C5" w:rsidP="00316D81">
            <w:pPr>
              <w:jc w:val="center"/>
            </w:pPr>
            <w:r>
              <w:rPr>
                <w:rFonts w:ascii="Arial" w:hAnsi="Arial"/>
                <w:sz w:val="15"/>
              </w:rPr>
              <w:t>2025</w:t>
            </w:r>
          </w:p>
        </w:tc>
        <w:tc>
          <w:tcPr>
            <w:tcW w:w="3528" w:type="dxa"/>
          </w:tcPr>
          <w:p w14:paraId="02AF7C4A" w14:textId="77777777" w:rsidR="003D52C5" w:rsidRDefault="003D52C5" w:rsidP="00316D81">
            <w:r>
              <w:rPr>
                <w:rFonts w:ascii="Arial" w:hAnsi="Arial"/>
                <w:sz w:val="14"/>
              </w:rPr>
              <w:t>10.3390/a18060336</w:t>
            </w:r>
          </w:p>
        </w:tc>
        <w:tc>
          <w:tcPr>
            <w:tcW w:w="3384" w:type="dxa"/>
          </w:tcPr>
          <w:p w14:paraId="213FD40A"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B58BC60" w14:textId="77777777" w:rsidTr="00316D81">
        <w:trPr>
          <w:jc w:val="center"/>
        </w:trPr>
        <w:tc>
          <w:tcPr>
            <w:tcW w:w="576" w:type="dxa"/>
          </w:tcPr>
          <w:p w14:paraId="72530B7F" w14:textId="77777777" w:rsidR="003D52C5" w:rsidRDefault="003D52C5" w:rsidP="00316D81">
            <w:pPr>
              <w:jc w:val="center"/>
            </w:pPr>
            <w:r>
              <w:rPr>
                <w:rFonts w:ascii="Arial" w:hAnsi="Arial"/>
                <w:sz w:val="15"/>
              </w:rPr>
              <w:t>30</w:t>
            </w:r>
          </w:p>
        </w:tc>
        <w:tc>
          <w:tcPr>
            <w:tcW w:w="7848" w:type="dxa"/>
          </w:tcPr>
          <w:p w14:paraId="76ED0D68" w14:textId="331FA22B" w:rsidR="003D52C5" w:rsidRDefault="003D52C5" w:rsidP="00316D81">
            <w:r>
              <w:rPr>
                <w:rFonts w:ascii="Arial" w:hAnsi="Arial"/>
                <w:sz w:val="14"/>
              </w:rPr>
              <w:t xml:space="preserve">Celik, I., Dindar, M., Muukkonen, H. </w:t>
            </w:r>
            <w:r w:rsidR="00D82198">
              <w:rPr>
                <w:rFonts w:ascii="Arial" w:hAnsi="Arial"/>
                <w:sz w:val="14"/>
              </w:rPr>
              <w:t>and</w:t>
            </w:r>
            <w:r>
              <w:rPr>
                <w:rFonts w:ascii="Arial" w:hAnsi="Arial"/>
                <w:sz w:val="14"/>
              </w:rPr>
              <w:t xml:space="preserve"> Jarvela, S. (2022). ‘The promises and challenges of artificial intelligence for teachers: a systematic review of research’, TechTrends, 66, pp. 616–630. </w:t>
            </w:r>
            <w:r w:rsidR="0028539F">
              <w:rPr>
                <w:rFonts w:ascii="Arial" w:hAnsi="Arial"/>
                <w:sz w:val="14"/>
              </w:rPr>
              <w:t>DOI</w:t>
            </w:r>
            <w:r>
              <w:rPr>
                <w:rFonts w:ascii="Arial" w:hAnsi="Arial"/>
                <w:sz w:val="14"/>
              </w:rPr>
              <w:t>: 10.1007/s11528-022-00715-y.</w:t>
            </w:r>
          </w:p>
        </w:tc>
        <w:tc>
          <w:tcPr>
            <w:tcW w:w="792" w:type="dxa"/>
          </w:tcPr>
          <w:p w14:paraId="7F283BCC" w14:textId="77777777" w:rsidR="003D52C5" w:rsidRDefault="003D52C5" w:rsidP="00316D81">
            <w:pPr>
              <w:jc w:val="center"/>
            </w:pPr>
            <w:r>
              <w:rPr>
                <w:rFonts w:ascii="Arial" w:hAnsi="Arial"/>
                <w:sz w:val="15"/>
              </w:rPr>
              <w:t>2022</w:t>
            </w:r>
          </w:p>
        </w:tc>
        <w:tc>
          <w:tcPr>
            <w:tcW w:w="3528" w:type="dxa"/>
          </w:tcPr>
          <w:p w14:paraId="458B0C67" w14:textId="77777777" w:rsidR="003D52C5" w:rsidRDefault="003D52C5" w:rsidP="00316D81">
            <w:r>
              <w:rPr>
                <w:rFonts w:ascii="Arial" w:hAnsi="Arial"/>
                <w:sz w:val="14"/>
              </w:rPr>
              <w:t>10.1007/s11528-022-00715-y</w:t>
            </w:r>
          </w:p>
        </w:tc>
        <w:tc>
          <w:tcPr>
            <w:tcW w:w="3384" w:type="dxa"/>
          </w:tcPr>
          <w:p w14:paraId="026798AC"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D9E7EFC" w14:textId="77777777" w:rsidTr="00316D81">
        <w:trPr>
          <w:jc w:val="center"/>
        </w:trPr>
        <w:tc>
          <w:tcPr>
            <w:tcW w:w="576" w:type="dxa"/>
          </w:tcPr>
          <w:p w14:paraId="763F8A10" w14:textId="77777777" w:rsidR="003D52C5" w:rsidRDefault="003D52C5" w:rsidP="00316D81">
            <w:pPr>
              <w:jc w:val="center"/>
            </w:pPr>
            <w:r>
              <w:rPr>
                <w:rFonts w:ascii="Arial" w:hAnsi="Arial"/>
                <w:sz w:val="15"/>
              </w:rPr>
              <w:t>31</w:t>
            </w:r>
          </w:p>
        </w:tc>
        <w:tc>
          <w:tcPr>
            <w:tcW w:w="7848" w:type="dxa"/>
          </w:tcPr>
          <w:p w14:paraId="7EA07AD3" w14:textId="2B53EA4C" w:rsidR="003D52C5" w:rsidRDefault="003D52C5" w:rsidP="00316D81">
            <w:r>
              <w:rPr>
                <w:rFonts w:ascii="Arial" w:hAnsi="Arial"/>
                <w:sz w:val="14"/>
              </w:rPr>
              <w:t xml:space="preserve">Cena, E., Brooks, J., Day, W., Goodman, S., Rousaki, A., Ruby-Granger, V. </w:t>
            </w:r>
            <w:r w:rsidR="00D82198">
              <w:rPr>
                <w:rFonts w:ascii="Arial" w:hAnsi="Arial"/>
                <w:sz w:val="14"/>
              </w:rPr>
              <w:t>and</w:t>
            </w:r>
            <w:r>
              <w:rPr>
                <w:rFonts w:ascii="Arial" w:hAnsi="Arial"/>
                <w:sz w:val="14"/>
              </w:rPr>
              <w:t xml:space="preserve"> Seymour-Smith, S. (2024). ‘Quality criteria: General and specific guidelines for qualitative approaches in psychology research. A concise guide for novice researchers and reviewers’, International Journal of Qualitative Methods, 23. </w:t>
            </w:r>
            <w:r w:rsidR="0028539F">
              <w:rPr>
                <w:rFonts w:ascii="Arial" w:hAnsi="Arial"/>
                <w:sz w:val="14"/>
              </w:rPr>
              <w:t>DOI</w:t>
            </w:r>
            <w:r>
              <w:rPr>
                <w:rFonts w:ascii="Arial" w:hAnsi="Arial"/>
                <w:sz w:val="14"/>
              </w:rPr>
              <w:t>: 10.1177/16094069241282843.</w:t>
            </w:r>
          </w:p>
        </w:tc>
        <w:tc>
          <w:tcPr>
            <w:tcW w:w="792" w:type="dxa"/>
          </w:tcPr>
          <w:p w14:paraId="6D94E9F5" w14:textId="77777777" w:rsidR="003D52C5" w:rsidRDefault="003D52C5" w:rsidP="00316D81">
            <w:pPr>
              <w:jc w:val="center"/>
            </w:pPr>
            <w:r>
              <w:rPr>
                <w:rFonts w:ascii="Arial" w:hAnsi="Arial"/>
                <w:sz w:val="15"/>
              </w:rPr>
              <w:t>2024</w:t>
            </w:r>
          </w:p>
        </w:tc>
        <w:tc>
          <w:tcPr>
            <w:tcW w:w="3528" w:type="dxa"/>
          </w:tcPr>
          <w:p w14:paraId="04E05F35" w14:textId="77777777" w:rsidR="003D52C5" w:rsidRDefault="003D52C5" w:rsidP="00316D81">
            <w:r>
              <w:rPr>
                <w:rFonts w:ascii="Arial" w:hAnsi="Arial"/>
                <w:sz w:val="14"/>
              </w:rPr>
              <w:t>10.1177/16094069241282843</w:t>
            </w:r>
          </w:p>
        </w:tc>
        <w:tc>
          <w:tcPr>
            <w:tcW w:w="3384" w:type="dxa"/>
          </w:tcPr>
          <w:p w14:paraId="2EB129D4"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FF20E97" w14:textId="77777777" w:rsidTr="00316D81">
        <w:trPr>
          <w:jc w:val="center"/>
        </w:trPr>
        <w:tc>
          <w:tcPr>
            <w:tcW w:w="576" w:type="dxa"/>
          </w:tcPr>
          <w:p w14:paraId="247A62A3" w14:textId="77777777" w:rsidR="003D52C5" w:rsidRDefault="003D52C5" w:rsidP="00316D81">
            <w:pPr>
              <w:jc w:val="center"/>
            </w:pPr>
            <w:r>
              <w:rPr>
                <w:rFonts w:ascii="Arial" w:hAnsi="Arial"/>
                <w:sz w:val="15"/>
              </w:rPr>
              <w:t>32</w:t>
            </w:r>
          </w:p>
        </w:tc>
        <w:tc>
          <w:tcPr>
            <w:tcW w:w="7848" w:type="dxa"/>
          </w:tcPr>
          <w:p w14:paraId="0626DFEF" w14:textId="1A76B243" w:rsidR="003D52C5" w:rsidRDefault="003D52C5" w:rsidP="00316D81">
            <w:r>
              <w:rPr>
                <w:rFonts w:ascii="Arial" w:hAnsi="Arial"/>
                <w:sz w:val="14"/>
              </w:rPr>
              <w:t xml:space="preserve">Coates, H., Croucher, G. </w:t>
            </w:r>
            <w:r w:rsidR="00D82198">
              <w:rPr>
                <w:rFonts w:ascii="Arial" w:hAnsi="Arial"/>
                <w:sz w:val="14"/>
              </w:rPr>
              <w:t>and</w:t>
            </w:r>
            <w:r>
              <w:rPr>
                <w:rFonts w:ascii="Arial" w:hAnsi="Arial"/>
                <w:sz w:val="14"/>
              </w:rPr>
              <w:t xml:space="preserve"> Calderon, A. (2025). ‘Governing Academic Integrity: Ensuring the Authenticity of Higher Thinking in the Era of Generative Artificial Intelligence’, Journal of Academic Ethics, 23, pp. 2015–2028. </w:t>
            </w:r>
            <w:r w:rsidR="0028539F">
              <w:rPr>
                <w:rFonts w:ascii="Arial" w:hAnsi="Arial"/>
                <w:sz w:val="14"/>
              </w:rPr>
              <w:t>DOI</w:t>
            </w:r>
            <w:r>
              <w:rPr>
                <w:rFonts w:ascii="Arial" w:hAnsi="Arial"/>
                <w:sz w:val="14"/>
              </w:rPr>
              <w:t>: 10.1007/s10805-025-09639-7.</w:t>
            </w:r>
          </w:p>
        </w:tc>
        <w:tc>
          <w:tcPr>
            <w:tcW w:w="792" w:type="dxa"/>
          </w:tcPr>
          <w:p w14:paraId="1C6989B3" w14:textId="77777777" w:rsidR="003D52C5" w:rsidRDefault="003D52C5" w:rsidP="00316D81">
            <w:pPr>
              <w:jc w:val="center"/>
            </w:pPr>
            <w:r>
              <w:rPr>
                <w:rFonts w:ascii="Arial" w:hAnsi="Arial"/>
                <w:sz w:val="15"/>
              </w:rPr>
              <w:t>2025</w:t>
            </w:r>
          </w:p>
        </w:tc>
        <w:tc>
          <w:tcPr>
            <w:tcW w:w="3528" w:type="dxa"/>
          </w:tcPr>
          <w:p w14:paraId="17D46282" w14:textId="77777777" w:rsidR="003D52C5" w:rsidRDefault="003D52C5" w:rsidP="00316D81">
            <w:r>
              <w:rPr>
                <w:rFonts w:ascii="Arial" w:hAnsi="Arial"/>
                <w:sz w:val="14"/>
              </w:rPr>
              <w:t>10.1007/s10805-025-09639-7</w:t>
            </w:r>
          </w:p>
        </w:tc>
        <w:tc>
          <w:tcPr>
            <w:tcW w:w="3384" w:type="dxa"/>
          </w:tcPr>
          <w:p w14:paraId="49D3DDD5"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2083AC7D" w14:textId="77777777" w:rsidTr="00316D81">
        <w:trPr>
          <w:jc w:val="center"/>
        </w:trPr>
        <w:tc>
          <w:tcPr>
            <w:tcW w:w="576" w:type="dxa"/>
          </w:tcPr>
          <w:p w14:paraId="6426AB5E" w14:textId="77777777" w:rsidR="003D52C5" w:rsidRDefault="003D52C5" w:rsidP="00316D81">
            <w:pPr>
              <w:jc w:val="center"/>
            </w:pPr>
            <w:r>
              <w:rPr>
                <w:rFonts w:ascii="Arial" w:hAnsi="Arial"/>
                <w:sz w:val="15"/>
              </w:rPr>
              <w:t>33</w:t>
            </w:r>
          </w:p>
        </w:tc>
        <w:tc>
          <w:tcPr>
            <w:tcW w:w="7848" w:type="dxa"/>
          </w:tcPr>
          <w:p w14:paraId="3A89204C" w14:textId="0BECEE03" w:rsidR="003D52C5" w:rsidRDefault="003D52C5" w:rsidP="00316D81">
            <w:r>
              <w:rPr>
                <w:rFonts w:ascii="Arial" w:hAnsi="Arial"/>
                <w:sz w:val="14"/>
              </w:rPr>
              <w:t xml:space="preserve">Cools, H. (2026). ‘Navigating the responsible AI landscape: unravelling the principles-to-practices gap of transparency and explainability at the BBC’, Information, Communication </w:t>
            </w:r>
            <w:r w:rsidR="00D82198">
              <w:rPr>
                <w:rFonts w:ascii="Arial" w:hAnsi="Arial"/>
                <w:sz w:val="14"/>
              </w:rPr>
              <w:t>and</w:t>
            </w:r>
            <w:r>
              <w:rPr>
                <w:rFonts w:ascii="Arial" w:hAnsi="Arial"/>
                <w:sz w:val="14"/>
              </w:rPr>
              <w:t xml:space="preserve"> Society, 29(5), pp. 1474–1494. </w:t>
            </w:r>
            <w:r w:rsidR="0028539F">
              <w:rPr>
                <w:rFonts w:ascii="Arial" w:hAnsi="Arial"/>
                <w:sz w:val="14"/>
              </w:rPr>
              <w:t>DOI</w:t>
            </w:r>
            <w:r>
              <w:rPr>
                <w:rFonts w:ascii="Arial" w:hAnsi="Arial"/>
                <w:sz w:val="14"/>
              </w:rPr>
              <w:t>: 10.1080/1369118X.2025.2553382.</w:t>
            </w:r>
          </w:p>
        </w:tc>
        <w:tc>
          <w:tcPr>
            <w:tcW w:w="792" w:type="dxa"/>
          </w:tcPr>
          <w:p w14:paraId="39A8D3B5" w14:textId="77777777" w:rsidR="003D52C5" w:rsidRDefault="003D52C5" w:rsidP="00316D81">
            <w:pPr>
              <w:jc w:val="center"/>
            </w:pPr>
            <w:r>
              <w:rPr>
                <w:rFonts w:ascii="Arial" w:hAnsi="Arial"/>
                <w:sz w:val="15"/>
              </w:rPr>
              <w:t>2026</w:t>
            </w:r>
          </w:p>
        </w:tc>
        <w:tc>
          <w:tcPr>
            <w:tcW w:w="3528" w:type="dxa"/>
          </w:tcPr>
          <w:p w14:paraId="1CCEA744" w14:textId="77777777" w:rsidR="003D52C5" w:rsidRDefault="003D52C5" w:rsidP="00316D81">
            <w:r>
              <w:rPr>
                <w:rFonts w:ascii="Arial" w:hAnsi="Arial"/>
                <w:sz w:val="14"/>
              </w:rPr>
              <w:t>10.1080/1369118X.2025.2553382</w:t>
            </w:r>
          </w:p>
        </w:tc>
        <w:tc>
          <w:tcPr>
            <w:tcW w:w="3384" w:type="dxa"/>
          </w:tcPr>
          <w:p w14:paraId="3EF38D62"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18A1E807" w14:textId="77777777" w:rsidTr="00316D81">
        <w:trPr>
          <w:jc w:val="center"/>
        </w:trPr>
        <w:tc>
          <w:tcPr>
            <w:tcW w:w="576" w:type="dxa"/>
          </w:tcPr>
          <w:p w14:paraId="767D009D" w14:textId="77777777" w:rsidR="003D52C5" w:rsidRDefault="003D52C5" w:rsidP="00316D81">
            <w:pPr>
              <w:jc w:val="center"/>
            </w:pPr>
            <w:r>
              <w:rPr>
                <w:rFonts w:ascii="Arial" w:hAnsi="Arial"/>
                <w:sz w:val="15"/>
              </w:rPr>
              <w:t>34</w:t>
            </w:r>
          </w:p>
        </w:tc>
        <w:tc>
          <w:tcPr>
            <w:tcW w:w="7848" w:type="dxa"/>
          </w:tcPr>
          <w:p w14:paraId="348D72A2" w14:textId="7BD50DE7" w:rsidR="003D52C5" w:rsidRDefault="003D52C5" w:rsidP="00316D81">
            <w:r>
              <w:rPr>
                <w:rFonts w:ascii="Arial" w:hAnsi="Arial"/>
                <w:sz w:val="14"/>
              </w:rPr>
              <w:t xml:space="preserve">Crompton, H., Burke, D., Nickel, C. et al. (2026). ‘Governing generative AI in higher education: a global Delphi study on policy and practice’, International Journal of Educational Technology in Higher Education, 23, 21. </w:t>
            </w:r>
            <w:r w:rsidR="0028539F">
              <w:rPr>
                <w:rFonts w:ascii="Arial" w:hAnsi="Arial"/>
                <w:sz w:val="14"/>
              </w:rPr>
              <w:t>DOI</w:t>
            </w:r>
            <w:r>
              <w:rPr>
                <w:rFonts w:ascii="Arial" w:hAnsi="Arial"/>
                <w:sz w:val="14"/>
              </w:rPr>
              <w:t>: 10.1186/s41239-026-00602-z.</w:t>
            </w:r>
          </w:p>
        </w:tc>
        <w:tc>
          <w:tcPr>
            <w:tcW w:w="792" w:type="dxa"/>
          </w:tcPr>
          <w:p w14:paraId="31738466" w14:textId="77777777" w:rsidR="003D52C5" w:rsidRDefault="003D52C5" w:rsidP="00316D81">
            <w:pPr>
              <w:jc w:val="center"/>
            </w:pPr>
            <w:r>
              <w:rPr>
                <w:rFonts w:ascii="Arial" w:hAnsi="Arial"/>
                <w:sz w:val="15"/>
              </w:rPr>
              <w:t>2026</w:t>
            </w:r>
          </w:p>
        </w:tc>
        <w:tc>
          <w:tcPr>
            <w:tcW w:w="3528" w:type="dxa"/>
          </w:tcPr>
          <w:p w14:paraId="37AB04D6" w14:textId="77777777" w:rsidR="003D52C5" w:rsidRDefault="003D52C5" w:rsidP="00316D81">
            <w:r>
              <w:rPr>
                <w:rFonts w:ascii="Arial" w:hAnsi="Arial"/>
                <w:sz w:val="14"/>
              </w:rPr>
              <w:t>10.1186/s41239-026-00602-z</w:t>
            </w:r>
          </w:p>
        </w:tc>
        <w:tc>
          <w:tcPr>
            <w:tcW w:w="3384" w:type="dxa"/>
          </w:tcPr>
          <w:p w14:paraId="36E56008"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B64770E" w14:textId="77777777" w:rsidTr="00316D81">
        <w:trPr>
          <w:jc w:val="center"/>
        </w:trPr>
        <w:tc>
          <w:tcPr>
            <w:tcW w:w="576" w:type="dxa"/>
          </w:tcPr>
          <w:p w14:paraId="164F1535" w14:textId="77777777" w:rsidR="003D52C5" w:rsidRDefault="003D52C5" w:rsidP="00316D81">
            <w:pPr>
              <w:jc w:val="center"/>
            </w:pPr>
            <w:r>
              <w:rPr>
                <w:rFonts w:ascii="Arial" w:hAnsi="Arial"/>
                <w:sz w:val="15"/>
              </w:rPr>
              <w:t>35</w:t>
            </w:r>
          </w:p>
        </w:tc>
        <w:tc>
          <w:tcPr>
            <w:tcW w:w="7848" w:type="dxa"/>
          </w:tcPr>
          <w:p w14:paraId="72ED62B9" w14:textId="3CD17DC8" w:rsidR="003D52C5" w:rsidRDefault="003D52C5" w:rsidP="00316D81">
            <w:r>
              <w:rPr>
                <w:rFonts w:ascii="Arial" w:hAnsi="Arial"/>
                <w:sz w:val="14"/>
              </w:rPr>
              <w:t xml:space="preserve">Crocco, E., Giacosa, E. </w:t>
            </w:r>
            <w:r w:rsidR="00D82198">
              <w:rPr>
                <w:rFonts w:ascii="Arial" w:hAnsi="Arial"/>
                <w:sz w:val="14"/>
              </w:rPr>
              <w:t>and</w:t>
            </w:r>
            <w:r>
              <w:rPr>
                <w:rFonts w:ascii="Arial" w:hAnsi="Arial"/>
                <w:sz w:val="14"/>
              </w:rPr>
              <w:t xml:space="preserve"> Culasso, F. (2024). ‘Stakeholder Engagement in Higher Education: State of the Art and Research Agenda’, IEEE Transactions on Engineering Management, 71, pp. 13457–13468. </w:t>
            </w:r>
            <w:r w:rsidR="0028539F">
              <w:rPr>
                <w:rFonts w:ascii="Arial" w:hAnsi="Arial"/>
                <w:sz w:val="14"/>
              </w:rPr>
              <w:t>DOI</w:t>
            </w:r>
            <w:r>
              <w:rPr>
                <w:rFonts w:ascii="Arial" w:hAnsi="Arial"/>
                <w:sz w:val="14"/>
              </w:rPr>
              <w:t>: 10.1109/TEM.2022.3218286.</w:t>
            </w:r>
          </w:p>
        </w:tc>
        <w:tc>
          <w:tcPr>
            <w:tcW w:w="792" w:type="dxa"/>
          </w:tcPr>
          <w:p w14:paraId="17F1568F" w14:textId="77777777" w:rsidR="003D52C5" w:rsidRDefault="003D52C5" w:rsidP="00316D81">
            <w:pPr>
              <w:jc w:val="center"/>
            </w:pPr>
            <w:r>
              <w:rPr>
                <w:rFonts w:ascii="Arial" w:hAnsi="Arial"/>
                <w:sz w:val="15"/>
              </w:rPr>
              <w:t>2024</w:t>
            </w:r>
          </w:p>
        </w:tc>
        <w:tc>
          <w:tcPr>
            <w:tcW w:w="3528" w:type="dxa"/>
          </w:tcPr>
          <w:p w14:paraId="20926F76" w14:textId="77777777" w:rsidR="003D52C5" w:rsidRDefault="003D52C5" w:rsidP="00316D81">
            <w:r>
              <w:rPr>
                <w:rFonts w:ascii="Arial" w:hAnsi="Arial"/>
                <w:sz w:val="14"/>
              </w:rPr>
              <w:t>10.1109/TEM.2022.3218286</w:t>
            </w:r>
          </w:p>
        </w:tc>
        <w:tc>
          <w:tcPr>
            <w:tcW w:w="3384" w:type="dxa"/>
          </w:tcPr>
          <w:p w14:paraId="2CCACE98"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38DDFFD2" w14:textId="77777777" w:rsidTr="00316D81">
        <w:trPr>
          <w:jc w:val="center"/>
        </w:trPr>
        <w:tc>
          <w:tcPr>
            <w:tcW w:w="576" w:type="dxa"/>
          </w:tcPr>
          <w:p w14:paraId="58384C1F" w14:textId="77777777" w:rsidR="003D52C5" w:rsidRDefault="003D52C5" w:rsidP="00316D81">
            <w:pPr>
              <w:jc w:val="center"/>
            </w:pPr>
            <w:r>
              <w:rPr>
                <w:rFonts w:ascii="Arial" w:hAnsi="Arial"/>
                <w:sz w:val="15"/>
              </w:rPr>
              <w:t>36</w:t>
            </w:r>
          </w:p>
        </w:tc>
        <w:tc>
          <w:tcPr>
            <w:tcW w:w="7848" w:type="dxa"/>
          </w:tcPr>
          <w:p w14:paraId="02CD1ACE" w14:textId="7EBE69EA" w:rsidR="003D52C5" w:rsidRDefault="003D52C5" w:rsidP="00316D81">
            <w:r>
              <w:rPr>
                <w:rFonts w:ascii="Arial" w:hAnsi="Arial"/>
                <w:sz w:val="14"/>
              </w:rPr>
              <w:t xml:space="preserve">Dabis, A., </w:t>
            </w:r>
            <w:r w:rsidR="00D82198">
              <w:rPr>
                <w:rFonts w:ascii="Arial" w:hAnsi="Arial"/>
                <w:sz w:val="14"/>
              </w:rPr>
              <w:t>and</w:t>
            </w:r>
            <w:r>
              <w:rPr>
                <w:rFonts w:ascii="Arial" w:hAnsi="Arial"/>
                <w:sz w:val="14"/>
              </w:rPr>
              <w:t xml:space="preserve"> Csaki, C. (2024). AI and ethics: Investigating the first policy responses of higher education institutions to the challenge of generative AI. Humanities and Social Sciences Communications, 11(1006). </w:t>
            </w:r>
            <w:r w:rsidR="0028539F">
              <w:rPr>
                <w:rFonts w:ascii="Arial" w:hAnsi="Arial"/>
                <w:sz w:val="14"/>
              </w:rPr>
              <w:t>DOI</w:t>
            </w:r>
            <w:r>
              <w:rPr>
                <w:rFonts w:ascii="Arial" w:hAnsi="Arial"/>
                <w:sz w:val="14"/>
              </w:rPr>
              <w:t>: 10.1057/s41599-024-03526-z</w:t>
            </w:r>
          </w:p>
        </w:tc>
        <w:tc>
          <w:tcPr>
            <w:tcW w:w="792" w:type="dxa"/>
          </w:tcPr>
          <w:p w14:paraId="118A06A3" w14:textId="77777777" w:rsidR="003D52C5" w:rsidRDefault="003D52C5" w:rsidP="00316D81">
            <w:pPr>
              <w:jc w:val="center"/>
            </w:pPr>
            <w:r>
              <w:rPr>
                <w:rFonts w:ascii="Arial" w:hAnsi="Arial"/>
                <w:sz w:val="15"/>
              </w:rPr>
              <w:t>2024</w:t>
            </w:r>
          </w:p>
        </w:tc>
        <w:tc>
          <w:tcPr>
            <w:tcW w:w="3528" w:type="dxa"/>
          </w:tcPr>
          <w:p w14:paraId="772D5EB9" w14:textId="77777777" w:rsidR="003D52C5" w:rsidRDefault="003D52C5" w:rsidP="00316D81">
            <w:r>
              <w:rPr>
                <w:rFonts w:ascii="Arial" w:hAnsi="Arial"/>
                <w:sz w:val="14"/>
              </w:rPr>
              <w:t>10.1057/s41599-024-03526-z</w:t>
            </w:r>
          </w:p>
        </w:tc>
        <w:tc>
          <w:tcPr>
            <w:tcW w:w="3384" w:type="dxa"/>
          </w:tcPr>
          <w:p w14:paraId="2297E94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4300D206" w14:textId="77777777" w:rsidTr="00316D81">
        <w:trPr>
          <w:jc w:val="center"/>
        </w:trPr>
        <w:tc>
          <w:tcPr>
            <w:tcW w:w="576" w:type="dxa"/>
          </w:tcPr>
          <w:p w14:paraId="37ABF4C1" w14:textId="77777777" w:rsidR="003D52C5" w:rsidRDefault="003D52C5" w:rsidP="00316D81">
            <w:pPr>
              <w:jc w:val="center"/>
            </w:pPr>
            <w:r>
              <w:rPr>
                <w:rFonts w:ascii="Arial" w:hAnsi="Arial"/>
                <w:sz w:val="15"/>
              </w:rPr>
              <w:t>37</w:t>
            </w:r>
          </w:p>
        </w:tc>
        <w:tc>
          <w:tcPr>
            <w:tcW w:w="7848" w:type="dxa"/>
          </w:tcPr>
          <w:p w14:paraId="5AD9654E" w14:textId="09256940" w:rsidR="003D52C5" w:rsidRDefault="003D52C5" w:rsidP="00316D81">
            <w:r>
              <w:rPr>
                <w:rFonts w:ascii="Arial" w:hAnsi="Arial"/>
                <w:sz w:val="14"/>
              </w:rPr>
              <w:t xml:space="preserve">Danaher, J. (2022). ‘Techno-optimism: an analysis, an evaluation and a modest defence’, Philosophy </w:t>
            </w:r>
            <w:r w:rsidR="00D82198">
              <w:rPr>
                <w:rFonts w:ascii="Arial" w:hAnsi="Arial"/>
                <w:sz w:val="14"/>
              </w:rPr>
              <w:t>and</w:t>
            </w:r>
            <w:r>
              <w:rPr>
                <w:rFonts w:ascii="Arial" w:hAnsi="Arial"/>
                <w:sz w:val="14"/>
              </w:rPr>
              <w:t xml:space="preserve"> Technology, 35, 54. </w:t>
            </w:r>
            <w:r w:rsidR="0028539F">
              <w:rPr>
                <w:rFonts w:ascii="Arial" w:hAnsi="Arial"/>
                <w:sz w:val="14"/>
              </w:rPr>
              <w:t>DOI</w:t>
            </w:r>
            <w:r>
              <w:rPr>
                <w:rFonts w:ascii="Arial" w:hAnsi="Arial"/>
                <w:sz w:val="14"/>
              </w:rPr>
              <w:t>: 10.1007/s13347-022-00550-2.</w:t>
            </w:r>
          </w:p>
        </w:tc>
        <w:tc>
          <w:tcPr>
            <w:tcW w:w="792" w:type="dxa"/>
          </w:tcPr>
          <w:p w14:paraId="61104F54" w14:textId="77777777" w:rsidR="003D52C5" w:rsidRDefault="003D52C5" w:rsidP="00316D81">
            <w:pPr>
              <w:jc w:val="center"/>
            </w:pPr>
            <w:r>
              <w:rPr>
                <w:rFonts w:ascii="Arial" w:hAnsi="Arial"/>
                <w:sz w:val="15"/>
              </w:rPr>
              <w:t>2022</w:t>
            </w:r>
          </w:p>
        </w:tc>
        <w:tc>
          <w:tcPr>
            <w:tcW w:w="3528" w:type="dxa"/>
          </w:tcPr>
          <w:p w14:paraId="49C03C3B" w14:textId="77777777" w:rsidR="003D52C5" w:rsidRDefault="003D52C5" w:rsidP="00316D81">
            <w:r>
              <w:rPr>
                <w:rFonts w:ascii="Arial" w:hAnsi="Arial"/>
                <w:sz w:val="14"/>
              </w:rPr>
              <w:t>10.1007/s13347-022-00550-2</w:t>
            </w:r>
          </w:p>
        </w:tc>
        <w:tc>
          <w:tcPr>
            <w:tcW w:w="3384" w:type="dxa"/>
          </w:tcPr>
          <w:p w14:paraId="6ED380CB"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1E391072" w14:textId="77777777" w:rsidTr="00316D81">
        <w:trPr>
          <w:jc w:val="center"/>
        </w:trPr>
        <w:tc>
          <w:tcPr>
            <w:tcW w:w="576" w:type="dxa"/>
          </w:tcPr>
          <w:p w14:paraId="118607C6" w14:textId="77777777" w:rsidR="003D52C5" w:rsidRDefault="003D52C5" w:rsidP="00316D81">
            <w:pPr>
              <w:jc w:val="center"/>
            </w:pPr>
            <w:r>
              <w:rPr>
                <w:rFonts w:ascii="Arial" w:hAnsi="Arial"/>
                <w:sz w:val="15"/>
              </w:rPr>
              <w:t>38</w:t>
            </w:r>
          </w:p>
        </w:tc>
        <w:tc>
          <w:tcPr>
            <w:tcW w:w="7848" w:type="dxa"/>
          </w:tcPr>
          <w:p w14:paraId="5DE4F75E" w14:textId="66F0CF6B" w:rsidR="003D52C5" w:rsidRDefault="003D52C5" w:rsidP="00316D81">
            <w:r>
              <w:rPr>
                <w:rFonts w:ascii="Arial" w:hAnsi="Arial"/>
                <w:sz w:val="14"/>
              </w:rPr>
              <w:t xml:space="preserve">David, P., Choung, H. </w:t>
            </w:r>
            <w:r w:rsidR="00D82198">
              <w:rPr>
                <w:rFonts w:ascii="Arial" w:hAnsi="Arial"/>
                <w:sz w:val="14"/>
              </w:rPr>
              <w:t>and</w:t>
            </w:r>
            <w:r>
              <w:rPr>
                <w:rFonts w:ascii="Arial" w:hAnsi="Arial"/>
                <w:sz w:val="14"/>
              </w:rPr>
              <w:t xml:space="preserve"> Seberger, J. (2024). ‘Who is responsible? US public perceptions of AI governance through the lenses of trust and ethics’. Public Understanding of Science, 33(5). </w:t>
            </w:r>
            <w:r w:rsidR="0028539F">
              <w:rPr>
                <w:rFonts w:ascii="Arial" w:hAnsi="Arial"/>
                <w:sz w:val="14"/>
              </w:rPr>
              <w:t>DOI</w:t>
            </w:r>
            <w:r>
              <w:rPr>
                <w:rFonts w:ascii="Arial" w:hAnsi="Arial"/>
                <w:sz w:val="14"/>
              </w:rPr>
              <w:t>: 10.1177/09636625231224592.</w:t>
            </w:r>
          </w:p>
        </w:tc>
        <w:tc>
          <w:tcPr>
            <w:tcW w:w="792" w:type="dxa"/>
          </w:tcPr>
          <w:p w14:paraId="33F2B315" w14:textId="77777777" w:rsidR="003D52C5" w:rsidRDefault="003D52C5" w:rsidP="00316D81">
            <w:pPr>
              <w:jc w:val="center"/>
            </w:pPr>
            <w:r>
              <w:rPr>
                <w:rFonts w:ascii="Arial" w:hAnsi="Arial"/>
                <w:sz w:val="15"/>
              </w:rPr>
              <w:t>2024</w:t>
            </w:r>
          </w:p>
        </w:tc>
        <w:tc>
          <w:tcPr>
            <w:tcW w:w="3528" w:type="dxa"/>
          </w:tcPr>
          <w:p w14:paraId="00CCEF9E" w14:textId="77777777" w:rsidR="003D52C5" w:rsidRDefault="003D52C5" w:rsidP="00316D81">
            <w:r>
              <w:rPr>
                <w:rFonts w:ascii="Arial" w:hAnsi="Arial"/>
                <w:sz w:val="14"/>
              </w:rPr>
              <w:t>10.1177/09636625231224592</w:t>
            </w:r>
          </w:p>
        </w:tc>
        <w:tc>
          <w:tcPr>
            <w:tcW w:w="3384" w:type="dxa"/>
          </w:tcPr>
          <w:p w14:paraId="511142B6"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72994A3D" w14:textId="77777777" w:rsidTr="00316D81">
        <w:trPr>
          <w:jc w:val="center"/>
        </w:trPr>
        <w:tc>
          <w:tcPr>
            <w:tcW w:w="576" w:type="dxa"/>
          </w:tcPr>
          <w:p w14:paraId="0E389991" w14:textId="77777777" w:rsidR="003D52C5" w:rsidRDefault="003D52C5" w:rsidP="00316D81">
            <w:pPr>
              <w:jc w:val="center"/>
            </w:pPr>
            <w:r>
              <w:rPr>
                <w:rFonts w:ascii="Arial" w:hAnsi="Arial"/>
                <w:sz w:val="15"/>
              </w:rPr>
              <w:t>39</w:t>
            </w:r>
          </w:p>
        </w:tc>
        <w:tc>
          <w:tcPr>
            <w:tcW w:w="7848" w:type="dxa"/>
          </w:tcPr>
          <w:p w14:paraId="2C681356" w14:textId="4F170AC0" w:rsidR="003D52C5" w:rsidRDefault="003D52C5" w:rsidP="00316D81">
            <w:r>
              <w:rPr>
                <w:rFonts w:ascii="Arial" w:hAnsi="Arial"/>
                <w:sz w:val="14"/>
              </w:rPr>
              <w:t xml:space="preserve">Dawadi, S., Shrestha, S. </w:t>
            </w:r>
            <w:r w:rsidR="00D82198">
              <w:rPr>
                <w:rFonts w:ascii="Arial" w:hAnsi="Arial"/>
                <w:sz w:val="14"/>
              </w:rPr>
              <w:t>and</w:t>
            </w:r>
            <w:r>
              <w:rPr>
                <w:rFonts w:ascii="Arial" w:hAnsi="Arial"/>
                <w:sz w:val="14"/>
              </w:rPr>
              <w:t xml:space="preserve"> Giri, R.A. (2021). ‘Mixed-methods research: A discussion on its types, challenges, and criticisms’, Journal of Practical Studies in Education, 2(2), pp. 25–36. </w:t>
            </w:r>
            <w:r w:rsidR="0028539F">
              <w:rPr>
                <w:rFonts w:ascii="Arial" w:hAnsi="Arial"/>
                <w:sz w:val="14"/>
              </w:rPr>
              <w:t>DOI</w:t>
            </w:r>
            <w:r>
              <w:rPr>
                <w:rFonts w:ascii="Arial" w:hAnsi="Arial"/>
                <w:sz w:val="14"/>
              </w:rPr>
              <w:t>: 10.46809/jpse.v2i2.20.</w:t>
            </w:r>
          </w:p>
        </w:tc>
        <w:tc>
          <w:tcPr>
            <w:tcW w:w="792" w:type="dxa"/>
          </w:tcPr>
          <w:p w14:paraId="2FBAA4E8" w14:textId="77777777" w:rsidR="003D52C5" w:rsidRDefault="003D52C5" w:rsidP="00316D81">
            <w:pPr>
              <w:jc w:val="center"/>
            </w:pPr>
            <w:r>
              <w:rPr>
                <w:rFonts w:ascii="Arial" w:hAnsi="Arial"/>
                <w:sz w:val="15"/>
              </w:rPr>
              <w:t>2021</w:t>
            </w:r>
          </w:p>
        </w:tc>
        <w:tc>
          <w:tcPr>
            <w:tcW w:w="3528" w:type="dxa"/>
          </w:tcPr>
          <w:p w14:paraId="265529E1" w14:textId="77777777" w:rsidR="003D52C5" w:rsidRDefault="003D52C5" w:rsidP="00316D81">
            <w:r>
              <w:rPr>
                <w:rFonts w:ascii="Arial" w:hAnsi="Arial"/>
                <w:sz w:val="14"/>
              </w:rPr>
              <w:t>10.46809/jpse.v2i2.20</w:t>
            </w:r>
          </w:p>
        </w:tc>
        <w:tc>
          <w:tcPr>
            <w:tcW w:w="3384" w:type="dxa"/>
          </w:tcPr>
          <w:p w14:paraId="2C346F29"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3253B31A" w14:textId="77777777" w:rsidTr="00316D81">
        <w:trPr>
          <w:jc w:val="center"/>
        </w:trPr>
        <w:tc>
          <w:tcPr>
            <w:tcW w:w="576" w:type="dxa"/>
          </w:tcPr>
          <w:p w14:paraId="7DC1F7E6" w14:textId="77777777" w:rsidR="003D52C5" w:rsidRDefault="003D52C5" w:rsidP="00316D81">
            <w:pPr>
              <w:jc w:val="center"/>
            </w:pPr>
            <w:r>
              <w:rPr>
                <w:rFonts w:ascii="Arial" w:hAnsi="Arial"/>
                <w:sz w:val="15"/>
              </w:rPr>
              <w:t>40</w:t>
            </w:r>
          </w:p>
        </w:tc>
        <w:tc>
          <w:tcPr>
            <w:tcW w:w="7848" w:type="dxa"/>
          </w:tcPr>
          <w:p w14:paraId="15502892" w14:textId="36DF6057" w:rsidR="003D52C5" w:rsidRDefault="003D52C5" w:rsidP="00316D81">
            <w:r>
              <w:rPr>
                <w:rFonts w:ascii="Arial" w:hAnsi="Arial"/>
                <w:sz w:val="14"/>
              </w:rPr>
              <w:t xml:space="preserve">De Almeida, P. </w:t>
            </w:r>
            <w:r w:rsidR="00D82198">
              <w:rPr>
                <w:rFonts w:ascii="Arial" w:hAnsi="Arial"/>
                <w:sz w:val="14"/>
              </w:rPr>
              <w:t>and</w:t>
            </w:r>
            <w:r>
              <w:rPr>
                <w:rFonts w:ascii="Arial" w:hAnsi="Arial"/>
                <w:sz w:val="14"/>
              </w:rPr>
              <w:t xml:space="preserve"> dos Santos Junior, C. (2025). ‘Artificial intelligence governance: Understanding how public organisations implement it’. Government Information Quarterly, 42(1), 102003. </w:t>
            </w:r>
            <w:r w:rsidR="0028539F">
              <w:rPr>
                <w:rFonts w:ascii="Arial" w:hAnsi="Arial"/>
                <w:sz w:val="14"/>
              </w:rPr>
              <w:t>DOI</w:t>
            </w:r>
            <w:r>
              <w:rPr>
                <w:rFonts w:ascii="Arial" w:hAnsi="Arial"/>
                <w:sz w:val="14"/>
              </w:rPr>
              <w:t>: 10.1016/j.giq.2024.102003.</w:t>
            </w:r>
          </w:p>
        </w:tc>
        <w:tc>
          <w:tcPr>
            <w:tcW w:w="792" w:type="dxa"/>
          </w:tcPr>
          <w:p w14:paraId="3F311FD0" w14:textId="77777777" w:rsidR="003D52C5" w:rsidRDefault="003D52C5" w:rsidP="00316D81">
            <w:pPr>
              <w:jc w:val="center"/>
            </w:pPr>
            <w:r>
              <w:rPr>
                <w:rFonts w:ascii="Arial" w:hAnsi="Arial"/>
                <w:sz w:val="15"/>
              </w:rPr>
              <w:t>2025</w:t>
            </w:r>
          </w:p>
        </w:tc>
        <w:tc>
          <w:tcPr>
            <w:tcW w:w="3528" w:type="dxa"/>
          </w:tcPr>
          <w:p w14:paraId="5A9E3FEF" w14:textId="77777777" w:rsidR="003D52C5" w:rsidRDefault="003D52C5" w:rsidP="00316D81">
            <w:r>
              <w:rPr>
                <w:rFonts w:ascii="Arial" w:hAnsi="Arial"/>
                <w:sz w:val="14"/>
              </w:rPr>
              <w:t>10.1016/j.giq.2024.102003</w:t>
            </w:r>
          </w:p>
        </w:tc>
        <w:tc>
          <w:tcPr>
            <w:tcW w:w="3384" w:type="dxa"/>
          </w:tcPr>
          <w:p w14:paraId="040797B5"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5C7AC61F" w14:textId="77777777" w:rsidTr="00316D81">
        <w:trPr>
          <w:jc w:val="center"/>
        </w:trPr>
        <w:tc>
          <w:tcPr>
            <w:tcW w:w="576" w:type="dxa"/>
          </w:tcPr>
          <w:p w14:paraId="500AB6B3" w14:textId="77777777" w:rsidR="003D52C5" w:rsidRDefault="003D52C5" w:rsidP="00316D81">
            <w:pPr>
              <w:jc w:val="center"/>
            </w:pPr>
            <w:r>
              <w:rPr>
                <w:rFonts w:ascii="Arial" w:hAnsi="Arial"/>
                <w:sz w:val="15"/>
              </w:rPr>
              <w:t>41</w:t>
            </w:r>
          </w:p>
        </w:tc>
        <w:tc>
          <w:tcPr>
            <w:tcW w:w="7848" w:type="dxa"/>
          </w:tcPr>
          <w:p w14:paraId="460FCB17" w14:textId="6A34C130" w:rsidR="003D52C5" w:rsidRDefault="003D52C5" w:rsidP="00316D81">
            <w:r>
              <w:rPr>
                <w:rFonts w:ascii="Arial" w:hAnsi="Arial"/>
                <w:sz w:val="14"/>
              </w:rPr>
              <w:t xml:space="preserve">Deho, O.B., Zhan, C., Li, J., Liu, J., Liu, L. </w:t>
            </w:r>
            <w:r w:rsidR="00D82198">
              <w:rPr>
                <w:rFonts w:ascii="Arial" w:hAnsi="Arial"/>
                <w:sz w:val="14"/>
              </w:rPr>
              <w:t>and</w:t>
            </w:r>
            <w:r>
              <w:rPr>
                <w:rFonts w:ascii="Arial" w:hAnsi="Arial"/>
                <w:sz w:val="14"/>
              </w:rPr>
              <w:t xml:space="preserve"> Le, T.D. (2022). ‘How do the existing fairness metrics and unfairness mitigation algorithms contribute to ethical learning analytics?’, British Journal of Educational Technology, 53, pp. 822–843. </w:t>
            </w:r>
            <w:r w:rsidR="0028539F">
              <w:rPr>
                <w:rFonts w:ascii="Arial" w:hAnsi="Arial"/>
                <w:sz w:val="14"/>
              </w:rPr>
              <w:t>DOI</w:t>
            </w:r>
            <w:r>
              <w:rPr>
                <w:rFonts w:ascii="Arial" w:hAnsi="Arial"/>
                <w:sz w:val="14"/>
              </w:rPr>
              <w:t>: 10.1111/bjet.13217.</w:t>
            </w:r>
          </w:p>
        </w:tc>
        <w:tc>
          <w:tcPr>
            <w:tcW w:w="792" w:type="dxa"/>
          </w:tcPr>
          <w:p w14:paraId="66EF17EE" w14:textId="77777777" w:rsidR="003D52C5" w:rsidRDefault="003D52C5" w:rsidP="00316D81">
            <w:pPr>
              <w:jc w:val="center"/>
            </w:pPr>
            <w:r>
              <w:rPr>
                <w:rFonts w:ascii="Arial" w:hAnsi="Arial"/>
                <w:sz w:val="15"/>
              </w:rPr>
              <w:t>2022</w:t>
            </w:r>
          </w:p>
        </w:tc>
        <w:tc>
          <w:tcPr>
            <w:tcW w:w="3528" w:type="dxa"/>
          </w:tcPr>
          <w:p w14:paraId="7D75F8D9" w14:textId="77777777" w:rsidR="003D52C5" w:rsidRDefault="003D52C5" w:rsidP="00316D81">
            <w:r>
              <w:rPr>
                <w:rFonts w:ascii="Arial" w:hAnsi="Arial"/>
                <w:sz w:val="14"/>
              </w:rPr>
              <w:t>10.1111/bjet.13217</w:t>
            </w:r>
          </w:p>
        </w:tc>
        <w:tc>
          <w:tcPr>
            <w:tcW w:w="3384" w:type="dxa"/>
          </w:tcPr>
          <w:p w14:paraId="31D8928C"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30795545" w14:textId="77777777" w:rsidTr="00316D81">
        <w:trPr>
          <w:jc w:val="center"/>
        </w:trPr>
        <w:tc>
          <w:tcPr>
            <w:tcW w:w="576" w:type="dxa"/>
          </w:tcPr>
          <w:p w14:paraId="6D0F751E" w14:textId="77777777" w:rsidR="003D52C5" w:rsidRDefault="003D52C5" w:rsidP="00316D81">
            <w:pPr>
              <w:jc w:val="center"/>
            </w:pPr>
            <w:r>
              <w:rPr>
                <w:rFonts w:ascii="Arial" w:hAnsi="Arial"/>
                <w:sz w:val="15"/>
              </w:rPr>
              <w:lastRenderedPageBreak/>
              <w:t>42</w:t>
            </w:r>
          </w:p>
        </w:tc>
        <w:tc>
          <w:tcPr>
            <w:tcW w:w="7848" w:type="dxa"/>
          </w:tcPr>
          <w:p w14:paraId="050CE249" w14:textId="432B97F6" w:rsidR="003D52C5" w:rsidRDefault="003D52C5" w:rsidP="00316D81">
            <w:r>
              <w:rPr>
                <w:rFonts w:ascii="Arial" w:hAnsi="Arial"/>
                <w:sz w:val="14"/>
              </w:rPr>
              <w:t xml:space="preserve">DiMaggio, P. </w:t>
            </w:r>
            <w:r w:rsidR="00D82198">
              <w:rPr>
                <w:rFonts w:ascii="Arial" w:hAnsi="Arial"/>
                <w:sz w:val="14"/>
              </w:rPr>
              <w:t>and</w:t>
            </w:r>
            <w:r>
              <w:rPr>
                <w:rFonts w:ascii="Arial" w:hAnsi="Arial"/>
                <w:sz w:val="14"/>
              </w:rPr>
              <w:t xml:space="preserve"> Powell, W. (1983). ‘The iron cage revisited: Institutional isomorphism and collective rationality in organisational fields’, American Sociological Review, 48(2), pp. 147–160. </w:t>
            </w:r>
            <w:r w:rsidR="0028539F">
              <w:rPr>
                <w:rFonts w:ascii="Arial" w:hAnsi="Arial"/>
                <w:sz w:val="14"/>
              </w:rPr>
              <w:t>DOI</w:t>
            </w:r>
            <w:r>
              <w:rPr>
                <w:rFonts w:ascii="Arial" w:hAnsi="Arial"/>
                <w:sz w:val="14"/>
              </w:rPr>
              <w:t>: 10.2307/2095101.</w:t>
            </w:r>
          </w:p>
        </w:tc>
        <w:tc>
          <w:tcPr>
            <w:tcW w:w="792" w:type="dxa"/>
          </w:tcPr>
          <w:p w14:paraId="5A51AAAA" w14:textId="77777777" w:rsidR="003D52C5" w:rsidRDefault="003D52C5" w:rsidP="00316D81">
            <w:pPr>
              <w:jc w:val="center"/>
            </w:pPr>
            <w:r>
              <w:rPr>
                <w:rFonts w:ascii="Arial" w:hAnsi="Arial"/>
                <w:sz w:val="15"/>
              </w:rPr>
              <w:t>1983</w:t>
            </w:r>
          </w:p>
        </w:tc>
        <w:tc>
          <w:tcPr>
            <w:tcW w:w="3528" w:type="dxa"/>
          </w:tcPr>
          <w:p w14:paraId="0A0D12AE" w14:textId="77777777" w:rsidR="003D52C5" w:rsidRDefault="003D52C5" w:rsidP="00316D81">
            <w:r>
              <w:rPr>
                <w:rFonts w:ascii="Arial" w:hAnsi="Arial"/>
                <w:sz w:val="14"/>
              </w:rPr>
              <w:t>10.2307/2095101</w:t>
            </w:r>
          </w:p>
        </w:tc>
        <w:tc>
          <w:tcPr>
            <w:tcW w:w="3384" w:type="dxa"/>
          </w:tcPr>
          <w:p w14:paraId="3292454C" w14:textId="77777777" w:rsidR="003D52C5" w:rsidRDefault="003D52C5" w:rsidP="00316D81">
            <w:r>
              <w:rPr>
                <w:rFonts w:ascii="Arial" w:hAnsi="Arial"/>
                <w:sz w:val="15"/>
              </w:rPr>
              <w:t>Provides theoretical support for strategic management, organisational capability, institutional pressures and the proposed SGM.</w:t>
            </w:r>
          </w:p>
        </w:tc>
      </w:tr>
      <w:tr w:rsidR="003D52C5" w14:paraId="0BCED96D" w14:textId="77777777" w:rsidTr="00316D81">
        <w:trPr>
          <w:jc w:val="center"/>
        </w:trPr>
        <w:tc>
          <w:tcPr>
            <w:tcW w:w="576" w:type="dxa"/>
          </w:tcPr>
          <w:p w14:paraId="39C8F7AE" w14:textId="77777777" w:rsidR="003D52C5" w:rsidRDefault="003D52C5" w:rsidP="00316D81">
            <w:pPr>
              <w:jc w:val="center"/>
            </w:pPr>
            <w:r>
              <w:rPr>
                <w:rFonts w:ascii="Arial" w:hAnsi="Arial"/>
                <w:sz w:val="15"/>
              </w:rPr>
              <w:t>43</w:t>
            </w:r>
          </w:p>
        </w:tc>
        <w:tc>
          <w:tcPr>
            <w:tcW w:w="7848" w:type="dxa"/>
          </w:tcPr>
          <w:p w14:paraId="6DD2B037" w14:textId="6EA4D900" w:rsidR="003D52C5" w:rsidRDefault="003D52C5" w:rsidP="00316D81">
            <w:r>
              <w:rPr>
                <w:rFonts w:ascii="Arial" w:hAnsi="Arial"/>
                <w:sz w:val="14"/>
              </w:rPr>
              <w:t xml:space="preserve">Drisko, J. (2025). ‘Transferability and Generalisation in Qualitative Research’, Research on Social Work Practice, 35(1), pp. 102–110. </w:t>
            </w:r>
            <w:r w:rsidR="0028539F">
              <w:rPr>
                <w:rFonts w:ascii="Arial" w:hAnsi="Arial"/>
                <w:sz w:val="14"/>
              </w:rPr>
              <w:t>DOI</w:t>
            </w:r>
            <w:r>
              <w:rPr>
                <w:rFonts w:ascii="Arial" w:hAnsi="Arial"/>
                <w:sz w:val="14"/>
              </w:rPr>
              <w:t>: 10.1177/10497315241256560.</w:t>
            </w:r>
          </w:p>
        </w:tc>
        <w:tc>
          <w:tcPr>
            <w:tcW w:w="792" w:type="dxa"/>
          </w:tcPr>
          <w:p w14:paraId="46BF1E4C" w14:textId="77777777" w:rsidR="003D52C5" w:rsidRDefault="003D52C5" w:rsidP="00316D81">
            <w:pPr>
              <w:jc w:val="center"/>
            </w:pPr>
            <w:r>
              <w:rPr>
                <w:rFonts w:ascii="Arial" w:hAnsi="Arial"/>
                <w:sz w:val="15"/>
              </w:rPr>
              <w:t>2025</w:t>
            </w:r>
          </w:p>
        </w:tc>
        <w:tc>
          <w:tcPr>
            <w:tcW w:w="3528" w:type="dxa"/>
          </w:tcPr>
          <w:p w14:paraId="2CFA2E3D" w14:textId="77777777" w:rsidR="003D52C5" w:rsidRDefault="003D52C5" w:rsidP="00316D81">
            <w:r>
              <w:rPr>
                <w:rFonts w:ascii="Arial" w:hAnsi="Arial"/>
                <w:sz w:val="14"/>
              </w:rPr>
              <w:t>10.1177/10497315241256560</w:t>
            </w:r>
          </w:p>
        </w:tc>
        <w:tc>
          <w:tcPr>
            <w:tcW w:w="3384" w:type="dxa"/>
          </w:tcPr>
          <w:p w14:paraId="14CCB1D4"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39805AA3" w14:textId="77777777" w:rsidTr="00316D81">
        <w:trPr>
          <w:jc w:val="center"/>
        </w:trPr>
        <w:tc>
          <w:tcPr>
            <w:tcW w:w="576" w:type="dxa"/>
          </w:tcPr>
          <w:p w14:paraId="1977E20C" w14:textId="77777777" w:rsidR="003D52C5" w:rsidRDefault="003D52C5" w:rsidP="00316D81">
            <w:pPr>
              <w:jc w:val="center"/>
            </w:pPr>
            <w:r>
              <w:rPr>
                <w:rFonts w:ascii="Arial" w:hAnsi="Arial"/>
                <w:sz w:val="15"/>
              </w:rPr>
              <w:t>44</w:t>
            </w:r>
          </w:p>
        </w:tc>
        <w:tc>
          <w:tcPr>
            <w:tcW w:w="7848" w:type="dxa"/>
          </w:tcPr>
          <w:p w14:paraId="2727A9B9" w14:textId="711157C9" w:rsidR="003D52C5" w:rsidRDefault="003D52C5" w:rsidP="00316D81">
            <w:r>
              <w:rPr>
                <w:rFonts w:ascii="Arial" w:hAnsi="Arial"/>
                <w:sz w:val="14"/>
              </w:rPr>
              <w:t xml:space="preserve">Edwards, P., O’Mahoney, J. </w:t>
            </w:r>
            <w:r w:rsidR="00D82198">
              <w:rPr>
                <w:rFonts w:ascii="Arial" w:hAnsi="Arial"/>
                <w:sz w:val="14"/>
              </w:rPr>
              <w:t>and</w:t>
            </w:r>
            <w:r>
              <w:rPr>
                <w:rFonts w:ascii="Arial" w:hAnsi="Arial"/>
                <w:sz w:val="14"/>
              </w:rPr>
              <w:t xml:space="preserve"> Vincent, S. (2014). Studying Organizations Using Critical Realism: A Practical Guide. Oxford: Oxford University Press.</w:t>
            </w:r>
            <w:r w:rsidR="0028539F">
              <w:rPr>
                <w:rFonts w:ascii="Arial" w:hAnsi="Arial"/>
                <w:sz w:val="14"/>
              </w:rPr>
              <w:t>DOI</w:t>
            </w:r>
            <w:r>
              <w:rPr>
                <w:rFonts w:ascii="Arial" w:hAnsi="Arial"/>
                <w:sz w:val="14"/>
              </w:rPr>
              <w:t>: 10.1093/acprof:oso/9780199665525.001.0001.</w:t>
            </w:r>
          </w:p>
        </w:tc>
        <w:tc>
          <w:tcPr>
            <w:tcW w:w="792" w:type="dxa"/>
          </w:tcPr>
          <w:p w14:paraId="37A6DCFF" w14:textId="77777777" w:rsidR="003D52C5" w:rsidRDefault="003D52C5" w:rsidP="00316D81">
            <w:pPr>
              <w:jc w:val="center"/>
            </w:pPr>
            <w:r>
              <w:rPr>
                <w:rFonts w:ascii="Arial" w:hAnsi="Arial"/>
                <w:sz w:val="15"/>
              </w:rPr>
              <w:t>2014</w:t>
            </w:r>
          </w:p>
        </w:tc>
        <w:tc>
          <w:tcPr>
            <w:tcW w:w="3528" w:type="dxa"/>
          </w:tcPr>
          <w:p w14:paraId="177904B8" w14:textId="77777777" w:rsidR="003D52C5" w:rsidRDefault="003D52C5" w:rsidP="00316D81">
            <w:r>
              <w:rPr>
                <w:rFonts w:ascii="Arial" w:hAnsi="Arial"/>
                <w:sz w:val="14"/>
              </w:rPr>
              <w:t>10.1093/acprof:oso/9780199665525.001.0001</w:t>
            </w:r>
          </w:p>
        </w:tc>
        <w:tc>
          <w:tcPr>
            <w:tcW w:w="3384" w:type="dxa"/>
          </w:tcPr>
          <w:p w14:paraId="18B6D7C5"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4A7D3AE9" w14:textId="77777777" w:rsidTr="00316D81">
        <w:trPr>
          <w:jc w:val="center"/>
        </w:trPr>
        <w:tc>
          <w:tcPr>
            <w:tcW w:w="576" w:type="dxa"/>
          </w:tcPr>
          <w:p w14:paraId="0C21F04A" w14:textId="77777777" w:rsidR="003D52C5" w:rsidRDefault="003D52C5" w:rsidP="00316D81">
            <w:pPr>
              <w:jc w:val="center"/>
            </w:pPr>
            <w:r>
              <w:rPr>
                <w:rFonts w:ascii="Arial" w:hAnsi="Arial"/>
                <w:sz w:val="15"/>
              </w:rPr>
              <w:t>45</w:t>
            </w:r>
          </w:p>
        </w:tc>
        <w:tc>
          <w:tcPr>
            <w:tcW w:w="7848" w:type="dxa"/>
          </w:tcPr>
          <w:p w14:paraId="0D0C0EE4" w14:textId="5D48ED6B" w:rsidR="003D52C5" w:rsidRDefault="003D52C5" w:rsidP="00316D81">
            <w:r>
              <w:rPr>
                <w:rFonts w:ascii="Arial" w:hAnsi="Arial"/>
                <w:sz w:val="14"/>
              </w:rPr>
              <w:t xml:space="preserve">Erdmann, A. </w:t>
            </w:r>
            <w:r w:rsidR="00D82198">
              <w:rPr>
                <w:rFonts w:ascii="Arial" w:hAnsi="Arial"/>
                <w:sz w:val="14"/>
              </w:rPr>
              <w:t>and</w:t>
            </w:r>
            <w:r>
              <w:rPr>
                <w:rFonts w:ascii="Arial" w:hAnsi="Arial"/>
                <w:sz w:val="14"/>
              </w:rPr>
              <w:t xml:space="preserve"> Potthoff, S. (2023). ‘Decision Criteria for the Ethically Reflected Choice of a Member Check Method in Qualitative Research: A Proposal for Discussion’, International Journal of Qualitative Methods, 22. </w:t>
            </w:r>
            <w:r w:rsidR="0028539F">
              <w:rPr>
                <w:rFonts w:ascii="Arial" w:hAnsi="Arial"/>
                <w:sz w:val="14"/>
              </w:rPr>
              <w:t>DOI</w:t>
            </w:r>
            <w:r>
              <w:rPr>
                <w:rFonts w:ascii="Arial" w:hAnsi="Arial"/>
                <w:sz w:val="14"/>
              </w:rPr>
              <w:t>: 10.1177/16094069231177664.</w:t>
            </w:r>
          </w:p>
        </w:tc>
        <w:tc>
          <w:tcPr>
            <w:tcW w:w="792" w:type="dxa"/>
          </w:tcPr>
          <w:p w14:paraId="22A409A9" w14:textId="77777777" w:rsidR="003D52C5" w:rsidRDefault="003D52C5" w:rsidP="00316D81">
            <w:pPr>
              <w:jc w:val="center"/>
            </w:pPr>
            <w:r>
              <w:rPr>
                <w:rFonts w:ascii="Arial" w:hAnsi="Arial"/>
                <w:sz w:val="15"/>
              </w:rPr>
              <w:t>2023</w:t>
            </w:r>
          </w:p>
        </w:tc>
        <w:tc>
          <w:tcPr>
            <w:tcW w:w="3528" w:type="dxa"/>
          </w:tcPr>
          <w:p w14:paraId="0A136127" w14:textId="77777777" w:rsidR="003D52C5" w:rsidRDefault="003D52C5" w:rsidP="00316D81">
            <w:r>
              <w:rPr>
                <w:rFonts w:ascii="Arial" w:hAnsi="Arial"/>
                <w:sz w:val="14"/>
              </w:rPr>
              <w:t>10.1177/16094069231177664</w:t>
            </w:r>
          </w:p>
        </w:tc>
        <w:tc>
          <w:tcPr>
            <w:tcW w:w="3384" w:type="dxa"/>
          </w:tcPr>
          <w:p w14:paraId="2482D6F5"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74C79240" w14:textId="77777777" w:rsidTr="00316D81">
        <w:trPr>
          <w:jc w:val="center"/>
        </w:trPr>
        <w:tc>
          <w:tcPr>
            <w:tcW w:w="576" w:type="dxa"/>
          </w:tcPr>
          <w:p w14:paraId="4149E88B" w14:textId="77777777" w:rsidR="003D52C5" w:rsidRDefault="003D52C5" w:rsidP="00316D81">
            <w:pPr>
              <w:jc w:val="center"/>
            </w:pPr>
            <w:r>
              <w:rPr>
                <w:rFonts w:ascii="Arial" w:hAnsi="Arial"/>
                <w:sz w:val="15"/>
              </w:rPr>
              <w:t>46</w:t>
            </w:r>
          </w:p>
        </w:tc>
        <w:tc>
          <w:tcPr>
            <w:tcW w:w="7848" w:type="dxa"/>
          </w:tcPr>
          <w:p w14:paraId="4B6AE58D" w14:textId="2900F236" w:rsidR="003D52C5" w:rsidRDefault="003D52C5" w:rsidP="00316D81">
            <w:r>
              <w:rPr>
                <w:rFonts w:ascii="Arial" w:hAnsi="Arial"/>
                <w:sz w:val="14"/>
              </w:rPr>
              <w:t xml:space="preserve">Feilzer, M. (2023). ‘A Pragmatist Approach to Mixed Methods Research’, Philosophical Foundations of Mixed Methods Research. London: Routledge. </w:t>
            </w:r>
            <w:r w:rsidR="0028539F">
              <w:rPr>
                <w:rFonts w:ascii="Arial" w:hAnsi="Arial"/>
                <w:sz w:val="14"/>
              </w:rPr>
              <w:t>DOI</w:t>
            </w:r>
            <w:r>
              <w:rPr>
                <w:rFonts w:ascii="Arial" w:hAnsi="Arial"/>
                <w:sz w:val="14"/>
              </w:rPr>
              <w:t>: 10.4324/9781003273288.</w:t>
            </w:r>
          </w:p>
        </w:tc>
        <w:tc>
          <w:tcPr>
            <w:tcW w:w="792" w:type="dxa"/>
          </w:tcPr>
          <w:p w14:paraId="5EF52FE2" w14:textId="77777777" w:rsidR="003D52C5" w:rsidRDefault="003D52C5" w:rsidP="00316D81">
            <w:pPr>
              <w:jc w:val="center"/>
            </w:pPr>
            <w:r>
              <w:rPr>
                <w:rFonts w:ascii="Arial" w:hAnsi="Arial"/>
                <w:sz w:val="15"/>
              </w:rPr>
              <w:t>2023</w:t>
            </w:r>
          </w:p>
        </w:tc>
        <w:tc>
          <w:tcPr>
            <w:tcW w:w="3528" w:type="dxa"/>
          </w:tcPr>
          <w:p w14:paraId="7F3ACCE3" w14:textId="77777777" w:rsidR="003D52C5" w:rsidRDefault="003D52C5" w:rsidP="00316D81">
            <w:r>
              <w:rPr>
                <w:rFonts w:ascii="Arial" w:hAnsi="Arial"/>
                <w:sz w:val="14"/>
              </w:rPr>
              <w:t>10.4324/9781003273288</w:t>
            </w:r>
          </w:p>
        </w:tc>
        <w:tc>
          <w:tcPr>
            <w:tcW w:w="3384" w:type="dxa"/>
          </w:tcPr>
          <w:p w14:paraId="0DD30DDD"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0B9C379" w14:textId="77777777" w:rsidTr="00316D81">
        <w:trPr>
          <w:jc w:val="center"/>
        </w:trPr>
        <w:tc>
          <w:tcPr>
            <w:tcW w:w="576" w:type="dxa"/>
          </w:tcPr>
          <w:p w14:paraId="27429F95" w14:textId="77777777" w:rsidR="003D52C5" w:rsidRDefault="003D52C5" w:rsidP="00316D81">
            <w:pPr>
              <w:jc w:val="center"/>
            </w:pPr>
            <w:r>
              <w:rPr>
                <w:rFonts w:ascii="Arial" w:hAnsi="Arial"/>
                <w:sz w:val="15"/>
              </w:rPr>
              <w:t>47</w:t>
            </w:r>
          </w:p>
        </w:tc>
        <w:tc>
          <w:tcPr>
            <w:tcW w:w="7848" w:type="dxa"/>
          </w:tcPr>
          <w:p w14:paraId="41F0D432" w14:textId="7E8C18D2" w:rsidR="003D52C5" w:rsidRDefault="003D52C5" w:rsidP="00316D81">
            <w:r>
              <w:rPr>
                <w:rFonts w:ascii="Arial" w:hAnsi="Arial"/>
                <w:sz w:val="14"/>
              </w:rPr>
              <w:t xml:space="preserve">Fleetwood, S. (2005). ‘Ontology in Organisation and Management Studies: A Critical Realist Perspective’, Organisation, 12(2), pp. 197–222. </w:t>
            </w:r>
            <w:r w:rsidR="0028539F">
              <w:rPr>
                <w:rFonts w:ascii="Arial" w:hAnsi="Arial"/>
                <w:sz w:val="14"/>
              </w:rPr>
              <w:t>DOI</w:t>
            </w:r>
            <w:r>
              <w:rPr>
                <w:rFonts w:ascii="Arial" w:hAnsi="Arial"/>
                <w:sz w:val="14"/>
              </w:rPr>
              <w:t>: 10.1177/1350508405051188.</w:t>
            </w:r>
          </w:p>
        </w:tc>
        <w:tc>
          <w:tcPr>
            <w:tcW w:w="792" w:type="dxa"/>
          </w:tcPr>
          <w:p w14:paraId="4F095D6D" w14:textId="77777777" w:rsidR="003D52C5" w:rsidRDefault="003D52C5" w:rsidP="00316D81">
            <w:pPr>
              <w:jc w:val="center"/>
            </w:pPr>
            <w:r>
              <w:rPr>
                <w:rFonts w:ascii="Arial" w:hAnsi="Arial"/>
                <w:sz w:val="15"/>
              </w:rPr>
              <w:t>2005</w:t>
            </w:r>
          </w:p>
        </w:tc>
        <w:tc>
          <w:tcPr>
            <w:tcW w:w="3528" w:type="dxa"/>
          </w:tcPr>
          <w:p w14:paraId="35520194" w14:textId="77777777" w:rsidR="003D52C5" w:rsidRDefault="003D52C5" w:rsidP="00316D81">
            <w:r>
              <w:rPr>
                <w:rFonts w:ascii="Arial" w:hAnsi="Arial"/>
                <w:sz w:val="14"/>
              </w:rPr>
              <w:t>10.1177/1350508405051188</w:t>
            </w:r>
          </w:p>
        </w:tc>
        <w:tc>
          <w:tcPr>
            <w:tcW w:w="3384" w:type="dxa"/>
          </w:tcPr>
          <w:p w14:paraId="26136295"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4AA5F480" w14:textId="77777777" w:rsidTr="00316D81">
        <w:trPr>
          <w:jc w:val="center"/>
        </w:trPr>
        <w:tc>
          <w:tcPr>
            <w:tcW w:w="576" w:type="dxa"/>
          </w:tcPr>
          <w:p w14:paraId="018CCE87" w14:textId="77777777" w:rsidR="003D52C5" w:rsidRDefault="003D52C5" w:rsidP="00316D81">
            <w:pPr>
              <w:jc w:val="center"/>
            </w:pPr>
            <w:r>
              <w:rPr>
                <w:rFonts w:ascii="Arial" w:hAnsi="Arial"/>
                <w:sz w:val="15"/>
              </w:rPr>
              <w:t>48</w:t>
            </w:r>
          </w:p>
        </w:tc>
        <w:tc>
          <w:tcPr>
            <w:tcW w:w="7848" w:type="dxa"/>
          </w:tcPr>
          <w:p w14:paraId="11DBD528" w14:textId="45BA045A" w:rsidR="003D52C5" w:rsidRDefault="003D52C5" w:rsidP="00316D81">
            <w:r>
              <w:rPr>
                <w:rFonts w:ascii="Arial" w:hAnsi="Arial"/>
                <w:sz w:val="14"/>
              </w:rPr>
              <w:t xml:space="preserve">Field, E., Kennedy, E. and Cristancho, S. (2024) ‘How to locate yourself in the research process: The role of positionality’, The Clinical Teacher, 21(6), e13819. </w:t>
            </w:r>
            <w:r w:rsidR="0028539F">
              <w:rPr>
                <w:rFonts w:ascii="Arial" w:hAnsi="Arial"/>
                <w:sz w:val="14"/>
              </w:rPr>
              <w:t>DOI</w:t>
            </w:r>
            <w:r>
              <w:rPr>
                <w:rFonts w:ascii="Arial" w:hAnsi="Arial"/>
                <w:sz w:val="14"/>
              </w:rPr>
              <w:t>: 10.1111/tct.13819.</w:t>
            </w:r>
          </w:p>
        </w:tc>
        <w:tc>
          <w:tcPr>
            <w:tcW w:w="792" w:type="dxa"/>
          </w:tcPr>
          <w:p w14:paraId="398D1748" w14:textId="77777777" w:rsidR="003D52C5" w:rsidRDefault="003D52C5" w:rsidP="00316D81">
            <w:pPr>
              <w:jc w:val="center"/>
            </w:pPr>
            <w:r>
              <w:rPr>
                <w:rFonts w:ascii="Arial" w:hAnsi="Arial"/>
                <w:sz w:val="15"/>
              </w:rPr>
              <w:t>2024</w:t>
            </w:r>
          </w:p>
        </w:tc>
        <w:tc>
          <w:tcPr>
            <w:tcW w:w="3528" w:type="dxa"/>
          </w:tcPr>
          <w:p w14:paraId="74C2E987" w14:textId="77777777" w:rsidR="003D52C5" w:rsidRDefault="003D52C5" w:rsidP="00316D81">
            <w:r>
              <w:rPr>
                <w:rFonts w:ascii="Arial" w:hAnsi="Arial"/>
                <w:sz w:val="14"/>
              </w:rPr>
              <w:t>10.1111/tct.13819</w:t>
            </w:r>
          </w:p>
        </w:tc>
        <w:tc>
          <w:tcPr>
            <w:tcW w:w="3384" w:type="dxa"/>
          </w:tcPr>
          <w:p w14:paraId="7485C365"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4B9BB765" w14:textId="77777777" w:rsidTr="00316D81">
        <w:trPr>
          <w:jc w:val="center"/>
        </w:trPr>
        <w:tc>
          <w:tcPr>
            <w:tcW w:w="576" w:type="dxa"/>
          </w:tcPr>
          <w:p w14:paraId="5BA1A140" w14:textId="77777777" w:rsidR="003D52C5" w:rsidRDefault="003D52C5" w:rsidP="00316D81">
            <w:pPr>
              <w:jc w:val="center"/>
            </w:pPr>
            <w:r>
              <w:rPr>
                <w:rFonts w:ascii="Arial" w:hAnsi="Arial"/>
                <w:sz w:val="15"/>
              </w:rPr>
              <w:t>49</w:t>
            </w:r>
          </w:p>
        </w:tc>
        <w:tc>
          <w:tcPr>
            <w:tcW w:w="7848" w:type="dxa"/>
          </w:tcPr>
          <w:p w14:paraId="62B3EA6A" w14:textId="2836523A" w:rsidR="003D52C5" w:rsidRDefault="003D52C5" w:rsidP="00316D81">
            <w:r>
              <w:rPr>
                <w:rFonts w:ascii="Arial" w:hAnsi="Arial"/>
                <w:sz w:val="14"/>
              </w:rPr>
              <w:t xml:space="preserve">Fuchs, O. </w:t>
            </w:r>
            <w:r w:rsidR="00D82198">
              <w:rPr>
                <w:rFonts w:ascii="Arial" w:hAnsi="Arial"/>
                <w:sz w:val="14"/>
              </w:rPr>
              <w:t>and</w:t>
            </w:r>
            <w:r>
              <w:rPr>
                <w:rFonts w:ascii="Arial" w:hAnsi="Arial"/>
                <w:sz w:val="14"/>
              </w:rPr>
              <w:t xml:space="preserve"> Robinson, C. (2024). ‘Operationalising critical realism for case study research’, Qualitative Research Journal, 24(3), pp. 245–266. </w:t>
            </w:r>
            <w:r w:rsidR="0028539F">
              <w:rPr>
                <w:rFonts w:ascii="Arial" w:hAnsi="Arial"/>
                <w:sz w:val="14"/>
              </w:rPr>
              <w:t>DOI</w:t>
            </w:r>
            <w:r>
              <w:rPr>
                <w:rFonts w:ascii="Arial" w:hAnsi="Arial"/>
                <w:sz w:val="14"/>
              </w:rPr>
              <w:t>: 10.1108/QRJ-07-2023-0118.</w:t>
            </w:r>
          </w:p>
        </w:tc>
        <w:tc>
          <w:tcPr>
            <w:tcW w:w="792" w:type="dxa"/>
          </w:tcPr>
          <w:p w14:paraId="2B34E05E" w14:textId="77777777" w:rsidR="003D52C5" w:rsidRDefault="003D52C5" w:rsidP="00316D81">
            <w:pPr>
              <w:jc w:val="center"/>
            </w:pPr>
            <w:r>
              <w:rPr>
                <w:rFonts w:ascii="Arial" w:hAnsi="Arial"/>
                <w:sz w:val="15"/>
              </w:rPr>
              <w:t>2024</w:t>
            </w:r>
          </w:p>
        </w:tc>
        <w:tc>
          <w:tcPr>
            <w:tcW w:w="3528" w:type="dxa"/>
          </w:tcPr>
          <w:p w14:paraId="2690334B" w14:textId="77777777" w:rsidR="003D52C5" w:rsidRDefault="003D52C5" w:rsidP="00316D81">
            <w:r>
              <w:rPr>
                <w:rFonts w:ascii="Arial" w:hAnsi="Arial"/>
                <w:sz w:val="14"/>
              </w:rPr>
              <w:t>10.1108/QRJ-07-2023-0118</w:t>
            </w:r>
          </w:p>
        </w:tc>
        <w:tc>
          <w:tcPr>
            <w:tcW w:w="3384" w:type="dxa"/>
          </w:tcPr>
          <w:p w14:paraId="050C801E"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5F8A27DC" w14:textId="77777777" w:rsidTr="00316D81">
        <w:trPr>
          <w:jc w:val="center"/>
        </w:trPr>
        <w:tc>
          <w:tcPr>
            <w:tcW w:w="576" w:type="dxa"/>
          </w:tcPr>
          <w:p w14:paraId="2FD775E2" w14:textId="77777777" w:rsidR="003D52C5" w:rsidRDefault="003D52C5" w:rsidP="00316D81">
            <w:pPr>
              <w:jc w:val="center"/>
            </w:pPr>
            <w:r>
              <w:rPr>
                <w:rFonts w:ascii="Arial" w:hAnsi="Arial"/>
                <w:sz w:val="15"/>
              </w:rPr>
              <w:t>50</w:t>
            </w:r>
          </w:p>
        </w:tc>
        <w:tc>
          <w:tcPr>
            <w:tcW w:w="7848" w:type="dxa"/>
          </w:tcPr>
          <w:p w14:paraId="77D230EC" w14:textId="7F282664" w:rsidR="003D52C5" w:rsidRDefault="003D52C5" w:rsidP="00316D81">
            <w:r>
              <w:rPr>
                <w:rFonts w:ascii="Arial" w:hAnsi="Arial"/>
                <w:sz w:val="14"/>
              </w:rPr>
              <w:t xml:space="preserve">Gagua, A., van der Voort, H., Goyal, N. </w:t>
            </w:r>
            <w:r w:rsidR="00D82198">
              <w:rPr>
                <w:rFonts w:ascii="Arial" w:hAnsi="Arial"/>
                <w:sz w:val="14"/>
              </w:rPr>
              <w:t>and</w:t>
            </w:r>
            <w:r>
              <w:rPr>
                <w:rFonts w:ascii="Arial" w:hAnsi="Arial"/>
                <w:sz w:val="14"/>
              </w:rPr>
              <w:t xml:space="preserve"> Verbraeck, A. (2025). ‘Responsible AI Governance in the Public Sector: Explaining Contextual Dynamics Through a Realist Synthesis Review’. Ethics and Society, 8(1), pp. 990–1002. </w:t>
            </w:r>
            <w:r w:rsidR="0028539F">
              <w:rPr>
                <w:rFonts w:ascii="Arial" w:hAnsi="Arial"/>
                <w:sz w:val="14"/>
              </w:rPr>
              <w:t>DOI</w:t>
            </w:r>
            <w:r>
              <w:rPr>
                <w:rFonts w:ascii="Arial" w:hAnsi="Arial"/>
                <w:sz w:val="14"/>
              </w:rPr>
              <w:t>: 10.1609/aies.v8i1.36606.</w:t>
            </w:r>
          </w:p>
        </w:tc>
        <w:tc>
          <w:tcPr>
            <w:tcW w:w="792" w:type="dxa"/>
          </w:tcPr>
          <w:p w14:paraId="55ABB50F" w14:textId="77777777" w:rsidR="003D52C5" w:rsidRDefault="003D52C5" w:rsidP="00316D81">
            <w:pPr>
              <w:jc w:val="center"/>
            </w:pPr>
            <w:r>
              <w:rPr>
                <w:rFonts w:ascii="Arial" w:hAnsi="Arial"/>
                <w:sz w:val="15"/>
              </w:rPr>
              <w:t>2025</w:t>
            </w:r>
          </w:p>
        </w:tc>
        <w:tc>
          <w:tcPr>
            <w:tcW w:w="3528" w:type="dxa"/>
          </w:tcPr>
          <w:p w14:paraId="374DECDF" w14:textId="77777777" w:rsidR="003D52C5" w:rsidRDefault="003D52C5" w:rsidP="00316D81">
            <w:r>
              <w:rPr>
                <w:rFonts w:ascii="Arial" w:hAnsi="Arial"/>
                <w:sz w:val="14"/>
              </w:rPr>
              <w:t>10.1609/aies.v8i1.36606</w:t>
            </w:r>
          </w:p>
        </w:tc>
        <w:tc>
          <w:tcPr>
            <w:tcW w:w="3384" w:type="dxa"/>
          </w:tcPr>
          <w:p w14:paraId="4384FA7B"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59E81AD3" w14:textId="77777777" w:rsidTr="00316D81">
        <w:trPr>
          <w:jc w:val="center"/>
        </w:trPr>
        <w:tc>
          <w:tcPr>
            <w:tcW w:w="576" w:type="dxa"/>
          </w:tcPr>
          <w:p w14:paraId="52280155" w14:textId="77777777" w:rsidR="003D52C5" w:rsidRDefault="003D52C5" w:rsidP="00316D81">
            <w:pPr>
              <w:jc w:val="center"/>
            </w:pPr>
            <w:r>
              <w:rPr>
                <w:rFonts w:ascii="Arial" w:hAnsi="Arial"/>
                <w:sz w:val="15"/>
              </w:rPr>
              <w:t>51</w:t>
            </w:r>
          </w:p>
        </w:tc>
        <w:tc>
          <w:tcPr>
            <w:tcW w:w="7848" w:type="dxa"/>
          </w:tcPr>
          <w:p w14:paraId="63C7EE9F" w14:textId="4FB52F26" w:rsidR="003D52C5" w:rsidRDefault="003D52C5" w:rsidP="00316D81">
            <w:r>
              <w:rPr>
                <w:rFonts w:ascii="Arial" w:hAnsi="Arial"/>
                <w:sz w:val="14"/>
              </w:rPr>
              <w:t xml:space="preserve">Gellai, D. (2023). ‘Enterprising academics: Heterarchical policy networks for artificial intelligence in British higher education’, ECNU Review of Education, 6(4). </w:t>
            </w:r>
            <w:r w:rsidR="0028539F">
              <w:rPr>
                <w:rFonts w:ascii="Arial" w:hAnsi="Arial"/>
                <w:sz w:val="14"/>
              </w:rPr>
              <w:t>DOI</w:t>
            </w:r>
            <w:r>
              <w:rPr>
                <w:rFonts w:ascii="Arial" w:hAnsi="Arial"/>
                <w:sz w:val="14"/>
              </w:rPr>
              <w:t>: 10.1177/20965311221143798.</w:t>
            </w:r>
          </w:p>
        </w:tc>
        <w:tc>
          <w:tcPr>
            <w:tcW w:w="792" w:type="dxa"/>
          </w:tcPr>
          <w:p w14:paraId="081A3450" w14:textId="77777777" w:rsidR="003D52C5" w:rsidRDefault="003D52C5" w:rsidP="00316D81">
            <w:pPr>
              <w:jc w:val="center"/>
            </w:pPr>
            <w:r>
              <w:rPr>
                <w:rFonts w:ascii="Arial" w:hAnsi="Arial"/>
                <w:sz w:val="15"/>
              </w:rPr>
              <w:t>2023</w:t>
            </w:r>
          </w:p>
        </w:tc>
        <w:tc>
          <w:tcPr>
            <w:tcW w:w="3528" w:type="dxa"/>
          </w:tcPr>
          <w:p w14:paraId="70559FC6" w14:textId="77777777" w:rsidR="003D52C5" w:rsidRDefault="003D52C5" w:rsidP="00316D81">
            <w:r>
              <w:rPr>
                <w:rFonts w:ascii="Arial" w:hAnsi="Arial"/>
                <w:sz w:val="14"/>
              </w:rPr>
              <w:t>10.1177/20965311221143798</w:t>
            </w:r>
          </w:p>
        </w:tc>
        <w:tc>
          <w:tcPr>
            <w:tcW w:w="3384" w:type="dxa"/>
          </w:tcPr>
          <w:p w14:paraId="1FDF7068"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99A4509" w14:textId="77777777" w:rsidTr="00316D81">
        <w:trPr>
          <w:jc w:val="center"/>
        </w:trPr>
        <w:tc>
          <w:tcPr>
            <w:tcW w:w="576" w:type="dxa"/>
          </w:tcPr>
          <w:p w14:paraId="3859F0B6" w14:textId="77777777" w:rsidR="003D52C5" w:rsidRDefault="003D52C5" w:rsidP="00316D81">
            <w:pPr>
              <w:jc w:val="center"/>
            </w:pPr>
            <w:r>
              <w:rPr>
                <w:rFonts w:ascii="Arial" w:hAnsi="Arial"/>
                <w:sz w:val="15"/>
              </w:rPr>
              <w:t>52</w:t>
            </w:r>
          </w:p>
        </w:tc>
        <w:tc>
          <w:tcPr>
            <w:tcW w:w="7848" w:type="dxa"/>
          </w:tcPr>
          <w:p w14:paraId="6D744AB5" w14:textId="707E32C5" w:rsidR="003D52C5" w:rsidRDefault="003D52C5" w:rsidP="00316D81">
            <w:r>
              <w:rPr>
                <w:rFonts w:ascii="Arial" w:hAnsi="Arial"/>
                <w:sz w:val="14"/>
              </w:rPr>
              <w:t xml:space="preserve">George, B. </w:t>
            </w:r>
            <w:r w:rsidR="00D82198">
              <w:rPr>
                <w:rFonts w:ascii="Arial" w:hAnsi="Arial"/>
                <w:sz w:val="14"/>
              </w:rPr>
              <w:t>and</w:t>
            </w:r>
            <w:r>
              <w:rPr>
                <w:rFonts w:ascii="Arial" w:hAnsi="Arial"/>
                <w:sz w:val="14"/>
              </w:rPr>
              <w:t xml:space="preserve"> Sevak, K. (2026). ‘Artificial intelligence in higher education: Opportunities and concerns’, Research and Practice in Technology Enhanced Learning, 21, 019. </w:t>
            </w:r>
            <w:r w:rsidR="0028539F">
              <w:rPr>
                <w:rFonts w:ascii="Arial" w:hAnsi="Arial"/>
                <w:sz w:val="14"/>
              </w:rPr>
              <w:t>DOI</w:t>
            </w:r>
            <w:r>
              <w:rPr>
                <w:rFonts w:ascii="Arial" w:hAnsi="Arial"/>
                <w:sz w:val="14"/>
              </w:rPr>
              <w:t>: 10.58459/rptel.2026.21019.</w:t>
            </w:r>
          </w:p>
        </w:tc>
        <w:tc>
          <w:tcPr>
            <w:tcW w:w="792" w:type="dxa"/>
          </w:tcPr>
          <w:p w14:paraId="216304BB" w14:textId="77777777" w:rsidR="003D52C5" w:rsidRDefault="003D52C5" w:rsidP="00316D81">
            <w:pPr>
              <w:jc w:val="center"/>
            </w:pPr>
            <w:r>
              <w:rPr>
                <w:rFonts w:ascii="Arial" w:hAnsi="Arial"/>
                <w:sz w:val="15"/>
              </w:rPr>
              <w:t>2026</w:t>
            </w:r>
          </w:p>
        </w:tc>
        <w:tc>
          <w:tcPr>
            <w:tcW w:w="3528" w:type="dxa"/>
          </w:tcPr>
          <w:p w14:paraId="6EB940E3" w14:textId="77777777" w:rsidR="003D52C5" w:rsidRDefault="003D52C5" w:rsidP="00316D81">
            <w:r>
              <w:rPr>
                <w:rFonts w:ascii="Arial" w:hAnsi="Arial"/>
                <w:sz w:val="14"/>
              </w:rPr>
              <w:t>10.58459/rptel.2026.21019</w:t>
            </w:r>
          </w:p>
        </w:tc>
        <w:tc>
          <w:tcPr>
            <w:tcW w:w="3384" w:type="dxa"/>
          </w:tcPr>
          <w:p w14:paraId="53FB4531"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3D7AF14" w14:textId="77777777" w:rsidTr="00316D81">
        <w:trPr>
          <w:jc w:val="center"/>
        </w:trPr>
        <w:tc>
          <w:tcPr>
            <w:tcW w:w="576" w:type="dxa"/>
          </w:tcPr>
          <w:p w14:paraId="5E575B1C" w14:textId="77777777" w:rsidR="003D52C5" w:rsidRDefault="003D52C5" w:rsidP="00316D81">
            <w:pPr>
              <w:jc w:val="center"/>
            </w:pPr>
            <w:r>
              <w:rPr>
                <w:rFonts w:ascii="Arial" w:hAnsi="Arial"/>
                <w:sz w:val="15"/>
              </w:rPr>
              <w:t>53</w:t>
            </w:r>
          </w:p>
        </w:tc>
        <w:tc>
          <w:tcPr>
            <w:tcW w:w="7848" w:type="dxa"/>
          </w:tcPr>
          <w:p w14:paraId="584F3024" w14:textId="1163380B" w:rsidR="003D52C5" w:rsidRDefault="003D52C5" w:rsidP="00316D81">
            <w:r>
              <w:rPr>
                <w:rFonts w:ascii="Arial" w:hAnsi="Arial"/>
                <w:sz w:val="14"/>
              </w:rPr>
              <w:t xml:space="preserve">Gianni, R., Lehtinen, S. </w:t>
            </w:r>
            <w:r w:rsidR="00D82198">
              <w:rPr>
                <w:rFonts w:ascii="Arial" w:hAnsi="Arial"/>
                <w:sz w:val="14"/>
              </w:rPr>
              <w:t>and</w:t>
            </w:r>
            <w:r>
              <w:rPr>
                <w:rFonts w:ascii="Arial" w:hAnsi="Arial"/>
                <w:sz w:val="14"/>
              </w:rPr>
              <w:t xml:space="preserve"> Nieminen, M. (2022). ‘Governance of Responsible AI: From Ethical Guidelines to Cooperative Policies’, Frontiers in Computer Science, 4, 873437. </w:t>
            </w:r>
            <w:r w:rsidR="0028539F">
              <w:rPr>
                <w:rFonts w:ascii="Arial" w:hAnsi="Arial"/>
                <w:sz w:val="14"/>
              </w:rPr>
              <w:t>DOI</w:t>
            </w:r>
            <w:r>
              <w:rPr>
                <w:rFonts w:ascii="Arial" w:hAnsi="Arial"/>
                <w:sz w:val="14"/>
              </w:rPr>
              <w:t>: 10.3389/fcomp.2022.873437.</w:t>
            </w:r>
          </w:p>
        </w:tc>
        <w:tc>
          <w:tcPr>
            <w:tcW w:w="792" w:type="dxa"/>
          </w:tcPr>
          <w:p w14:paraId="70F6AF4A" w14:textId="77777777" w:rsidR="003D52C5" w:rsidRDefault="003D52C5" w:rsidP="00316D81">
            <w:pPr>
              <w:jc w:val="center"/>
            </w:pPr>
            <w:r>
              <w:rPr>
                <w:rFonts w:ascii="Arial" w:hAnsi="Arial"/>
                <w:sz w:val="15"/>
              </w:rPr>
              <w:t>2022</w:t>
            </w:r>
          </w:p>
        </w:tc>
        <w:tc>
          <w:tcPr>
            <w:tcW w:w="3528" w:type="dxa"/>
          </w:tcPr>
          <w:p w14:paraId="42AF9E65" w14:textId="77777777" w:rsidR="003D52C5" w:rsidRDefault="003D52C5" w:rsidP="00316D81">
            <w:r>
              <w:rPr>
                <w:rFonts w:ascii="Arial" w:hAnsi="Arial"/>
                <w:sz w:val="14"/>
              </w:rPr>
              <w:t>10.3389/fcomp.2022.873437</w:t>
            </w:r>
          </w:p>
        </w:tc>
        <w:tc>
          <w:tcPr>
            <w:tcW w:w="3384" w:type="dxa"/>
          </w:tcPr>
          <w:p w14:paraId="665C73E9"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5420F0B9" w14:textId="77777777" w:rsidTr="00316D81">
        <w:trPr>
          <w:jc w:val="center"/>
        </w:trPr>
        <w:tc>
          <w:tcPr>
            <w:tcW w:w="576" w:type="dxa"/>
          </w:tcPr>
          <w:p w14:paraId="0464484B" w14:textId="77777777" w:rsidR="003D52C5" w:rsidRDefault="003D52C5" w:rsidP="00316D81">
            <w:pPr>
              <w:jc w:val="center"/>
            </w:pPr>
            <w:r>
              <w:rPr>
                <w:rFonts w:ascii="Arial" w:hAnsi="Arial"/>
                <w:sz w:val="15"/>
              </w:rPr>
              <w:t>54</w:t>
            </w:r>
          </w:p>
        </w:tc>
        <w:tc>
          <w:tcPr>
            <w:tcW w:w="7848" w:type="dxa"/>
          </w:tcPr>
          <w:p w14:paraId="1636174D" w14:textId="4159CEA7" w:rsidR="003D52C5" w:rsidRDefault="003D52C5" w:rsidP="00316D81">
            <w:r>
              <w:rPr>
                <w:rFonts w:ascii="Arial" w:hAnsi="Arial"/>
                <w:sz w:val="14"/>
              </w:rPr>
              <w:t xml:space="preserve">Gomes, M., Ramos, A., </w:t>
            </w:r>
            <w:r w:rsidR="00D82198">
              <w:rPr>
                <w:rFonts w:ascii="Arial" w:hAnsi="Arial"/>
                <w:sz w:val="14"/>
              </w:rPr>
              <w:t>and</w:t>
            </w:r>
            <w:r>
              <w:rPr>
                <w:rFonts w:ascii="Arial" w:hAnsi="Arial"/>
                <w:sz w:val="14"/>
              </w:rPr>
              <w:t xml:space="preserve"> de Oliveira, K. (2025). ‘Guidelines and frameworks of governance for the adoption of generative artificial intelligence in higher education institutions: a scoping review’. Revista de Administração da UFSM, </w:t>
            </w:r>
            <w:r w:rsidR="0028539F">
              <w:rPr>
                <w:rFonts w:ascii="Arial" w:hAnsi="Arial"/>
                <w:sz w:val="14"/>
              </w:rPr>
              <w:t>DOI</w:t>
            </w:r>
            <w:r>
              <w:rPr>
                <w:rFonts w:ascii="Arial" w:hAnsi="Arial"/>
                <w:sz w:val="14"/>
              </w:rPr>
              <w:t>: 10.5902/1983465990871.</w:t>
            </w:r>
          </w:p>
        </w:tc>
        <w:tc>
          <w:tcPr>
            <w:tcW w:w="792" w:type="dxa"/>
          </w:tcPr>
          <w:p w14:paraId="3428A556" w14:textId="77777777" w:rsidR="003D52C5" w:rsidRDefault="003D52C5" w:rsidP="00316D81">
            <w:pPr>
              <w:jc w:val="center"/>
            </w:pPr>
            <w:r>
              <w:rPr>
                <w:rFonts w:ascii="Arial" w:hAnsi="Arial"/>
                <w:sz w:val="15"/>
              </w:rPr>
              <w:t>2025</w:t>
            </w:r>
          </w:p>
        </w:tc>
        <w:tc>
          <w:tcPr>
            <w:tcW w:w="3528" w:type="dxa"/>
          </w:tcPr>
          <w:p w14:paraId="165BAF35" w14:textId="77777777" w:rsidR="003D52C5" w:rsidRDefault="003D52C5" w:rsidP="00316D81">
            <w:r>
              <w:rPr>
                <w:rFonts w:ascii="Arial" w:hAnsi="Arial"/>
                <w:sz w:val="14"/>
              </w:rPr>
              <w:t>10.5902/1983465990871</w:t>
            </w:r>
          </w:p>
        </w:tc>
        <w:tc>
          <w:tcPr>
            <w:tcW w:w="3384" w:type="dxa"/>
          </w:tcPr>
          <w:p w14:paraId="565D4B5C"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4499D87D" w14:textId="77777777" w:rsidTr="00316D81">
        <w:trPr>
          <w:jc w:val="center"/>
        </w:trPr>
        <w:tc>
          <w:tcPr>
            <w:tcW w:w="576" w:type="dxa"/>
          </w:tcPr>
          <w:p w14:paraId="0EBFBD0E" w14:textId="77777777" w:rsidR="003D52C5" w:rsidRDefault="003D52C5" w:rsidP="00316D81">
            <w:pPr>
              <w:jc w:val="center"/>
            </w:pPr>
            <w:r>
              <w:rPr>
                <w:rFonts w:ascii="Arial" w:hAnsi="Arial"/>
                <w:sz w:val="15"/>
              </w:rPr>
              <w:t>55</w:t>
            </w:r>
          </w:p>
        </w:tc>
        <w:tc>
          <w:tcPr>
            <w:tcW w:w="7848" w:type="dxa"/>
          </w:tcPr>
          <w:p w14:paraId="6CC47F60" w14:textId="42E76707" w:rsidR="003D52C5" w:rsidRDefault="003D52C5" w:rsidP="00316D81">
            <w:r>
              <w:rPr>
                <w:rFonts w:ascii="Arial" w:hAnsi="Arial"/>
                <w:sz w:val="14"/>
              </w:rPr>
              <w:t xml:space="preserve">Goundar, P. (2025). ‘Researcher Positionality: Ways to Include it in a Qualitative Research Design’, International Journal of Qualitative Methods, 24. </w:t>
            </w:r>
            <w:r w:rsidR="0028539F">
              <w:rPr>
                <w:rFonts w:ascii="Arial" w:hAnsi="Arial"/>
                <w:sz w:val="14"/>
              </w:rPr>
              <w:t>DOI</w:t>
            </w:r>
            <w:r>
              <w:rPr>
                <w:rFonts w:ascii="Arial" w:hAnsi="Arial"/>
                <w:sz w:val="14"/>
              </w:rPr>
              <w:t>: 10.1177/16094069251321251.</w:t>
            </w:r>
          </w:p>
        </w:tc>
        <w:tc>
          <w:tcPr>
            <w:tcW w:w="792" w:type="dxa"/>
          </w:tcPr>
          <w:p w14:paraId="4957760B" w14:textId="77777777" w:rsidR="003D52C5" w:rsidRDefault="003D52C5" w:rsidP="00316D81">
            <w:pPr>
              <w:jc w:val="center"/>
            </w:pPr>
            <w:r>
              <w:rPr>
                <w:rFonts w:ascii="Arial" w:hAnsi="Arial"/>
                <w:sz w:val="15"/>
              </w:rPr>
              <w:t>2025</w:t>
            </w:r>
          </w:p>
        </w:tc>
        <w:tc>
          <w:tcPr>
            <w:tcW w:w="3528" w:type="dxa"/>
          </w:tcPr>
          <w:p w14:paraId="3B585AB0" w14:textId="77777777" w:rsidR="003D52C5" w:rsidRDefault="003D52C5" w:rsidP="00316D81">
            <w:r>
              <w:rPr>
                <w:rFonts w:ascii="Arial" w:hAnsi="Arial"/>
                <w:sz w:val="14"/>
              </w:rPr>
              <w:t>10.1177/16094069251321251</w:t>
            </w:r>
          </w:p>
        </w:tc>
        <w:tc>
          <w:tcPr>
            <w:tcW w:w="3384" w:type="dxa"/>
          </w:tcPr>
          <w:p w14:paraId="479BF1D8"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9F5845F" w14:textId="77777777" w:rsidTr="00316D81">
        <w:trPr>
          <w:jc w:val="center"/>
        </w:trPr>
        <w:tc>
          <w:tcPr>
            <w:tcW w:w="576" w:type="dxa"/>
          </w:tcPr>
          <w:p w14:paraId="5D131843" w14:textId="77777777" w:rsidR="003D52C5" w:rsidRDefault="003D52C5" w:rsidP="00316D81">
            <w:pPr>
              <w:jc w:val="center"/>
            </w:pPr>
            <w:r>
              <w:rPr>
                <w:rFonts w:ascii="Arial" w:hAnsi="Arial"/>
                <w:sz w:val="15"/>
              </w:rPr>
              <w:t>56</w:t>
            </w:r>
          </w:p>
        </w:tc>
        <w:tc>
          <w:tcPr>
            <w:tcW w:w="7848" w:type="dxa"/>
          </w:tcPr>
          <w:p w14:paraId="4096AEE9" w14:textId="660EC725" w:rsidR="003D52C5" w:rsidRDefault="003D52C5" w:rsidP="00316D81">
            <w:r>
              <w:rPr>
                <w:rFonts w:ascii="Arial" w:hAnsi="Arial"/>
                <w:sz w:val="14"/>
              </w:rPr>
              <w:t xml:space="preserve">Hadley, E., Blatecky, A., </w:t>
            </w:r>
            <w:r w:rsidR="00D82198">
              <w:rPr>
                <w:rFonts w:ascii="Arial" w:hAnsi="Arial"/>
                <w:sz w:val="14"/>
              </w:rPr>
              <w:t>and</w:t>
            </w:r>
            <w:r>
              <w:rPr>
                <w:rFonts w:ascii="Arial" w:hAnsi="Arial"/>
                <w:sz w:val="14"/>
              </w:rPr>
              <w:t xml:space="preserve"> Comfort, M. (2025). ‘Investigating algorithm review boards for organisational responsible artificial intelligence governance’. AI and Ethics, 5, pp. 2485–2495. </w:t>
            </w:r>
            <w:r w:rsidR="0028539F">
              <w:rPr>
                <w:rFonts w:ascii="Arial" w:hAnsi="Arial"/>
                <w:sz w:val="14"/>
              </w:rPr>
              <w:t>DOI</w:t>
            </w:r>
            <w:r>
              <w:rPr>
                <w:rFonts w:ascii="Arial" w:hAnsi="Arial"/>
                <w:sz w:val="14"/>
              </w:rPr>
              <w:t>: 10.1007/s43681-024-00574-8.</w:t>
            </w:r>
          </w:p>
        </w:tc>
        <w:tc>
          <w:tcPr>
            <w:tcW w:w="792" w:type="dxa"/>
          </w:tcPr>
          <w:p w14:paraId="6FC1020C" w14:textId="77777777" w:rsidR="003D52C5" w:rsidRDefault="003D52C5" w:rsidP="00316D81">
            <w:pPr>
              <w:jc w:val="center"/>
            </w:pPr>
            <w:r>
              <w:rPr>
                <w:rFonts w:ascii="Arial" w:hAnsi="Arial"/>
                <w:sz w:val="15"/>
              </w:rPr>
              <w:t>2025</w:t>
            </w:r>
          </w:p>
        </w:tc>
        <w:tc>
          <w:tcPr>
            <w:tcW w:w="3528" w:type="dxa"/>
          </w:tcPr>
          <w:p w14:paraId="5A788BA8" w14:textId="77777777" w:rsidR="003D52C5" w:rsidRDefault="003D52C5" w:rsidP="00316D81">
            <w:r>
              <w:rPr>
                <w:rFonts w:ascii="Arial" w:hAnsi="Arial"/>
                <w:sz w:val="14"/>
              </w:rPr>
              <w:t>10.1007/s43681-024-00574-8</w:t>
            </w:r>
          </w:p>
        </w:tc>
        <w:tc>
          <w:tcPr>
            <w:tcW w:w="3384" w:type="dxa"/>
          </w:tcPr>
          <w:p w14:paraId="5D928B43" w14:textId="77777777" w:rsidR="003D52C5" w:rsidRDefault="003D52C5" w:rsidP="00316D81">
            <w:r>
              <w:rPr>
                <w:rFonts w:ascii="Arial" w:hAnsi="Arial"/>
                <w:sz w:val="15"/>
              </w:rPr>
              <w:t xml:space="preserve">Provides conceptual or empirical evidence on AI governance, responsible AI, accountability, </w:t>
            </w:r>
            <w:r>
              <w:rPr>
                <w:rFonts w:ascii="Arial" w:hAnsi="Arial"/>
                <w:sz w:val="15"/>
              </w:rPr>
              <w:lastRenderedPageBreak/>
              <w:t>regulation and organisational oversight relevant to the SGM.</w:t>
            </w:r>
          </w:p>
        </w:tc>
      </w:tr>
      <w:tr w:rsidR="003D52C5" w14:paraId="012D9C2B" w14:textId="77777777" w:rsidTr="00316D81">
        <w:trPr>
          <w:jc w:val="center"/>
        </w:trPr>
        <w:tc>
          <w:tcPr>
            <w:tcW w:w="576" w:type="dxa"/>
          </w:tcPr>
          <w:p w14:paraId="3AE41418" w14:textId="77777777" w:rsidR="003D52C5" w:rsidRDefault="003D52C5" w:rsidP="00316D81">
            <w:pPr>
              <w:jc w:val="center"/>
            </w:pPr>
            <w:r>
              <w:rPr>
                <w:rFonts w:ascii="Arial" w:hAnsi="Arial"/>
                <w:sz w:val="15"/>
              </w:rPr>
              <w:t>57</w:t>
            </w:r>
          </w:p>
        </w:tc>
        <w:tc>
          <w:tcPr>
            <w:tcW w:w="7848" w:type="dxa"/>
          </w:tcPr>
          <w:p w14:paraId="5AE39F8E" w14:textId="344E7205" w:rsidR="003D52C5" w:rsidRDefault="003D52C5" w:rsidP="00316D81">
            <w:r>
              <w:rPr>
                <w:rFonts w:ascii="Arial" w:hAnsi="Arial"/>
                <w:sz w:val="14"/>
              </w:rPr>
              <w:t xml:space="preserve">Haigh, F., Kemp, L., Bazeley, P. </w:t>
            </w:r>
            <w:r w:rsidR="00D82198">
              <w:rPr>
                <w:rFonts w:ascii="Arial" w:hAnsi="Arial"/>
                <w:sz w:val="14"/>
              </w:rPr>
              <w:t>and</w:t>
            </w:r>
            <w:r>
              <w:rPr>
                <w:rFonts w:ascii="Arial" w:hAnsi="Arial"/>
                <w:sz w:val="14"/>
              </w:rPr>
              <w:t xml:space="preserve"> Haigh, N. (2019). ‘Developing a critical realist informed framework to explain how the human rights and social determinants of health relationship works’, BMC Public Health, 19, 1571. </w:t>
            </w:r>
            <w:r w:rsidR="0028539F">
              <w:rPr>
                <w:rFonts w:ascii="Arial" w:hAnsi="Arial"/>
                <w:sz w:val="14"/>
              </w:rPr>
              <w:t>DOI</w:t>
            </w:r>
            <w:r>
              <w:rPr>
                <w:rFonts w:ascii="Arial" w:hAnsi="Arial"/>
                <w:sz w:val="14"/>
              </w:rPr>
              <w:t>: 10.1186/s12889-019-7760-7.</w:t>
            </w:r>
          </w:p>
        </w:tc>
        <w:tc>
          <w:tcPr>
            <w:tcW w:w="792" w:type="dxa"/>
          </w:tcPr>
          <w:p w14:paraId="696CE552" w14:textId="77777777" w:rsidR="003D52C5" w:rsidRDefault="003D52C5" w:rsidP="00316D81">
            <w:pPr>
              <w:jc w:val="center"/>
            </w:pPr>
            <w:r>
              <w:rPr>
                <w:rFonts w:ascii="Arial" w:hAnsi="Arial"/>
                <w:sz w:val="15"/>
              </w:rPr>
              <w:t>2019</w:t>
            </w:r>
          </w:p>
        </w:tc>
        <w:tc>
          <w:tcPr>
            <w:tcW w:w="3528" w:type="dxa"/>
          </w:tcPr>
          <w:p w14:paraId="11A679B9" w14:textId="77777777" w:rsidR="003D52C5" w:rsidRDefault="003D52C5" w:rsidP="00316D81">
            <w:r>
              <w:rPr>
                <w:rFonts w:ascii="Arial" w:hAnsi="Arial"/>
                <w:sz w:val="14"/>
              </w:rPr>
              <w:t>10.1186/s12889-019-7760-7</w:t>
            </w:r>
          </w:p>
        </w:tc>
        <w:tc>
          <w:tcPr>
            <w:tcW w:w="3384" w:type="dxa"/>
          </w:tcPr>
          <w:p w14:paraId="3A985625"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5E431AA0" w14:textId="77777777" w:rsidTr="00316D81">
        <w:trPr>
          <w:jc w:val="center"/>
        </w:trPr>
        <w:tc>
          <w:tcPr>
            <w:tcW w:w="576" w:type="dxa"/>
          </w:tcPr>
          <w:p w14:paraId="4DCCBF1D" w14:textId="77777777" w:rsidR="003D52C5" w:rsidRDefault="003D52C5" w:rsidP="00316D81">
            <w:pPr>
              <w:jc w:val="center"/>
            </w:pPr>
            <w:r>
              <w:rPr>
                <w:rFonts w:ascii="Arial" w:hAnsi="Arial"/>
                <w:sz w:val="15"/>
              </w:rPr>
              <w:t>58</w:t>
            </w:r>
          </w:p>
        </w:tc>
        <w:tc>
          <w:tcPr>
            <w:tcW w:w="7848" w:type="dxa"/>
          </w:tcPr>
          <w:p w14:paraId="42CC9CCB" w14:textId="7D62F7A4" w:rsidR="003D52C5" w:rsidRDefault="003D52C5" w:rsidP="00316D81">
            <w:r>
              <w:rPr>
                <w:rFonts w:ascii="Arial" w:hAnsi="Arial"/>
                <w:sz w:val="14"/>
              </w:rPr>
              <w:t xml:space="preserve">Hampson, T. </w:t>
            </w:r>
            <w:r w:rsidR="00D82198">
              <w:rPr>
                <w:rFonts w:ascii="Arial" w:hAnsi="Arial"/>
                <w:sz w:val="14"/>
              </w:rPr>
              <w:t>and</w:t>
            </w:r>
            <w:r>
              <w:rPr>
                <w:rFonts w:ascii="Arial" w:hAnsi="Arial"/>
                <w:sz w:val="14"/>
              </w:rPr>
              <w:t xml:space="preserve"> McKinley, J. (2023). ‘Problems posing as solutions: Criticising pragmatism as a paradigm for mixed research’, Research in Education, 116(1), pp. 124–138. </w:t>
            </w:r>
            <w:r w:rsidR="0028539F">
              <w:rPr>
                <w:rFonts w:ascii="Arial" w:hAnsi="Arial"/>
                <w:sz w:val="14"/>
              </w:rPr>
              <w:t>DOI</w:t>
            </w:r>
            <w:r>
              <w:rPr>
                <w:rFonts w:ascii="Arial" w:hAnsi="Arial"/>
                <w:sz w:val="14"/>
              </w:rPr>
              <w:t>: 10.1177/00345237231160085.</w:t>
            </w:r>
          </w:p>
        </w:tc>
        <w:tc>
          <w:tcPr>
            <w:tcW w:w="792" w:type="dxa"/>
          </w:tcPr>
          <w:p w14:paraId="3EA7F435" w14:textId="77777777" w:rsidR="003D52C5" w:rsidRDefault="003D52C5" w:rsidP="00316D81">
            <w:pPr>
              <w:jc w:val="center"/>
            </w:pPr>
            <w:r>
              <w:rPr>
                <w:rFonts w:ascii="Arial" w:hAnsi="Arial"/>
                <w:sz w:val="15"/>
              </w:rPr>
              <w:t>2023</w:t>
            </w:r>
          </w:p>
        </w:tc>
        <w:tc>
          <w:tcPr>
            <w:tcW w:w="3528" w:type="dxa"/>
          </w:tcPr>
          <w:p w14:paraId="4C5074A3" w14:textId="77777777" w:rsidR="003D52C5" w:rsidRDefault="003D52C5" w:rsidP="00316D81">
            <w:r>
              <w:rPr>
                <w:rFonts w:ascii="Arial" w:hAnsi="Arial"/>
                <w:sz w:val="14"/>
              </w:rPr>
              <w:t>10.1177/00345237231160085</w:t>
            </w:r>
          </w:p>
        </w:tc>
        <w:tc>
          <w:tcPr>
            <w:tcW w:w="3384" w:type="dxa"/>
          </w:tcPr>
          <w:p w14:paraId="459773D2"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5C8F4F8E" w14:textId="77777777" w:rsidTr="00316D81">
        <w:trPr>
          <w:jc w:val="center"/>
        </w:trPr>
        <w:tc>
          <w:tcPr>
            <w:tcW w:w="576" w:type="dxa"/>
          </w:tcPr>
          <w:p w14:paraId="4F615613" w14:textId="77777777" w:rsidR="003D52C5" w:rsidRDefault="003D52C5" w:rsidP="00316D81">
            <w:pPr>
              <w:jc w:val="center"/>
            </w:pPr>
            <w:r>
              <w:rPr>
                <w:rFonts w:ascii="Arial" w:hAnsi="Arial"/>
                <w:sz w:val="15"/>
              </w:rPr>
              <w:t>59</w:t>
            </w:r>
          </w:p>
        </w:tc>
        <w:tc>
          <w:tcPr>
            <w:tcW w:w="7848" w:type="dxa"/>
          </w:tcPr>
          <w:p w14:paraId="642FEA98" w14:textId="5564DAFD" w:rsidR="003D52C5" w:rsidRDefault="003D52C5" w:rsidP="00316D81">
            <w:r>
              <w:rPr>
                <w:rFonts w:ascii="Arial" w:hAnsi="Arial"/>
                <w:sz w:val="14"/>
              </w:rPr>
              <w:t xml:space="preserve">Harita, U., Ganesan, A., Krishnakumari, S. </w:t>
            </w:r>
            <w:r w:rsidR="00D82198">
              <w:rPr>
                <w:rFonts w:ascii="Arial" w:hAnsi="Arial"/>
                <w:sz w:val="14"/>
              </w:rPr>
              <w:t>and</w:t>
            </w:r>
            <w:r>
              <w:rPr>
                <w:rFonts w:ascii="Arial" w:hAnsi="Arial"/>
                <w:sz w:val="14"/>
              </w:rPr>
              <w:t xml:space="preserve"> Hemasundari, M. (2026). ‘Dynamic capabilities and ethical stewardship in the age of autonomous organisational decision making’, Acta Innovations, 59, pp. 301–307. </w:t>
            </w:r>
            <w:r w:rsidR="0028539F">
              <w:rPr>
                <w:rFonts w:ascii="Arial" w:hAnsi="Arial"/>
                <w:sz w:val="14"/>
              </w:rPr>
              <w:t>DOI</w:t>
            </w:r>
            <w:r>
              <w:rPr>
                <w:rFonts w:ascii="Arial" w:hAnsi="Arial"/>
                <w:sz w:val="14"/>
              </w:rPr>
              <w:t>: 10.62441/actainnovations.v59i.708.</w:t>
            </w:r>
          </w:p>
        </w:tc>
        <w:tc>
          <w:tcPr>
            <w:tcW w:w="792" w:type="dxa"/>
          </w:tcPr>
          <w:p w14:paraId="1D47C54D" w14:textId="77777777" w:rsidR="003D52C5" w:rsidRDefault="003D52C5" w:rsidP="00316D81">
            <w:pPr>
              <w:jc w:val="center"/>
            </w:pPr>
            <w:r>
              <w:rPr>
                <w:rFonts w:ascii="Arial" w:hAnsi="Arial"/>
                <w:sz w:val="15"/>
              </w:rPr>
              <w:t>2026</w:t>
            </w:r>
          </w:p>
        </w:tc>
        <w:tc>
          <w:tcPr>
            <w:tcW w:w="3528" w:type="dxa"/>
          </w:tcPr>
          <w:p w14:paraId="6568ED04" w14:textId="77777777" w:rsidR="003D52C5" w:rsidRDefault="003D52C5" w:rsidP="00316D81">
            <w:r>
              <w:rPr>
                <w:rFonts w:ascii="Arial" w:hAnsi="Arial"/>
                <w:sz w:val="14"/>
              </w:rPr>
              <w:t>10.62441/actainnovations.v59i.708</w:t>
            </w:r>
          </w:p>
        </w:tc>
        <w:tc>
          <w:tcPr>
            <w:tcW w:w="3384" w:type="dxa"/>
          </w:tcPr>
          <w:p w14:paraId="0559AEB0" w14:textId="77777777" w:rsidR="003D52C5" w:rsidRDefault="003D52C5" w:rsidP="00316D81">
            <w:r>
              <w:rPr>
                <w:rFonts w:ascii="Arial" w:hAnsi="Arial"/>
                <w:sz w:val="15"/>
              </w:rPr>
              <w:t>Provides theoretical support for strategic management, organisational capability, institutional pressures and the proposed SGM.</w:t>
            </w:r>
          </w:p>
        </w:tc>
      </w:tr>
      <w:tr w:rsidR="003D52C5" w14:paraId="008A936E" w14:textId="77777777" w:rsidTr="00316D81">
        <w:trPr>
          <w:jc w:val="center"/>
        </w:trPr>
        <w:tc>
          <w:tcPr>
            <w:tcW w:w="576" w:type="dxa"/>
          </w:tcPr>
          <w:p w14:paraId="00EBEE94" w14:textId="77777777" w:rsidR="003D52C5" w:rsidRDefault="003D52C5" w:rsidP="00316D81">
            <w:pPr>
              <w:jc w:val="center"/>
            </w:pPr>
            <w:r>
              <w:rPr>
                <w:rFonts w:ascii="Arial" w:hAnsi="Arial"/>
                <w:sz w:val="15"/>
              </w:rPr>
              <w:t>60</w:t>
            </w:r>
          </w:p>
        </w:tc>
        <w:tc>
          <w:tcPr>
            <w:tcW w:w="7848" w:type="dxa"/>
          </w:tcPr>
          <w:p w14:paraId="762C5E22" w14:textId="0B37B7AC" w:rsidR="003D52C5" w:rsidRDefault="003D52C5" w:rsidP="00316D81">
            <w:r>
              <w:rPr>
                <w:rFonts w:ascii="Arial" w:hAnsi="Arial"/>
                <w:sz w:val="14"/>
              </w:rPr>
              <w:t xml:space="preserve">Hay, C. (2011). ‘Interpreting Interpretivism Interpreting Interpretations: The New Hermeneutics of Public Administration’, Public Administration, 89(1), pp. 167–182. </w:t>
            </w:r>
            <w:r w:rsidR="0028539F">
              <w:rPr>
                <w:rFonts w:ascii="Arial" w:hAnsi="Arial"/>
                <w:sz w:val="14"/>
              </w:rPr>
              <w:t>DOI</w:t>
            </w:r>
            <w:r>
              <w:rPr>
                <w:rFonts w:ascii="Arial" w:hAnsi="Arial"/>
                <w:sz w:val="14"/>
              </w:rPr>
              <w:t>: 10.1111/j.1467-9299.2011.01907.x</w:t>
            </w:r>
          </w:p>
        </w:tc>
        <w:tc>
          <w:tcPr>
            <w:tcW w:w="792" w:type="dxa"/>
          </w:tcPr>
          <w:p w14:paraId="1F242B4D" w14:textId="77777777" w:rsidR="003D52C5" w:rsidRDefault="003D52C5" w:rsidP="00316D81">
            <w:pPr>
              <w:jc w:val="center"/>
            </w:pPr>
            <w:r>
              <w:rPr>
                <w:rFonts w:ascii="Arial" w:hAnsi="Arial"/>
                <w:sz w:val="15"/>
              </w:rPr>
              <w:t>2011</w:t>
            </w:r>
          </w:p>
        </w:tc>
        <w:tc>
          <w:tcPr>
            <w:tcW w:w="3528" w:type="dxa"/>
          </w:tcPr>
          <w:p w14:paraId="499DEC09" w14:textId="77777777" w:rsidR="003D52C5" w:rsidRDefault="003D52C5" w:rsidP="00316D81">
            <w:r>
              <w:rPr>
                <w:rFonts w:ascii="Arial" w:hAnsi="Arial"/>
                <w:sz w:val="14"/>
              </w:rPr>
              <w:t>10.1111/j.1467-9299.2011.01907.x</w:t>
            </w:r>
          </w:p>
        </w:tc>
        <w:tc>
          <w:tcPr>
            <w:tcW w:w="3384" w:type="dxa"/>
          </w:tcPr>
          <w:p w14:paraId="4A74DE8D"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416515B8" w14:textId="77777777" w:rsidTr="00316D81">
        <w:trPr>
          <w:jc w:val="center"/>
        </w:trPr>
        <w:tc>
          <w:tcPr>
            <w:tcW w:w="576" w:type="dxa"/>
          </w:tcPr>
          <w:p w14:paraId="5F468C05" w14:textId="77777777" w:rsidR="003D52C5" w:rsidRDefault="003D52C5" w:rsidP="00316D81">
            <w:pPr>
              <w:jc w:val="center"/>
            </w:pPr>
            <w:r>
              <w:rPr>
                <w:rFonts w:ascii="Arial" w:hAnsi="Arial"/>
                <w:sz w:val="15"/>
              </w:rPr>
              <w:t>61</w:t>
            </w:r>
          </w:p>
        </w:tc>
        <w:tc>
          <w:tcPr>
            <w:tcW w:w="7848" w:type="dxa"/>
          </w:tcPr>
          <w:p w14:paraId="30768A57" w14:textId="2ED29FB9" w:rsidR="003D52C5" w:rsidRDefault="003D52C5" w:rsidP="00316D81">
            <w:r>
              <w:rPr>
                <w:rFonts w:ascii="Arial" w:hAnsi="Arial"/>
                <w:sz w:val="14"/>
              </w:rPr>
              <w:t xml:space="preserve">Herzog, C. </w:t>
            </w:r>
            <w:r w:rsidR="00D82198">
              <w:rPr>
                <w:rFonts w:ascii="Arial" w:hAnsi="Arial"/>
                <w:sz w:val="14"/>
              </w:rPr>
              <w:t>and</w:t>
            </w:r>
            <w:r>
              <w:rPr>
                <w:rFonts w:ascii="Arial" w:hAnsi="Arial"/>
                <w:sz w:val="14"/>
              </w:rPr>
              <w:t xml:space="preserve"> Blank, S. (2024). ‘A systemic perspective on bridging the principles-to-practice gap in creating ethical artificial intelligence solutions – a critique of dominant narratives and proposal for a collaborative way forward’, Journal of Responsible Innovation, 11(1), 2431350. </w:t>
            </w:r>
            <w:r w:rsidR="0028539F">
              <w:rPr>
                <w:rFonts w:ascii="Arial" w:hAnsi="Arial"/>
                <w:sz w:val="14"/>
              </w:rPr>
              <w:t>DOI</w:t>
            </w:r>
            <w:r>
              <w:rPr>
                <w:rFonts w:ascii="Arial" w:hAnsi="Arial"/>
                <w:sz w:val="14"/>
              </w:rPr>
              <w:t>: 10.1080/23299460.2024.2431350.</w:t>
            </w:r>
          </w:p>
        </w:tc>
        <w:tc>
          <w:tcPr>
            <w:tcW w:w="792" w:type="dxa"/>
          </w:tcPr>
          <w:p w14:paraId="4EA5E779" w14:textId="77777777" w:rsidR="003D52C5" w:rsidRDefault="003D52C5" w:rsidP="00316D81">
            <w:pPr>
              <w:jc w:val="center"/>
            </w:pPr>
            <w:r>
              <w:rPr>
                <w:rFonts w:ascii="Arial" w:hAnsi="Arial"/>
                <w:sz w:val="15"/>
              </w:rPr>
              <w:t>2024</w:t>
            </w:r>
          </w:p>
        </w:tc>
        <w:tc>
          <w:tcPr>
            <w:tcW w:w="3528" w:type="dxa"/>
          </w:tcPr>
          <w:p w14:paraId="4DADEBD1" w14:textId="77777777" w:rsidR="003D52C5" w:rsidRDefault="003D52C5" w:rsidP="00316D81">
            <w:r>
              <w:rPr>
                <w:rFonts w:ascii="Arial" w:hAnsi="Arial"/>
                <w:sz w:val="14"/>
              </w:rPr>
              <w:t>10.1080/23299460.2024.2431350</w:t>
            </w:r>
          </w:p>
        </w:tc>
        <w:tc>
          <w:tcPr>
            <w:tcW w:w="3384" w:type="dxa"/>
          </w:tcPr>
          <w:p w14:paraId="243C891E"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54612F2D" w14:textId="77777777" w:rsidTr="00316D81">
        <w:trPr>
          <w:jc w:val="center"/>
        </w:trPr>
        <w:tc>
          <w:tcPr>
            <w:tcW w:w="576" w:type="dxa"/>
          </w:tcPr>
          <w:p w14:paraId="5DFF1B2B" w14:textId="77777777" w:rsidR="003D52C5" w:rsidRDefault="003D52C5" w:rsidP="00316D81">
            <w:pPr>
              <w:jc w:val="center"/>
            </w:pPr>
            <w:r>
              <w:rPr>
                <w:rFonts w:ascii="Arial" w:hAnsi="Arial"/>
                <w:sz w:val="15"/>
              </w:rPr>
              <w:t>62</w:t>
            </w:r>
          </w:p>
        </w:tc>
        <w:tc>
          <w:tcPr>
            <w:tcW w:w="7848" w:type="dxa"/>
          </w:tcPr>
          <w:p w14:paraId="1EC22CF8" w14:textId="4ADFC58F" w:rsidR="003D52C5" w:rsidRDefault="003D52C5" w:rsidP="00316D81">
            <w:r>
              <w:rPr>
                <w:rFonts w:ascii="Arial" w:hAnsi="Arial"/>
                <w:sz w:val="14"/>
              </w:rPr>
              <w:t xml:space="preserve">Heymans, F. </w:t>
            </w:r>
            <w:r w:rsidR="00D82198">
              <w:rPr>
                <w:rFonts w:ascii="Arial" w:hAnsi="Arial"/>
                <w:sz w:val="14"/>
              </w:rPr>
              <w:t>and</w:t>
            </w:r>
            <w:r>
              <w:rPr>
                <w:rFonts w:ascii="Arial" w:hAnsi="Arial"/>
                <w:sz w:val="14"/>
              </w:rPr>
              <w:t xml:space="preserve"> Heyman, R. (2024). ‘Identifying stakeholder motivations in normative AI governance: A systematic literature review for research guidance’. Data </w:t>
            </w:r>
            <w:r w:rsidR="00D82198">
              <w:rPr>
                <w:rFonts w:ascii="Arial" w:hAnsi="Arial"/>
                <w:sz w:val="14"/>
              </w:rPr>
              <w:t xml:space="preserve">&amp; </w:t>
            </w:r>
            <w:r>
              <w:rPr>
                <w:rFonts w:ascii="Arial" w:hAnsi="Arial"/>
                <w:sz w:val="14"/>
              </w:rPr>
              <w:t xml:space="preserve">Policy, 6, e58. </w:t>
            </w:r>
            <w:r w:rsidR="0028539F">
              <w:rPr>
                <w:rFonts w:ascii="Arial" w:hAnsi="Arial"/>
                <w:sz w:val="14"/>
              </w:rPr>
              <w:t>DOI</w:t>
            </w:r>
            <w:r>
              <w:rPr>
                <w:rFonts w:ascii="Arial" w:hAnsi="Arial"/>
                <w:sz w:val="14"/>
              </w:rPr>
              <w:t>: 10.1017/dap.2024.66.</w:t>
            </w:r>
          </w:p>
        </w:tc>
        <w:tc>
          <w:tcPr>
            <w:tcW w:w="792" w:type="dxa"/>
          </w:tcPr>
          <w:p w14:paraId="1A43F299" w14:textId="77777777" w:rsidR="003D52C5" w:rsidRDefault="003D52C5" w:rsidP="00316D81">
            <w:pPr>
              <w:jc w:val="center"/>
            </w:pPr>
            <w:r>
              <w:rPr>
                <w:rFonts w:ascii="Arial" w:hAnsi="Arial"/>
                <w:sz w:val="15"/>
              </w:rPr>
              <w:t>2024</w:t>
            </w:r>
          </w:p>
        </w:tc>
        <w:tc>
          <w:tcPr>
            <w:tcW w:w="3528" w:type="dxa"/>
          </w:tcPr>
          <w:p w14:paraId="3BBE9C84" w14:textId="77777777" w:rsidR="003D52C5" w:rsidRDefault="003D52C5" w:rsidP="00316D81">
            <w:r>
              <w:rPr>
                <w:rFonts w:ascii="Arial" w:hAnsi="Arial"/>
                <w:sz w:val="14"/>
              </w:rPr>
              <w:t>10.1017/dap.2024.66</w:t>
            </w:r>
          </w:p>
        </w:tc>
        <w:tc>
          <w:tcPr>
            <w:tcW w:w="3384" w:type="dxa"/>
          </w:tcPr>
          <w:p w14:paraId="1A8751FE"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1BF907C1" w14:textId="77777777" w:rsidTr="00316D81">
        <w:trPr>
          <w:jc w:val="center"/>
        </w:trPr>
        <w:tc>
          <w:tcPr>
            <w:tcW w:w="576" w:type="dxa"/>
          </w:tcPr>
          <w:p w14:paraId="2F5BAA24" w14:textId="77777777" w:rsidR="003D52C5" w:rsidRDefault="003D52C5" w:rsidP="00316D81">
            <w:pPr>
              <w:jc w:val="center"/>
            </w:pPr>
            <w:r>
              <w:rPr>
                <w:rFonts w:ascii="Arial" w:hAnsi="Arial"/>
                <w:sz w:val="15"/>
              </w:rPr>
              <w:t>63</w:t>
            </w:r>
          </w:p>
        </w:tc>
        <w:tc>
          <w:tcPr>
            <w:tcW w:w="7848" w:type="dxa"/>
          </w:tcPr>
          <w:p w14:paraId="6A9AE3EB" w14:textId="72025938" w:rsidR="003D52C5" w:rsidRDefault="003D52C5" w:rsidP="00316D81">
            <w:r>
              <w:rPr>
                <w:rFonts w:ascii="Arial" w:hAnsi="Arial"/>
                <w:sz w:val="14"/>
              </w:rPr>
              <w:t xml:space="preserve">Hong, Q., Fàbregues, S., Bartlett, G., Boardman, F., Cargo, M., Dagenais, P., Gagnon, M., Griffiths, F., Nicolau, B., O’Cathain, A., Rousseau, M. </w:t>
            </w:r>
            <w:r w:rsidR="009F354A">
              <w:rPr>
                <w:rFonts w:ascii="Arial" w:hAnsi="Arial"/>
                <w:sz w:val="14"/>
              </w:rPr>
              <w:t>and</w:t>
            </w:r>
            <w:r>
              <w:rPr>
                <w:rFonts w:ascii="Arial" w:hAnsi="Arial"/>
                <w:sz w:val="14"/>
              </w:rPr>
              <w:t xml:space="preserve"> Pluye, P. (2018). ‘The Mixed Methods Appraisal Tool (MMAT) version 2018 for information professionals and researchers’, Education for Information, 34(4), pp. 285–291. </w:t>
            </w:r>
            <w:r w:rsidR="0028539F">
              <w:rPr>
                <w:rFonts w:ascii="Arial" w:hAnsi="Arial"/>
                <w:sz w:val="14"/>
              </w:rPr>
              <w:t>DOI</w:t>
            </w:r>
            <w:r>
              <w:rPr>
                <w:rFonts w:ascii="Arial" w:hAnsi="Arial"/>
                <w:sz w:val="14"/>
              </w:rPr>
              <w:t>: 10.3233/EFI-180221.</w:t>
            </w:r>
          </w:p>
        </w:tc>
        <w:tc>
          <w:tcPr>
            <w:tcW w:w="792" w:type="dxa"/>
          </w:tcPr>
          <w:p w14:paraId="53269B17" w14:textId="77777777" w:rsidR="003D52C5" w:rsidRDefault="003D52C5" w:rsidP="00316D81">
            <w:pPr>
              <w:jc w:val="center"/>
            </w:pPr>
            <w:r>
              <w:rPr>
                <w:rFonts w:ascii="Arial" w:hAnsi="Arial"/>
                <w:sz w:val="15"/>
              </w:rPr>
              <w:t>2018</w:t>
            </w:r>
          </w:p>
        </w:tc>
        <w:tc>
          <w:tcPr>
            <w:tcW w:w="3528" w:type="dxa"/>
          </w:tcPr>
          <w:p w14:paraId="0B18B0B4" w14:textId="77777777" w:rsidR="003D52C5" w:rsidRDefault="003D52C5" w:rsidP="00316D81">
            <w:r>
              <w:rPr>
                <w:rFonts w:ascii="Arial" w:hAnsi="Arial"/>
                <w:sz w:val="14"/>
              </w:rPr>
              <w:t>10.3233/EFI-180221</w:t>
            </w:r>
          </w:p>
        </w:tc>
        <w:tc>
          <w:tcPr>
            <w:tcW w:w="3384" w:type="dxa"/>
          </w:tcPr>
          <w:p w14:paraId="4D3F99B8"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7DFE2ED8" w14:textId="77777777" w:rsidTr="00316D81">
        <w:trPr>
          <w:jc w:val="center"/>
        </w:trPr>
        <w:tc>
          <w:tcPr>
            <w:tcW w:w="576" w:type="dxa"/>
          </w:tcPr>
          <w:p w14:paraId="3BAB3DC5" w14:textId="77777777" w:rsidR="003D52C5" w:rsidRDefault="003D52C5" w:rsidP="00316D81">
            <w:pPr>
              <w:jc w:val="center"/>
            </w:pPr>
            <w:r>
              <w:rPr>
                <w:rFonts w:ascii="Arial" w:hAnsi="Arial"/>
                <w:sz w:val="15"/>
              </w:rPr>
              <w:t>64</w:t>
            </w:r>
          </w:p>
        </w:tc>
        <w:tc>
          <w:tcPr>
            <w:tcW w:w="7848" w:type="dxa"/>
          </w:tcPr>
          <w:p w14:paraId="336D936C" w14:textId="35AD81E0" w:rsidR="003D52C5" w:rsidRDefault="003D52C5" w:rsidP="00316D81">
            <w:r>
              <w:rPr>
                <w:rFonts w:ascii="Arial" w:hAnsi="Arial"/>
                <w:sz w:val="14"/>
              </w:rPr>
              <w:t xml:space="preserve">Jafari K., Reuel, A., Aranguiz-Dias, G., Rahama, H., Ayadi, A.-E., Boullier, X., Verdo, J., Montanie, L. and Kochenderfer, M. (2025). ‘An Adaptive Responsible AI Governance Framework for Decentralized Organizations’. Ethics and Society, 8(2), pp. 1324–1334. </w:t>
            </w:r>
            <w:r w:rsidR="0028539F">
              <w:rPr>
                <w:rFonts w:ascii="Arial" w:hAnsi="Arial"/>
                <w:sz w:val="14"/>
              </w:rPr>
              <w:t>DOI</w:t>
            </w:r>
            <w:r>
              <w:rPr>
                <w:rFonts w:ascii="Arial" w:hAnsi="Arial"/>
                <w:sz w:val="14"/>
              </w:rPr>
              <w:t>: 10.1609/aies.v8i2.36633.</w:t>
            </w:r>
          </w:p>
        </w:tc>
        <w:tc>
          <w:tcPr>
            <w:tcW w:w="792" w:type="dxa"/>
          </w:tcPr>
          <w:p w14:paraId="0DBD5C72" w14:textId="77777777" w:rsidR="003D52C5" w:rsidRDefault="003D52C5" w:rsidP="00316D81">
            <w:pPr>
              <w:jc w:val="center"/>
            </w:pPr>
            <w:r>
              <w:rPr>
                <w:rFonts w:ascii="Arial" w:hAnsi="Arial"/>
                <w:sz w:val="15"/>
              </w:rPr>
              <w:t>2025</w:t>
            </w:r>
          </w:p>
        </w:tc>
        <w:tc>
          <w:tcPr>
            <w:tcW w:w="3528" w:type="dxa"/>
          </w:tcPr>
          <w:p w14:paraId="34903C75" w14:textId="77777777" w:rsidR="003D52C5" w:rsidRDefault="003D52C5" w:rsidP="00316D81">
            <w:r>
              <w:rPr>
                <w:rFonts w:ascii="Arial" w:hAnsi="Arial"/>
                <w:sz w:val="14"/>
              </w:rPr>
              <w:t>10.1609/aies.v8i2.36633</w:t>
            </w:r>
          </w:p>
        </w:tc>
        <w:tc>
          <w:tcPr>
            <w:tcW w:w="3384" w:type="dxa"/>
          </w:tcPr>
          <w:p w14:paraId="1C6C3371"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4BE7E8C4" w14:textId="77777777" w:rsidTr="00316D81">
        <w:trPr>
          <w:jc w:val="center"/>
        </w:trPr>
        <w:tc>
          <w:tcPr>
            <w:tcW w:w="576" w:type="dxa"/>
          </w:tcPr>
          <w:p w14:paraId="1B580889" w14:textId="77777777" w:rsidR="003D52C5" w:rsidRDefault="003D52C5" w:rsidP="00316D81">
            <w:pPr>
              <w:jc w:val="center"/>
            </w:pPr>
            <w:r>
              <w:rPr>
                <w:rFonts w:ascii="Arial" w:hAnsi="Arial"/>
                <w:sz w:val="15"/>
              </w:rPr>
              <w:t>65</w:t>
            </w:r>
          </w:p>
        </w:tc>
        <w:tc>
          <w:tcPr>
            <w:tcW w:w="7848" w:type="dxa"/>
          </w:tcPr>
          <w:p w14:paraId="1B4C312F" w14:textId="411BD1EB" w:rsidR="003D52C5" w:rsidRDefault="003D52C5" w:rsidP="00316D81">
            <w:r>
              <w:rPr>
                <w:rFonts w:ascii="Arial" w:hAnsi="Arial"/>
                <w:sz w:val="14"/>
              </w:rPr>
              <w:t xml:space="preserve">Jiang, Y., Xie, L., </w:t>
            </w:r>
            <w:r w:rsidR="009F354A">
              <w:rPr>
                <w:rFonts w:ascii="Arial" w:hAnsi="Arial"/>
                <w:sz w:val="14"/>
              </w:rPr>
              <w:t>and</w:t>
            </w:r>
            <w:r>
              <w:rPr>
                <w:rFonts w:ascii="Arial" w:hAnsi="Arial"/>
                <w:sz w:val="14"/>
              </w:rPr>
              <w:t xml:space="preserve"> Cao, X. (2025). ‘Exploring the effectiveness of institutional policies and regulations for generative AI usage in higher education’. Higher Education Quarterly, 79(4), e70054. </w:t>
            </w:r>
            <w:r w:rsidR="0028539F">
              <w:rPr>
                <w:rFonts w:ascii="Arial" w:hAnsi="Arial"/>
                <w:sz w:val="14"/>
              </w:rPr>
              <w:t>DOI</w:t>
            </w:r>
            <w:r>
              <w:rPr>
                <w:rFonts w:ascii="Arial" w:hAnsi="Arial"/>
                <w:sz w:val="14"/>
              </w:rPr>
              <w:t>: 10.1111/hequ.70054.</w:t>
            </w:r>
          </w:p>
        </w:tc>
        <w:tc>
          <w:tcPr>
            <w:tcW w:w="792" w:type="dxa"/>
          </w:tcPr>
          <w:p w14:paraId="5507A181" w14:textId="77777777" w:rsidR="003D52C5" w:rsidRDefault="003D52C5" w:rsidP="00316D81">
            <w:pPr>
              <w:jc w:val="center"/>
            </w:pPr>
            <w:r>
              <w:rPr>
                <w:rFonts w:ascii="Arial" w:hAnsi="Arial"/>
                <w:sz w:val="15"/>
              </w:rPr>
              <w:t>2025</w:t>
            </w:r>
          </w:p>
        </w:tc>
        <w:tc>
          <w:tcPr>
            <w:tcW w:w="3528" w:type="dxa"/>
          </w:tcPr>
          <w:p w14:paraId="20CBAC01" w14:textId="77777777" w:rsidR="003D52C5" w:rsidRDefault="003D52C5" w:rsidP="00316D81">
            <w:r>
              <w:rPr>
                <w:rFonts w:ascii="Arial" w:hAnsi="Arial"/>
                <w:sz w:val="14"/>
              </w:rPr>
              <w:t>10.1111/hequ.70054</w:t>
            </w:r>
          </w:p>
        </w:tc>
        <w:tc>
          <w:tcPr>
            <w:tcW w:w="3384" w:type="dxa"/>
          </w:tcPr>
          <w:p w14:paraId="4092698C"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460937D2" w14:textId="77777777" w:rsidTr="00316D81">
        <w:trPr>
          <w:jc w:val="center"/>
        </w:trPr>
        <w:tc>
          <w:tcPr>
            <w:tcW w:w="576" w:type="dxa"/>
          </w:tcPr>
          <w:p w14:paraId="1AD976EE" w14:textId="77777777" w:rsidR="003D52C5" w:rsidRDefault="003D52C5" w:rsidP="00316D81">
            <w:pPr>
              <w:jc w:val="center"/>
            </w:pPr>
            <w:r>
              <w:rPr>
                <w:rFonts w:ascii="Arial" w:hAnsi="Arial"/>
                <w:sz w:val="15"/>
              </w:rPr>
              <w:t>66</w:t>
            </w:r>
          </w:p>
        </w:tc>
        <w:tc>
          <w:tcPr>
            <w:tcW w:w="7848" w:type="dxa"/>
          </w:tcPr>
          <w:p w14:paraId="23B44621" w14:textId="379F337C" w:rsidR="003D52C5" w:rsidRDefault="003D52C5" w:rsidP="00316D81">
            <w:r>
              <w:rPr>
                <w:rFonts w:ascii="Arial" w:hAnsi="Arial"/>
                <w:sz w:val="14"/>
              </w:rPr>
              <w:t xml:space="preserve">Jin, Y., Yan, L., Echeverria, V., Gasevic, D., </w:t>
            </w:r>
            <w:r w:rsidR="009F354A">
              <w:rPr>
                <w:rFonts w:ascii="Arial" w:hAnsi="Arial"/>
                <w:sz w:val="14"/>
              </w:rPr>
              <w:t>and</w:t>
            </w:r>
            <w:r>
              <w:rPr>
                <w:rFonts w:ascii="Arial" w:hAnsi="Arial"/>
                <w:sz w:val="14"/>
              </w:rPr>
              <w:t xml:space="preserve"> Martinez-Maldonado, R. (2025). ‘Generative AI in higher education: A global perspective of institutional adoption policies and guidelines’. Computers and Education: Artificial Intelligence, 8, 100348. </w:t>
            </w:r>
            <w:r w:rsidR="0028539F">
              <w:rPr>
                <w:rFonts w:ascii="Arial" w:hAnsi="Arial"/>
                <w:sz w:val="14"/>
              </w:rPr>
              <w:t>DOI</w:t>
            </w:r>
            <w:r>
              <w:rPr>
                <w:rFonts w:ascii="Arial" w:hAnsi="Arial"/>
                <w:sz w:val="14"/>
              </w:rPr>
              <w:t>: 10.1016/j.caeai.2024.100348.</w:t>
            </w:r>
          </w:p>
        </w:tc>
        <w:tc>
          <w:tcPr>
            <w:tcW w:w="792" w:type="dxa"/>
          </w:tcPr>
          <w:p w14:paraId="55F32645" w14:textId="77777777" w:rsidR="003D52C5" w:rsidRDefault="003D52C5" w:rsidP="00316D81">
            <w:pPr>
              <w:jc w:val="center"/>
            </w:pPr>
            <w:r>
              <w:rPr>
                <w:rFonts w:ascii="Arial" w:hAnsi="Arial"/>
                <w:sz w:val="15"/>
              </w:rPr>
              <w:t>2025</w:t>
            </w:r>
          </w:p>
        </w:tc>
        <w:tc>
          <w:tcPr>
            <w:tcW w:w="3528" w:type="dxa"/>
          </w:tcPr>
          <w:p w14:paraId="6C100D70" w14:textId="77777777" w:rsidR="003D52C5" w:rsidRDefault="003D52C5" w:rsidP="00316D81">
            <w:r>
              <w:rPr>
                <w:rFonts w:ascii="Arial" w:hAnsi="Arial"/>
                <w:sz w:val="14"/>
              </w:rPr>
              <w:t>10.1016/j.caeai.2024.100348</w:t>
            </w:r>
          </w:p>
        </w:tc>
        <w:tc>
          <w:tcPr>
            <w:tcW w:w="3384" w:type="dxa"/>
          </w:tcPr>
          <w:p w14:paraId="3EE082D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103BF91D" w14:textId="77777777" w:rsidTr="00316D81">
        <w:trPr>
          <w:jc w:val="center"/>
        </w:trPr>
        <w:tc>
          <w:tcPr>
            <w:tcW w:w="576" w:type="dxa"/>
          </w:tcPr>
          <w:p w14:paraId="6AAF3D77" w14:textId="77777777" w:rsidR="003D52C5" w:rsidRDefault="003D52C5" w:rsidP="00316D81">
            <w:pPr>
              <w:jc w:val="center"/>
            </w:pPr>
            <w:r>
              <w:rPr>
                <w:rFonts w:ascii="Arial" w:hAnsi="Arial"/>
                <w:sz w:val="15"/>
              </w:rPr>
              <w:t>67</w:t>
            </w:r>
          </w:p>
        </w:tc>
        <w:tc>
          <w:tcPr>
            <w:tcW w:w="7848" w:type="dxa"/>
          </w:tcPr>
          <w:p w14:paraId="5FD5F7B0" w14:textId="60F5BE3F" w:rsidR="003D52C5" w:rsidRDefault="003D52C5" w:rsidP="00316D81">
            <w:r>
              <w:rPr>
                <w:rFonts w:ascii="Arial" w:hAnsi="Arial"/>
                <w:sz w:val="14"/>
              </w:rPr>
              <w:t xml:space="preserve">Johnson, J., Adkins, D. </w:t>
            </w:r>
            <w:r w:rsidR="009F354A">
              <w:rPr>
                <w:rFonts w:ascii="Arial" w:hAnsi="Arial"/>
                <w:sz w:val="14"/>
              </w:rPr>
              <w:t>and</w:t>
            </w:r>
            <w:r>
              <w:rPr>
                <w:rFonts w:ascii="Arial" w:hAnsi="Arial"/>
                <w:sz w:val="14"/>
              </w:rPr>
              <w:t xml:space="preserve"> Chauvin, S. (2020). ‘A review of the quality indicators of rigour in qualitative research’, American Journal of Pharmaceutical Education, 84(1), 7120. </w:t>
            </w:r>
            <w:r w:rsidR="0028539F">
              <w:rPr>
                <w:rFonts w:ascii="Arial" w:hAnsi="Arial"/>
                <w:sz w:val="14"/>
              </w:rPr>
              <w:t>DOI</w:t>
            </w:r>
            <w:r>
              <w:rPr>
                <w:rFonts w:ascii="Arial" w:hAnsi="Arial"/>
                <w:sz w:val="14"/>
              </w:rPr>
              <w:t>: 10.5688/ajpe7120.</w:t>
            </w:r>
          </w:p>
        </w:tc>
        <w:tc>
          <w:tcPr>
            <w:tcW w:w="792" w:type="dxa"/>
          </w:tcPr>
          <w:p w14:paraId="2E8C05A3" w14:textId="77777777" w:rsidR="003D52C5" w:rsidRDefault="003D52C5" w:rsidP="00316D81">
            <w:pPr>
              <w:jc w:val="center"/>
            </w:pPr>
            <w:r>
              <w:rPr>
                <w:rFonts w:ascii="Arial" w:hAnsi="Arial"/>
                <w:sz w:val="15"/>
              </w:rPr>
              <w:t>2020</w:t>
            </w:r>
          </w:p>
        </w:tc>
        <w:tc>
          <w:tcPr>
            <w:tcW w:w="3528" w:type="dxa"/>
          </w:tcPr>
          <w:p w14:paraId="4CC10ADE" w14:textId="77777777" w:rsidR="003D52C5" w:rsidRDefault="003D52C5" w:rsidP="00316D81">
            <w:r>
              <w:rPr>
                <w:rFonts w:ascii="Arial" w:hAnsi="Arial"/>
                <w:sz w:val="14"/>
              </w:rPr>
              <w:t>10.5688/ajpe7120</w:t>
            </w:r>
          </w:p>
        </w:tc>
        <w:tc>
          <w:tcPr>
            <w:tcW w:w="3384" w:type="dxa"/>
          </w:tcPr>
          <w:p w14:paraId="24CAB985"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EC6B8CF" w14:textId="77777777" w:rsidTr="00316D81">
        <w:trPr>
          <w:jc w:val="center"/>
        </w:trPr>
        <w:tc>
          <w:tcPr>
            <w:tcW w:w="576" w:type="dxa"/>
          </w:tcPr>
          <w:p w14:paraId="67D0802F" w14:textId="77777777" w:rsidR="003D52C5" w:rsidRDefault="003D52C5" w:rsidP="00316D81">
            <w:pPr>
              <w:jc w:val="center"/>
            </w:pPr>
            <w:r>
              <w:rPr>
                <w:rFonts w:ascii="Arial" w:hAnsi="Arial"/>
                <w:sz w:val="15"/>
              </w:rPr>
              <w:t>68</w:t>
            </w:r>
          </w:p>
        </w:tc>
        <w:tc>
          <w:tcPr>
            <w:tcW w:w="7848" w:type="dxa"/>
          </w:tcPr>
          <w:p w14:paraId="44D2832F" w14:textId="16A005C1" w:rsidR="003D52C5" w:rsidRDefault="003D52C5" w:rsidP="00316D81">
            <w:r>
              <w:rPr>
                <w:rFonts w:ascii="Arial" w:hAnsi="Arial"/>
                <w:sz w:val="14"/>
              </w:rPr>
              <w:t xml:space="preserve">Kangwa, D., Msafiri, M. </w:t>
            </w:r>
            <w:r w:rsidR="009F354A">
              <w:rPr>
                <w:rFonts w:ascii="Arial" w:hAnsi="Arial"/>
                <w:sz w:val="14"/>
              </w:rPr>
              <w:t>and</w:t>
            </w:r>
            <w:r>
              <w:rPr>
                <w:rFonts w:ascii="Arial" w:hAnsi="Arial"/>
                <w:sz w:val="14"/>
              </w:rPr>
              <w:t xml:space="preserve"> Fute, A. (2025). ‘Exploring the Factors That Promote a Balance Between Academic Integrity and the Effective Use of GenAI Tools in Higher Education: A Systematic Review’, Journal of Computer Assisted Learning. </w:t>
            </w:r>
            <w:r w:rsidR="0028539F">
              <w:rPr>
                <w:rFonts w:ascii="Arial" w:hAnsi="Arial"/>
                <w:sz w:val="14"/>
              </w:rPr>
              <w:t>DOI</w:t>
            </w:r>
            <w:r>
              <w:rPr>
                <w:rFonts w:ascii="Arial" w:hAnsi="Arial"/>
                <w:sz w:val="14"/>
              </w:rPr>
              <w:t>: 10.1111/jcal.70109.</w:t>
            </w:r>
          </w:p>
        </w:tc>
        <w:tc>
          <w:tcPr>
            <w:tcW w:w="792" w:type="dxa"/>
          </w:tcPr>
          <w:p w14:paraId="5AFF826E" w14:textId="77777777" w:rsidR="003D52C5" w:rsidRDefault="003D52C5" w:rsidP="00316D81">
            <w:pPr>
              <w:jc w:val="center"/>
            </w:pPr>
            <w:r>
              <w:rPr>
                <w:rFonts w:ascii="Arial" w:hAnsi="Arial"/>
                <w:sz w:val="15"/>
              </w:rPr>
              <w:t>2025</w:t>
            </w:r>
          </w:p>
        </w:tc>
        <w:tc>
          <w:tcPr>
            <w:tcW w:w="3528" w:type="dxa"/>
          </w:tcPr>
          <w:p w14:paraId="173BA66E" w14:textId="77777777" w:rsidR="003D52C5" w:rsidRDefault="003D52C5" w:rsidP="00316D81">
            <w:r>
              <w:rPr>
                <w:rFonts w:ascii="Arial" w:hAnsi="Arial"/>
                <w:sz w:val="14"/>
              </w:rPr>
              <w:t>10.1111/jcal.70109</w:t>
            </w:r>
          </w:p>
        </w:tc>
        <w:tc>
          <w:tcPr>
            <w:tcW w:w="3384" w:type="dxa"/>
          </w:tcPr>
          <w:p w14:paraId="666C9616"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447FC5F7" w14:textId="77777777" w:rsidTr="00316D81">
        <w:trPr>
          <w:jc w:val="center"/>
        </w:trPr>
        <w:tc>
          <w:tcPr>
            <w:tcW w:w="576" w:type="dxa"/>
          </w:tcPr>
          <w:p w14:paraId="58ACCFD7" w14:textId="77777777" w:rsidR="003D52C5" w:rsidRDefault="003D52C5" w:rsidP="00316D81">
            <w:pPr>
              <w:jc w:val="center"/>
            </w:pPr>
            <w:r>
              <w:rPr>
                <w:rFonts w:ascii="Arial" w:hAnsi="Arial"/>
                <w:sz w:val="15"/>
              </w:rPr>
              <w:t>69</w:t>
            </w:r>
          </w:p>
        </w:tc>
        <w:tc>
          <w:tcPr>
            <w:tcW w:w="7848" w:type="dxa"/>
          </w:tcPr>
          <w:p w14:paraId="78AE41A5" w14:textId="4C7E3C81" w:rsidR="003D52C5" w:rsidRDefault="003D52C5" w:rsidP="00316D81">
            <w:r>
              <w:rPr>
                <w:rFonts w:ascii="Arial" w:hAnsi="Arial"/>
                <w:sz w:val="14"/>
              </w:rPr>
              <w:t xml:space="preserve">Kasarcı, İ., Akın Demircan, Z., Celiker Ercan, G. </w:t>
            </w:r>
            <w:r w:rsidR="009F354A">
              <w:rPr>
                <w:rFonts w:ascii="Arial" w:hAnsi="Arial"/>
                <w:sz w:val="14"/>
              </w:rPr>
              <w:t>and</w:t>
            </w:r>
            <w:r>
              <w:rPr>
                <w:rFonts w:ascii="Arial" w:hAnsi="Arial"/>
                <w:sz w:val="14"/>
              </w:rPr>
              <w:t xml:space="preserve"> İnci, T. (2025). ‘Managing Artificial Intelligence Ethics in Higher Education: A Systematic Framework for Issues and Policy Recommendations’, International Journal of Current Educational Studies. </w:t>
            </w:r>
            <w:r w:rsidR="0028539F">
              <w:rPr>
                <w:rFonts w:ascii="Arial" w:hAnsi="Arial"/>
                <w:sz w:val="14"/>
              </w:rPr>
              <w:t>DOI</w:t>
            </w:r>
            <w:r>
              <w:rPr>
                <w:rFonts w:ascii="Arial" w:hAnsi="Arial"/>
                <w:sz w:val="14"/>
              </w:rPr>
              <w:t>: 10.46328/ijces.223.</w:t>
            </w:r>
          </w:p>
        </w:tc>
        <w:tc>
          <w:tcPr>
            <w:tcW w:w="792" w:type="dxa"/>
          </w:tcPr>
          <w:p w14:paraId="50194F47" w14:textId="77777777" w:rsidR="003D52C5" w:rsidRDefault="003D52C5" w:rsidP="00316D81">
            <w:pPr>
              <w:jc w:val="center"/>
            </w:pPr>
            <w:r>
              <w:rPr>
                <w:rFonts w:ascii="Arial" w:hAnsi="Arial"/>
                <w:sz w:val="15"/>
              </w:rPr>
              <w:t>2025</w:t>
            </w:r>
          </w:p>
        </w:tc>
        <w:tc>
          <w:tcPr>
            <w:tcW w:w="3528" w:type="dxa"/>
          </w:tcPr>
          <w:p w14:paraId="760325D7" w14:textId="77777777" w:rsidR="003D52C5" w:rsidRDefault="003D52C5" w:rsidP="00316D81">
            <w:r>
              <w:rPr>
                <w:rFonts w:ascii="Arial" w:hAnsi="Arial"/>
                <w:sz w:val="14"/>
              </w:rPr>
              <w:t>10.46328/ijces.223</w:t>
            </w:r>
          </w:p>
        </w:tc>
        <w:tc>
          <w:tcPr>
            <w:tcW w:w="3384" w:type="dxa"/>
          </w:tcPr>
          <w:p w14:paraId="71CF9B25"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C949514" w14:textId="77777777" w:rsidTr="00316D81">
        <w:trPr>
          <w:jc w:val="center"/>
        </w:trPr>
        <w:tc>
          <w:tcPr>
            <w:tcW w:w="576" w:type="dxa"/>
          </w:tcPr>
          <w:p w14:paraId="74DA6161" w14:textId="77777777" w:rsidR="003D52C5" w:rsidRDefault="003D52C5" w:rsidP="00316D81">
            <w:pPr>
              <w:jc w:val="center"/>
            </w:pPr>
            <w:r>
              <w:rPr>
                <w:rFonts w:ascii="Arial" w:hAnsi="Arial"/>
                <w:sz w:val="15"/>
              </w:rPr>
              <w:t>70</w:t>
            </w:r>
          </w:p>
        </w:tc>
        <w:tc>
          <w:tcPr>
            <w:tcW w:w="7848" w:type="dxa"/>
          </w:tcPr>
          <w:p w14:paraId="78D6BF78" w14:textId="446B822A" w:rsidR="003D52C5" w:rsidRDefault="003D52C5" w:rsidP="00316D81">
            <w:r>
              <w:rPr>
                <w:rFonts w:ascii="Arial" w:hAnsi="Arial"/>
                <w:sz w:val="14"/>
              </w:rPr>
              <w:t xml:space="preserve">Kennedy, E., Castanelli, D., Molloy, E. </w:t>
            </w:r>
            <w:r w:rsidR="009F354A">
              <w:rPr>
                <w:rFonts w:ascii="Arial" w:hAnsi="Arial"/>
                <w:sz w:val="14"/>
              </w:rPr>
              <w:t>and</w:t>
            </w:r>
            <w:r>
              <w:rPr>
                <w:rFonts w:ascii="Arial" w:hAnsi="Arial"/>
                <w:sz w:val="14"/>
              </w:rPr>
              <w:t xml:space="preserve"> Bearman, M. (2024). ‘Addressing positionality in qualitative research: Significance, challenges and strategies’, The Clinical Teacher, 21(6), e13820. </w:t>
            </w:r>
            <w:r w:rsidR="0028539F">
              <w:rPr>
                <w:rFonts w:ascii="Arial" w:hAnsi="Arial"/>
                <w:sz w:val="14"/>
              </w:rPr>
              <w:t>DOI</w:t>
            </w:r>
            <w:r>
              <w:rPr>
                <w:rFonts w:ascii="Arial" w:hAnsi="Arial"/>
                <w:sz w:val="14"/>
              </w:rPr>
              <w:t>: 10.1111/tct.13820.</w:t>
            </w:r>
          </w:p>
        </w:tc>
        <w:tc>
          <w:tcPr>
            <w:tcW w:w="792" w:type="dxa"/>
          </w:tcPr>
          <w:p w14:paraId="617C5AE6" w14:textId="77777777" w:rsidR="003D52C5" w:rsidRDefault="003D52C5" w:rsidP="00316D81">
            <w:pPr>
              <w:jc w:val="center"/>
            </w:pPr>
            <w:r>
              <w:rPr>
                <w:rFonts w:ascii="Arial" w:hAnsi="Arial"/>
                <w:sz w:val="15"/>
              </w:rPr>
              <w:t>2024</w:t>
            </w:r>
          </w:p>
        </w:tc>
        <w:tc>
          <w:tcPr>
            <w:tcW w:w="3528" w:type="dxa"/>
          </w:tcPr>
          <w:p w14:paraId="7AB81094" w14:textId="77777777" w:rsidR="003D52C5" w:rsidRDefault="003D52C5" w:rsidP="00316D81">
            <w:r>
              <w:rPr>
                <w:rFonts w:ascii="Arial" w:hAnsi="Arial"/>
                <w:sz w:val="14"/>
              </w:rPr>
              <w:t>10.1111/tct.13820</w:t>
            </w:r>
          </w:p>
        </w:tc>
        <w:tc>
          <w:tcPr>
            <w:tcW w:w="3384" w:type="dxa"/>
          </w:tcPr>
          <w:p w14:paraId="0260F49B"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70A8E1F3" w14:textId="77777777" w:rsidTr="00316D81">
        <w:trPr>
          <w:jc w:val="center"/>
        </w:trPr>
        <w:tc>
          <w:tcPr>
            <w:tcW w:w="576" w:type="dxa"/>
          </w:tcPr>
          <w:p w14:paraId="4B281801" w14:textId="77777777" w:rsidR="003D52C5" w:rsidRDefault="003D52C5" w:rsidP="00316D81">
            <w:pPr>
              <w:jc w:val="center"/>
            </w:pPr>
            <w:r>
              <w:rPr>
                <w:rFonts w:ascii="Arial" w:hAnsi="Arial"/>
                <w:sz w:val="15"/>
              </w:rPr>
              <w:t>71</w:t>
            </w:r>
          </w:p>
        </w:tc>
        <w:tc>
          <w:tcPr>
            <w:tcW w:w="7848" w:type="dxa"/>
          </w:tcPr>
          <w:p w14:paraId="5C2DB2E2" w14:textId="4515B7A7" w:rsidR="003D52C5" w:rsidRDefault="003D52C5" w:rsidP="00316D81">
            <w:r>
              <w:rPr>
                <w:rFonts w:ascii="Arial" w:hAnsi="Arial"/>
                <w:sz w:val="14"/>
              </w:rPr>
              <w:t xml:space="preserve">Kham, S. (2024). ‘Outsider From Within, Insider from Without: Negotiating Researcher Positionality in Comparative Social Research’, International Journal of Qualitative Methods, 23. </w:t>
            </w:r>
            <w:r w:rsidR="0028539F">
              <w:rPr>
                <w:rFonts w:ascii="Arial" w:hAnsi="Arial"/>
                <w:sz w:val="14"/>
              </w:rPr>
              <w:t>DOI</w:t>
            </w:r>
            <w:r>
              <w:rPr>
                <w:rFonts w:ascii="Arial" w:hAnsi="Arial"/>
                <w:sz w:val="14"/>
              </w:rPr>
              <w:t>: 10.1177/16094069241254004.</w:t>
            </w:r>
          </w:p>
        </w:tc>
        <w:tc>
          <w:tcPr>
            <w:tcW w:w="792" w:type="dxa"/>
          </w:tcPr>
          <w:p w14:paraId="60345DBE" w14:textId="77777777" w:rsidR="003D52C5" w:rsidRDefault="003D52C5" w:rsidP="00316D81">
            <w:pPr>
              <w:jc w:val="center"/>
            </w:pPr>
            <w:r>
              <w:rPr>
                <w:rFonts w:ascii="Arial" w:hAnsi="Arial"/>
                <w:sz w:val="15"/>
              </w:rPr>
              <w:t>2024</w:t>
            </w:r>
          </w:p>
        </w:tc>
        <w:tc>
          <w:tcPr>
            <w:tcW w:w="3528" w:type="dxa"/>
          </w:tcPr>
          <w:p w14:paraId="53FD3377" w14:textId="77777777" w:rsidR="003D52C5" w:rsidRDefault="003D52C5" w:rsidP="00316D81">
            <w:r>
              <w:rPr>
                <w:rFonts w:ascii="Arial" w:hAnsi="Arial"/>
                <w:sz w:val="14"/>
              </w:rPr>
              <w:t>10.1177/16094069241254004</w:t>
            </w:r>
          </w:p>
        </w:tc>
        <w:tc>
          <w:tcPr>
            <w:tcW w:w="3384" w:type="dxa"/>
          </w:tcPr>
          <w:p w14:paraId="33AC3638"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43805C19" w14:textId="77777777" w:rsidTr="00316D81">
        <w:trPr>
          <w:jc w:val="center"/>
        </w:trPr>
        <w:tc>
          <w:tcPr>
            <w:tcW w:w="576" w:type="dxa"/>
          </w:tcPr>
          <w:p w14:paraId="19F11ECA" w14:textId="77777777" w:rsidR="003D52C5" w:rsidRDefault="003D52C5" w:rsidP="00316D81">
            <w:pPr>
              <w:jc w:val="center"/>
            </w:pPr>
            <w:r>
              <w:rPr>
                <w:rFonts w:ascii="Arial" w:hAnsi="Arial"/>
                <w:sz w:val="15"/>
              </w:rPr>
              <w:lastRenderedPageBreak/>
              <w:t>72</w:t>
            </w:r>
          </w:p>
        </w:tc>
        <w:tc>
          <w:tcPr>
            <w:tcW w:w="7848" w:type="dxa"/>
          </w:tcPr>
          <w:p w14:paraId="5236FA6E" w14:textId="5BDAEB4A" w:rsidR="003D52C5" w:rsidRDefault="003D52C5" w:rsidP="00316D81">
            <w:r>
              <w:rPr>
                <w:rFonts w:ascii="Arial" w:hAnsi="Arial"/>
                <w:sz w:val="14"/>
              </w:rPr>
              <w:t xml:space="preserve">Khosravi, H., Shum, S., Chen, G., Conati, C., Kay, J., Knight, S., Martinez-Maldonado, R., Sadiq, S. </w:t>
            </w:r>
            <w:r w:rsidR="009F354A">
              <w:rPr>
                <w:rFonts w:ascii="Arial" w:hAnsi="Arial"/>
                <w:sz w:val="14"/>
              </w:rPr>
              <w:t>and</w:t>
            </w:r>
            <w:r>
              <w:rPr>
                <w:rFonts w:ascii="Arial" w:hAnsi="Arial"/>
                <w:sz w:val="14"/>
              </w:rPr>
              <w:t xml:space="preserve"> Gasevic, D. (2022). ‘Explainable Artificial Intelligence in education’, Computers and Education: Artificial Intelligence, 3, 100074. </w:t>
            </w:r>
            <w:r w:rsidR="0028539F">
              <w:rPr>
                <w:rFonts w:ascii="Arial" w:hAnsi="Arial"/>
                <w:sz w:val="14"/>
              </w:rPr>
              <w:t>DOI</w:t>
            </w:r>
            <w:r>
              <w:rPr>
                <w:rFonts w:ascii="Arial" w:hAnsi="Arial"/>
                <w:sz w:val="14"/>
              </w:rPr>
              <w:t>: 10.1016/j.caeai.2022.100074.</w:t>
            </w:r>
          </w:p>
        </w:tc>
        <w:tc>
          <w:tcPr>
            <w:tcW w:w="792" w:type="dxa"/>
          </w:tcPr>
          <w:p w14:paraId="22324001" w14:textId="77777777" w:rsidR="003D52C5" w:rsidRDefault="003D52C5" w:rsidP="00316D81">
            <w:pPr>
              <w:jc w:val="center"/>
            </w:pPr>
            <w:r>
              <w:rPr>
                <w:rFonts w:ascii="Arial" w:hAnsi="Arial"/>
                <w:sz w:val="15"/>
              </w:rPr>
              <w:t>2022</w:t>
            </w:r>
          </w:p>
        </w:tc>
        <w:tc>
          <w:tcPr>
            <w:tcW w:w="3528" w:type="dxa"/>
          </w:tcPr>
          <w:p w14:paraId="7CCE2B5E" w14:textId="77777777" w:rsidR="003D52C5" w:rsidRDefault="003D52C5" w:rsidP="00316D81">
            <w:r>
              <w:rPr>
                <w:rFonts w:ascii="Arial" w:hAnsi="Arial"/>
                <w:sz w:val="14"/>
              </w:rPr>
              <w:t>10.1016/j.caeai.2022.100074</w:t>
            </w:r>
          </w:p>
        </w:tc>
        <w:tc>
          <w:tcPr>
            <w:tcW w:w="3384" w:type="dxa"/>
          </w:tcPr>
          <w:p w14:paraId="0C62C085"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1B1F7955" w14:textId="77777777" w:rsidTr="00316D81">
        <w:trPr>
          <w:jc w:val="center"/>
        </w:trPr>
        <w:tc>
          <w:tcPr>
            <w:tcW w:w="576" w:type="dxa"/>
          </w:tcPr>
          <w:p w14:paraId="2E5A0440" w14:textId="77777777" w:rsidR="003D52C5" w:rsidRDefault="003D52C5" w:rsidP="00316D81">
            <w:pPr>
              <w:jc w:val="center"/>
            </w:pPr>
            <w:r>
              <w:rPr>
                <w:rFonts w:ascii="Arial" w:hAnsi="Arial"/>
                <w:sz w:val="15"/>
              </w:rPr>
              <w:t>73</w:t>
            </w:r>
          </w:p>
        </w:tc>
        <w:tc>
          <w:tcPr>
            <w:tcW w:w="7848" w:type="dxa"/>
          </w:tcPr>
          <w:p w14:paraId="4E61C492" w14:textId="16F59A30" w:rsidR="003D52C5" w:rsidRDefault="003D52C5" w:rsidP="00316D81">
            <w:r>
              <w:rPr>
                <w:rFonts w:ascii="Arial" w:hAnsi="Arial"/>
                <w:sz w:val="14"/>
              </w:rPr>
              <w:t xml:space="preserve">Knight, S., Shibani, A., </w:t>
            </w:r>
            <w:r w:rsidR="009F354A">
              <w:rPr>
                <w:rFonts w:ascii="Arial" w:hAnsi="Arial"/>
                <w:sz w:val="14"/>
              </w:rPr>
              <w:t>and</w:t>
            </w:r>
            <w:r>
              <w:rPr>
                <w:rFonts w:ascii="Arial" w:hAnsi="Arial"/>
                <w:sz w:val="14"/>
              </w:rPr>
              <w:t xml:space="preserve"> Vincent, N. (2025). ‘Ethical AI governance: mapping a research ecosystem'. AI and Ethics, 5, pp. 841–862. </w:t>
            </w:r>
            <w:r w:rsidR="0028539F">
              <w:rPr>
                <w:rFonts w:ascii="Arial" w:hAnsi="Arial"/>
                <w:sz w:val="14"/>
              </w:rPr>
              <w:t>DOI</w:t>
            </w:r>
            <w:r>
              <w:rPr>
                <w:rFonts w:ascii="Arial" w:hAnsi="Arial"/>
                <w:sz w:val="14"/>
              </w:rPr>
              <w:t>: 10.1007/s43681-023-00416-z.</w:t>
            </w:r>
          </w:p>
        </w:tc>
        <w:tc>
          <w:tcPr>
            <w:tcW w:w="792" w:type="dxa"/>
          </w:tcPr>
          <w:p w14:paraId="17BEED28" w14:textId="77777777" w:rsidR="003D52C5" w:rsidRDefault="003D52C5" w:rsidP="00316D81">
            <w:pPr>
              <w:jc w:val="center"/>
            </w:pPr>
            <w:r>
              <w:rPr>
                <w:rFonts w:ascii="Arial" w:hAnsi="Arial"/>
                <w:sz w:val="15"/>
              </w:rPr>
              <w:t>2025</w:t>
            </w:r>
          </w:p>
        </w:tc>
        <w:tc>
          <w:tcPr>
            <w:tcW w:w="3528" w:type="dxa"/>
          </w:tcPr>
          <w:p w14:paraId="129CE263" w14:textId="77777777" w:rsidR="003D52C5" w:rsidRDefault="003D52C5" w:rsidP="00316D81">
            <w:r>
              <w:rPr>
                <w:rFonts w:ascii="Arial" w:hAnsi="Arial"/>
                <w:sz w:val="14"/>
              </w:rPr>
              <w:t>10.1007/s43681-023-00416-z</w:t>
            </w:r>
          </w:p>
        </w:tc>
        <w:tc>
          <w:tcPr>
            <w:tcW w:w="3384" w:type="dxa"/>
          </w:tcPr>
          <w:p w14:paraId="27A5B50D"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70DD118C" w14:textId="77777777" w:rsidTr="00316D81">
        <w:trPr>
          <w:jc w:val="center"/>
        </w:trPr>
        <w:tc>
          <w:tcPr>
            <w:tcW w:w="576" w:type="dxa"/>
          </w:tcPr>
          <w:p w14:paraId="217E81E8" w14:textId="77777777" w:rsidR="003D52C5" w:rsidRDefault="003D52C5" w:rsidP="00316D81">
            <w:pPr>
              <w:jc w:val="center"/>
            </w:pPr>
            <w:r>
              <w:rPr>
                <w:rFonts w:ascii="Arial" w:hAnsi="Arial"/>
                <w:sz w:val="15"/>
              </w:rPr>
              <w:t>74</w:t>
            </w:r>
          </w:p>
        </w:tc>
        <w:tc>
          <w:tcPr>
            <w:tcW w:w="7848" w:type="dxa"/>
          </w:tcPr>
          <w:p w14:paraId="0D4A5476" w14:textId="26C389EC" w:rsidR="003D52C5" w:rsidRDefault="003D52C5" w:rsidP="00316D81">
            <w:r>
              <w:rPr>
                <w:rFonts w:ascii="Arial" w:hAnsi="Arial"/>
                <w:sz w:val="14"/>
              </w:rPr>
              <w:t xml:space="preserve">Korir, M., Slade, S., Holmes, W., Heliot, Y. </w:t>
            </w:r>
            <w:r w:rsidR="009F354A">
              <w:rPr>
                <w:rFonts w:ascii="Arial" w:hAnsi="Arial"/>
                <w:sz w:val="14"/>
              </w:rPr>
              <w:t>and</w:t>
            </w:r>
            <w:r>
              <w:rPr>
                <w:rFonts w:ascii="Arial" w:hAnsi="Arial"/>
                <w:sz w:val="14"/>
              </w:rPr>
              <w:t xml:space="preserve"> Rienties, B. (2022). ‘Investigating the dimensions of students’ privacy concern in the collection, use, and sharing of data for learning analytics’, Computers in Human Behaviour Reports, 9, 100262. </w:t>
            </w:r>
            <w:r w:rsidR="0028539F">
              <w:rPr>
                <w:rFonts w:ascii="Arial" w:hAnsi="Arial"/>
                <w:sz w:val="14"/>
              </w:rPr>
              <w:t>DOI</w:t>
            </w:r>
            <w:r>
              <w:rPr>
                <w:rFonts w:ascii="Arial" w:hAnsi="Arial"/>
                <w:sz w:val="14"/>
              </w:rPr>
              <w:t>: 10.1016/j.chbr.2022.100262.</w:t>
            </w:r>
          </w:p>
        </w:tc>
        <w:tc>
          <w:tcPr>
            <w:tcW w:w="792" w:type="dxa"/>
          </w:tcPr>
          <w:p w14:paraId="7796E8AA" w14:textId="77777777" w:rsidR="003D52C5" w:rsidRDefault="003D52C5" w:rsidP="00316D81">
            <w:pPr>
              <w:jc w:val="center"/>
            </w:pPr>
            <w:r>
              <w:rPr>
                <w:rFonts w:ascii="Arial" w:hAnsi="Arial"/>
                <w:sz w:val="15"/>
              </w:rPr>
              <w:t>2022</w:t>
            </w:r>
          </w:p>
        </w:tc>
        <w:tc>
          <w:tcPr>
            <w:tcW w:w="3528" w:type="dxa"/>
          </w:tcPr>
          <w:p w14:paraId="7368ABA1" w14:textId="77777777" w:rsidR="003D52C5" w:rsidRDefault="003D52C5" w:rsidP="00316D81">
            <w:r>
              <w:rPr>
                <w:rFonts w:ascii="Arial" w:hAnsi="Arial"/>
                <w:sz w:val="14"/>
              </w:rPr>
              <w:t>10.1016/j.chbr.2022.100262</w:t>
            </w:r>
          </w:p>
        </w:tc>
        <w:tc>
          <w:tcPr>
            <w:tcW w:w="3384" w:type="dxa"/>
          </w:tcPr>
          <w:p w14:paraId="118D32A8"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0FDA05F6" w14:textId="77777777" w:rsidTr="00316D81">
        <w:trPr>
          <w:jc w:val="center"/>
        </w:trPr>
        <w:tc>
          <w:tcPr>
            <w:tcW w:w="576" w:type="dxa"/>
          </w:tcPr>
          <w:p w14:paraId="6BF722BD" w14:textId="77777777" w:rsidR="003D52C5" w:rsidRDefault="003D52C5" w:rsidP="00316D81">
            <w:pPr>
              <w:jc w:val="center"/>
            </w:pPr>
            <w:r>
              <w:rPr>
                <w:rFonts w:ascii="Arial" w:hAnsi="Arial"/>
                <w:sz w:val="15"/>
              </w:rPr>
              <w:t>75</w:t>
            </w:r>
          </w:p>
        </w:tc>
        <w:tc>
          <w:tcPr>
            <w:tcW w:w="7848" w:type="dxa"/>
          </w:tcPr>
          <w:p w14:paraId="02FCA8AC" w14:textId="213561DC" w:rsidR="003D52C5" w:rsidRDefault="003D52C5" w:rsidP="00316D81">
            <w:r>
              <w:rPr>
                <w:rFonts w:ascii="Arial" w:hAnsi="Arial"/>
                <w:sz w:val="14"/>
              </w:rPr>
              <w:t xml:space="preserve">Lahusen, C., Maggetti, M. </w:t>
            </w:r>
            <w:r w:rsidR="009F354A">
              <w:rPr>
                <w:rFonts w:ascii="Arial" w:hAnsi="Arial"/>
                <w:sz w:val="14"/>
              </w:rPr>
              <w:t>and</w:t>
            </w:r>
            <w:r>
              <w:rPr>
                <w:rFonts w:ascii="Arial" w:hAnsi="Arial"/>
                <w:sz w:val="14"/>
              </w:rPr>
              <w:t xml:space="preserve"> Slavkovik, M. (2024). ‘Trust, trustworthiness and AI governance’. Scientific Reports, 14, 20752. </w:t>
            </w:r>
            <w:r w:rsidR="0028539F">
              <w:rPr>
                <w:rFonts w:ascii="Arial" w:hAnsi="Arial"/>
                <w:sz w:val="14"/>
              </w:rPr>
              <w:t>DOI</w:t>
            </w:r>
            <w:r>
              <w:rPr>
                <w:rFonts w:ascii="Arial" w:hAnsi="Arial"/>
                <w:sz w:val="14"/>
              </w:rPr>
              <w:t>: 10.1038/s41598-024-71761-0.</w:t>
            </w:r>
          </w:p>
        </w:tc>
        <w:tc>
          <w:tcPr>
            <w:tcW w:w="792" w:type="dxa"/>
          </w:tcPr>
          <w:p w14:paraId="31DF7346" w14:textId="77777777" w:rsidR="003D52C5" w:rsidRDefault="003D52C5" w:rsidP="00316D81">
            <w:pPr>
              <w:jc w:val="center"/>
            </w:pPr>
            <w:r>
              <w:rPr>
                <w:rFonts w:ascii="Arial" w:hAnsi="Arial"/>
                <w:sz w:val="15"/>
              </w:rPr>
              <w:t>2024</w:t>
            </w:r>
          </w:p>
        </w:tc>
        <w:tc>
          <w:tcPr>
            <w:tcW w:w="3528" w:type="dxa"/>
          </w:tcPr>
          <w:p w14:paraId="64562563" w14:textId="77777777" w:rsidR="003D52C5" w:rsidRDefault="003D52C5" w:rsidP="00316D81">
            <w:r>
              <w:rPr>
                <w:rFonts w:ascii="Arial" w:hAnsi="Arial"/>
                <w:sz w:val="14"/>
              </w:rPr>
              <w:t>10.1038/s41598-024-71761-0</w:t>
            </w:r>
          </w:p>
        </w:tc>
        <w:tc>
          <w:tcPr>
            <w:tcW w:w="3384" w:type="dxa"/>
          </w:tcPr>
          <w:p w14:paraId="57E53974"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2100AC02" w14:textId="77777777" w:rsidTr="00316D81">
        <w:trPr>
          <w:jc w:val="center"/>
        </w:trPr>
        <w:tc>
          <w:tcPr>
            <w:tcW w:w="576" w:type="dxa"/>
          </w:tcPr>
          <w:p w14:paraId="3A237AA5" w14:textId="77777777" w:rsidR="003D52C5" w:rsidRDefault="003D52C5" w:rsidP="00316D81">
            <w:pPr>
              <w:jc w:val="center"/>
            </w:pPr>
            <w:r>
              <w:rPr>
                <w:rFonts w:ascii="Arial" w:hAnsi="Arial"/>
                <w:sz w:val="15"/>
              </w:rPr>
              <w:t>76</w:t>
            </w:r>
          </w:p>
        </w:tc>
        <w:tc>
          <w:tcPr>
            <w:tcW w:w="7848" w:type="dxa"/>
          </w:tcPr>
          <w:p w14:paraId="7E24E255" w14:textId="00EB0AC6" w:rsidR="003D52C5" w:rsidRDefault="003D52C5" w:rsidP="00316D81">
            <w:r>
              <w:rPr>
                <w:rFonts w:ascii="Arial" w:hAnsi="Arial"/>
                <w:sz w:val="14"/>
              </w:rPr>
              <w:t xml:space="preserve">Lam, D. (2026). ‘The importance of ethics, governance and leadership in meeting the artificial intelligence challenge in higher education: a critical review’, Cogent Education, 13(1), 2636441. </w:t>
            </w:r>
            <w:r w:rsidR="0028539F">
              <w:rPr>
                <w:rFonts w:ascii="Arial" w:hAnsi="Arial"/>
                <w:sz w:val="14"/>
              </w:rPr>
              <w:t>DOI</w:t>
            </w:r>
            <w:r>
              <w:rPr>
                <w:rFonts w:ascii="Arial" w:hAnsi="Arial"/>
                <w:sz w:val="14"/>
              </w:rPr>
              <w:t>: 10.1080/2331186X.2026.2636441.</w:t>
            </w:r>
          </w:p>
        </w:tc>
        <w:tc>
          <w:tcPr>
            <w:tcW w:w="792" w:type="dxa"/>
          </w:tcPr>
          <w:p w14:paraId="680BC146" w14:textId="77777777" w:rsidR="003D52C5" w:rsidRDefault="003D52C5" w:rsidP="00316D81">
            <w:pPr>
              <w:jc w:val="center"/>
            </w:pPr>
            <w:r>
              <w:rPr>
                <w:rFonts w:ascii="Arial" w:hAnsi="Arial"/>
                <w:sz w:val="15"/>
              </w:rPr>
              <w:t>2026</w:t>
            </w:r>
          </w:p>
        </w:tc>
        <w:tc>
          <w:tcPr>
            <w:tcW w:w="3528" w:type="dxa"/>
          </w:tcPr>
          <w:p w14:paraId="260297F0" w14:textId="77777777" w:rsidR="003D52C5" w:rsidRDefault="003D52C5" w:rsidP="00316D81">
            <w:r>
              <w:rPr>
                <w:rFonts w:ascii="Arial" w:hAnsi="Arial"/>
                <w:sz w:val="14"/>
              </w:rPr>
              <w:t>10.1080/2331186X.2026.2636441</w:t>
            </w:r>
          </w:p>
        </w:tc>
        <w:tc>
          <w:tcPr>
            <w:tcW w:w="3384" w:type="dxa"/>
          </w:tcPr>
          <w:p w14:paraId="4C8B8F2E"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7B686395" w14:textId="77777777" w:rsidTr="00316D81">
        <w:trPr>
          <w:jc w:val="center"/>
        </w:trPr>
        <w:tc>
          <w:tcPr>
            <w:tcW w:w="576" w:type="dxa"/>
          </w:tcPr>
          <w:p w14:paraId="31D38977" w14:textId="77777777" w:rsidR="003D52C5" w:rsidRDefault="003D52C5" w:rsidP="00316D81">
            <w:pPr>
              <w:jc w:val="center"/>
            </w:pPr>
            <w:r>
              <w:rPr>
                <w:rFonts w:ascii="Arial" w:hAnsi="Arial"/>
                <w:sz w:val="15"/>
              </w:rPr>
              <w:t>77</w:t>
            </w:r>
          </w:p>
        </w:tc>
        <w:tc>
          <w:tcPr>
            <w:tcW w:w="7848" w:type="dxa"/>
          </w:tcPr>
          <w:p w14:paraId="1B4D71AD" w14:textId="77C44D3F" w:rsidR="003D52C5" w:rsidRDefault="003D52C5" w:rsidP="00316D81">
            <w:r>
              <w:rPr>
                <w:rFonts w:ascii="Arial" w:hAnsi="Arial"/>
                <w:sz w:val="14"/>
              </w:rPr>
              <w:t xml:space="preserve">Lawrence, S. (2026). ‘Artificial intelligence in higher education: stakeholder perceptions and policy implications’, Journal of Applied Research in Higher Education. </w:t>
            </w:r>
            <w:r w:rsidR="0028539F">
              <w:rPr>
                <w:rFonts w:ascii="Arial" w:hAnsi="Arial"/>
                <w:sz w:val="14"/>
              </w:rPr>
              <w:t>DOI</w:t>
            </w:r>
            <w:r>
              <w:rPr>
                <w:rFonts w:ascii="Arial" w:hAnsi="Arial"/>
                <w:sz w:val="14"/>
              </w:rPr>
              <w:t>: 10.1108/JARHE-10-2025-0872.</w:t>
            </w:r>
          </w:p>
        </w:tc>
        <w:tc>
          <w:tcPr>
            <w:tcW w:w="792" w:type="dxa"/>
          </w:tcPr>
          <w:p w14:paraId="050EAC5A" w14:textId="77777777" w:rsidR="003D52C5" w:rsidRDefault="003D52C5" w:rsidP="00316D81">
            <w:pPr>
              <w:jc w:val="center"/>
            </w:pPr>
            <w:r>
              <w:rPr>
                <w:rFonts w:ascii="Arial" w:hAnsi="Arial"/>
                <w:sz w:val="15"/>
              </w:rPr>
              <w:t>2026</w:t>
            </w:r>
          </w:p>
        </w:tc>
        <w:tc>
          <w:tcPr>
            <w:tcW w:w="3528" w:type="dxa"/>
          </w:tcPr>
          <w:p w14:paraId="1EF6BC82" w14:textId="77777777" w:rsidR="003D52C5" w:rsidRDefault="003D52C5" w:rsidP="00316D81">
            <w:r>
              <w:rPr>
                <w:rFonts w:ascii="Arial" w:hAnsi="Arial"/>
                <w:sz w:val="14"/>
              </w:rPr>
              <w:t>10.1108/JARHE-10-2025-0872</w:t>
            </w:r>
          </w:p>
        </w:tc>
        <w:tc>
          <w:tcPr>
            <w:tcW w:w="3384" w:type="dxa"/>
          </w:tcPr>
          <w:p w14:paraId="7AAA8976"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4933063E" w14:textId="77777777" w:rsidTr="00316D81">
        <w:trPr>
          <w:jc w:val="center"/>
        </w:trPr>
        <w:tc>
          <w:tcPr>
            <w:tcW w:w="576" w:type="dxa"/>
          </w:tcPr>
          <w:p w14:paraId="6EC144BC" w14:textId="77777777" w:rsidR="003D52C5" w:rsidRDefault="003D52C5" w:rsidP="00316D81">
            <w:pPr>
              <w:jc w:val="center"/>
            </w:pPr>
            <w:r>
              <w:rPr>
                <w:rFonts w:ascii="Arial" w:hAnsi="Arial"/>
                <w:sz w:val="15"/>
              </w:rPr>
              <w:t>78</w:t>
            </w:r>
          </w:p>
        </w:tc>
        <w:tc>
          <w:tcPr>
            <w:tcW w:w="7848" w:type="dxa"/>
          </w:tcPr>
          <w:p w14:paraId="0776D903" w14:textId="1F58C32C" w:rsidR="003D52C5" w:rsidRDefault="003D52C5" w:rsidP="00316D81">
            <w:r>
              <w:rPr>
                <w:rFonts w:ascii="Arial" w:hAnsi="Arial"/>
                <w:sz w:val="14"/>
              </w:rPr>
              <w:t xml:space="preserve">Lee, D., Arnold, M., Srivastava, A., Plastow, K., Strelan, P., Ploeckl, F., Lekkas, D., </w:t>
            </w:r>
            <w:r w:rsidR="009F354A">
              <w:rPr>
                <w:rFonts w:ascii="Arial" w:hAnsi="Arial"/>
                <w:sz w:val="14"/>
              </w:rPr>
              <w:t>and</w:t>
            </w:r>
            <w:r>
              <w:rPr>
                <w:rFonts w:ascii="Arial" w:hAnsi="Arial"/>
                <w:sz w:val="14"/>
              </w:rPr>
              <w:t xml:space="preserve"> Palmer, E. (2024). ‘The impact of generative AI on higher education learning and teaching: A study of educators’ perspectives’. Computers and Education: Artificial Intelligence, 6, 100221. </w:t>
            </w:r>
            <w:r w:rsidR="0028539F">
              <w:rPr>
                <w:rFonts w:ascii="Arial" w:hAnsi="Arial"/>
                <w:sz w:val="14"/>
              </w:rPr>
              <w:t>DOI</w:t>
            </w:r>
            <w:r>
              <w:rPr>
                <w:rFonts w:ascii="Arial" w:hAnsi="Arial"/>
                <w:sz w:val="14"/>
              </w:rPr>
              <w:t>: 10.1016/j.caeai.2024.100221.</w:t>
            </w:r>
          </w:p>
        </w:tc>
        <w:tc>
          <w:tcPr>
            <w:tcW w:w="792" w:type="dxa"/>
          </w:tcPr>
          <w:p w14:paraId="756FED2D" w14:textId="77777777" w:rsidR="003D52C5" w:rsidRDefault="003D52C5" w:rsidP="00316D81">
            <w:pPr>
              <w:jc w:val="center"/>
            </w:pPr>
            <w:r>
              <w:rPr>
                <w:rFonts w:ascii="Arial" w:hAnsi="Arial"/>
                <w:sz w:val="15"/>
              </w:rPr>
              <w:t>2024</w:t>
            </w:r>
          </w:p>
        </w:tc>
        <w:tc>
          <w:tcPr>
            <w:tcW w:w="3528" w:type="dxa"/>
          </w:tcPr>
          <w:p w14:paraId="61EAD42D" w14:textId="77777777" w:rsidR="003D52C5" w:rsidRDefault="003D52C5" w:rsidP="00316D81">
            <w:r>
              <w:rPr>
                <w:rFonts w:ascii="Arial" w:hAnsi="Arial"/>
                <w:sz w:val="14"/>
              </w:rPr>
              <w:t>10.1016/j.caeai.2024.100221</w:t>
            </w:r>
          </w:p>
        </w:tc>
        <w:tc>
          <w:tcPr>
            <w:tcW w:w="3384" w:type="dxa"/>
          </w:tcPr>
          <w:p w14:paraId="08DAB3DE"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96B410A" w14:textId="77777777" w:rsidTr="00316D81">
        <w:trPr>
          <w:jc w:val="center"/>
        </w:trPr>
        <w:tc>
          <w:tcPr>
            <w:tcW w:w="576" w:type="dxa"/>
          </w:tcPr>
          <w:p w14:paraId="45835403" w14:textId="77777777" w:rsidR="003D52C5" w:rsidRDefault="003D52C5" w:rsidP="00316D81">
            <w:pPr>
              <w:jc w:val="center"/>
            </w:pPr>
            <w:r>
              <w:rPr>
                <w:rFonts w:ascii="Arial" w:hAnsi="Arial"/>
                <w:sz w:val="15"/>
              </w:rPr>
              <w:t>79</w:t>
            </w:r>
          </w:p>
        </w:tc>
        <w:tc>
          <w:tcPr>
            <w:tcW w:w="7848" w:type="dxa"/>
          </w:tcPr>
          <w:p w14:paraId="5A3AC89C" w14:textId="7462E711" w:rsidR="003D52C5" w:rsidRDefault="003D52C5" w:rsidP="00316D81">
            <w:r>
              <w:rPr>
                <w:rFonts w:ascii="Arial" w:hAnsi="Arial"/>
                <w:sz w:val="14"/>
              </w:rPr>
              <w:t xml:space="preserve">Luo, J. (2024). ‘A critical review of GenAI policies in higher education assessment: A call to reconsider the “originality” of students’ work’. Assessment </w:t>
            </w:r>
            <w:r w:rsidR="009F354A">
              <w:rPr>
                <w:rFonts w:ascii="Arial" w:hAnsi="Arial"/>
                <w:sz w:val="14"/>
              </w:rPr>
              <w:t>and</w:t>
            </w:r>
            <w:r>
              <w:rPr>
                <w:rFonts w:ascii="Arial" w:hAnsi="Arial"/>
                <w:sz w:val="14"/>
              </w:rPr>
              <w:t xml:space="preserve"> Evaluation in Higher Education, 49(5), pp. 651–664. </w:t>
            </w:r>
            <w:r w:rsidR="0028539F">
              <w:rPr>
                <w:rFonts w:ascii="Arial" w:hAnsi="Arial"/>
                <w:sz w:val="14"/>
              </w:rPr>
              <w:t>DOI</w:t>
            </w:r>
            <w:r>
              <w:rPr>
                <w:rFonts w:ascii="Arial" w:hAnsi="Arial"/>
                <w:sz w:val="14"/>
              </w:rPr>
              <w:t>: 10.1080/02602938.2024.2309963.</w:t>
            </w:r>
          </w:p>
        </w:tc>
        <w:tc>
          <w:tcPr>
            <w:tcW w:w="792" w:type="dxa"/>
          </w:tcPr>
          <w:p w14:paraId="1C2EFA7E" w14:textId="77777777" w:rsidR="003D52C5" w:rsidRDefault="003D52C5" w:rsidP="00316D81">
            <w:pPr>
              <w:jc w:val="center"/>
            </w:pPr>
            <w:r>
              <w:rPr>
                <w:rFonts w:ascii="Arial" w:hAnsi="Arial"/>
                <w:sz w:val="15"/>
              </w:rPr>
              <w:t>2024</w:t>
            </w:r>
          </w:p>
        </w:tc>
        <w:tc>
          <w:tcPr>
            <w:tcW w:w="3528" w:type="dxa"/>
          </w:tcPr>
          <w:p w14:paraId="514C63E0" w14:textId="77777777" w:rsidR="003D52C5" w:rsidRDefault="003D52C5" w:rsidP="00316D81">
            <w:r>
              <w:rPr>
                <w:rFonts w:ascii="Arial" w:hAnsi="Arial"/>
                <w:sz w:val="14"/>
              </w:rPr>
              <w:t>10.1080/02602938.2024.2309963</w:t>
            </w:r>
          </w:p>
        </w:tc>
        <w:tc>
          <w:tcPr>
            <w:tcW w:w="3384" w:type="dxa"/>
          </w:tcPr>
          <w:p w14:paraId="7AA079B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9C50602" w14:textId="77777777" w:rsidTr="00316D81">
        <w:trPr>
          <w:jc w:val="center"/>
        </w:trPr>
        <w:tc>
          <w:tcPr>
            <w:tcW w:w="576" w:type="dxa"/>
          </w:tcPr>
          <w:p w14:paraId="22AB26BA" w14:textId="77777777" w:rsidR="003D52C5" w:rsidRDefault="003D52C5" w:rsidP="00316D81">
            <w:pPr>
              <w:jc w:val="center"/>
            </w:pPr>
            <w:r>
              <w:rPr>
                <w:rFonts w:ascii="Arial" w:hAnsi="Arial"/>
                <w:sz w:val="15"/>
              </w:rPr>
              <w:t>80</w:t>
            </w:r>
          </w:p>
        </w:tc>
        <w:tc>
          <w:tcPr>
            <w:tcW w:w="7848" w:type="dxa"/>
          </w:tcPr>
          <w:p w14:paraId="1AF97E6C" w14:textId="7954C8AD" w:rsidR="003D52C5" w:rsidRDefault="003D52C5" w:rsidP="00316D81">
            <w:r>
              <w:rPr>
                <w:rFonts w:ascii="Arial" w:hAnsi="Arial"/>
                <w:sz w:val="14"/>
              </w:rPr>
              <w:t xml:space="preserve">Mantymaki, M., Minkkinen, M., Birkstedt, T. </w:t>
            </w:r>
            <w:r w:rsidR="009F354A">
              <w:rPr>
                <w:rFonts w:ascii="Arial" w:hAnsi="Arial"/>
                <w:sz w:val="14"/>
              </w:rPr>
              <w:t>and</w:t>
            </w:r>
            <w:r>
              <w:rPr>
                <w:rFonts w:ascii="Arial" w:hAnsi="Arial"/>
                <w:sz w:val="14"/>
              </w:rPr>
              <w:t xml:space="preserve"> Viljanen, M. (2022). ‘Defining organisational AI governance’, AI and Ethics, 2, pp. 603–609. </w:t>
            </w:r>
            <w:r w:rsidR="0028539F">
              <w:rPr>
                <w:rFonts w:ascii="Arial" w:hAnsi="Arial"/>
                <w:sz w:val="14"/>
              </w:rPr>
              <w:t>DOI</w:t>
            </w:r>
            <w:r>
              <w:rPr>
                <w:rFonts w:ascii="Arial" w:hAnsi="Arial"/>
                <w:sz w:val="14"/>
              </w:rPr>
              <w:t>: 10.1007/s43681-022-00143-x.</w:t>
            </w:r>
          </w:p>
        </w:tc>
        <w:tc>
          <w:tcPr>
            <w:tcW w:w="792" w:type="dxa"/>
          </w:tcPr>
          <w:p w14:paraId="7073A855" w14:textId="77777777" w:rsidR="003D52C5" w:rsidRDefault="003D52C5" w:rsidP="00316D81">
            <w:pPr>
              <w:jc w:val="center"/>
            </w:pPr>
            <w:r>
              <w:rPr>
                <w:rFonts w:ascii="Arial" w:hAnsi="Arial"/>
                <w:sz w:val="15"/>
              </w:rPr>
              <w:t>2022</w:t>
            </w:r>
          </w:p>
        </w:tc>
        <w:tc>
          <w:tcPr>
            <w:tcW w:w="3528" w:type="dxa"/>
          </w:tcPr>
          <w:p w14:paraId="200DC070" w14:textId="77777777" w:rsidR="003D52C5" w:rsidRDefault="003D52C5" w:rsidP="00316D81">
            <w:r>
              <w:rPr>
                <w:rFonts w:ascii="Arial" w:hAnsi="Arial"/>
                <w:sz w:val="14"/>
              </w:rPr>
              <w:t>10.1007/s43681-022-00143-x</w:t>
            </w:r>
          </w:p>
        </w:tc>
        <w:tc>
          <w:tcPr>
            <w:tcW w:w="3384" w:type="dxa"/>
          </w:tcPr>
          <w:p w14:paraId="4A9C5065"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28DA7417" w14:textId="77777777" w:rsidTr="00316D81">
        <w:trPr>
          <w:jc w:val="center"/>
        </w:trPr>
        <w:tc>
          <w:tcPr>
            <w:tcW w:w="576" w:type="dxa"/>
          </w:tcPr>
          <w:p w14:paraId="46847A54" w14:textId="77777777" w:rsidR="003D52C5" w:rsidRDefault="003D52C5" w:rsidP="00316D81">
            <w:pPr>
              <w:jc w:val="center"/>
            </w:pPr>
            <w:r>
              <w:rPr>
                <w:rFonts w:ascii="Arial" w:hAnsi="Arial"/>
                <w:sz w:val="15"/>
              </w:rPr>
              <w:t>81</w:t>
            </w:r>
          </w:p>
        </w:tc>
        <w:tc>
          <w:tcPr>
            <w:tcW w:w="7848" w:type="dxa"/>
          </w:tcPr>
          <w:p w14:paraId="6355CF2A" w14:textId="5434F30D" w:rsidR="003D52C5" w:rsidRDefault="003D52C5" w:rsidP="00316D81">
            <w:r>
              <w:rPr>
                <w:rFonts w:ascii="Arial" w:hAnsi="Arial"/>
                <w:sz w:val="14"/>
              </w:rPr>
              <w:t xml:space="preserve">Marin, Y., Caro, O., Carrasco, A.M., Llanos, A., Perez, D., Sanchez, E., Alva, N. </w:t>
            </w:r>
            <w:r w:rsidR="009F354A">
              <w:rPr>
                <w:rFonts w:ascii="Arial" w:hAnsi="Arial"/>
                <w:sz w:val="14"/>
              </w:rPr>
              <w:t>and</w:t>
            </w:r>
            <w:r>
              <w:rPr>
                <w:rFonts w:ascii="Arial" w:hAnsi="Arial"/>
                <w:sz w:val="14"/>
              </w:rPr>
              <w:t xml:space="preserve"> Chávez, R. (2025). 'Ethical Challenges Associated with the Use of Artificial Intelligence in Higher Education'. Journal of Academic Ethics, 23, pp. 2443–2467. </w:t>
            </w:r>
            <w:r w:rsidR="0028539F">
              <w:rPr>
                <w:rFonts w:ascii="Arial" w:hAnsi="Arial"/>
                <w:sz w:val="14"/>
              </w:rPr>
              <w:t>DOI</w:t>
            </w:r>
            <w:r>
              <w:rPr>
                <w:rFonts w:ascii="Arial" w:hAnsi="Arial"/>
                <w:sz w:val="14"/>
              </w:rPr>
              <w:t>: 10.1007/s10805-025-09660-w.</w:t>
            </w:r>
          </w:p>
        </w:tc>
        <w:tc>
          <w:tcPr>
            <w:tcW w:w="792" w:type="dxa"/>
          </w:tcPr>
          <w:p w14:paraId="6DF9789D" w14:textId="77777777" w:rsidR="003D52C5" w:rsidRDefault="003D52C5" w:rsidP="00316D81">
            <w:pPr>
              <w:jc w:val="center"/>
            </w:pPr>
            <w:r>
              <w:rPr>
                <w:rFonts w:ascii="Arial" w:hAnsi="Arial"/>
                <w:sz w:val="15"/>
              </w:rPr>
              <w:t>2025</w:t>
            </w:r>
          </w:p>
        </w:tc>
        <w:tc>
          <w:tcPr>
            <w:tcW w:w="3528" w:type="dxa"/>
          </w:tcPr>
          <w:p w14:paraId="169510A1" w14:textId="77777777" w:rsidR="003D52C5" w:rsidRDefault="003D52C5" w:rsidP="00316D81">
            <w:r>
              <w:rPr>
                <w:rFonts w:ascii="Arial" w:hAnsi="Arial"/>
                <w:sz w:val="14"/>
              </w:rPr>
              <w:t>10.1007/s10805-025-09660-w</w:t>
            </w:r>
          </w:p>
        </w:tc>
        <w:tc>
          <w:tcPr>
            <w:tcW w:w="3384" w:type="dxa"/>
          </w:tcPr>
          <w:p w14:paraId="6FABB20C"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356D5D06" w14:textId="77777777" w:rsidTr="00316D81">
        <w:trPr>
          <w:jc w:val="center"/>
        </w:trPr>
        <w:tc>
          <w:tcPr>
            <w:tcW w:w="576" w:type="dxa"/>
          </w:tcPr>
          <w:p w14:paraId="5FA46866" w14:textId="77777777" w:rsidR="003D52C5" w:rsidRDefault="003D52C5" w:rsidP="00316D81">
            <w:pPr>
              <w:jc w:val="center"/>
            </w:pPr>
            <w:r>
              <w:rPr>
                <w:rFonts w:ascii="Arial" w:hAnsi="Arial"/>
                <w:sz w:val="15"/>
              </w:rPr>
              <w:t>82</w:t>
            </w:r>
          </w:p>
        </w:tc>
        <w:tc>
          <w:tcPr>
            <w:tcW w:w="7848" w:type="dxa"/>
          </w:tcPr>
          <w:p w14:paraId="41460D49" w14:textId="23B5EDA2" w:rsidR="003D52C5" w:rsidRDefault="003D52C5" w:rsidP="00316D81">
            <w:r>
              <w:rPr>
                <w:rFonts w:ascii="Arial" w:hAnsi="Arial"/>
                <w:sz w:val="14"/>
              </w:rPr>
              <w:t xml:space="preserve">Matovic, N. </w:t>
            </w:r>
            <w:r w:rsidR="009F354A">
              <w:rPr>
                <w:rFonts w:ascii="Arial" w:hAnsi="Arial"/>
                <w:sz w:val="14"/>
              </w:rPr>
              <w:t>and</w:t>
            </w:r>
            <w:r>
              <w:rPr>
                <w:rFonts w:ascii="Arial" w:hAnsi="Arial"/>
                <w:sz w:val="14"/>
              </w:rPr>
              <w:t xml:space="preserve"> Ovesni, K. (2023). ‘Interaction of quantitative and qualitative methodology in mixed methods research: integration and/or combination’, International Journal of Social Research Methodology, 26(1), pp. 51–65. </w:t>
            </w:r>
            <w:r w:rsidR="0028539F">
              <w:rPr>
                <w:rFonts w:ascii="Arial" w:hAnsi="Arial"/>
                <w:sz w:val="14"/>
              </w:rPr>
              <w:t>DOI</w:t>
            </w:r>
            <w:r>
              <w:rPr>
                <w:rFonts w:ascii="Arial" w:hAnsi="Arial"/>
                <w:sz w:val="14"/>
              </w:rPr>
              <w:t>: 10.1080/13645579.2021.1964857.</w:t>
            </w:r>
          </w:p>
        </w:tc>
        <w:tc>
          <w:tcPr>
            <w:tcW w:w="792" w:type="dxa"/>
          </w:tcPr>
          <w:p w14:paraId="37788981" w14:textId="77777777" w:rsidR="003D52C5" w:rsidRDefault="003D52C5" w:rsidP="00316D81">
            <w:pPr>
              <w:jc w:val="center"/>
            </w:pPr>
            <w:r>
              <w:rPr>
                <w:rFonts w:ascii="Arial" w:hAnsi="Arial"/>
                <w:sz w:val="15"/>
              </w:rPr>
              <w:t>2023</w:t>
            </w:r>
          </w:p>
        </w:tc>
        <w:tc>
          <w:tcPr>
            <w:tcW w:w="3528" w:type="dxa"/>
          </w:tcPr>
          <w:p w14:paraId="263FE77E" w14:textId="77777777" w:rsidR="003D52C5" w:rsidRDefault="003D52C5" w:rsidP="00316D81">
            <w:r>
              <w:rPr>
                <w:rFonts w:ascii="Arial" w:hAnsi="Arial"/>
                <w:sz w:val="14"/>
              </w:rPr>
              <w:t>10.1080/13645579.2021.1964857</w:t>
            </w:r>
          </w:p>
        </w:tc>
        <w:tc>
          <w:tcPr>
            <w:tcW w:w="3384" w:type="dxa"/>
          </w:tcPr>
          <w:p w14:paraId="7CA08724"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051D1D66" w14:textId="77777777" w:rsidTr="00316D81">
        <w:trPr>
          <w:jc w:val="center"/>
        </w:trPr>
        <w:tc>
          <w:tcPr>
            <w:tcW w:w="576" w:type="dxa"/>
          </w:tcPr>
          <w:p w14:paraId="3F968D37" w14:textId="77777777" w:rsidR="003D52C5" w:rsidRDefault="003D52C5" w:rsidP="00316D81">
            <w:pPr>
              <w:jc w:val="center"/>
            </w:pPr>
            <w:r>
              <w:rPr>
                <w:rFonts w:ascii="Arial" w:hAnsi="Arial"/>
                <w:sz w:val="15"/>
              </w:rPr>
              <w:t>83</w:t>
            </w:r>
          </w:p>
        </w:tc>
        <w:tc>
          <w:tcPr>
            <w:tcW w:w="7848" w:type="dxa"/>
          </w:tcPr>
          <w:p w14:paraId="0DB44F40" w14:textId="24798C67" w:rsidR="003D52C5" w:rsidRDefault="003D52C5" w:rsidP="00316D81">
            <w:r>
              <w:rPr>
                <w:rFonts w:ascii="Arial" w:hAnsi="Arial"/>
                <w:sz w:val="14"/>
              </w:rPr>
              <w:t xml:space="preserve">McDonald, N., Johri, A., Ali, A., </w:t>
            </w:r>
            <w:r w:rsidR="009F354A">
              <w:rPr>
                <w:rFonts w:ascii="Arial" w:hAnsi="Arial"/>
                <w:sz w:val="14"/>
              </w:rPr>
              <w:t>and</w:t>
            </w:r>
            <w:r>
              <w:rPr>
                <w:rFonts w:ascii="Arial" w:hAnsi="Arial"/>
                <w:sz w:val="14"/>
              </w:rPr>
              <w:t xml:space="preserve"> Collier, H. (2025). ‘Generative artificial intelligence in higher education: Evidence from an analysis of institutional policies and guidelines’. Computers in Human Behaviour: Artificial Humans, 3, 100121. </w:t>
            </w:r>
            <w:r w:rsidR="0028539F">
              <w:rPr>
                <w:rFonts w:ascii="Arial" w:hAnsi="Arial"/>
                <w:sz w:val="14"/>
              </w:rPr>
              <w:t>DOI</w:t>
            </w:r>
            <w:r>
              <w:rPr>
                <w:rFonts w:ascii="Arial" w:hAnsi="Arial"/>
                <w:sz w:val="14"/>
              </w:rPr>
              <w:t>: 10.1016/j.chbah.2025.100121.</w:t>
            </w:r>
          </w:p>
        </w:tc>
        <w:tc>
          <w:tcPr>
            <w:tcW w:w="792" w:type="dxa"/>
          </w:tcPr>
          <w:p w14:paraId="5950FCAD" w14:textId="77777777" w:rsidR="003D52C5" w:rsidRDefault="003D52C5" w:rsidP="00316D81">
            <w:pPr>
              <w:jc w:val="center"/>
            </w:pPr>
            <w:r>
              <w:rPr>
                <w:rFonts w:ascii="Arial" w:hAnsi="Arial"/>
                <w:sz w:val="15"/>
              </w:rPr>
              <w:t>2025</w:t>
            </w:r>
          </w:p>
        </w:tc>
        <w:tc>
          <w:tcPr>
            <w:tcW w:w="3528" w:type="dxa"/>
          </w:tcPr>
          <w:p w14:paraId="12FA5C0E" w14:textId="77777777" w:rsidR="003D52C5" w:rsidRDefault="003D52C5" w:rsidP="00316D81">
            <w:r>
              <w:rPr>
                <w:rFonts w:ascii="Arial" w:hAnsi="Arial"/>
                <w:sz w:val="14"/>
              </w:rPr>
              <w:t>10.1016/j.chbah.2025.100121</w:t>
            </w:r>
          </w:p>
        </w:tc>
        <w:tc>
          <w:tcPr>
            <w:tcW w:w="3384" w:type="dxa"/>
          </w:tcPr>
          <w:p w14:paraId="29AA4B72"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7C9854F" w14:textId="77777777" w:rsidTr="00316D81">
        <w:trPr>
          <w:jc w:val="center"/>
        </w:trPr>
        <w:tc>
          <w:tcPr>
            <w:tcW w:w="576" w:type="dxa"/>
          </w:tcPr>
          <w:p w14:paraId="48FD8262" w14:textId="77777777" w:rsidR="003D52C5" w:rsidRDefault="003D52C5" w:rsidP="00316D81">
            <w:pPr>
              <w:jc w:val="center"/>
            </w:pPr>
            <w:r>
              <w:rPr>
                <w:rFonts w:ascii="Arial" w:hAnsi="Arial"/>
                <w:sz w:val="15"/>
              </w:rPr>
              <w:t>84</w:t>
            </w:r>
          </w:p>
        </w:tc>
        <w:tc>
          <w:tcPr>
            <w:tcW w:w="7848" w:type="dxa"/>
          </w:tcPr>
          <w:p w14:paraId="407FC983" w14:textId="75C582C8" w:rsidR="003D52C5" w:rsidRDefault="003D52C5" w:rsidP="00316D81">
            <w:r>
              <w:rPr>
                <w:rFonts w:ascii="Arial" w:hAnsi="Arial"/>
                <w:sz w:val="14"/>
              </w:rPr>
              <w:t xml:space="preserve">Mehrabi, N., Morstatter, F., Saxena, N., Lerman, K. </w:t>
            </w:r>
            <w:r w:rsidR="009F354A">
              <w:rPr>
                <w:rFonts w:ascii="Arial" w:hAnsi="Arial"/>
                <w:sz w:val="14"/>
              </w:rPr>
              <w:t>and</w:t>
            </w:r>
            <w:r>
              <w:rPr>
                <w:rFonts w:ascii="Arial" w:hAnsi="Arial"/>
                <w:sz w:val="14"/>
              </w:rPr>
              <w:t xml:space="preserve"> Galstyan, A. (2021). ‘A survey on bias and fairness in machine learning’, ACM Computing Surveys, 54(6), pp. 1–35. </w:t>
            </w:r>
            <w:r w:rsidR="0028539F">
              <w:rPr>
                <w:rFonts w:ascii="Arial" w:hAnsi="Arial"/>
                <w:sz w:val="14"/>
              </w:rPr>
              <w:t>DOI</w:t>
            </w:r>
            <w:r>
              <w:rPr>
                <w:rFonts w:ascii="Arial" w:hAnsi="Arial"/>
                <w:sz w:val="14"/>
              </w:rPr>
              <w:t>: 10.1145/3457607.</w:t>
            </w:r>
          </w:p>
        </w:tc>
        <w:tc>
          <w:tcPr>
            <w:tcW w:w="792" w:type="dxa"/>
          </w:tcPr>
          <w:p w14:paraId="01626D40" w14:textId="77777777" w:rsidR="003D52C5" w:rsidRDefault="003D52C5" w:rsidP="00316D81">
            <w:pPr>
              <w:jc w:val="center"/>
            </w:pPr>
            <w:r>
              <w:rPr>
                <w:rFonts w:ascii="Arial" w:hAnsi="Arial"/>
                <w:sz w:val="15"/>
              </w:rPr>
              <w:t>2021</w:t>
            </w:r>
          </w:p>
        </w:tc>
        <w:tc>
          <w:tcPr>
            <w:tcW w:w="3528" w:type="dxa"/>
          </w:tcPr>
          <w:p w14:paraId="3805EEBE" w14:textId="77777777" w:rsidR="003D52C5" w:rsidRDefault="003D52C5" w:rsidP="00316D81">
            <w:r>
              <w:rPr>
                <w:rFonts w:ascii="Arial" w:hAnsi="Arial"/>
                <w:sz w:val="14"/>
              </w:rPr>
              <w:t>10.1145/3457607</w:t>
            </w:r>
          </w:p>
        </w:tc>
        <w:tc>
          <w:tcPr>
            <w:tcW w:w="3384" w:type="dxa"/>
          </w:tcPr>
          <w:p w14:paraId="56A4B53B"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604CB850" w14:textId="77777777" w:rsidTr="00316D81">
        <w:trPr>
          <w:jc w:val="center"/>
        </w:trPr>
        <w:tc>
          <w:tcPr>
            <w:tcW w:w="576" w:type="dxa"/>
          </w:tcPr>
          <w:p w14:paraId="590BD840" w14:textId="77777777" w:rsidR="003D52C5" w:rsidRDefault="003D52C5" w:rsidP="00316D81">
            <w:pPr>
              <w:jc w:val="center"/>
            </w:pPr>
            <w:r>
              <w:rPr>
                <w:rFonts w:ascii="Arial" w:hAnsi="Arial"/>
                <w:sz w:val="15"/>
              </w:rPr>
              <w:t>85</w:t>
            </w:r>
          </w:p>
        </w:tc>
        <w:tc>
          <w:tcPr>
            <w:tcW w:w="7848" w:type="dxa"/>
          </w:tcPr>
          <w:p w14:paraId="36740410" w14:textId="214DD79B" w:rsidR="003D52C5" w:rsidRDefault="003D52C5" w:rsidP="00316D81">
            <w:r>
              <w:rPr>
                <w:rFonts w:ascii="Arial" w:hAnsi="Arial"/>
                <w:sz w:val="14"/>
              </w:rPr>
              <w:t xml:space="preserve">Memarian, B. </w:t>
            </w:r>
            <w:r w:rsidR="009F354A">
              <w:rPr>
                <w:rFonts w:ascii="Arial" w:hAnsi="Arial"/>
                <w:sz w:val="14"/>
              </w:rPr>
              <w:t>and</w:t>
            </w:r>
            <w:r>
              <w:rPr>
                <w:rFonts w:ascii="Arial" w:hAnsi="Arial"/>
                <w:sz w:val="14"/>
              </w:rPr>
              <w:t xml:space="preserve"> Doleck, T. (2023). ‘Fairness, accountability, transparency, and ethics (FATE) in artificial intelligence (AI) and higher education: A systematic review’. Computers and Education: Artificial Intelligence, 5, 100152. </w:t>
            </w:r>
            <w:r w:rsidR="0028539F">
              <w:rPr>
                <w:rFonts w:ascii="Arial" w:hAnsi="Arial"/>
                <w:sz w:val="14"/>
              </w:rPr>
              <w:t>DOI</w:t>
            </w:r>
            <w:r>
              <w:rPr>
                <w:rFonts w:ascii="Arial" w:hAnsi="Arial"/>
                <w:sz w:val="14"/>
              </w:rPr>
              <w:t>: 10.1016/j.caeai.2023.100152.</w:t>
            </w:r>
          </w:p>
        </w:tc>
        <w:tc>
          <w:tcPr>
            <w:tcW w:w="792" w:type="dxa"/>
          </w:tcPr>
          <w:p w14:paraId="1BCCBA79" w14:textId="77777777" w:rsidR="003D52C5" w:rsidRDefault="003D52C5" w:rsidP="00316D81">
            <w:pPr>
              <w:jc w:val="center"/>
            </w:pPr>
            <w:r>
              <w:rPr>
                <w:rFonts w:ascii="Arial" w:hAnsi="Arial"/>
                <w:sz w:val="15"/>
              </w:rPr>
              <w:t>2023</w:t>
            </w:r>
          </w:p>
        </w:tc>
        <w:tc>
          <w:tcPr>
            <w:tcW w:w="3528" w:type="dxa"/>
          </w:tcPr>
          <w:p w14:paraId="181A7393" w14:textId="77777777" w:rsidR="003D52C5" w:rsidRDefault="003D52C5" w:rsidP="00316D81">
            <w:r>
              <w:rPr>
                <w:rFonts w:ascii="Arial" w:hAnsi="Arial"/>
                <w:sz w:val="14"/>
              </w:rPr>
              <w:t>10.1016/j.caeai.2023.100152</w:t>
            </w:r>
          </w:p>
        </w:tc>
        <w:tc>
          <w:tcPr>
            <w:tcW w:w="3384" w:type="dxa"/>
          </w:tcPr>
          <w:p w14:paraId="49D08A0C"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329834AF" w14:textId="77777777" w:rsidTr="00316D81">
        <w:trPr>
          <w:jc w:val="center"/>
        </w:trPr>
        <w:tc>
          <w:tcPr>
            <w:tcW w:w="576" w:type="dxa"/>
          </w:tcPr>
          <w:p w14:paraId="7A47B99D" w14:textId="77777777" w:rsidR="003D52C5" w:rsidRDefault="003D52C5" w:rsidP="00316D81">
            <w:pPr>
              <w:jc w:val="center"/>
            </w:pPr>
            <w:r>
              <w:rPr>
                <w:rFonts w:ascii="Arial" w:hAnsi="Arial"/>
                <w:sz w:val="15"/>
              </w:rPr>
              <w:t>86</w:t>
            </w:r>
          </w:p>
        </w:tc>
        <w:tc>
          <w:tcPr>
            <w:tcW w:w="7848" w:type="dxa"/>
          </w:tcPr>
          <w:p w14:paraId="2CA8B319" w14:textId="5513639C" w:rsidR="003D52C5" w:rsidRDefault="003D52C5" w:rsidP="00316D81">
            <w:r>
              <w:rPr>
                <w:rFonts w:ascii="Arial" w:hAnsi="Arial"/>
                <w:sz w:val="14"/>
              </w:rPr>
              <w:t xml:space="preserve">Mercier, J., Sanders, J. </w:t>
            </w:r>
            <w:r w:rsidR="009F354A">
              <w:rPr>
                <w:rFonts w:ascii="Arial" w:hAnsi="Arial"/>
                <w:sz w:val="14"/>
              </w:rPr>
              <w:t>and</w:t>
            </w:r>
            <w:r>
              <w:rPr>
                <w:rFonts w:ascii="Arial" w:hAnsi="Arial"/>
                <w:sz w:val="14"/>
              </w:rPr>
              <w:t xml:space="preserve"> Munford, R. (2023). ‘Fine Companions: Critical Realism and Framework Analysis’, International Journal of Qualitative Methods, 22. </w:t>
            </w:r>
            <w:r w:rsidR="0028539F">
              <w:rPr>
                <w:rFonts w:ascii="Arial" w:hAnsi="Arial"/>
                <w:sz w:val="14"/>
              </w:rPr>
              <w:t>DOI</w:t>
            </w:r>
            <w:r>
              <w:rPr>
                <w:rFonts w:ascii="Arial" w:hAnsi="Arial"/>
                <w:sz w:val="14"/>
              </w:rPr>
              <w:t>: 10.1177/16094069231220129.</w:t>
            </w:r>
          </w:p>
        </w:tc>
        <w:tc>
          <w:tcPr>
            <w:tcW w:w="792" w:type="dxa"/>
          </w:tcPr>
          <w:p w14:paraId="5EEB91AF" w14:textId="77777777" w:rsidR="003D52C5" w:rsidRDefault="003D52C5" w:rsidP="00316D81">
            <w:pPr>
              <w:jc w:val="center"/>
            </w:pPr>
            <w:r>
              <w:rPr>
                <w:rFonts w:ascii="Arial" w:hAnsi="Arial"/>
                <w:sz w:val="15"/>
              </w:rPr>
              <w:t>2023</w:t>
            </w:r>
          </w:p>
        </w:tc>
        <w:tc>
          <w:tcPr>
            <w:tcW w:w="3528" w:type="dxa"/>
          </w:tcPr>
          <w:p w14:paraId="0E40CAFB" w14:textId="77777777" w:rsidR="003D52C5" w:rsidRDefault="003D52C5" w:rsidP="00316D81">
            <w:r>
              <w:rPr>
                <w:rFonts w:ascii="Arial" w:hAnsi="Arial"/>
                <w:sz w:val="14"/>
              </w:rPr>
              <w:t>10.1177/16094069231220129</w:t>
            </w:r>
          </w:p>
        </w:tc>
        <w:tc>
          <w:tcPr>
            <w:tcW w:w="3384" w:type="dxa"/>
          </w:tcPr>
          <w:p w14:paraId="66B7C1F1"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2D21C895" w14:textId="77777777" w:rsidTr="00316D81">
        <w:trPr>
          <w:jc w:val="center"/>
        </w:trPr>
        <w:tc>
          <w:tcPr>
            <w:tcW w:w="576" w:type="dxa"/>
          </w:tcPr>
          <w:p w14:paraId="1429FA43" w14:textId="77777777" w:rsidR="003D52C5" w:rsidRDefault="003D52C5" w:rsidP="00316D81">
            <w:pPr>
              <w:jc w:val="center"/>
            </w:pPr>
            <w:r>
              <w:rPr>
                <w:rFonts w:ascii="Arial" w:hAnsi="Arial"/>
                <w:sz w:val="15"/>
              </w:rPr>
              <w:lastRenderedPageBreak/>
              <w:t>87</w:t>
            </w:r>
          </w:p>
        </w:tc>
        <w:tc>
          <w:tcPr>
            <w:tcW w:w="7848" w:type="dxa"/>
          </w:tcPr>
          <w:p w14:paraId="2972AA44" w14:textId="53F58093" w:rsidR="003D52C5" w:rsidRDefault="003D52C5" w:rsidP="00316D81">
            <w:r>
              <w:rPr>
                <w:rFonts w:ascii="Arial" w:hAnsi="Arial"/>
                <w:sz w:val="14"/>
              </w:rPr>
              <w:t xml:space="preserve">Mikalef, P. </w:t>
            </w:r>
            <w:r w:rsidR="009F354A">
              <w:rPr>
                <w:rFonts w:ascii="Arial" w:hAnsi="Arial"/>
                <w:sz w:val="14"/>
              </w:rPr>
              <w:t>and</w:t>
            </w:r>
            <w:r>
              <w:rPr>
                <w:rFonts w:ascii="Arial" w:hAnsi="Arial"/>
                <w:sz w:val="14"/>
              </w:rPr>
              <w:t xml:space="preserve"> Gupta, M. (2021). ‘Artificial intelligence capability: Conceptualisation, measurement calibration, and empirical study on its impact on organisational creativity and firm performance’, Information &amp; Management, 58(3), 103434. </w:t>
            </w:r>
            <w:r w:rsidR="0028539F">
              <w:rPr>
                <w:rFonts w:ascii="Arial" w:hAnsi="Arial"/>
                <w:sz w:val="14"/>
              </w:rPr>
              <w:t>DOI</w:t>
            </w:r>
            <w:r>
              <w:rPr>
                <w:rFonts w:ascii="Arial" w:hAnsi="Arial"/>
                <w:sz w:val="14"/>
              </w:rPr>
              <w:t>: 10.1016/j.im.2021.103434.</w:t>
            </w:r>
          </w:p>
        </w:tc>
        <w:tc>
          <w:tcPr>
            <w:tcW w:w="792" w:type="dxa"/>
          </w:tcPr>
          <w:p w14:paraId="2EFAC8F2" w14:textId="77777777" w:rsidR="003D52C5" w:rsidRDefault="003D52C5" w:rsidP="00316D81">
            <w:pPr>
              <w:jc w:val="center"/>
            </w:pPr>
            <w:r>
              <w:rPr>
                <w:rFonts w:ascii="Arial" w:hAnsi="Arial"/>
                <w:sz w:val="15"/>
              </w:rPr>
              <w:t>2021</w:t>
            </w:r>
          </w:p>
        </w:tc>
        <w:tc>
          <w:tcPr>
            <w:tcW w:w="3528" w:type="dxa"/>
          </w:tcPr>
          <w:p w14:paraId="65FBC860" w14:textId="77777777" w:rsidR="003D52C5" w:rsidRDefault="003D52C5" w:rsidP="00316D81">
            <w:r>
              <w:rPr>
                <w:rFonts w:ascii="Arial" w:hAnsi="Arial"/>
                <w:sz w:val="14"/>
              </w:rPr>
              <w:t>10.1016/j.im.2021.103434</w:t>
            </w:r>
          </w:p>
        </w:tc>
        <w:tc>
          <w:tcPr>
            <w:tcW w:w="3384" w:type="dxa"/>
          </w:tcPr>
          <w:p w14:paraId="0742EA43"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740965B9" w14:textId="77777777" w:rsidTr="00316D81">
        <w:trPr>
          <w:jc w:val="center"/>
        </w:trPr>
        <w:tc>
          <w:tcPr>
            <w:tcW w:w="576" w:type="dxa"/>
          </w:tcPr>
          <w:p w14:paraId="0418D778" w14:textId="77777777" w:rsidR="003D52C5" w:rsidRDefault="003D52C5" w:rsidP="00316D81">
            <w:pPr>
              <w:jc w:val="center"/>
            </w:pPr>
            <w:r>
              <w:rPr>
                <w:rFonts w:ascii="Arial" w:hAnsi="Arial"/>
                <w:sz w:val="15"/>
              </w:rPr>
              <w:t>88</w:t>
            </w:r>
          </w:p>
        </w:tc>
        <w:tc>
          <w:tcPr>
            <w:tcW w:w="7848" w:type="dxa"/>
          </w:tcPr>
          <w:p w14:paraId="480EDA2E" w14:textId="53434CD6" w:rsidR="003D52C5" w:rsidRDefault="003D52C5" w:rsidP="00316D81">
            <w:r>
              <w:rPr>
                <w:rFonts w:ascii="Arial" w:hAnsi="Arial"/>
                <w:sz w:val="14"/>
              </w:rPr>
              <w:t xml:space="preserve">Misra, D., Nirmal, P., </w:t>
            </w:r>
            <w:r w:rsidR="009F354A">
              <w:rPr>
                <w:rFonts w:ascii="Arial" w:hAnsi="Arial"/>
                <w:sz w:val="14"/>
              </w:rPr>
              <w:t>and</w:t>
            </w:r>
            <w:r>
              <w:rPr>
                <w:rFonts w:ascii="Arial" w:hAnsi="Arial"/>
                <w:sz w:val="14"/>
              </w:rPr>
              <w:t xml:space="preserve"> Bhat, M. (2026). ‘Self-Regulated Learning and Governance of AI in Higher Education’. Higher Education Quarterly, 80(1), e70079. </w:t>
            </w:r>
            <w:r w:rsidR="0028539F">
              <w:rPr>
                <w:rFonts w:ascii="Arial" w:hAnsi="Arial"/>
                <w:sz w:val="14"/>
              </w:rPr>
              <w:t>DOI</w:t>
            </w:r>
            <w:r>
              <w:rPr>
                <w:rFonts w:ascii="Arial" w:hAnsi="Arial"/>
                <w:sz w:val="14"/>
              </w:rPr>
              <w:t>: 10.1111/hequ.70079.</w:t>
            </w:r>
          </w:p>
        </w:tc>
        <w:tc>
          <w:tcPr>
            <w:tcW w:w="792" w:type="dxa"/>
          </w:tcPr>
          <w:p w14:paraId="7CD4EA67" w14:textId="77777777" w:rsidR="003D52C5" w:rsidRDefault="003D52C5" w:rsidP="00316D81">
            <w:pPr>
              <w:jc w:val="center"/>
            </w:pPr>
            <w:r>
              <w:rPr>
                <w:rFonts w:ascii="Arial" w:hAnsi="Arial"/>
                <w:sz w:val="15"/>
              </w:rPr>
              <w:t>2026</w:t>
            </w:r>
          </w:p>
        </w:tc>
        <w:tc>
          <w:tcPr>
            <w:tcW w:w="3528" w:type="dxa"/>
          </w:tcPr>
          <w:p w14:paraId="0F316D81" w14:textId="77777777" w:rsidR="003D52C5" w:rsidRDefault="003D52C5" w:rsidP="00316D81">
            <w:r>
              <w:rPr>
                <w:rFonts w:ascii="Arial" w:hAnsi="Arial"/>
                <w:sz w:val="14"/>
              </w:rPr>
              <w:t>10.1111/hequ.70079</w:t>
            </w:r>
          </w:p>
        </w:tc>
        <w:tc>
          <w:tcPr>
            <w:tcW w:w="3384" w:type="dxa"/>
          </w:tcPr>
          <w:p w14:paraId="7642998B"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2D4D3381" w14:textId="77777777" w:rsidTr="00316D81">
        <w:trPr>
          <w:jc w:val="center"/>
        </w:trPr>
        <w:tc>
          <w:tcPr>
            <w:tcW w:w="576" w:type="dxa"/>
          </w:tcPr>
          <w:p w14:paraId="279070B5" w14:textId="77777777" w:rsidR="003D52C5" w:rsidRDefault="003D52C5" w:rsidP="00316D81">
            <w:pPr>
              <w:jc w:val="center"/>
            </w:pPr>
            <w:r>
              <w:rPr>
                <w:rFonts w:ascii="Arial" w:hAnsi="Arial"/>
                <w:sz w:val="15"/>
              </w:rPr>
              <w:t>89</w:t>
            </w:r>
          </w:p>
        </w:tc>
        <w:tc>
          <w:tcPr>
            <w:tcW w:w="7848" w:type="dxa"/>
          </w:tcPr>
          <w:p w14:paraId="6B408507" w14:textId="691B075C" w:rsidR="003D52C5" w:rsidRDefault="003D52C5" w:rsidP="00316D81">
            <w:r>
              <w:rPr>
                <w:rFonts w:ascii="Arial" w:hAnsi="Arial"/>
                <w:sz w:val="14"/>
              </w:rPr>
              <w:t xml:space="preserve">Moore, S. </w:t>
            </w:r>
            <w:r w:rsidR="009F354A">
              <w:rPr>
                <w:rFonts w:ascii="Arial" w:hAnsi="Arial"/>
                <w:sz w:val="14"/>
              </w:rPr>
              <w:t>and</w:t>
            </w:r>
            <w:r>
              <w:rPr>
                <w:rFonts w:ascii="Arial" w:hAnsi="Arial"/>
                <w:sz w:val="14"/>
              </w:rPr>
              <w:t xml:space="preserve"> Lookadoo, K. (2024). ‘Communicating clear guidance: Advice for generative AI policy development in higher education’. Business and Professional Communication Quarterly, 87(4), pp. 610–629. </w:t>
            </w:r>
            <w:r w:rsidR="0028539F">
              <w:rPr>
                <w:rFonts w:ascii="Arial" w:hAnsi="Arial"/>
                <w:sz w:val="14"/>
              </w:rPr>
              <w:t>DOI</w:t>
            </w:r>
            <w:r>
              <w:rPr>
                <w:rFonts w:ascii="Arial" w:hAnsi="Arial"/>
                <w:sz w:val="14"/>
              </w:rPr>
              <w:t>: 10.1177/23294906241254786.</w:t>
            </w:r>
          </w:p>
        </w:tc>
        <w:tc>
          <w:tcPr>
            <w:tcW w:w="792" w:type="dxa"/>
          </w:tcPr>
          <w:p w14:paraId="253C3D01" w14:textId="77777777" w:rsidR="003D52C5" w:rsidRDefault="003D52C5" w:rsidP="00316D81">
            <w:pPr>
              <w:jc w:val="center"/>
            </w:pPr>
            <w:r>
              <w:rPr>
                <w:rFonts w:ascii="Arial" w:hAnsi="Arial"/>
                <w:sz w:val="15"/>
              </w:rPr>
              <w:t>2024</w:t>
            </w:r>
          </w:p>
        </w:tc>
        <w:tc>
          <w:tcPr>
            <w:tcW w:w="3528" w:type="dxa"/>
          </w:tcPr>
          <w:p w14:paraId="12FD12BA" w14:textId="77777777" w:rsidR="003D52C5" w:rsidRDefault="003D52C5" w:rsidP="00316D81">
            <w:r>
              <w:rPr>
                <w:rFonts w:ascii="Arial" w:hAnsi="Arial"/>
                <w:sz w:val="14"/>
              </w:rPr>
              <w:t>10.1177/23294906241254786</w:t>
            </w:r>
          </w:p>
        </w:tc>
        <w:tc>
          <w:tcPr>
            <w:tcW w:w="3384" w:type="dxa"/>
          </w:tcPr>
          <w:p w14:paraId="11C4285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C3C42C8" w14:textId="77777777" w:rsidTr="00316D81">
        <w:trPr>
          <w:jc w:val="center"/>
        </w:trPr>
        <w:tc>
          <w:tcPr>
            <w:tcW w:w="576" w:type="dxa"/>
          </w:tcPr>
          <w:p w14:paraId="05BDACCA" w14:textId="77777777" w:rsidR="003D52C5" w:rsidRDefault="003D52C5" w:rsidP="00316D81">
            <w:pPr>
              <w:jc w:val="center"/>
            </w:pPr>
            <w:r>
              <w:rPr>
                <w:rFonts w:ascii="Arial" w:hAnsi="Arial"/>
                <w:sz w:val="15"/>
              </w:rPr>
              <w:t>90</w:t>
            </w:r>
          </w:p>
        </w:tc>
        <w:tc>
          <w:tcPr>
            <w:tcW w:w="7848" w:type="dxa"/>
          </w:tcPr>
          <w:p w14:paraId="589A7B73" w14:textId="1C312851" w:rsidR="003D52C5" w:rsidRDefault="003D52C5" w:rsidP="00316D81">
            <w:r>
              <w:rPr>
                <w:rFonts w:ascii="Arial" w:hAnsi="Arial"/>
                <w:sz w:val="14"/>
              </w:rPr>
              <w:t xml:space="preserve">Moorhouse, B., Yeo, M. </w:t>
            </w:r>
            <w:r w:rsidR="009F354A">
              <w:rPr>
                <w:rFonts w:ascii="Arial" w:hAnsi="Arial"/>
                <w:sz w:val="14"/>
              </w:rPr>
              <w:t>and</w:t>
            </w:r>
            <w:r>
              <w:rPr>
                <w:rFonts w:ascii="Arial" w:hAnsi="Arial"/>
                <w:sz w:val="14"/>
              </w:rPr>
              <w:t xml:space="preserve"> Wan, Y. (2023). ‘Generative AI tools and assessment: Guidelines of the world’s top-ranking universities’. Computers and Education Open, 5, 100151. </w:t>
            </w:r>
            <w:r w:rsidR="0028539F">
              <w:rPr>
                <w:rFonts w:ascii="Arial" w:hAnsi="Arial"/>
                <w:sz w:val="14"/>
              </w:rPr>
              <w:t>DOI</w:t>
            </w:r>
            <w:r>
              <w:rPr>
                <w:rFonts w:ascii="Arial" w:hAnsi="Arial"/>
                <w:sz w:val="14"/>
              </w:rPr>
              <w:t>: 10.1016/j.caeo.2023.100151.</w:t>
            </w:r>
          </w:p>
        </w:tc>
        <w:tc>
          <w:tcPr>
            <w:tcW w:w="792" w:type="dxa"/>
          </w:tcPr>
          <w:p w14:paraId="397EE237" w14:textId="77777777" w:rsidR="003D52C5" w:rsidRDefault="003D52C5" w:rsidP="00316D81">
            <w:pPr>
              <w:jc w:val="center"/>
            </w:pPr>
            <w:r>
              <w:rPr>
                <w:rFonts w:ascii="Arial" w:hAnsi="Arial"/>
                <w:sz w:val="15"/>
              </w:rPr>
              <w:t>2023</w:t>
            </w:r>
          </w:p>
        </w:tc>
        <w:tc>
          <w:tcPr>
            <w:tcW w:w="3528" w:type="dxa"/>
          </w:tcPr>
          <w:p w14:paraId="53B91FFC" w14:textId="77777777" w:rsidR="003D52C5" w:rsidRDefault="003D52C5" w:rsidP="00316D81">
            <w:r>
              <w:rPr>
                <w:rFonts w:ascii="Arial" w:hAnsi="Arial"/>
                <w:sz w:val="14"/>
              </w:rPr>
              <w:t>10.1016/j.caeo.2023.100151</w:t>
            </w:r>
          </w:p>
        </w:tc>
        <w:tc>
          <w:tcPr>
            <w:tcW w:w="3384" w:type="dxa"/>
          </w:tcPr>
          <w:p w14:paraId="000CF5BF"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4EF784F7" w14:textId="77777777" w:rsidTr="00316D81">
        <w:trPr>
          <w:jc w:val="center"/>
        </w:trPr>
        <w:tc>
          <w:tcPr>
            <w:tcW w:w="576" w:type="dxa"/>
          </w:tcPr>
          <w:p w14:paraId="7EDAB471" w14:textId="77777777" w:rsidR="003D52C5" w:rsidRDefault="003D52C5" w:rsidP="00316D81">
            <w:pPr>
              <w:jc w:val="center"/>
            </w:pPr>
            <w:r>
              <w:rPr>
                <w:rFonts w:ascii="Arial" w:hAnsi="Arial"/>
                <w:sz w:val="15"/>
              </w:rPr>
              <w:t>91</w:t>
            </w:r>
          </w:p>
        </w:tc>
        <w:tc>
          <w:tcPr>
            <w:tcW w:w="7848" w:type="dxa"/>
          </w:tcPr>
          <w:p w14:paraId="27494CFB" w14:textId="67B4FA1D" w:rsidR="003D52C5" w:rsidRDefault="003D52C5" w:rsidP="00316D81">
            <w:r>
              <w:rPr>
                <w:rFonts w:ascii="Arial" w:hAnsi="Arial"/>
                <w:sz w:val="14"/>
              </w:rPr>
              <w:t xml:space="preserve">Morrison, A., Polisena, J., Husereau, D., Moulton, K., Clark, M., Fiander, M., Mierzwinski-Urban, M., Clifford, T., Hutton, B. </w:t>
            </w:r>
            <w:r w:rsidR="009F354A">
              <w:rPr>
                <w:rFonts w:ascii="Arial" w:hAnsi="Arial"/>
                <w:sz w:val="14"/>
              </w:rPr>
              <w:t>and</w:t>
            </w:r>
            <w:r>
              <w:rPr>
                <w:rFonts w:ascii="Arial" w:hAnsi="Arial"/>
                <w:sz w:val="14"/>
              </w:rPr>
              <w:t xml:space="preserve"> Rabb, D. (2012). ‘The effect of English-language restriction on systematic review-based meta-analyses: a systematic review of empirical studies’, International Journal of Technology Assessment in Health Care, 28(2), pp. 138–144. </w:t>
            </w:r>
            <w:r w:rsidR="0028539F">
              <w:rPr>
                <w:rFonts w:ascii="Arial" w:hAnsi="Arial"/>
                <w:sz w:val="14"/>
              </w:rPr>
              <w:t>DOI</w:t>
            </w:r>
            <w:r>
              <w:rPr>
                <w:rFonts w:ascii="Arial" w:hAnsi="Arial"/>
                <w:sz w:val="14"/>
              </w:rPr>
              <w:t>: 10.1017/S0266462312000086</w:t>
            </w:r>
          </w:p>
        </w:tc>
        <w:tc>
          <w:tcPr>
            <w:tcW w:w="792" w:type="dxa"/>
          </w:tcPr>
          <w:p w14:paraId="421AF93F" w14:textId="77777777" w:rsidR="003D52C5" w:rsidRDefault="003D52C5" w:rsidP="00316D81">
            <w:pPr>
              <w:jc w:val="center"/>
            </w:pPr>
            <w:r>
              <w:rPr>
                <w:rFonts w:ascii="Arial" w:hAnsi="Arial"/>
                <w:sz w:val="15"/>
              </w:rPr>
              <w:t>2012</w:t>
            </w:r>
          </w:p>
        </w:tc>
        <w:tc>
          <w:tcPr>
            <w:tcW w:w="3528" w:type="dxa"/>
          </w:tcPr>
          <w:p w14:paraId="1FD8CB58" w14:textId="77777777" w:rsidR="003D52C5" w:rsidRDefault="003D52C5" w:rsidP="00316D81">
            <w:r>
              <w:rPr>
                <w:rFonts w:ascii="Arial" w:hAnsi="Arial"/>
                <w:sz w:val="14"/>
              </w:rPr>
              <w:t>10.1017/S0266462312000086</w:t>
            </w:r>
          </w:p>
        </w:tc>
        <w:tc>
          <w:tcPr>
            <w:tcW w:w="3384" w:type="dxa"/>
          </w:tcPr>
          <w:p w14:paraId="5AFDA032"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45096B10" w14:textId="77777777" w:rsidTr="00316D81">
        <w:trPr>
          <w:jc w:val="center"/>
        </w:trPr>
        <w:tc>
          <w:tcPr>
            <w:tcW w:w="576" w:type="dxa"/>
          </w:tcPr>
          <w:p w14:paraId="08B4D9AA" w14:textId="77777777" w:rsidR="003D52C5" w:rsidRDefault="003D52C5" w:rsidP="00316D81">
            <w:pPr>
              <w:jc w:val="center"/>
            </w:pPr>
            <w:r>
              <w:rPr>
                <w:rFonts w:ascii="Arial" w:hAnsi="Arial"/>
                <w:sz w:val="15"/>
              </w:rPr>
              <w:t>92</w:t>
            </w:r>
          </w:p>
        </w:tc>
        <w:tc>
          <w:tcPr>
            <w:tcW w:w="7848" w:type="dxa"/>
          </w:tcPr>
          <w:p w14:paraId="1D0F11BF" w14:textId="11BD9705" w:rsidR="003D52C5" w:rsidRDefault="003D52C5" w:rsidP="00316D81">
            <w:r>
              <w:rPr>
                <w:rFonts w:ascii="Arial" w:hAnsi="Arial"/>
                <w:sz w:val="14"/>
              </w:rPr>
              <w:t xml:space="preserve">Mosha, N., Chigwada, J., Ketchiwou, G. </w:t>
            </w:r>
            <w:r w:rsidR="009F354A">
              <w:rPr>
                <w:rFonts w:ascii="Arial" w:hAnsi="Arial"/>
                <w:sz w:val="14"/>
              </w:rPr>
              <w:t>and</w:t>
            </w:r>
            <w:r>
              <w:rPr>
                <w:rFonts w:ascii="Arial" w:hAnsi="Arial"/>
                <w:sz w:val="14"/>
              </w:rPr>
              <w:t xml:space="preserve"> Ngulube, P. (2026). ‘A systematic review of artificial intelligence in higher education institutions (HEIs): Functionalities, challenges, and best practices’, Education Sciences, 16(2), 185. </w:t>
            </w:r>
            <w:r w:rsidR="0028539F">
              <w:rPr>
                <w:rFonts w:ascii="Arial" w:hAnsi="Arial"/>
                <w:sz w:val="14"/>
              </w:rPr>
              <w:t>DOI</w:t>
            </w:r>
            <w:r>
              <w:rPr>
                <w:rFonts w:ascii="Arial" w:hAnsi="Arial"/>
                <w:sz w:val="14"/>
              </w:rPr>
              <w:t>: 10.3390/educsci16020185.</w:t>
            </w:r>
          </w:p>
        </w:tc>
        <w:tc>
          <w:tcPr>
            <w:tcW w:w="792" w:type="dxa"/>
          </w:tcPr>
          <w:p w14:paraId="66288EB2" w14:textId="77777777" w:rsidR="003D52C5" w:rsidRDefault="003D52C5" w:rsidP="00316D81">
            <w:pPr>
              <w:jc w:val="center"/>
            </w:pPr>
            <w:r>
              <w:rPr>
                <w:rFonts w:ascii="Arial" w:hAnsi="Arial"/>
                <w:sz w:val="15"/>
              </w:rPr>
              <w:t>2026</w:t>
            </w:r>
          </w:p>
        </w:tc>
        <w:tc>
          <w:tcPr>
            <w:tcW w:w="3528" w:type="dxa"/>
          </w:tcPr>
          <w:p w14:paraId="3CF7395A" w14:textId="77777777" w:rsidR="003D52C5" w:rsidRDefault="003D52C5" w:rsidP="00316D81">
            <w:r>
              <w:rPr>
                <w:rFonts w:ascii="Arial" w:hAnsi="Arial"/>
                <w:sz w:val="14"/>
              </w:rPr>
              <w:t>10.3390/educsci16020185</w:t>
            </w:r>
          </w:p>
        </w:tc>
        <w:tc>
          <w:tcPr>
            <w:tcW w:w="3384" w:type="dxa"/>
          </w:tcPr>
          <w:p w14:paraId="736000BE"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1DBA789" w14:textId="77777777" w:rsidTr="00316D81">
        <w:trPr>
          <w:jc w:val="center"/>
        </w:trPr>
        <w:tc>
          <w:tcPr>
            <w:tcW w:w="576" w:type="dxa"/>
          </w:tcPr>
          <w:p w14:paraId="155D3056" w14:textId="77777777" w:rsidR="003D52C5" w:rsidRDefault="003D52C5" w:rsidP="00316D81">
            <w:pPr>
              <w:jc w:val="center"/>
            </w:pPr>
            <w:r>
              <w:rPr>
                <w:rFonts w:ascii="Arial" w:hAnsi="Arial"/>
                <w:sz w:val="15"/>
              </w:rPr>
              <w:t>93</w:t>
            </w:r>
          </w:p>
        </w:tc>
        <w:tc>
          <w:tcPr>
            <w:tcW w:w="7848" w:type="dxa"/>
          </w:tcPr>
          <w:p w14:paraId="33141FD2" w14:textId="7D1C9FE7" w:rsidR="003D52C5" w:rsidRDefault="003D52C5" w:rsidP="00316D81">
            <w:r>
              <w:rPr>
                <w:rFonts w:ascii="Arial" w:hAnsi="Arial"/>
                <w:sz w:val="14"/>
              </w:rPr>
              <w:t xml:space="preserve">Nartey, A. (2024). ‘Guiding principles of generative AI for employability and learning in UK universities’. Cogent Education, 11(1), 2357898. </w:t>
            </w:r>
            <w:r w:rsidR="0028539F">
              <w:rPr>
                <w:rFonts w:ascii="Arial" w:hAnsi="Arial"/>
                <w:sz w:val="14"/>
              </w:rPr>
              <w:t>DOI</w:t>
            </w:r>
            <w:r>
              <w:rPr>
                <w:rFonts w:ascii="Arial" w:hAnsi="Arial"/>
                <w:sz w:val="14"/>
              </w:rPr>
              <w:t>: 10.1080/2331186X.2024.2357898.</w:t>
            </w:r>
          </w:p>
        </w:tc>
        <w:tc>
          <w:tcPr>
            <w:tcW w:w="792" w:type="dxa"/>
          </w:tcPr>
          <w:p w14:paraId="26158731" w14:textId="77777777" w:rsidR="003D52C5" w:rsidRDefault="003D52C5" w:rsidP="00316D81">
            <w:pPr>
              <w:jc w:val="center"/>
            </w:pPr>
            <w:r>
              <w:rPr>
                <w:rFonts w:ascii="Arial" w:hAnsi="Arial"/>
                <w:sz w:val="15"/>
              </w:rPr>
              <w:t>2024</w:t>
            </w:r>
          </w:p>
        </w:tc>
        <w:tc>
          <w:tcPr>
            <w:tcW w:w="3528" w:type="dxa"/>
          </w:tcPr>
          <w:p w14:paraId="22F03CB8" w14:textId="77777777" w:rsidR="003D52C5" w:rsidRDefault="003D52C5" w:rsidP="00316D81">
            <w:r>
              <w:rPr>
                <w:rFonts w:ascii="Arial" w:hAnsi="Arial"/>
                <w:sz w:val="14"/>
              </w:rPr>
              <w:t>10.1080/2331186X.2024.2357898</w:t>
            </w:r>
          </w:p>
        </w:tc>
        <w:tc>
          <w:tcPr>
            <w:tcW w:w="3384" w:type="dxa"/>
          </w:tcPr>
          <w:p w14:paraId="7556111E"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28FCE194" w14:textId="77777777" w:rsidTr="00316D81">
        <w:trPr>
          <w:jc w:val="center"/>
        </w:trPr>
        <w:tc>
          <w:tcPr>
            <w:tcW w:w="576" w:type="dxa"/>
          </w:tcPr>
          <w:p w14:paraId="62B6DB27" w14:textId="77777777" w:rsidR="003D52C5" w:rsidRDefault="003D52C5" w:rsidP="00316D81">
            <w:pPr>
              <w:jc w:val="center"/>
            </w:pPr>
            <w:r>
              <w:rPr>
                <w:rFonts w:ascii="Arial" w:hAnsi="Arial"/>
                <w:sz w:val="15"/>
              </w:rPr>
              <w:t>94</w:t>
            </w:r>
          </w:p>
        </w:tc>
        <w:tc>
          <w:tcPr>
            <w:tcW w:w="7848" w:type="dxa"/>
          </w:tcPr>
          <w:p w14:paraId="1C0263B4" w14:textId="09509B33" w:rsidR="003D52C5" w:rsidRDefault="003D52C5" w:rsidP="00316D81">
            <w:r>
              <w:rPr>
                <w:rFonts w:ascii="Arial" w:hAnsi="Arial"/>
                <w:sz w:val="14"/>
              </w:rPr>
              <w:t xml:space="preserve">Nnaji, I., Ayanwale, M., Ukeje, I., Ekwunife, A., Igwe, C., Okwor, E., </w:t>
            </w:r>
            <w:r w:rsidR="009F354A">
              <w:rPr>
                <w:rFonts w:ascii="Arial" w:hAnsi="Arial"/>
                <w:sz w:val="14"/>
              </w:rPr>
              <w:t>and</w:t>
            </w:r>
            <w:r>
              <w:rPr>
                <w:rFonts w:ascii="Arial" w:hAnsi="Arial"/>
                <w:sz w:val="14"/>
              </w:rPr>
              <w:t xml:space="preserve"> Nwuzor, C. (2026). ‘Enhancing governance and performance in Nigerian higher education through AI-driven digital transformation: Insights from stakeholder perspectives’, Social Sciences </w:t>
            </w:r>
            <w:r w:rsidR="009F354A">
              <w:rPr>
                <w:rFonts w:ascii="Arial" w:hAnsi="Arial"/>
                <w:sz w:val="14"/>
              </w:rPr>
              <w:t>and</w:t>
            </w:r>
            <w:r>
              <w:rPr>
                <w:rFonts w:ascii="Arial" w:hAnsi="Arial"/>
                <w:sz w:val="14"/>
              </w:rPr>
              <w:t xml:space="preserve"> Humanities Open, 13, 102348. </w:t>
            </w:r>
            <w:r w:rsidR="0028539F">
              <w:rPr>
                <w:rFonts w:ascii="Arial" w:hAnsi="Arial"/>
                <w:sz w:val="14"/>
              </w:rPr>
              <w:t>DOI</w:t>
            </w:r>
            <w:r>
              <w:rPr>
                <w:rFonts w:ascii="Arial" w:hAnsi="Arial"/>
                <w:sz w:val="14"/>
              </w:rPr>
              <w:t>: 10.1016/j.ssaho.2025.102348.</w:t>
            </w:r>
          </w:p>
        </w:tc>
        <w:tc>
          <w:tcPr>
            <w:tcW w:w="792" w:type="dxa"/>
          </w:tcPr>
          <w:p w14:paraId="22B7B687" w14:textId="77777777" w:rsidR="003D52C5" w:rsidRDefault="003D52C5" w:rsidP="00316D81">
            <w:pPr>
              <w:jc w:val="center"/>
            </w:pPr>
            <w:r>
              <w:rPr>
                <w:rFonts w:ascii="Arial" w:hAnsi="Arial"/>
                <w:sz w:val="15"/>
              </w:rPr>
              <w:t>2026</w:t>
            </w:r>
          </w:p>
        </w:tc>
        <w:tc>
          <w:tcPr>
            <w:tcW w:w="3528" w:type="dxa"/>
          </w:tcPr>
          <w:p w14:paraId="7CE20D1D" w14:textId="77777777" w:rsidR="003D52C5" w:rsidRDefault="003D52C5" w:rsidP="00316D81">
            <w:r>
              <w:rPr>
                <w:rFonts w:ascii="Arial" w:hAnsi="Arial"/>
                <w:sz w:val="14"/>
              </w:rPr>
              <w:t>10.1016/j.ssaho.2025.102348</w:t>
            </w:r>
          </w:p>
        </w:tc>
        <w:tc>
          <w:tcPr>
            <w:tcW w:w="3384" w:type="dxa"/>
          </w:tcPr>
          <w:p w14:paraId="071E1AF5"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61128AE9" w14:textId="77777777" w:rsidTr="00316D81">
        <w:trPr>
          <w:jc w:val="center"/>
        </w:trPr>
        <w:tc>
          <w:tcPr>
            <w:tcW w:w="576" w:type="dxa"/>
          </w:tcPr>
          <w:p w14:paraId="0866A391" w14:textId="77777777" w:rsidR="003D52C5" w:rsidRDefault="003D52C5" w:rsidP="00316D81">
            <w:pPr>
              <w:jc w:val="center"/>
            </w:pPr>
            <w:r>
              <w:rPr>
                <w:rFonts w:ascii="Arial" w:hAnsi="Arial"/>
                <w:sz w:val="15"/>
              </w:rPr>
              <w:t>95</w:t>
            </w:r>
          </w:p>
        </w:tc>
        <w:tc>
          <w:tcPr>
            <w:tcW w:w="7848" w:type="dxa"/>
          </w:tcPr>
          <w:p w14:paraId="649D9903" w14:textId="2C51C170" w:rsidR="003D52C5" w:rsidRDefault="003D52C5" w:rsidP="00316D81">
            <w:r>
              <w:rPr>
                <w:rFonts w:ascii="Arial" w:hAnsi="Arial"/>
                <w:sz w:val="14"/>
              </w:rPr>
              <w:t xml:space="preserve">Ocen, S., Elasu, J., Aarakit, S. and Olupot, C. (2025). ‘Artificial intelligence in higher education institutions: review of innovations, opportunities and challenges’, Frontiers in Education, 10, 1530247. </w:t>
            </w:r>
            <w:r w:rsidR="0028539F">
              <w:rPr>
                <w:rFonts w:ascii="Arial" w:hAnsi="Arial"/>
                <w:sz w:val="14"/>
              </w:rPr>
              <w:t>DOI</w:t>
            </w:r>
            <w:r>
              <w:rPr>
                <w:rFonts w:ascii="Arial" w:hAnsi="Arial"/>
                <w:sz w:val="14"/>
              </w:rPr>
              <w:t>: 10.3389/feduc.2025.1530247.</w:t>
            </w:r>
          </w:p>
        </w:tc>
        <w:tc>
          <w:tcPr>
            <w:tcW w:w="792" w:type="dxa"/>
          </w:tcPr>
          <w:p w14:paraId="0D03EFCB" w14:textId="77777777" w:rsidR="003D52C5" w:rsidRDefault="003D52C5" w:rsidP="00316D81">
            <w:pPr>
              <w:jc w:val="center"/>
            </w:pPr>
            <w:r>
              <w:rPr>
                <w:rFonts w:ascii="Arial" w:hAnsi="Arial"/>
                <w:sz w:val="15"/>
              </w:rPr>
              <w:t>2025</w:t>
            </w:r>
          </w:p>
        </w:tc>
        <w:tc>
          <w:tcPr>
            <w:tcW w:w="3528" w:type="dxa"/>
          </w:tcPr>
          <w:p w14:paraId="6B130135" w14:textId="77777777" w:rsidR="003D52C5" w:rsidRDefault="003D52C5" w:rsidP="00316D81">
            <w:r>
              <w:rPr>
                <w:rFonts w:ascii="Arial" w:hAnsi="Arial"/>
                <w:sz w:val="14"/>
              </w:rPr>
              <w:t>10.3389/feduc.2025.1530247</w:t>
            </w:r>
          </w:p>
        </w:tc>
        <w:tc>
          <w:tcPr>
            <w:tcW w:w="3384" w:type="dxa"/>
          </w:tcPr>
          <w:p w14:paraId="53222C83"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CE33A4C" w14:textId="77777777" w:rsidTr="00316D81">
        <w:trPr>
          <w:jc w:val="center"/>
        </w:trPr>
        <w:tc>
          <w:tcPr>
            <w:tcW w:w="576" w:type="dxa"/>
          </w:tcPr>
          <w:p w14:paraId="1F67E703" w14:textId="77777777" w:rsidR="003D52C5" w:rsidRDefault="003D52C5" w:rsidP="00316D81">
            <w:pPr>
              <w:jc w:val="center"/>
            </w:pPr>
            <w:r>
              <w:rPr>
                <w:rFonts w:ascii="Arial" w:hAnsi="Arial"/>
                <w:sz w:val="15"/>
              </w:rPr>
              <w:t>96</w:t>
            </w:r>
          </w:p>
        </w:tc>
        <w:tc>
          <w:tcPr>
            <w:tcW w:w="7848" w:type="dxa"/>
          </w:tcPr>
          <w:p w14:paraId="701613D0" w14:textId="00EF179C" w:rsidR="003D52C5" w:rsidRDefault="003D52C5" w:rsidP="00316D81">
            <w:r>
              <w:rPr>
                <w:rFonts w:ascii="Arial" w:hAnsi="Arial"/>
                <w:sz w:val="14"/>
              </w:rPr>
              <w:t xml:space="preserve">OECD (2019). ‘What are the OECD Principles on AI?’, OECD Observer, 2019. </w:t>
            </w:r>
            <w:r w:rsidR="0028539F">
              <w:rPr>
                <w:rFonts w:ascii="Arial" w:hAnsi="Arial"/>
                <w:sz w:val="14"/>
              </w:rPr>
              <w:t>DOI</w:t>
            </w:r>
            <w:r>
              <w:rPr>
                <w:rFonts w:ascii="Arial" w:hAnsi="Arial"/>
                <w:sz w:val="14"/>
              </w:rPr>
              <w:t>: 10.1787/6ff2a1c4-en.</w:t>
            </w:r>
          </w:p>
        </w:tc>
        <w:tc>
          <w:tcPr>
            <w:tcW w:w="792" w:type="dxa"/>
          </w:tcPr>
          <w:p w14:paraId="1A02F578" w14:textId="77777777" w:rsidR="003D52C5" w:rsidRDefault="003D52C5" w:rsidP="00316D81">
            <w:pPr>
              <w:jc w:val="center"/>
            </w:pPr>
            <w:r>
              <w:rPr>
                <w:rFonts w:ascii="Arial" w:hAnsi="Arial"/>
                <w:sz w:val="15"/>
              </w:rPr>
              <w:t>2019</w:t>
            </w:r>
          </w:p>
        </w:tc>
        <w:tc>
          <w:tcPr>
            <w:tcW w:w="3528" w:type="dxa"/>
          </w:tcPr>
          <w:p w14:paraId="7E8FCD70" w14:textId="77777777" w:rsidR="003D52C5" w:rsidRDefault="003D52C5" w:rsidP="00316D81">
            <w:r>
              <w:rPr>
                <w:rFonts w:ascii="Arial" w:hAnsi="Arial"/>
                <w:sz w:val="14"/>
              </w:rPr>
              <w:t>10.1787/6ff2a1c4-en</w:t>
            </w:r>
          </w:p>
        </w:tc>
        <w:tc>
          <w:tcPr>
            <w:tcW w:w="3384" w:type="dxa"/>
          </w:tcPr>
          <w:p w14:paraId="6DC94183"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35C28FDC" w14:textId="77777777" w:rsidTr="00316D81">
        <w:trPr>
          <w:jc w:val="center"/>
        </w:trPr>
        <w:tc>
          <w:tcPr>
            <w:tcW w:w="576" w:type="dxa"/>
          </w:tcPr>
          <w:p w14:paraId="14404B41" w14:textId="77777777" w:rsidR="003D52C5" w:rsidRDefault="003D52C5" w:rsidP="00316D81">
            <w:pPr>
              <w:jc w:val="center"/>
            </w:pPr>
            <w:r>
              <w:rPr>
                <w:rFonts w:ascii="Arial" w:hAnsi="Arial"/>
                <w:sz w:val="15"/>
              </w:rPr>
              <w:t>97</w:t>
            </w:r>
          </w:p>
        </w:tc>
        <w:tc>
          <w:tcPr>
            <w:tcW w:w="7848" w:type="dxa"/>
          </w:tcPr>
          <w:p w14:paraId="0193C7B2" w14:textId="383654DF" w:rsidR="003D52C5" w:rsidRDefault="003D52C5" w:rsidP="00316D81">
            <w:r>
              <w:rPr>
                <w:rFonts w:ascii="Arial" w:hAnsi="Arial"/>
                <w:sz w:val="14"/>
              </w:rPr>
              <w:t xml:space="preserve">OECD (2026). Policies supporting responsible and systematic GenAI adoption in higher education. OECD Education Spotlights, No. 23. </w:t>
            </w:r>
            <w:r w:rsidR="0028539F">
              <w:rPr>
                <w:rFonts w:ascii="Arial" w:hAnsi="Arial"/>
                <w:sz w:val="14"/>
              </w:rPr>
              <w:t>DOI</w:t>
            </w:r>
            <w:r>
              <w:rPr>
                <w:rFonts w:ascii="Arial" w:hAnsi="Arial"/>
                <w:sz w:val="14"/>
              </w:rPr>
              <w:t>: 10.1787/c4e5621f-en.</w:t>
            </w:r>
          </w:p>
        </w:tc>
        <w:tc>
          <w:tcPr>
            <w:tcW w:w="792" w:type="dxa"/>
          </w:tcPr>
          <w:p w14:paraId="1D60AB4B" w14:textId="77777777" w:rsidR="003D52C5" w:rsidRDefault="003D52C5" w:rsidP="00316D81">
            <w:pPr>
              <w:jc w:val="center"/>
            </w:pPr>
            <w:r>
              <w:rPr>
                <w:rFonts w:ascii="Arial" w:hAnsi="Arial"/>
                <w:sz w:val="15"/>
              </w:rPr>
              <w:t>2026</w:t>
            </w:r>
          </w:p>
        </w:tc>
        <w:tc>
          <w:tcPr>
            <w:tcW w:w="3528" w:type="dxa"/>
          </w:tcPr>
          <w:p w14:paraId="2098157F" w14:textId="77777777" w:rsidR="003D52C5" w:rsidRDefault="003D52C5" w:rsidP="00316D81">
            <w:r>
              <w:rPr>
                <w:rFonts w:ascii="Arial" w:hAnsi="Arial"/>
                <w:sz w:val="14"/>
              </w:rPr>
              <w:t>10.1787/c4e5621f-en</w:t>
            </w:r>
          </w:p>
        </w:tc>
        <w:tc>
          <w:tcPr>
            <w:tcW w:w="3384" w:type="dxa"/>
          </w:tcPr>
          <w:p w14:paraId="057D5F6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32697996" w14:textId="77777777" w:rsidTr="00316D81">
        <w:trPr>
          <w:jc w:val="center"/>
        </w:trPr>
        <w:tc>
          <w:tcPr>
            <w:tcW w:w="576" w:type="dxa"/>
          </w:tcPr>
          <w:p w14:paraId="0415B00C" w14:textId="77777777" w:rsidR="003D52C5" w:rsidRDefault="003D52C5" w:rsidP="00316D81">
            <w:pPr>
              <w:jc w:val="center"/>
            </w:pPr>
            <w:r>
              <w:rPr>
                <w:rFonts w:ascii="Arial" w:hAnsi="Arial"/>
                <w:sz w:val="15"/>
              </w:rPr>
              <w:t>98</w:t>
            </w:r>
          </w:p>
        </w:tc>
        <w:tc>
          <w:tcPr>
            <w:tcW w:w="7848" w:type="dxa"/>
          </w:tcPr>
          <w:p w14:paraId="4F0F724F" w14:textId="6FA6B29C" w:rsidR="003D52C5" w:rsidRDefault="003D52C5" w:rsidP="00316D81">
            <w:r>
              <w:rPr>
                <w:rFonts w:ascii="Arial" w:hAnsi="Arial"/>
                <w:sz w:val="14"/>
              </w:rPr>
              <w:t xml:space="preserve">Oh, S., </w:t>
            </w:r>
            <w:r w:rsidR="009F354A">
              <w:rPr>
                <w:rFonts w:ascii="Arial" w:hAnsi="Arial"/>
                <w:sz w:val="14"/>
              </w:rPr>
              <w:t>and</w:t>
            </w:r>
            <w:r>
              <w:rPr>
                <w:rFonts w:ascii="Arial" w:hAnsi="Arial"/>
                <w:sz w:val="14"/>
              </w:rPr>
              <w:t xml:space="preserve"> Sanfilippo, M. (2025). ‘Responsible AI in academia: policies and guidelines in US universities’. Information and Learning Science, 126(9-10), </w:t>
            </w:r>
            <w:r w:rsidR="0028539F">
              <w:rPr>
                <w:rFonts w:ascii="Arial" w:hAnsi="Arial"/>
                <w:sz w:val="14"/>
              </w:rPr>
              <w:t>DOI</w:t>
            </w:r>
            <w:r>
              <w:rPr>
                <w:rFonts w:ascii="Arial" w:hAnsi="Arial"/>
                <w:sz w:val="14"/>
              </w:rPr>
              <w:t>: 10.1108/ILS-03-2025-0042.</w:t>
            </w:r>
          </w:p>
        </w:tc>
        <w:tc>
          <w:tcPr>
            <w:tcW w:w="792" w:type="dxa"/>
          </w:tcPr>
          <w:p w14:paraId="1EA11226" w14:textId="77777777" w:rsidR="003D52C5" w:rsidRDefault="003D52C5" w:rsidP="00316D81">
            <w:pPr>
              <w:jc w:val="center"/>
            </w:pPr>
            <w:r>
              <w:rPr>
                <w:rFonts w:ascii="Arial" w:hAnsi="Arial"/>
                <w:sz w:val="15"/>
              </w:rPr>
              <w:t>2025</w:t>
            </w:r>
          </w:p>
        </w:tc>
        <w:tc>
          <w:tcPr>
            <w:tcW w:w="3528" w:type="dxa"/>
          </w:tcPr>
          <w:p w14:paraId="2442004B" w14:textId="77777777" w:rsidR="003D52C5" w:rsidRDefault="003D52C5" w:rsidP="00316D81">
            <w:r>
              <w:rPr>
                <w:rFonts w:ascii="Arial" w:hAnsi="Arial"/>
                <w:sz w:val="14"/>
              </w:rPr>
              <w:t>10.1108/ILS-03-2025-0042</w:t>
            </w:r>
          </w:p>
        </w:tc>
        <w:tc>
          <w:tcPr>
            <w:tcW w:w="3384" w:type="dxa"/>
          </w:tcPr>
          <w:p w14:paraId="1311F179"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4E180E93" w14:textId="77777777" w:rsidTr="00316D81">
        <w:trPr>
          <w:jc w:val="center"/>
        </w:trPr>
        <w:tc>
          <w:tcPr>
            <w:tcW w:w="576" w:type="dxa"/>
          </w:tcPr>
          <w:p w14:paraId="136A460A" w14:textId="77777777" w:rsidR="003D52C5" w:rsidRDefault="003D52C5" w:rsidP="00316D81">
            <w:pPr>
              <w:jc w:val="center"/>
            </w:pPr>
            <w:r>
              <w:rPr>
                <w:rFonts w:ascii="Arial" w:hAnsi="Arial"/>
                <w:sz w:val="15"/>
              </w:rPr>
              <w:t>99</w:t>
            </w:r>
          </w:p>
        </w:tc>
        <w:tc>
          <w:tcPr>
            <w:tcW w:w="7848" w:type="dxa"/>
          </w:tcPr>
          <w:p w14:paraId="6F0D993D" w14:textId="6330F051" w:rsidR="003D52C5" w:rsidRDefault="003D52C5" w:rsidP="00316D81">
            <w:r>
              <w:rPr>
                <w:rFonts w:ascii="Arial" w:hAnsi="Arial"/>
                <w:sz w:val="14"/>
              </w:rPr>
              <w:t xml:space="preserve">Olmos-Vega, F., Stalmeijer, R., Varpio, L. </w:t>
            </w:r>
            <w:r w:rsidR="009F354A">
              <w:rPr>
                <w:rFonts w:ascii="Arial" w:hAnsi="Arial"/>
                <w:sz w:val="14"/>
              </w:rPr>
              <w:t>and</w:t>
            </w:r>
            <w:r>
              <w:rPr>
                <w:rFonts w:ascii="Arial" w:hAnsi="Arial"/>
                <w:sz w:val="14"/>
              </w:rPr>
              <w:t xml:space="preserve"> Kahlke, R. (2023). ‘A practical guide to reflexivity in qualitative research: AMEE Guide No. 149’, Medical Teacher, 45(3), pp. 241–251. </w:t>
            </w:r>
            <w:r w:rsidR="0028539F">
              <w:rPr>
                <w:rFonts w:ascii="Arial" w:hAnsi="Arial"/>
                <w:sz w:val="14"/>
              </w:rPr>
              <w:t>DOI</w:t>
            </w:r>
            <w:r>
              <w:rPr>
                <w:rFonts w:ascii="Arial" w:hAnsi="Arial"/>
                <w:sz w:val="14"/>
              </w:rPr>
              <w:t>: 10.1080/0142159X.2022.2057287.</w:t>
            </w:r>
          </w:p>
        </w:tc>
        <w:tc>
          <w:tcPr>
            <w:tcW w:w="792" w:type="dxa"/>
          </w:tcPr>
          <w:p w14:paraId="77BCAE6B" w14:textId="77777777" w:rsidR="003D52C5" w:rsidRDefault="003D52C5" w:rsidP="00316D81">
            <w:pPr>
              <w:jc w:val="center"/>
            </w:pPr>
            <w:r>
              <w:rPr>
                <w:rFonts w:ascii="Arial" w:hAnsi="Arial"/>
                <w:sz w:val="15"/>
              </w:rPr>
              <w:t>2023</w:t>
            </w:r>
          </w:p>
        </w:tc>
        <w:tc>
          <w:tcPr>
            <w:tcW w:w="3528" w:type="dxa"/>
          </w:tcPr>
          <w:p w14:paraId="1C7C496A" w14:textId="77777777" w:rsidR="003D52C5" w:rsidRDefault="003D52C5" w:rsidP="00316D81">
            <w:r>
              <w:rPr>
                <w:rFonts w:ascii="Arial" w:hAnsi="Arial"/>
                <w:sz w:val="14"/>
              </w:rPr>
              <w:t>10.1080/0142159X.2022.2057287</w:t>
            </w:r>
          </w:p>
        </w:tc>
        <w:tc>
          <w:tcPr>
            <w:tcW w:w="3384" w:type="dxa"/>
          </w:tcPr>
          <w:p w14:paraId="67193BCD"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5250479" w14:textId="77777777" w:rsidTr="00316D81">
        <w:trPr>
          <w:jc w:val="center"/>
        </w:trPr>
        <w:tc>
          <w:tcPr>
            <w:tcW w:w="576" w:type="dxa"/>
          </w:tcPr>
          <w:p w14:paraId="0BF3F4D9" w14:textId="77777777" w:rsidR="003D52C5" w:rsidRDefault="003D52C5" w:rsidP="00316D81">
            <w:pPr>
              <w:jc w:val="center"/>
            </w:pPr>
            <w:r>
              <w:rPr>
                <w:rFonts w:ascii="Arial" w:hAnsi="Arial"/>
                <w:sz w:val="15"/>
              </w:rPr>
              <w:t>100</w:t>
            </w:r>
          </w:p>
        </w:tc>
        <w:tc>
          <w:tcPr>
            <w:tcW w:w="7848" w:type="dxa"/>
          </w:tcPr>
          <w:p w14:paraId="2904DB56" w14:textId="3B9D3824" w:rsidR="003D52C5" w:rsidRDefault="003D52C5" w:rsidP="00316D81">
            <w:r>
              <w:rPr>
                <w:rFonts w:ascii="Arial" w:hAnsi="Arial"/>
                <w:sz w:val="14"/>
              </w:rPr>
              <w:t xml:space="preserve">Oncioiu, I., </w:t>
            </w:r>
            <w:r w:rsidR="009F354A">
              <w:rPr>
                <w:rFonts w:ascii="Arial" w:hAnsi="Arial"/>
                <w:sz w:val="14"/>
              </w:rPr>
              <w:t>and</w:t>
            </w:r>
            <w:r>
              <w:rPr>
                <w:rFonts w:ascii="Arial" w:hAnsi="Arial"/>
                <w:sz w:val="14"/>
              </w:rPr>
              <w:t xml:space="preserve"> Bularca, A. (2025). ‘Artificial Intelligence Governance in Higher Education: The Role of Knowledge-Based Strategies in Fostering Legal Awareness and Ethical Artificial Intelligence Literacy’. Societies, 15(6), 144. </w:t>
            </w:r>
            <w:r w:rsidR="0028539F">
              <w:rPr>
                <w:rFonts w:ascii="Arial" w:hAnsi="Arial"/>
                <w:sz w:val="14"/>
              </w:rPr>
              <w:t>DOI</w:t>
            </w:r>
            <w:r>
              <w:rPr>
                <w:rFonts w:ascii="Arial" w:hAnsi="Arial"/>
                <w:sz w:val="14"/>
              </w:rPr>
              <w:t>: 10.3390/soc15060144.</w:t>
            </w:r>
          </w:p>
        </w:tc>
        <w:tc>
          <w:tcPr>
            <w:tcW w:w="792" w:type="dxa"/>
          </w:tcPr>
          <w:p w14:paraId="3A5F360E" w14:textId="77777777" w:rsidR="003D52C5" w:rsidRDefault="003D52C5" w:rsidP="00316D81">
            <w:pPr>
              <w:jc w:val="center"/>
            </w:pPr>
            <w:r>
              <w:rPr>
                <w:rFonts w:ascii="Arial" w:hAnsi="Arial"/>
                <w:sz w:val="15"/>
              </w:rPr>
              <w:t>2025</w:t>
            </w:r>
          </w:p>
        </w:tc>
        <w:tc>
          <w:tcPr>
            <w:tcW w:w="3528" w:type="dxa"/>
          </w:tcPr>
          <w:p w14:paraId="71A97952" w14:textId="77777777" w:rsidR="003D52C5" w:rsidRDefault="003D52C5" w:rsidP="00316D81">
            <w:r>
              <w:rPr>
                <w:rFonts w:ascii="Arial" w:hAnsi="Arial"/>
                <w:sz w:val="14"/>
              </w:rPr>
              <w:t>10.3390/soc15060144</w:t>
            </w:r>
          </w:p>
        </w:tc>
        <w:tc>
          <w:tcPr>
            <w:tcW w:w="3384" w:type="dxa"/>
          </w:tcPr>
          <w:p w14:paraId="0DA02E83"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1221DF51" w14:textId="77777777" w:rsidTr="00316D81">
        <w:trPr>
          <w:jc w:val="center"/>
        </w:trPr>
        <w:tc>
          <w:tcPr>
            <w:tcW w:w="576" w:type="dxa"/>
          </w:tcPr>
          <w:p w14:paraId="0829683B" w14:textId="77777777" w:rsidR="003D52C5" w:rsidRDefault="003D52C5" w:rsidP="00316D81">
            <w:pPr>
              <w:jc w:val="center"/>
            </w:pPr>
            <w:r>
              <w:rPr>
                <w:rFonts w:ascii="Arial" w:hAnsi="Arial"/>
                <w:sz w:val="15"/>
              </w:rPr>
              <w:lastRenderedPageBreak/>
              <w:t>101</w:t>
            </w:r>
          </w:p>
        </w:tc>
        <w:tc>
          <w:tcPr>
            <w:tcW w:w="7848" w:type="dxa"/>
          </w:tcPr>
          <w:p w14:paraId="379063D8" w14:textId="4F732997" w:rsidR="003D52C5" w:rsidRDefault="003D52C5" w:rsidP="00316D81">
            <w:r>
              <w:rPr>
                <w:rFonts w:ascii="Arial" w:hAnsi="Arial"/>
                <w:sz w:val="14"/>
              </w:rPr>
              <w:t xml:space="preserve">Pak, C. (2022). ‘Responsible AI and algorithm governance: An institutional perspective’, in Human-Centred Artificial Intelligence: Research and Applications. Elsevier, pp. 251–270. </w:t>
            </w:r>
            <w:r w:rsidR="0028539F">
              <w:rPr>
                <w:rFonts w:ascii="Arial" w:hAnsi="Arial"/>
                <w:sz w:val="14"/>
              </w:rPr>
              <w:t>DOI</w:t>
            </w:r>
            <w:r>
              <w:rPr>
                <w:rFonts w:ascii="Arial" w:hAnsi="Arial"/>
                <w:sz w:val="14"/>
              </w:rPr>
              <w:t>: 10.1016/B978-0-323-85648-5.00018-9.</w:t>
            </w:r>
          </w:p>
        </w:tc>
        <w:tc>
          <w:tcPr>
            <w:tcW w:w="792" w:type="dxa"/>
          </w:tcPr>
          <w:p w14:paraId="39532917" w14:textId="77777777" w:rsidR="003D52C5" w:rsidRDefault="003D52C5" w:rsidP="00316D81">
            <w:pPr>
              <w:jc w:val="center"/>
            </w:pPr>
            <w:r>
              <w:rPr>
                <w:rFonts w:ascii="Arial" w:hAnsi="Arial"/>
                <w:sz w:val="15"/>
              </w:rPr>
              <w:t>2022</w:t>
            </w:r>
          </w:p>
        </w:tc>
        <w:tc>
          <w:tcPr>
            <w:tcW w:w="3528" w:type="dxa"/>
          </w:tcPr>
          <w:p w14:paraId="465C261B" w14:textId="77777777" w:rsidR="003D52C5" w:rsidRDefault="003D52C5" w:rsidP="00316D81">
            <w:r>
              <w:rPr>
                <w:rFonts w:ascii="Arial" w:hAnsi="Arial"/>
                <w:sz w:val="14"/>
              </w:rPr>
              <w:t>10.1016/B978-0-323-85648-5.00018-9</w:t>
            </w:r>
          </w:p>
        </w:tc>
        <w:tc>
          <w:tcPr>
            <w:tcW w:w="3384" w:type="dxa"/>
          </w:tcPr>
          <w:p w14:paraId="582EAFFA"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0A37EAAA" w14:textId="77777777" w:rsidTr="00316D81">
        <w:trPr>
          <w:jc w:val="center"/>
        </w:trPr>
        <w:tc>
          <w:tcPr>
            <w:tcW w:w="576" w:type="dxa"/>
          </w:tcPr>
          <w:p w14:paraId="3880E391" w14:textId="77777777" w:rsidR="003D52C5" w:rsidRDefault="003D52C5" w:rsidP="00316D81">
            <w:pPr>
              <w:jc w:val="center"/>
            </w:pPr>
            <w:r>
              <w:rPr>
                <w:rFonts w:ascii="Arial" w:hAnsi="Arial"/>
                <w:sz w:val="15"/>
              </w:rPr>
              <w:t>102</w:t>
            </w:r>
          </w:p>
        </w:tc>
        <w:tc>
          <w:tcPr>
            <w:tcW w:w="7848" w:type="dxa"/>
          </w:tcPr>
          <w:p w14:paraId="43A713E8" w14:textId="508B12FF" w:rsidR="003D52C5" w:rsidRDefault="003D52C5" w:rsidP="00316D81">
            <w:r>
              <w:rPr>
                <w:rFonts w:ascii="Arial" w:hAnsi="Arial"/>
                <w:sz w:val="14"/>
              </w:rPr>
              <w:t xml:space="preserve">Papagiannidis, E., Mikalef, P. </w:t>
            </w:r>
            <w:r w:rsidR="009F354A">
              <w:rPr>
                <w:rFonts w:ascii="Arial" w:hAnsi="Arial"/>
                <w:sz w:val="14"/>
              </w:rPr>
              <w:t>and</w:t>
            </w:r>
            <w:r>
              <w:rPr>
                <w:rFonts w:ascii="Arial" w:hAnsi="Arial"/>
                <w:sz w:val="14"/>
              </w:rPr>
              <w:t xml:space="preserve"> Conboy, K. (2025). ‘Responsible artificial intelligence governance: A review and research framework’. The Journal of Strategic Information Systems, 34(2), 101885. </w:t>
            </w:r>
            <w:r w:rsidR="0028539F">
              <w:rPr>
                <w:rFonts w:ascii="Arial" w:hAnsi="Arial"/>
                <w:sz w:val="14"/>
              </w:rPr>
              <w:t>DOI</w:t>
            </w:r>
            <w:r>
              <w:rPr>
                <w:rFonts w:ascii="Arial" w:hAnsi="Arial"/>
                <w:sz w:val="14"/>
              </w:rPr>
              <w:t>: 10.1016/j.jsis.2024.101885.</w:t>
            </w:r>
          </w:p>
        </w:tc>
        <w:tc>
          <w:tcPr>
            <w:tcW w:w="792" w:type="dxa"/>
          </w:tcPr>
          <w:p w14:paraId="7BB38A23" w14:textId="77777777" w:rsidR="003D52C5" w:rsidRDefault="003D52C5" w:rsidP="00316D81">
            <w:pPr>
              <w:jc w:val="center"/>
            </w:pPr>
            <w:r>
              <w:rPr>
                <w:rFonts w:ascii="Arial" w:hAnsi="Arial"/>
                <w:sz w:val="15"/>
              </w:rPr>
              <w:t>2025</w:t>
            </w:r>
          </w:p>
        </w:tc>
        <w:tc>
          <w:tcPr>
            <w:tcW w:w="3528" w:type="dxa"/>
          </w:tcPr>
          <w:p w14:paraId="31C75F45" w14:textId="77777777" w:rsidR="003D52C5" w:rsidRDefault="003D52C5" w:rsidP="00316D81">
            <w:r>
              <w:rPr>
                <w:rFonts w:ascii="Arial" w:hAnsi="Arial"/>
                <w:sz w:val="14"/>
              </w:rPr>
              <w:t>10.1016/j.jsis.2024.101885</w:t>
            </w:r>
          </w:p>
        </w:tc>
        <w:tc>
          <w:tcPr>
            <w:tcW w:w="3384" w:type="dxa"/>
          </w:tcPr>
          <w:p w14:paraId="489EABF6"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4FFBED96" w14:textId="77777777" w:rsidTr="00316D81">
        <w:trPr>
          <w:jc w:val="center"/>
        </w:trPr>
        <w:tc>
          <w:tcPr>
            <w:tcW w:w="576" w:type="dxa"/>
          </w:tcPr>
          <w:p w14:paraId="1E323D9F" w14:textId="77777777" w:rsidR="003D52C5" w:rsidRDefault="003D52C5" w:rsidP="00316D81">
            <w:pPr>
              <w:jc w:val="center"/>
            </w:pPr>
            <w:r>
              <w:rPr>
                <w:rFonts w:ascii="Arial" w:hAnsi="Arial"/>
                <w:sz w:val="15"/>
              </w:rPr>
              <w:t>103</w:t>
            </w:r>
          </w:p>
        </w:tc>
        <w:tc>
          <w:tcPr>
            <w:tcW w:w="7848" w:type="dxa"/>
          </w:tcPr>
          <w:p w14:paraId="0872C9A4" w14:textId="6A78559E" w:rsidR="003D52C5" w:rsidRDefault="003D52C5" w:rsidP="00316D81">
            <w:r>
              <w:rPr>
                <w:rFonts w:ascii="Arial" w:hAnsi="Arial"/>
                <w:sz w:val="14"/>
              </w:rPr>
              <w:t xml:space="preserve">Rethlefsen, M.L., Kirtley, S., Waffenschmidt, S., Ayala, A.P., Moher, D., Page, M.J. </w:t>
            </w:r>
            <w:r w:rsidR="009F354A">
              <w:rPr>
                <w:rFonts w:ascii="Arial" w:hAnsi="Arial"/>
                <w:sz w:val="14"/>
              </w:rPr>
              <w:t>and</w:t>
            </w:r>
            <w:r>
              <w:rPr>
                <w:rFonts w:ascii="Arial" w:hAnsi="Arial"/>
                <w:sz w:val="14"/>
              </w:rPr>
              <w:t xml:space="preserve"> Koffel, J.B. (2021). ‘PRISMA-S: an extension to the PRISMA Statement for Reporting Literature Searches in Systematic Reviews’, Systematic Reviews, 10, 39. </w:t>
            </w:r>
            <w:r w:rsidR="0028539F">
              <w:rPr>
                <w:rFonts w:ascii="Arial" w:hAnsi="Arial"/>
                <w:sz w:val="14"/>
              </w:rPr>
              <w:t>DOI</w:t>
            </w:r>
            <w:r>
              <w:rPr>
                <w:rFonts w:ascii="Arial" w:hAnsi="Arial"/>
                <w:sz w:val="14"/>
              </w:rPr>
              <w:t>: 10.1186/s13643-020-01542-z.</w:t>
            </w:r>
          </w:p>
        </w:tc>
        <w:tc>
          <w:tcPr>
            <w:tcW w:w="792" w:type="dxa"/>
          </w:tcPr>
          <w:p w14:paraId="36AE59FE" w14:textId="77777777" w:rsidR="003D52C5" w:rsidRDefault="003D52C5" w:rsidP="00316D81">
            <w:pPr>
              <w:jc w:val="center"/>
            </w:pPr>
            <w:r>
              <w:rPr>
                <w:rFonts w:ascii="Arial" w:hAnsi="Arial"/>
                <w:sz w:val="15"/>
              </w:rPr>
              <w:t>2021</w:t>
            </w:r>
          </w:p>
        </w:tc>
        <w:tc>
          <w:tcPr>
            <w:tcW w:w="3528" w:type="dxa"/>
          </w:tcPr>
          <w:p w14:paraId="59BF2EB4" w14:textId="77777777" w:rsidR="003D52C5" w:rsidRDefault="003D52C5" w:rsidP="00316D81">
            <w:r>
              <w:rPr>
                <w:rFonts w:ascii="Arial" w:hAnsi="Arial"/>
                <w:sz w:val="14"/>
              </w:rPr>
              <w:t>10.1186/s13643-020-01542-z</w:t>
            </w:r>
          </w:p>
        </w:tc>
        <w:tc>
          <w:tcPr>
            <w:tcW w:w="3384" w:type="dxa"/>
          </w:tcPr>
          <w:p w14:paraId="166F8988"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92E5803" w14:textId="77777777" w:rsidTr="00316D81">
        <w:trPr>
          <w:jc w:val="center"/>
        </w:trPr>
        <w:tc>
          <w:tcPr>
            <w:tcW w:w="576" w:type="dxa"/>
          </w:tcPr>
          <w:p w14:paraId="0ED682C4" w14:textId="77777777" w:rsidR="003D52C5" w:rsidRDefault="003D52C5" w:rsidP="00316D81">
            <w:pPr>
              <w:jc w:val="center"/>
            </w:pPr>
            <w:r>
              <w:rPr>
                <w:rFonts w:ascii="Arial" w:hAnsi="Arial"/>
                <w:sz w:val="15"/>
              </w:rPr>
              <w:t>104</w:t>
            </w:r>
          </w:p>
        </w:tc>
        <w:tc>
          <w:tcPr>
            <w:tcW w:w="7848" w:type="dxa"/>
          </w:tcPr>
          <w:p w14:paraId="56634290" w14:textId="3FF3DA11" w:rsidR="003D52C5" w:rsidRDefault="003D52C5" w:rsidP="00316D81">
            <w:r>
              <w:rPr>
                <w:rFonts w:ascii="Arial" w:hAnsi="Arial"/>
                <w:sz w:val="14"/>
              </w:rPr>
              <w:t xml:space="preserve">Ritala, P., Aaltonen, P., Ruokonen, M. </w:t>
            </w:r>
            <w:r w:rsidR="009F354A">
              <w:rPr>
                <w:rFonts w:ascii="Arial" w:hAnsi="Arial"/>
                <w:sz w:val="14"/>
              </w:rPr>
              <w:t>and</w:t>
            </w:r>
            <w:r>
              <w:rPr>
                <w:rFonts w:ascii="Arial" w:hAnsi="Arial"/>
                <w:sz w:val="14"/>
              </w:rPr>
              <w:t xml:space="preserve"> Nemeh, A. (2024). ‘Developing industrial AI capabilities: An organisational learning perspective’, Technovation, 138, 103120. </w:t>
            </w:r>
            <w:r w:rsidR="0028539F">
              <w:rPr>
                <w:rFonts w:ascii="Arial" w:hAnsi="Arial"/>
                <w:sz w:val="14"/>
              </w:rPr>
              <w:t>DOI</w:t>
            </w:r>
            <w:r>
              <w:rPr>
                <w:rFonts w:ascii="Arial" w:hAnsi="Arial"/>
                <w:sz w:val="14"/>
              </w:rPr>
              <w:t>: 10.1016/j.technovation.2024.103120.</w:t>
            </w:r>
          </w:p>
        </w:tc>
        <w:tc>
          <w:tcPr>
            <w:tcW w:w="792" w:type="dxa"/>
          </w:tcPr>
          <w:p w14:paraId="38FD7258" w14:textId="77777777" w:rsidR="003D52C5" w:rsidRDefault="003D52C5" w:rsidP="00316D81">
            <w:pPr>
              <w:jc w:val="center"/>
            </w:pPr>
            <w:r>
              <w:rPr>
                <w:rFonts w:ascii="Arial" w:hAnsi="Arial"/>
                <w:sz w:val="15"/>
              </w:rPr>
              <w:t>2024</w:t>
            </w:r>
          </w:p>
        </w:tc>
        <w:tc>
          <w:tcPr>
            <w:tcW w:w="3528" w:type="dxa"/>
          </w:tcPr>
          <w:p w14:paraId="6E186040" w14:textId="77777777" w:rsidR="003D52C5" w:rsidRDefault="003D52C5" w:rsidP="00316D81">
            <w:r>
              <w:rPr>
                <w:rFonts w:ascii="Arial" w:hAnsi="Arial"/>
                <w:sz w:val="14"/>
              </w:rPr>
              <w:t>10.1016/j.technovation.2024.103120</w:t>
            </w:r>
          </w:p>
        </w:tc>
        <w:tc>
          <w:tcPr>
            <w:tcW w:w="3384" w:type="dxa"/>
          </w:tcPr>
          <w:p w14:paraId="38315FA0"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4577B887" w14:textId="77777777" w:rsidTr="00316D81">
        <w:trPr>
          <w:jc w:val="center"/>
        </w:trPr>
        <w:tc>
          <w:tcPr>
            <w:tcW w:w="576" w:type="dxa"/>
          </w:tcPr>
          <w:p w14:paraId="61F35197" w14:textId="77777777" w:rsidR="003D52C5" w:rsidRDefault="003D52C5" w:rsidP="00316D81">
            <w:pPr>
              <w:jc w:val="center"/>
            </w:pPr>
            <w:r>
              <w:rPr>
                <w:rFonts w:ascii="Arial" w:hAnsi="Arial"/>
                <w:sz w:val="15"/>
              </w:rPr>
              <w:t>105</w:t>
            </w:r>
          </w:p>
        </w:tc>
        <w:tc>
          <w:tcPr>
            <w:tcW w:w="7848" w:type="dxa"/>
          </w:tcPr>
          <w:p w14:paraId="4E8DFA47" w14:textId="0B56A165" w:rsidR="003D52C5" w:rsidRDefault="003D52C5" w:rsidP="00316D81">
            <w:r>
              <w:rPr>
                <w:rFonts w:ascii="Arial" w:hAnsi="Arial"/>
                <w:sz w:val="14"/>
              </w:rPr>
              <w:t xml:space="preserve">Robles, P. </w:t>
            </w:r>
            <w:r w:rsidR="009F354A">
              <w:rPr>
                <w:rFonts w:ascii="Arial" w:hAnsi="Arial"/>
                <w:sz w:val="14"/>
              </w:rPr>
              <w:t>and</w:t>
            </w:r>
            <w:r>
              <w:rPr>
                <w:rFonts w:ascii="Arial" w:hAnsi="Arial"/>
                <w:sz w:val="14"/>
              </w:rPr>
              <w:t xml:space="preserve"> Mallinson, D. (2023). ‘Catching up with AI: Pushing toward a cohesive governance framework’, Politics </w:t>
            </w:r>
            <w:r w:rsidR="009F354A">
              <w:rPr>
                <w:rFonts w:ascii="Arial" w:hAnsi="Arial"/>
                <w:sz w:val="14"/>
              </w:rPr>
              <w:t>and</w:t>
            </w:r>
            <w:r>
              <w:rPr>
                <w:rFonts w:ascii="Arial" w:hAnsi="Arial"/>
                <w:sz w:val="14"/>
              </w:rPr>
              <w:t xml:space="preserve"> Policy, 51(3), pp. 355–372. </w:t>
            </w:r>
            <w:r w:rsidR="0028539F">
              <w:rPr>
                <w:rFonts w:ascii="Arial" w:hAnsi="Arial"/>
                <w:sz w:val="14"/>
              </w:rPr>
              <w:t>DOI</w:t>
            </w:r>
            <w:r>
              <w:rPr>
                <w:rFonts w:ascii="Arial" w:hAnsi="Arial"/>
                <w:sz w:val="14"/>
              </w:rPr>
              <w:t>: 10.1111/polp.12529.</w:t>
            </w:r>
          </w:p>
        </w:tc>
        <w:tc>
          <w:tcPr>
            <w:tcW w:w="792" w:type="dxa"/>
          </w:tcPr>
          <w:p w14:paraId="37C74944" w14:textId="77777777" w:rsidR="003D52C5" w:rsidRDefault="003D52C5" w:rsidP="00316D81">
            <w:pPr>
              <w:jc w:val="center"/>
            </w:pPr>
            <w:r>
              <w:rPr>
                <w:rFonts w:ascii="Arial" w:hAnsi="Arial"/>
                <w:sz w:val="15"/>
              </w:rPr>
              <w:t>2023</w:t>
            </w:r>
          </w:p>
        </w:tc>
        <w:tc>
          <w:tcPr>
            <w:tcW w:w="3528" w:type="dxa"/>
          </w:tcPr>
          <w:p w14:paraId="73527683" w14:textId="77777777" w:rsidR="003D52C5" w:rsidRDefault="003D52C5" w:rsidP="00316D81">
            <w:r>
              <w:rPr>
                <w:rFonts w:ascii="Arial" w:hAnsi="Arial"/>
                <w:sz w:val="14"/>
              </w:rPr>
              <w:t>10.1111/polp.12529</w:t>
            </w:r>
          </w:p>
        </w:tc>
        <w:tc>
          <w:tcPr>
            <w:tcW w:w="3384" w:type="dxa"/>
          </w:tcPr>
          <w:p w14:paraId="3D99845D"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1133825F" w14:textId="77777777" w:rsidTr="00316D81">
        <w:trPr>
          <w:jc w:val="center"/>
        </w:trPr>
        <w:tc>
          <w:tcPr>
            <w:tcW w:w="576" w:type="dxa"/>
          </w:tcPr>
          <w:p w14:paraId="1CEEFD98" w14:textId="77777777" w:rsidR="003D52C5" w:rsidRDefault="003D52C5" w:rsidP="00316D81">
            <w:pPr>
              <w:jc w:val="center"/>
            </w:pPr>
            <w:r>
              <w:rPr>
                <w:rFonts w:ascii="Arial" w:hAnsi="Arial"/>
                <w:sz w:val="15"/>
              </w:rPr>
              <w:t>106</w:t>
            </w:r>
          </w:p>
        </w:tc>
        <w:tc>
          <w:tcPr>
            <w:tcW w:w="7848" w:type="dxa"/>
          </w:tcPr>
          <w:p w14:paraId="17836EF0" w14:textId="131FCFEA" w:rsidR="003D52C5" w:rsidRDefault="003D52C5" w:rsidP="00316D81">
            <w:r>
              <w:rPr>
                <w:rFonts w:ascii="Arial" w:hAnsi="Arial"/>
                <w:sz w:val="14"/>
              </w:rPr>
              <w:t xml:space="preserve">Page, M., McKenzie, J., Bossuyt, P., Boutron, I., Hoffmann, T., Mulrow, C., Shamseer, L., Tetzlaff, J., </w:t>
            </w:r>
            <w:r w:rsidR="009F354A">
              <w:rPr>
                <w:rFonts w:ascii="Arial" w:hAnsi="Arial"/>
                <w:sz w:val="14"/>
              </w:rPr>
              <w:t>and</w:t>
            </w:r>
            <w:r>
              <w:rPr>
                <w:rFonts w:ascii="Arial" w:hAnsi="Arial"/>
                <w:sz w:val="14"/>
              </w:rPr>
              <w:t xml:space="preserve"> Brennan, S. (2021). ‘The PRISMA 2020 statement: an updated guideline for reporting systematic reviews’, BMJ, 372, n71. </w:t>
            </w:r>
            <w:r w:rsidR="0028539F">
              <w:rPr>
                <w:rFonts w:ascii="Arial" w:hAnsi="Arial"/>
                <w:sz w:val="14"/>
              </w:rPr>
              <w:t>DOI</w:t>
            </w:r>
            <w:r>
              <w:rPr>
                <w:rFonts w:ascii="Arial" w:hAnsi="Arial"/>
                <w:sz w:val="14"/>
              </w:rPr>
              <w:t>: 10.1136/bmj.n71.</w:t>
            </w:r>
          </w:p>
        </w:tc>
        <w:tc>
          <w:tcPr>
            <w:tcW w:w="792" w:type="dxa"/>
          </w:tcPr>
          <w:p w14:paraId="2843A1F0" w14:textId="77777777" w:rsidR="003D52C5" w:rsidRDefault="003D52C5" w:rsidP="00316D81">
            <w:pPr>
              <w:jc w:val="center"/>
            </w:pPr>
            <w:r>
              <w:rPr>
                <w:rFonts w:ascii="Arial" w:hAnsi="Arial"/>
                <w:sz w:val="15"/>
              </w:rPr>
              <w:t>2021</w:t>
            </w:r>
          </w:p>
        </w:tc>
        <w:tc>
          <w:tcPr>
            <w:tcW w:w="3528" w:type="dxa"/>
          </w:tcPr>
          <w:p w14:paraId="45A8493B" w14:textId="77777777" w:rsidR="003D52C5" w:rsidRDefault="003D52C5" w:rsidP="00316D81">
            <w:r>
              <w:rPr>
                <w:rFonts w:ascii="Arial" w:hAnsi="Arial"/>
                <w:sz w:val="14"/>
              </w:rPr>
              <w:t>10.1136/bmj.n71</w:t>
            </w:r>
          </w:p>
        </w:tc>
        <w:tc>
          <w:tcPr>
            <w:tcW w:w="3384" w:type="dxa"/>
          </w:tcPr>
          <w:p w14:paraId="640E3C7D"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5BEB6C6" w14:textId="77777777" w:rsidTr="00316D81">
        <w:trPr>
          <w:jc w:val="center"/>
        </w:trPr>
        <w:tc>
          <w:tcPr>
            <w:tcW w:w="576" w:type="dxa"/>
          </w:tcPr>
          <w:p w14:paraId="001D2CC4" w14:textId="77777777" w:rsidR="003D52C5" w:rsidRDefault="003D52C5" w:rsidP="00316D81">
            <w:pPr>
              <w:jc w:val="center"/>
            </w:pPr>
            <w:r>
              <w:rPr>
                <w:rFonts w:ascii="Arial" w:hAnsi="Arial"/>
                <w:sz w:val="15"/>
              </w:rPr>
              <w:t>107</w:t>
            </w:r>
          </w:p>
        </w:tc>
        <w:tc>
          <w:tcPr>
            <w:tcW w:w="7848" w:type="dxa"/>
          </w:tcPr>
          <w:p w14:paraId="7A4AFBCB" w14:textId="64178053" w:rsidR="003D52C5" w:rsidRDefault="003D52C5" w:rsidP="00316D81">
            <w:r>
              <w:rPr>
                <w:rFonts w:ascii="Arial" w:hAnsi="Arial"/>
                <w:sz w:val="14"/>
              </w:rPr>
              <w:t xml:space="preserve">Polyportis, A. (2024). ‘A longitudinal study on artificial intelligence adoption: understanding the drivers of ChatGPT usage behaviour change in higher education’, Frontiers in Artificial Intelligence, 6, 1324398. </w:t>
            </w:r>
            <w:r w:rsidR="0028539F">
              <w:rPr>
                <w:rFonts w:ascii="Arial" w:hAnsi="Arial"/>
                <w:sz w:val="14"/>
              </w:rPr>
              <w:t>DOI</w:t>
            </w:r>
            <w:r>
              <w:rPr>
                <w:rFonts w:ascii="Arial" w:hAnsi="Arial"/>
                <w:sz w:val="14"/>
              </w:rPr>
              <w:t>: 10.3389/frai.2023.1324398.</w:t>
            </w:r>
          </w:p>
        </w:tc>
        <w:tc>
          <w:tcPr>
            <w:tcW w:w="792" w:type="dxa"/>
          </w:tcPr>
          <w:p w14:paraId="29AA9B7A" w14:textId="77777777" w:rsidR="003D52C5" w:rsidRDefault="003D52C5" w:rsidP="00316D81">
            <w:pPr>
              <w:jc w:val="center"/>
            </w:pPr>
            <w:r>
              <w:rPr>
                <w:rFonts w:ascii="Arial" w:hAnsi="Arial"/>
                <w:sz w:val="15"/>
              </w:rPr>
              <w:t>2024</w:t>
            </w:r>
          </w:p>
        </w:tc>
        <w:tc>
          <w:tcPr>
            <w:tcW w:w="3528" w:type="dxa"/>
          </w:tcPr>
          <w:p w14:paraId="111B5B6F" w14:textId="77777777" w:rsidR="003D52C5" w:rsidRDefault="003D52C5" w:rsidP="00316D81">
            <w:r>
              <w:rPr>
                <w:rFonts w:ascii="Arial" w:hAnsi="Arial"/>
                <w:sz w:val="14"/>
              </w:rPr>
              <w:t>10.3389/frai.2023.1324398</w:t>
            </w:r>
          </w:p>
        </w:tc>
        <w:tc>
          <w:tcPr>
            <w:tcW w:w="3384" w:type="dxa"/>
          </w:tcPr>
          <w:p w14:paraId="618F6912"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0CCC35D8" w14:textId="77777777" w:rsidTr="00316D81">
        <w:trPr>
          <w:jc w:val="center"/>
        </w:trPr>
        <w:tc>
          <w:tcPr>
            <w:tcW w:w="576" w:type="dxa"/>
          </w:tcPr>
          <w:p w14:paraId="10769E9A" w14:textId="77777777" w:rsidR="003D52C5" w:rsidRDefault="003D52C5" w:rsidP="00316D81">
            <w:pPr>
              <w:jc w:val="center"/>
            </w:pPr>
            <w:r>
              <w:rPr>
                <w:rFonts w:ascii="Arial" w:hAnsi="Arial"/>
                <w:sz w:val="15"/>
              </w:rPr>
              <w:t>108</w:t>
            </w:r>
          </w:p>
        </w:tc>
        <w:tc>
          <w:tcPr>
            <w:tcW w:w="7848" w:type="dxa"/>
          </w:tcPr>
          <w:p w14:paraId="31AF372A" w14:textId="271D0510" w:rsidR="003D52C5" w:rsidRDefault="003D52C5" w:rsidP="00316D81">
            <w:r>
              <w:rPr>
                <w:rFonts w:ascii="Arial" w:hAnsi="Arial"/>
                <w:sz w:val="14"/>
              </w:rPr>
              <w:t xml:space="preserve">Schaffer, F. (2023). ‘Interpretivist Interviewing’, in The Oxford Handbook of Engaged Methodological Pluralism in Political Science. Oxford: Oxford University Press. </w:t>
            </w:r>
            <w:r w:rsidR="0028539F">
              <w:rPr>
                <w:rFonts w:ascii="Arial" w:hAnsi="Arial"/>
                <w:sz w:val="14"/>
              </w:rPr>
              <w:t>DOI</w:t>
            </w:r>
            <w:r>
              <w:rPr>
                <w:rFonts w:ascii="Arial" w:hAnsi="Arial"/>
                <w:sz w:val="14"/>
              </w:rPr>
              <w:t>: 10.1093/oxfordhb/9780192868282.013.7.</w:t>
            </w:r>
          </w:p>
        </w:tc>
        <w:tc>
          <w:tcPr>
            <w:tcW w:w="792" w:type="dxa"/>
          </w:tcPr>
          <w:p w14:paraId="29E40918" w14:textId="77777777" w:rsidR="003D52C5" w:rsidRDefault="003D52C5" w:rsidP="00316D81">
            <w:pPr>
              <w:jc w:val="center"/>
            </w:pPr>
            <w:r>
              <w:rPr>
                <w:rFonts w:ascii="Arial" w:hAnsi="Arial"/>
                <w:sz w:val="15"/>
              </w:rPr>
              <w:t>2023</w:t>
            </w:r>
          </w:p>
        </w:tc>
        <w:tc>
          <w:tcPr>
            <w:tcW w:w="3528" w:type="dxa"/>
          </w:tcPr>
          <w:p w14:paraId="2C3DB875" w14:textId="77777777" w:rsidR="003D52C5" w:rsidRDefault="003D52C5" w:rsidP="00316D81">
            <w:r>
              <w:rPr>
                <w:rFonts w:ascii="Arial" w:hAnsi="Arial"/>
                <w:sz w:val="14"/>
              </w:rPr>
              <w:t>10.1093/oxfordhb/9780192868282.013.7</w:t>
            </w:r>
          </w:p>
        </w:tc>
        <w:tc>
          <w:tcPr>
            <w:tcW w:w="3384" w:type="dxa"/>
          </w:tcPr>
          <w:p w14:paraId="56DA3911"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19CDA2EF" w14:textId="77777777" w:rsidTr="00316D81">
        <w:trPr>
          <w:jc w:val="center"/>
        </w:trPr>
        <w:tc>
          <w:tcPr>
            <w:tcW w:w="576" w:type="dxa"/>
          </w:tcPr>
          <w:p w14:paraId="113A4BD4" w14:textId="77777777" w:rsidR="003D52C5" w:rsidRDefault="003D52C5" w:rsidP="00316D81">
            <w:pPr>
              <w:jc w:val="center"/>
            </w:pPr>
            <w:r>
              <w:rPr>
                <w:rFonts w:ascii="Arial" w:hAnsi="Arial"/>
                <w:sz w:val="15"/>
              </w:rPr>
              <w:t>109</w:t>
            </w:r>
          </w:p>
        </w:tc>
        <w:tc>
          <w:tcPr>
            <w:tcW w:w="7848" w:type="dxa"/>
          </w:tcPr>
          <w:p w14:paraId="047BCBE0" w14:textId="03CB5CCF" w:rsidR="003D52C5" w:rsidRDefault="003D52C5" w:rsidP="00316D81">
            <w:r>
              <w:rPr>
                <w:rFonts w:ascii="Arial" w:hAnsi="Arial"/>
                <w:sz w:val="14"/>
              </w:rPr>
              <w:t xml:space="preserve">Scheytt, C. </w:t>
            </w:r>
            <w:r w:rsidR="009F354A">
              <w:rPr>
                <w:rFonts w:ascii="Arial" w:hAnsi="Arial"/>
                <w:sz w:val="14"/>
              </w:rPr>
              <w:t>and</w:t>
            </w:r>
            <w:r>
              <w:rPr>
                <w:rFonts w:ascii="Arial" w:hAnsi="Arial"/>
                <w:sz w:val="14"/>
              </w:rPr>
              <w:t xml:space="preserve"> Pfluger, J. (2024). ‘Conducting qualitative research in organisations ethically: Organisationally as a heuristic to identify ethical challenges’, International Journal of Qualitative Methods, 23. </w:t>
            </w:r>
            <w:r w:rsidR="0028539F">
              <w:rPr>
                <w:rFonts w:ascii="Arial" w:hAnsi="Arial"/>
                <w:sz w:val="14"/>
              </w:rPr>
              <w:t>DOI</w:t>
            </w:r>
            <w:r>
              <w:rPr>
                <w:rFonts w:ascii="Arial" w:hAnsi="Arial"/>
                <w:sz w:val="14"/>
              </w:rPr>
              <w:t>: 10.1177/16094069241237548.</w:t>
            </w:r>
          </w:p>
        </w:tc>
        <w:tc>
          <w:tcPr>
            <w:tcW w:w="792" w:type="dxa"/>
          </w:tcPr>
          <w:p w14:paraId="1C490B45" w14:textId="77777777" w:rsidR="003D52C5" w:rsidRDefault="003D52C5" w:rsidP="00316D81">
            <w:pPr>
              <w:jc w:val="center"/>
            </w:pPr>
            <w:r>
              <w:rPr>
                <w:rFonts w:ascii="Arial" w:hAnsi="Arial"/>
                <w:sz w:val="15"/>
              </w:rPr>
              <w:t>2024</w:t>
            </w:r>
          </w:p>
        </w:tc>
        <w:tc>
          <w:tcPr>
            <w:tcW w:w="3528" w:type="dxa"/>
          </w:tcPr>
          <w:p w14:paraId="39422711" w14:textId="77777777" w:rsidR="003D52C5" w:rsidRDefault="003D52C5" w:rsidP="00316D81">
            <w:r>
              <w:rPr>
                <w:rFonts w:ascii="Arial" w:hAnsi="Arial"/>
                <w:sz w:val="14"/>
              </w:rPr>
              <w:t>10.1177/16094069241237548</w:t>
            </w:r>
          </w:p>
        </w:tc>
        <w:tc>
          <w:tcPr>
            <w:tcW w:w="3384" w:type="dxa"/>
          </w:tcPr>
          <w:p w14:paraId="39E17837" w14:textId="77777777" w:rsidR="003D52C5" w:rsidRDefault="003D52C5" w:rsidP="00316D81">
            <w:r>
              <w:rPr>
                <w:rFonts w:ascii="Arial" w:hAnsi="Arial"/>
                <w:sz w:val="15"/>
              </w:rPr>
              <w:t>Provides supporting evidence relevant to AI implementation, governance, organisational decision-making or the study’s methodological framework.</w:t>
            </w:r>
          </w:p>
        </w:tc>
      </w:tr>
      <w:tr w:rsidR="003D52C5" w14:paraId="6D253767" w14:textId="77777777" w:rsidTr="00316D81">
        <w:trPr>
          <w:jc w:val="center"/>
        </w:trPr>
        <w:tc>
          <w:tcPr>
            <w:tcW w:w="576" w:type="dxa"/>
          </w:tcPr>
          <w:p w14:paraId="00F07336" w14:textId="77777777" w:rsidR="003D52C5" w:rsidRDefault="003D52C5" w:rsidP="00316D81">
            <w:pPr>
              <w:jc w:val="center"/>
            </w:pPr>
            <w:r>
              <w:rPr>
                <w:rFonts w:ascii="Arial" w:hAnsi="Arial"/>
                <w:sz w:val="15"/>
              </w:rPr>
              <w:t>110</w:t>
            </w:r>
          </w:p>
        </w:tc>
        <w:tc>
          <w:tcPr>
            <w:tcW w:w="7848" w:type="dxa"/>
          </w:tcPr>
          <w:p w14:paraId="23807D91" w14:textId="45B3F6A4" w:rsidR="003D52C5" w:rsidRDefault="003D52C5" w:rsidP="00316D81">
            <w:r>
              <w:rPr>
                <w:rFonts w:ascii="Arial" w:hAnsi="Arial"/>
                <w:sz w:val="14"/>
              </w:rPr>
              <w:t xml:space="preserve">Selwyn, N. (2022). ‘The future of AI and education: Some cautionary notes’, European Journal of Education, 57(4), pp. 620–631. </w:t>
            </w:r>
            <w:r w:rsidR="0028539F">
              <w:rPr>
                <w:rFonts w:ascii="Arial" w:hAnsi="Arial"/>
                <w:sz w:val="14"/>
              </w:rPr>
              <w:t>DOI</w:t>
            </w:r>
            <w:r>
              <w:rPr>
                <w:rFonts w:ascii="Arial" w:hAnsi="Arial"/>
                <w:sz w:val="14"/>
              </w:rPr>
              <w:t>: 10.1111/ejed.12532.</w:t>
            </w:r>
          </w:p>
        </w:tc>
        <w:tc>
          <w:tcPr>
            <w:tcW w:w="792" w:type="dxa"/>
          </w:tcPr>
          <w:p w14:paraId="135DD7D5" w14:textId="77777777" w:rsidR="003D52C5" w:rsidRDefault="003D52C5" w:rsidP="00316D81">
            <w:pPr>
              <w:jc w:val="center"/>
            </w:pPr>
            <w:r>
              <w:rPr>
                <w:rFonts w:ascii="Arial" w:hAnsi="Arial"/>
                <w:sz w:val="15"/>
              </w:rPr>
              <w:t>2022</w:t>
            </w:r>
          </w:p>
        </w:tc>
        <w:tc>
          <w:tcPr>
            <w:tcW w:w="3528" w:type="dxa"/>
          </w:tcPr>
          <w:p w14:paraId="122DAF2E" w14:textId="77777777" w:rsidR="003D52C5" w:rsidRDefault="003D52C5" w:rsidP="00316D81">
            <w:r>
              <w:rPr>
                <w:rFonts w:ascii="Arial" w:hAnsi="Arial"/>
                <w:sz w:val="14"/>
              </w:rPr>
              <w:t>10.1111/ejed.12532</w:t>
            </w:r>
          </w:p>
        </w:tc>
        <w:tc>
          <w:tcPr>
            <w:tcW w:w="3384" w:type="dxa"/>
          </w:tcPr>
          <w:p w14:paraId="7DA63AA8"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744C0B1" w14:textId="77777777" w:rsidTr="00316D81">
        <w:trPr>
          <w:jc w:val="center"/>
        </w:trPr>
        <w:tc>
          <w:tcPr>
            <w:tcW w:w="576" w:type="dxa"/>
          </w:tcPr>
          <w:p w14:paraId="47CB5018" w14:textId="77777777" w:rsidR="003D52C5" w:rsidRDefault="003D52C5" w:rsidP="00316D81">
            <w:pPr>
              <w:jc w:val="center"/>
            </w:pPr>
            <w:r>
              <w:rPr>
                <w:rFonts w:ascii="Arial" w:hAnsi="Arial"/>
                <w:sz w:val="15"/>
              </w:rPr>
              <w:t>111</w:t>
            </w:r>
          </w:p>
        </w:tc>
        <w:tc>
          <w:tcPr>
            <w:tcW w:w="7848" w:type="dxa"/>
          </w:tcPr>
          <w:p w14:paraId="5DCC954A" w14:textId="3865D8BA" w:rsidR="003D52C5" w:rsidRDefault="003D52C5" w:rsidP="00316D81">
            <w:r>
              <w:rPr>
                <w:rFonts w:ascii="Arial" w:hAnsi="Arial"/>
                <w:sz w:val="14"/>
              </w:rPr>
              <w:t xml:space="preserve">Sibbald, K., Phelan, S., Beagan, B. </w:t>
            </w:r>
            <w:r w:rsidR="009F354A">
              <w:rPr>
                <w:rFonts w:ascii="Arial" w:hAnsi="Arial"/>
                <w:sz w:val="14"/>
              </w:rPr>
              <w:t>and</w:t>
            </w:r>
            <w:r>
              <w:rPr>
                <w:rFonts w:ascii="Arial" w:hAnsi="Arial"/>
                <w:sz w:val="14"/>
              </w:rPr>
              <w:t xml:space="preserve"> Pride, T. (2025). ‘Positioning positionality and reflecting on reflexivity: Moving from performance to practice’, Qualitative Health Research. </w:t>
            </w:r>
            <w:r w:rsidR="0028539F">
              <w:rPr>
                <w:rFonts w:ascii="Arial" w:hAnsi="Arial"/>
                <w:sz w:val="14"/>
              </w:rPr>
              <w:t>DOI</w:t>
            </w:r>
            <w:r>
              <w:rPr>
                <w:rFonts w:ascii="Arial" w:hAnsi="Arial"/>
                <w:sz w:val="14"/>
              </w:rPr>
              <w:t>: 10.1177/10497323241309230.</w:t>
            </w:r>
          </w:p>
        </w:tc>
        <w:tc>
          <w:tcPr>
            <w:tcW w:w="792" w:type="dxa"/>
          </w:tcPr>
          <w:p w14:paraId="0C88194B" w14:textId="77777777" w:rsidR="003D52C5" w:rsidRDefault="003D52C5" w:rsidP="00316D81">
            <w:pPr>
              <w:jc w:val="center"/>
            </w:pPr>
            <w:r>
              <w:rPr>
                <w:rFonts w:ascii="Arial" w:hAnsi="Arial"/>
                <w:sz w:val="15"/>
              </w:rPr>
              <w:t>2025</w:t>
            </w:r>
          </w:p>
        </w:tc>
        <w:tc>
          <w:tcPr>
            <w:tcW w:w="3528" w:type="dxa"/>
          </w:tcPr>
          <w:p w14:paraId="5C3F0AD1" w14:textId="77777777" w:rsidR="003D52C5" w:rsidRDefault="003D52C5" w:rsidP="00316D81">
            <w:r>
              <w:rPr>
                <w:rFonts w:ascii="Arial" w:hAnsi="Arial"/>
                <w:sz w:val="14"/>
              </w:rPr>
              <w:t>10.1177/10497323241309230</w:t>
            </w:r>
          </w:p>
        </w:tc>
        <w:tc>
          <w:tcPr>
            <w:tcW w:w="3384" w:type="dxa"/>
          </w:tcPr>
          <w:p w14:paraId="798ED315"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4A869A73" w14:textId="77777777" w:rsidTr="00316D81">
        <w:trPr>
          <w:jc w:val="center"/>
        </w:trPr>
        <w:tc>
          <w:tcPr>
            <w:tcW w:w="576" w:type="dxa"/>
          </w:tcPr>
          <w:p w14:paraId="23A12E14" w14:textId="77777777" w:rsidR="003D52C5" w:rsidRDefault="003D52C5" w:rsidP="00316D81">
            <w:pPr>
              <w:jc w:val="center"/>
            </w:pPr>
            <w:r>
              <w:rPr>
                <w:rFonts w:ascii="Arial" w:hAnsi="Arial"/>
                <w:sz w:val="15"/>
              </w:rPr>
              <w:t>112</w:t>
            </w:r>
          </w:p>
        </w:tc>
        <w:tc>
          <w:tcPr>
            <w:tcW w:w="7848" w:type="dxa"/>
          </w:tcPr>
          <w:p w14:paraId="79717EC4" w14:textId="36E70A42" w:rsidR="003D52C5" w:rsidRDefault="003D52C5" w:rsidP="00316D81">
            <w:r>
              <w:rPr>
                <w:rFonts w:ascii="Arial" w:hAnsi="Arial"/>
                <w:sz w:val="14"/>
              </w:rPr>
              <w:t xml:space="preserve">Snyder, H. (2019). ‘Literature review as a research methodology: An overview and guidelines’, Journal of Business Research, 104, pp. 333–339. </w:t>
            </w:r>
            <w:r w:rsidR="0028539F">
              <w:rPr>
                <w:rFonts w:ascii="Arial" w:hAnsi="Arial"/>
                <w:sz w:val="14"/>
              </w:rPr>
              <w:t>DOI</w:t>
            </w:r>
            <w:r>
              <w:rPr>
                <w:rFonts w:ascii="Arial" w:hAnsi="Arial"/>
                <w:sz w:val="14"/>
              </w:rPr>
              <w:t>: 10.1016/j.jbusres.2019.07.039.</w:t>
            </w:r>
          </w:p>
        </w:tc>
        <w:tc>
          <w:tcPr>
            <w:tcW w:w="792" w:type="dxa"/>
          </w:tcPr>
          <w:p w14:paraId="12192CAD" w14:textId="77777777" w:rsidR="003D52C5" w:rsidRDefault="003D52C5" w:rsidP="00316D81">
            <w:pPr>
              <w:jc w:val="center"/>
            </w:pPr>
            <w:r>
              <w:rPr>
                <w:rFonts w:ascii="Arial" w:hAnsi="Arial"/>
                <w:sz w:val="15"/>
              </w:rPr>
              <w:t>2019</w:t>
            </w:r>
          </w:p>
        </w:tc>
        <w:tc>
          <w:tcPr>
            <w:tcW w:w="3528" w:type="dxa"/>
          </w:tcPr>
          <w:p w14:paraId="6AD3ABE8" w14:textId="77777777" w:rsidR="003D52C5" w:rsidRDefault="003D52C5" w:rsidP="00316D81">
            <w:r>
              <w:rPr>
                <w:rFonts w:ascii="Arial" w:hAnsi="Arial"/>
                <w:sz w:val="14"/>
              </w:rPr>
              <w:t>10.1016/j.jbusres.2019.07.039</w:t>
            </w:r>
          </w:p>
        </w:tc>
        <w:tc>
          <w:tcPr>
            <w:tcW w:w="3384" w:type="dxa"/>
          </w:tcPr>
          <w:p w14:paraId="5576D2EC"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0855308" w14:textId="77777777" w:rsidTr="00316D81">
        <w:trPr>
          <w:jc w:val="center"/>
        </w:trPr>
        <w:tc>
          <w:tcPr>
            <w:tcW w:w="576" w:type="dxa"/>
          </w:tcPr>
          <w:p w14:paraId="28E00B24" w14:textId="77777777" w:rsidR="003D52C5" w:rsidRDefault="003D52C5" w:rsidP="00316D81">
            <w:pPr>
              <w:jc w:val="center"/>
            </w:pPr>
            <w:r>
              <w:rPr>
                <w:rFonts w:ascii="Arial" w:hAnsi="Arial"/>
                <w:sz w:val="15"/>
              </w:rPr>
              <w:t>113</w:t>
            </w:r>
          </w:p>
        </w:tc>
        <w:tc>
          <w:tcPr>
            <w:tcW w:w="7848" w:type="dxa"/>
          </w:tcPr>
          <w:p w14:paraId="361823FE" w14:textId="25A11140" w:rsidR="003D52C5" w:rsidRDefault="003D52C5" w:rsidP="00316D81">
            <w:r>
              <w:rPr>
                <w:rFonts w:ascii="Arial" w:hAnsi="Arial"/>
                <w:sz w:val="14"/>
              </w:rPr>
              <w:t xml:space="preserve">Stracke, C., Nahar, N., Punzo, V., Massaro, S., Pappa, D., Di Grassi, A., Becirovic, S., Hollins, P., Ziouvelou, X., Skenduli, M. </w:t>
            </w:r>
            <w:r w:rsidR="009F354A">
              <w:rPr>
                <w:rFonts w:ascii="Arial" w:hAnsi="Arial"/>
                <w:sz w:val="14"/>
              </w:rPr>
              <w:t>and</w:t>
            </w:r>
            <w:r>
              <w:rPr>
                <w:rFonts w:ascii="Arial" w:hAnsi="Arial"/>
                <w:sz w:val="14"/>
              </w:rPr>
              <w:t xml:space="preserve"> Burgos, D. (2026). 'Artificial Intelligence Policies for Higher Education: A Roadmap for Contextual AI Governance'. Management and Policy in Higher Education.6, pp. 61–73. </w:t>
            </w:r>
            <w:r w:rsidR="0028539F">
              <w:rPr>
                <w:rFonts w:ascii="Arial" w:hAnsi="Arial"/>
                <w:sz w:val="14"/>
              </w:rPr>
              <w:t>DOI</w:t>
            </w:r>
            <w:r>
              <w:rPr>
                <w:rFonts w:ascii="Arial" w:hAnsi="Arial"/>
                <w:sz w:val="14"/>
              </w:rPr>
              <w:t>: 10.53880/2744-2373.2025.6.61.</w:t>
            </w:r>
          </w:p>
        </w:tc>
        <w:tc>
          <w:tcPr>
            <w:tcW w:w="792" w:type="dxa"/>
          </w:tcPr>
          <w:p w14:paraId="57299ECA" w14:textId="77777777" w:rsidR="003D52C5" w:rsidRDefault="003D52C5" w:rsidP="00316D81">
            <w:pPr>
              <w:jc w:val="center"/>
            </w:pPr>
            <w:r>
              <w:rPr>
                <w:rFonts w:ascii="Arial" w:hAnsi="Arial"/>
                <w:sz w:val="15"/>
              </w:rPr>
              <w:t>2026</w:t>
            </w:r>
          </w:p>
        </w:tc>
        <w:tc>
          <w:tcPr>
            <w:tcW w:w="3528" w:type="dxa"/>
          </w:tcPr>
          <w:p w14:paraId="72BD8B37" w14:textId="77777777" w:rsidR="003D52C5" w:rsidRDefault="003D52C5" w:rsidP="00316D81">
            <w:r>
              <w:rPr>
                <w:rFonts w:ascii="Arial" w:hAnsi="Arial"/>
                <w:sz w:val="14"/>
              </w:rPr>
              <w:t>10.53880/2744-2373.2025.6.61</w:t>
            </w:r>
          </w:p>
        </w:tc>
        <w:tc>
          <w:tcPr>
            <w:tcW w:w="3384" w:type="dxa"/>
          </w:tcPr>
          <w:p w14:paraId="6C92A308"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130C3851" w14:textId="77777777" w:rsidTr="00316D81">
        <w:trPr>
          <w:jc w:val="center"/>
        </w:trPr>
        <w:tc>
          <w:tcPr>
            <w:tcW w:w="576" w:type="dxa"/>
          </w:tcPr>
          <w:p w14:paraId="25CF2DC1" w14:textId="77777777" w:rsidR="003D52C5" w:rsidRDefault="003D52C5" w:rsidP="00316D81">
            <w:pPr>
              <w:jc w:val="center"/>
            </w:pPr>
            <w:r>
              <w:rPr>
                <w:rFonts w:ascii="Arial" w:hAnsi="Arial"/>
                <w:sz w:val="15"/>
              </w:rPr>
              <w:t>114</w:t>
            </w:r>
          </w:p>
        </w:tc>
        <w:tc>
          <w:tcPr>
            <w:tcW w:w="7848" w:type="dxa"/>
          </w:tcPr>
          <w:p w14:paraId="181B0268" w14:textId="2847C72F" w:rsidR="003D52C5" w:rsidRDefault="003D52C5" w:rsidP="00316D81">
            <w:r>
              <w:rPr>
                <w:rFonts w:ascii="Arial" w:hAnsi="Arial"/>
                <w:sz w:val="14"/>
              </w:rPr>
              <w:t xml:space="preserve">Strzelecki, A. (2023). ‘To use or not to use ChatGPT in higher education? A study of students’ acceptance and use of technology’, Interactive Learning Environments. </w:t>
            </w:r>
            <w:r w:rsidR="0028539F">
              <w:rPr>
                <w:rFonts w:ascii="Arial" w:hAnsi="Arial"/>
                <w:sz w:val="14"/>
              </w:rPr>
              <w:t>DOI</w:t>
            </w:r>
            <w:r>
              <w:rPr>
                <w:rFonts w:ascii="Arial" w:hAnsi="Arial"/>
                <w:sz w:val="14"/>
              </w:rPr>
              <w:t>: 10.1080/10494820.2023.2209881.</w:t>
            </w:r>
          </w:p>
        </w:tc>
        <w:tc>
          <w:tcPr>
            <w:tcW w:w="792" w:type="dxa"/>
          </w:tcPr>
          <w:p w14:paraId="5F381996" w14:textId="77777777" w:rsidR="003D52C5" w:rsidRDefault="003D52C5" w:rsidP="00316D81">
            <w:pPr>
              <w:jc w:val="center"/>
            </w:pPr>
            <w:r>
              <w:rPr>
                <w:rFonts w:ascii="Arial" w:hAnsi="Arial"/>
                <w:sz w:val="15"/>
              </w:rPr>
              <w:t>2023</w:t>
            </w:r>
          </w:p>
        </w:tc>
        <w:tc>
          <w:tcPr>
            <w:tcW w:w="3528" w:type="dxa"/>
          </w:tcPr>
          <w:p w14:paraId="063A661D" w14:textId="77777777" w:rsidR="003D52C5" w:rsidRDefault="003D52C5" w:rsidP="00316D81">
            <w:r>
              <w:rPr>
                <w:rFonts w:ascii="Arial" w:hAnsi="Arial"/>
                <w:sz w:val="14"/>
              </w:rPr>
              <w:t>10.1080/10494820.2023.2209881</w:t>
            </w:r>
          </w:p>
        </w:tc>
        <w:tc>
          <w:tcPr>
            <w:tcW w:w="3384" w:type="dxa"/>
          </w:tcPr>
          <w:p w14:paraId="096C191E"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3992192" w14:textId="77777777" w:rsidTr="00316D81">
        <w:trPr>
          <w:jc w:val="center"/>
        </w:trPr>
        <w:tc>
          <w:tcPr>
            <w:tcW w:w="576" w:type="dxa"/>
          </w:tcPr>
          <w:p w14:paraId="56D9398A" w14:textId="77777777" w:rsidR="003D52C5" w:rsidRDefault="003D52C5" w:rsidP="00316D81">
            <w:pPr>
              <w:jc w:val="center"/>
            </w:pPr>
            <w:r>
              <w:rPr>
                <w:rFonts w:ascii="Arial" w:hAnsi="Arial"/>
                <w:sz w:val="15"/>
              </w:rPr>
              <w:lastRenderedPageBreak/>
              <w:t>115</w:t>
            </w:r>
          </w:p>
        </w:tc>
        <w:tc>
          <w:tcPr>
            <w:tcW w:w="7848" w:type="dxa"/>
          </w:tcPr>
          <w:p w14:paraId="66815339" w14:textId="7880041B" w:rsidR="003D52C5" w:rsidRDefault="003D52C5" w:rsidP="00316D81">
            <w:r>
              <w:rPr>
                <w:rFonts w:ascii="Arial" w:hAnsi="Arial"/>
                <w:sz w:val="14"/>
              </w:rPr>
              <w:t xml:space="preserve">Taeihagh, A. (2025). ‘Governance of Generative AI’. Policy and Society, 44(1), pp. 1–22. </w:t>
            </w:r>
            <w:r w:rsidR="0028539F">
              <w:rPr>
                <w:rFonts w:ascii="Arial" w:hAnsi="Arial"/>
                <w:sz w:val="14"/>
              </w:rPr>
              <w:t>DOI</w:t>
            </w:r>
            <w:r>
              <w:rPr>
                <w:rFonts w:ascii="Arial" w:hAnsi="Arial"/>
                <w:sz w:val="14"/>
              </w:rPr>
              <w:t>: 10.1093/polsoc/puaf001.</w:t>
            </w:r>
          </w:p>
        </w:tc>
        <w:tc>
          <w:tcPr>
            <w:tcW w:w="792" w:type="dxa"/>
          </w:tcPr>
          <w:p w14:paraId="0A62A7B9" w14:textId="77777777" w:rsidR="003D52C5" w:rsidRDefault="003D52C5" w:rsidP="00316D81">
            <w:pPr>
              <w:jc w:val="center"/>
            </w:pPr>
            <w:r>
              <w:rPr>
                <w:rFonts w:ascii="Arial" w:hAnsi="Arial"/>
                <w:sz w:val="15"/>
              </w:rPr>
              <w:t>2025</w:t>
            </w:r>
          </w:p>
        </w:tc>
        <w:tc>
          <w:tcPr>
            <w:tcW w:w="3528" w:type="dxa"/>
          </w:tcPr>
          <w:p w14:paraId="05C91AE9" w14:textId="77777777" w:rsidR="003D52C5" w:rsidRDefault="003D52C5" w:rsidP="00316D81">
            <w:r>
              <w:rPr>
                <w:rFonts w:ascii="Arial" w:hAnsi="Arial"/>
                <w:sz w:val="14"/>
              </w:rPr>
              <w:t>10.1093/polsoc/puaf001</w:t>
            </w:r>
          </w:p>
        </w:tc>
        <w:tc>
          <w:tcPr>
            <w:tcW w:w="3384" w:type="dxa"/>
          </w:tcPr>
          <w:p w14:paraId="0F1A00B0"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4890C229" w14:textId="77777777" w:rsidTr="00316D81">
        <w:trPr>
          <w:jc w:val="center"/>
        </w:trPr>
        <w:tc>
          <w:tcPr>
            <w:tcW w:w="576" w:type="dxa"/>
          </w:tcPr>
          <w:p w14:paraId="54A9E2BC" w14:textId="77777777" w:rsidR="003D52C5" w:rsidRDefault="003D52C5" w:rsidP="00316D81">
            <w:pPr>
              <w:jc w:val="center"/>
            </w:pPr>
            <w:r>
              <w:rPr>
                <w:rFonts w:ascii="Arial" w:hAnsi="Arial"/>
                <w:sz w:val="15"/>
              </w:rPr>
              <w:t>116</w:t>
            </w:r>
          </w:p>
        </w:tc>
        <w:tc>
          <w:tcPr>
            <w:tcW w:w="7848" w:type="dxa"/>
          </w:tcPr>
          <w:p w14:paraId="146C3A83" w14:textId="657A69A7" w:rsidR="003D52C5" w:rsidRDefault="003D52C5" w:rsidP="00316D81">
            <w:r>
              <w:rPr>
                <w:rFonts w:ascii="Arial" w:hAnsi="Arial"/>
                <w:sz w:val="14"/>
              </w:rPr>
              <w:t xml:space="preserve">Tafesse, W., Aguilar, M., Sayed, S. </w:t>
            </w:r>
            <w:r w:rsidR="009F354A">
              <w:rPr>
                <w:rFonts w:ascii="Arial" w:hAnsi="Arial"/>
                <w:sz w:val="14"/>
              </w:rPr>
              <w:t>and</w:t>
            </w:r>
            <w:r>
              <w:rPr>
                <w:rFonts w:ascii="Arial" w:hAnsi="Arial"/>
                <w:sz w:val="14"/>
              </w:rPr>
              <w:t xml:space="preserve"> Sandhu, M. (2026). ‘Stakeholders’ discourse on generative AI in higher education: Insights from topic modelling and sentiment analysis’, PLOS ONE, 21(7), e0353685. </w:t>
            </w:r>
            <w:r w:rsidR="0028539F">
              <w:rPr>
                <w:rFonts w:ascii="Arial" w:hAnsi="Arial"/>
                <w:sz w:val="14"/>
              </w:rPr>
              <w:t>DOI</w:t>
            </w:r>
            <w:r>
              <w:rPr>
                <w:rFonts w:ascii="Arial" w:hAnsi="Arial"/>
                <w:sz w:val="14"/>
              </w:rPr>
              <w:t>: 10.1371/journal.pone.0353685.</w:t>
            </w:r>
          </w:p>
        </w:tc>
        <w:tc>
          <w:tcPr>
            <w:tcW w:w="792" w:type="dxa"/>
          </w:tcPr>
          <w:p w14:paraId="170D82DE" w14:textId="77777777" w:rsidR="003D52C5" w:rsidRDefault="003D52C5" w:rsidP="00316D81">
            <w:pPr>
              <w:jc w:val="center"/>
            </w:pPr>
            <w:r>
              <w:rPr>
                <w:rFonts w:ascii="Arial" w:hAnsi="Arial"/>
                <w:sz w:val="15"/>
              </w:rPr>
              <w:t>2026</w:t>
            </w:r>
          </w:p>
        </w:tc>
        <w:tc>
          <w:tcPr>
            <w:tcW w:w="3528" w:type="dxa"/>
          </w:tcPr>
          <w:p w14:paraId="7C6238DD" w14:textId="77777777" w:rsidR="003D52C5" w:rsidRDefault="003D52C5" w:rsidP="00316D81">
            <w:r>
              <w:rPr>
                <w:rFonts w:ascii="Arial" w:hAnsi="Arial"/>
                <w:sz w:val="14"/>
              </w:rPr>
              <w:t>10.1371/journal.pone.0353685</w:t>
            </w:r>
          </w:p>
        </w:tc>
        <w:tc>
          <w:tcPr>
            <w:tcW w:w="3384" w:type="dxa"/>
          </w:tcPr>
          <w:p w14:paraId="5F2C7BA8"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632C648E" w14:textId="77777777" w:rsidTr="00316D81">
        <w:trPr>
          <w:jc w:val="center"/>
        </w:trPr>
        <w:tc>
          <w:tcPr>
            <w:tcW w:w="576" w:type="dxa"/>
          </w:tcPr>
          <w:p w14:paraId="74756879" w14:textId="77777777" w:rsidR="003D52C5" w:rsidRDefault="003D52C5" w:rsidP="00316D81">
            <w:pPr>
              <w:jc w:val="center"/>
            </w:pPr>
            <w:r>
              <w:rPr>
                <w:rFonts w:ascii="Arial" w:hAnsi="Arial"/>
                <w:sz w:val="15"/>
              </w:rPr>
              <w:t>117</w:t>
            </w:r>
          </w:p>
        </w:tc>
        <w:tc>
          <w:tcPr>
            <w:tcW w:w="7848" w:type="dxa"/>
          </w:tcPr>
          <w:p w14:paraId="5735D208" w14:textId="7F982649" w:rsidR="003D52C5" w:rsidRDefault="003D52C5" w:rsidP="00316D81">
            <w:r>
              <w:rPr>
                <w:rFonts w:ascii="Arial" w:hAnsi="Arial"/>
                <w:sz w:val="14"/>
              </w:rPr>
              <w:t xml:space="preserve">Teece, D., Pisano, G. </w:t>
            </w:r>
            <w:r w:rsidR="009F354A">
              <w:rPr>
                <w:rFonts w:ascii="Arial" w:hAnsi="Arial"/>
                <w:sz w:val="14"/>
              </w:rPr>
              <w:t>and</w:t>
            </w:r>
            <w:r>
              <w:rPr>
                <w:rFonts w:ascii="Arial" w:hAnsi="Arial"/>
                <w:sz w:val="14"/>
              </w:rPr>
              <w:t xml:space="preserve"> Shuen, A. (1997). ‘Dynamic capabilities and strategic management’, Strategic Management Journal, 18(7), pp. 509–533. </w:t>
            </w:r>
            <w:r w:rsidR="0028539F">
              <w:rPr>
                <w:rFonts w:ascii="Arial" w:hAnsi="Arial"/>
                <w:sz w:val="14"/>
              </w:rPr>
              <w:t>DOI</w:t>
            </w:r>
            <w:r>
              <w:rPr>
                <w:rFonts w:ascii="Arial" w:hAnsi="Arial"/>
                <w:sz w:val="14"/>
              </w:rPr>
              <w:t>: 10.1002/(SICI)1097-0266(199708)18:7&lt;509::AID-SMJ882&gt;3.0.CO;2-Z.</w:t>
            </w:r>
          </w:p>
        </w:tc>
        <w:tc>
          <w:tcPr>
            <w:tcW w:w="792" w:type="dxa"/>
          </w:tcPr>
          <w:p w14:paraId="46C76249" w14:textId="77777777" w:rsidR="003D52C5" w:rsidRDefault="003D52C5" w:rsidP="00316D81">
            <w:pPr>
              <w:jc w:val="center"/>
            </w:pPr>
            <w:r>
              <w:rPr>
                <w:rFonts w:ascii="Arial" w:hAnsi="Arial"/>
                <w:sz w:val="15"/>
              </w:rPr>
              <w:t>1997</w:t>
            </w:r>
          </w:p>
        </w:tc>
        <w:tc>
          <w:tcPr>
            <w:tcW w:w="3528" w:type="dxa"/>
          </w:tcPr>
          <w:p w14:paraId="6A125B24" w14:textId="77777777" w:rsidR="003D52C5" w:rsidRDefault="003D52C5" w:rsidP="00316D81">
            <w:r>
              <w:rPr>
                <w:rFonts w:ascii="Arial" w:hAnsi="Arial"/>
                <w:sz w:val="14"/>
              </w:rPr>
              <w:t>10.1002/(SICI)1097-0266(199708)18:7&lt;509::AID-SMJ882&gt;3.0.CO;2-Z</w:t>
            </w:r>
          </w:p>
        </w:tc>
        <w:tc>
          <w:tcPr>
            <w:tcW w:w="3384" w:type="dxa"/>
          </w:tcPr>
          <w:p w14:paraId="5D3F5F00" w14:textId="77777777" w:rsidR="003D52C5" w:rsidRDefault="003D52C5" w:rsidP="00316D81">
            <w:r>
              <w:rPr>
                <w:rFonts w:ascii="Arial" w:hAnsi="Arial"/>
                <w:sz w:val="15"/>
              </w:rPr>
              <w:t>Provides theoretical support for strategic management, organisational capability, institutional pressures and the proposed SGM.</w:t>
            </w:r>
          </w:p>
        </w:tc>
      </w:tr>
      <w:tr w:rsidR="003D52C5" w14:paraId="7BA31926" w14:textId="77777777" w:rsidTr="00316D81">
        <w:trPr>
          <w:jc w:val="center"/>
        </w:trPr>
        <w:tc>
          <w:tcPr>
            <w:tcW w:w="576" w:type="dxa"/>
          </w:tcPr>
          <w:p w14:paraId="391A8875" w14:textId="77777777" w:rsidR="003D52C5" w:rsidRDefault="003D52C5" w:rsidP="00316D81">
            <w:pPr>
              <w:jc w:val="center"/>
            </w:pPr>
            <w:r>
              <w:rPr>
                <w:rFonts w:ascii="Arial" w:hAnsi="Arial"/>
                <w:sz w:val="15"/>
              </w:rPr>
              <w:t>118</w:t>
            </w:r>
          </w:p>
        </w:tc>
        <w:tc>
          <w:tcPr>
            <w:tcW w:w="7848" w:type="dxa"/>
          </w:tcPr>
          <w:p w14:paraId="49F1C76C" w14:textId="5BD39E67" w:rsidR="003D52C5" w:rsidRDefault="003D52C5" w:rsidP="00316D81">
            <w:r>
              <w:rPr>
                <w:rFonts w:ascii="Arial" w:hAnsi="Arial"/>
                <w:sz w:val="14"/>
              </w:rPr>
              <w:t xml:space="preserve">Temper, M., Tjoa, S., </w:t>
            </w:r>
            <w:r w:rsidR="009F354A">
              <w:rPr>
                <w:rFonts w:ascii="Arial" w:hAnsi="Arial"/>
                <w:sz w:val="14"/>
              </w:rPr>
              <w:t>and</w:t>
            </w:r>
            <w:r>
              <w:rPr>
                <w:rFonts w:ascii="Arial" w:hAnsi="Arial"/>
                <w:sz w:val="14"/>
              </w:rPr>
              <w:t xml:space="preserve"> David, L. (2025) ‘Higher Education Act for AI (HEAT-AI): a framework to regulate the usage of AI in higher education institutions’, Frontiers in Education, 10, 1505370. </w:t>
            </w:r>
            <w:r w:rsidR="0028539F">
              <w:rPr>
                <w:rFonts w:ascii="Arial" w:hAnsi="Arial"/>
                <w:sz w:val="14"/>
              </w:rPr>
              <w:t>DOI</w:t>
            </w:r>
            <w:r>
              <w:rPr>
                <w:rFonts w:ascii="Arial" w:hAnsi="Arial"/>
                <w:sz w:val="14"/>
              </w:rPr>
              <w:t>: 10.3389/feduc.2025.1505370.</w:t>
            </w:r>
          </w:p>
        </w:tc>
        <w:tc>
          <w:tcPr>
            <w:tcW w:w="792" w:type="dxa"/>
          </w:tcPr>
          <w:p w14:paraId="5B7C48AF" w14:textId="77777777" w:rsidR="003D52C5" w:rsidRDefault="003D52C5" w:rsidP="00316D81">
            <w:pPr>
              <w:jc w:val="center"/>
            </w:pPr>
            <w:r>
              <w:rPr>
                <w:rFonts w:ascii="Arial" w:hAnsi="Arial"/>
                <w:sz w:val="15"/>
              </w:rPr>
              <w:t>2025</w:t>
            </w:r>
          </w:p>
        </w:tc>
        <w:tc>
          <w:tcPr>
            <w:tcW w:w="3528" w:type="dxa"/>
          </w:tcPr>
          <w:p w14:paraId="49FD423B" w14:textId="77777777" w:rsidR="003D52C5" w:rsidRDefault="003D52C5" w:rsidP="00316D81">
            <w:r>
              <w:rPr>
                <w:rFonts w:ascii="Arial" w:hAnsi="Arial"/>
                <w:sz w:val="14"/>
              </w:rPr>
              <w:t>10.3389/feduc.2025.1505370</w:t>
            </w:r>
          </w:p>
        </w:tc>
        <w:tc>
          <w:tcPr>
            <w:tcW w:w="3384" w:type="dxa"/>
          </w:tcPr>
          <w:p w14:paraId="13E2B76A"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4DEF190F" w14:textId="77777777" w:rsidTr="00316D81">
        <w:trPr>
          <w:jc w:val="center"/>
        </w:trPr>
        <w:tc>
          <w:tcPr>
            <w:tcW w:w="576" w:type="dxa"/>
          </w:tcPr>
          <w:p w14:paraId="3B08B71F" w14:textId="77777777" w:rsidR="003D52C5" w:rsidRDefault="003D52C5" w:rsidP="00316D81">
            <w:pPr>
              <w:jc w:val="center"/>
            </w:pPr>
            <w:r>
              <w:rPr>
                <w:rFonts w:ascii="Arial" w:hAnsi="Arial"/>
                <w:sz w:val="15"/>
              </w:rPr>
              <w:t>119</w:t>
            </w:r>
          </w:p>
        </w:tc>
        <w:tc>
          <w:tcPr>
            <w:tcW w:w="7848" w:type="dxa"/>
          </w:tcPr>
          <w:p w14:paraId="586604E4" w14:textId="0DDD0B60" w:rsidR="003D52C5" w:rsidRDefault="003D52C5" w:rsidP="00316D81">
            <w:r>
              <w:rPr>
                <w:rFonts w:ascii="Arial" w:hAnsi="Arial"/>
                <w:sz w:val="14"/>
              </w:rPr>
              <w:t xml:space="preserve">Thaldar, D., Botes, M., Badru, A., Chenia, H., Duma, S., Dlamini, S.B., Amin, N., Hugo, W., Govender, R. </w:t>
            </w:r>
            <w:r w:rsidR="009F354A">
              <w:rPr>
                <w:rFonts w:ascii="Arial" w:hAnsi="Arial"/>
                <w:sz w:val="14"/>
              </w:rPr>
              <w:t>and</w:t>
            </w:r>
            <w:r>
              <w:rPr>
                <w:rFonts w:ascii="Arial" w:hAnsi="Arial"/>
                <w:sz w:val="14"/>
              </w:rPr>
              <w:t xml:space="preserve"> Bruce-Brand, J., Vosloo, A., Koorbanally, N. </w:t>
            </w:r>
            <w:r w:rsidR="009F354A">
              <w:rPr>
                <w:rFonts w:ascii="Arial" w:hAnsi="Arial"/>
                <w:sz w:val="14"/>
              </w:rPr>
              <w:t>and</w:t>
            </w:r>
            <w:r>
              <w:rPr>
                <w:rFonts w:ascii="Arial" w:hAnsi="Arial"/>
                <w:sz w:val="14"/>
              </w:rPr>
              <w:t xml:space="preserve"> Chuturgoon, A. (2025). ‘Generative AI governance in higher education: a case study from Africa’, Frontiers in Political Science, 7, 1666661. </w:t>
            </w:r>
            <w:r w:rsidR="0028539F">
              <w:rPr>
                <w:rFonts w:ascii="Arial" w:hAnsi="Arial"/>
                <w:sz w:val="14"/>
              </w:rPr>
              <w:t>DOI</w:t>
            </w:r>
            <w:r>
              <w:rPr>
                <w:rFonts w:ascii="Arial" w:hAnsi="Arial"/>
                <w:sz w:val="14"/>
              </w:rPr>
              <w:t>: 10.3389/fpos.2025.1666661</w:t>
            </w:r>
          </w:p>
        </w:tc>
        <w:tc>
          <w:tcPr>
            <w:tcW w:w="792" w:type="dxa"/>
          </w:tcPr>
          <w:p w14:paraId="5CD6767E" w14:textId="77777777" w:rsidR="003D52C5" w:rsidRDefault="003D52C5" w:rsidP="00316D81">
            <w:pPr>
              <w:jc w:val="center"/>
            </w:pPr>
            <w:r>
              <w:rPr>
                <w:rFonts w:ascii="Arial" w:hAnsi="Arial"/>
                <w:sz w:val="15"/>
              </w:rPr>
              <w:t>2025</w:t>
            </w:r>
          </w:p>
        </w:tc>
        <w:tc>
          <w:tcPr>
            <w:tcW w:w="3528" w:type="dxa"/>
          </w:tcPr>
          <w:p w14:paraId="2A8CAD8C" w14:textId="77777777" w:rsidR="003D52C5" w:rsidRDefault="003D52C5" w:rsidP="00316D81">
            <w:r>
              <w:rPr>
                <w:rFonts w:ascii="Arial" w:hAnsi="Arial"/>
                <w:sz w:val="14"/>
              </w:rPr>
              <w:t>10.3389/fpos.2025.1666661</w:t>
            </w:r>
          </w:p>
        </w:tc>
        <w:tc>
          <w:tcPr>
            <w:tcW w:w="3384" w:type="dxa"/>
          </w:tcPr>
          <w:p w14:paraId="71EA8B4E"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5595E14A" w14:textId="77777777" w:rsidTr="00316D81">
        <w:trPr>
          <w:jc w:val="center"/>
        </w:trPr>
        <w:tc>
          <w:tcPr>
            <w:tcW w:w="576" w:type="dxa"/>
          </w:tcPr>
          <w:p w14:paraId="68A139AD" w14:textId="77777777" w:rsidR="003D52C5" w:rsidRDefault="003D52C5" w:rsidP="00316D81">
            <w:pPr>
              <w:jc w:val="center"/>
            </w:pPr>
            <w:r>
              <w:rPr>
                <w:rFonts w:ascii="Arial" w:hAnsi="Arial"/>
                <w:sz w:val="15"/>
              </w:rPr>
              <w:t>120</w:t>
            </w:r>
          </w:p>
        </w:tc>
        <w:tc>
          <w:tcPr>
            <w:tcW w:w="7848" w:type="dxa"/>
          </w:tcPr>
          <w:p w14:paraId="0C2E8AE7" w14:textId="1F691125" w:rsidR="003D52C5" w:rsidRDefault="003D52C5" w:rsidP="00316D81">
            <w:r>
              <w:rPr>
                <w:rFonts w:ascii="Arial" w:hAnsi="Arial"/>
                <w:sz w:val="14"/>
              </w:rPr>
              <w:t xml:space="preserve">Thomas, L. (2024). ‘The Researcher’s Gaze: Positionality and Reflexivity’, </w:t>
            </w:r>
            <w:r w:rsidR="0028539F">
              <w:rPr>
                <w:rFonts w:ascii="Arial" w:hAnsi="Arial"/>
                <w:sz w:val="14"/>
              </w:rPr>
              <w:t>DOI</w:t>
            </w:r>
            <w:r>
              <w:rPr>
                <w:rFonts w:ascii="Arial" w:hAnsi="Arial"/>
                <w:sz w:val="14"/>
              </w:rPr>
              <w:t xml:space="preserve">ng Good Qualitative Research. Oxford: Oxford University Press, pp. 23–36. </w:t>
            </w:r>
            <w:r w:rsidR="0028539F">
              <w:rPr>
                <w:rFonts w:ascii="Arial" w:hAnsi="Arial"/>
                <w:sz w:val="14"/>
              </w:rPr>
              <w:t>DOI</w:t>
            </w:r>
            <w:r>
              <w:rPr>
                <w:rFonts w:ascii="Arial" w:hAnsi="Arial"/>
                <w:sz w:val="14"/>
              </w:rPr>
              <w:t>: 10.1093/oso/9780197633137.003.0003.</w:t>
            </w:r>
          </w:p>
        </w:tc>
        <w:tc>
          <w:tcPr>
            <w:tcW w:w="792" w:type="dxa"/>
          </w:tcPr>
          <w:p w14:paraId="7093665B" w14:textId="77777777" w:rsidR="003D52C5" w:rsidRDefault="003D52C5" w:rsidP="00316D81">
            <w:pPr>
              <w:jc w:val="center"/>
            </w:pPr>
            <w:r>
              <w:rPr>
                <w:rFonts w:ascii="Arial" w:hAnsi="Arial"/>
                <w:sz w:val="15"/>
              </w:rPr>
              <w:t>2024</w:t>
            </w:r>
          </w:p>
        </w:tc>
        <w:tc>
          <w:tcPr>
            <w:tcW w:w="3528" w:type="dxa"/>
          </w:tcPr>
          <w:p w14:paraId="61CA91DD" w14:textId="77777777" w:rsidR="003D52C5" w:rsidRDefault="003D52C5" w:rsidP="00316D81">
            <w:r>
              <w:rPr>
                <w:rFonts w:ascii="Arial" w:hAnsi="Arial"/>
                <w:sz w:val="14"/>
              </w:rPr>
              <w:t>10.1093/oso/9780197633137.003.0003</w:t>
            </w:r>
          </w:p>
        </w:tc>
        <w:tc>
          <w:tcPr>
            <w:tcW w:w="3384" w:type="dxa"/>
          </w:tcPr>
          <w:p w14:paraId="334ABF33"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5153AA58" w14:textId="77777777" w:rsidTr="00316D81">
        <w:trPr>
          <w:jc w:val="center"/>
        </w:trPr>
        <w:tc>
          <w:tcPr>
            <w:tcW w:w="576" w:type="dxa"/>
          </w:tcPr>
          <w:p w14:paraId="71F0C4F2" w14:textId="77777777" w:rsidR="003D52C5" w:rsidRDefault="003D52C5" w:rsidP="00316D81">
            <w:pPr>
              <w:jc w:val="center"/>
            </w:pPr>
            <w:r>
              <w:rPr>
                <w:rFonts w:ascii="Arial" w:hAnsi="Arial"/>
                <w:sz w:val="15"/>
              </w:rPr>
              <w:t>121</w:t>
            </w:r>
          </w:p>
        </w:tc>
        <w:tc>
          <w:tcPr>
            <w:tcW w:w="7848" w:type="dxa"/>
          </w:tcPr>
          <w:p w14:paraId="3CC07BCA" w14:textId="452669BC" w:rsidR="003D52C5" w:rsidRDefault="003D52C5" w:rsidP="00316D81">
            <w:r>
              <w:rPr>
                <w:rFonts w:ascii="Arial" w:hAnsi="Arial"/>
                <w:sz w:val="14"/>
              </w:rPr>
              <w:t xml:space="preserve">Thomas, J. </w:t>
            </w:r>
            <w:r w:rsidR="009F354A">
              <w:rPr>
                <w:rFonts w:ascii="Arial" w:hAnsi="Arial"/>
                <w:sz w:val="14"/>
              </w:rPr>
              <w:t>and</w:t>
            </w:r>
            <w:r>
              <w:rPr>
                <w:rFonts w:ascii="Arial" w:hAnsi="Arial"/>
                <w:sz w:val="14"/>
              </w:rPr>
              <w:t xml:space="preserve"> Harden, A. (2008). ‘Methods for the thematic synthesis of qualitative research in systematic reviews’, BMC Medical Research Methodology, 8, 45. </w:t>
            </w:r>
            <w:r w:rsidR="0028539F">
              <w:rPr>
                <w:rFonts w:ascii="Arial" w:hAnsi="Arial"/>
                <w:sz w:val="14"/>
              </w:rPr>
              <w:t>DOI</w:t>
            </w:r>
            <w:r>
              <w:rPr>
                <w:rFonts w:ascii="Arial" w:hAnsi="Arial"/>
                <w:sz w:val="14"/>
              </w:rPr>
              <w:t>: 10.1186/1471-2288-8-45.</w:t>
            </w:r>
          </w:p>
        </w:tc>
        <w:tc>
          <w:tcPr>
            <w:tcW w:w="792" w:type="dxa"/>
          </w:tcPr>
          <w:p w14:paraId="3F59C23C" w14:textId="77777777" w:rsidR="003D52C5" w:rsidRDefault="003D52C5" w:rsidP="00316D81">
            <w:pPr>
              <w:jc w:val="center"/>
            </w:pPr>
            <w:r>
              <w:rPr>
                <w:rFonts w:ascii="Arial" w:hAnsi="Arial"/>
                <w:sz w:val="15"/>
              </w:rPr>
              <w:t>2008</w:t>
            </w:r>
          </w:p>
        </w:tc>
        <w:tc>
          <w:tcPr>
            <w:tcW w:w="3528" w:type="dxa"/>
          </w:tcPr>
          <w:p w14:paraId="717D4711" w14:textId="77777777" w:rsidR="003D52C5" w:rsidRDefault="003D52C5" w:rsidP="00316D81">
            <w:r>
              <w:rPr>
                <w:rFonts w:ascii="Arial" w:hAnsi="Arial"/>
                <w:sz w:val="14"/>
              </w:rPr>
              <w:t>10.1186/1471-2288-8-45</w:t>
            </w:r>
          </w:p>
        </w:tc>
        <w:tc>
          <w:tcPr>
            <w:tcW w:w="3384" w:type="dxa"/>
          </w:tcPr>
          <w:p w14:paraId="6E1C5E1F"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01B81582" w14:textId="77777777" w:rsidTr="00316D81">
        <w:trPr>
          <w:jc w:val="center"/>
        </w:trPr>
        <w:tc>
          <w:tcPr>
            <w:tcW w:w="576" w:type="dxa"/>
          </w:tcPr>
          <w:p w14:paraId="11BADF24" w14:textId="77777777" w:rsidR="003D52C5" w:rsidRDefault="003D52C5" w:rsidP="00316D81">
            <w:pPr>
              <w:jc w:val="center"/>
            </w:pPr>
            <w:r>
              <w:rPr>
                <w:rFonts w:ascii="Arial" w:hAnsi="Arial"/>
                <w:sz w:val="15"/>
              </w:rPr>
              <w:t>122</w:t>
            </w:r>
          </w:p>
        </w:tc>
        <w:tc>
          <w:tcPr>
            <w:tcW w:w="7848" w:type="dxa"/>
          </w:tcPr>
          <w:p w14:paraId="490F3481" w14:textId="0BFE013D" w:rsidR="003D52C5" w:rsidRDefault="003D52C5" w:rsidP="00316D81">
            <w:r>
              <w:rPr>
                <w:rFonts w:ascii="Arial" w:hAnsi="Arial"/>
                <w:sz w:val="14"/>
              </w:rPr>
              <w:t xml:space="preserve">Veale, M. </w:t>
            </w:r>
            <w:r w:rsidR="009F354A">
              <w:rPr>
                <w:rFonts w:ascii="Arial" w:hAnsi="Arial"/>
                <w:sz w:val="14"/>
              </w:rPr>
              <w:t>and</w:t>
            </w:r>
            <w:r>
              <w:rPr>
                <w:rFonts w:ascii="Arial" w:hAnsi="Arial"/>
                <w:sz w:val="14"/>
              </w:rPr>
              <w:t xml:space="preserve"> Zuiderveen Borgesius, F. (2021). ‘Demystifying the Draft EU Artificial Intelligence Act—Analysing the good, the bad, and the unclear elements of the proposed approach’, Computer Law Review International, 22(4), pp. 97–112. </w:t>
            </w:r>
            <w:r w:rsidR="0028539F">
              <w:rPr>
                <w:rFonts w:ascii="Arial" w:hAnsi="Arial"/>
                <w:sz w:val="14"/>
              </w:rPr>
              <w:t>DOI</w:t>
            </w:r>
            <w:r>
              <w:rPr>
                <w:rFonts w:ascii="Arial" w:hAnsi="Arial"/>
                <w:sz w:val="14"/>
              </w:rPr>
              <w:t>: 10.9785/cri-2021-220402.</w:t>
            </w:r>
          </w:p>
        </w:tc>
        <w:tc>
          <w:tcPr>
            <w:tcW w:w="792" w:type="dxa"/>
          </w:tcPr>
          <w:p w14:paraId="675E1D31" w14:textId="77777777" w:rsidR="003D52C5" w:rsidRDefault="003D52C5" w:rsidP="00316D81">
            <w:pPr>
              <w:jc w:val="center"/>
            </w:pPr>
            <w:r>
              <w:rPr>
                <w:rFonts w:ascii="Arial" w:hAnsi="Arial"/>
                <w:sz w:val="15"/>
              </w:rPr>
              <w:t>2021</w:t>
            </w:r>
          </w:p>
        </w:tc>
        <w:tc>
          <w:tcPr>
            <w:tcW w:w="3528" w:type="dxa"/>
          </w:tcPr>
          <w:p w14:paraId="2092C2F6" w14:textId="77777777" w:rsidR="003D52C5" w:rsidRDefault="003D52C5" w:rsidP="00316D81">
            <w:r>
              <w:rPr>
                <w:rFonts w:ascii="Arial" w:hAnsi="Arial"/>
                <w:sz w:val="14"/>
              </w:rPr>
              <w:t>10.9785/cri-2021-220402</w:t>
            </w:r>
          </w:p>
        </w:tc>
        <w:tc>
          <w:tcPr>
            <w:tcW w:w="3384" w:type="dxa"/>
          </w:tcPr>
          <w:p w14:paraId="394E08E5"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7B9C575F" w14:textId="77777777" w:rsidTr="00316D81">
        <w:trPr>
          <w:jc w:val="center"/>
        </w:trPr>
        <w:tc>
          <w:tcPr>
            <w:tcW w:w="576" w:type="dxa"/>
          </w:tcPr>
          <w:p w14:paraId="0E1DC750" w14:textId="77777777" w:rsidR="003D52C5" w:rsidRDefault="003D52C5" w:rsidP="00316D81">
            <w:pPr>
              <w:jc w:val="center"/>
            </w:pPr>
            <w:r>
              <w:rPr>
                <w:rFonts w:ascii="Arial" w:hAnsi="Arial"/>
                <w:sz w:val="15"/>
              </w:rPr>
              <w:t>123</w:t>
            </w:r>
          </w:p>
        </w:tc>
        <w:tc>
          <w:tcPr>
            <w:tcW w:w="7848" w:type="dxa"/>
          </w:tcPr>
          <w:p w14:paraId="27740C8D" w14:textId="5F162F4D" w:rsidR="003D52C5" w:rsidRDefault="003D52C5" w:rsidP="00316D81">
            <w:r>
              <w:rPr>
                <w:rFonts w:ascii="Arial" w:hAnsi="Arial"/>
                <w:sz w:val="14"/>
              </w:rPr>
              <w:t xml:space="preserve">Vincent, S. </w:t>
            </w:r>
            <w:r w:rsidR="009F354A">
              <w:rPr>
                <w:rFonts w:ascii="Arial" w:hAnsi="Arial"/>
                <w:sz w:val="14"/>
              </w:rPr>
              <w:t>and</w:t>
            </w:r>
            <w:r>
              <w:rPr>
                <w:rFonts w:ascii="Arial" w:hAnsi="Arial"/>
                <w:sz w:val="14"/>
              </w:rPr>
              <w:t xml:space="preserve"> Wapshott, R. (2014). ‘Critical realism and the organisational case study: A guide to discovering institutional mechanisms’, in Edwards, P.K., O’Mahoney, J. and Vincent, S. (eds.) Studying Organizations Using Critical Realism: A Practical Guide. Oxford: Oxford University Press, pp. 148–167. </w:t>
            </w:r>
            <w:r w:rsidR="0028539F">
              <w:rPr>
                <w:rFonts w:ascii="Arial" w:hAnsi="Arial"/>
                <w:sz w:val="14"/>
              </w:rPr>
              <w:t>DOI</w:t>
            </w:r>
            <w:r>
              <w:rPr>
                <w:rFonts w:ascii="Arial" w:hAnsi="Arial"/>
                <w:sz w:val="14"/>
              </w:rPr>
              <w:t>: 10.1093/acprof:oso/9780199665525.003.0008.</w:t>
            </w:r>
          </w:p>
        </w:tc>
        <w:tc>
          <w:tcPr>
            <w:tcW w:w="792" w:type="dxa"/>
          </w:tcPr>
          <w:p w14:paraId="2A124874" w14:textId="77777777" w:rsidR="003D52C5" w:rsidRDefault="003D52C5" w:rsidP="00316D81">
            <w:pPr>
              <w:jc w:val="center"/>
            </w:pPr>
            <w:r>
              <w:rPr>
                <w:rFonts w:ascii="Arial" w:hAnsi="Arial"/>
                <w:sz w:val="15"/>
              </w:rPr>
              <w:t>2014</w:t>
            </w:r>
          </w:p>
        </w:tc>
        <w:tc>
          <w:tcPr>
            <w:tcW w:w="3528" w:type="dxa"/>
          </w:tcPr>
          <w:p w14:paraId="1A724BB5" w14:textId="77777777" w:rsidR="003D52C5" w:rsidRDefault="003D52C5" w:rsidP="00316D81">
            <w:r>
              <w:rPr>
                <w:rFonts w:ascii="Arial" w:hAnsi="Arial"/>
                <w:sz w:val="14"/>
              </w:rPr>
              <w:t>10.1093/acprof:oso/9780199665525.003.0008</w:t>
            </w:r>
          </w:p>
        </w:tc>
        <w:tc>
          <w:tcPr>
            <w:tcW w:w="3384" w:type="dxa"/>
          </w:tcPr>
          <w:p w14:paraId="2DCF0FC2"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660796C8" w14:textId="77777777" w:rsidTr="00316D81">
        <w:trPr>
          <w:jc w:val="center"/>
        </w:trPr>
        <w:tc>
          <w:tcPr>
            <w:tcW w:w="576" w:type="dxa"/>
          </w:tcPr>
          <w:p w14:paraId="37D0C5CF" w14:textId="77777777" w:rsidR="003D52C5" w:rsidRDefault="003D52C5" w:rsidP="00316D81">
            <w:pPr>
              <w:jc w:val="center"/>
            </w:pPr>
            <w:r>
              <w:rPr>
                <w:rFonts w:ascii="Arial" w:hAnsi="Arial"/>
                <w:sz w:val="15"/>
              </w:rPr>
              <w:t>124</w:t>
            </w:r>
          </w:p>
        </w:tc>
        <w:tc>
          <w:tcPr>
            <w:tcW w:w="7848" w:type="dxa"/>
          </w:tcPr>
          <w:p w14:paraId="5F41580F" w14:textId="2D928752" w:rsidR="003D52C5" w:rsidRDefault="003D52C5" w:rsidP="00316D81">
            <w:r>
              <w:rPr>
                <w:rFonts w:ascii="Arial" w:hAnsi="Arial"/>
                <w:sz w:val="14"/>
              </w:rPr>
              <w:t xml:space="preserve">Walhidayah, I., </w:t>
            </w:r>
            <w:r w:rsidR="009F354A">
              <w:rPr>
                <w:rFonts w:ascii="Arial" w:hAnsi="Arial"/>
                <w:sz w:val="14"/>
              </w:rPr>
              <w:t>and</w:t>
            </w:r>
            <w:r>
              <w:rPr>
                <w:rFonts w:ascii="Arial" w:hAnsi="Arial"/>
                <w:sz w:val="14"/>
              </w:rPr>
              <w:t xml:space="preserve"> Surendro, K. (2025). ‘Development of an AI governance model for higher education using the Capability Maturity Model Integration (CMMI)’. Jurnal Teknik Informatika, 6(4). </w:t>
            </w:r>
            <w:r w:rsidR="0028539F">
              <w:rPr>
                <w:rFonts w:ascii="Arial" w:hAnsi="Arial"/>
                <w:sz w:val="14"/>
              </w:rPr>
              <w:t>DOI</w:t>
            </w:r>
            <w:r>
              <w:rPr>
                <w:rFonts w:ascii="Arial" w:hAnsi="Arial"/>
                <w:sz w:val="14"/>
              </w:rPr>
              <w:t>: 10.52436/1.jutif.2025.6.4.4709.</w:t>
            </w:r>
          </w:p>
        </w:tc>
        <w:tc>
          <w:tcPr>
            <w:tcW w:w="792" w:type="dxa"/>
          </w:tcPr>
          <w:p w14:paraId="68DC2AB0" w14:textId="77777777" w:rsidR="003D52C5" w:rsidRDefault="003D52C5" w:rsidP="00316D81">
            <w:pPr>
              <w:jc w:val="center"/>
            </w:pPr>
            <w:r>
              <w:rPr>
                <w:rFonts w:ascii="Arial" w:hAnsi="Arial"/>
                <w:sz w:val="15"/>
              </w:rPr>
              <w:t>2025</w:t>
            </w:r>
          </w:p>
        </w:tc>
        <w:tc>
          <w:tcPr>
            <w:tcW w:w="3528" w:type="dxa"/>
          </w:tcPr>
          <w:p w14:paraId="615E89B6" w14:textId="77777777" w:rsidR="003D52C5" w:rsidRDefault="003D52C5" w:rsidP="00316D81">
            <w:r>
              <w:rPr>
                <w:rFonts w:ascii="Arial" w:hAnsi="Arial"/>
                <w:sz w:val="14"/>
              </w:rPr>
              <w:t>10.52436/1.jutif.2025.6.4.4709</w:t>
            </w:r>
          </w:p>
        </w:tc>
        <w:tc>
          <w:tcPr>
            <w:tcW w:w="3384" w:type="dxa"/>
          </w:tcPr>
          <w:p w14:paraId="02D5FAEA"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18BD2B26" w14:textId="77777777" w:rsidTr="00316D81">
        <w:trPr>
          <w:jc w:val="center"/>
        </w:trPr>
        <w:tc>
          <w:tcPr>
            <w:tcW w:w="576" w:type="dxa"/>
          </w:tcPr>
          <w:p w14:paraId="4C306434" w14:textId="77777777" w:rsidR="003D52C5" w:rsidRDefault="003D52C5" w:rsidP="00316D81">
            <w:pPr>
              <w:jc w:val="center"/>
            </w:pPr>
            <w:r>
              <w:rPr>
                <w:rFonts w:ascii="Arial" w:hAnsi="Arial"/>
                <w:sz w:val="15"/>
              </w:rPr>
              <w:t>125</w:t>
            </w:r>
          </w:p>
        </w:tc>
        <w:tc>
          <w:tcPr>
            <w:tcW w:w="7848" w:type="dxa"/>
          </w:tcPr>
          <w:p w14:paraId="7780FECC" w14:textId="7911F914" w:rsidR="003D52C5" w:rsidRDefault="003D52C5" w:rsidP="00316D81">
            <w:r>
              <w:rPr>
                <w:rFonts w:ascii="Arial" w:hAnsi="Arial"/>
                <w:sz w:val="14"/>
              </w:rPr>
              <w:t xml:space="preserve">Wang, W. (2024). ‘The Global Institutional Governance of AI: A Four-Dimensional Perspective’, International Journal of Digital Law and Governance, 1(1), pp. 1–19. </w:t>
            </w:r>
            <w:r w:rsidR="0028539F">
              <w:rPr>
                <w:rFonts w:ascii="Arial" w:hAnsi="Arial"/>
                <w:sz w:val="14"/>
              </w:rPr>
              <w:t>DOI</w:t>
            </w:r>
            <w:r>
              <w:rPr>
                <w:rFonts w:ascii="Arial" w:hAnsi="Arial"/>
                <w:sz w:val="14"/>
              </w:rPr>
              <w:t>: 10.1515/ijdlg-2024-0004</w:t>
            </w:r>
          </w:p>
        </w:tc>
        <w:tc>
          <w:tcPr>
            <w:tcW w:w="792" w:type="dxa"/>
          </w:tcPr>
          <w:p w14:paraId="2ABBC522" w14:textId="77777777" w:rsidR="003D52C5" w:rsidRDefault="003D52C5" w:rsidP="00316D81">
            <w:pPr>
              <w:jc w:val="center"/>
            </w:pPr>
            <w:r>
              <w:rPr>
                <w:rFonts w:ascii="Arial" w:hAnsi="Arial"/>
                <w:sz w:val="15"/>
              </w:rPr>
              <w:t>2024</w:t>
            </w:r>
          </w:p>
        </w:tc>
        <w:tc>
          <w:tcPr>
            <w:tcW w:w="3528" w:type="dxa"/>
          </w:tcPr>
          <w:p w14:paraId="008667EC" w14:textId="77777777" w:rsidR="003D52C5" w:rsidRDefault="003D52C5" w:rsidP="00316D81">
            <w:r>
              <w:rPr>
                <w:rFonts w:ascii="Arial" w:hAnsi="Arial"/>
                <w:sz w:val="14"/>
              </w:rPr>
              <w:t>10.1515/ijdlg-2024-0004</w:t>
            </w:r>
          </w:p>
        </w:tc>
        <w:tc>
          <w:tcPr>
            <w:tcW w:w="3384" w:type="dxa"/>
          </w:tcPr>
          <w:p w14:paraId="3F4D6F8C" w14:textId="77777777" w:rsidR="003D52C5" w:rsidRDefault="003D52C5" w:rsidP="00316D81">
            <w:r>
              <w:rPr>
                <w:rFonts w:ascii="Arial" w:hAnsi="Arial"/>
                <w:sz w:val="15"/>
              </w:rPr>
              <w:t>Provides theoretical support for strategic management, organisational capability, institutional pressures and the proposed SGM.</w:t>
            </w:r>
          </w:p>
        </w:tc>
      </w:tr>
      <w:tr w:rsidR="003D52C5" w14:paraId="6D64DC84" w14:textId="77777777" w:rsidTr="00316D81">
        <w:trPr>
          <w:jc w:val="center"/>
        </w:trPr>
        <w:tc>
          <w:tcPr>
            <w:tcW w:w="576" w:type="dxa"/>
          </w:tcPr>
          <w:p w14:paraId="2C2D1537" w14:textId="77777777" w:rsidR="003D52C5" w:rsidRDefault="003D52C5" w:rsidP="00316D81">
            <w:pPr>
              <w:jc w:val="center"/>
            </w:pPr>
            <w:r>
              <w:rPr>
                <w:rFonts w:ascii="Arial" w:hAnsi="Arial"/>
                <w:sz w:val="15"/>
              </w:rPr>
              <w:t>126</w:t>
            </w:r>
          </w:p>
        </w:tc>
        <w:tc>
          <w:tcPr>
            <w:tcW w:w="7848" w:type="dxa"/>
          </w:tcPr>
          <w:p w14:paraId="5893B299" w14:textId="59FF4CE3" w:rsidR="003D52C5" w:rsidRDefault="003D52C5" w:rsidP="00316D81">
            <w:r>
              <w:rPr>
                <w:rFonts w:ascii="Arial" w:hAnsi="Arial"/>
                <w:sz w:val="14"/>
              </w:rPr>
              <w:t xml:space="preserve">Whittle, A. </w:t>
            </w:r>
            <w:r w:rsidR="009F354A">
              <w:rPr>
                <w:rFonts w:ascii="Arial" w:hAnsi="Arial"/>
                <w:sz w:val="14"/>
              </w:rPr>
              <w:t>and</w:t>
            </w:r>
            <w:r>
              <w:rPr>
                <w:rFonts w:ascii="Arial" w:hAnsi="Arial"/>
                <w:sz w:val="14"/>
              </w:rPr>
              <w:t xml:space="preserve"> Reissner, S. (2025). ‘Making Knowledge Claims from Qualitative Interviews: A Typology of Epistemological Modes’, British Journal of Management, 36, pp. 3–16. </w:t>
            </w:r>
            <w:r w:rsidR="0028539F">
              <w:rPr>
                <w:rFonts w:ascii="Arial" w:hAnsi="Arial"/>
                <w:sz w:val="14"/>
              </w:rPr>
              <w:t>DOI</w:t>
            </w:r>
            <w:r>
              <w:rPr>
                <w:rFonts w:ascii="Arial" w:hAnsi="Arial"/>
                <w:sz w:val="14"/>
              </w:rPr>
              <w:t>: 10.1111/1467-8551.12845.</w:t>
            </w:r>
          </w:p>
        </w:tc>
        <w:tc>
          <w:tcPr>
            <w:tcW w:w="792" w:type="dxa"/>
          </w:tcPr>
          <w:p w14:paraId="35378CB2" w14:textId="77777777" w:rsidR="003D52C5" w:rsidRDefault="003D52C5" w:rsidP="00316D81">
            <w:pPr>
              <w:jc w:val="center"/>
            </w:pPr>
            <w:r>
              <w:rPr>
                <w:rFonts w:ascii="Arial" w:hAnsi="Arial"/>
                <w:sz w:val="15"/>
              </w:rPr>
              <w:t>2025</w:t>
            </w:r>
          </w:p>
        </w:tc>
        <w:tc>
          <w:tcPr>
            <w:tcW w:w="3528" w:type="dxa"/>
          </w:tcPr>
          <w:p w14:paraId="2F1D5ED5" w14:textId="77777777" w:rsidR="003D52C5" w:rsidRDefault="003D52C5" w:rsidP="00316D81">
            <w:r>
              <w:rPr>
                <w:rFonts w:ascii="Arial" w:hAnsi="Arial"/>
                <w:sz w:val="14"/>
              </w:rPr>
              <w:t>10.1111/1467-8551.12845</w:t>
            </w:r>
          </w:p>
        </w:tc>
        <w:tc>
          <w:tcPr>
            <w:tcW w:w="3384" w:type="dxa"/>
          </w:tcPr>
          <w:p w14:paraId="14CBE6E0"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15546AD5" w14:textId="77777777" w:rsidTr="00316D81">
        <w:trPr>
          <w:jc w:val="center"/>
        </w:trPr>
        <w:tc>
          <w:tcPr>
            <w:tcW w:w="576" w:type="dxa"/>
          </w:tcPr>
          <w:p w14:paraId="516C962F" w14:textId="77777777" w:rsidR="003D52C5" w:rsidRDefault="003D52C5" w:rsidP="00316D81">
            <w:pPr>
              <w:jc w:val="center"/>
            </w:pPr>
            <w:r>
              <w:rPr>
                <w:rFonts w:ascii="Arial" w:hAnsi="Arial"/>
                <w:sz w:val="15"/>
              </w:rPr>
              <w:t>127</w:t>
            </w:r>
          </w:p>
        </w:tc>
        <w:tc>
          <w:tcPr>
            <w:tcW w:w="7848" w:type="dxa"/>
          </w:tcPr>
          <w:p w14:paraId="4DCA6802" w14:textId="0E61F9C7" w:rsidR="003D52C5" w:rsidRDefault="003D52C5" w:rsidP="00316D81">
            <w:r>
              <w:rPr>
                <w:rFonts w:ascii="Arial" w:hAnsi="Arial"/>
                <w:sz w:val="14"/>
              </w:rPr>
              <w:t>Williams, M. (2000). ‘Interpretivism and Generalisation’, Sociology, 34(2), pp. 209–224.</w:t>
            </w:r>
            <w:r w:rsidR="0028539F">
              <w:rPr>
                <w:rFonts w:ascii="Arial" w:hAnsi="Arial"/>
                <w:sz w:val="14"/>
              </w:rPr>
              <w:t>DOI</w:t>
            </w:r>
            <w:r>
              <w:rPr>
                <w:rFonts w:ascii="Arial" w:hAnsi="Arial"/>
                <w:sz w:val="14"/>
              </w:rPr>
              <w:t>: 10.1177/S0038038500000146</w:t>
            </w:r>
          </w:p>
        </w:tc>
        <w:tc>
          <w:tcPr>
            <w:tcW w:w="792" w:type="dxa"/>
          </w:tcPr>
          <w:p w14:paraId="6904F3E2" w14:textId="77777777" w:rsidR="003D52C5" w:rsidRDefault="003D52C5" w:rsidP="00316D81">
            <w:pPr>
              <w:jc w:val="center"/>
            </w:pPr>
            <w:r>
              <w:rPr>
                <w:rFonts w:ascii="Arial" w:hAnsi="Arial"/>
                <w:sz w:val="15"/>
              </w:rPr>
              <w:t>2000</w:t>
            </w:r>
          </w:p>
        </w:tc>
        <w:tc>
          <w:tcPr>
            <w:tcW w:w="3528" w:type="dxa"/>
          </w:tcPr>
          <w:p w14:paraId="7E0D1929" w14:textId="77777777" w:rsidR="003D52C5" w:rsidRDefault="003D52C5" w:rsidP="00316D81">
            <w:r>
              <w:rPr>
                <w:rFonts w:ascii="Arial" w:hAnsi="Arial"/>
                <w:sz w:val="14"/>
              </w:rPr>
              <w:t>10.1177/S0038038500000146</w:t>
            </w:r>
          </w:p>
        </w:tc>
        <w:tc>
          <w:tcPr>
            <w:tcW w:w="3384" w:type="dxa"/>
          </w:tcPr>
          <w:p w14:paraId="578B47F5" w14:textId="77777777" w:rsidR="003D52C5" w:rsidRDefault="003D52C5" w:rsidP="00316D81">
            <w:r>
              <w:rPr>
                <w:rFonts w:ascii="Arial" w:hAnsi="Arial"/>
                <w:sz w:val="15"/>
              </w:rPr>
              <w:t>Supports the philosophical positioning of the research, particularly ontology, epistemology, interpretation and critical-realist analysis.</w:t>
            </w:r>
          </w:p>
        </w:tc>
      </w:tr>
      <w:tr w:rsidR="003D52C5" w14:paraId="4B1D9F3B" w14:textId="77777777" w:rsidTr="00316D81">
        <w:trPr>
          <w:jc w:val="center"/>
        </w:trPr>
        <w:tc>
          <w:tcPr>
            <w:tcW w:w="576" w:type="dxa"/>
          </w:tcPr>
          <w:p w14:paraId="62932546" w14:textId="77777777" w:rsidR="003D52C5" w:rsidRDefault="003D52C5" w:rsidP="00316D81">
            <w:pPr>
              <w:jc w:val="center"/>
            </w:pPr>
            <w:r>
              <w:rPr>
                <w:rFonts w:ascii="Arial" w:hAnsi="Arial"/>
                <w:sz w:val="15"/>
              </w:rPr>
              <w:t>128</w:t>
            </w:r>
          </w:p>
        </w:tc>
        <w:tc>
          <w:tcPr>
            <w:tcW w:w="7848" w:type="dxa"/>
          </w:tcPr>
          <w:p w14:paraId="4209DB9A" w14:textId="4B7BF329" w:rsidR="003D52C5" w:rsidRDefault="003D52C5" w:rsidP="00316D81">
            <w:r>
              <w:rPr>
                <w:rFonts w:ascii="Arial" w:hAnsi="Arial"/>
                <w:sz w:val="14"/>
              </w:rPr>
              <w:t xml:space="preserve">Williamson, B., </w:t>
            </w:r>
            <w:r w:rsidR="009F354A">
              <w:rPr>
                <w:rFonts w:ascii="Arial" w:hAnsi="Arial"/>
                <w:sz w:val="14"/>
              </w:rPr>
              <w:t>and</w:t>
            </w:r>
            <w:r>
              <w:rPr>
                <w:rFonts w:ascii="Arial" w:hAnsi="Arial"/>
                <w:sz w:val="14"/>
              </w:rPr>
              <w:t xml:space="preserve"> Eynon, R. (2020). "Historical threads, missing links, and future directions in AI in education". Learning, Media and Technology, 45(3), pp. 223–235. </w:t>
            </w:r>
            <w:r w:rsidR="0028539F">
              <w:rPr>
                <w:rFonts w:ascii="Arial" w:hAnsi="Arial"/>
                <w:sz w:val="14"/>
              </w:rPr>
              <w:t>DOI</w:t>
            </w:r>
            <w:r>
              <w:rPr>
                <w:rFonts w:ascii="Arial" w:hAnsi="Arial"/>
                <w:sz w:val="14"/>
              </w:rPr>
              <w:t>: 10.1080/17439884.2020.1798995.</w:t>
            </w:r>
          </w:p>
        </w:tc>
        <w:tc>
          <w:tcPr>
            <w:tcW w:w="792" w:type="dxa"/>
          </w:tcPr>
          <w:p w14:paraId="0F3A6F60" w14:textId="77777777" w:rsidR="003D52C5" w:rsidRDefault="003D52C5" w:rsidP="00316D81">
            <w:pPr>
              <w:jc w:val="center"/>
            </w:pPr>
            <w:r>
              <w:rPr>
                <w:rFonts w:ascii="Arial" w:hAnsi="Arial"/>
                <w:sz w:val="15"/>
              </w:rPr>
              <w:t>2020</w:t>
            </w:r>
          </w:p>
        </w:tc>
        <w:tc>
          <w:tcPr>
            <w:tcW w:w="3528" w:type="dxa"/>
          </w:tcPr>
          <w:p w14:paraId="4FCF73D7" w14:textId="77777777" w:rsidR="003D52C5" w:rsidRDefault="003D52C5" w:rsidP="00316D81">
            <w:r>
              <w:rPr>
                <w:rFonts w:ascii="Arial" w:hAnsi="Arial"/>
                <w:sz w:val="14"/>
              </w:rPr>
              <w:t>10.1080/17439884.2020.1798995</w:t>
            </w:r>
          </w:p>
        </w:tc>
        <w:tc>
          <w:tcPr>
            <w:tcW w:w="3384" w:type="dxa"/>
          </w:tcPr>
          <w:p w14:paraId="649BE142"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7977A1B8" w14:textId="77777777" w:rsidTr="00316D81">
        <w:trPr>
          <w:jc w:val="center"/>
        </w:trPr>
        <w:tc>
          <w:tcPr>
            <w:tcW w:w="576" w:type="dxa"/>
          </w:tcPr>
          <w:p w14:paraId="4A7276BF" w14:textId="77777777" w:rsidR="003D52C5" w:rsidRDefault="003D52C5" w:rsidP="00316D81">
            <w:pPr>
              <w:jc w:val="center"/>
            </w:pPr>
            <w:r>
              <w:rPr>
                <w:rFonts w:ascii="Arial" w:hAnsi="Arial"/>
                <w:sz w:val="15"/>
              </w:rPr>
              <w:t>129</w:t>
            </w:r>
          </w:p>
        </w:tc>
        <w:tc>
          <w:tcPr>
            <w:tcW w:w="7848" w:type="dxa"/>
          </w:tcPr>
          <w:p w14:paraId="24424ED6" w14:textId="54C722A0" w:rsidR="003D52C5" w:rsidRDefault="003D52C5" w:rsidP="00316D81">
            <w:r>
              <w:rPr>
                <w:rFonts w:ascii="Arial" w:hAnsi="Arial"/>
                <w:sz w:val="14"/>
              </w:rPr>
              <w:t xml:space="preserve">Wirtz, B., Weyerer, J. </w:t>
            </w:r>
            <w:r w:rsidR="009F354A">
              <w:rPr>
                <w:rFonts w:ascii="Arial" w:hAnsi="Arial"/>
                <w:sz w:val="14"/>
              </w:rPr>
              <w:t>and</w:t>
            </w:r>
            <w:r>
              <w:rPr>
                <w:rFonts w:ascii="Arial" w:hAnsi="Arial"/>
                <w:sz w:val="14"/>
              </w:rPr>
              <w:t xml:space="preserve"> Sturm, B. (2020). ‘The Dark Sides of Artificial Intelligence: An Integrated AI Governance Framework for Public Administration’, International Journal of Public Administration, 43(9), pp. 818–829. </w:t>
            </w:r>
            <w:r w:rsidR="0028539F">
              <w:rPr>
                <w:rFonts w:ascii="Arial" w:hAnsi="Arial"/>
                <w:sz w:val="14"/>
              </w:rPr>
              <w:t>DOI</w:t>
            </w:r>
            <w:r>
              <w:rPr>
                <w:rFonts w:ascii="Arial" w:hAnsi="Arial"/>
                <w:sz w:val="14"/>
              </w:rPr>
              <w:t>: 10.1080/01900692.2020.1749851</w:t>
            </w:r>
          </w:p>
        </w:tc>
        <w:tc>
          <w:tcPr>
            <w:tcW w:w="792" w:type="dxa"/>
          </w:tcPr>
          <w:p w14:paraId="1ED72C3B" w14:textId="77777777" w:rsidR="003D52C5" w:rsidRDefault="003D52C5" w:rsidP="00316D81">
            <w:pPr>
              <w:jc w:val="center"/>
            </w:pPr>
            <w:r>
              <w:rPr>
                <w:rFonts w:ascii="Arial" w:hAnsi="Arial"/>
                <w:sz w:val="15"/>
              </w:rPr>
              <w:t>2020</w:t>
            </w:r>
          </w:p>
        </w:tc>
        <w:tc>
          <w:tcPr>
            <w:tcW w:w="3528" w:type="dxa"/>
          </w:tcPr>
          <w:p w14:paraId="3FC887A9" w14:textId="77777777" w:rsidR="003D52C5" w:rsidRDefault="003D52C5" w:rsidP="00316D81">
            <w:r>
              <w:rPr>
                <w:rFonts w:ascii="Arial" w:hAnsi="Arial"/>
                <w:sz w:val="14"/>
              </w:rPr>
              <w:t>10.1080/01900692.2020.1749851</w:t>
            </w:r>
          </w:p>
        </w:tc>
        <w:tc>
          <w:tcPr>
            <w:tcW w:w="3384" w:type="dxa"/>
          </w:tcPr>
          <w:p w14:paraId="0B092907" w14:textId="77777777" w:rsidR="003D52C5" w:rsidRDefault="003D52C5" w:rsidP="00316D81">
            <w:r>
              <w:rPr>
                <w:rFonts w:ascii="Arial" w:hAnsi="Arial"/>
                <w:sz w:val="15"/>
              </w:rPr>
              <w:t>Provides conceptual or empirical evidence on AI governance, responsible AI, accountability, regulation and organisational oversight relevant to the SGM.</w:t>
            </w:r>
          </w:p>
        </w:tc>
      </w:tr>
      <w:tr w:rsidR="003D52C5" w14:paraId="5F2C2DE0" w14:textId="77777777" w:rsidTr="00316D81">
        <w:trPr>
          <w:jc w:val="center"/>
        </w:trPr>
        <w:tc>
          <w:tcPr>
            <w:tcW w:w="576" w:type="dxa"/>
          </w:tcPr>
          <w:p w14:paraId="7D84082D" w14:textId="77777777" w:rsidR="003D52C5" w:rsidRDefault="003D52C5" w:rsidP="00316D81">
            <w:pPr>
              <w:jc w:val="center"/>
            </w:pPr>
            <w:r>
              <w:rPr>
                <w:rFonts w:ascii="Arial" w:hAnsi="Arial"/>
                <w:sz w:val="15"/>
              </w:rPr>
              <w:lastRenderedPageBreak/>
              <w:t>130</w:t>
            </w:r>
          </w:p>
        </w:tc>
        <w:tc>
          <w:tcPr>
            <w:tcW w:w="7848" w:type="dxa"/>
          </w:tcPr>
          <w:p w14:paraId="4D3A9BC3" w14:textId="632F9931" w:rsidR="003D52C5" w:rsidRDefault="003D52C5" w:rsidP="00316D81">
            <w:r>
              <w:rPr>
                <w:rFonts w:ascii="Arial" w:hAnsi="Arial"/>
                <w:sz w:val="14"/>
              </w:rPr>
              <w:t xml:space="preserve">Woodworth, J. </w:t>
            </w:r>
            <w:r w:rsidR="009F354A">
              <w:rPr>
                <w:rFonts w:ascii="Arial" w:hAnsi="Arial"/>
                <w:sz w:val="14"/>
              </w:rPr>
              <w:t>and</w:t>
            </w:r>
            <w:r>
              <w:rPr>
                <w:rFonts w:ascii="Arial" w:hAnsi="Arial"/>
                <w:sz w:val="14"/>
              </w:rPr>
              <w:t xml:space="preserve"> Ballantyne, E. (2026). ‘AI policy in higher education: Relational-affective considerations for governance in a Canadian university case study’, American Journal of STEM Education. </w:t>
            </w:r>
            <w:r w:rsidR="0028539F">
              <w:rPr>
                <w:rFonts w:ascii="Arial" w:hAnsi="Arial"/>
                <w:sz w:val="14"/>
              </w:rPr>
              <w:t>DOI</w:t>
            </w:r>
            <w:r>
              <w:rPr>
                <w:rFonts w:ascii="Arial" w:hAnsi="Arial"/>
                <w:sz w:val="14"/>
              </w:rPr>
              <w:t>: 10.32674/ndvc6674.</w:t>
            </w:r>
          </w:p>
        </w:tc>
        <w:tc>
          <w:tcPr>
            <w:tcW w:w="792" w:type="dxa"/>
          </w:tcPr>
          <w:p w14:paraId="5C765397" w14:textId="77777777" w:rsidR="003D52C5" w:rsidRDefault="003D52C5" w:rsidP="00316D81">
            <w:pPr>
              <w:jc w:val="center"/>
            </w:pPr>
            <w:r>
              <w:rPr>
                <w:rFonts w:ascii="Arial" w:hAnsi="Arial"/>
                <w:sz w:val="15"/>
              </w:rPr>
              <w:t>2026</w:t>
            </w:r>
          </w:p>
        </w:tc>
        <w:tc>
          <w:tcPr>
            <w:tcW w:w="3528" w:type="dxa"/>
          </w:tcPr>
          <w:p w14:paraId="4271BA32" w14:textId="77777777" w:rsidR="003D52C5" w:rsidRDefault="003D52C5" w:rsidP="00316D81">
            <w:r>
              <w:rPr>
                <w:rFonts w:ascii="Arial" w:hAnsi="Arial"/>
                <w:sz w:val="14"/>
              </w:rPr>
              <w:t>10.32674/ndvc6674</w:t>
            </w:r>
          </w:p>
        </w:tc>
        <w:tc>
          <w:tcPr>
            <w:tcW w:w="3384" w:type="dxa"/>
          </w:tcPr>
          <w:p w14:paraId="2000F10C"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7B7B2D42" w14:textId="77777777" w:rsidTr="00316D81">
        <w:trPr>
          <w:jc w:val="center"/>
        </w:trPr>
        <w:tc>
          <w:tcPr>
            <w:tcW w:w="576" w:type="dxa"/>
          </w:tcPr>
          <w:p w14:paraId="3CE8E662" w14:textId="77777777" w:rsidR="003D52C5" w:rsidRDefault="003D52C5" w:rsidP="00316D81">
            <w:pPr>
              <w:jc w:val="center"/>
            </w:pPr>
            <w:r>
              <w:rPr>
                <w:rFonts w:ascii="Arial" w:hAnsi="Arial"/>
                <w:sz w:val="15"/>
              </w:rPr>
              <w:t>131</w:t>
            </w:r>
          </w:p>
        </w:tc>
        <w:tc>
          <w:tcPr>
            <w:tcW w:w="7848" w:type="dxa"/>
          </w:tcPr>
          <w:p w14:paraId="4DDB08AE" w14:textId="1E3D3A6C" w:rsidR="003D52C5" w:rsidRDefault="003D52C5" w:rsidP="00316D81">
            <w:r>
              <w:rPr>
                <w:rFonts w:ascii="Arial" w:hAnsi="Arial"/>
                <w:sz w:val="14"/>
              </w:rPr>
              <w:t xml:space="preserve">Wu, C. </w:t>
            </w:r>
            <w:r w:rsidR="009F354A">
              <w:rPr>
                <w:rFonts w:ascii="Arial" w:hAnsi="Arial"/>
                <w:sz w:val="14"/>
              </w:rPr>
              <w:t>and</w:t>
            </w:r>
            <w:r>
              <w:rPr>
                <w:rFonts w:ascii="Arial" w:hAnsi="Arial"/>
                <w:sz w:val="14"/>
              </w:rPr>
              <w:t xml:space="preserve"> Carroll, J. (2026). ‘Evolving Perspectives on Generative AI in Higher Education: Insights from Two Years of University Stakeholder Analysis’, Tech Trends, 70, pp. 346–363. </w:t>
            </w:r>
            <w:r w:rsidR="0028539F">
              <w:rPr>
                <w:rFonts w:ascii="Arial" w:hAnsi="Arial"/>
                <w:sz w:val="14"/>
              </w:rPr>
              <w:t>DOI</w:t>
            </w:r>
            <w:r>
              <w:rPr>
                <w:rFonts w:ascii="Arial" w:hAnsi="Arial"/>
                <w:sz w:val="14"/>
              </w:rPr>
              <w:t>: 10.1007/s11528-025-01150-5.</w:t>
            </w:r>
          </w:p>
        </w:tc>
        <w:tc>
          <w:tcPr>
            <w:tcW w:w="792" w:type="dxa"/>
          </w:tcPr>
          <w:p w14:paraId="66E8D533" w14:textId="77777777" w:rsidR="003D52C5" w:rsidRDefault="003D52C5" w:rsidP="00316D81">
            <w:pPr>
              <w:jc w:val="center"/>
            </w:pPr>
            <w:r>
              <w:rPr>
                <w:rFonts w:ascii="Arial" w:hAnsi="Arial"/>
                <w:sz w:val="15"/>
              </w:rPr>
              <w:t>2026</w:t>
            </w:r>
          </w:p>
        </w:tc>
        <w:tc>
          <w:tcPr>
            <w:tcW w:w="3528" w:type="dxa"/>
          </w:tcPr>
          <w:p w14:paraId="0D47E524" w14:textId="77777777" w:rsidR="003D52C5" w:rsidRDefault="003D52C5" w:rsidP="00316D81">
            <w:r>
              <w:rPr>
                <w:rFonts w:ascii="Arial" w:hAnsi="Arial"/>
                <w:sz w:val="14"/>
              </w:rPr>
              <w:t>10.1007/s11528-025-01150-5</w:t>
            </w:r>
          </w:p>
        </w:tc>
        <w:tc>
          <w:tcPr>
            <w:tcW w:w="3384" w:type="dxa"/>
          </w:tcPr>
          <w:p w14:paraId="1A2E40DD" w14:textId="77777777" w:rsidR="003D52C5" w:rsidRDefault="003D52C5" w:rsidP="00316D81">
            <w:r>
              <w:rPr>
                <w:rFonts w:ascii="Arial" w:hAnsi="Arial"/>
                <w:sz w:val="15"/>
              </w:rPr>
              <w:t>Provides evidence on AI adoption, implementation, stakeholder experience and educational impacts in higher education.</w:t>
            </w:r>
          </w:p>
        </w:tc>
      </w:tr>
      <w:tr w:rsidR="003D52C5" w14:paraId="50F58458" w14:textId="77777777" w:rsidTr="00316D81">
        <w:trPr>
          <w:jc w:val="center"/>
        </w:trPr>
        <w:tc>
          <w:tcPr>
            <w:tcW w:w="576" w:type="dxa"/>
          </w:tcPr>
          <w:p w14:paraId="3F84280D" w14:textId="77777777" w:rsidR="003D52C5" w:rsidRDefault="003D52C5" w:rsidP="00316D81">
            <w:pPr>
              <w:jc w:val="center"/>
            </w:pPr>
            <w:r>
              <w:rPr>
                <w:rFonts w:ascii="Arial" w:hAnsi="Arial"/>
                <w:sz w:val="15"/>
              </w:rPr>
              <w:t>132</w:t>
            </w:r>
          </w:p>
        </w:tc>
        <w:tc>
          <w:tcPr>
            <w:tcW w:w="7848" w:type="dxa"/>
          </w:tcPr>
          <w:p w14:paraId="4C0143ED" w14:textId="782D63BB" w:rsidR="003D52C5" w:rsidRDefault="003D52C5" w:rsidP="00316D81">
            <w:r>
              <w:rPr>
                <w:rFonts w:ascii="Arial" w:hAnsi="Arial"/>
                <w:sz w:val="14"/>
              </w:rPr>
              <w:t xml:space="preserve">Wu, C., Zhang, H., </w:t>
            </w:r>
            <w:r w:rsidR="009F354A">
              <w:rPr>
                <w:rFonts w:ascii="Arial" w:hAnsi="Arial"/>
                <w:sz w:val="14"/>
              </w:rPr>
              <w:t>and</w:t>
            </w:r>
            <w:r>
              <w:rPr>
                <w:rFonts w:ascii="Arial" w:hAnsi="Arial"/>
                <w:sz w:val="14"/>
              </w:rPr>
              <w:t xml:space="preserve"> Carroll, J. (2024). 'AI Governance in Higher Education: Case Studies of Guidance at Big Ten Universities'. Future Internet, 16(10), 354. </w:t>
            </w:r>
            <w:r w:rsidR="0028539F">
              <w:rPr>
                <w:rFonts w:ascii="Arial" w:hAnsi="Arial"/>
                <w:sz w:val="14"/>
              </w:rPr>
              <w:t>DOI</w:t>
            </w:r>
            <w:r>
              <w:rPr>
                <w:rFonts w:ascii="Arial" w:hAnsi="Arial"/>
                <w:sz w:val="14"/>
              </w:rPr>
              <w:t>: 10.3390/fi16100354.</w:t>
            </w:r>
          </w:p>
        </w:tc>
        <w:tc>
          <w:tcPr>
            <w:tcW w:w="792" w:type="dxa"/>
          </w:tcPr>
          <w:p w14:paraId="6797C6B1" w14:textId="77777777" w:rsidR="003D52C5" w:rsidRDefault="003D52C5" w:rsidP="00316D81">
            <w:pPr>
              <w:jc w:val="center"/>
            </w:pPr>
            <w:r>
              <w:rPr>
                <w:rFonts w:ascii="Arial" w:hAnsi="Arial"/>
                <w:sz w:val="15"/>
              </w:rPr>
              <w:t>2024</w:t>
            </w:r>
          </w:p>
        </w:tc>
        <w:tc>
          <w:tcPr>
            <w:tcW w:w="3528" w:type="dxa"/>
          </w:tcPr>
          <w:p w14:paraId="44AE6E36" w14:textId="77777777" w:rsidR="003D52C5" w:rsidRDefault="003D52C5" w:rsidP="00316D81">
            <w:r>
              <w:rPr>
                <w:rFonts w:ascii="Arial" w:hAnsi="Arial"/>
                <w:sz w:val="14"/>
              </w:rPr>
              <w:t>10.3390/fi16100354</w:t>
            </w:r>
          </w:p>
        </w:tc>
        <w:tc>
          <w:tcPr>
            <w:tcW w:w="3384" w:type="dxa"/>
          </w:tcPr>
          <w:p w14:paraId="72C6D565"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3BD2BD71" w14:textId="77777777" w:rsidTr="00316D81">
        <w:trPr>
          <w:jc w:val="center"/>
        </w:trPr>
        <w:tc>
          <w:tcPr>
            <w:tcW w:w="576" w:type="dxa"/>
          </w:tcPr>
          <w:p w14:paraId="75E2F929" w14:textId="77777777" w:rsidR="003D52C5" w:rsidRDefault="003D52C5" w:rsidP="00316D81">
            <w:pPr>
              <w:jc w:val="center"/>
            </w:pPr>
            <w:r>
              <w:rPr>
                <w:rFonts w:ascii="Arial" w:hAnsi="Arial"/>
                <w:sz w:val="15"/>
              </w:rPr>
              <w:t>133</w:t>
            </w:r>
          </w:p>
        </w:tc>
        <w:tc>
          <w:tcPr>
            <w:tcW w:w="7848" w:type="dxa"/>
          </w:tcPr>
          <w:p w14:paraId="1F7D87E4" w14:textId="4AA278F2" w:rsidR="003D52C5" w:rsidRDefault="003D52C5" w:rsidP="00316D81">
            <w:r>
              <w:rPr>
                <w:rFonts w:ascii="Arial" w:hAnsi="Arial"/>
                <w:sz w:val="14"/>
              </w:rPr>
              <w:t xml:space="preserve">Xie, X. </w:t>
            </w:r>
            <w:r w:rsidR="009F354A">
              <w:rPr>
                <w:rFonts w:ascii="Arial" w:hAnsi="Arial"/>
                <w:sz w:val="14"/>
              </w:rPr>
              <w:t>and</w:t>
            </w:r>
            <w:r>
              <w:rPr>
                <w:rFonts w:ascii="Arial" w:hAnsi="Arial"/>
                <w:sz w:val="14"/>
              </w:rPr>
              <w:t xml:space="preserve"> Luo, S. (2025). ‘Dynamic Risks and Adaptive Governance of Generative Artificial Intelligence’, Journal of Beijing University of Technology (Social Sciences Edition), 25(1), pp. 112–125. </w:t>
            </w:r>
            <w:r w:rsidR="0028539F">
              <w:rPr>
                <w:rFonts w:ascii="Arial" w:hAnsi="Arial"/>
                <w:sz w:val="14"/>
              </w:rPr>
              <w:t>DOI</w:t>
            </w:r>
            <w:r>
              <w:rPr>
                <w:rFonts w:ascii="Arial" w:hAnsi="Arial"/>
                <w:sz w:val="14"/>
              </w:rPr>
              <w:t>: 10.12120/bjutskxb202501112.</w:t>
            </w:r>
          </w:p>
        </w:tc>
        <w:tc>
          <w:tcPr>
            <w:tcW w:w="792" w:type="dxa"/>
          </w:tcPr>
          <w:p w14:paraId="2DD3022E" w14:textId="77777777" w:rsidR="003D52C5" w:rsidRDefault="003D52C5" w:rsidP="00316D81">
            <w:pPr>
              <w:jc w:val="center"/>
            </w:pPr>
            <w:r>
              <w:rPr>
                <w:rFonts w:ascii="Arial" w:hAnsi="Arial"/>
                <w:sz w:val="15"/>
              </w:rPr>
              <w:t>2025</w:t>
            </w:r>
          </w:p>
        </w:tc>
        <w:tc>
          <w:tcPr>
            <w:tcW w:w="3528" w:type="dxa"/>
          </w:tcPr>
          <w:p w14:paraId="13077C13" w14:textId="77777777" w:rsidR="003D52C5" w:rsidRDefault="003D52C5" w:rsidP="00316D81">
            <w:r>
              <w:rPr>
                <w:rFonts w:ascii="Arial" w:hAnsi="Arial"/>
                <w:sz w:val="14"/>
              </w:rPr>
              <w:t>10.12120/bjutskxb202501112</w:t>
            </w:r>
          </w:p>
        </w:tc>
        <w:tc>
          <w:tcPr>
            <w:tcW w:w="3384" w:type="dxa"/>
          </w:tcPr>
          <w:p w14:paraId="212FA4D2" w14:textId="77777777" w:rsidR="003D52C5" w:rsidRDefault="003D52C5" w:rsidP="00316D81">
            <w:r>
              <w:rPr>
                <w:rFonts w:ascii="Arial" w:hAnsi="Arial"/>
                <w:sz w:val="15"/>
              </w:rPr>
              <w:t>Directly informs AI governance in higher education, including institutional policy, accountability, ethics, stakeholder roles and governance mechanisms.</w:t>
            </w:r>
          </w:p>
        </w:tc>
      </w:tr>
      <w:tr w:rsidR="003D52C5" w14:paraId="16D1075D" w14:textId="77777777" w:rsidTr="00316D81">
        <w:trPr>
          <w:jc w:val="center"/>
        </w:trPr>
        <w:tc>
          <w:tcPr>
            <w:tcW w:w="576" w:type="dxa"/>
          </w:tcPr>
          <w:p w14:paraId="1EBA77E3" w14:textId="77777777" w:rsidR="003D52C5" w:rsidRDefault="003D52C5" w:rsidP="00316D81">
            <w:pPr>
              <w:jc w:val="center"/>
            </w:pPr>
            <w:r>
              <w:rPr>
                <w:rFonts w:ascii="Arial" w:hAnsi="Arial"/>
                <w:sz w:val="15"/>
              </w:rPr>
              <w:t>134</w:t>
            </w:r>
          </w:p>
        </w:tc>
        <w:tc>
          <w:tcPr>
            <w:tcW w:w="7848" w:type="dxa"/>
          </w:tcPr>
          <w:p w14:paraId="7295FF27" w14:textId="0A711FCC" w:rsidR="003D52C5" w:rsidRDefault="003D52C5" w:rsidP="00316D81">
            <w:r>
              <w:rPr>
                <w:rFonts w:ascii="Arial" w:hAnsi="Arial"/>
                <w:sz w:val="14"/>
              </w:rPr>
              <w:t xml:space="preserve">Yang, E. and Beil, C. (2024). ‘Ensuring data privacy in AI/ML implementation’, New Directions for Higher Education, 2024, pp. 63–78. </w:t>
            </w:r>
            <w:r w:rsidR="0028539F">
              <w:rPr>
                <w:rFonts w:ascii="Arial" w:hAnsi="Arial"/>
                <w:sz w:val="14"/>
              </w:rPr>
              <w:t>DOI</w:t>
            </w:r>
            <w:r>
              <w:rPr>
                <w:rFonts w:ascii="Arial" w:hAnsi="Arial"/>
                <w:sz w:val="14"/>
              </w:rPr>
              <w:t>: 10.1002/he.20509.</w:t>
            </w:r>
          </w:p>
        </w:tc>
        <w:tc>
          <w:tcPr>
            <w:tcW w:w="792" w:type="dxa"/>
          </w:tcPr>
          <w:p w14:paraId="7F6A6424" w14:textId="77777777" w:rsidR="003D52C5" w:rsidRDefault="003D52C5" w:rsidP="00316D81">
            <w:pPr>
              <w:jc w:val="center"/>
            </w:pPr>
            <w:r>
              <w:rPr>
                <w:rFonts w:ascii="Arial" w:hAnsi="Arial"/>
                <w:sz w:val="15"/>
              </w:rPr>
              <w:t>2024</w:t>
            </w:r>
          </w:p>
        </w:tc>
        <w:tc>
          <w:tcPr>
            <w:tcW w:w="3528" w:type="dxa"/>
          </w:tcPr>
          <w:p w14:paraId="2F90A55A" w14:textId="77777777" w:rsidR="003D52C5" w:rsidRDefault="003D52C5" w:rsidP="00316D81">
            <w:r>
              <w:rPr>
                <w:rFonts w:ascii="Arial" w:hAnsi="Arial"/>
                <w:sz w:val="14"/>
              </w:rPr>
              <w:t>10.1002/he.20509</w:t>
            </w:r>
          </w:p>
        </w:tc>
        <w:tc>
          <w:tcPr>
            <w:tcW w:w="3384" w:type="dxa"/>
          </w:tcPr>
          <w:p w14:paraId="5B24334D"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178D91E4" w14:textId="77777777" w:rsidTr="00316D81">
        <w:trPr>
          <w:jc w:val="center"/>
        </w:trPr>
        <w:tc>
          <w:tcPr>
            <w:tcW w:w="576" w:type="dxa"/>
          </w:tcPr>
          <w:p w14:paraId="6C142DF5" w14:textId="77777777" w:rsidR="003D52C5" w:rsidRDefault="003D52C5" w:rsidP="00316D81">
            <w:pPr>
              <w:jc w:val="center"/>
            </w:pPr>
            <w:r>
              <w:rPr>
                <w:rFonts w:ascii="Arial" w:hAnsi="Arial"/>
                <w:sz w:val="15"/>
              </w:rPr>
              <w:t>135</w:t>
            </w:r>
          </w:p>
        </w:tc>
        <w:tc>
          <w:tcPr>
            <w:tcW w:w="7848" w:type="dxa"/>
          </w:tcPr>
          <w:p w14:paraId="5D341287" w14:textId="58F93E5F" w:rsidR="003D52C5" w:rsidRDefault="003D52C5" w:rsidP="00316D81">
            <w:r>
              <w:rPr>
                <w:rFonts w:ascii="Arial" w:hAnsi="Arial"/>
                <w:sz w:val="14"/>
              </w:rPr>
              <w:t xml:space="preserve">Younas, A., Fabregues, S. </w:t>
            </w:r>
            <w:r w:rsidR="009F354A">
              <w:rPr>
                <w:rFonts w:ascii="Arial" w:hAnsi="Arial"/>
                <w:sz w:val="14"/>
              </w:rPr>
              <w:t>and</w:t>
            </w:r>
            <w:r>
              <w:rPr>
                <w:rFonts w:ascii="Arial" w:hAnsi="Arial"/>
                <w:sz w:val="14"/>
              </w:rPr>
              <w:t xml:space="preserve"> Creswell, J. (2023). ‘Generating metainferences in mixed methods research: A worked example in convergent mixed methods designs’, Methodological Innovations, 16. </w:t>
            </w:r>
            <w:r w:rsidR="0028539F">
              <w:rPr>
                <w:rFonts w:ascii="Arial" w:hAnsi="Arial"/>
                <w:sz w:val="14"/>
              </w:rPr>
              <w:t>DOI</w:t>
            </w:r>
            <w:r>
              <w:rPr>
                <w:rFonts w:ascii="Arial" w:hAnsi="Arial"/>
                <w:sz w:val="14"/>
              </w:rPr>
              <w:t>: 10.1177/20597991231188121</w:t>
            </w:r>
          </w:p>
        </w:tc>
        <w:tc>
          <w:tcPr>
            <w:tcW w:w="792" w:type="dxa"/>
          </w:tcPr>
          <w:p w14:paraId="31B7AF11" w14:textId="77777777" w:rsidR="003D52C5" w:rsidRDefault="003D52C5" w:rsidP="00316D81">
            <w:pPr>
              <w:jc w:val="center"/>
            </w:pPr>
            <w:r>
              <w:rPr>
                <w:rFonts w:ascii="Arial" w:hAnsi="Arial"/>
                <w:sz w:val="15"/>
              </w:rPr>
              <w:t>2023</w:t>
            </w:r>
          </w:p>
        </w:tc>
        <w:tc>
          <w:tcPr>
            <w:tcW w:w="3528" w:type="dxa"/>
          </w:tcPr>
          <w:p w14:paraId="6EC3F9D6" w14:textId="77777777" w:rsidR="003D52C5" w:rsidRDefault="003D52C5" w:rsidP="00316D81">
            <w:r>
              <w:rPr>
                <w:rFonts w:ascii="Arial" w:hAnsi="Arial"/>
                <w:sz w:val="14"/>
              </w:rPr>
              <w:t>10.1177/20597991231188121</w:t>
            </w:r>
          </w:p>
        </w:tc>
        <w:tc>
          <w:tcPr>
            <w:tcW w:w="3384" w:type="dxa"/>
          </w:tcPr>
          <w:p w14:paraId="6F547EB3" w14:textId="77777777" w:rsidR="003D52C5" w:rsidRDefault="003D52C5" w:rsidP="00316D81">
            <w:r>
              <w:rPr>
                <w:rFonts w:ascii="Arial" w:hAnsi="Arial"/>
                <w:sz w:val="15"/>
              </w:rPr>
              <w:t>Supports the study’s systematic review, qualitative methodology, appraisal, synthesis, reflexivity or research-quality procedures.</w:t>
            </w:r>
          </w:p>
        </w:tc>
      </w:tr>
      <w:tr w:rsidR="003D52C5" w14:paraId="4F42A2C7" w14:textId="77777777" w:rsidTr="00316D81">
        <w:trPr>
          <w:jc w:val="center"/>
        </w:trPr>
        <w:tc>
          <w:tcPr>
            <w:tcW w:w="576" w:type="dxa"/>
          </w:tcPr>
          <w:p w14:paraId="2D228ADB" w14:textId="77777777" w:rsidR="003D52C5" w:rsidRDefault="003D52C5" w:rsidP="00316D81">
            <w:pPr>
              <w:jc w:val="center"/>
            </w:pPr>
            <w:r>
              <w:rPr>
                <w:rFonts w:ascii="Arial" w:hAnsi="Arial"/>
                <w:sz w:val="15"/>
              </w:rPr>
              <w:t>136</w:t>
            </w:r>
          </w:p>
        </w:tc>
        <w:tc>
          <w:tcPr>
            <w:tcW w:w="7848" w:type="dxa"/>
          </w:tcPr>
          <w:p w14:paraId="2135C1C9" w14:textId="1A8A5069" w:rsidR="003D52C5" w:rsidRDefault="003D52C5" w:rsidP="00316D81">
            <w:r>
              <w:rPr>
                <w:rFonts w:ascii="Arial" w:hAnsi="Arial"/>
                <w:sz w:val="14"/>
              </w:rPr>
              <w:t xml:space="preserve">Yusuf, A., Pervin, N., </w:t>
            </w:r>
            <w:r w:rsidR="009F354A">
              <w:rPr>
                <w:rFonts w:ascii="Arial" w:hAnsi="Arial"/>
                <w:sz w:val="14"/>
              </w:rPr>
              <w:t>and</w:t>
            </w:r>
            <w:r>
              <w:rPr>
                <w:rFonts w:ascii="Arial" w:hAnsi="Arial"/>
                <w:sz w:val="14"/>
              </w:rPr>
              <w:t xml:space="preserve"> Roman-Gonzalez, M. (2024). ‘Generative AI and the future of higher education: a threat to academic integrity or reformation? Evidence from multicultural perspectives’. International Journal of Educational Technology in Higher Education, 21, 21. </w:t>
            </w:r>
            <w:r w:rsidR="0028539F">
              <w:rPr>
                <w:rFonts w:ascii="Arial" w:hAnsi="Arial"/>
                <w:sz w:val="14"/>
              </w:rPr>
              <w:t>DOI</w:t>
            </w:r>
            <w:r>
              <w:rPr>
                <w:rFonts w:ascii="Arial" w:hAnsi="Arial"/>
                <w:sz w:val="14"/>
              </w:rPr>
              <w:t>: 10.1186/s41239-024-00453-6.</w:t>
            </w:r>
          </w:p>
        </w:tc>
        <w:tc>
          <w:tcPr>
            <w:tcW w:w="792" w:type="dxa"/>
          </w:tcPr>
          <w:p w14:paraId="265807C6" w14:textId="77777777" w:rsidR="003D52C5" w:rsidRDefault="003D52C5" w:rsidP="00316D81">
            <w:pPr>
              <w:jc w:val="center"/>
            </w:pPr>
            <w:r>
              <w:rPr>
                <w:rFonts w:ascii="Arial" w:hAnsi="Arial"/>
                <w:sz w:val="15"/>
              </w:rPr>
              <w:t>2024</w:t>
            </w:r>
          </w:p>
        </w:tc>
        <w:tc>
          <w:tcPr>
            <w:tcW w:w="3528" w:type="dxa"/>
          </w:tcPr>
          <w:p w14:paraId="1A2F02E9" w14:textId="77777777" w:rsidR="003D52C5" w:rsidRDefault="003D52C5" w:rsidP="00316D81">
            <w:r>
              <w:rPr>
                <w:rFonts w:ascii="Arial" w:hAnsi="Arial"/>
                <w:sz w:val="14"/>
              </w:rPr>
              <w:t>10.1186/s41239-024-00453-6</w:t>
            </w:r>
          </w:p>
        </w:tc>
        <w:tc>
          <w:tcPr>
            <w:tcW w:w="3384" w:type="dxa"/>
          </w:tcPr>
          <w:p w14:paraId="188F5F2B" w14:textId="77777777" w:rsidR="003D52C5" w:rsidRDefault="003D52C5" w:rsidP="00316D81">
            <w:r>
              <w:rPr>
                <w:rFonts w:ascii="Arial" w:hAnsi="Arial"/>
                <w:sz w:val="15"/>
              </w:rPr>
              <w:t>Supports analysis of ethical AI risks, including fairness, bias, privacy, transparency, explainability and academic integrity.</w:t>
            </w:r>
          </w:p>
        </w:tc>
      </w:tr>
      <w:tr w:rsidR="003D52C5" w14:paraId="302577B9" w14:textId="77777777" w:rsidTr="00316D81">
        <w:trPr>
          <w:jc w:val="center"/>
        </w:trPr>
        <w:tc>
          <w:tcPr>
            <w:tcW w:w="576" w:type="dxa"/>
          </w:tcPr>
          <w:p w14:paraId="4A6B81F0" w14:textId="77777777" w:rsidR="003D52C5" w:rsidRDefault="003D52C5" w:rsidP="00316D81">
            <w:pPr>
              <w:jc w:val="center"/>
            </w:pPr>
            <w:r>
              <w:rPr>
                <w:rFonts w:ascii="Arial" w:hAnsi="Arial"/>
                <w:sz w:val="15"/>
              </w:rPr>
              <w:t>137</w:t>
            </w:r>
          </w:p>
        </w:tc>
        <w:tc>
          <w:tcPr>
            <w:tcW w:w="7848" w:type="dxa"/>
          </w:tcPr>
          <w:p w14:paraId="19649F45" w14:textId="54BD98D7" w:rsidR="003D52C5" w:rsidRDefault="003D52C5" w:rsidP="00316D81">
            <w:r>
              <w:rPr>
                <w:rFonts w:ascii="Arial" w:hAnsi="Arial"/>
                <w:sz w:val="14"/>
              </w:rPr>
              <w:t xml:space="preserve">Zawacki-Richter, O., Marín, V., Bond, M. </w:t>
            </w:r>
            <w:r w:rsidR="009F354A">
              <w:rPr>
                <w:rFonts w:ascii="Arial" w:hAnsi="Arial"/>
                <w:sz w:val="14"/>
              </w:rPr>
              <w:t>and</w:t>
            </w:r>
            <w:r>
              <w:rPr>
                <w:rFonts w:ascii="Arial" w:hAnsi="Arial"/>
                <w:sz w:val="14"/>
              </w:rPr>
              <w:t xml:space="preserve"> Gouverneur, F. (2019). ‘Systematic review of research on artificial intelligence applications in higher education – where are the educators?’, International Journal of Educational Technology in Higher Education, 16, 39. </w:t>
            </w:r>
            <w:r w:rsidR="0028539F">
              <w:rPr>
                <w:rFonts w:ascii="Arial" w:hAnsi="Arial"/>
                <w:sz w:val="14"/>
              </w:rPr>
              <w:t>DOI</w:t>
            </w:r>
            <w:r>
              <w:rPr>
                <w:rFonts w:ascii="Arial" w:hAnsi="Arial"/>
                <w:sz w:val="14"/>
              </w:rPr>
              <w:t>: 10.1186/s41239-019-0171-0.</w:t>
            </w:r>
          </w:p>
        </w:tc>
        <w:tc>
          <w:tcPr>
            <w:tcW w:w="792" w:type="dxa"/>
          </w:tcPr>
          <w:p w14:paraId="443ECDB1" w14:textId="77777777" w:rsidR="003D52C5" w:rsidRDefault="003D52C5" w:rsidP="00316D81">
            <w:pPr>
              <w:jc w:val="center"/>
            </w:pPr>
            <w:r>
              <w:rPr>
                <w:rFonts w:ascii="Arial" w:hAnsi="Arial"/>
                <w:sz w:val="15"/>
              </w:rPr>
              <w:t>2019</w:t>
            </w:r>
          </w:p>
        </w:tc>
        <w:tc>
          <w:tcPr>
            <w:tcW w:w="3528" w:type="dxa"/>
          </w:tcPr>
          <w:p w14:paraId="3865DEE9" w14:textId="77777777" w:rsidR="003D52C5" w:rsidRDefault="003D52C5" w:rsidP="00316D81">
            <w:r>
              <w:rPr>
                <w:rFonts w:ascii="Arial" w:hAnsi="Arial"/>
                <w:sz w:val="14"/>
              </w:rPr>
              <w:t>10.1186/s41239-019-0171-0</w:t>
            </w:r>
          </w:p>
        </w:tc>
        <w:tc>
          <w:tcPr>
            <w:tcW w:w="3384" w:type="dxa"/>
          </w:tcPr>
          <w:p w14:paraId="372561CB" w14:textId="77777777" w:rsidR="003D52C5" w:rsidRDefault="003D52C5" w:rsidP="00316D81">
            <w:r>
              <w:rPr>
                <w:rFonts w:ascii="Arial" w:hAnsi="Arial"/>
                <w:sz w:val="15"/>
              </w:rPr>
              <w:t>Provides evidence on AI adoption, implementation, stakeholder experience and educational impacts in higher education.</w:t>
            </w:r>
          </w:p>
        </w:tc>
      </w:tr>
    </w:tbl>
    <w:p w14:paraId="62BCC0B9" w14:textId="77777777" w:rsidR="00C71A98" w:rsidRPr="00C71A98" w:rsidRDefault="005621EC" w:rsidP="00C71A98">
      <w:pPr>
        <w:pStyle w:val="Caption"/>
        <w:jc w:val="center"/>
        <w:rPr>
          <w:sz w:val="20"/>
          <w:szCs w:val="20"/>
        </w:rPr>
      </w:pPr>
      <w:r w:rsidRPr="00C71A98">
        <w:rPr>
          <w:sz w:val="20"/>
          <w:szCs w:val="20"/>
        </w:rPr>
        <w:t>Table E1: Full reference with DOI, y</w:t>
      </w:r>
      <w:r w:rsidR="00C71A98" w:rsidRPr="00C71A98">
        <w:rPr>
          <w:sz w:val="20"/>
          <w:szCs w:val="20"/>
        </w:rPr>
        <w:t xml:space="preserve">ear and relevance to study </w:t>
      </w:r>
    </w:p>
    <w:p w14:paraId="286EB8EB" w14:textId="3EB5E270" w:rsidR="003D52C5" w:rsidRPr="00C71A98" w:rsidRDefault="003D52C5" w:rsidP="00C71A98">
      <w:pPr>
        <w:pStyle w:val="Caption"/>
        <w:jc w:val="center"/>
        <w:rPr>
          <w:sz w:val="20"/>
          <w:szCs w:val="20"/>
        </w:rPr>
      </w:pPr>
      <w:r w:rsidRPr="00C71A98">
        <w:rPr>
          <w:sz w:val="20"/>
          <w:szCs w:val="20"/>
        </w:rPr>
        <w:t xml:space="preserve">Source: Author’s compilation from the References and Bibliography of the submitted coursework. </w:t>
      </w:r>
      <w:r w:rsidR="0028539F" w:rsidRPr="00C71A98">
        <w:rPr>
          <w:sz w:val="20"/>
          <w:szCs w:val="20"/>
        </w:rPr>
        <w:t>DOI</w:t>
      </w:r>
      <w:r w:rsidRPr="00C71A98">
        <w:rPr>
          <w:sz w:val="20"/>
          <w:szCs w:val="20"/>
        </w:rPr>
        <w:t>-bearing entries are reproduced from the supplied reference list; relevance statements are analytical summaries for this study.</w:t>
      </w:r>
    </w:p>
    <w:p w14:paraId="3AB8D880" w14:textId="77777777" w:rsidR="003D52C5" w:rsidRPr="00C71A98" w:rsidRDefault="003D52C5" w:rsidP="00C71A98">
      <w:pPr>
        <w:pStyle w:val="Caption"/>
        <w:jc w:val="center"/>
        <w:rPr>
          <w:sz w:val="20"/>
          <w:szCs w:val="20"/>
        </w:rPr>
      </w:pPr>
    </w:p>
    <w:p w14:paraId="0D9EB5F9" w14:textId="77777777" w:rsidR="003D52C5" w:rsidRDefault="003D52C5" w:rsidP="003D52C5">
      <w:pPr>
        <w:rPr>
          <w:lang w:eastAsia="en-GB"/>
        </w:rPr>
      </w:pPr>
    </w:p>
    <w:p w14:paraId="1CB7BE31" w14:textId="77777777" w:rsidR="003D52C5" w:rsidRDefault="003D52C5" w:rsidP="003D52C5">
      <w:pPr>
        <w:pStyle w:val="Heading2"/>
        <w:rPr>
          <w:lang w:eastAsia="en-GB"/>
        </w:rPr>
      </w:pPr>
    </w:p>
    <w:p w14:paraId="50082222" w14:textId="238C57CD" w:rsidR="003D52C5" w:rsidRDefault="003D52C5" w:rsidP="003D52C5">
      <w:pPr>
        <w:pStyle w:val="Heading2"/>
      </w:pPr>
    </w:p>
    <w:p w14:paraId="72C4FC18" w14:textId="77777777" w:rsidR="00762A90" w:rsidRPr="00762A90" w:rsidRDefault="00762A90" w:rsidP="00762A90"/>
    <w:tbl>
      <w:tblPr>
        <w:tblStyle w:val="TableGrid"/>
        <w:tblW w:w="0" w:type="auto"/>
        <w:jc w:val="center"/>
        <w:tblLayout w:type="fixed"/>
        <w:tblLook w:val="04A0" w:firstRow="1" w:lastRow="0" w:firstColumn="1" w:lastColumn="0" w:noHBand="0" w:noVBand="1"/>
      </w:tblPr>
      <w:tblGrid>
        <w:gridCol w:w="605"/>
        <w:gridCol w:w="6768"/>
        <w:gridCol w:w="792"/>
        <w:gridCol w:w="2880"/>
        <w:gridCol w:w="4320"/>
      </w:tblGrid>
      <w:tr w:rsidR="003D52C5" w14:paraId="45C64B02" w14:textId="77777777" w:rsidTr="00316D81">
        <w:trPr>
          <w:tblHeader/>
          <w:jc w:val="center"/>
        </w:trPr>
        <w:tc>
          <w:tcPr>
            <w:tcW w:w="605" w:type="dxa"/>
            <w:shd w:val="clear" w:color="auto" w:fill="D9EAF7"/>
            <w:vAlign w:val="center"/>
          </w:tcPr>
          <w:p w14:paraId="6312655D" w14:textId="77777777" w:rsidR="003D52C5" w:rsidRDefault="003D52C5" w:rsidP="00316D81">
            <w:pPr>
              <w:jc w:val="center"/>
            </w:pPr>
            <w:r>
              <w:rPr>
                <w:rFonts w:ascii="Arial" w:hAnsi="Arial"/>
                <w:b/>
                <w:sz w:val="15"/>
              </w:rPr>
              <w:lastRenderedPageBreak/>
              <w:t>No.</w:t>
            </w:r>
          </w:p>
        </w:tc>
        <w:tc>
          <w:tcPr>
            <w:tcW w:w="6768" w:type="dxa"/>
            <w:shd w:val="clear" w:color="auto" w:fill="D9EAF7"/>
            <w:vAlign w:val="center"/>
          </w:tcPr>
          <w:p w14:paraId="53C79A05" w14:textId="77777777" w:rsidR="003D52C5" w:rsidRDefault="003D52C5" w:rsidP="00316D81">
            <w:pPr>
              <w:jc w:val="center"/>
            </w:pPr>
            <w:r>
              <w:rPr>
                <w:rFonts w:ascii="Arial" w:hAnsi="Arial"/>
                <w:b/>
                <w:sz w:val="15"/>
              </w:rPr>
              <w:t>Full reference</w:t>
            </w:r>
          </w:p>
        </w:tc>
        <w:tc>
          <w:tcPr>
            <w:tcW w:w="792" w:type="dxa"/>
            <w:shd w:val="clear" w:color="auto" w:fill="D9EAF7"/>
            <w:vAlign w:val="center"/>
          </w:tcPr>
          <w:p w14:paraId="2B6C879C" w14:textId="77777777" w:rsidR="003D52C5" w:rsidRDefault="003D52C5" w:rsidP="00316D81">
            <w:pPr>
              <w:jc w:val="center"/>
            </w:pPr>
            <w:r>
              <w:rPr>
                <w:rFonts w:ascii="Arial" w:hAnsi="Arial"/>
                <w:b/>
                <w:sz w:val="15"/>
              </w:rPr>
              <w:t>Year</w:t>
            </w:r>
          </w:p>
        </w:tc>
        <w:tc>
          <w:tcPr>
            <w:tcW w:w="2880" w:type="dxa"/>
            <w:shd w:val="clear" w:color="auto" w:fill="D9EAF7"/>
            <w:vAlign w:val="center"/>
          </w:tcPr>
          <w:p w14:paraId="7D9B44AF" w14:textId="0B863E16" w:rsidR="003D52C5" w:rsidRDefault="0028539F" w:rsidP="00316D81">
            <w:pPr>
              <w:jc w:val="center"/>
            </w:pPr>
            <w:r>
              <w:rPr>
                <w:rFonts w:ascii="Arial" w:hAnsi="Arial"/>
                <w:b/>
                <w:sz w:val="15"/>
              </w:rPr>
              <w:t>DOI</w:t>
            </w:r>
          </w:p>
        </w:tc>
        <w:tc>
          <w:tcPr>
            <w:tcW w:w="4320" w:type="dxa"/>
            <w:shd w:val="clear" w:color="auto" w:fill="D9EAF7"/>
            <w:vAlign w:val="center"/>
          </w:tcPr>
          <w:p w14:paraId="48A6E5AF" w14:textId="77777777" w:rsidR="003D52C5" w:rsidRDefault="003D52C5" w:rsidP="00316D81">
            <w:pPr>
              <w:jc w:val="center"/>
            </w:pPr>
            <w:r>
              <w:rPr>
                <w:rFonts w:ascii="Arial" w:hAnsi="Arial"/>
                <w:b/>
                <w:sz w:val="15"/>
              </w:rPr>
              <w:t>Reason for exclusion</w:t>
            </w:r>
          </w:p>
        </w:tc>
      </w:tr>
      <w:tr w:rsidR="003D52C5" w14:paraId="65F9E430" w14:textId="77777777" w:rsidTr="00316D81">
        <w:trPr>
          <w:jc w:val="center"/>
        </w:trPr>
        <w:tc>
          <w:tcPr>
            <w:tcW w:w="605" w:type="dxa"/>
          </w:tcPr>
          <w:p w14:paraId="63385CCC" w14:textId="77777777" w:rsidR="003D52C5" w:rsidRDefault="003D52C5" w:rsidP="00316D81">
            <w:pPr>
              <w:jc w:val="center"/>
            </w:pPr>
            <w:r>
              <w:rPr>
                <w:rFonts w:ascii="Arial" w:hAnsi="Arial"/>
                <w:sz w:val="13"/>
              </w:rPr>
              <w:t>1</w:t>
            </w:r>
          </w:p>
        </w:tc>
        <w:tc>
          <w:tcPr>
            <w:tcW w:w="6768" w:type="dxa"/>
          </w:tcPr>
          <w:p w14:paraId="044CEC7C" w14:textId="778E19A5" w:rsidR="003D52C5" w:rsidRDefault="003D52C5" w:rsidP="00316D81">
            <w:r>
              <w:rPr>
                <w:rFonts w:ascii="Arial" w:hAnsi="Arial"/>
                <w:sz w:val="13"/>
              </w:rPr>
              <w:t>Chen, L., Chen, P. and Lin, Z. (2020)</w:t>
            </w:r>
            <w:r w:rsidR="00A910E3">
              <w:rPr>
                <w:rFonts w:ascii="Arial" w:hAnsi="Arial"/>
                <w:sz w:val="13"/>
              </w:rPr>
              <w:t>.</w:t>
            </w:r>
            <w:r>
              <w:rPr>
                <w:rFonts w:ascii="Arial" w:hAnsi="Arial"/>
                <w:sz w:val="13"/>
              </w:rPr>
              <w:t xml:space="preserve"> ‘Artificial Intelligence in Education: A Review’, IEEE Access, 8, pp. 75264–75278.</w:t>
            </w:r>
          </w:p>
        </w:tc>
        <w:tc>
          <w:tcPr>
            <w:tcW w:w="792" w:type="dxa"/>
          </w:tcPr>
          <w:p w14:paraId="1618F384" w14:textId="77777777" w:rsidR="003D52C5" w:rsidRDefault="003D52C5" w:rsidP="00316D81">
            <w:pPr>
              <w:jc w:val="center"/>
            </w:pPr>
            <w:r>
              <w:rPr>
                <w:rFonts w:ascii="Arial" w:hAnsi="Arial"/>
                <w:sz w:val="13"/>
              </w:rPr>
              <w:t>2020</w:t>
            </w:r>
          </w:p>
        </w:tc>
        <w:tc>
          <w:tcPr>
            <w:tcW w:w="2880" w:type="dxa"/>
          </w:tcPr>
          <w:p w14:paraId="5642D7B5" w14:textId="77777777" w:rsidR="003D52C5" w:rsidRDefault="003D52C5" w:rsidP="00316D81">
            <w:r>
              <w:rPr>
                <w:rFonts w:ascii="Arial" w:hAnsi="Arial"/>
                <w:sz w:val="13"/>
              </w:rPr>
              <w:t>10.1109/ACCESS.2020.2988510</w:t>
            </w:r>
          </w:p>
        </w:tc>
        <w:tc>
          <w:tcPr>
            <w:tcW w:w="4320" w:type="dxa"/>
          </w:tcPr>
          <w:p w14:paraId="5D5A22E7" w14:textId="77777777" w:rsidR="003D52C5" w:rsidRDefault="003D52C5" w:rsidP="00316D81">
            <w:r>
              <w:rPr>
                <w:rFonts w:ascii="Arial" w:hAnsi="Arial"/>
                <w:sz w:val="13"/>
              </w:rPr>
              <w:t>Falls outside the review’s principal 2022–2026 date window and focuses broadly on AI applications/effects in education rather than governance in English public universities.</w:t>
            </w:r>
          </w:p>
        </w:tc>
      </w:tr>
      <w:tr w:rsidR="003D52C5" w14:paraId="7360CA2F" w14:textId="77777777" w:rsidTr="00316D81">
        <w:trPr>
          <w:jc w:val="center"/>
        </w:trPr>
        <w:tc>
          <w:tcPr>
            <w:tcW w:w="605" w:type="dxa"/>
          </w:tcPr>
          <w:p w14:paraId="3EB3F156" w14:textId="77777777" w:rsidR="003D52C5" w:rsidRDefault="003D52C5" w:rsidP="00316D81">
            <w:pPr>
              <w:jc w:val="center"/>
            </w:pPr>
            <w:r>
              <w:rPr>
                <w:rFonts w:ascii="Arial" w:hAnsi="Arial"/>
                <w:sz w:val="13"/>
              </w:rPr>
              <w:t>2</w:t>
            </w:r>
          </w:p>
        </w:tc>
        <w:tc>
          <w:tcPr>
            <w:tcW w:w="6768" w:type="dxa"/>
          </w:tcPr>
          <w:p w14:paraId="183E394D" w14:textId="17CB3C54" w:rsidR="003D52C5" w:rsidRDefault="003D52C5" w:rsidP="00316D81">
            <w:r>
              <w:rPr>
                <w:rFonts w:ascii="Arial" w:hAnsi="Arial"/>
                <w:sz w:val="13"/>
              </w:rPr>
              <w:t xml:space="preserve">Steinbauer, G., Kandlhofer, M., Chklovski, T., Heintz, F. </w:t>
            </w:r>
            <w:r w:rsidR="009F354A">
              <w:rPr>
                <w:rFonts w:ascii="Arial" w:hAnsi="Arial"/>
                <w:sz w:val="13"/>
              </w:rPr>
              <w:t>and</w:t>
            </w:r>
            <w:r>
              <w:rPr>
                <w:rFonts w:ascii="Arial" w:hAnsi="Arial"/>
                <w:sz w:val="13"/>
              </w:rPr>
              <w:t xml:space="preserve"> Koenig, S. (2021)</w:t>
            </w:r>
            <w:r w:rsidR="00A910E3">
              <w:rPr>
                <w:rFonts w:ascii="Arial" w:hAnsi="Arial"/>
                <w:sz w:val="13"/>
              </w:rPr>
              <w:t>.</w:t>
            </w:r>
            <w:r>
              <w:rPr>
                <w:rFonts w:ascii="Arial" w:hAnsi="Arial"/>
                <w:sz w:val="13"/>
              </w:rPr>
              <w:t xml:space="preserve"> ‘Education in Artificial Intelligence K-12’, KI – Künstliche Intelligenz, 35, pp. 127–129.</w:t>
            </w:r>
          </w:p>
        </w:tc>
        <w:tc>
          <w:tcPr>
            <w:tcW w:w="792" w:type="dxa"/>
          </w:tcPr>
          <w:p w14:paraId="2628F646" w14:textId="77777777" w:rsidR="003D52C5" w:rsidRDefault="003D52C5" w:rsidP="00316D81">
            <w:pPr>
              <w:jc w:val="center"/>
            </w:pPr>
            <w:r>
              <w:rPr>
                <w:rFonts w:ascii="Arial" w:hAnsi="Arial"/>
                <w:sz w:val="13"/>
              </w:rPr>
              <w:t>2021</w:t>
            </w:r>
          </w:p>
        </w:tc>
        <w:tc>
          <w:tcPr>
            <w:tcW w:w="2880" w:type="dxa"/>
          </w:tcPr>
          <w:p w14:paraId="0C7C90DB" w14:textId="77777777" w:rsidR="003D52C5" w:rsidRDefault="003D52C5" w:rsidP="00316D81">
            <w:r>
              <w:rPr>
                <w:rFonts w:ascii="Arial" w:hAnsi="Arial"/>
                <w:sz w:val="13"/>
              </w:rPr>
              <w:t>10.1007/s13218-021-00734-6</w:t>
            </w:r>
          </w:p>
        </w:tc>
        <w:tc>
          <w:tcPr>
            <w:tcW w:w="4320" w:type="dxa"/>
          </w:tcPr>
          <w:p w14:paraId="21CDE898" w14:textId="77777777" w:rsidR="003D52C5" w:rsidRDefault="003D52C5" w:rsidP="00316D81">
            <w:r>
              <w:rPr>
                <w:rFonts w:ascii="Arial" w:hAnsi="Arial"/>
                <w:sz w:val="13"/>
              </w:rPr>
              <w:t>K-12 rather than higher education and published before the principal 2022–2026 review period.</w:t>
            </w:r>
          </w:p>
        </w:tc>
      </w:tr>
      <w:tr w:rsidR="003D52C5" w14:paraId="2E4D69D0" w14:textId="77777777" w:rsidTr="00316D81">
        <w:trPr>
          <w:jc w:val="center"/>
        </w:trPr>
        <w:tc>
          <w:tcPr>
            <w:tcW w:w="605" w:type="dxa"/>
          </w:tcPr>
          <w:p w14:paraId="63396B67" w14:textId="77777777" w:rsidR="003D52C5" w:rsidRDefault="003D52C5" w:rsidP="00316D81">
            <w:pPr>
              <w:jc w:val="center"/>
            </w:pPr>
            <w:r>
              <w:rPr>
                <w:rFonts w:ascii="Arial" w:hAnsi="Arial"/>
                <w:sz w:val="13"/>
              </w:rPr>
              <w:t>3</w:t>
            </w:r>
          </w:p>
        </w:tc>
        <w:tc>
          <w:tcPr>
            <w:tcW w:w="6768" w:type="dxa"/>
          </w:tcPr>
          <w:p w14:paraId="2CDA31D9" w14:textId="40D0C027" w:rsidR="003D52C5" w:rsidRDefault="003D52C5" w:rsidP="00316D81">
            <w:r>
              <w:rPr>
                <w:rFonts w:ascii="Arial" w:hAnsi="Arial"/>
                <w:sz w:val="13"/>
              </w:rPr>
              <w:t>Mintz, J., Holmes, W., Liu, L. and Perez-Ortiz, M. (2023)</w:t>
            </w:r>
            <w:r w:rsidR="00A910E3">
              <w:rPr>
                <w:rFonts w:ascii="Arial" w:hAnsi="Arial"/>
                <w:sz w:val="13"/>
              </w:rPr>
              <w:t>.</w:t>
            </w:r>
            <w:r>
              <w:rPr>
                <w:rFonts w:ascii="Arial" w:hAnsi="Arial"/>
                <w:sz w:val="13"/>
              </w:rPr>
              <w:t xml:space="preserve"> ‘Artificial Intelligence and K-12 Education: Possibilities, Pedagogies and Risks’, Computers in the Schools, 40(4), pp. 325–333.</w:t>
            </w:r>
          </w:p>
        </w:tc>
        <w:tc>
          <w:tcPr>
            <w:tcW w:w="792" w:type="dxa"/>
          </w:tcPr>
          <w:p w14:paraId="49B72D18" w14:textId="77777777" w:rsidR="003D52C5" w:rsidRDefault="003D52C5" w:rsidP="00316D81">
            <w:pPr>
              <w:jc w:val="center"/>
            </w:pPr>
            <w:r>
              <w:rPr>
                <w:rFonts w:ascii="Arial" w:hAnsi="Arial"/>
                <w:sz w:val="13"/>
              </w:rPr>
              <w:t>2023</w:t>
            </w:r>
          </w:p>
        </w:tc>
        <w:tc>
          <w:tcPr>
            <w:tcW w:w="2880" w:type="dxa"/>
          </w:tcPr>
          <w:p w14:paraId="1349D4B4" w14:textId="77777777" w:rsidR="003D52C5" w:rsidRDefault="003D52C5" w:rsidP="00316D81">
            <w:r>
              <w:rPr>
                <w:rFonts w:ascii="Arial" w:hAnsi="Arial"/>
                <w:sz w:val="13"/>
              </w:rPr>
              <w:t>10.1080/07380569.2023.2279870</w:t>
            </w:r>
          </w:p>
        </w:tc>
        <w:tc>
          <w:tcPr>
            <w:tcW w:w="4320" w:type="dxa"/>
          </w:tcPr>
          <w:p w14:paraId="1271AED9" w14:textId="77777777" w:rsidR="003D52C5" w:rsidRDefault="003D52C5" w:rsidP="00316D81">
            <w:r>
              <w:rPr>
                <w:rFonts w:ascii="Arial" w:hAnsi="Arial"/>
                <w:sz w:val="13"/>
              </w:rPr>
              <w:t>Examines K-12 education rather than universities/HEIs, so the institutional setting does not match the review question.</w:t>
            </w:r>
          </w:p>
        </w:tc>
      </w:tr>
      <w:tr w:rsidR="003D52C5" w14:paraId="087D44E6" w14:textId="77777777" w:rsidTr="00316D81">
        <w:trPr>
          <w:jc w:val="center"/>
        </w:trPr>
        <w:tc>
          <w:tcPr>
            <w:tcW w:w="605" w:type="dxa"/>
          </w:tcPr>
          <w:p w14:paraId="6AE12621" w14:textId="77777777" w:rsidR="003D52C5" w:rsidRDefault="003D52C5" w:rsidP="00316D81">
            <w:pPr>
              <w:jc w:val="center"/>
            </w:pPr>
            <w:r>
              <w:rPr>
                <w:rFonts w:ascii="Arial" w:hAnsi="Arial"/>
                <w:sz w:val="13"/>
              </w:rPr>
              <w:t>4</w:t>
            </w:r>
          </w:p>
        </w:tc>
        <w:tc>
          <w:tcPr>
            <w:tcW w:w="6768" w:type="dxa"/>
          </w:tcPr>
          <w:p w14:paraId="5A80AA76" w14:textId="14A4AEBA" w:rsidR="003D52C5" w:rsidRDefault="003D52C5" w:rsidP="00316D81">
            <w:r>
              <w:rPr>
                <w:rFonts w:ascii="Arial" w:hAnsi="Arial"/>
                <w:sz w:val="13"/>
              </w:rPr>
              <w:t>Zhang, T., Lai, Y.C. and Yu, P.L.H. (2026)</w:t>
            </w:r>
            <w:r w:rsidR="00C74E8C">
              <w:rPr>
                <w:rFonts w:ascii="Arial" w:hAnsi="Arial"/>
                <w:sz w:val="13"/>
              </w:rPr>
              <w:t>.</w:t>
            </w:r>
            <w:r>
              <w:rPr>
                <w:rFonts w:ascii="Arial" w:hAnsi="Arial"/>
                <w:sz w:val="13"/>
              </w:rPr>
              <w:t xml:space="preserve"> ‘Generative artificial intelligence in K-12 education: A systematic review’, Research and Practice in Technology Enhanced Learning, 21.</w:t>
            </w:r>
          </w:p>
        </w:tc>
        <w:tc>
          <w:tcPr>
            <w:tcW w:w="792" w:type="dxa"/>
          </w:tcPr>
          <w:p w14:paraId="15184F0E" w14:textId="77777777" w:rsidR="003D52C5" w:rsidRDefault="003D52C5" w:rsidP="00316D81">
            <w:pPr>
              <w:jc w:val="center"/>
            </w:pPr>
            <w:r>
              <w:rPr>
                <w:rFonts w:ascii="Arial" w:hAnsi="Arial"/>
                <w:sz w:val="13"/>
              </w:rPr>
              <w:t>2026</w:t>
            </w:r>
          </w:p>
        </w:tc>
        <w:tc>
          <w:tcPr>
            <w:tcW w:w="2880" w:type="dxa"/>
          </w:tcPr>
          <w:p w14:paraId="609D8BEC" w14:textId="77777777" w:rsidR="003D52C5" w:rsidRDefault="003D52C5" w:rsidP="00316D81">
            <w:r>
              <w:rPr>
                <w:rFonts w:ascii="Arial" w:hAnsi="Arial"/>
                <w:sz w:val="13"/>
              </w:rPr>
              <w:t>10.58459/rptel.2026.21034</w:t>
            </w:r>
          </w:p>
        </w:tc>
        <w:tc>
          <w:tcPr>
            <w:tcW w:w="4320" w:type="dxa"/>
          </w:tcPr>
          <w:p w14:paraId="170DD3A6" w14:textId="77777777" w:rsidR="003D52C5" w:rsidRDefault="003D52C5" w:rsidP="00316D81">
            <w:r>
              <w:rPr>
                <w:rFonts w:ascii="Arial" w:hAnsi="Arial"/>
                <w:sz w:val="13"/>
              </w:rPr>
              <w:t>Current and educationally relevant, but the population is K-12 rather than higher education and the emphasis is teaching/learning rather than university governance.</w:t>
            </w:r>
          </w:p>
        </w:tc>
      </w:tr>
      <w:tr w:rsidR="003D52C5" w14:paraId="11A99AB5" w14:textId="77777777" w:rsidTr="00316D81">
        <w:trPr>
          <w:jc w:val="center"/>
        </w:trPr>
        <w:tc>
          <w:tcPr>
            <w:tcW w:w="605" w:type="dxa"/>
          </w:tcPr>
          <w:p w14:paraId="48C8EADE" w14:textId="77777777" w:rsidR="003D52C5" w:rsidRDefault="003D52C5" w:rsidP="00316D81">
            <w:pPr>
              <w:jc w:val="center"/>
            </w:pPr>
            <w:r>
              <w:rPr>
                <w:rFonts w:ascii="Arial" w:hAnsi="Arial"/>
                <w:sz w:val="13"/>
              </w:rPr>
              <w:t>5</w:t>
            </w:r>
          </w:p>
        </w:tc>
        <w:tc>
          <w:tcPr>
            <w:tcW w:w="6768" w:type="dxa"/>
          </w:tcPr>
          <w:p w14:paraId="5EE73325" w14:textId="77777777" w:rsidR="003D52C5" w:rsidRDefault="003D52C5" w:rsidP="00316D81">
            <w:r>
              <w:rPr>
                <w:rFonts w:ascii="Arial" w:hAnsi="Arial"/>
                <w:sz w:val="13"/>
              </w:rPr>
              <w:t>Izquierdo-Condoy, J.S., Arias-Intriago, M., Montero Corrales, L. and Ortiz-Prado, E. (2026) ‘Artificial Intelligence in Medical Education: Transformative Potential, Current Applications, and Future Implications’, JMIR Medical Education, 12, e77127.</w:t>
            </w:r>
          </w:p>
        </w:tc>
        <w:tc>
          <w:tcPr>
            <w:tcW w:w="792" w:type="dxa"/>
          </w:tcPr>
          <w:p w14:paraId="66A1ECE1" w14:textId="77777777" w:rsidR="003D52C5" w:rsidRDefault="003D52C5" w:rsidP="00316D81">
            <w:pPr>
              <w:jc w:val="center"/>
            </w:pPr>
            <w:r>
              <w:rPr>
                <w:rFonts w:ascii="Arial" w:hAnsi="Arial"/>
                <w:sz w:val="13"/>
              </w:rPr>
              <w:t>2026</w:t>
            </w:r>
          </w:p>
        </w:tc>
        <w:tc>
          <w:tcPr>
            <w:tcW w:w="2880" w:type="dxa"/>
          </w:tcPr>
          <w:p w14:paraId="6D0956CB" w14:textId="77777777" w:rsidR="003D52C5" w:rsidRDefault="003D52C5" w:rsidP="00316D81">
            <w:r>
              <w:rPr>
                <w:rFonts w:ascii="Arial" w:hAnsi="Arial"/>
                <w:sz w:val="13"/>
              </w:rPr>
              <w:t>10.2196/77127</w:t>
            </w:r>
          </w:p>
        </w:tc>
        <w:tc>
          <w:tcPr>
            <w:tcW w:w="4320" w:type="dxa"/>
          </w:tcPr>
          <w:p w14:paraId="1A538888" w14:textId="77777777" w:rsidR="003D52C5" w:rsidRDefault="003D52C5" w:rsidP="00316D81">
            <w:r>
              <w:rPr>
                <w:rFonts w:ascii="Arial" w:hAnsi="Arial"/>
                <w:sz w:val="13"/>
              </w:rPr>
              <w:t>Focused on medical education and clinical/professional training applications rather than strategic AI governance in English public universities.</w:t>
            </w:r>
          </w:p>
        </w:tc>
      </w:tr>
      <w:tr w:rsidR="003D52C5" w14:paraId="6E8497CA" w14:textId="77777777" w:rsidTr="00316D81">
        <w:trPr>
          <w:jc w:val="center"/>
        </w:trPr>
        <w:tc>
          <w:tcPr>
            <w:tcW w:w="605" w:type="dxa"/>
          </w:tcPr>
          <w:p w14:paraId="32A0C84E" w14:textId="77777777" w:rsidR="003D52C5" w:rsidRDefault="003D52C5" w:rsidP="00316D81">
            <w:pPr>
              <w:jc w:val="center"/>
            </w:pPr>
            <w:r>
              <w:rPr>
                <w:rFonts w:ascii="Arial" w:hAnsi="Arial"/>
                <w:sz w:val="13"/>
              </w:rPr>
              <w:t>6</w:t>
            </w:r>
          </w:p>
        </w:tc>
        <w:tc>
          <w:tcPr>
            <w:tcW w:w="6768" w:type="dxa"/>
          </w:tcPr>
          <w:p w14:paraId="5D3114CD" w14:textId="504ED60F" w:rsidR="003D52C5" w:rsidRDefault="003D52C5" w:rsidP="00316D81">
            <w:r>
              <w:rPr>
                <w:rFonts w:ascii="Arial" w:hAnsi="Arial"/>
                <w:sz w:val="13"/>
              </w:rPr>
              <w:t>Iniesta, R. (2025)</w:t>
            </w:r>
            <w:r w:rsidR="00C74E8C">
              <w:rPr>
                <w:rFonts w:ascii="Arial" w:hAnsi="Arial"/>
                <w:sz w:val="13"/>
              </w:rPr>
              <w:t>.</w:t>
            </w:r>
            <w:r>
              <w:rPr>
                <w:rFonts w:ascii="Arial" w:hAnsi="Arial"/>
                <w:sz w:val="13"/>
              </w:rPr>
              <w:t xml:space="preserve"> ‘The human role to guarantee an ethical AI in healthcare: a five-facts approach’, AI and Ethics, 5, pp. 385–397.</w:t>
            </w:r>
          </w:p>
        </w:tc>
        <w:tc>
          <w:tcPr>
            <w:tcW w:w="792" w:type="dxa"/>
          </w:tcPr>
          <w:p w14:paraId="3EF7ECB7" w14:textId="77777777" w:rsidR="003D52C5" w:rsidRDefault="003D52C5" w:rsidP="00316D81">
            <w:pPr>
              <w:jc w:val="center"/>
            </w:pPr>
            <w:r>
              <w:rPr>
                <w:rFonts w:ascii="Arial" w:hAnsi="Arial"/>
                <w:sz w:val="13"/>
              </w:rPr>
              <w:t>2025</w:t>
            </w:r>
          </w:p>
        </w:tc>
        <w:tc>
          <w:tcPr>
            <w:tcW w:w="2880" w:type="dxa"/>
          </w:tcPr>
          <w:p w14:paraId="48410611" w14:textId="77777777" w:rsidR="003D52C5" w:rsidRDefault="003D52C5" w:rsidP="00316D81">
            <w:r>
              <w:rPr>
                <w:rFonts w:ascii="Arial" w:hAnsi="Arial"/>
                <w:sz w:val="13"/>
              </w:rPr>
              <w:t>10.1007/s43681-023-00353-x</w:t>
            </w:r>
          </w:p>
        </w:tc>
        <w:tc>
          <w:tcPr>
            <w:tcW w:w="4320" w:type="dxa"/>
          </w:tcPr>
          <w:p w14:paraId="01928F00" w14:textId="77777777" w:rsidR="003D52C5" w:rsidRDefault="003D52C5" w:rsidP="00316D81">
            <w:r>
              <w:rPr>
                <w:rFonts w:ascii="Arial" w:hAnsi="Arial"/>
                <w:sz w:val="13"/>
              </w:rPr>
              <w:t>Addresses ethical AI specifically in healthcare, with clinicians, patients and developers as the central actors; not an HEI governance study.</w:t>
            </w:r>
          </w:p>
        </w:tc>
      </w:tr>
      <w:tr w:rsidR="003D52C5" w14:paraId="37972AFD" w14:textId="77777777" w:rsidTr="00316D81">
        <w:trPr>
          <w:jc w:val="center"/>
        </w:trPr>
        <w:tc>
          <w:tcPr>
            <w:tcW w:w="605" w:type="dxa"/>
          </w:tcPr>
          <w:p w14:paraId="6FC00157" w14:textId="77777777" w:rsidR="003D52C5" w:rsidRDefault="003D52C5" w:rsidP="00316D81">
            <w:pPr>
              <w:jc w:val="center"/>
            </w:pPr>
            <w:r>
              <w:rPr>
                <w:rFonts w:ascii="Arial" w:hAnsi="Arial"/>
                <w:sz w:val="13"/>
              </w:rPr>
              <w:t>7</w:t>
            </w:r>
          </w:p>
        </w:tc>
        <w:tc>
          <w:tcPr>
            <w:tcW w:w="6768" w:type="dxa"/>
          </w:tcPr>
          <w:p w14:paraId="34004DA2" w14:textId="46D09D47" w:rsidR="003D52C5" w:rsidRDefault="003D52C5" w:rsidP="00316D81">
            <w:r>
              <w:rPr>
                <w:rFonts w:ascii="Arial" w:hAnsi="Arial"/>
                <w:sz w:val="13"/>
              </w:rPr>
              <w:t>Liao, S.M. (2023)</w:t>
            </w:r>
            <w:r w:rsidR="00C74E8C">
              <w:rPr>
                <w:rFonts w:ascii="Arial" w:hAnsi="Arial"/>
                <w:sz w:val="13"/>
              </w:rPr>
              <w:t>.</w:t>
            </w:r>
            <w:r>
              <w:rPr>
                <w:rFonts w:ascii="Arial" w:hAnsi="Arial"/>
                <w:sz w:val="13"/>
              </w:rPr>
              <w:t xml:space="preserve"> ‘Ethics of AI and Health Care: Towards a Substantive Human Rights Framework’, Topoi, 42, pp. 857–866.</w:t>
            </w:r>
          </w:p>
        </w:tc>
        <w:tc>
          <w:tcPr>
            <w:tcW w:w="792" w:type="dxa"/>
          </w:tcPr>
          <w:p w14:paraId="0AAF1067" w14:textId="77777777" w:rsidR="003D52C5" w:rsidRDefault="003D52C5" w:rsidP="00316D81">
            <w:pPr>
              <w:jc w:val="center"/>
            </w:pPr>
            <w:r>
              <w:rPr>
                <w:rFonts w:ascii="Arial" w:hAnsi="Arial"/>
                <w:sz w:val="13"/>
              </w:rPr>
              <w:t>2023</w:t>
            </w:r>
          </w:p>
        </w:tc>
        <w:tc>
          <w:tcPr>
            <w:tcW w:w="2880" w:type="dxa"/>
          </w:tcPr>
          <w:p w14:paraId="7914FD02" w14:textId="77777777" w:rsidR="003D52C5" w:rsidRDefault="003D52C5" w:rsidP="00316D81">
            <w:r>
              <w:rPr>
                <w:rFonts w:ascii="Arial" w:hAnsi="Arial"/>
                <w:sz w:val="13"/>
              </w:rPr>
              <w:t>10.1007/s11245-023-09911-8</w:t>
            </w:r>
          </w:p>
        </w:tc>
        <w:tc>
          <w:tcPr>
            <w:tcW w:w="4320" w:type="dxa"/>
          </w:tcPr>
          <w:p w14:paraId="353B1B68" w14:textId="77777777" w:rsidR="003D52C5" w:rsidRDefault="003D52C5" w:rsidP="00316D81">
            <w:r>
              <w:rPr>
                <w:rFonts w:ascii="Arial" w:hAnsi="Arial"/>
                <w:sz w:val="13"/>
              </w:rPr>
              <w:t>Provides a healthcare-specific ethical framework rather than evidence on governance structures, leadership or AI adoption in higher education.</w:t>
            </w:r>
          </w:p>
        </w:tc>
      </w:tr>
      <w:tr w:rsidR="003D52C5" w14:paraId="41D7AD4E" w14:textId="77777777" w:rsidTr="00316D81">
        <w:trPr>
          <w:jc w:val="center"/>
        </w:trPr>
        <w:tc>
          <w:tcPr>
            <w:tcW w:w="605" w:type="dxa"/>
          </w:tcPr>
          <w:p w14:paraId="3D590D51" w14:textId="77777777" w:rsidR="003D52C5" w:rsidRDefault="003D52C5" w:rsidP="00316D81">
            <w:pPr>
              <w:jc w:val="center"/>
            </w:pPr>
            <w:r>
              <w:rPr>
                <w:rFonts w:ascii="Arial" w:hAnsi="Arial"/>
                <w:sz w:val="13"/>
              </w:rPr>
              <w:t>8</w:t>
            </w:r>
          </w:p>
        </w:tc>
        <w:tc>
          <w:tcPr>
            <w:tcW w:w="6768" w:type="dxa"/>
          </w:tcPr>
          <w:p w14:paraId="1C60BB5D" w14:textId="4A7DEE2C" w:rsidR="003D52C5" w:rsidRDefault="003D52C5" w:rsidP="00316D81">
            <w:r>
              <w:rPr>
                <w:rFonts w:ascii="Arial" w:hAnsi="Arial"/>
                <w:sz w:val="13"/>
              </w:rPr>
              <w:t>Solanki, P., Grundy, J. and Hussain, W. (2023)</w:t>
            </w:r>
            <w:r w:rsidR="00C74E8C">
              <w:rPr>
                <w:rFonts w:ascii="Arial" w:hAnsi="Arial"/>
                <w:sz w:val="13"/>
              </w:rPr>
              <w:t>.</w:t>
            </w:r>
            <w:r>
              <w:rPr>
                <w:rFonts w:ascii="Arial" w:hAnsi="Arial"/>
                <w:sz w:val="13"/>
              </w:rPr>
              <w:t xml:space="preserve"> ‘Operationalising ethics in artificial intelligence for healthcare: a framework for AI developers’, AI and Ethics, 3(1), pp. 223–240.</w:t>
            </w:r>
          </w:p>
        </w:tc>
        <w:tc>
          <w:tcPr>
            <w:tcW w:w="792" w:type="dxa"/>
          </w:tcPr>
          <w:p w14:paraId="46009795" w14:textId="77777777" w:rsidR="003D52C5" w:rsidRDefault="003D52C5" w:rsidP="00316D81">
            <w:pPr>
              <w:jc w:val="center"/>
            </w:pPr>
            <w:r>
              <w:rPr>
                <w:rFonts w:ascii="Arial" w:hAnsi="Arial"/>
                <w:sz w:val="13"/>
              </w:rPr>
              <w:t>2023</w:t>
            </w:r>
          </w:p>
        </w:tc>
        <w:tc>
          <w:tcPr>
            <w:tcW w:w="2880" w:type="dxa"/>
          </w:tcPr>
          <w:p w14:paraId="1FC3FCD5" w14:textId="77777777" w:rsidR="003D52C5" w:rsidRDefault="003D52C5" w:rsidP="00316D81">
            <w:r>
              <w:rPr>
                <w:rFonts w:ascii="Arial" w:hAnsi="Arial"/>
                <w:sz w:val="13"/>
              </w:rPr>
              <w:t>10.1007/s43681-022-00195-z</w:t>
            </w:r>
          </w:p>
        </w:tc>
        <w:tc>
          <w:tcPr>
            <w:tcW w:w="4320" w:type="dxa"/>
          </w:tcPr>
          <w:p w14:paraId="3CC738B8" w14:textId="77777777" w:rsidR="003D52C5" w:rsidRDefault="003D52C5" w:rsidP="00316D81">
            <w:r>
              <w:rPr>
                <w:rFonts w:ascii="Arial" w:hAnsi="Arial"/>
                <w:sz w:val="13"/>
              </w:rPr>
              <w:t>Designed for healthcare AI developers and therefore outside the target institutional context of English public universities.</w:t>
            </w:r>
          </w:p>
        </w:tc>
      </w:tr>
      <w:tr w:rsidR="003D52C5" w14:paraId="0B571D18" w14:textId="77777777" w:rsidTr="00316D81">
        <w:trPr>
          <w:jc w:val="center"/>
        </w:trPr>
        <w:tc>
          <w:tcPr>
            <w:tcW w:w="605" w:type="dxa"/>
          </w:tcPr>
          <w:p w14:paraId="0A206799" w14:textId="77777777" w:rsidR="003D52C5" w:rsidRDefault="003D52C5" w:rsidP="00316D81">
            <w:pPr>
              <w:jc w:val="center"/>
            </w:pPr>
            <w:r>
              <w:rPr>
                <w:rFonts w:ascii="Arial" w:hAnsi="Arial"/>
                <w:sz w:val="13"/>
              </w:rPr>
              <w:t>9</w:t>
            </w:r>
          </w:p>
        </w:tc>
        <w:tc>
          <w:tcPr>
            <w:tcW w:w="6768" w:type="dxa"/>
          </w:tcPr>
          <w:p w14:paraId="18331F64" w14:textId="313C0CC6" w:rsidR="003D52C5" w:rsidRDefault="003D52C5" w:rsidP="00316D81">
            <w:r>
              <w:rPr>
                <w:rFonts w:ascii="Arial" w:hAnsi="Arial"/>
                <w:sz w:val="13"/>
              </w:rPr>
              <w:t xml:space="preserve">Amini, M.M., Jesus, M., Sheikholeslami, D.F., Alves, P., Hassanzadeh Benam, A. </w:t>
            </w:r>
            <w:r w:rsidR="009F354A">
              <w:rPr>
                <w:rFonts w:ascii="Arial" w:hAnsi="Arial"/>
                <w:sz w:val="13"/>
              </w:rPr>
              <w:t>and</w:t>
            </w:r>
            <w:r>
              <w:rPr>
                <w:rFonts w:ascii="Arial" w:hAnsi="Arial"/>
                <w:sz w:val="13"/>
              </w:rPr>
              <w:t xml:space="preserve"> Hariri, F. (2023)</w:t>
            </w:r>
            <w:r w:rsidR="00A910E3">
              <w:rPr>
                <w:rFonts w:ascii="Arial" w:hAnsi="Arial"/>
                <w:sz w:val="13"/>
              </w:rPr>
              <w:t>.</w:t>
            </w:r>
            <w:r>
              <w:rPr>
                <w:rFonts w:ascii="Arial" w:hAnsi="Arial"/>
                <w:sz w:val="13"/>
              </w:rPr>
              <w:t xml:space="preserve"> ‘Artificial Intelligence Ethics and Challenges in Healthcare Applications: A Comprehensive Review in the Context of the European GDPR Mandate’, Machine Learning and Knowledge Extraction, 5(3), pp. 1023–1035.</w:t>
            </w:r>
          </w:p>
        </w:tc>
        <w:tc>
          <w:tcPr>
            <w:tcW w:w="792" w:type="dxa"/>
          </w:tcPr>
          <w:p w14:paraId="7C480BC0" w14:textId="77777777" w:rsidR="003D52C5" w:rsidRDefault="003D52C5" w:rsidP="00316D81">
            <w:pPr>
              <w:jc w:val="center"/>
            </w:pPr>
            <w:r>
              <w:rPr>
                <w:rFonts w:ascii="Arial" w:hAnsi="Arial"/>
                <w:sz w:val="13"/>
              </w:rPr>
              <w:t>2023</w:t>
            </w:r>
          </w:p>
        </w:tc>
        <w:tc>
          <w:tcPr>
            <w:tcW w:w="2880" w:type="dxa"/>
          </w:tcPr>
          <w:p w14:paraId="72F7CF71" w14:textId="77777777" w:rsidR="003D52C5" w:rsidRDefault="003D52C5" w:rsidP="00316D81">
            <w:r>
              <w:rPr>
                <w:rFonts w:ascii="Arial" w:hAnsi="Arial"/>
                <w:sz w:val="13"/>
              </w:rPr>
              <w:t>10.3390/make5030053</w:t>
            </w:r>
          </w:p>
        </w:tc>
        <w:tc>
          <w:tcPr>
            <w:tcW w:w="4320" w:type="dxa"/>
          </w:tcPr>
          <w:p w14:paraId="27DE0449" w14:textId="77777777" w:rsidR="003D52C5" w:rsidRDefault="003D52C5" w:rsidP="00316D81">
            <w:r>
              <w:rPr>
                <w:rFonts w:ascii="Arial" w:hAnsi="Arial"/>
                <w:sz w:val="13"/>
              </w:rPr>
              <w:t>Concentrates on healthcare applications and GDPR-related clinical issues rather than HEI governance and strategic management.</w:t>
            </w:r>
          </w:p>
        </w:tc>
      </w:tr>
      <w:tr w:rsidR="003D52C5" w14:paraId="67D19AA6" w14:textId="77777777" w:rsidTr="00316D81">
        <w:trPr>
          <w:jc w:val="center"/>
        </w:trPr>
        <w:tc>
          <w:tcPr>
            <w:tcW w:w="605" w:type="dxa"/>
          </w:tcPr>
          <w:p w14:paraId="2803DA84" w14:textId="77777777" w:rsidR="003D52C5" w:rsidRDefault="003D52C5" w:rsidP="00316D81">
            <w:pPr>
              <w:jc w:val="center"/>
            </w:pPr>
            <w:r>
              <w:rPr>
                <w:rFonts w:ascii="Arial" w:hAnsi="Arial"/>
                <w:sz w:val="13"/>
              </w:rPr>
              <w:t>10</w:t>
            </w:r>
          </w:p>
        </w:tc>
        <w:tc>
          <w:tcPr>
            <w:tcW w:w="6768" w:type="dxa"/>
          </w:tcPr>
          <w:p w14:paraId="36E2C7A8" w14:textId="3B4209E5" w:rsidR="003D52C5" w:rsidRDefault="003D52C5" w:rsidP="00316D81">
            <w:r>
              <w:rPr>
                <w:rFonts w:ascii="Arial" w:hAnsi="Arial"/>
                <w:sz w:val="13"/>
              </w:rPr>
              <w:t>Giovanola, B. and Tiribelli, S. (2023)</w:t>
            </w:r>
            <w:r w:rsidR="00C74E8C">
              <w:rPr>
                <w:rFonts w:ascii="Arial" w:hAnsi="Arial"/>
                <w:sz w:val="13"/>
              </w:rPr>
              <w:t>.</w:t>
            </w:r>
            <w:r>
              <w:rPr>
                <w:rFonts w:ascii="Arial" w:hAnsi="Arial"/>
                <w:sz w:val="13"/>
              </w:rPr>
              <w:t xml:space="preserve"> ‘Beyond bias and discrimination: redefining the AI ethics principle of fairness in healthcare machine-learning algorithms’, AI </w:t>
            </w:r>
            <w:r w:rsidR="009F354A">
              <w:rPr>
                <w:rFonts w:ascii="Arial" w:hAnsi="Arial"/>
                <w:sz w:val="13"/>
              </w:rPr>
              <w:t>and</w:t>
            </w:r>
            <w:r>
              <w:rPr>
                <w:rFonts w:ascii="Arial" w:hAnsi="Arial"/>
                <w:sz w:val="13"/>
              </w:rPr>
              <w:t xml:space="preserve"> Society, 38(2), pp. 549–563.</w:t>
            </w:r>
          </w:p>
        </w:tc>
        <w:tc>
          <w:tcPr>
            <w:tcW w:w="792" w:type="dxa"/>
          </w:tcPr>
          <w:p w14:paraId="3512395F" w14:textId="77777777" w:rsidR="003D52C5" w:rsidRDefault="003D52C5" w:rsidP="00316D81">
            <w:pPr>
              <w:jc w:val="center"/>
            </w:pPr>
            <w:r>
              <w:rPr>
                <w:rFonts w:ascii="Arial" w:hAnsi="Arial"/>
                <w:sz w:val="13"/>
              </w:rPr>
              <w:t>2023</w:t>
            </w:r>
          </w:p>
        </w:tc>
        <w:tc>
          <w:tcPr>
            <w:tcW w:w="2880" w:type="dxa"/>
          </w:tcPr>
          <w:p w14:paraId="172FB3FA" w14:textId="77777777" w:rsidR="003D52C5" w:rsidRDefault="003D52C5" w:rsidP="00316D81">
            <w:r>
              <w:rPr>
                <w:rFonts w:ascii="Arial" w:hAnsi="Arial"/>
                <w:sz w:val="13"/>
              </w:rPr>
              <w:t>10.1007/s00146-022-01455-6</w:t>
            </w:r>
          </w:p>
        </w:tc>
        <w:tc>
          <w:tcPr>
            <w:tcW w:w="4320" w:type="dxa"/>
          </w:tcPr>
          <w:p w14:paraId="1C1835B8" w14:textId="77777777" w:rsidR="003D52C5" w:rsidRDefault="003D52C5" w:rsidP="00316D81">
            <w:r>
              <w:rPr>
                <w:rFonts w:ascii="Arial" w:hAnsi="Arial"/>
                <w:sz w:val="13"/>
              </w:rPr>
              <w:t>Relevant to AI fairness but healthcare-specific and not focused on institutional governance or higher education.</w:t>
            </w:r>
          </w:p>
        </w:tc>
      </w:tr>
      <w:tr w:rsidR="003D52C5" w14:paraId="410BD74E" w14:textId="77777777" w:rsidTr="00316D81">
        <w:trPr>
          <w:jc w:val="center"/>
        </w:trPr>
        <w:tc>
          <w:tcPr>
            <w:tcW w:w="605" w:type="dxa"/>
          </w:tcPr>
          <w:p w14:paraId="6F26C518" w14:textId="77777777" w:rsidR="003D52C5" w:rsidRDefault="003D52C5" w:rsidP="00316D81">
            <w:pPr>
              <w:jc w:val="center"/>
            </w:pPr>
            <w:r>
              <w:rPr>
                <w:rFonts w:ascii="Arial" w:hAnsi="Arial"/>
                <w:sz w:val="13"/>
              </w:rPr>
              <w:t>11</w:t>
            </w:r>
          </w:p>
        </w:tc>
        <w:tc>
          <w:tcPr>
            <w:tcW w:w="6768" w:type="dxa"/>
          </w:tcPr>
          <w:p w14:paraId="3D640E0C" w14:textId="736CC065" w:rsidR="003D52C5" w:rsidRDefault="003D52C5" w:rsidP="00316D81">
            <w:r>
              <w:rPr>
                <w:rFonts w:ascii="Arial" w:hAnsi="Arial"/>
                <w:sz w:val="13"/>
              </w:rPr>
              <w:t>Hassan, M., Borycki, E.M. and Kushniruk, A.W. (2025)</w:t>
            </w:r>
            <w:r w:rsidR="00C74E8C">
              <w:rPr>
                <w:rFonts w:ascii="Arial" w:hAnsi="Arial"/>
                <w:sz w:val="13"/>
              </w:rPr>
              <w:t>.</w:t>
            </w:r>
            <w:r>
              <w:rPr>
                <w:rFonts w:ascii="Arial" w:hAnsi="Arial"/>
                <w:sz w:val="13"/>
              </w:rPr>
              <w:t xml:space="preserve"> ‘Artificial intelligence governance framework for healthcare’, Healthcare Management Forum, 38(2), pp. 125–130.</w:t>
            </w:r>
          </w:p>
        </w:tc>
        <w:tc>
          <w:tcPr>
            <w:tcW w:w="792" w:type="dxa"/>
          </w:tcPr>
          <w:p w14:paraId="427BC497" w14:textId="77777777" w:rsidR="003D52C5" w:rsidRDefault="003D52C5" w:rsidP="00316D81">
            <w:pPr>
              <w:jc w:val="center"/>
            </w:pPr>
            <w:r>
              <w:rPr>
                <w:rFonts w:ascii="Arial" w:hAnsi="Arial"/>
                <w:sz w:val="13"/>
              </w:rPr>
              <w:t>2025</w:t>
            </w:r>
          </w:p>
        </w:tc>
        <w:tc>
          <w:tcPr>
            <w:tcW w:w="2880" w:type="dxa"/>
          </w:tcPr>
          <w:p w14:paraId="2131B3B8" w14:textId="77777777" w:rsidR="003D52C5" w:rsidRDefault="003D52C5" w:rsidP="00316D81">
            <w:r>
              <w:rPr>
                <w:rFonts w:ascii="Arial" w:hAnsi="Arial"/>
                <w:sz w:val="13"/>
              </w:rPr>
              <w:t>10.1177/08404704241291226</w:t>
            </w:r>
          </w:p>
        </w:tc>
        <w:tc>
          <w:tcPr>
            <w:tcW w:w="4320" w:type="dxa"/>
          </w:tcPr>
          <w:p w14:paraId="0AC84BAD" w14:textId="77777777" w:rsidR="003D52C5" w:rsidRDefault="003D52C5" w:rsidP="00316D81">
            <w:r>
              <w:rPr>
                <w:rFonts w:ascii="Arial" w:hAnsi="Arial"/>
                <w:sz w:val="13"/>
              </w:rPr>
              <w:t>Directly relevant to AI governance but developed for healthcare organisations rather than universities; excluded from the core HEI evidence synthesis on contextual grounds.</w:t>
            </w:r>
          </w:p>
        </w:tc>
      </w:tr>
      <w:tr w:rsidR="003D52C5" w14:paraId="6A8056F8" w14:textId="77777777" w:rsidTr="00316D81">
        <w:trPr>
          <w:jc w:val="center"/>
        </w:trPr>
        <w:tc>
          <w:tcPr>
            <w:tcW w:w="605" w:type="dxa"/>
          </w:tcPr>
          <w:p w14:paraId="7E4FB2A9" w14:textId="77777777" w:rsidR="003D52C5" w:rsidRDefault="003D52C5" w:rsidP="00316D81">
            <w:pPr>
              <w:jc w:val="center"/>
            </w:pPr>
            <w:r>
              <w:rPr>
                <w:rFonts w:ascii="Arial" w:hAnsi="Arial"/>
                <w:sz w:val="13"/>
              </w:rPr>
              <w:t>12</w:t>
            </w:r>
          </w:p>
        </w:tc>
        <w:tc>
          <w:tcPr>
            <w:tcW w:w="6768" w:type="dxa"/>
          </w:tcPr>
          <w:p w14:paraId="5285E9BD" w14:textId="2099EF61" w:rsidR="003D52C5" w:rsidRDefault="003D52C5" w:rsidP="00316D81">
            <w:r>
              <w:rPr>
                <w:rFonts w:ascii="Arial" w:hAnsi="Arial"/>
                <w:sz w:val="13"/>
              </w:rPr>
              <w:t>Gouseti, A., James, F., Fallin, L. and Burden, K. (2025)</w:t>
            </w:r>
            <w:r w:rsidR="00C74E8C">
              <w:rPr>
                <w:rFonts w:ascii="Arial" w:hAnsi="Arial"/>
                <w:sz w:val="13"/>
              </w:rPr>
              <w:t>.</w:t>
            </w:r>
            <w:r>
              <w:rPr>
                <w:rFonts w:ascii="Arial" w:hAnsi="Arial"/>
                <w:sz w:val="13"/>
              </w:rPr>
              <w:t xml:space="preserve"> ‘The ethics of using AI in K-12 education: a systematic literature review’, Technology, Pedagogy and Education, 34(2), pp. 161–182.</w:t>
            </w:r>
          </w:p>
        </w:tc>
        <w:tc>
          <w:tcPr>
            <w:tcW w:w="792" w:type="dxa"/>
          </w:tcPr>
          <w:p w14:paraId="7664EAAC" w14:textId="77777777" w:rsidR="003D52C5" w:rsidRDefault="003D52C5" w:rsidP="00316D81">
            <w:pPr>
              <w:jc w:val="center"/>
            </w:pPr>
            <w:r>
              <w:rPr>
                <w:rFonts w:ascii="Arial" w:hAnsi="Arial"/>
                <w:sz w:val="13"/>
              </w:rPr>
              <w:t>2025</w:t>
            </w:r>
          </w:p>
        </w:tc>
        <w:tc>
          <w:tcPr>
            <w:tcW w:w="2880" w:type="dxa"/>
          </w:tcPr>
          <w:p w14:paraId="188BC1B9" w14:textId="77777777" w:rsidR="003D52C5" w:rsidRDefault="003D52C5" w:rsidP="00316D81">
            <w:r>
              <w:rPr>
                <w:rFonts w:ascii="Arial" w:hAnsi="Arial"/>
                <w:sz w:val="13"/>
              </w:rPr>
              <w:t>10.1080/1475939X.2024.2428601</w:t>
            </w:r>
          </w:p>
        </w:tc>
        <w:tc>
          <w:tcPr>
            <w:tcW w:w="4320" w:type="dxa"/>
          </w:tcPr>
          <w:p w14:paraId="449385C9" w14:textId="77777777" w:rsidR="003D52C5" w:rsidRDefault="003D52C5" w:rsidP="00316D81">
            <w:r>
              <w:rPr>
                <w:rFonts w:ascii="Arial" w:hAnsi="Arial"/>
                <w:sz w:val="13"/>
              </w:rPr>
              <w:t>Peer-reviewed and relevant to AI ethics in education, but the population and policy setting are K-12/compulsory schooling rather than higher education institutions.</w:t>
            </w:r>
          </w:p>
        </w:tc>
      </w:tr>
      <w:tr w:rsidR="003D52C5" w14:paraId="0F1EC3A8" w14:textId="77777777" w:rsidTr="00316D81">
        <w:trPr>
          <w:jc w:val="center"/>
        </w:trPr>
        <w:tc>
          <w:tcPr>
            <w:tcW w:w="605" w:type="dxa"/>
          </w:tcPr>
          <w:p w14:paraId="589557F6" w14:textId="77777777" w:rsidR="003D52C5" w:rsidRDefault="003D52C5" w:rsidP="00316D81">
            <w:pPr>
              <w:jc w:val="center"/>
            </w:pPr>
            <w:r>
              <w:rPr>
                <w:rFonts w:ascii="Arial" w:hAnsi="Arial"/>
                <w:sz w:val="13"/>
              </w:rPr>
              <w:t>13</w:t>
            </w:r>
          </w:p>
        </w:tc>
        <w:tc>
          <w:tcPr>
            <w:tcW w:w="6768" w:type="dxa"/>
          </w:tcPr>
          <w:p w14:paraId="745C5979" w14:textId="6BB963E3" w:rsidR="003D52C5" w:rsidRDefault="003D52C5" w:rsidP="00316D81">
            <w:r>
              <w:rPr>
                <w:rFonts w:ascii="Arial" w:hAnsi="Arial"/>
                <w:sz w:val="13"/>
              </w:rPr>
              <w:t>Akgün, S. and Krajcik, J. (2024)</w:t>
            </w:r>
            <w:r w:rsidR="00C74E8C">
              <w:rPr>
                <w:rFonts w:ascii="Arial" w:hAnsi="Arial"/>
                <w:sz w:val="13"/>
              </w:rPr>
              <w:t>.</w:t>
            </w:r>
            <w:r>
              <w:rPr>
                <w:rFonts w:ascii="Arial" w:hAnsi="Arial"/>
                <w:sz w:val="13"/>
              </w:rPr>
              <w:t xml:space="preserve"> ‘Artificial Intelligence (AI) as the Growing Actor in Education: Raising Critical Consciousness towards Power and Ethics of AI in K–12 STEM Classrooms’, in Uses of Artificial Intelligence in STEM Education, pp. 494–521. Oxford: Oxford University Press.</w:t>
            </w:r>
          </w:p>
        </w:tc>
        <w:tc>
          <w:tcPr>
            <w:tcW w:w="792" w:type="dxa"/>
          </w:tcPr>
          <w:p w14:paraId="15E16062" w14:textId="77777777" w:rsidR="003D52C5" w:rsidRDefault="003D52C5" w:rsidP="00316D81">
            <w:pPr>
              <w:jc w:val="center"/>
            </w:pPr>
            <w:r>
              <w:rPr>
                <w:rFonts w:ascii="Arial" w:hAnsi="Arial"/>
                <w:sz w:val="13"/>
              </w:rPr>
              <w:t>2024</w:t>
            </w:r>
          </w:p>
        </w:tc>
        <w:tc>
          <w:tcPr>
            <w:tcW w:w="2880" w:type="dxa"/>
          </w:tcPr>
          <w:p w14:paraId="023B58F6" w14:textId="77777777" w:rsidR="003D52C5" w:rsidRDefault="003D52C5" w:rsidP="00316D81">
            <w:r>
              <w:rPr>
                <w:rFonts w:ascii="Arial" w:hAnsi="Arial"/>
                <w:sz w:val="13"/>
              </w:rPr>
              <w:t>10.1093/oso/9780198882077.003.0022</w:t>
            </w:r>
          </w:p>
        </w:tc>
        <w:tc>
          <w:tcPr>
            <w:tcW w:w="4320" w:type="dxa"/>
          </w:tcPr>
          <w:p w14:paraId="39D0822D" w14:textId="77777777" w:rsidR="003D52C5" w:rsidRDefault="003D52C5" w:rsidP="00316D81">
            <w:r>
              <w:rPr>
                <w:rFonts w:ascii="Arial" w:hAnsi="Arial"/>
                <w:sz w:val="13"/>
              </w:rPr>
              <w:t>Addresses ethics and power of AI in K-12 STEM classrooms rather than governance in universities; it is also a book chapter rather than a peer-reviewed journal article.</w:t>
            </w:r>
          </w:p>
        </w:tc>
      </w:tr>
      <w:tr w:rsidR="003D52C5" w14:paraId="30752D3F" w14:textId="77777777" w:rsidTr="00316D81">
        <w:trPr>
          <w:jc w:val="center"/>
        </w:trPr>
        <w:tc>
          <w:tcPr>
            <w:tcW w:w="605" w:type="dxa"/>
          </w:tcPr>
          <w:p w14:paraId="2A44BD34" w14:textId="77777777" w:rsidR="003D52C5" w:rsidRDefault="003D52C5" w:rsidP="00316D81">
            <w:pPr>
              <w:jc w:val="center"/>
            </w:pPr>
            <w:r>
              <w:rPr>
                <w:rFonts w:ascii="Arial" w:hAnsi="Arial"/>
                <w:sz w:val="13"/>
              </w:rPr>
              <w:t>14</w:t>
            </w:r>
          </w:p>
        </w:tc>
        <w:tc>
          <w:tcPr>
            <w:tcW w:w="6768" w:type="dxa"/>
          </w:tcPr>
          <w:p w14:paraId="2A1B3E12" w14:textId="45C4D3CD" w:rsidR="003D52C5" w:rsidRDefault="003D52C5" w:rsidP="00316D81">
            <w:r>
              <w:rPr>
                <w:rFonts w:ascii="Arial" w:hAnsi="Arial"/>
                <w:sz w:val="13"/>
              </w:rPr>
              <w:t>Hodge, A. (2026)</w:t>
            </w:r>
            <w:r w:rsidR="00C74E8C">
              <w:rPr>
                <w:rFonts w:ascii="Arial" w:hAnsi="Arial"/>
                <w:sz w:val="13"/>
              </w:rPr>
              <w:t>.</w:t>
            </w:r>
            <w:r>
              <w:rPr>
                <w:rFonts w:ascii="Arial" w:hAnsi="Arial"/>
                <w:sz w:val="13"/>
              </w:rPr>
              <w:t xml:space="preserve"> ‘Institutional AI Governance in Higher Education: A Scoping Review of Policy-to-Practice Implementation’, Research Square, preprint.</w:t>
            </w:r>
          </w:p>
        </w:tc>
        <w:tc>
          <w:tcPr>
            <w:tcW w:w="792" w:type="dxa"/>
          </w:tcPr>
          <w:p w14:paraId="72290BA2" w14:textId="77777777" w:rsidR="003D52C5" w:rsidRDefault="003D52C5" w:rsidP="00316D81">
            <w:pPr>
              <w:jc w:val="center"/>
            </w:pPr>
            <w:r>
              <w:rPr>
                <w:rFonts w:ascii="Arial" w:hAnsi="Arial"/>
                <w:sz w:val="13"/>
              </w:rPr>
              <w:t>2026</w:t>
            </w:r>
          </w:p>
        </w:tc>
        <w:tc>
          <w:tcPr>
            <w:tcW w:w="2880" w:type="dxa"/>
          </w:tcPr>
          <w:p w14:paraId="2BB0308D" w14:textId="77777777" w:rsidR="003D52C5" w:rsidRDefault="003D52C5" w:rsidP="00316D81">
            <w:r>
              <w:rPr>
                <w:rFonts w:ascii="Arial" w:hAnsi="Arial"/>
                <w:sz w:val="13"/>
              </w:rPr>
              <w:t>10.21203/rs.3.rs-9893056/v1</w:t>
            </w:r>
          </w:p>
        </w:tc>
        <w:tc>
          <w:tcPr>
            <w:tcW w:w="4320" w:type="dxa"/>
          </w:tcPr>
          <w:p w14:paraId="21435DE0" w14:textId="77777777" w:rsidR="003D52C5" w:rsidRDefault="003D52C5" w:rsidP="00316D81">
            <w:r>
              <w:rPr>
                <w:rFonts w:ascii="Arial" w:hAnsi="Arial"/>
                <w:sz w:val="13"/>
              </w:rPr>
              <w:t>Preprint/scoping review and therefore not a peer-reviewed journal article at the point represented by this record.</w:t>
            </w:r>
          </w:p>
        </w:tc>
      </w:tr>
      <w:tr w:rsidR="003D52C5" w14:paraId="5FBB0340" w14:textId="77777777" w:rsidTr="00316D81">
        <w:trPr>
          <w:jc w:val="center"/>
        </w:trPr>
        <w:tc>
          <w:tcPr>
            <w:tcW w:w="605" w:type="dxa"/>
          </w:tcPr>
          <w:p w14:paraId="1A559FAF" w14:textId="77777777" w:rsidR="003D52C5" w:rsidRDefault="003D52C5" w:rsidP="00316D81">
            <w:pPr>
              <w:jc w:val="center"/>
            </w:pPr>
            <w:r>
              <w:rPr>
                <w:rFonts w:ascii="Arial" w:hAnsi="Arial"/>
                <w:sz w:val="13"/>
              </w:rPr>
              <w:t>15</w:t>
            </w:r>
          </w:p>
        </w:tc>
        <w:tc>
          <w:tcPr>
            <w:tcW w:w="6768" w:type="dxa"/>
          </w:tcPr>
          <w:p w14:paraId="61DBAF39" w14:textId="7039C0CE" w:rsidR="003D52C5" w:rsidRDefault="003D52C5" w:rsidP="00316D81">
            <w:r>
              <w:rPr>
                <w:rFonts w:ascii="Arial" w:hAnsi="Arial"/>
                <w:sz w:val="13"/>
              </w:rPr>
              <w:t>Tao, Y., Ryan, M., Bialy, F. and Zhang, X. (2026)</w:t>
            </w:r>
            <w:r w:rsidR="00C74E8C">
              <w:rPr>
                <w:rFonts w:ascii="Arial" w:hAnsi="Arial"/>
                <w:sz w:val="13"/>
              </w:rPr>
              <w:t>.</w:t>
            </w:r>
            <w:r>
              <w:rPr>
                <w:rFonts w:ascii="Arial" w:hAnsi="Arial"/>
                <w:sz w:val="13"/>
              </w:rPr>
              <w:t xml:space="preserve"> ‘Assessment-focused governance mode? Mapping Generative AI policies across 76 UK higher education institutions: Policy framework and recommendations’, Research Square, preprint.</w:t>
            </w:r>
          </w:p>
        </w:tc>
        <w:tc>
          <w:tcPr>
            <w:tcW w:w="792" w:type="dxa"/>
          </w:tcPr>
          <w:p w14:paraId="43DE15D1" w14:textId="77777777" w:rsidR="003D52C5" w:rsidRDefault="003D52C5" w:rsidP="00316D81">
            <w:pPr>
              <w:jc w:val="center"/>
            </w:pPr>
            <w:r>
              <w:rPr>
                <w:rFonts w:ascii="Arial" w:hAnsi="Arial"/>
                <w:sz w:val="13"/>
              </w:rPr>
              <w:t>2026</w:t>
            </w:r>
          </w:p>
        </w:tc>
        <w:tc>
          <w:tcPr>
            <w:tcW w:w="2880" w:type="dxa"/>
          </w:tcPr>
          <w:p w14:paraId="39F7D349" w14:textId="77777777" w:rsidR="003D52C5" w:rsidRDefault="003D52C5" w:rsidP="00316D81">
            <w:r>
              <w:rPr>
                <w:rFonts w:ascii="Arial" w:hAnsi="Arial"/>
                <w:sz w:val="13"/>
              </w:rPr>
              <w:t>10.21203/rs.3.rs-10029667/v1</w:t>
            </w:r>
          </w:p>
        </w:tc>
        <w:tc>
          <w:tcPr>
            <w:tcW w:w="4320" w:type="dxa"/>
          </w:tcPr>
          <w:p w14:paraId="7371619F" w14:textId="77777777" w:rsidR="003D52C5" w:rsidRDefault="003D52C5" w:rsidP="00316D81">
            <w:r>
              <w:rPr>
                <w:rFonts w:ascii="Arial" w:hAnsi="Arial"/>
                <w:sz w:val="13"/>
              </w:rPr>
              <w:t>Highly relevant to UK HE governance, but the located record is a preprint rather than a peer-reviewed journal publication.</w:t>
            </w:r>
          </w:p>
        </w:tc>
      </w:tr>
      <w:tr w:rsidR="003D52C5" w14:paraId="2B5E041A" w14:textId="77777777" w:rsidTr="00316D81">
        <w:trPr>
          <w:jc w:val="center"/>
        </w:trPr>
        <w:tc>
          <w:tcPr>
            <w:tcW w:w="605" w:type="dxa"/>
          </w:tcPr>
          <w:p w14:paraId="24789D12" w14:textId="77777777" w:rsidR="003D52C5" w:rsidRDefault="003D52C5" w:rsidP="00316D81">
            <w:pPr>
              <w:jc w:val="center"/>
            </w:pPr>
            <w:r>
              <w:rPr>
                <w:rFonts w:ascii="Arial" w:hAnsi="Arial"/>
                <w:sz w:val="13"/>
              </w:rPr>
              <w:t>16</w:t>
            </w:r>
          </w:p>
        </w:tc>
        <w:tc>
          <w:tcPr>
            <w:tcW w:w="6768" w:type="dxa"/>
          </w:tcPr>
          <w:p w14:paraId="422E87D1" w14:textId="36E5F623" w:rsidR="003D52C5" w:rsidRDefault="003D52C5" w:rsidP="00316D81">
            <w:r>
              <w:rPr>
                <w:rFonts w:ascii="Arial" w:hAnsi="Arial"/>
                <w:sz w:val="13"/>
              </w:rPr>
              <w:t>Choi, H. and Park, M.J. (2023)</w:t>
            </w:r>
            <w:r w:rsidR="00C74E8C">
              <w:rPr>
                <w:rFonts w:ascii="Arial" w:hAnsi="Arial"/>
                <w:sz w:val="13"/>
              </w:rPr>
              <w:t>.</w:t>
            </w:r>
            <w:r>
              <w:rPr>
                <w:rFonts w:ascii="Arial" w:hAnsi="Arial"/>
                <w:sz w:val="13"/>
              </w:rPr>
              <w:t xml:space="preserve"> ‘To govern or be governed: an integrated framework for AI governance in the public sector’, Science and Public Policy, 50(6), pp. 1059–1072.</w:t>
            </w:r>
          </w:p>
        </w:tc>
        <w:tc>
          <w:tcPr>
            <w:tcW w:w="792" w:type="dxa"/>
          </w:tcPr>
          <w:p w14:paraId="0E1D3352" w14:textId="77777777" w:rsidR="003D52C5" w:rsidRDefault="003D52C5" w:rsidP="00316D81">
            <w:pPr>
              <w:jc w:val="center"/>
            </w:pPr>
            <w:r>
              <w:rPr>
                <w:rFonts w:ascii="Arial" w:hAnsi="Arial"/>
                <w:sz w:val="13"/>
              </w:rPr>
              <w:t>2023</w:t>
            </w:r>
          </w:p>
        </w:tc>
        <w:tc>
          <w:tcPr>
            <w:tcW w:w="2880" w:type="dxa"/>
          </w:tcPr>
          <w:p w14:paraId="114694D4" w14:textId="77777777" w:rsidR="003D52C5" w:rsidRDefault="003D52C5" w:rsidP="00316D81">
            <w:r>
              <w:rPr>
                <w:rFonts w:ascii="Arial" w:hAnsi="Arial"/>
                <w:sz w:val="13"/>
              </w:rPr>
              <w:t>10.1093/scipol/scad045</w:t>
            </w:r>
          </w:p>
        </w:tc>
        <w:tc>
          <w:tcPr>
            <w:tcW w:w="4320" w:type="dxa"/>
          </w:tcPr>
          <w:p w14:paraId="5BC839CB" w14:textId="77777777" w:rsidR="003D52C5" w:rsidRDefault="003D52C5" w:rsidP="00316D81">
            <w:r>
              <w:rPr>
                <w:rFonts w:ascii="Arial" w:hAnsi="Arial"/>
                <w:sz w:val="13"/>
              </w:rPr>
              <w:t>Provides a public-sector AI governance framework and a Korean expert case study, but it does not examine higher education or English public universities.</w:t>
            </w:r>
          </w:p>
        </w:tc>
      </w:tr>
      <w:tr w:rsidR="003D52C5" w14:paraId="0AD3B483" w14:textId="77777777" w:rsidTr="00316D81">
        <w:trPr>
          <w:jc w:val="center"/>
        </w:trPr>
        <w:tc>
          <w:tcPr>
            <w:tcW w:w="605" w:type="dxa"/>
          </w:tcPr>
          <w:p w14:paraId="50D02DBD" w14:textId="77777777" w:rsidR="003D52C5" w:rsidRDefault="003D52C5" w:rsidP="00316D81">
            <w:pPr>
              <w:jc w:val="center"/>
            </w:pPr>
            <w:r>
              <w:rPr>
                <w:rFonts w:ascii="Arial" w:hAnsi="Arial"/>
                <w:sz w:val="13"/>
              </w:rPr>
              <w:t>17</w:t>
            </w:r>
          </w:p>
        </w:tc>
        <w:tc>
          <w:tcPr>
            <w:tcW w:w="6768" w:type="dxa"/>
          </w:tcPr>
          <w:p w14:paraId="5D7792C3" w14:textId="40656FE2" w:rsidR="003D52C5" w:rsidRDefault="003D52C5" w:rsidP="00316D81">
            <w:r>
              <w:rPr>
                <w:rFonts w:ascii="Arial" w:hAnsi="Arial"/>
                <w:sz w:val="13"/>
              </w:rPr>
              <w:t>Bouderhem, R. (2024)</w:t>
            </w:r>
            <w:r w:rsidR="00C74E8C">
              <w:rPr>
                <w:rFonts w:ascii="Arial" w:hAnsi="Arial"/>
                <w:sz w:val="13"/>
              </w:rPr>
              <w:t>.</w:t>
            </w:r>
            <w:r>
              <w:rPr>
                <w:rFonts w:ascii="Arial" w:hAnsi="Arial"/>
                <w:sz w:val="13"/>
              </w:rPr>
              <w:t xml:space="preserve"> ‘Shaping the future of AI in healthcare through ethics and governance’, Humanities and Social Sciences Communications, 11, 416.</w:t>
            </w:r>
          </w:p>
        </w:tc>
        <w:tc>
          <w:tcPr>
            <w:tcW w:w="792" w:type="dxa"/>
          </w:tcPr>
          <w:p w14:paraId="4F461A48" w14:textId="77777777" w:rsidR="003D52C5" w:rsidRDefault="003D52C5" w:rsidP="00316D81">
            <w:pPr>
              <w:jc w:val="center"/>
            </w:pPr>
            <w:r>
              <w:rPr>
                <w:rFonts w:ascii="Arial" w:hAnsi="Arial"/>
                <w:sz w:val="13"/>
              </w:rPr>
              <w:t>2024</w:t>
            </w:r>
          </w:p>
        </w:tc>
        <w:tc>
          <w:tcPr>
            <w:tcW w:w="2880" w:type="dxa"/>
          </w:tcPr>
          <w:p w14:paraId="4F6B1505" w14:textId="77777777" w:rsidR="003D52C5" w:rsidRDefault="003D52C5" w:rsidP="00316D81">
            <w:r>
              <w:rPr>
                <w:rFonts w:ascii="Arial" w:hAnsi="Arial"/>
                <w:sz w:val="13"/>
              </w:rPr>
              <w:t>10.1057/s41599-024-02894-w</w:t>
            </w:r>
          </w:p>
        </w:tc>
        <w:tc>
          <w:tcPr>
            <w:tcW w:w="4320" w:type="dxa"/>
          </w:tcPr>
          <w:p w14:paraId="5A124AFD" w14:textId="77777777" w:rsidR="003D52C5" w:rsidRDefault="003D52C5" w:rsidP="00316D81">
            <w:r>
              <w:rPr>
                <w:rFonts w:ascii="Arial" w:hAnsi="Arial"/>
                <w:sz w:val="13"/>
              </w:rPr>
              <w:t>Examines ethical and regulatory governance of AI in healthcare rather than higher education; therefore the institutional setting falls outside the review’s HEI focus.</w:t>
            </w:r>
          </w:p>
        </w:tc>
      </w:tr>
      <w:tr w:rsidR="003D52C5" w14:paraId="0B7AB6D5" w14:textId="77777777" w:rsidTr="00316D81">
        <w:trPr>
          <w:jc w:val="center"/>
        </w:trPr>
        <w:tc>
          <w:tcPr>
            <w:tcW w:w="605" w:type="dxa"/>
          </w:tcPr>
          <w:p w14:paraId="76C0CEF1" w14:textId="77777777" w:rsidR="003D52C5" w:rsidRDefault="003D52C5" w:rsidP="00316D81">
            <w:pPr>
              <w:jc w:val="center"/>
            </w:pPr>
            <w:r>
              <w:rPr>
                <w:rFonts w:ascii="Arial" w:hAnsi="Arial"/>
                <w:sz w:val="13"/>
              </w:rPr>
              <w:t>18</w:t>
            </w:r>
          </w:p>
        </w:tc>
        <w:tc>
          <w:tcPr>
            <w:tcW w:w="6768" w:type="dxa"/>
          </w:tcPr>
          <w:p w14:paraId="5DCFED15" w14:textId="77777777" w:rsidR="003D52C5" w:rsidRDefault="003D52C5" w:rsidP="00316D81">
            <w:r>
              <w:rPr>
                <w:rFonts w:ascii="Arial" w:hAnsi="Arial"/>
                <w:sz w:val="13"/>
              </w:rPr>
              <w:t>McGrath, C.P. (2024) ‘The state and values of AI governance in UK healthcare’, in Research Handbook on Health, AI and the Law, pp. 291–310. Cheltenham: Edward Elgar Publishing.</w:t>
            </w:r>
          </w:p>
        </w:tc>
        <w:tc>
          <w:tcPr>
            <w:tcW w:w="792" w:type="dxa"/>
          </w:tcPr>
          <w:p w14:paraId="0CC73073" w14:textId="77777777" w:rsidR="003D52C5" w:rsidRDefault="003D52C5" w:rsidP="00316D81">
            <w:pPr>
              <w:jc w:val="center"/>
            </w:pPr>
            <w:r>
              <w:rPr>
                <w:rFonts w:ascii="Arial" w:hAnsi="Arial"/>
                <w:sz w:val="13"/>
              </w:rPr>
              <w:t>2024</w:t>
            </w:r>
          </w:p>
        </w:tc>
        <w:tc>
          <w:tcPr>
            <w:tcW w:w="2880" w:type="dxa"/>
          </w:tcPr>
          <w:p w14:paraId="509A5BE1" w14:textId="77777777" w:rsidR="003D52C5" w:rsidRDefault="003D52C5" w:rsidP="00316D81">
            <w:r>
              <w:rPr>
                <w:rFonts w:ascii="Arial" w:hAnsi="Arial"/>
                <w:sz w:val="13"/>
              </w:rPr>
              <w:t>10.4337/9781802205657.00026</w:t>
            </w:r>
          </w:p>
        </w:tc>
        <w:tc>
          <w:tcPr>
            <w:tcW w:w="4320" w:type="dxa"/>
          </w:tcPr>
          <w:p w14:paraId="4CC3B81B" w14:textId="77777777" w:rsidR="003D52C5" w:rsidRDefault="003D52C5" w:rsidP="00316D81">
            <w:r>
              <w:rPr>
                <w:rFonts w:ascii="Arial" w:hAnsi="Arial"/>
                <w:sz w:val="13"/>
              </w:rPr>
              <w:t>Addresses AI governance in UK healthcare rather than higher education and is a book chapter rather than a peer-reviewed journal article; it therefore falls outside the review’s core HEI evidence criteria.</w:t>
            </w:r>
          </w:p>
        </w:tc>
      </w:tr>
    </w:tbl>
    <w:p w14:paraId="1ACCA600" w14:textId="6230C4D0" w:rsidR="00EF3CBD" w:rsidRPr="00762A90" w:rsidRDefault="00EF3CBD" w:rsidP="003D52C5">
      <w:pPr>
        <w:pStyle w:val="Caption"/>
        <w:jc w:val="center"/>
        <w:rPr>
          <w:sz w:val="20"/>
          <w:szCs w:val="20"/>
        </w:rPr>
      </w:pPr>
      <w:r w:rsidRPr="00762A90">
        <w:rPr>
          <w:sz w:val="20"/>
          <w:szCs w:val="20"/>
        </w:rPr>
        <w:t xml:space="preserve">Table E2: Academic references excluded from the final evidence synthesis </w:t>
      </w:r>
    </w:p>
    <w:p w14:paraId="7DC4C6BE" w14:textId="20A95272" w:rsidR="003D52C5" w:rsidRPr="00762A90" w:rsidRDefault="003D52C5" w:rsidP="003D52C5">
      <w:pPr>
        <w:pStyle w:val="Caption"/>
        <w:jc w:val="center"/>
        <w:rPr>
          <w:sz w:val="20"/>
          <w:szCs w:val="20"/>
        </w:rPr>
      </w:pPr>
      <w:r w:rsidRPr="00762A90">
        <w:rPr>
          <w:sz w:val="20"/>
          <w:szCs w:val="20"/>
        </w:rPr>
        <w:t>Source: Author’s screening record, applying the predefined inclusion and exclusion criteria reported in Appendix C</w:t>
      </w:r>
    </w:p>
    <w:p w14:paraId="01095E2A" w14:textId="77777777" w:rsidR="003D52C5" w:rsidRPr="00496D0F" w:rsidRDefault="003D52C5" w:rsidP="003D52C5"/>
    <w:p w14:paraId="1E701E63" w14:textId="0E4C635B" w:rsidR="003D52C5" w:rsidRPr="001F05E1" w:rsidRDefault="003D52C5" w:rsidP="003D52C5">
      <w:pPr>
        <w:jc w:val="center"/>
        <w:rPr>
          <w:rFonts w:cstheme="minorHAnsi"/>
          <w:sz w:val="28"/>
          <w:szCs w:val="28"/>
        </w:rPr>
      </w:pPr>
    </w:p>
    <w:tbl>
      <w:tblPr>
        <w:tblStyle w:val="TableGrid"/>
        <w:tblW w:w="15408" w:type="dxa"/>
        <w:jc w:val="center"/>
        <w:tblLayout w:type="fixed"/>
        <w:tblLook w:val="04A0" w:firstRow="1" w:lastRow="0" w:firstColumn="1" w:lastColumn="0" w:noHBand="0" w:noVBand="1"/>
      </w:tblPr>
      <w:tblGrid>
        <w:gridCol w:w="720"/>
        <w:gridCol w:w="7780"/>
        <w:gridCol w:w="6908"/>
      </w:tblGrid>
      <w:tr w:rsidR="003D52C5" w:rsidRPr="001F05E1" w14:paraId="1F58DF0F" w14:textId="77777777" w:rsidTr="00316D81">
        <w:trPr>
          <w:tblHeader/>
          <w:jc w:val="center"/>
        </w:trPr>
        <w:tc>
          <w:tcPr>
            <w:tcW w:w="720" w:type="dxa"/>
            <w:shd w:val="clear" w:color="auto" w:fill="D9EAF7"/>
            <w:vAlign w:val="center"/>
          </w:tcPr>
          <w:p w14:paraId="4E4A8671" w14:textId="77777777" w:rsidR="003D52C5" w:rsidRPr="001F05E1" w:rsidRDefault="003D52C5" w:rsidP="00316D81">
            <w:pPr>
              <w:jc w:val="center"/>
              <w:rPr>
                <w:rFonts w:cstheme="minorHAnsi"/>
                <w:sz w:val="24"/>
                <w:szCs w:val="24"/>
              </w:rPr>
            </w:pPr>
            <w:r w:rsidRPr="001F05E1">
              <w:rPr>
                <w:rFonts w:cstheme="minorHAnsi"/>
                <w:b/>
                <w:sz w:val="24"/>
                <w:szCs w:val="24"/>
              </w:rPr>
              <w:t>No.</w:t>
            </w:r>
          </w:p>
        </w:tc>
        <w:tc>
          <w:tcPr>
            <w:tcW w:w="7780" w:type="dxa"/>
            <w:shd w:val="clear" w:color="auto" w:fill="D9EAF7"/>
            <w:vAlign w:val="center"/>
          </w:tcPr>
          <w:p w14:paraId="1C148C06" w14:textId="77777777" w:rsidR="003D52C5" w:rsidRPr="001F05E1" w:rsidRDefault="003D52C5" w:rsidP="00316D81">
            <w:pPr>
              <w:jc w:val="center"/>
              <w:rPr>
                <w:rFonts w:cstheme="minorHAnsi"/>
                <w:sz w:val="24"/>
                <w:szCs w:val="24"/>
              </w:rPr>
            </w:pPr>
            <w:r w:rsidRPr="001F05E1">
              <w:rPr>
                <w:rFonts w:cstheme="minorHAnsi"/>
                <w:b/>
                <w:sz w:val="24"/>
                <w:szCs w:val="24"/>
              </w:rPr>
              <w:t>Reference</w:t>
            </w:r>
          </w:p>
        </w:tc>
        <w:tc>
          <w:tcPr>
            <w:tcW w:w="6908" w:type="dxa"/>
            <w:shd w:val="clear" w:color="auto" w:fill="D9EAF7"/>
            <w:vAlign w:val="center"/>
          </w:tcPr>
          <w:p w14:paraId="5B4C7607" w14:textId="77777777" w:rsidR="003D52C5" w:rsidRPr="001F05E1" w:rsidRDefault="003D52C5" w:rsidP="00316D81">
            <w:pPr>
              <w:jc w:val="center"/>
              <w:rPr>
                <w:rFonts w:cstheme="minorHAnsi"/>
                <w:sz w:val="24"/>
                <w:szCs w:val="24"/>
              </w:rPr>
            </w:pPr>
            <w:r w:rsidRPr="001F05E1">
              <w:rPr>
                <w:rFonts w:cstheme="minorHAnsi"/>
                <w:b/>
                <w:sz w:val="24"/>
                <w:szCs w:val="24"/>
              </w:rPr>
              <w:t>Exclusion criterion</w:t>
            </w:r>
          </w:p>
        </w:tc>
      </w:tr>
      <w:tr w:rsidR="003D52C5" w:rsidRPr="001F05E1" w14:paraId="13BB9012" w14:textId="77777777" w:rsidTr="00316D81">
        <w:trPr>
          <w:jc w:val="center"/>
        </w:trPr>
        <w:tc>
          <w:tcPr>
            <w:tcW w:w="720" w:type="dxa"/>
          </w:tcPr>
          <w:p w14:paraId="2F72073C" w14:textId="77777777" w:rsidR="003D52C5" w:rsidRPr="001F05E1" w:rsidRDefault="003D52C5" w:rsidP="00316D81">
            <w:pPr>
              <w:jc w:val="center"/>
              <w:rPr>
                <w:rFonts w:cstheme="minorHAnsi"/>
                <w:sz w:val="24"/>
                <w:szCs w:val="24"/>
              </w:rPr>
            </w:pPr>
            <w:r w:rsidRPr="001F05E1">
              <w:rPr>
                <w:rFonts w:cstheme="minorHAnsi"/>
                <w:sz w:val="24"/>
                <w:szCs w:val="24"/>
              </w:rPr>
              <w:t>1</w:t>
            </w:r>
          </w:p>
        </w:tc>
        <w:tc>
          <w:tcPr>
            <w:tcW w:w="7780" w:type="dxa"/>
          </w:tcPr>
          <w:p w14:paraId="448C58E5" w14:textId="77777777" w:rsidR="003D52C5" w:rsidRPr="001F05E1" w:rsidRDefault="003D52C5" w:rsidP="00316D81">
            <w:pPr>
              <w:rPr>
                <w:rFonts w:cstheme="minorHAnsi"/>
                <w:sz w:val="24"/>
                <w:szCs w:val="24"/>
              </w:rPr>
            </w:pPr>
            <w:r w:rsidRPr="001F05E1">
              <w:rPr>
                <w:rFonts w:cstheme="minorHAnsi"/>
                <w:sz w:val="24"/>
                <w:szCs w:val="24"/>
              </w:rPr>
              <w:t>Chen, L., Chen, P. and Lin, Z. (2020)</w:t>
            </w:r>
          </w:p>
        </w:tc>
        <w:tc>
          <w:tcPr>
            <w:tcW w:w="6908" w:type="dxa"/>
          </w:tcPr>
          <w:p w14:paraId="573B29B3" w14:textId="77777777" w:rsidR="003D52C5" w:rsidRPr="001F05E1" w:rsidRDefault="003D52C5" w:rsidP="00316D81">
            <w:pPr>
              <w:jc w:val="center"/>
              <w:rPr>
                <w:rFonts w:cstheme="minorHAnsi"/>
                <w:sz w:val="24"/>
                <w:szCs w:val="24"/>
              </w:rPr>
            </w:pPr>
            <w:r w:rsidRPr="001F05E1">
              <w:rPr>
                <w:rFonts w:cstheme="minorHAnsi"/>
                <w:sz w:val="24"/>
                <w:szCs w:val="24"/>
              </w:rPr>
              <w:t>Date range; insufficient governance/HEI specificity</w:t>
            </w:r>
          </w:p>
        </w:tc>
      </w:tr>
      <w:tr w:rsidR="003D52C5" w:rsidRPr="001F05E1" w14:paraId="0FD28616" w14:textId="77777777" w:rsidTr="00316D81">
        <w:trPr>
          <w:jc w:val="center"/>
        </w:trPr>
        <w:tc>
          <w:tcPr>
            <w:tcW w:w="720" w:type="dxa"/>
          </w:tcPr>
          <w:p w14:paraId="1D92C66D" w14:textId="77777777" w:rsidR="003D52C5" w:rsidRPr="001F05E1" w:rsidRDefault="003D52C5" w:rsidP="00316D81">
            <w:pPr>
              <w:jc w:val="center"/>
              <w:rPr>
                <w:rFonts w:cstheme="minorHAnsi"/>
                <w:sz w:val="24"/>
                <w:szCs w:val="24"/>
              </w:rPr>
            </w:pPr>
            <w:r w:rsidRPr="001F05E1">
              <w:rPr>
                <w:rFonts w:cstheme="minorHAnsi"/>
                <w:sz w:val="24"/>
                <w:szCs w:val="24"/>
              </w:rPr>
              <w:t>2</w:t>
            </w:r>
          </w:p>
        </w:tc>
        <w:tc>
          <w:tcPr>
            <w:tcW w:w="7780" w:type="dxa"/>
          </w:tcPr>
          <w:p w14:paraId="22D30CCE" w14:textId="77777777" w:rsidR="003D52C5" w:rsidRPr="001F05E1" w:rsidRDefault="003D52C5" w:rsidP="00316D81">
            <w:pPr>
              <w:rPr>
                <w:rFonts w:cstheme="minorHAnsi"/>
                <w:sz w:val="24"/>
                <w:szCs w:val="24"/>
              </w:rPr>
            </w:pPr>
            <w:r w:rsidRPr="001F05E1">
              <w:rPr>
                <w:rFonts w:cstheme="minorHAnsi"/>
                <w:sz w:val="24"/>
                <w:szCs w:val="24"/>
              </w:rPr>
              <w:t>Steinbauer, G., Kandlhofer, M., Chklovski, T., Heintz, F. and Koenig, S. (2021)</w:t>
            </w:r>
          </w:p>
        </w:tc>
        <w:tc>
          <w:tcPr>
            <w:tcW w:w="6908" w:type="dxa"/>
          </w:tcPr>
          <w:p w14:paraId="159F0013" w14:textId="77777777" w:rsidR="003D52C5" w:rsidRPr="001F05E1" w:rsidRDefault="003D52C5" w:rsidP="00316D81">
            <w:pPr>
              <w:jc w:val="center"/>
              <w:rPr>
                <w:rFonts w:cstheme="minorHAnsi"/>
                <w:sz w:val="24"/>
                <w:szCs w:val="24"/>
              </w:rPr>
            </w:pPr>
            <w:r w:rsidRPr="001F05E1">
              <w:rPr>
                <w:rFonts w:cstheme="minorHAnsi"/>
                <w:sz w:val="24"/>
                <w:szCs w:val="24"/>
              </w:rPr>
              <w:t>Population/context; date range</w:t>
            </w:r>
          </w:p>
        </w:tc>
      </w:tr>
      <w:tr w:rsidR="003D52C5" w:rsidRPr="001F05E1" w14:paraId="698D45E4" w14:textId="77777777" w:rsidTr="00316D81">
        <w:trPr>
          <w:jc w:val="center"/>
        </w:trPr>
        <w:tc>
          <w:tcPr>
            <w:tcW w:w="720" w:type="dxa"/>
          </w:tcPr>
          <w:p w14:paraId="1A6EC1C7" w14:textId="77777777" w:rsidR="003D52C5" w:rsidRPr="001F05E1" w:rsidRDefault="003D52C5" w:rsidP="00316D81">
            <w:pPr>
              <w:jc w:val="center"/>
              <w:rPr>
                <w:rFonts w:cstheme="minorHAnsi"/>
                <w:sz w:val="24"/>
                <w:szCs w:val="24"/>
              </w:rPr>
            </w:pPr>
            <w:r w:rsidRPr="001F05E1">
              <w:rPr>
                <w:rFonts w:cstheme="minorHAnsi"/>
                <w:sz w:val="24"/>
                <w:szCs w:val="24"/>
              </w:rPr>
              <w:t>3</w:t>
            </w:r>
          </w:p>
        </w:tc>
        <w:tc>
          <w:tcPr>
            <w:tcW w:w="7780" w:type="dxa"/>
          </w:tcPr>
          <w:p w14:paraId="260CA338" w14:textId="77777777" w:rsidR="003D52C5" w:rsidRPr="001F05E1" w:rsidRDefault="003D52C5" w:rsidP="00316D81">
            <w:pPr>
              <w:rPr>
                <w:rFonts w:cstheme="minorHAnsi"/>
                <w:sz w:val="24"/>
                <w:szCs w:val="24"/>
              </w:rPr>
            </w:pPr>
            <w:r w:rsidRPr="001F05E1">
              <w:rPr>
                <w:rFonts w:cstheme="minorHAnsi"/>
                <w:sz w:val="24"/>
                <w:szCs w:val="24"/>
              </w:rPr>
              <w:t>Mintz, J., Holmes, W., Liu, L. and Perez-Ortiz, M. (2023)</w:t>
            </w:r>
          </w:p>
        </w:tc>
        <w:tc>
          <w:tcPr>
            <w:tcW w:w="6908" w:type="dxa"/>
          </w:tcPr>
          <w:p w14:paraId="4DDE7076" w14:textId="77777777" w:rsidR="003D52C5" w:rsidRPr="001F05E1" w:rsidRDefault="003D52C5" w:rsidP="00316D81">
            <w:pPr>
              <w:jc w:val="center"/>
              <w:rPr>
                <w:rFonts w:cstheme="minorHAnsi"/>
                <w:sz w:val="24"/>
                <w:szCs w:val="24"/>
              </w:rPr>
            </w:pPr>
            <w:r w:rsidRPr="001F05E1">
              <w:rPr>
                <w:rFonts w:cstheme="minorHAnsi"/>
                <w:sz w:val="24"/>
                <w:szCs w:val="24"/>
              </w:rPr>
              <w:t>Population/context</w:t>
            </w:r>
          </w:p>
        </w:tc>
      </w:tr>
      <w:tr w:rsidR="003D52C5" w:rsidRPr="001F05E1" w14:paraId="16275E49" w14:textId="77777777" w:rsidTr="00316D81">
        <w:trPr>
          <w:jc w:val="center"/>
        </w:trPr>
        <w:tc>
          <w:tcPr>
            <w:tcW w:w="720" w:type="dxa"/>
          </w:tcPr>
          <w:p w14:paraId="6BBF32A9" w14:textId="77777777" w:rsidR="003D52C5" w:rsidRPr="001F05E1" w:rsidRDefault="003D52C5" w:rsidP="00316D81">
            <w:pPr>
              <w:jc w:val="center"/>
              <w:rPr>
                <w:rFonts w:cstheme="minorHAnsi"/>
                <w:sz w:val="24"/>
                <w:szCs w:val="24"/>
              </w:rPr>
            </w:pPr>
            <w:r w:rsidRPr="001F05E1">
              <w:rPr>
                <w:rFonts w:cstheme="minorHAnsi"/>
                <w:sz w:val="24"/>
                <w:szCs w:val="24"/>
              </w:rPr>
              <w:t>4</w:t>
            </w:r>
          </w:p>
        </w:tc>
        <w:tc>
          <w:tcPr>
            <w:tcW w:w="7780" w:type="dxa"/>
          </w:tcPr>
          <w:p w14:paraId="210780BF" w14:textId="77777777" w:rsidR="003D52C5" w:rsidRPr="001F05E1" w:rsidRDefault="003D52C5" w:rsidP="00316D81">
            <w:pPr>
              <w:rPr>
                <w:rFonts w:cstheme="minorHAnsi"/>
                <w:sz w:val="24"/>
                <w:szCs w:val="24"/>
              </w:rPr>
            </w:pPr>
            <w:r w:rsidRPr="001F05E1">
              <w:rPr>
                <w:rFonts w:cstheme="minorHAnsi"/>
                <w:sz w:val="24"/>
                <w:szCs w:val="24"/>
              </w:rPr>
              <w:t>Zhang, T., Lai, Y.C. and Yu, P.L.H. (2026)</w:t>
            </w:r>
          </w:p>
        </w:tc>
        <w:tc>
          <w:tcPr>
            <w:tcW w:w="6908" w:type="dxa"/>
          </w:tcPr>
          <w:p w14:paraId="37E2E2E6" w14:textId="77777777" w:rsidR="003D52C5" w:rsidRPr="001F05E1" w:rsidRDefault="003D52C5" w:rsidP="00316D81">
            <w:pPr>
              <w:jc w:val="center"/>
              <w:rPr>
                <w:rFonts w:cstheme="minorHAnsi"/>
                <w:sz w:val="24"/>
                <w:szCs w:val="24"/>
              </w:rPr>
            </w:pPr>
            <w:r w:rsidRPr="001F05E1">
              <w:rPr>
                <w:rFonts w:cstheme="minorHAnsi"/>
                <w:sz w:val="24"/>
                <w:szCs w:val="24"/>
              </w:rPr>
              <w:t>Population/context; topic relevance</w:t>
            </w:r>
          </w:p>
        </w:tc>
      </w:tr>
      <w:tr w:rsidR="003D52C5" w:rsidRPr="001F05E1" w14:paraId="21EB2553" w14:textId="77777777" w:rsidTr="00316D81">
        <w:trPr>
          <w:jc w:val="center"/>
        </w:trPr>
        <w:tc>
          <w:tcPr>
            <w:tcW w:w="720" w:type="dxa"/>
          </w:tcPr>
          <w:p w14:paraId="7F58C9FE" w14:textId="77777777" w:rsidR="003D52C5" w:rsidRPr="001F05E1" w:rsidRDefault="003D52C5" w:rsidP="00316D81">
            <w:pPr>
              <w:jc w:val="center"/>
              <w:rPr>
                <w:rFonts w:cstheme="minorHAnsi"/>
                <w:sz w:val="24"/>
                <w:szCs w:val="24"/>
              </w:rPr>
            </w:pPr>
            <w:r w:rsidRPr="001F05E1">
              <w:rPr>
                <w:rFonts w:cstheme="minorHAnsi"/>
                <w:sz w:val="24"/>
                <w:szCs w:val="24"/>
              </w:rPr>
              <w:t>5</w:t>
            </w:r>
          </w:p>
        </w:tc>
        <w:tc>
          <w:tcPr>
            <w:tcW w:w="7780" w:type="dxa"/>
          </w:tcPr>
          <w:p w14:paraId="0C4A0D50" w14:textId="77777777" w:rsidR="003D52C5" w:rsidRPr="001F05E1" w:rsidRDefault="003D52C5" w:rsidP="00316D81">
            <w:pPr>
              <w:rPr>
                <w:rFonts w:cstheme="minorHAnsi"/>
                <w:sz w:val="24"/>
                <w:szCs w:val="24"/>
              </w:rPr>
            </w:pPr>
            <w:r w:rsidRPr="001F05E1">
              <w:rPr>
                <w:rFonts w:cstheme="minorHAnsi"/>
                <w:sz w:val="24"/>
                <w:szCs w:val="24"/>
              </w:rPr>
              <w:t>Izquierdo-Condoy, J.S., Arias-Intriago, M., Montero Corrales, L. and Ortiz-Prado, E. (2026)</w:t>
            </w:r>
          </w:p>
        </w:tc>
        <w:tc>
          <w:tcPr>
            <w:tcW w:w="6908" w:type="dxa"/>
          </w:tcPr>
          <w:p w14:paraId="0FED693E" w14:textId="77777777" w:rsidR="003D52C5" w:rsidRPr="001F05E1" w:rsidRDefault="003D52C5" w:rsidP="00316D81">
            <w:pPr>
              <w:jc w:val="center"/>
              <w:rPr>
                <w:rFonts w:cstheme="minorHAnsi"/>
                <w:sz w:val="24"/>
                <w:szCs w:val="24"/>
              </w:rPr>
            </w:pPr>
            <w:r w:rsidRPr="001F05E1">
              <w:rPr>
                <w:rFonts w:cstheme="minorHAnsi"/>
                <w:sz w:val="24"/>
                <w:szCs w:val="24"/>
              </w:rPr>
              <w:t>Sector/context; governance relevance</w:t>
            </w:r>
          </w:p>
        </w:tc>
      </w:tr>
      <w:tr w:rsidR="003D52C5" w:rsidRPr="001F05E1" w14:paraId="19DAF624" w14:textId="77777777" w:rsidTr="00316D81">
        <w:trPr>
          <w:jc w:val="center"/>
        </w:trPr>
        <w:tc>
          <w:tcPr>
            <w:tcW w:w="720" w:type="dxa"/>
          </w:tcPr>
          <w:p w14:paraId="5503A4A9" w14:textId="77777777" w:rsidR="003D52C5" w:rsidRPr="001F05E1" w:rsidRDefault="003D52C5" w:rsidP="00316D81">
            <w:pPr>
              <w:jc w:val="center"/>
              <w:rPr>
                <w:rFonts w:cstheme="minorHAnsi"/>
                <w:sz w:val="24"/>
                <w:szCs w:val="24"/>
              </w:rPr>
            </w:pPr>
            <w:r w:rsidRPr="001F05E1">
              <w:rPr>
                <w:rFonts w:cstheme="minorHAnsi"/>
                <w:sz w:val="24"/>
                <w:szCs w:val="24"/>
              </w:rPr>
              <w:t>6</w:t>
            </w:r>
          </w:p>
        </w:tc>
        <w:tc>
          <w:tcPr>
            <w:tcW w:w="7780" w:type="dxa"/>
          </w:tcPr>
          <w:p w14:paraId="07D0DA7D" w14:textId="77777777" w:rsidR="003D52C5" w:rsidRPr="001F05E1" w:rsidRDefault="003D52C5" w:rsidP="00316D81">
            <w:pPr>
              <w:rPr>
                <w:rFonts w:cstheme="minorHAnsi"/>
                <w:sz w:val="24"/>
                <w:szCs w:val="24"/>
              </w:rPr>
            </w:pPr>
            <w:r w:rsidRPr="001F05E1">
              <w:rPr>
                <w:rFonts w:cstheme="minorHAnsi"/>
                <w:sz w:val="24"/>
                <w:szCs w:val="24"/>
              </w:rPr>
              <w:t>Iniesta, R. (2025)</w:t>
            </w:r>
          </w:p>
        </w:tc>
        <w:tc>
          <w:tcPr>
            <w:tcW w:w="6908" w:type="dxa"/>
          </w:tcPr>
          <w:p w14:paraId="725AA0E2" w14:textId="77777777" w:rsidR="003D52C5" w:rsidRPr="001F05E1" w:rsidRDefault="003D52C5" w:rsidP="00316D81">
            <w:pPr>
              <w:jc w:val="center"/>
              <w:rPr>
                <w:rFonts w:cstheme="minorHAnsi"/>
                <w:sz w:val="24"/>
                <w:szCs w:val="24"/>
              </w:rPr>
            </w:pPr>
            <w:r w:rsidRPr="001F05E1">
              <w:rPr>
                <w:rFonts w:cstheme="minorHAnsi"/>
                <w:sz w:val="24"/>
                <w:szCs w:val="24"/>
              </w:rPr>
              <w:t>Sector/context</w:t>
            </w:r>
          </w:p>
        </w:tc>
      </w:tr>
      <w:tr w:rsidR="003D52C5" w:rsidRPr="001F05E1" w14:paraId="4D4C49F3" w14:textId="77777777" w:rsidTr="00316D81">
        <w:trPr>
          <w:jc w:val="center"/>
        </w:trPr>
        <w:tc>
          <w:tcPr>
            <w:tcW w:w="720" w:type="dxa"/>
          </w:tcPr>
          <w:p w14:paraId="00217642" w14:textId="77777777" w:rsidR="003D52C5" w:rsidRPr="001F05E1" w:rsidRDefault="003D52C5" w:rsidP="00316D81">
            <w:pPr>
              <w:jc w:val="center"/>
              <w:rPr>
                <w:rFonts w:cstheme="minorHAnsi"/>
                <w:sz w:val="24"/>
                <w:szCs w:val="24"/>
              </w:rPr>
            </w:pPr>
            <w:r w:rsidRPr="001F05E1">
              <w:rPr>
                <w:rFonts w:cstheme="minorHAnsi"/>
                <w:sz w:val="24"/>
                <w:szCs w:val="24"/>
              </w:rPr>
              <w:t>7</w:t>
            </w:r>
          </w:p>
        </w:tc>
        <w:tc>
          <w:tcPr>
            <w:tcW w:w="7780" w:type="dxa"/>
          </w:tcPr>
          <w:p w14:paraId="1EC277C7" w14:textId="77777777" w:rsidR="003D52C5" w:rsidRPr="001F05E1" w:rsidRDefault="003D52C5" w:rsidP="00316D81">
            <w:pPr>
              <w:rPr>
                <w:rFonts w:cstheme="minorHAnsi"/>
                <w:sz w:val="24"/>
                <w:szCs w:val="24"/>
              </w:rPr>
            </w:pPr>
            <w:r w:rsidRPr="001F05E1">
              <w:rPr>
                <w:rFonts w:cstheme="minorHAnsi"/>
                <w:sz w:val="24"/>
                <w:szCs w:val="24"/>
              </w:rPr>
              <w:t>Liao, S.M. (2023)</w:t>
            </w:r>
          </w:p>
        </w:tc>
        <w:tc>
          <w:tcPr>
            <w:tcW w:w="6908" w:type="dxa"/>
          </w:tcPr>
          <w:p w14:paraId="2579D0CF" w14:textId="77777777" w:rsidR="003D52C5" w:rsidRPr="001F05E1" w:rsidRDefault="003D52C5" w:rsidP="00316D81">
            <w:pPr>
              <w:jc w:val="center"/>
              <w:rPr>
                <w:rFonts w:cstheme="minorHAnsi"/>
                <w:sz w:val="24"/>
                <w:szCs w:val="24"/>
              </w:rPr>
            </w:pPr>
            <w:r w:rsidRPr="001F05E1">
              <w:rPr>
                <w:rFonts w:cstheme="minorHAnsi"/>
                <w:sz w:val="24"/>
                <w:szCs w:val="24"/>
              </w:rPr>
              <w:t>Sector/context; study focus</w:t>
            </w:r>
          </w:p>
        </w:tc>
      </w:tr>
      <w:tr w:rsidR="003D52C5" w:rsidRPr="001F05E1" w14:paraId="01A7A337" w14:textId="77777777" w:rsidTr="00316D81">
        <w:trPr>
          <w:jc w:val="center"/>
        </w:trPr>
        <w:tc>
          <w:tcPr>
            <w:tcW w:w="720" w:type="dxa"/>
          </w:tcPr>
          <w:p w14:paraId="02BDC453" w14:textId="77777777" w:rsidR="003D52C5" w:rsidRPr="001F05E1" w:rsidRDefault="003D52C5" w:rsidP="00316D81">
            <w:pPr>
              <w:jc w:val="center"/>
              <w:rPr>
                <w:rFonts w:cstheme="minorHAnsi"/>
                <w:sz w:val="24"/>
                <w:szCs w:val="24"/>
              </w:rPr>
            </w:pPr>
            <w:r w:rsidRPr="001F05E1">
              <w:rPr>
                <w:rFonts w:cstheme="minorHAnsi"/>
                <w:sz w:val="24"/>
                <w:szCs w:val="24"/>
              </w:rPr>
              <w:t>8</w:t>
            </w:r>
          </w:p>
        </w:tc>
        <w:tc>
          <w:tcPr>
            <w:tcW w:w="7780" w:type="dxa"/>
          </w:tcPr>
          <w:p w14:paraId="45215DD9" w14:textId="77777777" w:rsidR="003D52C5" w:rsidRPr="001F05E1" w:rsidRDefault="003D52C5" w:rsidP="00316D81">
            <w:pPr>
              <w:rPr>
                <w:rFonts w:cstheme="minorHAnsi"/>
                <w:sz w:val="24"/>
                <w:szCs w:val="24"/>
              </w:rPr>
            </w:pPr>
            <w:r w:rsidRPr="001F05E1">
              <w:rPr>
                <w:rFonts w:cstheme="minorHAnsi"/>
                <w:sz w:val="24"/>
                <w:szCs w:val="24"/>
              </w:rPr>
              <w:t>Solanki, P., Grundy, J. and Hussain, W. (2023)</w:t>
            </w:r>
          </w:p>
        </w:tc>
        <w:tc>
          <w:tcPr>
            <w:tcW w:w="6908" w:type="dxa"/>
          </w:tcPr>
          <w:p w14:paraId="2C1A226E" w14:textId="77777777" w:rsidR="003D52C5" w:rsidRPr="001F05E1" w:rsidRDefault="003D52C5" w:rsidP="00316D81">
            <w:pPr>
              <w:jc w:val="center"/>
              <w:rPr>
                <w:rFonts w:cstheme="minorHAnsi"/>
                <w:sz w:val="24"/>
                <w:szCs w:val="24"/>
              </w:rPr>
            </w:pPr>
            <w:r w:rsidRPr="001F05E1">
              <w:rPr>
                <w:rFonts w:cstheme="minorHAnsi"/>
                <w:sz w:val="24"/>
                <w:szCs w:val="24"/>
              </w:rPr>
              <w:t>Sector/context</w:t>
            </w:r>
          </w:p>
        </w:tc>
      </w:tr>
      <w:tr w:rsidR="003D52C5" w:rsidRPr="001F05E1" w14:paraId="3242362F" w14:textId="77777777" w:rsidTr="00316D81">
        <w:trPr>
          <w:jc w:val="center"/>
        </w:trPr>
        <w:tc>
          <w:tcPr>
            <w:tcW w:w="720" w:type="dxa"/>
          </w:tcPr>
          <w:p w14:paraId="172D32E0" w14:textId="77777777" w:rsidR="003D52C5" w:rsidRPr="001F05E1" w:rsidRDefault="003D52C5" w:rsidP="00316D81">
            <w:pPr>
              <w:jc w:val="center"/>
              <w:rPr>
                <w:rFonts w:cstheme="minorHAnsi"/>
                <w:sz w:val="24"/>
                <w:szCs w:val="24"/>
              </w:rPr>
            </w:pPr>
            <w:r w:rsidRPr="001F05E1">
              <w:rPr>
                <w:rFonts w:cstheme="minorHAnsi"/>
                <w:sz w:val="24"/>
                <w:szCs w:val="24"/>
              </w:rPr>
              <w:t>9</w:t>
            </w:r>
          </w:p>
        </w:tc>
        <w:tc>
          <w:tcPr>
            <w:tcW w:w="7780" w:type="dxa"/>
          </w:tcPr>
          <w:p w14:paraId="3C057034" w14:textId="77777777" w:rsidR="003D52C5" w:rsidRPr="001F05E1" w:rsidRDefault="003D52C5" w:rsidP="00316D81">
            <w:pPr>
              <w:rPr>
                <w:rFonts w:cstheme="minorHAnsi"/>
                <w:sz w:val="24"/>
                <w:szCs w:val="24"/>
              </w:rPr>
            </w:pPr>
            <w:r w:rsidRPr="001F05E1">
              <w:rPr>
                <w:rFonts w:cstheme="minorHAnsi"/>
                <w:sz w:val="24"/>
                <w:szCs w:val="24"/>
              </w:rPr>
              <w:t>Amini, M.M., Jesus, M., Sheikholeslami, D.F., Alves, P., Hassanzadeh Benam, A. and Hariri, F. (2023)</w:t>
            </w:r>
          </w:p>
        </w:tc>
        <w:tc>
          <w:tcPr>
            <w:tcW w:w="6908" w:type="dxa"/>
          </w:tcPr>
          <w:p w14:paraId="37AE3C0B" w14:textId="77777777" w:rsidR="003D52C5" w:rsidRPr="001F05E1" w:rsidRDefault="003D52C5" w:rsidP="00316D81">
            <w:pPr>
              <w:jc w:val="center"/>
              <w:rPr>
                <w:rFonts w:cstheme="minorHAnsi"/>
                <w:sz w:val="24"/>
                <w:szCs w:val="24"/>
              </w:rPr>
            </w:pPr>
            <w:r w:rsidRPr="001F05E1">
              <w:rPr>
                <w:rFonts w:cstheme="minorHAnsi"/>
                <w:sz w:val="24"/>
                <w:szCs w:val="24"/>
              </w:rPr>
              <w:t>Sector/context</w:t>
            </w:r>
          </w:p>
        </w:tc>
      </w:tr>
      <w:tr w:rsidR="003D52C5" w:rsidRPr="001F05E1" w14:paraId="4F2430C5" w14:textId="77777777" w:rsidTr="00316D81">
        <w:trPr>
          <w:jc w:val="center"/>
        </w:trPr>
        <w:tc>
          <w:tcPr>
            <w:tcW w:w="720" w:type="dxa"/>
          </w:tcPr>
          <w:p w14:paraId="312567CA" w14:textId="77777777" w:rsidR="003D52C5" w:rsidRPr="001F05E1" w:rsidRDefault="003D52C5" w:rsidP="00316D81">
            <w:pPr>
              <w:jc w:val="center"/>
              <w:rPr>
                <w:rFonts w:cstheme="minorHAnsi"/>
                <w:sz w:val="24"/>
                <w:szCs w:val="24"/>
              </w:rPr>
            </w:pPr>
            <w:r w:rsidRPr="001F05E1">
              <w:rPr>
                <w:rFonts w:cstheme="minorHAnsi"/>
                <w:sz w:val="24"/>
                <w:szCs w:val="24"/>
              </w:rPr>
              <w:t>10</w:t>
            </w:r>
          </w:p>
        </w:tc>
        <w:tc>
          <w:tcPr>
            <w:tcW w:w="7780" w:type="dxa"/>
          </w:tcPr>
          <w:p w14:paraId="030B8B80" w14:textId="77777777" w:rsidR="003D52C5" w:rsidRPr="001F05E1" w:rsidRDefault="003D52C5" w:rsidP="00316D81">
            <w:pPr>
              <w:rPr>
                <w:rFonts w:cstheme="minorHAnsi"/>
                <w:sz w:val="24"/>
                <w:szCs w:val="24"/>
              </w:rPr>
            </w:pPr>
            <w:r w:rsidRPr="001F05E1">
              <w:rPr>
                <w:rFonts w:cstheme="minorHAnsi"/>
                <w:sz w:val="24"/>
                <w:szCs w:val="24"/>
              </w:rPr>
              <w:t>Giovanola, B. and Tiribelli, S. (2023)</w:t>
            </w:r>
          </w:p>
        </w:tc>
        <w:tc>
          <w:tcPr>
            <w:tcW w:w="6908" w:type="dxa"/>
          </w:tcPr>
          <w:p w14:paraId="6CF35C2E" w14:textId="77777777" w:rsidR="003D52C5" w:rsidRPr="001F05E1" w:rsidRDefault="003D52C5" w:rsidP="00316D81">
            <w:pPr>
              <w:jc w:val="center"/>
              <w:rPr>
                <w:rFonts w:cstheme="minorHAnsi"/>
                <w:sz w:val="24"/>
                <w:szCs w:val="24"/>
              </w:rPr>
            </w:pPr>
            <w:r w:rsidRPr="001F05E1">
              <w:rPr>
                <w:rFonts w:cstheme="minorHAnsi"/>
                <w:sz w:val="24"/>
                <w:szCs w:val="24"/>
              </w:rPr>
              <w:t>Sector/context; governance relevance</w:t>
            </w:r>
          </w:p>
        </w:tc>
      </w:tr>
      <w:tr w:rsidR="003D52C5" w:rsidRPr="001F05E1" w14:paraId="381018F7" w14:textId="77777777" w:rsidTr="00316D81">
        <w:trPr>
          <w:jc w:val="center"/>
        </w:trPr>
        <w:tc>
          <w:tcPr>
            <w:tcW w:w="720" w:type="dxa"/>
          </w:tcPr>
          <w:p w14:paraId="3A6FE13D" w14:textId="77777777" w:rsidR="003D52C5" w:rsidRPr="001F05E1" w:rsidRDefault="003D52C5" w:rsidP="00316D81">
            <w:pPr>
              <w:jc w:val="center"/>
              <w:rPr>
                <w:rFonts w:cstheme="minorHAnsi"/>
                <w:sz w:val="24"/>
                <w:szCs w:val="24"/>
              </w:rPr>
            </w:pPr>
            <w:r w:rsidRPr="001F05E1">
              <w:rPr>
                <w:rFonts w:cstheme="minorHAnsi"/>
                <w:sz w:val="24"/>
                <w:szCs w:val="24"/>
              </w:rPr>
              <w:t>11</w:t>
            </w:r>
          </w:p>
        </w:tc>
        <w:tc>
          <w:tcPr>
            <w:tcW w:w="7780" w:type="dxa"/>
          </w:tcPr>
          <w:p w14:paraId="7120BBAC" w14:textId="77777777" w:rsidR="003D52C5" w:rsidRPr="001F05E1" w:rsidRDefault="003D52C5" w:rsidP="00316D81">
            <w:pPr>
              <w:rPr>
                <w:rFonts w:cstheme="minorHAnsi"/>
                <w:sz w:val="24"/>
                <w:szCs w:val="24"/>
              </w:rPr>
            </w:pPr>
            <w:r w:rsidRPr="001F05E1">
              <w:rPr>
                <w:rFonts w:cstheme="minorHAnsi"/>
                <w:sz w:val="24"/>
                <w:szCs w:val="24"/>
              </w:rPr>
              <w:t>Hassan, M., Borycki, E.M. and Kushniruk, A.W. (2025)</w:t>
            </w:r>
          </w:p>
        </w:tc>
        <w:tc>
          <w:tcPr>
            <w:tcW w:w="6908" w:type="dxa"/>
          </w:tcPr>
          <w:p w14:paraId="0FCC9F83" w14:textId="77777777" w:rsidR="003D52C5" w:rsidRPr="001F05E1" w:rsidRDefault="003D52C5" w:rsidP="00316D81">
            <w:pPr>
              <w:jc w:val="center"/>
              <w:rPr>
                <w:rFonts w:cstheme="minorHAnsi"/>
                <w:sz w:val="24"/>
                <w:szCs w:val="24"/>
              </w:rPr>
            </w:pPr>
            <w:r w:rsidRPr="001F05E1">
              <w:rPr>
                <w:rFonts w:cstheme="minorHAnsi"/>
                <w:sz w:val="24"/>
                <w:szCs w:val="24"/>
              </w:rPr>
              <w:t>Sector/context</w:t>
            </w:r>
          </w:p>
        </w:tc>
      </w:tr>
      <w:tr w:rsidR="003D52C5" w:rsidRPr="001F05E1" w14:paraId="5150E401" w14:textId="77777777" w:rsidTr="00316D81">
        <w:trPr>
          <w:jc w:val="center"/>
        </w:trPr>
        <w:tc>
          <w:tcPr>
            <w:tcW w:w="720" w:type="dxa"/>
          </w:tcPr>
          <w:p w14:paraId="5C9A944B" w14:textId="77777777" w:rsidR="003D52C5" w:rsidRPr="001F05E1" w:rsidRDefault="003D52C5" w:rsidP="00316D81">
            <w:pPr>
              <w:jc w:val="center"/>
              <w:rPr>
                <w:rFonts w:cstheme="minorHAnsi"/>
                <w:sz w:val="24"/>
                <w:szCs w:val="24"/>
              </w:rPr>
            </w:pPr>
            <w:r w:rsidRPr="001F05E1">
              <w:rPr>
                <w:rFonts w:cstheme="minorHAnsi"/>
                <w:sz w:val="24"/>
                <w:szCs w:val="24"/>
              </w:rPr>
              <w:t>12</w:t>
            </w:r>
          </w:p>
        </w:tc>
        <w:tc>
          <w:tcPr>
            <w:tcW w:w="7780" w:type="dxa"/>
          </w:tcPr>
          <w:p w14:paraId="3137F5E9" w14:textId="77777777" w:rsidR="003D52C5" w:rsidRPr="001F05E1" w:rsidRDefault="003D52C5" w:rsidP="00316D81">
            <w:pPr>
              <w:rPr>
                <w:rFonts w:cstheme="minorHAnsi"/>
                <w:sz w:val="24"/>
                <w:szCs w:val="24"/>
              </w:rPr>
            </w:pPr>
            <w:r w:rsidRPr="001F05E1">
              <w:rPr>
                <w:rFonts w:cstheme="minorHAnsi"/>
                <w:sz w:val="24"/>
                <w:szCs w:val="24"/>
              </w:rPr>
              <w:t>Gouseti, A., James, F., Fallin, L. and Burden, K. (2025)</w:t>
            </w:r>
          </w:p>
        </w:tc>
        <w:tc>
          <w:tcPr>
            <w:tcW w:w="6908" w:type="dxa"/>
          </w:tcPr>
          <w:p w14:paraId="4AE1BE5D" w14:textId="77777777" w:rsidR="003D52C5" w:rsidRPr="001F05E1" w:rsidRDefault="003D52C5" w:rsidP="00316D81">
            <w:pPr>
              <w:jc w:val="center"/>
              <w:rPr>
                <w:rFonts w:cstheme="minorHAnsi"/>
                <w:sz w:val="24"/>
                <w:szCs w:val="24"/>
              </w:rPr>
            </w:pPr>
            <w:r w:rsidRPr="001F05E1">
              <w:rPr>
                <w:rFonts w:cstheme="minorHAnsi"/>
                <w:sz w:val="24"/>
                <w:szCs w:val="24"/>
              </w:rPr>
              <w:t>Population/context</w:t>
            </w:r>
          </w:p>
        </w:tc>
      </w:tr>
      <w:tr w:rsidR="003D52C5" w:rsidRPr="001F05E1" w14:paraId="55BC04B0" w14:textId="77777777" w:rsidTr="00316D81">
        <w:trPr>
          <w:jc w:val="center"/>
        </w:trPr>
        <w:tc>
          <w:tcPr>
            <w:tcW w:w="720" w:type="dxa"/>
          </w:tcPr>
          <w:p w14:paraId="2747DB9F" w14:textId="77777777" w:rsidR="003D52C5" w:rsidRPr="001F05E1" w:rsidRDefault="003D52C5" w:rsidP="00316D81">
            <w:pPr>
              <w:jc w:val="center"/>
              <w:rPr>
                <w:rFonts w:cstheme="minorHAnsi"/>
                <w:sz w:val="24"/>
                <w:szCs w:val="24"/>
              </w:rPr>
            </w:pPr>
            <w:r w:rsidRPr="001F05E1">
              <w:rPr>
                <w:rFonts w:cstheme="minorHAnsi"/>
                <w:sz w:val="24"/>
                <w:szCs w:val="24"/>
              </w:rPr>
              <w:t>13</w:t>
            </w:r>
          </w:p>
        </w:tc>
        <w:tc>
          <w:tcPr>
            <w:tcW w:w="7780" w:type="dxa"/>
          </w:tcPr>
          <w:p w14:paraId="0AC133C3" w14:textId="77777777" w:rsidR="003D52C5" w:rsidRPr="001F05E1" w:rsidRDefault="003D52C5" w:rsidP="00316D81">
            <w:pPr>
              <w:rPr>
                <w:rFonts w:cstheme="minorHAnsi"/>
                <w:sz w:val="24"/>
                <w:szCs w:val="24"/>
              </w:rPr>
            </w:pPr>
            <w:r w:rsidRPr="001F05E1">
              <w:rPr>
                <w:rFonts w:cstheme="minorHAnsi"/>
                <w:sz w:val="24"/>
                <w:szCs w:val="24"/>
              </w:rPr>
              <w:t>Akgün, S. and Krajcik, J. (2024)</w:t>
            </w:r>
          </w:p>
        </w:tc>
        <w:tc>
          <w:tcPr>
            <w:tcW w:w="6908" w:type="dxa"/>
          </w:tcPr>
          <w:p w14:paraId="30EB80E1" w14:textId="77777777" w:rsidR="003D52C5" w:rsidRPr="001F05E1" w:rsidRDefault="003D52C5" w:rsidP="00316D81">
            <w:pPr>
              <w:jc w:val="center"/>
              <w:rPr>
                <w:rFonts w:cstheme="minorHAnsi"/>
                <w:sz w:val="24"/>
                <w:szCs w:val="24"/>
              </w:rPr>
            </w:pPr>
            <w:r w:rsidRPr="001F05E1">
              <w:rPr>
                <w:rFonts w:cstheme="minorHAnsi"/>
                <w:sz w:val="24"/>
                <w:szCs w:val="24"/>
              </w:rPr>
              <w:t>Population/context; publication type</w:t>
            </w:r>
          </w:p>
        </w:tc>
      </w:tr>
      <w:tr w:rsidR="003D52C5" w:rsidRPr="001F05E1" w14:paraId="3260810F" w14:textId="77777777" w:rsidTr="00316D81">
        <w:trPr>
          <w:jc w:val="center"/>
        </w:trPr>
        <w:tc>
          <w:tcPr>
            <w:tcW w:w="720" w:type="dxa"/>
          </w:tcPr>
          <w:p w14:paraId="290CC2AF" w14:textId="77777777" w:rsidR="003D52C5" w:rsidRPr="001F05E1" w:rsidRDefault="003D52C5" w:rsidP="00316D81">
            <w:pPr>
              <w:jc w:val="center"/>
              <w:rPr>
                <w:rFonts w:cstheme="minorHAnsi"/>
                <w:sz w:val="24"/>
                <w:szCs w:val="24"/>
              </w:rPr>
            </w:pPr>
            <w:r w:rsidRPr="001F05E1">
              <w:rPr>
                <w:rFonts w:cstheme="minorHAnsi"/>
                <w:sz w:val="24"/>
                <w:szCs w:val="24"/>
              </w:rPr>
              <w:t>14</w:t>
            </w:r>
          </w:p>
        </w:tc>
        <w:tc>
          <w:tcPr>
            <w:tcW w:w="7780" w:type="dxa"/>
          </w:tcPr>
          <w:p w14:paraId="699578E1" w14:textId="77777777" w:rsidR="003D52C5" w:rsidRPr="001F05E1" w:rsidRDefault="003D52C5" w:rsidP="00316D81">
            <w:pPr>
              <w:rPr>
                <w:rFonts w:cstheme="minorHAnsi"/>
                <w:sz w:val="24"/>
                <w:szCs w:val="24"/>
              </w:rPr>
            </w:pPr>
            <w:r w:rsidRPr="001F05E1">
              <w:rPr>
                <w:rFonts w:cstheme="minorHAnsi"/>
                <w:sz w:val="24"/>
                <w:szCs w:val="24"/>
              </w:rPr>
              <w:t>Hodge, A. (2026)</w:t>
            </w:r>
          </w:p>
        </w:tc>
        <w:tc>
          <w:tcPr>
            <w:tcW w:w="6908" w:type="dxa"/>
          </w:tcPr>
          <w:p w14:paraId="264B509E" w14:textId="77777777" w:rsidR="003D52C5" w:rsidRPr="001F05E1" w:rsidRDefault="003D52C5" w:rsidP="00316D81">
            <w:pPr>
              <w:jc w:val="center"/>
              <w:rPr>
                <w:rFonts w:cstheme="minorHAnsi"/>
                <w:sz w:val="24"/>
                <w:szCs w:val="24"/>
              </w:rPr>
            </w:pPr>
            <w:r w:rsidRPr="001F05E1">
              <w:rPr>
                <w:rFonts w:cstheme="minorHAnsi"/>
                <w:sz w:val="24"/>
                <w:szCs w:val="24"/>
              </w:rPr>
              <w:t>Publication status; evidence type</w:t>
            </w:r>
          </w:p>
        </w:tc>
      </w:tr>
      <w:tr w:rsidR="003D52C5" w:rsidRPr="001F05E1" w14:paraId="32304D47" w14:textId="77777777" w:rsidTr="00316D81">
        <w:trPr>
          <w:jc w:val="center"/>
        </w:trPr>
        <w:tc>
          <w:tcPr>
            <w:tcW w:w="720" w:type="dxa"/>
          </w:tcPr>
          <w:p w14:paraId="3B43F71D" w14:textId="77777777" w:rsidR="003D52C5" w:rsidRPr="001F05E1" w:rsidRDefault="003D52C5" w:rsidP="00316D81">
            <w:pPr>
              <w:jc w:val="center"/>
              <w:rPr>
                <w:rFonts w:cstheme="minorHAnsi"/>
                <w:sz w:val="24"/>
                <w:szCs w:val="24"/>
              </w:rPr>
            </w:pPr>
            <w:r w:rsidRPr="001F05E1">
              <w:rPr>
                <w:rFonts w:cstheme="minorHAnsi"/>
                <w:sz w:val="24"/>
                <w:szCs w:val="24"/>
              </w:rPr>
              <w:t>15</w:t>
            </w:r>
          </w:p>
        </w:tc>
        <w:tc>
          <w:tcPr>
            <w:tcW w:w="7780" w:type="dxa"/>
          </w:tcPr>
          <w:p w14:paraId="396BE522" w14:textId="77777777" w:rsidR="003D52C5" w:rsidRPr="001F05E1" w:rsidRDefault="003D52C5" w:rsidP="00316D81">
            <w:pPr>
              <w:rPr>
                <w:rFonts w:cstheme="minorHAnsi"/>
                <w:sz w:val="24"/>
                <w:szCs w:val="24"/>
              </w:rPr>
            </w:pPr>
            <w:r w:rsidRPr="001F05E1">
              <w:rPr>
                <w:rFonts w:cstheme="minorHAnsi"/>
                <w:sz w:val="24"/>
                <w:szCs w:val="24"/>
              </w:rPr>
              <w:t>Tao, Y., Ryan, M., Bialy, F. and Zhang, X. (2026)</w:t>
            </w:r>
          </w:p>
        </w:tc>
        <w:tc>
          <w:tcPr>
            <w:tcW w:w="6908" w:type="dxa"/>
          </w:tcPr>
          <w:p w14:paraId="7B421BC5" w14:textId="77777777" w:rsidR="003D52C5" w:rsidRPr="001F05E1" w:rsidRDefault="003D52C5" w:rsidP="00316D81">
            <w:pPr>
              <w:jc w:val="center"/>
              <w:rPr>
                <w:rFonts w:cstheme="minorHAnsi"/>
                <w:sz w:val="24"/>
                <w:szCs w:val="24"/>
              </w:rPr>
            </w:pPr>
            <w:r w:rsidRPr="001F05E1">
              <w:rPr>
                <w:rFonts w:cstheme="minorHAnsi"/>
                <w:sz w:val="24"/>
                <w:szCs w:val="24"/>
              </w:rPr>
              <w:t>Publication status</w:t>
            </w:r>
          </w:p>
        </w:tc>
      </w:tr>
      <w:tr w:rsidR="003D52C5" w:rsidRPr="001F05E1" w14:paraId="6B7D0CD5" w14:textId="77777777" w:rsidTr="00316D81">
        <w:trPr>
          <w:jc w:val="center"/>
        </w:trPr>
        <w:tc>
          <w:tcPr>
            <w:tcW w:w="720" w:type="dxa"/>
          </w:tcPr>
          <w:p w14:paraId="02116840" w14:textId="77777777" w:rsidR="003D52C5" w:rsidRPr="001F05E1" w:rsidRDefault="003D52C5" w:rsidP="00316D81">
            <w:pPr>
              <w:jc w:val="center"/>
              <w:rPr>
                <w:rFonts w:cstheme="minorHAnsi"/>
                <w:sz w:val="24"/>
                <w:szCs w:val="24"/>
              </w:rPr>
            </w:pPr>
            <w:r w:rsidRPr="001F05E1">
              <w:rPr>
                <w:rFonts w:cstheme="minorHAnsi"/>
                <w:sz w:val="24"/>
                <w:szCs w:val="24"/>
              </w:rPr>
              <w:t>16</w:t>
            </w:r>
          </w:p>
        </w:tc>
        <w:tc>
          <w:tcPr>
            <w:tcW w:w="7780" w:type="dxa"/>
          </w:tcPr>
          <w:p w14:paraId="70D90F5A" w14:textId="77777777" w:rsidR="003D52C5" w:rsidRPr="001F05E1" w:rsidRDefault="003D52C5" w:rsidP="00316D81">
            <w:pPr>
              <w:rPr>
                <w:rFonts w:cstheme="minorHAnsi"/>
                <w:sz w:val="24"/>
                <w:szCs w:val="24"/>
              </w:rPr>
            </w:pPr>
            <w:r w:rsidRPr="001F05E1">
              <w:rPr>
                <w:rFonts w:cstheme="minorHAnsi"/>
                <w:sz w:val="24"/>
                <w:szCs w:val="24"/>
              </w:rPr>
              <w:t>Choi, H. and Park, M.J. (2023)</w:t>
            </w:r>
          </w:p>
        </w:tc>
        <w:tc>
          <w:tcPr>
            <w:tcW w:w="6908" w:type="dxa"/>
          </w:tcPr>
          <w:p w14:paraId="522EE110" w14:textId="77777777" w:rsidR="003D52C5" w:rsidRPr="001F05E1" w:rsidRDefault="003D52C5" w:rsidP="00316D81">
            <w:pPr>
              <w:jc w:val="center"/>
              <w:rPr>
                <w:rFonts w:cstheme="minorHAnsi"/>
                <w:sz w:val="24"/>
                <w:szCs w:val="24"/>
              </w:rPr>
            </w:pPr>
            <w:r w:rsidRPr="001F05E1">
              <w:rPr>
                <w:rFonts w:cstheme="minorHAnsi"/>
                <w:sz w:val="24"/>
                <w:szCs w:val="24"/>
              </w:rPr>
              <w:t>Sector/context; geographical specificity</w:t>
            </w:r>
          </w:p>
        </w:tc>
      </w:tr>
      <w:tr w:rsidR="003D52C5" w:rsidRPr="001F05E1" w14:paraId="2FA84F86" w14:textId="77777777" w:rsidTr="00316D81">
        <w:trPr>
          <w:jc w:val="center"/>
        </w:trPr>
        <w:tc>
          <w:tcPr>
            <w:tcW w:w="720" w:type="dxa"/>
          </w:tcPr>
          <w:p w14:paraId="37624868" w14:textId="77777777" w:rsidR="003D52C5" w:rsidRPr="001F05E1" w:rsidRDefault="003D52C5" w:rsidP="00316D81">
            <w:pPr>
              <w:jc w:val="center"/>
              <w:rPr>
                <w:rFonts w:cstheme="minorHAnsi"/>
                <w:sz w:val="24"/>
                <w:szCs w:val="24"/>
              </w:rPr>
            </w:pPr>
            <w:r w:rsidRPr="001F05E1">
              <w:rPr>
                <w:rFonts w:cstheme="minorHAnsi"/>
                <w:sz w:val="24"/>
                <w:szCs w:val="24"/>
              </w:rPr>
              <w:t>17</w:t>
            </w:r>
          </w:p>
        </w:tc>
        <w:tc>
          <w:tcPr>
            <w:tcW w:w="7780" w:type="dxa"/>
          </w:tcPr>
          <w:p w14:paraId="50808F87" w14:textId="77777777" w:rsidR="003D52C5" w:rsidRPr="001F05E1" w:rsidRDefault="003D52C5" w:rsidP="00316D81">
            <w:pPr>
              <w:rPr>
                <w:rFonts w:cstheme="minorHAnsi"/>
                <w:sz w:val="24"/>
                <w:szCs w:val="24"/>
              </w:rPr>
            </w:pPr>
            <w:r w:rsidRPr="001F05E1">
              <w:rPr>
                <w:rFonts w:cstheme="minorHAnsi"/>
                <w:sz w:val="24"/>
                <w:szCs w:val="24"/>
              </w:rPr>
              <w:t>Bouderhem, R. (2024)</w:t>
            </w:r>
          </w:p>
        </w:tc>
        <w:tc>
          <w:tcPr>
            <w:tcW w:w="6908" w:type="dxa"/>
          </w:tcPr>
          <w:p w14:paraId="6F0F0E66" w14:textId="77777777" w:rsidR="003D52C5" w:rsidRPr="001F05E1" w:rsidRDefault="003D52C5" w:rsidP="00316D81">
            <w:pPr>
              <w:jc w:val="center"/>
              <w:rPr>
                <w:rFonts w:cstheme="minorHAnsi"/>
                <w:sz w:val="24"/>
                <w:szCs w:val="24"/>
              </w:rPr>
            </w:pPr>
            <w:r w:rsidRPr="001F05E1">
              <w:rPr>
                <w:rFonts w:cstheme="minorHAnsi"/>
                <w:sz w:val="24"/>
                <w:szCs w:val="24"/>
              </w:rPr>
              <w:t>Sector/context</w:t>
            </w:r>
          </w:p>
        </w:tc>
      </w:tr>
      <w:tr w:rsidR="003D52C5" w:rsidRPr="001F05E1" w14:paraId="13B9465F" w14:textId="77777777" w:rsidTr="00316D81">
        <w:trPr>
          <w:jc w:val="center"/>
        </w:trPr>
        <w:tc>
          <w:tcPr>
            <w:tcW w:w="720" w:type="dxa"/>
          </w:tcPr>
          <w:p w14:paraId="66FF93E1" w14:textId="77777777" w:rsidR="003D52C5" w:rsidRPr="001F05E1" w:rsidRDefault="003D52C5" w:rsidP="00316D81">
            <w:pPr>
              <w:jc w:val="center"/>
              <w:rPr>
                <w:rFonts w:cstheme="minorHAnsi"/>
                <w:sz w:val="24"/>
                <w:szCs w:val="24"/>
              </w:rPr>
            </w:pPr>
            <w:r w:rsidRPr="001F05E1">
              <w:rPr>
                <w:rFonts w:cstheme="minorHAnsi"/>
                <w:sz w:val="24"/>
                <w:szCs w:val="24"/>
              </w:rPr>
              <w:t>18</w:t>
            </w:r>
          </w:p>
        </w:tc>
        <w:tc>
          <w:tcPr>
            <w:tcW w:w="7780" w:type="dxa"/>
          </w:tcPr>
          <w:p w14:paraId="75D91486" w14:textId="77777777" w:rsidR="003D52C5" w:rsidRPr="001F05E1" w:rsidRDefault="003D52C5" w:rsidP="00316D81">
            <w:pPr>
              <w:rPr>
                <w:rFonts w:cstheme="minorHAnsi"/>
                <w:sz w:val="24"/>
                <w:szCs w:val="24"/>
              </w:rPr>
            </w:pPr>
            <w:r w:rsidRPr="001F05E1">
              <w:rPr>
                <w:rFonts w:cstheme="minorHAnsi"/>
                <w:sz w:val="24"/>
                <w:szCs w:val="24"/>
              </w:rPr>
              <w:t>McGrath, C.P. (2024)</w:t>
            </w:r>
          </w:p>
        </w:tc>
        <w:tc>
          <w:tcPr>
            <w:tcW w:w="6908" w:type="dxa"/>
          </w:tcPr>
          <w:p w14:paraId="23F54733" w14:textId="77777777" w:rsidR="003D52C5" w:rsidRPr="001F05E1" w:rsidRDefault="003D52C5" w:rsidP="00316D81">
            <w:pPr>
              <w:jc w:val="center"/>
              <w:rPr>
                <w:rFonts w:cstheme="minorHAnsi"/>
                <w:sz w:val="24"/>
                <w:szCs w:val="24"/>
              </w:rPr>
            </w:pPr>
            <w:r w:rsidRPr="001F05E1">
              <w:rPr>
                <w:rFonts w:cstheme="minorHAnsi"/>
                <w:sz w:val="24"/>
                <w:szCs w:val="24"/>
              </w:rPr>
              <w:t>Sector/context; publication type</w:t>
            </w:r>
          </w:p>
        </w:tc>
      </w:tr>
    </w:tbl>
    <w:p w14:paraId="14397166" w14:textId="77777777" w:rsidR="00762A90" w:rsidRPr="00762A90" w:rsidRDefault="00762A90" w:rsidP="003D52C5">
      <w:pPr>
        <w:pStyle w:val="Caption"/>
        <w:jc w:val="center"/>
        <w:rPr>
          <w:sz w:val="20"/>
          <w:szCs w:val="20"/>
        </w:rPr>
      </w:pPr>
      <w:r w:rsidRPr="00762A90">
        <w:rPr>
          <w:sz w:val="20"/>
          <w:szCs w:val="20"/>
        </w:rPr>
        <w:t xml:space="preserve">Table E3: Exclusion criteria applied to academic references </w:t>
      </w:r>
    </w:p>
    <w:p w14:paraId="45CD71FE" w14:textId="21DF7287" w:rsidR="003D52C5" w:rsidRDefault="003D52C5" w:rsidP="003D52C5">
      <w:pPr>
        <w:pStyle w:val="Caption"/>
        <w:jc w:val="center"/>
        <w:rPr>
          <w:sz w:val="20"/>
          <w:szCs w:val="20"/>
        </w:rPr>
      </w:pPr>
      <w:r w:rsidRPr="00762A90">
        <w:rPr>
          <w:sz w:val="20"/>
          <w:szCs w:val="20"/>
        </w:rPr>
        <w:t xml:space="preserve">Source: Author’s application of the inclusion and exclusion criteria reported in Appendix C. Numbering corresponds directly with Table </w:t>
      </w:r>
    </w:p>
    <w:p w14:paraId="5C050EE6" w14:textId="77777777" w:rsidR="00480B1F" w:rsidRPr="00480B1F" w:rsidRDefault="00480B1F" w:rsidP="00480B1F"/>
    <w:p w14:paraId="759B020D" w14:textId="77777777" w:rsidR="003D52C5" w:rsidRDefault="003D52C5" w:rsidP="003D52C5"/>
    <w:p w14:paraId="56AA9253" w14:textId="77777777" w:rsidR="003D52C5" w:rsidRDefault="003D52C5" w:rsidP="003D52C5"/>
    <w:p w14:paraId="6F3018E5" w14:textId="77777777" w:rsidR="00480B1F" w:rsidRDefault="00480B1F" w:rsidP="003D52C5">
      <w:pPr>
        <w:spacing w:after="100"/>
      </w:pPr>
    </w:p>
    <w:tbl>
      <w:tblPr>
        <w:tblStyle w:val="TableGrid"/>
        <w:tblW w:w="0" w:type="auto"/>
        <w:jc w:val="center"/>
        <w:tblLayout w:type="fixed"/>
        <w:tblLook w:val="04A0" w:firstRow="1" w:lastRow="0" w:firstColumn="1" w:lastColumn="0" w:noHBand="0" w:noVBand="1"/>
      </w:tblPr>
      <w:tblGrid>
        <w:gridCol w:w="605"/>
        <w:gridCol w:w="2088"/>
        <w:gridCol w:w="5976"/>
        <w:gridCol w:w="3672"/>
        <w:gridCol w:w="3672"/>
      </w:tblGrid>
      <w:tr w:rsidR="003D52C5" w14:paraId="79DBD33E" w14:textId="77777777" w:rsidTr="00316D81">
        <w:trPr>
          <w:tblHeader/>
          <w:jc w:val="center"/>
        </w:trPr>
        <w:tc>
          <w:tcPr>
            <w:tcW w:w="605" w:type="dxa"/>
            <w:shd w:val="clear" w:color="auto" w:fill="D9EAF7"/>
            <w:vAlign w:val="center"/>
          </w:tcPr>
          <w:p w14:paraId="6F1F8C3F" w14:textId="77777777" w:rsidR="003D52C5" w:rsidRPr="008E7D6A" w:rsidRDefault="003D52C5" w:rsidP="00316D81">
            <w:pPr>
              <w:jc w:val="center"/>
              <w:rPr>
                <w:sz w:val="20"/>
                <w:szCs w:val="20"/>
              </w:rPr>
            </w:pPr>
            <w:r w:rsidRPr="008E7D6A">
              <w:rPr>
                <w:rFonts w:ascii="Arial" w:hAnsi="Arial"/>
                <w:b/>
                <w:sz w:val="20"/>
                <w:szCs w:val="20"/>
              </w:rPr>
              <w:t>No.</w:t>
            </w:r>
          </w:p>
        </w:tc>
        <w:tc>
          <w:tcPr>
            <w:tcW w:w="2088" w:type="dxa"/>
            <w:shd w:val="clear" w:color="auto" w:fill="D9EAF7"/>
            <w:vAlign w:val="center"/>
          </w:tcPr>
          <w:p w14:paraId="28542F32" w14:textId="77777777" w:rsidR="003D52C5" w:rsidRPr="008E7D6A" w:rsidRDefault="003D52C5" w:rsidP="00316D81">
            <w:pPr>
              <w:jc w:val="center"/>
              <w:rPr>
                <w:sz w:val="20"/>
                <w:szCs w:val="20"/>
              </w:rPr>
            </w:pPr>
            <w:r w:rsidRPr="008E7D6A">
              <w:rPr>
                <w:rFonts w:ascii="Arial" w:hAnsi="Arial"/>
                <w:b/>
                <w:sz w:val="20"/>
                <w:szCs w:val="20"/>
              </w:rPr>
              <w:t>Study</w:t>
            </w:r>
          </w:p>
        </w:tc>
        <w:tc>
          <w:tcPr>
            <w:tcW w:w="5976" w:type="dxa"/>
            <w:shd w:val="clear" w:color="auto" w:fill="D9EAF7"/>
            <w:vAlign w:val="center"/>
          </w:tcPr>
          <w:p w14:paraId="40A350A1" w14:textId="77777777" w:rsidR="003D52C5" w:rsidRPr="008E7D6A" w:rsidRDefault="003D52C5" w:rsidP="00316D81">
            <w:pPr>
              <w:jc w:val="center"/>
              <w:rPr>
                <w:sz w:val="20"/>
                <w:szCs w:val="20"/>
              </w:rPr>
            </w:pPr>
            <w:r w:rsidRPr="008E7D6A">
              <w:rPr>
                <w:rFonts w:ascii="Arial" w:hAnsi="Arial"/>
                <w:b/>
                <w:sz w:val="20"/>
                <w:szCs w:val="20"/>
              </w:rPr>
              <w:t>Topic / study focus</w:t>
            </w:r>
          </w:p>
        </w:tc>
        <w:tc>
          <w:tcPr>
            <w:tcW w:w="3672" w:type="dxa"/>
            <w:shd w:val="clear" w:color="auto" w:fill="D9EAF7"/>
            <w:vAlign w:val="center"/>
          </w:tcPr>
          <w:p w14:paraId="5459048F" w14:textId="77777777" w:rsidR="003D52C5" w:rsidRPr="008E7D6A" w:rsidRDefault="003D52C5" w:rsidP="00316D81">
            <w:pPr>
              <w:jc w:val="center"/>
              <w:rPr>
                <w:sz w:val="20"/>
                <w:szCs w:val="20"/>
              </w:rPr>
            </w:pPr>
            <w:r w:rsidRPr="008E7D6A">
              <w:rPr>
                <w:rFonts w:ascii="Arial" w:hAnsi="Arial"/>
                <w:b/>
                <w:sz w:val="20"/>
                <w:szCs w:val="20"/>
              </w:rPr>
              <w:t>Descriptive codes</w:t>
            </w:r>
          </w:p>
        </w:tc>
        <w:tc>
          <w:tcPr>
            <w:tcW w:w="3672" w:type="dxa"/>
            <w:shd w:val="clear" w:color="auto" w:fill="D9EAF7"/>
            <w:vAlign w:val="center"/>
          </w:tcPr>
          <w:p w14:paraId="7610B425" w14:textId="77777777" w:rsidR="003D52C5" w:rsidRPr="008E7D6A" w:rsidRDefault="003D52C5" w:rsidP="00316D81">
            <w:pPr>
              <w:jc w:val="center"/>
              <w:rPr>
                <w:sz w:val="20"/>
                <w:szCs w:val="20"/>
              </w:rPr>
            </w:pPr>
            <w:r w:rsidRPr="008E7D6A">
              <w:rPr>
                <w:rFonts w:ascii="Arial" w:hAnsi="Arial"/>
                <w:b/>
                <w:sz w:val="20"/>
                <w:szCs w:val="20"/>
              </w:rPr>
              <w:t>Overarching theme</w:t>
            </w:r>
          </w:p>
        </w:tc>
      </w:tr>
      <w:tr w:rsidR="003D52C5" w14:paraId="2FDECA58" w14:textId="77777777" w:rsidTr="00316D81">
        <w:trPr>
          <w:jc w:val="center"/>
        </w:trPr>
        <w:tc>
          <w:tcPr>
            <w:tcW w:w="605" w:type="dxa"/>
          </w:tcPr>
          <w:p w14:paraId="0143EFA2" w14:textId="77777777" w:rsidR="003D52C5" w:rsidRPr="008E7D6A" w:rsidRDefault="003D52C5" w:rsidP="00316D81">
            <w:pPr>
              <w:spacing w:line="221" w:lineRule="auto"/>
              <w:jc w:val="center"/>
              <w:rPr>
                <w:sz w:val="20"/>
                <w:szCs w:val="20"/>
              </w:rPr>
            </w:pPr>
            <w:r w:rsidRPr="008E7D6A">
              <w:rPr>
                <w:rFonts w:ascii="Arial" w:hAnsi="Arial"/>
                <w:sz w:val="20"/>
                <w:szCs w:val="20"/>
              </w:rPr>
              <w:t>1</w:t>
            </w:r>
          </w:p>
        </w:tc>
        <w:tc>
          <w:tcPr>
            <w:tcW w:w="2088" w:type="dxa"/>
          </w:tcPr>
          <w:p w14:paraId="264CC1F1" w14:textId="77777777" w:rsidR="003D52C5" w:rsidRPr="008E7D6A" w:rsidRDefault="003D52C5" w:rsidP="00316D81">
            <w:pPr>
              <w:spacing w:line="221" w:lineRule="auto"/>
              <w:rPr>
                <w:sz w:val="20"/>
                <w:szCs w:val="20"/>
              </w:rPr>
            </w:pPr>
            <w:r w:rsidRPr="008E7D6A">
              <w:rPr>
                <w:rFonts w:ascii="Arial" w:hAnsi="Arial"/>
                <w:sz w:val="20"/>
                <w:szCs w:val="20"/>
              </w:rPr>
              <w:t>Abdullah et al. (2026)</w:t>
            </w:r>
          </w:p>
        </w:tc>
        <w:tc>
          <w:tcPr>
            <w:tcW w:w="5976" w:type="dxa"/>
          </w:tcPr>
          <w:p w14:paraId="69B8F4D8" w14:textId="77777777" w:rsidR="003D52C5" w:rsidRPr="008E7D6A" w:rsidRDefault="003D52C5" w:rsidP="00316D81">
            <w:pPr>
              <w:spacing w:line="221" w:lineRule="auto"/>
              <w:rPr>
                <w:sz w:val="20"/>
                <w:szCs w:val="20"/>
              </w:rPr>
            </w:pPr>
            <w:r w:rsidRPr="008E7D6A">
              <w:rPr>
                <w:rFonts w:ascii="Arial" w:hAnsi="Arial"/>
                <w:sz w:val="20"/>
                <w:szCs w:val="20"/>
              </w:rPr>
              <w:t>AI-enabled governance in higher education: a systematic review of applications, outcomes, and emerging implications</w:t>
            </w:r>
          </w:p>
        </w:tc>
        <w:tc>
          <w:tcPr>
            <w:tcW w:w="3672" w:type="dxa"/>
          </w:tcPr>
          <w:p w14:paraId="7795F3F2"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4EBC7B9B" w14:textId="470086FA"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29A905C9" w14:textId="77777777" w:rsidTr="00316D81">
        <w:trPr>
          <w:jc w:val="center"/>
        </w:trPr>
        <w:tc>
          <w:tcPr>
            <w:tcW w:w="605" w:type="dxa"/>
          </w:tcPr>
          <w:p w14:paraId="11054E10" w14:textId="77777777" w:rsidR="003D52C5" w:rsidRPr="008E7D6A" w:rsidRDefault="003D52C5" w:rsidP="00316D81">
            <w:pPr>
              <w:spacing w:line="221" w:lineRule="auto"/>
              <w:jc w:val="center"/>
              <w:rPr>
                <w:sz w:val="20"/>
                <w:szCs w:val="20"/>
              </w:rPr>
            </w:pPr>
            <w:r w:rsidRPr="008E7D6A">
              <w:rPr>
                <w:rFonts w:ascii="Arial" w:hAnsi="Arial"/>
                <w:sz w:val="20"/>
                <w:szCs w:val="20"/>
              </w:rPr>
              <w:t>2</w:t>
            </w:r>
          </w:p>
        </w:tc>
        <w:tc>
          <w:tcPr>
            <w:tcW w:w="2088" w:type="dxa"/>
          </w:tcPr>
          <w:p w14:paraId="13908937" w14:textId="77777777" w:rsidR="003D52C5" w:rsidRPr="008E7D6A" w:rsidRDefault="003D52C5" w:rsidP="00316D81">
            <w:pPr>
              <w:spacing w:line="221" w:lineRule="auto"/>
              <w:rPr>
                <w:sz w:val="20"/>
                <w:szCs w:val="20"/>
              </w:rPr>
            </w:pPr>
            <w:r w:rsidRPr="008E7D6A">
              <w:rPr>
                <w:rFonts w:ascii="Arial" w:hAnsi="Arial"/>
                <w:sz w:val="20"/>
                <w:szCs w:val="20"/>
              </w:rPr>
              <w:t>Akbarighatar, P. (2025)</w:t>
            </w:r>
          </w:p>
        </w:tc>
        <w:tc>
          <w:tcPr>
            <w:tcW w:w="5976" w:type="dxa"/>
          </w:tcPr>
          <w:p w14:paraId="2AECCECF" w14:textId="77777777" w:rsidR="003D52C5" w:rsidRPr="008E7D6A" w:rsidRDefault="003D52C5" w:rsidP="00316D81">
            <w:pPr>
              <w:spacing w:line="221" w:lineRule="auto"/>
              <w:rPr>
                <w:sz w:val="20"/>
                <w:szCs w:val="20"/>
              </w:rPr>
            </w:pPr>
            <w:r w:rsidRPr="008E7D6A">
              <w:rPr>
                <w:rFonts w:ascii="Arial" w:hAnsi="Arial"/>
                <w:sz w:val="20"/>
                <w:szCs w:val="20"/>
              </w:rPr>
              <w:t>Operationalising responsible AI principles through responsible AI capabilities</w:t>
            </w:r>
          </w:p>
        </w:tc>
        <w:tc>
          <w:tcPr>
            <w:tcW w:w="3672" w:type="dxa"/>
          </w:tcPr>
          <w:p w14:paraId="59C6AE25"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organisational capability; accountability</w:t>
            </w:r>
          </w:p>
        </w:tc>
        <w:tc>
          <w:tcPr>
            <w:tcW w:w="3672" w:type="dxa"/>
          </w:tcPr>
          <w:p w14:paraId="36139E34"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1DD5A2E" w14:textId="77777777" w:rsidTr="00316D81">
        <w:trPr>
          <w:jc w:val="center"/>
        </w:trPr>
        <w:tc>
          <w:tcPr>
            <w:tcW w:w="605" w:type="dxa"/>
          </w:tcPr>
          <w:p w14:paraId="544FC224" w14:textId="77777777" w:rsidR="003D52C5" w:rsidRPr="008E7D6A" w:rsidRDefault="003D52C5" w:rsidP="00316D81">
            <w:pPr>
              <w:spacing w:line="221" w:lineRule="auto"/>
              <w:jc w:val="center"/>
              <w:rPr>
                <w:sz w:val="20"/>
                <w:szCs w:val="20"/>
              </w:rPr>
            </w:pPr>
            <w:r w:rsidRPr="008E7D6A">
              <w:rPr>
                <w:rFonts w:ascii="Arial" w:hAnsi="Arial"/>
                <w:sz w:val="20"/>
                <w:szCs w:val="20"/>
              </w:rPr>
              <w:t>3</w:t>
            </w:r>
          </w:p>
        </w:tc>
        <w:tc>
          <w:tcPr>
            <w:tcW w:w="2088" w:type="dxa"/>
          </w:tcPr>
          <w:p w14:paraId="12D7BBEB" w14:textId="77777777" w:rsidR="003D52C5" w:rsidRPr="008E7D6A" w:rsidRDefault="003D52C5" w:rsidP="00316D81">
            <w:pPr>
              <w:spacing w:line="221" w:lineRule="auto"/>
              <w:rPr>
                <w:sz w:val="20"/>
                <w:szCs w:val="20"/>
              </w:rPr>
            </w:pPr>
            <w:r w:rsidRPr="008E7D6A">
              <w:rPr>
                <w:rFonts w:ascii="Arial" w:hAnsi="Arial"/>
                <w:sz w:val="20"/>
                <w:szCs w:val="20"/>
              </w:rPr>
              <w:t>Al-Ababneh, M. (2020)</w:t>
            </w:r>
          </w:p>
        </w:tc>
        <w:tc>
          <w:tcPr>
            <w:tcW w:w="5976" w:type="dxa"/>
          </w:tcPr>
          <w:p w14:paraId="7950DBDE" w14:textId="77777777" w:rsidR="003D52C5" w:rsidRPr="008E7D6A" w:rsidRDefault="003D52C5" w:rsidP="00316D81">
            <w:pPr>
              <w:spacing w:line="221" w:lineRule="auto"/>
              <w:rPr>
                <w:sz w:val="20"/>
                <w:szCs w:val="20"/>
              </w:rPr>
            </w:pPr>
            <w:r w:rsidRPr="008E7D6A">
              <w:rPr>
                <w:rFonts w:ascii="Arial" w:hAnsi="Arial"/>
                <w:sz w:val="20"/>
                <w:szCs w:val="20"/>
              </w:rPr>
              <w:t>Linking ontology, epistemology and research methodology</w:t>
            </w:r>
          </w:p>
        </w:tc>
        <w:tc>
          <w:tcPr>
            <w:tcW w:w="3672" w:type="dxa"/>
          </w:tcPr>
          <w:p w14:paraId="2E0FC803" w14:textId="77777777" w:rsidR="003D52C5" w:rsidRPr="008E7D6A" w:rsidRDefault="003D52C5" w:rsidP="00316D81">
            <w:pPr>
              <w:spacing w:line="221" w:lineRule="auto"/>
              <w:rPr>
                <w:sz w:val="20"/>
                <w:szCs w:val="20"/>
              </w:rPr>
            </w:pPr>
            <w:r w:rsidRPr="008E7D6A">
              <w:rPr>
                <w:rFonts w:ascii="Arial" w:hAnsi="Arial"/>
                <w:sz w:val="20"/>
                <w:szCs w:val="20"/>
              </w:rPr>
              <w:t>ontology/epistemology</w:t>
            </w:r>
          </w:p>
        </w:tc>
        <w:tc>
          <w:tcPr>
            <w:tcW w:w="3672" w:type="dxa"/>
          </w:tcPr>
          <w:p w14:paraId="2E78F861" w14:textId="12C0D2C2"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5E3A0C4" w14:textId="77777777" w:rsidTr="00316D81">
        <w:trPr>
          <w:jc w:val="center"/>
        </w:trPr>
        <w:tc>
          <w:tcPr>
            <w:tcW w:w="605" w:type="dxa"/>
          </w:tcPr>
          <w:p w14:paraId="53D998B6" w14:textId="77777777" w:rsidR="003D52C5" w:rsidRPr="008E7D6A" w:rsidRDefault="003D52C5" w:rsidP="00316D81">
            <w:pPr>
              <w:spacing w:line="221" w:lineRule="auto"/>
              <w:jc w:val="center"/>
              <w:rPr>
                <w:sz w:val="20"/>
                <w:szCs w:val="20"/>
              </w:rPr>
            </w:pPr>
            <w:r w:rsidRPr="008E7D6A">
              <w:rPr>
                <w:rFonts w:ascii="Arial" w:hAnsi="Arial"/>
                <w:sz w:val="20"/>
                <w:szCs w:val="20"/>
              </w:rPr>
              <w:t>4</w:t>
            </w:r>
          </w:p>
        </w:tc>
        <w:tc>
          <w:tcPr>
            <w:tcW w:w="2088" w:type="dxa"/>
          </w:tcPr>
          <w:p w14:paraId="5DC45DA6" w14:textId="77777777" w:rsidR="003D52C5" w:rsidRPr="008E7D6A" w:rsidRDefault="003D52C5" w:rsidP="00316D81">
            <w:pPr>
              <w:spacing w:line="221" w:lineRule="auto"/>
              <w:rPr>
                <w:sz w:val="20"/>
                <w:szCs w:val="20"/>
              </w:rPr>
            </w:pPr>
            <w:r w:rsidRPr="008E7D6A">
              <w:rPr>
                <w:rFonts w:ascii="Arial" w:hAnsi="Arial"/>
                <w:sz w:val="20"/>
                <w:szCs w:val="20"/>
              </w:rPr>
              <w:t>Alfredo et al. (2024)</w:t>
            </w:r>
          </w:p>
        </w:tc>
        <w:tc>
          <w:tcPr>
            <w:tcW w:w="5976" w:type="dxa"/>
          </w:tcPr>
          <w:p w14:paraId="514999D9" w14:textId="77777777" w:rsidR="003D52C5" w:rsidRPr="008E7D6A" w:rsidRDefault="003D52C5" w:rsidP="00316D81">
            <w:pPr>
              <w:spacing w:line="221" w:lineRule="auto"/>
              <w:rPr>
                <w:sz w:val="20"/>
                <w:szCs w:val="20"/>
              </w:rPr>
            </w:pPr>
            <w:r w:rsidRPr="008E7D6A">
              <w:rPr>
                <w:rFonts w:ascii="Arial" w:hAnsi="Arial"/>
                <w:sz w:val="20"/>
                <w:szCs w:val="20"/>
              </w:rPr>
              <w:t>FATE in MMLA: A Student-Centred Exploration of Fairness, Accountability, Transparency, and Ethics in Multimodal Learning Analytics</w:t>
            </w:r>
          </w:p>
        </w:tc>
        <w:tc>
          <w:tcPr>
            <w:tcW w:w="3672" w:type="dxa"/>
          </w:tcPr>
          <w:p w14:paraId="0F9FECEE" w14:textId="77777777" w:rsidR="003D52C5" w:rsidRPr="008E7D6A" w:rsidRDefault="003D52C5" w:rsidP="00316D81">
            <w:pPr>
              <w:spacing w:line="221" w:lineRule="auto"/>
              <w:rPr>
                <w:sz w:val="20"/>
                <w:szCs w:val="20"/>
              </w:rPr>
            </w:pPr>
            <w:r w:rsidRPr="008E7D6A">
              <w:rPr>
                <w:rFonts w:ascii="Arial" w:hAnsi="Arial"/>
                <w:sz w:val="20"/>
                <w:szCs w:val="20"/>
              </w:rPr>
              <w:t>teaching/learning; governance structures; regulatory compliance; accountability; ethics/responsible AI</w:t>
            </w:r>
          </w:p>
        </w:tc>
        <w:tc>
          <w:tcPr>
            <w:tcW w:w="3672" w:type="dxa"/>
          </w:tcPr>
          <w:p w14:paraId="05512ACD"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315F59CB" w14:textId="77777777" w:rsidTr="00316D81">
        <w:trPr>
          <w:jc w:val="center"/>
        </w:trPr>
        <w:tc>
          <w:tcPr>
            <w:tcW w:w="605" w:type="dxa"/>
          </w:tcPr>
          <w:p w14:paraId="589B2BB6" w14:textId="77777777" w:rsidR="003D52C5" w:rsidRPr="008E7D6A" w:rsidRDefault="003D52C5" w:rsidP="00316D81">
            <w:pPr>
              <w:spacing w:line="221" w:lineRule="auto"/>
              <w:jc w:val="center"/>
              <w:rPr>
                <w:sz w:val="20"/>
                <w:szCs w:val="20"/>
              </w:rPr>
            </w:pPr>
            <w:r w:rsidRPr="008E7D6A">
              <w:rPr>
                <w:rFonts w:ascii="Arial" w:hAnsi="Arial"/>
                <w:sz w:val="20"/>
                <w:szCs w:val="20"/>
              </w:rPr>
              <w:t>5</w:t>
            </w:r>
          </w:p>
        </w:tc>
        <w:tc>
          <w:tcPr>
            <w:tcW w:w="2088" w:type="dxa"/>
          </w:tcPr>
          <w:p w14:paraId="53E8BAE9" w14:textId="77777777" w:rsidR="003D52C5" w:rsidRPr="008E7D6A" w:rsidRDefault="003D52C5" w:rsidP="00316D81">
            <w:pPr>
              <w:spacing w:line="221" w:lineRule="auto"/>
              <w:rPr>
                <w:sz w:val="20"/>
                <w:szCs w:val="20"/>
              </w:rPr>
            </w:pPr>
            <w:r w:rsidRPr="008E7D6A">
              <w:rPr>
                <w:rFonts w:ascii="Arial" w:hAnsi="Arial"/>
                <w:sz w:val="20"/>
                <w:szCs w:val="20"/>
              </w:rPr>
              <w:t>Alfiras et al. (2025)</w:t>
            </w:r>
          </w:p>
        </w:tc>
        <w:tc>
          <w:tcPr>
            <w:tcW w:w="5976" w:type="dxa"/>
          </w:tcPr>
          <w:p w14:paraId="225755A9" w14:textId="77777777" w:rsidR="003D52C5" w:rsidRPr="008E7D6A" w:rsidRDefault="003D52C5" w:rsidP="00316D81">
            <w:pPr>
              <w:spacing w:line="221" w:lineRule="auto"/>
              <w:rPr>
                <w:sz w:val="20"/>
                <w:szCs w:val="20"/>
              </w:rPr>
            </w:pPr>
            <w:r w:rsidRPr="008E7D6A">
              <w:rPr>
                <w:rFonts w:ascii="Arial" w:hAnsi="Arial"/>
                <w:sz w:val="20"/>
                <w:szCs w:val="20"/>
              </w:rPr>
              <w:t>Ethics and governance of generative AI in education: A systematic review</w:t>
            </w:r>
          </w:p>
        </w:tc>
        <w:tc>
          <w:tcPr>
            <w:tcW w:w="3672" w:type="dxa"/>
          </w:tcPr>
          <w:p w14:paraId="0B7E0625" w14:textId="77777777" w:rsidR="003D52C5" w:rsidRPr="008E7D6A" w:rsidRDefault="003D52C5" w:rsidP="00316D81">
            <w:pPr>
              <w:spacing w:line="221" w:lineRule="auto"/>
              <w:rPr>
                <w:sz w:val="20"/>
                <w:szCs w:val="20"/>
              </w:rPr>
            </w:pPr>
            <w:r w:rsidRPr="008E7D6A">
              <w:rPr>
                <w:rFonts w:ascii="Arial" w:hAnsi="Arial"/>
                <w:sz w:val="20"/>
                <w:szCs w:val="20"/>
              </w:rPr>
              <w:t>GenAI; governance structures; institutional policy; stakeholder engagement; accountability</w:t>
            </w:r>
          </w:p>
        </w:tc>
        <w:tc>
          <w:tcPr>
            <w:tcW w:w="3672" w:type="dxa"/>
          </w:tcPr>
          <w:p w14:paraId="7CBE736F"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AAC12CB" w14:textId="77777777" w:rsidTr="00316D81">
        <w:trPr>
          <w:jc w:val="center"/>
        </w:trPr>
        <w:tc>
          <w:tcPr>
            <w:tcW w:w="605" w:type="dxa"/>
          </w:tcPr>
          <w:p w14:paraId="32048CF3" w14:textId="77777777" w:rsidR="003D52C5" w:rsidRPr="008E7D6A" w:rsidRDefault="003D52C5" w:rsidP="00316D81">
            <w:pPr>
              <w:spacing w:line="221" w:lineRule="auto"/>
              <w:jc w:val="center"/>
              <w:rPr>
                <w:sz w:val="20"/>
                <w:szCs w:val="20"/>
              </w:rPr>
            </w:pPr>
            <w:r w:rsidRPr="008E7D6A">
              <w:rPr>
                <w:rFonts w:ascii="Arial" w:hAnsi="Arial"/>
                <w:sz w:val="20"/>
                <w:szCs w:val="20"/>
              </w:rPr>
              <w:t>6</w:t>
            </w:r>
          </w:p>
        </w:tc>
        <w:tc>
          <w:tcPr>
            <w:tcW w:w="2088" w:type="dxa"/>
          </w:tcPr>
          <w:p w14:paraId="73A015B3" w14:textId="77777777" w:rsidR="003D52C5" w:rsidRPr="008E7D6A" w:rsidRDefault="003D52C5" w:rsidP="00316D81">
            <w:pPr>
              <w:spacing w:line="221" w:lineRule="auto"/>
              <w:rPr>
                <w:sz w:val="20"/>
                <w:szCs w:val="20"/>
              </w:rPr>
            </w:pPr>
            <w:r w:rsidRPr="008E7D6A">
              <w:rPr>
                <w:rFonts w:ascii="Arial" w:hAnsi="Arial"/>
                <w:sz w:val="20"/>
                <w:szCs w:val="20"/>
              </w:rPr>
              <w:t>Alhumud, T. (2026)</w:t>
            </w:r>
          </w:p>
        </w:tc>
        <w:tc>
          <w:tcPr>
            <w:tcW w:w="5976" w:type="dxa"/>
          </w:tcPr>
          <w:p w14:paraId="5F6D628C" w14:textId="77777777" w:rsidR="003D52C5" w:rsidRPr="008E7D6A" w:rsidRDefault="003D52C5" w:rsidP="00316D81">
            <w:pPr>
              <w:spacing w:line="221" w:lineRule="auto"/>
              <w:rPr>
                <w:sz w:val="20"/>
                <w:szCs w:val="20"/>
              </w:rPr>
            </w:pPr>
            <w:r w:rsidRPr="008E7D6A">
              <w:rPr>
                <w:rFonts w:ascii="Arial" w:hAnsi="Arial"/>
                <w:sz w:val="20"/>
                <w:szCs w:val="20"/>
              </w:rPr>
              <w:t>Integration of artificial intelligence applications in the management of higher education institutions: A critical review of the literature and emerging practices to enhance institutional efficiency and digital governance</w:t>
            </w:r>
          </w:p>
        </w:tc>
        <w:tc>
          <w:tcPr>
            <w:tcW w:w="3672" w:type="dxa"/>
          </w:tcPr>
          <w:p w14:paraId="026A6BB5"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47B29FDF" w14:textId="6DDFE2C3"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DBABF5C" w14:textId="77777777" w:rsidTr="00316D81">
        <w:trPr>
          <w:jc w:val="center"/>
        </w:trPr>
        <w:tc>
          <w:tcPr>
            <w:tcW w:w="605" w:type="dxa"/>
          </w:tcPr>
          <w:p w14:paraId="2659CBFE" w14:textId="77777777" w:rsidR="003D52C5" w:rsidRPr="008E7D6A" w:rsidRDefault="003D52C5" w:rsidP="00316D81">
            <w:pPr>
              <w:spacing w:line="221" w:lineRule="auto"/>
              <w:jc w:val="center"/>
              <w:rPr>
                <w:sz w:val="20"/>
                <w:szCs w:val="20"/>
              </w:rPr>
            </w:pPr>
            <w:r w:rsidRPr="008E7D6A">
              <w:rPr>
                <w:rFonts w:ascii="Arial" w:hAnsi="Arial"/>
                <w:sz w:val="20"/>
                <w:szCs w:val="20"/>
              </w:rPr>
              <w:t>7</w:t>
            </w:r>
          </w:p>
        </w:tc>
        <w:tc>
          <w:tcPr>
            <w:tcW w:w="2088" w:type="dxa"/>
          </w:tcPr>
          <w:p w14:paraId="5DF3855F" w14:textId="77777777" w:rsidR="003D52C5" w:rsidRPr="008E7D6A" w:rsidRDefault="003D52C5" w:rsidP="00316D81">
            <w:pPr>
              <w:spacing w:line="221" w:lineRule="auto"/>
              <w:rPr>
                <w:sz w:val="20"/>
                <w:szCs w:val="20"/>
              </w:rPr>
            </w:pPr>
            <w:r w:rsidRPr="008E7D6A">
              <w:rPr>
                <w:rFonts w:ascii="Arial" w:hAnsi="Arial"/>
                <w:sz w:val="20"/>
                <w:szCs w:val="20"/>
              </w:rPr>
              <w:t>An et al. (2025)</w:t>
            </w:r>
          </w:p>
        </w:tc>
        <w:tc>
          <w:tcPr>
            <w:tcW w:w="5976" w:type="dxa"/>
          </w:tcPr>
          <w:p w14:paraId="62506CE5" w14:textId="77777777" w:rsidR="003D52C5" w:rsidRPr="008E7D6A" w:rsidRDefault="003D52C5" w:rsidP="00316D81">
            <w:pPr>
              <w:spacing w:line="221" w:lineRule="auto"/>
              <w:rPr>
                <w:sz w:val="20"/>
                <w:szCs w:val="20"/>
              </w:rPr>
            </w:pPr>
            <w:r w:rsidRPr="008E7D6A">
              <w:rPr>
                <w:rFonts w:ascii="Arial" w:hAnsi="Arial"/>
                <w:sz w:val="20"/>
                <w:szCs w:val="20"/>
              </w:rPr>
              <w:t>Investigating the higher education institutions’ guidelines and policies regarding the use of generative AI in teaching, learning, research, and administration</w:t>
            </w:r>
          </w:p>
        </w:tc>
        <w:tc>
          <w:tcPr>
            <w:tcW w:w="3672" w:type="dxa"/>
          </w:tcPr>
          <w:p w14:paraId="426E6FCC"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teaching/learning; stakeholder engagement</w:t>
            </w:r>
          </w:p>
        </w:tc>
        <w:tc>
          <w:tcPr>
            <w:tcW w:w="3672" w:type="dxa"/>
          </w:tcPr>
          <w:p w14:paraId="21C3C073" w14:textId="65A9965A"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4F462E52" w14:textId="77777777" w:rsidTr="00316D81">
        <w:trPr>
          <w:jc w:val="center"/>
        </w:trPr>
        <w:tc>
          <w:tcPr>
            <w:tcW w:w="605" w:type="dxa"/>
          </w:tcPr>
          <w:p w14:paraId="304C267B" w14:textId="77777777" w:rsidR="003D52C5" w:rsidRPr="008E7D6A" w:rsidRDefault="003D52C5" w:rsidP="00316D81">
            <w:pPr>
              <w:spacing w:line="221" w:lineRule="auto"/>
              <w:jc w:val="center"/>
              <w:rPr>
                <w:sz w:val="20"/>
                <w:szCs w:val="20"/>
              </w:rPr>
            </w:pPr>
            <w:r w:rsidRPr="008E7D6A">
              <w:rPr>
                <w:rFonts w:ascii="Arial" w:hAnsi="Arial"/>
                <w:sz w:val="20"/>
                <w:szCs w:val="20"/>
              </w:rPr>
              <w:t>8</w:t>
            </w:r>
          </w:p>
        </w:tc>
        <w:tc>
          <w:tcPr>
            <w:tcW w:w="2088" w:type="dxa"/>
          </w:tcPr>
          <w:p w14:paraId="746D1279" w14:textId="77777777" w:rsidR="003D52C5" w:rsidRPr="008E7D6A" w:rsidRDefault="003D52C5" w:rsidP="00316D81">
            <w:pPr>
              <w:spacing w:line="221" w:lineRule="auto"/>
              <w:rPr>
                <w:sz w:val="20"/>
                <w:szCs w:val="20"/>
              </w:rPr>
            </w:pPr>
            <w:r w:rsidRPr="008E7D6A">
              <w:rPr>
                <w:rFonts w:ascii="Arial" w:hAnsi="Arial"/>
                <w:sz w:val="20"/>
                <w:szCs w:val="20"/>
              </w:rPr>
              <w:t>Aromataris et al. ()</w:t>
            </w:r>
          </w:p>
        </w:tc>
        <w:tc>
          <w:tcPr>
            <w:tcW w:w="5976" w:type="dxa"/>
          </w:tcPr>
          <w:p w14:paraId="176AAB57" w14:textId="4E6F2584" w:rsidR="003D52C5" w:rsidRPr="008E7D6A" w:rsidRDefault="003D52C5" w:rsidP="00316D81">
            <w:pPr>
              <w:spacing w:line="221" w:lineRule="auto"/>
              <w:rPr>
                <w:sz w:val="20"/>
                <w:szCs w:val="20"/>
              </w:rPr>
            </w:pPr>
            <w:r w:rsidRPr="008E7D6A">
              <w:rPr>
                <w:rFonts w:ascii="Arial" w:hAnsi="Arial"/>
                <w:sz w:val="20"/>
                <w:szCs w:val="20"/>
              </w:rPr>
              <w:t xml:space="preserve">Aromataris, E., Lockwood, C., Porritt, K., Pilla, B. </w:t>
            </w:r>
            <w:r w:rsidR="00D82198">
              <w:rPr>
                <w:rFonts w:ascii="Arial" w:hAnsi="Arial"/>
                <w:sz w:val="20"/>
                <w:szCs w:val="20"/>
              </w:rPr>
              <w:t>and</w:t>
            </w:r>
            <w:r w:rsidRPr="008E7D6A">
              <w:rPr>
                <w:rFonts w:ascii="Arial" w:hAnsi="Arial"/>
                <w:sz w:val="20"/>
                <w:szCs w:val="20"/>
              </w:rPr>
              <w:t xml:space="preserve"> Jordan, Z. JBI Manual for Evidence Synthesis. Adelaide: JBI. Available at: JBI Manual</w:t>
            </w:r>
          </w:p>
        </w:tc>
        <w:tc>
          <w:tcPr>
            <w:tcW w:w="3672" w:type="dxa"/>
          </w:tcPr>
          <w:p w14:paraId="723BD3FC"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7C407144" w14:textId="0D2A5FCB"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4D0DB6AE" w14:textId="77777777" w:rsidTr="00316D81">
        <w:trPr>
          <w:jc w:val="center"/>
        </w:trPr>
        <w:tc>
          <w:tcPr>
            <w:tcW w:w="605" w:type="dxa"/>
          </w:tcPr>
          <w:p w14:paraId="526BD9ED" w14:textId="77777777" w:rsidR="003D52C5" w:rsidRPr="008E7D6A" w:rsidRDefault="003D52C5" w:rsidP="00316D81">
            <w:pPr>
              <w:spacing w:line="221" w:lineRule="auto"/>
              <w:jc w:val="center"/>
              <w:rPr>
                <w:sz w:val="20"/>
                <w:szCs w:val="20"/>
              </w:rPr>
            </w:pPr>
            <w:r w:rsidRPr="008E7D6A">
              <w:rPr>
                <w:rFonts w:ascii="Arial" w:hAnsi="Arial"/>
                <w:sz w:val="20"/>
                <w:szCs w:val="20"/>
              </w:rPr>
              <w:t>9</w:t>
            </w:r>
          </w:p>
        </w:tc>
        <w:tc>
          <w:tcPr>
            <w:tcW w:w="2088" w:type="dxa"/>
          </w:tcPr>
          <w:p w14:paraId="0E9446A5" w14:textId="77777777" w:rsidR="003D52C5" w:rsidRPr="008E7D6A" w:rsidRDefault="003D52C5" w:rsidP="00316D81">
            <w:pPr>
              <w:spacing w:line="221" w:lineRule="auto"/>
              <w:rPr>
                <w:sz w:val="20"/>
                <w:szCs w:val="20"/>
              </w:rPr>
            </w:pPr>
            <w:r w:rsidRPr="008E7D6A">
              <w:rPr>
                <w:rFonts w:ascii="Arial" w:hAnsi="Arial"/>
                <w:sz w:val="20"/>
                <w:szCs w:val="20"/>
              </w:rPr>
              <w:t>Azevedo et al. (2025)</w:t>
            </w:r>
          </w:p>
        </w:tc>
        <w:tc>
          <w:tcPr>
            <w:tcW w:w="5976" w:type="dxa"/>
          </w:tcPr>
          <w:p w14:paraId="6966F0D8" w14:textId="77777777" w:rsidR="003D52C5" w:rsidRPr="008E7D6A" w:rsidRDefault="003D52C5" w:rsidP="00316D81">
            <w:pPr>
              <w:spacing w:line="221" w:lineRule="auto"/>
              <w:rPr>
                <w:sz w:val="20"/>
                <w:szCs w:val="20"/>
              </w:rPr>
            </w:pPr>
            <w:r w:rsidRPr="008E7D6A">
              <w:rPr>
                <w:rFonts w:ascii="Arial" w:hAnsi="Arial"/>
                <w:sz w:val="20"/>
                <w:szCs w:val="20"/>
              </w:rPr>
              <w:t>Institutional Policies on Artificial Intelligence in Higher Education: Frameworks and Best Practices for Faculty</w:t>
            </w:r>
          </w:p>
        </w:tc>
        <w:tc>
          <w:tcPr>
            <w:tcW w:w="3672" w:type="dxa"/>
          </w:tcPr>
          <w:p w14:paraId="2D32848F"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06141F9E" w14:textId="5DBEAD87"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18066FF8" w14:textId="77777777" w:rsidTr="00316D81">
        <w:trPr>
          <w:jc w:val="center"/>
        </w:trPr>
        <w:tc>
          <w:tcPr>
            <w:tcW w:w="605" w:type="dxa"/>
          </w:tcPr>
          <w:p w14:paraId="22261997" w14:textId="77777777" w:rsidR="003D52C5" w:rsidRPr="008E7D6A" w:rsidRDefault="003D52C5" w:rsidP="00316D81">
            <w:pPr>
              <w:spacing w:line="221" w:lineRule="auto"/>
              <w:jc w:val="center"/>
              <w:rPr>
                <w:sz w:val="20"/>
                <w:szCs w:val="20"/>
              </w:rPr>
            </w:pPr>
            <w:r w:rsidRPr="008E7D6A">
              <w:rPr>
                <w:rFonts w:ascii="Arial" w:hAnsi="Arial"/>
                <w:sz w:val="20"/>
                <w:szCs w:val="20"/>
              </w:rPr>
              <w:t>10</w:t>
            </w:r>
          </w:p>
        </w:tc>
        <w:tc>
          <w:tcPr>
            <w:tcW w:w="2088" w:type="dxa"/>
          </w:tcPr>
          <w:p w14:paraId="2AB06A4F" w14:textId="77777777" w:rsidR="003D52C5" w:rsidRPr="008E7D6A" w:rsidRDefault="003D52C5" w:rsidP="00316D81">
            <w:pPr>
              <w:spacing w:line="221" w:lineRule="auto"/>
              <w:rPr>
                <w:sz w:val="20"/>
                <w:szCs w:val="20"/>
              </w:rPr>
            </w:pPr>
            <w:r w:rsidRPr="008E7D6A">
              <w:rPr>
                <w:rFonts w:ascii="Arial" w:hAnsi="Arial"/>
                <w:sz w:val="20"/>
                <w:szCs w:val="20"/>
              </w:rPr>
              <w:t>Bacalso et al. (2026)</w:t>
            </w:r>
          </w:p>
        </w:tc>
        <w:tc>
          <w:tcPr>
            <w:tcW w:w="5976" w:type="dxa"/>
          </w:tcPr>
          <w:p w14:paraId="4CEB11DE" w14:textId="77777777" w:rsidR="003D52C5" w:rsidRPr="008E7D6A" w:rsidRDefault="003D52C5" w:rsidP="00316D81">
            <w:pPr>
              <w:spacing w:line="221" w:lineRule="auto"/>
              <w:rPr>
                <w:sz w:val="20"/>
                <w:szCs w:val="20"/>
              </w:rPr>
            </w:pPr>
            <w:r w:rsidRPr="008E7D6A">
              <w:rPr>
                <w:rFonts w:ascii="Arial" w:hAnsi="Arial"/>
                <w:sz w:val="20"/>
                <w:szCs w:val="20"/>
              </w:rPr>
              <w:t>Institutional approaches to generative AI management in higher education: a systematic review</w:t>
            </w:r>
          </w:p>
        </w:tc>
        <w:tc>
          <w:tcPr>
            <w:tcW w:w="3672" w:type="dxa"/>
          </w:tcPr>
          <w:p w14:paraId="71196230"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 systematic review</w:t>
            </w:r>
          </w:p>
        </w:tc>
        <w:tc>
          <w:tcPr>
            <w:tcW w:w="3672" w:type="dxa"/>
          </w:tcPr>
          <w:p w14:paraId="75D8C4E5" w14:textId="53D8DA6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188B5D7" w14:textId="77777777" w:rsidTr="00316D81">
        <w:trPr>
          <w:jc w:val="center"/>
        </w:trPr>
        <w:tc>
          <w:tcPr>
            <w:tcW w:w="605" w:type="dxa"/>
          </w:tcPr>
          <w:p w14:paraId="4A022A6D" w14:textId="77777777" w:rsidR="003D52C5" w:rsidRPr="008E7D6A" w:rsidRDefault="003D52C5" w:rsidP="00316D81">
            <w:pPr>
              <w:spacing w:line="221" w:lineRule="auto"/>
              <w:jc w:val="center"/>
              <w:rPr>
                <w:sz w:val="20"/>
                <w:szCs w:val="20"/>
              </w:rPr>
            </w:pPr>
            <w:r w:rsidRPr="008E7D6A">
              <w:rPr>
                <w:rFonts w:ascii="Arial" w:hAnsi="Arial"/>
                <w:sz w:val="20"/>
                <w:szCs w:val="20"/>
              </w:rPr>
              <w:t>11</w:t>
            </w:r>
          </w:p>
        </w:tc>
        <w:tc>
          <w:tcPr>
            <w:tcW w:w="2088" w:type="dxa"/>
          </w:tcPr>
          <w:p w14:paraId="50226D51" w14:textId="77777777" w:rsidR="003D52C5" w:rsidRPr="008E7D6A" w:rsidRDefault="003D52C5" w:rsidP="00316D81">
            <w:pPr>
              <w:spacing w:line="221" w:lineRule="auto"/>
              <w:rPr>
                <w:sz w:val="20"/>
                <w:szCs w:val="20"/>
              </w:rPr>
            </w:pPr>
            <w:r w:rsidRPr="008E7D6A">
              <w:rPr>
                <w:rFonts w:ascii="Arial" w:hAnsi="Arial"/>
                <w:sz w:val="20"/>
                <w:szCs w:val="20"/>
              </w:rPr>
              <w:t>Baker et al. (2022)</w:t>
            </w:r>
          </w:p>
        </w:tc>
        <w:tc>
          <w:tcPr>
            <w:tcW w:w="5976" w:type="dxa"/>
          </w:tcPr>
          <w:p w14:paraId="53C88E79" w14:textId="77777777" w:rsidR="003D52C5" w:rsidRPr="008E7D6A" w:rsidRDefault="003D52C5" w:rsidP="00316D81">
            <w:pPr>
              <w:spacing w:line="221" w:lineRule="auto"/>
              <w:rPr>
                <w:sz w:val="20"/>
                <w:szCs w:val="20"/>
              </w:rPr>
            </w:pPr>
            <w:r w:rsidRPr="008E7D6A">
              <w:rPr>
                <w:rFonts w:ascii="Arial" w:hAnsi="Arial"/>
                <w:sz w:val="20"/>
                <w:szCs w:val="20"/>
              </w:rPr>
              <w:t>Algorithmic bias in education</w:t>
            </w:r>
          </w:p>
        </w:tc>
        <w:tc>
          <w:tcPr>
            <w:tcW w:w="3672" w:type="dxa"/>
          </w:tcPr>
          <w:p w14:paraId="500E8DD3" w14:textId="77777777" w:rsidR="003D52C5" w:rsidRPr="008E7D6A" w:rsidRDefault="003D52C5" w:rsidP="00316D81">
            <w:pPr>
              <w:spacing w:line="221" w:lineRule="auto"/>
              <w:rPr>
                <w:sz w:val="20"/>
                <w:szCs w:val="20"/>
              </w:rPr>
            </w:pPr>
            <w:r w:rsidRPr="008E7D6A">
              <w:rPr>
                <w:rFonts w:ascii="Arial" w:hAnsi="Arial"/>
                <w:sz w:val="20"/>
                <w:szCs w:val="20"/>
              </w:rPr>
              <w:t>ethics/responsible AI; fairness; algorithmic bias; privacy/data protection; transparency</w:t>
            </w:r>
          </w:p>
        </w:tc>
        <w:tc>
          <w:tcPr>
            <w:tcW w:w="3672" w:type="dxa"/>
          </w:tcPr>
          <w:p w14:paraId="5963B7A2"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6AE9026F" w14:textId="77777777" w:rsidTr="00316D81">
        <w:trPr>
          <w:jc w:val="center"/>
        </w:trPr>
        <w:tc>
          <w:tcPr>
            <w:tcW w:w="605" w:type="dxa"/>
          </w:tcPr>
          <w:p w14:paraId="54B4D9D6" w14:textId="77777777" w:rsidR="003D52C5" w:rsidRPr="008E7D6A" w:rsidRDefault="003D52C5" w:rsidP="00316D81">
            <w:pPr>
              <w:spacing w:line="221" w:lineRule="auto"/>
              <w:jc w:val="center"/>
              <w:rPr>
                <w:sz w:val="20"/>
                <w:szCs w:val="20"/>
              </w:rPr>
            </w:pPr>
            <w:r w:rsidRPr="008E7D6A">
              <w:rPr>
                <w:rFonts w:ascii="Arial" w:hAnsi="Arial"/>
                <w:sz w:val="20"/>
                <w:szCs w:val="20"/>
              </w:rPr>
              <w:t>12</w:t>
            </w:r>
          </w:p>
        </w:tc>
        <w:tc>
          <w:tcPr>
            <w:tcW w:w="2088" w:type="dxa"/>
          </w:tcPr>
          <w:p w14:paraId="3915D3B0" w14:textId="77777777" w:rsidR="003D52C5" w:rsidRPr="008E7D6A" w:rsidRDefault="003D52C5" w:rsidP="00316D81">
            <w:pPr>
              <w:spacing w:line="221" w:lineRule="auto"/>
              <w:rPr>
                <w:sz w:val="20"/>
                <w:szCs w:val="20"/>
              </w:rPr>
            </w:pPr>
            <w:r w:rsidRPr="008E7D6A">
              <w:rPr>
                <w:rFonts w:ascii="Arial" w:hAnsi="Arial"/>
                <w:sz w:val="20"/>
                <w:szCs w:val="20"/>
              </w:rPr>
              <w:t>Barus et al. (2025)</w:t>
            </w:r>
          </w:p>
        </w:tc>
        <w:tc>
          <w:tcPr>
            <w:tcW w:w="5976" w:type="dxa"/>
          </w:tcPr>
          <w:p w14:paraId="1566E4D3" w14:textId="77777777" w:rsidR="003D52C5" w:rsidRPr="008E7D6A" w:rsidRDefault="003D52C5" w:rsidP="00316D81">
            <w:pPr>
              <w:spacing w:line="221" w:lineRule="auto"/>
              <w:rPr>
                <w:sz w:val="20"/>
                <w:szCs w:val="20"/>
              </w:rPr>
            </w:pPr>
            <w:r w:rsidRPr="008E7D6A">
              <w:rPr>
                <w:rFonts w:ascii="Arial" w:hAnsi="Arial"/>
                <w:sz w:val="20"/>
                <w:szCs w:val="20"/>
              </w:rPr>
              <w:t>Identifying key components and stakeholders for generative AI governance in higher education: a systematic literature review</w:t>
            </w:r>
          </w:p>
        </w:tc>
        <w:tc>
          <w:tcPr>
            <w:tcW w:w="3672" w:type="dxa"/>
          </w:tcPr>
          <w:p w14:paraId="27653CFC" w14:textId="77777777" w:rsidR="003D52C5" w:rsidRPr="008E7D6A" w:rsidRDefault="003D52C5" w:rsidP="00316D81">
            <w:pPr>
              <w:spacing w:line="221" w:lineRule="auto"/>
              <w:rPr>
                <w:sz w:val="20"/>
                <w:szCs w:val="20"/>
              </w:rPr>
            </w:pPr>
            <w:r w:rsidRPr="008E7D6A">
              <w:rPr>
                <w:rFonts w:ascii="Arial" w:hAnsi="Arial"/>
                <w:sz w:val="20"/>
                <w:szCs w:val="20"/>
              </w:rPr>
              <w:t>GenAI; governance structures; institutional policy; stakeholder engagement; accountability</w:t>
            </w:r>
          </w:p>
        </w:tc>
        <w:tc>
          <w:tcPr>
            <w:tcW w:w="3672" w:type="dxa"/>
          </w:tcPr>
          <w:p w14:paraId="71E14A37" w14:textId="52C91764"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B67BCB2" w14:textId="77777777" w:rsidTr="00316D81">
        <w:trPr>
          <w:jc w:val="center"/>
        </w:trPr>
        <w:tc>
          <w:tcPr>
            <w:tcW w:w="605" w:type="dxa"/>
          </w:tcPr>
          <w:p w14:paraId="080F503E" w14:textId="77777777" w:rsidR="003D52C5" w:rsidRPr="008E7D6A" w:rsidRDefault="003D52C5" w:rsidP="00316D81">
            <w:pPr>
              <w:spacing w:line="221" w:lineRule="auto"/>
              <w:jc w:val="center"/>
              <w:rPr>
                <w:sz w:val="20"/>
                <w:szCs w:val="20"/>
              </w:rPr>
            </w:pPr>
            <w:r w:rsidRPr="008E7D6A">
              <w:rPr>
                <w:rFonts w:ascii="Arial" w:hAnsi="Arial"/>
                <w:sz w:val="20"/>
                <w:szCs w:val="20"/>
              </w:rPr>
              <w:t>13</w:t>
            </w:r>
          </w:p>
        </w:tc>
        <w:tc>
          <w:tcPr>
            <w:tcW w:w="2088" w:type="dxa"/>
          </w:tcPr>
          <w:p w14:paraId="4E860E00" w14:textId="77777777" w:rsidR="003D52C5" w:rsidRPr="008E7D6A" w:rsidRDefault="003D52C5" w:rsidP="00316D81">
            <w:pPr>
              <w:spacing w:line="221" w:lineRule="auto"/>
              <w:rPr>
                <w:sz w:val="20"/>
                <w:szCs w:val="20"/>
              </w:rPr>
            </w:pPr>
            <w:r w:rsidRPr="008E7D6A">
              <w:rPr>
                <w:rFonts w:ascii="Arial" w:hAnsi="Arial"/>
                <w:sz w:val="20"/>
                <w:szCs w:val="20"/>
              </w:rPr>
              <w:t>Batool et al. (2025)</w:t>
            </w:r>
          </w:p>
        </w:tc>
        <w:tc>
          <w:tcPr>
            <w:tcW w:w="5976" w:type="dxa"/>
          </w:tcPr>
          <w:p w14:paraId="07D3E7AD" w14:textId="77777777" w:rsidR="003D52C5" w:rsidRPr="008E7D6A" w:rsidRDefault="003D52C5" w:rsidP="00316D81">
            <w:pPr>
              <w:spacing w:line="221" w:lineRule="auto"/>
              <w:rPr>
                <w:sz w:val="20"/>
                <w:szCs w:val="20"/>
              </w:rPr>
            </w:pPr>
            <w:r w:rsidRPr="008E7D6A">
              <w:rPr>
                <w:rFonts w:ascii="Arial" w:hAnsi="Arial"/>
                <w:sz w:val="20"/>
                <w:szCs w:val="20"/>
              </w:rPr>
              <w:t>AI governance: a systematic literature review</w:t>
            </w:r>
          </w:p>
        </w:tc>
        <w:tc>
          <w:tcPr>
            <w:tcW w:w="3672" w:type="dxa"/>
          </w:tcPr>
          <w:p w14:paraId="676B8ADF"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23BB819A" w14:textId="36C07A0D"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2E2AB793" w14:textId="77777777" w:rsidTr="00316D81">
        <w:trPr>
          <w:jc w:val="center"/>
        </w:trPr>
        <w:tc>
          <w:tcPr>
            <w:tcW w:w="605" w:type="dxa"/>
          </w:tcPr>
          <w:p w14:paraId="05BEEB02"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14</w:t>
            </w:r>
          </w:p>
        </w:tc>
        <w:tc>
          <w:tcPr>
            <w:tcW w:w="2088" w:type="dxa"/>
          </w:tcPr>
          <w:p w14:paraId="084A6666" w14:textId="77777777" w:rsidR="003D52C5" w:rsidRPr="008E7D6A" w:rsidRDefault="003D52C5" w:rsidP="00316D81">
            <w:pPr>
              <w:spacing w:line="221" w:lineRule="auto"/>
              <w:rPr>
                <w:sz w:val="20"/>
                <w:szCs w:val="20"/>
              </w:rPr>
            </w:pPr>
            <w:r w:rsidRPr="008E7D6A">
              <w:rPr>
                <w:rFonts w:ascii="Arial" w:hAnsi="Arial"/>
                <w:sz w:val="20"/>
                <w:szCs w:val="20"/>
              </w:rPr>
              <w:t>Bhattarai et al. (2025)</w:t>
            </w:r>
          </w:p>
        </w:tc>
        <w:tc>
          <w:tcPr>
            <w:tcW w:w="5976" w:type="dxa"/>
          </w:tcPr>
          <w:p w14:paraId="29471326" w14:textId="77777777" w:rsidR="003D52C5" w:rsidRPr="008E7D6A" w:rsidRDefault="003D52C5" w:rsidP="00316D81">
            <w:pPr>
              <w:spacing w:line="221" w:lineRule="auto"/>
              <w:rPr>
                <w:sz w:val="20"/>
                <w:szCs w:val="20"/>
              </w:rPr>
            </w:pPr>
            <w:r w:rsidRPr="008E7D6A">
              <w:rPr>
                <w:rFonts w:ascii="Arial" w:hAnsi="Arial"/>
                <w:sz w:val="20"/>
                <w:szCs w:val="20"/>
              </w:rPr>
              <w:t>Critical Realism in Management Research: Bridging Structure and Agency in Organisational Analysis</w:t>
            </w:r>
          </w:p>
        </w:tc>
        <w:tc>
          <w:tcPr>
            <w:tcW w:w="3672" w:type="dxa"/>
          </w:tcPr>
          <w:p w14:paraId="26B66635" w14:textId="77777777" w:rsidR="003D52C5" w:rsidRPr="008E7D6A" w:rsidRDefault="003D52C5" w:rsidP="00316D81">
            <w:pPr>
              <w:spacing w:line="221" w:lineRule="auto"/>
              <w:rPr>
                <w:sz w:val="20"/>
                <w:szCs w:val="20"/>
              </w:rPr>
            </w:pPr>
            <w:r w:rsidRPr="008E7D6A">
              <w:rPr>
                <w:rFonts w:ascii="Arial" w:hAnsi="Arial"/>
                <w:sz w:val="20"/>
                <w:szCs w:val="20"/>
              </w:rPr>
              <w:t>critical realism; ontology/epistemology</w:t>
            </w:r>
          </w:p>
        </w:tc>
        <w:tc>
          <w:tcPr>
            <w:tcW w:w="3672" w:type="dxa"/>
          </w:tcPr>
          <w:p w14:paraId="3E7BCB15" w14:textId="3C2DAC51"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41A413E8" w14:textId="77777777" w:rsidTr="00316D81">
        <w:trPr>
          <w:jc w:val="center"/>
        </w:trPr>
        <w:tc>
          <w:tcPr>
            <w:tcW w:w="605" w:type="dxa"/>
          </w:tcPr>
          <w:p w14:paraId="37D15F2A" w14:textId="77777777" w:rsidR="003D52C5" w:rsidRPr="008E7D6A" w:rsidRDefault="003D52C5" w:rsidP="00316D81">
            <w:pPr>
              <w:spacing w:line="221" w:lineRule="auto"/>
              <w:jc w:val="center"/>
              <w:rPr>
                <w:sz w:val="20"/>
                <w:szCs w:val="20"/>
              </w:rPr>
            </w:pPr>
            <w:r w:rsidRPr="008E7D6A">
              <w:rPr>
                <w:rFonts w:ascii="Arial" w:hAnsi="Arial"/>
                <w:sz w:val="20"/>
                <w:szCs w:val="20"/>
              </w:rPr>
              <w:t>15</w:t>
            </w:r>
          </w:p>
        </w:tc>
        <w:tc>
          <w:tcPr>
            <w:tcW w:w="2088" w:type="dxa"/>
          </w:tcPr>
          <w:p w14:paraId="763CA326" w14:textId="77777777" w:rsidR="003D52C5" w:rsidRPr="008E7D6A" w:rsidRDefault="003D52C5" w:rsidP="00316D81">
            <w:pPr>
              <w:spacing w:line="221" w:lineRule="auto"/>
              <w:rPr>
                <w:sz w:val="20"/>
                <w:szCs w:val="20"/>
              </w:rPr>
            </w:pPr>
            <w:r w:rsidRPr="008E7D6A">
              <w:rPr>
                <w:rFonts w:ascii="Arial" w:hAnsi="Arial"/>
                <w:sz w:val="20"/>
                <w:szCs w:val="20"/>
              </w:rPr>
              <w:t>Bilgin, H. (2025)</w:t>
            </w:r>
          </w:p>
        </w:tc>
        <w:tc>
          <w:tcPr>
            <w:tcW w:w="5976" w:type="dxa"/>
          </w:tcPr>
          <w:p w14:paraId="0F4BE14B" w14:textId="77777777" w:rsidR="003D52C5" w:rsidRPr="008E7D6A" w:rsidRDefault="003D52C5" w:rsidP="00316D81">
            <w:pPr>
              <w:spacing w:line="221" w:lineRule="auto"/>
              <w:rPr>
                <w:sz w:val="20"/>
                <w:szCs w:val="20"/>
              </w:rPr>
            </w:pPr>
            <w:r w:rsidRPr="008E7D6A">
              <w:rPr>
                <w:rFonts w:ascii="Arial" w:hAnsi="Arial"/>
                <w:sz w:val="20"/>
                <w:szCs w:val="20"/>
              </w:rPr>
              <w:t>A framework for responsible AI in higher education</w:t>
            </w:r>
          </w:p>
        </w:tc>
        <w:tc>
          <w:tcPr>
            <w:tcW w:w="3672" w:type="dxa"/>
          </w:tcPr>
          <w:p w14:paraId="6D0EB0B7"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679E5EB4"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7DB65DD" w14:textId="77777777" w:rsidTr="00316D81">
        <w:trPr>
          <w:jc w:val="center"/>
        </w:trPr>
        <w:tc>
          <w:tcPr>
            <w:tcW w:w="605" w:type="dxa"/>
          </w:tcPr>
          <w:p w14:paraId="4E9C7011" w14:textId="77777777" w:rsidR="003D52C5" w:rsidRPr="008E7D6A" w:rsidRDefault="003D52C5" w:rsidP="00316D81">
            <w:pPr>
              <w:spacing w:line="221" w:lineRule="auto"/>
              <w:jc w:val="center"/>
              <w:rPr>
                <w:sz w:val="20"/>
                <w:szCs w:val="20"/>
              </w:rPr>
            </w:pPr>
            <w:r w:rsidRPr="008E7D6A">
              <w:rPr>
                <w:rFonts w:ascii="Arial" w:hAnsi="Arial"/>
                <w:sz w:val="20"/>
                <w:szCs w:val="20"/>
              </w:rPr>
              <w:t>16</w:t>
            </w:r>
          </w:p>
        </w:tc>
        <w:tc>
          <w:tcPr>
            <w:tcW w:w="2088" w:type="dxa"/>
          </w:tcPr>
          <w:p w14:paraId="62840C46" w14:textId="77777777" w:rsidR="003D52C5" w:rsidRPr="008E7D6A" w:rsidRDefault="003D52C5" w:rsidP="00316D81">
            <w:pPr>
              <w:spacing w:line="221" w:lineRule="auto"/>
              <w:rPr>
                <w:sz w:val="20"/>
                <w:szCs w:val="20"/>
              </w:rPr>
            </w:pPr>
            <w:r w:rsidRPr="008E7D6A">
              <w:rPr>
                <w:rFonts w:ascii="Arial" w:hAnsi="Arial"/>
                <w:sz w:val="20"/>
                <w:szCs w:val="20"/>
              </w:rPr>
              <w:t>Birkstedt et al. (2023)</w:t>
            </w:r>
          </w:p>
        </w:tc>
        <w:tc>
          <w:tcPr>
            <w:tcW w:w="5976" w:type="dxa"/>
          </w:tcPr>
          <w:p w14:paraId="7ED7B9EF" w14:textId="77777777" w:rsidR="003D52C5" w:rsidRPr="008E7D6A" w:rsidRDefault="003D52C5" w:rsidP="00316D81">
            <w:pPr>
              <w:spacing w:line="221" w:lineRule="auto"/>
              <w:rPr>
                <w:sz w:val="20"/>
                <w:szCs w:val="20"/>
              </w:rPr>
            </w:pPr>
            <w:r w:rsidRPr="008E7D6A">
              <w:rPr>
                <w:rFonts w:ascii="Arial" w:hAnsi="Arial"/>
                <w:sz w:val="20"/>
                <w:szCs w:val="20"/>
              </w:rPr>
              <w:t>AI governance: Themes, knowledge gaps and future agendas</w:t>
            </w:r>
          </w:p>
        </w:tc>
        <w:tc>
          <w:tcPr>
            <w:tcW w:w="3672" w:type="dxa"/>
          </w:tcPr>
          <w:p w14:paraId="3505043B"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1C800F65" w14:textId="73AB01B8"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DB36FF8" w14:textId="77777777" w:rsidTr="00316D81">
        <w:trPr>
          <w:jc w:val="center"/>
        </w:trPr>
        <w:tc>
          <w:tcPr>
            <w:tcW w:w="605" w:type="dxa"/>
          </w:tcPr>
          <w:p w14:paraId="36DFB6C3" w14:textId="77777777" w:rsidR="003D52C5" w:rsidRPr="008E7D6A" w:rsidRDefault="003D52C5" w:rsidP="00316D81">
            <w:pPr>
              <w:spacing w:line="221" w:lineRule="auto"/>
              <w:jc w:val="center"/>
              <w:rPr>
                <w:sz w:val="20"/>
                <w:szCs w:val="20"/>
              </w:rPr>
            </w:pPr>
            <w:r w:rsidRPr="008E7D6A">
              <w:rPr>
                <w:rFonts w:ascii="Arial" w:hAnsi="Arial"/>
                <w:sz w:val="20"/>
                <w:szCs w:val="20"/>
              </w:rPr>
              <w:t>17</w:t>
            </w:r>
          </w:p>
        </w:tc>
        <w:tc>
          <w:tcPr>
            <w:tcW w:w="2088" w:type="dxa"/>
          </w:tcPr>
          <w:p w14:paraId="3F732AD6" w14:textId="77777777" w:rsidR="003D52C5" w:rsidRPr="008E7D6A" w:rsidRDefault="003D52C5" w:rsidP="00316D81">
            <w:pPr>
              <w:spacing w:line="221" w:lineRule="auto"/>
              <w:rPr>
                <w:sz w:val="20"/>
                <w:szCs w:val="20"/>
              </w:rPr>
            </w:pPr>
            <w:r w:rsidRPr="008E7D6A">
              <w:rPr>
                <w:rFonts w:ascii="Arial" w:hAnsi="Arial"/>
                <w:sz w:val="20"/>
                <w:szCs w:val="20"/>
              </w:rPr>
              <w:t>Bitte et al. (2025)</w:t>
            </w:r>
          </w:p>
        </w:tc>
        <w:tc>
          <w:tcPr>
            <w:tcW w:w="5976" w:type="dxa"/>
          </w:tcPr>
          <w:p w14:paraId="403F1EF8" w14:textId="77777777" w:rsidR="003D52C5" w:rsidRPr="008E7D6A" w:rsidRDefault="003D52C5" w:rsidP="00316D81">
            <w:pPr>
              <w:spacing w:line="221" w:lineRule="auto"/>
              <w:rPr>
                <w:sz w:val="20"/>
                <w:szCs w:val="20"/>
              </w:rPr>
            </w:pPr>
            <w:r w:rsidRPr="008E7D6A">
              <w:rPr>
                <w:rFonts w:ascii="Arial" w:hAnsi="Arial"/>
                <w:sz w:val="20"/>
                <w:szCs w:val="20"/>
              </w:rPr>
              <w:t>Generative AI and academic integrity in higher education: a systematic review and research agenda</w:t>
            </w:r>
          </w:p>
        </w:tc>
        <w:tc>
          <w:tcPr>
            <w:tcW w:w="3672" w:type="dxa"/>
          </w:tcPr>
          <w:p w14:paraId="5093F805" w14:textId="77777777" w:rsidR="003D52C5" w:rsidRPr="008E7D6A" w:rsidRDefault="003D52C5" w:rsidP="00316D81">
            <w:pPr>
              <w:spacing w:line="221" w:lineRule="auto"/>
              <w:rPr>
                <w:sz w:val="20"/>
                <w:szCs w:val="20"/>
              </w:rPr>
            </w:pPr>
            <w:r w:rsidRPr="008E7D6A">
              <w:rPr>
                <w:rFonts w:ascii="Arial" w:hAnsi="Arial"/>
                <w:sz w:val="20"/>
                <w:szCs w:val="20"/>
              </w:rPr>
              <w:t>GenAI; ethics/responsible AI; fairness; algorithmic bias; privacy/data protection</w:t>
            </w:r>
          </w:p>
        </w:tc>
        <w:tc>
          <w:tcPr>
            <w:tcW w:w="3672" w:type="dxa"/>
          </w:tcPr>
          <w:p w14:paraId="579EAF2F"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11C52D99" w14:textId="77777777" w:rsidTr="00316D81">
        <w:trPr>
          <w:jc w:val="center"/>
        </w:trPr>
        <w:tc>
          <w:tcPr>
            <w:tcW w:w="605" w:type="dxa"/>
          </w:tcPr>
          <w:p w14:paraId="67DB6B63" w14:textId="77777777" w:rsidR="003D52C5" w:rsidRPr="008E7D6A" w:rsidRDefault="003D52C5" w:rsidP="00316D81">
            <w:pPr>
              <w:spacing w:line="221" w:lineRule="auto"/>
              <w:jc w:val="center"/>
              <w:rPr>
                <w:sz w:val="20"/>
                <w:szCs w:val="20"/>
              </w:rPr>
            </w:pPr>
            <w:r w:rsidRPr="008E7D6A">
              <w:rPr>
                <w:rFonts w:ascii="Arial" w:hAnsi="Arial"/>
                <w:sz w:val="20"/>
                <w:szCs w:val="20"/>
              </w:rPr>
              <w:t>18</w:t>
            </w:r>
          </w:p>
        </w:tc>
        <w:tc>
          <w:tcPr>
            <w:tcW w:w="2088" w:type="dxa"/>
          </w:tcPr>
          <w:p w14:paraId="67B39D30" w14:textId="77777777" w:rsidR="003D52C5" w:rsidRPr="008E7D6A" w:rsidRDefault="003D52C5" w:rsidP="00316D81">
            <w:pPr>
              <w:spacing w:line="221" w:lineRule="auto"/>
              <w:rPr>
                <w:sz w:val="20"/>
                <w:szCs w:val="20"/>
              </w:rPr>
            </w:pPr>
            <w:r w:rsidRPr="008E7D6A">
              <w:rPr>
                <w:rFonts w:ascii="Arial" w:hAnsi="Arial"/>
                <w:sz w:val="20"/>
                <w:szCs w:val="20"/>
              </w:rPr>
              <w:t>Bobula, M. (2024)</w:t>
            </w:r>
          </w:p>
        </w:tc>
        <w:tc>
          <w:tcPr>
            <w:tcW w:w="5976" w:type="dxa"/>
          </w:tcPr>
          <w:p w14:paraId="70A22DAD" w14:textId="77777777" w:rsidR="003D52C5" w:rsidRPr="008E7D6A" w:rsidRDefault="003D52C5" w:rsidP="00316D81">
            <w:pPr>
              <w:spacing w:line="221" w:lineRule="auto"/>
              <w:rPr>
                <w:sz w:val="20"/>
                <w:szCs w:val="20"/>
              </w:rPr>
            </w:pPr>
            <w:r w:rsidRPr="008E7D6A">
              <w:rPr>
                <w:rFonts w:ascii="Arial" w:hAnsi="Arial"/>
                <w:sz w:val="20"/>
                <w:szCs w:val="20"/>
              </w:rPr>
              <w:t>Generative artificial intelligence (AI) in higher education</w:t>
            </w:r>
          </w:p>
        </w:tc>
        <w:tc>
          <w:tcPr>
            <w:tcW w:w="3672" w:type="dxa"/>
          </w:tcPr>
          <w:p w14:paraId="18BF2DA0"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w:t>
            </w:r>
          </w:p>
        </w:tc>
        <w:tc>
          <w:tcPr>
            <w:tcW w:w="3672" w:type="dxa"/>
          </w:tcPr>
          <w:p w14:paraId="79461CA0" w14:textId="4C37A9C8"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13B8D56F" w14:textId="77777777" w:rsidTr="00316D81">
        <w:trPr>
          <w:jc w:val="center"/>
        </w:trPr>
        <w:tc>
          <w:tcPr>
            <w:tcW w:w="605" w:type="dxa"/>
          </w:tcPr>
          <w:p w14:paraId="547309A4" w14:textId="77777777" w:rsidR="003D52C5" w:rsidRPr="008E7D6A" w:rsidRDefault="003D52C5" w:rsidP="00316D81">
            <w:pPr>
              <w:spacing w:line="221" w:lineRule="auto"/>
              <w:jc w:val="center"/>
              <w:rPr>
                <w:sz w:val="20"/>
                <w:szCs w:val="20"/>
              </w:rPr>
            </w:pPr>
            <w:r w:rsidRPr="008E7D6A">
              <w:rPr>
                <w:rFonts w:ascii="Arial" w:hAnsi="Arial"/>
                <w:sz w:val="20"/>
                <w:szCs w:val="20"/>
              </w:rPr>
              <w:t>19</w:t>
            </w:r>
          </w:p>
        </w:tc>
        <w:tc>
          <w:tcPr>
            <w:tcW w:w="2088" w:type="dxa"/>
          </w:tcPr>
          <w:p w14:paraId="5C45C838" w14:textId="77777777" w:rsidR="003D52C5" w:rsidRPr="008E7D6A" w:rsidRDefault="003D52C5" w:rsidP="00316D81">
            <w:pPr>
              <w:spacing w:line="221" w:lineRule="auto"/>
              <w:rPr>
                <w:sz w:val="20"/>
                <w:szCs w:val="20"/>
              </w:rPr>
            </w:pPr>
            <w:r w:rsidRPr="008E7D6A">
              <w:rPr>
                <w:rFonts w:ascii="Arial" w:hAnsi="Arial"/>
                <w:sz w:val="20"/>
                <w:szCs w:val="20"/>
              </w:rPr>
              <w:t>Bond et al. (2024)</w:t>
            </w:r>
          </w:p>
        </w:tc>
        <w:tc>
          <w:tcPr>
            <w:tcW w:w="5976" w:type="dxa"/>
          </w:tcPr>
          <w:p w14:paraId="7C1EFEE8" w14:textId="77777777" w:rsidR="003D52C5" w:rsidRPr="008E7D6A" w:rsidRDefault="003D52C5" w:rsidP="00316D81">
            <w:pPr>
              <w:spacing w:line="221" w:lineRule="auto"/>
              <w:rPr>
                <w:sz w:val="20"/>
                <w:szCs w:val="20"/>
              </w:rPr>
            </w:pPr>
            <w:r w:rsidRPr="008E7D6A">
              <w:rPr>
                <w:rFonts w:ascii="Arial" w:hAnsi="Arial"/>
                <w:sz w:val="20"/>
                <w:szCs w:val="20"/>
              </w:rPr>
              <w:t>A meta systematic review of artificial intelligence in higher education: a call for increased ethics, collaboration, and rigour</w:t>
            </w:r>
          </w:p>
        </w:tc>
        <w:tc>
          <w:tcPr>
            <w:tcW w:w="3672" w:type="dxa"/>
          </w:tcPr>
          <w:p w14:paraId="4C260011"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ethics/responsible AI; systematic review</w:t>
            </w:r>
          </w:p>
        </w:tc>
        <w:tc>
          <w:tcPr>
            <w:tcW w:w="3672" w:type="dxa"/>
          </w:tcPr>
          <w:p w14:paraId="68DD7AB1"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597B3696" w14:textId="77777777" w:rsidTr="00316D81">
        <w:trPr>
          <w:jc w:val="center"/>
        </w:trPr>
        <w:tc>
          <w:tcPr>
            <w:tcW w:w="605" w:type="dxa"/>
          </w:tcPr>
          <w:p w14:paraId="34E0C3D7" w14:textId="77777777" w:rsidR="003D52C5" w:rsidRPr="008E7D6A" w:rsidRDefault="003D52C5" w:rsidP="00316D81">
            <w:pPr>
              <w:spacing w:line="221" w:lineRule="auto"/>
              <w:jc w:val="center"/>
              <w:rPr>
                <w:sz w:val="20"/>
                <w:szCs w:val="20"/>
              </w:rPr>
            </w:pPr>
            <w:r w:rsidRPr="008E7D6A">
              <w:rPr>
                <w:rFonts w:ascii="Arial" w:hAnsi="Arial"/>
                <w:sz w:val="20"/>
                <w:szCs w:val="20"/>
              </w:rPr>
              <w:t>20</w:t>
            </w:r>
          </w:p>
        </w:tc>
        <w:tc>
          <w:tcPr>
            <w:tcW w:w="2088" w:type="dxa"/>
          </w:tcPr>
          <w:p w14:paraId="2DC5D1A5" w14:textId="77777777" w:rsidR="003D52C5" w:rsidRPr="008E7D6A" w:rsidRDefault="003D52C5" w:rsidP="00316D81">
            <w:pPr>
              <w:spacing w:line="221" w:lineRule="auto"/>
              <w:rPr>
                <w:sz w:val="20"/>
                <w:szCs w:val="20"/>
              </w:rPr>
            </w:pPr>
            <w:r w:rsidRPr="008E7D6A">
              <w:rPr>
                <w:rFonts w:ascii="Arial" w:hAnsi="Arial"/>
                <w:sz w:val="20"/>
                <w:szCs w:val="20"/>
              </w:rPr>
              <w:t>Boticario et al. (2023)</w:t>
            </w:r>
          </w:p>
        </w:tc>
        <w:tc>
          <w:tcPr>
            <w:tcW w:w="5976" w:type="dxa"/>
          </w:tcPr>
          <w:p w14:paraId="190865CF" w14:textId="77777777" w:rsidR="003D52C5" w:rsidRPr="008E7D6A" w:rsidRDefault="003D52C5" w:rsidP="00316D81">
            <w:pPr>
              <w:spacing w:line="221" w:lineRule="auto"/>
              <w:rPr>
                <w:sz w:val="20"/>
                <w:szCs w:val="20"/>
              </w:rPr>
            </w:pPr>
            <w:r w:rsidRPr="008E7D6A">
              <w:rPr>
                <w:rFonts w:ascii="Arial" w:hAnsi="Arial"/>
                <w:sz w:val="20"/>
                <w:szCs w:val="20"/>
              </w:rPr>
              <w:t>Stakeholder perspectives on the ethics of AI in distance-based higher education</w:t>
            </w:r>
          </w:p>
        </w:tc>
        <w:tc>
          <w:tcPr>
            <w:tcW w:w="3672" w:type="dxa"/>
          </w:tcPr>
          <w:p w14:paraId="723678E2"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ethics/responsible AI</w:t>
            </w:r>
          </w:p>
        </w:tc>
        <w:tc>
          <w:tcPr>
            <w:tcW w:w="3672" w:type="dxa"/>
          </w:tcPr>
          <w:p w14:paraId="2EC86945"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8512B57" w14:textId="77777777" w:rsidTr="00316D81">
        <w:trPr>
          <w:jc w:val="center"/>
        </w:trPr>
        <w:tc>
          <w:tcPr>
            <w:tcW w:w="605" w:type="dxa"/>
          </w:tcPr>
          <w:p w14:paraId="66E9ED02" w14:textId="77777777" w:rsidR="003D52C5" w:rsidRPr="008E7D6A" w:rsidRDefault="003D52C5" w:rsidP="00316D81">
            <w:pPr>
              <w:spacing w:line="221" w:lineRule="auto"/>
              <w:jc w:val="center"/>
              <w:rPr>
                <w:sz w:val="20"/>
                <w:szCs w:val="20"/>
              </w:rPr>
            </w:pPr>
            <w:r w:rsidRPr="008E7D6A">
              <w:rPr>
                <w:rFonts w:ascii="Arial" w:hAnsi="Arial"/>
                <w:sz w:val="20"/>
                <w:szCs w:val="20"/>
              </w:rPr>
              <w:t>21</w:t>
            </w:r>
          </w:p>
        </w:tc>
        <w:tc>
          <w:tcPr>
            <w:tcW w:w="2088" w:type="dxa"/>
          </w:tcPr>
          <w:p w14:paraId="373661BC" w14:textId="77777777" w:rsidR="003D52C5" w:rsidRPr="008E7D6A" w:rsidRDefault="003D52C5" w:rsidP="00316D81">
            <w:pPr>
              <w:spacing w:line="221" w:lineRule="auto"/>
              <w:rPr>
                <w:sz w:val="20"/>
                <w:szCs w:val="20"/>
              </w:rPr>
            </w:pPr>
            <w:r w:rsidRPr="008E7D6A">
              <w:rPr>
                <w:rFonts w:ascii="Arial" w:hAnsi="Arial"/>
                <w:sz w:val="20"/>
                <w:szCs w:val="20"/>
              </w:rPr>
              <w:t>Braun et al. (2024)</w:t>
            </w:r>
          </w:p>
        </w:tc>
        <w:tc>
          <w:tcPr>
            <w:tcW w:w="5976" w:type="dxa"/>
          </w:tcPr>
          <w:p w14:paraId="3C503460" w14:textId="77777777" w:rsidR="003D52C5" w:rsidRPr="008E7D6A" w:rsidRDefault="003D52C5" w:rsidP="00316D81">
            <w:pPr>
              <w:spacing w:line="221" w:lineRule="auto"/>
              <w:rPr>
                <w:sz w:val="20"/>
                <w:szCs w:val="20"/>
              </w:rPr>
            </w:pPr>
            <w:r w:rsidRPr="008E7D6A">
              <w:rPr>
                <w:rFonts w:ascii="Arial" w:hAnsi="Arial"/>
                <w:sz w:val="20"/>
                <w:szCs w:val="20"/>
              </w:rPr>
              <w:t>Reporting guidelines for qualitative research: a values-based approach</w:t>
            </w:r>
          </w:p>
        </w:tc>
        <w:tc>
          <w:tcPr>
            <w:tcW w:w="3672" w:type="dxa"/>
          </w:tcPr>
          <w:p w14:paraId="6BF620DD"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5C579DE4" w14:textId="5C3BC156"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8C88B43" w14:textId="77777777" w:rsidTr="00316D81">
        <w:trPr>
          <w:jc w:val="center"/>
        </w:trPr>
        <w:tc>
          <w:tcPr>
            <w:tcW w:w="605" w:type="dxa"/>
          </w:tcPr>
          <w:p w14:paraId="4CF87794" w14:textId="77777777" w:rsidR="003D52C5" w:rsidRPr="008E7D6A" w:rsidRDefault="003D52C5" w:rsidP="00316D81">
            <w:pPr>
              <w:spacing w:line="221" w:lineRule="auto"/>
              <w:jc w:val="center"/>
              <w:rPr>
                <w:sz w:val="20"/>
                <w:szCs w:val="20"/>
              </w:rPr>
            </w:pPr>
            <w:r w:rsidRPr="008E7D6A">
              <w:rPr>
                <w:rFonts w:ascii="Arial" w:hAnsi="Arial"/>
                <w:sz w:val="20"/>
                <w:szCs w:val="20"/>
              </w:rPr>
              <w:t>22</w:t>
            </w:r>
          </w:p>
        </w:tc>
        <w:tc>
          <w:tcPr>
            <w:tcW w:w="2088" w:type="dxa"/>
          </w:tcPr>
          <w:p w14:paraId="731053D6" w14:textId="77777777" w:rsidR="003D52C5" w:rsidRPr="008E7D6A" w:rsidRDefault="003D52C5" w:rsidP="00316D81">
            <w:pPr>
              <w:spacing w:line="221" w:lineRule="auto"/>
              <w:rPr>
                <w:sz w:val="20"/>
                <w:szCs w:val="20"/>
              </w:rPr>
            </w:pPr>
            <w:r w:rsidRPr="008E7D6A">
              <w:rPr>
                <w:rFonts w:ascii="Arial" w:hAnsi="Arial"/>
                <w:sz w:val="20"/>
                <w:szCs w:val="20"/>
              </w:rPr>
              <w:t>Britchenko et al. (2025)</w:t>
            </w:r>
          </w:p>
        </w:tc>
        <w:tc>
          <w:tcPr>
            <w:tcW w:w="5976" w:type="dxa"/>
          </w:tcPr>
          <w:p w14:paraId="546D283C" w14:textId="77777777" w:rsidR="003D52C5" w:rsidRPr="008E7D6A" w:rsidRDefault="003D52C5" w:rsidP="00316D81">
            <w:pPr>
              <w:spacing w:line="221" w:lineRule="auto"/>
              <w:rPr>
                <w:sz w:val="20"/>
                <w:szCs w:val="20"/>
              </w:rPr>
            </w:pPr>
            <w:r w:rsidRPr="008E7D6A">
              <w:rPr>
                <w:rFonts w:ascii="Arial" w:hAnsi="Arial"/>
                <w:sz w:val="20"/>
                <w:szCs w:val="20"/>
              </w:rPr>
              <w:t>EU Data Governance, AI Ethics, and Responsible Digitalisation in Higher Education: A Compliance–Capability Framework for Universities</w:t>
            </w:r>
          </w:p>
        </w:tc>
        <w:tc>
          <w:tcPr>
            <w:tcW w:w="3672" w:type="dxa"/>
          </w:tcPr>
          <w:p w14:paraId="7AAD6A6C"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organisational capability; accountability</w:t>
            </w:r>
          </w:p>
        </w:tc>
        <w:tc>
          <w:tcPr>
            <w:tcW w:w="3672" w:type="dxa"/>
          </w:tcPr>
          <w:p w14:paraId="69D8AF43"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4152349" w14:textId="77777777" w:rsidTr="00316D81">
        <w:trPr>
          <w:jc w:val="center"/>
        </w:trPr>
        <w:tc>
          <w:tcPr>
            <w:tcW w:w="605" w:type="dxa"/>
          </w:tcPr>
          <w:p w14:paraId="00934EBA" w14:textId="77777777" w:rsidR="003D52C5" w:rsidRPr="008E7D6A" w:rsidRDefault="003D52C5" w:rsidP="00316D81">
            <w:pPr>
              <w:spacing w:line="221" w:lineRule="auto"/>
              <w:jc w:val="center"/>
              <w:rPr>
                <w:sz w:val="20"/>
                <w:szCs w:val="20"/>
              </w:rPr>
            </w:pPr>
            <w:r w:rsidRPr="008E7D6A">
              <w:rPr>
                <w:rFonts w:ascii="Arial" w:hAnsi="Arial"/>
                <w:sz w:val="20"/>
                <w:szCs w:val="20"/>
              </w:rPr>
              <w:t>23</w:t>
            </w:r>
          </w:p>
        </w:tc>
        <w:tc>
          <w:tcPr>
            <w:tcW w:w="2088" w:type="dxa"/>
          </w:tcPr>
          <w:p w14:paraId="2E3FF0B1" w14:textId="77777777" w:rsidR="003D52C5" w:rsidRPr="008E7D6A" w:rsidRDefault="003D52C5" w:rsidP="00316D81">
            <w:pPr>
              <w:spacing w:line="221" w:lineRule="auto"/>
              <w:rPr>
                <w:sz w:val="20"/>
                <w:szCs w:val="20"/>
              </w:rPr>
            </w:pPr>
            <w:r w:rsidRPr="008E7D6A">
              <w:rPr>
                <w:rFonts w:ascii="Arial" w:hAnsi="Arial"/>
                <w:sz w:val="20"/>
                <w:szCs w:val="20"/>
              </w:rPr>
              <w:t>Burrell, J. (2016)</w:t>
            </w:r>
          </w:p>
        </w:tc>
        <w:tc>
          <w:tcPr>
            <w:tcW w:w="5976" w:type="dxa"/>
          </w:tcPr>
          <w:p w14:paraId="660175D7" w14:textId="77777777" w:rsidR="003D52C5" w:rsidRPr="008E7D6A" w:rsidRDefault="003D52C5" w:rsidP="00316D81">
            <w:pPr>
              <w:spacing w:line="221" w:lineRule="auto"/>
              <w:rPr>
                <w:sz w:val="20"/>
                <w:szCs w:val="20"/>
              </w:rPr>
            </w:pPr>
            <w:r w:rsidRPr="008E7D6A">
              <w:rPr>
                <w:rFonts w:ascii="Arial" w:hAnsi="Arial"/>
                <w:sz w:val="20"/>
                <w:szCs w:val="20"/>
              </w:rPr>
              <w:t>How the machine “thinks”: Understanding opacity in machine learning algorithms</w:t>
            </w:r>
          </w:p>
        </w:tc>
        <w:tc>
          <w:tcPr>
            <w:tcW w:w="3672" w:type="dxa"/>
          </w:tcPr>
          <w:p w14:paraId="61129FA5" w14:textId="77777777" w:rsidR="003D52C5" w:rsidRPr="008E7D6A" w:rsidRDefault="003D52C5" w:rsidP="00316D81">
            <w:pPr>
              <w:spacing w:line="221" w:lineRule="auto"/>
              <w:rPr>
                <w:sz w:val="20"/>
                <w:szCs w:val="20"/>
              </w:rPr>
            </w:pPr>
            <w:r w:rsidRPr="008E7D6A">
              <w:rPr>
                <w:rFonts w:ascii="Arial" w:hAnsi="Arial"/>
                <w:sz w:val="20"/>
                <w:szCs w:val="20"/>
              </w:rPr>
              <w:t>teaching/learning; ethics/responsible AI; fairness; algorithmic bias; privacy/data protection</w:t>
            </w:r>
          </w:p>
        </w:tc>
        <w:tc>
          <w:tcPr>
            <w:tcW w:w="3672" w:type="dxa"/>
          </w:tcPr>
          <w:p w14:paraId="228359B4" w14:textId="4D29E5F0"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11E15BD1" w14:textId="77777777" w:rsidTr="00316D81">
        <w:trPr>
          <w:jc w:val="center"/>
        </w:trPr>
        <w:tc>
          <w:tcPr>
            <w:tcW w:w="605" w:type="dxa"/>
          </w:tcPr>
          <w:p w14:paraId="59F779A4" w14:textId="77777777" w:rsidR="003D52C5" w:rsidRPr="008E7D6A" w:rsidRDefault="003D52C5" w:rsidP="00316D81">
            <w:pPr>
              <w:spacing w:line="221" w:lineRule="auto"/>
              <w:jc w:val="center"/>
              <w:rPr>
                <w:sz w:val="20"/>
                <w:szCs w:val="20"/>
              </w:rPr>
            </w:pPr>
            <w:r w:rsidRPr="008E7D6A">
              <w:rPr>
                <w:rFonts w:ascii="Arial" w:hAnsi="Arial"/>
                <w:sz w:val="20"/>
                <w:szCs w:val="20"/>
              </w:rPr>
              <w:t>24</w:t>
            </w:r>
          </w:p>
        </w:tc>
        <w:tc>
          <w:tcPr>
            <w:tcW w:w="2088" w:type="dxa"/>
          </w:tcPr>
          <w:p w14:paraId="0602656B" w14:textId="77777777" w:rsidR="003D52C5" w:rsidRPr="008E7D6A" w:rsidRDefault="003D52C5" w:rsidP="00316D81">
            <w:pPr>
              <w:spacing w:line="221" w:lineRule="auto"/>
              <w:rPr>
                <w:sz w:val="20"/>
                <w:szCs w:val="20"/>
              </w:rPr>
            </w:pPr>
            <w:r w:rsidRPr="008E7D6A">
              <w:rPr>
                <w:rFonts w:ascii="Arial" w:hAnsi="Arial"/>
                <w:sz w:val="20"/>
                <w:szCs w:val="20"/>
              </w:rPr>
              <w:t>Busetto et al. (2020)</w:t>
            </w:r>
          </w:p>
        </w:tc>
        <w:tc>
          <w:tcPr>
            <w:tcW w:w="5976" w:type="dxa"/>
          </w:tcPr>
          <w:p w14:paraId="24F96F5F" w14:textId="77777777" w:rsidR="003D52C5" w:rsidRPr="008E7D6A" w:rsidRDefault="003D52C5" w:rsidP="00316D81">
            <w:pPr>
              <w:spacing w:line="221" w:lineRule="auto"/>
              <w:rPr>
                <w:sz w:val="20"/>
                <w:szCs w:val="20"/>
              </w:rPr>
            </w:pPr>
            <w:r w:rsidRPr="008E7D6A">
              <w:rPr>
                <w:rFonts w:ascii="Arial" w:hAnsi="Arial"/>
                <w:sz w:val="20"/>
                <w:szCs w:val="20"/>
              </w:rPr>
              <w:t>How to use and assess qualitative research methods</w:t>
            </w:r>
          </w:p>
        </w:tc>
        <w:tc>
          <w:tcPr>
            <w:tcW w:w="3672" w:type="dxa"/>
          </w:tcPr>
          <w:p w14:paraId="10325D84"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773A47CC" w14:textId="1AE50B49"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BFD64DF" w14:textId="77777777" w:rsidTr="00316D81">
        <w:trPr>
          <w:jc w:val="center"/>
        </w:trPr>
        <w:tc>
          <w:tcPr>
            <w:tcW w:w="605" w:type="dxa"/>
          </w:tcPr>
          <w:p w14:paraId="0D8C1A66" w14:textId="77777777" w:rsidR="003D52C5" w:rsidRPr="008E7D6A" w:rsidRDefault="003D52C5" w:rsidP="00316D81">
            <w:pPr>
              <w:spacing w:line="221" w:lineRule="auto"/>
              <w:jc w:val="center"/>
              <w:rPr>
                <w:sz w:val="20"/>
                <w:szCs w:val="20"/>
              </w:rPr>
            </w:pPr>
            <w:r w:rsidRPr="008E7D6A">
              <w:rPr>
                <w:rFonts w:ascii="Arial" w:hAnsi="Arial"/>
                <w:sz w:val="20"/>
                <w:szCs w:val="20"/>
              </w:rPr>
              <w:t>25</w:t>
            </w:r>
          </w:p>
        </w:tc>
        <w:tc>
          <w:tcPr>
            <w:tcW w:w="2088" w:type="dxa"/>
          </w:tcPr>
          <w:p w14:paraId="52DD7ABE" w14:textId="77777777" w:rsidR="003D52C5" w:rsidRPr="008E7D6A" w:rsidRDefault="003D52C5" w:rsidP="00316D81">
            <w:pPr>
              <w:spacing w:line="221" w:lineRule="auto"/>
              <w:rPr>
                <w:sz w:val="20"/>
                <w:szCs w:val="20"/>
              </w:rPr>
            </w:pPr>
            <w:r w:rsidRPr="008E7D6A">
              <w:rPr>
                <w:rFonts w:ascii="Arial" w:hAnsi="Arial"/>
                <w:sz w:val="20"/>
                <w:szCs w:val="20"/>
              </w:rPr>
              <w:t>Byrne, D. (2022)</w:t>
            </w:r>
          </w:p>
        </w:tc>
        <w:tc>
          <w:tcPr>
            <w:tcW w:w="5976" w:type="dxa"/>
          </w:tcPr>
          <w:p w14:paraId="15BAB400" w14:textId="77777777" w:rsidR="003D52C5" w:rsidRPr="008E7D6A" w:rsidRDefault="003D52C5" w:rsidP="00316D81">
            <w:pPr>
              <w:spacing w:line="221" w:lineRule="auto"/>
              <w:rPr>
                <w:sz w:val="20"/>
                <w:szCs w:val="20"/>
              </w:rPr>
            </w:pPr>
            <w:r w:rsidRPr="008E7D6A">
              <w:rPr>
                <w:rFonts w:ascii="Arial" w:hAnsi="Arial"/>
                <w:sz w:val="20"/>
                <w:szCs w:val="20"/>
              </w:rPr>
              <w:t>A worked example of Braun and Clarke’s approach to reflexive thematic analysis</w:t>
            </w:r>
          </w:p>
        </w:tc>
        <w:tc>
          <w:tcPr>
            <w:tcW w:w="3672" w:type="dxa"/>
          </w:tcPr>
          <w:p w14:paraId="369829D6"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0689B550" w14:textId="625A1203"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1BF8C30" w14:textId="77777777" w:rsidTr="00316D81">
        <w:trPr>
          <w:jc w:val="center"/>
        </w:trPr>
        <w:tc>
          <w:tcPr>
            <w:tcW w:w="605" w:type="dxa"/>
          </w:tcPr>
          <w:p w14:paraId="7313C2A8" w14:textId="77777777" w:rsidR="003D52C5" w:rsidRPr="008E7D6A" w:rsidRDefault="003D52C5" w:rsidP="00316D81">
            <w:pPr>
              <w:spacing w:line="221" w:lineRule="auto"/>
              <w:jc w:val="center"/>
              <w:rPr>
                <w:sz w:val="20"/>
                <w:szCs w:val="20"/>
              </w:rPr>
            </w:pPr>
            <w:r w:rsidRPr="008E7D6A">
              <w:rPr>
                <w:rFonts w:ascii="Arial" w:hAnsi="Arial"/>
                <w:sz w:val="20"/>
                <w:szCs w:val="20"/>
              </w:rPr>
              <w:t>26</w:t>
            </w:r>
          </w:p>
        </w:tc>
        <w:tc>
          <w:tcPr>
            <w:tcW w:w="2088" w:type="dxa"/>
          </w:tcPr>
          <w:p w14:paraId="581FACC7" w14:textId="77777777" w:rsidR="003D52C5" w:rsidRPr="008E7D6A" w:rsidRDefault="003D52C5" w:rsidP="00316D81">
            <w:pPr>
              <w:spacing w:line="221" w:lineRule="auto"/>
              <w:rPr>
                <w:sz w:val="20"/>
                <w:szCs w:val="20"/>
              </w:rPr>
            </w:pPr>
            <w:r w:rsidRPr="008E7D6A">
              <w:rPr>
                <w:rFonts w:ascii="Arial" w:hAnsi="Arial"/>
                <w:sz w:val="20"/>
                <w:szCs w:val="20"/>
              </w:rPr>
              <w:t>Castillo-Martínez et al. (2024)</w:t>
            </w:r>
          </w:p>
        </w:tc>
        <w:tc>
          <w:tcPr>
            <w:tcW w:w="5976" w:type="dxa"/>
          </w:tcPr>
          <w:p w14:paraId="523430F9" w14:textId="77777777" w:rsidR="003D52C5" w:rsidRPr="008E7D6A" w:rsidRDefault="003D52C5" w:rsidP="00316D81">
            <w:pPr>
              <w:spacing w:line="221" w:lineRule="auto"/>
              <w:rPr>
                <w:sz w:val="20"/>
                <w:szCs w:val="20"/>
              </w:rPr>
            </w:pPr>
            <w:r w:rsidRPr="008E7D6A">
              <w:rPr>
                <w:rFonts w:ascii="Arial" w:hAnsi="Arial"/>
                <w:sz w:val="20"/>
                <w:szCs w:val="20"/>
              </w:rPr>
              <w:t>AI in higher education: a systematic literature review</w:t>
            </w:r>
          </w:p>
        </w:tc>
        <w:tc>
          <w:tcPr>
            <w:tcW w:w="3672" w:type="dxa"/>
          </w:tcPr>
          <w:p w14:paraId="3747A2C4"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523BF8AB" w14:textId="10EA1C22"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35B05D60" w14:textId="77777777" w:rsidTr="00316D81">
        <w:trPr>
          <w:jc w:val="center"/>
        </w:trPr>
        <w:tc>
          <w:tcPr>
            <w:tcW w:w="605" w:type="dxa"/>
          </w:tcPr>
          <w:p w14:paraId="0C720600" w14:textId="77777777" w:rsidR="003D52C5" w:rsidRPr="008E7D6A" w:rsidRDefault="003D52C5" w:rsidP="00316D81">
            <w:pPr>
              <w:spacing w:line="221" w:lineRule="auto"/>
              <w:jc w:val="center"/>
              <w:rPr>
                <w:sz w:val="20"/>
                <w:szCs w:val="20"/>
              </w:rPr>
            </w:pPr>
            <w:r w:rsidRPr="008E7D6A">
              <w:rPr>
                <w:rFonts w:ascii="Arial" w:hAnsi="Arial"/>
                <w:sz w:val="20"/>
                <w:szCs w:val="20"/>
              </w:rPr>
              <w:t>27</w:t>
            </w:r>
          </w:p>
        </w:tc>
        <w:tc>
          <w:tcPr>
            <w:tcW w:w="2088" w:type="dxa"/>
          </w:tcPr>
          <w:p w14:paraId="0D5CEB72" w14:textId="77777777" w:rsidR="003D52C5" w:rsidRPr="008E7D6A" w:rsidRDefault="003D52C5" w:rsidP="00316D81">
            <w:pPr>
              <w:spacing w:line="221" w:lineRule="auto"/>
              <w:rPr>
                <w:sz w:val="20"/>
                <w:szCs w:val="20"/>
              </w:rPr>
            </w:pPr>
            <w:r w:rsidRPr="008E7D6A">
              <w:rPr>
                <w:rFonts w:ascii="Arial" w:hAnsi="Arial"/>
                <w:sz w:val="20"/>
                <w:szCs w:val="20"/>
              </w:rPr>
              <w:t>Chan, C. (2023)</w:t>
            </w:r>
          </w:p>
        </w:tc>
        <w:tc>
          <w:tcPr>
            <w:tcW w:w="5976" w:type="dxa"/>
          </w:tcPr>
          <w:p w14:paraId="40C125CB" w14:textId="77777777" w:rsidR="003D52C5" w:rsidRPr="008E7D6A" w:rsidRDefault="003D52C5" w:rsidP="00316D81">
            <w:pPr>
              <w:spacing w:line="221" w:lineRule="auto"/>
              <w:rPr>
                <w:sz w:val="20"/>
                <w:szCs w:val="20"/>
              </w:rPr>
            </w:pPr>
            <w:r w:rsidRPr="008E7D6A">
              <w:rPr>
                <w:rFonts w:ascii="Arial" w:hAnsi="Arial"/>
                <w:sz w:val="20"/>
                <w:szCs w:val="20"/>
              </w:rPr>
              <w:t>‘A comprehensive AI policy education framework for university teaching and learning'. International Journal of Educational Technology in Higher Education, 20, 38</w:t>
            </w:r>
          </w:p>
        </w:tc>
        <w:tc>
          <w:tcPr>
            <w:tcW w:w="3672" w:type="dxa"/>
          </w:tcPr>
          <w:p w14:paraId="4CD3AB1F" w14:textId="77777777" w:rsidR="003D52C5" w:rsidRPr="008E7D6A" w:rsidRDefault="003D52C5" w:rsidP="00316D81">
            <w:pPr>
              <w:spacing w:line="221" w:lineRule="auto"/>
              <w:rPr>
                <w:sz w:val="20"/>
                <w:szCs w:val="20"/>
              </w:rPr>
            </w:pPr>
            <w:r w:rsidRPr="008E7D6A">
              <w:rPr>
                <w:rFonts w:ascii="Arial" w:hAnsi="Arial"/>
                <w:sz w:val="20"/>
                <w:szCs w:val="20"/>
              </w:rPr>
              <w:t>AI adoption; implementation; teaching/learning; institutional policy; stakeholder engagement</w:t>
            </w:r>
          </w:p>
        </w:tc>
        <w:tc>
          <w:tcPr>
            <w:tcW w:w="3672" w:type="dxa"/>
          </w:tcPr>
          <w:p w14:paraId="6F589DF3" w14:textId="17A30D4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5DFD1B1" w14:textId="77777777" w:rsidTr="00316D81">
        <w:trPr>
          <w:jc w:val="center"/>
        </w:trPr>
        <w:tc>
          <w:tcPr>
            <w:tcW w:w="605" w:type="dxa"/>
          </w:tcPr>
          <w:p w14:paraId="49FB0D82" w14:textId="77777777" w:rsidR="003D52C5" w:rsidRPr="008E7D6A" w:rsidRDefault="003D52C5" w:rsidP="00316D81">
            <w:pPr>
              <w:spacing w:line="221" w:lineRule="auto"/>
              <w:jc w:val="center"/>
              <w:rPr>
                <w:sz w:val="20"/>
                <w:szCs w:val="20"/>
              </w:rPr>
            </w:pPr>
            <w:r w:rsidRPr="008E7D6A">
              <w:rPr>
                <w:rFonts w:ascii="Arial" w:hAnsi="Arial"/>
                <w:sz w:val="20"/>
                <w:szCs w:val="20"/>
              </w:rPr>
              <w:t>28</w:t>
            </w:r>
          </w:p>
        </w:tc>
        <w:tc>
          <w:tcPr>
            <w:tcW w:w="2088" w:type="dxa"/>
          </w:tcPr>
          <w:p w14:paraId="3F4201B4" w14:textId="77777777" w:rsidR="003D52C5" w:rsidRPr="008E7D6A" w:rsidRDefault="003D52C5" w:rsidP="00316D81">
            <w:pPr>
              <w:spacing w:line="221" w:lineRule="auto"/>
              <w:rPr>
                <w:sz w:val="20"/>
                <w:szCs w:val="20"/>
              </w:rPr>
            </w:pPr>
            <w:r w:rsidRPr="008E7D6A">
              <w:rPr>
                <w:rFonts w:ascii="Arial" w:hAnsi="Arial"/>
                <w:sz w:val="20"/>
                <w:szCs w:val="20"/>
              </w:rPr>
              <w:t>Chatterjee et al. (2020)</w:t>
            </w:r>
          </w:p>
        </w:tc>
        <w:tc>
          <w:tcPr>
            <w:tcW w:w="5976" w:type="dxa"/>
          </w:tcPr>
          <w:p w14:paraId="6248292F" w14:textId="77777777" w:rsidR="003D52C5" w:rsidRPr="008E7D6A" w:rsidRDefault="003D52C5" w:rsidP="00316D81">
            <w:pPr>
              <w:spacing w:line="221" w:lineRule="auto"/>
              <w:rPr>
                <w:sz w:val="20"/>
                <w:szCs w:val="20"/>
              </w:rPr>
            </w:pPr>
            <w:r w:rsidRPr="008E7D6A">
              <w:rPr>
                <w:rFonts w:ascii="Arial" w:hAnsi="Arial"/>
                <w:sz w:val="20"/>
                <w:szCs w:val="20"/>
              </w:rPr>
              <w:t>Adoption of artificial intelligence in higher education: a quantitative analysis using structural equation modelling</w:t>
            </w:r>
          </w:p>
        </w:tc>
        <w:tc>
          <w:tcPr>
            <w:tcW w:w="3672" w:type="dxa"/>
          </w:tcPr>
          <w:p w14:paraId="0560E544"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71481879" w14:textId="25076801"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568231FA" w14:textId="77777777" w:rsidTr="00316D81">
        <w:trPr>
          <w:jc w:val="center"/>
        </w:trPr>
        <w:tc>
          <w:tcPr>
            <w:tcW w:w="605" w:type="dxa"/>
          </w:tcPr>
          <w:p w14:paraId="267C5755"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29</w:t>
            </w:r>
          </w:p>
        </w:tc>
        <w:tc>
          <w:tcPr>
            <w:tcW w:w="2088" w:type="dxa"/>
          </w:tcPr>
          <w:p w14:paraId="0B2F1E3D" w14:textId="77777777" w:rsidR="003D52C5" w:rsidRPr="008E7D6A" w:rsidRDefault="003D52C5" w:rsidP="00316D81">
            <w:pPr>
              <w:spacing w:line="221" w:lineRule="auto"/>
              <w:rPr>
                <w:sz w:val="20"/>
                <w:szCs w:val="20"/>
              </w:rPr>
            </w:pPr>
            <w:r w:rsidRPr="008E7D6A">
              <w:rPr>
                <w:rFonts w:ascii="Arial" w:hAnsi="Arial"/>
                <w:sz w:val="20"/>
                <w:szCs w:val="20"/>
              </w:rPr>
              <w:t>Chavarria et al. (2025)</w:t>
            </w:r>
          </w:p>
        </w:tc>
        <w:tc>
          <w:tcPr>
            <w:tcW w:w="5976" w:type="dxa"/>
          </w:tcPr>
          <w:p w14:paraId="29A7D324" w14:textId="77777777" w:rsidR="003D52C5" w:rsidRPr="008E7D6A" w:rsidRDefault="003D52C5" w:rsidP="00316D81">
            <w:pPr>
              <w:spacing w:line="221" w:lineRule="auto"/>
              <w:rPr>
                <w:sz w:val="20"/>
                <w:szCs w:val="20"/>
              </w:rPr>
            </w:pPr>
            <w:r w:rsidRPr="008E7D6A">
              <w:rPr>
                <w:rFonts w:ascii="Arial" w:hAnsi="Arial"/>
                <w:sz w:val="20"/>
                <w:szCs w:val="20"/>
              </w:rPr>
              <w:t>Navigating Stakeholders' Perspectives on Artificial Intelligence in Higher Education</w:t>
            </w:r>
          </w:p>
        </w:tc>
        <w:tc>
          <w:tcPr>
            <w:tcW w:w="3672" w:type="dxa"/>
          </w:tcPr>
          <w:p w14:paraId="265BE2C6"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2E177F7A" w14:textId="7D0D7F97"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C4CD193" w14:textId="77777777" w:rsidTr="00316D81">
        <w:trPr>
          <w:jc w:val="center"/>
        </w:trPr>
        <w:tc>
          <w:tcPr>
            <w:tcW w:w="605" w:type="dxa"/>
          </w:tcPr>
          <w:p w14:paraId="5BC428AC" w14:textId="77777777" w:rsidR="003D52C5" w:rsidRPr="008E7D6A" w:rsidRDefault="003D52C5" w:rsidP="00316D81">
            <w:pPr>
              <w:spacing w:line="221" w:lineRule="auto"/>
              <w:jc w:val="center"/>
              <w:rPr>
                <w:sz w:val="20"/>
                <w:szCs w:val="20"/>
              </w:rPr>
            </w:pPr>
            <w:r w:rsidRPr="008E7D6A">
              <w:rPr>
                <w:rFonts w:ascii="Arial" w:hAnsi="Arial"/>
                <w:sz w:val="20"/>
                <w:szCs w:val="20"/>
              </w:rPr>
              <w:t>30</w:t>
            </w:r>
          </w:p>
        </w:tc>
        <w:tc>
          <w:tcPr>
            <w:tcW w:w="2088" w:type="dxa"/>
          </w:tcPr>
          <w:p w14:paraId="0F593B0F" w14:textId="77777777" w:rsidR="003D52C5" w:rsidRPr="008E7D6A" w:rsidRDefault="003D52C5" w:rsidP="00316D81">
            <w:pPr>
              <w:spacing w:line="221" w:lineRule="auto"/>
              <w:rPr>
                <w:sz w:val="20"/>
                <w:szCs w:val="20"/>
              </w:rPr>
            </w:pPr>
            <w:r w:rsidRPr="008E7D6A">
              <w:rPr>
                <w:rFonts w:ascii="Arial" w:hAnsi="Arial"/>
                <w:sz w:val="20"/>
                <w:szCs w:val="20"/>
              </w:rPr>
              <w:t>Celik et al. (2022)</w:t>
            </w:r>
          </w:p>
        </w:tc>
        <w:tc>
          <w:tcPr>
            <w:tcW w:w="5976" w:type="dxa"/>
          </w:tcPr>
          <w:p w14:paraId="6D3B697E" w14:textId="77777777" w:rsidR="003D52C5" w:rsidRPr="008E7D6A" w:rsidRDefault="003D52C5" w:rsidP="00316D81">
            <w:pPr>
              <w:spacing w:line="221" w:lineRule="auto"/>
              <w:rPr>
                <w:sz w:val="20"/>
                <w:szCs w:val="20"/>
              </w:rPr>
            </w:pPr>
            <w:r w:rsidRPr="008E7D6A">
              <w:rPr>
                <w:rFonts w:ascii="Arial" w:hAnsi="Arial"/>
                <w:sz w:val="20"/>
                <w:szCs w:val="20"/>
              </w:rPr>
              <w:t>The promises and challenges of artificial intelligence for teachers: a systematic review of research</w:t>
            </w:r>
          </w:p>
        </w:tc>
        <w:tc>
          <w:tcPr>
            <w:tcW w:w="3672" w:type="dxa"/>
          </w:tcPr>
          <w:p w14:paraId="1B4AE5B6"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systematic review</w:t>
            </w:r>
          </w:p>
        </w:tc>
        <w:tc>
          <w:tcPr>
            <w:tcW w:w="3672" w:type="dxa"/>
          </w:tcPr>
          <w:p w14:paraId="235B2FFD" w14:textId="25094A3D"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29990DB5" w14:textId="77777777" w:rsidTr="00316D81">
        <w:trPr>
          <w:jc w:val="center"/>
        </w:trPr>
        <w:tc>
          <w:tcPr>
            <w:tcW w:w="605" w:type="dxa"/>
          </w:tcPr>
          <w:p w14:paraId="2A10FE59" w14:textId="77777777" w:rsidR="003D52C5" w:rsidRPr="008E7D6A" w:rsidRDefault="003D52C5" w:rsidP="00316D81">
            <w:pPr>
              <w:spacing w:line="221" w:lineRule="auto"/>
              <w:jc w:val="center"/>
              <w:rPr>
                <w:sz w:val="20"/>
                <w:szCs w:val="20"/>
              </w:rPr>
            </w:pPr>
            <w:r w:rsidRPr="008E7D6A">
              <w:rPr>
                <w:rFonts w:ascii="Arial" w:hAnsi="Arial"/>
                <w:sz w:val="20"/>
                <w:szCs w:val="20"/>
              </w:rPr>
              <w:t>31</w:t>
            </w:r>
          </w:p>
        </w:tc>
        <w:tc>
          <w:tcPr>
            <w:tcW w:w="2088" w:type="dxa"/>
          </w:tcPr>
          <w:p w14:paraId="68FA5F3E" w14:textId="77777777" w:rsidR="003D52C5" w:rsidRPr="008E7D6A" w:rsidRDefault="003D52C5" w:rsidP="00316D81">
            <w:pPr>
              <w:spacing w:line="221" w:lineRule="auto"/>
              <w:rPr>
                <w:sz w:val="20"/>
                <w:szCs w:val="20"/>
              </w:rPr>
            </w:pPr>
            <w:r w:rsidRPr="008E7D6A">
              <w:rPr>
                <w:rFonts w:ascii="Arial" w:hAnsi="Arial"/>
                <w:sz w:val="20"/>
                <w:szCs w:val="20"/>
              </w:rPr>
              <w:t>Cena et al. (2024)</w:t>
            </w:r>
          </w:p>
        </w:tc>
        <w:tc>
          <w:tcPr>
            <w:tcW w:w="5976" w:type="dxa"/>
          </w:tcPr>
          <w:p w14:paraId="6824AF3A" w14:textId="77777777" w:rsidR="003D52C5" w:rsidRPr="008E7D6A" w:rsidRDefault="003D52C5" w:rsidP="00316D81">
            <w:pPr>
              <w:spacing w:line="221" w:lineRule="auto"/>
              <w:rPr>
                <w:sz w:val="20"/>
                <w:szCs w:val="20"/>
              </w:rPr>
            </w:pPr>
            <w:r w:rsidRPr="008E7D6A">
              <w:rPr>
                <w:rFonts w:ascii="Arial" w:hAnsi="Arial"/>
                <w:sz w:val="20"/>
                <w:szCs w:val="20"/>
              </w:rPr>
              <w:t>Quality criteria: General and specific guidelines for qualitative approaches in psychology research. A concise guide for novice researchers and reviewers</w:t>
            </w:r>
          </w:p>
        </w:tc>
        <w:tc>
          <w:tcPr>
            <w:tcW w:w="3672" w:type="dxa"/>
          </w:tcPr>
          <w:p w14:paraId="62633EE0"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14700C6A" w14:textId="5A9FDDB3"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F957334" w14:textId="77777777" w:rsidTr="00316D81">
        <w:trPr>
          <w:jc w:val="center"/>
        </w:trPr>
        <w:tc>
          <w:tcPr>
            <w:tcW w:w="605" w:type="dxa"/>
          </w:tcPr>
          <w:p w14:paraId="6FAFB25E" w14:textId="77777777" w:rsidR="003D52C5" w:rsidRPr="008E7D6A" w:rsidRDefault="003D52C5" w:rsidP="00316D81">
            <w:pPr>
              <w:spacing w:line="221" w:lineRule="auto"/>
              <w:jc w:val="center"/>
              <w:rPr>
                <w:sz w:val="20"/>
                <w:szCs w:val="20"/>
              </w:rPr>
            </w:pPr>
            <w:r w:rsidRPr="008E7D6A">
              <w:rPr>
                <w:rFonts w:ascii="Arial" w:hAnsi="Arial"/>
                <w:sz w:val="20"/>
                <w:szCs w:val="20"/>
              </w:rPr>
              <w:t>32</w:t>
            </w:r>
          </w:p>
        </w:tc>
        <w:tc>
          <w:tcPr>
            <w:tcW w:w="2088" w:type="dxa"/>
          </w:tcPr>
          <w:p w14:paraId="425AA347" w14:textId="77777777" w:rsidR="003D52C5" w:rsidRPr="008E7D6A" w:rsidRDefault="003D52C5" w:rsidP="00316D81">
            <w:pPr>
              <w:spacing w:line="221" w:lineRule="auto"/>
              <w:rPr>
                <w:sz w:val="20"/>
                <w:szCs w:val="20"/>
              </w:rPr>
            </w:pPr>
            <w:r w:rsidRPr="008E7D6A">
              <w:rPr>
                <w:rFonts w:ascii="Arial" w:hAnsi="Arial"/>
                <w:sz w:val="20"/>
                <w:szCs w:val="20"/>
              </w:rPr>
              <w:t>Coates et al. (2025)</w:t>
            </w:r>
          </w:p>
        </w:tc>
        <w:tc>
          <w:tcPr>
            <w:tcW w:w="5976" w:type="dxa"/>
          </w:tcPr>
          <w:p w14:paraId="2A36C09F" w14:textId="77777777" w:rsidR="003D52C5" w:rsidRPr="008E7D6A" w:rsidRDefault="003D52C5" w:rsidP="00316D81">
            <w:pPr>
              <w:spacing w:line="221" w:lineRule="auto"/>
              <w:rPr>
                <w:sz w:val="20"/>
                <w:szCs w:val="20"/>
              </w:rPr>
            </w:pPr>
            <w:r w:rsidRPr="008E7D6A">
              <w:rPr>
                <w:rFonts w:ascii="Arial" w:hAnsi="Arial"/>
                <w:sz w:val="20"/>
                <w:szCs w:val="20"/>
              </w:rPr>
              <w:t>Governing Academic Integrity: Ensuring the Authenticity of Higher Thinking in the Era of Generative Artificial Intelligence</w:t>
            </w:r>
          </w:p>
        </w:tc>
        <w:tc>
          <w:tcPr>
            <w:tcW w:w="3672" w:type="dxa"/>
          </w:tcPr>
          <w:p w14:paraId="118867D6" w14:textId="77777777" w:rsidR="003D52C5" w:rsidRPr="008E7D6A" w:rsidRDefault="003D52C5" w:rsidP="00316D81">
            <w:pPr>
              <w:spacing w:line="221" w:lineRule="auto"/>
              <w:rPr>
                <w:sz w:val="20"/>
                <w:szCs w:val="20"/>
              </w:rPr>
            </w:pPr>
            <w:r w:rsidRPr="008E7D6A">
              <w:rPr>
                <w:rFonts w:ascii="Arial" w:hAnsi="Arial"/>
                <w:sz w:val="20"/>
                <w:szCs w:val="20"/>
              </w:rPr>
              <w:t>GenAI; ethics/responsible AI; fairness; algorithmic bias; privacy/data protection</w:t>
            </w:r>
          </w:p>
        </w:tc>
        <w:tc>
          <w:tcPr>
            <w:tcW w:w="3672" w:type="dxa"/>
          </w:tcPr>
          <w:p w14:paraId="39042893"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048B5B37" w14:textId="77777777" w:rsidTr="00316D81">
        <w:trPr>
          <w:jc w:val="center"/>
        </w:trPr>
        <w:tc>
          <w:tcPr>
            <w:tcW w:w="605" w:type="dxa"/>
          </w:tcPr>
          <w:p w14:paraId="53718FFE" w14:textId="77777777" w:rsidR="003D52C5" w:rsidRPr="008E7D6A" w:rsidRDefault="003D52C5" w:rsidP="00316D81">
            <w:pPr>
              <w:spacing w:line="221" w:lineRule="auto"/>
              <w:jc w:val="center"/>
              <w:rPr>
                <w:sz w:val="20"/>
                <w:szCs w:val="20"/>
              </w:rPr>
            </w:pPr>
            <w:r w:rsidRPr="008E7D6A">
              <w:rPr>
                <w:rFonts w:ascii="Arial" w:hAnsi="Arial"/>
                <w:sz w:val="20"/>
                <w:szCs w:val="20"/>
              </w:rPr>
              <w:t>33</w:t>
            </w:r>
          </w:p>
        </w:tc>
        <w:tc>
          <w:tcPr>
            <w:tcW w:w="2088" w:type="dxa"/>
          </w:tcPr>
          <w:p w14:paraId="46ADF816" w14:textId="77777777" w:rsidR="003D52C5" w:rsidRPr="008E7D6A" w:rsidRDefault="003D52C5" w:rsidP="00316D81">
            <w:pPr>
              <w:spacing w:line="221" w:lineRule="auto"/>
              <w:rPr>
                <w:sz w:val="20"/>
                <w:szCs w:val="20"/>
              </w:rPr>
            </w:pPr>
            <w:r w:rsidRPr="008E7D6A">
              <w:rPr>
                <w:rFonts w:ascii="Arial" w:hAnsi="Arial"/>
                <w:sz w:val="20"/>
                <w:szCs w:val="20"/>
              </w:rPr>
              <w:t>Cools, H. (2026)</w:t>
            </w:r>
          </w:p>
        </w:tc>
        <w:tc>
          <w:tcPr>
            <w:tcW w:w="5976" w:type="dxa"/>
          </w:tcPr>
          <w:p w14:paraId="1B1344A7" w14:textId="77777777" w:rsidR="003D52C5" w:rsidRPr="008E7D6A" w:rsidRDefault="003D52C5" w:rsidP="00316D81">
            <w:pPr>
              <w:spacing w:line="221" w:lineRule="auto"/>
              <w:rPr>
                <w:sz w:val="20"/>
                <w:szCs w:val="20"/>
              </w:rPr>
            </w:pPr>
            <w:r w:rsidRPr="008E7D6A">
              <w:rPr>
                <w:rFonts w:ascii="Arial" w:hAnsi="Arial"/>
                <w:sz w:val="20"/>
                <w:szCs w:val="20"/>
              </w:rPr>
              <w:t>Navigating the responsible AI landscape: unravelling the principles-to-practices gap of transparency and explainability at the BBC</w:t>
            </w:r>
          </w:p>
        </w:tc>
        <w:tc>
          <w:tcPr>
            <w:tcW w:w="3672" w:type="dxa"/>
          </w:tcPr>
          <w:p w14:paraId="4D3D7A48"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 transparency; explainability</w:t>
            </w:r>
          </w:p>
        </w:tc>
        <w:tc>
          <w:tcPr>
            <w:tcW w:w="3672" w:type="dxa"/>
          </w:tcPr>
          <w:p w14:paraId="4A88FE2A"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0A8EFD26" w14:textId="77777777" w:rsidTr="00316D81">
        <w:trPr>
          <w:jc w:val="center"/>
        </w:trPr>
        <w:tc>
          <w:tcPr>
            <w:tcW w:w="605" w:type="dxa"/>
          </w:tcPr>
          <w:p w14:paraId="71370B2B" w14:textId="77777777" w:rsidR="003D52C5" w:rsidRPr="008E7D6A" w:rsidRDefault="003D52C5" w:rsidP="00316D81">
            <w:pPr>
              <w:spacing w:line="221" w:lineRule="auto"/>
              <w:jc w:val="center"/>
              <w:rPr>
                <w:sz w:val="20"/>
                <w:szCs w:val="20"/>
              </w:rPr>
            </w:pPr>
            <w:r w:rsidRPr="008E7D6A">
              <w:rPr>
                <w:rFonts w:ascii="Arial" w:hAnsi="Arial"/>
                <w:sz w:val="20"/>
                <w:szCs w:val="20"/>
              </w:rPr>
              <w:t>34</w:t>
            </w:r>
          </w:p>
        </w:tc>
        <w:tc>
          <w:tcPr>
            <w:tcW w:w="2088" w:type="dxa"/>
          </w:tcPr>
          <w:p w14:paraId="67B467AE" w14:textId="77777777" w:rsidR="003D52C5" w:rsidRPr="008E7D6A" w:rsidRDefault="003D52C5" w:rsidP="00316D81">
            <w:pPr>
              <w:spacing w:line="221" w:lineRule="auto"/>
              <w:rPr>
                <w:sz w:val="20"/>
                <w:szCs w:val="20"/>
              </w:rPr>
            </w:pPr>
            <w:r w:rsidRPr="008E7D6A">
              <w:rPr>
                <w:rFonts w:ascii="Arial" w:hAnsi="Arial"/>
                <w:sz w:val="20"/>
                <w:szCs w:val="20"/>
              </w:rPr>
              <w:t>Crompton et al. (2026)</w:t>
            </w:r>
          </w:p>
        </w:tc>
        <w:tc>
          <w:tcPr>
            <w:tcW w:w="5976" w:type="dxa"/>
          </w:tcPr>
          <w:p w14:paraId="0EFA702E" w14:textId="77777777" w:rsidR="003D52C5" w:rsidRPr="008E7D6A" w:rsidRDefault="003D52C5" w:rsidP="00316D81">
            <w:pPr>
              <w:spacing w:line="221" w:lineRule="auto"/>
              <w:rPr>
                <w:sz w:val="20"/>
                <w:szCs w:val="20"/>
              </w:rPr>
            </w:pPr>
            <w:r w:rsidRPr="008E7D6A">
              <w:rPr>
                <w:rFonts w:ascii="Arial" w:hAnsi="Arial"/>
                <w:sz w:val="20"/>
                <w:szCs w:val="20"/>
              </w:rPr>
              <w:t>Governing generative AI in higher education: a global Delphi study on policy and practice</w:t>
            </w:r>
          </w:p>
        </w:tc>
        <w:tc>
          <w:tcPr>
            <w:tcW w:w="3672" w:type="dxa"/>
          </w:tcPr>
          <w:p w14:paraId="38AE52C1"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institutional policy; stakeholder engagement</w:t>
            </w:r>
          </w:p>
        </w:tc>
        <w:tc>
          <w:tcPr>
            <w:tcW w:w="3672" w:type="dxa"/>
          </w:tcPr>
          <w:p w14:paraId="12A978E1" w14:textId="6CB0589C"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46EFBD8" w14:textId="77777777" w:rsidTr="00316D81">
        <w:trPr>
          <w:jc w:val="center"/>
        </w:trPr>
        <w:tc>
          <w:tcPr>
            <w:tcW w:w="605" w:type="dxa"/>
          </w:tcPr>
          <w:p w14:paraId="2A925121" w14:textId="77777777" w:rsidR="003D52C5" w:rsidRPr="008E7D6A" w:rsidRDefault="003D52C5" w:rsidP="00316D81">
            <w:pPr>
              <w:spacing w:line="221" w:lineRule="auto"/>
              <w:jc w:val="center"/>
              <w:rPr>
                <w:sz w:val="20"/>
                <w:szCs w:val="20"/>
              </w:rPr>
            </w:pPr>
            <w:r w:rsidRPr="008E7D6A">
              <w:rPr>
                <w:rFonts w:ascii="Arial" w:hAnsi="Arial"/>
                <w:sz w:val="20"/>
                <w:szCs w:val="20"/>
              </w:rPr>
              <w:t>35</w:t>
            </w:r>
          </w:p>
        </w:tc>
        <w:tc>
          <w:tcPr>
            <w:tcW w:w="2088" w:type="dxa"/>
          </w:tcPr>
          <w:p w14:paraId="4A3F2CEA" w14:textId="77777777" w:rsidR="003D52C5" w:rsidRPr="008E7D6A" w:rsidRDefault="003D52C5" w:rsidP="00316D81">
            <w:pPr>
              <w:spacing w:line="221" w:lineRule="auto"/>
              <w:rPr>
                <w:sz w:val="20"/>
                <w:szCs w:val="20"/>
              </w:rPr>
            </w:pPr>
            <w:r w:rsidRPr="008E7D6A">
              <w:rPr>
                <w:rFonts w:ascii="Arial" w:hAnsi="Arial"/>
                <w:sz w:val="20"/>
                <w:szCs w:val="20"/>
              </w:rPr>
              <w:t>Crocco et al. (2024)</w:t>
            </w:r>
          </w:p>
        </w:tc>
        <w:tc>
          <w:tcPr>
            <w:tcW w:w="5976" w:type="dxa"/>
          </w:tcPr>
          <w:p w14:paraId="74AAE33F" w14:textId="77777777" w:rsidR="003D52C5" w:rsidRPr="008E7D6A" w:rsidRDefault="003D52C5" w:rsidP="00316D81">
            <w:pPr>
              <w:spacing w:line="221" w:lineRule="auto"/>
              <w:rPr>
                <w:sz w:val="20"/>
                <w:szCs w:val="20"/>
              </w:rPr>
            </w:pPr>
            <w:r w:rsidRPr="008E7D6A">
              <w:rPr>
                <w:rFonts w:ascii="Arial" w:hAnsi="Arial"/>
                <w:sz w:val="20"/>
                <w:szCs w:val="20"/>
              </w:rPr>
              <w:t>Stakeholder Engagement in Higher Education: State of the Art and Research Agenda</w:t>
            </w:r>
          </w:p>
        </w:tc>
        <w:tc>
          <w:tcPr>
            <w:tcW w:w="3672" w:type="dxa"/>
          </w:tcPr>
          <w:p w14:paraId="5ADCEAB6"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682527A6" w14:textId="0D6E56FD"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13EBF07" w14:textId="77777777" w:rsidTr="00316D81">
        <w:trPr>
          <w:jc w:val="center"/>
        </w:trPr>
        <w:tc>
          <w:tcPr>
            <w:tcW w:w="605" w:type="dxa"/>
          </w:tcPr>
          <w:p w14:paraId="60C086ED" w14:textId="77777777" w:rsidR="003D52C5" w:rsidRPr="008E7D6A" w:rsidRDefault="003D52C5" w:rsidP="00316D81">
            <w:pPr>
              <w:spacing w:line="221" w:lineRule="auto"/>
              <w:jc w:val="center"/>
              <w:rPr>
                <w:sz w:val="20"/>
                <w:szCs w:val="20"/>
              </w:rPr>
            </w:pPr>
            <w:r w:rsidRPr="008E7D6A">
              <w:rPr>
                <w:rFonts w:ascii="Arial" w:hAnsi="Arial"/>
                <w:sz w:val="20"/>
                <w:szCs w:val="20"/>
              </w:rPr>
              <w:t>36</w:t>
            </w:r>
          </w:p>
        </w:tc>
        <w:tc>
          <w:tcPr>
            <w:tcW w:w="2088" w:type="dxa"/>
          </w:tcPr>
          <w:p w14:paraId="55051CDF" w14:textId="77777777" w:rsidR="003D52C5" w:rsidRPr="008E7D6A" w:rsidRDefault="003D52C5" w:rsidP="00316D81">
            <w:pPr>
              <w:spacing w:line="221" w:lineRule="auto"/>
              <w:rPr>
                <w:sz w:val="20"/>
                <w:szCs w:val="20"/>
              </w:rPr>
            </w:pPr>
            <w:r w:rsidRPr="008E7D6A">
              <w:rPr>
                <w:rFonts w:ascii="Arial" w:hAnsi="Arial"/>
                <w:sz w:val="20"/>
                <w:szCs w:val="20"/>
              </w:rPr>
              <w:t>Dabis et al. (2024)</w:t>
            </w:r>
          </w:p>
        </w:tc>
        <w:tc>
          <w:tcPr>
            <w:tcW w:w="5976" w:type="dxa"/>
          </w:tcPr>
          <w:p w14:paraId="40316AA2" w14:textId="77777777" w:rsidR="003D52C5" w:rsidRPr="008E7D6A" w:rsidRDefault="003D52C5" w:rsidP="00316D81">
            <w:pPr>
              <w:spacing w:line="221" w:lineRule="auto"/>
              <w:rPr>
                <w:sz w:val="20"/>
                <w:szCs w:val="20"/>
              </w:rPr>
            </w:pPr>
            <w:r w:rsidRPr="008E7D6A">
              <w:rPr>
                <w:rFonts w:ascii="Arial" w:hAnsi="Arial"/>
                <w:sz w:val="20"/>
                <w:szCs w:val="20"/>
              </w:rPr>
              <w:t>AI and ethics: Investigating the first policy responses of higher education institutions to the challenge of generative AI. Humanities and Social Sciences Communications, 11(1006)</w:t>
            </w:r>
          </w:p>
        </w:tc>
        <w:tc>
          <w:tcPr>
            <w:tcW w:w="3672" w:type="dxa"/>
          </w:tcPr>
          <w:p w14:paraId="42D4979A"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institutional policy; stakeholder engagement</w:t>
            </w:r>
          </w:p>
        </w:tc>
        <w:tc>
          <w:tcPr>
            <w:tcW w:w="3672" w:type="dxa"/>
          </w:tcPr>
          <w:p w14:paraId="70C8C51C"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104A9650" w14:textId="77777777" w:rsidTr="00316D81">
        <w:trPr>
          <w:jc w:val="center"/>
        </w:trPr>
        <w:tc>
          <w:tcPr>
            <w:tcW w:w="605" w:type="dxa"/>
          </w:tcPr>
          <w:p w14:paraId="3F33531F" w14:textId="77777777" w:rsidR="003D52C5" w:rsidRPr="008E7D6A" w:rsidRDefault="003D52C5" w:rsidP="00316D81">
            <w:pPr>
              <w:spacing w:line="221" w:lineRule="auto"/>
              <w:jc w:val="center"/>
              <w:rPr>
                <w:sz w:val="20"/>
                <w:szCs w:val="20"/>
              </w:rPr>
            </w:pPr>
            <w:r w:rsidRPr="008E7D6A">
              <w:rPr>
                <w:rFonts w:ascii="Arial" w:hAnsi="Arial"/>
                <w:sz w:val="20"/>
                <w:szCs w:val="20"/>
              </w:rPr>
              <w:t>37</w:t>
            </w:r>
          </w:p>
        </w:tc>
        <w:tc>
          <w:tcPr>
            <w:tcW w:w="2088" w:type="dxa"/>
          </w:tcPr>
          <w:p w14:paraId="2F08B576" w14:textId="77777777" w:rsidR="003D52C5" w:rsidRPr="008E7D6A" w:rsidRDefault="003D52C5" w:rsidP="00316D81">
            <w:pPr>
              <w:spacing w:line="221" w:lineRule="auto"/>
              <w:rPr>
                <w:sz w:val="20"/>
                <w:szCs w:val="20"/>
              </w:rPr>
            </w:pPr>
            <w:r w:rsidRPr="008E7D6A">
              <w:rPr>
                <w:rFonts w:ascii="Arial" w:hAnsi="Arial"/>
                <w:sz w:val="20"/>
                <w:szCs w:val="20"/>
              </w:rPr>
              <w:t>Danaher, J. (2022)</w:t>
            </w:r>
          </w:p>
        </w:tc>
        <w:tc>
          <w:tcPr>
            <w:tcW w:w="5976" w:type="dxa"/>
          </w:tcPr>
          <w:p w14:paraId="7C264A9A" w14:textId="77777777" w:rsidR="003D52C5" w:rsidRPr="008E7D6A" w:rsidRDefault="003D52C5" w:rsidP="00316D81">
            <w:pPr>
              <w:spacing w:line="221" w:lineRule="auto"/>
              <w:rPr>
                <w:sz w:val="20"/>
                <w:szCs w:val="20"/>
              </w:rPr>
            </w:pPr>
            <w:r w:rsidRPr="008E7D6A">
              <w:rPr>
                <w:rFonts w:ascii="Arial" w:hAnsi="Arial"/>
                <w:sz w:val="20"/>
                <w:szCs w:val="20"/>
              </w:rPr>
              <w:t>Techno-optimism: an analysis, an evaluation and a modest defence</w:t>
            </w:r>
          </w:p>
        </w:tc>
        <w:tc>
          <w:tcPr>
            <w:tcW w:w="3672" w:type="dxa"/>
          </w:tcPr>
          <w:p w14:paraId="6408F4DF"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w:t>
            </w:r>
          </w:p>
        </w:tc>
        <w:tc>
          <w:tcPr>
            <w:tcW w:w="3672" w:type="dxa"/>
          </w:tcPr>
          <w:p w14:paraId="46A703D3" w14:textId="2962685B"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0C87B99C" w14:textId="77777777" w:rsidTr="00316D81">
        <w:trPr>
          <w:jc w:val="center"/>
        </w:trPr>
        <w:tc>
          <w:tcPr>
            <w:tcW w:w="605" w:type="dxa"/>
          </w:tcPr>
          <w:p w14:paraId="18753AAE" w14:textId="77777777" w:rsidR="003D52C5" w:rsidRPr="008E7D6A" w:rsidRDefault="003D52C5" w:rsidP="00316D81">
            <w:pPr>
              <w:spacing w:line="221" w:lineRule="auto"/>
              <w:jc w:val="center"/>
              <w:rPr>
                <w:sz w:val="20"/>
                <w:szCs w:val="20"/>
              </w:rPr>
            </w:pPr>
            <w:r w:rsidRPr="008E7D6A">
              <w:rPr>
                <w:rFonts w:ascii="Arial" w:hAnsi="Arial"/>
                <w:sz w:val="20"/>
                <w:szCs w:val="20"/>
              </w:rPr>
              <w:t>38</w:t>
            </w:r>
          </w:p>
        </w:tc>
        <w:tc>
          <w:tcPr>
            <w:tcW w:w="2088" w:type="dxa"/>
          </w:tcPr>
          <w:p w14:paraId="6458E0DA" w14:textId="77777777" w:rsidR="003D52C5" w:rsidRPr="008E7D6A" w:rsidRDefault="003D52C5" w:rsidP="00316D81">
            <w:pPr>
              <w:spacing w:line="221" w:lineRule="auto"/>
              <w:rPr>
                <w:sz w:val="20"/>
                <w:szCs w:val="20"/>
              </w:rPr>
            </w:pPr>
            <w:r w:rsidRPr="008E7D6A">
              <w:rPr>
                <w:rFonts w:ascii="Arial" w:hAnsi="Arial"/>
                <w:sz w:val="20"/>
                <w:szCs w:val="20"/>
              </w:rPr>
              <w:t>David et al. (2024)</w:t>
            </w:r>
          </w:p>
        </w:tc>
        <w:tc>
          <w:tcPr>
            <w:tcW w:w="5976" w:type="dxa"/>
          </w:tcPr>
          <w:p w14:paraId="40B6FB83" w14:textId="77777777" w:rsidR="003D52C5" w:rsidRPr="008E7D6A" w:rsidRDefault="003D52C5" w:rsidP="00316D81">
            <w:pPr>
              <w:spacing w:line="221" w:lineRule="auto"/>
              <w:rPr>
                <w:sz w:val="20"/>
                <w:szCs w:val="20"/>
              </w:rPr>
            </w:pPr>
            <w:r w:rsidRPr="008E7D6A">
              <w:rPr>
                <w:rFonts w:ascii="Arial" w:hAnsi="Arial"/>
                <w:sz w:val="20"/>
                <w:szCs w:val="20"/>
              </w:rPr>
              <w:t>Who is responsible? US public perceptions of AI governance through the lenses of trust and ethics</w:t>
            </w:r>
          </w:p>
        </w:tc>
        <w:tc>
          <w:tcPr>
            <w:tcW w:w="3672" w:type="dxa"/>
          </w:tcPr>
          <w:p w14:paraId="46DBB525"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 ethics/responsible AI</w:t>
            </w:r>
          </w:p>
        </w:tc>
        <w:tc>
          <w:tcPr>
            <w:tcW w:w="3672" w:type="dxa"/>
          </w:tcPr>
          <w:p w14:paraId="75C11D23"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042020B3" w14:textId="77777777" w:rsidTr="00316D81">
        <w:trPr>
          <w:jc w:val="center"/>
        </w:trPr>
        <w:tc>
          <w:tcPr>
            <w:tcW w:w="605" w:type="dxa"/>
          </w:tcPr>
          <w:p w14:paraId="4DE84CBE" w14:textId="77777777" w:rsidR="003D52C5" w:rsidRPr="008E7D6A" w:rsidRDefault="003D52C5" w:rsidP="00316D81">
            <w:pPr>
              <w:spacing w:line="221" w:lineRule="auto"/>
              <w:jc w:val="center"/>
              <w:rPr>
                <w:sz w:val="20"/>
                <w:szCs w:val="20"/>
              </w:rPr>
            </w:pPr>
            <w:r w:rsidRPr="008E7D6A">
              <w:rPr>
                <w:rFonts w:ascii="Arial" w:hAnsi="Arial"/>
                <w:sz w:val="20"/>
                <w:szCs w:val="20"/>
              </w:rPr>
              <w:t>39</w:t>
            </w:r>
          </w:p>
        </w:tc>
        <w:tc>
          <w:tcPr>
            <w:tcW w:w="2088" w:type="dxa"/>
          </w:tcPr>
          <w:p w14:paraId="63D50244" w14:textId="77777777" w:rsidR="003D52C5" w:rsidRPr="008E7D6A" w:rsidRDefault="003D52C5" w:rsidP="00316D81">
            <w:pPr>
              <w:spacing w:line="221" w:lineRule="auto"/>
              <w:rPr>
                <w:sz w:val="20"/>
                <w:szCs w:val="20"/>
              </w:rPr>
            </w:pPr>
            <w:r w:rsidRPr="008E7D6A">
              <w:rPr>
                <w:rFonts w:ascii="Arial" w:hAnsi="Arial"/>
                <w:sz w:val="20"/>
                <w:szCs w:val="20"/>
              </w:rPr>
              <w:t>Dawadi et al. (2021)</w:t>
            </w:r>
          </w:p>
        </w:tc>
        <w:tc>
          <w:tcPr>
            <w:tcW w:w="5976" w:type="dxa"/>
          </w:tcPr>
          <w:p w14:paraId="7DC4E475" w14:textId="77777777" w:rsidR="003D52C5" w:rsidRPr="008E7D6A" w:rsidRDefault="003D52C5" w:rsidP="00316D81">
            <w:pPr>
              <w:spacing w:line="221" w:lineRule="auto"/>
              <w:rPr>
                <w:sz w:val="20"/>
                <w:szCs w:val="20"/>
              </w:rPr>
            </w:pPr>
            <w:r w:rsidRPr="008E7D6A">
              <w:rPr>
                <w:rFonts w:ascii="Arial" w:hAnsi="Arial"/>
                <w:sz w:val="20"/>
                <w:szCs w:val="20"/>
              </w:rPr>
              <w:t>Mixed-methods research: A discussion on its types, challenges, and criticisms</w:t>
            </w:r>
          </w:p>
        </w:tc>
        <w:tc>
          <w:tcPr>
            <w:tcW w:w="3672" w:type="dxa"/>
          </w:tcPr>
          <w:p w14:paraId="057D6314"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364EB26F" w14:textId="1D8FF0C2"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64E01712" w14:textId="77777777" w:rsidTr="00316D81">
        <w:trPr>
          <w:jc w:val="center"/>
        </w:trPr>
        <w:tc>
          <w:tcPr>
            <w:tcW w:w="605" w:type="dxa"/>
          </w:tcPr>
          <w:p w14:paraId="5F93145E" w14:textId="77777777" w:rsidR="003D52C5" w:rsidRPr="008E7D6A" w:rsidRDefault="003D52C5" w:rsidP="00316D81">
            <w:pPr>
              <w:spacing w:line="221" w:lineRule="auto"/>
              <w:jc w:val="center"/>
              <w:rPr>
                <w:sz w:val="20"/>
                <w:szCs w:val="20"/>
              </w:rPr>
            </w:pPr>
            <w:r w:rsidRPr="008E7D6A">
              <w:rPr>
                <w:rFonts w:ascii="Arial" w:hAnsi="Arial"/>
                <w:sz w:val="20"/>
                <w:szCs w:val="20"/>
              </w:rPr>
              <w:t>40</w:t>
            </w:r>
          </w:p>
        </w:tc>
        <w:tc>
          <w:tcPr>
            <w:tcW w:w="2088" w:type="dxa"/>
          </w:tcPr>
          <w:p w14:paraId="288153D5" w14:textId="77777777" w:rsidR="003D52C5" w:rsidRPr="008E7D6A" w:rsidRDefault="003D52C5" w:rsidP="00316D81">
            <w:pPr>
              <w:spacing w:line="221" w:lineRule="auto"/>
              <w:rPr>
                <w:sz w:val="20"/>
                <w:szCs w:val="20"/>
              </w:rPr>
            </w:pPr>
            <w:r w:rsidRPr="008E7D6A">
              <w:rPr>
                <w:rFonts w:ascii="Arial" w:hAnsi="Arial"/>
                <w:sz w:val="20"/>
                <w:szCs w:val="20"/>
              </w:rPr>
              <w:t>De Almeida et al. (2025)</w:t>
            </w:r>
          </w:p>
        </w:tc>
        <w:tc>
          <w:tcPr>
            <w:tcW w:w="5976" w:type="dxa"/>
          </w:tcPr>
          <w:p w14:paraId="0479EB9F" w14:textId="77777777" w:rsidR="003D52C5" w:rsidRPr="008E7D6A" w:rsidRDefault="003D52C5" w:rsidP="00316D81">
            <w:pPr>
              <w:spacing w:line="221" w:lineRule="auto"/>
              <w:rPr>
                <w:sz w:val="20"/>
                <w:szCs w:val="20"/>
              </w:rPr>
            </w:pPr>
            <w:r w:rsidRPr="008E7D6A">
              <w:rPr>
                <w:rFonts w:ascii="Arial" w:hAnsi="Arial"/>
                <w:sz w:val="20"/>
                <w:szCs w:val="20"/>
              </w:rPr>
              <w:t>Artificial intelligence governance: Understanding how public organisations implement it</w:t>
            </w:r>
          </w:p>
        </w:tc>
        <w:tc>
          <w:tcPr>
            <w:tcW w:w="3672" w:type="dxa"/>
          </w:tcPr>
          <w:p w14:paraId="5450F30D"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40890DB8" w14:textId="3802F57A"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B718837" w14:textId="77777777" w:rsidTr="00316D81">
        <w:trPr>
          <w:jc w:val="center"/>
        </w:trPr>
        <w:tc>
          <w:tcPr>
            <w:tcW w:w="605" w:type="dxa"/>
          </w:tcPr>
          <w:p w14:paraId="03E1F578" w14:textId="77777777" w:rsidR="003D52C5" w:rsidRPr="008E7D6A" w:rsidRDefault="003D52C5" w:rsidP="00316D81">
            <w:pPr>
              <w:spacing w:line="221" w:lineRule="auto"/>
              <w:jc w:val="center"/>
              <w:rPr>
                <w:sz w:val="20"/>
                <w:szCs w:val="20"/>
              </w:rPr>
            </w:pPr>
            <w:r w:rsidRPr="008E7D6A">
              <w:rPr>
                <w:rFonts w:ascii="Arial" w:hAnsi="Arial"/>
                <w:sz w:val="20"/>
                <w:szCs w:val="20"/>
              </w:rPr>
              <w:t>41</w:t>
            </w:r>
          </w:p>
        </w:tc>
        <w:tc>
          <w:tcPr>
            <w:tcW w:w="2088" w:type="dxa"/>
          </w:tcPr>
          <w:p w14:paraId="0E92AD9A" w14:textId="77777777" w:rsidR="003D52C5" w:rsidRPr="008E7D6A" w:rsidRDefault="003D52C5" w:rsidP="00316D81">
            <w:pPr>
              <w:spacing w:line="221" w:lineRule="auto"/>
              <w:rPr>
                <w:sz w:val="20"/>
                <w:szCs w:val="20"/>
              </w:rPr>
            </w:pPr>
            <w:r w:rsidRPr="008E7D6A">
              <w:rPr>
                <w:rFonts w:ascii="Arial" w:hAnsi="Arial"/>
                <w:sz w:val="20"/>
                <w:szCs w:val="20"/>
              </w:rPr>
              <w:t>Deho et al. (2022)</w:t>
            </w:r>
          </w:p>
        </w:tc>
        <w:tc>
          <w:tcPr>
            <w:tcW w:w="5976" w:type="dxa"/>
          </w:tcPr>
          <w:p w14:paraId="2C1A987B" w14:textId="77777777" w:rsidR="003D52C5" w:rsidRPr="008E7D6A" w:rsidRDefault="003D52C5" w:rsidP="00316D81">
            <w:pPr>
              <w:spacing w:line="221" w:lineRule="auto"/>
              <w:rPr>
                <w:sz w:val="20"/>
                <w:szCs w:val="20"/>
              </w:rPr>
            </w:pPr>
            <w:r w:rsidRPr="008E7D6A">
              <w:rPr>
                <w:rFonts w:ascii="Arial" w:hAnsi="Arial"/>
                <w:sz w:val="20"/>
                <w:szCs w:val="20"/>
              </w:rPr>
              <w:t>How do the existing fairness metrics and unfairness mitigation algorithms contribute to ethical learning analytics?</w:t>
            </w:r>
          </w:p>
        </w:tc>
        <w:tc>
          <w:tcPr>
            <w:tcW w:w="3672" w:type="dxa"/>
          </w:tcPr>
          <w:p w14:paraId="13586E9E" w14:textId="77777777" w:rsidR="003D52C5" w:rsidRPr="008E7D6A" w:rsidRDefault="003D52C5" w:rsidP="00316D81">
            <w:pPr>
              <w:spacing w:line="221" w:lineRule="auto"/>
              <w:rPr>
                <w:sz w:val="20"/>
                <w:szCs w:val="20"/>
              </w:rPr>
            </w:pPr>
            <w:r w:rsidRPr="008E7D6A">
              <w:rPr>
                <w:rFonts w:ascii="Arial" w:hAnsi="Arial"/>
                <w:sz w:val="20"/>
                <w:szCs w:val="20"/>
              </w:rPr>
              <w:t>teaching/learning; ethics/responsible AI; fairness; algorithmic bias; privacy/data protection</w:t>
            </w:r>
          </w:p>
        </w:tc>
        <w:tc>
          <w:tcPr>
            <w:tcW w:w="3672" w:type="dxa"/>
          </w:tcPr>
          <w:p w14:paraId="42986543"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8ED4696" w14:textId="77777777" w:rsidTr="00316D81">
        <w:trPr>
          <w:jc w:val="center"/>
        </w:trPr>
        <w:tc>
          <w:tcPr>
            <w:tcW w:w="605" w:type="dxa"/>
          </w:tcPr>
          <w:p w14:paraId="7D838DC1" w14:textId="77777777" w:rsidR="003D52C5" w:rsidRPr="008E7D6A" w:rsidRDefault="003D52C5" w:rsidP="00316D81">
            <w:pPr>
              <w:spacing w:line="221" w:lineRule="auto"/>
              <w:jc w:val="center"/>
              <w:rPr>
                <w:sz w:val="20"/>
                <w:szCs w:val="20"/>
              </w:rPr>
            </w:pPr>
            <w:r w:rsidRPr="008E7D6A">
              <w:rPr>
                <w:rFonts w:ascii="Arial" w:hAnsi="Arial"/>
                <w:sz w:val="20"/>
                <w:szCs w:val="20"/>
              </w:rPr>
              <w:t>42</w:t>
            </w:r>
          </w:p>
        </w:tc>
        <w:tc>
          <w:tcPr>
            <w:tcW w:w="2088" w:type="dxa"/>
          </w:tcPr>
          <w:p w14:paraId="3AE214FB" w14:textId="77777777" w:rsidR="003D52C5" w:rsidRPr="008E7D6A" w:rsidRDefault="003D52C5" w:rsidP="00316D81">
            <w:pPr>
              <w:spacing w:line="221" w:lineRule="auto"/>
              <w:rPr>
                <w:sz w:val="20"/>
                <w:szCs w:val="20"/>
              </w:rPr>
            </w:pPr>
            <w:r w:rsidRPr="008E7D6A">
              <w:rPr>
                <w:rFonts w:ascii="Arial" w:hAnsi="Arial"/>
                <w:sz w:val="20"/>
                <w:szCs w:val="20"/>
              </w:rPr>
              <w:t>DiMaggio et al. (1983)</w:t>
            </w:r>
          </w:p>
        </w:tc>
        <w:tc>
          <w:tcPr>
            <w:tcW w:w="5976" w:type="dxa"/>
          </w:tcPr>
          <w:p w14:paraId="0E4BC25E" w14:textId="77777777" w:rsidR="003D52C5" w:rsidRPr="008E7D6A" w:rsidRDefault="003D52C5" w:rsidP="00316D81">
            <w:pPr>
              <w:spacing w:line="221" w:lineRule="auto"/>
              <w:rPr>
                <w:sz w:val="20"/>
                <w:szCs w:val="20"/>
              </w:rPr>
            </w:pPr>
            <w:r w:rsidRPr="008E7D6A">
              <w:rPr>
                <w:rFonts w:ascii="Arial" w:hAnsi="Arial"/>
                <w:sz w:val="20"/>
                <w:szCs w:val="20"/>
              </w:rPr>
              <w:t>The iron cage revisited: Institutional isomorphism and collective rationality in organisational fields</w:t>
            </w:r>
          </w:p>
        </w:tc>
        <w:tc>
          <w:tcPr>
            <w:tcW w:w="3672" w:type="dxa"/>
          </w:tcPr>
          <w:p w14:paraId="0B6C5A2E" w14:textId="77777777" w:rsidR="003D52C5" w:rsidRPr="008E7D6A" w:rsidRDefault="003D52C5" w:rsidP="00316D81">
            <w:pPr>
              <w:spacing w:line="221" w:lineRule="auto"/>
              <w:rPr>
                <w:sz w:val="20"/>
                <w:szCs w:val="20"/>
              </w:rPr>
            </w:pPr>
            <w:r w:rsidRPr="008E7D6A">
              <w:rPr>
                <w:rFonts w:ascii="Arial" w:hAnsi="Arial"/>
                <w:sz w:val="20"/>
                <w:szCs w:val="20"/>
              </w:rPr>
              <w:t>organisational capability; strategic alignment</w:t>
            </w:r>
          </w:p>
        </w:tc>
        <w:tc>
          <w:tcPr>
            <w:tcW w:w="3672" w:type="dxa"/>
          </w:tcPr>
          <w:p w14:paraId="56CC5BDE" w14:textId="05B92F11"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04AB5492" w14:textId="77777777" w:rsidTr="00316D81">
        <w:trPr>
          <w:jc w:val="center"/>
        </w:trPr>
        <w:tc>
          <w:tcPr>
            <w:tcW w:w="605" w:type="dxa"/>
          </w:tcPr>
          <w:p w14:paraId="41B9DAC2" w14:textId="77777777" w:rsidR="003D52C5" w:rsidRPr="008E7D6A" w:rsidRDefault="003D52C5" w:rsidP="00316D81">
            <w:pPr>
              <w:spacing w:line="221" w:lineRule="auto"/>
              <w:jc w:val="center"/>
              <w:rPr>
                <w:sz w:val="20"/>
                <w:szCs w:val="20"/>
              </w:rPr>
            </w:pPr>
            <w:r w:rsidRPr="008E7D6A">
              <w:rPr>
                <w:rFonts w:ascii="Arial" w:hAnsi="Arial"/>
                <w:sz w:val="20"/>
                <w:szCs w:val="20"/>
              </w:rPr>
              <w:t>43</w:t>
            </w:r>
          </w:p>
        </w:tc>
        <w:tc>
          <w:tcPr>
            <w:tcW w:w="2088" w:type="dxa"/>
          </w:tcPr>
          <w:p w14:paraId="120A1E78" w14:textId="77777777" w:rsidR="003D52C5" w:rsidRPr="008E7D6A" w:rsidRDefault="003D52C5" w:rsidP="00316D81">
            <w:pPr>
              <w:spacing w:line="221" w:lineRule="auto"/>
              <w:rPr>
                <w:sz w:val="20"/>
                <w:szCs w:val="20"/>
              </w:rPr>
            </w:pPr>
            <w:r w:rsidRPr="008E7D6A">
              <w:rPr>
                <w:rFonts w:ascii="Arial" w:hAnsi="Arial"/>
                <w:sz w:val="20"/>
                <w:szCs w:val="20"/>
              </w:rPr>
              <w:t>Drisko, J. (2025)</w:t>
            </w:r>
          </w:p>
        </w:tc>
        <w:tc>
          <w:tcPr>
            <w:tcW w:w="5976" w:type="dxa"/>
          </w:tcPr>
          <w:p w14:paraId="293F9AD7" w14:textId="77777777" w:rsidR="003D52C5" w:rsidRPr="008E7D6A" w:rsidRDefault="003D52C5" w:rsidP="00316D81">
            <w:pPr>
              <w:spacing w:line="221" w:lineRule="auto"/>
              <w:rPr>
                <w:sz w:val="20"/>
                <w:szCs w:val="20"/>
              </w:rPr>
            </w:pPr>
            <w:r w:rsidRPr="008E7D6A">
              <w:rPr>
                <w:rFonts w:ascii="Arial" w:hAnsi="Arial"/>
                <w:sz w:val="20"/>
                <w:szCs w:val="20"/>
              </w:rPr>
              <w:t>Transferability and Generalisation in Qualitative Research</w:t>
            </w:r>
          </w:p>
        </w:tc>
        <w:tc>
          <w:tcPr>
            <w:tcW w:w="3672" w:type="dxa"/>
          </w:tcPr>
          <w:p w14:paraId="0823FB42"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qualitative rigour; transferability/generalisation</w:t>
            </w:r>
          </w:p>
        </w:tc>
        <w:tc>
          <w:tcPr>
            <w:tcW w:w="3672" w:type="dxa"/>
          </w:tcPr>
          <w:p w14:paraId="676ABB96" w14:textId="790BCEE2"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30F4F13" w14:textId="77777777" w:rsidTr="00316D81">
        <w:trPr>
          <w:jc w:val="center"/>
        </w:trPr>
        <w:tc>
          <w:tcPr>
            <w:tcW w:w="605" w:type="dxa"/>
          </w:tcPr>
          <w:p w14:paraId="3BD807CE"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44</w:t>
            </w:r>
          </w:p>
        </w:tc>
        <w:tc>
          <w:tcPr>
            <w:tcW w:w="2088" w:type="dxa"/>
          </w:tcPr>
          <w:p w14:paraId="69B04E76" w14:textId="77777777" w:rsidR="003D52C5" w:rsidRPr="008E7D6A" w:rsidRDefault="003D52C5" w:rsidP="00316D81">
            <w:pPr>
              <w:spacing w:line="221" w:lineRule="auto"/>
              <w:rPr>
                <w:sz w:val="20"/>
                <w:szCs w:val="20"/>
              </w:rPr>
            </w:pPr>
            <w:r w:rsidRPr="008E7D6A">
              <w:rPr>
                <w:rFonts w:ascii="Arial" w:hAnsi="Arial"/>
                <w:sz w:val="20"/>
                <w:szCs w:val="20"/>
              </w:rPr>
              <w:t>Edwards et al. (2014)</w:t>
            </w:r>
          </w:p>
        </w:tc>
        <w:tc>
          <w:tcPr>
            <w:tcW w:w="5976" w:type="dxa"/>
          </w:tcPr>
          <w:p w14:paraId="2BBF02E6" w14:textId="77777777" w:rsidR="003D52C5" w:rsidRPr="008E7D6A" w:rsidRDefault="003D52C5" w:rsidP="00316D81">
            <w:pPr>
              <w:spacing w:line="221" w:lineRule="auto"/>
              <w:rPr>
                <w:sz w:val="20"/>
                <w:szCs w:val="20"/>
              </w:rPr>
            </w:pPr>
            <w:r w:rsidRPr="008E7D6A">
              <w:rPr>
                <w:rFonts w:ascii="Arial" w:hAnsi="Arial"/>
                <w:sz w:val="20"/>
                <w:szCs w:val="20"/>
              </w:rPr>
              <w:t>Studying Organizations Using Critical Realism: A Practical Guide. Oxford: Oxford University Press</w:t>
            </w:r>
          </w:p>
        </w:tc>
        <w:tc>
          <w:tcPr>
            <w:tcW w:w="3672" w:type="dxa"/>
          </w:tcPr>
          <w:p w14:paraId="59DEF8F6" w14:textId="77777777" w:rsidR="003D52C5" w:rsidRPr="008E7D6A" w:rsidRDefault="003D52C5" w:rsidP="00316D81">
            <w:pPr>
              <w:spacing w:line="221" w:lineRule="auto"/>
              <w:rPr>
                <w:sz w:val="20"/>
                <w:szCs w:val="20"/>
              </w:rPr>
            </w:pPr>
            <w:r w:rsidRPr="008E7D6A">
              <w:rPr>
                <w:rFonts w:ascii="Arial" w:hAnsi="Arial"/>
                <w:sz w:val="20"/>
                <w:szCs w:val="20"/>
              </w:rPr>
              <w:t>critical realism; ontology/epistemology</w:t>
            </w:r>
          </w:p>
        </w:tc>
        <w:tc>
          <w:tcPr>
            <w:tcW w:w="3672" w:type="dxa"/>
          </w:tcPr>
          <w:p w14:paraId="5A01D32D" w14:textId="6006ED31"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CC654AD" w14:textId="77777777" w:rsidTr="00316D81">
        <w:trPr>
          <w:jc w:val="center"/>
        </w:trPr>
        <w:tc>
          <w:tcPr>
            <w:tcW w:w="605" w:type="dxa"/>
          </w:tcPr>
          <w:p w14:paraId="4D594AB1" w14:textId="77777777" w:rsidR="003D52C5" w:rsidRPr="008E7D6A" w:rsidRDefault="003D52C5" w:rsidP="00316D81">
            <w:pPr>
              <w:spacing w:line="221" w:lineRule="auto"/>
              <w:jc w:val="center"/>
              <w:rPr>
                <w:sz w:val="20"/>
                <w:szCs w:val="20"/>
              </w:rPr>
            </w:pPr>
            <w:r w:rsidRPr="008E7D6A">
              <w:rPr>
                <w:rFonts w:ascii="Arial" w:hAnsi="Arial"/>
                <w:sz w:val="20"/>
                <w:szCs w:val="20"/>
              </w:rPr>
              <w:t>45</w:t>
            </w:r>
          </w:p>
        </w:tc>
        <w:tc>
          <w:tcPr>
            <w:tcW w:w="2088" w:type="dxa"/>
          </w:tcPr>
          <w:p w14:paraId="75934A61" w14:textId="77777777" w:rsidR="003D52C5" w:rsidRPr="008E7D6A" w:rsidRDefault="003D52C5" w:rsidP="00316D81">
            <w:pPr>
              <w:spacing w:line="221" w:lineRule="auto"/>
              <w:rPr>
                <w:sz w:val="20"/>
                <w:szCs w:val="20"/>
              </w:rPr>
            </w:pPr>
            <w:r w:rsidRPr="008E7D6A">
              <w:rPr>
                <w:rFonts w:ascii="Arial" w:hAnsi="Arial"/>
                <w:sz w:val="20"/>
                <w:szCs w:val="20"/>
              </w:rPr>
              <w:t>Erdmann et al. (2023)</w:t>
            </w:r>
          </w:p>
        </w:tc>
        <w:tc>
          <w:tcPr>
            <w:tcW w:w="5976" w:type="dxa"/>
          </w:tcPr>
          <w:p w14:paraId="2E996287" w14:textId="77777777" w:rsidR="003D52C5" w:rsidRPr="008E7D6A" w:rsidRDefault="003D52C5" w:rsidP="00316D81">
            <w:pPr>
              <w:spacing w:line="221" w:lineRule="auto"/>
              <w:rPr>
                <w:sz w:val="20"/>
                <w:szCs w:val="20"/>
              </w:rPr>
            </w:pPr>
            <w:r w:rsidRPr="008E7D6A">
              <w:rPr>
                <w:rFonts w:ascii="Arial" w:hAnsi="Arial"/>
                <w:sz w:val="20"/>
                <w:szCs w:val="20"/>
              </w:rPr>
              <w:t>Decision Criteria for the Ethically Reflected Choice of a Member Check Method in Qualitative Research: A Proposal for Discussion</w:t>
            </w:r>
          </w:p>
        </w:tc>
        <w:tc>
          <w:tcPr>
            <w:tcW w:w="3672" w:type="dxa"/>
          </w:tcPr>
          <w:p w14:paraId="4D658F1D"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ethics/responsible AI; qualitative rigour</w:t>
            </w:r>
          </w:p>
        </w:tc>
        <w:tc>
          <w:tcPr>
            <w:tcW w:w="3672" w:type="dxa"/>
          </w:tcPr>
          <w:p w14:paraId="4C301C9B" w14:textId="4940C3AF"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741D647" w14:textId="77777777" w:rsidTr="00316D81">
        <w:trPr>
          <w:jc w:val="center"/>
        </w:trPr>
        <w:tc>
          <w:tcPr>
            <w:tcW w:w="605" w:type="dxa"/>
          </w:tcPr>
          <w:p w14:paraId="0FAB600B" w14:textId="77777777" w:rsidR="003D52C5" w:rsidRPr="008E7D6A" w:rsidRDefault="003D52C5" w:rsidP="00316D81">
            <w:pPr>
              <w:spacing w:line="221" w:lineRule="auto"/>
              <w:jc w:val="center"/>
              <w:rPr>
                <w:sz w:val="20"/>
                <w:szCs w:val="20"/>
              </w:rPr>
            </w:pPr>
            <w:r w:rsidRPr="008E7D6A">
              <w:rPr>
                <w:rFonts w:ascii="Arial" w:hAnsi="Arial"/>
                <w:sz w:val="20"/>
                <w:szCs w:val="20"/>
              </w:rPr>
              <w:t>46</w:t>
            </w:r>
          </w:p>
        </w:tc>
        <w:tc>
          <w:tcPr>
            <w:tcW w:w="2088" w:type="dxa"/>
          </w:tcPr>
          <w:p w14:paraId="3C904EC1" w14:textId="77777777" w:rsidR="003D52C5" w:rsidRPr="008E7D6A" w:rsidRDefault="003D52C5" w:rsidP="00316D81">
            <w:pPr>
              <w:spacing w:line="221" w:lineRule="auto"/>
              <w:rPr>
                <w:sz w:val="20"/>
                <w:szCs w:val="20"/>
              </w:rPr>
            </w:pPr>
            <w:r w:rsidRPr="008E7D6A">
              <w:rPr>
                <w:rFonts w:ascii="Arial" w:hAnsi="Arial"/>
                <w:sz w:val="20"/>
                <w:szCs w:val="20"/>
              </w:rPr>
              <w:t>Feilzer, M. (2023)</w:t>
            </w:r>
          </w:p>
        </w:tc>
        <w:tc>
          <w:tcPr>
            <w:tcW w:w="5976" w:type="dxa"/>
          </w:tcPr>
          <w:p w14:paraId="072A03E7" w14:textId="77777777" w:rsidR="003D52C5" w:rsidRPr="008E7D6A" w:rsidRDefault="003D52C5" w:rsidP="00316D81">
            <w:pPr>
              <w:spacing w:line="221" w:lineRule="auto"/>
              <w:rPr>
                <w:sz w:val="20"/>
                <w:szCs w:val="20"/>
              </w:rPr>
            </w:pPr>
            <w:r w:rsidRPr="008E7D6A">
              <w:rPr>
                <w:rFonts w:ascii="Arial" w:hAnsi="Arial"/>
                <w:sz w:val="20"/>
                <w:szCs w:val="20"/>
              </w:rPr>
              <w:t>A Pragmatist Approach to Mixed Methods Research</w:t>
            </w:r>
          </w:p>
        </w:tc>
        <w:tc>
          <w:tcPr>
            <w:tcW w:w="3672" w:type="dxa"/>
          </w:tcPr>
          <w:p w14:paraId="71E47AD3"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 mixed-method integration</w:t>
            </w:r>
          </w:p>
        </w:tc>
        <w:tc>
          <w:tcPr>
            <w:tcW w:w="3672" w:type="dxa"/>
          </w:tcPr>
          <w:p w14:paraId="6548DC8C" w14:textId="1882F891"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973C66A" w14:textId="77777777" w:rsidTr="00316D81">
        <w:trPr>
          <w:jc w:val="center"/>
        </w:trPr>
        <w:tc>
          <w:tcPr>
            <w:tcW w:w="605" w:type="dxa"/>
          </w:tcPr>
          <w:p w14:paraId="73C63F73" w14:textId="77777777" w:rsidR="003D52C5" w:rsidRPr="008E7D6A" w:rsidRDefault="003D52C5" w:rsidP="00316D81">
            <w:pPr>
              <w:spacing w:line="221" w:lineRule="auto"/>
              <w:jc w:val="center"/>
              <w:rPr>
                <w:sz w:val="20"/>
                <w:szCs w:val="20"/>
              </w:rPr>
            </w:pPr>
            <w:r w:rsidRPr="008E7D6A">
              <w:rPr>
                <w:rFonts w:ascii="Arial" w:hAnsi="Arial"/>
                <w:sz w:val="20"/>
                <w:szCs w:val="20"/>
              </w:rPr>
              <w:t>47</w:t>
            </w:r>
          </w:p>
        </w:tc>
        <w:tc>
          <w:tcPr>
            <w:tcW w:w="2088" w:type="dxa"/>
          </w:tcPr>
          <w:p w14:paraId="177D20EE" w14:textId="77777777" w:rsidR="003D52C5" w:rsidRPr="008E7D6A" w:rsidRDefault="003D52C5" w:rsidP="00316D81">
            <w:pPr>
              <w:spacing w:line="221" w:lineRule="auto"/>
              <w:rPr>
                <w:sz w:val="20"/>
                <w:szCs w:val="20"/>
              </w:rPr>
            </w:pPr>
            <w:r w:rsidRPr="008E7D6A">
              <w:rPr>
                <w:rFonts w:ascii="Arial" w:hAnsi="Arial"/>
                <w:sz w:val="20"/>
                <w:szCs w:val="20"/>
              </w:rPr>
              <w:t>Fleetwood, S. (2005)</w:t>
            </w:r>
          </w:p>
        </w:tc>
        <w:tc>
          <w:tcPr>
            <w:tcW w:w="5976" w:type="dxa"/>
          </w:tcPr>
          <w:p w14:paraId="36651192" w14:textId="77777777" w:rsidR="003D52C5" w:rsidRPr="008E7D6A" w:rsidRDefault="003D52C5" w:rsidP="00316D81">
            <w:pPr>
              <w:spacing w:line="221" w:lineRule="auto"/>
              <w:rPr>
                <w:sz w:val="20"/>
                <w:szCs w:val="20"/>
              </w:rPr>
            </w:pPr>
            <w:r w:rsidRPr="008E7D6A">
              <w:rPr>
                <w:rFonts w:ascii="Arial" w:hAnsi="Arial"/>
                <w:sz w:val="20"/>
                <w:szCs w:val="20"/>
              </w:rPr>
              <w:t>Ontology in Organisation and Management Studies: A Critical Realist Perspective</w:t>
            </w:r>
          </w:p>
        </w:tc>
        <w:tc>
          <w:tcPr>
            <w:tcW w:w="3672" w:type="dxa"/>
          </w:tcPr>
          <w:p w14:paraId="5E5FCFF9" w14:textId="77777777" w:rsidR="003D52C5" w:rsidRPr="008E7D6A" w:rsidRDefault="003D52C5" w:rsidP="00316D81">
            <w:pPr>
              <w:spacing w:line="221" w:lineRule="auto"/>
              <w:rPr>
                <w:sz w:val="20"/>
                <w:szCs w:val="20"/>
              </w:rPr>
            </w:pPr>
            <w:r w:rsidRPr="008E7D6A">
              <w:rPr>
                <w:rFonts w:ascii="Arial" w:hAnsi="Arial"/>
                <w:sz w:val="20"/>
                <w:szCs w:val="20"/>
              </w:rPr>
              <w:t>ontology/epistemology</w:t>
            </w:r>
          </w:p>
        </w:tc>
        <w:tc>
          <w:tcPr>
            <w:tcW w:w="3672" w:type="dxa"/>
          </w:tcPr>
          <w:p w14:paraId="1CBA7DAB" w14:textId="0D115E1B"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478176C" w14:textId="77777777" w:rsidTr="00316D81">
        <w:trPr>
          <w:jc w:val="center"/>
        </w:trPr>
        <w:tc>
          <w:tcPr>
            <w:tcW w:w="605" w:type="dxa"/>
          </w:tcPr>
          <w:p w14:paraId="298F9A50" w14:textId="77777777" w:rsidR="003D52C5" w:rsidRPr="008E7D6A" w:rsidRDefault="003D52C5" w:rsidP="00316D81">
            <w:pPr>
              <w:spacing w:line="221" w:lineRule="auto"/>
              <w:jc w:val="center"/>
              <w:rPr>
                <w:sz w:val="20"/>
                <w:szCs w:val="20"/>
              </w:rPr>
            </w:pPr>
            <w:r w:rsidRPr="008E7D6A">
              <w:rPr>
                <w:rFonts w:ascii="Arial" w:hAnsi="Arial"/>
                <w:sz w:val="20"/>
                <w:szCs w:val="20"/>
              </w:rPr>
              <w:t>48</w:t>
            </w:r>
          </w:p>
        </w:tc>
        <w:tc>
          <w:tcPr>
            <w:tcW w:w="2088" w:type="dxa"/>
          </w:tcPr>
          <w:p w14:paraId="051FC5AF" w14:textId="77777777" w:rsidR="003D52C5" w:rsidRPr="008E7D6A" w:rsidRDefault="003D52C5" w:rsidP="00316D81">
            <w:pPr>
              <w:spacing w:line="221" w:lineRule="auto"/>
              <w:rPr>
                <w:sz w:val="20"/>
                <w:szCs w:val="20"/>
              </w:rPr>
            </w:pPr>
            <w:r w:rsidRPr="008E7D6A">
              <w:rPr>
                <w:rFonts w:ascii="Arial" w:hAnsi="Arial"/>
                <w:sz w:val="20"/>
                <w:szCs w:val="20"/>
              </w:rPr>
              <w:t>Field et al. (2024)</w:t>
            </w:r>
          </w:p>
        </w:tc>
        <w:tc>
          <w:tcPr>
            <w:tcW w:w="5976" w:type="dxa"/>
          </w:tcPr>
          <w:p w14:paraId="2EEF7D27" w14:textId="77777777" w:rsidR="003D52C5" w:rsidRPr="008E7D6A" w:rsidRDefault="003D52C5" w:rsidP="00316D81">
            <w:pPr>
              <w:spacing w:line="221" w:lineRule="auto"/>
              <w:rPr>
                <w:sz w:val="20"/>
                <w:szCs w:val="20"/>
              </w:rPr>
            </w:pPr>
            <w:r w:rsidRPr="008E7D6A">
              <w:rPr>
                <w:rFonts w:ascii="Arial" w:hAnsi="Arial"/>
                <w:sz w:val="20"/>
                <w:szCs w:val="20"/>
              </w:rPr>
              <w:t>How to locate yourself in the research process: The role of positionality</w:t>
            </w:r>
          </w:p>
        </w:tc>
        <w:tc>
          <w:tcPr>
            <w:tcW w:w="3672" w:type="dxa"/>
          </w:tcPr>
          <w:p w14:paraId="34A10BF3"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21542765" w14:textId="27168A96"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7D866376" w14:textId="77777777" w:rsidTr="00316D81">
        <w:trPr>
          <w:jc w:val="center"/>
        </w:trPr>
        <w:tc>
          <w:tcPr>
            <w:tcW w:w="605" w:type="dxa"/>
          </w:tcPr>
          <w:p w14:paraId="7E2759E1" w14:textId="77777777" w:rsidR="003D52C5" w:rsidRPr="008E7D6A" w:rsidRDefault="003D52C5" w:rsidP="00316D81">
            <w:pPr>
              <w:spacing w:line="221" w:lineRule="auto"/>
              <w:jc w:val="center"/>
              <w:rPr>
                <w:sz w:val="20"/>
                <w:szCs w:val="20"/>
              </w:rPr>
            </w:pPr>
            <w:r w:rsidRPr="008E7D6A">
              <w:rPr>
                <w:rFonts w:ascii="Arial" w:hAnsi="Arial"/>
                <w:sz w:val="20"/>
                <w:szCs w:val="20"/>
              </w:rPr>
              <w:t>49</w:t>
            </w:r>
          </w:p>
        </w:tc>
        <w:tc>
          <w:tcPr>
            <w:tcW w:w="2088" w:type="dxa"/>
          </w:tcPr>
          <w:p w14:paraId="46B0102A" w14:textId="77777777" w:rsidR="003D52C5" w:rsidRPr="008E7D6A" w:rsidRDefault="003D52C5" w:rsidP="00316D81">
            <w:pPr>
              <w:spacing w:line="221" w:lineRule="auto"/>
              <w:rPr>
                <w:sz w:val="20"/>
                <w:szCs w:val="20"/>
              </w:rPr>
            </w:pPr>
            <w:r w:rsidRPr="008E7D6A">
              <w:rPr>
                <w:rFonts w:ascii="Arial" w:hAnsi="Arial"/>
                <w:sz w:val="20"/>
                <w:szCs w:val="20"/>
              </w:rPr>
              <w:t>Fuchs et al. (2024)</w:t>
            </w:r>
          </w:p>
        </w:tc>
        <w:tc>
          <w:tcPr>
            <w:tcW w:w="5976" w:type="dxa"/>
          </w:tcPr>
          <w:p w14:paraId="6B68E5CF" w14:textId="77777777" w:rsidR="003D52C5" w:rsidRPr="008E7D6A" w:rsidRDefault="003D52C5" w:rsidP="00316D81">
            <w:pPr>
              <w:spacing w:line="221" w:lineRule="auto"/>
              <w:rPr>
                <w:sz w:val="20"/>
                <w:szCs w:val="20"/>
              </w:rPr>
            </w:pPr>
            <w:r w:rsidRPr="008E7D6A">
              <w:rPr>
                <w:rFonts w:ascii="Arial" w:hAnsi="Arial"/>
                <w:sz w:val="20"/>
                <w:szCs w:val="20"/>
              </w:rPr>
              <w:t>Operationalising critical realism for case study research</w:t>
            </w:r>
          </w:p>
        </w:tc>
        <w:tc>
          <w:tcPr>
            <w:tcW w:w="3672" w:type="dxa"/>
          </w:tcPr>
          <w:p w14:paraId="32452C23" w14:textId="77777777" w:rsidR="003D52C5" w:rsidRPr="008E7D6A" w:rsidRDefault="003D52C5" w:rsidP="00316D81">
            <w:pPr>
              <w:spacing w:line="221" w:lineRule="auto"/>
              <w:rPr>
                <w:sz w:val="20"/>
                <w:szCs w:val="20"/>
              </w:rPr>
            </w:pPr>
            <w:r w:rsidRPr="008E7D6A">
              <w:rPr>
                <w:rFonts w:ascii="Arial" w:hAnsi="Arial"/>
                <w:sz w:val="20"/>
                <w:szCs w:val="20"/>
              </w:rPr>
              <w:t>critical realism; ontology/epistemology</w:t>
            </w:r>
          </w:p>
        </w:tc>
        <w:tc>
          <w:tcPr>
            <w:tcW w:w="3672" w:type="dxa"/>
          </w:tcPr>
          <w:p w14:paraId="22BB10F6" w14:textId="7BB71DB1"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7511A1D" w14:textId="77777777" w:rsidTr="00316D81">
        <w:trPr>
          <w:jc w:val="center"/>
        </w:trPr>
        <w:tc>
          <w:tcPr>
            <w:tcW w:w="605" w:type="dxa"/>
          </w:tcPr>
          <w:p w14:paraId="27A2AB9E" w14:textId="77777777" w:rsidR="003D52C5" w:rsidRPr="008E7D6A" w:rsidRDefault="003D52C5" w:rsidP="00316D81">
            <w:pPr>
              <w:spacing w:line="221" w:lineRule="auto"/>
              <w:jc w:val="center"/>
              <w:rPr>
                <w:sz w:val="20"/>
                <w:szCs w:val="20"/>
              </w:rPr>
            </w:pPr>
            <w:r w:rsidRPr="008E7D6A">
              <w:rPr>
                <w:rFonts w:ascii="Arial" w:hAnsi="Arial"/>
                <w:sz w:val="20"/>
                <w:szCs w:val="20"/>
              </w:rPr>
              <w:t>50</w:t>
            </w:r>
          </w:p>
        </w:tc>
        <w:tc>
          <w:tcPr>
            <w:tcW w:w="2088" w:type="dxa"/>
          </w:tcPr>
          <w:p w14:paraId="269E88B8" w14:textId="77777777" w:rsidR="003D52C5" w:rsidRPr="008E7D6A" w:rsidRDefault="003D52C5" w:rsidP="00316D81">
            <w:pPr>
              <w:spacing w:line="221" w:lineRule="auto"/>
              <w:rPr>
                <w:sz w:val="20"/>
                <w:szCs w:val="20"/>
              </w:rPr>
            </w:pPr>
            <w:r w:rsidRPr="008E7D6A">
              <w:rPr>
                <w:rFonts w:ascii="Arial" w:hAnsi="Arial"/>
                <w:sz w:val="20"/>
                <w:szCs w:val="20"/>
              </w:rPr>
              <w:t>Gagua et al. (2025)</w:t>
            </w:r>
          </w:p>
        </w:tc>
        <w:tc>
          <w:tcPr>
            <w:tcW w:w="5976" w:type="dxa"/>
          </w:tcPr>
          <w:p w14:paraId="2AEFB6CA" w14:textId="77777777" w:rsidR="003D52C5" w:rsidRPr="008E7D6A" w:rsidRDefault="003D52C5" w:rsidP="00316D81">
            <w:pPr>
              <w:spacing w:line="221" w:lineRule="auto"/>
              <w:rPr>
                <w:sz w:val="20"/>
                <w:szCs w:val="20"/>
              </w:rPr>
            </w:pPr>
            <w:r w:rsidRPr="008E7D6A">
              <w:rPr>
                <w:rFonts w:ascii="Arial" w:hAnsi="Arial"/>
                <w:sz w:val="20"/>
                <w:szCs w:val="20"/>
              </w:rPr>
              <w:t>Responsible AI Governance in the Public Sector: Explaining Contextual Dynamics Through a Realist Synthesis Review</w:t>
            </w:r>
          </w:p>
        </w:tc>
        <w:tc>
          <w:tcPr>
            <w:tcW w:w="3672" w:type="dxa"/>
          </w:tcPr>
          <w:p w14:paraId="494422D9"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55F9B2E7"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45B26470" w14:textId="77777777" w:rsidTr="00316D81">
        <w:trPr>
          <w:jc w:val="center"/>
        </w:trPr>
        <w:tc>
          <w:tcPr>
            <w:tcW w:w="605" w:type="dxa"/>
          </w:tcPr>
          <w:p w14:paraId="2D63AE57" w14:textId="77777777" w:rsidR="003D52C5" w:rsidRPr="008E7D6A" w:rsidRDefault="003D52C5" w:rsidP="00316D81">
            <w:pPr>
              <w:spacing w:line="221" w:lineRule="auto"/>
              <w:jc w:val="center"/>
              <w:rPr>
                <w:sz w:val="20"/>
                <w:szCs w:val="20"/>
              </w:rPr>
            </w:pPr>
            <w:r w:rsidRPr="008E7D6A">
              <w:rPr>
                <w:rFonts w:ascii="Arial" w:hAnsi="Arial"/>
                <w:sz w:val="20"/>
                <w:szCs w:val="20"/>
              </w:rPr>
              <w:t>51</w:t>
            </w:r>
          </w:p>
        </w:tc>
        <w:tc>
          <w:tcPr>
            <w:tcW w:w="2088" w:type="dxa"/>
          </w:tcPr>
          <w:p w14:paraId="64241758" w14:textId="77777777" w:rsidR="003D52C5" w:rsidRPr="008E7D6A" w:rsidRDefault="003D52C5" w:rsidP="00316D81">
            <w:pPr>
              <w:spacing w:line="221" w:lineRule="auto"/>
              <w:rPr>
                <w:sz w:val="20"/>
                <w:szCs w:val="20"/>
              </w:rPr>
            </w:pPr>
            <w:r w:rsidRPr="008E7D6A">
              <w:rPr>
                <w:rFonts w:ascii="Arial" w:hAnsi="Arial"/>
                <w:sz w:val="20"/>
                <w:szCs w:val="20"/>
              </w:rPr>
              <w:t>Gellai, D. (2023)</w:t>
            </w:r>
          </w:p>
        </w:tc>
        <w:tc>
          <w:tcPr>
            <w:tcW w:w="5976" w:type="dxa"/>
          </w:tcPr>
          <w:p w14:paraId="57A07FB5" w14:textId="77777777" w:rsidR="003D52C5" w:rsidRPr="008E7D6A" w:rsidRDefault="003D52C5" w:rsidP="00316D81">
            <w:pPr>
              <w:spacing w:line="221" w:lineRule="auto"/>
              <w:rPr>
                <w:sz w:val="20"/>
                <w:szCs w:val="20"/>
              </w:rPr>
            </w:pPr>
            <w:r w:rsidRPr="008E7D6A">
              <w:rPr>
                <w:rFonts w:ascii="Arial" w:hAnsi="Arial"/>
                <w:sz w:val="20"/>
                <w:szCs w:val="20"/>
              </w:rPr>
              <w:t>Enterprising academics: Heterarchical policy networks for artificial intelligence in British higher education</w:t>
            </w:r>
          </w:p>
        </w:tc>
        <w:tc>
          <w:tcPr>
            <w:tcW w:w="3672" w:type="dxa"/>
          </w:tcPr>
          <w:p w14:paraId="43501C71" w14:textId="77777777" w:rsidR="003D52C5" w:rsidRPr="008E7D6A" w:rsidRDefault="003D52C5" w:rsidP="00316D81">
            <w:pPr>
              <w:spacing w:line="221" w:lineRule="auto"/>
              <w:rPr>
                <w:sz w:val="20"/>
                <w:szCs w:val="20"/>
              </w:rPr>
            </w:pPr>
            <w:r w:rsidRPr="008E7D6A">
              <w:rPr>
                <w:rFonts w:ascii="Arial" w:hAnsi="Arial"/>
                <w:sz w:val="20"/>
                <w:szCs w:val="20"/>
              </w:rPr>
              <w:t>AI adoption; implementation; institutional policy; stakeholder engagement</w:t>
            </w:r>
          </w:p>
        </w:tc>
        <w:tc>
          <w:tcPr>
            <w:tcW w:w="3672" w:type="dxa"/>
          </w:tcPr>
          <w:p w14:paraId="73600525" w14:textId="4B74E649"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4C117754" w14:textId="77777777" w:rsidTr="00316D81">
        <w:trPr>
          <w:jc w:val="center"/>
        </w:trPr>
        <w:tc>
          <w:tcPr>
            <w:tcW w:w="605" w:type="dxa"/>
          </w:tcPr>
          <w:p w14:paraId="67C3EA3C" w14:textId="77777777" w:rsidR="003D52C5" w:rsidRPr="008E7D6A" w:rsidRDefault="003D52C5" w:rsidP="00316D81">
            <w:pPr>
              <w:spacing w:line="221" w:lineRule="auto"/>
              <w:jc w:val="center"/>
              <w:rPr>
                <w:sz w:val="20"/>
                <w:szCs w:val="20"/>
              </w:rPr>
            </w:pPr>
            <w:r w:rsidRPr="008E7D6A">
              <w:rPr>
                <w:rFonts w:ascii="Arial" w:hAnsi="Arial"/>
                <w:sz w:val="20"/>
                <w:szCs w:val="20"/>
              </w:rPr>
              <w:t>52</w:t>
            </w:r>
          </w:p>
        </w:tc>
        <w:tc>
          <w:tcPr>
            <w:tcW w:w="2088" w:type="dxa"/>
          </w:tcPr>
          <w:p w14:paraId="61FDFFEC" w14:textId="77777777" w:rsidR="003D52C5" w:rsidRPr="008E7D6A" w:rsidRDefault="003D52C5" w:rsidP="00316D81">
            <w:pPr>
              <w:spacing w:line="221" w:lineRule="auto"/>
              <w:rPr>
                <w:sz w:val="20"/>
                <w:szCs w:val="20"/>
              </w:rPr>
            </w:pPr>
            <w:r w:rsidRPr="008E7D6A">
              <w:rPr>
                <w:rFonts w:ascii="Arial" w:hAnsi="Arial"/>
                <w:sz w:val="20"/>
                <w:szCs w:val="20"/>
              </w:rPr>
              <w:t>George et al. (2026)</w:t>
            </w:r>
          </w:p>
        </w:tc>
        <w:tc>
          <w:tcPr>
            <w:tcW w:w="5976" w:type="dxa"/>
          </w:tcPr>
          <w:p w14:paraId="684FF1CD" w14:textId="77777777" w:rsidR="003D52C5" w:rsidRPr="008E7D6A" w:rsidRDefault="003D52C5" w:rsidP="00316D81">
            <w:pPr>
              <w:spacing w:line="221" w:lineRule="auto"/>
              <w:rPr>
                <w:sz w:val="20"/>
                <w:szCs w:val="20"/>
              </w:rPr>
            </w:pPr>
            <w:r w:rsidRPr="008E7D6A">
              <w:rPr>
                <w:rFonts w:ascii="Arial" w:hAnsi="Arial"/>
                <w:sz w:val="20"/>
                <w:szCs w:val="20"/>
              </w:rPr>
              <w:t>Artificial intelligence in higher education: Opportunities and concerns</w:t>
            </w:r>
          </w:p>
        </w:tc>
        <w:tc>
          <w:tcPr>
            <w:tcW w:w="3672" w:type="dxa"/>
          </w:tcPr>
          <w:p w14:paraId="5DFC22FB"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2CD6EB66" w14:textId="1F940724"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00A3B193" w14:textId="77777777" w:rsidTr="00316D81">
        <w:trPr>
          <w:jc w:val="center"/>
        </w:trPr>
        <w:tc>
          <w:tcPr>
            <w:tcW w:w="605" w:type="dxa"/>
          </w:tcPr>
          <w:p w14:paraId="551BB219" w14:textId="77777777" w:rsidR="003D52C5" w:rsidRPr="008E7D6A" w:rsidRDefault="003D52C5" w:rsidP="00316D81">
            <w:pPr>
              <w:spacing w:line="221" w:lineRule="auto"/>
              <w:jc w:val="center"/>
              <w:rPr>
                <w:sz w:val="20"/>
                <w:szCs w:val="20"/>
              </w:rPr>
            </w:pPr>
            <w:r w:rsidRPr="008E7D6A">
              <w:rPr>
                <w:rFonts w:ascii="Arial" w:hAnsi="Arial"/>
                <w:sz w:val="20"/>
                <w:szCs w:val="20"/>
              </w:rPr>
              <w:t>53</w:t>
            </w:r>
          </w:p>
        </w:tc>
        <w:tc>
          <w:tcPr>
            <w:tcW w:w="2088" w:type="dxa"/>
          </w:tcPr>
          <w:p w14:paraId="228C4818" w14:textId="77777777" w:rsidR="003D52C5" w:rsidRPr="008E7D6A" w:rsidRDefault="003D52C5" w:rsidP="00316D81">
            <w:pPr>
              <w:spacing w:line="221" w:lineRule="auto"/>
              <w:rPr>
                <w:sz w:val="20"/>
                <w:szCs w:val="20"/>
              </w:rPr>
            </w:pPr>
            <w:r w:rsidRPr="008E7D6A">
              <w:rPr>
                <w:rFonts w:ascii="Arial" w:hAnsi="Arial"/>
                <w:sz w:val="20"/>
                <w:szCs w:val="20"/>
              </w:rPr>
              <w:t>Gianni et al. (2022)</w:t>
            </w:r>
          </w:p>
        </w:tc>
        <w:tc>
          <w:tcPr>
            <w:tcW w:w="5976" w:type="dxa"/>
          </w:tcPr>
          <w:p w14:paraId="7AB6807B" w14:textId="77777777" w:rsidR="003D52C5" w:rsidRPr="008E7D6A" w:rsidRDefault="003D52C5" w:rsidP="00316D81">
            <w:pPr>
              <w:spacing w:line="221" w:lineRule="auto"/>
              <w:rPr>
                <w:sz w:val="20"/>
                <w:szCs w:val="20"/>
              </w:rPr>
            </w:pPr>
            <w:r w:rsidRPr="008E7D6A">
              <w:rPr>
                <w:rFonts w:ascii="Arial" w:hAnsi="Arial"/>
                <w:sz w:val="20"/>
                <w:szCs w:val="20"/>
              </w:rPr>
              <w:t>Governance of Responsible AI: From Ethical Guidelines to Cooperative Policies</w:t>
            </w:r>
          </w:p>
        </w:tc>
        <w:tc>
          <w:tcPr>
            <w:tcW w:w="3672" w:type="dxa"/>
          </w:tcPr>
          <w:p w14:paraId="466BDEA0"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 ethics/responsible AI</w:t>
            </w:r>
          </w:p>
        </w:tc>
        <w:tc>
          <w:tcPr>
            <w:tcW w:w="3672" w:type="dxa"/>
          </w:tcPr>
          <w:p w14:paraId="3348885A"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D094711" w14:textId="77777777" w:rsidTr="00316D81">
        <w:trPr>
          <w:jc w:val="center"/>
        </w:trPr>
        <w:tc>
          <w:tcPr>
            <w:tcW w:w="605" w:type="dxa"/>
          </w:tcPr>
          <w:p w14:paraId="22E015D1" w14:textId="77777777" w:rsidR="003D52C5" w:rsidRPr="008E7D6A" w:rsidRDefault="003D52C5" w:rsidP="00316D81">
            <w:pPr>
              <w:spacing w:line="221" w:lineRule="auto"/>
              <w:jc w:val="center"/>
              <w:rPr>
                <w:sz w:val="20"/>
                <w:szCs w:val="20"/>
              </w:rPr>
            </w:pPr>
            <w:r w:rsidRPr="008E7D6A">
              <w:rPr>
                <w:rFonts w:ascii="Arial" w:hAnsi="Arial"/>
                <w:sz w:val="20"/>
                <w:szCs w:val="20"/>
              </w:rPr>
              <w:t>54</w:t>
            </w:r>
          </w:p>
        </w:tc>
        <w:tc>
          <w:tcPr>
            <w:tcW w:w="2088" w:type="dxa"/>
          </w:tcPr>
          <w:p w14:paraId="09B1BC5C" w14:textId="77777777" w:rsidR="003D52C5" w:rsidRPr="008E7D6A" w:rsidRDefault="003D52C5" w:rsidP="00316D81">
            <w:pPr>
              <w:spacing w:line="221" w:lineRule="auto"/>
              <w:rPr>
                <w:sz w:val="20"/>
                <w:szCs w:val="20"/>
              </w:rPr>
            </w:pPr>
            <w:r w:rsidRPr="008E7D6A">
              <w:rPr>
                <w:rFonts w:ascii="Arial" w:hAnsi="Arial"/>
                <w:sz w:val="20"/>
                <w:szCs w:val="20"/>
              </w:rPr>
              <w:t>Gomes et al. (2025)</w:t>
            </w:r>
          </w:p>
        </w:tc>
        <w:tc>
          <w:tcPr>
            <w:tcW w:w="5976" w:type="dxa"/>
          </w:tcPr>
          <w:p w14:paraId="0293D4B4" w14:textId="77777777" w:rsidR="003D52C5" w:rsidRPr="008E7D6A" w:rsidRDefault="003D52C5" w:rsidP="00316D81">
            <w:pPr>
              <w:spacing w:line="221" w:lineRule="auto"/>
              <w:rPr>
                <w:sz w:val="20"/>
                <w:szCs w:val="20"/>
              </w:rPr>
            </w:pPr>
            <w:r w:rsidRPr="008E7D6A">
              <w:rPr>
                <w:rFonts w:ascii="Arial" w:hAnsi="Arial"/>
                <w:sz w:val="20"/>
                <w:szCs w:val="20"/>
              </w:rPr>
              <w:t>Guidelines and frameworks of governance for the adoption of generative artificial intelligence in higher education institutions: a scoping review</w:t>
            </w:r>
          </w:p>
        </w:tc>
        <w:tc>
          <w:tcPr>
            <w:tcW w:w="3672" w:type="dxa"/>
          </w:tcPr>
          <w:p w14:paraId="7C53ACDB" w14:textId="77777777" w:rsidR="003D52C5" w:rsidRPr="008E7D6A" w:rsidRDefault="003D52C5" w:rsidP="00316D81">
            <w:pPr>
              <w:spacing w:line="221" w:lineRule="auto"/>
              <w:rPr>
                <w:sz w:val="20"/>
                <w:szCs w:val="20"/>
              </w:rPr>
            </w:pPr>
            <w:r w:rsidRPr="008E7D6A">
              <w:rPr>
                <w:rFonts w:ascii="Arial" w:hAnsi="Arial"/>
                <w:sz w:val="20"/>
                <w:szCs w:val="20"/>
              </w:rPr>
              <w:t>AI adoption; GenAI; governance structures; institutional policy; stakeholder engagement</w:t>
            </w:r>
          </w:p>
        </w:tc>
        <w:tc>
          <w:tcPr>
            <w:tcW w:w="3672" w:type="dxa"/>
          </w:tcPr>
          <w:p w14:paraId="311B3D3E" w14:textId="715545F7"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85AC817" w14:textId="77777777" w:rsidTr="00316D81">
        <w:trPr>
          <w:jc w:val="center"/>
        </w:trPr>
        <w:tc>
          <w:tcPr>
            <w:tcW w:w="605" w:type="dxa"/>
          </w:tcPr>
          <w:p w14:paraId="67F84551" w14:textId="77777777" w:rsidR="003D52C5" w:rsidRPr="008E7D6A" w:rsidRDefault="003D52C5" w:rsidP="00316D81">
            <w:pPr>
              <w:spacing w:line="221" w:lineRule="auto"/>
              <w:jc w:val="center"/>
              <w:rPr>
                <w:sz w:val="20"/>
                <w:szCs w:val="20"/>
              </w:rPr>
            </w:pPr>
            <w:r w:rsidRPr="008E7D6A">
              <w:rPr>
                <w:rFonts w:ascii="Arial" w:hAnsi="Arial"/>
                <w:sz w:val="20"/>
                <w:szCs w:val="20"/>
              </w:rPr>
              <w:t>55</w:t>
            </w:r>
          </w:p>
        </w:tc>
        <w:tc>
          <w:tcPr>
            <w:tcW w:w="2088" w:type="dxa"/>
          </w:tcPr>
          <w:p w14:paraId="3A88353A" w14:textId="77777777" w:rsidR="003D52C5" w:rsidRPr="008E7D6A" w:rsidRDefault="003D52C5" w:rsidP="00316D81">
            <w:pPr>
              <w:spacing w:line="221" w:lineRule="auto"/>
              <w:rPr>
                <w:sz w:val="20"/>
                <w:szCs w:val="20"/>
              </w:rPr>
            </w:pPr>
            <w:r w:rsidRPr="008E7D6A">
              <w:rPr>
                <w:rFonts w:ascii="Arial" w:hAnsi="Arial"/>
                <w:sz w:val="20"/>
                <w:szCs w:val="20"/>
              </w:rPr>
              <w:t>Goundar, P. (2025)</w:t>
            </w:r>
          </w:p>
        </w:tc>
        <w:tc>
          <w:tcPr>
            <w:tcW w:w="5976" w:type="dxa"/>
          </w:tcPr>
          <w:p w14:paraId="166ED521" w14:textId="77777777" w:rsidR="003D52C5" w:rsidRPr="008E7D6A" w:rsidRDefault="003D52C5" w:rsidP="00316D81">
            <w:pPr>
              <w:spacing w:line="221" w:lineRule="auto"/>
              <w:rPr>
                <w:sz w:val="20"/>
                <w:szCs w:val="20"/>
              </w:rPr>
            </w:pPr>
            <w:r w:rsidRPr="008E7D6A">
              <w:rPr>
                <w:rFonts w:ascii="Arial" w:hAnsi="Arial"/>
                <w:sz w:val="20"/>
                <w:szCs w:val="20"/>
              </w:rPr>
              <w:t>Researcher Positionality: Ways to Include it in a Qualitative Research Design</w:t>
            </w:r>
          </w:p>
        </w:tc>
        <w:tc>
          <w:tcPr>
            <w:tcW w:w="3672" w:type="dxa"/>
          </w:tcPr>
          <w:p w14:paraId="34F30B69"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6B098C5D" w14:textId="52E5CFAD"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07A75F3D" w14:textId="77777777" w:rsidTr="00316D81">
        <w:trPr>
          <w:jc w:val="center"/>
        </w:trPr>
        <w:tc>
          <w:tcPr>
            <w:tcW w:w="605" w:type="dxa"/>
          </w:tcPr>
          <w:p w14:paraId="7DBB0161" w14:textId="77777777" w:rsidR="003D52C5" w:rsidRPr="008E7D6A" w:rsidRDefault="003D52C5" w:rsidP="00316D81">
            <w:pPr>
              <w:spacing w:line="221" w:lineRule="auto"/>
              <w:jc w:val="center"/>
              <w:rPr>
                <w:sz w:val="20"/>
                <w:szCs w:val="20"/>
              </w:rPr>
            </w:pPr>
            <w:r w:rsidRPr="008E7D6A">
              <w:rPr>
                <w:rFonts w:ascii="Arial" w:hAnsi="Arial"/>
                <w:sz w:val="20"/>
                <w:szCs w:val="20"/>
              </w:rPr>
              <w:t>56</w:t>
            </w:r>
          </w:p>
        </w:tc>
        <w:tc>
          <w:tcPr>
            <w:tcW w:w="2088" w:type="dxa"/>
          </w:tcPr>
          <w:p w14:paraId="0A30DD14" w14:textId="77777777" w:rsidR="003D52C5" w:rsidRPr="008E7D6A" w:rsidRDefault="003D52C5" w:rsidP="00316D81">
            <w:pPr>
              <w:spacing w:line="221" w:lineRule="auto"/>
              <w:rPr>
                <w:sz w:val="20"/>
                <w:szCs w:val="20"/>
              </w:rPr>
            </w:pPr>
            <w:r w:rsidRPr="008E7D6A">
              <w:rPr>
                <w:rFonts w:ascii="Arial" w:hAnsi="Arial"/>
                <w:sz w:val="20"/>
                <w:szCs w:val="20"/>
              </w:rPr>
              <w:t>Hadley et al. (2025)</w:t>
            </w:r>
          </w:p>
        </w:tc>
        <w:tc>
          <w:tcPr>
            <w:tcW w:w="5976" w:type="dxa"/>
          </w:tcPr>
          <w:p w14:paraId="0F9DFF0B" w14:textId="77777777" w:rsidR="003D52C5" w:rsidRPr="008E7D6A" w:rsidRDefault="003D52C5" w:rsidP="00316D81">
            <w:pPr>
              <w:spacing w:line="221" w:lineRule="auto"/>
              <w:rPr>
                <w:sz w:val="20"/>
                <w:szCs w:val="20"/>
              </w:rPr>
            </w:pPr>
            <w:r w:rsidRPr="008E7D6A">
              <w:rPr>
                <w:rFonts w:ascii="Arial" w:hAnsi="Arial"/>
                <w:sz w:val="20"/>
                <w:szCs w:val="20"/>
              </w:rPr>
              <w:t>Investigating algorithm review boards for organisational responsible artificial intelligence governance</w:t>
            </w:r>
          </w:p>
        </w:tc>
        <w:tc>
          <w:tcPr>
            <w:tcW w:w="3672" w:type="dxa"/>
          </w:tcPr>
          <w:p w14:paraId="3B4DF401"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3896AE3E" w14:textId="6E6FFDBD"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32C355E" w14:textId="77777777" w:rsidTr="00316D81">
        <w:trPr>
          <w:jc w:val="center"/>
        </w:trPr>
        <w:tc>
          <w:tcPr>
            <w:tcW w:w="605" w:type="dxa"/>
          </w:tcPr>
          <w:p w14:paraId="3AFD4B0D" w14:textId="77777777" w:rsidR="003D52C5" w:rsidRPr="008E7D6A" w:rsidRDefault="003D52C5" w:rsidP="00316D81">
            <w:pPr>
              <w:spacing w:line="221" w:lineRule="auto"/>
              <w:jc w:val="center"/>
              <w:rPr>
                <w:sz w:val="20"/>
                <w:szCs w:val="20"/>
              </w:rPr>
            </w:pPr>
            <w:r w:rsidRPr="008E7D6A">
              <w:rPr>
                <w:rFonts w:ascii="Arial" w:hAnsi="Arial"/>
                <w:sz w:val="20"/>
                <w:szCs w:val="20"/>
              </w:rPr>
              <w:t>57</w:t>
            </w:r>
          </w:p>
        </w:tc>
        <w:tc>
          <w:tcPr>
            <w:tcW w:w="2088" w:type="dxa"/>
          </w:tcPr>
          <w:p w14:paraId="22350BCA" w14:textId="77777777" w:rsidR="003D52C5" w:rsidRPr="008E7D6A" w:rsidRDefault="003D52C5" w:rsidP="00316D81">
            <w:pPr>
              <w:spacing w:line="221" w:lineRule="auto"/>
              <w:rPr>
                <w:sz w:val="20"/>
                <w:szCs w:val="20"/>
              </w:rPr>
            </w:pPr>
            <w:r w:rsidRPr="008E7D6A">
              <w:rPr>
                <w:rFonts w:ascii="Arial" w:hAnsi="Arial"/>
                <w:sz w:val="20"/>
                <w:szCs w:val="20"/>
              </w:rPr>
              <w:t>Haigh et al. (2019)</w:t>
            </w:r>
          </w:p>
        </w:tc>
        <w:tc>
          <w:tcPr>
            <w:tcW w:w="5976" w:type="dxa"/>
          </w:tcPr>
          <w:p w14:paraId="68120498" w14:textId="77777777" w:rsidR="003D52C5" w:rsidRPr="008E7D6A" w:rsidRDefault="003D52C5" w:rsidP="00316D81">
            <w:pPr>
              <w:spacing w:line="221" w:lineRule="auto"/>
              <w:rPr>
                <w:sz w:val="20"/>
                <w:szCs w:val="20"/>
              </w:rPr>
            </w:pPr>
            <w:r w:rsidRPr="008E7D6A">
              <w:rPr>
                <w:rFonts w:ascii="Arial" w:hAnsi="Arial"/>
                <w:sz w:val="20"/>
                <w:szCs w:val="20"/>
              </w:rPr>
              <w:t>Developing a critical realist informed framework to explain how the human rights and social determinants of health relationship works</w:t>
            </w:r>
          </w:p>
        </w:tc>
        <w:tc>
          <w:tcPr>
            <w:tcW w:w="3672" w:type="dxa"/>
          </w:tcPr>
          <w:p w14:paraId="16472E9C" w14:textId="77777777" w:rsidR="003D52C5" w:rsidRPr="008E7D6A" w:rsidRDefault="003D52C5" w:rsidP="00316D81">
            <w:pPr>
              <w:spacing w:line="221" w:lineRule="auto"/>
              <w:rPr>
                <w:sz w:val="20"/>
                <w:szCs w:val="20"/>
              </w:rPr>
            </w:pPr>
            <w:r w:rsidRPr="008E7D6A">
              <w:rPr>
                <w:rFonts w:ascii="Arial" w:hAnsi="Arial"/>
                <w:sz w:val="20"/>
                <w:szCs w:val="20"/>
              </w:rPr>
              <w:t>ontology/epistemology</w:t>
            </w:r>
          </w:p>
        </w:tc>
        <w:tc>
          <w:tcPr>
            <w:tcW w:w="3672" w:type="dxa"/>
          </w:tcPr>
          <w:p w14:paraId="43D3E605" w14:textId="42529C30"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0178C3FF" w14:textId="77777777" w:rsidTr="00316D81">
        <w:trPr>
          <w:jc w:val="center"/>
        </w:trPr>
        <w:tc>
          <w:tcPr>
            <w:tcW w:w="605" w:type="dxa"/>
          </w:tcPr>
          <w:p w14:paraId="42083209" w14:textId="77777777" w:rsidR="003D52C5" w:rsidRPr="008E7D6A" w:rsidRDefault="003D52C5" w:rsidP="00316D81">
            <w:pPr>
              <w:spacing w:line="221" w:lineRule="auto"/>
              <w:jc w:val="center"/>
              <w:rPr>
                <w:sz w:val="20"/>
                <w:szCs w:val="20"/>
              </w:rPr>
            </w:pPr>
            <w:r w:rsidRPr="008E7D6A">
              <w:rPr>
                <w:rFonts w:ascii="Arial" w:hAnsi="Arial"/>
                <w:sz w:val="20"/>
                <w:szCs w:val="20"/>
              </w:rPr>
              <w:t>58</w:t>
            </w:r>
          </w:p>
        </w:tc>
        <w:tc>
          <w:tcPr>
            <w:tcW w:w="2088" w:type="dxa"/>
          </w:tcPr>
          <w:p w14:paraId="4F7469C5" w14:textId="77777777" w:rsidR="003D52C5" w:rsidRPr="008E7D6A" w:rsidRDefault="003D52C5" w:rsidP="00316D81">
            <w:pPr>
              <w:spacing w:line="221" w:lineRule="auto"/>
              <w:rPr>
                <w:sz w:val="20"/>
                <w:szCs w:val="20"/>
              </w:rPr>
            </w:pPr>
            <w:r w:rsidRPr="008E7D6A">
              <w:rPr>
                <w:rFonts w:ascii="Arial" w:hAnsi="Arial"/>
                <w:sz w:val="20"/>
                <w:szCs w:val="20"/>
              </w:rPr>
              <w:t>Hampson et al. (2023)</w:t>
            </w:r>
          </w:p>
        </w:tc>
        <w:tc>
          <w:tcPr>
            <w:tcW w:w="5976" w:type="dxa"/>
          </w:tcPr>
          <w:p w14:paraId="400A96FD" w14:textId="77777777" w:rsidR="003D52C5" w:rsidRPr="008E7D6A" w:rsidRDefault="003D52C5" w:rsidP="00316D81">
            <w:pPr>
              <w:spacing w:line="221" w:lineRule="auto"/>
              <w:rPr>
                <w:sz w:val="20"/>
                <w:szCs w:val="20"/>
              </w:rPr>
            </w:pPr>
            <w:r w:rsidRPr="008E7D6A">
              <w:rPr>
                <w:rFonts w:ascii="Arial" w:hAnsi="Arial"/>
                <w:sz w:val="20"/>
                <w:szCs w:val="20"/>
              </w:rPr>
              <w:t>Problems posing as solutions: Criticising pragmatism as a paradigm for mixed research</w:t>
            </w:r>
          </w:p>
        </w:tc>
        <w:tc>
          <w:tcPr>
            <w:tcW w:w="3672" w:type="dxa"/>
          </w:tcPr>
          <w:p w14:paraId="714F3B61" w14:textId="77777777" w:rsidR="003D52C5" w:rsidRPr="008E7D6A" w:rsidRDefault="003D52C5" w:rsidP="00316D81">
            <w:pPr>
              <w:spacing w:line="221" w:lineRule="auto"/>
              <w:rPr>
                <w:sz w:val="20"/>
                <w:szCs w:val="20"/>
              </w:rPr>
            </w:pPr>
            <w:r w:rsidRPr="008E7D6A">
              <w:rPr>
                <w:rFonts w:ascii="Arial" w:hAnsi="Arial"/>
                <w:sz w:val="20"/>
                <w:szCs w:val="20"/>
              </w:rPr>
              <w:t>ontology/epistemology</w:t>
            </w:r>
          </w:p>
        </w:tc>
        <w:tc>
          <w:tcPr>
            <w:tcW w:w="3672" w:type="dxa"/>
          </w:tcPr>
          <w:p w14:paraId="07A5DF6B" w14:textId="5DED5D44"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137873C5" w14:textId="77777777" w:rsidTr="00316D81">
        <w:trPr>
          <w:jc w:val="center"/>
        </w:trPr>
        <w:tc>
          <w:tcPr>
            <w:tcW w:w="605" w:type="dxa"/>
          </w:tcPr>
          <w:p w14:paraId="1103C2FD" w14:textId="77777777" w:rsidR="003D52C5" w:rsidRPr="008E7D6A" w:rsidRDefault="003D52C5" w:rsidP="00316D81">
            <w:pPr>
              <w:spacing w:line="221" w:lineRule="auto"/>
              <w:jc w:val="center"/>
              <w:rPr>
                <w:sz w:val="20"/>
                <w:szCs w:val="20"/>
              </w:rPr>
            </w:pPr>
            <w:r w:rsidRPr="008E7D6A">
              <w:rPr>
                <w:rFonts w:ascii="Arial" w:hAnsi="Arial"/>
                <w:sz w:val="20"/>
                <w:szCs w:val="20"/>
              </w:rPr>
              <w:t>59</w:t>
            </w:r>
          </w:p>
        </w:tc>
        <w:tc>
          <w:tcPr>
            <w:tcW w:w="2088" w:type="dxa"/>
          </w:tcPr>
          <w:p w14:paraId="585C23F9" w14:textId="77777777" w:rsidR="003D52C5" w:rsidRPr="008E7D6A" w:rsidRDefault="003D52C5" w:rsidP="00316D81">
            <w:pPr>
              <w:spacing w:line="221" w:lineRule="auto"/>
              <w:rPr>
                <w:sz w:val="20"/>
                <w:szCs w:val="20"/>
              </w:rPr>
            </w:pPr>
            <w:r w:rsidRPr="008E7D6A">
              <w:rPr>
                <w:rFonts w:ascii="Arial" w:hAnsi="Arial"/>
                <w:sz w:val="20"/>
                <w:szCs w:val="20"/>
              </w:rPr>
              <w:t>Harita et al. (2026)</w:t>
            </w:r>
          </w:p>
        </w:tc>
        <w:tc>
          <w:tcPr>
            <w:tcW w:w="5976" w:type="dxa"/>
          </w:tcPr>
          <w:p w14:paraId="61DCF869" w14:textId="77777777" w:rsidR="003D52C5" w:rsidRPr="008E7D6A" w:rsidRDefault="003D52C5" w:rsidP="00316D81">
            <w:pPr>
              <w:spacing w:line="221" w:lineRule="auto"/>
              <w:rPr>
                <w:sz w:val="20"/>
                <w:szCs w:val="20"/>
              </w:rPr>
            </w:pPr>
            <w:r w:rsidRPr="008E7D6A">
              <w:rPr>
                <w:rFonts w:ascii="Arial" w:hAnsi="Arial"/>
                <w:sz w:val="20"/>
                <w:szCs w:val="20"/>
              </w:rPr>
              <w:t>Dynamic capabilities and ethical stewardship in the age of autonomous organisational decision making</w:t>
            </w:r>
          </w:p>
        </w:tc>
        <w:tc>
          <w:tcPr>
            <w:tcW w:w="3672" w:type="dxa"/>
          </w:tcPr>
          <w:p w14:paraId="7532BA58" w14:textId="77777777" w:rsidR="003D52C5" w:rsidRPr="008E7D6A" w:rsidRDefault="003D52C5" w:rsidP="00316D81">
            <w:pPr>
              <w:spacing w:line="221" w:lineRule="auto"/>
              <w:rPr>
                <w:sz w:val="20"/>
                <w:szCs w:val="20"/>
              </w:rPr>
            </w:pPr>
            <w:r w:rsidRPr="008E7D6A">
              <w:rPr>
                <w:rFonts w:ascii="Arial" w:hAnsi="Arial"/>
                <w:sz w:val="20"/>
                <w:szCs w:val="20"/>
              </w:rPr>
              <w:t>organisational capability; strategic alignment; ethics/responsible AI</w:t>
            </w:r>
          </w:p>
        </w:tc>
        <w:tc>
          <w:tcPr>
            <w:tcW w:w="3672" w:type="dxa"/>
          </w:tcPr>
          <w:p w14:paraId="3623B8E2"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154A8C94" w14:textId="77777777" w:rsidTr="00316D81">
        <w:trPr>
          <w:jc w:val="center"/>
        </w:trPr>
        <w:tc>
          <w:tcPr>
            <w:tcW w:w="605" w:type="dxa"/>
          </w:tcPr>
          <w:p w14:paraId="0EFE12DA" w14:textId="77777777" w:rsidR="003D52C5" w:rsidRPr="008E7D6A" w:rsidRDefault="003D52C5" w:rsidP="00316D81">
            <w:pPr>
              <w:spacing w:line="221" w:lineRule="auto"/>
              <w:jc w:val="center"/>
              <w:rPr>
                <w:sz w:val="20"/>
                <w:szCs w:val="20"/>
              </w:rPr>
            </w:pPr>
            <w:r w:rsidRPr="008E7D6A">
              <w:rPr>
                <w:rFonts w:ascii="Arial" w:hAnsi="Arial"/>
                <w:sz w:val="20"/>
                <w:szCs w:val="20"/>
              </w:rPr>
              <w:t>60</w:t>
            </w:r>
          </w:p>
        </w:tc>
        <w:tc>
          <w:tcPr>
            <w:tcW w:w="2088" w:type="dxa"/>
          </w:tcPr>
          <w:p w14:paraId="4425F735" w14:textId="77777777" w:rsidR="003D52C5" w:rsidRPr="008E7D6A" w:rsidRDefault="003D52C5" w:rsidP="00316D81">
            <w:pPr>
              <w:spacing w:line="221" w:lineRule="auto"/>
              <w:rPr>
                <w:sz w:val="20"/>
                <w:szCs w:val="20"/>
              </w:rPr>
            </w:pPr>
            <w:r w:rsidRPr="008E7D6A">
              <w:rPr>
                <w:rFonts w:ascii="Arial" w:hAnsi="Arial"/>
                <w:sz w:val="20"/>
                <w:szCs w:val="20"/>
              </w:rPr>
              <w:t>Hay, C. (2011)</w:t>
            </w:r>
          </w:p>
        </w:tc>
        <w:tc>
          <w:tcPr>
            <w:tcW w:w="5976" w:type="dxa"/>
          </w:tcPr>
          <w:p w14:paraId="7F898710" w14:textId="77777777" w:rsidR="003D52C5" w:rsidRPr="008E7D6A" w:rsidRDefault="003D52C5" w:rsidP="00316D81">
            <w:pPr>
              <w:spacing w:line="221" w:lineRule="auto"/>
              <w:rPr>
                <w:sz w:val="20"/>
                <w:szCs w:val="20"/>
              </w:rPr>
            </w:pPr>
            <w:r w:rsidRPr="008E7D6A">
              <w:rPr>
                <w:rFonts w:ascii="Arial" w:hAnsi="Arial"/>
                <w:sz w:val="20"/>
                <w:szCs w:val="20"/>
              </w:rPr>
              <w:t>Interpreting Interpretivism Interpreting Interpretations: The New Hermeneutics of Public Administration</w:t>
            </w:r>
          </w:p>
        </w:tc>
        <w:tc>
          <w:tcPr>
            <w:tcW w:w="3672" w:type="dxa"/>
          </w:tcPr>
          <w:p w14:paraId="5A0F76B5" w14:textId="77777777" w:rsidR="003D52C5" w:rsidRPr="008E7D6A" w:rsidRDefault="003D52C5" w:rsidP="00316D81">
            <w:pPr>
              <w:spacing w:line="221" w:lineRule="auto"/>
              <w:rPr>
                <w:sz w:val="20"/>
                <w:szCs w:val="20"/>
              </w:rPr>
            </w:pPr>
            <w:r w:rsidRPr="008E7D6A">
              <w:rPr>
                <w:rFonts w:ascii="Arial" w:hAnsi="Arial"/>
                <w:sz w:val="20"/>
                <w:szCs w:val="20"/>
              </w:rPr>
              <w:t>ontology/epistemology; interpretivism</w:t>
            </w:r>
          </w:p>
        </w:tc>
        <w:tc>
          <w:tcPr>
            <w:tcW w:w="3672" w:type="dxa"/>
          </w:tcPr>
          <w:p w14:paraId="1E49EE60" w14:textId="419B23C9"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629DD3D" w14:textId="77777777" w:rsidTr="00316D81">
        <w:trPr>
          <w:jc w:val="center"/>
        </w:trPr>
        <w:tc>
          <w:tcPr>
            <w:tcW w:w="605" w:type="dxa"/>
          </w:tcPr>
          <w:p w14:paraId="67FFC9FA"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61</w:t>
            </w:r>
          </w:p>
        </w:tc>
        <w:tc>
          <w:tcPr>
            <w:tcW w:w="2088" w:type="dxa"/>
          </w:tcPr>
          <w:p w14:paraId="5AF46F35" w14:textId="77777777" w:rsidR="003D52C5" w:rsidRPr="008E7D6A" w:rsidRDefault="003D52C5" w:rsidP="00316D81">
            <w:pPr>
              <w:spacing w:line="221" w:lineRule="auto"/>
              <w:rPr>
                <w:sz w:val="20"/>
                <w:szCs w:val="20"/>
              </w:rPr>
            </w:pPr>
            <w:r w:rsidRPr="008E7D6A">
              <w:rPr>
                <w:rFonts w:ascii="Arial" w:hAnsi="Arial"/>
                <w:sz w:val="20"/>
                <w:szCs w:val="20"/>
              </w:rPr>
              <w:t>Herzog et al. (2024)</w:t>
            </w:r>
          </w:p>
        </w:tc>
        <w:tc>
          <w:tcPr>
            <w:tcW w:w="5976" w:type="dxa"/>
          </w:tcPr>
          <w:p w14:paraId="6E5B39F7" w14:textId="77777777" w:rsidR="003D52C5" w:rsidRPr="008E7D6A" w:rsidRDefault="003D52C5" w:rsidP="00316D81">
            <w:pPr>
              <w:spacing w:line="221" w:lineRule="auto"/>
              <w:rPr>
                <w:sz w:val="20"/>
                <w:szCs w:val="20"/>
              </w:rPr>
            </w:pPr>
            <w:r w:rsidRPr="008E7D6A">
              <w:rPr>
                <w:rFonts w:ascii="Arial" w:hAnsi="Arial"/>
                <w:sz w:val="20"/>
                <w:szCs w:val="20"/>
              </w:rPr>
              <w:t>A systemic perspective on bridging the principles-to-practice gap in creating ethical artificial intelligence solutions – a critique of dominant narratives and proposal for a collaborative way forward</w:t>
            </w:r>
          </w:p>
        </w:tc>
        <w:tc>
          <w:tcPr>
            <w:tcW w:w="3672" w:type="dxa"/>
          </w:tcPr>
          <w:p w14:paraId="3CCBA048"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ethics/responsible AI</w:t>
            </w:r>
          </w:p>
        </w:tc>
        <w:tc>
          <w:tcPr>
            <w:tcW w:w="3672" w:type="dxa"/>
          </w:tcPr>
          <w:p w14:paraId="6AD0C531"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86BF2D1" w14:textId="77777777" w:rsidTr="00316D81">
        <w:trPr>
          <w:jc w:val="center"/>
        </w:trPr>
        <w:tc>
          <w:tcPr>
            <w:tcW w:w="605" w:type="dxa"/>
          </w:tcPr>
          <w:p w14:paraId="6F19517D" w14:textId="77777777" w:rsidR="003D52C5" w:rsidRPr="008E7D6A" w:rsidRDefault="003D52C5" w:rsidP="00316D81">
            <w:pPr>
              <w:spacing w:line="221" w:lineRule="auto"/>
              <w:jc w:val="center"/>
              <w:rPr>
                <w:sz w:val="20"/>
                <w:szCs w:val="20"/>
              </w:rPr>
            </w:pPr>
            <w:r w:rsidRPr="008E7D6A">
              <w:rPr>
                <w:rFonts w:ascii="Arial" w:hAnsi="Arial"/>
                <w:sz w:val="20"/>
                <w:szCs w:val="20"/>
              </w:rPr>
              <w:t>62</w:t>
            </w:r>
          </w:p>
        </w:tc>
        <w:tc>
          <w:tcPr>
            <w:tcW w:w="2088" w:type="dxa"/>
          </w:tcPr>
          <w:p w14:paraId="39580A91" w14:textId="77777777" w:rsidR="003D52C5" w:rsidRPr="008E7D6A" w:rsidRDefault="003D52C5" w:rsidP="00316D81">
            <w:pPr>
              <w:spacing w:line="221" w:lineRule="auto"/>
              <w:rPr>
                <w:sz w:val="20"/>
                <w:szCs w:val="20"/>
              </w:rPr>
            </w:pPr>
            <w:r w:rsidRPr="008E7D6A">
              <w:rPr>
                <w:rFonts w:ascii="Arial" w:hAnsi="Arial"/>
                <w:sz w:val="20"/>
                <w:szCs w:val="20"/>
              </w:rPr>
              <w:t>Heymans et al. (2024)</w:t>
            </w:r>
          </w:p>
        </w:tc>
        <w:tc>
          <w:tcPr>
            <w:tcW w:w="5976" w:type="dxa"/>
          </w:tcPr>
          <w:p w14:paraId="019A34B8" w14:textId="77777777" w:rsidR="003D52C5" w:rsidRPr="008E7D6A" w:rsidRDefault="003D52C5" w:rsidP="00316D81">
            <w:pPr>
              <w:spacing w:line="221" w:lineRule="auto"/>
              <w:rPr>
                <w:sz w:val="20"/>
                <w:szCs w:val="20"/>
              </w:rPr>
            </w:pPr>
            <w:r w:rsidRPr="008E7D6A">
              <w:rPr>
                <w:rFonts w:ascii="Arial" w:hAnsi="Arial"/>
                <w:sz w:val="20"/>
                <w:szCs w:val="20"/>
              </w:rPr>
              <w:t>Identifying stakeholder motivations in normative AI governance: A systematic literature review for research guidance</w:t>
            </w:r>
          </w:p>
        </w:tc>
        <w:tc>
          <w:tcPr>
            <w:tcW w:w="3672" w:type="dxa"/>
          </w:tcPr>
          <w:p w14:paraId="13E53ABB"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stakeholder engagement; accountability</w:t>
            </w:r>
          </w:p>
        </w:tc>
        <w:tc>
          <w:tcPr>
            <w:tcW w:w="3672" w:type="dxa"/>
          </w:tcPr>
          <w:p w14:paraId="5C0AE123" w14:textId="010BF5F2"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3517A1F" w14:textId="77777777" w:rsidTr="00316D81">
        <w:trPr>
          <w:jc w:val="center"/>
        </w:trPr>
        <w:tc>
          <w:tcPr>
            <w:tcW w:w="605" w:type="dxa"/>
          </w:tcPr>
          <w:p w14:paraId="504EF7B8" w14:textId="77777777" w:rsidR="003D52C5" w:rsidRPr="008E7D6A" w:rsidRDefault="003D52C5" w:rsidP="00316D81">
            <w:pPr>
              <w:spacing w:line="221" w:lineRule="auto"/>
              <w:jc w:val="center"/>
              <w:rPr>
                <w:sz w:val="20"/>
                <w:szCs w:val="20"/>
              </w:rPr>
            </w:pPr>
            <w:r w:rsidRPr="008E7D6A">
              <w:rPr>
                <w:rFonts w:ascii="Arial" w:hAnsi="Arial"/>
                <w:sz w:val="20"/>
                <w:szCs w:val="20"/>
              </w:rPr>
              <w:t>63</w:t>
            </w:r>
          </w:p>
        </w:tc>
        <w:tc>
          <w:tcPr>
            <w:tcW w:w="2088" w:type="dxa"/>
          </w:tcPr>
          <w:p w14:paraId="008225BD" w14:textId="77777777" w:rsidR="003D52C5" w:rsidRPr="008E7D6A" w:rsidRDefault="003D52C5" w:rsidP="00316D81">
            <w:pPr>
              <w:spacing w:line="221" w:lineRule="auto"/>
              <w:rPr>
                <w:sz w:val="20"/>
                <w:szCs w:val="20"/>
              </w:rPr>
            </w:pPr>
            <w:r w:rsidRPr="008E7D6A">
              <w:rPr>
                <w:rFonts w:ascii="Arial" w:hAnsi="Arial"/>
                <w:sz w:val="20"/>
                <w:szCs w:val="20"/>
              </w:rPr>
              <w:t>Hong et al. (2018)</w:t>
            </w:r>
          </w:p>
        </w:tc>
        <w:tc>
          <w:tcPr>
            <w:tcW w:w="5976" w:type="dxa"/>
          </w:tcPr>
          <w:p w14:paraId="1BEE799C" w14:textId="77777777" w:rsidR="003D52C5" w:rsidRPr="008E7D6A" w:rsidRDefault="003D52C5" w:rsidP="00316D81">
            <w:pPr>
              <w:spacing w:line="221" w:lineRule="auto"/>
              <w:rPr>
                <w:sz w:val="20"/>
                <w:szCs w:val="20"/>
              </w:rPr>
            </w:pPr>
            <w:r w:rsidRPr="008E7D6A">
              <w:rPr>
                <w:rFonts w:ascii="Arial" w:hAnsi="Arial"/>
                <w:sz w:val="20"/>
                <w:szCs w:val="20"/>
              </w:rPr>
              <w:t>The Mixed Methods Appraisal Tool (MMAT) version 2018 for information professionals and researchers</w:t>
            </w:r>
          </w:p>
        </w:tc>
        <w:tc>
          <w:tcPr>
            <w:tcW w:w="3672" w:type="dxa"/>
          </w:tcPr>
          <w:p w14:paraId="26BC271F"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 mixed-method integration</w:t>
            </w:r>
          </w:p>
        </w:tc>
        <w:tc>
          <w:tcPr>
            <w:tcW w:w="3672" w:type="dxa"/>
          </w:tcPr>
          <w:p w14:paraId="1B35A040" w14:textId="3218E2E6"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0983FD7" w14:textId="77777777" w:rsidTr="00316D81">
        <w:trPr>
          <w:jc w:val="center"/>
        </w:trPr>
        <w:tc>
          <w:tcPr>
            <w:tcW w:w="605" w:type="dxa"/>
          </w:tcPr>
          <w:p w14:paraId="17C6E8AB" w14:textId="77777777" w:rsidR="003D52C5" w:rsidRPr="008E7D6A" w:rsidRDefault="003D52C5" w:rsidP="00316D81">
            <w:pPr>
              <w:spacing w:line="221" w:lineRule="auto"/>
              <w:jc w:val="center"/>
              <w:rPr>
                <w:sz w:val="20"/>
                <w:szCs w:val="20"/>
              </w:rPr>
            </w:pPr>
            <w:r w:rsidRPr="008E7D6A">
              <w:rPr>
                <w:rFonts w:ascii="Arial" w:hAnsi="Arial"/>
                <w:sz w:val="20"/>
                <w:szCs w:val="20"/>
              </w:rPr>
              <w:t>64</w:t>
            </w:r>
          </w:p>
        </w:tc>
        <w:tc>
          <w:tcPr>
            <w:tcW w:w="2088" w:type="dxa"/>
          </w:tcPr>
          <w:p w14:paraId="44D8AB7B" w14:textId="77777777" w:rsidR="003D52C5" w:rsidRPr="008E7D6A" w:rsidRDefault="003D52C5" w:rsidP="00316D81">
            <w:pPr>
              <w:spacing w:line="221" w:lineRule="auto"/>
              <w:rPr>
                <w:sz w:val="20"/>
                <w:szCs w:val="20"/>
              </w:rPr>
            </w:pPr>
            <w:r w:rsidRPr="008E7D6A">
              <w:rPr>
                <w:rFonts w:ascii="Arial" w:hAnsi="Arial"/>
                <w:sz w:val="20"/>
                <w:szCs w:val="20"/>
              </w:rPr>
              <w:t>Jafari K. et al. (2025)</w:t>
            </w:r>
          </w:p>
        </w:tc>
        <w:tc>
          <w:tcPr>
            <w:tcW w:w="5976" w:type="dxa"/>
          </w:tcPr>
          <w:p w14:paraId="473772D6" w14:textId="77777777" w:rsidR="003D52C5" w:rsidRPr="008E7D6A" w:rsidRDefault="003D52C5" w:rsidP="00316D81">
            <w:pPr>
              <w:spacing w:line="221" w:lineRule="auto"/>
              <w:rPr>
                <w:sz w:val="20"/>
                <w:szCs w:val="20"/>
              </w:rPr>
            </w:pPr>
            <w:r w:rsidRPr="008E7D6A">
              <w:rPr>
                <w:rFonts w:ascii="Arial" w:hAnsi="Arial"/>
                <w:sz w:val="20"/>
                <w:szCs w:val="20"/>
              </w:rPr>
              <w:t>An Adaptive Responsible AI Governance Framework for Decentralized Organizations</w:t>
            </w:r>
          </w:p>
        </w:tc>
        <w:tc>
          <w:tcPr>
            <w:tcW w:w="3672" w:type="dxa"/>
          </w:tcPr>
          <w:p w14:paraId="353D5DD3"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0E453894"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6D8B0CE4" w14:textId="77777777" w:rsidTr="00316D81">
        <w:trPr>
          <w:jc w:val="center"/>
        </w:trPr>
        <w:tc>
          <w:tcPr>
            <w:tcW w:w="605" w:type="dxa"/>
          </w:tcPr>
          <w:p w14:paraId="3BD5C5D1" w14:textId="77777777" w:rsidR="003D52C5" w:rsidRPr="008E7D6A" w:rsidRDefault="003D52C5" w:rsidP="00316D81">
            <w:pPr>
              <w:spacing w:line="221" w:lineRule="auto"/>
              <w:jc w:val="center"/>
              <w:rPr>
                <w:sz w:val="20"/>
                <w:szCs w:val="20"/>
              </w:rPr>
            </w:pPr>
            <w:r w:rsidRPr="008E7D6A">
              <w:rPr>
                <w:rFonts w:ascii="Arial" w:hAnsi="Arial"/>
                <w:sz w:val="20"/>
                <w:szCs w:val="20"/>
              </w:rPr>
              <w:t>65</w:t>
            </w:r>
          </w:p>
        </w:tc>
        <w:tc>
          <w:tcPr>
            <w:tcW w:w="2088" w:type="dxa"/>
          </w:tcPr>
          <w:p w14:paraId="1312AAEF" w14:textId="77777777" w:rsidR="003D52C5" w:rsidRPr="008E7D6A" w:rsidRDefault="003D52C5" w:rsidP="00316D81">
            <w:pPr>
              <w:spacing w:line="221" w:lineRule="auto"/>
              <w:rPr>
                <w:sz w:val="20"/>
                <w:szCs w:val="20"/>
              </w:rPr>
            </w:pPr>
            <w:r w:rsidRPr="008E7D6A">
              <w:rPr>
                <w:rFonts w:ascii="Arial" w:hAnsi="Arial"/>
                <w:sz w:val="20"/>
                <w:szCs w:val="20"/>
              </w:rPr>
              <w:t>Jiang et al. (2025)</w:t>
            </w:r>
          </w:p>
        </w:tc>
        <w:tc>
          <w:tcPr>
            <w:tcW w:w="5976" w:type="dxa"/>
          </w:tcPr>
          <w:p w14:paraId="4E345BA7" w14:textId="77777777" w:rsidR="003D52C5" w:rsidRPr="008E7D6A" w:rsidRDefault="003D52C5" w:rsidP="00316D81">
            <w:pPr>
              <w:spacing w:line="221" w:lineRule="auto"/>
              <w:rPr>
                <w:sz w:val="20"/>
                <w:szCs w:val="20"/>
              </w:rPr>
            </w:pPr>
            <w:r w:rsidRPr="008E7D6A">
              <w:rPr>
                <w:rFonts w:ascii="Arial" w:hAnsi="Arial"/>
                <w:sz w:val="20"/>
                <w:szCs w:val="20"/>
              </w:rPr>
              <w:t>Exploring the effectiveness of institutional policies and regulations for generative AI usage in higher education</w:t>
            </w:r>
          </w:p>
        </w:tc>
        <w:tc>
          <w:tcPr>
            <w:tcW w:w="3672" w:type="dxa"/>
          </w:tcPr>
          <w:p w14:paraId="49AD04C9"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regulatory compliance; stakeholder engagement</w:t>
            </w:r>
          </w:p>
        </w:tc>
        <w:tc>
          <w:tcPr>
            <w:tcW w:w="3672" w:type="dxa"/>
          </w:tcPr>
          <w:p w14:paraId="0D9D7B2C" w14:textId="520986A2"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72403C4" w14:textId="77777777" w:rsidTr="00316D81">
        <w:trPr>
          <w:jc w:val="center"/>
        </w:trPr>
        <w:tc>
          <w:tcPr>
            <w:tcW w:w="605" w:type="dxa"/>
          </w:tcPr>
          <w:p w14:paraId="0A7A72BA" w14:textId="77777777" w:rsidR="003D52C5" w:rsidRPr="008E7D6A" w:rsidRDefault="003D52C5" w:rsidP="00316D81">
            <w:pPr>
              <w:spacing w:line="221" w:lineRule="auto"/>
              <w:jc w:val="center"/>
              <w:rPr>
                <w:sz w:val="20"/>
                <w:szCs w:val="20"/>
              </w:rPr>
            </w:pPr>
            <w:r w:rsidRPr="008E7D6A">
              <w:rPr>
                <w:rFonts w:ascii="Arial" w:hAnsi="Arial"/>
                <w:sz w:val="20"/>
                <w:szCs w:val="20"/>
              </w:rPr>
              <w:t>66</w:t>
            </w:r>
          </w:p>
        </w:tc>
        <w:tc>
          <w:tcPr>
            <w:tcW w:w="2088" w:type="dxa"/>
          </w:tcPr>
          <w:p w14:paraId="169012A1" w14:textId="77777777" w:rsidR="003D52C5" w:rsidRPr="008E7D6A" w:rsidRDefault="003D52C5" w:rsidP="00316D81">
            <w:pPr>
              <w:spacing w:line="221" w:lineRule="auto"/>
              <w:rPr>
                <w:sz w:val="20"/>
                <w:szCs w:val="20"/>
              </w:rPr>
            </w:pPr>
            <w:r w:rsidRPr="008E7D6A">
              <w:rPr>
                <w:rFonts w:ascii="Arial" w:hAnsi="Arial"/>
                <w:sz w:val="20"/>
                <w:szCs w:val="20"/>
              </w:rPr>
              <w:t>Jin et al. (2025)</w:t>
            </w:r>
          </w:p>
        </w:tc>
        <w:tc>
          <w:tcPr>
            <w:tcW w:w="5976" w:type="dxa"/>
          </w:tcPr>
          <w:p w14:paraId="302761C9" w14:textId="77777777" w:rsidR="003D52C5" w:rsidRPr="008E7D6A" w:rsidRDefault="003D52C5" w:rsidP="00316D81">
            <w:pPr>
              <w:spacing w:line="221" w:lineRule="auto"/>
              <w:rPr>
                <w:sz w:val="20"/>
                <w:szCs w:val="20"/>
              </w:rPr>
            </w:pPr>
            <w:r w:rsidRPr="008E7D6A">
              <w:rPr>
                <w:rFonts w:ascii="Arial" w:hAnsi="Arial"/>
                <w:sz w:val="20"/>
                <w:szCs w:val="20"/>
              </w:rPr>
              <w:t>Generative AI in higher education: A global perspective of institutional adoption policies and guidelines</w:t>
            </w:r>
          </w:p>
        </w:tc>
        <w:tc>
          <w:tcPr>
            <w:tcW w:w="3672" w:type="dxa"/>
          </w:tcPr>
          <w:p w14:paraId="71DF37CE"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w:t>
            </w:r>
          </w:p>
        </w:tc>
        <w:tc>
          <w:tcPr>
            <w:tcW w:w="3672" w:type="dxa"/>
          </w:tcPr>
          <w:p w14:paraId="1B6CC73C" w14:textId="65C66E3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B14EACE" w14:textId="77777777" w:rsidTr="00316D81">
        <w:trPr>
          <w:jc w:val="center"/>
        </w:trPr>
        <w:tc>
          <w:tcPr>
            <w:tcW w:w="605" w:type="dxa"/>
          </w:tcPr>
          <w:p w14:paraId="7BB14E2A" w14:textId="77777777" w:rsidR="003D52C5" w:rsidRPr="008E7D6A" w:rsidRDefault="003D52C5" w:rsidP="00316D81">
            <w:pPr>
              <w:spacing w:line="221" w:lineRule="auto"/>
              <w:jc w:val="center"/>
              <w:rPr>
                <w:sz w:val="20"/>
                <w:szCs w:val="20"/>
              </w:rPr>
            </w:pPr>
            <w:r w:rsidRPr="008E7D6A">
              <w:rPr>
                <w:rFonts w:ascii="Arial" w:hAnsi="Arial"/>
                <w:sz w:val="20"/>
                <w:szCs w:val="20"/>
              </w:rPr>
              <w:t>67</w:t>
            </w:r>
          </w:p>
        </w:tc>
        <w:tc>
          <w:tcPr>
            <w:tcW w:w="2088" w:type="dxa"/>
          </w:tcPr>
          <w:p w14:paraId="5C10AAE6" w14:textId="77777777" w:rsidR="003D52C5" w:rsidRPr="008E7D6A" w:rsidRDefault="003D52C5" w:rsidP="00316D81">
            <w:pPr>
              <w:spacing w:line="221" w:lineRule="auto"/>
              <w:rPr>
                <w:sz w:val="20"/>
                <w:szCs w:val="20"/>
              </w:rPr>
            </w:pPr>
            <w:r w:rsidRPr="008E7D6A">
              <w:rPr>
                <w:rFonts w:ascii="Arial" w:hAnsi="Arial"/>
                <w:sz w:val="20"/>
                <w:szCs w:val="20"/>
              </w:rPr>
              <w:t>Johnson et al. (2020)</w:t>
            </w:r>
          </w:p>
        </w:tc>
        <w:tc>
          <w:tcPr>
            <w:tcW w:w="5976" w:type="dxa"/>
          </w:tcPr>
          <w:p w14:paraId="06792D53" w14:textId="77777777" w:rsidR="003D52C5" w:rsidRPr="008E7D6A" w:rsidRDefault="003D52C5" w:rsidP="00316D81">
            <w:pPr>
              <w:spacing w:line="221" w:lineRule="auto"/>
              <w:rPr>
                <w:sz w:val="20"/>
                <w:szCs w:val="20"/>
              </w:rPr>
            </w:pPr>
            <w:r w:rsidRPr="008E7D6A">
              <w:rPr>
                <w:rFonts w:ascii="Arial" w:hAnsi="Arial"/>
                <w:sz w:val="20"/>
                <w:szCs w:val="20"/>
              </w:rPr>
              <w:t>A review of the quality indicators of rigour in qualitative research</w:t>
            </w:r>
          </w:p>
        </w:tc>
        <w:tc>
          <w:tcPr>
            <w:tcW w:w="3672" w:type="dxa"/>
          </w:tcPr>
          <w:p w14:paraId="71CC6E9D"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qualitative rigour</w:t>
            </w:r>
          </w:p>
        </w:tc>
        <w:tc>
          <w:tcPr>
            <w:tcW w:w="3672" w:type="dxa"/>
          </w:tcPr>
          <w:p w14:paraId="4ABC7658" w14:textId="256BECA7"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0AFEE1A4" w14:textId="77777777" w:rsidTr="00316D81">
        <w:trPr>
          <w:jc w:val="center"/>
        </w:trPr>
        <w:tc>
          <w:tcPr>
            <w:tcW w:w="605" w:type="dxa"/>
          </w:tcPr>
          <w:p w14:paraId="2C80BCB3" w14:textId="77777777" w:rsidR="003D52C5" w:rsidRPr="008E7D6A" w:rsidRDefault="003D52C5" w:rsidP="00316D81">
            <w:pPr>
              <w:spacing w:line="221" w:lineRule="auto"/>
              <w:jc w:val="center"/>
              <w:rPr>
                <w:sz w:val="20"/>
                <w:szCs w:val="20"/>
              </w:rPr>
            </w:pPr>
            <w:r w:rsidRPr="008E7D6A">
              <w:rPr>
                <w:rFonts w:ascii="Arial" w:hAnsi="Arial"/>
                <w:sz w:val="20"/>
                <w:szCs w:val="20"/>
              </w:rPr>
              <w:t>68</w:t>
            </w:r>
          </w:p>
        </w:tc>
        <w:tc>
          <w:tcPr>
            <w:tcW w:w="2088" w:type="dxa"/>
          </w:tcPr>
          <w:p w14:paraId="61D3ED07" w14:textId="77777777" w:rsidR="003D52C5" w:rsidRPr="008E7D6A" w:rsidRDefault="003D52C5" w:rsidP="00316D81">
            <w:pPr>
              <w:spacing w:line="221" w:lineRule="auto"/>
              <w:rPr>
                <w:sz w:val="20"/>
                <w:szCs w:val="20"/>
              </w:rPr>
            </w:pPr>
            <w:r w:rsidRPr="008E7D6A">
              <w:rPr>
                <w:rFonts w:ascii="Arial" w:hAnsi="Arial"/>
                <w:sz w:val="20"/>
                <w:szCs w:val="20"/>
              </w:rPr>
              <w:t>Kangwa et al. (2025)</w:t>
            </w:r>
          </w:p>
        </w:tc>
        <w:tc>
          <w:tcPr>
            <w:tcW w:w="5976" w:type="dxa"/>
          </w:tcPr>
          <w:p w14:paraId="1A3902C2" w14:textId="77777777" w:rsidR="003D52C5" w:rsidRPr="008E7D6A" w:rsidRDefault="003D52C5" w:rsidP="00316D81">
            <w:pPr>
              <w:spacing w:line="221" w:lineRule="auto"/>
              <w:rPr>
                <w:sz w:val="20"/>
                <w:szCs w:val="20"/>
              </w:rPr>
            </w:pPr>
            <w:r w:rsidRPr="008E7D6A">
              <w:rPr>
                <w:rFonts w:ascii="Arial" w:hAnsi="Arial"/>
                <w:sz w:val="20"/>
                <w:szCs w:val="20"/>
              </w:rPr>
              <w:t>Exploring the Factors That Promote a Balance Between Academic Integrity and the Effective Use of GenAI Tools in Higher Education: A Systematic Review</w:t>
            </w:r>
          </w:p>
        </w:tc>
        <w:tc>
          <w:tcPr>
            <w:tcW w:w="3672" w:type="dxa"/>
          </w:tcPr>
          <w:p w14:paraId="182B7E75" w14:textId="77777777" w:rsidR="003D52C5" w:rsidRPr="008E7D6A" w:rsidRDefault="003D52C5" w:rsidP="00316D81">
            <w:pPr>
              <w:spacing w:line="221" w:lineRule="auto"/>
              <w:rPr>
                <w:sz w:val="20"/>
                <w:szCs w:val="20"/>
              </w:rPr>
            </w:pPr>
            <w:r w:rsidRPr="008E7D6A">
              <w:rPr>
                <w:rFonts w:ascii="Arial" w:hAnsi="Arial"/>
                <w:sz w:val="20"/>
                <w:szCs w:val="20"/>
              </w:rPr>
              <w:t>ethics/responsible AI; fairness; algorithmic bias; privacy/data protection; transparency</w:t>
            </w:r>
          </w:p>
        </w:tc>
        <w:tc>
          <w:tcPr>
            <w:tcW w:w="3672" w:type="dxa"/>
          </w:tcPr>
          <w:p w14:paraId="579F07E6"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94038DD" w14:textId="77777777" w:rsidTr="00316D81">
        <w:trPr>
          <w:jc w:val="center"/>
        </w:trPr>
        <w:tc>
          <w:tcPr>
            <w:tcW w:w="605" w:type="dxa"/>
          </w:tcPr>
          <w:p w14:paraId="6F23174F" w14:textId="77777777" w:rsidR="003D52C5" w:rsidRPr="008E7D6A" w:rsidRDefault="003D52C5" w:rsidP="00316D81">
            <w:pPr>
              <w:spacing w:line="221" w:lineRule="auto"/>
              <w:jc w:val="center"/>
              <w:rPr>
                <w:sz w:val="20"/>
                <w:szCs w:val="20"/>
              </w:rPr>
            </w:pPr>
            <w:r w:rsidRPr="008E7D6A">
              <w:rPr>
                <w:rFonts w:ascii="Arial" w:hAnsi="Arial"/>
                <w:sz w:val="20"/>
                <w:szCs w:val="20"/>
              </w:rPr>
              <w:t>69</w:t>
            </w:r>
          </w:p>
        </w:tc>
        <w:tc>
          <w:tcPr>
            <w:tcW w:w="2088" w:type="dxa"/>
          </w:tcPr>
          <w:p w14:paraId="30421D86" w14:textId="77777777" w:rsidR="003D52C5" w:rsidRPr="008E7D6A" w:rsidRDefault="003D52C5" w:rsidP="00316D81">
            <w:pPr>
              <w:spacing w:line="221" w:lineRule="auto"/>
              <w:rPr>
                <w:sz w:val="20"/>
                <w:szCs w:val="20"/>
              </w:rPr>
            </w:pPr>
            <w:r w:rsidRPr="008E7D6A">
              <w:rPr>
                <w:rFonts w:ascii="Arial" w:hAnsi="Arial"/>
                <w:sz w:val="20"/>
                <w:szCs w:val="20"/>
              </w:rPr>
              <w:t>Kasarcı et al. (2025)</w:t>
            </w:r>
          </w:p>
        </w:tc>
        <w:tc>
          <w:tcPr>
            <w:tcW w:w="5976" w:type="dxa"/>
          </w:tcPr>
          <w:p w14:paraId="73735FD7" w14:textId="77777777" w:rsidR="003D52C5" w:rsidRPr="008E7D6A" w:rsidRDefault="003D52C5" w:rsidP="00316D81">
            <w:pPr>
              <w:spacing w:line="221" w:lineRule="auto"/>
              <w:rPr>
                <w:sz w:val="20"/>
                <w:szCs w:val="20"/>
              </w:rPr>
            </w:pPr>
            <w:r w:rsidRPr="008E7D6A">
              <w:rPr>
                <w:rFonts w:ascii="Arial" w:hAnsi="Arial"/>
                <w:sz w:val="20"/>
                <w:szCs w:val="20"/>
              </w:rPr>
              <w:t>Managing Artificial Intelligence Ethics in Higher Education: A Systematic Framework for Issues and Policy Recommendations</w:t>
            </w:r>
          </w:p>
        </w:tc>
        <w:tc>
          <w:tcPr>
            <w:tcW w:w="3672" w:type="dxa"/>
          </w:tcPr>
          <w:p w14:paraId="2C30A3DB" w14:textId="77777777" w:rsidR="003D52C5" w:rsidRPr="008E7D6A" w:rsidRDefault="003D52C5" w:rsidP="00316D81">
            <w:pPr>
              <w:spacing w:line="221" w:lineRule="auto"/>
              <w:rPr>
                <w:sz w:val="20"/>
                <w:szCs w:val="20"/>
              </w:rPr>
            </w:pPr>
            <w:r w:rsidRPr="008E7D6A">
              <w:rPr>
                <w:rFonts w:ascii="Arial" w:hAnsi="Arial"/>
                <w:sz w:val="20"/>
                <w:szCs w:val="20"/>
              </w:rPr>
              <w:t>AI adoption; implementation; institutional policy; stakeholder engagement; ethics/responsible AI</w:t>
            </w:r>
          </w:p>
        </w:tc>
        <w:tc>
          <w:tcPr>
            <w:tcW w:w="3672" w:type="dxa"/>
          </w:tcPr>
          <w:p w14:paraId="610AE000"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59605379" w14:textId="77777777" w:rsidTr="00316D81">
        <w:trPr>
          <w:jc w:val="center"/>
        </w:trPr>
        <w:tc>
          <w:tcPr>
            <w:tcW w:w="605" w:type="dxa"/>
          </w:tcPr>
          <w:p w14:paraId="2FD26076" w14:textId="77777777" w:rsidR="003D52C5" w:rsidRPr="008E7D6A" w:rsidRDefault="003D52C5" w:rsidP="00316D81">
            <w:pPr>
              <w:spacing w:line="221" w:lineRule="auto"/>
              <w:jc w:val="center"/>
              <w:rPr>
                <w:sz w:val="20"/>
                <w:szCs w:val="20"/>
              </w:rPr>
            </w:pPr>
            <w:r w:rsidRPr="008E7D6A">
              <w:rPr>
                <w:rFonts w:ascii="Arial" w:hAnsi="Arial"/>
                <w:sz w:val="20"/>
                <w:szCs w:val="20"/>
              </w:rPr>
              <w:t>70</w:t>
            </w:r>
          </w:p>
        </w:tc>
        <w:tc>
          <w:tcPr>
            <w:tcW w:w="2088" w:type="dxa"/>
          </w:tcPr>
          <w:p w14:paraId="34CB512E" w14:textId="77777777" w:rsidR="003D52C5" w:rsidRPr="008E7D6A" w:rsidRDefault="003D52C5" w:rsidP="00316D81">
            <w:pPr>
              <w:spacing w:line="221" w:lineRule="auto"/>
              <w:rPr>
                <w:sz w:val="20"/>
                <w:szCs w:val="20"/>
              </w:rPr>
            </w:pPr>
            <w:r w:rsidRPr="008E7D6A">
              <w:rPr>
                <w:rFonts w:ascii="Arial" w:hAnsi="Arial"/>
                <w:sz w:val="20"/>
                <w:szCs w:val="20"/>
              </w:rPr>
              <w:t>Kennedy et al. (2024)</w:t>
            </w:r>
          </w:p>
        </w:tc>
        <w:tc>
          <w:tcPr>
            <w:tcW w:w="5976" w:type="dxa"/>
          </w:tcPr>
          <w:p w14:paraId="76F62208" w14:textId="77777777" w:rsidR="003D52C5" w:rsidRPr="008E7D6A" w:rsidRDefault="003D52C5" w:rsidP="00316D81">
            <w:pPr>
              <w:spacing w:line="221" w:lineRule="auto"/>
              <w:rPr>
                <w:sz w:val="20"/>
                <w:szCs w:val="20"/>
              </w:rPr>
            </w:pPr>
            <w:r w:rsidRPr="008E7D6A">
              <w:rPr>
                <w:rFonts w:ascii="Arial" w:hAnsi="Arial"/>
                <w:sz w:val="20"/>
                <w:szCs w:val="20"/>
              </w:rPr>
              <w:t>Addressing positionality in qualitative research: Significance, challenges and strategies</w:t>
            </w:r>
          </w:p>
        </w:tc>
        <w:tc>
          <w:tcPr>
            <w:tcW w:w="3672" w:type="dxa"/>
          </w:tcPr>
          <w:p w14:paraId="5B848251"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05884F8C" w14:textId="390CC50E"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5D018D25" w14:textId="77777777" w:rsidTr="00316D81">
        <w:trPr>
          <w:jc w:val="center"/>
        </w:trPr>
        <w:tc>
          <w:tcPr>
            <w:tcW w:w="605" w:type="dxa"/>
          </w:tcPr>
          <w:p w14:paraId="5F6F29D6" w14:textId="77777777" w:rsidR="003D52C5" w:rsidRPr="008E7D6A" w:rsidRDefault="003D52C5" w:rsidP="00316D81">
            <w:pPr>
              <w:spacing w:line="221" w:lineRule="auto"/>
              <w:jc w:val="center"/>
              <w:rPr>
                <w:sz w:val="20"/>
                <w:szCs w:val="20"/>
              </w:rPr>
            </w:pPr>
            <w:r w:rsidRPr="008E7D6A">
              <w:rPr>
                <w:rFonts w:ascii="Arial" w:hAnsi="Arial"/>
                <w:sz w:val="20"/>
                <w:szCs w:val="20"/>
              </w:rPr>
              <w:t>71</w:t>
            </w:r>
          </w:p>
        </w:tc>
        <w:tc>
          <w:tcPr>
            <w:tcW w:w="2088" w:type="dxa"/>
          </w:tcPr>
          <w:p w14:paraId="46A4F1A0" w14:textId="77777777" w:rsidR="003D52C5" w:rsidRPr="008E7D6A" w:rsidRDefault="003D52C5" w:rsidP="00316D81">
            <w:pPr>
              <w:spacing w:line="221" w:lineRule="auto"/>
              <w:rPr>
                <w:sz w:val="20"/>
                <w:szCs w:val="20"/>
              </w:rPr>
            </w:pPr>
            <w:r w:rsidRPr="008E7D6A">
              <w:rPr>
                <w:rFonts w:ascii="Arial" w:hAnsi="Arial"/>
                <w:sz w:val="20"/>
                <w:szCs w:val="20"/>
              </w:rPr>
              <w:t>Kham, S. (2024)</w:t>
            </w:r>
          </w:p>
        </w:tc>
        <w:tc>
          <w:tcPr>
            <w:tcW w:w="5976" w:type="dxa"/>
          </w:tcPr>
          <w:p w14:paraId="40D65CC5" w14:textId="77777777" w:rsidR="003D52C5" w:rsidRPr="008E7D6A" w:rsidRDefault="003D52C5" w:rsidP="00316D81">
            <w:pPr>
              <w:spacing w:line="221" w:lineRule="auto"/>
              <w:rPr>
                <w:sz w:val="20"/>
                <w:szCs w:val="20"/>
              </w:rPr>
            </w:pPr>
            <w:r w:rsidRPr="008E7D6A">
              <w:rPr>
                <w:rFonts w:ascii="Arial" w:hAnsi="Arial"/>
                <w:sz w:val="20"/>
                <w:szCs w:val="20"/>
              </w:rPr>
              <w:t>Outsider From Within, Insider from Without: Negotiating Researcher Positionality in Comparative Social Research</w:t>
            </w:r>
          </w:p>
        </w:tc>
        <w:tc>
          <w:tcPr>
            <w:tcW w:w="3672" w:type="dxa"/>
          </w:tcPr>
          <w:p w14:paraId="7AB1BCA4"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0F9EDFEF" w14:textId="5B806714"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263E3AC3" w14:textId="77777777" w:rsidTr="00316D81">
        <w:trPr>
          <w:jc w:val="center"/>
        </w:trPr>
        <w:tc>
          <w:tcPr>
            <w:tcW w:w="605" w:type="dxa"/>
          </w:tcPr>
          <w:p w14:paraId="1F909C8F" w14:textId="77777777" w:rsidR="003D52C5" w:rsidRPr="008E7D6A" w:rsidRDefault="003D52C5" w:rsidP="00316D81">
            <w:pPr>
              <w:spacing w:line="221" w:lineRule="auto"/>
              <w:jc w:val="center"/>
              <w:rPr>
                <w:sz w:val="20"/>
                <w:szCs w:val="20"/>
              </w:rPr>
            </w:pPr>
            <w:r w:rsidRPr="008E7D6A">
              <w:rPr>
                <w:rFonts w:ascii="Arial" w:hAnsi="Arial"/>
                <w:sz w:val="20"/>
                <w:szCs w:val="20"/>
              </w:rPr>
              <w:t>72</w:t>
            </w:r>
          </w:p>
        </w:tc>
        <w:tc>
          <w:tcPr>
            <w:tcW w:w="2088" w:type="dxa"/>
          </w:tcPr>
          <w:p w14:paraId="09D2E4CE" w14:textId="77777777" w:rsidR="003D52C5" w:rsidRPr="008E7D6A" w:rsidRDefault="003D52C5" w:rsidP="00316D81">
            <w:pPr>
              <w:spacing w:line="221" w:lineRule="auto"/>
              <w:rPr>
                <w:sz w:val="20"/>
                <w:szCs w:val="20"/>
              </w:rPr>
            </w:pPr>
            <w:r w:rsidRPr="008E7D6A">
              <w:rPr>
                <w:rFonts w:ascii="Arial" w:hAnsi="Arial"/>
                <w:sz w:val="20"/>
                <w:szCs w:val="20"/>
              </w:rPr>
              <w:t>Khosravi et al. (2022)</w:t>
            </w:r>
          </w:p>
        </w:tc>
        <w:tc>
          <w:tcPr>
            <w:tcW w:w="5976" w:type="dxa"/>
          </w:tcPr>
          <w:p w14:paraId="7AA077EB" w14:textId="77777777" w:rsidR="003D52C5" w:rsidRPr="008E7D6A" w:rsidRDefault="003D52C5" w:rsidP="00316D81">
            <w:pPr>
              <w:spacing w:line="221" w:lineRule="auto"/>
              <w:rPr>
                <w:sz w:val="20"/>
                <w:szCs w:val="20"/>
              </w:rPr>
            </w:pPr>
            <w:r w:rsidRPr="008E7D6A">
              <w:rPr>
                <w:rFonts w:ascii="Arial" w:hAnsi="Arial"/>
                <w:sz w:val="20"/>
                <w:szCs w:val="20"/>
              </w:rPr>
              <w:t>Explainable Artificial Intelligence in education</w:t>
            </w:r>
          </w:p>
        </w:tc>
        <w:tc>
          <w:tcPr>
            <w:tcW w:w="3672" w:type="dxa"/>
          </w:tcPr>
          <w:p w14:paraId="79255E57" w14:textId="77777777" w:rsidR="003D52C5" w:rsidRPr="008E7D6A" w:rsidRDefault="003D52C5" w:rsidP="00316D81">
            <w:pPr>
              <w:spacing w:line="221" w:lineRule="auto"/>
              <w:rPr>
                <w:sz w:val="20"/>
                <w:szCs w:val="20"/>
              </w:rPr>
            </w:pPr>
            <w:r w:rsidRPr="008E7D6A">
              <w:rPr>
                <w:rFonts w:ascii="Arial" w:hAnsi="Arial"/>
                <w:sz w:val="20"/>
                <w:szCs w:val="20"/>
              </w:rPr>
              <w:t>ethics/responsible AI; fairness; algorithmic bias; privacy/data protection; transparency</w:t>
            </w:r>
          </w:p>
        </w:tc>
        <w:tc>
          <w:tcPr>
            <w:tcW w:w="3672" w:type="dxa"/>
          </w:tcPr>
          <w:p w14:paraId="29A12612"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4A15BE52" w14:textId="77777777" w:rsidTr="00316D81">
        <w:trPr>
          <w:jc w:val="center"/>
        </w:trPr>
        <w:tc>
          <w:tcPr>
            <w:tcW w:w="605" w:type="dxa"/>
          </w:tcPr>
          <w:p w14:paraId="3C61037C" w14:textId="77777777" w:rsidR="003D52C5" w:rsidRPr="008E7D6A" w:rsidRDefault="003D52C5" w:rsidP="00316D81">
            <w:pPr>
              <w:spacing w:line="221" w:lineRule="auto"/>
              <w:jc w:val="center"/>
              <w:rPr>
                <w:sz w:val="20"/>
                <w:szCs w:val="20"/>
              </w:rPr>
            </w:pPr>
            <w:r w:rsidRPr="008E7D6A">
              <w:rPr>
                <w:rFonts w:ascii="Arial" w:hAnsi="Arial"/>
                <w:sz w:val="20"/>
                <w:szCs w:val="20"/>
              </w:rPr>
              <w:t>73</w:t>
            </w:r>
          </w:p>
        </w:tc>
        <w:tc>
          <w:tcPr>
            <w:tcW w:w="2088" w:type="dxa"/>
          </w:tcPr>
          <w:p w14:paraId="70CF922C" w14:textId="77777777" w:rsidR="003D52C5" w:rsidRPr="008E7D6A" w:rsidRDefault="003D52C5" w:rsidP="00316D81">
            <w:pPr>
              <w:spacing w:line="221" w:lineRule="auto"/>
              <w:rPr>
                <w:sz w:val="20"/>
                <w:szCs w:val="20"/>
              </w:rPr>
            </w:pPr>
            <w:r w:rsidRPr="008E7D6A">
              <w:rPr>
                <w:rFonts w:ascii="Arial" w:hAnsi="Arial"/>
                <w:sz w:val="20"/>
                <w:szCs w:val="20"/>
              </w:rPr>
              <w:t>Knight et al. (2025)</w:t>
            </w:r>
          </w:p>
        </w:tc>
        <w:tc>
          <w:tcPr>
            <w:tcW w:w="5976" w:type="dxa"/>
          </w:tcPr>
          <w:p w14:paraId="662791ED" w14:textId="77777777" w:rsidR="003D52C5" w:rsidRPr="008E7D6A" w:rsidRDefault="003D52C5" w:rsidP="00316D81">
            <w:pPr>
              <w:spacing w:line="221" w:lineRule="auto"/>
              <w:rPr>
                <w:sz w:val="20"/>
                <w:szCs w:val="20"/>
              </w:rPr>
            </w:pPr>
            <w:r w:rsidRPr="008E7D6A">
              <w:rPr>
                <w:rFonts w:ascii="Arial" w:hAnsi="Arial"/>
                <w:sz w:val="20"/>
                <w:szCs w:val="20"/>
              </w:rPr>
              <w:t>‘Ethical AI governance: mapping a research ecosystem'. AI and Ethics, 5, pp. 841–862</w:t>
            </w:r>
          </w:p>
        </w:tc>
        <w:tc>
          <w:tcPr>
            <w:tcW w:w="3672" w:type="dxa"/>
          </w:tcPr>
          <w:p w14:paraId="17161953"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 ethics/responsible AI</w:t>
            </w:r>
          </w:p>
        </w:tc>
        <w:tc>
          <w:tcPr>
            <w:tcW w:w="3672" w:type="dxa"/>
          </w:tcPr>
          <w:p w14:paraId="45D65207"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F3E7E8C" w14:textId="77777777" w:rsidTr="00316D81">
        <w:trPr>
          <w:jc w:val="center"/>
        </w:trPr>
        <w:tc>
          <w:tcPr>
            <w:tcW w:w="605" w:type="dxa"/>
          </w:tcPr>
          <w:p w14:paraId="3F331938" w14:textId="77777777" w:rsidR="003D52C5" w:rsidRPr="008E7D6A" w:rsidRDefault="003D52C5" w:rsidP="00316D81">
            <w:pPr>
              <w:spacing w:line="221" w:lineRule="auto"/>
              <w:jc w:val="center"/>
              <w:rPr>
                <w:sz w:val="20"/>
                <w:szCs w:val="20"/>
              </w:rPr>
            </w:pPr>
            <w:r w:rsidRPr="008E7D6A">
              <w:rPr>
                <w:rFonts w:ascii="Arial" w:hAnsi="Arial"/>
                <w:sz w:val="20"/>
                <w:szCs w:val="20"/>
              </w:rPr>
              <w:t>74</w:t>
            </w:r>
          </w:p>
        </w:tc>
        <w:tc>
          <w:tcPr>
            <w:tcW w:w="2088" w:type="dxa"/>
          </w:tcPr>
          <w:p w14:paraId="265B537C" w14:textId="77777777" w:rsidR="003D52C5" w:rsidRPr="008E7D6A" w:rsidRDefault="003D52C5" w:rsidP="00316D81">
            <w:pPr>
              <w:spacing w:line="221" w:lineRule="auto"/>
              <w:rPr>
                <w:sz w:val="20"/>
                <w:szCs w:val="20"/>
              </w:rPr>
            </w:pPr>
            <w:r w:rsidRPr="008E7D6A">
              <w:rPr>
                <w:rFonts w:ascii="Arial" w:hAnsi="Arial"/>
                <w:sz w:val="20"/>
                <w:szCs w:val="20"/>
              </w:rPr>
              <w:t>Korir et al. (2022)</w:t>
            </w:r>
          </w:p>
        </w:tc>
        <w:tc>
          <w:tcPr>
            <w:tcW w:w="5976" w:type="dxa"/>
          </w:tcPr>
          <w:p w14:paraId="189E833B" w14:textId="77777777" w:rsidR="003D52C5" w:rsidRPr="008E7D6A" w:rsidRDefault="003D52C5" w:rsidP="00316D81">
            <w:pPr>
              <w:spacing w:line="221" w:lineRule="auto"/>
              <w:rPr>
                <w:sz w:val="20"/>
                <w:szCs w:val="20"/>
              </w:rPr>
            </w:pPr>
            <w:r w:rsidRPr="008E7D6A">
              <w:rPr>
                <w:rFonts w:ascii="Arial" w:hAnsi="Arial"/>
                <w:sz w:val="20"/>
                <w:szCs w:val="20"/>
              </w:rPr>
              <w:t>Investigating the dimensions of students’ privacy concern in the collection, use, and sharing of data for learning analytics</w:t>
            </w:r>
          </w:p>
        </w:tc>
        <w:tc>
          <w:tcPr>
            <w:tcW w:w="3672" w:type="dxa"/>
          </w:tcPr>
          <w:p w14:paraId="141D3758" w14:textId="77777777" w:rsidR="003D52C5" w:rsidRPr="008E7D6A" w:rsidRDefault="003D52C5" w:rsidP="00316D81">
            <w:pPr>
              <w:spacing w:line="221" w:lineRule="auto"/>
              <w:rPr>
                <w:sz w:val="20"/>
                <w:szCs w:val="20"/>
              </w:rPr>
            </w:pPr>
            <w:r w:rsidRPr="008E7D6A">
              <w:rPr>
                <w:rFonts w:ascii="Arial" w:hAnsi="Arial"/>
                <w:sz w:val="20"/>
                <w:szCs w:val="20"/>
              </w:rPr>
              <w:t>teaching/learning; ethics/responsible AI; fairness; algorithmic bias; privacy/data protection</w:t>
            </w:r>
          </w:p>
        </w:tc>
        <w:tc>
          <w:tcPr>
            <w:tcW w:w="3672" w:type="dxa"/>
          </w:tcPr>
          <w:p w14:paraId="3FE0D454"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61C64A02" w14:textId="77777777" w:rsidTr="00316D81">
        <w:trPr>
          <w:jc w:val="center"/>
        </w:trPr>
        <w:tc>
          <w:tcPr>
            <w:tcW w:w="605" w:type="dxa"/>
          </w:tcPr>
          <w:p w14:paraId="0B898725" w14:textId="77777777" w:rsidR="003D52C5" w:rsidRPr="008E7D6A" w:rsidRDefault="003D52C5" w:rsidP="00316D81">
            <w:pPr>
              <w:spacing w:line="221" w:lineRule="auto"/>
              <w:jc w:val="center"/>
              <w:rPr>
                <w:sz w:val="20"/>
                <w:szCs w:val="20"/>
              </w:rPr>
            </w:pPr>
            <w:r w:rsidRPr="008E7D6A">
              <w:rPr>
                <w:rFonts w:ascii="Arial" w:hAnsi="Arial"/>
                <w:sz w:val="20"/>
                <w:szCs w:val="20"/>
              </w:rPr>
              <w:t>75</w:t>
            </w:r>
          </w:p>
        </w:tc>
        <w:tc>
          <w:tcPr>
            <w:tcW w:w="2088" w:type="dxa"/>
          </w:tcPr>
          <w:p w14:paraId="36125874" w14:textId="77777777" w:rsidR="003D52C5" w:rsidRPr="008E7D6A" w:rsidRDefault="003D52C5" w:rsidP="00316D81">
            <w:pPr>
              <w:spacing w:line="221" w:lineRule="auto"/>
              <w:rPr>
                <w:sz w:val="20"/>
                <w:szCs w:val="20"/>
              </w:rPr>
            </w:pPr>
            <w:r w:rsidRPr="008E7D6A">
              <w:rPr>
                <w:rFonts w:ascii="Arial" w:hAnsi="Arial"/>
                <w:sz w:val="20"/>
                <w:szCs w:val="20"/>
              </w:rPr>
              <w:t>Lahusen et al. (2024)</w:t>
            </w:r>
          </w:p>
        </w:tc>
        <w:tc>
          <w:tcPr>
            <w:tcW w:w="5976" w:type="dxa"/>
          </w:tcPr>
          <w:p w14:paraId="78D834F3" w14:textId="77777777" w:rsidR="003D52C5" w:rsidRPr="008E7D6A" w:rsidRDefault="003D52C5" w:rsidP="00316D81">
            <w:pPr>
              <w:spacing w:line="221" w:lineRule="auto"/>
              <w:rPr>
                <w:sz w:val="20"/>
                <w:szCs w:val="20"/>
              </w:rPr>
            </w:pPr>
            <w:r w:rsidRPr="008E7D6A">
              <w:rPr>
                <w:rFonts w:ascii="Arial" w:hAnsi="Arial"/>
                <w:sz w:val="20"/>
                <w:szCs w:val="20"/>
              </w:rPr>
              <w:t>Trust, trustworthiness and AI governance</w:t>
            </w:r>
          </w:p>
        </w:tc>
        <w:tc>
          <w:tcPr>
            <w:tcW w:w="3672" w:type="dxa"/>
          </w:tcPr>
          <w:p w14:paraId="1974542D" w14:textId="77777777" w:rsidR="003D52C5" w:rsidRPr="008E7D6A" w:rsidRDefault="003D52C5" w:rsidP="00316D81">
            <w:pPr>
              <w:spacing w:line="221" w:lineRule="auto"/>
              <w:rPr>
                <w:sz w:val="20"/>
                <w:szCs w:val="20"/>
              </w:rPr>
            </w:pPr>
            <w:r w:rsidRPr="008E7D6A">
              <w:rPr>
                <w:rFonts w:ascii="Arial" w:hAnsi="Arial"/>
                <w:sz w:val="20"/>
                <w:szCs w:val="20"/>
              </w:rPr>
              <w:t>governance structures; reflexivity; systematic review; qualitative rigour</w:t>
            </w:r>
          </w:p>
        </w:tc>
        <w:tc>
          <w:tcPr>
            <w:tcW w:w="3672" w:type="dxa"/>
          </w:tcPr>
          <w:p w14:paraId="1ECE0C9B"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46D48D14" w14:textId="77777777" w:rsidTr="00316D81">
        <w:trPr>
          <w:jc w:val="center"/>
        </w:trPr>
        <w:tc>
          <w:tcPr>
            <w:tcW w:w="605" w:type="dxa"/>
          </w:tcPr>
          <w:p w14:paraId="0F12154F"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76</w:t>
            </w:r>
          </w:p>
        </w:tc>
        <w:tc>
          <w:tcPr>
            <w:tcW w:w="2088" w:type="dxa"/>
          </w:tcPr>
          <w:p w14:paraId="43C81E5D" w14:textId="77777777" w:rsidR="003D52C5" w:rsidRPr="008E7D6A" w:rsidRDefault="003D52C5" w:rsidP="00316D81">
            <w:pPr>
              <w:spacing w:line="221" w:lineRule="auto"/>
              <w:rPr>
                <w:sz w:val="20"/>
                <w:szCs w:val="20"/>
              </w:rPr>
            </w:pPr>
            <w:r w:rsidRPr="008E7D6A">
              <w:rPr>
                <w:rFonts w:ascii="Arial" w:hAnsi="Arial"/>
                <w:sz w:val="20"/>
                <w:szCs w:val="20"/>
              </w:rPr>
              <w:t>Lam, D. (2026)</w:t>
            </w:r>
          </w:p>
        </w:tc>
        <w:tc>
          <w:tcPr>
            <w:tcW w:w="5976" w:type="dxa"/>
          </w:tcPr>
          <w:p w14:paraId="6F41A522" w14:textId="77777777" w:rsidR="003D52C5" w:rsidRPr="008E7D6A" w:rsidRDefault="003D52C5" w:rsidP="00316D81">
            <w:pPr>
              <w:spacing w:line="221" w:lineRule="auto"/>
              <w:rPr>
                <w:sz w:val="20"/>
                <w:szCs w:val="20"/>
              </w:rPr>
            </w:pPr>
            <w:r w:rsidRPr="008E7D6A">
              <w:rPr>
                <w:rFonts w:ascii="Arial" w:hAnsi="Arial"/>
                <w:sz w:val="20"/>
                <w:szCs w:val="20"/>
              </w:rPr>
              <w:t>The importance of ethics, governance and leadership in meeting the artificial intelligence challenge in higher education: a critical review</w:t>
            </w:r>
          </w:p>
        </w:tc>
        <w:tc>
          <w:tcPr>
            <w:tcW w:w="3672" w:type="dxa"/>
          </w:tcPr>
          <w:p w14:paraId="4468F0E7"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leadership; stakeholder engagement; accountability</w:t>
            </w:r>
          </w:p>
        </w:tc>
        <w:tc>
          <w:tcPr>
            <w:tcW w:w="3672" w:type="dxa"/>
          </w:tcPr>
          <w:p w14:paraId="08EEA8F6"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5F439D17" w14:textId="77777777" w:rsidTr="00316D81">
        <w:trPr>
          <w:jc w:val="center"/>
        </w:trPr>
        <w:tc>
          <w:tcPr>
            <w:tcW w:w="605" w:type="dxa"/>
          </w:tcPr>
          <w:p w14:paraId="63351C71" w14:textId="77777777" w:rsidR="003D52C5" w:rsidRPr="008E7D6A" w:rsidRDefault="003D52C5" w:rsidP="00316D81">
            <w:pPr>
              <w:spacing w:line="221" w:lineRule="auto"/>
              <w:jc w:val="center"/>
              <w:rPr>
                <w:sz w:val="20"/>
                <w:szCs w:val="20"/>
              </w:rPr>
            </w:pPr>
            <w:r w:rsidRPr="008E7D6A">
              <w:rPr>
                <w:rFonts w:ascii="Arial" w:hAnsi="Arial"/>
                <w:sz w:val="20"/>
                <w:szCs w:val="20"/>
              </w:rPr>
              <w:t>77</w:t>
            </w:r>
          </w:p>
        </w:tc>
        <w:tc>
          <w:tcPr>
            <w:tcW w:w="2088" w:type="dxa"/>
          </w:tcPr>
          <w:p w14:paraId="079115A3" w14:textId="77777777" w:rsidR="003D52C5" w:rsidRPr="008E7D6A" w:rsidRDefault="003D52C5" w:rsidP="00316D81">
            <w:pPr>
              <w:spacing w:line="221" w:lineRule="auto"/>
              <w:rPr>
                <w:sz w:val="20"/>
                <w:szCs w:val="20"/>
              </w:rPr>
            </w:pPr>
            <w:r w:rsidRPr="008E7D6A">
              <w:rPr>
                <w:rFonts w:ascii="Arial" w:hAnsi="Arial"/>
                <w:sz w:val="20"/>
                <w:szCs w:val="20"/>
              </w:rPr>
              <w:t>Lawrence, S. (2026)</w:t>
            </w:r>
          </w:p>
        </w:tc>
        <w:tc>
          <w:tcPr>
            <w:tcW w:w="5976" w:type="dxa"/>
          </w:tcPr>
          <w:p w14:paraId="63F7C7FC" w14:textId="77777777" w:rsidR="003D52C5" w:rsidRPr="008E7D6A" w:rsidRDefault="003D52C5" w:rsidP="00316D81">
            <w:pPr>
              <w:spacing w:line="221" w:lineRule="auto"/>
              <w:rPr>
                <w:sz w:val="20"/>
                <w:szCs w:val="20"/>
              </w:rPr>
            </w:pPr>
            <w:r w:rsidRPr="008E7D6A">
              <w:rPr>
                <w:rFonts w:ascii="Arial" w:hAnsi="Arial"/>
                <w:sz w:val="20"/>
                <w:szCs w:val="20"/>
              </w:rPr>
              <w:t>Artificial intelligence in higher education: stakeholder perceptions and policy implications</w:t>
            </w:r>
          </w:p>
        </w:tc>
        <w:tc>
          <w:tcPr>
            <w:tcW w:w="3672" w:type="dxa"/>
          </w:tcPr>
          <w:p w14:paraId="33BFEA1C" w14:textId="77777777" w:rsidR="003D52C5" w:rsidRPr="008E7D6A" w:rsidRDefault="003D52C5" w:rsidP="00316D81">
            <w:pPr>
              <w:spacing w:line="221" w:lineRule="auto"/>
              <w:rPr>
                <w:sz w:val="20"/>
                <w:szCs w:val="20"/>
              </w:rPr>
            </w:pPr>
            <w:r w:rsidRPr="008E7D6A">
              <w:rPr>
                <w:rFonts w:ascii="Arial" w:hAnsi="Arial"/>
                <w:sz w:val="20"/>
                <w:szCs w:val="20"/>
              </w:rPr>
              <w:t>AI adoption; implementation; institutional policy; stakeholder engagement</w:t>
            </w:r>
          </w:p>
        </w:tc>
        <w:tc>
          <w:tcPr>
            <w:tcW w:w="3672" w:type="dxa"/>
          </w:tcPr>
          <w:p w14:paraId="64850CA9" w14:textId="4865C027"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5D931809" w14:textId="77777777" w:rsidTr="00316D81">
        <w:trPr>
          <w:jc w:val="center"/>
        </w:trPr>
        <w:tc>
          <w:tcPr>
            <w:tcW w:w="605" w:type="dxa"/>
          </w:tcPr>
          <w:p w14:paraId="3FEE5233" w14:textId="77777777" w:rsidR="003D52C5" w:rsidRPr="008E7D6A" w:rsidRDefault="003D52C5" w:rsidP="00316D81">
            <w:pPr>
              <w:spacing w:line="221" w:lineRule="auto"/>
              <w:jc w:val="center"/>
              <w:rPr>
                <w:sz w:val="20"/>
                <w:szCs w:val="20"/>
              </w:rPr>
            </w:pPr>
            <w:r w:rsidRPr="008E7D6A">
              <w:rPr>
                <w:rFonts w:ascii="Arial" w:hAnsi="Arial"/>
                <w:sz w:val="20"/>
                <w:szCs w:val="20"/>
              </w:rPr>
              <w:t>78</w:t>
            </w:r>
          </w:p>
        </w:tc>
        <w:tc>
          <w:tcPr>
            <w:tcW w:w="2088" w:type="dxa"/>
          </w:tcPr>
          <w:p w14:paraId="34D43603" w14:textId="77777777" w:rsidR="003D52C5" w:rsidRPr="008E7D6A" w:rsidRDefault="003D52C5" w:rsidP="00316D81">
            <w:pPr>
              <w:spacing w:line="221" w:lineRule="auto"/>
              <w:rPr>
                <w:sz w:val="20"/>
                <w:szCs w:val="20"/>
              </w:rPr>
            </w:pPr>
            <w:r w:rsidRPr="008E7D6A">
              <w:rPr>
                <w:rFonts w:ascii="Arial" w:hAnsi="Arial"/>
                <w:sz w:val="20"/>
                <w:szCs w:val="20"/>
              </w:rPr>
              <w:t>Lee et al. (2024)</w:t>
            </w:r>
          </w:p>
        </w:tc>
        <w:tc>
          <w:tcPr>
            <w:tcW w:w="5976" w:type="dxa"/>
          </w:tcPr>
          <w:p w14:paraId="4C28CF81" w14:textId="77777777" w:rsidR="003D52C5" w:rsidRPr="008E7D6A" w:rsidRDefault="003D52C5" w:rsidP="00316D81">
            <w:pPr>
              <w:spacing w:line="221" w:lineRule="auto"/>
              <w:rPr>
                <w:sz w:val="20"/>
                <w:szCs w:val="20"/>
              </w:rPr>
            </w:pPr>
            <w:r w:rsidRPr="008E7D6A">
              <w:rPr>
                <w:rFonts w:ascii="Arial" w:hAnsi="Arial"/>
                <w:sz w:val="20"/>
                <w:szCs w:val="20"/>
              </w:rPr>
              <w:t>The impact of generative AI on higher education learning and teaching: A study of educators’ perspectives</w:t>
            </w:r>
          </w:p>
        </w:tc>
        <w:tc>
          <w:tcPr>
            <w:tcW w:w="3672" w:type="dxa"/>
          </w:tcPr>
          <w:p w14:paraId="54AD6D77"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teaching/learning; stakeholder engagement</w:t>
            </w:r>
          </w:p>
        </w:tc>
        <w:tc>
          <w:tcPr>
            <w:tcW w:w="3672" w:type="dxa"/>
          </w:tcPr>
          <w:p w14:paraId="1C4D53C3" w14:textId="6B91A34C"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2E1204F6" w14:textId="77777777" w:rsidTr="00316D81">
        <w:trPr>
          <w:jc w:val="center"/>
        </w:trPr>
        <w:tc>
          <w:tcPr>
            <w:tcW w:w="605" w:type="dxa"/>
          </w:tcPr>
          <w:p w14:paraId="6F0DF3F3" w14:textId="77777777" w:rsidR="003D52C5" w:rsidRPr="008E7D6A" w:rsidRDefault="003D52C5" w:rsidP="00316D81">
            <w:pPr>
              <w:spacing w:line="221" w:lineRule="auto"/>
              <w:jc w:val="center"/>
              <w:rPr>
                <w:sz w:val="20"/>
                <w:szCs w:val="20"/>
              </w:rPr>
            </w:pPr>
            <w:r w:rsidRPr="008E7D6A">
              <w:rPr>
                <w:rFonts w:ascii="Arial" w:hAnsi="Arial"/>
                <w:sz w:val="20"/>
                <w:szCs w:val="20"/>
              </w:rPr>
              <w:t>79</w:t>
            </w:r>
          </w:p>
        </w:tc>
        <w:tc>
          <w:tcPr>
            <w:tcW w:w="2088" w:type="dxa"/>
          </w:tcPr>
          <w:p w14:paraId="05549396" w14:textId="77777777" w:rsidR="003D52C5" w:rsidRPr="008E7D6A" w:rsidRDefault="003D52C5" w:rsidP="00316D81">
            <w:pPr>
              <w:spacing w:line="221" w:lineRule="auto"/>
              <w:rPr>
                <w:sz w:val="20"/>
                <w:szCs w:val="20"/>
              </w:rPr>
            </w:pPr>
            <w:r w:rsidRPr="008E7D6A">
              <w:rPr>
                <w:rFonts w:ascii="Arial" w:hAnsi="Arial"/>
                <w:sz w:val="20"/>
                <w:szCs w:val="20"/>
              </w:rPr>
              <w:t>Luo, J. (2024)</w:t>
            </w:r>
          </w:p>
        </w:tc>
        <w:tc>
          <w:tcPr>
            <w:tcW w:w="5976" w:type="dxa"/>
          </w:tcPr>
          <w:p w14:paraId="18AEA0F6" w14:textId="77777777" w:rsidR="003D52C5" w:rsidRPr="008E7D6A" w:rsidRDefault="003D52C5" w:rsidP="00316D81">
            <w:pPr>
              <w:spacing w:line="221" w:lineRule="auto"/>
              <w:rPr>
                <w:sz w:val="20"/>
                <w:szCs w:val="20"/>
              </w:rPr>
            </w:pPr>
            <w:r w:rsidRPr="008E7D6A">
              <w:rPr>
                <w:rFonts w:ascii="Arial" w:hAnsi="Arial"/>
                <w:sz w:val="20"/>
                <w:szCs w:val="20"/>
              </w:rPr>
              <w:t>A critical review of GenAI policies in higher education assessment: A call to reconsider the “originality” of students’ work</w:t>
            </w:r>
          </w:p>
        </w:tc>
        <w:tc>
          <w:tcPr>
            <w:tcW w:w="3672" w:type="dxa"/>
          </w:tcPr>
          <w:p w14:paraId="7E61AB12" w14:textId="77777777" w:rsidR="003D52C5" w:rsidRPr="008E7D6A" w:rsidRDefault="003D52C5" w:rsidP="00316D81">
            <w:pPr>
              <w:spacing w:line="221" w:lineRule="auto"/>
              <w:rPr>
                <w:sz w:val="20"/>
                <w:szCs w:val="20"/>
              </w:rPr>
            </w:pPr>
            <w:r w:rsidRPr="008E7D6A">
              <w:rPr>
                <w:rFonts w:ascii="Arial" w:hAnsi="Arial"/>
                <w:sz w:val="20"/>
                <w:szCs w:val="20"/>
              </w:rPr>
              <w:t>AI adoption; implementation; assessment; stakeholder engagement</w:t>
            </w:r>
          </w:p>
        </w:tc>
        <w:tc>
          <w:tcPr>
            <w:tcW w:w="3672" w:type="dxa"/>
          </w:tcPr>
          <w:p w14:paraId="03ECCA1A" w14:textId="2592F278"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20ECDDFE" w14:textId="77777777" w:rsidTr="00316D81">
        <w:trPr>
          <w:jc w:val="center"/>
        </w:trPr>
        <w:tc>
          <w:tcPr>
            <w:tcW w:w="605" w:type="dxa"/>
          </w:tcPr>
          <w:p w14:paraId="04553015" w14:textId="77777777" w:rsidR="003D52C5" w:rsidRPr="008E7D6A" w:rsidRDefault="003D52C5" w:rsidP="00316D81">
            <w:pPr>
              <w:spacing w:line="221" w:lineRule="auto"/>
              <w:jc w:val="center"/>
              <w:rPr>
                <w:sz w:val="20"/>
                <w:szCs w:val="20"/>
              </w:rPr>
            </w:pPr>
            <w:r w:rsidRPr="008E7D6A">
              <w:rPr>
                <w:rFonts w:ascii="Arial" w:hAnsi="Arial"/>
                <w:sz w:val="20"/>
                <w:szCs w:val="20"/>
              </w:rPr>
              <w:t>80</w:t>
            </w:r>
          </w:p>
        </w:tc>
        <w:tc>
          <w:tcPr>
            <w:tcW w:w="2088" w:type="dxa"/>
          </w:tcPr>
          <w:p w14:paraId="53223985" w14:textId="77777777" w:rsidR="003D52C5" w:rsidRPr="008E7D6A" w:rsidRDefault="003D52C5" w:rsidP="00316D81">
            <w:pPr>
              <w:spacing w:line="221" w:lineRule="auto"/>
              <w:rPr>
                <w:sz w:val="20"/>
                <w:szCs w:val="20"/>
              </w:rPr>
            </w:pPr>
            <w:r w:rsidRPr="008E7D6A">
              <w:rPr>
                <w:rFonts w:ascii="Arial" w:hAnsi="Arial"/>
                <w:sz w:val="20"/>
                <w:szCs w:val="20"/>
              </w:rPr>
              <w:t>Mantymaki et al. (2022)</w:t>
            </w:r>
          </w:p>
        </w:tc>
        <w:tc>
          <w:tcPr>
            <w:tcW w:w="5976" w:type="dxa"/>
          </w:tcPr>
          <w:p w14:paraId="63057D61" w14:textId="77777777" w:rsidR="003D52C5" w:rsidRPr="008E7D6A" w:rsidRDefault="003D52C5" w:rsidP="00316D81">
            <w:pPr>
              <w:spacing w:line="221" w:lineRule="auto"/>
              <w:rPr>
                <w:sz w:val="20"/>
                <w:szCs w:val="20"/>
              </w:rPr>
            </w:pPr>
            <w:r w:rsidRPr="008E7D6A">
              <w:rPr>
                <w:rFonts w:ascii="Arial" w:hAnsi="Arial"/>
                <w:sz w:val="20"/>
                <w:szCs w:val="20"/>
              </w:rPr>
              <w:t>Defining organisational AI governance</w:t>
            </w:r>
          </w:p>
        </w:tc>
        <w:tc>
          <w:tcPr>
            <w:tcW w:w="3672" w:type="dxa"/>
          </w:tcPr>
          <w:p w14:paraId="64A7D8D0"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163596F4" w14:textId="110A98C1"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5C6796A2" w14:textId="77777777" w:rsidTr="00316D81">
        <w:trPr>
          <w:jc w:val="center"/>
        </w:trPr>
        <w:tc>
          <w:tcPr>
            <w:tcW w:w="605" w:type="dxa"/>
          </w:tcPr>
          <w:p w14:paraId="3A0D1A76" w14:textId="77777777" w:rsidR="003D52C5" w:rsidRPr="008E7D6A" w:rsidRDefault="003D52C5" w:rsidP="00316D81">
            <w:pPr>
              <w:spacing w:line="221" w:lineRule="auto"/>
              <w:jc w:val="center"/>
              <w:rPr>
                <w:sz w:val="20"/>
                <w:szCs w:val="20"/>
              </w:rPr>
            </w:pPr>
            <w:r w:rsidRPr="008E7D6A">
              <w:rPr>
                <w:rFonts w:ascii="Arial" w:hAnsi="Arial"/>
                <w:sz w:val="20"/>
                <w:szCs w:val="20"/>
              </w:rPr>
              <w:t>81</w:t>
            </w:r>
          </w:p>
        </w:tc>
        <w:tc>
          <w:tcPr>
            <w:tcW w:w="2088" w:type="dxa"/>
          </w:tcPr>
          <w:p w14:paraId="23BCFBC2" w14:textId="77777777" w:rsidR="003D52C5" w:rsidRPr="008E7D6A" w:rsidRDefault="003D52C5" w:rsidP="00316D81">
            <w:pPr>
              <w:spacing w:line="221" w:lineRule="auto"/>
              <w:rPr>
                <w:sz w:val="20"/>
                <w:szCs w:val="20"/>
              </w:rPr>
            </w:pPr>
            <w:r w:rsidRPr="008E7D6A">
              <w:rPr>
                <w:rFonts w:ascii="Arial" w:hAnsi="Arial"/>
                <w:sz w:val="20"/>
                <w:szCs w:val="20"/>
              </w:rPr>
              <w:t>Marin et al. (2025)</w:t>
            </w:r>
          </w:p>
        </w:tc>
        <w:tc>
          <w:tcPr>
            <w:tcW w:w="5976" w:type="dxa"/>
          </w:tcPr>
          <w:p w14:paraId="2413019E" w14:textId="77777777" w:rsidR="003D52C5" w:rsidRPr="008E7D6A" w:rsidRDefault="003D52C5" w:rsidP="00316D81">
            <w:pPr>
              <w:spacing w:line="221" w:lineRule="auto"/>
              <w:rPr>
                <w:sz w:val="20"/>
                <w:szCs w:val="20"/>
              </w:rPr>
            </w:pPr>
            <w:r w:rsidRPr="008E7D6A">
              <w:rPr>
                <w:rFonts w:ascii="Arial" w:hAnsi="Arial"/>
                <w:sz w:val="20"/>
                <w:szCs w:val="20"/>
              </w:rPr>
              <w:t>Ethical Challenges Associated with the Use of Artificial Intelligence in Higher Education</w:t>
            </w:r>
          </w:p>
        </w:tc>
        <w:tc>
          <w:tcPr>
            <w:tcW w:w="3672" w:type="dxa"/>
          </w:tcPr>
          <w:p w14:paraId="0831D076"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ethics/responsible AI</w:t>
            </w:r>
          </w:p>
        </w:tc>
        <w:tc>
          <w:tcPr>
            <w:tcW w:w="3672" w:type="dxa"/>
          </w:tcPr>
          <w:p w14:paraId="7A16EBF9"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011658D5" w14:textId="77777777" w:rsidTr="00316D81">
        <w:trPr>
          <w:jc w:val="center"/>
        </w:trPr>
        <w:tc>
          <w:tcPr>
            <w:tcW w:w="605" w:type="dxa"/>
          </w:tcPr>
          <w:p w14:paraId="0D0AA357" w14:textId="77777777" w:rsidR="003D52C5" w:rsidRPr="008E7D6A" w:rsidRDefault="003D52C5" w:rsidP="00316D81">
            <w:pPr>
              <w:spacing w:line="221" w:lineRule="auto"/>
              <w:jc w:val="center"/>
              <w:rPr>
                <w:sz w:val="20"/>
                <w:szCs w:val="20"/>
              </w:rPr>
            </w:pPr>
            <w:r w:rsidRPr="008E7D6A">
              <w:rPr>
                <w:rFonts w:ascii="Arial" w:hAnsi="Arial"/>
                <w:sz w:val="20"/>
                <w:szCs w:val="20"/>
              </w:rPr>
              <w:t>82</w:t>
            </w:r>
          </w:p>
        </w:tc>
        <w:tc>
          <w:tcPr>
            <w:tcW w:w="2088" w:type="dxa"/>
          </w:tcPr>
          <w:p w14:paraId="6C28F5F4" w14:textId="77777777" w:rsidR="003D52C5" w:rsidRPr="008E7D6A" w:rsidRDefault="003D52C5" w:rsidP="00316D81">
            <w:pPr>
              <w:spacing w:line="221" w:lineRule="auto"/>
              <w:rPr>
                <w:sz w:val="20"/>
                <w:szCs w:val="20"/>
              </w:rPr>
            </w:pPr>
            <w:r w:rsidRPr="008E7D6A">
              <w:rPr>
                <w:rFonts w:ascii="Arial" w:hAnsi="Arial"/>
                <w:sz w:val="20"/>
                <w:szCs w:val="20"/>
              </w:rPr>
              <w:t>Matovic et al. (2023)</w:t>
            </w:r>
          </w:p>
        </w:tc>
        <w:tc>
          <w:tcPr>
            <w:tcW w:w="5976" w:type="dxa"/>
          </w:tcPr>
          <w:p w14:paraId="7A707810" w14:textId="77777777" w:rsidR="003D52C5" w:rsidRPr="008E7D6A" w:rsidRDefault="003D52C5" w:rsidP="00316D81">
            <w:pPr>
              <w:spacing w:line="221" w:lineRule="auto"/>
              <w:rPr>
                <w:sz w:val="20"/>
                <w:szCs w:val="20"/>
              </w:rPr>
            </w:pPr>
            <w:r w:rsidRPr="008E7D6A">
              <w:rPr>
                <w:rFonts w:ascii="Arial" w:hAnsi="Arial"/>
                <w:sz w:val="20"/>
                <w:szCs w:val="20"/>
              </w:rPr>
              <w:t>Interaction of quantitative and qualitative methodology in mixed methods research: integration and/or combination</w:t>
            </w:r>
          </w:p>
        </w:tc>
        <w:tc>
          <w:tcPr>
            <w:tcW w:w="3672" w:type="dxa"/>
          </w:tcPr>
          <w:p w14:paraId="47BB09B4"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 mixed-method integration</w:t>
            </w:r>
          </w:p>
        </w:tc>
        <w:tc>
          <w:tcPr>
            <w:tcW w:w="3672" w:type="dxa"/>
          </w:tcPr>
          <w:p w14:paraId="6D701D06" w14:textId="428AEBD9"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49700F29" w14:textId="77777777" w:rsidTr="00316D81">
        <w:trPr>
          <w:jc w:val="center"/>
        </w:trPr>
        <w:tc>
          <w:tcPr>
            <w:tcW w:w="605" w:type="dxa"/>
          </w:tcPr>
          <w:p w14:paraId="515A9B5A" w14:textId="77777777" w:rsidR="003D52C5" w:rsidRPr="008E7D6A" w:rsidRDefault="003D52C5" w:rsidP="00316D81">
            <w:pPr>
              <w:spacing w:line="221" w:lineRule="auto"/>
              <w:jc w:val="center"/>
              <w:rPr>
                <w:sz w:val="20"/>
                <w:szCs w:val="20"/>
              </w:rPr>
            </w:pPr>
            <w:r w:rsidRPr="008E7D6A">
              <w:rPr>
                <w:rFonts w:ascii="Arial" w:hAnsi="Arial"/>
                <w:sz w:val="20"/>
                <w:szCs w:val="20"/>
              </w:rPr>
              <w:t>83</w:t>
            </w:r>
          </w:p>
        </w:tc>
        <w:tc>
          <w:tcPr>
            <w:tcW w:w="2088" w:type="dxa"/>
          </w:tcPr>
          <w:p w14:paraId="1C069979" w14:textId="77777777" w:rsidR="003D52C5" w:rsidRPr="008E7D6A" w:rsidRDefault="003D52C5" w:rsidP="00316D81">
            <w:pPr>
              <w:spacing w:line="221" w:lineRule="auto"/>
              <w:rPr>
                <w:sz w:val="20"/>
                <w:szCs w:val="20"/>
              </w:rPr>
            </w:pPr>
            <w:r w:rsidRPr="008E7D6A">
              <w:rPr>
                <w:rFonts w:ascii="Arial" w:hAnsi="Arial"/>
                <w:sz w:val="20"/>
                <w:szCs w:val="20"/>
              </w:rPr>
              <w:t>McDonald et al. (2025)</w:t>
            </w:r>
          </w:p>
        </w:tc>
        <w:tc>
          <w:tcPr>
            <w:tcW w:w="5976" w:type="dxa"/>
          </w:tcPr>
          <w:p w14:paraId="443A8ABA" w14:textId="77777777" w:rsidR="003D52C5" w:rsidRPr="008E7D6A" w:rsidRDefault="003D52C5" w:rsidP="00316D81">
            <w:pPr>
              <w:spacing w:line="221" w:lineRule="auto"/>
              <w:rPr>
                <w:sz w:val="20"/>
                <w:szCs w:val="20"/>
              </w:rPr>
            </w:pPr>
            <w:r w:rsidRPr="008E7D6A">
              <w:rPr>
                <w:rFonts w:ascii="Arial" w:hAnsi="Arial"/>
                <w:sz w:val="20"/>
                <w:szCs w:val="20"/>
              </w:rPr>
              <w:t>Generative artificial intelligence in higher education: Evidence from an analysis of institutional policies and guidelines</w:t>
            </w:r>
          </w:p>
        </w:tc>
        <w:tc>
          <w:tcPr>
            <w:tcW w:w="3672" w:type="dxa"/>
          </w:tcPr>
          <w:p w14:paraId="14E8DE42"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w:t>
            </w:r>
          </w:p>
        </w:tc>
        <w:tc>
          <w:tcPr>
            <w:tcW w:w="3672" w:type="dxa"/>
          </w:tcPr>
          <w:p w14:paraId="44A357E7" w14:textId="57CE7C2F"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2D34C5FB" w14:textId="77777777" w:rsidTr="00316D81">
        <w:trPr>
          <w:jc w:val="center"/>
        </w:trPr>
        <w:tc>
          <w:tcPr>
            <w:tcW w:w="605" w:type="dxa"/>
          </w:tcPr>
          <w:p w14:paraId="6B02745B" w14:textId="77777777" w:rsidR="003D52C5" w:rsidRPr="008E7D6A" w:rsidRDefault="003D52C5" w:rsidP="00316D81">
            <w:pPr>
              <w:spacing w:line="221" w:lineRule="auto"/>
              <w:jc w:val="center"/>
              <w:rPr>
                <w:sz w:val="20"/>
                <w:szCs w:val="20"/>
              </w:rPr>
            </w:pPr>
            <w:r w:rsidRPr="008E7D6A">
              <w:rPr>
                <w:rFonts w:ascii="Arial" w:hAnsi="Arial"/>
                <w:sz w:val="20"/>
                <w:szCs w:val="20"/>
              </w:rPr>
              <w:t>84</w:t>
            </w:r>
          </w:p>
        </w:tc>
        <w:tc>
          <w:tcPr>
            <w:tcW w:w="2088" w:type="dxa"/>
          </w:tcPr>
          <w:p w14:paraId="5836A671" w14:textId="77777777" w:rsidR="003D52C5" w:rsidRPr="008E7D6A" w:rsidRDefault="003D52C5" w:rsidP="00316D81">
            <w:pPr>
              <w:spacing w:line="221" w:lineRule="auto"/>
              <w:rPr>
                <w:sz w:val="20"/>
                <w:szCs w:val="20"/>
              </w:rPr>
            </w:pPr>
            <w:r w:rsidRPr="008E7D6A">
              <w:rPr>
                <w:rFonts w:ascii="Arial" w:hAnsi="Arial"/>
                <w:sz w:val="20"/>
                <w:szCs w:val="20"/>
              </w:rPr>
              <w:t>Mehrabi et al. (2021)</w:t>
            </w:r>
          </w:p>
        </w:tc>
        <w:tc>
          <w:tcPr>
            <w:tcW w:w="5976" w:type="dxa"/>
          </w:tcPr>
          <w:p w14:paraId="439C1FBB" w14:textId="77777777" w:rsidR="003D52C5" w:rsidRPr="008E7D6A" w:rsidRDefault="003D52C5" w:rsidP="00316D81">
            <w:pPr>
              <w:spacing w:line="221" w:lineRule="auto"/>
              <w:rPr>
                <w:sz w:val="20"/>
                <w:szCs w:val="20"/>
              </w:rPr>
            </w:pPr>
            <w:r w:rsidRPr="008E7D6A">
              <w:rPr>
                <w:rFonts w:ascii="Arial" w:hAnsi="Arial"/>
                <w:sz w:val="20"/>
                <w:szCs w:val="20"/>
              </w:rPr>
              <w:t>A survey on bias and fairness in machine learning</w:t>
            </w:r>
          </w:p>
        </w:tc>
        <w:tc>
          <w:tcPr>
            <w:tcW w:w="3672" w:type="dxa"/>
          </w:tcPr>
          <w:p w14:paraId="577A2B3D" w14:textId="77777777" w:rsidR="003D52C5" w:rsidRPr="008E7D6A" w:rsidRDefault="003D52C5" w:rsidP="00316D81">
            <w:pPr>
              <w:spacing w:line="221" w:lineRule="auto"/>
              <w:rPr>
                <w:sz w:val="20"/>
                <w:szCs w:val="20"/>
              </w:rPr>
            </w:pPr>
            <w:r w:rsidRPr="008E7D6A">
              <w:rPr>
                <w:rFonts w:ascii="Arial" w:hAnsi="Arial"/>
                <w:sz w:val="20"/>
                <w:szCs w:val="20"/>
              </w:rPr>
              <w:t>teaching/learning; ethics/responsible AI; fairness; algorithmic bias; privacy/data protection</w:t>
            </w:r>
          </w:p>
        </w:tc>
        <w:tc>
          <w:tcPr>
            <w:tcW w:w="3672" w:type="dxa"/>
          </w:tcPr>
          <w:p w14:paraId="04D9A8FE"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5109221A" w14:textId="77777777" w:rsidTr="00316D81">
        <w:trPr>
          <w:jc w:val="center"/>
        </w:trPr>
        <w:tc>
          <w:tcPr>
            <w:tcW w:w="605" w:type="dxa"/>
          </w:tcPr>
          <w:p w14:paraId="5C9C0061" w14:textId="77777777" w:rsidR="003D52C5" w:rsidRPr="008E7D6A" w:rsidRDefault="003D52C5" w:rsidP="00316D81">
            <w:pPr>
              <w:spacing w:line="221" w:lineRule="auto"/>
              <w:jc w:val="center"/>
              <w:rPr>
                <w:sz w:val="20"/>
                <w:szCs w:val="20"/>
              </w:rPr>
            </w:pPr>
            <w:r w:rsidRPr="008E7D6A">
              <w:rPr>
                <w:rFonts w:ascii="Arial" w:hAnsi="Arial"/>
                <w:sz w:val="20"/>
                <w:szCs w:val="20"/>
              </w:rPr>
              <w:t>85</w:t>
            </w:r>
          </w:p>
        </w:tc>
        <w:tc>
          <w:tcPr>
            <w:tcW w:w="2088" w:type="dxa"/>
          </w:tcPr>
          <w:p w14:paraId="67C76D0A" w14:textId="77777777" w:rsidR="003D52C5" w:rsidRPr="008E7D6A" w:rsidRDefault="003D52C5" w:rsidP="00316D81">
            <w:pPr>
              <w:spacing w:line="221" w:lineRule="auto"/>
              <w:rPr>
                <w:sz w:val="20"/>
                <w:szCs w:val="20"/>
              </w:rPr>
            </w:pPr>
            <w:r w:rsidRPr="008E7D6A">
              <w:rPr>
                <w:rFonts w:ascii="Arial" w:hAnsi="Arial"/>
                <w:sz w:val="20"/>
                <w:szCs w:val="20"/>
              </w:rPr>
              <w:t>Memarian et al. (2023)</w:t>
            </w:r>
          </w:p>
        </w:tc>
        <w:tc>
          <w:tcPr>
            <w:tcW w:w="5976" w:type="dxa"/>
          </w:tcPr>
          <w:p w14:paraId="68AF16BC" w14:textId="77777777" w:rsidR="003D52C5" w:rsidRPr="008E7D6A" w:rsidRDefault="003D52C5" w:rsidP="00316D81">
            <w:pPr>
              <w:spacing w:line="221" w:lineRule="auto"/>
              <w:rPr>
                <w:sz w:val="20"/>
                <w:szCs w:val="20"/>
              </w:rPr>
            </w:pPr>
            <w:r w:rsidRPr="008E7D6A">
              <w:rPr>
                <w:rFonts w:ascii="Arial" w:hAnsi="Arial"/>
                <w:sz w:val="20"/>
                <w:szCs w:val="20"/>
              </w:rPr>
              <w:t>Fairness, accountability, transparency, and ethics (FATE) in artificial intelligence (AI) and higher education: A systematic review</w:t>
            </w:r>
          </w:p>
        </w:tc>
        <w:tc>
          <w:tcPr>
            <w:tcW w:w="3672" w:type="dxa"/>
          </w:tcPr>
          <w:p w14:paraId="20081F0A"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729B75F5"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E0427EF" w14:textId="77777777" w:rsidTr="00316D81">
        <w:trPr>
          <w:jc w:val="center"/>
        </w:trPr>
        <w:tc>
          <w:tcPr>
            <w:tcW w:w="605" w:type="dxa"/>
          </w:tcPr>
          <w:p w14:paraId="666E2113" w14:textId="77777777" w:rsidR="003D52C5" w:rsidRPr="008E7D6A" w:rsidRDefault="003D52C5" w:rsidP="00316D81">
            <w:pPr>
              <w:spacing w:line="221" w:lineRule="auto"/>
              <w:jc w:val="center"/>
              <w:rPr>
                <w:sz w:val="20"/>
                <w:szCs w:val="20"/>
              </w:rPr>
            </w:pPr>
            <w:r w:rsidRPr="008E7D6A">
              <w:rPr>
                <w:rFonts w:ascii="Arial" w:hAnsi="Arial"/>
                <w:sz w:val="20"/>
                <w:szCs w:val="20"/>
              </w:rPr>
              <w:t>86</w:t>
            </w:r>
          </w:p>
        </w:tc>
        <w:tc>
          <w:tcPr>
            <w:tcW w:w="2088" w:type="dxa"/>
          </w:tcPr>
          <w:p w14:paraId="29F7C9BE" w14:textId="77777777" w:rsidR="003D52C5" w:rsidRPr="008E7D6A" w:rsidRDefault="003D52C5" w:rsidP="00316D81">
            <w:pPr>
              <w:spacing w:line="221" w:lineRule="auto"/>
              <w:rPr>
                <w:sz w:val="20"/>
                <w:szCs w:val="20"/>
              </w:rPr>
            </w:pPr>
            <w:r w:rsidRPr="008E7D6A">
              <w:rPr>
                <w:rFonts w:ascii="Arial" w:hAnsi="Arial"/>
                <w:sz w:val="20"/>
                <w:szCs w:val="20"/>
              </w:rPr>
              <w:t>Mercier et al. (2023)</w:t>
            </w:r>
          </w:p>
        </w:tc>
        <w:tc>
          <w:tcPr>
            <w:tcW w:w="5976" w:type="dxa"/>
          </w:tcPr>
          <w:p w14:paraId="220350D2" w14:textId="77777777" w:rsidR="003D52C5" w:rsidRPr="008E7D6A" w:rsidRDefault="003D52C5" w:rsidP="00316D81">
            <w:pPr>
              <w:spacing w:line="221" w:lineRule="auto"/>
              <w:rPr>
                <w:sz w:val="20"/>
                <w:szCs w:val="20"/>
              </w:rPr>
            </w:pPr>
            <w:r w:rsidRPr="008E7D6A">
              <w:rPr>
                <w:rFonts w:ascii="Arial" w:hAnsi="Arial"/>
                <w:sz w:val="20"/>
                <w:szCs w:val="20"/>
              </w:rPr>
              <w:t>Fine Companions: Critical Realism and Framework Analysis</w:t>
            </w:r>
          </w:p>
        </w:tc>
        <w:tc>
          <w:tcPr>
            <w:tcW w:w="3672" w:type="dxa"/>
          </w:tcPr>
          <w:p w14:paraId="7440571C" w14:textId="77777777" w:rsidR="003D52C5" w:rsidRPr="008E7D6A" w:rsidRDefault="003D52C5" w:rsidP="00316D81">
            <w:pPr>
              <w:spacing w:line="221" w:lineRule="auto"/>
              <w:rPr>
                <w:sz w:val="20"/>
                <w:szCs w:val="20"/>
              </w:rPr>
            </w:pPr>
            <w:r w:rsidRPr="008E7D6A">
              <w:rPr>
                <w:rFonts w:ascii="Arial" w:hAnsi="Arial"/>
                <w:sz w:val="20"/>
                <w:szCs w:val="20"/>
              </w:rPr>
              <w:t>critical realism; ontology/epistemology</w:t>
            </w:r>
          </w:p>
        </w:tc>
        <w:tc>
          <w:tcPr>
            <w:tcW w:w="3672" w:type="dxa"/>
          </w:tcPr>
          <w:p w14:paraId="635AD0AB" w14:textId="4E73D595"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91CD925" w14:textId="77777777" w:rsidTr="00316D81">
        <w:trPr>
          <w:jc w:val="center"/>
        </w:trPr>
        <w:tc>
          <w:tcPr>
            <w:tcW w:w="605" w:type="dxa"/>
          </w:tcPr>
          <w:p w14:paraId="707CC04E" w14:textId="77777777" w:rsidR="003D52C5" w:rsidRPr="008E7D6A" w:rsidRDefault="003D52C5" w:rsidP="00316D81">
            <w:pPr>
              <w:spacing w:line="221" w:lineRule="auto"/>
              <w:jc w:val="center"/>
              <w:rPr>
                <w:sz w:val="20"/>
                <w:szCs w:val="20"/>
              </w:rPr>
            </w:pPr>
            <w:r w:rsidRPr="008E7D6A">
              <w:rPr>
                <w:rFonts w:ascii="Arial" w:hAnsi="Arial"/>
                <w:sz w:val="20"/>
                <w:szCs w:val="20"/>
              </w:rPr>
              <w:t>87</w:t>
            </w:r>
          </w:p>
        </w:tc>
        <w:tc>
          <w:tcPr>
            <w:tcW w:w="2088" w:type="dxa"/>
          </w:tcPr>
          <w:p w14:paraId="7CEA7149" w14:textId="77777777" w:rsidR="003D52C5" w:rsidRPr="008E7D6A" w:rsidRDefault="003D52C5" w:rsidP="00316D81">
            <w:pPr>
              <w:spacing w:line="221" w:lineRule="auto"/>
              <w:rPr>
                <w:sz w:val="20"/>
                <w:szCs w:val="20"/>
              </w:rPr>
            </w:pPr>
            <w:r w:rsidRPr="008E7D6A">
              <w:rPr>
                <w:rFonts w:ascii="Arial" w:hAnsi="Arial"/>
                <w:sz w:val="20"/>
                <w:szCs w:val="20"/>
              </w:rPr>
              <w:t>Mikalef et al. (2021)</w:t>
            </w:r>
          </w:p>
        </w:tc>
        <w:tc>
          <w:tcPr>
            <w:tcW w:w="5976" w:type="dxa"/>
          </w:tcPr>
          <w:p w14:paraId="4908EE96" w14:textId="77777777" w:rsidR="003D52C5" w:rsidRPr="008E7D6A" w:rsidRDefault="003D52C5" w:rsidP="00316D81">
            <w:pPr>
              <w:spacing w:line="221" w:lineRule="auto"/>
              <w:rPr>
                <w:sz w:val="20"/>
                <w:szCs w:val="20"/>
              </w:rPr>
            </w:pPr>
            <w:r w:rsidRPr="008E7D6A">
              <w:rPr>
                <w:rFonts w:ascii="Arial" w:hAnsi="Arial"/>
                <w:sz w:val="20"/>
                <w:szCs w:val="20"/>
              </w:rPr>
              <w:t>Artificial intelligence capability: Conceptualisation, measurement calibration, and empirical study on its impact on organisational creativity and firm performance</w:t>
            </w:r>
          </w:p>
        </w:tc>
        <w:tc>
          <w:tcPr>
            <w:tcW w:w="3672" w:type="dxa"/>
          </w:tcPr>
          <w:p w14:paraId="76B5CE13"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organisational capability</w:t>
            </w:r>
          </w:p>
        </w:tc>
        <w:tc>
          <w:tcPr>
            <w:tcW w:w="3672" w:type="dxa"/>
          </w:tcPr>
          <w:p w14:paraId="37AFAA16" w14:textId="36CF3DC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5DC8B4C6" w14:textId="77777777" w:rsidTr="00316D81">
        <w:trPr>
          <w:jc w:val="center"/>
        </w:trPr>
        <w:tc>
          <w:tcPr>
            <w:tcW w:w="605" w:type="dxa"/>
          </w:tcPr>
          <w:p w14:paraId="12C34167" w14:textId="77777777" w:rsidR="003D52C5" w:rsidRPr="008E7D6A" w:rsidRDefault="003D52C5" w:rsidP="00316D81">
            <w:pPr>
              <w:spacing w:line="221" w:lineRule="auto"/>
              <w:jc w:val="center"/>
              <w:rPr>
                <w:sz w:val="20"/>
                <w:szCs w:val="20"/>
              </w:rPr>
            </w:pPr>
            <w:r w:rsidRPr="008E7D6A">
              <w:rPr>
                <w:rFonts w:ascii="Arial" w:hAnsi="Arial"/>
                <w:sz w:val="20"/>
                <w:szCs w:val="20"/>
              </w:rPr>
              <w:t>88</w:t>
            </w:r>
          </w:p>
        </w:tc>
        <w:tc>
          <w:tcPr>
            <w:tcW w:w="2088" w:type="dxa"/>
          </w:tcPr>
          <w:p w14:paraId="67B0C18A" w14:textId="77777777" w:rsidR="003D52C5" w:rsidRPr="008E7D6A" w:rsidRDefault="003D52C5" w:rsidP="00316D81">
            <w:pPr>
              <w:spacing w:line="221" w:lineRule="auto"/>
              <w:rPr>
                <w:sz w:val="20"/>
                <w:szCs w:val="20"/>
              </w:rPr>
            </w:pPr>
            <w:r w:rsidRPr="008E7D6A">
              <w:rPr>
                <w:rFonts w:ascii="Arial" w:hAnsi="Arial"/>
                <w:sz w:val="20"/>
                <w:szCs w:val="20"/>
              </w:rPr>
              <w:t>Misra et al. (2026)</w:t>
            </w:r>
          </w:p>
        </w:tc>
        <w:tc>
          <w:tcPr>
            <w:tcW w:w="5976" w:type="dxa"/>
          </w:tcPr>
          <w:p w14:paraId="02FDC306" w14:textId="77777777" w:rsidR="003D52C5" w:rsidRPr="008E7D6A" w:rsidRDefault="003D52C5" w:rsidP="00316D81">
            <w:pPr>
              <w:spacing w:line="221" w:lineRule="auto"/>
              <w:rPr>
                <w:sz w:val="20"/>
                <w:szCs w:val="20"/>
              </w:rPr>
            </w:pPr>
            <w:r w:rsidRPr="008E7D6A">
              <w:rPr>
                <w:rFonts w:ascii="Arial" w:hAnsi="Arial"/>
                <w:sz w:val="20"/>
                <w:szCs w:val="20"/>
              </w:rPr>
              <w:t>Self-Regulated Learning and Governance of AI in Higher Education</w:t>
            </w:r>
          </w:p>
        </w:tc>
        <w:tc>
          <w:tcPr>
            <w:tcW w:w="3672" w:type="dxa"/>
          </w:tcPr>
          <w:p w14:paraId="5C2F6245" w14:textId="77777777" w:rsidR="003D52C5" w:rsidRPr="008E7D6A" w:rsidRDefault="003D52C5" w:rsidP="00316D81">
            <w:pPr>
              <w:spacing w:line="221" w:lineRule="auto"/>
              <w:rPr>
                <w:sz w:val="20"/>
                <w:szCs w:val="20"/>
              </w:rPr>
            </w:pPr>
            <w:r w:rsidRPr="008E7D6A">
              <w:rPr>
                <w:rFonts w:ascii="Arial" w:hAnsi="Arial"/>
                <w:sz w:val="20"/>
                <w:szCs w:val="20"/>
              </w:rPr>
              <w:t>teaching/learning; governance structures; institutional policy; regulatory compliance; stakeholder engagement</w:t>
            </w:r>
          </w:p>
        </w:tc>
        <w:tc>
          <w:tcPr>
            <w:tcW w:w="3672" w:type="dxa"/>
          </w:tcPr>
          <w:p w14:paraId="20D9C78A" w14:textId="71B9A395"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4C2AD476" w14:textId="77777777" w:rsidTr="00316D81">
        <w:trPr>
          <w:jc w:val="center"/>
        </w:trPr>
        <w:tc>
          <w:tcPr>
            <w:tcW w:w="605" w:type="dxa"/>
          </w:tcPr>
          <w:p w14:paraId="77CC003E" w14:textId="77777777" w:rsidR="003D52C5" w:rsidRPr="008E7D6A" w:rsidRDefault="003D52C5" w:rsidP="00316D81">
            <w:pPr>
              <w:spacing w:line="221" w:lineRule="auto"/>
              <w:jc w:val="center"/>
              <w:rPr>
                <w:sz w:val="20"/>
                <w:szCs w:val="20"/>
              </w:rPr>
            </w:pPr>
            <w:r w:rsidRPr="008E7D6A">
              <w:rPr>
                <w:rFonts w:ascii="Arial" w:hAnsi="Arial"/>
                <w:sz w:val="20"/>
                <w:szCs w:val="20"/>
              </w:rPr>
              <w:t>89</w:t>
            </w:r>
          </w:p>
        </w:tc>
        <w:tc>
          <w:tcPr>
            <w:tcW w:w="2088" w:type="dxa"/>
          </w:tcPr>
          <w:p w14:paraId="68325570" w14:textId="77777777" w:rsidR="003D52C5" w:rsidRPr="008E7D6A" w:rsidRDefault="003D52C5" w:rsidP="00316D81">
            <w:pPr>
              <w:spacing w:line="221" w:lineRule="auto"/>
              <w:rPr>
                <w:sz w:val="20"/>
                <w:szCs w:val="20"/>
              </w:rPr>
            </w:pPr>
            <w:r w:rsidRPr="008E7D6A">
              <w:rPr>
                <w:rFonts w:ascii="Arial" w:hAnsi="Arial"/>
                <w:sz w:val="20"/>
                <w:szCs w:val="20"/>
              </w:rPr>
              <w:t>Moore et al. (2024)</w:t>
            </w:r>
          </w:p>
        </w:tc>
        <w:tc>
          <w:tcPr>
            <w:tcW w:w="5976" w:type="dxa"/>
          </w:tcPr>
          <w:p w14:paraId="6E04A0E5" w14:textId="77777777" w:rsidR="003D52C5" w:rsidRPr="008E7D6A" w:rsidRDefault="003D52C5" w:rsidP="00316D81">
            <w:pPr>
              <w:spacing w:line="221" w:lineRule="auto"/>
              <w:rPr>
                <w:sz w:val="20"/>
                <w:szCs w:val="20"/>
              </w:rPr>
            </w:pPr>
            <w:r w:rsidRPr="008E7D6A">
              <w:rPr>
                <w:rFonts w:ascii="Arial" w:hAnsi="Arial"/>
                <w:sz w:val="20"/>
                <w:szCs w:val="20"/>
              </w:rPr>
              <w:t>Communicating clear guidance: Advice for generative AI policy development in higher education</w:t>
            </w:r>
          </w:p>
        </w:tc>
        <w:tc>
          <w:tcPr>
            <w:tcW w:w="3672" w:type="dxa"/>
          </w:tcPr>
          <w:p w14:paraId="429D7105"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institutional policy; stakeholder engagement</w:t>
            </w:r>
          </w:p>
        </w:tc>
        <w:tc>
          <w:tcPr>
            <w:tcW w:w="3672" w:type="dxa"/>
          </w:tcPr>
          <w:p w14:paraId="2D05A229" w14:textId="2B792273"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E2840CD" w14:textId="77777777" w:rsidTr="00316D81">
        <w:trPr>
          <w:jc w:val="center"/>
        </w:trPr>
        <w:tc>
          <w:tcPr>
            <w:tcW w:w="605" w:type="dxa"/>
          </w:tcPr>
          <w:p w14:paraId="22259D58"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90</w:t>
            </w:r>
          </w:p>
        </w:tc>
        <w:tc>
          <w:tcPr>
            <w:tcW w:w="2088" w:type="dxa"/>
          </w:tcPr>
          <w:p w14:paraId="1811F0B8" w14:textId="77777777" w:rsidR="003D52C5" w:rsidRPr="008E7D6A" w:rsidRDefault="003D52C5" w:rsidP="00316D81">
            <w:pPr>
              <w:spacing w:line="221" w:lineRule="auto"/>
              <w:rPr>
                <w:sz w:val="20"/>
                <w:szCs w:val="20"/>
              </w:rPr>
            </w:pPr>
            <w:r w:rsidRPr="008E7D6A">
              <w:rPr>
                <w:rFonts w:ascii="Arial" w:hAnsi="Arial"/>
                <w:sz w:val="20"/>
                <w:szCs w:val="20"/>
              </w:rPr>
              <w:t>Moorhouse et al. (2023)</w:t>
            </w:r>
          </w:p>
        </w:tc>
        <w:tc>
          <w:tcPr>
            <w:tcW w:w="5976" w:type="dxa"/>
          </w:tcPr>
          <w:p w14:paraId="034C7BB8" w14:textId="77777777" w:rsidR="003D52C5" w:rsidRPr="008E7D6A" w:rsidRDefault="003D52C5" w:rsidP="00316D81">
            <w:pPr>
              <w:spacing w:line="221" w:lineRule="auto"/>
              <w:rPr>
                <w:sz w:val="20"/>
                <w:szCs w:val="20"/>
              </w:rPr>
            </w:pPr>
            <w:r w:rsidRPr="008E7D6A">
              <w:rPr>
                <w:rFonts w:ascii="Arial" w:hAnsi="Arial"/>
                <w:sz w:val="20"/>
                <w:szCs w:val="20"/>
              </w:rPr>
              <w:t>Generative AI tools and assessment: Guidelines of the world’s top-ranking universities</w:t>
            </w:r>
          </w:p>
        </w:tc>
        <w:tc>
          <w:tcPr>
            <w:tcW w:w="3672" w:type="dxa"/>
          </w:tcPr>
          <w:p w14:paraId="2832F027"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assessment; stakeholder engagement</w:t>
            </w:r>
          </w:p>
        </w:tc>
        <w:tc>
          <w:tcPr>
            <w:tcW w:w="3672" w:type="dxa"/>
          </w:tcPr>
          <w:p w14:paraId="4533C563" w14:textId="5A71518D"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5F3D4A6B" w14:textId="77777777" w:rsidTr="00316D81">
        <w:trPr>
          <w:jc w:val="center"/>
        </w:trPr>
        <w:tc>
          <w:tcPr>
            <w:tcW w:w="605" w:type="dxa"/>
          </w:tcPr>
          <w:p w14:paraId="194AF083" w14:textId="77777777" w:rsidR="003D52C5" w:rsidRPr="008E7D6A" w:rsidRDefault="003D52C5" w:rsidP="00316D81">
            <w:pPr>
              <w:spacing w:line="221" w:lineRule="auto"/>
              <w:jc w:val="center"/>
              <w:rPr>
                <w:sz w:val="20"/>
                <w:szCs w:val="20"/>
              </w:rPr>
            </w:pPr>
            <w:r w:rsidRPr="008E7D6A">
              <w:rPr>
                <w:rFonts w:ascii="Arial" w:hAnsi="Arial"/>
                <w:sz w:val="20"/>
                <w:szCs w:val="20"/>
              </w:rPr>
              <w:t>91</w:t>
            </w:r>
          </w:p>
        </w:tc>
        <w:tc>
          <w:tcPr>
            <w:tcW w:w="2088" w:type="dxa"/>
          </w:tcPr>
          <w:p w14:paraId="6AF984C3" w14:textId="77777777" w:rsidR="003D52C5" w:rsidRPr="008E7D6A" w:rsidRDefault="003D52C5" w:rsidP="00316D81">
            <w:pPr>
              <w:spacing w:line="221" w:lineRule="auto"/>
              <w:rPr>
                <w:sz w:val="20"/>
                <w:szCs w:val="20"/>
              </w:rPr>
            </w:pPr>
            <w:r w:rsidRPr="008E7D6A">
              <w:rPr>
                <w:rFonts w:ascii="Arial" w:hAnsi="Arial"/>
                <w:sz w:val="20"/>
                <w:szCs w:val="20"/>
              </w:rPr>
              <w:t>Morrison et al. (2012)</w:t>
            </w:r>
          </w:p>
        </w:tc>
        <w:tc>
          <w:tcPr>
            <w:tcW w:w="5976" w:type="dxa"/>
          </w:tcPr>
          <w:p w14:paraId="01672F5E" w14:textId="77777777" w:rsidR="003D52C5" w:rsidRPr="008E7D6A" w:rsidRDefault="003D52C5" w:rsidP="00316D81">
            <w:pPr>
              <w:spacing w:line="221" w:lineRule="auto"/>
              <w:rPr>
                <w:sz w:val="20"/>
                <w:szCs w:val="20"/>
              </w:rPr>
            </w:pPr>
            <w:r w:rsidRPr="008E7D6A">
              <w:rPr>
                <w:rFonts w:ascii="Arial" w:hAnsi="Arial"/>
                <w:sz w:val="20"/>
                <w:szCs w:val="20"/>
              </w:rPr>
              <w:t>The effect of English-language restriction on systematic review-based meta-analyses: a systematic review of empirical studies</w:t>
            </w:r>
          </w:p>
        </w:tc>
        <w:tc>
          <w:tcPr>
            <w:tcW w:w="3672" w:type="dxa"/>
          </w:tcPr>
          <w:p w14:paraId="6E90ECCE"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systematic review</w:t>
            </w:r>
          </w:p>
        </w:tc>
        <w:tc>
          <w:tcPr>
            <w:tcW w:w="3672" w:type="dxa"/>
          </w:tcPr>
          <w:p w14:paraId="48D99BDD" w14:textId="1FA51A80"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5DCA012A" w14:textId="77777777" w:rsidTr="00316D81">
        <w:trPr>
          <w:jc w:val="center"/>
        </w:trPr>
        <w:tc>
          <w:tcPr>
            <w:tcW w:w="605" w:type="dxa"/>
          </w:tcPr>
          <w:p w14:paraId="4D5CE29B" w14:textId="77777777" w:rsidR="003D52C5" w:rsidRPr="008E7D6A" w:rsidRDefault="003D52C5" w:rsidP="00316D81">
            <w:pPr>
              <w:spacing w:line="221" w:lineRule="auto"/>
              <w:jc w:val="center"/>
              <w:rPr>
                <w:sz w:val="20"/>
                <w:szCs w:val="20"/>
              </w:rPr>
            </w:pPr>
            <w:r w:rsidRPr="008E7D6A">
              <w:rPr>
                <w:rFonts w:ascii="Arial" w:hAnsi="Arial"/>
                <w:sz w:val="20"/>
                <w:szCs w:val="20"/>
              </w:rPr>
              <w:t>92</w:t>
            </w:r>
          </w:p>
        </w:tc>
        <w:tc>
          <w:tcPr>
            <w:tcW w:w="2088" w:type="dxa"/>
          </w:tcPr>
          <w:p w14:paraId="7F6E382F" w14:textId="77777777" w:rsidR="003D52C5" w:rsidRPr="008E7D6A" w:rsidRDefault="003D52C5" w:rsidP="00316D81">
            <w:pPr>
              <w:spacing w:line="221" w:lineRule="auto"/>
              <w:rPr>
                <w:sz w:val="20"/>
                <w:szCs w:val="20"/>
              </w:rPr>
            </w:pPr>
            <w:r w:rsidRPr="008E7D6A">
              <w:rPr>
                <w:rFonts w:ascii="Arial" w:hAnsi="Arial"/>
                <w:sz w:val="20"/>
                <w:szCs w:val="20"/>
              </w:rPr>
              <w:t>Mosha et al. (2026)</w:t>
            </w:r>
          </w:p>
        </w:tc>
        <w:tc>
          <w:tcPr>
            <w:tcW w:w="5976" w:type="dxa"/>
          </w:tcPr>
          <w:p w14:paraId="426E6826" w14:textId="77777777" w:rsidR="003D52C5" w:rsidRPr="008E7D6A" w:rsidRDefault="003D52C5" w:rsidP="00316D81">
            <w:pPr>
              <w:spacing w:line="221" w:lineRule="auto"/>
              <w:rPr>
                <w:sz w:val="20"/>
                <w:szCs w:val="20"/>
              </w:rPr>
            </w:pPr>
            <w:r w:rsidRPr="008E7D6A">
              <w:rPr>
                <w:rFonts w:ascii="Arial" w:hAnsi="Arial"/>
                <w:sz w:val="20"/>
                <w:szCs w:val="20"/>
              </w:rPr>
              <w:t>A systematic review of artificial intelligence in higher education institutions (HEIs): Functionalities, challenges, and best practices</w:t>
            </w:r>
          </w:p>
        </w:tc>
        <w:tc>
          <w:tcPr>
            <w:tcW w:w="3672" w:type="dxa"/>
          </w:tcPr>
          <w:p w14:paraId="209E4410"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 systematic review</w:t>
            </w:r>
          </w:p>
        </w:tc>
        <w:tc>
          <w:tcPr>
            <w:tcW w:w="3672" w:type="dxa"/>
          </w:tcPr>
          <w:p w14:paraId="72A5CD83" w14:textId="55875DE7"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1479243B" w14:textId="77777777" w:rsidTr="00316D81">
        <w:trPr>
          <w:jc w:val="center"/>
        </w:trPr>
        <w:tc>
          <w:tcPr>
            <w:tcW w:w="605" w:type="dxa"/>
          </w:tcPr>
          <w:p w14:paraId="299B9BB9" w14:textId="77777777" w:rsidR="003D52C5" w:rsidRPr="008E7D6A" w:rsidRDefault="003D52C5" w:rsidP="00316D81">
            <w:pPr>
              <w:spacing w:line="221" w:lineRule="auto"/>
              <w:jc w:val="center"/>
              <w:rPr>
                <w:sz w:val="20"/>
                <w:szCs w:val="20"/>
              </w:rPr>
            </w:pPr>
            <w:r w:rsidRPr="008E7D6A">
              <w:rPr>
                <w:rFonts w:ascii="Arial" w:hAnsi="Arial"/>
                <w:sz w:val="20"/>
                <w:szCs w:val="20"/>
              </w:rPr>
              <w:t>93</w:t>
            </w:r>
          </w:p>
        </w:tc>
        <w:tc>
          <w:tcPr>
            <w:tcW w:w="2088" w:type="dxa"/>
          </w:tcPr>
          <w:p w14:paraId="51B1DE86" w14:textId="77777777" w:rsidR="003D52C5" w:rsidRPr="008E7D6A" w:rsidRDefault="003D52C5" w:rsidP="00316D81">
            <w:pPr>
              <w:spacing w:line="221" w:lineRule="auto"/>
              <w:rPr>
                <w:sz w:val="20"/>
                <w:szCs w:val="20"/>
              </w:rPr>
            </w:pPr>
            <w:r w:rsidRPr="008E7D6A">
              <w:rPr>
                <w:rFonts w:ascii="Arial" w:hAnsi="Arial"/>
                <w:sz w:val="20"/>
                <w:szCs w:val="20"/>
              </w:rPr>
              <w:t>Nartey, A. (2024)</w:t>
            </w:r>
          </w:p>
        </w:tc>
        <w:tc>
          <w:tcPr>
            <w:tcW w:w="5976" w:type="dxa"/>
          </w:tcPr>
          <w:p w14:paraId="2FB29E1C" w14:textId="77777777" w:rsidR="003D52C5" w:rsidRPr="008E7D6A" w:rsidRDefault="003D52C5" w:rsidP="00316D81">
            <w:pPr>
              <w:spacing w:line="221" w:lineRule="auto"/>
              <w:rPr>
                <w:sz w:val="20"/>
                <w:szCs w:val="20"/>
              </w:rPr>
            </w:pPr>
            <w:r w:rsidRPr="008E7D6A">
              <w:rPr>
                <w:rFonts w:ascii="Arial" w:hAnsi="Arial"/>
                <w:sz w:val="20"/>
                <w:szCs w:val="20"/>
              </w:rPr>
              <w:t>Guiding principles of generative AI for employability and learning in UK universities</w:t>
            </w:r>
          </w:p>
        </w:tc>
        <w:tc>
          <w:tcPr>
            <w:tcW w:w="3672" w:type="dxa"/>
          </w:tcPr>
          <w:p w14:paraId="7268736F"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teaching/learning; stakeholder engagement</w:t>
            </w:r>
          </w:p>
        </w:tc>
        <w:tc>
          <w:tcPr>
            <w:tcW w:w="3672" w:type="dxa"/>
          </w:tcPr>
          <w:p w14:paraId="2C214C4E" w14:textId="0330CB10"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4BF1CEA0" w14:textId="77777777" w:rsidTr="00316D81">
        <w:trPr>
          <w:jc w:val="center"/>
        </w:trPr>
        <w:tc>
          <w:tcPr>
            <w:tcW w:w="605" w:type="dxa"/>
          </w:tcPr>
          <w:p w14:paraId="066FA163" w14:textId="77777777" w:rsidR="003D52C5" w:rsidRPr="008E7D6A" w:rsidRDefault="003D52C5" w:rsidP="00316D81">
            <w:pPr>
              <w:spacing w:line="221" w:lineRule="auto"/>
              <w:jc w:val="center"/>
              <w:rPr>
                <w:sz w:val="20"/>
                <w:szCs w:val="20"/>
              </w:rPr>
            </w:pPr>
            <w:r w:rsidRPr="008E7D6A">
              <w:rPr>
                <w:rFonts w:ascii="Arial" w:hAnsi="Arial"/>
                <w:sz w:val="20"/>
                <w:szCs w:val="20"/>
              </w:rPr>
              <w:t>94</w:t>
            </w:r>
          </w:p>
        </w:tc>
        <w:tc>
          <w:tcPr>
            <w:tcW w:w="2088" w:type="dxa"/>
          </w:tcPr>
          <w:p w14:paraId="038EFE0D" w14:textId="77777777" w:rsidR="003D52C5" w:rsidRPr="008E7D6A" w:rsidRDefault="003D52C5" w:rsidP="00316D81">
            <w:pPr>
              <w:spacing w:line="221" w:lineRule="auto"/>
              <w:rPr>
                <w:sz w:val="20"/>
                <w:szCs w:val="20"/>
              </w:rPr>
            </w:pPr>
            <w:r w:rsidRPr="008E7D6A">
              <w:rPr>
                <w:rFonts w:ascii="Arial" w:hAnsi="Arial"/>
                <w:sz w:val="20"/>
                <w:szCs w:val="20"/>
              </w:rPr>
              <w:t>Nnaji et al. (2026)</w:t>
            </w:r>
          </w:p>
        </w:tc>
        <w:tc>
          <w:tcPr>
            <w:tcW w:w="5976" w:type="dxa"/>
          </w:tcPr>
          <w:p w14:paraId="1FB4FD36" w14:textId="77777777" w:rsidR="003D52C5" w:rsidRPr="008E7D6A" w:rsidRDefault="003D52C5" w:rsidP="00316D81">
            <w:pPr>
              <w:spacing w:line="221" w:lineRule="auto"/>
              <w:rPr>
                <w:sz w:val="20"/>
                <w:szCs w:val="20"/>
              </w:rPr>
            </w:pPr>
            <w:r w:rsidRPr="008E7D6A">
              <w:rPr>
                <w:rFonts w:ascii="Arial" w:hAnsi="Arial"/>
                <w:sz w:val="20"/>
                <w:szCs w:val="20"/>
              </w:rPr>
              <w:t>Enhancing governance and performance in Nigerian higher education through AI-driven digital transformation: Insights from stakeholder perspectives</w:t>
            </w:r>
          </w:p>
        </w:tc>
        <w:tc>
          <w:tcPr>
            <w:tcW w:w="3672" w:type="dxa"/>
          </w:tcPr>
          <w:p w14:paraId="7D62B4D7"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4EC08D19" w14:textId="2A52D6B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090B4180" w14:textId="77777777" w:rsidTr="00316D81">
        <w:trPr>
          <w:jc w:val="center"/>
        </w:trPr>
        <w:tc>
          <w:tcPr>
            <w:tcW w:w="605" w:type="dxa"/>
          </w:tcPr>
          <w:p w14:paraId="1690A219" w14:textId="77777777" w:rsidR="003D52C5" w:rsidRPr="008E7D6A" w:rsidRDefault="003D52C5" w:rsidP="00316D81">
            <w:pPr>
              <w:spacing w:line="221" w:lineRule="auto"/>
              <w:jc w:val="center"/>
              <w:rPr>
                <w:sz w:val="20"/>
                <w:szCs w:val="20"/>
              </w:rPr>
            </w:pPr>
            <w:r w:rsidRPr="008E7D6A">
              <w:rPr>
                <w:rFonts w:ascii="Arial" w:hAnsi="Arial"/>
                <w:sz w:val="20"/>
                <w:szCs w:val="20"/>
              </w:rPr>
              <w:t>95</w:t>
            </w:r>
          </w:p>
        </w:tc>
        <w:tc>
          <w:tcPr>
            <w:tcW w:w="2088" w:type="dxa"/>
          </w:tcPr>
          <w:p w14:paraId="45A767FB" w14:textId="77777777" w:rsidR="003D52C5" w:rsidRPr="008E7D6A" w:rsidRDefault="003D52C5" w:rsidP="00316D81">
            <w:pPr>
              <w:spacing w:line="221" w:lineRule="auto"/>
              <w:rPr>
                <w:sz w:val="20"/>
                <w:szCs w:val="20"/>
              </w:rPr>
            </w:pPr>
            <w:r w:rsidRPr="008E7D6A">
              <w:rPr>
                <w:rFonts w:ascii="Arial" w:hAnsi="Arial"/>
                <w:sz w:val="20"/>
                <w:szCs w:val="20"/>
              </w:rPr>
              <w:t>Ocen et al. (2025)</w:t>
            </w:r>
          </w:p>
        </w:tc>
        <w:tc>
          <w:tcPr>
            <w:tcW w:w="5976" w:type="dxa"/>
          </w:tcPr>
          <w:p w14:paraId="424CEC4A" w14:textId="77777777" w:rsidR="003D52C5" w:rsidRPr="008E7D6A" w:rsidRDefault="003D52C5" w:rsidP="00316D81">
            <w:pPr>
              <w:spacing w:line="221" w:lineRule="auto"/>
              <w:rPr>
                <w:sz w:val="20"/>
                <w:szCs w:val="20"/>
              </w:rPr>
            </w:pPr>
            <w:r w:rsidRPr="008E7D6A">
              <w:rPr>
                <w:rFonts w:ascii="Arial" w:hAnsi="Arial"/>
                <w:sz w:val="20"/>
                <w:szCs w:val="20"/>
              </w:rPr>
              <w:t>Artificial intelligence in higher education institutions: review of innovations, opportunities and challenges</w:t>
            </w:r>
          </w:p>
        </w:tc>
        <w:tc>
          <w:tcPr>
            <w:tcW w:w="3672" w:type="dxa"/>
          </w:tcPr>
          <w:p w14:paraId="1C11A023"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6B391C9A" w14:textId="13D55EC0"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3DA4F1A5" w14:textId="77777777" w:rsidTr="00316D81">
        <w:trPr>
          <w:jc w:val="center"/>
        </w:trPr>
        <w:tc>
          <w:tcPr>
            <w:tcW w:w="605" w:type="dxa"/>
          </w:tcPr>
          <w:p w14:paraId="0FDC813A" w14:textId="77777777" w:rsidR="003D52C5" w:rsidRPr="008E7D6A" w:rsidRDefault="003D52C5" w:rsidP="00316D81">
            <w:pPr>
              <w:spacing w:line="221" w:lineRule="auto"/>
              <w:jc w:val="center"/>
              <w:rPr>
                <w:sz w:val="20"/>
                <w:szCs w:val="20"/>
              </w:rPr>
            </w:pPr>
            <w:r w:rsidRPr="008E7D6A">
              <w:rPr>
                <w:rFonts w:ascii="Arial" w:hAnsi="Arial"/>
                <w:sz w:val="20"/>
                <w:szCs w:val="20"/>
              </w:rPr>
              <w:t>96</w:t>
            </w:r>
          </w:p>
        </w:tc>
        <w:tc>
          <w:tcPr>
            <w:tcW w:w="2088" w:type="dxa"/>
          </w:tcPr>
          <w:p w14:paraId="19564A9D" w14:textId="77777777" w:rsidR="003D52C5" w:rsidRPr="008E7D6A" w:rsidRDefault="003D52C5" w:rsidP="00316D81">
            <w:pPr>
              <w:spacing w:line="221" w:lineRule="auto"/>
              <w:rPr>
                <w:sz w:val="20"/>
                <w:szCs w:val="20"/>
              </w:rPr>
            </w:pPr>
            <w:r w:rsidRPr="008E7D6A">
              <w:rPr>
                <w:rFonts w:ascii="Arial" w:hAnsi="Arial"/>
                <w:sz w:val="20"/>
                <w:szCs w:val="20"/>
              </w:rPr>
              <w:t>OECD (2019)</w:t>
            </w:r>
          </w:p>
        </w:tc>
        <w:tc>
          <w:tcPr>
            <w:tcW w:w="5976" w:type="dxa"/>
          </w:tcPr>
          <w:p w14:paraId="1E7939E3" w14:textId="77777777" w:rsidR="003D52C5" w:rsidRPr="008E7D6A" w:rsidRDefault="003D52C5" w:rsidP="00316D81">
            <w:pPr>
              <w:spacing w:line="221" w:lineRule="auto"/>
              <w:rPr>
                <w:sz w:val="20"/>
                <w:szCs w:val="20"/>
              </w:rPr>
            </w:pPr>
            <w:r w:rsidRPr="008E7D6A">
              <w:rPr>
                <w:rFonts w:ascii="Arial" w:hAnsi="Arial"/>
                <w:sz w:val="20"/>
                <w:szCs w:val="20"/>
              </w:rPr>
              <w:t>What are the OECD Principles on AI?</w:t>
            </w:r>
          </w:p>
        </w:tc>
        <w:tc>
          <w:tcPr>
            <w:tcW w:w="3672" w:type="dxa"/>
          </w:tcPr>
          <w:p w14:paraId="2BAE6C91"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w:t>
            </w:r>
          </w:p>
        </w:tc>
        <w:tc>
          <w:tcPr>
            <w:tcW w:w="3672" w:type="dxa"/>
          </w:tcPr>
          <w:p w14:paraId="5D87CBDE" w14:textId="5CE69BC8"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2E39C369" w14:textId="77777777" w:rsidTr="00316D81">
        <w:trPr>
          <w:jc w:val="center"/>
        </w:trPr>
        <w:tc>
          <w:tcPr>
            <w:tcW w:w="605" w:type="dxa"/>
          </w:tcPr>
          <w:p w14:paraId="7BD7134A" w14:textId="77777777" w:rsidR="003D52C5" w:rsidRPr="008E7D6A" w:rsidRDefault="003D52C5" w:rsidP="00316D81">
            <w:pPr>
              <w:spacing w:line="221" w:lineRule="auto"/>
              <w:jc w:val="center"/>
              <w:rPr>
                <w:sz w:val="20"/>
                <w:szCs w:val="20"/>
              </w:rPr>
            </w:pPr>
            <w:r w:rsidRPr="008E7D6A">
              <w:rPr>
                <w:rFonts w:ascii="Arial" w:hAnsi="Arial"/>
                <w:sz w:val="20"/>
                <w:szCs w:val="20"/>
              </w:rPr>
              <w:t>97</w:t>
            </w:r>
          </w:p>
        </w:tc>
        <w:tc>
          <w:tcPr>
            <w:tcW w:w="2088" w:type="dxa"/>
          </w:tcPr>
          <w:p w14:paraId="050C019C" w14:textId="77777777" w:rsidR="003D52C5" w:rsidRPr="008E7D6A" w:rsidRDefault="003D52C5" w:rsidP="00316D81">
            <w:pPr>
              <w:spacing w:line="221" w:lineRule="auto"/>
              <w:rPr>
                <w:sz w:val="20"/>
                <w:szCs w:val="20"/>
              </w:rPr>
            </w:pPr>
            <w:r w:rsidRPr="008E7D6A">
              <w:rPr>
                <w:rFonts w:ascii="Arial" w:hAnsi="Arial"/>
                <w:sz w:val="20"/>
                <w:szCs w:val="20"/>
              </w:rPr>
              <w:t>OECD (2026)</w:t>
            </w:r>
          </w:p>
        </w:tc>
        <w:tc>
          <w:tcPr>
            <w:tcW w:w="5976" w:type="dxa"/>
          </w:tcPr>
          <w:p w14:paraId="38A67DBD" w14:textId="77777777" w:rsidR="003D52C5" w:rsidRPr="008E7D6A" w:rsidRDefault="003D52C5" w:rsidP="00316D81">
            <w:pPr>
              <w:spacing w:line="221" w:lineRule="auto"/>
              <w:rPr>
                <w:sz w:val="20"/>
                <w:szCs w:val="20"/>
              </w:rPr>
            </w:pPr>
            <w:r w:rsidRPr="008E7D6A">
              <w:rPr>
                <w:rFonts w:ascii="Arial" w:hAnsi="Arial"/>
                <w:sz w:val="20"/>
                <w:szCs w:val="20"/>
              </w:rPr>
              <w:t>Policies supporting responsible and systematic GenAI adoption in higher education. OECD Education Spotlights, No. 23</w:t>
            </w:r>
          </w:p>
        </w:tc>
        <w:tc>
          <w:tcPr>
            <w:tcW w:w="3672" w:type="dxa"/>
          </w:tcPr>
          <w:p w14:paraId="66327ABF"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399BEF58" w14:textId="2F7AA738"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88AF481" w14:textId="77777777" w:rsidTr="00316D81">
        <w:trPr>
          <w:jc w:val="center"/>
        </w:trPr>
        <w:tc>
          <w:tcPr>
            <w:tcW w:w="605" w:type="dxa"/>
          </w:tcPr>
          <w:p w14:paraId="790A4EB6" w14:textId="77777777" w:rsidR="003D52C5" w:rsidRPr="008E7D6A" w:rsidRDefault="003D52C5" w:rsidP="00316D81">
            <w:pPr>
              <w:spacing w:line="221" w:lineRule="auto"/>
              <w:jc w:val="center"/>
              <w:rPr>
                <w:sz w:val="20"/>
                <w:szCs w:val="20"/>
              </w:rPr>
            </w:pPr>
            <w:r w:rsidRPr="008E7D6A">
              <w:rPr>
                <w:rFonts w:ascii="Arial" w:hAnsi="Arial"/>
                <w:sz w:val="20"/>
                <w:szCs w:val="20"/>
              </w:rPr>
              <w:t>98</w:t>
            </w:r>
          </w:p>
        </w:tc>
        <w:tc>
          <w:tcPr>
            <w:tcW w:w="2088" w:type="dxa"/>
          </w:tcPr>
          <w:p w14:paraId="1B7A8578" w14:textId="77777777" w:rsidR="003D52C5" w:rsidRPr="008E7D6A" w:rsidRDefault="003D52C5" w:rsidP="00316D81">
            <w:pPr>
              <w:spacing w:line="221" w:lineRule="auto"/>
              <w:rPr>
                <w:sz w:val="20"/>
                <w:szCs w:val="20"/>
              </w:rPr>
            </w:pPr>
            <w:r w:rsidRPr="008E7D6A">
              <w:rPr>
                <w:rFonts w:ascii="Arial" w:hAnsi="Arial"/>
                <w:sz w:val="20"/>
                <w:szCs w:val="20"/>
              </w:rPr>
              <w:t>Oh et al. (2025)</w:t>
            </w:r>
          </w:p>
        </w:tc>
        <w:tc>
          <w:tcPr>
            <w:tcW w:w="5976" w:type="dxa"/>
          </w:tcPr>
          <w:p w14:paraId="465F0F0E" w14:textId="77777777" w:rsidR="003D52C5" w:rsidRPr="008E7D6A" w:rsidRDefault="003D52C5" w:rsidP="00316D81">
            <w:pPr>
              <w:spacing w:line="221" w:lineRule="auto"/>
              <w:rPr>
                <w:sz w:val="20"/>
                <w:szCs w:val="20"/>
              </w:rPr>
            </w:pPr>
            <w:r w:rsidRPr="008E7D6A">
              <w:rPr>
                <w:rFonts w:ascii="Arial" w:hAnsi="Arial"/>
                <w:sz w:val="20"/>
                <w:szCs w:val="20"/>
              </w:rPr>
              <w:t>Responsible AI in academia: policies and guidelines in US universities</w:t>
            </w:r>
          </w:p>
        </w:tc>
        <w:tc>
          <w:tcPr>
            <w:tcW w:w="3672" w:type="dxa"/>
          </w:tcPr>
          <w:p w14:paraId="47D16A58"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47E99F24"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4D0366F" w14:textId="77777777" w:rsidTr="00316D81">
        <w:trPr>
          <w:jc w:val="center"/>
        </w:trPr>
        <w:tc>
          <w:tcPr>
            <w:tcW w:w="605" w:type="dxa"/>
          </w:tcPr>
          <w:p w14:paraId="35D2DD31" w14:textId="77777777" w:rsidR="003D52C5" w:rsidRPr="008E7D6A" w:rsidRDefault="003D52C5" w:rsidP="00316D81">
            <w:pPr>
              <w:spacing w:line="221" w:lineRule="auto"/>
              <w:jc w:val="center"/>
              <w:rPr>
                <w:sz w:val="20"/>
                <w:szCs w:val="20"/>
              </w:rPr>
            </w:pPr>
            <w:r w:rsidRPr="008E7D6A">
              <w:rPr>
                <w:rFonts w:ascii="Arial" w:hAnsi="Arial"/>
                <w:sz w:val="20"/>
                <w:szCs w:val="20"/>
              </w:rPr>
              <w:t>99</w:t>
            </w:r>
          </w:p>
        </w:tc>
        <w:tc>
          <w:tcPr>
            <w:tcW w:w="2088" w:type="dxa"/>
          </w:tcPr>
          <w:p w14:paraId="757C82F4" w14:textId="77777777" w:rsidR="003D52C5" w:rsidRPr="008E7D6A" w:rsidRDefault="003D52C5" w:rsidP="00316D81">
            <w:pPr>
              <w:spacing w:line="221" w:lineRule="auto"/>
              <w:rPr>
                <w:sz w:val="20"/>
                <w:szCs w:val="20"/>
              </w:rPr>
            </w:pPr>
            <w:r w:rsidRPr="008E7D6A">
              <w:rPr>
                <w:rFonts w:ascii="Arial" w:hAnsi="Arial"/>
                <w:sz w:val="20"/>
                <w:szCs w:val="20"/>
              </w:rPr>
              <w:t>Olmos-Vega et al. (2023)</w:t>
            </w:r>
          </w:p>
        </w:tc>
        <w:tc>
          <w:tcPr>
            <w:tcW w:w="5976" w:type="dxa"/>
          </w:tcPr>
          <w:p w14:paraId="44B8C8E5" w14:textId="77777777" w:rsidR="003D52C5" w:rsidRPr="008E7D6A" w:rsidRDefault="003D52C5" w:rsidP="00316D81">
            <w:pPr>
              <w:spacing w:line="221" w:lineRule="auto"/>
              <w:rPr>
                <w:sz w:val="20"/>
                <w:szCs w:val="20"/>
              </w:rPr>
            </w:pPr>
            <w:r w:rsidRPr="008E7D6A">
              <w:rPr>
                <w:rFonts w:ascii="Arial" w:hAnsi="Arial"/>
                <w:sz w:val="20"/>
                <w:szCs w:val="20"/>
              </w:rPr>
              <w:t>A practical guide to reflexivity in qualitative research: AMEE Guide No. 149</w:t>
            </w:r>
          </w:p>
        </w:tc>
        <w:tc>
          <w:tcPr>
            <w:tcW w:w="3672" w:type="dxa"/>
          </w:tcPr>
          <w:p w14:paraId="7FFFD593"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14B1672F" w14:textId="037865B4"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6AA9C085" w14:textId="77777777" w:rsidTr="00316D81">
        <w:trPr>
          <w:jc w:val="center"/>
        </w:trPr>
        <w:tc>
          <w:tcPr>
            <w:tcW w:w="605" w:type="dxa"/>
          </w:tcPr>
          <w:p w14:paraId="72C541A6" w14:textId="77777777" w:rsidR="003D52C5" w:rsidRPr="008E7D6A" w:rsidRDefault="003D52C5" w:rsidP="00316D81">
            <w:pPr>
              <w:spacing w:line="221" w:lineRule="auto"/>
              <w:jc w:val="center"/>
              <w:rPr>
                <w:sz w:val="20"/>
                <w:szCs w:val="20"/>
              </w:rPr>
            </w:pPr>
            <w:r w:rsidRPr="008E7D6A">
              <w:rPr>
                <w:rFonts w:ascii="Arial" w:hAnsi="Arial"/>
                <w:sz w:val="20"/>
                <w:szCs w:val="20"/>
              </w:rPr>
              <w:t>100</w:t>
            </w:r>
          </w:p>
        </w:tc>
        <w:tc>
          <w:tcPr>
            <w:tcW w:w="2088" w:type="dxa"/>
          </w:tcPr>
          <w:p w14:paraId="14746AEE" w14:textId="77777777" w:rsidR="003D52C5" w:rsidRPr="008E7D6A" w:rsidRDefault="003D52C5" w:rsidP="00316D81">
            <w:pPr>
              <w:spacing w:line="221" w:lineRule="auto"/>
              <w:rPr>
                <w:sz w:val="20"/>
                <w:szCs w:val="20"/>
              </w:rPr>
            </w:pPr>
            <w:r w:rsidRPr="008E7D6A">
              <w:rPr>
                <w:rFonts w:ascii="Arial" w:hAnsi="Arial"/>
                <w:sz w:val="20"/>
                <w:szCs w:val="20"/>
              </w:rPr>
              <w:t>Oncioiu et al. (2025)</w:t>
            </w:r>
          </w:p>
        </w:tc>
        <w:tc>
          <w:tcPr>
            <w:tcW w:w="5976" w:type="dxa"/>
          </w:tcPr>
          <w:p w14:paraId="5136D60C" w14:textId="77777777" w:rsidR="003D52C5" w:rsidRPr="008E7D6A" w:rsidRDefault="003D52C5" w:rsidP="00316D81">
            <w:pPr>
              <w:spacing w:line="221" w:lineRule="auto"/>
              <w:rPr>
                <w:sz w:val="20"/>
                <w:szCs w:val="20"/>
              </w:rPr>
            </w:pPr>
            <w:r w:rsidRPr="008E7D6A">
              <w:rPr>
                <w:rFonts w:ascii="Arial" w:hAnsi="Arial"/>
                <w:sz w:val="20"/>
                <w:szCs w:val="20"/>
              </w:rPr>
              <w:t>Artificial Intelligence Governance in Higher Education: The Role of Knowledge-Based Strategies in Fostering Legal Awareness and Ethical Artificial Intelligence Literacy</w:t>
            </w:r>
          </w:p>
        </w:tc>
        <w:tc>
          <w:tcPr>
            <w:tcW w:w="3672" w:type="dxa"/>
          </w:tcPr>
          <w:p w14:paraId="3FBE5CEE"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04FFF6BF"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70DABE1B" w14:textId="77777777" w:rsidTr="00316D81">
        <w:trPr>
          <w:jc w:val="center"/>
        </w:trPr>
        <w:tc>
          <w:tcPr>
            <w:tcW w:w="605" w:type="dxa"/>
          </w:tcPr>
          <w:p w14:paraId="0D4BA4EE" w14:textId="77777777" w:rsidR="003D52C5" w:rsidRPr="008E7D6A" w:rsidRDefault="003D52C5" w:rsidP="00316D81">
            <w:pPr>
              <w:spacing w:line="221" w:lineRule="auto"/>
              <w:jc w:val="center"/>
              <w:rPr>
                <w:sz w:val="20"/>
                <w:szCs w:val="20"/>
              </w:rPr>
            </w:pPr>
            <w:r w:rsidRPr="008E7D6A">
              <w:rPr>
                <w:rFonts w:ascii="Arial" w:hAnsi="Arial"/>
                <w:sz w:val="20"/>
                <w:szCs w:val="20"/>
              </w:rPr>
              <w:t>101</w:t>
            </w:r>
          </w:p>
        </w:tc>
        <w:tc>
          <w:tcPr>
            <w:tcW w:w="2088" w:type="dxa"/>
          </w:tcPr>
          <w:p w14:paraId="2A03068B" w14:textId="77777777" w:rsidR="003D52C5" w:rsidRPr="008E7D6A" w:rsidRDefault="003D52C5" w:rsidP="00316D81">
            <w:pPr>
              <w:spacing w:line="221" w:lineRule="auto"/>
              <w:rPr>
                <w:sz w:val="20"/>
                <w:szCs w:val="20"/>
              </w:rPr>
            </w:pPr>
            <w:r w:rsidRPr="008E7D6A">
              <w:rPr>
                <w:rFonts w:ascii="Arial" w:hAnsi="Arial"/>
                <w:sz w:val="20"/>
                <w:szCs w:val="20"/>
              </w:rPr>
              <w:t>Pak, C. (2022)</w:t>
            </w:r>
          </w:p>
        </w:tc>
        <w:tc>
          <w:tcPr>
            <w:tcW w:w="5976" w:type="dxa"/>
          </w:tcPr>
          <w:p w14:paraId="511ED24B" w14:textId="77777777" w:rsidR="003D52C5" w:rsidRPr="008E7D6A" w:rsidRDefault="003D52C5" w:rsidP="00316D81">
            <w:pPr>
              <w:spacing w:line="221" w:lineRule="auto"/>
              <w:rPr>
                <w:sz w:val="20"/>
                <w:szCs w:val="20"/>
              </w:rPr>
            </w:pPr>
            <w:r w:rsidRPr="008E7D6A">
              <w:rPr>
                <w:rFonts w:ascii="Arial" w:hAnsi="Arial"/>
                <w:sz w:val="20"/>
                <w:szCs w:val="20"/>
              </w:rPr>
              <w:t>Responsible AI and algorithm governance: An institutional perspective</w:t>
            </w:r>
          </w:p>
        </w:tc>
        <w:tc>
          <w:tcPr>
            <w:tcW w:w="3672" w:type="dxa"/>
          </w:tcPr>
          <w:p w14:paraId="2676723F"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29099D0D"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3CC8CA55" w14:textId="77777777" w:rsidTr="00316D81">
        <w:trPr>
          <w:jc w:val="center"/>
        </w:trPr>
        <w:tc>
          <w:tcPr>
            <w:tcW w:w="605" w:type="dxa"/>
          </w:tcPr>
          <w:p w14:paraId="12BC0F77" w14:textId="77777777" w:rsidR="003D52C5" w:rsidRPr="008E7D6A" w:rsidRDefault="003D52C5" w:rsidP="00316D81">
            <w:pPr>
              <w:spacing w:line="221" w:lineRule="auto"/>
              <w:jc w:val="center"/>
              <w:rPr>
                <w:sz w:val="20"/>
                <w:szCs w:val="20"/>
              </w:rPr>
            </w:pPr>
            <w:r w:rsidRPr="008E7D6A">
              <w:rPr>
                <w:rFonts w:ascii="Arial" w:hAnsi="Arial"/>
                <w:sz w:val="20"/>
                <w:szCs w:val="20"/>
              </w:rPr>
              <w:t>102</w:t>
            </w:r>
          </w:p>
        </w:tc>
        <w:tc>
          <w:tcPr>
            <w:tcW w:w="2088" w:type="dxa"/>
          </w:tcPr>
          <w:p w14:paraId="53AA133C" w14:textId="77777777" w:rsidR="003D52C5" w:rsidRPr="008E7D6A" w:rsidRDefault="003D52C5" w:rsidP="00316D81">
            <w:pPr>
              <w:spacing w:line="221" w:lineRule="auto"/>
              <w:rPr>
                <w:sz w:val="20"/>
                <w:szCs w:val="20"/>
              </w:rPr>
            </w:pPr>
            <w:r w:rsidRPr="008E7D6A">
              <w:rPr>
                <w:rFonts w:ascii="Arial" w:hAnsi="Arial"/>
                <w:sz w:val="20"/>
                <w:szCs w:val="20"/>
              </w:rPr>
              <w:t>Papagiannidis et al. (2025)</w:t>
            </w:r>
          </w:p>
        </w:tc>
        <w:tc>
          <w:tcPr>
            <w:tcW w:w="5976" w:type="dxa"/>
          </w:tcPr>
          <w:p w14:paraId="3EB0B7D1" w14:textId="77777777" w:rsidR="003D52C5" w:rsidRPr="008E7D6A" w:rsidRDefault="003D52C5" w:rsidP="00316D81">
            <w:pPr>
              <w:spacing w:line="221" w:lineRule="auto"/>
              <w:rPr>
                <w:sz w:val="20"/>
                <w:szCs w:val="20"/>
              </w:rPr>
            </w:pPr>
            <w:r w:rsidRPr="008E7D6A">
              <w:rPr>
                <w:rFonts w:ascii="Arial" w:hAnsi="Arial"/>
                <w:sz w:val="20"/>
                <w:szCs w:val="20"/>
              </w:rPr>
              <w:t>Responsible artificial intelligence governance: A review and research framework</w:t>
            </w:r>
          </w:p>
        </w:tc>
        <w:tc>
          <w:tcPr>
            <w:tcW w:w="3672" w:type="dxa"/>
          </w:tcPr>
          <w:p w14:paraId="1C88B0A8"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42EDEDCE" w14:textId="525D6926"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44E3D18" w14:textId="77777777" w:rsidTr="00316D81">
        <w:trPr>
          <w:jc w:val="center"/>
        </w:trPr>
        <w:tc>
          <w:tcPr>
            <w:tcW w:w="605" w:type="dxa"/>
          </w:tcPr>
          <w:p w14:paraId="7E06F831" w14:textId="77777777" w:rsidR="003D52C5" w:rsidRPr="008E7D6A" w:rsidRDefault="003D52C5" w:rsidP="00316D81">
            <w:pPr>
              <w:spacing w:line="221" w:lineRule="auto"/>
              <w:jc w:val="center"/>
              <w:rPr>
                <w:sz w:val="20"/>
                <w:szCs w:val="20"/>
              </w:rPr>
            </w:pPr>
            <w:r w:rsidRPr="008E7D6A">
              <w:rPr>
                <w:rFonts w:ascii="Arial" w:hAnsi="Arial"/>
                <w:sz w:val="20"/>
                <w:szCs w:val="20"/>
              </w:rPr>
              <w:t>103</w:t>
            </w:r>
          </w:p>
        </w:tc>
        <w:tc>
          <w:tcPr>
            <w:tcW w:w="2088" w:type="dxa"/>
          </w:tcPr>
          <w:p w14:paraId="6C6C5D6B" w14:textId="77777777" w:rsidR="003D52C5" w:rsidRPr="008E7D6A" w:rsidRDefault="003D52C5" w:rsidP="00316D81">
            <w:pPr>
              <w:spacing w:line="221" w:lineRule="auto"/>
              <w:rPr>
                <w:sz w:val="20"/>
                <w:szCs w:val="20"/>
              </w:rPr>
            </w:pPr>
            <w:r w:rsidRPr="008E7D6A">
              <w:rPr>
                <w:rFonts w:ascii="Arial" w:hAnsi="Arial"/>
                <w:sz w:val="20"/>
                <w:szCs w:val="20"/>
              </w:rPr>
              <w:t>Rethlefsen et al. (2021)</w:t>
            </w:r>
          </w:p>
        </w:tc>
        <w:tc>
          <w:tcPr>
            <w:tcW w:w="5976" w:type="dxa"/>
          </w:tcPr>
          <w:p w14:paraId="1448C830" w14:textId="77777777" w:rsidR="003D52C5" w:rsidRPr="008E7D6A" w:rsidRDefault="003D52C5" w:rsidP="00316D81">
            <w:pPr>
              <w:spacing w:line="221" w:lineRule="auto"/>
              <w:rPr>
                <w:sz w:val="20"/>
                <w:szCs w:val="20"/>
              </w:rPr>
            </w:pPr>
            <w:r w:rsidRPr="008E7D6A">
              <w:rPr>
                <w:rFonts w:ascii="Arial" w:hAnsi="Arial"/>
                <w:sz w:val="20"/>
                <w:szCs w:val="20"/>
              </w:rPr>
              <w:t>PRISMA-S: an extension to the PRISMA Statement for Reporting Literature Searches in Systematic Reviews</w:t>
            </w:r>
          </w:p>
        </w:tc>
        <w:tc>
          <w:tcPr>
            <w:tcW w:w="3672" w:type="dxa"/>
          </w:tcPr>
          <w:p w14:paraId="473485B8"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44FACB18" w14:textId="2B40B187"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A105AA7" w14:textId="77777777" w:rsidTr="00316D81">
        <w:trPr>
          <w:jc w:val="center"/>
        </w:trPr>
        <w:tc>
          <w:tcPr>
            <w:tcW w:w="605" w:type="dxa"/>
          </w:tcPr>
          <w:p w14:paraId="288AB8B5" w14:textId="77777777" w:rsidR="003D52C5" w:rsidRPr="008E7D6A" w:rsidRDefault="003D52C5" w:rsidP="00316D81">
            <w:pPr>
              <w:spacing w:line="221" w:lineRule="auto"/>
              <w:jc w:val="center"/>
              <w:rPr>
                <w:sz w:val="20"/>
                <w:szCs w:val="20"/>
              </w:rPr>
            </w:pPr>
            <w:r w:rsidRPr="008E7D6A">
              <w:rPr>
                <w:rFonts w:ascii="Arial" w:hAnsi="Arial"/>
                <w:sz w:val="20"/>
                <w:szCs w:val="20"/>
              </w:rPr>
              <w:t>104</w:t>
            </w:r>
          </w:p>
        </w:tc>
        <w:tc>
          <w:tcPr>
            <w:tcW w:w="2088" w:type="dxa"/>
          </w:tcPr>
          <w:p w14:paraId="6CDCBC50" w14:textId="77777777" w:rsidR="003D52C5" w:rsidRPr="008E7D6A" w:rsidRDefault="003D52C5" w:rsidP="00316D81">
            <w:pPr>
              <w:spacing w:line="221" w:lineRule="auto"/>
              <w:rPr>
                <w:sz w:val="20"/>
                <w:szCs w:val="20"/>
              </w:rPr>
            </w:pPr>
            <w:r w:rsidRPr="008E7D6A">
              <w:rPr>
                <w:rFonts w:ascii="Arial" w:hAnsi="Arial"/>
                <w:sz w:val="20"/>
                <w:szCs w:val="20"/>
              </w:rPr>
              <w:t>Ritala et al. (2024)</w:t>
            </w:r>
          </w:p>
        </w:tc>
        <w:tc>
          <w:tcPr>
            <w:tcW w:w="5976" w:type="dxa"/>
          </w:tcPr>
          <w:p w14:paraId="6B312A9E" w14:textId="77777777" w:rsidR="003D52C5" w:rsidRPr="008E7D6A" w:rsidRDefault="003D52C5" w:rsidP="00316D81">
            <w:pPr>
              <w:spacing w:line="221" w:lineRule="auto"/>
              <w:rPr>
                <w:sz w:val="20"/>
                <w:szCs w:val="20"/>
              </w:rPr>
            </w:pPr>
            <w:r w:rsidRPr="008E7D6A">
              <w:rPr>
                <w:rFonts w:ascii="Arial" w:hAnsi="Arial"/>
                <w:sz w:val="20"/>
                <w:szCs w:val="20"/>
              </w:rPr>
              <w:t>Developing industrial AI capabilities: An organisational learning perspective</w:t>
            </w:r>
          </w:p>
        </w:tc>
        <w:tc>
          <w:tcPr>
            <w:tcW w:w="3672" w:type="dxa"/>
          </w:tcPr>
          <w:p w14:paraId="583CDC6B" w14:textId="77777777" w:rsidR="003D52C5" w:rsidRPr="008E7D6A" w:rsidRDefault="003D52C5" w:rsidP="00316D81">
            <w:pPr>
              <w:spacing w:line="221" w:lineRule="auto"/>
              <w:rPr>
                <w:sz w:val="20"/>
                <w:szCs w:val="20"/>
              </w:rPr>
            </w:pPr>
            <w:r w:rsidRPr="008E7D6A">
              <w:rPr>
                <w:rFonts w:ascii="Arial" w:hAnsi="Arial"/>
                <w:sz w:val="20"/>
                <w:szCs w:val="20"/>
              </w:rPr>
              <w:t>implementation; teaching/learning; governance structures; organisational capability</w:t>
            </w:r>
          </w:p>
        </w:tc>
        <w:tc>
          <w:tcPr>
            <w:tcW w:w="3672" w:type="dxa"/>
          </w:tcPr>
          <w:p w14:paraId="31E0D9CD" w14:textId="246406A4"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1F508E3B" w14:textId="77777777" w:rsidTr="00316D81">
        <w:trPr>
          <w:jc w:val="center"/>
        </w:trPr>
        <w:tc>
          <w:tcPr>
            <w:tcW w:w="605" w:type="dxa"/>
          </w:tcPr>
          <w:p w14:paraId="00726F98" w14:textId="77777777" w:rsidR="003D52C5" w:rsidRPr="008E7D6A" w:rsidRDefault="003D52C5" w:rsidP="00316D81">
            <w:pPr>
              <w:spacing w:line="221" w:lineRule="auto"/>
              <w:jc w:val="center"/>
              <w:rPr>
                <w:sz w:val="20"/>
                <w:szCs w:val="20"/>
              </w:rPr>
            </w:pPr>
            <w:r w:rsidRPr="008E7D6A">
              <w:rPr>
                <w:rFonts w:ascii="Arial" w:hAnsi="Arial"/>
                <w:sz w:val="20"/>
                <w:szCs w:val="20"/>
              </w:rPr>
              <w:t>105</w:t>
            </w:r>
          </w:p>
        </w:tc>
        <w:tc>
          <w:tcPr>
            <w:tcW w:w="2088" w:type="dxa"/>
          </w:tcPr>
          <w:p w14:paraId="412FD32A" w14:textId="77777777" w:rsidR="003D52C5" w:rsidRPr="008E7D6A" w:rsidRDefault="003D52C5" w:rsidP="00316D81">
            <w:pPr>
              <w:spacing w:line="221" w:lineRule="auto"/>
              <w:rPr>
                <w:sz w:val="20"/>
                <w:szCs w:val="20"/>
              </w:rPr>
            </w:pPr>
            <w:r w:rsidRPr="008E7D6A">
              <w:rPr>
                <w:rFonts w:ascii="Arial" w:hAnsi="Arial"/>
                <w:sz w:val="20"/>
                <w:szCs w:val="20"/>
              </w:rPr>
              <w:t>Robles et al. (2023)</w:t>
            </w:r>
          </w:p>
        </w:tc>
        <w:tc>
          <w:tcPr>
            <w:tcW w:w="5976" w:type="dxa"/>
          </w:tcPr>
          <w:p w14:paraId="62C4CDE5" w14:textId="77777777" w:rsidR="003D52C5" w:rsidRPr="008E7D6A" w:rsidRDefault="003D52C5" w:rsidP="00316D81">
            <w:pPr>
              <w:spacing w:line="221" w:lineRule="auto"/>
              <w:rPr>
                <w:sz w:val="20"/>
                <w:szCs w:val="20"/>
              </w:rPr>
            </w:pPr>
            <w:r w:rsidRPr="008E7D6A">
              <w:rPr>
                <w:rFonts w:ascii="Arial" w:hAnsi="Arial"/>
                <w:sz w:val="20"/>
                <w:szCs w:val="20"/>
              </w:rPr>
              <w:t>Catching up with AI: Pushing toward a cohesive governance framework</w:t>
            </w:r>
          </w:p>
        </w:tc>
        <w:tc>
          <w:tcPr>
            <w:tcW w:w="3672" w:type="dxa"/>
          </w:tcPr>
          <w:p w14:paraId="331BB51D"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48FFFB17" w14:textId="67D7CC33"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19AA674F" w14:textId="77777777" w:rsidTr="00316D81">
        <w:trPr>
          <w:jc w:val="center"/>
        </w:trPr>
        <w:tc>
          <w:tcPr>
            <w:tcW w:w="605" w:type="dxa"/>
          </w:tcPr>
          <w:p w14:paraId="706D1DFC" w14:textId="77777777" w:rsidR="003D52C5" w:rsidRPr="008E7D6A" w:rsidRDefault="003D52C5" w:rsidP="00316D81">
            <w:pPr>
              <w:spacing w:line="221" w:lineRule="auto"/>
              <w:jc w:val="center"/>
              <w:rPr>
                <w:sz w:val="20"/>
                <w:szCs w:val="20"/>
              </w:rPr>
            </w:pPr>
            <w:r w:rsidRPr="008E7D6A">
              <w:rPr>
                <w:rFonts w:ascii="Arial" w:hAnsi="Arial"/>
                <w:sz w:val="20"/>
                <w:szCs w:val="20"/>
              </w:rPr>
              <w:t>106</w:t>
            </w:r>
          </w:p>
        </w:tc>
        <w:tc>
          <w:tcPr>
            <w:tcW w:w="2088" w:type="dxa"/>
          </w:tcPr>
          <w:p w14:paraId="2524415D" w14:textId="77777777" w:rsidR="003D52C5" w:rsidRPr="008E7D6A" w:rsidRDefault="003D52C5" w:rsidP="00316D81">
            <w:pPr>
              <w:spacing w:line="221" w:lineRule="auto"/>
              <w:rPr>
                <w:sz w:val="20"/>
                <w:szCs w:val="20"/>
              </w:rPr>
            </w:pPr>
            <w:r w:rsidRPr="008E7D6A">
              <w:rPr>
                <w:rFonts w:ascii="Arial" w:hAnsi="Arial"/>
                <w:sz w:val="20"/>
                <w:szCs w:val="20"/>
              </w:rPr>
              <w:t>Page et al. (2021)</w:t>
            </w:r>
          </w:p>
        </w:tc>
        <w:tc>
          <w:tcPr>
            <w:tcW w:w="5976" w:type="dxa"/>
          </w:tcPr>
          <w:p w14:paraId="7AEC4727" w14:textId="77777777" w:rsidR="003D52C5" w:rsidRPr="008E7D6A" w:rsidRDefault="003D52C5" w:rsidP="00316D81">
            <w:pPr>
              <w:spacing w:line="221" w:lineRule="auto"/>
              <w:rPr>
                <w:sz w:val="20"/>
                <w:szCs w:val="20"/>
              </w:rPr>
            </w:pPr>
            <w:r w:rsidRPr="008E7D6A">
              <w:rPr>
                <w:rFonts w:ascii="Arial" w:hAnsi="Arial"/>
                <w:sz w:val="20"/>
                <w:szCs w:val="20"/>
              </w:rPr>
              <w:t>The PRISMA 2020 statement: an updated guideline for reporting systematic reviews</w:t>
            </w:r>
          </w:p>
        </w:tc>
        <w:tc>
          <w:tcPr>
            <w:tcW w:w="3672" w:type="dxa"/>
          </w:tcPr>
          <w:p w14:paraId="5572901D"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270F8692" w14:textId="0EC3E65A"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52DF52F9" w14:textId="77777777" w:rsidTr="00316D81">
        <w:trPr>
          <w:jc w:val="center"/>
        </w:trPr>
        <w:tc>
          <w:tcPr>
            <w:tcW w:w="605" w:type="dxa"/>
          </w:tcPr>
          <w:p w14:paraId="3949F420"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107</w:t>
            </w:r>
          </w:p>
        </w:tc>
        <w:tc>
          <w:tcPr>
            <w:tcW w:w="2088" w:type="dxa"/>
          </w:tcPr>
          <w:p w14:paraId="652752D4" w14:textId="77777777" w:rsidR="003D52C5" w:rsidRPr="008E7D6A" w:rsidRDefault="003D52C5" w:rsidP="00316D81">
            <w:pPr>
              <w:spacing w:line="221" w:lineRule="auto"/>
              <w:rPr>
                <w:sz w:val="20"/>
                <w:szCs w:val="20"/>
              </w:rPr>
            </w:pPr>
            <w:r w:rsidRPr="008E7D6A">
              <w:rPr>
                <w:rFonts w:ascii="Arial" w:hAnsi="Arial"/>
                <w:sz w:val="20"/>
                <w:szCs w:val="20"/>
              </w:rPr>
              <w:t>Polyportis, A. (2024)</w:t>
            </w:r>
          </w:p>
        </w:tc>
        <w:tc>
          <w:tcPr>
            <w:tcW w:w="5976" w:type="dxa"/>
          </w:tcPr>
          <w:p w14:paraId="30A17BBD" w14:textId="77777777" w:rsidR="003D52C5" w:rsidRPr="008E7D6A" w:rsidRDefault="003D52C5" w:rsidP="00316D81">
            <w:pPr>
              <w:spacing w:line="221" w:lineRule="auto"/>
              <w:rPr>
                <w:sz w:val="20"/>
                <w:szCs w:val="20"/>
              </w:rPr>
            </w:pPr>
            <w:r w:rsidRPr="008E7D6A">
              <w:rPr>
                <w:rFonts w:ascii="Arial" w:hAnsi="Arial"/>
                <w:sz w:val="20"/>
                <w:szCs w:val="20"/>
              </w:rPr>
              <w:t>A longitudinal study on artificial intelligence adoption: understanding the drivers of ChatGPT usage behaviour change in higher education</w:t>
            </w:r>
          </w:p>
        </w:tc>
        <w:tc>
          <w:tcPr>
            <w:tcW w:w="3672" w:type="dxa"/>
          </w:tcPr>
          <w:p w14:paraId="3E14CAA4"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GenAI/ChatGPT; stakeholder engagement</w:t>
            </w:r>
          </w:p>
        </w:tc>
        <w:tc>
          <w:tcPr>
            <w:tcW w:w="3672" w:type="dxa"/>
          </w:tcPr>
          <w:p w14:paraId="3EAECC45" w14:textId="2AAD6024"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7836D769" w14:textId="77777777" w:rsidTr="00316D81">
        <w:trPr>
          <w:jc w:val="center"/>
        </w:trPr>
        <w:tc>
          <w:tcPr>
            <w:tcW w:w="605" w:type="dxa"/>
          </w:tcPr>
          <w:p w14:paraId="5C7F077A" w14:textId="77777777" w:rsidR="003D52C5" w:rsidRPr="008E7D6A" w:rsidRDefault="003D52C5" w:rsidP="00316D81">
            <w:pPr>
              <w:spacing w:line="221" w:lineRule="auto"/>
              <w:jc w:val="center"/>
              <w:rPr>
                <w:sz w:val="20"/>
                <w:szCs w:val="20"/>
              </w:rPr>
            </w:pPr>
            <w:r w:rsidRPr="008E7D6A">
              <w:rPr>
                <w:rFonts w:ascii="Arial" w:hAnsi="Arial"/>
                <w:sz w:val="20"/>
                <w:szCs w:val="20"/>
              </w:rPr>
              <w:t>108</w:t>
            </w:r>
          </w:p>
        </w:tc>
        <w:tc>
          <w:tcPr>
            <w:tcW w:w="2088" w:type="dxa"/>
          </w:tcPr>
          <w:p w14:paraId="104EB82D" w14:textId="77777777" w:rsidR="003D52C5" w:rsidRPr="008E7D6A" w:rsidRDefault="003D52C5" w:rsidP="00316D81">
            <w:pPr>
              <w:spacing w:line="221" w:lineRule="auto"/>
              <w:rPr>
                <w:sz w:val="20"/>
                <w:szCs w:val="20"/>
              </w:rPr>
            </w:pPr>
            <w:r w:rsidRPr="008E7D6A">
              <w:rPr>
                <w:rFonts w:ascii="Arial" w:hAnsi="Arial"/>
                <w:sz w:val="20"/>
                <w:szCs w:val="20"/>
              </w:rPr>
              <w:t>Schaffer, F. (2023)</w:t>
            </w:r>
          </w:p>
        </w:tc>
        <w:tc>
          <w:tcPr>
            <w:tcW w:w="5976" w:type="dxa"/>
          </w:tcPr>
          <w:p w14:paraId="36FC5C8E" w14:textId="77777777" w:rsidR="003D52C5" w:rsidRPr="008E7D6A" w:rsidRDefault="003D52C5" w:rsidP="00316D81">
            <w:pPr>
              <w:spacing w:line="221" w:lineRule="auto"/>
              <w:rPr>
                <w:sz w:val="20"/>
                <w:szCs w:val="20"/>
              </w:rPr>
            </w:pPr>
            <w:r w:rsidRPr="008E7D6A">
              <w:rPr>
                <w:rFonts w:ascii="Arial" w:hAnsi="Arial"/>
                <w:sz w:val="20"/>
                <w:szCs w:val="20"/>
              </w:rPr>
              <w:t>Interpretivist Interviewing</w:t>
            </w:r>
          </w:p>
        </w:tc>
        <w:tc>
          <w:tcPr>
            <w:tcW w:w="3672" w:type="dxa"/>
          </w:tcPr>
          <w:p w14:paraId="0A7794FF"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interpretivism</w:t>
            </w:r>
          </w:p>
        </w:tc>
        <w:tc>
          <w:tcPr>
            <w:tcW w:w="3672" w:type="dxa"/>
          </w:tcPr>
          <w:p w14:paraId="289BB336" w14:textId="42D4EACB"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554DE904" w14:textId="77777777" w:rsidTr="00316D81">
        <w:trPr>
          <w:jc w:val="center"/>
        </w:trPr>
        <w:tc>
          <w:tcPr>
            <w:tcW w:w="605" w:type="dxa"/>
          </w:tcPr>
          <w:p w14:paraId="6AF2CB35" w14:textId="77777777" w:rsidR="003D52C5" w:rsidRPr="008E7D6A" w:rsidRDefault="003D52C5" w:rsidP="00316D81">
            <w:pPr>
              <w:spacing w:line="221" w:lineRule="auto"/>
              <w:jc w:val="center"/>
              <w:rPr>
                <w:sz w:val="20"/>
                <w:szCs w:val="20"/>
              </w:rPr>
            </w:pPr>
            <w:r w:rsidRPr="008E7D6A">
              <w:rPr>
                <w:rFonts w:ascii="Arial" w:hAnsi="Arial"/>
                <w:sz w:val="20"/>
                <w:szCs w:val="20"/>
              </w:rPr>
              <w:t>109</w:t>
            </w:r>
          </w:p>
        </w:tc>
        <w:tc>
          <w:tcPr>
            <w:tcW w:w="2088" w:type="dxa"/>
          </w:tcPr>
          <w:p w14:paraId="7F6A9807" w14:textId="77777777" w:rsidR="003D52C5" w:rsidRPr="008E7D6A" w:rsidRDefault="003D52C5" w:rsidP="00316D81">
            <w:pPr>
              <w:spacing w:line="221" w:lineRule="auto"/>
              <w:rPr>
                <w:sz w:val="20"/>
                <w:szCs w:val="20"/>
              </w:rPr>
            </w:pPr>
            <w:r w:rsidRPr="008E7D6A">
              <w:rPr>
                <w:rFonts w:ascii="Arial" w:hAnsi="Arial"/>
                <w:sz w:val="20"/>
                <w:szCs w:val="20"/>
              </w:rPr>
              <w:t>Scheytt et al. (2024)</w:t>
            </w:r>
          </w:p>
        </w:tc>
        <w:tc>
          <w:tcPr>
            <w:tcW w:w="5976" w:type="dxa"/>
          </w:tcPr>
          <w:p w14:paraId="37573469" w14:textId="77777777" w:rsidR="003D52C5" w:rsidRPr="008E7D6A" w:rsidRDefault="003D52C5" w:rsidP="00316D81">
            <w:pPr>
              <w:spacing w:line="221" w:lineRule="auto"/>
              <w:rPr>
                <w:sz w:val="20"/>
                <w:szCs w:val="20"/>
              </w:rPr>
            </w:pPr>
            <w:r w:rsidRPr="008E7D6A">
              <w:rPr>
                <w:rFonts w:ascii="Arial" w:hAnsi="Arial"/>
                <w:sz w:val="20"/>
                <w:szCs w:val="20"/>
              </w:rPr>
              <w:t>Conducting qualitative research in organisations ethically: Organisationally as a heuristic to identify ethical challenges</w:t>
            </w:r>
          </w:p>
        </w:tc>
        <w:tc>
          <w:tcPr>
            <w:tcW w:w="3672" w:type="dxa"/>
          </w:tcPr>
          <w:p w14:paraId="27828154" w14:textId="77777777" w:rsidR="003D52C5" w:rsidRPr="008E7D6A" w:rsidRDefault="003D52C5" w:rsidP="00316D81">
            <w:pPr>
              <w:spacing w:line="221" w:lineRule="auto"/>
              <w:rPr>
                <w:sz w:val="20"/>
                <w:szCs w:val="20"/>
              </w:rPr>
            </w:pPr>
            <w:r w:rsidRPr="008E7D6A">
              <w:rPr>
                <w:rFonts w:ascii="Arial" w:hAnsi="Arial"/>
                <w:sz w:val="20"/>
                <w:szCs w:val="20"/>
              </w:rPr>
              <w:t>implementation; governance structures; ethics/responsible AI; qualitative rigour</w:t>
            </w:r>
          </w:p>
        </w:tc>
        <w:tc>
          <w:tcPr>
            <w:tcW w:w="3672" w:type="dxa"/>
          </w:tcPr>
          <w:p w14:paraId="54A83D8B" w14:textId="23D3B084"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E321419" w14:textId="77777777" w:rsidTr="00316D81">
        <w:trPr>
          <w:jc w:val="center"/>
        </w:trPr>
        <w:tc>
          <w:tcPr>
            <w:tcW w:w="605" w:type="dxa"/>
          </w:tcPr>
          <w:p w14:paraId="28F13165" w14:textId="77777777" w:rsidR="003D52C5" w:rsidRPr="008E7D6A" w:rsidRDefault="003D52C5" w:rsidP="00316D81">
            <w:pPr>
              <w:spacing w:line="221" w:lineRule="auto"/>
              <w:jc w:val="center"/>
              <w:rPr>
                <w:sz w:val="20"/>
                <w:szCs w:val="20"/>
              </w:rPr>
            </w:pPr>
            <w:r w:rsidRPr="008E7D6A">
              <w:rPr>
                <w:rFonts w:ascii="Arial" w:hAnsi="Arial"/>
                <w:sz w:val="20"/>
                <w:szCs w:val="20"/>
              </w:rPr>
              <w:t>110</w:t>
            </w:r>
          </w:p>
        </w:tc>
        <w:tc>
          <w:tcPr>
            <w:tcW w:w="2088" w:type="dxa"/>
          </w:tcPr>
          <w:p w14:paraId="4800BB98" w14:textId="77777777" w:rsidR="003D52C5" w:rsidRPr="008E7D6A" w:rsidRDefault="003D52C5" w:rsidP="00316D81">
            <w:pPr>
              <w:spacing w:line="221" w:lineRule="auto"/>
              <w:rPr>
                <w:sz w:val="20"/>
                <w:szCs w:val="20"/>
              </w:rPr>
            </w:pPr>
            <w:r w:rsidRPr="008E7D6A">
              <w:rPr>
                <w:rFonts w:ascii="Arial" w:hAnsi="Arial"/>
                <w:sz w:val="20"/>
                <w:szCs w:val="20"/>
              </w:rPr>
              <w:t>Selwyn, N. (2022)</w:t>
            </w:r>
          </w:p>
        </w:tc>
        <w:tc>
          <w:tcPr>
            <w:tcW w:w="5976" w:type="dxa"/>
          </w:tcPr>
          <w:p w14:paraId="5F299022" w14:textId="77777777" w:rsidR="003D52C5" w:rsidRPr="008E7D6A" w:rsidRDefault="003D52C5" w:rsidP="00316D81">
            <w:pPr>
              <w:spacing w:line="221" w:lineRule="auto"/>
              <w:rPr>
                <w:sz w:val="20"/>
                <w:szCs w:val="20"/>
              </w:rPr>
            </w:pPr>
            <w:r w:rsidRPr="008E7D6A">
              <w:rPr>
                <w:rFonts w:ascii="Arial" w:hAnsi="Arial"/>
                <w:sz w:val="20"/>
                <w:szCs w:val="20"/>
              </w:rPr>
              <w:t>The future of AI and education: Some cautionary notes</w:t>
            </w:r>
          </w:p>
        </w:tc>
        <w:tc>
          <w:tcPr>
            <w:tcW w:w="3672" w:type="dxa"/>
          </w:tcPr>
          <w:p w14:paraId="588B40FE"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7149258A" w14:textId="02962988"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108D7FB0" w14:textId="77777777" w:rsidTr="00316D81">
        <w:trPr>
          <w:jc w:val="center"/>
        </w:trPr>
        <w:tc>
          <w:tcPr>
            <w:tcW w:w="605" w:type="dxa"/>
          </w:tcPr>
          <w:p w14:paraId="0239CB64" w14:textId="77777777" w:rsidR="003D52C5" w:rsidRPr="008E7D6A" w:rsidRDefault="003D52C5" w:rsidP="00316D81">
            <w:pPr>
              <w:spacing w:line="221" w:lineRule="auto"/>
              <w:jc w:val="center"/>
              <w:rPr>
                <w:sz w:val="20"/>
                <w:szCs w:val="20"/>
              </w:rPr>
            </w:pPr>
            <w:r w:rsidRPr="008E7D6A">
              <w:rPr>
                <w:rFonts w:ascii="Arial" w:hAnsi="Arial"/>
                <w:sz w:val="20"/>
                <w:szCs w:val="20"/>
              </w:rPr>
              <w:t>111</w:t>
            </w:r>
          </w:p>
        </w:tc>
        <w:tc>
          <w:tcPr>
            <w:tcW w:w="2088" w:type="dxa"/>
          </w:tcPr>
          <w:p w14:paraId="7E3C79AA" w14:textId="77777777" w:rsidR="003D52C5" w:rsidRPr="008E7D6A" w:rsidRDefault="003D52C5" w:rsidP="00316D81">
            <w:pPr>
              <w:spacing w:line="221" w:lineRule="auto"/>
              <w:rPr>
                <w:sz w:val="20"/>
                <w:szCs w:val="20"/>
              </w:rPr>
            </w:pPr>
            <w:r w:rsidRPr="008E7D6A">
              <w:rPr>
                <w:rFonts w:ascii="Arial" w:hAnsi="Arial"/>
                <w:sz w:val="20"/>
                <w:szCs w:val="20"/>
              </w:rPr>
              <w:t>Sibbald et al. (2025)</w:t>
            </w:r>
          </w:p>
        </w:tc>
        <w:tc>
          <w:tcPr>
            <w:tcW w:w="5976" w:type="dxa"/>
          </w:tcPr>
          <w:p w14:paraId="711473C1" w14:textId="77777777" w:rsidR="003D52C5" w:rsidRPr="008E7D6A" w:rsidRDefault="003D52C5" w:rsidP="00316D81">
            <w:pPr>
              <w:spacing w:line="221" w:lineRule="auto"/>
              <w:rPr>
                <w:sz w:val="20"/>
                <w:szCs w:val="20"/>
              </w:rPr>
            </w:pPr>
            <w:r w:rsidRPr="008E7D6A">
              <w:rPr>
                <w:rFonts w:ascii="Arial" w:hAnsi="Arial"/>
                <w:sz w:val="20"/>
                <w:szCs w:val="20"/>
              </w:rPr>
              <w:t>Positioning positionality and reflecting on reflexivity: Moving from performance to practice</w:t>
            </w:r>
          </w:p>
        </w:tc>
        <w:tc>
          <w:tcPr>
            <w:tcW w:w="3672" w:type="dxa"/>
          </w:tcPr>
          <w:p w14:paraId="38A9B3C4"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61623B65" w14:textId="5CB1C99E"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1BD5BF8" w14:textId="77777777" w:rsidTr="00316D81">
        <w:trPr>
          <w:jc w:val="center"/>
        </w:trPr>
        <w:tc>
          <w:tcPr>
            <w:tcW w:w="605" w:type="dxa"/>
          </w:tcPr>
          <w:p w14:paraId="1F684F4B" w14:textId="77777777" w:rsidR="003D52C5" w:rsidRPr="008E7D6A" w:rsidRDefault="003D52C5" w:rsidP="00316D81">
            <w:pPr>
              <w:spacing w:line="221" w:lineRule="auto"/>
              <w:jc w:val="center"/>
              <w:rPr>
                <w:sz w:val="20"/>
                <w:szCs w:val="20"/>
              </w:rPr>
            </w:pPr>
            <w:r w:rsidRPr="008E7D6A">
              <w:rPr>
                <w:rFonts w:ascii="Arial" w:hAnsi="Arial"/>
                <w:sz w:val="20"/>
                <w:szCs w:val="20"/>
              </w:rPr>
              <w:t>112</w:t>
            </w:r>
          </w:p>
        </w:tc>
        <w:tc>
          <w:tcPr>
            <w:tcW w:w="2088" w:type="dxa"/>
          </w:tcPr>
          <w:p w14:paraId="7FB6A73D" w14:textId="77777777" w:rsidR="003D52C5" w:rsidRPr="008E7D6A" w:rsidRDefault="003D52C5" w:rsidP="00316D81">
            <w:pPr>
              <w:spacing w:line="221" w:lineRule="auto"/>
              <w:rPr>
                <w:sz w:val="20"/>
                <w:szCs w:val="20"/>
              </w:rPr>
            </w:pPr>
            <w:r w:rsidRPr="008E7D6A">
              <w:rPr>
                <w:rFonts w:ascii="Arial" w:hAnsi="Arial"/>
                <w:sz w:val="20"/>
                <w:szCs w:val="20"/>
              </w:rPr>
              <w:t>Snyder, H. (2019)</w:t>
            </w:r>
          </w:p>
        </w:tc>
        <w:tc>
          <w:tcPr>
            <w:tcW w:w="5976" w:type="dxa"/>
          </w:tcPr>
          <w:p w14:paraId="1D3ADBCE" w14:textId="77777777" w:rsidR="003D52C5" w:rsidRPr="008E7D6A" w:rsidRDefault="003D52C5" w:rsidP="00316D81">
            <w:pPr>
              <w:spacing w:line="221" w:lineRule="auto"/>
              <w:rPr>
                <w:sz w:val="20"/>
                <w:szCs w:val="20"/>
              </w:rPr>
            </w:pPr>
            <w:r w:rsidRPr="008E7D6A">
              <w:rPr>
                <w:rFonts w:ascii="Arial" w:hAnsi="Arial"/>
                <w:sz w:val="20"/>
                <w:szCs w:val="20"/>
              </w:rPr>
              <w:t>Literature review as a research methodology: An overview and guidelines</w:t>
            </w:r>
          </w:p>
        </w:tc>
        <w:tc>
          <w:tcPr>
            <w:tcW w:w="3672" w:type="dxa"/>
          </w:tcPr>
          <w:p w14:paraId="760F1F10"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3D278F9D" w14:textId="638BEFE4"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5B9749CD" w14:textId="77777777" w:rsidTr="00316D81">
        <w:trPr>
          <w:jc w:val="center"/>
        </w:trPr>
        <w:tc>
          <w:tcPr>
            <w:tcW w:w="605" w:type="dxa"/>
          </w:tcPr>
          <w:p w14:paraId="487DFC14" w14:textId="77777777" w:rsidR="003D52C5" w:rsidRPr="008E7D6A" w:rsidRDefault="003D52C5" w:rsidP="00316D81">
            <w:pPr>
              <w:spacing w:line="221" w:lineRule="auto"/>
              <w:jc w:val="center"/>
              <w:rPr>
                <w:sz w:val="20"/>
                <w:szCs w:val="20"/>
              </w:rPr>
            </w:pPr>
            <w:r w:rsidRPr="008E7D6A">
              <w:rPr>
                <w:rFonts w:ascii="Arial" w:hAnsi="Arial"/>
                <w:sz w:val="20"/>
                <w:szCs w:val="20"/>
              </w:rPr>
              <w:t>113</w:t>
            </w:r>
          </w:p>
        </w:tc>
        <w:tc>
          <w:tcPr>
            <w:tcW w:w="2088" w:type="dxa"/>
          </w:tcPr>
          <w:p w14:paraId="243C73F1" w14:textId="77777777" w:rsidR="003D52C5" w:rsidRPr="008E7D6A" w:rsidRDefault="003D52C5" w:rsidP="00316D81">
            <w:pPr>
              <w:spacing w:line="221" w:lineRule="auto"/>
              <w:rPr>
                <w:sz w:val="20"/>
                <w:szCs w:val="20"/>
              </w:rPr>
            </w:pPr>
            <w:r w:rsidRPr="008E7D6A">
              <w:rPr>
                <w:rFonts w:ascii="Arial" w:hAnsi="Arial"/>
                <w:sz w:val="20"/>
                <w:szCs w:val="20"/>
              </w:rPr>
              <w:t>Stracke et al. (2026)</w:t>
            </w:r>
          </w:p>
        </w:tc>
        <w:tc>
          <w:tcPr>
            <w:tcW w:w="5976" w:type="dxa"/>
          </w:tcPr>
          <w:p w14:paraId="3E38B4E0" w14:textId="77777777" w:rsidR="003D52C5" w:rsidRPr="008E7D6A" w:rsidRDefault="003D52C5" w:rsidP="00316D81">
            <w:pPr>
              <w:spacing w:line="221" w:lineRule="auto"/>
              <w:rPr>
                <w:sz w:val="20"/>
                <w:szCs w:val="20"/>
              </w:rPr>
            </w:pPr>
            <w:r w:rsidRPr="008E7D6A">
              <w:rPr>
                <w:rFonts w:ascii="Arial" w:hAnsi="Arial"/>
                <w:sz w:val="20"/>
                <w:szCs w:val="20"/>
              </w:rPr>
              <w:t>Artificial Intelligence Policies for Higher Education: A Roadmap for Contextual AI Governance</w:t>
            </w:r>
          </w:p>
        </w:tc>
        <w:tc>
          <w:tcPr>
            <w:tcW w:w="3672" w:type="dxa"/>
          </w:tcPr>
          <w:p w14:paraId="207FC46D"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609F5546" w14:textId="414F53D5"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4203B21" w14:textId="77777777" w:rsidTr="00316D81">
        <w:trPr>
          <w:jc w:val="center"/>
        </w:trPr>
        <w:tc>
          <w:tcPr>
            <w:tcW w:w="605" w:type="dxa"/>
          </w:tcPr>
          <w:p w14:paraId="55F7227A" w14:textId="77777777" w:rsidR="003D52C5" w:rsidRPr="008E7D6A" w:rsidRDefault="003D52C5" w:rsidP="00316D81">
            <w:pPr>
              <w:spacing w:line="221" w:lineRule="auto"/>
              <w:jc w:val="center"/>
              <w:rPr>
                <w:sz w:val="20"/>
                <w:szCs w:val="20"/>
              </w:rPr>
            </w:pPr>
            <w:r w:rsidRPr="008E7D6A">
              <w:rPr>
                <w:rFonts w:ascii="Arial" w:hAnsi="Arial"/>
                <w:sz w:val="20"/>
                <w:szCs w:val="20"/>
              </w:rPr>
              <w:t>114</w:t>
            </w:r>
          </w:p>
        </w:tc>
        <w:tc>
          <w:tcPr>
            <w:tcW w:w="2088" w:type="dxa"/>
          </w:tcPr>
          <w:p w14:paraId="04F27678" w14:textId="77777777" w:rsidR="003D52C5" w:rsidRPr="008E7D6A" w:rsidRDefault="003D52C5" w:rsidP="00316D81">
            <w:pPr>
              <w:spacing w:line="221" w:lineRule="auto"/>
              <w:rPr>
                <w:sz w:val="20"/>
                <w:szCs w:val="20"/>
              </w:rPr>
            </w:pPr>
            <w:r w:rsidRPr="008E7D6A">
              <w:rPr>
                <w:rFonts w:ascii="Arial" w:hAnsi="Arial"/>
                <w:sz w:val="20"/>
                <w:szCs w:val="20"/>
              </w:rPr>
              <w:t>Strzelecki, A. (2023)</w:t>
            </w:r>
          </w:p>
        </w:tc>
        <w:tc>
          <w:tcPr>
            <w:tcW w:w="5976" w:type="dxa"/>
          </w:tcPr>
          <w:p w14:paraId="64B78C65" w14:textId="77777777" w:rsidR="003D52C5" w:rsidRPr="008E7D6A" w:rsidRDefault="003D52C5" w:rsidP="00316D81">
            <w:pPr>
              <w:spacing w:line="221" w:lineRule="auto"/>
              <w:rPr>
                <w:sz w:val="20"/>
                <w:szCs w:val="20"/>
              </w:rPr>
            </w:pPr>
            <w:r w:rsidRPr="008E7D6A">
              <w:rPr>
                <w:rFonts w:ascii="Arial" w:hAnsi="Arial"/>
                <w:sz w:val="20"/>
                <w:szCs w:val="20"/>
              </w:rPr>
              <w:t>To use or not to use ChatGPT in higher education? A study of students’ acceptance and use of technology</w:t>
            </w:r>
          </w:p>
        </w:tc>
        <w:tc>
          <w:tcPr>
            <w:tcW w:w="3672" w:type="dxa"/>
          </w:tcPr>
          <w:p w14:paraId="7091DE5F"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GenAI/ChatGPT; stakeholder engagement</w:t>
            </w:r>
          </w:p>
        </w:tc>
        <w:tc>
          <w:tcPr>
            <w:tcW w:w="3672" w:type="dxa"/>
          </w:tcPr>
          <w:p w14:paraId="270CE0FE" w14:textId="659E8112"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740F960E" w14:textId="77777777" w:rsidTr="00316D81">
        <w:trPr>
          <w:jc w:val="center"/>
        </w:trPr>
        <w:tc>
          <w:tcPr>
            <w:tcW w:w="605" w:type="dxa"/>
          </w:tcPr>
          <w:p w14:paraId="53892612" w14:textId="77777777" w:rsidR="003D52C5" w:rsidRPr="008E7D6A" w:rsidRDefault="003D52C5" w:rsidP="00316D81">
            <w:pPr>
              <w:spacing w:line="221" w:lineRule="auto"/>
              <w:jc w:val="center"/>
              <w:rPr>
                <w:sz w:val="20"/>
                <w:szCs w:val="20"/>
              </w:rPr>
            </w:pPr>
            <w:r w:rsidRPr="008E7D6A">
              <w:rPr>
                <w:rFonts w:ascii="Arial" w:hAnsi="Arial"/>
                <w:sz w:val="20"/>
                <w:szCs w:val="20"/>
              </w:rPr>
              <w:t>115</w:t>
            </w:r>
          </w:p>
        </w:tc>
        <w:tc>
          <w:tcPr>
            <w:tcW w:w="2088" w:type="dxa"/>
          </w:tcPr>
          <w:p w14:paraId="4F866C83" w14:textId="77777777" w:rsidR="003D52C5" w:rsidRPr="008E7D6A" w:rsidRDefault="003D52C5" w:rsidP="00316D81">
            <w:pPr>
              <w:spacing w:line="221" w:lineRule="auto"/>
              <w:rPr>
                <w:sz w:val="20"/>
                <w:szCs w:val="20"/>
              </w:rPr>
            </w:pPr>
            <w:r w:rsidRPr="008E7D6A">
              <w:rPr>
                <w:rFonts w:ascii="Arial" w:hAnsi="Arial"/>
                <w:sz w:val="20"/>
                <w:szCs w:val="20"/>
              </w:rPr>
              <w:t>Taeihagh, A. (2025)</w:t>
            </w:r>
          </w:p>
        </w:tc>
        <w:tc>
          <w:tcPr>
            <w:tcW w:w="5976" w:type="dxa"/>
          </w:tcPr>
          <w:p w14:paraId="72FDAD9C" w14:textId="77777777" w:rsidR="003D52C5" w:rsidRPr="008E7D6A" w:rsidRDefault="003D52C5" w:rsidP="00316D81">
            <w:pPr>
              <w:spacing w:line="221" w:lineRule="auto"/>
              <w:rPr>
                <w:sz w:val="20"/>
                <w:szCs w:val="20"/>
              </w:rPr>
            </w:pPr>
            <w:r w:rsidRPr="008E7D6A">
              <w:rPr>
                <w:rFonts w:ascii="Arial" w:hAnsi="Arial"/>
                <w:sz w:val="20"/>
                <w:szCs w:val="20"/>
              </w:rPr>
              <w:t>Governance of Generative AI</w:t>
            </w:r>
          </w:p>
        </w:tc>
        <w:tc>
          <w:tcPr>
            <w:tcW w:w="3672" w:type="dxa"/>
          </w:tcPr>
          <w:p w14:paraId="08FA3994" w14:textId="77777777" w:rsidR="003D52C5" w:rsidRPr="008E7D6A" w:rsidRDefault="003D52C5" w:rsidP="00316D81">
            <w:pPr>
              <w:spacing w:line="221" w:lineRule="auto"/>
              <w:rPr>
                <w:sz w:val="20"/>
                <w:szCs w:val="20"/>
              </w:rPr>
            </w:pPr>
            <w:r w:rsidRPr="008E7D6A">
              <w:rPr>
                <w:rFonts w:ascii="Arial" w:hAnsi="Arial"/>
                <w:sz w:val="20"/>
                <w:szCs w:val="20"/>
              </w:rPr>
              <w:t>GenAI; governance structures; regulatory compliance; accountability</w:t>
            </w:r>
          </w:p>
        </w:tc>
        <w:tc>
          <w:tcPr>
            <w:tcW w:w="3672" w:type="dxa"/>
          </w:tcPr>
          <w:p w14:paraId="027F98A5" w14:textId="517DA341"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4F9C8650" w14:textId="77777777" w:rsidTr="00316D81">
        <w:trPr>
          <w:jc w:val="center"/>
        </w:trPr>
        <w:tc>
          <w:tcPr>
            <w:tcW w:w="605" w:type="dxa"/>
          </w:tcPr>
          <w:p w14:paraId="14FC860F" w14:textId="77777777" w:rsidR="003D52C5" w:rsidRPr="008E7D6A" w:rsidRDefault="003D52C5" w:rsidP="00316D81">
            <w:pPr>
              <w:spacing w:line="221" w:lineRule="auto"/>
              <w:jc w:val="center"/>
              <w:rPr>
                <w:sz w:val="20"/>
                <w:szCs w:val="20"/>
              </w:rPr>
            </w:pPr>
            <w:r w:rsidRPr="008E7D6A">
              <w:rPr>
                <w:rFonts w:ascii="Arial" w:hAnsi="Arial"/>
                <w:sz w:val="20"/>
                <w:szCs w:val="20"/>
              </w:rPr>
              <w:t>116</w:t>
            </w:r>
          </w:p>
        </w:tc>
        <w:tc>
          <w:tcPr>
            <w:tcW w:w="2088" w:type="dxa"/>
          </w:tcPr>
          <w:p w14:paraId="36AFB84E" w14:textId="77777777" w:rsidR="003D52C5" w:rsidRPr="008E7D6A" w:rsidRDefault="003D52C5" w:rsidP="00316D81">
            <w:pPr>
              <w:spacing w:line="221" w:lineRule="auto"/>
              <w:rPr>
                <w:sz w:val="20"/>
                <w:szCs w:val="20"/>
              </w:rPr>
            </w:pPr>
            <w:r w:rsidRPr="008E7D6A">
              <w:rPr>
                <w:rFonts w:ascii="Arial" w:hAnsi="Arial"/>
                <w:sz w:val="20"/>
                <w:szCs w:val="20"/>
              </w:rPr>
              <w:t>Tafesse et al. (2026)</w:t>
            </w:r>
          </w:p>
        </w:tc>
        <w:tc>
          <w:tcPr>
            <w:tcW w:w="5976" w:type="dxa"/>
          </w:tcPr>
          <w:p w14:paraId="0E3E4D6C" w14:textId="77777777" w:rsidR="003D52C5" w:rsidRPr="008E7D6A" w:rsidRDefault="003D52C5" w:rsidP="00316D81">
            <w:pPr>
              <w:spacing w:line="221" w:lineRule="auto"/>
              <w:rPr>
                <w:sz w:val="20"/>
                <w:szCs w:val="20"/>
              </w:rPr>
            </w:pPr>
            <w:r w:rsidRPr="008E7D6A">
              <w:rPr>
                <w:rFonts w:ascii="Arial" w:hAnsi="Arial"/>
                <w:sz w:val="20"/>
                <w:szCs w:val="20"/>
              </w:rPr>
              <w:t>Stakeholders’ discourse on generative AI in higher education: Insights from topic modelling and sentiment analysis</w:t>
            </w:r>
          </w:p>
        </w:tc>
        <w:tc>
          <w:tcPr>
            <w:tcW w:w="3672" w:type="dxa"/>
          </w:tcPr>
          <w:p w14:paraId="072CEDD9"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w:t>
            </w:r>
          </w:p>
        </w:tc>
        <w:tc>
          <w:tcPr>
            <w:tcW w:w="3672" w:type="dxa"/>
          </w:tcPr>
          <w:p w14:paraId="61AD477E" w14:textId="2A370198"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EBC9CD5" w14:textId="77777777" w:rsidTr="00316D81">
        <w:trPr>
          <w:jc w:val="center"/>
        </w:trPr>
        <w:tc>
          <w:tcPr>
            <w:tcW w:w="605" w:type="dxa"/>
          </w:tcPr>
          <w:p w14:paraId="42D98739" w14:textId="77777777" w:rsidR="003D52C5" w:rsidRPr="008E7D6A" w:rsidRDefault="003D52C5" w:rsidP="00316D81">
            <w:pPr>
              <w:spacing w:line="221" w:lineRule="auto"/>
              <w:jc w:val="center"/>
              <w:rPr>
                <w:sz w:val="20"/>
                <w:szCs w:val="20"/>
              </w:rPr>
            </w:pPr>
            <w:r w:rsidRPr="008E7D6A">
              <w:rPr>
                <w:rFonts w:ascii="Arial" w:hAnsi="Arial"/>
                <w:sz w:val="20"/>
                <w:szCs w:val="20"/>
              </w:rPr>
              <w:t>117</w:t>
            </w:r>
          </w:p>
        </w:tc>
        <w:tc>
          <w:tcPr>
            <w:tcW w:w="2088" w:type="dxa"/>
          </w:tcPr>
          <w:p w14:paraId="2E257F95" w14:textId="77777777" w:rsidR="003D52C5" w:rsidRPr="008E7D6A" w:rsidRDefault="003D52C5" w:rsidP="00316D81">
            <w:pPr>
              <w:spacing w:line="221" w:lineRule="auto"/>
              <w:rPr>
                <w:sz w:val="20"/>
                <w:szCs w:val="20"/>
              </w:rPr>
            </w:pPr>
            <w:r w:rsidRPr="008E7D6A">
              <w:rPr>
                <w:rFonts w:ascii="Arial" w:hAnsi="Arial"/>
                <w:sz w:val="20"/>
                <w:szCs w:val="20"/>
              </w:rPr>
              <w:t>Teece et al. (1997)</w:t>
            </w:r>
          </w:p>
        </w:tc>
        <w:tc>
          <w:tcPr>
            <w:tcW w:w="5976" w:type="dxa"/>
          </w:tcPr>
          <w:p w14:paraId="6F9C43DA" w14:textId="77777777" w:rsidR="003D52C5" w:rsidRPr="008E7D6A" w:rsidRDefault="003D52C5" w:rsidP="00316D81">
            <w:pPr>
              <w:spacing w:line="221" w:lineRule="auto"/>
              <w:rPr>
                <w:sz w:val="20"/>
                <w:szCs w:val="20"/>
              </w:rPr>
            </w:pPr>
            <w:r w:rsidRPr="008E7D6A">
              <w:rPr>
                <w:rFonts w:ascii="Arial" w:hAnsi="Arial"/>
                <w:sz w:val="20"/>
                <w:szCs w:val="20"/>
              </w:rPr>
              <w:t>Dynamic capabilities and strategic management</w:t>
            </w:r>
          </w:p>
        </w:tc>
        <w:tc>
          <w:tcPr>
            <w:tcW w:w="3672" w:type="dxa"/>
          </w:tcPr>
          <w:p w14:paraId="58E40265" w14:textId="77777777" w:rsidR="003D52C5" w:rsidRPr="008E7D6A" w:rsidRDefault="003D52C5" w:rsidP="00316D81">
            <w:pPr>
              <w:spacing w:line="221" w:lineRule="auto"/>
              <w:rPr>
                <w:sz w:val="20"/>
                <w:szCs w:val="20"/>
              </w:rPr>
            </w:pPr>
            <w:r w:rsidRPr="008E7D6A">
              <w:rPr>
                <w:rFonts w:ascii="Arial" w:hAnsi="Arial"/>
                <w:sz w:val="20"/>
                <w:szCs w:val="20"/>
              </w:rPr>
              <w:t>organisational capability; strategic alignment</w:t>
            </w:r>
          </w:p>
        </w:tc>
        <w:tc>
          <w:tcPr>
            <w:tcW w:w="3672" w:type="dxa"/>
          </w:tcPr>
          <w:p w14:paraId="3E3CD4CD" w14:textId="3E6952ED"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56E7BCB" w14:textId="77777777" w:rsidTr="00316D81">
        <w:trPr>
          <w:jc w:val="center"/>
        </w:trPr>
        <w:tc>
          <w:tcPr>
            <w:tcW w:w="605" w:type="dxa"/>
          </w:tcPr>
          <w:p w14:paraId="64D9617B" w14:textId="77777777" w:rsidR="003D52C5" w:rsidRPr="008E7D6A" w:rsidRDefault="003D52C5" w:rsidP="00316D81">
            <w:pPr>
              <w:spacing w:line="221" w:lineRule="auto"/>
              <w:jc w:val="center"/>
              <w:rPr>
                <w:sz w:val="20"/>
                <w:szCs w:val="20"/>
              </w:rPr>
            </w:pPr>
            <w:r w:rsidRPr="008E7D6A">
              <w:rPr>
                <w:rFonts w:ascii="Arial" w:hAnsi="Arial"/>
                <w:sz w:val="20"/>
                <w:szCs w:val="20"/>
              </w:rPr>
              <w:t>118</w:t>
            </w:r>
          </w:p>
        </w:tc>
        <w:tc>
          <w:tcPr>
            <w:tcW w:w="2088" w:type="dxa"/>
          </w:tcPr>
          <w:p w14:paraId="027D9E2E" w14:textId="77777777" w:rsidR="003D52C5" w:rsidRPr="008E7D6A" w:rsidRDefault="003D52C5" w:rsidP="00316D81">
            <w:pPr>
              <w:spacing w:line="221" w:lineRule="auto"/>
              <w:rPr>
                <w:sz w:val="20"/>
                <w:szCs w:val="20"/>
              </w:rPr>
            </w:pPr>
            <w:r w:rsidRPr="008E7D6A">
              <w:rPr>
                <w:rFonts w:ascii="Arial" w:hAnsi="Arial"/>
                <w:sz w:val="20"/>
                <w:szCs w:val="20"/>
              </w:rPr>
              <w:t>Temper et al. (2025)</w:t>
            </w:r>
          </w:p>
        </w:tc>
        <w:tc>
          <w:tcPr>
            <w:tcW w:w="5976" w:type="dxa"/>
          </w:tcPr>
          <w:p w14:paraId="2829ECCE" w14:textId="77777777" w:rsidR="003D52C5" w:rsidRPr="008E7D6A" w:rsidRDefault="003D52C5" w:rsidP="00316D81">
            <w:pPr>
              <w:spacing w:line="221" w:lineRule="auto"/>
              <w:rPr>
                <w:sz w:val="20"/>
                <w:szCs w:val="20"/>
              </w:rPr>
            </w:pPr>
            <w:r w:rsidRPr="008E7D6A">
              <w:rPr>
                <w:rFonts w:ascii="Arial" w:hAnsi="Arial"/>
                <w:sz w:val="20"/>
                <w:szCs w:val="20"/>
              </w:rPr>
              <w:t>Higher Education Act for AI (HEAT-AI): a framework to regulate the usage of AI in higher education institutions</w:t>
            </w:r>
          </w:p>
        </w:tc>
        <w:tc>
          <w:tcPr>
            <w:tcW w:w="3672" w:type="dxa"/>
          </w:tcPr>
          <w:p w14:paraId="6B6E671D" w14:textId="77777777" w:rsidR="003D52C5" w:rsidRPr="008E7D6A" w:rsidRDefault="003D52C5" w:rsidP="00316D81">
            <w:pPr>
              <w:spacing w:line="221" w:lineRule="auto"/>
              <w:rPr>
                <w:sz w:val="20"/>
                <w:szCs w:val="20"/>
              </w:rPr>
            </w:pPr>
            <w:r w:rsidRPr="008E7D6A">
              <w:rPr>
                <w:rFonts w:ascii="Arial" w:hAnsi="Arial"/>
                <w:sz w:val="20"/>
                <w:szCs w:val="20"/>
              </w:rPr>
              <w:t>AI adoption; implementation; regulatory compliance; stakeholder engagement</w:t>
            </w:r>
          </w:p>
        </w:tc>
        <w:tc>
          <w:tcPr>
            <w:tcW w:w="3672" w:type="dxa"/>
          </w:tcPr>
          <w:p w14:paraId="0576B0EF" w14:textId="1A478E4D"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7E39E314" w14:textId="77777777" w:rsidTr="00316D81">
        <w:trPr>
          <w:jc w:val="center"/>
        </w:trPr>
        <w:tc>
          <w:tcPr>
            <w:tcW w:w="605" w:type="dxa"/>
          </w:tcPr>
          <w:p w14:paraId="6A8FF2B6" w14:textId="77777777" w:rsidR="003D52C5" w:rsidRPr="008E7D6A" w:rsidRDefault="003D52C5" w:rsidP="00316D81">
            <w:pPr>
              <w:spacing w:line="221" w:lineRule="auto"/>
              <w:jc w:val="center"/>
              <w:rPr>
                <w:sz w:val="20"/>
                <w:szCs w:val="20"/>
              </w:rPr>
            </w:pPr>
            <w:r w:rsidRPr="008E7D6A">
              <w:rPr>
                <w:rFonts w:ascii="Arial" w:hAnsi="Arial"/>
                <w:sz w:val="20"/>
                <w:szCs w:val="20"/>
              </w:rPr>
              <w:t>119</w:t>
            </w:r>
          </w:p>
        </w:tc>
        <w:tc>
          <w:tcPr>
            <w:tcW w:w="2088" w:type="dxa"/>
          </w:tcPr>
          <w:p w14:paraId="2F5F1366" w14:textId="77777777" w:rsidR="003D52C5" w:rsidRPr="008E7D6A" w:rsidRDefault="003D52C5" w:rsidP="00316D81">
            <w:pPr>
              <w:spacing w:line="221" w:lineRule="auto"/>
              <w:rPr>
                <w:sz w:val="20"/>
                <w:szCs w:val="20"/>
              </w:rPr>
            </w:pPr>
            <w:r w:rsidRPr="008E7D6A">
              <w:rPr>
                <w:rFonts w:ascii="Arial" w:hAnsi="Arial"/>
                <w:sz w:val="20"/>
                <w:szCs w:val="20"/>
              </w:rPr>
              <w:t>Thaldar et al. (2025)</w:t>
            </w:r>
          </w:p>
        </w:tc>
        <w:tc>
          <w:tcPr>
            <w:tcW w:w="5976" w:type="dxa"/>
          </w:tcPr>
          <w:p w14:paraId="6D77FD61" w14:textId="77777777" w:rsidR="003D52C5" w:rsidRPr="008E7D6A" w:rsidRDefault="003D52C5" w:rsidP="00316D81">
            <w:pPr>
              <w:spacing w:line="221" w:lineRule="auto"/>
              <w:rPr>
                <w:sz w:val="20"/>
                <w:szCs w:val="20"/>
              </w:rPr>
            </w:pPr>
            <w:r w:rsidRPr="008E7D6A">
              <w:rPr>
                <w:rFonts w:ascii="Arial" w:hAnsi="Arial"/>
                <w:sz w:val="20"/>
                <w:szCs w:val="20"/>
              </w:rPr>
              <w:t>Generative AI governance in higher education: a case study from Africa</w:t>
            </w:r>
          </w:p>
        </w:tc>
        <w:tc>
          <w:tcPr>
            <w:tcW w:w="3672" w:type="dxa"/>
          </w:tcPr>
          <w:p w14:paraId="2F405D76" w14:textId="77777777" w:rsidR="003D52C5" w:rsidRPr="008E7D6A" w:rsidRDefault="003D52C5" w:rsidP="00316D81">
            <w:pPr>
              <w:spacing w:line="221" w:lineRule="auto"/>
              <w:rPr>
                <w:sz w:val="20"/>
                <w:szCs w:val="20"/>
              </w:rPr>
            </w:pPr>
            <w:r w:rsidRPr="008E7D6A">
              <w:rPr>
                <w:rFonts w:ascii="Arial" w:hAnsi="Arial"/>
                <w:sz w:val="20"/>
                <w:szCs w:val="20"/>
              </w:rPr>
              <w:t>GenAI; governance structures; institutional policy; stakeholder engagement; accountability</w:t>
            </w:r>
          </w:p>
        </w:tc>
        <w:tc>
          <w:tcPr>
            <w:tcW w:w="3672" w:type="dxa"/>
          </w:tcPr>
          <w:p w14:paraId="534E4F02" w14:textId="761DFC01"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2A804264" w14:textId="77777777" w:rsidTr="00316D81">
        <w:trPr>
          <w:jc w:val="center"/>
        </w:trPr>
        <w:tc>
          <w:tcPr>
            <w:tcW w:w="605" w:type="dxa"/>
          </w:tcPr>
          <w:p w14:paraId="0DC970ED" w14:textId="77777777" w:rsidR="003D52C5" w:rsidRPr="008E7D6A" w:rsidRDefault="003D52C5" w:rsidP="00316D81">
            <w:pPr>
              <w:spacing w:line="221" w:lineRule="auto"/>
              <w:jc w:val="center"/>
              <w:rPr>
                <w:sz w:val="20"/>
                <w:szCs w:val="20"/>
              </w:rPr>
            </w:pPr>
            <w:r w:rsidRPr="008E7D6A">
              <w:rPr>
                <w:rFonts w:ascii="Arial" w:hAnsi="Arial"/>
                <w:sz w:val="20"/>
                <w:szCs w:val="20"/>
              </w:rPr>
              <w:t>120</w:t>
            </w:r>
          </w:p>
        </w:tc>
        <w:tc>
          <w:tcPr>
            <w:tcW w:w="2088" w:type="dxa"/>
          </w:tcPr>
          <w:p w14:paraId="03FDF4EA" w14:textId="77777777" w:rsidR="003D52C5" w:rsidRPr="008E7D6A" w:rsidRDefault="003D52C5" w:rsidP="00316D81">
            <w:pPr>
              <w:spacing w:line="221" w:lineRule="auto"/>
              <w:rPr>
                <w:sz w:val="20"/>
                <w:szCs w:val="20"/>
              </w:rPr>
            </w:pPr>
            <w:r w:rsidRPr="008E7D6A">
              <w:rPr>
                <w:rFonts w:ascii="Arial" w:hAnsi="Arial"/>
                <w:sz w:val="20"/>
                <w:szCs w:val="20"/>
              </w:rPr>
              <w:t>Thomas, L. (2024)</w:t>
            </w:r>
          </w:p>
        </w:tc>
        <w:tc>
          <w:tcPr>
            <w:tcW w:w="5976" w:type="dxa"/>
          </w:tcPr>
          <w:p w14:paraId="40A96D0E" w14:textId="77777777" w:rsidR="003D52C5" w:rsidRPr="008E7D6A" w:rsidRDefault="003D52C5" w:rsidP="00316D81">
            <w:pPr>
              <w:spacing w:line="221" w:lineRule="auto"/>
              <w:rPr>
                <w:sz w:val="20"/>
                <w:szCs w:val="20"/>
              </w:rPr>
            </w:pPr>
            <w:r w:rsidRPr="008E7D6A">
              <w:rPr>
                <w:rFonts w:ascii="Arial" w:hAnsi="Arial"/>
                <w:sz w:val="20"/>
                <w:szCs w:val="20"/>
              </w:rPr>
              <w:t>The Researcher’s Gaze: Positionality and Reflexivity</w:t>
            </w:r>
          </w:p>
        </w:tc>
        <w:tc>
          <w:tcPr>
            <w:tcW w:w="3672" w:type="dxa"/>
          </w:tcPr>
          <w:p w14:paraId="3EC986D5" w14:textId="77777777" w:rsidR="003D52C5" w:rsidRPr="008E7D6A" w:rsidRDefault="003D52C5" w:rsidP="00316D81">
            <w:pPr>
              <w:spacing w:line="221" w:lineRule="auto"/>
              <w:rPr>
                <w:sz w:val="20"/>
                <w:szCs w:val="20"/>
              </w:rPr>
            </w:pPr>
            <w:r w:rsidRPr="008E7D6A">
              <w:rPr>
                <w:rFonts w:ascii="Arial" w:hAnsi="Arial"/>
                <w:sz w:val="20"/>
                <w:szCs w:val="20"/>
              </w:rPr>
              <w:t>positionality; reflexivity; systematic review; qualitative rigour</w:t>
            </w:r>
          </w:p>
        </w:tc>
        <w:tc>
          <w:tcPr>
            <w:tcW w:w="3672" w:type="dxa"/>
          </w:tcPr>
          <w:p w14:paraId="54465D90" w14:textId="45556B52"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5893B239" w14:textId="77777777" w:rsidTr="00316D81">
        <w:trPr>
          <w:jc w:val="center"/>
        </w:trPr>
        <w:tc>
          <w:tcPr>
            <w:tcW w:w="605" w:type="dxa"/>
          </w:tcPr>
          <w:p w14:paraId="157FD172" w14:textId="77777777" w:rsidR="003D52C5" w:rsidRPr="008E7D6A" w:rsidRDefault="003D52C5" w:rsidP="00316D81">
            <w:pPr>
              <w:spacing w:line="221" w:lineRule="auto"/>
              <w:jc w:val="center"/>
              <w:rPr>
                <w:sz w:val="20"/>
                <w:szCs w:val="20"/>
              </w:rPr>
            </w:pPr>
            <w:r w:rsidRPr="008E7D6A">
              <w:rPr>
                <w:rFonts w:ascii="Arial" w:hAnsi="Arial"/>
                <w:sz w:val="20"/>
                <w:szCs w:val="20"/>
              </w:rPr>
              <w:t>121</w:t>
            </w:r>
          </w:p>
        </w:tc>
        <w:tc>
          <w:tcPr>
            <w:tcW w:w="2088" w:type="dxa"/>
          </w:tcPr>
          <w:p w14:paraId="6392B118" w14:textId="77777777" w:rsidR="003D52C5" w:rsidRPr="008E7D6A" w:rsidRDefault="003D52C5" w:rsidP="00316D81">
            <w:pPr>
              <w:spacing w:line="221" w:lineRule="auto"/>
              <w:rPr>
                <w:sz w:val="20"/>
                <w:szCs w:val="20"/>
              </w:rPr>
            </w:pPr>
            <w:r w:rsidRPr="008E7D6A">
              <w:rPr>
                <w:rFonts w:ascii="Arial" w:hAnsi="Arial"/>
                <w:sz w:val="20"/>
                <w:szCs w:val="20"/>
              </w:rPr>
              <w:t>Thomas et al. (2008)</w:t>
            </w:r>
          </w:p>
        </w:tc>
        <w:tc>
          <w:tcPr>
            <w:tcW w:w="5976" w:type="dxa"/>
          </w:tcPr>
          <w:p w14:paraId="0DA0C5C8" w14:textId="77777777" w:rsidR="003D52C5" w:rsidRPr="008E7D6A" w:rsidRDefault="003D52C5" w:rsidP="00316D81">
            <w:pPr>
              <w:spacing w:line="221" w:lineRule="auto"/>
              <w:rPr>
                <w:sz w:val="20"/>
                <w:szCs w:val="20"/>
              </w:rPr>
            </w:pPr>
            <w:r w:rsidRPr="008E7D6A">
              <w:rPr>
                <w:rFonts w:ascii="Arial" w:hAnsi="Arial"/>
                <w:sz w:val="20"/>
                <w:szCs w:val="20"/>
              </w:rPr>
              <w:t>Methods for the thematic synthesis of qualitative research in systematic reviews</w:t>
            </w:r>
          </w:p>
        </w:tc>
        <w:tc>
          <w:tcPr>
            <w:tcW w:w="3672" w:type="dxa"/>
          </w:tcPr>
          <w:p w14:paraId="6BD037E2"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w:t>
            </w:r>
          </w:p>
        </w:tc>
        <w:tc>
          <w:tcPr>
            <w:tcW w:w="3672" w:type="dxa"/>
          </w:tcPr>
          <w:p w14:paraId="2DFCDC14" w14:textId="01834371"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28738942" w14:textId="77777777" w:rsidTr="00316D81">
        <w:trPr>
          <w:jc w:val="center"/>
        </w:trPr>
        <w:tc>
          <w:tcPr>
            <w:tcW w:w="605" w:type="dxa"/>
          </w:tcPr>
          <w:p w14:paraId="35290F12" w14:textId="77777777" w:rsidR="003D52C5" w:rsidRPr="008E7D6A" w:rsidRDefault="003D52C5" w:rsidP="00316D81">
            <w:pPr>
              <w:spacing w:line="221" w:lineRule="auto"/>
              <w:jc w:val="center"/>
              <w:rPr>
                <w:sz w:val="20"/>
                <w:szCs w:val="20"/>
              </w:rPr>
            </w:pPr>
            <w:r w:rsidRPr="008E7D6A">
              <w:rPr>
                <w:rFonts w:ascii="Arial" w:hAnsi="Arial"/>
                <w:sz w:val="20"/>
                <w:szCs w:val="20"/>
              </w:rPr>
              <w:t>122</w:t>
            </w:r>
          </w:p>
        </w:tc>
        <w:tc>
          <w:tcPr>
            <w:tcW w:w="2088" w:type="dxa"/>
          </w:tcPr>
          <w:p w14:paraId="033401A1" w14:textId="77777777" w:rsidR="003D52C5" w:rsidRPr="008E7D6A" w:rsidRDefault="003D52C5" w:rsidP="00316D81">
            <w:pPr>
              <w:spacing w:line="221" w:lineRule="auto"/>
              <w:rPr>
                <w:sz w:val="20"/>
                <w:szCs w:val="20"/>
              </w:rPr>
            </w:pPr>
            <w:r w:rsidRPr="008E7D6A">
              <w:rPr>
                <w:rFonts w:ascii="Arial" w:hAnsi="Arial"/>
                <w:sz w:val="20"/>
                <w:szCs w:val="20"/>
              </w:rPr>
              <w:t>Veale et al. (2021)</w:t>
            </w:r>
          </w:p>
        </w:tc>
        <w:tc>
          <w:tcPr>
            <w:tcW w:w="5976" w:type="dxa"/>
          </w:tcPr>
          <w:p w14:paraId="7D2F3A07" w14:textId="77777777" w:rsidR="003D52C5" w:rsidRPr="008E7D6A" w:rsidRDefault="003D52C5" w:rsidP="00316D81">
            <w:pPr>
              <w:spacing w:line="221" w:lineRule="auto"/>
              <w:rPr>
                <w:sz w:val="20"/>
                <w:szCs w:val="20"/>
              </w:rPr>
            </w:pPr>
            <w:r w:rsidRPr="008E7D6A">
              <w:rPr>
                <w:rFonts w:ascii="Arial" w:hAnsi="Arial"/>
                <w:sz w:val="20"/>
                <w:szCs w:val="20"/>
              </w:rPr>
              <w:t>Demystifying the Draft EU Artificial Intelligence Act—Analysing the good, the bad, and the unclear elements of the proposed approach</w:t>
            </w:r>
          </w:p>
        </w:tc>
        <w:tc>
          <w:tcPr>
            <w:tcW w:w="3672" w:type="dxa"/>
          </w:tcPr>
          <w:p w14:paraId="17D215C2"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71997D94" w14:textId="725A6BFD"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23618A9B" w14:textId="77777777" w:rsidTr="00316D81">
        <w:trPr>
          <w:jc w:val="center"/>
        </w:trPr>
        <w:tc>
          <w:tcPr>
            <w:tcW w:w="605" w:type="dxa"/>
          </w:tcPr>
          <w:p w14:paraId="7365716E" w14:textId="77777777" w:rsidR="003D52C5" w:rsidRPr="008E7D6A" w:rsidRDefault="003D52C5" w:rsidP="00316D81">
            <w:pPr>
              <w:spacing w:line="221" w:lineRule="auto"/>
              <w:jc w:val="center"/>
              <w:rPr>
                <w:sz w:val="20"/>
                <w:szCs w:val="20"/>
              </w:rPr>
            </w:pPr>
            <w:r w:rsidRPr="008E7D6A">
              <w:rPr>
                <w:rFonts w:ascii="Arial" w:hAnsi="Arial"/>
                <w:sz w:val="20"/>
                <w:szCs w:val="20"/>
              </w:rPr>
              <w:lastRenderedPageBreak/>
              <w:t>123</w:t>
            </w:r>
          </w:p>
        </w:tc>
        <w:tc>
          <w:tcPr>
            <w:tcW w:w="2088" w:type="dxa"/>
          </w:tcPr>
          <w:p w14:paraId="15BD7B9B" w14:textId="77777777" w:rsidR="003D52C5" w:rsidRPr="008E7D6A" w:rsidRDefault="003D52C5" w:rsidP="00316D81">
            <w:pPr>
              <w:spacing w:line="221" w:lineRule="auto"/>
              <w:rPr>
                <w:sz w:val="20"/>
                <w:szCs w:val="20"/>
              </w:rPr>
            </w:pPr>
            <w:r w:rsidRPr="008E7D6A">
              <w:rPr>
                <w:rFonts w:ascii="Arial" w:hAnsi="Arial"/>
                <w:sz w:val="20"/>
                <w:szCs w:val="20"/>
              </w:rPr>
              <w:t>Vincent et al. (2014)</w:t>
            </w:r>
          </w:p>
        </w:tc>
        <w:tc>
          <w:tcPr>
            <w:tcW w:w="5976" w:type="dxa"/>
          </w:tcPr>
          <w:p w14:paraId="213B997D" w14:textId="77777777" w:rsidR="003D52C5" w:rsidRPr="008E7D6A" w:rsidRDefault="003D52C5" w:rsidP="00316D81">
            <w:pPr>
              <w:spacing w:line="221" w:lineRule="auto"/>
              <w:rPr>
                <w:sz w:val="20"/>
                <w:szCs w:val="20"/>
              </w:rPr>
            </w:pPr>
            <w:r w:rsidRPr="008E7D6A">
              <w:rPr>
                <w:rFonts w:ascii="Arial" w:hAnsi="Arial"/>
                <w:sz w:val="20"/>
                <w:szCs w:val="20"/>
              </w:rPr>
              <w:t>Critical realism and the organisational case study: A guide to discovering institutional mechanisms’, in Edwards, P.K., O</w:t>
            </w:r>
          </w:p>
        </w:tc>
        <w:tc>
          <w:tcPr>
            <w:tcW w:w="3672" w:type="dxa"/>
          </w:tcPr>
          <w:p w14:paraId="067C2263" w14:textId="77777777" w:rsidR="003D52C5" w:rsidRPr="008E7D6A" w:rsidRDefault="003D52C5" w:rsidP="00316D81">
            <w:pPr>
              <w:spacing w:line="221" w:lineRule="auto"/>
              <w:rPr>
                <w:sz w:val="20"/>
                <w:szCs w:val="20"/>
              </w:rPr>
            </w:pPr>
            <w:r w:rsidRPr="008E7D6A">
              <w:rPr>
                <w:rFonts w:ascii="Arial" w:hAnsi="Arial"/>
                <w:sz w:val="20"/>
                <w:szCs w:val="20"/>
              </w:rPr>
              <w:t>critical realism; ontology/epistemology</w:t>
            </w:r>
          </w:p>
        </w:tc>
        <w:tc>
          <w:tcPr>
            <w:tcW w:w="3672" w:type="dxa"/>
          </w:tcPr>
          <w:p w14:paraId="633FD880" w14:textId="65EC718F"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E85B64F" w14:textId="77777777" w:rsidTr="00316D81">
        <w:trPr>
          <w:jc w:val="center"/>
        </w:trPr>
        <w:tc>
          <w:tcPr>
            <w:tcW w:w="605" w:type="dxa"/>
          </w:tcPr>
          <w:p w14:paraId="700F298F" w14:textId="77777777" w:rsidR="003D52C5" w:rsidRPr="008E7D6A" w:rsidRDefault="003D52C5" w:rsidP="00316D81">
            <w:pPr>
              <w:spacing w:line="221" w:lineRule="auto"/>
              <w:jc w:val="center"/>
              <w:rPr>
                <w:sz w:val="20"/>
                <w:szCs w:val="20"/>
              </w:rPr>
            </w:pPr>
            <w:r w:rsidRPr="008E7D6A">
              <w:rPr>
                <w:rFonts w:ascii="Arial" w:hAnsi="Arial"/>
                <w:sz w:val="20"/>
                <w:szCs w:val="20"/>
              </w:rPr>
              <w:t>124</w:t>
            </w:r>
          </w:p>
        </w:tc>
        <w:tc>
          <w:tcPr>
            <w:tcW w:w="2088" w:type="dxa"/>
          </w:tcPr>
          <w:p w14:paraId="10BA3735" w14:textId="77777777" w:rsidR="003D52C5" w:rsidRPr="008E7D6A" w:rsidRDefault="003D52C5" w:rsidP="00316D81">
            <w:pPr>
              <w:spacing w:line="221" w:lineRule="auto"/>
              <w:rPr>
                <w:sz w:val="20"/>
                <w:szCs w:val="20"/>
              </w:rPr>
            </w:pPr>
            <w:r w:rsidRPr="008E7D6A">
              <w:rPr>
                <w:rFonts w:ascii="Arial" w:hAnsi="Arial"/>
                <w:sz w:val="20"/>
                <w:szCs w:val="20"/>
              </w:rPr>
              <w:t>Walhidayah et al. (2025)</w:t>
            </w:r>
          </w:p>
        </w:tc>
        <w:tc>
          <w:tcPr>
            <w:tcW w:w="5976" w:type="dxa"/>
          </w:tcPr>
          <w:p w14:paraId="52E4A13A" w14:textId="77777777" w:rsidR="003D52C5" w:rsidRPr="008E7D6A" w:rsidRDefault="003D52C5" w:rsidP="00316D81">
            <w:pPr>
              <w:spacing w:line="221" w:lineRule="auto"/>
              <w:rPr>
                <w:sz w:val="20"/>
                <w:szCs w:val="20"/>
              </w:rPr>
            </w:pPr>
            <w:r w:rsidRPr="008E7D6A">
              <w:rPr>
                <w:rFonts w:ascii="Arial" w:hAnsi="Arial"/>
                <w:sz w:val="20"/>
                <w:szCs w:val="20"/>
              </w:rPr>
              <w:t>Development of an AI governance model for higher education using the Capability Maturity Model Integration (CMMI)</w:t>
            </w:r>
          </w:p>
        </w:tc>
        <w:tc>
          <w:tcPr>
            <w:tcW w:w="3672" w:type="dxa"/>
          </w:tcPr>
          <w:p w14:paraId="280A1805"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organisational capability; accountability</w:t>
            </w:r>
          </w:p>
        </w:tc>
        <w:tc>
          <w:tcPr>
            <w:tcW w:w="3672" w:type="dxa"/>
          </w:tcPr>
          <w:p w14:paraId="26484B83" w14:textId="77F1B93A"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000C547F" w14:textId="77777777" w:rsidTr="00316D81">
        <w:trPr>
          <w:jc w:val="center"/>
        </w:trPr>
        <w:tc>
          <w:tcPr>
            <w:tcW w:w="605" w:type="dxa"/>
          </w:tcPr>
          <w:p w14:paraId="2AAFC6BF" w14:textId="77777777" w:rsidR="003D52C5" w:rsidRPr="008E7D6A" w:rsidRDefault="003D52C5" w:rsidP="00316D81">
            <w:pPr>
              <w:spacing w:line="221" w:lineRule="auto"/>
              <w:jc w:val="center"/>
              <w:rPr>
                <w:sz w:val="20"/>
                <w:szCs w:val="20"/>
              </w:rPr>
            </w:pPr>
            <w:r w:rsidRPr="008E7D6A">
              <w:rPr>
                <w:rFonts w:ascii="Arial" w:hAnsi="Arial"/>
                <w:sz w:val="20"/>
                <w:szCs w:val="20"/>
              </w:rPr>
              <w:t>125</w:t>
            </w:r>
          </w:p>
        </w:tc>
        <w:tc>
          <w:tcPr>
            <w:tcW w:w="2088" w:type="dxa"/>
          </w:tcPr>
          <w:p w14:paraId="34686341" w14:textId="77777777" w:rsidR="003D52C5" w:rsidRPr="008E7D6A" w:rsidRDefault="003D52C5" w:rsidP="00316D81">
            <w:pPr>
              <w:spacing w:line="221" w:lineRule="auto"/>
              <w:rPr>
                <w:sz w:val="20"/>
                <w:szCs w:val="20"/>
              </w:rPr>
            </w:pPr>
            <w:r w:rsidRPr="008E7D6A">
              <w:rPr>
                <w:rFonts w:ascii="Arial" w:hAnsi="Arial"/>
                <w:sz w:val="20"/>
                <w:szCs w:val="20"/>
              </w:rPr>
              <w:t>Wang, W. (2024)</w:t>
            </w:r>
          </w:p>
        </w:tc>
        <w:tc>
          <w:tcPr>
            <w:tcW w:w="5976" w:type="dxa"/>
          </w:tcPr>
          <w:p w14:paraId="23B49499" w14:textId="77777777" w:rsidR="003D52C5" w:rsidRPr="008E7D6A" w:rsidRDefault="003D52C5" w:rsidP="00316D81">
            <w:pPr>
              <w:spacing w:line="221" w:lineRule="auto"/>
              <w:rPr>
                <w:sz w:val="20"/>
                <w:szCs w:val="20"/>
              </w:rPr>
            </w:pPr>
            <w:r w:rsidRPr="008E7D6A">
              <w:rPr>
                <w:rFonts w:ascii="Arial" w:hAnsi="Arial"/>
                <w:sz w:val="20"/>
                <w:szCs w:val="20"/>
              </w:rPr>
              <w:t>The Global Institutional Governance of AI: A Four-Dimensional Perspective</w:t>
            </w:r>
          </w:p>
        </w:tc>
        <w:tc>
          <w:tcPr>
            <w:tcW w:w="3672" w:type="dxa"/>
          </w:tcPr>
          <w:p w14:paraId="61B57F35" w14:textId="77777777" w:rsidR="003D52C5" w:rsidRPr="008E7D6A" w:rsidRDefault="003D52C5" w:rsidP="00316D81">
            <w:pPr>
              <w:spacing w:line="221" w:lineRule="auto"/>
              <w:rPr>
                <w:sz w:val="20"/>
                <w:szCs w:val="20"/>
              </w:rPr>
            </w:pPr>
            <w:r w:rsidRPr="008E7D6A">
              <w:rPr>
                <w:rFonts w:ascii="Arial" w:hAnsi="Arial"/>
                <w:sz w:val="20"/>
                <w:szCs w:val="20"/>
              </w:rPr>
              <w:t>governance structures; organisational capability; strategic alignment</w:t>
            </w:r>
          </w:p>
        </w:tc>
        <w:tc>
          <w:tcPr>
            <w:tcW w:w="3672" w:type="dxa"/>
          </w:tcPr>
          <w:p w14:paraId="0ADDF4FD" w14:textId="4FA72AE7"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560517F" w14:textId="77777777" w:rsidTr="00316D81">
        <w:trPr>
          <w:jc w:val="center"/>
        </w:trPr>
        <w:tc>
          <w:tcPr>
            <w:tcW w:w="605" w:type="dxa"/>
          </w:tcPr>
          <w:p w14:paraId="741243A8" w14:textId="77777777" w:rsidR="003D52C5" w:rsidRPr="008E7D6A" w:rsidRDefault="003D52C5" w:rsidP="00316D81">
            <w:pPr>
              <w:spacing w:line="221" w:lineRule="auto"/>
              <w:jc w:val="center"/>
              <w:rPr>
                <w:sz w:val="20"/>
                <w:szCs w:val="20"/>
              </w:rPr>
            </w:pPr>
            <w:r w:rsidRPr="008E7D6A">
              <w:rPr>
                <w:rFonts w:ascii="Arial" w:hAnsi="Arial"/>
                <w:sz w:val="20"/>
                <w:szCs w:val="20"/>
              </w:rPr>
              <w:t>126</w:t>
            </w:r>
          </w:p>
        </w:tc>
        <w:tc>
          <w:tcPr>
            <w:tcW w:w="2088" w:type="dxa"/>
          </w:tcPr>
          <w:p w14:paraId="7BBA74B9" w14:textId="77777777" w:rsidR="003D52C5" w:rsidRPr="008E7D6A" w:rsidRDefault="003D52C5" w:rsidP="00316D81">
            <w:pPr>
              <w:spacing w:line="221" w:lineRule="auto"/>
              <w:rPr>
                <w:sz w:val="20"/>
                <w:szCs w:val="20"/>
              </w:rPr>
            </w:pPr>
            <w:r w:rsidRPr="008E7D6A">
              <w:rPr>
                <w:rFonts w:ascii="Arial" w:hAnsi="Arial"/>
                <w:sz w:val="20"/>
                <w:szCs w:val="20"/>
              </w:rPr>
              <w:t>Whittle et al. (2025)</w:t>
            </w:r>
          </w:p>
        </w:tc>
        <w:tc>
          <w:tcPr>
            <w:tcW w:w="5976" w:type="dxa"/>
          </w:tcPr>
          <w:p w14:paraId="3B1CCC07" w14:textId="77777777" w:rsidR="003D52C5" w:rsidRPr="008E7D6A" w:rsidRDefault="003D52C5" w:rsidP="00316D81">
            <w:pPr>
              <w:spacing w:line="221" w:lineRule="auto"/>
              <w:rPr>
                <w:sz w:val="20"/>
                <w:szCs w:val="20"/>
              </w:rPr>
            </w:pPr>
            <w:r w:rsidRPr="008E7D6A">
              <w:rPr>
                <w:rFonts w:ascii="Arial" w:hAnsi="Arial"/>
                <w:sz w:val="20"/>
                <w:szCs w:val="20"/>
              </w:rPr>
              <w:t>Making Knowledge Claims from Qualitative Interviews: A Typology of Epistemological Modes</w:t>
            </w:r>
          </w:p>
        </w:tc>
        <w:tc>
          <w:tcPr>
            <w:tcW w:w="3672" w:type="dxa"/>
          </w:tcPr>
          <w:p w14:paraId="5ACBF4E5" w14:textId="77777777" w:rsidR="003D52C5" w:rsidRPr="008E7D6A" w:rsidRDefault="003D52C5" w:rsidP="00316D81">
            <w:pPr>
              <w:spacing w:line="221" w:lineRule="auto"/>
              <w:rPr>
                <w:sz w:val="20"/>
                <w:szCs w:val="20"/>
              </w:rPr>
            </w:pPr>
            <w:r w:rsidRPr="008E7D6A">
              <w:rPr>
                <w:rFonts w:ascii="Arial" w:hAnsi="Arial"/>
                <w:sz w:val="20"/>
                <w:szCs w:val="20"/>
              </w:rPr>
              <w:t>ontology/epistemology; qualitative rigour</w:t>
            </w:r>
          </w:p>
        </w:tc>
        <w:tc>
          <w:tcPr>
            <w:tcW w:w="3672" w:type="dxa"/>
          </w:tcPr>
          <w:p w14:paraId="5D7ED28D" w14:textId="52E3A72C"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3B1B6073" w14:textId="77777777" w:rsidTr="00316D81">
        <w:trPr>
          <w:jc w:val="center"/>
        </w:trPr>
        <w:tc>
          <w:tcPr>
            <w:tcW w:w="605" w:type="dxa"/>
          </w:tcPr>
          <w:p w14:paraId="3B237304" w14:textId="77777777" w:rsidR="003D52C5" w:rsidRPr="008E7D6A" w:rsidRDefault="003D52C5" w:rsidP="00316D81">
            <w:pPr>
              <w:spacing w:line="221" w:lineRule="auto"/>
              <w:jc w:val="center"/>
              <w:rPr>
                <w:sz w:val="20"/>
                <w:szCs w:val="20"/>
              </w:rPr>
            </w:pPr>
            <w:r w:rsidRPr="008E7D6A">
              <w:rPr>
                <w:rFonts w:ascii="Arial" w:hAnsi="Arial"/>
                <w:sz w:val="20"/>
                <w:szCs w:val="20"/>
              </w:rPr>
              <w:t>127</w:t>
            </w:r>
          </w:p>
        </w:tc>
        <w:tc>
          <w:tcPr>
            <w:tcW w:w="2088" w:type="dxa"/>
          </w:tcPr>
          <w:p w14:paraId="5A004049" w14:textId="77777777" w:rsidR="003D52C5" w:rsidRPr="008E7D6A" w:rsidRDefault="003D52C5" w:rsidP="00316D81">
            <w:pPr>
              <w:spacing w:line="221" w:lineRule="auto"/>
              <w:rPr>
                <w:sz w:val="20"/>
                <w:szCs w:val="20"/>
              </w:rPr>
            </w:pPr>
            <w:r w:rsidRPr="008E7D6A">
              <w:rPr>
                <w:rFonts w:ascii="Arial" w:hAnsi="Arial"/>
                <w:sz w:val="20"/>
                <w:szCs w:val="20"/>
              </w:rPr>
              <w:t>Williams, M. (2000)</w:t>
            </w:r>
          </w:p>
        </w:tc>
        <w:tc>
          <w:tcPr>
            <w:tcW w:w="5976" w:type="dxa"/>
          </w:tcPr>
          <w:p w14:paraId="56AF1692" w14:textId="77777777" w:rsidR="003D52C5" w:rsidRPr="008E7D6A" w:rsidRDefault="003D52C5" w:rsidP="00316D81">
            <w:pPr>
              <w:spacing w:line="221" w:lineRule="auto"/>
              <w:rPr>
                <w:sz w:val="20"/>
                <w:szCs w:val="20"/>
              </w:rPr>
            </w:pPr>
            <w:r w:rsidRPr="008E7D6A">
              <w:rPr>
                <w:rFonts w:ascii="Arial" w:hAnsi="Arial"/>
                <w:sz w:val="20"/>
                <w:szCs w:val="20"/>
              </w:rPr>
              <w:t>Interpretivism and Generalisation</w:t>
            </w:r>
          </w:p>
        </w:tc>
        <w:tc>
          <w:tcPr>
            <w:tcW w:w="3672" w:type="dxa"/>
          </w:tcPr>
          <w:p w14:paraId="1601C804" w14:textId="77777777" w:rsidR="003D52C5" w:rsidRPr="008E7D6A" w:rsidRDefault="003D52C5" w:rsidP="00316D81">
            <w:pPr>
              <w:spacing w:line="221" w:lineRule="auto"/>
              <w:rPr>
                <w:sz w:val="20"/>
                <w:szCs w:val="20"/>
              </w:rPr>
            </w:pPr>
            <w:r w:rsidRPr="008E7D6A">
              <w:rPr>
                <w:rFonts w:ascii="Arial" w:hAnsi="Arial"/>
                <w:sz w:val="20"/>
                <w:szCs w:val="20"/>
              </w:rPr>
              <w:t>ontology/epistemology; interpretivism; transferability/generalisation</w:t>
            </w:r>
          </w:p>
        </w:tc>
        <w:tc>
          <w:tcPr>
            <w:tcW w:w="3672" w:type="dxa"/>
          </w:tcPr>
          <w:p w14:paraId="5D630749" w14:textId="145EF894"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77A714F5" w14:textId="77777777" w:rsidTr="00316D81">
        <w:trPr>
          <w:jc w:val="center"/>
        </w:trPr>
        <w:tc>
          <w:tcPr>
            <w:tcW w:w="605" w:type="dxa"/>
          </w:tcPr>
          <w:p w14:paraId="244FE8F5" w14:textId="77777777" w:rsidR="003D52C5" w:rsidRPr="008E7D6A" w:rsidRDefault="003D52C5" w:rsidP="00316D81">
            <w:pPr>
              <w:spacing w:line="221" w:lineRule="auto"/>
              <w:jc w:val="center"/>
              <w:rPr>
                <w:sz w:val="20"/>
                <w:szCs w:val="20"/>
              </w:rPr>
            </w:pPr>
            <w:r w:rsidRPr="008E7D6A">
              <w:rPr>
                <w:rFonts w:ascii="Arial" w:hAnsi="Arial"/>
                <w:sz w:val="20"/>
                <w:szCs w:val="20"/>
              </w:rPr>
              <w:t>128</w:t>
            </w:r>
          </w:p>
        </w:tc>
        <w:tc>
          <w:tcPr>
            <w:tcW w:w="2088" w:type="dxa"/>
          </w:tcPr>
          <w:p w14:paraId="28A8B5EE" w14:textId="77777777" w:rsidR="003D52C5" w:rsidRPr="008E7D6A" w:rsidRDefault="003D52C5" w:rsidP="00316D81">
            <w:pPr>
              <w:spacing w:line="221" w:lineRule="auto"/>
              <w:rPr>
                <w:sz w:val="20"/>
                <w:szCs w:val="20"/>
              </w:rPr>
            </w:pPr>
            <w:r w:rsidRPr="008E7D6A">
              <w:rPr>
                <w:rFonts w:ascii="Arial" w:hAnsi="Arial"/>
                <w:sz w:val="20"/>
                <w:szCs w:val="20"/>
              </w:rPr>
              <w:t>Williamson et al. (2020)</w:t>
            </w:r>
          </w:p>
        </w:tc>
        <w:tc>
          <w:tcPr>
            <w:tcW w:w="5976" w:type="dxa"/>
          </w:tcPr>
          <w:p w14:paraId="6B582467" w14:textId="77777777" w:rsidR="003D52C5" w:rsidRPr="008E7D6A" w:rsidRDefault="003D52C5" w:rsidP="00316D81">
            <w:pPr>
              <w:spacing w:line="221" w:lineRule="auto"/>
              <w:rPr>
                <w:sz w:val="20"/>
                <w:szCs w:val="20"/>
              </w:rPr>
            </w:pPr>
            <w:r w:rsidRPr="008E7D6A">
              <w:rPr>
                <w:rFonts w:ascii="Arial" w:hAnsi="Arial"/>
                <w:sz w:val="20"/>
                <w:szCs w:val="20"/>
              </w:rPr>
              <w:t>Historical threads, missing links, and future directions in AI in education</w:t>
            </w:r>
          </w:p>
        </w:tc>
        <w:tc>
          <w:tcPr>
            <w:tcW w:w="3672" w:type="dxa"/>
          </w:tcPr>
          <w:p w14:paraId="2F79856B" w14:textId="77777777" w:rsidR="003D52C5" w:rsidRPr="008E7D6A" w:rsidRDefault="003D52C5" w:rsidP="00316D81">
            <w:pPr>
              <w:spacing w:line="221" w:lineRule="auto"/>
              <w:rPr>
                <w:sz w:val="20"/>
                <w:szCs w:val="20"/>
              </w:rPr>
            </w:pPr>
            <w:r w:rsidRPr="008E7D6A">
              <w:rPr>
                <w:rFonts w:ascii="Arial" w:hAnsi="Arial"/>
                <w:sz w:val="20"/>
                <w:szCs w:val="20"/>
              </w:rPr>
              <w:t>AI adoption; implementation; stakeholder engagement</w:t>
            </w:r>
          </w:p>
        </w:tc>
        <w:tc>
          <w:tcPr>
            <w:tcW w:w="3672" w:type="dxa"/>
          </w:tcPr>
          <w:p w14:paraId="64003967" w14:textId="4715D09B" w:rsidR="003D52C5" w:rsidRPr="008E7D6A" w:rsidRDefault="003D52C5" w:rsidP="00316D81">
            <w:pPr>
              <w:spacing w:line="221" w:lineRule="auto"/>
              <w:rPr>
                <w:sz w:val="20"/>
                <w:szCs w:val="20"/>
              </w:rPr>
            </w:pPr>
            <w:r w:rsidRPr="008E7D6A">
              <w:rPr>
                <w:rFonts w:ascii="Arial" w:hAnsi="Arial"/>
                <w:sz w:val="20"/>
                <w:szCs w:val="20"/>
              </w:rPr>
              <w:t xml:space="preserve">AI adoption </w:t>
            </w:r>
            <w:r w:rsidR="00D82198">
              <w:rPr>
                <w:rFonts w:ascii="Arial" w:hAnsi="Arial"/>
                <w:sz w:val="20"/>
                <w:szCs w:val="20"/>
              </w:rPr>
              <w:t>and</w:t>
            </w:r>
            <w:r w:rsidRPr="008E7D6A">
              <w:rPr>
                <w:rFonts w:ascii="Arial" w:hAnsi="Arial"/>
                <w:sz w:val="20"/>
                <w:szCs w:val="20"/>
              </w:rPr>
              <w:t xml:space="preserve"> implementation in HE</w:t>
            </w:r>
          </w:p>
        </w:tc>
      </w:tr>
      <w:tr w:rsidR="003D52C5" w14:paraId="6E31C2DC" w14:textId="77777777" w:rsidTr="00316D81">
        <w:trPr>
          <w:jc w:val="center"/>
        </w:trPr>
        <w:tc>
          <w:tcPr>
            <w:tcW w:w="605" w:type="dxa"/>
          </w:tcPr>
          <w:p w14:paraId="5FDBF476" w14:textId="77777777" w:rsidR="003D52C5" w:rsidRPr="008E7D6A" w:rsidRDefault="003D52C5" w:rsidP="00316D81">
            <w:pPr>
              <w:spacing w:line="221" w:lineRule="auto"/>
              <w:jc w:val="center"/>
              <w:rPr>
                <w:sz w:val="20"/>
                <w:szCs w:val="20"/>
              </w:rPr>
            </w:pPr>
            <w:r w:rsidRPr="008E7D6A">
              <w:rPr>
                <w:rFonts w:ascii="Arial" w:hAnsi="Arial"/>
                <w:sz w:val="20"/>
                <w:szCs w:val="20"/>
              </w:rPr>
              <w:t>129</w:t>
            </w:r>
          </w:p>
        </w:tc>
        <w:tc>
          <w:tcPr>
            <w:tcW w:w="2088" w:type="dxa"/>
          </w:tcPr>
          <w:p w14:paraId="143E3DA5" w14:textId="77777777" w:rsidR="003D52C5" w:rsidRPr="008E7D6A" w:rsidRDefault="003D52C5" w:rsidP="00316D81">
            <w:pPr>
              <w:spacing w:line="221" w:lineRule="auto"/>
              <w:rPr>
                <w:sz w:val="20"/>
                <w:szCs w:val="20"/>
              </w:rPr>
            </w:pPr>
            <w:r w:rsidRPr="008E7D6A">
              <w:rPr>
                <w:rFonts w:ascii="Arial" w:hAnsi="Arial"/>
                <w:sz w:val="20"/>
                <w:szCs w:val="20"/>
              </w:rPr>
              <w:t>Wirtz et al. (2020)</w:t>
            </w:r>
          </w:p>
        </w:tc>
        <w:tc>
          <w:tcPr>
            <w:tcW w:w="5976" w:type="dxa"/>
          </w:tcPr>
          <w:p w14:paraId="32CF9033" w14:textId="77777777" w:rsidR="003D52C5" w:rsidRPr="008E7D6A" w:rsidRDefault="003D52C5" w:rsidP="00316D81">
            <w:pPr>
              <w:spacing w:line="221" w:lineRule="auto"/>
              <w:rPr>
                <w:sz w:val="20"/>
                <w:szCs w:val="20"/>
              </w:rPr>
            </w:pPr>
            <w:r w:rsidRPr="008E7D6A">
              <w:rPr>
                <w:rFonts w:ascii="Arial" w:hAnsi="Arial"/>
                <w:sz w:val="20"/>
                <w:szCs w:val="20"/>
              </w:rPr>
              <w:t>The Dark Sides of Artificial Intelligence: An Integrated AI Governance Framework for Public Administration</w:t>
            </w:r>
          </w:p>
        </w:tc>
        <w:tc>
          <w:tcPr>
            <w:tcW w:w="3672" w:type="dxa"/>
          </w:tcPr>
          <w:p w14:paraId="5FDBC346" w14:textId="77777777" w:rsidR="003D52C5" w:rsidRPr="008E7D6A" w:rsidRDefault="003D52C5" w:rsidP="00316D81">
            <w:pPr>
              <w:spacing w:line="221" w:lineRule="auto"/>
              <w:rPr>
                <w:sz w:val="20"/>
                <w:szCs w:val="20"/>
              </w:rPr>
            </w:pPr>
            <w:r w:rsidRPr="008E7D6A">
              <w:rPr>
                <w:rFonts w:ascii="Arial" w:hAnsi="Arial"/>
                <w:sz w:val="20"/>
                <w:szCs w:val="20"/>
              </w:rPr>
              <w:t>governance structures; regulatory compliance; accountability</w:t>
            </w:r>
          </w:p>
        </w:tc>
        <w:tc>
          <w:tcPr>
            <w:tcW w:w="3672" w:type="dxa"/>
          </w:tcPr>
          <w:p w14:paraId="0CDF50F7" w14:textId="6B4F2910"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8600377" w14:textId="77777777" w:rsidTr="00316D81">
        <w:trPr>
          <w:jc w:val="center"/>
        </w:trPr>
        <w:tc>
          <w:tcPr>
            <w:tcW w:w="605" w:type="dxa"/>
          </w:tcPr>
          <w:p w14:paraId="060D556E" w14:textId="77777777" w:rsidR="003D52C5" w:rsidRPr="008E7D6A" w:rsidRDefault="003D52C5" w:rsidP="00316D81">
            <w:pPr>
              <w:spacing w:line="221" w:lineRule="auto"/>
              <w:jc w:val="center"/>
              <w:rPr>
                <w:sz w:val="20"/>
                <w:szCs w:val="20"/>
              </w:rPr>
            </w:pPr>
            <w:r w:rsidRPr="008E7D6A">
              <w:rPr>
                <w:rFonts w:ascii="Arial" w:hAnsi="Arial"/>
                <w:sz w:val="20"/>
                <w:szCs w:val="20"/>
              </w:rPr>
              <w:t>130</w:t>
            </w:r>
          </w:p>
        </w:tc>
        <w:tc>
          <w:tcPr>
            <w:tcW w:w="2088" w:type="dxa"/>
          </w:tcPr>
          <w:p w14:paraId="489318D4" w14:textId="77777777" w:rsidR="003D52C5" w:rsidRPr="008E7D6A" w:rsidRDefault="003D52C5" w:rsidP="00316D81">
            <w:pPr>
              <w:spacing w:line="221" w:lineRule="auto"/>
              <w:rPr>
                <w:sz w:val="20"/>
                <w:szCs w:val="20"/>
              </w:rPr>
            </w:pPr>
            <w:r w:rsidRPr="008E7D6A">
              <w:rPr>
                <w:rFonts w:ascii="Arial" w:hAnsi="Arial"/>
                <w:sz w:val="20"/>
                <w:szCs w:val="20"/>
              </w:rPr>
              <w:t>Woodworth et al. (2026)</w:t>
            </w:r>
          </w:p>
        </w:tc>
        <w:tc>
          <w:tcPr>
            <w:tcW w:w="5976" w:type="dxa"/>
          </w:tcPr>
          <w:p w14:paraId="4E2C5BE0" w14:textId="77777777" w:rsidR="003D52C5" w:rsidRPr="008E7D6A" w:rsidRDefault="003D52C5" w:rsidP="00316D81">
            <w:pPr>
              <w:spacing w:line="221" w:lineRule="auto"/>
              <w:rPr>
                <w:sz w:val="20"/>
                <w:szCs w:val="20"/>
              </w:rPr>
            </w:pPr>
            <w:r w:rsidRPr="008E7D6A">
              <w:rPr>
                <w:rFonts w:ascii="Arial" w:hAnsi="Arial"/>
                <w:sz w:val="20"/>
                <w:szCs w:val="20"/>
              </w:rPr>
              <w:t>AI policy in higher education: Relational-affective considerations for governance in a Canadian university case study</w:t>
            </w:r>
          </w:p>
        </w:tc>
        <w:tc>
          <w:tcPr>
            <w:tcW w:w="3672" w:type="dxa"/>
          </w:tcPr>
          <w:p w14:paraId="16CD7892"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6397247F" w14:textId="7FE584D6"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32864977" w14:textId="77777777" w:rsidTr="00316D81">
        <w:trPr>
          <w:jc w:val="center"/>
        </w:trPr>
        <w:tc>
          <w:tcPr>
            <w:tcW w:w="605" w:type="dxa"/>
          </w:tcPr>
          <w:p w14:paraId="5671B236" w14:textId="77777777" w:rsidR="003D52C5" w:rsidRPr="008E7D6A" w:rsidRDefault="003D52C5" w:rsidP="00316D81">
            <w:pPr>
              <w:spacing w:line="221" w:lineRule="auto"/>
              <w:jc w:val="center"/>
              <w:rPr>
                <w:sz w:val="20"/>
                <w:szCs w:val="20"/>
              </w:rPr>
            </w:pPr>
            <w:r w:rsidRPr="008E7D6A">
              <w:rPr>
                <w:rFonts w:ascii="Arial" w:hAnsi="Arial"/>
                <w:sz w:val="20"/>
                <w:szCs w:val="20"/>
              </w:rPr>
              <w:t>131</w:t>
            </w:r>
          </w:p>
        </w:tc>
        <w:tc>
          <w:tcPr>
            <w:tcW w:w="2088" w:type="dxa"/>
          </w:tcPr>
          <w:p w14:paraId="62CEB47B" w14:textId="77777777" w:rsidR="003D52C5" w:rsidRPr="008E7D6A" w:rsidRDefault="003D52C5" w:rsidP="00316D81">
            <w:pPr>
              <w:spacing w:line="221" w:lineRule="auto"/>
              <w:rPr>
                <w:sz w:val="20"/>
                <w:szCs w:val="20"/>
              </w:rPr>
            </w:pPr>
            <w:r w:rsidRPr="008E7D6A">
              <w:rPr>
                <w:rFonts w:ascii="Arial" w:hAnsi="Arial"/>
                <w:sz w:val="20"/>
                <w:szCs w:val="20"/>
              </w:rPr>
              <w:t>Wu et al. (2026)</w:t>
            </w:r>
          </w:p>
        </w:tc>
        <w:tc>
          <w:tcPr>
            <w:tcW w:w="5976" w:type="dxa"/>
          </w:tcPr>
          <w:p w14:paraId="2EEEBDFB" w14:textId="77777777" w:rsidR="003D52C5" w:rsidRPr="008E7D6A" w:rsidRDefault="003D52C5" w:rsidP="00316D81">
            <w:pPr>
              <w:spacing w:line="221" w:lineRule="auto"/>
              <w:rPr>
                <w:sz w:val="20"/>
                <w:szCs w:val="20"/>
              </w:rPr>
            </w:pPr>
            <w:r w:rsidRPr="008E7D6A">
              <w:rPr>
                <w:rFonts w:ascii="Arial" w:hAnsi="Arial"/>
                <w:sz w:val="20"/>
                <w:szCs w:val="20"/>
              </w:rPr>
              <w:t>Evolving Perspectives on Generative AI in Higher Education: Insights from Two Years of University Stakeholder Analysis</w:t>
            </w:r>
          </w:p>
        </w:tc>
        <w:tc>
          <w:tcPr>
            <w:tcW w:w="3672" w:type="dxa"/>
          </w:tcPr>
          <w:p w14:paraId="17FB2439" w14:textId="77777777" w:rsidR="003D52C5" w:rsidRPr="008E7D6A" w:rsidRDefault="003D52C5" w:rsidP="00316D81">
            <w:pPr>
              <w:spacing w:line="221" w:lineRule="auto"/>
              <w:rPr>
                <w:sz w:val="20"/>
                <w:szCs w:val="20"/>
              </w:rPr>
            </w:pPr>
            <w:r w:rsidRPr="008E7D6A">
              <w:rPr>
                <w:rFonts w:ascii="Arial" w:hAnsi="Arial"/>
                <w:sz w:val="20"/>
                <w:szCs w:val="20"/>
              </w:rPr>
              <w:t>AI adoption; implementation; GenAI; stakeholder engagement</w:t>
            </w:r>
          </w:p>
        </w:tc>
        <w:tc>
          <w:tcPr>
            <w:tcW w:w="3672" w:type="dxa"/>
          </w:tcPr>
          <w:p w14:paraId="18A9509D" w14:textId="0676B2CE"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16673CE1" w14:textId="77777777" w:rsidTr="00316D81">
        <w:trPr>
          <w:jc w:val="center"/>
        </w:trPr>
        <w:tc>
          <w:tcPr>
            <w:tcW w:w="605" w:type="dxa"/>
          </w:tcPr>
          <w:p w14:paraId="64BD1712" w14:textId="77777777" w:rsidR="003D52C5" w:rsidRPr="008E7D6A" w:rsidRDefault="003D52C5" w:rsidP="00316D81">
            <w:pPr>
              <w:spacing w:line="221" w:lineRule="auto"/>
              <w:jc w:val="center"/>
              <w:rPr>
                <w:sz w:val="20"/>
                <w:szCs w:val="20"/>
              </w:rPr>
            </w:pPr>
            <w:r w:rsidRPr="008E7D6A">
              <w:rPr>
                <w:rFonts w:ascii="Arial" w:hAnsi="Arial"/>
                <w:sz w:val="20"/>
                <w:szCs w:val="20"/>
              </w:rPr>
              <w:t>132</w:t>
            </w:r>
          </w:p>
        </w:tc>
        <w:tc>
          <w:tcPr>
            <w:tcW w:w="2088" w:type="dxa"/>
          </w:tcPr>
          <w:p w14:paraId="452AFA43" w14:textId="77777777" w:rsidR="003D52C5" w:rsidRPr="008E7D6A" w:rsidRDefault="003D52C5" w:rsidP="00316D81">
            <w:pPr>
              <w:spacing w:line="221" w:lineRule="auto"/>
              <w:rPr>
                <w:sz w:val="20"/>
                <w:szCs w:val="20"/>
              </w:rPr>
            </w:pPr>
            <w:r w:rsidRPr="008E7D6A">
              <w:rPr>
                <w:rFonts w:ascii="Arial" w:hAnsi="Arial"/>
                <w:sz w:val="20"/>
                <w:szCs w:val="20"/>
              </w:rPr>
              <w:t>Wu et al. (2024)</w:t>
            </w:r>
          </w:p>
        </w:tc>
        <w:tc>
          <w:tcPr>
            <w:tcW w:w="5976" w:type="dxa"/>
          </w:tcPr>
          <w:p w14:paraId="1CCFA553" w14:textId="77777777" w:rsidR="003D52C5" w:rsidRPr="008E7D6A" w:rsidRDefault="003D52C5" w:rsidP="00316D81">
            <w:pPr>
              <w:spacing w:line="221" w:lineRule="auto"/>
              <w:rPr>
                <w:sz w:val="20"/>
                <w:szCs w:val="20"/>
              </w:rPr>
            </w:pPr>
            <w:r w:rsidRPr="008E7D6A">
              <w:rPr>
                <w:rFonts w:ascii="Arial" w:hAnsi="Arial"/>
                <w:sz w:val="20"/>
                <w:szCs w:val="20"/>
              </w:rPr>
              <w:t>AI Governance in Higher Education: Case Studies of Guidance at Big Ten Universities</w:t>
            </w:r>
          </w:p>
        </w:tc>
        <w:tc>
          <w:tcPr>
            <w:tcW w:w="3672" w:type="dxa"/>
          </w:tcPr>
          <w:p w14:paraId="6506117B" w14:textId="77777777" w:rsidR="003D52C5" w:rsidRPr="008E7D6A" w:rsidRDefault="003D52C5" w:rsidP="00316D81">
            <w:pPr>
              <w:spacing w:line="221" w:lineRule="auto"/>
              <w:rPr>
                <w:sz w:val="20"/>
                <w:szCs w:val="20"/>
              </w:rPr>
            </w:pPr>
            <w:r w:rsidRPr="008E7D6A">
              <w:rPr>
                <w:rFonts w:ascii="Arial" w:hAnsi="Arial"/>
                <w:sz w:val="20"/>
                <w:szCs w:val="20"/>
              </w:rPr>
              <w:t>governance structures; institutional policy; stakeholder engagement; accountability; ethics/responsible AI</w:t>
            </w:r>
          </w:p>
        </w:tc>
        <w:tc>
          <w:tcPr>
            <w:tcW w:w="3672" w:type="dxa"/>
          </w:tcPr>
          <w:p w14:paraId="34D97B98" w14:textId="71A25859"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4400E22B" w14:textId="77777777" w:rsidTr="00316D81">
        <w:trPr>
          <w:jc w:val="center"/>
        </w:trPr>
        <w:tc>
          <w:tcPr>
            <w:tcW w:w="605" w:type="dxa"/>
          </w:tcPr>
          <w:p w14:paraId="1197423B" w14:textId="77777777" w:rsidR="003D52C5" w:rsidRPr="008E7D6A" w:rsidRDefault="003D52C5" w:rsidP="00316D81">
            <w:pPr>
              <w:spacing w:line="221" w:lineRule="auto"/>
              <w:jc w:val="center"/>
              <w:rPr>
                <w:sz w:val="20"/>
                <w:szCs w:val="20"/>
              </w:rPr>
            </w:pPr>
            <w:r w:rsidRPr="008E7D6A">
              <w:rPr>
                <w:rFonts w:ascii="Arial" w:hAnsi="Arial"/>
                <w:sz w:val="20"/>
                <w:szCs w:val="20"/>
              </w:rPr>
              <w:t>133</w:t>
            </w:r>
          </w:p>
        </w:tc>
        <w:tc>
          <w:tcPr>
            <w:tcW w:w="2088" w:type="dxa"/>
          </w:tcPr>
          <w:p w14:paraId="72D497A3" w14:textId="77777777" w:rsidR="003D52C5" w:rsidRPr="008E7D6A" w:rsidRDefault="003D52C5" w:rsidP="00316D81">
            <w:pPr>
              <w:spacing w:line="221" w:lineRule="auto"/>
              <w:rPr>
                <w:sz w:val="20"/>
                <w:szCs w:val="20"/>
              </w:rPr>
            </w:pPr>
            <w:r w:rsidRPr="008E7D6A">
              <w:rPr>
                <w:rFonts w:ascii="Arial" w:hAnsi="Arial"/>
                <w:sz w:val="20"/>
                <w:szCs w:val="20"/>
              </w:rPr>
              <w:t>Xie et al. (2025)</w:t>
            </w:r>
          </w:p>
        </w:tc>
        <w:tc>
          <w:tcPr>
            <w:tcW w:w="5976" w:type="dxa"/>
          </w:tcPr>
          <w:p w14:paraId="60CA4FFC" w14:textId="77777777" w:rsidR="003D52C5" w:rsidRPr="008E7D6A" w:rsidRDefault="003D52C5" w:rsidP="00316D81">
            <w:pPr>
              <w:spacing w:line="221" w:lineRule="auto"/>
              <w:rPr>
                <w:sz w:val="20"/>
                <w:szCs w:val="20"/>
              </w:rPr>
            </w:pPr>
            <w:r w:rsidRPr="008E7D6A">
              <w:rPr>
                <w:rFonts w:ascii="Arial" w:hAnsi="Arial"/>
                <w:sz w:val="20"/>
                <w:szCs w:val="20"/>
              </w:rPr>
              <w:t>Dynamic Risks and Adaptive Governance of Generative Artificial Intelligence</w:t>
            </w:r>
          </w:p>
        </w:tc>
        <w:tc>
          <w:tcPr>
            <w:tcW w:w="3672" w:type="dxa"/>
          </w:tcPr>
          <w:p w14:paraId="4C6B557B" w14:textId="77777777" w:rsidR="003D52C5" w:rsidRPr="008E7D6A" w:rsidRDefault="003D52C5" w:rsidP="00316D81">
            <w:pPr>
              <w:spacing w:line="221" w:lineRule="auto"/>
              <w:rPr>
                <w:sz w:val="20"/>
                <w:szCs w:val="20"/>
              </w:rPr>
            </w:pPr>
            <w:r w:rsidRPr="008E7D6A">
              <w:rPr>
                <w:rFonts w:ascii="Arial" w:hAnsi="Arial"/>
                <w:sz w:val="20"/>
                <w:szCs w:val="20"/>
              </w:rPr>
              <w:t>GenAI; governance structures; institutional policy; stakeholder engagement; accountability</w:t>
            </w:r>
          </w:p>
        </w:tc>
        <w:tc>
          <w:tcPr>
            <w:tcW w:w="3672" w:type="dxa"/>
          </w:tcPr>
          <w:p w14:paraId="4CBB2ED8" w14:textId="15872ABB" w:rsidR="003D52C5" w:rsidRPr="008E7D6A" w:rsidRDefault="003D52C5" w:rsidP="00316D81">
            <w:pPr>
              <w:spacing w:line="221" w:lineRule="auto"/>
              <w:rPr>
                <w:sz w:val="20"/>
                <w:szCs w:val="20"/>
              </w:rPr>
            </w:pPr>
            <w:r w:rsidRPr="008E7D6A">
              <w:rPr>
                <w:rFonts w:ascii="Arial" w:hAnsi="Arial"/>
                <w:sz w:val="20"/>
                <w:szCs w:val="20"/>
              </w:rPr>
              <w:t xml:space="preserve">Strategic governance </w:t>
            </w:r>
            <w:r w:rsidR="00D82198">
              <w:rPr>
                <w:rFonts w:ascii="Arial" w:hAnsi="Arial"/>
                <w:sz w:val="20"/>
                <w:szCs w:val="20"/>
              </w:rPr>
              <w:t>and</w:t>
            </w:r>
            <w:r w:rsidRPr="008E7D6A">
              <w:rPr>
                <w:rFonts w:ascii="Arial" w:hAnsi="Arial"/>
                <w:sz w:val="20"/>
                <w:szCs w:val="20"/>
              </w:rPr>
              <w:t xml:space="preserve"> leadership</w:t>
            </w:r>
          </w:p>
        </w:tc>
      </w:tr>
      <w:tr w:rsidR="003D52C5" w14:paraId="63097EE7" w14:textId="77777777" w:rsidTr="00316D81">
        <w:trPr>
          <w:jc w:val="center"/>
        </w:trPr>
        <w:tc>
          <w:tcPr>
            <w:tcW w:w="605" w:type="dxa"/>
          </w:tcPr>
          <w:p w14:paraId="70F17352" w14:textId="77777777" w:rsidR="003D52C5" w:rsidRPr="008E7D6A" w:rsidRDefault="003D52C5" w:rsidP="00316D81">
            <w:pPr>
              <w:spacing w:line="221" w:lineRule="auto"/>
              <w:jc w:val="center"/>
              <w:rPr>
                <w:sz w:val="20"/>
                <w:szCs w:val="20"/>
              </w:rPr>
            </w:pPr>
            <w:r w:rsidRPr="008E7D6A">
              <w:rPr>
                <w:rFonts w:ascii="Arial" w:hAnsi="Arial"/>
                <w:sz w:val="20"/>
                <w:szCs w:val="20"/>
              </w:rPr>
              <w:t>134</w:t>
            </w:r>
          </w:p>
        </w:tc>
        <w:tc>
          <w:tcPr>
            <w:tcW w:w="2088" w:type="dxa"/>
          </w:tcPr>
          <w:p w14:paraId="79E1F99C" w14:textId="77777777" w:rsidR="003D52C5" w:rsidRPr="008E7D6A" w:rsidRDefault="003D52C5" w:rsidP="00316D81">
            <w:pPr>
              <w:spacing w:line="221" w:lineRule="auto"/>
              <w:rPr>
                <w:sz w:val="20"/>
                <w:szCs w:val="20"/>
              </w:rPr>
            </w:pPr>
            <w:r w:rsidRPr="008E7D6A">
              <w:rPr>
                <w:rFonts w:ascii="Arial" w:hAnsi="Arial"/>
                <w:sz w:val="20"/>
                <w:szCs w:val="20"/>
              </w:rPr>
              <w:t>Yang et al. (2024)</w:t>
            </w:r>
          </w:p>
        </w:tc>
        <w:tc>
          <w:tcPr>
            <w:tcW w:w="5976" w:type="dxa"/>
          </w:tcPr>
          <w:p w14:paraId="6D31DA5E" w14:textId="77777777" w:rsidR="003D52C5" w:rsidRPr="008E7D6A" w:rsidRDefault="003D52C5" w:rsidP="00316D81">
            <w:pPr>
              <w:spacing w:line="221" w:lineRule="auto"/>
              <w:rPr>
                <w:sz w:val="20"/>
                <w:szCs w:val="20"/>
              </w:rPr>
            </w:pPr>
            <w:r w:rsidRPr="008E7D6A">
              <w:rPr>
                <w:rFonts w:ascii="Arial" w:hAnsi="Arial"/>
                <w:sz w:val="20"/>
                <w:szCs w:val="20"/>
              </w:rPr>
              <w:t>Ensuring data privacy in AI/ML implementation</w:t>
            </w:r>
          </w:p>
        </w:tc>
        <w:tc>
          <w:tcPr>
            <w:tcW w:w="3672" w:type="dxa"/>
          </w:tcPr>
          <w:p w14:paraId="2C933C5D" w14:textId="77777777" w:rsidR="003D52C5" w:rsidRPr="008E7D6A" w:rsidRDefault="003D52C5" w:rsidP="00316D81">
            <w:pPr>
              <w:spacing w:line="221" w:lineRule="auto"/>
              <w:rPr>
                <w:sz w:val="20"/>
                <w:szCs w:val="20"/>
              </w:rPr>
            </w:pPr>
            <w:r w:rsidRPr="008E7D6A">
              <w:rPr>
                <w:rFonts w:ascii="Arial" w:hAnsi="Arial"/>
                <w:sz w:val="20"/>
                <w:szCs w:val="20"/>
              </w:rPr>
              <w:t>implementation; ethics/responsible AI; fairness; algorithmic bias; privacy/data protection</w:t>
            </w:r>
          </w:p>
        </w:tc>
        <w:tc>
          <w:tcPr>
            <w:tcW w:w="3672" w:type="dxa"/>
          </w:tcPr>
          <w:p w14:paraId="277F8B23"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5A01424C" w14:textId="77777777" w:rsidTr="00316D81">
        <w:trPr>
          <w:jc w:val="center"/>
        </w:trPr>
        <w:tc>
          <w:tcPr>
            <w:tcW w:w="605" w:type="dxa"/>
          </w:tcPr>
          <w:p w14:paraId="7E563ECD" w14:textId="77777777" w:rsidR="003D52C5" w:rsidRPr="008E7D6A" w:rsidRDefault="003D52C5" w:rsidP="00316D81">
            <w:pPr>
              <w:spacing w:line="221" w:lineRule="auto"/>
              <w:jc w:val="center"/>
              <w:rPr>
                <w:sz w:val="20"/>
                <w:szCs w:val="20"/>
              </w:rPr>
            </w:pPr>
            <w:r w:rsidRPr="008E7D6A">
              <w:rPr>
                <w:rFonts w:ascii="Arial" w:hAnsi="Arial"/>
                <w:sz w:val="20"/>
                <w:szCs w:val="20"/>
              </w:rPr>
              <w:t>135</w:t>
            </w:r>
          </w:p>
        </w:tc>
        <w:tc>
          <w:tcPr>
            <w:tcW w:w="2088" w:type="dxa"/>
          </w:tcPr>
          <w:p w14:paraId="4DB44B56" w14:textId="77777777" w:rsidR="003D52C5" w:rsidRPr="008E7D6A" w:rsidRDefault="003D52C5" w:rsidP="00316D81">
            <w:pPr>
              <w:spacing w:line="221" w:lineRule="auto"/>
              <w:rPr>
                <w:sz w:val="20"/>
                <w:szCs w:val="20"/>
              </w:rPr>
            </w:pPr>
            <w:r w:rsidRPr="008E7D6A">
              <w:rPr>
                <w:rFonts w:ascii="Arial" w:hAnsi="Arial"/>
                <w:sz w:val="20"/>
                <w:szCs w:val="20"/>
              </w:rPr>
              <w:t>Younas et al. (2023)</w:t>
            </w:r>
          </w:p>
        </w:tc>
        <w:tc>
          <w:tcPr>
            <w:tcW w:w="5976" w:type="dxa"/>
          </w:tcPr>
          <w:p w14:paraId="18BB0EAB" w14:textId="77777777" w:rsidR="003D52C5" w:rsidRPr="008E7D6A" w:rsidRDefault="003D52C5" w:rsidP="00316D81">
            <w:pPr>
              <w:spacing w:line="221" w:lineRule="auto"/>
              <w:rPr>
                <w:sz w:val="20"/>
                <w:szCs w:val="20"/>
              </w:rPr>
            </w:pPr>
            <w:r w:rsidRPr="008E7D6A">
              <w:rPr>
                <w:rFonts w:ascii="Arial" w:hAnsi="Arial"/>
                <w:sz w:val="20"/>
                <w:szCs w:val="20"/>
              </w:rPr>
              <w:t>Generating metainferences in mixed methods research: A worked example in convergent mixed methods designs</w:t>
            </w:r>
          </w:p>
        </w:tc>
        <w:tc>
          <w:tcPr>
            <w:tcW w:w="3672" w:type="dxa"/>
          </w:tcPr>
          <w:p w14:paraId="5B2E633A" w14:textId="77777777" w:rsidR="003D52C5" w:rsidRPr="008E7D6A" w:rsidRDefault="003D52C5" w:rsidP="00316D81">
            <w:pPr>
              <w:spacing w:line="221" w:lineRule="auto"/>
              <w:rPr>
                <w:sz w:val="20"/>
                <w:szCs w:val="20"/>
              </w:rPr>
            </w:pPr>
            <w:r w:rsidRPr="008E7D6A">
              <w:rPr>
                <w:rFonts w:ascii="Arial" w:hAnsi="Arial"/>
                <w:sz w:val="20"/>
                <w:szCs w:val="20"/>
              </w:rPr>
              <w:t>reflexivity; systematic review; qualitative rigour; mixed-method integration</w:t>
            </w:r>
          </w:p>
        </w:tc>
        <w:tc>
          <w:tcPr>
            <w:tcW w:w="3672" w:type="dxa"/>
          </w:tcPr>
          <w:p w14:paraId="1DA18F40" w14:textId="0F45915E" w:rsidR="003D52C5" w:rsidRPr="008E7D6A" w:rsidRDefault="003D52C5" w:rsidP="00316D81">
            <w:pPr>
              <w:spacing w:line="221" w:lineRule="auto"/>
              <w:rPr>
                <w:sz w:val="20"/>
                <w:szCs w:val="20"/>
              </w:rPr>
            </w:pPr>
            <w:r w:rsidRPr="008E7D6A">
              <w:rPr>
                <w:rFonts w:ascii="Arial" w:hAnsi="Arial"/>
                <w:sz w:val="20"/>
                <w:szCs w:val="20"/>
              </w:rPr>
              <w:t xml:space="preserve">Research methodology, philosophy </w:t>
            </w:r>
            <w:r w:rsidR="00D82198">
              <w:rPr>
                <w:rFonts w:ascii="Arial" w:hAnsi="Arial"/>
                <w:sz w:val="20"/>
                <w:szCs w:val="20"/>
              </w:rPr>
              <w:t>and</w:t>
            </w:r>
            <w:r w:rsidRPr="008E7D6A">
              <w:rPr>
                <w:rFonts w:ascii="Arial" w:hAnsi="Arial"/>
                <w:sz w:val="20"/>
                <w:szCs w:val="20"/>
              </w:rPr>
              <w:t xml:space="preserve"> evidence gaps</w:t>
            </w:r>
          </w:p>
        </w:tc>
      </w:tr>
      <w:tr w:rsidR="003D52C5" w14:paraId="1C4B58FB" w14:textId="77777777" w:rsidTr="00316D81">
        <w:trPr>
          <w:jc w:val="center"/>
        </w:trPr>
        <w:tc>
          <w:tcPr>
            <w:tcW w:w="605" w:type="dxa"/>
          </w:tcPr>
          <w:p w14:paraId="7D59325A" w14:textId="77777777" w:rsidR="003D52C5" w:rsidRPr="008E7D6A" w:rsidRDefault="003D52C5" w:rsidP="00316D81">
            <w:pPr>
              <w:spacing w:line="221" w:lineRule="auto"/>
              <w:jc w:val="center"/>
              <w:rPr>
                <w:sz w:val="20"/>
                <w:szCs w:val="20"/>
              </w:rPr>
            </w:pPr>
            <w:r w:rsidRPr="008E7D6A">
              <w:rPr>
                <w:rFonts w:ascii="Arial" w:hAnsi="Arial"/>
                <w:sz w:val="20"/>
                <w:szCs w:val="20"/>
              </w:rPr>
              <w:t>136</w:t>
            </w:r>
          </w:p>
        </w:tc>
        <w:tc>
          <w:tcPr>
            <w:tcW w:w="2088" w:type="dxa"/>
          </w:tcPr>
          <w:p w14:paraId="61ED913E" w14:textId="77777777" w:rsidR="003D52C5" w:rsidRPr="008E7D6A" w:rsidRDefault="003D52C5" w:rsidP="00316D81">
            <w:pPr>
              <w:spacing w:line="221" w:lineRule="auto"/>
              <w:rPr>
                <w:sz w:val="20"/>
                <w:szCs w:val="20"/>
              </w:rPr>
            </w:pPr>
            <w:r w:rsidRPr="008E7D6A">
              <w:rPr>
                <w:rFonts w:ascii="Arial" w:hAnsi="Arial"/>
                <w:sz w:val="20"/>
                <w:szCs w:val="20"/>
              </w:rPr>
              <w:t>Yusuf et al. (2024)</w:t>
            </w:r>
          </w:p>
        </w:tc>
        <w:tc>
          <w:tcPr>
            <w:tcW w:w="5976" w:type="dxa"/>
          </w:tcPr>
          <w:p w14:paraId="2FB454B9" w14:textId="77777777" w:rsidR="00480B1F" w:rsidRDefault="003D52C5" w:rsidP="00316D81">
            <w:pPr>
              <w:spacing w:line="221" w:lineRule="auto"/>
              <w:rPr>
                <w:rFonts w:ascii="Arial" w:hAnsi="Arial"/>
                <w:sz w:val="20"/>
                <w:szCs w:val="20"/>
              </w:rPr>
            </w:pPr>
            <w:r w:rsidRPr="008E7D6A">
              <w:rPr>
                <w:rFonts w:ascii="Arial" w:hAnsi="Arial"/>
                <w:sz w:val="20"/>
                <w:szCs w:val="20"/>
              </w:rPr>
              <w:t xml:space="preserve">Generative AI and the future of higher education: a threat to academic integrity or reformation? Evidence from multicultural </w:t>
            </w:r>
          </w:p>
          <w:p w14:paraId="71E9DCC0" w14:textId="34230909" w:rsidR="003D52C5" w:rsidRPr="008E7D6A" w:rsidRDefault="003D52C5" w:rsidP="00316D81">
            <w:pPr>
              <w:spacing w:line="221" w:lineRule="auto"/>
              <w:rPr>
                <w:sz w:val="20"/>
                <w:szCs w:val="20"/>
              </w:rPr>
            </w:pPr>
            <w:r w:rsidRPr="008E7D6A">
              <w:rPr>
                <w:rFonts w:ascii="Arial" w:hAnsi="Arial"/>
                <w:sz w:val="20"/>
                <w:szCs w:val="20"/>
              </w:rPr>
              <w:t>perspectives</w:t>
            </w:r>
          </w:p>
        </w:tc>
        <w:tc>
          <w:tcPr>
            <w:tcW w:w="3672" w:type="dxa"/>
          </w:tcPr>
          <w:p w14:paraId="2C99BFF3" w14:textId="77777777" w:rsidR="006865EA" w:rsidRDefault="003D52C5" w:rsidP="00316D81">
            <w:pPr>
              <w:spacing w:line="221" w:lineRule="auto"/>
              <w:rPr>
                <w:rFonts w:ascii="Arial" w:hAnsi="Arial"/>
                <w:sz w:val="20"/>
                <w:szCs w:val="20"/>
              </w:rPr>
            </w:pPr>
            <w:r w:rsidRPr="008E7D6A">
              <w:rPr>
                <w:rFonts w:ascii="Arial" w:hAnsi="Arial"/>
                <w:sz w:val="20"/>
                <w:szCs w:val="20"/>
              </w:rPr>
              <w:t xml:space="preserve">GenAI; ethics/responsible AI; </w:t>
            </w:r>
          </w:p>
          <w:p w14:paraId="51F190C7" w14:textId="77777777" w:rsidR="006865EA" w:rsidRDefault="003D52C5" w:rsidP="00316D81">
            <w:pPr>
              <w:spacing w:line="221" w:lineRule="auto"/>
              <w:rPr>
                <w:rFonts w:ascii="Arial" w:hAnsi="Arial"/>
                <w:sz w:val="20"/>
                <w:szCs w:val="20"/>
              </w:rPr>
            </w:pPr>
            <w:r w:rsidRPr="008E7D6A">
              <w:rPr>
                <w:rFonts w:ascii="Arial" w:hAnsi="Arial"/>
                <w:sz w:val="20"/>
                <w:szCs w:val="20"/>
              </w:rPr>
              <w:t>fairness;</w:t>
            </w:r>
          </w:p>
          <w:p w14:paraId="36F193E6" w14:textId="21659AD5" w:rsidR="006865EA" w:rsidRDefault="003D52C5" w:rsidP="00316D81">
            <w:pPr>
              <w:spacing w:line="221" w:lineRule="auto"/>
              <w:rPr>
                <w:rFonts w:ascii="Arial" w:hAnsi="Arial"/>
                <w:sz w:val="20"/>
                <w:szCs w:val="20"/>
              </w:rPr>
            </w:pPr>
            <w:r w:rsidRPr="008E7D6A">
              <w:rPr>
                <w:rFonts w:ascii="Arial" w:hAnsi="Arial"/>
                <w:sz w:val="20"/>
                <w:szCs w:val="20"/>
              </w:rPr>
              <w:t xml:space="preserve"> algorithmic bias;</w:t>
            </w:r>
          </w:p>
          <w:p w14:paraId="33C69ACD" w14:textId="6CF610DB" w:rsidR="003D52C5" w:rsidRPr="008E7D6A" w:rsidRDefault="003D52C5" w:rsidP="00316D81">
            <w:pPr>
              <w:spacing w:line="221" w:lineRule="auto"/>
              <w:rPr>
                <w:sz w:val="20"/>
                <w:szCs w:val="20"/>
              </w:rPr>
            </w:pPr>
            <w:r w:rsidRPr="008E7D6A">
              <w:rPr>
                <w:rFonts w:ascii="Arial" w:hAnsi="Arial"/>
                <w:sz w:val="20"/>
                <w:szCs w:val="20"/>
              </w:rPr>
              <w:t xml:space="preserve"> privacy/data protection</w:t>
            </w:r>
          </w:p>
        </w:tc>
        <w:tc>
          <w:tcPr>
            <w:tcW w:w="3672" w:type="dxa"/>
          </w:tcPr>
          <w:p w14:paraId="652D776C" w14:textId="77777777" w:rsidR="003D52C5" w:rsidRPr="008E7D6A" w:rsidRDefault="003D52C5" w:rsidP="00316D81">
            <w:pPr>
              <w:spacing w:line="221" w:lineRule="auto"/>
              <w:rPr>
                <w:sz w:val="20"/>
                <w:szCs w:val="20"/>
              </w:rPr>
            </w:pPr>
            <w:r w:rsidRPr="008E7D6A">
              <w:rPr>
                <w:rFonts w:ascii="Arial" w:hAnsi="Arial"/>
                <w:sz w:val="20"/>
                <w:szCs w:val="20"/>
              </w:rPr>
              <w:t>Ethical AI governance</w:t>
            </w:r>
          </w:p>
        </w:tc>
      </w:tr>
      <w:tr w:rsidR="003D52C5" w14:paraId="2A3EF316" w14:textId="77777777" w:rsidTr="00316D81">
        <w:trPr>
          <w:jc w:val="center"/>
        </w:trPr>
        <w:tc>
          <w:tcPr>
            <w:tcW w:w="605" w:type="dxa"/>
          </w:tcPr>
          <w:p w14:paraId="11A15A7F" w14:textId="77777777" w:rsidR="003D52C5" w:rsidRPr="008E7D6A" w:rsidRDefault="003D52C5" w:rsidP="00316D81">
            <w:pPr>
              <w:spacing w:line="221" w:lineRule="auto"/>
              <w:jc w:val="center"/>
              <w:rPr>
                <w:sz w:val="20"/>
                <w:szCs w:val="20"/>
              </w:rPr>
            </w:pPr>
            <w:r w:rsidRPr="008E7D6A">
              <w:rPr>
                <w:rFonts w:ascii="Arial" w:hAnsi="Arial"/>
                <w:sz w:val="20"/>
                <w:szCs w:val="20"/>
              </w:rPr>
              <w:t>137</w:t>
            </w:r>
          </w:p>
        </w:tc>
        <w:tc>
          <w:tcPr>
            <w:tcW w:w="2088" w:type="dxa"/>
          </w:tcPr>
          <w:p w14:paraId="76196E49" w14:textId="77777777" w:rsidR="003D52C5" w:rsidRPr="008E7D6A" w:rsidRDefault="003D52C5" w:rsidP="00316D81">
            <w:pPr>
              <w:spacing w:line="221" w:lineRule="auto"/>
              <w:rPr>
                <w:sz w:val="20"/>
                <w:szCs w:val="20"/>
              </w:rPr>
            </w:pPr>
            <w:r w:rsidRPr="008E7D6A">
              <w:rPr>
                <w:rFonts w:ascii="Arial" w:hAnsi="Arial"/>
                <w:sz w:val="20"/>
                <w:szCs w:val="20"/>
              </w:rPr>
              <w:t>Zawacki-Richter et al. (2019)</w:t>
            </w:r>
          </w:p>
        </w:tc>
        <w:tc>
          <w:tcPr>
            <w:tcW w:w="5976" w:type="dxa"/>
          </w:tcPr>
          <w:p w14:paraId="48A8D08B" w14:textId="77777777" w:rsidR="003D52C5" w:rsidRPr="008E7D6A" w:rsidRDefault="003D52C5" w:rsidP="00316D81">
            <w:pPr>
              <w:spacing w:line="221" w:lineRule="auto"/>
              <w:rPr>
                <w:sz w:val="20"/>
                <w:szCs w:val="20"/>
              </w:rPr>
            </w:pPr>
            <w:r w:rsidRPr="008E7D6A">
              <w:rPr>
                <w:rFonts w:ascii="Arial" w:hAnsi="Arial"/>
                <w:sz w:val="20"/>
                <w:szCs w:val="20"/>
              </w:rPr>
              <w:t>Systematic review of research on artificial intelligence applications in higher education – where are the educators?</w:t>
            </w:r>
          </w:p>
        </w:tc>
        <w:tc>
          <w:tcPr>
            <w:tcW w:w="3672" w:type="dxa"/>
          </w:tcPr>
          <w:p w14:paraId="28DE9595" w14:textId="77777777" w:rsidR="006865EA" w:rsidRDefault="003D52C5" w:rsidP="00316D81">
            <w:pPr>
              <w:spacing w:line="221" w:lineRule="auto"/>
              <w:rPr>
                <w:rFonts w:ascii="Arial" w:hAnsi="Arial"/>
                <w:sz w:val="20"/>
                <w:szCs w:val="20"/>
              </w:rPr>
            </w:pPr>
            <w:r w:rsidRPr="008E7D6A">
              <w:rPr>
                <w:rFonts w:ascii="Arial" w:hAnsi="Arial"/>
                <w:sz w:val="20"/>
                <w:szCs w:val="20"/>
              </w:rPr>
              <w:t>AI adoption;</w:t>
            </w:r>
          </w:p>
          <w:p w14:paraId="42A271D7" w14:textId="77777777" w:rsidR="006865EA" w:rsidRDefault="003D52C5" w:rsidP="00316D81">
            <w:pPr>
              <w:spacing w:line="221" w:lineRule="auto"/>
              <w:rPr>
                <w:rFonts w:ascii="Arial" w:hAnsi="Arial"/>
                <w:sz w:val="20"/>
                <w:szCs w:val="20"/>
              </w:rPr>
            </w:pPr>
            <w:r w:rsidRPr="008E7D6A">
              <w:rPr>
                <w:rFonts w:ascii="Arial" w:hAnsi="Arial"/>
                <w:sz w:val="20"/>
                <w:szCs w:val="20"/>
              </w:rPr>
              <w:t xml:space="preserve"> implementation; </w:t>
            </w:r>
          </w:p>
          <w:p w14:paraId="38FC9599" w14:textId="7E1D3C62" w:rsidR="006865EA" w:rsidRDefault="003D52C5" w:rsidP="00316D81">
            <w:pPr>
              <w:spacing w:line="221" w:lineRule="auto"/>
              <w:rPr>
                <w:rFonts w:ascii="Arial" w:hAnsi="Arial"/>
                <w:sz w:val="20"/>
                <w:szCs w:val="20"/>
              </w:rPr>
            </w:pPr>
            <w:r w:rsidRPr="008E7D6A">
              <w:rPr>
                <w:rFonts w:ascii="Arial" w:hAnsi="Arial"/>
                <w:sz w:val="20"/>
                <w:szCs w:val="20"/>
              </w:rPr>
              <w:t xml:space="preserve">stakeholder engagement; </w:t>
            </w:r>
          </w:p>
          <w:p w14:paraId="0F553F3D" w14:textId="09D484F0" w:rsidR="003D52C5" w:rsidRPr="008E7D6A" w:rsidRDefault="003D52C5" w:rsidP="00316D81">
            <w:pPr>
              <w:spacing w:line="221" w:lineRule="auto"/>
              <w:rPr>
                <w:sz w:val="20"/>
                <w:szCs w:val="20"/>
              </w:rPr>
            </w:pPr>
            <w:r w:rsidRPr="008E7D6A">
              <w:rPr>
                <w:rFonts w:ascii="Arial" w:hAnsi="Arial"/>
                <w:sz w:val="20"/>
                <w:szCs w:val="20"/>
              </w:rPr>
              <w:lastRenderedPageBreak/>
              <w:t>systematic review</w:t>
            </w:r>
          </w:p>
        </w:tc>
        <w:tc>
          <w:tcPr>
            <w:tcW w:w="3672" w:type="dxa"/>
          </w:tcPr>
          <w:p w14:paraId="5467B95C" w14:textId="75CC3085" w:rsidR="003D52C5" w:rsidRPr="008E7D6A" w:rsidRDefault="003D52C5" w:rsidP="00316D81">
            <w:pPr>
              <w:spacing w:line="221" w:lineRule="auto"/>
              <w:rPr>
                <w:sz w:val="20"/>
                <w:szCs w:val="20"/>
              </w:rPr>
            </w:pPr>
            <w:r w:rsidRPr="008E7D6A">
              <w:rPr>
                <w:rFonts w:ascii="Arial" w:hAnsi="Arial"/>
                <w:sz w:val="20"/>
                <w:szCs w:val="20"/>
              </w:rPr>
              <w:lastRenderedPageBreak/>
              <w:t xml:space="preserve">AI adoption </w:t>
            </w:r>
            <w:r w:rsidR="00D82198">
              <w:rPr>
                <w:rFonts w:ascii="Arial" w:hAnsi="Arial"/>
                <w:sz w:val="20"/>
                <w:szCs w:val="20"/>
              </w:rPr>
              <w:t>and</w:t>
            </w:r>
            <w:r w:rsidRPr="008E7D6A">
              <w:rPr>
                <w:rFonts w:ascii="Arial" w:hAnsi="Arial"/>
                <w:sz w:val="20"/>
                <w:szCs w:val="20"/>
              </w:rPr>
              <w:t xml:space="preserve"> implementation in HE</w:t>
            </w:r>
          </w:p>
        </w:tc>
      </w:tr>
    </w:tbl>
    <w:p w14:paraId="287B6508" w14:textId="77777777" w:rsidR="00D67C9F" w:rsidRPr="00D67C9F" w:rsidRDefault="00391889" w:rsidP="00D67C9F">
      <w:pPr>
        <w:pStyle w:val="Caption"/>
        <w:jc w:val="center"/>
        <w:rPr>
          <w:sz w:val="20"/>
          <w:szCs w:val="20"/>
        </w:rPr>
      </w:pPr>
      <w:r w:rsidRPr="00D67C9F">
        <w:rPr>
          <w:sz w:val="20"/>
          <w:szCs w:val="20"/>
        </w:rPr>
        <w:t xml:space="preserve">Table </w:t>
      </w:r>
      <w:r w:rsidR="00D67C9F" w:rsidRPr="00D67C9F">
        <w:rPr>
          <w:sz w:val="20"/>
          <w:szCs w:val="20"/>
        </w:rPr>
        <w:t xml:space="preserve">E4: Thematic coding matrix for 137 studies </w:t>
      </w:r>
    </w:p>
    <w:p w14:paraId="4C0065B6" w14:textId="1304569C" w:rsidR="003D52C5" w:rsidRPr="00D67C9F" w:rsidRDefault="003D52C5" w:rsidP="00D67C9F">
      <w:pPr>
        <w:pStyle w:val="Caption"/>
        <w:jc w:val="center"/>
        <w:rPr>
          <w:sz w:val="20"/>
          <w:szCs w:val="20"/>
        </w:rPr>
      </w:pPr>
      <w:r w:rsidRPr="00D67C9F">
        <w:rPr>
          <w:sz w:val="20"/>
          <w:szCs w:val="20"/>
        </w:rPr>
        <w:t>Source: Author’s own study-level thematic coding of the included evidence base, derived from the bibliographic titles and relevance statements recorded in Appendix E, Table E1.</w:t>
      </w:r>
    </w:p>
    <w:p w14:paraId="464AE556" w14:textId="77777777" w:rsidR="003D52C5" w:rsidRPr="004D2FDF" w:rsidRDefault="003D52C5" w:rsidP="003D52C5"/>
    <w:p w14:paraId="424CF580" w14:textId="77777777" w:rsidR="003D52C5" w:rsidRDefault="003D52C5" w:rsidP="003D52C5"/>
    <w:p w14:paraId="1D730080" w14:textId="77777777" w:rsidR="003D52C5" w:rsidRDefault="003D52C5" w:rsidP="003D52C5"/>
    <w:p w14:paraId="7820BAC2" w14:textId="77777777" w:rsidR="00D768DA" w:rsidRPr="008631BA" w:rsidRDefault="00D768DA" w:rsidP="008631BA">
      <w:pPr>
        <w:rPr>
          <w:rFonts w:ascii="Calibri" w:hAnsi="Calibri" w:cs="Calibri"/>
          <w:iCs/>
        </w:rPr>
      </w:pPr>
    </w:p>
    <w:sectPr w:rsidR="00D768DA" w:rsidRPr="008631BA" w:rsidSect="008D72AF">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AEB1E" w14:textId="77777777" w:rsidR="00363363" w:rsidRDefault="00363363" w:rsidP="003C7402">
      <w:pPr>
        <w:spacing w:after="0" w:line="240" w:lineRule="auto"/>
      </w:pPr>
      <w:r>
        <w:separator/>
      </w:r>
    </w:p>
  </w:endnote>
  <w:endnote w:type="continuationSeparator" w:id="0">
    <w:p w14:paraId="489303DC" w14:textId="77777777" w:rsidR="00363363" w:rsidRDefault="00363363" w:rsidP="003C7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76291"/>
      <w:docPartObj>
        <w:docPartGallery w:val="Page Numbers (Bottom of Page)"/>
        <w:docPartUnique/>
      </w:docPartObj>
    </w:sdtPr>
    <w:sdtContent>
      <w:p w14:paraId="745F4512" w14:textId="01F6FD87" w:rsidR="00A303DD" w:rsidRDefault="00A303DD">
        <w:pPr>
          <w:pStyle w:val="Footer"/>
          <w:jc w:val="right"/>
        </w:pPr>
        <w:r>
          <w:fldChar w:fldCharType="begin"/>
        </w:r>
        <w:r>
          <w:instrText>PAGE   \* MERGEFORMAT</w:instrText>
        </w:r>
        <w:r>
          <w:fldChar w:fldCharType="separate"/>
        </w:r>
        <w:r>
          <w:t>2</w:t>
        </w:r>
        <w:r>
          <w:fldChar w:fldCharType="end"/>
        </w:r>
      </w:p>
    </w:sdtContent>
  </w:sdt>
  <w:p w14:paraId="3E9353C7" w14:textId="77777777" w:rsidR="003C7402" w:rsidRDefault="003C7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EC445" w14:textId="77777777" w:rsidR="00363363" w:rsidRDefault="00363363" w:rsidP="003C7402">
      <w:pPr>
        <w:spacing w:after="0" w:line="240" w:lineRule="auto"/>
      </w:pPr>
      <w:r>
        <w:separator/>
      </w:r>
    </w:p>
  </w:footnote>
  <w:footnote w:type="continuationSeparator" w:id="0">
    <w:p w14:paraId="0FEA02BB" w14:textId="77777777" w:rsidR="00363363" w:rsidRDefault="00363363" w:rsidP="003C7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6111BA5"/>
    <w:multiLevelType w:val="hybridMultilevel"/>
    <w:tmpl w:val="DD767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03B56"/>
    <w:multiLevelType w:val="multilevel"/>
    <w:tmpl w:val="2E84ED5A"/>
    <w:lvl w:ilvl="0">
      <w:start w:val="1"/>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8D161D1"/>
    <w:multiLevelType w:val="hybridMultilevel"/>
    <w:tmpl w:val="CC02E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0E6664"/>
    <w:multiLevelType w:val="hybridMultilevel"/>
    <w:tmpl w:val="59462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2B6132"/>
    <w:multiLevelType w:val="hybridMultilevel"/>
    <w:tmpl w:val="2314F762"/>
    <w:lvl w:ilvl="0" w:tplc="1F8452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4B1C41"/>
    <w:multiLevelType w:val="multilevel"/>
    <w:tmpl w:val="DB82CD8A"/>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334332010">
    <w:abstractNumId w:val="13"/>
  </w:num>
  <w:num w:numId="2" w16cid:durableId="1422138091">
    <w:abstractNumId w:val="9"/>
  </w:num>
  <w:num w:numId="3" w16cid:durableId="2105496301">
    <w:abstractNumId w:val="14"/>
  </w:num>
  <w:num w:numId="4" w16cid:durableId="275256813">
    <w:abstractNumId w:val="10"/>
  </w:num>
  <w:num w:numId="5" w16cid:durableId="95518396">
    <w:abstractNumId w:val="11"/>
  </w:num>
  <w:num w:numId="6" w16cid:durableId="153376624">
    <w:abstractNumId w:val="12"/>
  </w:num>
  <w:num w:numId="7" w16cid:durableId="1886941524">
    <w:abstractNumId w:val="8"/>
  </w:num>
  <w:num w:numId="8" w16cid:durableId="1379432082">
    <w:abstractNumId w:val="6"/>
  </w:num>
  <w:num w:numId="9" w16cid:durableId="1276671430">
    <w:abstractNumId w:val="5"/>
  </w:num>
  <w:num w:numId="10" w16cid:durableId="768237174">
    <w:abstractNumId w:val="4"/>
  </w:num>
  <w:num w:numId="11" w16cid:durableId="871694588">
    <w:abstractNumId w:val="7"/>
  </w:num>
  <w:num w:numId="12" w16cid:durableId="1418400837">
    <w:abstractNumId w:val="3"/>
  </w:num>
  <w:num w:numId="13" w16cid:durableId="1023673572">
    <w:abstractNumId w:val="2"/>
  </w:num>
  <w:num w:numId="14" w16cid:durableId="856040223">
    <w:abstractNumId w:val="1"/>
  </w:num>
  <w:num w:numId="15" w16cid:durableId="1375349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311"/>
    <w:rsid w:val="0000012A"/>
    <w:rsid w:val="0000075E"/>
    <w:rsid w:val="00000DFF"/>
    <w:rsid w:val="000011A0"/>
    <w:rsid w:val="00001C10"/>
    <w:rsid w:val="000021C9"/>
    <w:rsid w:val="00002E7F"/>
    <w:rsid w:val="000034DA"/>
    <w:rsid w:val="00003875"/>
    <w:rsid w:val="00003E28"/>
    <w:rsid w:val="0000538F"/>
    <w:rsid w:val="00005B7B"/>
    <w:rsid w:val="00005F1C"/>
    <w:rsid w:val="0000604D"/>
    <w:rsid w:val="00006CAE"/>
    <w:rsid w:val="00006FF2"/>
    <w:rsid w:val="000076F5"/>
    <w:rsid w:val="0001054A"/>
    <w:rsid w:val="00010DA2"/>
    <w:rsid w:val="00011A2C"/>
    <w:rsid w:val="00011CEF"/>
    <w:rsid w:val="00012E79"/>
    <w:rsid w:val="000132D1"/>
    <w:rsid w:val="000134F4"/>
    <w:rsid w:val="00013793"/>
    <w:rsid w:val="0001379F"/>
    <w:rsid w:val="0001534D"/>
    <w:rsid w:val="00015D0C"/>
    <w:rsid w:val="0001627B"/>
    <w:rsid w:val="00016CED"/>
    <w:rsid w:val="0001714D"/>
    <w:rsid w:val="00017448"/>
    <w:rsid w:val="000174F1"/>
    <w:rsid w:val="0002103C"/>
    <w:rsid w:val="00021567"/>
    <w:rsid w:val="000215FA"/>
    <w:rsid w:val="00021744"/>
    <w:rsid w:val="00022D0C"/>
    <w:rsid w:val="00022EDD"/>
    <w:rsid w:val="0002327E"/>
    <w:rsid w:val="00023387"/>
    <w:rsid w:val="000234B5"/>
    <w:rsid w:val="0002482B"/>
    <w:rsid w:val="00024E38"/>
    <w:rsid w:val="00025A4E"/>
    <w:rsid w:val="00025B5B"/>
    <w:rsid w:val="00025C0B"/>
    <w:rsid w:val="00025CA1"/>
    <w:rsid w:val="00025CE5"/>
    <w:rsid w:val="000275F6"/>
    <w:rsid w:val="00027A8E"/>
    <w:rsid w:val="00027AE6"/>
    <w:rsid w:val="0003027B"/>
    <w:rsid w:val="00030329"/>
    <w:rsid w:val="000307AD"/>
    <w:rsid w:val="00031FEE"/>
    <w:rsid w:val="00034388"/>
    <w:rsid w:val="00034C44"/>
    <w:rsid w:val="0003593E"/>
    <w:rsid w:val="000365F4"/>
    <w:rsid w:val="00037D5A"/>
    <w:rsid w:val="00040413"/>
    <w:rsid w:val="00041113"/>
    <w:rsid w:val="00041BFC"/>
    <w:rsid w:val="00042933"/>
    <w:rsid w:val="00043421"/>
    <w:rsid w:val="000435CD"/>
    <w:rsid w:val="00043616"/>
    <w:rsid w:val="000437A4"/>
    <w:rsid w:val="00043EAA"/>
    <w:rsid w:val="00044BA3"/>
    <w:rsid w:val="000457FD"/>
    <w:rsid w:val="000468F3"/>
    <w:rsid w:val="00047303"/>
    <w:rsid w:val="000501A4"/>
    <w:rsid w:val="000509AE"/>
    <w:rsid w:val="00050E8A"/>
    <w:rsid w:val="00050ED3"/>
    <w:rsid w:val="00051B8D"/>
    <w:rsid w:val="00051DED"/>
    <w:rsid w:val="000532BC"/>
    <w:rsid w:val="00053957"/>
    <w:rsid w:val="000541F9"/>
    <w:rsid w:val="00054D2C"/>
    <w:rsid w:val="0005608D"/>
    <w:rsid w:val="00056CC3"/>
    <w:rsid w:val="00057612"/>
    <w:rsid w:val="00057A90"/>
    <w:rsid w:val="00060F22"/>
    <w:rsid w:val="00061733"/>
    <w:rsid w:val="000624AC"/>
    <w:rsid w:val="00062E90"/>
    <w:rsid w:val="00063FB5"/>
    <w:rsid w:val="00064487"/>
    <w:rsid w:val="00064D69"/>
    <w:rsid w:val="0006589E"/>
    <w:rsid w:val="000660C3"/>
    <w:rsid w:val="000668F3"/>
    <w:rsid w:val="00070AE8"/>
    <w:rsid w:val="00070BF6"/>
    <w:rsid w:val="000714FC"/>
    <w:rsid w:val="00071549"/>
    <w:rsid w:val="00072405"/>
    <w:rsid w:val="00073594"/>
    <w:rsid w:val="00074AAC"/>
    <w:rsid w:val="00074ADA"/>
    <w:rsid w:val="00075332"/>
    <w:rsid w:val="00075845"/>
    <w:rsid w:val="00076224"/>
    <w:rsid w:val="00080690"/>
    <w:rsid w:val="0008129E"/>
    <w:rsid w:val="00081B0C"/>
    <w:rsid w:val="00081B48"/>
    <w:rsid w:val="00082F78"/>
    <w:rsid w:val="00082FA6"/>
    <w:rsid w:val="000837AA"/>
    <w:rsid w:val="000838DD"/>
    <w:rsid w:val="00083A49"/>
    <w:rsid w:val="00083C99"/>
    <w:rsid w:val="00084690"/>
    <w:rsid w:val="000848F4"/>
    <w:rsid w:val="00085210"/>
    <w:rsid w:val="00086730"/>
    <w:rsid w:val="00086E33"/>
    <w:rsid w:val="000876FD"/>
    <w:rsid w:val="0008778D"/>
    <w:rsid w:val="000901E7"/>
    <w:rsid w:val="00090B43"/>
    <w:rsid w:val="00090E9B"/>
    <w:rsid w:val="00090F0B"/>
    <w:rsid w:val="00092771"/>
    <w:rsid w:val="00092A3E"/>
    <w:rsid w:val="00092EDA"/>
    <w:rsid w:val="000939C0"/>
    <w:rsid w:val="00093A50"/>
    <w:rsid w:val="00094ACA"/>
    <w:rsid w:val="00094AF6"/>
    <w:rsid w:val="00094E08"/>
    <w:rsid w:val="00095734"/>
    <w:rsid w:val="00096766"/>
    <w:rsid w:val="000A027B"/>
    <w:rsid w:val="000A117E"/>
    <w:rsid w:val="000A1313"/>
    <w:rsid w:val="000A1EA2"/>
    <w:rsid w:val="000A241B"/>
    <w:rsid w:val="000A2468"/>
    <w:rsid w:val="000A3731"/>
    <w:rsid w:val="000A3EAE"/>
    <w:rsid w:val="000A47A9"/>
    <w:rsid w:val="000A5ADC"/>
    <w:rsid w:val="000A5F39"/>
    <w:rsid w:val="000A6116"/>
    <w:rsid w:val="000B0B51"/>
    <w:rsid w:val="000B114C"/>
    <w:rsid w:val="000B22C0"/>
    <w:rsid w:val="000B29FD"/>
    <w:rsid w:val="000B523D"/>
    <w:rsid w:val="000B52DB"/>
    <w:rsid w:val="000B5818"/>
    <w:rsid w:val="000B696B"/>
    <w:rsid w:val="000B6C9C"/>
    <w:rsid w:val="000B6CF5"/>
    <w:rsid w:val="000B7CA8"/>
    <w:rsid w:val="000C0FF2"/>
    <w:rsid w:val="000C1E2A"/>
    <w:rsid w:val="000C2EF2"/>
    <w:rsid w:val="000C313A"/>
    <w:rsid w:val="000C48FE"/>
    <w:rsid w:val="000C4CAA"/>
    <w:rsid w:val="000C4DD8"/>
    <w:rsid w:val="000C56A1"/>
    <w:rsid w:val="000C68C0"/>
    <w:rsid w:val="000C76CE"/>
    <w:rsid w:val="000C7BDB"/>
    <w:rsid w:val="000C7D74"/>
    <w:rsid w:val="000C7E27"/>
    <w:rsid w:val="000C7E8E"/>
    <w:rsid w:val="000D085B"/>
    <w:rsid w:val="000D106C"/>
    <w:rsid w:val="000D1427"/>
    <w:rsid w:val="000D1B73"/>
    <w:rsid w:val="000D288B"/>
    <w:rsid w:val="000D4451"/>
    <w:rsid w:val="000D4FCB"/>
    <w:rsid w:val="000D53DB"/>
    <w:rsid w:val="000D56FF"/>
    <w:rsid w:val="000D6010"/>
    <w:rsid w:val="000D6589"/>
    <w:rsid w:val="000D6D67"/>
    <w:rsid w:val="000D7D46"/>
    <w:rsid w:val="000E08A6"/>
    <w:rsid w:val="000E0DB2"/>
    <w:rsid w:val="000E1121"/>
    <w:rsid w:val="000E1AAD"/>
    <w:rsid w:val="000E1B63"/>
    <w:rsid w:val="000E2863"/>
    <w:rsid w:val="000E2EB3"/>
    <w:rsid w:val="000E3F64"/>
    <w:rsid w:val="000E4BEC"/>
    <w:rsid w:val="000E620E"/>
    <w:rsid w:val="000E6942"/>
    <w:rsid w:val="000E7AB7"/>
    <w:rsid w:val="000E7D9D"/>
    <w:rsid w:val="000E7EB9"/>
    <w:rsid w:val="000F019A"/>
    <w:rsid w:val="000F05BD"/>
    <w:rsid w:val="000F1A81"/>
    <w:rsid w:val="000F21A4"/>
    <w:rsid w:val="000F3393"/>
    <w:rsid w:val="000F49E1"/>
    <w:rsid w:val="000F5369"/>
    <w:rsid w:val="000F53A2"/>
    <w:rsid w:val="000F5817"/>
    <w:rsid w:val="000F5C34"/>
    <w:rsid w:val="000F68FC"/>
    <w:rsid w:val="000F7059"/>
    <w:rsid w:val="000F7445"/>
    <w:rsid w:val="000F76EF"/>
    <w:rsid w:val="0010081E"/>
    <w:rsid w:val="00101112"/>
    <w:rsid w:val="001028F1"/>
    <w:rsid w:val="001042FA"/>
    <w:rsid w:val="00104D91"/>
    <w:rsid w:val="00104DF6"/>
    <w:rsid w:val="00105186"/>
    <w:rsid w:val="00106A30"/>
    <w:rsid w:val="00107CDD"/>
    <w:rsid w:val="00110A4F"/>
    <w:rsid w:val="00110B40"/>
    <w:rsid w:val="0011485D"/>
    <w:rsid w:val="00114A7C"/>
    <w:rsid w:val="00114D8B"/>
    <w:rsid w:val="001157F2"/>
    <w:rsid w:val="00115802"/>
    <w:rsid w:val="00115943"/>
    <w:rsid w:val="0011596E"/>
    <w:rsid w:val="00115BEC"/>
    <w:rsid w:val="00116079"/>
    <w:rsid w:val="001205C4"/>
    <w:rsid w:val="001206C0"/>
    <w:rsid w:val="001206D7"/>
    <w:rsid w:val="00120E95"/>
    <w:rsid w:val="0012114C"/>
    <w:rsid w:val="00122B73"/>
    <w:rsid w:val="001232BC"/>
    <w:rsid w:val="00125093"/>
    <w:rsid w:val="0012518E"/>
    <w:rsid w:val="00126131"/>
    <w:rsid w:val="001275D1"/>
    <w:rsid w:val="00130775"/>
    <w:rsid w:val="00130CAC"/>
    <w:rsid w:val="0013123B"/>
    <w:rsid w:val="0013205A"/>
    <w:rsid w:val="00132292"/>
    <w:rsid w:val="00132807"/>
    <w:rsid w:val="0013534D"/>
    <w:rsid w:val="001353DE"/>
    <w:rsid w:val="00135796"/>
    <w:rsid w:val="001357F1"/>
    <w:rsid w:val="001358B1"/>
    <w:rsid w:val="00135A96"/>
    <w:rsid w:val="001360C1"/>
    <w:rsid w:val="001362E5"/>
    <w:rsid w:val="00137A29"/>
    <w:rsid w:val="001402ED"/>
    <w:rsid w:val="00140C23"/>
    <w:rsid w:val="00141243"/>
    <w:rsid w:val="00141306"/>
    <w:rsid w:val="0014215A"/>
    <w:rsid w:val="00143101"/>
    <w:rsid w:val="0014317F"/>
    <w:rsid w:val="0014352F"/>
    <w:rsid w:val="00144B8E"/>
    <w:rsid w:val="0014592A"/>
    <w:rsid w:val="001477EC"/>
    <w:rsid w:val="00150ACE"/>
    <w:rsid w:val="0015103D"/>
    <w:rsid w:val="0015161C"/>
    <w:rsid w:val="00151EE6"/>
    <w:rsid w:val="00151F98"/>
    <w:rsid w:val="00152519"/>
    <w:rsid w:val="00152BD0"/>
    <w:rsid w:val="00155061"/>
    <w:rsid w:val="00155BBC"/>
    <w:rsid w:val="001572EF"/>
    <w:rsid w:val="0015771F"/>
    <w:rsid w:val="00157B69"/>
    <w:rsid w:val="00157E0C"/>
    <w:rsid w:val="00160042"/>
    <w:rsid w:val="001607A8"/>
    <w:rsid w:val="00160924"/>
    <w:rsid w:val="0016120F"/>
    <w:rsid w:val="0016171D"/>
    <w:rsid w:val="00161C01"/>
    <w:rsid w:val="001621AD"/>
    <w:rsid w:val="00162A52"/>
    <w:rsid w:val="00162ED5"/>
    <w:rsid w:val="001632EE"/>
    <w:rsid w:val="00163ECE"/>
    <w:rsid w:val="001659A2"/>
    <w:rsid w:val="00166085"/>
    <w:rsid w:val="00166BA4"/>
    <w:rsid w:val="00166DD4"/>
    <w:rsid w:val="001672A6"/>
    <w:rsid w:val="00171DB2"/>
    <w:rsid w:val="00171F92"/>
    <w:rsid w:val="00171FA0"/>
    <w:rsid w:val="001725BE"/>
    <w:rsid w:val="001730E5"/>
    <w:rsid w:val="0017317F"/>
    <w:rsid w:val="00173645"/>
    <w:rsid w:val="001758D5"/>
    <w:rsid w:val="00176463"/>
    <w:rsid w:val="001769EB"/>
    <w:rsid w:val="00176CC2"/>
    <w:rsid w:val="0017733E"/>
    <w:rsid w:val="00177B04"/>
    <w:rsid w:val="001801DA"/>
    <w:rsid w:val="00180D63"/>
    <w:rsid w:val="00181E89"/>
    <w:rsid w:val="00182025"/>
    <w:rsid w:val="001831D9"/>
    <w:rsid w:val="00183C04"/>
    <w:rsid w:val="00184C70"/>
    <w:rsid w:val="0018578F"/>
    <w:rsid w:val="0018669F"/>
    <w:rsid w:val="00186A39"/>
    <w:rsid w:val="00186DE4"/>
    <w:rsid w:val="00187934"/>
    <w:rsid w:val="00187E2E"/>
    <w:rsid w:val="001901A6"/>
    <w:rsid w:val="00190290"/>
    <w:rsid w:val="00191316"/>
    <w:rsid w:val="0019144A"/>
    <w:rsid w:val="00191685"/>
    <w:rsid w:val="00191B4B"/>
    <w:rsid w:val="00191F4A"/>
    <w:rsid w:val="0019218B"/>
    <w:rsid w:val="0019231B"/>
    <w:rsid w:val="001923D0"/>
    <w:rsid w:val="001926FE"/>
    <w:rsid w:val="00193926"/>
    <w:rsid w:val="00193B85"/>
    <w:rsid w:val="0019603F"/>
    <w:rsid w:val="00196989"/>
    <w:rsid w:val="001A0E31"/>
    <w:rsid w:val="001A0F79"/>
    <w:rsid w:val="001A1226"/>
    <w:rsid w:val="001A2131"/>
    <w:rsid w:val="001A3AA8"/>
    <w:rsid w:val="001A7C08"/>
    <w:rsid w:val="001B2F7C"/>
    <w:rsid w:val="001B42EB"/>
    <w:rsid w:val="001B4CF7"/>
    <w:rsid w:val="001B4D08"/>
    <w:rsid w:val="001B54DB"/>
    <w:rsid w:val="001B5CC3"/>
    <w:rsid w:val="001B5CD8"/>
    <w:rsid w:val="001B5F25"/>
    <w:rsid w:val="001B68F1"/>
    <w:rsid w:val="001B7962"/>
    <w:rsid w:val="001B7F4C"/>
    <w:rsid w:val="001C0B98"/>
    <w:rsid w:val="001C18E2"/>
    <w:rsid w:val="001C1EAA"/>
    <w:rsid w:val="001C25C7"/>
    <w:rsid w:val="001C2712"/>
    <w:rsid w:val="001C4074"/>
    <w:rsid w:val="001C52F8"/>
    <w:rsid w:val="001C55B3"/>
    <w:rsid w:val="001C5CF6"/>
    <w:rsid w:val="001C6A10"/>
    <w:rsid w:val="001C6F90"/>
    <w:rsid w:val="001D05D3"/>
    <w:rsid w:val="001D1710"/>
    <w:rsid w:val="001D175E"/>
    <w:rsid w:val="001D2E6D"/>
    <w:rsid w:val="001D4985"/>
    <w:rsid w:val="001D522C"/>
    <w:rsid w:val="001D52B1"/>
    <w:rsid w:val="001E2BCC"/>
    <w:rsid w:val="001E3EC6"/>
    <w:rsid w:val="001E3F17"/>
    <w:rsid w:val="001E47C8"/>
    <w:rsid w:val="001E575C"/>
    <w:rsid w:val="001E67FF"/>
    <w:rsid w:val="001E6A08"/>
    <w:rsid w:val="001E7B08"/>
    <w:rsid w:val="001F05E1"/>
    <w:rsid w:val="001F2213"/>
    <w:rsid w:val="001F2469"/>
    <w:rsid w:val="001F3506"/>
    <w:rsid w:val="001F53FD"/>
    <w:rsid w:val="001F65F0"/>
    <w:rsid w:val="001F6BFF"/>
    <w:rsid w:val="001F74D9"/>
    <w:rsid w:val="001F7614"/>
    <w:rsid w:val="001F7F5C"/>
    <w:rsid w:val="002020F6"/>
    <w:rsid w:val="00202176"/>
    <w:rsid w:val="00202D31"/>
    <w:rsid w:val="00203463"/>
    <w:rsid w:val="002034CA"/>
    <w:rsid w:val="002040BE"/>
    <w:rsid w:val="00204647"/>
    <w:rsid w:val="00205B49"/>
    <w:rsid w:val="002072B7"/>
    <w:rsid w:val="00210D40"/>
    <w:rsid w:val="0021108D"/>
    <w:rsid w:val="00213F10"/>
    <w:rsid w:val="00214455"/>
    <w:rsid w:val="0021451D"/>
    <w:rsid w:val="00214CAF"/>
    <w:rsid w:val="002153F2"/>
    <w:rsid w:val="00215E22"/>
    <w:rsid w:val="0021610F"/>
    <w:rsid w:val="002164CD"/>
    <w:rsid w:val="002173C7"/>
    <w:rsid w:val="00217628"/>
    <w:rsid w:val="0021798E"/>
    <w:rsid w:val="00221521"/>
    <w:rsid w:val="002220C6"/>
    <w:rsid w:val="0022230B"/>
    <w:rsid w:val="002240FF"/>
    <w:rsid w:val="00224341"/>
    <w:rsid w:val="00225758"/>
    <w:rsid w:val="00226E04"/>
    <w:rsid w:val="00227798"/>
    <w:rsid w:val="0023041C"/>
    <w:rsid w:val="00230AE0"/>
    <w:rsid w:val="00230C88"/>
    <w:rsid w:val="002313A5"/>
    <w:rsid w:val="00232079"/>
    <w:rsid w:val="002322EE"/>
    <w:rsid w:val="00232375"/>
    <w:rsid w:val="002327FE"/>
    <w:rsid w:val="00232947"/>
    <w:rsid w:val="00232FED"/>
    <w:rsid w:val="002337C2"/>
    <w:rsid w:val="00233FDF"/>
    <w:rsid w:val="002346CC"/>
    <w:rsid w:val="002351AC"/>
    <w:rsid w:val="002377BB"/>
    <w:rsid w:val="00237804"/>
    <w:rsid w:val="00237EEB"/>
    <w:rsid w:val="00237FB6"/>
    <w:rsid w:val="00240490"/>
    <w:rsid w:val="002416B6"/>
    <w:rsid w:val="00242BBB"/>
    <w:rsid w:val="0024389F"/>
    <w:rsid w:val="00243D3A"/>
    <w:rsid w:val="00244F81"/>
    <w:rsid w:val="002456E6"/>
    <w:rsid w:val="00245CCC"/>
    <w:rsid w:val="00245E5E"/>
    <w:rsid w:val="00246061"/>
    <w:rsid w:val="00246E08"/>
    <w:rsid w:val="002471B3"/>
    <w:rsid w:val="00247ECD"/>
    <w:rsid w:val="00247EFD"/>
    <w:rsid w:val="00250045"/>
    <w:rsid w:val="00252542"/>
    <w:rsid w:val="00252A3F"/>
    <w:rsid w:val="00253025"/>
    <w:rsid w:val="00254017"/>
    <w:rsid w:val="002540BF"/>
    <w:rsid w:val="0025454A"/>
    <w:rsid w:val="0025486D"/>
    <w:rsid w:val="002557B4"/>
    <w:rsid w:val="002616A4"/>
    <w:rsid w:val="00261899"/>
    <w:rsid w:val="00261AA4"/>
    <w:rsid w:val="00261FD6"/>
    <w:rsid w:val="00262059"/>
    <w:rsid w:val="0026297C"/>
    <w:rsid w:val="002635D5"/>
    <w:rsid w:val="002644D3"/>
    <w:rsid w:val="00265C42"/>
    <w:rsid w:val="0026639D"/>
    <w:rsid w:val="00266C0D"/>
    <w:rsid w:val="00270090"/>
    <w:rsid w:val="002703A2"/>
    <w:rsid w:val="00270621"/>
    <w:rsid w:val="002708F5"/>
    <w:rsid w:val="00270D02"/>
    <w:rsid w:val="00270E9D"/>
    <w:rsid w:val="00270F48"/>
    <w:rsid w:val="002710E6"/>
    <w:rsid w:val="002715FD"/>
    <w:rsid w:val="002741F7"/>
    <w:rsid w:val="0027459A"/>
    <w:rsid w:val="00274E90"/>
    <w:rsid w:val="00276A03"/>
    <w:rsid w:val="00276F79"/>
    <w:rsid w:val="002775FD"/>
    <w:rsid w:val="002776E4"/>
    <w:rsid w:val="00280543"/>
    <w:rsid w:val="002815BE"/>
    <w:rsid w:val="00281D30"/>
    <w:rsid w:val="00281F0B"/>
    <w:rsid w:val="0028222D"/>
    <w:rsid w:val="00282ABB"/>
    <w:rsid w:val="00282EF3"/>
    <w:rsid w:val="00282F08"/>
    <w:rsid w:val="00283CD4"/>
    <w:rsid w:val="00284009"/>
    <w:rsid w:val="00284516"/>
    <w:rsid w:val="002847CE"/>
    <w:rsid w:val="0028539F"/>
    <w:rsid w:val="00286101"/>
    <w:rsid w:val="00286A2C"/>
    <w:rsid w:val="00286D69"/>
    <w:rsid w:val="002875A5"/>
    <w:rsid w:val="00287628"/>
    <w:rsid w:val="00287EC8"/>
    <w:rsid w:val="00290112"/>
    <w:rsid w:val="00292370"/>
    <w:rsid w:val="002924FB"/>
    <w:rsid w:val="00292BA2"/>
    <w:rsid w:val="00293141"/>
    <w:rsid w:val="00293930"/>
    <w:rsid w:val="00293EA5"/>
    <w:rsid w:val="00295150"/>
    <w:rsid w:val="00296E10"/>
    <w:rsid w:val="00296E6A"/>
    <w:rsid w:val="0029736E"/>
    <w:rsid w:val="00297419"/>
    <w:rsid w:val="00297C19"/>
    <w:rsid w:val="002A0A52"/>
    <w:rsid w:val="002A1DBB"/>
    <w:rsid w:val="002A25D0"/>
    <w:rsid w:val="002A3561"/>
    <w:rsid w:val="002A3DB2"/>
    <w:rsid w:val="002A490F"/>
    <w:rsid w:val="002A6438"/>
    <w:rsid w:val="002A6A1D"/>
    <w:rsid w:val="002A6F1B"/>
    <w:rsid w:val="002A75DB"/>
    <w:rsid w:val="002A7CDE"/>
    <w:rsid w:val="002A7DF5"/>
    <w:rsid w:val="002B038A"/>
    <w:rsid w:val="002B03E5"/>
    <w:rsid w:val="002B08F8"/>
    <w:rsid w:val="002B15ED"/>
    <w:rsid w:val="002B1C75"/>
    <w:rsid w:val="002B21D1"/>
    <w:rsid w:val="002B2CCE"/>
    <w:rsid w:val="002B2F54"/>
    <w:rsid w:val="002B3C05"/>
    <w:rsid w:val="002B48B3"/>
    <w:rsid w:val="002B4971"/>
    <w:rsid w:val="002B5B38"/>
    <w:rsid w:val="002C05DB"/>
    <w:rsid w:val="002C06F4"/>
    <w:rsid w:val="002C1FA3"/>
    <w:rsid w:val="002C2726"/>
    <w:rsid w:val="002C2B37"/>
    <w:rsid w:val="002C3317"/>
    <w:rsid w:val="002C387D"/>
    <w:rsid w:val="002C4016"/>
    <w:rsid w:val="002C551A"/>
    <w:rsid w:val="002C6068"/>
    <w:rsid w:val="002C6092"/>
    <w:rsid w:val="002C663E"/>
    <w:rsid w:val="002C670D"/>
    <w:rsid w:val="002C7645"/>
    <w:rsid w:val="002D01BA"/>
    <w:rsid w:val="002D0344"/>
    <w:rsid w:val="002D08CF"/>
    <w:rsid w:val="002D1FE5"/>
    <w:rsid w:val="002D226D"/>
    <w:rsid w:val="002D2819"/>
    <w:rsid w:val="002D3A79"/>
    <w:rsid w:val="002D3D22"/>
    <w:rsid w:val="002D4C68"/>
    <w:rsid w:val="002D4D33"/>
    <w:rsid w:val="002D6100"/>
    <w:rsid w:val="002D61F4"/>
    <w:rsid w:val="002D6515"/>
    <w:rsid w:val="002E0984"/>
    <w:rsid w:val="002E0AE2"/>
    <w:rsid w:val="002E0C44"/>
    <w:rsid w:val="002E18DF"/>
    <w:rsid w:val="002E18FD"/>
    <w:rsid w:val="002E1FCF"/>
    <w:rsid w:val="002E2606"/>
    <w:rsid w:val="002E2661"/>
    <w:rsid w:val="002E3078"/>
    <w:rsid w:val="002E4D46"/>
    <w:rsid w:val="002E59F1"/>
    <w:rsid w:val="002E5E65"/>
    <w:rsid w:val="002E7B86"/>
    <w:rsid w:val="002F28B2"/>
    <w:rsid w:val="002F2B49"/>
    <w:rsid w:val="002F38AA"/>
    <w:rsid w:val="002F3DE8"/>
    <w:rsid w:val="002F47C9"/>
    <w:rsid w:val="002F53F7"/>
    <w:rsid w:val="002F60D0"/>
    <w:rsid w:val="002F6FB4"/>
    <w:rsid w:val="002F77CF"/>
    <w:rsid w:val="002F77F4"/>
    <w:rsid w:val="002F7986"/>
    <w:rsid w:val="003006E1"/>
    <w:rsid w:val="003008FA"/>
    <w:rsid w:val="00300A0C"/>
    <w:rsid w:val="00300B99"/>
    <w:rsid w:val="00300DEA"/>
    <w:rsid w:val="00301841"/>
    <w:rsid w:val="00301974"/>
    <w:rsid w:val="00301DD7"/>
    <w:rsid w:val="00301EE8"/>
    <w:rsid w:val="003023CC"/>
    <w:rsid w:val="003025DC"/>
    <w:rsid w:val="00303CE9"/>
    <w:rsid w:val="003042A4"/>
    <w:rsid w:val="0030459D"/>
    <w:rsid w:val="003048A1"/>
    <w:rsid w:val="00304B68"/>
    <w:rsid w:val="00304FB4"/>
    <w:rsid w:val="00305387"/>
    <w:rsid w:val="0030702F"/>
    <w:rsid w:val="00307336"/>
    <w:rsid w:val="00307661"/>
    <w:rsid w:val="00307B1F"/>
    <w:rsid w:val="00307CC2"/>
    <w:rsid w:val="003105B4"/>
    <w:rsid w:val="0031068C"/>
    <w:rsid w:val="00310E4C"/>
    <w:rsid w:val="00310FBA"/>
    <w:rsid w:val="00311697"/>
    <w:rsid w:val="003122A3"/>
    <w:rsid w:val="00312B5D"/>
    <w:rsid w:val="0031362C"/>
    <w:rsid w:val="003138B8"/>
    <w:rsid w:val="00313ACA"/>
    <w:rsid w:val="0031564B"/>
    <w:rsid w:val="00316680"/>
    <w:rsid w:val="003201C9"/>
    <w:rsid w:val="00320944"/>
    <w:rsid w:val="00321025"/>
    <w:rsid w:val="0032310C"/>
    <w:rsid w:val="00323A0B"/>
    <w:rsid w:val="00323A33"/>
    <w:rsid w:val="00324648"/>
    <w:rsid w:val="0032495C"/>
    <w:rsid w:val="00325BBF"/>
    <w:rsid w:val="003264A0"/>
    <w:rsid w:val="003276D6"/>
    <w:rsid w:val="0033032D"/>
    <w:rsid w:val="0033130E"/>
    <w:rsid w:val="003325B2"/>
    <w:rsid w:val="00333BE5"/>
    <w:rsid w:val="00333F1C"/>
    <w:rsid w:val="003341D5"/>
    <w:rsid w:val="00336A8F"/>
    <w:rsid w:val="00340163"/>
    <w:rsid w:val="003406F3"/>
    <w:rsid w:val="00340744"/>
    <w:rsid w:val="00342CDB"/>
    <w:rsid w:val="00343609"/>
    <w:rsid w:val="00343D6E"/>
    <w:rsid w:val="00343E96"/>
    <w:rsid w:val="003447A9"/>
    <w:rsid w:val="00345B08"/>
    <w:rsid w:val="00346676"/>
    <w:rsid w:val="003472CF"/>
    <w:rsid w:val="00347578"/>
    <w:rsid w:val="003475BA"/>
    <w:rsid w:val="00347937"/>
    <w:rsid w:val="00347B50"/>
    <w:rsid w:val="00350414"/>
    <w:rsid w:val="00350B9C"/>
    <w:rsid w:val="00352368"/>
    <w:rsid w:val="003528D7"/>
    <w:rsid w:val="00354A0C"/>
    <w:rsid w:val="00354D13"/>
    <w:rsid w:val="00355151"/>
    <w:rsid w:val="0035540D"/>
    <w:rsid w:val="00355B21"/>
    <w:rsid w:val="003561D0"/>
    <w:rsid w:val="00356813"/>
    <w:rsid w:val="003576DC"/>
    <w:rsid w:val="00357C4D"/>
    <w:rsid w:val="00357F2C"/>
    <w:rsid w:val="00362C37"/>
    <w:rsid w:val="00363363"/>
    <w:rsid w:val="00363860"/>
    <w:rsid w:val="00363DB7"/>
    <w:rsid w:val="00364A3C"/>
    <w:rsid w:val="0036510E"/>
    <w:rsid w:val="00365B61"/>
    <w:rsid w:val="0036638E"/>
    <w:rsid w:val="003667FE"/>
    <w:rsid w:val="00366EBF"/>
    <w:rsid w:val="00367A20"/>
    <w:rsid w:val="003702E8"/>
    <w:rsid w:val="00371337"/>
    <w:rsid w:val="003733E0"/>
    <w:rsid w:val="003738D1"/>
    <w:rsid w:val="00374023"/>
    <w:rsid w:val="00375B66"/>
    <w:rsid w:val="0037667C"/>
    <w:rsid w:val="00376D5A"/>
    <w:rsid w:val="00377EF2"/>
    <w:rsid w:val="00377F3C"/>
    <w:rsid w:val="00380507"/>
    <w:rsid w:val="0038171E"/>
    <w:rsid w:val="00382B2E"/>
    <w:rsid w:val="00382B7C"/>
    <w:rsid w:val="00382C23"/>
    <w:rsid w:val="003840EE"/>
    <w:rsid w:val="00384568"/>
    <w:rsid w:val="00384801"/>
    <w:rsid w:val="00384FC8"/>
    <w:rsid w:val="00386D0B"/>
    <w:rsid w:val="00387D47"/>
    <w:rsid w:val="00390C86"/>
    <w:rsid w:val="00390D48"/>
    <w:rsid w:val="00391889"/>
    <w:rsid w:val="003918DC"/>
    <w:rsid w:val="00391C25"/>
    <w:rsid w:val="00392A03"/>
    <w:rsid w:val="00392F37"/>
    <w:rsid w:val="00393DE3"/>
    <w:rsid w:val="00394217"/>
    <w:rsid w:val="003945A7"/>
    <w:rsid w:val="003953E1"/>
    <w:rsid w:val="003968C0"/>
    <w:rsid w:val="00396AE5"/>
    <w:rsid w:val="0039723C"/>
    <w:rsid w:val="00397375"/>
    <w:rsid w:val="003A0752"/>
    <w:rsid w:val="003A2114"/>
    <w:rsid w:val="003A2969"/>
    <w:rsid w:val="003A2AE5"/>
    <w:rsid w:val="003A3050"/>
    <w:rsid w:val="003A3B78"/>
    <w:rsid w:val="003A3BDF"/>
    <w:rsid w:val="003A42E0"/>
    <w:rsid w:val="003A4FDE"/>
    <w:rsid w:val="003A5123"/>
    <w:rsid w:val="003A5423"/>
    <w:rsid w:val="003A57BC"/>
    <w:rsid w:val="003A598F"/>
    <w:rsid w:val="003A6B30"/>
    <w:rsid w:val="003A7399"/>
    <w:rsid w:val="003A7681"/>
    <w:rsid w:val="003A7B1A"/>
    <w:rsid w:val="003B07CA"/>
    <w:rsid w:val="003B0E33"/>
    <w:rsid w:val="003B16AD"/>
    <w:rsid w:val="003B1834"/>
    <w:rsid w:val="003B1BC1"/>
    <w:rsid w:val="003B263F"/>
    <w:rsid w:val="003B2B62"/>
    <w:rsid w:val="003B320E"/>
    <w:rsid w:val="003B3342"/>
    <w:rsid w:val="003B359B"/>
    <w:rsid w:val="003B3B38"/>
    <w:rsid w:val="003B3E19"/>
    <w:rsid w:val="003B40B5"/>
    <w:rsid w:val="003B4200"/>
    <w:rsid w:val="003B455B"/>
    <w:rsid w:val="003B607A"/>
    <w:rsid w:val="003B6293"/>
    <w:rsid w:val="003B6E08"/>
    <w:rsid w:val="003B7678"/>
    <w:rsid w:val="003B7C25"/>
    <w:rsid w:val="003B7D15"/>
    <w:rsid w:val="003C0C33"/>
    <w:rsid w:val="003C0D77"/>
    <w:rsid w:val="003C1126"/>
    <w:rsid w:val="003C209E"/>
    <w:rsid w:val="003C317E"/>
    <w:rsid w:val="003C341A"/>
    <w:rsid w:val="003C4182"/>
    <w:rsid w:val="003C47F4"/>
    <w:rsid w:val="003C486D"/>
    <w:rsid w:val="003C5700"/>
    <w:rsid w:val="003C5715"/>
    <w:rsid w:val="003C5F0D"/>
    <w:rsid w:val="003C621E"/>
    <w:rsid w:val="003C659F"/>
    <w:rsid w:val="003C6688"/>
    <w:rsid w:val="003C695C"/>
    <w:rsid w:val="003C7402"/>
    <w:rsid w:val="003D0A4D"/>
    <w:rsid w:val="003D2B72"/>
    <w:rsid w:val="003D33DF"/>
    <w:rsid w:val="003D42CF"/>
    <w:rsid w:val="003D52C5"/>
    <w:rsid w:val="003D543C"/>
    <w:rsid w:val="003D6466"/>
    <w:rsid w:val="003D6E02"/>
    <w:rsid w:val="003E03C9"/>
    <w:rsid w:val="003E097F"/>
    <w:rsid w:val="003E1034"/>
    <w:rsid w:val="003E33B6"/>
    <w:rsid w:val="003E40EF"/>
    <w:rsid w:val="003E4882"/>
    <w:rsid w:val="003E7E19"/>
    <w:rsid w:val="003F0476"/>
    <w:rsid w:val="003F04AA"/>
    <w:rsid w:val="003F06ED"/>
    <w:rsid w:val="003F194F"/>
    <w:rsid w:val="003F25D3"/>
    <w:rsid w:val="003F2EF3"/>
    <w:rsid w:val="003F37CB"/>
    <w:rsid w:val="003F3F04"/>
    <w:rsid w:val="003F4121"/>
    <w:rsid w:val="003F4183"/>
    <w:rsid w:val="003F4621"/>
    <w:rsid w:val="003F7EC1"/>
    <w:rsid w:val="0040003D"/>
    <w:rsid w:val="004004D7"/>
    <w:rsid w:val="00400A46"/>
    <w:rsid w:val="00400BAC"/>
    <w:rsid w:val="004013BC"/>
    <w:rsid w:val="004018A2"/>
    <w:rsid w:val="00402DA5"/>
    <w:rsid w:val="00402DF4"/>
    <w:rsid w:val="004038C8"/>
    <w:rsid w:val="00403E5A"/>
    <w:rsid w:val="00403F49"/>
    <w:rsid w:val="00404864"/>
    <w:rsid w:val="0040497A"/>
    <w:rsid w:val="00405224"/>
    <w:rsid w:val="00406520"/>
    <w:rsid w:val="00407891"/>
    <w:rsid w:val="00407A9F"/>
    <w:rsid w:val="004100CB"/>
    <w:rsid w:val="00410280"/>
    <w:rsid w:val="004106E9"/>
    <w:rsid w:val="0041073F"/>
    <w:rsid w:val="0041076A"/>
    <w:rsid w:val="00411021"/>
    <w:rsid w:val="00411397"/>
    <w:rsid w:val="00411726"/>
    <w:rsid w:val="004135D8"/>
    <w:rsid w:val="0041415A"/>
    <w:rsid w:val="0041431A"/>
    <w:rsid w:val="00415173"/>
    <w:rsid w:val="00415CFA"/>
    <w:rsid w:val="00416C29"/>
    <w:rsid w:val="00416D98"/>
    <w:rsid w:val="00417113"/>
    <w:rsid w:val="00417638"/>
    <w:rsid w:val="00417B36"/>
    <w:rsid w:val="00417B8F"/>
    <w:rsid w:val="00417D14"/>
    <w:rsid w:val="00417E38"/>
    <w:rsid w:val="00422741"/>
    <w:rsid w:val="004234AD"/>
    <w:rsid w:val="00423745"/>
    <w:rsid w:val="00424C6F"/>
    <w:rsid w:val="0042510B"/>
    <w:rsid w:val="0042593F"/>
    <w:rsid w:val="00426132"/>
    <w:rsid w:val="0042631E"/>
    <w:rsid w:val="004266EE"/>
    <w:rsid w:val="00427225"/>
    <w:rsid w:val="0042768F"/>
    <w:rsid w:val="00427D0D"/>
    <w:rsid w:val="00430691"/>
    <w:rsid w:val="00431A42"/>
    <w:rsid w:val="00432A42"/>
    <w:rsid w:val="004347DD"/>
    <w:rsid w:val="00435D29"/>
    <w:rsid w:val="004361A5"/>
    <w:rsid w:val="00436237"/>
    <w:rsid w:val="00436563"/>
    <w:rsid w:val="00436B23"/>
    <w:rsid w:val="0043703F"/>
    <w:rsid w:val="00440490"/>
    <w:rsid w:val="00440D7B"/>
    <w:rsid w:val="00441C9F"/>
    <w:rsid w:val="00441EDC"/>
    <w:rsid w:val="00442657"/>
    <w:rsid w:val="004429BF"/>
    <w:rsid w:val="00442F31"/>
    <w:rsid w:val="0044521C"/>
    <w:rsid w:val="00445434"/>
    <w:rsid w:val="00445857"/>
    <w:rsid w:val="00445919"/>
    <w:rsid w:val="00445AEA"/>
    <w:rsid w:val="00445D88"/>
    <w:rsid w:val="004466C8"/>
    <w:rsid w:val="00446725"/>
    <w:rsid w:val="00446A2C"/>
    <w:rsid w:val="00446EC2"/>
    <w:rsid w:val="00446F6E"/>
    <w:rsid w:val="00447411"/>
    <w:rsid w:val="00450BA1"/>
    <w:rsid w:val="00450C58"/>
    <w:rsid w:val="00451563"/>
    <w:rsid w:val="0045265A"/>
    <w:rsid w:val="00452798"/>
    <w:rsid w:val="00452D40"/>
    <w:rsid w:val="004534E6"/>
    <w:rsid w:val="00453851"/>
    <w:rsid w:val="00454533"/>
    <w:rsid w:val="0045476F"/>
    <w:rsid w:val="00454D5A"/>
    <w:rsid w:val="00455041"/>
    <w:rsid w:val="00455447"/>
    <w:rsid w:val="00455D2D"/>
    <w:rsid w:val="0045652D"/>
    <w:rsid w:val="004566EE"/>
    <w:rsid w:val="004568E0"/>
    <w:rsid w:val="004569B4"/>
    <w:rsid w:val="00457BDC"/>
    <w:rsid w:val="00457C77"/>
    <w:rsid w:val="00457EC6"/>
    <w:rsid w:val="004600E1"/>
    <w:rsid w:val="0046067B"/>
    <w:rsid w:val="004608B5"/>
    <w:rsid w:val="00460CB3"/>
    <w:rsid w:val="00461020"/>
    <w:rsid w:val="0046131C"/>
    <w:rsid w:val="004618AF"/>
    <w:rsid w:val="00461C00"/>
    <w:rsid w:val="00461D4A"/>
    <w:rsid w:val="00463016"/>
    <w:rsid w:val="00463DDE"/>
    <w:rsid w:val="00463E65"/>
    <w:rsid w:val="00464020"/>
    <w:rsid w:val="00464AAD"/>
    <w:rsid w:val="00464E33"/>
    <w:rsid w:val="004650CD"/>
    <w:rsid w:val="004655BC"/>
    <w:rsid w:val="0046624C"/>
    <w:rsid w:val="004663DA"/>
    <w:rsid w:val="0046689A"/>
    <w:rsid w:val="00466A71"/>
    <w:rsid w:val="00466D90"/>
    <w:rsid w:val="0046729C"/>
    <w:rsid w:val="00467447"/>
    <w:rsid w:val="004703EB"/>
    <w:rsid w:val="00470A85"/>
    <w:rsid w:val="00470E4C"/>
    <w:rsid w:val="004710E6"/>
    <w:rsid w:val="0047198B"/>
    <w:rsid w:val="00471F70"/>
    <w:rsid w:val="00472D3B"/>
    <w:rsid w:val="004737EB"/>
    <w:rsid w:val="00473A41"/>
    <w:rsid w:val="004751F8"/>
    <w:rsid w:val="004754FA"/>
    <w:rsid w:val="004755AA"/>
    <w:rsid w:val="00480243"/>
    <w:rsid w:val="00480B1F"/>
    <w:rsid w:val="00480D16"/>
    <w:rsid w:val="00480E7D"/>
    <w:rsid w:val="00482555"/>
    <w:rsid w:val="0048287A"/>
    <w:rsid w:val="004841D5"/>
    <w:rsid w:val="004843BE"/>
    <w:rsid w:val="00484C27"/>
    <w:rsid w:val="00485FDB"/>
    <w:rsid w:val="004870D1"/>
    <w:rsid w:val="00487D75"/>
    <w:rsid w:val="00487FC1"/>
    <w:rsid w:val="00490777"/>
    <w:rsid w:val="0049104B"/>
    <w:rsid w:val="0049138E"/>
    <w:rsid w:val="0049152D"/>
    <w:rsid w:val="00491940"/>
    <w:rsid w:val="00491FE5"/>
    <w:rsid w:val="00492F55"/>
    <w:rsid w:val="0049329E"/>
    <w:rsid w:val="00493818"/>
    <w:rsid w:val="00493E58"/>
    <w:rsid w:val="00495428"/>
    <w:rsid w:val="004954BC"/>
    <w:rsid w:val="00496311"/>
    <w:rsid w:val="004963B6"/>
    <w:rsid w:val="00496695"/>
    <w:rsid w:val="00496CC5"/>
    <w:rsid w:val="00496D0F"/>
    <w:rsid w:val="00497379"/>
    <w:rsid w:val="004A0A20"/>
    <w:rsid w:val="004A0F47"/>
    <w:rsid w:val="004A1FEB"/>
    <w:rsid w:val="004A289F"/>
    <w:rsid w:val="004A2BBC"/>
    <w:rsid w:val="004A31CA"/>
    <w:rsid w:val="004A32B0"/>
    <w:rsid w:val="004A3412"/>
    <w:rsid w:val="004A3D4C"/>
    <w:rsid w:val="004A3DF7"/>
    <w:rsid w:val="004A447F"/>
    <w:rsid w:val="004A4493"/>
    <w:rsid w:val="004A4686"/>
    <w:rsid w:val="004A4D5A"/>
    <w:rsid w:val="004A5D82"/>
    <w:rsid w:val="004A6070"/>
    <w:rsid w:val="004A6A59"/>
    <w:rsid w:val="004A73F1"/>
    <w:rsid w:val="004A7FEB"/>
    <w:rsid w:val="004B0392"/>
    <w:rsid w:val="004B2355"/>
    <w:rsid w:val="004B2D05"/>
    <w:rsid w:val="004B333F"/>
    <w:rsid w:val="004B44BB"/>
    <w:rsid w:val="004B4BF2"/>
    <w:rsid w:val="004B52C8"/>
    <w:rsid w:val="004B5C5E"/>
    <w:rsid w:val="004B6CF7"/>
    <w:rsid w:val="004C07B1"/>
    <w:rsid w:val="004C188C"/>
    <w:rsid w:val="004C3608"/>
    <w:rsid w:val="004C5D84"/>
    <w:rsid w:val="004C664B"/>
    <w:rsid w:val="004C6957"/>
    <w:rsid w:val="004C74A1"/>
    <w:rsid w:val="004C7783"/>
    <w:rsid w:val="004C789D"/>
    <w:rsid w:val="004D1182"/>
    <w:rsid w:val="004D13E4"/>
    <w:rsid w:val="004D1EB1"/>
    <w:rsid w:val="004D26A1"/>
    <w:rsid w:val="004D2752"/>
    <w:rsid w:val="004D282C"/>
    <w:rsid w:val="004D2FDF"/>
    <w:rsid w:val="004D3515"/>
    <w:rsid w:val="004D39BB"/>
    <w:rsid w:val="004D4489"/>
    <w:rsid w:val="004D4E46"/>
    <w:rsid w:val="004D556E"/>
    <w:rsid w:val="004D5AE0"/>
    <w:rsid w:val="004D70FE"/>
    <w:rsid w:val="004E075D"/>
    <w:rsid w:val="004E0B19"/>
    <w:rsid w:val="004E1B53"/>
    <w:rsid w:val="004E3046"/>
    <w:rsid w:val="004E3BF0"/>
    <w:rsid w:val="004E503F"/>
    <w:rsid w:val="004E6289"/>
    <w:rsid w:val="004E6870"/>
    <w:rsid w:val="004E6A98"/>
    <w:rsid w:val="004E7BD9"/>
    <w:rsid w:val="004F0356"/>
    <w:rsid w:val="004F23E4"/>
    <w:rsid w:val="004F2401"/>
    <w:rsid w:val="004F3F8A"/>
    <w:rsid w:val="004F54DE"/>
    <w:rsid w:val="004F65C0"/>
    <w:rsid w:val="004F722C"/>
    <w:rsid w:val="004F7CC4"/>
    <w:rsid w:val="00500128"/>
    <w:rsid w:val="005002A1"/>
    <w:rsid w:val="0050123C"/>
    <w:rsid w:val="00501651"/>
    <w:rsid w:val="005021BE"/>
    <w:rsid w:val="0050245B"/>
    <w:rsid w:val="00502CCA"/>
    <w:rsid w:val="005031E8"/>
    <w:rsid w:val="005032CC"/>
    <w:rsid w:val="00505DC3"/>
    <w:rsid w:val="00505DCB"/>
    <w:rsid w:val="005075C9"/>
    <w:rsid w:val="00507D0A"/>
    <w:rsid w:val="0051172A"/>
    <w:rsid w:val="005124AB"/>
    <w:rsid w:val="00513593"/>
    <w:rsid w:val="00513B7A"/>
    <w:rsid w:val="0051431A"/>
    <w:rsid w:val="005156BC"/>
    <w:rsid w:val="00516C20"/>
    <w:rsid w:val="00520340"/>
    <w:rsid w:val="00520EBD"/>
    <w:rsid w:val="00521295"/>
    <w:rsid w:val="0052184E"/>
    <w:rsid w:val="00521DFC"/>
    <w:rsid w:val="005220CA"/>
    <w:rsid w:val="00522152"/>
    <w:rsid w:val="005227CD"/>
    <w:rsid w:val="00522F88"/>
    <w:rsid w:val="00523E50"/>
    <w:rsid w:val="00523F82"/>
    <w:rsid w:val="005247C3"/>
    <w:rsid w:val="005248B9"/>
    <w:rsid w:val="005249D2"/>
    <w:rsid w:val="00524BA8"/>
    <w:rsid w:val="00524FFE"/>
    <w:rsid w:val="00526549"/>
    <w:rsid w:val="00526D57"/>
    <w:rsid w:val="00526D7D"/>
    <w:rsid w:val="0052755C"/>
    <w:rsid w:val="005275AC"/>
    <w:rsid w:val="005275F7"/>
    <w:rsid w:val="00527B9E"/>
    <w:rsid w:val="00531830"/>
    <w:rsid w:val="00531BBE"/>
    <w:rsid w:val="0053446D"/>
    <w:rsid w:val="00535762"/>
    <w:rsid w:val="00537E04"/>
    <w:rsid w:val="005408F3"/>
    <w:rsid w:val="00540926"/>
    <w:rsid w:val="0054215B"/>
    <w:rsid w:val="005446C4"/>
    <w:rsid w:val="00544810"/>
    <w:rsid w:val="0054535C"/>
    <w:rsid w:val="00545516"/>
    <w:rsid w:val="00545F78"/>
    <w:rsid w:val="005464AC"/>
    <w:rsid w:val="00546797"/>
    <w:rsid w:val="00546EAF"/>
    <w:rsid w:val="00546F9B"/>
    <w:rsid w:val="005472E6"/>
    <w:rsid w:val="00547984"/>
    <w:rsid w:val="00547D93"/>
    <w:rsid w:val="00550E4C"/>
    <w:rsid w:val="00550FDD"/>
    <w:rsid w:val="00551A88"/>
    <w:rsid w:val="00551B21"/>
    <w:rsid w:val="00551D0D"/>
    <w:rsid w:val="00551D11"/>
    <w:rsid w:val="00551E7B"/>
    <w:rsid w:val="0055284C"/>
    <w:rsid w:val="00554580"/>
    <w:rsid w:val="005557D6"/>
    <w:rsid w:val="00556DB5"/>
    <w:rsid w:val="00560223"/>
    <w:rsid w:val="005621EC"/>
    <w:rsid w:val="00562EB5"/>
    <w:rsid w:val="00563F2D"/>
    <w:rsid w:val="005659C7"/>
    <w:rsid w:val="00570CA3"/>
    <w:rsid w:val="00570E06"/>
    <w:rsid w:val="005710BF"/>
    <w:rsid w:val="005715A1"/>
    <w:rsid w:val="0057425B"/>
    <w:rsid w:val="005758B9"/>
    <w:rsid w:val="005758F7"/>
    <w:rsid w:val="005769E3"/>
    <w:rsid w:val="00577F40"/>
    <w:rsid w:val="005800B3"/>
    <w:rsid w:val="0058134C"/>
    <w:rsid w:val="005823D0"/>
    <w:rsid w:val="0058326A"/>
    <w:rsid w:val="00583821"/>
    <w:rsid w:val="00584028"/>
    <w:rsid w:val="00584874"/>
    <w:rsid w:val="00584A3B"/>
    <w:rsid w:val="00584AD7"/>
    <w:rsid w:val="00584D3E"/>
    <w:rsid w:val="005863D7"/>
    <w:rsid w:val="005868EC"/>
    <w:rsid w:val="00586AE1"/>
    <w:rsid w:val="005875ED"/>
    <w:rsid w:val="00591834"/>
    <w:rsid w:val="00591EF6"/>
    <w:rsid w:val="00595AD0"/>
    <w:rsid w:val="00595F63"/>
    <w:rsid w:val="0059647F"/>
    <w:rsid w:val="005965C1"/>
    <w:rsid w:val="005968E2"/>
    <w:rsid w:val="00596C50"/>
    <w:rsid w:val="00596E5E"/>
    <w:rsid w:val="00597B0B"/>
    <w:rsid w:val="005A0DC4"/>
    <w:rsid w:val="005A267F"/>
    <w:rsid w:val="005A3352"/>
    <w:rsid w:val="005A4E4C"/>
    <w:rsid w:val="005A5C19"/>
    <w:rsid w:val="005A5CC2"/>
    <w:rsid w:val="005A728A"/>
    <w:rsid w:val="005A7F62"/>
    <w:rsid w:val="005B0623"/>
    <w:rsid w:val="005B0AD9"/>
    <w:rsid w:val="005B13F7"/>
    <w:rsid w:val="005B1FDB"/>
    <w:rsid w:val="005B2C7F"/>
    <w:rsid w:val="005B37DF"/>
    <w:rsid w:val="005B3FCE"/>
    <w:rsid w:val="005B4802"/>
    <w:rsid w:val="005B5814"/>
    <w:rsid w:val="005B5ADF"/>
    <w:rsid w:val="005B7B57"/>
    <w:rsid w:val="005B7DB9"/>
    <w:rsid w:val="005C1198"/>
    <w:rsid w:val="005C212C"/>
    <w:rsid w:val="005C33C0"/>
    <w:rsid w:val="005C342E"/>
    <w:rsid w:val="005C3C6C"/>
    <w:rsid w:val="005C3D8D"/>
    <w:rsid w:val="005C4B4D"/>
    <w:rsid w:val="005C5CF9"/>
    <w:rsid w:val="005C6A9B"/>
    <w:rsid w:val="005D015A"/>
    <w:rsid w:val="005D1860"/>
    <w:rsid w:val="005D1B33"/>
    <w:rsid w:val="005D26A3"/>
    <w:rsid w:val="005D2CDE"/>
    <w:rsid w:val="005D2DED"/>
    <w:rsid w:val="005D39A8"/>
    <w:rsid w:val="005D39E7"/>
    <w:rsid w:val="005D4B3D"/>
    <w:rsid w:val="005D518C"/>
    <w:rsid w:val="005D54EE"/>
    <w:rsid w:val="005D6E20"/>
    <w:rsid w:val="005D7DFC"/>
    <w:rsid w:val="005E1F2E"/>
    <w:rsid w:val="005E3D8B"/>
    <w:rsid w:val="005E4D7A"/>
    <w:rsid w:val="005E5869"/>
    <w:rsid w:val="005E59A4"/>
    <w:rsid w:val="005E5E0C"/>
    <w:rsid w:val="005F2628"/>
    <w:rsid w:val="005F3183"/>
    <w:rsid w:val="005F33F9"/>
    <w:rsid w:val="005F3468"/>
    <w:rsid w:val="005F4A39"/>
    <w:rsid w:val="005F5B49"/>
    <w:rsid w:val="005F6B69"/>
    <w:rsid w:val="005F72DF"/>
    <w:rsid w:val="006030B2"/>
    <w:rsid w:val="00603AA4"/>
    <w:rsid w:val="00603E16"/>
    <w:rsid w:val="0060458D"/>
    <w:rsid w:val="00604A6B"/>
    <w:rsid w:val="00606011"/>
    <w:rsid w:val="006063E2"/>
    <w:rsid w:val="00606AF5"/>
    <w:rsid w:val="00607C7C"/>
    <w:rsid w:val="006106D0"/>
    <w:rsid w:val="006106D5"/>
    <w:rsid w:val="00610B46"/>
    <w:rsid w:val="00610BB9"/>
    <w:rsid w:val="00611E5E"/>
    <w:rsid w:val="00612462"/>
    <w:rsid w:val="00613029"/>
    <w:rsid w:val="006139D0"/>
    <w:rsid w:val="006139EA"/>
    <w:rsid w:val="00613C72"/>
    <w:rsid w:val="0061463F"/>
    <w:rsid w:val="00615AC8"/>
    <w:rsid w:val="00615EA0"/>
    <w:rsid w:val="00615FDF"/>
    <w:rsid w:val="00616723"/>
    <w:rsid w:val="006174B0"/>
    <w:rsid w:val="00617863"/>
    <w:rsid w:val="00617937"/>
    <w:rsid w:val="00620334"/>
    <w:rsid w:val="006208FD"/>
    <w:rsid w:val="00622F73"/>
    <w:rsid w:val="00623B30"/>
    <w:rsid w:val="00624466"/>
    <w:rsid w:val="0062523C"/>
    <w:rsid w:val="00625B10"/>
    <w:rsid w:val="00626E9F"/>
    <w:rsid w:val="006270D1"/>
    <w:rsid w:val="0062775E"/>
    <w:rsid w:val="00627A3A"/>
    <w:rsid w:val="00630466"/>
    <w:rsid w:val="00630834"/>
    <w:rsid w:val="00631640"/>
    <w:rsid w:val="00632541"/>
    <w:rsid w:val="00632E57"/>
    <w:rsid w:val="00633297"/>
    <w:rsid w:val="00633A5C"/>
    <w:rsid w:val="00633E71"/>
    <w:rsid w:val="006345B7"/>
    <w:rsid w:val="00634BCA"/>
    <w:rsid w:val="00636C06"/>
    <w:rsid w:val="0063789F"/>
    <w:rsid w:val="00640D5D"/>
    <w:rsid w:val="006412D7"/>
    <w:rsid w:val="00641A08"/>
    <w:rsid w:val="006420F3"/>
    <w:rsid w:val="00642C03"/>
    <w:rsid w:val="00643547"/>
    <w:rsid w:val="006436A9"/>
    <w:rsid w:val="00643C9E"/>
    <w:rsid w:val="00645AA1"/>
    <w:rsid w:val="00646DC0"/>
    <w:rsid w:val="00647950"/>
    <w:rsid w:val="00647CAA"/>
    <w:rsid w:val="00651341"/>
    <w:rsid w:val="0065215F"/>
    <w:rsid w:val="006536FA"/>
    <w:rsid w:val="006539F3"/>
    <w:rsid w:val="00655B21"/>
    <w:rsid w:val="006578F6"/>
    <w:rsid w:val="00657932"/>
    <w:rsid w:val="00657E0B"/>
    <w:rsid w:val="00660AC5"/>
    <w:rsid w:val="00661711"/>
    <w:rsid w:val="00661E5A"/>
    <w:rsid w:val="00662332"/>
    <w:rsid w:val="00662516"/>
    <w:rsid w:val="006625C1"/>
    <w:rsid w:val="006647C0"/>
    <w:rsid w:val="00664A7F"/>
    <w:rsid w:val="00664E9F"/>
    <w:rsid w:val="00666320"/>
    <w:rsid w:val="00666CFA"/>
    <w:rsid w:val="00670919"/>
    <w:rsid w:val="00671482"/>
    <w:rsid w:val="006715F9"/>
    <w:rsid w:val="006717A0"/>
    <w:rsid w:val="00671BD5"/>
    <w:rsid w:val="00672C50"/>
    <w:rsid w:val="00672C7C"/>
    <w:rsid w:val="00673562"/>
    <w:rsid w:val="00673CA4"/>
    <w:rsid w:val="00673D73"/>
    <w:rsid w:val="00674799"/>
    <w:rsid w:val="006758EC"/>
    <w:rsid w:val="00675960"/>
    <w:rsid w:val="00675AF6"/>
    <w:rsid w:val="0067777E"/>
    <w:rsid w:val="00677B4B"/>
    <w:rsid w:val="00677F88"/>
    <w:rsid w:val="00680120"/>
    <w:rsid w:val="006806FC"/>
    <w:rsid w:val="006812C5"/>
    <w:rsid w:val="00681C01"/>
    <w:rsid w:val="006820A1"/>
    <w:rsid w:val="00682BEA"/>
    <w:rsid w:val="00682E2F"/>
    <w:rsid w:val="00684ECB"/>
    <w:rsid w:val="006851DB"/>
    <w:rsid w:val="00685560"/>
    <w:rsid w:val="006857CE"/>
    <w:rsid w:val="006865EA"/>
    <w:rsid w:val="006869A4"/>
    <w:rsid w:val="006906E2"/>
    <w:rsid w:val="00690FAC"/>
    <w:rsid w:val="00692BA5"/>
    <w:rsid w:val="00692BF2"/>
    <w:rsid w:val="00693829"/>
    <w:rsid w:val="00693DF7"/>
    <w:rsid w:val="00693E50"/>
    <w:rsid w:val="006941C1"/>
    <w:rsid w:val="00694B82"/>
    <w:rsid w:val="00694EF9"/>
    <w:rsid w:val="0069558C"/>
    <w:rsid w:val="00696CD9"/>
    <w:rsid w:val="006A049F"/>
    <w:rsid w:val="006A08B2"/>
    <w:rsid w:val="006A09C4"/>
    <w:rsid w:val="006A126F"/>
    <w:rsid w:val="006A2548"/>
    <w:rsid w:val="006A2552"/>
    <w:rsid w:val="006A264E"/>
    <w:rsid w:val="006A294A"/>
    <w:rsid w:val="006A3823"/>
    <w:rsid w:val="006A4E63"/>
    <w:rsid w:val="006A500C"/>
    <w:rsid w:val="006A5392"/>
    <w:rsid w:val="006A5748"/>
    <w:rsid w:val="006A6DFD"/>
    <w:rsid w:val="006A7054"/>
    <w:rsid w:val="006A7186"/>
    <w:rsid w:val="006A746E"/>
    <w:rsid w:val="006B0520"/>
    <w:rsid w:val="006B19D9"/>
    <w:rsid w:val="006B1E81"/>
    <w:rsid w:val="006B2560"/>
    <w:rsid w:val="006B5059"/>
    <w:rsid w:val="006B52C7"/>
    <w:rsid w:val="006B52E0"/>
    <w:rsid w:val="006B5426"/>
    <w:rsid w:val="006B5B7B"/>
    <w:rsid w:val="006B65E0"/>
    <w:rsid w:val="006B73E5"/>
    <w:rsid w:val="006B74EB"/>
    <w:rsid w:val="006B7D3D"/>
    <w:rsid w:val="006B7ED8"/>
    <w:rsid w:val="006C03DA"/>
    <w:rsid w:val="006C11DE"/>
    <w:rsid w:val="006C1B0D"/>
    <w:rsid w:val="006C2347"/>
    <w:rsid w:val="006C3595"/>
    <w:rsid w:val="006C4982"/>
    <w:rsid w:val="006C4B5C"/>
    <w:rsid w:val="006C580B"/>
    <w:rsid w:val="006C6523"/>
    <w:rsid w:val="006C66FD"/>
    <w:rsid w:val="006C7F70"/>
    <w:rsid w:val="006D0CC2"/>
    <w:rsid w:val="006D1F1E"/>
    <w:rsid w:val="006D1FEB"/>
    <w:rsid w:val="006D2A9E"/>
    <w:rsid w:val="006D30F0"/>
    <w:rsid w:val="006D332D"/>
    <w:rsid w:val="006D34FC"/>
    <w:rsid w:val="006D3868"/>
    <w:rsid w:val="006D48DD"/>
    <w:rsid w:val="006D5323"/>
    <w:rsid w:val="006D57CC"/>
    <w:rsid w:val="006D686B"/>
    <w:rsid w:val="006E16A4"/>
    <w:rsid w:val="006E2A7C"/>
    <w:rsid w:val="006E2DAC"/>
    <w:rsid w:val="006E3645"/>
    <w:rsid w:val="006E4AD9"/>
    <w:rsid w:val="006E525D"/>
    <w:rsid w:val="006E5C99"/>
    <w:rsid w:val="006E6A61"/>
    <w:rsid w:val="006E73D2"/>
    <w:rsid w:val="006E74A4"/>
    <w:rsid w:val="006E79F6"/>
    <w:rsid w:val="006F144B"/>
    <w:rsid w:val="006F2216"/>
    <w:rsid w:val="006F3826"/>
    <w:rsid w:val="006F3A9D"/>
    <w:rsid w:val="006F4A48"/>
    <w:rsid w:val="006F5BA9"/>
    <w:rsid w:val="006F64B0"/>
    <w:rsid w:val="006F6EA3"/>
    <w:rsid w:val="006F7238"/>
    <w:rsid w:val="007005D4"/>
    <w:rsid w:val="007009B3"/>
    <w:rsid w:val="00700EDC"/>
    <w:rsid w:val="0070101C"/>
    <w:rsid w:val="00701ACB"/>
    <w:rsid w:val="00703CDC"/>
    <w:rsid w:val="00704A59"/>
    <w:rsid w:val="00705F7C"/>
    <w:rsid w:val="007073C6"/>
    <w:rsid w:val="007102C3"/>
    <w:rsid w:val="007113AC"/>
    <w:rsid w:val="00711986"/>
    <w:rsid w:val="0071216C"/>
    <w:rsid w:val="007125AB"/>
    <w:rsid w:val="00712F83"/>
    <w:rsid w:val="00712FE3"/>
    <w:rsid w:val="0071431D"/>
    <w:rsid w:val="0071468E"/>
    <w:rsid w:val="00714B02"/>
    <w:rsid w:val="00715176"/>
    <w:rsid w:val="007159E0"/>
    <w:rsid w:val="00716D7E"/>
    <w:rsid w:val="0071715D"/>
    <w:rsid w:val="00717213"/>
    <w:rsid w:val="00717F0B"/>
    <w:rsid w:val="00720511"/>
    <w:rsid w:val="00721649"/>
    <w:rsid w:val="00721DC6"/>
    <w:rsid w:val="00721DD9"/>
    <w:rsid w:val="007221BB"/>
    <w:rsid w:val="007226F8"/>
    <w:rsid w:val="007228A7"/>
    <w:rsid w:val="00722A57"/>
    <w:rsid w:val="00722E6C"/>
    <w:rsid w:val="00723ACF"/>
    <w:rsid w:val="00723EF4"/>
    <w:rsid w:val="007242AE"/>
    <w:rsid w:val="00724D0C"/>
    <w:rsid w:val="00725200"/>
    <w:rsid w:val="0072533A"/>
    <w:rsid w:val="007261D7"/>
    <w:rsid w:val="0072750F"/>
    <w:rsid w:val="00727A0C"/>
    <w:rsid w:val="00732311"/>
    <w:rsid w:val="0073275D"/>
    <w:rsid w:val="00733D8D"/>
    <w:rsid w:val="00734B9E"/>
    <w:rsid w:val="00737488"/>
    <w:rsid w:val="007406B1"/>
    <w:rsid w:val="00740BAB"/>
    <w:rsid w:val="007415AE"/>
    <w:rsid w:val="007420DF"/>
    <w:rsid w:val="007435B6"/>
    <w:rsid w:val="00743994"/>
    <w:rsid w:val="00743C35"/>
    <w:rsid w:val="007442D0"/>
    <w:rsid w:val="00744642"/>
    <w:rsid w:val="007448DD"/>
    <w:rsid w:val="00744F52"/>
    <w:rsid w:val="007451AD"/>
    <w:rsid w:val="00745439"/>
    <w:rsid w:val="00745576"/>
    <w:rsid w:val="007465DA"/>
    <w:rsid w:val="00747C82"/>
    <w:rsid w:val="00750236"/>
    <w:rsid w:val="00750E26"/>
    <w:rsid w:val="007512EE"/>
    <w:rsid w:val="0075131C"/>
    <w:rsid w:val="007534FF"/>
    <w:rsid w:val="00753C58"/>
    <w:rsid w:val="00753CD5"/>
    <w:rsid w:val="00753E1D"/>
    <w:rsid w:val="0075428A"/>
    <w:rsid w:val="00755C67"/>
    <w:rsid w:val="00755DB3"/>
    <w:rsid w:val="00756006"/>
    <w:rsid w:val="0075607D"/>
    <w:rsid w:val="007563C6"/>
    <w:rsid w:val="00756E77"/>
    <w:rsid w:val="007570CA"/>
    <w:rsid w:val="007572F5"/>
    <w:rsid w:val="00757835"/>
    <w:rsid w:val="007579BE"/>
    <w:rsid w:val="00757CE7"/>
    <w:rsid w:val="007615DA"/>
    <w:rsid w:val="007615DE"/>
    <w:rsid w:val="00762A90"/>
    <w:rsid w:val="00762B4D"/>
    <w:rsid w:val="00762DA7"/>
    <w:rsid w:val="00765A68"/>
    <w:rsid w:val="00765F6F"/>
    <w:rsid w:val="0076607E"/>
    <w:rsid w:val="00766400"/>
    <w:rsid w:val="00767178"/>
    <w:rsid w:val="007672EB"/>
    <w:rsid w:val="007678EE"/>
    <w:rsid w:val="0077059F"/>
    <w:rsid w:val="0077087A"/>
    <w:rsid w:val="00770A34"/>
    <w:rsid w:val="00770B07"/>
    <w:rsid w:val="00771AD1"/>
    <w:rsid w:val="00772000"/>
    <w:rsid w:val="007722CE"/>
    <w:rsid w:val="00772579"/>
    <w:rsid w:val="00772647"/>
    <w:rsid w:val="00772A5B"/>
    <w:rsid w:val="00774307"/>
    <w:rsid w:val="00775711"/>
    <w:rsid w:val="00775A59"/>
    <w:rsid w:val="00775B2C"/>
    <w:rsid w:val="00775B8F"/>
    <w:rsid w:val="00777F11"/>
    <w:rsid w:val="0078092E"/>
    <w:rsid w:val="007812B2"/>
    <w:rsid w:val="0078132D"/>
    <w:rsid w:val="0078155E"/>
    <w:rsid w:val="007818FA"/>
    <w:rsid w:val="00781A16"/>
    <w:rsid w:val="0078213A"/>
    <w:rsid w:val="00782211"/>
    <w:rsid w:val="00782F36"/>
    <w:rsid w:val="0078406F"/>
    <w:rsid w:val="007840DB"/>
    <w:rsid w:val="00784649"/>
    <w:rsid w:val="00785070"/>
    <w:rsid w:val="007857ED"/>
    <w:rsid w:val="00785B0D"/>
    <w:rsid w:val="00785F5D"/>
    <w:rsid w:val="0078611E"/>
    <w:rsid w:val="007865FF"/>
    <w:rsid w:val="00786CD6"/>
    <w:rsid w:val="0078740A"/>
    <w:rsid w:val="00790006"/>
    <w:rsid w:val="00790509"/>
    <w:rsid w:val="00792589"/>
    <w:rsid w:val="007928C4"/>
    <w:rsid w:val="00793163"/>
    <w:rsid w:val="007934B5"/>
    <w:rsid w:val="007938ED"/>
    <w:rsid w:val="00793B96"/>
    <w:rsid w:val="00795F01"/>
    <w:rsid w:val="00796741"/>
    <w:rsid w:val="00796C68"/>
    <w:rsid w:val="00797153"/>
    <w:rsid w:val="00797FF9"/>
    <w:rsid w:val="007A005D"/>
    <w:rsid w:val="007A0184"/>
    <w:rsid w:val="007A01A4"/>
    <w:rsid w:val="007A05E2"/>
    <w:rsid w:val="007A1AF9"/>
    <w:rsid w:val="007A1BFC"/>
    <w:rsid w:val="007A2569"/>
    <w:rsid w:val="007A3CFA"/>
    <w:rsid w:val="007A4562"/>
    <w:rsid w:val="007A4908"/>
    <w:rsid w:val="007A4992"/>
    <w:rsid w:val="007A4B11"/>
    <w:rsid w:val="007A4B53"/>
    <w:rsid w:val="007A5199"/>
    <w:rsid w:val="007A58CD"/>
    <w:rsid w:val="007A6EDF"/>
    <w:rsid w:val="007B1002"/>
    <w:rsid w:val="007B1439"/>
    <w:rsid w:val="007B15F4"/>
    <w:rsid w:val="007B1646"/>
    <w:rsid w:val="007B1769"/>
    <w:rsid w:val="007B1B47"/>
    <w:rsid w:val="007B1BEA"/>
    <w:rsid w:val="007B26C7"/>
    <w:rsid w:val="007B26D1"/>
    <w:rsid w:val="007B37FC"/>
    <w:rsid w:val="007B39CB"/>
    <w:rsid w:val="007B48EC"/>
    <w:rsid w:val="007B4DC0"/>
    <w:rsid w:val="007B5340"/>
    <w:rsid w:val="007B5AC0"/>
    <w:rsid w:val="007B5DDE"/>
    <w:rsid w:val="007B6320"/>
    <w:rsid w:val="007B649B"/>
    <w:rsid w:val="007B689D"/>
    <w:rsid w:val="007B73A0"/>
    <w:rsid w:val="007B7BA3"/>
    <w:rsid w:val="007C0B88"/>
    <w:rsid w:val="007C33A7"/>
    <w:rsid w:val="007C378F"/>
    <w:rsid w:val="007C519D"/>
    <w:rsid w:val="007C5231"/>
    <w:rsid w:val="007C5510"/>
    <w:rsid w:val="007C5DE5"/>
    <w:rsid w:val="007C6D04"/>
    <w:rsid w:val="007D23B8"/>
    <w:rsid w:val="007D2AE3"/>
    <w:rsid w:val="007D2EF0"/>
    <w:rsid w:val="007D31AF"/>
    <w:rsid w:val="007D4750"/>
    <w:rsid w:val="007D4AB9"/>
    <w:rsid w:val="007D4B2C"/>
    <w:rsid w:val="007D4E87"/>
    <w:rsid w:val="007D52EF"/>
    <w:rsid w:val="007D5A34"/>
    <w:rsid w:val="007D5FA4"/>
    <w:rsid w:val="007D6142"/>
    <w:rsid w:val="007D7A87"/>
    <w:rsid w:val="007D7BA7"/>
    <w:rsid w:val="007E0EF7"/>
    <w:rsid w:val="007E1BDE"/>
    <w:rsid w:val="007E1DE4"/>
    <w:rsid w:val="007E265E"/>
    <w:rsid w:val="007E3A3A"/>
    <w:rsid w:val="007E4A26"/>
    <w:rsid w:val="007E4FE9"/>
    <w:rsid w:val="007E7E29"/>
    <w:rsid w:val="007E7FEF"/>
    <w:rsid w:val="007F05A9"/>
    <w:rsid w:val="007F174A"/>
    <w:rsid w:val="007F194B"/>
    <w:rsid w:val="007F2BE4"/>
    <w:rsid w:val="007F35A6"/>
    <w:rsid w:val="007F79A7"/>
    <w:rsid w:val="007F7B6F"/>
    <w:rsid w:val="008002B9"/>
    <w:rsid w:val="00800942"/>
    <w:rsid w:val="00800BBD"/>
    <w:rsid w:val="008018CA"/>
    <w:rsid w:val="008049BB"/>
    <w:rsid w:val="00805BFD"/>
    <w:rsid w:val="00806E68"/>
    <w:rsid w:val="00807802"/>
    <w:rsid w:val="00807DE9"/>
    <w:rsid w:val="0081042D"/>
    <w:rsid w:val="0081049D"/>
    <w:rsid w:val="008104EB"/>
    <w:rsid w:val="00810B6B"/>
    <w:rsid w:val="008118D4"/>
    <w:rsid w:val="00811B63"/>
    <w:rsid w:val="00811D2A"/>
    <w:rsid w:val="0081213A"/>
    <w:rsid w:val="00812961"/>
    <w:rsid w:val="00812D09"/>
    <w:rsid w:val="008139DE"/>
    <w:rsid w:val="00813C3B"/>
    <w:rsid w:val="00813E60"/>
    <w:rsid w:val="0081417C"/>
    <w:rsid w:val="008142DD"/>
    <w:rsid w:val="0081512F"/>
    <w:rsid w:val="00816C88"/>
    <w:rsid w:val="00816E7F"/>
    <w:rsid w:val="00822088"/>
    <w:rsid w:val="008222F3"/>
    <w:rsid w:val="00824B9F"/>
    <w:rsid w:val="00825CDB"/>
    <w:rsid w:val="008261A3"/>
    <w:rsid w:val="008261C4"/>
    <w:rsid w:val="00826B3C"/>
    <w:rsid w:val="00826E66"/>
    <w:rsid w:val="00826FD2"/>
    <w:rsid w:val="008272AD"/>
    <w:rsid w:val="00827B59"/>
    <w:rsid w:val="00827C3D"/>
    <w:rsid w:val="00830241"/>
    <w:rsid w:val="00830464"/>
    <w:rsid w:val="00832772"/>
    <w:rsid w:val="00832D9F"/>
    <w:rsid w:val="0083382D"/>
    <w:rsid w:val="00833C4C"/>
    <w:rsid w:val="00833F73"/>
    <w:rsid w:val="00834225"/>
    <w:rsid w:val="00834654"/>
    <w:rsid w:val="008350FC"/>
    <w:rsid w:val="008401CB"/>
    <w:rsid w:val="00841A58"/>
    <w:rsid w:val="00841D90"/>
    <w:rsid w:val="00841E75"/>
    <w:rsid w:val="008424CB"/>
    <w:rsid w:val="0084286A"/>
    <w:rsid w:val="00842AC3"/>
    <w:rsid w:val="00842F51"/>
    <w:rsid w:val="00844455"/>
    <w:rsid w:val="00844507"/>
    <w:rsid w:val="00844545"/>
    <w:rsid w:val="00844E13"/>
    <w:rsid w:val="0084515F"/>
    <w:rsid w:val="008452EF"/>
    <w:rsid w:val="0084543B"/>
    <w:rsid w:val="0084553D"/>
    <w:rsid w:val="00845AB4"/>
    <w:rsid w:val="00845E07"/>
    <w:rsid w:val="0084665C"/>
    <w:rsid w:val="00846C93"/>
    <w:rsid w:val="00846E22"/>
    <w:rsid w:val="00846F14"/>
    <w:rsid w:val="008506DE"/>
    <w:rsid w:val="00851C83"/>
    <w:rsid w:val="008522DC"/>
    <w:rsid w:val="00853AEB"/>
    <w:rsid w:val="008543A8"/>
    <w:rsid w:val="00855031"/>
    <w:rsid w:val="00855756"/>
    <w:rsid w:val="008561FE"/>
    <w:rsid w:val="00857ECD"/>
    <w:rsid w:val="00860288"/>
    <w:rsid w:val="008607E1"/>
    <w:rsid w:val="00861275"/>
    <w:rsid w:val="00862DF6"/>
    <w:rsid w:val="008631BA"/>
    <w:rsid w:val="00863315"/>
    <w:rsid w:val="008637B9"/>
    <w:rsid w:val="008645B9"/>
    <w:rsid w:val="0086474D"/>
    <w:rsid w:val="00865260"/>
    <w:rsid w:val="008655A8"/>
    <w:rsid w:val="00865FF8"/>
    <w:rsid w:val="00866022"/>
    <w:rsid w:val="008669D0"/>
    <w:rsid w:val="008673E5"/>
    <w:rsid w:val="00867C9D"/>
    <w:rsid w:val="00867EC9"/>
    <w:rsid w:val="008708A7"/>
    <w:rsid w:val="0087238F"/>
    <w:rsid w:val="008729DB"/>
    <w:rsid w:val="00872C2A"/>
    <w:rsid w:val="0087318A"/>
    <w:rsid w:val="008733FF"/>
    <w:rsid w:val="00876F67"/>
    <w:rsid w:val="0088032B"/>
    <w:rsid w:val="00880CFC"/>
    <w:rsid w:val="008813B1"/>
    <w:rsid w:val="0088141E"/>
    <w:rsid w:val="008814DB"/>
    <w:rsid w:val="00881FFE"/>
    <w:rsid w:val="00882909"/>
    <w:rsid w:val="00882DAE"/>
    <w:rsid w:val="00882DC5"/>
    <w:rsid w:val="0088309D"/>
    <w:rsid w:val="00883106"/>
    <w:rsid w:val="00883FA4"/>
    <w:rsid w:val="00884539"/>
    <w:rsid w:val="0088456B"/>
    <w:rsid w:val="00884FB0"/>
    <w:rsid w:val="0088530A"/>
    <w:rsid w:val="00887EEF"/>
    <w:rsid w:val="008910FF"/>
    <w:rsid w:val="008924AB"/>
    <w:rsid w:val="00892998"/>
    <w:rsid w:val="008929AA"/>
    <w:rsid w:val="00892ABA"/>
    <w:rsid w:val="008939CB"/>
    <w:rsid w:val="00893F06"/>
    <w:rsid w:val="0089546F"/>
    <w:rsid w:val="00897C2A"/>
    <w:rsid w:val="00897C3C"/>
    <w:rsid w:val="00897CF6"/>
    <w:rsid w:val="008A0DB1"/>
    <w:rsid w:val="008A1684"/>
    <w:rsid w:val="008A1D9C"/>
    <w:rsid w:val="008A2171"/>
    <w:rsid w:val="008A4292"/>
    <w:rsid w:val="008A4303"/>
    <w:rsid w:val="008A4612"/>
    <w:rsid w:val="008A4E0B"/>
    <w:rsid w:val="008A5C80"/>
    <w:rsid w:val="008A5F99"/>
    <w:rsid w:val="008B09CB"/>
    <w:rsid w:val="008B1010"/>
    <w:rsid w:val="008B1BB9"/>
    <w:rsid w:val="008B318B"/>
    <w:rsid w:val="008B41FB"/>
    <w:rsid w:val="008B54BC"/>
    <w:rsid w:val="008B5B3B"/>
    <w:rsid w:val="008B5ED7"/>
    <w:rsid w:val="008B605E"/>
    <w:rsid w:val="008B67F1"/>
    <w:rsid w:val="008B6EA4"/>
    <w:rsid w:val="008B73CD"/>
    <w:rsid w:val="008B746A"/>
    <w:rsid w:val="008B7653"/>
    <w:rsid w:val="008B7A13"/>
    <w:rsid w:val="008C064B"/>
    <w:rsid w:val="008C18C6"/>
    <w:rsid w:val="008C1AB7"/>
    <w:rsid w:val="008C4893"/>
    <w:rsid w:val="008C49D9"/>
    <w:rsid w:val="008C4BC9"/>
    <w:rsid w:val="008C6C56"/>
    <w:rsid w:val="008C7CF9"/>
    <w:rsid w:val="008D05E1"/>
    <w:rsid w:val="008D07FD"/>
    <w:rsid w:val="008D0AED"/>
    <w:rsid w:val="008D1012"/>
    <w:rsid w:val="008D11E4"/>
    <w:rsid w:val="008D1DE5"/>
    <w:rsid w:val="008D2D61"/>
    <w:rsid w:val="008D325A"/>
    <w:rsid w:val="008D4353"/>
    <w:rsid w:val="008D4CAA"/>
    <w:rsid w:val="008D5601"/>
    <w:rsid w:val="008D5BA2"/>
    <w:rsid w:val="008D6FE1"/>
    <w:rsid w:val="008D70C2"/>
    <w:rsid w:val="008D72AF"/>
    <w:rsid w:val="008D7BF8"/>
    <w:rsid w:val="008E04C9"/>
    <w:rsid w:val="008E37D6"/>
    <w:rsid w:val="008E4D87"/>
    <w:rsid w:val="008E5D4D"/>
    <w:rsid w:val="008E66AB"/>
    <w:rsid w:val="008E777B"/>
    <w:rsid w:val="008E7D6A"/>
    <w:rsid w:val="008E7E04"/>
    <w:rsid w:val="008F01EF"/>
    <w:rsid w:val="008F0653"/>
    <w:rsid w:val="008F11F6"/>
    <w:rsid w:val="008F16BB"/>
    <w:rsid w:val="008F1B31"/>
    <w:rsid w:val="008F23BE"/>
    <w:rsid w:val="008F2734"/>
    <w:rsid w:val="008F2EE4"/>
    <w:rsid w:val="008F33F3"/>
    <w:rsid w:val="008F3CC7"/>
    <w:rsid w:val="008F44A6"/>
    <w:rsid w:val="008F5AF3"/>
    <w:rsid w:val="008F6621"/>
    <w:rsid w:val="008F6F32"/>
    <w:rsid w:val="008F6F7B"/>
    <w:rsid w:val="00900849"/>
    <w:rsid w:val="00900F9C"/>
    <w:rsid w:val="009012A4"/>
    <w:rsid w:val="00901568"/>
    <w:rsid w:val="00902C9F"/>
    <w:rsid w:val="00903567"/>
    <w:rsid w:val="00904406"/>
    <w:rsid w:val="00904812"/>
    <w:rsid w:val="009050AE"/>
    <w:rsid w:val="0090561E"/>
    <w:rsid w:val="00906F0C"/>
    <w:rsid w:val="009070A9"/>
    <w:rsid w:val="00907323"/>
    <w:rsid w:val="00907E65"/>
    <w:rsid w:val="00910576"/>
    <w:rsid w:val="00910AB6"/>
    <w:rsid w:val="00910BD4"/>
    <w:rsid w:val="00910C83"/>
    <w:rsid w:val="00911523"/>
    <w:rsid w:val="00911C54"/>
    <w:rsid w:val="009129CB"/>
    <w:rsid w:val="00913960"/>
    <w:rsid w:val="00913D00"/>
    <w:rsid w:val="00914147"/>
    <w:rsid w:val="00914556"/>
    <w:rsid w:val="0092053C"/>
    <w:rsid w:val="0092184E"/>
    <w:rsid w:val="00921F29"/>
    <w:rsid w:val="009223D6"/>
    <w:rsid w:val="00923D23"/>
    <w:rsid w:val="009244AF"/>
    <w:rsid w:val="0092455C"/>
    <w:rsid w:val="00924C92"/>
    <w:rsid w:val="00924E59"/>
    <w:rsid w:val="009256DC"/>
    <w:rsid w:val="00925BB9"/>
    <w:rsid w:val="00926E47"/>
    <w:rsid w:val="00927072"/>
    <w:rsid w:val="009270A1"/>
    <w:rsid w:val="00927413"/>
    <w:rsid w:val="009275DD"/>
    <w:rsid w:val="00927601"/>
    <w:rsid w:val="00927968"/>
    <w:rsid w:val="00930FCD"/>
    <w:rsid w:val="00930FD8"/>
    <w:rsid w:val="00931DF9"/>
    <w:rsid w:val="0093299A"/>
    <w:rsid w:val="00932C60"/>
    <w:rsid w:val="009330D7"/>
    <w:rsid w:val="00933CA0"/>
    <w:rsid w:val="00933F01"/>
    <w:rsid w:val="00933F2D"/>
    <w:rsid w:val="009362AF"/>
    <w:rsid w:val="0093663C"/>
    <w:rsid w:val="009366E3"/>
    <w:rsid w:val="00937BA4"/>
    <w:rsid w:val="0094073E"/>
    <w:rsid w:val="0094196D"/>
    <w:rsid w:val="00942973"/>
    <w:rsid w:val="00942978"/>
    <w:rsid w:val="00943398"/>
    <w:rsid w:val="00943598"/>
    <w:rsid w:val="00944081"/>
    <w:rsid w:val="0094417F"/>
    <w:rsid w:val="00944E85"/>
    <w:rsid w:val="0094529F"/>
    <w:rsid w:val="0094639C"/>
    <w:rsid w:val="00947BFD"/>
    <w:rsid w:val="00947EA5"/>
    <w:rsid w:val="0095001A"/>
    <w:rsid w:val="0095080A"/>
    <w:rsid w:val="0095119D"/>
    <w:rsid w:val="00951F02"/>
    <w:rsid w:val="00952A64"/>
    <w:rsid w:val="00952DF5"/>
    <w:rsid w:val="00953A52"/>
    <w:rsid w:val="009542A0"/>
    <w:rsid w:val="009609ED"/>
    <w:rsid w:val="00960EFE"/>
    <w:rsid w:val="00961A6E"/>
    <w:rsid w:val="00961B00"/>
    <w:rsid w:val="00961E4F"/>
    <w:rsid w:val="00962320"/>
    <w:rsid w:val="00962361"/>
    <w:rsid w:val="00962E4C"/>
    <w:rsid w:val="00962EE4"/>
    <w:rsid w:val="00963716"/>
    <w:rsid w:val="00964E1A"/>
    <w:rsid w:val="009650E1"/>
    <w:rsid w:val="00965A8A"/>
    <w:rsid w:val="00966C3E"/>
    <w:rsid w:val="00970D11"/>
    <w:rsid w:val="00970D48"/>
    <w:rsid w:val="00972167"/>
    <w:rsid w:val="00972A41"/>
    <w:rsid w:val="00972B24"/>
    <w:rsid w:val="00972D56"/>
    <w:rsid w:val="0097322C"/>
    <w:rsid w:val="00973B35"/>
    <w:rsid w:val="00974300"/>
    <w:rsid w:val="009759FD"/>
    <w:rsid w:val="009763A8"/>
    <w:rsid w:val="00977A0D"/>
    <w:rsid w:val="00980060"/>
    <w:rsid w:val="009803D2"/>
    <w:rsid w:val="009813CC"/>
    <w:rsid w:val="00981F12"/>
    <w:rsid w:val="00982984"/>
    <w:rsid w:val="00982A36"/>
    <w:rsid w:val="00984D13"/>
    <w:rsid w:val="00984F11"/>
    <w:rsid w:val="00985342"/>
    <w:rsid w:val="009876A3"/>
    <w:rsid w:val="009879A8"/>
    <w:rsid w:val="009905C7"/>
    <w:rsid w:val="00990722"/>
    <w:rsid w:val="00991CCF"/>
    <w:rsid w:val="00991E0B"/>
    <w:rsid w:val="00991E20"/>
    <w:rsid w:val="00993686"/>
    <w:rsid w:val="00993981"/>
    <w:rsid w:val="00993B1D"/>
    <w:rsid w:val="00993C7F"/>
    <w:rsid w:val="00995DAC"/>
    <w:rsid w:val="009971B2"/>
    <w:rsid w:val="009A0185"/>
    <w:rsid w:val="009A04A9"/>
    <w:rsid w:val="009A0501"/>
    <w:rsid w:val="009A0B2F"/>
    <w:rsid w:val="009A1206"/>
    <w:rsid w:val="009A13A2"/>
    <w:rsid w:val="009A207D"/>
    <w:rsid w:val="009A3484"/>
    <w:rsid w:val="009A3B95"/>
    <w:rsid w:val="009A3E79"/>
    <w:rsid w:val="009A48E7"/>
    <w:rsid w:val="009A4E39"/>
    <w:rsid w:val="009A5506"/>
    <w:rsid w:val="009A5972"/>
    <w:rsid w:val="009A6C63"/>
    <w:rsid w:val="009A7128"/>
    <w:rsid w:val="009B0AE0"/>
    <w:rsid w:val="009B0CEC"/>
    <w:rsid w:val="009B0DE7"/>
    <w:rsid w:val="009B123A"/>
    <w:rsid w:val="009B1425"/>
    <w:rsid w:val="009B233A"/>
    <w:rsid w:val="009B3FD9"/>
    <w:rsid w:val="009B4027"/>
    <w:rsid w:val="009B59AA"/>
    <w:rsid w:val="009B5ACD"/>
    <w:rsid w:val="009B5AF4"/>
    <w:rsid w:val="009B604D"/>
    <w:rsid w:val="009B64FC"/>
    <w:rsid w:val="009B71CD"/>
    <w:rsid w:val="009C0318"/>
    <w:rsid w:val="009C0FFE"/>
    <w:rsid w:val="009C1EC9"/>
    <w:rsid w:val="009C3D83"/>
    <w:rsid w:val="009C4066"/>
    <w:rsid w:val="009C4C32"/>
    <w:rsid w:val="009C4D6D"/>
    <w:rsid w:val="009C5E62"/>
    <w:rsid w:val="009C60CC"/>
    <w:rsid w:val="009C63E8"/>
    <w:rsid w:val="009C78E2"/>
    <w:rsid w:val="009D153C"/>
    <w:rsid w:val="009D16DD"/>
    <w:rsid w:val="009D2166"/>
    <w:rsid w:val="009D2539"/>
    <w:rsid w:val="009D25C5"/>
    <w:rsid w:val="009D27C6"/>
    <w:rsid w:val="009D2F51"/>
    <w:rsid w:val="009D44D8"/>
    <w:rsid w:val="009D5FD2"/>
    <w:rsid w:val="009D6882"/>
    <w:rsid w:val="009D7D69"/>
    <w:rsid w:val="009E0D0E"/>
    <w:rsid w:val="009E1708"/>
    <w:rsid w:val="009E3666"/>
    <w:rsid w:val="009E3D03"/>
    <w:rsid w:val="009E44EF"/>
    <w:rsid w:val="009E4EB6"/>
    <w:rsid w:val="009E5598"/>
    <w:rsid w:val="009E6C1D"/>
    <w:rsid w:val="009F058B"/>
    <w:rsid w:val="009F0D30"/>
    <w:rsid w:val="009F2A3C"/>
    <w:rsid w:val="009F30AE"/>
    <w:rsid w:val="009F335F"/>
    <w:rsid w:val="009F354A"/>
    <w:rsid w:val="009F3569"/>
    <w:rsid w:val="009F4266"/>
    <w:rsid w:val="009F5565"/>
    <w:rsid w:val="009F6394"/>
    <w:rsid w:val="009F66E5"/>
    <w:rsid w:val="009F7467"/>
    <w:rsid w:val="009F7F9F"/>
    <w:rsid w:val="00A004D8"/>
    <w:rsid w:val="00A01271"/>
    <w:rsid w:val="00A01569"/>
    <w:rsid w:val="00A01D3B"/>
    <w:rsid w:val="00A01FD9"/>
    <w:rsid w:val="00A02A2E"/>
    <w:rsid w:val="00A031C6"/>
    <w:rsid w:val="00A032DF"/>
    <w:rsid w:val="00A039A9"/>
    <w:rsid w:val="00A0526C"/>
    <w:rsid w:val="00A0679B"/>
    <w:rsid w:val="00A06968"/>
    <w:rsid w:val="00A06B0C"/>
    <w:rsid w:val="00A07B61"/>
    <w:rsid w:val="00A07D5A"/>
    <w:rsid w:val="00A11252"/>
    <w:rsid w:val="00A12789"/>
    <w:rsid w:val="00A12BED"/>
    <w:rsid w:val="00A134D5"/>
    <w:rsid w:val="00A13CEA"/>
    <w:rsid w:val="00A151FA"/>
    <w:rsid w:val="00A15C2A"/>
    <w:rsid w:val="00A161E1"/>
    <w:rsid w:val="00A16442"/>
    <w:rsid w:val="00A17C9C"/>
    <w:rsid w:val="00A17FA0"/>
    <w:rsid w:val="00A20B84"/>
    <w:rsid w:val="00A21AEF"/>
    <w:rsid w:val="00A221CA"/>
    <w:rsid w:val="00A22465"/>
    <w:rsid w:val="00A22492"/>
    <w:rsid w:val="00A22D6E"/>
    <w:rsid w:val="00A2349C"/>
    <w:rsid w:val="00A24001"/>
    <w:rsid w:val="00A241DF"/>
    <w:rsid w:val="00A24257"/>
    <w:rsid w:val="00A2431F"/>
    <w:rsid w:val="00A24DB3"/>
    <w:rsid w:val="00A25694"/>
    <w:rsid w:val="00A257DF"/>
    <w:rsid w:val="00A25A6B"/>
    <w:rsid w:val="00A25B3C"/>
    <w:rsid w:val="00A25C07"/>
    <w:rsid w:val="00A25E77"/>
    <w:rsid w:val="00A273F7"/>
    <w:rsid w:val="00A277F1"/>
    <w:rsid w:val="00A27834"/>
    <w:rsid w:val="00A303DD"/>
    <w:rsid w:val="00A30B93"/>
    <w:rsid w:val="00A31CDB"/>
    <w:rsid w:val="00A32D73"/>
    <w:rsid w:val="00A32F02"/>
    <w:rsid w:val="00A35AC6"/>
    <w:rsid w:val="00A364A1"/>
    <w:rsid w:val="00A37C23"/>
    <w:rsid w:val="00A4098C"/>
    <w:rsid w:val="00A40AA7"/>
    <w:rsid w:val="00A40D67"/>
    <w:rsid w:val="00A40D8D"/>
    <w:rsid w:val="00A411BF"/>
    <w:rsid w:val="00A41E05"/>
    <w:rsid w:val="00A41E66"/>
    <w:rsid w:val="00A42AF3"/>
    <w:rsid w:val="00A4304A"/>
    <w:rsid w:val="00A441C1"/>
    <w:rsid w:val="00A443D6"/>
    <w:rsid w:val="00A447F1"/>
    <w:rsid w:val="00A46499"/>
    <w:rsid w:val="00A4704B"/>
    <w:rsid w:val="00A47269"/>
    <w:rsid w:val="00A4727B"/>
    <w:rsid w:val="00A473E1"/>
    <w:rsid w:val="00A475D2"/>
    <w:rsid w:val="00A4793E"/>
    <w:rsid w:val="00A47A3E"/>
    <w:rsid w:val="00A506A7"/>
    <w:rsid w:val="00A50A4A"/>
    <w:rsid w:val="00A519A4"/>
    <w:rsid w:val="00A52CE8"/>
    <w:rsid w:val="00A53EFD"/>
    <w:rsid w:val="00A54D11"/>
    <w:rsid w:val="00A5558A"/>
    <w:rsid w:val="00A56E30"/>
    <w:rsid w:val="00A5734B"/>
    <w:rsid w:val="00A57895"/>
    <w:rsid w:val="00A57E0D"/>
    <w:rsid w:val="00A57F31"/>
    <w:rsid w:val="00A60427"/>
    <w:rsid w:val="00A60724"/>
    <w:rsid w:val="00A60FCF"/>
    <w:rsid w:val="00A611CD"/>
    <w:rsid w:val="00A6124C"/>
    <w:rsid w:val="00A615C6"/>
    <w:rsid w:val="00A61645"/>
    <w:rsid w:val="00A62958"/>
    <w:rsid w:val="00A62B27"/>
    <w:rsid w:val="00A62DA9"/>
    <w:rsid w:val="00A6315F"/>
    <w:rsid w:val="00A632A1"/>
    <w:rsid w:val="00A64C7F"/>
    <w:rsid w:val="00A652CF"/>
    <w:rsid w:val="00A65B04"/>
    <w:rsid w:val="00A65C2A"/>
    <w:rsid w:val="00A65F4E"/>
    <w:rsid w:val="00A67606"/>
    <w:rsid w:val="00A705A1"/>
    <w:rsid w:val="00A70B93"/>
    <w:rsid w:val="00A71AE2"/>
    <w:rsid w:val="00A71C73"/>
    <w:rsid w:val="00A71E2D"/>
    <w:rsid w:val="00A731C2"/>
    <w:rsid w:val="00A73889"/>
    <w:rsid w:val="00A74639"/>
    <w:rsid w:val="00A75C43"/>
    <w:rsid w:val="00A77524"/>
    <w:rsid w:val="00A77574"/>
    <w:rsid w:val="00A77913"/>
    <w:rsid w:val="00A77C75"/>
    <w:rsid w:val="00A77FC3"/>
    <w:rsid w:val="00A80443"/>
    <w:rsid w:val="00A807B3"/>
    <w:rsid w:val="00A81311"/>
    <w:rsid w:val="00A81319"/>
    <w:rsid w:val="00A8183E"/>
    <w:rsid w:val="00A840F1"/>
    <w:rsid w:val="00A84745"/>
    <w:rsid w:val="00A84865"/>
    <w:rsid w:val="00A84F33"/>
    <w:rsid w:val="00A85D72"/>
    <w:rsid w:val="00A85F25"/>
    <w:rsid w:val="00A86CF3"/>
    <w:rsid w:val="00A87981"/>
    <w:rsid w:val="00A90BA6"/>
    <w:rsid w:val="00A910E3"/>
    <w:rsid w:val="00A913F1"/>
    <w:rsid w:val="00A9163C"/>
    <w:rsid w:val="00A9227E"/>
    <w:rsid w:val="00A92E8F"/>
    <w:rsid w:val="00A92EE5"/>
    <w:rsid w:val="00A934C0"/>
    <w:rsid w:val="00A93A8C"/>
    <w:rsid w:val="00A95015"/>
    <w:rsid w:val="00A954B3"/>
    <w:rsid w:val="00A9596C"/>
    <w:rsid w:val="00A95C9E"/>
    <w:rsid w:val="00A96C12"/>
    <w:rsid w:val="00A97F7B"/>
    <w:rsid w:val="00AA008E"/>
    <w:rsid w:val="00AA1335"/>
    <w:rsid w:val="00AA15ED"/>
    <w:rsid w:val="00AA1E7D"/>
    <w:rsid w:val="00AA2F28"/>
    <w:rsid w:val="00AA648B"/>
    <w:rsid w:val="00AA68D8"/>
    <w:rsid w:val="00AA6DA0"/>
    <w:rsid w:val="00AA7F78"/>
    <w:rsid w:val="00AA7F8A"/>
    <w:rsid w:val="00AB1E0F"/>
    <w:rsid w:val="00AB2443"/>
    <w:rsid w:val="00AB24AA"/>
    <w:rsid w:val="00AB3E9E"/>
    <w:rsid w:val="00AB3FDE"/>
    <w:rsid w:val="00AB406A"/>
    <w:rsid w:val="00AB4BBA"/>
    <w:rsid w:val="00AB5D74"/>
    <w:rsid w:val="00AB6886"/>
    <w:rsid w:val="00AB7D48"/>
    <w:rsid w:val="00AC0119"/>
    <w:rsid w:val="00AC04C8"/>
    <w:rsid w:val="00AC1C0D"/>
    <w:rsid w:val="00AC2279"/>
    <w:rsid w:val="00AC242B"/>
    <w:rsid w:val="00AC3E25"/>
    <w:rsid w:val="00AC3F23"/>
    <w:rsid w:val="00AC5912"/>
    <w:rsid w:val="00AC5D38"/>
    <w:rsid w:val="00AC67A0"/>
    <w:rsid w:val="00AC71E2"/>
    <w:rsid w:val="00AC78CE"/>
    <w:rsid w:val="00AD091D"/>
    <w:rsid w:val="00AD0BDD"/>
    <w:rsid w:val="00AD1BAD"/>
    <w:rsid w:val="00AD1FA8"/>
    <w:rsid w:val="00AD38F1"/>
    <w:rsid w:val="00AD3AA2"/>
    <w:rsid w:val="00AD48CB"/>
    <w:rsid w:val="00AD5316"/>
    <w:rsid w:val="00AD6259"/>
    <w:rsid w:val="00AD68B8"/>
    <w:rsid w:val="00AD6CE2"/>
    <w:rsid w:val="00AD707B"/>
    <w:rsid w:val="00AD72D1"/>
    <w:rsid w:val="00AD76E7"/>
    <w:rsid w:val="00AE0698"/>
    <w:rsid w:val="00AE0980"/>
    <w:rsid w:val="00AE0B9A"/>
    <w:rsid w:val="00AE1E47"/>
    <w:rsid w:val="00AE26FC"/>
    <w:rsid w:val="00AE2F06"/>
    <w:rsid w:val="00AE5F2D"/>
    <w:rsid w:val="00AE617F"/>
    <w:rsid w:val="00AE65B0"/>
    <w:rsid w:val="00AE6C13"/>
    <w:rsid w:val="00AE7089"/>
    <w:rsid w:val="00AE7D7B"/>
    <w:rsid w:val="00AF012B"/>
    <w:rsid w:val="00AF019E"/>
    <w:rsid w:val="00AF095C"/>
    <w:rsid w:val="00AF2278"/>
    <w:rsid w:val="00AF229F"/>
    <w:rsid w:val="00AF2CCA"/>
    <w:rsid w:val="00AF2E8B"/>
    <w:rsid w:val="00AF3BC8"/>
    <w:rsid w:val="00AF567D"/>
    <w:rsid w:val="00AF5D1B"/>
    <w:rsid w:val="00AF6B1C"/>
    <w:rsid w:val="00B0098F"/>
    <w:rsid w:val="00B01889"/>
    <w:rsid w:val="00B02398"/>
    <w:rsid w:val="00B044D9"/>
    <w:rsid w:val="00B04905"/>
    <w:rsid w:val="00B049E8"/>
    <w:rsid w:val="00B05741"/>
    <w:rsid w:val="00B05A17"/>
    <w:rsid w:val="00B05E98"/>
    <w:rsid w:val="00B06B8F"/>
    <w:rsid w:val="00B07441"/>
    <w:rsid w:val="00B077B6"/>
    <w:rsid w:val="00B105A0"/>
    <w:rsid w:val="00B107E4"/>
    <w:rsid w:val="00B10ECC"/>
    <w:rsid w:val="00B10F34"/>
    <w:rsid w:val="00B11AB9"/>
    <w:rsid w:val="00B11AD7"/>
    <w:rsid w:val="00B1228A"/>
    <w:rsid w:val="00B12419"/>
    <w:rsid w:val="00B133BE"/>
    <w:rsid w:val="00B14031"/>
    <w:rsid w:val="00B14B76"/>
    <w:rsid w:val="00B15DFC"/>
    <w:rsid w:val="00B16511"/>
    <w:rsid w:val="00B165FC"/>
    <w:rsid w:val="00B16D7E"/>
    <w:rsid w:val="00B17C96"/>
    <w:rsid w:val="00B17CCA"/>
    <w:rsid w:val="00B17E99"/>
    <w:rsid w:val="00B17FCB"/>
    <w:rsid w:val="00B20610"/>
    <w:rsid w:val="00B217CE"/>
    <w:rsid w:val="00B22EF1"/>
    <w:rsid w:val="00B245DF"/>
    <w:rsid w:val="00B24B5D"/>
    <w:rsid w:val="00B24D18"/>
    <w:rsid w:val="00B24EB0"/>
    <w:rsid w:val="00B253A7"/>
    <w:rsid w:val="00B2572C"/>
    <w:rsid w:val="00B27CEE"/>
    <w:rsid w:val="00B326DE"/>
    <w:rsid w:val="00B3470B"/>
    <w:rsid w:val="00B349EC"/>
    <w:rsid w:val="00B34B5E"/>
    <w:rsid w:val="00B3530A"/>
    <w:rsid w:val="00B3573C"/>
    <w:rsid w:val="00B35807"/>
    <w:rsid w:val="00B3595B"/>
    <w:rsid w:val="00B35DD6"/>
    <w:rsid w:val="00B36C43"/>
    <w:rsid w:val="00B371C4"/>
    <w:rsid w:val="00B3792F"/>
    <w:rsid w:val="00B37942"/>
    <w:rsid w:val="00B4013D"/>
    <w:rsid w:val="00B40CBE"/>
    <w:rsid w:val="00B41A18"/>
    <w:rsid w:val="00B4252C"/>
    <w:rsid w:val="00B42B96"/>
    <w:rsid w:val="00B42C0C"/>
    <w:rsid w:val="00B42CF5"/>
    <w:rsid w:val="00B430EA"/>
    <w:rsid w:val="00B43A5D"/>
    <w:rsid w:val="00B4406A"/>
    <w:rsid w:val="00B4485B"/>
    <w:rsid w:val="00B448AD"/>
    <w:rsid w:val="00B44BB5"/>
    <w:rsid w:val="00B45763"/>
    <w:rsid w:val="00B45AB0"/>
    <w:rsid w:val="00B46673"/>
    <w:rsid w:val="00B46B83"/>
    <w:rsid w:val="00B46D4D"/>
    <w:rsid w:val="00B47F28"/>
    <w:rsid w:val="00B506FB"/>
    <w:rsid w:val="00B514E8"/>
    <w:rsid w:val="00B52BDC"/>
    <w:rsid w:val="00B52DB2"/>
    <w:rsid w:val="00B531D8"/>
    <w:rsid w:val="00B53506"/>
    <w:rsid w:val="00B53FDD"/>
    <w:rsid w:val="00B54712"/>
    <w:rsid w:val="00B55426"/>
    <w:rsid w:val="00B5557B"/>
    <w:rsid w:val="00B57073"/>
    <w:rsid w:val="00B60F44"/>
    <w:rsid w:val="00B61878"/>
    <w:rsid w:val="00B62076"/>
    <w:rsid w:val="00B62DA3"/>
    <w:rsid w:val="00B62E11"/>
    <w:rsid w:val="00B63E88"/>
    <w:rsid w:val="00B64102"/>
    <w:rsid w:val="00B641F5"/>
    <w:rsid w:val="00B643CF"/>
    <w:rsid w:val="00B644B9"/>
    <w:rsid w:val="00B64881"/>
    <w:rsid w:val="00B64B24"/>
    <w:rsid w:val="00B64B42"/>
    <w:rsid w:val="00B64B7C"/>
    <w:rsid w:val="00B659DA"/>
    <w:rsid w:val="00B6749A"/>
    <w:rsid w:val="00B700F3"/>
    <w:rsid w:val="00B702DA"/>
    <w:rsid w:val="00B70B8D"/>
    <w:rsid w:val="00B71A15"/>
    <w:rsid w:val="00B72508"/>
    <w:rsid w:val="00B728E0"/>
    <w:rsid w:val="00B72AAA"/>
    <w:rsid w:val="00B7333A"/>
    <w:rsid w:val="00B73E2C"/>
    <w:rsid w:val="00B746B8"/>
    <w:rsid w:val="00B75146"/>
    <w:rsid w:val="00B758C7"/>
    <w:rsid w:val="00B7593E"/>
    <w:rsid w:val="00B759C6"/>
    <w:rsid w:val="00B7613E"/>
    <w:rsid w:val="00B768B7"/>
    <w:rsid w:val="00B77DA7"/>
    <w:rsid w:val="00B804A5"/>
    <w:rsid w:val="00B81B0C"/>
    <w:rsid w:val="00B8218A"/>
    <w:rsid w:val="00B8264D"/>
    <w:rsid w:val="00B82F6D"/>
    <w:rsid w:val="00B83192"/>
    <w:rsid w:val="00B84C78"/>
    <w:rsid w:val="00B85A57"/>
    <w:rsid w:val="00B85AA6"/>
    <w:rsid w:val="00B86C16"/>
    <w:rsid w:val="00B86D6D"/>
    <w:rsid w:val="00B86E1F"/>
    <w:rsid w:val="00B87744"/>
    <w:rsid w:val="00B87CCA"/>
    <w:rsid w:val="00B90AD9"/>
    <w:rsid w:val="00B911D5"/>
    <w:rsid w:val="00B93897"/>
    <w:rsid w:val="00B94031"/>
    <w:rsid w:val="00B94BFE"/>
    <w:rsid w:val="00B95C02"/>
    <w:rsid w:val="00B971B9"/>
    <w:rsid w:val="00B97AEE"/>
    <w:rsid w:val="00B97F95"/>
    <w:rsid w:val="00B97FFB"/>
    <w:rsid w:val="00BA0278"/>
    <w:rsid w:val="00BA0EAA"/>
    <w:rsid w:val="00BA2FBD"/>
    <w:rsid w:val="00BA36C3"/>
    <w:rsid w:val="00BA3CF0"/>
    <w:rsid w:val="00BA4442"/>
    <w:rsid w:val="00BA552D"/>
    <w:rsid w:val="00BA6452"/>
    <w:rsid w:val="00BA75EC"/>
    <w:rsid w:val="00BA7C6E"/>
    <w:rsid w:val="00BB00A6"/>
    <w:rsid w:val="00BB0B07"/>
    <w:rsid w:val="00BB163A"/>
    <w:rsid w:val="00BB1D0D"/>
    <w:rsid w:val="00BB1F0F"/>
    <w:rsid w:val="00BB2C93"/>
    <w:rsid w:val="00BB3851"/>
    <w:rsid w:val="00BB429E"/>
    <w:rsid w:val="00BB463F"/>
    <w:rsid w:val="00BB59F7"/>
    <w:rsid w:val="00BB67E9"/>
    <w:rsid w:val="00BB70A4"/>
    <w:rsid w:val="00BB72F8"/>
    <w:rsid w:val="00BB73B2"/>
    <w:rsid w:val="00BB77DC"/>
    <w:rsid w:val="00BC072B"/>
    <w:rsid w:val="00BC0CF8"/>
    <w:rsid w:val="00BC10A3"/>
    <w:rsid w:val="00BC168F"/>
    <w:rsid w:val="00BC486A"/>
    <w:rsid w:val="00BC5065"/>
    <w:rsid w:val="00BC7051"/>
    <w:rsid w:val="00BC70E5"/>
    <w:rsid w:val="00BC7A9F"/>
    <w:rsid w:val="00BC7DCA"/>
    <w:rsid w:val="00BD0003"/>
    <w:rsid w:val="00BD014F"/>
    <w:rsid w:val="00BD024E"/>
    <w:rsid w:val="00BD0291"/>
    <w:rsid w:val="00BD0BC8"/>
    <w:rsid w:val="00BD1E08"/>
    <w:rsid w:val="00BD2AFC"/>
    <w:rsid w:val="00BD2ED4"/>
    <w:rsid w:val="00BD32E8"/>
    <w:rsid w:val="00BD3DC1"/>
    <w:rsid w:val="00BD3FFD"/>
    <w:rsid w:val="00BD4DDC"/>
    <w:rsid w:val="00BD54BB"/>
    <w:rsid w:val="00BD5825"/>
    <w:rsid w:val="00BD6E71"/>
    <w:rsid w:val="00BD6EF7"/>
    <w:rsid w:val="00BD77F8"/>
    <w:rsid w:val="00BE0C1A"/>
    <w:rsid w:val="00BE1A55"/>
    <w:rsid w:val="00BE1CDD"/>
    <w:rsid w:val="00BE278A"/>
    <w:rsid w:val="00BE2805"/>
    <w:rsid w:val="00BE2C91"/>
    <w:rsid w:val="00BE2DCB"/>
    <w:rsid w:val="00BE49A4"/>
    <w:rsid w:val="00BE517B"/>
    <w:rsid w:val="00BE535D"/>
    <w:rsid w:val="00BE5709"/>
    <w:rsid w:val="00BE5D64"/>
    <w:rsid w:val="00BE6CAD"/>
    <w:rsid w:val="00BF2333"/>
    <w:rsid w:val="00BF2A1A"/>
    <w:rsid w:val="00BF3096"/>
    <w:rsid w:val="00BF423D"/>
    <w:rsid w:val="00BF469C"/>
    <w:rsid w:val="00BF4768"/>
    <w:rsid w:val="00BF48AE"/>
    <w:rsid w:val="00BF4A32"/>
    <w:rsid w:val="00BF4F80"/>
    <w:rsid w:val="00BF5A2D"/>
    <w:rsid w:val="00BF5D28"/>
    <w:rsid w:val="00BF5D44"/>
    <w:rsid w:val="00BF5E7F"/>
    <w:rsid w:val="00BF7304"/>
    <w:rsid w:val="00C009B3"/>
    <w:rsid w:val="00C00F2D"/>
    <w:rsid w:val="00C02444"/>
    <w:rsid w:val="00C026F0"/>
    <w:rsid w:val="00C02CE5"/>
    <w:rsid w:val="00C02F64"/>
    <w:rsid w:val="00C03901"/>
    <w:rsid w:val="00C03F51"/>
    <w:rsid w:val="00C04285"/>
    <w:rsid w:val="00C04901"/>
    <w:rsid w:val="00C04F32"/>
    <w:rsid w:val="00C04F6D"/>
    <w:rsid w:val="00C101BC"/>
    <w:rsid w:val="00C1020F"/>
    <w:rsid w:val="00C10F3D"/>
    <w:rsid w:val="00C11F13"/>
    <w:rsid w:val="00C12244"/>
    <w:rsid w:val="00C12809"/>
    <w:rsid w:val="00C12943"/>
    <w:rsid w:val="00C12D52"/>
    <w:rsid w:val="00C13270"/>
    <w:rsid w:val="00C150AC"/>
    <w:rsid w:val="00C15503"/>
    <w:rsid w:val="00C15E20"/>
    <w:rsid w:val="00C16410"/>
    <w:rsid w:val="00C176AB"/>
    <w:rsid w:val="00C17D74"/>
    <w:rsid w:val="00C21A1F"/>
    <w:rsid w:val="00C22287"/>
    <w:rsid w:val="00C225BD"/>
    <w:rsid w:val="00C22DCD"/>
    <w:rsid w:val="00C23682"/>
    <w:rsid w:val="00C23D7C"/>
    <w:rsid w:val="00C244F4"/>
    <w:rsid w:val="00C24590"/>
    <w:rsid w:val="00C255BD"/>
    <w:rsid w:val="00C278BD"/>
    <w:rsid w:val="00C27C1A"/>
    <w:rsid w:val="00C30103"/>
    <w:rsid w:val="00C3016A"/>
    <w:rsid w:val="00C3052A"/>
    <w:rsid w:val="00C30682"/>
    <w:rsid w:val="00C31307"/>
    <w:rsid w:val="00C3168B"/>
    <w:rsid w:val="00C3197F"/>
    <w:rsid w:val="00C31DCD"/>
    <w:rsid w:val="00C31F8D"/>
    <w:rsid w:val="00C33790"/>
    <w:rsid w:val="00C33C7A"/>
    <w:rsid w:val="00C34917"/>
    <w:rsid w:val="00C35F0E"/>
    <w:rsid w:val="00C361E3"/>
    <w:rsid w:val="00C36A97"/>
    <w:rsid w:val="00C36B2E"/>
    <w:rsid w:val="00C3737C"/>
    <w:rsid w:val="00C3792E"/>
    <w:rsid w:val="00C40BC3"/>
    <w:rsid w:val="00C40E56"/>
    <w:rsid w:val="00C41454"/>
    <w:rsid w:val="00C4267C"/>
    <w:rsid w:val="00C42837"/>
    <w:rsid w:val="00C43B5F"/>
    <w:rsid w:val="00C44C81"/>
    <w:rsid w:val="00C45363"/>
    <w:rsid w:val="00C45B58"/>
    <w:rsid w:val="00C46306"/>
    <w:rsid w:val="00C46FF1"/>
    <w:rsid w:val="00C47798"/>
    <w:rsid w:val="00C47F39"/>
    <w:rsid w:val="00C514D5"/>
    <w:rsid w:val="00C52C4B"/>
    <w:rsid w:val="00C52CBD"/>
    <w:rsid w:val="00C53348"/>
    <w:rsid w:val="00C54595"/>
    <w:rsid w:val="00C545D2"/>
    <w:rsid w:val="00C55355"/>
    <w:rsid w:val="00C5604C"/>
    <w:rsid w:val="00C57065"/>
    <w:rsid w:val="00C61B7C"/>
    <w:rsid w:val="00C64752"/>
    <w:rsid w:val="00C64BA6"/>
    <w:rsid w:val="00C6502C"/>
    <w:rsid w:val="00C65EB3"/>
    <w:rsid w:val="00C663F0"/>
    <w:rsid w:val="00C66F18"/>
    <w:rsid w:val="00C6721F"/>
    <w:rsid w:val="00C6783B"/>
    <w:rsid w:val="00C67863"/>
    <w:rsid w:val="00C67FEE"/>
    <w:rsid w:val="00C70190"/>
    <w:rsid w:val="00C70B05"/>
    <w:rsid w:val="00C7124A"/>
    <w:rsid w:val="00C71A98"/>
    <w:rsid w:val="00C72A1D"/>
    <w:rsid w:val="00C72CF8"/>
    <w:rsid w:val="00C74018"/>
    <w:rsid w:val="00C7496F"/>
    <w:rsid w:val="00C74E8C"/>
    <w:rsid w:val="00C755ED"/>
    <w:rsid w:val="00C77982"/>
    <w:rsid w:val="00C77F04"/>
    <w:rsid w:val="00C80113"/>
    <w:rsid w:val="00C80C81"/>
    <w:rsid w:val="00C811BF"/>
    <w:rsid w:val="00C82086"/>
    <w:rsid w:val="00C82670"/>
    <w:rsid w:val="00C82905"/>
    <w:rsid w:val="00C82B99"/>
    <w:rsid w:val="00C834E6"/>
    <w:rsid w:val="00C83766"/>
    <w:rsid w:val="00C83B1F"/>
    <w:rsid w:val="00C840CA"/>
    <w:rsid w:val="00C84F4D"/>
    <w:rsid w:val="00C85286"/>
    <w:rsid w:val="00C8608A"/>
    <w:rsid w:val="00C86D48"/>
    <w:rsid w:val="00C87346"/>
    <w:rsid w:val="00C87E60"/>
    <w:rsid w:val="00C90465"/>
    <w:rsid w:val="00C90738"/>
    <w:rsid w:val="00C91881"/>
    <w:rsid w:val="00C91ED5"/>
    <w:rsid w:val="00C9200B"/>
    <w:rsid w:val="00C921BD"/>
    <w:rsid w:val="00C9228A"/>
    <w:rsid w:val="00C928E1"/>
    <w:rsid w:val="00C92ADF"/>
    <w:rsid w:val="00C93CF0"/>
    <w:rsid w:val="00C94458"/>
    <w:rsid w:val="00C9467D"/>
    <w:rsid w:val="00C962E6"/>
    <w:rsid w:val="00C976CE"/>
    <w:rsid w:val="00C97A5D"/>
    <w:rsid w:val="00CA1B1D"/>
    <w:rsid w:val="00CA22EF"/>
    <w:rsid w:val="00CA245D"/>
    <w:rsid w:val="00CA2A44"/>
    <w:rsid w:val="00CA4869"/>
    <w:rsid w:val="00CA4DA9"/>
    <w:rsid w:val="00CA5960"/>
    <w:rsid w:val="00CA6FC4"/>
    <w:rsid w:val="00CA76C0"/>
    <w:rsid w:val="00CA7A76"/>
    <w:rsid w:val="00CB016A"/>
    <w:rsid w:val="00CB07CE"/>
    <w:rsid w:val="00CB0E5F"/>
    <w:rsid w:val="00CB1A52"/>
    <w:rsid w:val="00CB1A69"/>
    <w:rsid w:val="00CB1EB3"/>
    <w:rsid w:val="00CB2C3B"/>
    <w:rsid w:val="00CB2E1E"/>
    <w:rsid w:val="00CB39B9"/>
    <w:rsid w:val="00CB4C13"/>
    <w:rsid w:val="00CB4FCE"/>
    <w:rsid w:val="00CB6196"/>
    <w:rsid w:val="00CC036A"/>
    <w:rsid w:val="00CC21DE"/>
    <w:rsid w:val="00CC2355"/>
    <w:rsid w:val="00CC339B"/>
    <w:rsid w:val="00CC3432"/>
    <w:rsid w:val="00CC3858"/>
    <w:rsid w:val="00CC39CD"/>
    <w:rsid w:val="00CC4114"/>
    <w:rsid w:val="00CC4568"/>
    <w:rsid w:val="00CC60BD"/>
    <w:rsid w:val="00CC611D"/>
    <w:rsid w:val="00CC6BD0"/>
    <w:rsid w:val="00CC6F6B"/>
    <w:rsid w:val="00CC7239"/>
    <w:rsid w:val="00CC799C"/>
    <w:rsid w:val="00CD19CB"/>
    <w:rsid w:val="00CD2EAA"/>
    <w:rsid w:val="00CD2EDB"/>
    <w:rsid w:val="00CD48BB"/>
    <w:rsid w:val="00CD4ACE"/>
    <w:rsid w:val="00CD5878"/>
    <w:rsid w:val="00CD70FE"/>
    <w:rsid w:val="00CD710F"/>
    <w:rsid w:val="00CD7981"/>
    <w:rsid w:val="00CD7B0E"/>
    <w:rsid w:val="00CE1016"/>
    <w:rsid w:val="00CE1921"/>
    <w:rsid w:val="00CE1B40"/>
    <w:rsid w:val="00CE1FFE"/>
    <w:rsid w:val="00CE25BD"/>
    <w:rsid w:val="00CE3808"/>
    <w:rsid w:val="00CE38D2"/>
    <w:rsid w:val="00CE4B6C"/>
    <w:rsid w:val="00CE604B"/>
    <w:rsid w:val="00CE6055"/>
    <w:rsid w:val="00CE60BB"/>
    <w:rsid w:val="00CE78BE"/>
    <w:rsid w:val="00CF21E8"/>
    <w:rsid w:val="00CF29EA"/>
    <w:rsid w:val="00CF325B"/>
    <w:rsid w:val="00CF4F4D"/>
    <w:rsid w:val="00CF4FB8"/>
    <w:rsid w:val="00CF5313"/>
    <w:rsid w:val="00CF5737"/>
    <w:rsid w:val="00CF592D"/>
    <w:rsid w:val="00CF74B5"/>
    <w:rsid w:val="00CF786C"/>
    <w:rsid w:val="00CF787E"/>
    <w:rsid w:val="00D00FD9"/>
    <w:rsid w:val="00D01597"/>
    <w:rsid w:val="00D01874"/>
    <w:rsid w:val="00D0193C"/>
    <w:rsid w:val="00D026A5"/>
    <w:rsid w:val="00D02D88"/>
    <w:rsid w:val="00D0394A"/>
    <w:rsid w:val="00D04B86"/>
    <w:rsid w:val="00D05697"/>
    <w:rsid w:val="00D11571"/>
    <w:rsid w:val="00D11B8A"/>
    <w:rsid w:val="00D12542"/>
    <w:rsid w:val="00D130DD"/>
    <w:rsid w:val="00D134EA"/>
    <w:rsid w:val="00D13A5D"/>
    <w:rsid w:val="00D13CEB"/>
    <w:rsid w:val="00D13EE7"/>
    <w:rsid w:val="00D13EF2"/>
    <w:rsid w:val="00D1418F"/>
    <w:rsid w:val="00D14CF7"/>
    <w:rsid w:val="00D154B6"/>
    <w:rsid w:val="00D16727"/>
    <w:rsid w:val="00D16D29"/>
    <w:rsid w:val="00D17D29"/>
    <w:rsid w:val="00D17FFC"/>
    <w:rsid w:val="00D2051B"/>
    <w:rsid w:val="00D20946"/>
    <w:rsid w:val="00D20C42"/>
    <w:rsid w:val="00D214C2"/>
    <w:rsid w:val="00D21668"/>
    <w:rsid w:val="00D2278A"/>
    <w:rsid w:val="00D228C2"/>
    <w:rsid w:val="00D22930"/>
    <w:rsid w:val="00D22D3F"/>
    <w:rsid w:val="00D233D9"/>
    <w:rsid w:val="00D253DE"/>
    <w:rsid w:val="00D25BE2"/>
    <w:rsid w:val="00D25C82"/>
    <w:rsid w:val="00D25D89"/>
    <w:rsid w:val="00D26E44"/>
    <w:rsid w:val="00D270E7"/>
    <w:rsid w:val="00D27226"/>
    <w:rsid w:val="00D3029A"/>
    <w:rsid w:val="00D30458"/>
    <w:rsid w:val="00D307D9"/>
    <w:rsid w:val="00D326AE"/>
    <w:rsid w:val="00D348D6"/>
    <w:rsid w:val="00D34910"/>
    <w:rsid w:val="00D36FE9"/>
    <w:rsid w:val="00D415AF"/>
    <w:rsid w:val="00D42073"/>
    <w:rsid w:val="00D4231F"/>
    <w:rsid w:val="00D428D0"/>
    <w:rsid w:val="00D43CE6"/>
    <w:rsid w:val="00D44BE0"/>
    <w:rsid w:val="00D454ED"/>
    <w:rsid w:val="00D46074"/>
    <w:rsid w:val="00D46867"/>
    <w:rsid w:val="00D4754C"/>
    <w:rsid w:val="00D47853"/>
    <w:rsid w:val="00D50DDC"/>
    <w:rsid w:val="00D5129C"/>
    <w:rsid w:val="00D51867"/>
    <w:rsid w:val="00D53482"/>
    <w:rsid w:val="00D5427E"/>
    <w:rsid w:val="00D54550"/>
    <w:rsid w:val="00D55B4A"/>
    <w:rsid w:val="00D56704"/>
    <w:rsid w:val="00D56EB6"/>
    <w:rsid w:val="00D56EB7"/>
    <w:rsid w:val="00D602FD"/>
    <w:rsid w:val="00D60602"/>
    <w:rsid w:val="00D62654"/>
    <w:rsid w:val="00D62C26"/>
    <w:rsid w:val="00D63803"/>
    <w:rsid w:val="00D659F7"/>
    <w:rsid w:val="00D66FB5"/>
    <w:rsid w:val="00D67560"/>
    <w:rsid w:val="00D67C9F"/>
    <w:rsid w:val="00D70C8C"/>
    <w:rsid w:val="00D70EED"/>
    <w:rsid w:val="00D71087"/>
    <w:rsid w:val="00D71287"/>
    <w:rsid w:val="00D753D0"/>
    <w:rsid w:val="00D763B2"/>
    <w:rsid w:val="00D7683F"/>
    <w:rsid w:val="00D768DA"/>
    <w:rsid w:val="00D769AC"/>
    <w:rsid w:val="00D8100D"/>
    <w:rsid w:val="00D82198"/>
    <w:rsid w:val="00D824D9"/>
    <w:rsid w:val="00D82700"/>
    <w:rsid w:val="00D831F3"/>
    <w:rsid w:val="00D83322"/>
    <w:rsid w:val="00D84FE2"/>
    <w:rsid w:val="00D85093"/>
    <w:rsid w:val="00D86D57"/>
    <w:rsid w:val="00D871C7"/>
    <w:rsid w:val="00D87D17"/>
    <w:rsid w:val="00D91A99"/>
    <w:rsid w:val="00D926F4"/>
    <w:rsid w:val="00D931BF"/>
    <w:rsid w:val="00D93B34"/>
    <w:rsid w:val="00D93D6A"/>
    <w:rsid w:val="00D94108"/>
    <w:rsid w:val="00D946FE"/>
    <w:rsid w:val="00D964E9"/>
    <w:rsid w:val="00DA0307"/>
    <w:rsid w:val="00DA0375"/>
    <w:rsid w:val="00DA0621"/>
    <w:rsid w:val="00DA0D36"/>
    <w:rsid w:val="00DA19B6"/>
    <w:rsid w:val="00DA1E93"/>
    <w:rsid w:val="00DA3195"/>
    <w:rsid w:val="00DA4034"/>
    <w:rsid w:val="00DA5334"/>
    <w:rsid w:val="00DA747D"/>
    <w:rsid w:val="00DA7CC4"/>
    <w:rsid w:val="00DA7EF7"/>
    <w:rsid w:val="00DB0771"/>
    <w:rsid w:val="00DB163A"/>
    <w:rsid w:val="00DB17D9"/>
    <w:rsid w:val="00DB1810"/>
    <w:rsid w:val="00DB2C7B"/>
    <w:rsid w:val="00DB37FD"/>
    <w:rsid w:val="00DB3C1A"/>
    <w:rsid w:val="00DB462D"/>
    <w:rsid w:val="00DB580F"/>
    <w:rsid w:val="00DB6000"/>
    <w:rsid w:val="00DB72F1"/>
    <w:rsid w:val="00DC17A1"/>
    <w:rsid w:val="00DC1A5E"/>
    <w:rsid w:val="00DC1C91"/>
    <w:rsid w:val="00DC3D24"/>
    <w:rsid w:val="00DC3E7E"/>
    <w:rsid w:val="00DC4B42"/>
    <w:rsid w:val="00DC5194"/>
    <w:rsid w:val="00DC5289"/>
    <w:rsid w:val="00DC5817"/>
    <w:rsid w:val="00DC60A6"/>
    <w:rsid w:val="00DC6F75"/>
    <w:rsid w:val="00DC74BB"/>
    <w:rsid w:val="00DC7CEA"/>
    <w:rsid w:val="00DD06E2"/>
    <w:rsid w:val="00DD0A71"/>
    <w:rsid w:val="00DD14FC"/>
    <w:rsid w:val="00DD1A95"/>
    <w:rsid w:val="00DD1FC8"/>
    <w:rsid w:val="00DD3282"/>
    <w:rsid w:val="00DD3F12"/>
    <w:rsid w:val="00DD41B0"/>
    <w:rsid w:val="00DD5809"/>
    <w:rsid w:val="00DD5F15"/>
    <w:rsid w:val="00DD69EC"/>
    <w:rsid w:val="00DD77EA"/>
    <w:rsid w:val="00DE035E"/>
    <w:rsid w:val="00DE22DE"/>
    <w:rsid w:val="00DE25AE"/>
    <w:rsid w:val="00DE26F3"/>
    <w:rsid w:val="00DE2D13"/>
    <w:rsid w:val="00DE2F56"/>
    <w:rsid w:val="00DE3E5D"/>
    <w:rsid w:val="00DE406A"/>
    <w:rsid w:val="00DE4AF9"/>
    <w:rsid w:val="00DE6C24"/>
    <w:rsid w:val="00DE6FB6"/>
    <w:rsid w:val="00DF0DED"/>
    <w:rsid w:val="00DF104D"/>
    <w:rsid w:val="00DF2689"/>
    <w:rsid w:val="00DF35CD"/>
    <w:rsid w:val="00DF3B88"/>
    <w:rsid w:val="00DF4345"/>
    <w:rsid w:val="00DF45FB"/>
    <w:rsid w:val="00DF574E"/>
    <w:rsid w:val="00DF7206"/>
    <w:rsid w:val="00DF7962"/>
    <w:rsid w:val="00E009F0"/>
    <w:rsid w:val="00E01350"/>
    <w:rsid w:val="00E02D07"/>
    <w:rsid w:val="00E03454"/>
    <w:rsid w:val="00E0366D"/>
    <w:rsid w:val="00E04203"/>
    <w:rsid w:val="00E0508B"/>
    <w:rsid w:val="00E0605B"/>
    <w:rsid w:val="00E0659F"/>
    <w:rsid w:val="00E07808"/>
    <w:rsid w:val="00E10EC8"/>
    <w:rsid w:val="00E113B6"/>
    <w:rsid w:val="00E12822"/>
    <w:rsid w:val="00E1305F"/>
    <w:rsid w:val="00E1390D"/>
    <w:rsid w:val="00E14BA5"/>
    <w:rsid w:val="00E15953"/>
    <w:rsid w:val="00E16E40"/>
    <w:rsid w:val="00E171FE"/>
    <w:rsid w:val="00E1795C"/>
    <w:rsid w:val="00E17CA4"/>
    <w:rsid w:val="00E21120"/>
    <w:rsid w:val="00E21BF0"/>
    <w:rsid w:val="00E22115"/>
    <w:rsid w:val="00E22241"/>
    <w:rsid w:val="00E239C7"/>
    <w:rsid w:val="00E23D9F"/>
    <w:rsid w:val="00E23E52"/>
    <w:rsid w:val="00E24577"/>
    <w:rsid w:val="00E2471A"/>
    <w:rsid w:val="00E2475A"/>
    <w:rsid w:val="00E249FF"/>
    <w:rsid w:val="00E24ECB"/>
    <w:rsid w:val="00E25196"/>
    <w:rsid w:val="00E25464"/>
    <w:rsid w:val="00E25922"/>
    <w:rsid w:val="00E26503"/>
    <w:rsid w:val="00E2737E"/>
    <w:rsid w:val="00E27BD0"/>
    <w:rsid w:val="00E3088D"/>
    <w:rsid w:val="00E309D2"/>
    <w:rsid w:val="00E30DBC"/>
    <w:rsid w:val="00E3149F"/>
    <w:rsid w:val="00E31AE5"/>
    <w:rsid w:val="00E31B3D"/>
    <w:rsid w:val="00E31CAE"/>
    <w:rsid w:val="00E31E94"/>
    <w:rsid w:val="00E332C8"/>
    <w:rsid w:val="00E33B75"/>
    <w:rsid w:val="00E33BA8"/>
    <w:rsid w:val="00E33F5F"/>
    <w:rsid w:val="00E33FF5"/>
    <w:rsid w:val="00E34C23"/>
    <w:rsid w:val="00E34FC1"/>
    <w:rsid w:val="00E35F64"/>
    <w:rsid w:val="00E37B2B"/>
    <w:rsid w:val="00E40FB4"/>
    <w:rsid w:val="00E412FD"/>
    <w:rsid w:val="00E42022"/>
    <w:rsid w:val="00E43E2E"/>
    <w:rsid w:val="00E4449F"/>
    <w:rsid w:val="00E44AF9"/>
    <w:rsid w:val="00E4574E"/>
    <w:rsid w:val="00E45FE1"/>
    <w:rsid w:val="00E46049"/>
    <w:rsid w:val="00E466C2"/>
    <w:rsid w:val="00E46B26"/>
    <w:rsid w:val="00E46EB6"/>
    <w:rsid w:val="00E5021E"/>
    <w:rsid w:val="00E51194"/>
    <w:rsid w:val="00E5192E"/>
    <w:rsid w:val="00E51A52"/>
    <w:rsid w:val="00E522C5"/>
    <w:rsid w:val="00E52538"/>
    <w:rsid w:val="00E52B1A"/>
    <w:rsid w:val="00E55B5B"/>
    <w:rsid w:val="00E5728A"/>
    <w:rsid w:val="00E57409"/>
    <w:rsid w:val="00E575E0"/>
    <w:rsid w:val="00E57F3C"/>
    <w:rsid w:val="00E607E6"/>
    <w:rsid w:val="00E60FB8"/>
    <w:rsid w:val="00E61C18"/>
    <w:rsid w:val="00E61F34"/>
    <w:rsid w:val="00E620FC"/>
    <w:rsid w:val="00E62293"/>
    <w:rsid w:val="00E62851"/>
    <w:rsid w:val="00E62984"/>
    <w:rsid w:val="00E63259"/>
    <w:rsid w:val="00E6443A"/>
    <w:rsid w:val="00E64828"/>
    <w:rsid w:val="00E64858"/>
    <w:rsid w:val="00E64C45"/>
    <w:rsid w:val="00E656D6"/>
    <w:rsid w:val="00E66EAB"/>
    <w:rsid w:val="00E66FAB"/>
    <w:rsid w:val="00E66FAE"/>
    <w:rsid w:val="00E67828"/>
    <w:rsid w:val="00E7047F"/>
    <w:rsid w:val="00E70D3D"/>
    <w:rsid w:val="00E7122B"/>
    <w:rsid w:val="00E717FB"/>
    <w:rsid w:val="00E74DFB"/>
    <w:rsid w:val="00E77F57"/>
    <w:rsid w:val="00E8050C"/>
    <w:rsid w:val="00E805DC"/>
    <w:rsid w:val="00E8076A"/>
    <w:rsid w:val="00E8095D"/>
    <w:rsid w:val="00E8142A"/>
    <w:rsid w:val="00E83A04"/>
    <w:rsid w:val="00E840FE"/>
    <w:rsid w:val="00E87788"/>
    <w:rsid w:val="00E87C51"/>
    <w:rsid w:val="00E87CDA"/>
    <w:rsid w:val="00E90354"/>
    <w:rsid w:val="00E90C8E"/>
    <w:rsid w:val="00E91185"/>
    <w:rsid w:val="00E9175F"/>
    <w:rsid w:val="00E9268D"/>
    <w:rsid w:val="00E92951"/>
    <w:rsid w:val="00E92F18"/>
    <w:rsid w:val="00E9302B"/>
    <w:rsid w:val="00E9491A"/>
    <w:rsid w:val="00E94C1A"/>
    <w:rsid w:val="00E96E0A"/>
    <w:rsid w:val="00E97215"/>
    <w:rsid w:val="00E97776"/>
    <w:rsid w:val="00E97B1D"/>
    <w:rsid w:val="00EA095A"/>
    <w:rsid w:val="00EA0B73"/>
    <w:rsid w:val="00EA2185"/>
    <w:rsid w:val="00EA4E0D"/>
    <w:rsid w:val="00EA53A8"/>
    <w:rsid w:val="00EA5529"/>
    <w:rsid w:val="00EA5F26"/>
    <w:rsid w:val="00EA606C"/>
    <w:rsid w:val="00EA6131"/>
    <w:rsid w:val="00EA7B2D"/>
    <w:rsid w:val="00EA7BCB"/>
    <w:rsid w:val="00EB10CF"/>
    <w:rsid w:val="00EB1BEC"/>
    <w:rsid w:val="00EB1CD4"/>
    <w:rsid w:val="00EB381D"/>
    <w:rsid w:val="00EB41F8"/>
    <w:rsid w:val="00EB50C0"/>
    <w:rsid w:val="00EB5796"/>
    <w:rsid w:val="00EB5856"/>
    <w:rsid w:val="00EB69EF"/>
    <w:rsid w:val="00EB70A7"/>
    <w:rsid w:val="00EC1997"/>
    <w:rsid w:val="00EC25E2"/>
    <w:rsid w:val="00EC423F"/>
    <w:rsid w:val="00EC54AF"/>
    <w:rsid w:val="00EC5C92"/>
    <w:rsid w:val="00EC65DC"/>
    <w:rsid w:val="00EC757B"/>
    <w:rsid w:val="00EC7693"/>
    <w:rsid w:val="00EC78A6"/>
    <w:rsid w:val="00ED0453"/>
    <w:rsid w:val="00ED0BEA"/>
    <w:rsid w:val="00ED1D25"/>
    <w:rsid w:val="00ED20C3"/>
    <w:rsid w:val="00ED26AA"/>
    <w:rsid w:val="00ED31D1"/>
    <w:rsid w:val="00ED3631"/>
    <w:rsid w:val="00ED44FF"/>
    <w:rsid w:val="00ED47C7"/>
    <w:rsid w:val="00ED533F"/>
    <w:rsid w:val="00ED7F74"/>
    <w:rsid w:val="00ED7FEF"/>
    <w:rsid w:val="00EE1DBA"/>
    <w:rsid w:val="00EE3188"/>
    <w:rsid w:val="00EE3B10"/>
    <w:rsid w:val="00EE3EC7"/>
    <w:rsid w:val="00EE40E3"/>
    <w:rsid w:val="00EE5CA6"/>
    <w:rsid w:val="00EE6DD9"/>
    <w:rsid w:val="00EF00BE"/>
    <w:rsid w:val="00EF0C16"/>
    <w:rsid w:val="00EF102E"/>
    <w:rsid w:val="00EF10F8"/>
    <w:rsid w:val="00EF15D3"/>
    <w:rsid w:val="00EF20E6"/>
    <w:rsid w:val="00EF21DD"/>
    <w:rsid w:val="00EF3CBD"/>
    <w:rsid w:val="00EF431B"/>
    <w:rsid w:val="00EF59BF"/>
    <w:rsid w:val="00EF640E"/>
    <w:rsid w:val="00EF7EC1"/>
    <w:rsid w:val="00F0025E"/>
    <w:rsid w:val="00F00304"/>
    <w:rsid w:val="00F00E4E"/>
    <w:rsid w:val="00F012CE"/>
    <w:rsid w:val="00F0137C"/>
    <w:rsid w:val="00F01AD7"/>
    <w:rsid w:val="00F02AC6"/>
    <w:rsid w:val="00F0338C"/>
    <w:rsid w:val="00F03D8A"/>
    <w:rsid w:val="00F04745"/>
    <w:rsid w:val="00F05730"/>
    <w:rsid w:val="00F062BD"/>
    <w:rsid w:val="00F06310"/>
    <w:rsid w:val="00F06E0E"/>
    <w:rsid w:val="00F074D0"/>
    <w:rsid w:val="00F07D10"/>
    <w:rsid w:val="00F07D2D"/>
    <w:rsid w:val="00F10048"/>
    <w:rsid w:val="00F10D79"/>
    <w:rsid w:val="00F10EA9"/>
    <w:rsid w:val="00F110D8"/>
    <w:rsid w:val="00F110DB"/>
    <w:rsid w:val="00F11258"/>
    <w:rsid w:val="00F12130"/>
    <w:rsid w:val="00F12534"/>
    <w:rsid w:val="00F12DA5"/>
    <w:rsid w:val="00F13098"/>
    <w:rsid w:val="00F1390A"/>
    <w:rsid w:val="00F13CA5"/>
    <w:rsid w:val="00F150A7"/>
    <w:rsid w:val="00F15165"/>
    <w:rsid w:val="00F1528D"/>
    <w:rsid w:val="00F15934"/>
    <w:rsid w:val="00F159DE"/>
    <w:rsid w:val="00F166B5"/>
    <w:rsid w:val="00F20154"/>
    <w:rsid w:val="00F21A9E"/>
    <w:rsid w:val="00F21BC5"/>
    <w:rsid w:val="00F22DC6"/>
    <w:rsid w:val="00F22EC3"/>
    <w:rsid w:val="00F23230"/>
    <w:rsid w:val="00F232BF"/>
    <w:rsid w:val="00F2394C"/>
    <w:rsid w:val="00F259DA"/>
    <w:rsid w:val="00F261C5"/>
    <w:rsid w:val="00F2639C"/>
    <w:rsid w:val="00F26E2E"/>
    <w:rsid w:val="00F27393"/>
    <w:rsid w:val="00F30819"/>
    <w:rsid w:val="00F312CE"/>
    <w:rsid w:val="00F31407"/>
    <w:rsid w:val="00F319CA"/>
    <w:rsid w:val="00F320EF"/>
    <w:rsid w:val="00F32357"/>
    <w:rsid w:val="00F32814"/>
    <w:rsid w:val="00F33C43"/>
    <w:rsid w:val="00F34EF9"/>
    <w:rsid w:val="00F3511A"/>
    <w:rsid w:val="00F3686F"/>
    <w:rsid w:val="00F40047"/>
    <w:rsid w:val="00F40B0C"/>
    <w:rsid w:val="00F418EE"/>
    <w:rsid w:val="00F41C08"/>
    <w:rsid w:val="00F41C72"/>
    <w:rsid w:val="00F42785"/>
    <w:rsid w:val="00F42D24"/>
    <w:rsid w:val="00F43684"/>
    <w:rsid w:val="00F45B0B"/>
    <w:rsid w:val="00F45F88"/>
    <w:rsid w:val="00F465C6"/>
    <w:rsid w:val="00F46EAE"/>
    <w:rsid w:val="00F47238"/>
    <w:rsid w:val="00F47D60"/>
    <w:rsid w:val="00F51736"/>
    <w:rsid w:val="00F51B05"/>
    <w:rsid w:val="00F538A5"/>
    <w:rsid w:val="00F53AE1"/>
    <w:rsid w:val="00F53BD7"/>
    <w:rsid w:val="00F53C89"/>
    <w:rsid w:val="00F54039"/>
    <w:rsid w:val="00F54334"/>
    <w:rsid w:val="00F559B5"/>
    <w:rsid w:val="00F563EC"/>
    <w:rsid w:val="00F56471"/>
    <w:rsid w:val="00F56C57"/>
    <w:rsid w:val="00F57539"/>
    <w:rsid w:val="00F5797A"/>
    <w:rsid w:val="00F61141"/>
    <w:rsid w:val="00F6167F"/>
    <w:rsid w:val="00F62592"/>
    <w:rsid w:val="00F626E5"/>
    <w:rsid w:val="00F63C5A"/>
    <w:rsid w:val="00F70426"/>
    <w:rsid w:val="00F70627"/>
    <w:rsid w:val="00F7070C"/>
    <w:rsid w:val="00F71FDF"/>
    <w:rsid w:val="00F724D7"/>
    <w:rsid w:val="00F72ACB"/>
    <w:rsid w:val="00F72B7D"/>
    <w:rsid w:val="00F73281"/>
    <w:rsid w:val="00F73863"/>
    <w:rsid w:val="00F74010"/>
    <w:rsid w:val="00F77C6D"/>
    <w:rsid w:val="00F77F78"/>
    <w:rsid w:val="00F80B1E"/>
    <w:rsid w:val="00F81632"/>
    <w:rsid w:val="00F8172F"/>
    <w:rsid w:val="00F81A30"/>
    <w:rsid w:val="00F81C90"/>
    <w:rsid w:val="00F8365D"/>
    <w:rsid w:val="00F8419F"/>
    <w:rsid w:val="00F849D2"/>
    <w:rsid w:val="00F86F88"/>
    <w:rsid w:val="00F9161B"/>
    <w:rsid w:val="00F918F3"/>
    <w:rsid w:val="00F91D3A"/>
    <w:rsid w:val="00F9204E"/>
    <w:rsid w:val="00F9273F"/>
    <w:rsid w:val="00F9308F"/>
    <w:rsid w:val="00F93274"/>
    <w:rsid w:val="00F93AE0"/>
    <w:rsid w:val="00F93D2B"/>
    <w:rsid w:val="00F946F7"/>
    <w:rsid w:val="00F955B1"/>
    <w:rsid w:val="00F97A76"/>
    <w:rsid w:val="00FA033D"/>
    <w:rsid w:val="00FA0340"/>
    <w:rsid w:val="00FA170A"/>
    <w:rsid w:val="00FA1DA3"/>
    <w:rsid w:val="00FA2314"/>
    <w:rsid w:val="00FA38B2"/>
    <w:rsid w:val="00FA3C52"/>
    <w:rsid w:val="00FA4E14"/>
    <w:rsid w:val="00FA5687"/>
    <w:rsid w:val="00FA69FF"/>
    <w:rsid w:val="00FA71A4"/>
    <w:rsid w:val="00FA7921"/>
    <w:rsid w:val="00FB0301"/>
    <w:rsid w:val="00FB0699"/>
    <w:rsid w:val="00FB08AC"/>
    <w:rsid w:val="00FB199E"/>
    <w:rsid w:val="00FB2316"/>
    <w:rsid w:val="00FB2F1C"/>
    <w:rsid w:val="00FB3137"/>
    <w:rsid w:val="00FB3BF6"/>
    <w:rsid w:val="00FB5CEC"/>
    <w:rsid w:val="00FB5F79"/>
    <w:rsid w:val="00FB607C"/>
    <w:rsid w:val="00FB6308"/>
    <w:rsid w:val="00FB634C"/>
    <w:rsid w:val="00FB645D"/>
    <w:rsid w:val="00FB6A0D"/>
    <w:rsid w:val="00FB74D6"/>
    <w:rsid w:val="00FB7704"/>
    <w:rsid w:val="00FB78B9"/>
    <w:rsid w:val="00FC0C58"/>
    <w:rsid w:val="00FC0EB0"/>
    <w:rsid w:val="00FC15C7"/>
    <w:rsid w:val="00FC1A30"/>
    <w:rsid w:val="00FC20DC"/>
    <w:rsid w:val="00FC20EE"/>
    <w:rsid w:val="00FC26D4"/>
    <w:rsid w:val="00FC2E83"/>
    <w:rsid w:val="00FC33ED"/>
    <w:rsid w:val="00FC5544"/>
    <w:rsid w:val="00FC5CCD"/>
    <w:rsid w:val="00FC5D88"/>
    <w:rsid w:val="00FC606E"/>
    <w:rsid w:val="00FC78A7"/>
    <w:rsid w:val="00FD07C3"/>
    <w:rsid w:val="00FD0CCC"/>
    <w:rsid w:val="00FD126D"/>
    <w:rsid w:val="00FD13C4"/>
    <w:rsid w:val="00FD1AD8"/>
    <w:rsid w:val="00FD2223"/>
    <w:rsid w:val="00FD2476"/>
    <w:rsid w:val="00FD2501"/>
    <w:rsid w:val="00FD430A"/>
    <w:rsid w:val="00FD4D01"/>
    <w:rsid w:val="00FD516D"/>
    <w:rsid w:val="00FD5428"/>
    <w:rsid w:val="00FD5E71"/>
    <w:rsid w:val="00FD66BF"/>
    <w:rsid w:val="00FD75C7"/>
    <w:rsid w:val="00FD7B31"/>
    <w:rsid w:val="00FE1B9F"/>
    <w:rsid w:val="00FE30C1"/>
    <w:rsid w:val="00FE3479"/>
    <w:rsid w:val="00FE36E3"/>
    <w:rsid w:val="00FE3850"/>
    <w:rsid w:val="00FE66A1"/>
    <w:rsid w:val="00FE7CDA"/>
    <w:rsid w:val="00FF0282"/>
    <w:rsid w:val="00FF0BF6"/>
    <w:rsid w:val="00FF11D0"/>
    <w:rsid w:val="00FF18D0"/>
    <w:rsid w:val="00FF3A98"/>
    <w:rsid w:val="00FF4E19"/>
    <w:rsid w:val="00FF50BD"/>
    <w:rsid w:val="00FF67F4"/>
    <w:rsid w:val="00FF7049"/>
    <w:rsid w:val="00FF7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D7942"/>
  <w15:chartTrackingRefBased/>
  <w15:docId w15:val="{6418060D-D853-433C-9C7A-A09F9B5AF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3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13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813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813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13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1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3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13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813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813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13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1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311"/>
    <w:rPr>
      <w:rFonts w:eastAsiaTheme="majorEastAsia" w:cstheme="majorBidi"/>
      <w:color w:val="272727" w:themeColor="text1" w:themeTint="D8"/>
    </w:rPr>
  </w:style>
  <w:style w:type="paragraph" w:styleId="Title">
    <w:name w:val="Title"/>
    <w:basedOn w:val="Normal"/>
    <w:next w:val="Normal"/>
    <w:link w:val="TitleChar"/>
    <w:uiPriority w:val="10"/>
    <w:qFormat/>
    <w:rsid w:val="00A81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311"/>
    <w:pPr>
      <w:spacing w:before="160"/>
      <w:jc w:val="center"/>
    </w:pPr>
    <w:rPr>
      <w:i/>
      <w:iCs/>
      <w:color w:val="404040" w:themeColor="text1" w:themeTint="BF"/>
    </w:rPr>
  </w:style>
  <w:style w:type="character" w:customStyle="1" w:styleId="QuoteChar">
    <w:name w:val="Quote Char"/>
    <w:basedOn w:val="DefaultParagraphFont"/>
    <w:link w:val="Quote"/>
    <w:uiPriority w:val="29"/>
    <w:rsid w:val="00A81311"/>
    <w:rPr>
      <w:i/>
      <w:iCs/>
      <w:color w:val="404040" w:themeColor="text1" w:themeTint="BF"/>
    </w:rPr>
  </w:style>
  <w:style w:type="paragraph" w:styleId="ListParagraph">
    <w:name w:val="List Paragraph"/>
    <w:basedOn w:val="Normal"/>
    <w:uiPriority w:val="34"/>
    <w:qFormat/>
    <w:rsid w:val="00A81311"/>
    <w:pPr>
      <w:ind w:left="720"/>
      <w:contextualSpacing/>
    </w:pPr>
  </w:style>
  <w:style w:type="character" w:styleId="IntenseEmphasis">
    <w:name w:val="Intense Emphasis"/>
    <w:basedOn w:val="DefaultParagraphFont"/>
    <w:uiPriority w:val="21"/>
    <w:qFormat/>
    <w:rsid w:val="00A81311"/>
    <w:rPr>
      <w:i/>
      <w:iCs/>
      <w:color w:val="2F5496" w:themeColor="accent1" w:themeShade="BF"/>
    </w:rPr>
  </w:style>
  <w:style w:type="paragraph" w:styleId="IntenseQuote">
    <w:name w:val="Intense Quote"/>
    <w:basedOn w:val="Normal"/>
    <w:next w:val="Normal"/>
    <w:link w:val="IntenseQuoteChar"/>
    <w:uiPriority w:val="30"/>
    <w:qFormat/>
    <w:rsid w:val="00A813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1311"/>
    <w:rPr>
      <w:i/>
      <w:iCs/>
      <w:color w:val="2F5496" w:themeColor="accent1" w:themeShade="BF"/>
    </w:rPr>
  </w:style>
  <w:style w:type="character" w:styleId="IntenseReference">
    <w:name w:val="Intense Reference"/>
    <w:basedOn w:val="DefaultParagraphFont"/>
    <w:uiPriority w:val="32"/>
    <w:qFormat/>
    <w:rsid w:val="00A81311"/>
    <w:rPr>
      <w:b/>
      <w:bCs/>
      <w:smallCaps/>
      <w:color w:val="2F5496" w:themeColor="accent1" w:themeShade="BF"/>
      <w:spacing w:val="5"/>
    </w:rPr>
  </w:style>
  <w:style w:type="table" w:styleId="TableGrid">
    <w:name w:val="Table Grid"/>
    <w:basedOn w:val="TableNormal"/>
    <w:uiPriority w:val="59"/>
    <w:rsid w:val="00C86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C8608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3C7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402"/>
  </w:style>
  <w:style w:type="paragraph" w:styleId="Footer">
    <w:name w:val="footer"/>
    <w:basedOn w:val="Normal"/>
    <w:link w:val="FooterChar"/>
    <w:uiPriority w:val="99"/>
    <w:unhideWhenUsed/>
    <w:rsid w:val="003C7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402"/>
  </w:style>
  <w:style w:type="paragraph" w:styleId="Bibliography">
    <w:name w:val="Bibliography"/>
    <w:basedOn w:val="Normal"/>
    <w:next w:val="Normal"/>
    <w:uiPriority w:val="37"/>
    <w:unhideWhenUsed/>
    <w:rsid w:val="008729DB"/>
  </w:style>
  <w:style w:type="table" w:styleId="GridTable6ColourfulAccent6">
    <w:name w:val="Grid Table 6 Colorful Accent 6"/>
    <w:basedOn w:val="TableNormal"/>
    <w:uiPriority w:val="51"/>
    <w:rsid w:val="00442657"/>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urfulAccent4">
    <w:name w:val="Grid Table 6 Colorful Accent 4"/>
    <w:basedOn w:val="TableNormal"/>
    <w:uiPriority w:val="51"/>
    <w:rsid w:val="00A705A1"/>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urfulAccent2">
    <w:name w:val="Grid Table 6 Colorful Accent 2"/>
    <w:basedOn w:val="TableNormal"/>
    <w:uiPriority w:val="51"/>
    <w:rsid w:val="00DE6FB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3E488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3E488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urfulAccent4">
    <w:name w:val="List Table 6 Colorful Accent 4"/>
    <w:basedOn w:val="TableNormal"/>
    <w:uiPriority w:val="51"/>
    <w:rsid w:val="003E4882"/>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5">
    <w:name w:val="Grid Table 3 Accent 5"/>
    <w:basedOn w:val="TableNormal"/>
    <w:uiPriority w:val="48"/>
    <w:rsid w:val="003E488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6">
    <w:name w:val="Grid Table 2 Accent 6"/>
    <w:basedOn w:val="TableNormal"/>
    <w:uiPriority w:val="47"/>
    <w:rsid w:val="003E4882"/>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2">
    <w:name w:val="Grid Table 2 Accent 2"/>
    <w:basedOn w:val="TableNormal"/>
    <w:uiPriority w:val="47"/>
    <w:rsid w:val="002C670D"/>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Accent6">
    <w:name w:val="List Table 3 Accent 6"/>
    <w:basedOn w:val="TableNormal"/>
    <w:uiPriority w:val="48"/>
    <w:rsid w:val="00D93B34"/>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6ColourfulAccent6">
    <w:name w:val="List Table 6 Colorful Accent 6"/>
    <w:basedOn w:val="TableNormal"/>
    <w:uiPriority w:val="51"/>
    <w:rsid w:val="00D93B34"/>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B97AEE"/>
    <w:rPr>
      <w:i/>
      <w:iCs/>
    </w:rPr>
  </w:style>
  <w:style w:type="character" w:styleId="Hyperlink">
    <w:name w:val="Hyperlink"/>
    <w:basedOn w:val="DefaultParagraphFont"/>
    <w:uiPriority w:val="99"/>
    <w:unhideWhenUsed/>
    <w:rsid w:val="00E21BF0"/>
    <w:rPr>
      <w:color w:val="0000FF"/>
      <w:u w:val="single"/>
    </w:rPr>
  </w:style>
  <w:style w:type="character" w:customStyle="1" w:styleId="contents">
    <w:name w:val="contents"/>
    <w:basedOn w:val="DefaultParagraphFont"/>
    <w:rsid w:val="00E33FF5"/>
  </w:style>
  <w:style w:type="character" w:styleId="FollowedHyperlink">
    <w:name w:val="FollowedHyperlink"/>
    <w:basedOn w:val="DefaultParagraphFont"/>
    <w:uiPriority w:val="99"/>
    <w:semiHidden/>
    <w:unhideWhenUsed/>
    <w:rsid w:val="003A0752"/>
    <w:rPr>
      <w:color w:val="954F72" w:themeColor="followedHyperlink"/>
      <w:u w:val="single"/>
    </w:rPr>
  </w:style>
  <w:style w:type="character" w:styleId="Strong">
    <w:name w:val="Strong"/>
    <w:basedOn w:val="DefaultParagraphFont"/>
    <w:uiPriority w:val="22"/>
    <w:qFormat/>
    <w:rsid w:val="00C31F8D"/>
    <w:rPr>
      <w:b/>
      <w:bCs/>
    </w:rPr>
  </w:style>
  <w:style w:type="character" w:styleId="UnresolvedMention">
    <w:name w:val="Unresolved Mention"/>
    <w:basedOn w:val="DefaultParagraphFont"/>
    <w:uiPriority w:val="99"/>
    <w:semiHidden/>
    <w:unhideWhenUsed/>
    <w:rsid w:val="00081B0C"/>
    <w:rPr>
      <w:color w:val="605E5C"/>
      <w:shd w:val="clear" w:color="auto" w:fill="E1DFDD"/>
    </w:rPr>
  </w:style>
  <w:style w:type="paragraph" w:styleId="Caption">
    <w:name w:val="caption"/>
    <w:basedOn w:val="Normal"/>
    <w:next w:val="Normal"/>
    <w:uiPriority w:val="35"/>
    <w:unhideWhenUsed/>
    <w:qFormat/>
    <w:rsid w:val="004106E9"/>
    <w:pPr>
      <w:spacing w:after="200" w:line="240" w:lineRule="auto"/>
    </w:pPr>
    <w:rPr>
      <w:i/>
      <w:iCs/>
      <w:color w:val="44546A" w:themeColor="text2"/>
      <w:sz w:val="18"/>
      <w:szCs w:val="18"/>
    </w:rPr>
  </w:style>
  <w:style w:type="paragraph" w:styleId="NoSpacing">
    <w:name w:val="No Spacing"/>
    <w:uiPriority w:val="1"/>
    <w:qFormat/>
    <w:rsid w:val="00A21AEF"/>
    <w:pPr>
      <w:spacing w:after="0" w:line="240" w:lineRule="auto"/>
    </w:pPr>
    <w:rPr>
      <w:rFonts w:eastAsiaTheme="minorEastAsia"/>
      <w:kern w:val="0"/>
      <w:lang w:val="en-US"/>
      <w14:ligatures w14:val="none"/>
    </w:rPr>
  </w:style>
  <w:style w:type="paragraph" w:styleId="BodyText">
    <w:name w:val="Body Text"/>
    <w:basedOn w:val="Normal"/>
    <w:link w:val="BodyTextChar"/>
    <w:uiPriority w:val="99"/>
    <w:unhideWhenUsed/>
    <w:rsid w:val="00A21AEF"/>
    <w:pPr>
      <w:spacing w:after="120" w:line="276" w:lineRule="auto"/>
    </w:pPr>
    <w:rPr>
      <w:rFonts w:ascii="Arial" w:eastAsiaTheme="minorEastAsia" w:hAnsi="Arial"/>
      <w:kern w:val="0"/>
      <w:sz w:val="17"/>
      <w:lang w:val="en-US"/>
      <w14:ligatures w14:val="none"/>
    </w:rPr>
  </w:style>
  <w:style w:type="character" w:customStyle="1" w:styleId="BodyTextChar">
    <w:name w:val="Body Text Char"/>
    <w:basedOn w:val="DefaultParagraphFont"/>
    <w:link w:val="BodyText"/>
    <w:uiPriority w:val="99"/>
    <w:rsid w:val="00A21AEF"/>
    <w:rPr>
      <w:rFonts w:ascii="Arial" w:eastAsiaTheme="minorEastAsia" w:hAnsi="Arial"/>
      <w:kern w:val="0"/>
      <w:sz w:val="17"/>
      <w:lang w:val="en-US"/>
      <w14:ligatures w14:val="none"/>
    </w:rPr>
  </w:style>
  <w:style w:type="paragraph" w:styleId="BodyText2">
    <w:name w:val="Body Text 2"/>
    <w:basedOn w:val="Normal"/>
    <w:link w:val="BodyText2Char"/>
    <w:uiPriority w:val="99"/>
    <w:unhideWhenUsed/>
    <w:rsid w:val="00A21AEF"/>
    <w:pPr>
      <w:spacing w:after="120" w:line="480" w:lineRule="auto"/>
    </w:pPr>
    <w:rPr>
      <w:rFonts w:ascii="Arial" w:eastAsiaTheme="minorEastAsia" w:hAnsi="Arial"/>
      <w:kern w:val="0"/>
      <w:sz w:val="17"/>
      <w:lang w:val="en-US"/>
      <w14:ligatures w14:val="none"/>
    </w:rPr>
  </w:style>
  <w:style w:type="character" w:customStyle="1" w:styleId="BodyText2Char">
    <w:name w:val="Body Text 2 Char"/>
    <w:basedOn w:val="DefaultParagraphFont"/>
    <w:link w:val="BodyText2"/>
    <w:uiPriority w:val="99"/>
    <w:rsid w:val="00A21AEF"/>
    <w:rPr>
      <w:rFonts w:ascii="Arial" w:eastAsiaTheme="minorEastAsia" w:hAnsi="Arial"/>
      <w:kern w:val="0"/>
      <w:sz w:val="17"/>
      <w:lang w:val="en-US"/>
      <w14:ligatures w14:val="none"/>
    </w:rPr>
  </w:style>
  <w:style w:type="paragraph" w:styleId="BodyText3">
    <w:name w:val="Body Text 3"/>
    <w:basedOn w:val="Normal"/>
    <w:link w:val="BodyText3Char"/>
    <w:uiPriority w:val="99"/>
    <w:unhideWhenUsed/>
    <w:rsid w:val="00A21AEF"/>
    <w:pPr>
      <w:spacing w:after="120" w:line="276" w:lineRule="auto"/>
    </w:pPr>
    <w:rPr>
      <w:rFonts w:ascii="Arial" w:eastAsiaTheme="minorEastAsia" w:hAnsi="Arial"/>
      <w:kern w:val="0"/>
      <w:sz w:val="16"/>
      <w:szCs w:val="16"/>
      <w:lang w:val="en-US"/>
      <w14:ligatures w14:val="none"/>
    </w:rPr>
  </w:style>
  <w:style w:type="character" w:customStyle="1" w:styleId="BodyText3Char">
    <w:name w:val="Body Text 3 Char"/>
    <w:basedOn w:val="DefaultParagraphFont"/>
    <w:link w:val="BodyText3"/>
    <w:uiPriority w:val="99"/>
    <w:rsid w:val="00A21AEF"/>
    <w:rPr>
      <w:rFonts w:ascii="Arial" w:eastAsiaTheme="minorEastAsia" w:hAnsi="Arial"/>
      <w:kern w:val="0"/>
      <w:sz w:val="16"/>
      <w:szCs w:val="16"/>
      <w:lang w:val="en-US"/>
      <w14:ligatures w14:val="none"/>
    </w:rPr>
  </w:style>
  <w:style w:type="paragraph" w:styleId="List">
    <w:name w:val="List"/>
    <w:basedOn w:val="Normal"/>
    <w:uiPriority w:val="99"/>
    <w:unhideWhenUsed/>
    <w:rsid w:val="00A21AEF"/>
    <w:pPr>
      <w:spacing w:after="200" w:line="276" w:lineRule="auto"/>
      <w:ind w:left="360" w:hanging="360"/>
      <w:contextualSpacing/>
    </w:pPr>
    <w:rPr>
      <w:rFonts w:ascii="Arial" w:eastAsiaTheme="minorEastAsia" w:hAnsi="Arial"/>
      <w:kern w:val="0"/>
      <w:sz w:val="17"/>
      <w:lang w:val="en-US"/>
      <w14:ligatures w14:val="none"/>
    </w:rPr>
  </w:style>
  <w:style w:type="paragraph" w:styleId="List2">
    <w:name w:val="List 2"/>
    <w:basedOn w:val="Normal"/>
    <w:uiPriority w:val="99"/>
    <w:unhideWhenUsed/>
    <w:rsid w:val="00A21AEF"/>
    <w:pPr>
      <w:spacing w:after="200" w:line="276" w:lineRule="auto"/>
      <w:ind w:left="720" w:hanging="360"/>
      <w:contextualSpacing/>
    </w:pPr>
    <w:rPr>
      <w:rFonts w:ascii="Arial" w:eastAsiaTheme="minorEastAsia" w:hAnsi="Arial"/>
      <w:kern w:val="0"/>
      <w:sz w:val="17"/>
      <w:lang w:val="en-US"/>
      <w14:ligatures w14:val="none"/>
    </w:rPr>
  </w:style>
  <w:style w:type="paragraph" w:styleId="List3">
    <w:name w:val="List 3"/>
    <w:basedOn w:val="Normal"/>
    <w:uiPriority w:val="99"/>
    <w:unhideWhenUsed/>
    <w:rsid w:val="00A21AEF"/>
    <w:pPr>
      <w:spacing w:after="200" w:line="276" w:lineRule="auto"/>
      <w:ind w:left="1080" w:hanging="360"/>
      <w:contextualSpacing/>
    </w:pPr>
    <w:rPr>
      <w:rFonts w:ascii="Arial" w:eastAsiaTheme="minorEastAsia" w:hAnsi="Arial"/>
      <w:kern w:val="0"/>
      <w:sz w:val="17"/>
      <w:lang w:val="en-US"/>
      <w14:ligatures w14:val="none"/>
    </w:rPr>
  </w:style>
  <w:style w:type="paragraph" w:styleId="ListBullet">
    <w:name w:val="List Bullet"/>
    <w:basedOn w:val="Normal"/>
    <w:uiPriority w:val="99"/>
    <w:unhideWhenUsed/>
    <w:rsid w:val="00A21AEF"/>
    <w:pPr>
      <w:numPr>
        <w:numId w:val="7"/>
      </w:numPr>
      <w:tabs>
        <w:tab w:val="clear" w:pos="360"/>
      </w:tabs>
      <w:spacing w:after="200" w:line="276" w:lineRule="auto"/>
      <w:ind w:left="0" w:firstLine="0"/>
      <w:contextualSpacing/>
    </w:pPr>
    <w:rPr>
      <w:rFonts w:ascii="Arial" w:eastAsiaTheme="minorEastAsia" w:hAnsi="Arial"/>
      <w:kern w:val="0"/>
      <w:sz w:val="17"/>
      <w:lang w:val="en-US"/>
      <w14:ligatures w14:val="none"/>
    </w:rPr>
  </w:style>
  <w:style w:type="paragraph" w:styleId="ListBullet2">
    <w:name w:val="List Bullet 2"/>
    <w:basedOn w:val="Normal"/>
    <w:uiPriority w:val="99"/>
    <w:unhideWhenUsed/>
    <w:rsid w:val="00A21AEF"/>
    <w:pPr>
      <w:numPr>
        <w:numId w:val="8"/>
      </w:numPr>
      <w:tabs>
        <w:tab w:val="clear" w:pos="720"/>
      </w:tabs>
      <w:spacing w:after="200" w:line="276" w:lineRule="auto"/>
      <w:ind w:left="0" w:firstLine="0"/>
      <w:contextualSpacing/>
    </w:pPr>
    <w:rPr>
      <w:rFonts w:ascii="Arial" w:eastAsiaTheme="minorEastAsia" w:hAnsi="Arial"/>
      <w:kern w:val="0"/>
      <w:sz w:val="17"/>
      <w:lang w:val="en-US"/>
      <w14:ligatures w14:val="none"/>
    </w:rPr>
  </w:style>
  <w:style w:type="paragraph" w:styleId="ListBullet3">
    <w:name w:val="List Bullet 3"/>
    <w:basedOn w:val="Normal"/>
    <w:uiPriority w:val="99"/>
    <w:unhideWhenUsed/>
    <w:rsid w:val="00A21AEF"/>
    <w:pPr>
      <w:numPr>
        <w:numId w:val="9"/>
      </w:numPr>
      <w:tabs>
        <w:tab w:val="clear" w:pos="1080"/>
      </w:tabs>
      <w:spacing w:after="200" w:line="276" w:lineRule="auto"/>
      <w:ind w:left="0" w:firstLine="0"/>
      <w:contextualSpacing/>
    </w:pPr>
    <w:rPr>
      <w:rFonts w:ascii="Arial" w:eastAsiaTheme="minorEastAsia" w:hAnsi="Arial"/>
      <w:kern w:val="0"/>
      <w:sz w:val="17"/>
      <w:lang w:val="en-US"/>
      <w14:ligatures w14:val="none"/>
    </w:rPr>
  </w:style>
  <w:style w:type="paragraph" w:styleId="ListNumber">
    <w:name w:val="List Number"/>
    <w:basedOn w:val="Normal"/>
    <w:uiPriority w:val="99"/>
    <w:unhideWhenUsed/>
    <w:rsid w:val="00A21AEF"/>
    <w:pPr>
      <w:numPr>
        <w:numId w:val="11"/>
      </w:numPr>
      <w:tabs>
        <w:tab w:val="clear" w:pos="360"/>
      </w:tabs>
      <w:spacing w:after="200" w:line="276" w:lineRule="auto"/>
      <w:ind w:left="0" w:firstLine="0"/>
      <w:contextualSpacing/>
    </w:pPr>
    <w:rPr>
      <w:rFonts w:ascii="Arial" w:eastAsiaTheme="minorEastAsia" w:hAnsi="Arial"/>
      <w:kern w:val="0"/>
      <w:sz w:val="17"/>
      <w:lang w:val="en-US"/>
      <w14:ligatures w14:val="none"/>
    </w:rPr>
  </w:style>
  <w:style w:type="paragraph" w:styleId="ListNumber2">
    <w:name w:val="List Number 2"/>
    <w:basedOn w:val="Normal"/>
    <w:uiPriority w:val="99"/>
    <w:unhideWhenUsed/>
    <w:rsid w:val="00A21AEF"/>
    <w:pPr>
      <w:numPr>
        <w:numId w:val="12"/>
      </w:numPr>
      <w:tabs>
        <w:tab w:val="clear" w:pos="720"/>
      </w:tabs>
      <w:spacing w:after="200" w:line="276" w:lineRule="auto"/>
      <w:ind w:left="0" w:firstLine="0"/>
      <w:contextualSpacing/>
    </w:pPr>
    <w:rPr>
      <w:rFonts w:ascii="Arial" w:eastAsiaTheme="minorEastAsia" w:hAnsi="Arial"/>
      <w:kern w:val="0"/>
      <w:sz w:val="17"/>
      <w:lang w:val="en-US"/>
      <w14:ligatures w14:val="none"/>
    </w:rPr>
  </w:style>
  <w:style w:type="paragraph" w:styleId="ListNumber3">
    <w:name w:val="List Number 3"/>
    <w:basedOn w:val="Normal"/>
    <w:uiPriority w:val="99"/>
    <w:unhideWhenUsed/>
    <w:rsid w:val="00A21AEF"/>
    <w:pPr>
      <w:numPr>
        <w:numId w:val="13"/>
      </w:numPr>
      <w:tabs>
        <w:tab w:val="clear" w:pos="1080"/>
      </w:tabs>
      <w:spacing w:after="200" w:line="276" w:lineRule="auto"/>
      <w:ind w:left="0" w:firstLine="0"/>
      <w:contextualSpacing/>
    </w:pPr>
    <w:rPr>
      <w:rFonts w:ascii="Arial" w:eastAsiaTheme="minorEastAsia" w:hAnsi="Arial"/>
      <w:kern w:val="0"/>
      <w:sz w:val="17"/>
      <w:lang w:val="en-US"/>
      <w14:ligatures w14:val="none"/>
    </w:rPr>
  </w:style>
  <w:style w:type="paragraph" w:styleId="ListContinue">
    <w:name w:val="List Continue"/>
    <w:basedOn w:val="Normal"/>
    <w:uiPriority w:val="99"/>
    <w:unhideWhenUsed/>
    <w:rsid w:val="00A21AEF"/>
    <w:pPr>
      <w:spacing w:after="120" w:line="276" w:lineRule="auto"/>
      <w:ind w:left="360"/>
      <w:contextualSpacing/>
    </w:pPr>
    <w:rPr>
      <w:rFonts w:ascii="Arial" w:eastAsiaTheme="minorEastAsia" w:hAnsi="Arial"/>
      <w:kern w:val="0"/>
      <w:sz w:val="17"/>
      <w:lang w:val="en-US"/>
      <w14:ligatures w14:val="none"/>
    </w:rPr>
  </w:style>
  <w:style w:type="paragraph" w:styleId="ListContinue2">
    <w:name w:val="List Continue 2"/>
    <w:basedOn w:val="Normal"/>
    <w:uiPriority w:val="99"/>
    <w:unhideWhenUsed/>
    <w:rsid w:val="00A21AEF"/>
    <w:pPr>
      <w:spacing w:after="120" w:line="276" w:lineRule="auto"/>
      <w:ind w:left="720"/>
      <w:contextualSpacing/>
    </w:pPr>
    <w:rPr>
      <w:rFonts w:ascii="Arial" w:eastAsiaTheme="minorEastAsia" w:hAnsi="Arial"/>
      <w:kern w:val="0"/>
      <w:sz w:val="17"/>
      <w:lang w:val="en-US"/>
      <w14:ligatures w14:val="none"/>
    </w:rPr>
  </w:style>
  <w:style w:type="paragraph" w:styleId="ListContinue3">
    <w:name w:val="List Continue 3"/>
    <w:basedOn w:val="Normal"/>
    <w:uiPriority w:val="99"/>
    <w:unhideWhenUsed/>
    <w:rsid w:val="00A21AEF"/>
    <w:pPr>
      <w:spacing w:after="120" w:line="276" w:lineRule="auto"/>
      <w:ind w:left="1080"/>
      <w:contextualSpacing/>
    </w:pPr>
    <w:rPr>
      <w:rFonts w:ascii="Arial" w:eastAsiaTheme="minorEastAsia" w:hAnsi="Arial"/>
      <w:kern w:val="0"/>
      <w:sz w:val="17"/>
      <w:lang w:val="en-US"/>
      <w14:ligatures w14:val="none"/>
    </w:rPr>
  </w:style>
  <w:style w:type="paragraph" w:styleId="MacroText">
    <w:name w:val="macro"/>
    <w:link w:val="MacroTextChar"/>
    <w:uiPriority w:val="99"/>
    <w:unhideWhenUsed/>
    <w:rsid w:val="00A21AEF"/>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A21AEF"/>
    <w:rPr>
      <w:rFonts w:ascii="Courier" w:eastAsiaTheme="minorEastAsia" w:hAnsi="Courier"/>
      <w:kern w:val="0"/>
      <w:sz w:val="20"/>
      <w:szCs w:val="20"/>
      <w:lang w:val="en-US"/>
      <w14:ligatures w14:val="none"/>
    </w:rPr>
  </w:style>
  <w:style w:type="character" w:styleId="SubtleEmphasis">
    <w:name w:val="Subtle Emphasis"/>
    <w:basedOn w:val="DefaultParagraphFont"/>
    <w:uiPriority w:val="19"/>
    <w:qFormat/>
    <w:rsid w:val="00A21AEF"/>
    <w:rPr>
      <w:i/>
      <w:iCs/>
      <w:color w:val="808080" w:themeColor="text1" w:themeTint="7F"/>
    </w:rPr>
  </w:style>
  <w:style w:type="character" w:styleId="SubtleReference">
    <w:name w:val="Subtle Reference"/>
    <w:basedOn w:val="DefaultParagraphFont"/>
    <w:uiPriority w:val="31"/>
    <w:qFormat/>
    <w:rsid w:val="00A21AEF"/>
    <w:rPr>
      <w:smallCaps/>
      <w:color w:val="ED7D31" w:themeColor="accent2"/>
      <w:u w:val="single"/>
    </w:rPr>
  </w:style>
  <w:style w:type="character" w:styleId="BookTitle">
    <w:name w:val="Book Title"/>
    <w:basedOn w:val="DefaultParagraphFont"/>
    <w:uiPriority w:val="33"/>
    <w:qFormat/>
    <w:rsid w:val="00A21AEF"/>
    <w:rPr>
      <w:b/>
      <w:bCs/>
      <w:smallCaps/>
      <w:spacing w:val="5"/>
    </w:rPr>
  </w:style>
  <w:style w:type="paragraph" w:styleId="TOCHeading">
    <w:name w:val="TOC Heading"/>
    <w:basedOn w:val="Heading1"/>
    <w:next w:val="Normal"/>
    <w:uiPriority w:val="39"/>
    <w:unhideWhenUsed/>
    <w:qFormat/>
    <w:rsid w:val="00A21AEF"/>
    <w:pPr>
      <w:spacing w:before="480" w:after="0" w:line="276" w:lineRule="auto"/>
      <w:outlineLvl w:val="9"/>
    </w:pPr>
    <w:rPr>
      <w:b/>
      <w:bCs/>
      <w:kern w:val="0"/>
      <w:sz w:val="28"/>
      <w:szCs w:val="28"/>
      <w:lang w:val="en-US"/>
      <w14:ligatures w14:val="none"/>
    </w:rPr>
  </w:style>
  <w:style w:type="table" w:styleId="LightShading">
    <w:name w:val="Light Shading"/>
    <w:basedOn w:val="TableNormal"/>
    <w:uiPriority w:val="60"/>
    <w:rsid w:val="00A21AEF"/>
    <w:pPr>
      <w:spacing w:after="0" w:line="240" w:lineRule="auto"/>
    </w:pPr>
    <w:rPr>
      <w:rFonts w:eastAsiaTheme="minorEastAsia"/>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A21AEF"/>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A21AEF"/>
    <w:pPr>
      <w:spacing w:after="0" w:line="240" w:lineRule="auto"/>
    </w:pPr>
    <w:rPr>
      <w:rFonts w:eastAsiaTheme="minorEastAsia"/>
      <w:color w:val="C45911" w:themeColor="accent2" w:themeShade="BF"/>
      <w:kern w:val="0"/>
      <w:lang w:val="en-US"/>
      <w14:ligatures w14:val="none"/>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A21AEF"/>
    <w:pPr>
      <w:spacing w:after="0" w:line="240" w:lineRule="auto"/>
    </w:pPr>
    <w:rPr>
      <w:rFonts w:eastAsiaTheme="minorEastAsia"/>
      <w:color w:val="7B7B7B" w:themeColor="accent3" w:themeShade="BF"/>
      <w:kern w:val="0"/>
      <w:lang w:val="en-US"/>
      <w14:ligatures w14:val="none"/>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A21AEF"/>
    <w:pPr>
      <w:spacing w:after="0" w:line="240" w:lineRule="auto"/>
    </w:pPr>
    <w:rPr>
      <w:rFonts w:eastAsiaTheme="minorEastAsia"/>
      <w:color w:val="BF8F00" w:themeColor="accent4" w:themeShade="BF"/>
      <w:kern w:val="0"/>
      <w:lang w:val="en-US"/>
      <w14:ligatures w14:val="none"/>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A21AEF"/>
    <w:pPr>
      <w:spacing w:after="0" w:line="240" w:lineRule="auto"/>
    </w:pPr>
    <w:rPr>
      <w:rFonts w:eastAsiaTheme="minorEastAsia"/>
      <w:color w:val="2E74B5" w:themeColor="accent5" w:themeShade="BF"/>
      <w:kern w:val="0"/>
      <w:lang w:val="en-US"/>
      <w14:ligatures w14:val="none"/>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A21AEF"/>
    <w:pPr>
      <w:spacing w:after="0" w:line="240" w:lineRule="auto"/>
    </w:pPr>
    <w:rPr>
      <w:rFonts w:eastAsiaTheme="minorEastAsia"/>
      <w:color w:val="538135" w:themeColor="accent6" w:themeShade="BF"/>
      <w:kern w:val="0"/>
      <w:lang w:val="en-US"/>
      <w14:ligatures w14:val="none"/>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A21AEF"/>
    <w:pPr>
      <w:spacing w:after="0" w:line="240" w:lineRule="auto"/>
    </w:pPr>
    <w:rPr>
      <w:rFonts w:eastAsiaTheme="minorEastAsia"/>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A21AEF"/>
    <w:pPr>
      <w:spacing w:after="0" w:line="240" w:lineRule="auto"/>
    </w:pPr>
    <w:rPr>
      <w:rFonts w:eastAsiaTheme="minorEastAsia"/>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A21AEF"/>
    <w:pPr>
      <w:spacing w:after="0" w:line="240" w:lineRule="auto"/>
    </w:pPr>
    <w:rPr>
      <w:rFonts w:eastAsiaTheme="minorEastAsia"/>
      <w:kern w:val="0"/>
      <w:lang w:val="en-US"/>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A21AEF"/>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A21AEF"/>
    <w:pPr>
      <w:spacing w:after="0" w:line="240" w:lineRule="auto"/>
    </w:pPr>
    <w:rPr>
      <w:rFonts w:eastAsiaTheme="minorEastAsia"/>
      <w:kern w:val="0"/>
      <w:lang w:val="en-US"/>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A21AE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A21AEF"/>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A21AEF"/>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urfulShading">
    <w:name w:val="Colorful Shading"/>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urfulShadingAccent4">
    <w:name w:val="Colorful Shading Accent 4"/>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A21AEF"/>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urfulListAccent2">
    <w:name w:val="Colorful List Accent 2"/>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urfulListAccent3">
    <w:name w:val="Colorful List Accent 3"/>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urfulListAccent4">
    <w:name w:val="Colorful List Accent 4"/>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urfulListAccent5">
    <w:name w:val="Colorful List Accent 5"/>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urfulListAccent6">
    <w:name w:val="Colorful List Accent 6"/>
    <w:basedOn w:val="TableNormal"/>
    <w:uiPriority w:val="72"/>
    <w:rsid w:val="00A21AEF"/>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urfulGrid">
    <w:name w:val="Colorful Grid"/>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urfulGridAccent2">
    <w:name w:val="Colorful Grid Accent 2"/>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urfulGridAccent3">
    <w:name w:val="Colorful Grid Accent 3"/>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urfulGridAccent4">
    <w:name w:val="Colorful Grid Accent 4"/>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urfulGridAccent5">
    <w:name w:val="Colorful Grid Accent 5"/>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urfulGridAccent6">
    <w:name w:val="Colorful Grid Accent 6"/>
    <w:basedOn w:val="TableNormal"/>
    <w:uiPriority w:val="73"/>
    <w:rsid w:val="00A21AEF"/>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TOC1">
    <w:name w:val="toc 1"/>
    <w:basedOn w:val="Normal"/>
    <w:next w:val="Normal"/>
    <w:autoRedefine/>
    <w:uiPriority w:val="39"/>
    <w:unhideWhenUsed/>
    <w:rsid w:val="008A4E0B"/>
    <w:pPr>
      <w:spacing w:after="100"/>
    </w:pPr>
  </w:style>
  <w:style w:type="paragraph" w:styleId="TOC2">
    <w:name w:val="toc 2"/>
    <w:basedOn w:val="Normal"/>
    <w:next w:val="Normal"/>
    <w:autoRedefine/>
    <w:uiPriority w:val="39"/>
    <w:unhideWhenUsed/>
    <w:rsid w:val="008A4E0B"/>
    <w:pPr>
      <w:spacing w:after="100"/>
      <w:ind w:left="220"/>
    </w:pPr>
  </w:style>
  <w:style w:type="paragraph" w:styleId="TOC3">
    <w:name w:val="toc 3"/>
    <w:basedOn w:val="Normal"/>
    <w:next w:val="Normal"/>
    <w:autoRedefine/>
    <w:uiPriority w:val="39"/>
    <w:unhideWhenUsed/>
    <w:rsid w:val="008A4E0B"/>
    <w:pPr>
      <w:spacing w:after="100"/>
      <w:ind w:left="440"/>
    </w:pPr>
  </w:style>
  <w:style w:type="paragraph" w:styleId="TOC4">
    <w:name w:val="toc 4"/>
    <w:basedOn w:val="Normal"/>
    <w:next w:val="Normal"/>
    <w:autoRedefine/>
    <w:uiPriority w:val="39"/>
    <w:unhideWhenUsed/>
    <w:rsid w:val="008A4E0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8A4E0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8A4E0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8A4E0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8A4E0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8A4E0B"/>
    <w:pPr>
      <w:spacing w:after="100" w:line="278" w:lineRule="auto"/>
      <w:ind w:left="1920"/>
    </w:pPr>
    <w:rPr>
      <w:rFonts w:eastAsiaTheme="minorEastAsia"/>
      <w:sz w:val="24"/>
      <w:szCs w:val="24"/>
      <w:lang w:eastAsia="en-GB"/>
    </w:rPr>
  </w:style>
  <w:style w:type="paragraph" w:styleId="NormalWeb">
    <w:name w:val="Normal (Web)"/>
    <w:basedOn w:val="Normal"/>
    <w:uiPriority w:val="99"/>
    <w:semiHidden/>
    <w:unhideWhenUsed/>
    <w:rsid w:val="00C049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981">
      <w:bodyDiv w:val="1"/>
      <w:marLeft w:val="0"/>
      <w:marRight w:val="0"/>
      <w:marTop w:val="0"/>
      <w:marBottom w:val="0"/>
      <w:divBdr>
        <w:top w:val="none" w:sz="0" w:space="0" w:color="auto"/>
        <w:left w:val="none" w:sz="0" w:space="0" w:color="auto"/>
        <w:bottom w:val="none" w:sz="0" w:space="0" w:color="auto"/>
        <w:right w:val="none" w:sz="0" w:space="0" w:color="auto"/>
      </w:divBdr>
    </w:div>
    <w:div w:id="12998010">
      <w:bodyDiv w:val="1"/>
      <w:marLeft w:val="0"/>
      <w:marRight w:val="0"/>
      <w:marTop w:val="0"/>
      <w:marBottom w:val="0"/>
      <w:divBdr>
        <w:top w:val="none" w:sz="0" w:space="0" w:color="auto"/>
        <w:left w:val="none" w:sz="0" w:space="0" w:color="auto"/>
        <w:bottom w:val="none" w:sz="0" w:space="0" w:color="auto"/>
        <w:right w:val="none" w:sz="0" w:space="0" w:color="auto"/>
      </w:divBdr>
    </w:div>
    <w:div w:id="13387103">
      <w:bodyDiv w:val="1"/>
      <w:marLeft w:val="0"/>
      <w:marRight w:val="0"/>
      <w:marTop w:val="0"/>
      <w:marBottom w:val="0"/>
      <w:divBdr>
        <w:top w:val="none" w:sz="0" w:space="0" w:color="auto"/>
        <w:left w:val="none" w:sz="0" w:space="0" w:color="auto"/>
        <w:bottom w:val="none" w:sz="0" w:space="0" w:color="auto"/>
        <w:right w:val="none" w:sz="0" w:space="0" w:color="auto"/>
      </w:divBdr>
    </w:div>
    <w:div w:id="22218091">
      <w:bodyDiv w:val="1"/>
      <w:marLeft w:val="0"/>
      <w:marRight w:val="0"/>
      <w:marTop w:val="0"/>
      <w:marBottom w:val="0"/>
      <w:divBdr>
        <w:top w:val="none" w:sz="0" w:space="0" w:color="auto"/>
        <w:left w:val="none" w:sz="0" w:space="0" w:color="auto"/>
        <w:bottom w:val="none" w:sz="0" w:space="0" w:color="auto"/>
        <w:right w:val="none" w:sz="0" w:space="0" w:color="auto"/>
      </w:divBdr>
    </w:div>
    <w:div w:id="39788902">
      <w:bodyDiv w:val="1"/>
      <w:marLeft w:val="0"/>
      <w:marRight w:val="0"/>
      <w:marTop w:val="0"/>
      <w:marBottom w:val="0"/>
      <w:divBdr>
        <w:top w:val="none" w:sz="0" w:space="0" w:color="auto"/>
        <w:left w:val="none" w:sz="0" w:space="0" w:color="auto"/>
        <w:bottom w:val="none" w:sz="0" w:space="0" w:color="auto"/>
        <w:right w:val="none" w:sz="0" w:space="0" w:color="auto"/>
      </w:divBdr>
    </w:div>
    <w:div w:id="59795564">
      <w:bodyDiv w:val="1"/>
      <w:marLeft w:val="0"/>
      <w:marRight w:val="0"/>
      <w:marTop w:val="0"/>
      <w:marBottom w:val="0"/>
      <w:divBdr>
        <w:top w:val="none" w:sz="0" w:space="0" w:color="auto"/>
        <w:left w:val="none" w:sz="0" w:space="0" w:color="auto"/>
        <w:bottom w:val="none" w:sz="0" w:space="0" w:color="auto"/>
        <w:right w:val="none" w:sz="0" w:space="0" w:color="auto"/>
      </w:divBdr>
    </w:div>
    <w:div w:id="62335943">
      <w:bodyDiv w:val="1"/>
      <w:marLeft w:val="0"/>
      <w:marRight w:val="0"/>
      <w:marTop w:val="0"/>
      <w:marBottom w:val="0"/>
      <w:divBdr>
        <w:top w:val="none" w:sz="0" w:space="0" w:color="auto"/>
        <w:left w:val="none" w:sz="0" w:space="0" w:color="auto"/>
        <w:bottom w:val="none" w:sz="0" w:space="0" w:color="auto"/>
        <w:right w:val="none" w:sz="0" w:space="0" w:color="auto"/>
      </w:divBdr>
    </w:div>
    <w:div w:id="104735471">
      <w:bodyDiv w:val="1"/>
      <w:marLeft w:val="0"/>
      <w:marRight w:val="0"/>
      <w:marTop w:val="0"/>
      <w:marBottom w:val="0"/>
      <w:divBdr>
        <w:top w:val="none" w:sz="0" w:space="0" w:color="auto"/>
        <w:left w:val="none" w:sz="0" w:space="0" w:color="auto"/>
        <w:bottom w:val="none" w:sz="0" w:space="0" w:color="auto"/>
        <w:right w:val="none" w:sz="0" w:space="0" w:color="auto"/>
      </w:divBdr>
    </w:div>
    <w:div w:id="109860989">
      <w:bodyDiv w:val="1"/>
      <w:marLeft w:val="0"/>
      <w:marRight w:val="0"/>
      <w:marTop w:val="0"/>
      <w:marBottom w:val="0"/>
      <w:divBdr>
        <w:top w:val="none" w:sz="0" w:space="0" w:color="auto"/>
        <w:left w:val="none" w:sz="0" w:space="0" w:color="auto"/>
        <w:bottom w:val="none" w:sz="0" w:space="0" w:color="auto"/>
        <w:right w:val="none" w:sz="0" w:space="0" w:color="auto"/>
      </w:divBdr>
    </w:div>
    <w:div w:id="110050197">
      <w:bodyDiv w:val="1"/>
      <w:marLeft w:val="0"/>
      <w:marRight w:val="0"/>
      <w:marTop w:val="0"/>
      <w:marBottom w:val="0"/>
      <w:divBdr>
        <w:top w:val="none" w:sz="0" w:space="0" w:color="auto"/>
        <w:left w:val="none" w:sz="0" w:space="0" w:color="auto"/>
        <w:bottom w:val="none" w:sz="0" w:space="0" w:color="auto"/>
        <w:right w:val="none" w:sz="0" w:space="0" w:color="auto"/>
      </w:divBdr>
    </w:div>
    <w:div w:id="158083004">
      <w:bodyDiv w:val="1"/>
      <w:marLeft w:val="0"/>
      <w:marRight w:val="0"/>
      <w:marTop w:val="0"/>
      <w:marBottom w:val="0"/>
      <w:divBdr>
        <w:top w:val="none" w:sz="0" w:space="0" w:color="auto"/>
        <w:left w:val="none" w:sz="0" w:space="0" w:color="auto"/>
        <w:bottom w:val="none" w:sz="0" w:space="0" w:color="auto"/>
        <w:right w:val="none" w:sz="0" w:space="0" w:color="auto"/>
      </w:divBdr>
    </w:div>
    <w:div w:id="203829236">
      <w:bodyDiv w:val="1"/>
      <w:marLeft w:val="0"/>
      <w:marRight w:val="0"/>
      <w:marTop w:val="0"/>
      <w:marBottom w:val="0"/>
      <w:divBdr>
        <w:top w:val="none" w:sz="0" w:space="0" w:color="auto"/>
        <w:left w:val="none" w:sz="0" w:space="0" w:color="auto"/>
        <w:bottom w:val="none" w:sz="0" w:space="0" w:color="auto"/>
        <w:right w:val="none" w:sz="0" w:space="0" w:color="auto"/>
      </w:divBdr>
    </w:div>
    <w:div w:id="209847999">
      <w:bodyDiv w:val="1"/>
      <w:marLeft w:val="0"/>
      <w:marRight w:val="0"/>
      <w:marTop w:val="0"/>
      <w:marBottom w:val="0"/>
      <w:divBdr>
        <w:top w:val="none" w:sz="0" w:space="0" w:color="auto"/>
        <w:left w:val="none" w:sz="0" w:space="0" w:color="auto"/>
        <w:bottom w:val="none" w:sz="0" w:space="0" w:color="auto"/>
        <w:right w:val="none" w:sz="0" w:space="0" w:color="auto"/>
      </w:divBdr>
    </w:div>
    <w:div w:id="235358390">
      <w:bodyDiv w:val="1"/>
      <w:marLeft w:val="0"/>
      <w:marRight w:val="0"/>
      <w:marTop w:val="0"/>
      <w:marBottom w:val="0"/>
      <w:divBdr>
        <w:top w:val="none" w:sz="0" w:space="0" w:color="auto"/>
        <w:left w:val="none" w:sz="0" w:space="0" w:color="auto"/>
        <w:bottom w:val="none" w:sz="0" w:space="0" w:color="auto"/>
        <w:right w:val="none" w:sz="0" w:space="0" w:color="auto"/>
      </w:divBdr>
    </w:div>
    <w:div w:id="250742062">
      <w:bodyDiv w:val="1"/>
      <w:marLeft w:val="0"/>
      <w:marRight w:val="0"/>
      <w:marTop w:val="0"/>
      <w:marBottom w:val="0"/>
      <w:divBdr>
        <w:top w:val="none" w:sz="0" w:space="0" w:color="auto"/>
        <w:left w:val="none" w:sz="0" w:space="0" w:color="auto"/>
        <w:bottom w:val="none" w:sz="0" w:space="0" w:color="auto"/>
        <w:right w:val="none" w:sz="0" w:space="0" w:color="auto"/>
      </w:divBdr>
    </w:div>
    <w:div w:id="274216983">
      <w:bodyDiv w:val="1"/>
      <w:marLeft w:val="0"/>
      <w:marRight w:val="0"/>
      <w:marTop w:val="0"/>
      <w:marBottom w:val="0"/>
      <w:divBdr>
        <w:top w:val="none" w:sz="0" w:space="0" w:color="auto"/>
        <w:left w:val="none" w:sz="0" w:space="0" w:color="auto"/>
        <w:bottom w:val="none" w:sz="0" w:space="0" w:color="auto"/>
        <w:right w:val="none" w:sz="0" w:space="0" w:color="auto"/>
      </w:divBdr>
    </w:div>
    <w:div w:id="284776051">
      <w:bodyDiv w:val="1"/>
      <w:marLeft w:val="0"/>
      <w:marRight w:val="0"/>
      <w:marTop w:val="0"/>
      <w:marBottom w:val="0"/>
      <w:divBdr>
        <w:top w:val="none" w:sz="0" w:space="0" w:color="auto"/>
        <w:left w:val="none" w:sz="0" w:space="0" w:color="auto"/>
        <w:bottom w:val="none" w:sz="0" w:space="0" w:color="auto"/>
        <w:right w:val="none" w:sz="0" w:space="0" w:color="auto"/>
      </w:divBdr>
    </w:div>
    <w:div w:id="300311966">
      <w:bodyDiv w:val="1"/>
      <w:marLeft w:val="0"/>
      <w:marRight w:val="0"/>
      <w:marTop w:val="0"/>
      <w:marBottom w:val="0"/>
      <w:divBdr>
        <w:top w:val="none" w:sz="0" w:space="0" w:color="auto"/>
        <w:left w:val="none" w:sz="0" w:space="0" w:color="auto"/>
        <w:bottom w:val="none" w:sz="0" w:space="0" w:color="auto"/>
        <w:right w:val="none" w:sz="0" w:space="0" w:color="auto"/>
      </w:divBdr>
    </w:div>
    <w:div w:id="324020331">
      <w:bodyDiv w:val="1"/>
      <w:marLeft w:val="0"/>
      <w:marRight w:val="0"/>
      <w:marTop w:val="0"/>
      <w:marBottom w:val="0"/>
      <w:divBdr>
        <w:top w:val="none" w:sz="0" w:space="0" w:color="auto"/>
        <w:left w:val="none" w:sz="0" w:space="0" w:color="auto"/>
        <w:bottom w:val="none" w:sz="0" w:space="0" w:color="auto"/>
        <w:right w:val="none" w:sz="0" w:space="0" w:color="auto"/>
      </w:divBdr>
    </w:div>
    <w:div w:id="339888808">
      <w:bodyDiv w:val="1"/>
      <w:marLeft w:val="0"/>
      <w:marRight w:val="0"/>
      <w:marTop w:val="0"/>
      <w:marBottom w:val="0"/>
      <w:divBdr>
        <w:top w:val="none" w:sz="0" w:space="0" w:color="auto"/>
        <w:left w:val="none" w:sz="0" w:space="0" w:color="auto"/>
        <w:bottom w:val="none" w:sz="0" w:space="0" w:color="auto"/>
        <w:right w:val="none" w:sz="0" w:space="0" w:color="auto"/>
      </w:divBdr>
    </w:div>
    <w:div w:id="358042925">
      <w:bodyDiv w:val="1"/>
      <w:marLeft w:val="0"/>
      <w:marRight w:val="0"/>
      <w:marTop w:val="0"/>
      <w:marBottom w:val="0"/>
      <w:divBdr>
        <w:top w:val="none" w:sz="0" w:space="0" w:color="auto"/>
        <w:left w:val="none" w:sz="0" w:space="0" w:color="auto"/>
        <w:bottom w:val="none" w:sz="0" w:space="0" w:color="auto"/>
        <w:right w:val="none" w:sz="0" w:space="0" w:color="auto"/>
      </w:divBdr>
    </w:div>
    <w:div w:id="405765563">
      <w:bodyDiv w:val="1"/>
      <w:marLeft w:val="0"/>
      <w:marRight w:val="0"/>
      <w:marTop w:val="0"/>
      <w:marBottom w:val="0"/>
      <w:divBdr>
        <w:top w:val="none" w:sz="0" w:space="0" w:color="auto"/>
        <w:left w:val="none" w:sz="0" w:space="0" w:color="auto"/>
        <w:bottom w:val="none" w:sz="0" w:space="0" w:color="auto"/>
        <w:right w:val="none" w:sz="0" w:space="0" w:color="auto"/>
      </w:divBdr>
    </w:div>
    <w:div w:id="423039408">
      <w:bodyDiv w:val="1"/>
      <w:marLeft w:val="0"/>
      <w:marRight w:val="0"/>
      <w:marTop w:val="0"/>
      <w:marBottom w:val="0"/>
      <w:divBdr>
        <w:top w:val="none" w:sz="0" w:space="0" w:color="auto"/>
        <w:left w:val="none" w:sz="0" w:space="0" w:color="auto"/>
        <w:bottom w:val="none" w:sz="0" w:space="0" w:color="auto"/>
        <w:right w:val="none" w:sz="0" w:space="0" w:color="auto"/>
      </w:divBdr>
    </w:div>
    <w:div w:id="454954813">
      <w:bodyDiv w:val="1"/>
      <w:marLeft w:val="0"/>
      <w:marRight w:val="0"/>
      <w:marTop w:val="0"/>
      <w:marBottom w:val="0"/>
      <w:divBdr>
        <w:top w:val="none" w:sz="0" w:space="0" w:color="auto"/>
        <w:left w:val="none" w:sz="0" w:space="0" w:color="auto"/>
        <w:bottom w:val="none" w:sz="0" w:space="0" w:color="auto"/>
        <w:right w:val="none" w:sz="0" w:space="0" w:color="auto"/>
      </w:divBdr>
    </w:div>
    <w:div w:id="472139607">
      <w:bodyDiv w:val="1"/>
      <w:marLeft w:val="0"/>
      <w:marRight w:val="0"/>
      <w:marTop w:val="0"/>
      <w:marBottom w:val="0"/>
      <w:divBdr>
        <w:top w:val="none" w:sz="0" w:space="0" w:color="auto"/>
        <w:left w:val="none" w:sz="0" w:space="0" w:color="auto"/>
        <w:bottom w:val="none" w:sz="0" w:space="0" w:color="auto"/>
        <w:right w:val="none" w:sz="0" w:space="0" w:color="auto"/>
      </w:divBdr>
    </w:div>
    <w:div w:id="479661329">
      <w:bodyDiv w:val="1"/>
      <w:marLeft w:val="0"/>
      <w:marRight w:val="0"/>
      <w:marTop w:val="0"/>
      <w:marBottom w:val="0"/>
      <w:divBdr>
        <w:top w:val="none" w:sz="0" w:space="0" w:color="auto"/>
        <w:left w:val="none" w:sz="0" w:space="0" w:color="auto"/>
        <w:bottom w:val="none" w:sz="0" w:space="0" w:color="auto"/>
        <w:right w:val="none" w:sz="0" w:space="0" w:color="auto"/>
      </w:divBdr>
    </w:div>
    <w:div w:id="492600425">
      <w:bodyDiv w:val="1"/>
      <w:marLeft w:val="0"/>
      <w:marRight w:val="0"/>
      <w:marTop w:val="0"/>
      <w:marBottom w:val="0"/>
      <w:divBdr>
        <w:top w:val="none" w:sz="0" w:space="0" w:color="auto"/>
        <w:left w:val="none" w:sz="0" w:space="0" w:color="auto"/>
        <w:bottom w:val="none" w:sz="0" w:space="0" w:color="auto"/>
        <w:right w:val="none" w:sz="0" w:space="0" w:color="auto"/>
      </w:divBdr>
    </w:div>
    <w:div w:id="493840819">
      <w:bodyDiv w:val="1"/>
      <w:marLeft w:val="0"/>
      <w:marRight w:val="0"/>
      <w:marTop w:val="0"/>
      <w:marBottom w:val="0"/>
      <w:divBdr>
        <w:top w:val="none" w:sz="0" w:space="0" w:color="auto"/>
        <w:left w:val="none" w:sz="0" w:space="0" w:color="auto"/>
        <w:bottom w:val="none" w:sz="0" w:space="0" w:color="auto"/>
        <w:right w:val="none" w:sz="0" w:space="0" w:color="auto"/>
      </w:divBdr>
    </w:div>
    <w:div w:id="498616828">
      <w:bodyDiv w:val="1"/>
      <w:marLeft w:val="0"/>
      <w:marRight w:val="0"/>
      <w:marTop w:val="0"/>
      <w:marBottom w:val="0"/>
      <w:divBdr>
        <w:top w:val="none" w:sz="0" w:space="0" w:color="auto"/>
        <w:left w:val="none" w:sz="0" w:space="0" w:color="auto"/>
        <w:bottom w:val="none" w:sz="0" w:space="0" w:color="auto"/>
        <w:right w:val="none" w:sz="0" w:space="0" w:color="auto"/>
      </w:divBdr>
    </w:div>
    <w:div w:id="514611813">
      <w:bodyDiv w:val="1"/>
      <w:marLeft w:val="0"/>
      <w:marRight w:val="0"/>
      <w:marTop w:val="0"/>
      <w:marBottom w:val="0"/>
      <w:divBdr>
        <w:top w:val="none" w:sz="0" w:space="0" w:color="auto"/>
        <w:left w:val="none" w:sz="0" w:space="0" w:color="auto"/>
        <w:bottom w:val="none" w:sz="0" w:space="0" w:color="auto"/>
        <w:right w:val="none" w:sz="0" w:space="0" w:color="auto"/>
      </w:divBdr>
    </w:div>
    <w:div w:id="520440970">
      <w:bodyDiv w:val="1"/>
      <w:marLeft w:val="0"/>
      <w:marRight w:val="0"/>
      <w:marTop w:val="0"/>
      <w:marBottom w:val="0"/>
      <w:divBdr>
        <w:top w:val="none" w:sz="0" w:space="0" w:color="auto"/>
        <w:left w:val="none" w:sz="0" w:space="0" w:color="auto"/>
        <w:bottom w:val="none" w:sz="0" w:space="0" w:color="auto"/>
        <w:right w:val="none" w:sz="0" w:space="0" w:color="auto"/>
      </w:divBdr>
    </w:div>
    <w:div w:id="524632737">
      <w:bodyDiv w:val="1"/>
      <w:marLeft w:val="0"/>
      <w:marRight w:val="0"/>
      <w:marTop w:val="0"/>
      <w:marBottom w:val="0"/>
      <w:divBdr>
        <w:top w:val="none" w:sz="0" w:space="0" w:color="auto"/>
        <w:left w:val="none" w:sz="0" w:space="0" w:color="auto"/>
        <w:bottom w:val="none" w:sz="0" w:space="0" w:color="auto"/>
        <w:right w:val="none" w:sz="0" w:space="0" w:color="auto"/>
      </w:divBdr>
    </w:div>
    <w:div w:id="551503325">
      <w:bodyDiv w:val="1"/>
      <w:marLeft w:val="0"/>
      <w:marRight w:val="0"/>
      <w:marTop w:val="0"/>
      <w:marBottom w:val="0"/>
      <w:divBdr>
        <w:top w:val="none" w:sz="0" w:space="0" w:color="auto"/>
        <w:left w:val="none" w:sz="0" w:space="0" w:color="auto"/>
        <w:bottom w:val="none" w:sz="0" w:space="0" w:color="auto"/>
        <w:right w:val="none" w:sz="0" w:space="0" w:color="auto"/>
      </w:divBdr>
    </w:div>
    <w:div w:id="555628523">
      <w:bodyDiv w:val="1"/>
      <w:marLeft w:val="0"/>
      <w:marRight w:val="0"/>
      <w:marTop w:val="0"/>
      <w:marBottom w:val="0"/>
      <w:divBdr>
        <w:top w:val="none" w:sz="0" w:space="0" w:color="auto"/>
        <w:left w:val="none" w:sz="0" w:space="0" w:color="auto"/>
        <w:bottom w:val="none" w:sz="0" w:space="0" w:color="auto"/>
        <w:right w:val="none" w:sz="0" w:space="0" w:color="auto"/>
      </w:divBdr>
    </w:div>
    <w:div w:id="590969879">
      <w:bodyDiv w:val="1"/>
      <w:marLeft w:val="0"/>
      <w:marRight w:val="0"/>
      <w:marTop w:val="0"/>
      <w:marBottom w:val="0"/>
      <w:divBdr>
        <w:top w:val="none" w:sz="0" w:space="0" w:color="auto"/>
        <w:left w:val="none" w:sz="0" w:space="0" w:color="auto"/>
        <w:bottom w:val="none" w:sz="0" w:space="0" w:color="auto"/>
        <w:right w:val="none" w:sz="0" w:space="0" w:color="auto"/>
      </w:divBdr>
    </w:div>
    <w:div w:id="627660023">
      <w:bodyDiv w:val="1"/>
      <w:marLeft w:val="0"/>
      <w:marRight w:val="0"/>
      <w:marTop w:val="0"/>
      <w:marBottom w:val="0"/>
      <w:divBdr>
        <w:top w:val="none" w:sz="0" w:space="0" w:color="auto"/>
        <w:left w:val="none" w:sz="0" w:space="0" w:color="auto"/>
        <w:bottom w:val="none" w:sz="0" w:space="0" w:color="auto"/>
        <w:right w:val="none" w:sz="0" w:space="0" w:color="auto"/>
      </w:divBdr>
    </w:div>
    <w:div w:id="666713684">
      <w:bodyDiv w:val="1"/>
      <w:marLeft w:val="0"/>
      <w:marRight w:val="0"/>
      <w:marTop w:val="0"/>
      <w:marBottom w:val="0"/>
      <w:divBdr>
        <w:top w:val="none" w:sz="0" w:space="0" w:color="auto"/>
        <w:left w:val="none" w:sz="0" w:space="0" w:color="auto"/>
        <w:bottom w:val="none" w:sz="0" w:space="0" w:color="auto"/>
        <w:right w:val="none" w:sz="0" w:space="0" w:color="auto"/>
      </w:divBdr>
    </w:div>
    <w:div w:id="682786170">
      <w:bodyDiv w:val="1"/>
      <w:marLeft w:val="0"/>
      <w:marRight w:val="0"/>
      <w:marTop w:val="0"/>
      <w:marBottom w:val="0"/>
      <w:divBdr>
        <w:top w:val="none" w:sz="0" w:space="0" w:color="auto"/>
        <w:left w:val="none" w:sz="0" w:space="0" w:color="auto"/>
        <w:bottom w:val="none" w:sz="0" w:space="0" w:color="auto"/>
        <w:right w:val="none" w:sz="0" w:space="0" w:color="auto"/>
      </w:divBdr>
    </w:div>
    <w:div w:id="707680949">
      <w:bodyDiv w:val="1"/>
      <w:marLeft w:val="0"/>
      <w:marRight w:val="0"/>
      <w:marTop w:val="0"/>
      <w:marBottom w:val="0"/>
      <w:divBdr>
        <w:top w:val="none" w:sz="0" w:space="0" w:color="auto"/>
        <w:left w:val="none" w:sz="0" w:space="0" w:color="auto"/>
        <w:bottom w:val="none" w:sz="0" w:space="0" w:color="auto"/>
        <w:right w:val="none" w:sz="0" w:space="0" w:color="auto"/>
      </w:divBdr>
    </w:div>
    <w:div w:id="748427597">
      <w:bodyDiv w:val="1"/>
      <w:marLeft w:val="0"/>
      <w:marRight w:val="0"/>
      <w:marTop w:val="0"/>
      <w:marBottom w:val="0"/>
      <w:divBdr>
        <w:top w:val="none" w:sz="0" w:space="0" w:color="auto"/>
        <w:left w:val="none" w:sz="0" w:space="0" w:color="auto"/>
        <w:bottom w:val="none" w:sz="0" w:space="0" w:color="auto"/>
        <w:right w:val="none" w:sz="0" w:space="0" w:color="auto"/>
      </w:divBdr>
    </w:div>
    <w:div w:id="750930181">
      <w:bodyDiv w:val="1"/>
      <w:marLeft w:val="0"/>
      <w:marRight w:val="0"/>
      <w:marTop w:val="0"/>
      <w:marBottom w:val="0"/>
      <w:divBdr>
        <w:top w:val="none" w:sz="0" w:space="0" w:color="auto"/>
        <w:left w:val="none" w:sz="0" w:space="0" w:color="auto"/>
        <w:bottom w:val="none" w:sz="0" w:space="0" w:color="auto"/>
        <w:right w:val="none" w:sz="0" w:space="0" w:color="auto"/>
      </w:divBdr>
    </w:div>
    <w:div w:id="762798319">
      <w:bodyDiv w:val="1"/>
      <w:marLeft w:val="0"/>
      <w:marRight w:val="0"/>
      <w:marTop w:val="0"/>
      <w:marBottom w:val="0"/>
      <w:divBdr>
        <w:top w:val="none" w:sz="0" w:space="0" w:color="auto"/>
        <w:left w:val="none" w:sz="0" w:space="0" w:color="auto"/>
        <w:bottom w:val="none" w:sz="0" w:space="0" w:color="auto"/>
        <w:right w:val="none" w:sz="0" w:space="0" w:color="auto"/>
      </w:divBdr>
    </w:div>
    <w:div w:id="770127439">
      <w:bodyDiv w:val="1"/>
      <w:marLeft w:val="0"/>
      <w:marRight w:val="0"/>
      <w:marTop w:val="0"/>
      <w:marBottom w:val="0"/>
      <w:divBdr>
        <w:top w:val="none" w:sz="0" w:space="0" w:color="auto"/>
        <w:left w:val="none" w:sz="0" w:space="0" w:color="auto"/>
        <w:bottom w:val="none" w:sz="0" w:space="0" w:color="auto"/>
        <w:right w:val="none" w:sz="0" w:space="0" w:color="auto"/>
      </w:divBdr>
    </w:div>
    <w:div w:id="779420236">
      <w:bodyDiv w:val="1"/>
      <w:marLeft w:val="0"/>
      <w:marRight w:val="0"/>
      <w:marTop w:val="0"/>
      <w:marBottom w:val="0"/>
      <w:divBdr>
        <w:top w:val="none" w:sz="0" w:space="0" w:color="auto"/>
        <w:left w:val="none" w:sz="0" w:space="0" w:color="auto"/>
        <w:bottom w:val="none" w:sz="0" w:space="0" w:color="auto"/>
        <w:right w:val="none" w:sz="0" w:space="0" w:color="auto"/>
      </w:divBdr>
    </w:div>
    <w:div w:id="782917889">
      <w:bodyDiv w:val="1"/>
      <w:marLeft w:val="0"/>
      <w:marRight w:val="0"/>
      <w:marTop w:val="0"/>
      <w:marBottom w:val="0"/>
      <w:divBdr>
        <w:top w:val="none" w:sz="0" w:space="0" w:color="auto"/>
        <w:left w:val="none" w:sz="0" w:space="0" w:color="auto"/>
        <w:bottom w:val="none" w:sz="0" w:space="0" w:color="auto"/>
        <w:right w:val="none" w:sz="0" w:space="0" w:color="auto"/>
      </w:divBdr>
    </w:div>
    <w:div w:id="785083162">
      <w:bodyDiv w:val="1"/>
      <w:marLeft w:val="0"/>
      <w:marRight w:val="0"/>
      <w:marTop w:val="0"/>
      <w:marBottom w:val="0"/>
      <w:divBdr>
        <w:top w:val="none" w:sz="0" w:space="0" w:color="auto"/>
        <w:left w:val="none" w:sz="0" w:space="0" w:color="auto"/>
        <w:bottom w:val="none" w:sz="0" w:space="0" w:color="auto"/>
        <w:right w:val="none" w:sz="0" w:space="0" w:color="auto"/>
      </w:divBdr>
    </w:div>
    <w:div w:id="796677004">
      <w:bodyDiv w:val="1"/>
      <w:marLeft w:val="0"/>
      <w:marRight w:val="0"/>
      <w:marTop w:val="0"/>
      <w:marBottom w:val="0"/>
      <w:divBdr>
        <w:top w:val="none" w:sz="0" w:space="0" w:color="auto"/>
        <w:left w:val="none" w:sz="0" w:space="0" w:color="auto"/>
        <w:bottom w:val="none" w:sz="0" w:space="0" w:color="auto"/>
        <w:right w:val="none" w:sz="0" w:space="0" w:color="auto"/>
      </w:divBdr>
    </w:div>
    <w:div w:id="810440222">
      <w:bodyDiv w:val="1"/>
      <w:marLeft w:val="0"/>
      <w:marRight w:val="0"/>
      <w:marTop w:val="0"/>
      <w:marBottom w:val="0"/>
      <w:divBdr>
        <w:top w:val="none" w:sz="0" w:space="0" w:color="auto"/>
        <w:left w:val="none" w:sz="0" w:space="0" w:color="auto"/>
        <w:bottom w:val="none" w:sz="0" w:space="0" w:color="auto"/>
        <w:right w:val="none" w:sz="0" w:space="0" w:color="auto"/>
      </w:divBdr>
    </w:div>
    <w:div w:id="834108107">
      <w:bodyDiv w:val="1"/>
      <w:marLeft w:val="0"/>
      <w:marRight w:val="0"/>
      <w:marTop w:val="0"/>
      <w:marBottom w:val="0"/>
      <w:divBdr>
        <w:top w:val="none" w:sz="0" w:space="0" w:color="auto"/>
        <w:left w:val="none" w:sz="0" w:space="0" w:color="auto"/>
        <w:bottom w:val="none" w:sz="0" w:space="0" w:color="auto"/>
        <w:right w:val="none" w:sz="0" w:space="0" w:color="auto"/>
      </w:divBdr>
    </w:div>
    <w:div w:id="835073522">
      <w:bodyDiv w:val="1"/>
      <w:marLeft w:val="0"/>
      <w:marRight w:val="0"/>
      <w:marTop w:val="0"/>
      <w:marBottom w:val="0"/>
      <w:divBdr>
        <w:top w:val="none" w:sz="0" w:space="0" w:color="auto"/>
        <w:left w:val="none" w:sz="0" w:space="0" w:color="auto"/>
        <w:bottom w:val="none" w:sz="0" w:space="0" w:color="auto"/>
        <w:right w:val="none" w:sz="0" w:space="0" w:color="auto"/>
      </w:divBdr>
    </w:div>
    <w:div w:id="894317590">
      <w:bodyDiv w:val="1"/>
      <w:marLeft w:val="0"/>
      <w:marRight w:val="0"/>
      <w:marTop w:val="0"/>
      <w:marBottom w:val="0"/>
      <w:divBdr>
        <w:top w:val="none" w:sz="0" w:space="0" w:color="auto"/>
        <w:left w:val="none" w:sz="0" w:space="0" w:color="auto"/>
        <w:bottom w:val="none" w:sz="0" w:space="0" w:color="auto"/>
        <w:right w:val="none" w:sz="0" w:space="0" w:color="auto"/>
      </w:divBdr>
    </w:div>
    <w:div w:id="894896894">
      <w:bodyDiv w:val="1"/>
      <w:marLeft w:val="0"/>
      <w:marRight w:val="0"/>
      <w:marTop w:val="0"/>
      <w:marBottom w:val="0"/>
      <w:divBdr>
        <w:top w:val="none" w:sz="0" w:space="0" w:color="auto"/>
        <w:left w:val="none" w:sz="0" w:space="0" w:color="auto"/>
        <w:bottom w:val="none" w:sz="0" w:space="0" w:color="auto"/>
        <w:right w:val="none" w:sz="0" w:space="0" w:color="auto"/>
      </w:divBdr>
    </w:div>
    <w:div w:id="905727612">
      <w:bodyDiv w:val="1"/>
      <w:marLeft w:val="0"/>
      <w:marRight w:val="0"/>
      <w:marTop w:val="0"/>
      <w:marBottom w:val="0"/>
      <w:divBdr>
        <w:top w:val="none" w:sz="0" w:space="0" w:color="auto"/>
        <w:left w:val="none" w:sz="0" w:space="0" w:color="auto"/>
        <w:bottom w:val="none" w:sz="0" w:space="0" w:color="auto"/>
        <w:right w:val="none" w:sz="0" w:space="0" w:color="auto"/>
      </w:divBdr>
    </w:div>
    <w:div w:id="931746065">
      <w:bodyDiv w:val="1"/>
      <w:marLeft w:val="0"/>
      <w:marRight w:val="0"/>
      <w:marTop w:val="0"/>
      <w:marBottom w:val="0"/>
      <w:divBdr>
        <w:top w:val="none" w:sz="0" w:space="0" w:color="auto"/>
        <w:left w:val="none" w:sz="0" w:space="0" w:color="auto"/>
        <w:bottom w:val="none" w:sz="0" w:space="0" w:color="auto"/>
        <w:right w:val="none" w:sz="0" w:space="0" w:color="auto"/>
      </w:divBdr>
    </w:div>
    <w:div w:id="1030883893">
      <w:bodyDiv w:val="1"/>
      <w:marLeft w:val="0"/>
      <w:marRight w:val="0"/>
      <w:marTop w:val="0"/>
      <w:marBottom w:val="0"/>
      <w:divBdr>
        <w:top w:val="none" w:sz="0" w:space="0" w:color="auto"/>
        <w:left w:val="none" w:sz="0" w:space="0" w:color="auto"/>
        <w:bottom w:val="none" w:sz="0" w:space="0" w:color="auto"/>
        <w:right w:val="none" w:sz="0" w:space="0" w:color="auto"/>
      </w:divBdr>
    </w:div>
    <w:div w:id="1064522997">
      <w:bodyDiv w:val="1"/>
      <w:marLeft w:val="0"/>
      <w:marRight w:val="0"/>
      <w:marTop w:val="0"/>
      <w:marBottom w:val="0"/>
      <w:divBdr>
        <w:top w:val="none" w:sz="0" w:space="0" w:color="auto"/>
        <w:left w:val="none" w:sz="0" w:space="0" w:color="auto"/>
        <w:bottom w:val="none" w:sz="0" w:space="0" w:color="auto"/>
        <w:right w:val="none" w:sz="0" w:space="0" w:color="auto"/>
      </w:divBdr>
    </w:div>
    <w:div w:id="1087578294">
      <w:bodyDiv w:val="1"/>
      <w:marLeft w:val="0"/>
      <w:marRight w:val="0"/>
      <w:marTop w:val="0"/>
      <w:marBottom w:val="0"/>
      <w:divBdr>
        <w:top w:val="none" w:sz="0" w:space="0" w:color="auto"/>
        <w:left w:val="none" w:sz="0" w:space="0" w:color="auto"/>
        <w:bottom w:val="none" w:sz="0" w:space="0" w:color="auto"/>
        <w:right w:val="none" w:sz="0" w:space="0" w:color="auto"/>
      </w:divBdr>
    </w:div>
    <w:div w:id="1091662442">
      <w:bodyDiv w:val="1"/>
      <w:marLeft w:val="0"/>
      <w:marRight w:val="0"/>
      <w:marTop w:val="0"/>
      <w:marBottom w:val="0"/>
      <w:divBdr>
        <w:top w:val="none" w:sz="0" w:space="0" w:color="auto"/>
        <w:left w:val="none" w:sz="0" w:space="0" w:color="auto"/>
        <w:bottom w:val="none" w:sz="0" w:space="0" w:color="auto"/>
        <w:right w:val="none" w:sz="0" w:space="0" w:color="auto"/>
      </w:divBdr>
    </w:div>
    <w:div w:id="1102216572">
      <w:bodyDiv w:val="1"/>
      <w:marLeft w:val="0"/>
      <w:marRight w:val="0"/>
      <w:marTop w:val="0"/>
      <w:marBottom w:val="0"/>
      <w:divBdr>
        <w:top w:val="none" w:sz="0" w:space="0" w:color="auto"/>
        <w:left w:val="none" w:sz="0" w:space="0" w:color="auto"/>
        <w:bottom w:val="none" w:sz="0" w:space="0" w:color="auto"/>
        <w:right w:val="none" w:sz="0" w:space="0" w:color="auto"/>
      </w:divBdr>
    </w:div>
    <w:div w:id="1107313078">
      <w:bodyDiv w:val="1"/>
      <w:marLeft w:val="0"/>
      <w:marRight w:val="0"/>
      <w:marTop w:val="0"/>
      <w:marBottom w:val="0"/>
      <w:divBdr>
        <w:top w:val="none" w:sz="0" w:space="0" w:color="auto"/>
        <w:left w:val="none" w:sz="0" w:space="0" w:color="auto"/>
        <w:bottom w:val="none" w:sz="0" w:space="0" w:color="auto"/>
        <w:right w:val="none" w:sz="0" w:space="0" w:color="auto"/>
      </w:divBdr>
    </w:div>
    <w:div w:id="1107848756">
      <w:bodyDiv w:val="1"/>
      <w:marLeft w:val="0"/>
      <w:marRight w:val="0"/>
      <w:marTop w:val="0"/>
      <w:marBottom w:val="0"/>
      <w:divBdr>
        <w:top w:val="none" w:sz="0" w:space="0" w:color="auto"/>
        <w:left w:val="none" w:sz="0" w:space="0" w:color="auto"/>
        <w:bottom w:val="none" w:sz="0" w:space="0" w:color="auto"/>
        <w:right w:val="none" w:sz="0" w:space="0" w:color="auto"/>
      </w:divBdr>
    </w:div>
    <w:div w:id="1159659663">
      <w:bodyDiv w:val="1"/>
      <w:marLeft w:val="0"/>
      <w:marRight w:val="0"/>
      <w:marTop w:val="0"/>
      <w:marBottom w:val="0"/>
      <w:divBdr>
        <w:top w:val="none" w:sz="0" w:space="0" w:color="auto"/>
        <w:left w:val="none" w:sz="0" w:space="0" w:color="auto"/>
        <w:bottom w:val="none" w:sz="0" w:space="0" w:color="auto"/>
        <w:right w:val="none" w:sz="0" w:space="0" w:color="auto"/>
      </w:divBdr>
    </w:div>
    <w:div w:id="1163471772">
      <w:bodyDiv w:val="1"/>
      <w:marLeft w:val="0"/>
      <w:marRight w:val="0"/>
      <w:marTop w:val="0"/>
      <w:marBottom w:val="0"/>
      <w:divBdr>
        <w:top w:val="none" w:sz="0" w:space="0" w:color="auto"/>
        <w:left w:val="none" w:sz="0" w:space="0" w:color="auto"/>
        <w:bottom w:val="none" w:sz="0" w:space="0" w:color="auto"/>
        <w:right w:val="none" w:sz="0" w:space="0" w:color="auto"/>
      </w:divBdr>
    </w:div>
    <w:div w:id="1166821668">
      <w:bodyDiv w:val="1"/>
      <w:marLeft w:val="0"/>
      <w:marRight w:val="0"/>
      <w:marTop w:val="0"/>
      <w:marBottom w:val="0"/>
      <w:divBdr>
        <w:top w:val="none" w:sz="0" w:space="0" w:color="auto"/>
        <w:left w:val="none" w:sz="0" w:space="0" w:color="auto"/>
        <w:bottom w:val="none" w:sz="0" w:space="0" w:color="auto"/>
        <w:right w:val="none" w:sz="0" w:space="0" w:color="auto"/>
      </w:divBdr>
    </w:div>
    <w:div w:id="1182891218">
      <w:bodyDiv w:val="1"/>
      <w:marLeft w:val="0"/>
      <w:marRight w:val="0"/>
      <w:marTop w:val="0"/>
      <w:marBottom w:val="0"/>
      <w:divBdr>
        <w:top w:val="none" w:sz="0" w:space="0" w:color="auto"/>
        <w:left w:val="none" w:sz="0" w:space="0" w:color="auto"/>
        <w:bottom w:val="none" w:sz="0" w:space="0" w:color="auto"/>
        <w:right w:val="none" w:sz="0" w:space="0" w:color="auto"/>
      </w:divBdr>
    </w:div>
    <w:div w:id="1218661411">
      <w:bodyDiv w:val="1"/>
      <w:marLeft w:val="0"/>
      <w:marRight w:val="0"/>
      <w:marTop w:val="0"/>
      <w:marBottom w:val="0"/>
      <w:divBdr>
        <w:top w:val="none" w:sz="0" w:space="0" w:color="auto"/>
        <w:left w:val="none" w:sz="0" w:space="0" w:color="auto"/>
        <w:bottom w:val="none" w:sz="0" w:space="0" w:color="auto"/>
        <w:right w:val="none" w:sz="0" w:space="0" w:color="auto"/>
      </w:divBdr>
    </w:div>
    <w:div w:id="1252740524">
      <w:bodyDiv w:val="1"/>
      <w:marLeft w:val="0"/>
      <w:marRight w:val="0"/>
      <w:marTop w:val="0"/>
      <w:marBottom w:val="0"/>
      <w:divBdr>
        <w:top w:val="none" w:sz="0" w:space="0" w:color="auto"/>
        <w:left w:val="none" w:sz="0" w:space="0" w:color="auto"/>
        <w:bottom w:val="none" w:sz="0" w:space="0" w:color="auto"/>
        <w:right w:val="none" w:sz="0" w:space="0" w:color="auto"/>
      </w:divBdr>
    </w:div>
    <w:div w:id="1252936821">
      <w:bodyDiv w:val="1"/>
      <w:marLeft w:val="0"/>
      <w:marRight w:val="0"/>
      <w:marTop w:val="0"/>
      <w:marBottom w:val="0"/>
      <w:divBdr>
        <w:top w:val="none" w:sz="0" w:space="0" w:color="auto"/>
        <w:left w:val="none" w:sz="0" w:space="0" w:color="auto"/>
        <w:bottom w:val="none" w:sz="0" w:space="0" w:color="auto"/>
        <w:right w:val="none" w:sz="0" w:space="0" w:color="auto"/>
      </w:divBdr>
    </w:div>
    <w:div w:id="1256086321">
      <w:bodyDiv w:val="1"/>
      <w:marLeft w:val="0"/>
      <w:marRight w:val="0"/>
      <w:marTop w:val="0"/>
      <w:marBottom w:val="0"/>
      <w:divBdr>
        <w:top w:val="none" w:sz="0" w:space="0" w:color="auto"/>
        <w:left w:val="none" w:sz="0" w:space="0" w:color="auto"/>
        <w:bottom w:val="none" w:sz="0" w:space="0" w:color="auto"/>
        <w:right w:val="none" w:sz="0" w:space="0" w:color="auto"/>
      </w:divBdr>
    </w:div>
    <w:div w:id="1258713281">
      <w:bodyDiv w:val="1"/>
      <w:marLeft w:val="0"/>
      <w:marRight w:val="0"/>
      <w:marTop w:val="0"/>
      <w:marBottom w:val="0"/>
      <w:divBdr>
        <w:top w:val="none" w:sz="0" w:space="0" w:color="auto"/>
        <w:left w:val="none" w:sz="0" w:space="0" w:color="auto"/>
        <w:bottom w:val="none" w:sz="0" w:space="0" w:color="auto"/>
        <w:right w:val="none" w:sz="0" w:space="0" w:color="auto"/>
      </w:divBdr>
    </w:div>
    <w:div w:id="1262449060">
      <w:bodyDiv w:val="1"/>
      <w:marLeft w:val="0"/>
      <w:marRight w:val="0"/>
      <w:marTop w:val="0"/>
      <w:marBottom w:val="0"/>
      <w:divBdr>
        <w:top w:val="none" w:sz="0" w:space="0" w:color="auto"/>
        <w:left w:val="none" w:sz="0" w:space="0" w:color="auto"/>
        <w:bottom w:val="none" w:sz="0" w:space="0" w:color="auto"/>
        <w:right w:val="none" w:sz="0" w:space="0" w:color="auto"/>
      </w:divBdr>
    </w:div>
    <w:div w:id="1294166516">
      <w:bodyDiv w:val="1"/>
      <w:marLeft w:val="0"/>
      <w:marRight w:val="0"/>
      <w:marTop w:val="0"/>
      <w:marBottom w:val="0"/>
      <w:divBdr>
        <w:top w:val="none" w:sz="0" w:space="0" w:color="auto"/>
        <w:left w:val="none" w:sz="0" w:space="0" w:color="auto"/>
        <w:bottom w:val="none" w:sz="0" w:space="0" w:color="auto"/>
        <w:right w:val="none" w:sz="0" w:space="0" w:color="auto"/>
      </w:divBdr>
    </w:div>
    <w:div w:id="1330517875">
      <w:bodyDiv w:val="1"/>
      <w:marLeft w:val="0"/>
      <w:marRight w:val="0"/>
      <w:marTop w:val="0"/>
      <w:marBottom w:val="0"/>
      <w:divBdr>
        <w:top w:val="none" w:sz="0" w:space="0" w:color="auto"/>
        <w:left w:val="none" w:sz="0" w:space="0" w:color="auto"/>
        <w:bottom w:val="none" w:sz="0" w:space="0" w:color="auto"/>
        <w:right w:val="none" w:sz="0" w:space="0" w:color="auto"/>
      </w:divBdr>
    </w:div>
    <w:div w:id="1361931456">
      <w:bodyDiv w:val="1"/>
      <w:marLeft w:val="0"/>
      <w:marRight w:val="0"/>
      <w:marTop w:val="0"/>
      <w:marBottom w:val="0"/>
      <w:divBdr>
        <w:top w:val="none" w:sz="0" w:space="0" w:color="auto"/>
        <w:left w:val="none" w:sz="0" w:space="0" w:color="auto"/>
        <w:bottom w:val="none" w:sz="0" w:space="0" w:color="auto"/>
        <w:right w:val="none" w:sz="0" w:space="0" w:color="auto"/>
      </w:divBdr>
    </w:div>
    <w:div w:id="1372338733">
      <w:bodyDiv w:val="1"/>
      <w:marLeft w:val="0"/>
      <w:marRight w:val="0"/>
      <w:marTop w:val="0"/>
      <w:marBottom w:val="0"/>
      <w:divBdr>
        <w:top w:val="none" w:sz="0" w:space="0" w:color="auto"/>
        <w:left w:val="none" w:sz="0" w:space="0" w:color="auto"/>
        <w:bottom w:val="none" w:sz="0" w:space="0" w:color="auto"/>
        <w:right w:val="none" w:sz="0" w:space="0" w:color="auto"/>
      </w:divBdr>
    </w:div>
    <w:div w:id="1378698379">
      <w:bodyDiv w:val="1"/>
      <w:marLeft w:val="0"/>
      <w:marRight w:val="0"/>
      <w:marTop w:val="0"/>
      <w:marBottom w:val="0"/>
      <w:divBdr>
        <w:top w:val="none" w:sz="0" w:space="0" w:color="auto"/>
        <w:left w:val="none" w:sz="0" w:space="0" w:color="auto"/>
        <w:bottom w:val="none" w:sz="0" w:space="0" w:color="auto"/>
        <w:right w:val="none" w:sz="0" w:space="0" w:color="auto"/>
      </w:divBdr>
    </w:div>
    <w:div w:id="1412896489">
      <w:bodyDiv w:val="1"/>
      <w:marLeft w:val="0"/>
      <w:marRight w:val="0"/>
      <w:marTop w:val="0"/>
      <w:marBottom w:val="0"/>
      <w:divBdr>
        <w:top w:val="none" w:sz="0" w:space="0" w:color="auto"/>
        <w:left w:val="none" w:sz="0" w:space="0" w:color="auto"/>
        <w:bottom w:val="none" w:sz="0" w:space="0" w:color="auto"/>
        <w:right w:val="none" w:sz="0" w:space="0" w:color="auto"/>
      </w:divBdr>
    </w:div>
    <w:div w:id="1460762990">
      <w:bodyDiv w:val="1"/>
      <w:marLeft w:val="0"/>
      <w:marRight w:val="0"/>
      <w:marTop w:val="0"/>
      <w:marBottom w:val="0"/>
      <w:divBdr>
        <w:top w:val="none" w:sz="0" w:space="0" w:color="auto"/>
        <w:left w:val="none" w:sz="0" w:space="0" w:color="auto"/>
        <w:bottom w:val="none" w:sz="0" w:space="0" w:color="auto"/>
        <w:right w:val="none" w:sz="0" w:space="0" w:color="auto"/>
      </w:divBdr>
    </w:div>
    <w:div w:id="1471482859">
      <w:bodyDiv w:val="1"/>
      <w:marLeft w:val="0"/>
      <w:marRight w:val="0"/>
      <w:marTop w:val="0"/>
      <w:marBottom w:val="0"/>
      <w:divBdr>
        <w:top w:val="none" w:sz="0" w:space="0" w:color="auto"/>
        <w:left w:val="none" w:sz="0" w:space="0" w:color="auto"/>
        <w:bottom w:val="none" w:sz="0" w:space="0" w:color="auto"/>
        <w:right w:val="none" w:sz="0" w:space="0" w:color="auto"/>
      </w:divBdr>
    </w:div>
    <w:div w:id="1509517322">
      <w:bodyDiv w:val="1"/>
      <w:marLeft w:val="0"/>
      <w:marRight w:val="0"/>
      <w:marTop w:val="0"/>
      <w:marBottom w:val="0"/>
      <w:divBdr>
        <w:top w:val="none" w:sz="0" w:space="0" w:color="auto"/>
        <w:left w:val="none" w:sz="0" w:space="0" w:color="auto"/>
        <w:bottom w:val="none" w:sz="0" w:space="0" w:color="auto"/>
        <w:right w:val="none" w:sz="0" w:space="0" w:color="auto"/>
      </w:divBdr>
    </w:div>
    <w:div w:id="1532918932">
      <w:bodyDiv w:val="1"/>
      <w:marLeft w:val="0"/>
      <w:marRight w:val="0"/>
      <w:marTop w:val="0"/>
      <w:marBottom w:val="0"/>
      <w:divBdr>
        <w:top w:val="none" w:sz="0" w:space="0" w:color="auto"/>
        <w:left w:val="none" w:sz="0" w:space="0" w:color="auto"/>
        <w:bottom w:val="none" w:sz="0" w:space="0" w:color="auto"/>
        <w:right w:val="none" w:sz="0" w:space="0" w:color="auto"/>
      </w:divBdr>
    </w:div>
    <w:div w:id="1539128416">
      <w:bodyDiv w:val="1"/>
      <w:marLeft w:val="0"/>
      <w:marRight w:val="0"/>
      <w:marTop w:val="0"/>
      <w:marBottom w:val="0"/>
      <w:divBdr>
        <w:top w:val="none" w:sz="0" w:space="0" w:color="auto"/>
        <w:left w:val="none" w:sz="0" w:space="0" w:color="auto"/>
        <w:bottom w:val="none" w:sz="0" w:space="0" w:color="auto"/>
        <w:right w:val="none" w:sz="0" w:space="0" w:color="auto"/>
      </w:divBdr>
    </w:div>
    <w:div w:id="1544367616">
      <w:bodyDiv w:val="1"/>
      <w:marLeft w:val="0"/>
      <w:marRight w:val="0"/>
      <w:marTop w:val="0"/>
      <w:marBottom w:val="0"/>
      <w:divBdr>
        <w:top w:val="none" w:sz="0" w:space="0" w:color="auto"/>
        <w:left w:val="none" w:sz="0" w:space="0" w:color="auto"/>
        <w:bottom w:val="none" w:sz="0" w:space="0" w:color="auto"/>
        <w:right w:val="none" w:sz="0" w:space="0" w:color="auto"/>
      </w:divBdr>
    </w:div>
    <w:div w:id="1562325698">
      <w:bodyDiv w:val="1"/>
      <w:marLeft w:val="0"/>
      <w:marRight w:val="0"/>
      <w:marTop w:val="0"/>
      <w:marBottom w:val="0"/>
      <w:divBdr>
        <w:top w:val="none" w:sz="0" w:space="0" w:color="auto"/>
        <w:left w:val="none" w:sz="0" w:space="0" w:color="auto"/>
        <w:bottom w:val="none" w:sz="0" w:space="0" w:color="auto"/>
        <w:right w:val="none" w:sz="0" w:space="0" w:color="auto"/>
      </w:divBdr>
    </w:div>
    <w:div w:id="1636715395">
      <w:bodyDiv w:val="1"/>
      <w:marLeft w:val="0"/>
      <w:marRight w:val="0"/>
      <w:marTop w:val="0"/>
      <w:marBottom w:val="0"/>
      <w:divBdr>
        <w:top w:val="none" w:sz="0" w:space="0" w:color="auto"/>
        <w:left w:val="none" w:sz="0" w:space="0" w:color="auto"/>
        <w:bottom w:val="none" w:sz="0" w:space="0" w:color="auto"/>
        <w:right w:val="none" w:sz="0" w:space="0" w:color="auto"/>
      </w:divBdr>
    </w:div>
    <w:div w:id="1660230694">
      <w:bodyDiv w:val="1"/>
      <w:marLeft w:val="0"/>
      <w:marRight w:val="0"/>
      <w:marTop w:val="0"/>
      <w:marBottom w:val="0"/>
      <w:divBdr>
        <w:top w:val="none" w:sz="0" w:space="0" w:color="auto"/>
        <w:left w:val="none" w:sz="0" w:space="0" w:color="auto"/>
        <w:bottom w:val="none" w:sz="0" w:space="0" w:color="auto"/>
        <w:right w:val="none" w:sz="0" w:space="0" w:color="auto"/>
      </w:divBdr>
    </w:div>
    <w:div w:id="1674255361">
      <w:bodyDiv w:val="1"/>
      <w:marLeft w:val="0"/>
      <w:marRight w:val="0"/>
      <w:marTop w:val="0"/>
      <w:marBottom w:val="0"/>
      <w:divBdr>
        <w:top w:val="none" w:sz="0" w:space="0" w:color="auto"/>
        <w:left w:val="none" w:sz="0" w:space="0" w:color="auto"/>
        <w:bottom w:val="none" w:sz="0" w:space="0" w:color="auto"/>
        <w:right w:val="none" w:sz="0" w:space="0" w:color="auto"/>
      </w:divBdr>
    </w:div>
    <w:div w:id="1718354601">
      <w:bodyDiv w:val="1"/>
      <w:marLeft w:val="0"/>
      <w:marRight w:val="0"/>
      <w:marTop w:val="0"/>
      <w:marBottom w:val="0"/>
      <w:divBdr>
        <w:top w:val="none" w:sz="0" w:space="0" w:color="auto"/>
        <w:left w:val="none" w:sz="0" w:space="0" w:color="auto"/>
        <w:bottom w:val="none" w:sz="0" w:space="0" w:color="auto"/>
        <w:right w:val="none" w:sz="0" w:space="0" w:color="auto"/>
      </w:divBdr>
    </w:div>
    <w:div w:id="1729839315">
      <w:bodyDiv w:val="1"/>
      <w:marLeft w:val="0"/>
      <w:marRight w:val="0"/>
      <w:marTop w:val="0"/>
      <w:marBottom w:val="0"/>
      <w:divBdr>
        <w:top w:val="none" w:sz="0" w:space="0" w:color="auto"/>
        <w:left w:val="none" w:sz="0" w:space="0" w:color="auto"/>
        <w:bottom w:val="none" w:sz="0" w:space="0" w:color="auto"/>
        <w:right w:val="none" w:sz="0" w:space="0" w:color="auto"/>
      </w:divBdr>
    </w:div>
    <w:div w:id="1758208078">
      <w:bodyDiv w:val="1"/>
      <w:marLeft w:val="0"/>
      <w:marRight w:val="0"/>
      <w:marTop w:val="0"/>
      <w:marBottom w:val="0"/>
      <w:divBdr>
        <w:top w:val="none" w:sz="0" w:space="0" w:color="auto"/>
        <w:left w:val="none" w:sz="0" w:space="0" w:color="auto"/>
        <w:bottom w:val="none" w:sz="0" w:space="0" w:color="auto"/>
        <w:right w:val="none" w:sz="0" w:space="0" w:color="auto"/>
      </w:divBdr>
    </w:div>
    <w:div w:id="1809198554">
      <w:bodyDiv w:val="1"/>
      <w:marLeft w:val="0"/>
      <w:marRight w:val="0"/>
      <w:marTop w:val="0"/>
      <w:marBottom w:val="0"/>
      <w:divBdr>
        <w:top w:val="none" w:sz="0" w:space="0" w:color="auto"/>
        <w:left w:val="none" w:sz="0" w:space="0" w:color="auto"/>
        <w:bottom w:val="none" w:sz="0" w:space="0" w:color="auto"/>
        <w:right w:val="none" w:sz="0" w:space="0" w:color="auto"/>
      </w:divBdr>
    </w:div>
    <w:div w:id="1813206887">
      <w:bodyDiv w:val="1"/>
      <w:marLeft w:val="0"/>
      <w:marRight w:val="0"/>
      <w:marTop w:val="0"/>
      <w:marBottom w:val="0"/>
      <w:divBdr>
        <w:top w:val="none" w:sz="0" w:space="0" w:color="auto"/>
        <w:left w:val="none" w:sz="0" w:space="0" w:color="auto"/>
        <w:bottom w:val="none" w:sz="0" w:space="0" w:color="auto"/>
        <w:right w:val="none" w:sz="0" w:space="0" w:color="auto"/>
      </w:divBdr>
    </w:div>
    <w:div w:id="1853372676">
      <w:bodyDiv w:val="1"/>
      <w:marLeft w:val="0"/>
      <w:marRight w:val="0"/>
      <w:marTop w:val="0"/>
      <w:marBottom w:val="0"/>
      <w:divBdr>
        <w:top w:val="none" w:sz="0" w:space="0" w:color="auto"/>
        <w:left w:val="none" w:sz="0" w:space="0" w:color="auto"/>
        <w:bottom w:val="none" w:sz="0" w:space="0" w:color="auto"/>
        <w:right w:val="none" w:sz="0" w:space="0" w:color="auto"/>
      </w:divBdr>
    </w:div>
    <w:div w:id="1855462210">
      <w:bodyDiv w:val="1"/>
      <w:marLeft w:val="0"/>
      <w:marRight w:val="0"/>
      <w:marTop w:val="0"/>
      <w:marBottom w:val="0"/>
      <w:divBdr>
        <w:top w:val="none" w:sz="0" w:space="0" w:color="auto"/>
        <w:left w:val="none" w:sz="0" w:space="0" w:color="auto"/>
        <w:bottom w:val="none" w:sz="0" w:space="0" w:color="auto"/>
        <w:right w:val="none" w:sz="0" w:space="0" w:color="auto"/>
      </w:divBdr>
    </w:div>
    <w:div w:id="1895502041">
      <w:bodyDiv w:val="1"/>
      <w:marLeft w:val="0"/>
      <w:marRight w:val="0"/>
      <w:marTop w:val="0"/>
      <w:marBottom w:val="0"/>
      <w:divBdr>
        <w:top w:val="none" w:sz="0" w:space="0" w:color="auto"/>
        <w:left w:val="none" w:sz="0" w:space="0" w:color="auto"/>
        <w:bottom w:val="none" w:sz="0" w:space="0" w:color="auto"/>
        <w:right w:val="none" w:sz="0" w:space="0" w:color="auto"/>
      </w:divBdr>
    </w:div>
    <w:div w:id="1903830829">
      <w:bodyDiv w:val="1"/>
      <w:marLeft w:val="0"/>
      <w:marRight w:val="0"/>
      <w:marTop w:val="0"/>
      <w:marBottom w:val="0"/>
      <w:divBdr>
        <w:top w:val="none" w:sz="0" w:space="0" w:color="auto"/>
        <w:left w:val="none" w:sz="0" w:space="0" w:color="auto"/>
        <w:bottom w:val="none" w:sz="0" w:space="0" w:color="auto"/>
        <w:right w:val="none" w:sz="0" w:space="0" w:color="auto"/>
      </w:divBdr>
    </w:div>
    <w:div w:id="1916666719">
      <w:bodyDiv w:val="1"/>
      <w:marLeft w:val="0"/>
      <w:marRight w:val="0"/>
      <w:marTop w:val="0"/>
      <w:marBottom w:val="0"/>
      <w:divBdr>
        <w:top w:val="none" w:sz="0" w:space="0" w:color="auto"/>
        <w:left w:val="none" w:sz="0" w:space="0" w:color="auto"/>
        <w:bottom w:val="none" w:sz="0" w:space="0" w:color="auto"/>
        <w:right w:val="none" w:sz="0" w:space="0" w:color="auto"/>
      </w:divBdr>
    </w:div>
    <w:div w:id="1970164007">
      <w:bodyDiv w:val="1"/>
      <w:marLeft w:val="0"/>
      <w:marRight w:val="0"/>
      <w:marTop w:val="0"/>
      <w:marBottom w:val="0"/>
      <w:divBdr>
        <w:top w:val="none" w:sz="0" w:space="0" w:color="auto"/>
        <w:left w:val="none" w:sz="0" w:space="0" w:color="auto"/>
        <w:bottom w:val="none" w:sz="0" w:space="0" w:color="auto"/>
        <w:right w:val="none" w:sz="0" w:space="0" w:color="auto"/>
      </w:divBdr>
    </w:div>
    <w:div w:id="1974020238">
      <w:bodyDiv w:val="1"/>
      <w:marLeft w:val="0"/>
      <w:marRight w:val="0"/>
      <w:marTop w:val="0"/>
      <w:marBottom w:val="0"/>
      <w:divBdr>
        <w:top w:val="none" w:sz="0" w:space="0" w:color="auto"/>
        <w:left w:val="none" w:sz="0" w:space="0" w:color="auto"/>
        <w:bottom w:val="none" w:sz="0" w:space="0" w:color="auto"/>
        <w:right w:val="none" w:sz="0" w:space="0" w:color="auto"/>
      </w:divBdr>
    </w:div>
    <w:div w:id="1983074058">
      <w:bodyDiv w:val="1"/>
      <w:marLeft w:val="0"/>
      <w:marRight w:val="0"/>
      <w:marTop w:val="0"/>
      <w:marBottom w:val="0"/>
      <w:divBdr>
        <w:top w:val="none" w:sz="0" w:space="0" w:color="auto"/>
        <w:left w:val="none" w:sz="0" w:space="0" w:color="auto"/>
        <w:bottom w:val="none" w:sz="0" w:space="0" w:color="auto"/>
        <w:right w:val="none" w:sz="0" w:space="0" w:color="auto"/>
      </w:divBdr>
    </w:div>
    <w:div w:id="1983192490">
      <w:bodyDiv w:val="1"/>
      <w:marLeft w:val="0"/>
      <w:marRight w:val="0"/>
      <w:marTop w:val="0"/>
      <w:marBottom w:val="0"/>
      <w:divBdr>
        <w:top w:val="none" w:sz="0" w:space="0" w:color="auto"/>
        <w:left w:val="none" w:sz="0" w:space="0" w:color="auto"/>
        <w:bottom w:val="none" w:sz="0" w:space="0" w:color="auto"/>
        <w:right w:val="none" w:sz="0" w:space="0" w:color="auto"/>
      </w:divBdr>
    </w:div>
    <w:div w:id="1987123136">
      <w:bodyDiv w:val="1"/>
      <w:marLeft w:val="0"/>
      <w:marRight w:val="0"/>
      <w:marTop w:val="0"/>
      <w:marBottom w:val="0"/>
      <w:divBdr>
        <w:top w:val="none" w:sz="0" w:space="0" w:color="auto"/>
        <w:left w:val="none" w:sz="0" w:space="0" w:color="auto"/>
        <w:bottom w:val="none" w:sz="0" w:space="0" w:color="auto"/>
        <w:right w:val="none" w:sz="0" w:space="0" w:color="auto"/>
      </w:divBdr>
    </w:div>
    <w:div w:id="1989279822">
      <w:bodyDiv w:val="1"/>
      <w:marLeft w:val="0"/>
      <w:marRight w:val="0"/>
      <w:marTop w:val="0"/>
      <w:marBottom w:val="0"/>
      <w:divBdr>
        <w:top w:val="none" w:sz="0" w:space="0" w:color="auto"/>
        <w:left w:val="none" w:sz="0" w:space="0" w:color="auto"/>
        <w:bottom w:val="none" w:sz="0" w:space="0" w:color="auto"/>
        <w:right w:val="none" w:sz="0" w:space="0" w:color="auto"/>
      </w:divBdr>
    </w:div>
    <w:div w:id="1993682407">
      <w:bodyDiv w:val="1"/>
      <w:marLeft w:val="0"/>
      <w:marRight w:val="0"/>
      <w:marTop w:val="0"/>
      <w:marBottom w:val="0"/>
      <w:divBdr>
        <w:top w:val="none" w:sz="0" w:space="0" w:color="auto"/>
        <w:left w:val="none" w:sz="0" w:space="0" w:color="auto"/>
        <w:bottom w:val="none" w:sz="0" w:space="0" w:color="auto"/>
        <w:right w:val="none" w:sz="0" w:space="0" w:color="auto"/>
      </w:divBdr>
    </w:div>
    <w:div w:id="2016495545">
      <w:bodyDiv w:val="1"/>
      <w:marLeft w:val="0"/>
      <w:marRight w:val="0"/>
      <w:marTop w:val="0"/>
      <w:marBottom w:val="0"/>
      <w:divBdr>
        <w:top w:val="none" w:sz="0" w:space="0" w:color="auto"/>
        <w:left w:val="none" w:sz="0" w:space="0" w:color="auto"/>
        <w:bottom w:val="none" w:sz="0" w:space="0" w:color="auto"/>
        <w:right w:val="none" w:sz="0" w:space="0" w:color="auto"/>
      </w:divBdr>
    </w:div>
    <w:div w:id="2056391678">
      <w:bodyDiv w:val="1"/>
      <w:marLeft w:val="0"/>
      <w:marRight w:val="0"/>
      <w:marTop w:val="0"/>
      <w:marBottom w:val="0"/>
      <w:divBdr>
        <w:top w:val="none" w:sz="0" w:space="0" w:color="auto"/>
        <w:left w:val="none" w:sz="0" w:space="0" w:color="auto"/>
        <w:bottom w:val="none" w:sz="0" w:space="0" w:color="auto"/>
        <w:right w:val="none" w:sz="0" w:space="0" w:color="auto"/>
      </w:divBdr>
    </w:div>
    <w:div w:id="2076976076">
      <w:bodyDiv w:val="1"/>
      <w:marLeft w:val="0"/>
      <w:marRight w:val="0"/>
      <w:marTop w:val="0"/>
      <w:marBottom w:val="0"/>
      <w:divBdr>
        <w:top w:val="none" w:sz="0" w:space="0" w:color="auto"/>
        <w:left w:val="none" w:sz="0" w:space="0" w:color="auto"/>
        <w:bottom w:val="none" w:sz="0" w:space="0" w:color="auto"/>
        <w:right w:val="none" w:sz="0" w:space="0" w:color="auto"/>
      </w:divBdr>
    </w:div>
    <w:div w:id="2092896542">
      <w:bodyDiv w:val="1"/>
      <w:marLeft w:val="0"/>
      <w:marRight w:val="0"/>
      <w:marTop w:val="0"/>
      <w:marBottom w:val="0"/>
      <w:divBdr>
        <w:top w:val="none" w:sz="0" w:space="0" w:color="auto"/>
        <w:left w:val="none" w:sz="0" w:space="0" w:color="auto"/>
        <w:bottom w:val="none" w:sz="0" w:space="0" w:color="auto"/>
        <w:right w:val="none" w:sz="0" w:space="0" w:color="auto"/>
      </w:divBdr>
    </w:div>
    <w:div w:id="2094276479">
      <w:bodyDiv w:val="1"/>
      <w:marLeft w:val="0"/>
      <w:marRight w:val="0"/>
      <w:marTop w:val="0"/>
      <w:marBottom w:val="0"/>
      <w:divBdr>
        <w:top w:val="none" w:sz="0" w:space="0" w:color="auto"/>
        <w:left w:val="none" w:sz="0" w:space="0" w:color="auto"/>
        <w:bottom w:val="none" w:sz="0" w:space="0" w:color="auto"/>
        <w:right w:val="none" w:sz="0" w:space="0" w:color="auto"/>
      </w:divBdr>
    </w:div>
    <w:div w:id="2097945105">
      <w:bodyDiv w:val="1"/>
      <w:marLeft w:val="0"/>
      <w:marRight w:val="0"/>
      <w:marTop w:val="0"/>
      <w:marBottom w:val="0"/>
      <w:divBdr>
        <w:top w:val="none" w:sz="0" w:space="0" w:color="auto"/>
        <w:left w:val="none" w:sz="0" w:space="0" w:color="auto"/>
        <w:bottom w:val="none" w:sz="0" w:space="0" w:color="auto"/>
        <w:right w:val="none" w:sz="0" w:space="0" w:color="auto"/>
      </w:divBdr>
    </w:div>
    <w:div w:id="2104569262">
      <w:bodyDiv w:val="1"/>
      <w:marLeft w:val="0"/>
      <w:marRight w:val="0"/>
      <w:marTop w:val="0"/>
      <w:marBottom w:val="0"/>
      <w:divBdr>
        <w:top w:val="none" w:sz="0" w:space="0" w:color="auto"/>
        <w:left w:val="none" w:sz="0" w:space="0" w:color="auto"/>
        <w:bottom w:val="none" w:sz="0" w:space="0" w:color="auto"/>
        <w:right w:val="none" w:sz="0" w:space="0" w:color="auto"/>
      </w:divBdr>
    </w:div>
    <w:div w:id="2112239831">
      <w:bodyDiv w:val="1"/>
      <w:marLeft w:val="0"/>
      <w:marRight w:val="0"/>
      <w:marTop w:val="0"/>
      <w:marBottom w:val="0"/>
      <w:divBdr>
        <w:top w:val="none" w:sz="0" w:space="0" w:color="auto"/>
        <w:left w:val="none" w:sz="0" w:space="0" w:color="auto"/>
        <w:bottom w:val="none" w:sz="0" w:space="0" w:color="auto"/>
        <w:right w:val="none" w:sz="0" w:space="0" w:color="auto"/>
      </w:divBdr>
    </w:div>
    <w:div w:id="2131362547">
      <w:bodyDiv w:val="1"/>
      <w:marLeft w:val="0"/>
      <w:marRight w:val="0"/>
      <w:marTop w:val="0"/>
      <w:marBottom w:val="0"/>
      <w:divBdr>
        <w:top w:val="none" w:sz="0" w:space="0" w:color="auto"/>
        <w:left w:val="none" w:sz="0" w:space="0" w:color="auto"/>
        <w:bottom w:val="none" w:sz="0" w:space="0" w:color="auto"/>
        <w:right w:val="none" w:sz="0" w:space="0" w:color="auto"/>
      </w:divBdr>
    </w:div>
    <w:div w:id="2138445942">
      <w:bodyDiv w:val="1"/>
      <w:marLeft w:val="0"/>
      <w:marRight w:val="0"/>
      <w:marTop w:val="0"/>
      <w:marBottom w:val="0"/>
      <w:divBdr>
        <w:top w:val="none" w:sz="0" w:space="0" w:color="auto"/>
        <w:left w:val="none" w:sz="0" w:space="0" w:color="auto"/>
        <w:bottom w:val="none" w:sz="0" w:space="0" w:color="auto"/>
        <w:right w:val="none" w:sz="0" w:space="0" w:color="auto"/>
      </w:divBdr>
    </w:div>
    <w:div w:id="214230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ai-regulation-a-pro-innovation-approach/white-paper?idev_id=141&amp;utm_source=chatgpt.com"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ai-opportunities-action-plan-government-response?utm_source=chatgpt.com" TargetMode="External"/><Relationship Id="rId17" Type="http://schemas.openxmlformats.org/officeDocument/2006/relationships/hyperlink" Target="https://www.unesco.org/en/legal-affairs/recommendation-ethics-artificial-intelligence?utm_source=chatgpt.com" TargetMode="External"/><Relationship Id="rId2" Type="http://schemas.openxmlformats.org/officeDocument/2006/relationships/numbering" Target="numbering.xml"/><Relationship Id="rId16" Type="http://schemas.openxmlformats.org/officeDocument/2006/relationships/hyperlink" Target="https://www.officeforstudents.org.uk/for-providers/quality-and-standards/artificial-intelligence-in-higher-education/?utm_source=chatgpt.com"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implementing-the-uks-ai-regulatory-principles-initial-guidance-for-regulators?utm_source=chatgpt.com" TargetMode="External"/><Relationship Id="rId5" Type="http://schemas.openxmlformats.org/officeDocument/2006/relationships/webSettings" Target="webSettings.xml"/><Relationship Id="rId15" Type="http://schemas.openxmlformats.org/officeDocument/2006/relationships/hyperlink" Target="https://www.officeforstudents.org.uk/publications/regulatory-framework-for-higher-education-in-england/?utm_source" TargetMode="External"/><Relationship Id="rId10" Type="http://schemas.openxmlformats.org/officeDocument/2006/relationships/hyperlink" Target="https://synthesismanual.jbi.global?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ission.europa.eu/news-and-media/news/ai-act-enters-force-2024-08-01_en?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Cro231</b:Tag>
    <b:SourceType>JournalArticle</b:SourceType>
    <b:Guid>{BF383704-3D96-4CAA-B418-2DAAE8993DA6}</b:Guid>
    <b:Author>
      <b:Author>
        <b:NameList>
          <b:Person>
            <b:Last>Crompton</b:Last>
          </b:Person>
          <b:Person>
            <b:Last>Burke</b:Last>
          </b:Person>
          <b:Person>
            <b:Last>Cady</b:Last>
          </b:Person>
        </b:NameList>
      </b:Author>
    </b:Author>
    <b:Title>"Artificial intelligence in higher education: The state of the field"</b:Title>
    <b:JournalName>International Journal of Educational Technology in Higher Education</b:JournalName>
    <b:Year>2023</b:Year>
    <b:Pages>22</b:Pages>
    <b:Volume>20</b:Volume>
    <b:Issue>1</b:Issue>
    <b:RefOrder>4</b:RefOrder>
  </b:Source>
  <b:Source>
    <b:Tag>Mic22</b:Tag>
    <b:SourceType>JournalArticle</b:SourceType>
    <b:Guid>{9597EE54-FCA1-4578-BA3F-6E81EB936770}</b:Guid>
    <b:Author>
      <b:Author>
        <b:NameList>
          <b:Person>
            <b:Last>Micalef</b:Last>
          </b:Person>
        </b:NameList>
      </b:Author>
    </b:Author>
    <b:Title>"Artificial intelligence capability: Conceptualization, measurement calibration, and empirical study on its impact on organizational creativity and firm performance"</b:Title>
    <b:JournalName>Information &amp; Management</b:JournalName>
    <b:Year>2022</b:Year>
    <b:Pages>103434</b:Pages>
    <b:Volume>59</b:Volume>
    <b:Issue>3</b:Issue>
    <b:RefOrder>5</b:RefOrder>
  </b:Source>
  <b:Source>
    <b:Tag>Bob241</b:Tag>
    <b:SourceType>JournalArticle</b:SourceType>
    <b:Guid>{13687B71-0DDB-4232-B1F2-70A1DBC5A2DE}</b:Guid>
    <b:Author>
      <b:Author>
        <b:NameList>
          <b:Person>
            <b:Last>Bobula</b:Last>
          </b:Person>
        </b:NameList>
      </b:Author>
    </b:Author>
    <b:Title>"Generative artificial intelligence (AI) in higher education"</b:Title>
    <b:JournalName>Journal of Learning Development in Higher Education</b:JournalName>
    <b:Year>2024</b:Year>
    <b:Pages>pp. 1- 23</b:Pages>
    <b:Issue>32</b:Issue>
    <b:RefOrder>6</b:RefOrder>
  </b:Source>
  <b:Source>
    <b:Tag>Hel24</b:Tag>
    <b:SourceType>JournalArticle</b:SourceType>
    <b:Guid>{409FE1E3-A256-483E-B395-A4D6EC61C66B}</b:Guid>
    <b:Author>
      <b:Author>
        <b:NameList>
          <b:Person>
            <b:Last>Helmiatin</b:Last>
          </b:Person>
        </b:NameList>
      </b:Author>
    </b:Author>
    <b:Title>"Investigating the adoption of AI in higher education: A study of educators and policymakers"</b:Title>
    <b:JournalName>Cogent Education</b:JournalName>
    <b:Year>2024</b:Year>
    <b:Pages>2380175</b:Pages>
    <b:Volume>11</b:Volume>
    <b:Issue>1</b:Issue>
    <b:RefOrder>7</b:RefOrder>
  </b:Source>
  <b:Source>
    <b:Tag>Alf251</b:Tag>
    <b:SourceType>JournalArticle</b:SourceType>
    <b:Guid>{0CE47D96-241C-48DE-8B13-DE0F7697F80C}</b:Guid>
    <b:Author>
      <b:Author>
        <b:NameList>
          <b:Person>
            <b:Last>Alfiras</b:Last>
          </b:Person>
        </b:NameList>
      </b:Author>
    </b:Author>
    <b:Title>"Ethics and governance of generative AI in education: A systematic review"</b:Title>
    <b:JournalName>Discover Education</b:JournalName>
    <b:Year>2025</b:Year>
    <b:Pages>pp. 1-26</b:Pages>
    <b:Volume>4</b:Volume>
    <b:Issue>1</b:Issue>
    <b:RefOrder>8</b:RefOrder>
  </b:Source>
  <b:Source>
    <b:Tag>Bat23</b:Tag>
    <b:SourceType>JournalArticle</b:SourceType>
    <b:Guid>{38787FA9-F54C-4B8A-BD69-B4F003BA834D}</b:Guid>
    <b:Author>
      <b:Author>
        <b:NameList>
          <b:Person>
            <b:Last>Batool</b:Last>
          </b:Person>
          <b:Person>
            <b:Last>Zowghi</b:Last>
          </b:Person>
          <b:Person>
            <b:Last>Bano</b:Last>
          </b:Person>
        </b:NameList>
      </b:Author>
    </b:Author>
    <b:Title>"Responsible AI Governance: A Systematic Literature Review"</b:Title>
    <b:JournalName>arXiv preprint arXiv</b:JournalName>
    <b:Year>2023</b:Year>
    <b:Pages>10896</b:Pages>
    <b:RefOrder>9</b:RefOrder>
  </b:Source>
  <b:Source>
    <b:Tag>Bit25</b:Tag>
    <b:SourceType>JournalArticle</b:SourceType>
    <b:Guid>{97A993F8-D63F-4ECC-ADEF-AA44EFAE84FC}</b:Guid>
    <b:Author>
      <b:Author>
        <b:NameList>
          <b:Person>
            <b:Last>Bitte</b:Last>
          </b:Person>
        </b:NameList>
      </b:Author>
    </b:Author>
    <b:Title>'Generative AI and Academic Integrity in Higher Education: A Systematic Literature Review'</b:Title>
    <b:JournalName>Information</b:JournalName>
    <b:Year>2025</b:Year>
    <b:Pages>296</b:Pages>
    <b:Volume>16</b:Volume>
    <b:Issue>4</b:Issue>
    <b:RefOrder>10</b:RefOrder>
  </b:Source>
  <b:Source>
    <b:Tag>Mar251</b:Tag>
    <b:SourceType>JournalArticle</b:SourceType>
    <b:Guid>{91D9EE1E-16D8-4AAF-B410-2BB510FE3E1E}</b:Guid>
    <b:Author>
      <b:Author>
        <b:NameList>
          <b:Person>
            <b:Last>Marin</b:Last>
          </b:Person>
        </b:NameList>
      </b:Author>
    </b:Author>
    <b:Title>'Ethical Challenges Associated with the Use of Artificial Intelligence in Higher Education'</b:Title>
    <b:JournalName>Journal of Academic Ethics</b:JournalName>
    <b:Year>2025</b:Year>
    <b:RefOrder>11</b:RefOrder>
  </b:Source>
  <b:Source>
    <b:Tag>Str261</b:Tag>
    <b:SourceType>JournalArticle</b:SourceType>
    <b:Guid>{DEC29AFC-ECA5-4A67-B856-895B1C2BA1BF}</b:Guid>
    <b:Author>
      <b:Author>
        <b:NameList>
          <b:Person>
            <b:Last>Stracke</b:Last>
          </b:Person>
        </b:NameList>
      </b:Author>
    </b:Author>
    <b:Title>'Artificial Intelligence Policies for Higher Education: A Roadmap for Contextual AI Governance'</b:Title>
    <b:JournalName>Management and Policy in Higher Education</b:JournalName>
    <b:Year>2026</b:Year>
    <b:RefOrder>12</b:RefOrder>
  </b:Source>
  <b:Source>
    <b:Tag>Wil201</b:Tag>
    <b:SourceType>JournalArticle</b:SourceType>
    <b:Guid>{B54C0CCC-7F5A-4C69-B32B-A59DE6F28203}</b:Guid>
    <b:Author>
      <b:Author>
        <b:NameList>
          <b:Person>
            <b:Last>Williamson</b:Last>
          </b:Person>
          <b:Person>
            <b:Last>Eynon</b:Last>
          </b:Person>
        </b:NameList>
      </b:Author>
    </b:Author>
    <b:Title>"Historical threads, missing links, and future directions in AI in education"</b:Title>
    <b:JournalName>Learning, Media and Technology</b:JournalName>
    <b:Year>2020</b:Year>
    <b:Pages>pp.223-235</b:Pages>
    <b:RefOrder>13</b:RefOrder>
  </b:Source>
  <b:Source>
    <b:Tag>Hol223</b:Tag>
    <b:SourceType>JournalArticle</b:SourceType>
    <b:Guid>{CFF13EEF-FCF8-4306-BEEF-573904F0B068}</b:Guid>
    <b:Author>
      <b:Author>
        <b:NameList>
          <b:Person>
            <b:Last>Holmes</b:Last>
          </b:Person>
        </b:NameList>
      </b:Author>
    </b:Author>
    <b:Title>"Ethics of AI in Education: Towards a Community-Wide Framework"</b:Title>
    <b:JournalName>International Journal of Artificial Intelligence in Education</b:JournalName>
    <b:Year>2022</b:Year>
    <b:Pages>pp.504-526</b:Pages>
    <b:RefOrder>14</b:RefOrder>
  </b:Source>
  <b:Source>
    <b:Tag>Dab24</b:Tag>
    <b:SourceType>JournalArticle</b:SourceType>
    <b:Guid>{DBFA1FF1-1CD8-4B5B-ADC4-EB65FDB46001}</b:Guid>
    <b:Author>
      <b:Author>
        <b:NameList>
          <b:Person>
            <b:Last>Dabis</b:Last>
          </b:Person>
          <b:Person>
            <b:Last>Csaki</b:Last>
          </b:Person>
        </b:NameList>
      </b:Author>
    </b:Author>
    <b:Title>AI and ethics: Investigating the first policy responses of higher education institutions to the challenge of generative AI</b:Title>
    <b:JournalName>Humanities and Social Sciences Communications</b:JournalName>
    <b:Year>2024</b:Year>
    <b:Volume>11</b:Volume>
    <b:Issue>1006</b:Issue>
    <b:RefOrder>3</b:RefOrder>
  </b:Source>
  <b:Source>
    <b:Tag>Cha233</b:Tag>
    <b:SourceType>JournalArticle</b:SourceType>
    <b:Guid>{BA99922C-5D38-480C-9924-6A82BF9E163B}</b:Guid>
    <b:Author>
      <b:Author>
        <b:NameList>
          <b:Person>
            <b:Last>Chan</b:Last>
          </b:Person>
        </b:NameList>
      </b:Author>
    </b:Author>
    <b:Title>A comprehensive AI policy education framework for university teaching and learning</b:Title>
    <b:JournalName>International Journal of Educational Technology in Higher Education</b:JournalName>
    <b:Year>2023</b:Year>
    <b:Pages>38</b:Pages>
    <b:Volume>20</b:Volume>
    <b:Issue>1</b:Issue>
    <b:RefOrder>15</b:RefOrder>
  </b:Source>
  <b:Source>
    <b:Tag>Lee24</b:Tag>
    <b:SourceType>JournalArticle</b:SourceType>
    <b:Guid>{5A23D69F-0E6A-4433-B22D-B69A06FDDC35}</b:Guid>
    <b:Author>
      <b:Author>
        <b:NameList>
          <b:Person>
            <b:Last>Lee</b:Last>
          </b:Person>
        </b:NameList>
      </b:Author>
    </b:Author>
    <b:Title>‘The impact of generative AI on higher education learning and teaching: A study of educators’ perspectives’</b:Title>
    <b:JournalName>Computers and Education: Artificial Intelligence</b:JournalName>
    <b:Year>2024</b:Year>
    <b:Pages>100221. doi: 10.1016/j.caeai.2024.100221</b:Pages>
    <b:Volume>6</b:Volume>
    <b:RefOrder>16</b:RefOrder>
  </b:Source>
  <b:Source>
    <b:Tag>Jin25</b:Tag>
    <b:SourceType>JournalArticle</b:SourceType>
    <b:Guid>{3C0DFCF7-89B8-46B9-93AF-24FAC776F1B9}</b:Guid>
    <b:Author>
      <b:Author>
        <b:NameList>
          <b:Person>
            <b:Last>Jin</b:Last>
          </b:Person>
        </b:NameList>
      </b:Author>
    </b:Author>
    <b:Title>‘Generative AI in higher education: A global perspective of institutional adoption policies and guidelines’</b:Title>
    <b:JournalName>Computers and Education: Artificial Intelligence</b:JournalName>
    <b:Year>2025</b:Year>
    <b:Pages>100348. doi: 10.1016/j.caeai.2024.100348</b:Pages>
    <b:Volume>8</b:Volume>
    <b:RefOrder>17</b:RefOrder>
  </b:Source>
  <b:Source>
    <b:Tag>Onc251</b:Tag>
    <b:SourceType>JournalArticle</b:SourceType>
    <b:Guid>{416928CB-DC14-497F-AD87-C44CBC2587CB}</b:Guid>
    <b:Author>
      <b:Author>
        <b:NameList>
          <b:Person>
            <b:Last>Oncioiu</b:Last>
          </b:Person>
          <b:Person>
            <b:Last>Bularca</b:Last>
          </b:Person>
        </b:NameList>
      </b:Author>
    </b:Author>
    <b:Title>‘Artificial Intelligence Governance in Higher Education: The Role of Knowledge-Based Strategies in Fostering Legal Awareness and Ethical Artificial Intelligence Literacy’</b:Title>
    <b:JournalName>Societies</b:JournalName>
    <b:Year>2025</b:Year>
    <b:Pages>144. doi: 10.3390/soc15060144</b:Pages>
    <b:Volume>15</b:Volume>
    <b:Issue>16</b:Issue>
    <b:RefOrder>18</b:RefOrder>
  </b:Source>
  <b:Source>
    <b:Tag>Yus24</b:Tag>
    <b:SourceType>JournalArticle</b:SourceType>
    <b:Guid>{6312DA46-02C4-4E15-8CE5-B2358ADB72F5}</b:Guid>
    <b:Author>
      <b:Author>
        <b:NameList>
          <b:Person>
            <b:Last>Yusuf</b:Last>
          </b:Person>
        </b:NameList>
      </b:Author>
    </b:Author>
    <b:Title>‘Generative AI and the future of higher education: a threat to academic integrity or reformation? Evidence from multicultural perspectives’</b:Title>
    <b:JournalName>International Journal of Educational Technology in Higher Education</b:JournalName>
    <b:Year>2024</b:Year>
    <b:Pages>21. doi: 10.1186/s41239-024-00453-6</b:Pages>
    <b:Volume>21</b:Volume>
    <b:RefOrder>19</b:RefOrder>
  </b:Source>
  <b:Source>
    <b:Tag>Bil25</b:Tag>
    <b:SourceType>JournalArticle</b:SourceType>
    <b:Guid>{B2144D5D-8D43-4186-9BDA-B482D6512672}</b:Guid>
    <b:Author>
      <b:Author>
        <b:NameList>
          <b:Person>
            <b:Last>Bilgin</b:Last>
          </b:Person>
        </b:NameList>
      </b:Author>
    </b:Author>
    <b:Title>‘A framework for responsible AI in higher education’</b:Title>
    <b:JournalName>Higher Education Governance and Policy</b:JournalName>
    <b:Year>2025</b:Year>
    <b:Pages>pp. 155–174. doi: 10.55993/hegp.1788343</b:Pages>
    <b:RefOrder>20</b:RefOrder>
  </b:Source>
  <b:Source>
    <b:Tag>Kni25</b:Tag>
    <b:SourceType>JournalArticle</b:SourceType>
    <b:Guid>{C60BE154-6D26-4318-BC89-B602AF8DB85A}</b:Guid>
    <b:Author>
      <b:Author>
        <b:NameList>
          <b:Person>
            <b:Last>Knight</b:Last>
          </b:Person>
          <b:Person>
            <b:Last>Shibani</b:Last>
          </b:Person>
          <b:Person>
            <b:Last>Vincent</b:Last>
          </b:Person>
        </b:NameList>
      </b:Author>
    </b:Author>
    <b:Title>‘Ethical AI governance: mapping a research ecosystem'</b:Title>
    <b:JournalName>AI and Ethics</b:JournalName>
    <b:Year>2025</b:Year>
    <b:Pages>pp. 841–862. doi: 10.1007/s43681-023-00416-z</b:Pages>
    <b:Volume>5</b:Volume>
    <b:RefOrder>21</b:RefOrder>
  </b:Source>
  <b:Source>
    <b:Tag>Jia25</b:Tag>
    <b:SourceType>JournalArticle</b:SourceType>
    <b:Guid>{F84B77B7-8007-4CAD-885A-577E25B75DE9}</b:Guid>
    <b:Author>
      <b:Author>
        <b:NameList>
          <b:Person>
            <b:Last>Jiang</b:Last>
          </b:Person>
          <b:Person>
            <b:Last>Xie</b:Last>
          </b:Person>
          <b:Person>
            <b:Last>Cao</b:Last>
          </b:Person>
        </b:NameList>
      </b:Author>
    </b:Author>
    <b:Title>‘Exploring the effectiveness of institutional policies and regulations for generative AI usage in higher education’</b:Title>
    <b:JournalName>Higher Education Quarterly</b:JournalName>
    <b:Year>2025</b:Year>
    <b:Pages>e70054. doi: 10.1111/hequ.70054</b:Pages>
    <b:Volume>79</b:Volume>
    <b:Issue>4</b:Issue>
    <b:RefOrder>22</b:RefOrder>
  </b:Source>
  <b:Source>
    <b:Tag>AnY25</b:Tag>
    <b:SourceType>JournalArticle</b:SourceType>
    <b:Guid>{18334E30-17C1-4E3E-842D-5BB866715155}</b:Guid>
    <b:Author>
      <b:Author>
        <b:NameList>
          <b:Person>
            <b:Last>An</b:Last>
          </b:Person>
          <b:Person>
            <b:Last>Yu</b:Last>
          </b:Person>
          <b:Person>
            <b:Last>James</b:Last>
          </b:Person>
        </b:NameList>
      </b:Author>
    </b:Author>
    <b:Title>‘Investigating the higher education institutions’ guidelines and policies regarding the use of generative AI in teaching, learning, research, and administration’</b:Title>
    <b:JournalName>International Journal of Educational Technology in Higher Education</b:JournalName>
    <b:Year>2025</b:Year>
    <b:Pages>10. doi: 10.1186/s41239-025-00507-3</b:Pages>
    <b:Volume>22</b:Volume>
    <b:RefOrder>23</b:RefOrder>
  </b:Source>
  <b:Source>
    <b:Tag>McD25</b:Tag>
    <b:SourceType>JournalArticle</b:SourceType>
    <b:Guid>{0269B666-3EA0-46EC-80C3-F271CF7A0201}</b:Guid>
    <b:Author>
      <b:Author>
        <b:NameList>
          <b:Person>
            <b:Last>McDonald</b:Last>
          </b:Person>
          <b:Person>
            <b:Last>Johri</b:Last>
          </b:Person>
          <b:Person>
            <b:Last>Ali</b:Last>
          </b:Person>
          <b:Person>
            <b:Last>Collier</b:Last>
            <b:First>Hingle</b:First>
          </b:Person>
        </b:NameList>
      </b:Author>
    </b:Author>
    <b:Title>‘Generative artificial intelligence in higher education: Evidence from an analysis of institutional policies and guidelines’</b:Title>
    <b:JournalName>Computers in Human Behavior: Artificial Humans</b:JournalName>
    <b:Year>2025</b:Year>
    <b:Pages>100121. doi: 10.1016/j.chbah.2025.100121</b:Pages>
    <b:Volume>3</b:Volume>
    <b:RefOrder>24</b:RefOrder>
  </b:Source>
  <b:Source>
    <b:Tag>OhS25</b:Tag>
    <b:SourceType>JournalArticle</b:SourceType>
    <b:Guid>{01DEEF12-6178-47E9-8F0E-1A8B44FFFF55}</b:Guid>
    <b:Author>
      <b:Author>
        <b:NameList>
          <b:Person>
            <b:Last>Oh</b:Last>
          </b:Person>
          <b:Person>
            <b:Last>Sanfilippo</b:Last>
          </b:Person>
        </b:NameList>
      </b:Author>
    </b:Author>
    <b:Title>‘Responsible AI in academia: policies and guidelines in US universities’</b:Title>
    <b:JournalName>Information and Learning Science</b:JournalName>
    <b:Year>2025</b:Year>
    <b:Pages>doi: 10.1108/ILS-03-2025-0042.</b:Pages>
    <b:Volume>126</b:Volume>
    <b:Issue>9-10</b:Issue>
    <b:RefOrder>25</b:RefOrder>
  </b:Source>
  <b:Source>
    <b:Tag>Off261</b:Tag>
    <b:SourceType>InternetSite</b:SourceType>
    <b:Guid>{FF94C56A-0866-4580-B11A-60392BB7C636}</b:Guid>
    <b:Author>
      <b:Author>
        <b:Corporate>Office for Students</b:Corporate>
      </b:Author>
    </b:Author>
    <b:Title>Artificial intelligence in higher education</b:Title>
    <b:InternetSiteTitle>Artificial intelligence in higher education</b:InternetSiteTitle>
    <b:Year>2026</b:Year>
    <b:Month>08</b:Month>
    <b:Day>08</b:Day>
    <b:URL>https://www.officeforstudents.org.uk/for-providers/quality-and-standards/artificial-intelligence-in-higher-education/?utm_source</b:URL>
    <b:RefOrder>26</b:RefOrder>
  </b:Source>
  <b:Source>
    <b:Tag>Dep26</b:Tag>
    <b:SourceType>InternetSite</b:SourceType>
    <b:Guid>{7D74AD5C-A89C-4E30-B4CF-85D46EB9D8DE}</b:Guid>
    <b:Author>
      <b:Author>
        <b:Corporate>Department for Science, Innovation and Technology</b:Corporate>
      </b:Author>
    </b:Author>
    <b:Title>A pro-innovation approach to AI regulation. CP 815. London: HM Government.</b:Title>
    <b:Year>2026</b:Year>
    <b:Month>8</b:Month>
    <b:Day>8</b:Day>
    <b:URL>UK Government AI regulation White Paper</b:URL>
    <b:RefOrder>27</b:RefOrder>
  </b:Source>
  <b:Source>
    <b:Tag>Off26</b:Tag>
    <b:SourceType>InternetSite</b:SourceType>
    <b:Guid>{77735151-0EB7-4FD9-862A-675649A86680}</b:Guid>
    <b:Title>Securing student success: Regulatory framework for higher education in England.</b:Title>
    <b:Year>2022</b:Year>
    <b:Author>
      <b:Author>
        <b:Corporate>Office for Students</b:Corporate>
      </b:Author>
    </b:Author>
    <b:InternetSiteTitle>THE OFFICE FOR STUDENTS REGULATORY FRAMEWORK</b:InternetSiteTitle>
    <b:Month>08</b:Month>
    <b:Day>08</b:Day>
    <b:URL>Office for Students regulatory framework</b:URL>
    <b:RefOrder>28</b:RefOrder>
  </b:Source>
  <b:Source>
    <b:Tag>Nar243</b:Tag>
    <b:SourceType>JournalArticle</b:SourceType>
    <b:Guid>{16CBF2BB-8ADC-464A-B66E-3DCEA44988C1}</b:Guid>
    <b:Title>‘Guiding principles of generative AI for employability and learning in UK universities’</b:Title>
    <b:Year>2024</b:Year>
    <b:Author>
      <b:Author>
        <b:NameList>
          <b:Person>
            <b:Last>Nartey</b:Last>
          </b:Person>
        </b:NameList>
      </b:Author>
    </b:Author>
    <b:JournalName>Cogent Education</b:JournalName>
    <b:Pages>2357898. https://doi.org/10.1080/2331186X.2024.2357898</b:Pages>
    <b:Volume>11</b:Volume>
    <b:Issue>1</b:Issue>
    <b:RefOrder>29</b:RefOrder>
  </b:Source>
  <b:Source>
    <b:Tag>Spa25</b:Tag>
    <b:SourceType>JournalArticle</b:SourceType>
    <b:Guid>{F8F4FB7D-D9D8-43E6-B9DE-3AFFB9AD0E04}</b:Guid>
    <b:Author>
      <b:Author>
        <b:NameList>
          <b:Person>
            <b:Last>Spada</b:Last>
          </b:Person>
          <b:Person>
            <b:Last>Shirish</b:Last>
          </b:Person>
          <b:Person>
            <b:Last>Davey</b:Last>
          </b:Person>
          <b:Person>
            <b:Last>O’Hara</b:Last>
          </b:Person>
        </b:NameList>
      </b:Author>
    </b:Author>
    <b:Title>‘Embedding digital responsibility: An exploratory analysis of AI policies in higher education'</b:Title>
    <b:JournalName>MCIS 2025 Proceedings</b:JournalName>
    <b:Year>2025</b:Year>
    <b:RefOrder>30</b:RefOrder>
  </b:Source>
  <b:Source>
    <b:Tag>Wal25</b:Tag>
    <b:SourceType>JournalArticle</b:SourceType>
    <b:Guid>{896685B6-DC1D-4917-8702-4D78D097DC78}</b:Guid>
    <b:Author>
      <b:Author>
        <b:NameList>
          <b:Person>
            <b:Last>Walhidayah</b:Last>
          </b:Person>
          <b:Person>
            <b:Last>Surendro</b:Last>
          </b:Person>
        </b:NameList>
      </b:Author>
    </b:Author>
    <b:Title>‘Development of an AI governance model for higher education using the Capability Maturity Model Integration (CMMI)’</b:Title>
    <b:JournalName>Jurnal Teknik Informatika</b:JournalName>
    <b:Year>2025</b:Year>
    <b:Pages>6(4). https://doi.org/10.52436/1.jutif.2025.6.4.4709</b:Pages>
    <b:RefOrder>31</b:RefOrder>
  </b:Source>
  <b:Source>
    <b:Tag>Gom25</b:Tag>
    <b:SourceType>JournalArticle</b:SourceType>
    <b:Guid>{2F170753-E618-4CA5-ABFB-1148936BAC00}</b:Guid>
    <b:Author>
      <b:Author>
        <b:NameList>
          <b:Person>
            <b:Last>Gomes</b:Last>
          </b:Person>
          <b:Person>
            <b:Last>Ramos</b:Last>
          </b:Person>
          <b:Person>
            <b:Last>Oliveira</b:Last>
            <b:First>de</b:First>
          </b:Person>
        </b:NameList>
      </b:Author>
    </b:Author>
    <b:Title>‘Guidelines and frameworks of governance for the adoption of generative artificial intelligence in higher education institutions: a scoping review’</b:Title>
    <b:JournalName>Revista de Administração da UFSM.</b:JournalName>
    <b:Year>2025</b:Year>
    <b:Pages> doi: 10.5902/1983465990871.</b:Pages>
    <b:RefOrder>32</b:RefOrder>
  </b:Source>
  <b:Source>
    <b:Tag>Mis26</b:Tag>
    <b:SourceType>JournalArticle</b:SourceType>
    <b:Guid>{B3AAA361-E8A8-40C8-B12E-1338CD55683B}</b:Guid>
    <b:Author>
      <b:Author>
        <b:NameList>
          <b:Person>
            <b:Last>Misra</b:Last>
          </b:Person>
          <b:Person>
            <b:Last>Nirmal</b:Last>
          </b:Person>
          <b:Person>
            <b:Last>Bhat</b:Last>
          </b:Person>
        </b:NameList>
      </b:Author>
    </b:Author>
    <b:Title>‘Self-Regulated Learning and Governance of AI in Higher Education’</b:Title>
    <b:JournalName>Higher Education Quarterly</b:JournalName>
    <b:Year>2026</b:Year>
    <b:Pages>80(1), e70079. doi: 10.1111/hequ.70079.</b:Pages>
    <b:RefOrder>33</b:RefOrder>
  </b:Source>
  <b:Source>
    <b:Tag>Abd26</b:Tag>
    <b:SourceType>JournalArticle</b:SourceType>
    <b:Guid>{980B0315-271F-49D7-933E-71662042B227}</b:Guid>
    <b:Author>
      <b:Author>
        <b:NameList>
          <b:Person>
            <b:Last>Abdullah</b:Last>
          </b:Person>
          <b:Person>
            <b:Last>Jiang</b:Last>
          </b:Person>
        </b:NameList>
      </b:Author>
    </b:Author>
    <b:Title>‘AI-enabled governance in higher education: a systematic review of applications, outcomes, and emerging implications’</b:Title>
    <b:JournalName>Frontiers in Education</b:JournalName>
    <b:Year>2026</b:Year>
    <b:Pages>11, 1856440. doi: 10.3389/feduc.2026.1856440</b:Pages>
    <b:RefOrder>34</b:RefOrder>
  </b:Source>
  <b:Source>
    <b:Tag>Tae25</b:Tag>
    <b:SourceType>JournalArticle</b:SourceType>
    <b:Guid>{BF1FBB2B-A43D-4F92-A78D-B5E1CB5D28F2}</b:Guid>
    <b:Author>
      <b:Author>
        <b:NameList>
          <b:Person>
            <b:Last>Taeihagh</b:Last>
          </b:Person>
        </b:NameList>
      </b:Author>
    </b:Author>
    <b:Title>‘Governance of Generative AI’</b:Title>
    <b:JournalName>Policy and Society</b:JournalName>
    <b:Year>2025</b:Year>
    <b:Pages>44(1), pp. 1–22. doi: 10.1093/polsoc/puaf001.</b:Pages>
    <b:RefOrder>35</b:RefOrder>
  </b:Source>
  <b:Source>
    <b:Tag>Lau25</b:Tag>
    <b:SourceType>JournalArticle</b:SourceType>
    <b:Guid>{D0D2FB4E-B6C3-4561-AB44-04F13F93712B}</b:Guid>
    <b:Author>
      <b:Author>
        <b:NameList>
          <b:Person>
            <b:Last>Azevedo</b:Last>
            <b:First>Lauren</b:First>
          </b:Person>
          <b:Person>
            <b:Last>Robles</b:Last>
            <b:First>Pedro</b:First>
          </b:Person>
          <b:Person>
            <b:Last>Best</b:Last>
            <b:First>Eric</b:First>
          </b:Person>
          <b:Person>
            <b:Last>Mallinson</b:Last>
            <b:First>Daniel</b:First>
          </b:Person>
        </b:NameList>
      </b:Author>
    </b:Author>
    <b:Title>‘Institutional Policies on Artificial Intelligence in Higher Education: Frameworks and Best Practices for Faculty’</b:Title>
    <b:JournalName>New Directions for Adult and Continuing Education</b:JournalName>
    <b:Year>2025</b:Year>
    <b:Pages>2025(188), pp. 70–78. doi: 10.1002/ace.70013.</b:Pages>
    <b:RefOrder>36</b:RefOrder>
  </b:Source>
  <b:Source>
    <b:Tag>Ber25</b:Tag>
    <b:SourceType>JournalArticle</b:SourceType>
    <b:Guid>{E34F161B-0880-43A2-A70B-AB23D6BDF5F1}</b:Guid>
    <b:Author>
      <b:Author>
        <b:NameList>
          <b:Person>
            <b:Last>Berba</b:Last>
          </b:Person>
        </b:NameList>
      </b:Author>
    </b:Author>
    <b:Title>‘Navigating the Landscape of Generative AI in Higher Education: Institutional Policies, Workforce Readiness, and Ethical Guidelines’</b:Title>
    <b:Year>2025</b:Year>
    <b:Pages>doi: 10.3233/ATDE250550.</b:Pages>
    <b:RefOrder>37</b:RefOrder>
  </b:Source>
  <b:Source>
    <b:Tag>Mem23</b:Tag>
    <b:SourceType>JournalArticle</b:SourceType>
    <b:Guid>{373A1EE1-F370-4E11-A6CC-A87568EE3F16}</b:Guid>
    <b:Author>
      <b:Author>
        <b:NameList>
          <b:Person>
            <b:Last>Memarian</b:Last>
            <b:First>B.</b:First>
            <b:Middle>and Doleck, T.</b:Middle>
          </b:Person>
        </b:NameList>
      </b:Author>
    </b:Author>
    <b:Title>‘Fairness, accountability, transparency, and ethics (FATE) in artificial intelligence (AI) and higher education: A systematic review’</b:Title>
    <b:JournalName>Computers and Education: Artificial Intelligence</b:JournalName>
    <b:Year>2023</b:Year>
    <b:Pages>5, 100152. doi: 10.1016/j.caeai.2023.100152.</b:Pages>
    <b:RefOrder>38</b:RefOrder>
  </b:Source>
  <b:Source>
    <b:Tag>Moo23</b:Tag>
    <b:SourceType>JournalArticle</b:SourceType>
    <b:Guid>{D280D9AB-48EA-40F7-BC8B-17D13C68E44A}</b:Guid>
    <b:Author>
      <b:Author>
        <b:NameList>
          <b:Person>
            <b:Last>Moorhouse</b:Last>
            <b:First>Yeo</b:First>
            <b:Middle>and Wan</b:Middle>
          </b:Person>
        </b:NameList>
      </b:Author>
    </b:Author>
    <b:Title>‘Generative AI tools and assessment: Guidelines of the world’s top-ranking universities’</b:Title>
    <b:JournalName>Computers and Education Open</b:JournalName>
    <b:Year>2023</b:Year>
    <b:Pages>5, 100151. doi: 10.1016/j.caeo.2023.100151.</b:Pages>
    <b:RefOrder>39</b:RefOrder>
  </b:Source>
  <b:Source>
    <b:Tag>Luo241</b:Tag>
    <b:SourceType>JournalArticle</b:SourceType>
    <b:Guid>{9F260A63-1C8E-4982-A2BD-755803B5BBBD}</b:Guid>
    <b:Author>
      <b:Author>
        <b:NameList>
          <b:Person>
            <b:Last>Luo</b:Last>
          </b:Person>
        </b:NameList>
      </b:Author>
    </b:Author>
    <b:Title>‘A critical review of GenAI policies in higher education assessment: A call to reconsider the “originality” of students’ work’</b:Title>
    <b:JournalName>Assessment &amp; Evaluation in Higher Education</b:JournalName>
    <b:Year>2024</b:Year>
    <b:Pages>49(5), pp. 651–664. doi: 10.1080/02602938.2024.2309963.</b:Pages>
    <b:RefOrder>40</b:RefOrder>
  </b:Source>
  <b:Source>
    <b:Tag>Moo24</b:Tag>
    <b:SourceType>JournalArticle</b:SourceType>
    <b:Guid>{A6ACE93E-AB4A-485E-9671-7C96F11AFFF0}</b:Guid>
    <b:Author>
      <b:Author>
        <b:NameList>
          <b:Person>
            <b:Last>Moore</b:Last>
            <b:First>S.</b:First>
            <b:Middle>and Lookadoo, K.</b:Middle>
          </b:Person>
        </b:NameList>
      </b:Author>
    </b:Author>
    <b:Title>‘Communicating clear guidance: Advice for generative AI policy development in higher education’</b:Title>
    <b:JournalName>Business and Professional Communication Quarterly</b:JournalName>
    <b:Year>2024</b:Year>
    <b:Pages>87(4), pp. 610–629. doi: 10.1177/23294906241254786.</b:Pages>
    <b:RefOrder>41</b:RefOrder>
  </b:Source>
  <b:Source>
    <b:Tag>Akb25</b:Tag>
    <b:SourceType>JournalArticle</b:SourceType>
    <b:Guid>{43C31AFD-3054-4D2C-A16A-D680030ADC00}</b:Guid>
    <b:Author>
      <b:Author>
        <b:NameList>
          <b:Person>
            <b:Last>Akbarighatar</b:Last>
          </b:Person>
        </b:NameList>
      </b:Author>
    </b:Author>
    <b:Title>‘Operationalizing responsible AI principles through responsible AI capabilities’</b:Title>
    <b:JournalName>AI and Ethics</b:JournalName>
    <b:Year>2025</b:Year>
    <b:Pages>5, pp. 3661–3677. doi: 10.1007/s43681-024-00524-4</b:Pages>
    <b:RefOrder>2</b:RefOrder>
  </b:Source>
  <b:Source>
    <b:Tag>Had25</b:Tag>
    <b:SourceType>JournalArticle</b:SourceType>
    <b:Guid>{EDF09B06-E6B7-4E7D-8164-86A6923E3BF3}</b:Guid>
    <b:Author>
      <b:Author>
        <b:NameList>
          <b:Person>
            <b:Last>Hadley</b:Last>
          </b:Person>
          <b:Person>
            <b:Last>Blatecky</b:Last>
          </b:Person>
          <b:Person>
            <b:Last>Comfort</b:Last>
          </b:Person>
        </b:NameList>
      </b:Author>
    </b:Author>
    <b:Title>‘Investigating algorithm review boards for organizational responsible artificial intelligence governance’</b:Title>
    <b:JournalName>AI and Ethics</b:JournalName>
    <b:Year>2025</b:Year>
    <b:Pages>5, pp. 2485–2495. doi: 10.1007/s43681-024-00574-8.</b:Pages>
    <b:RefOrder>42</b:RefOrder>
  </b:Source>
  <b:Source>
    <b:Tag>Pap25</b:Tag>
    <b:SourceType>JournalArticle</b:SourceType>
    <b:Guid>{F1024235-4FBB-4C5D-8474-5BA32886C1EE}</b:Guid>
    <b:Author>
      <b:Author>
        <b:NameList>
          <b:Person>
            <b:Last>Papagiannidis</b:Last>
            <b:First>E.,</b:First>
            <b:Middle>Mikalef, P. and Conboy, K.</b:Middle>
          </b:Person>
        </b:NameList>
      </b:Author>
    </b:Author>
    <b:Title>‘Responsible artificial intelligence governance: A review and research framework’</b:Title>
    <b:JournalName>The Journal of Strategic Information Systems</b:JournalName>
    <b:Year>2025</b:Year>
    <b:Pages>34(2), 101885. doi: 10.1016/j.jsis.2024.101885.</b:Pages>
    <b:RefOrder>43</b:RefOrder>
  </b:Source>
  <b:Source>
    <b:Tag>Jaf25</b:Tag>
    <b:SourceType>JournalArticle</b:SourceType>
    <b:Guid>{21812C4B-835A-4625-AE4E-143A6B7E8977}</b:Guid>
    <b:Author>
      <b:Author>
        <b:NameList>
          <b:Person>
            <b:Last>Jafari</b:Last>
          </b:Person>
        </b:NameList>
      </b:Author>
    </b:Author>
    <b:Title>‘An Adaptive Responsible AI Governance Framework for Decentralized Organizations’</b:Title>
    <b:JournalName>Ethics, and Society</b:JournalName>
    <b:Year>2025</b:Year>
    <b:Pages>8(2), pp. 1324–1334. doi: 10.1609/aies.v8i2.36633.</b:Pages>
    <b:RefOrder>44</b:RefOrder>
  </b:Source>
  <b:Source>
    <b:Tag>Gag25</b:Tag>
    <b:SourceType>JournalArticle</b:SourceType>
    <b:Guid>{3B2961D9-3BBE-47CF-B3ED-8118FE5B71AE}</b:Guid>
    <b:Author>
      <b:Author>
        <b:NameList>
          <b:Person>
            <b:Last>Gagua</b:Last>
          </b:Person>
        </b:NameList>
      </b:Author>
    </b:Author>
    <b:Title>‘Responsible AI Governance in the Public Sector: Explaining Contextual Dynamics Through a Realist Synthesis Review’</b:Title>
    <b:JournalName>Ethics, and Society</b:JournalName>
    <b:Year>2025</b:Year>
    <b:Pages>8(1), pp. 990–1002. doi: 10.1609/aies.v8i1.36606. </b:Pages>
    <b:RefOrder>45</b:RefOrder>
  </b:Source>
  <b:Source>
    <b:Tag>Lah24</b:Tag>
    <b:SourceType>JournalArticle</b:SourceType>
    <b:Guid>{B13A0CF1-45E0-491D-807F-415C4BF72907}</b:Guid>
    <b:Author>
      <b:Author>
        <b:NameList>
          <b:Person>
            <b:Last>Lahusen</b:Last>
          </b:Person>
        </b:NameList>
      </b:Author>
    </b:Author>
    <b:Title>‘Trust, trustworthiness and AI governance’</b:Title>
    <b:JournalName>Scientific Reports</b:JournalName>
    <b:Year>2024</b:Year>
    <b:Pages>14, 20752. doi: 10.1038/s41598-024-71761-0.</b:Pages>
    <b:RefOrder>46</b:RefOrder>
  </b:Source>
  <b:Source>
    <b:Tag>Dav24</b:Tag>
    <b:SourceType>JournalArticle</b:SourceType>
    <b:Guid>{2A04884E-0359-47B6-B693-4FB449679D5A}</b:Guid>
    <b:Author>
      <b:Author>
        <b:NameList>
          <b:Person>
            <b:Last>David</b:Last>
          </b:Person>
        </b:NameList>
      </b:Author>
    </b:Author>
    <b:Title>‘Who is responsible? US public perceptions of AI governance through the lenses of trust and ethics’</b:Title>
    <b:JournalName>Public Understanding of Science</b:JournalName>
    <b:Year>2024</b:Year>
    <b:Pages>33(5). doi: 10.1177/09636625231224592.</b:Pages>
    <b:RefOrder>47</b:RefOrder>
  </b:Source>
  <b:Source>
    <b:Tag>de25</b:Tag>
    <b:SourceType>JournalArticle</b:SourceType>
    <b:Guid>{A64B52A9-C2E6-429B-9B90-0793F0D407B5}</b:Guid>
    <b:Author>
      <b:Author>
        <b:NameList>
          <b:Person>
            <b:Last>de</b:Last>
          </b:Person>
        </b:NameList>
      </b:Author>
    </b:Author>
    <b:Title>‘Artificial intelligence governance: Understanding how public organizations implement it’</b:Title>
    <b:JournalName>Government Information Quarterly</b:JournalName>
    <b:Year>2025</b:Year>
    <b:Pages>42(1), 102003. doi: 10.1016/j.giq.2024.102003.</b:Pages>
    <b:RefOrder>48</b:RefOrder>
  </b:Source>
  <b:Source>
    <b:Tag>Hey24</b:Tag>
    <b:SourceType>JournalArticle</b:SourceType>
    <b:Guid>{13880E62-652C-4682-A1CD-F3385516E1E2}</b:Guid>
    <b:Author>
      <b:Author>
        <b:NameList>
          <b:Person>
            <b:Last>Heymans</b:Last>
          </b:Person>
        </b:NameList>
      </b:Author>
    </b:Author>
    <b:Title>‘Identifying stakeholder motivations in normative AI governance: A systematic literature review for research guidance’</b:Title>
    <b:JournalName>Data &amp; Policy</b:JournalName>
    <b:Year>2024</b:Year>
    <b:Pages>6, e58. doi: 10.1017/dap.2024.66.</b:Pages>
    <b:RefOrder>49</b:RefOrder>
  </b:Source>
  <b:Source>
    <b:Tag>Bir23</b:Tag>
    <b:SourceType>JournalArticle</b:SourceType>
    <b:Guid>{74A9D1F4-1178-4830-815C-752A22F6AE2C}</b:Guid>
    <b:Author>
      <b:Author>
        <b:NameList>
          <b:Person>
            <b:Last>Birkstedt</b:Last>
          </b:Person>
        </b:NameList>
      </b:Author>
    </b:Author>
    <b:Title>‘AI governance: Themes, knowledge gaps and future agendas’</b:Title>
    <b:JournalName>Internet Research</b:JournalName>
    <b:Year>2023</b:Year>
    <b:Pages>pp. 133–167. doi: 10.1108/INTR-01-2022-0042</b:Pages>
    <b:RefOrder>50</b:RefOrder>
  </b:Source>
  <b:Source>
    <b:Tag>WuZ24</b:Tag>
    <b:SourceType>JournalArticle</b:SourceType>
    <b:Guid>{88F94592-D27C-4BF1-85ED-0BB529D21EFB}</b:Guid>
    <b:Author>
      <b:Author>
        <b:NameList>
          <b:Person>
            <b:Last>Wu</b:Last>
          </b:Person>
          <b:Person>
            <b:Last>Zhang</b:Last>
          </b:Person>
          <b:Person>
            <b:Last>Carroll</b:Last>
          </b:Person>
        </b:NameList>
      </b:Author>
    </b:Author>
    <b:Title>'AI Governance in Higher Education: Case Studies of Guidance at Big Ten Universities'</b:Title>
    <b:JournalName>arXiv preprint arXiv</b:JournalName>
    <b:Year>2024</b:Year>
    <b:Pages>2017</b:Pages>
    <b:RefOrder>1</b:RefOrder>
  </b:Source>
  <b:Source>
    <b:Tag>UNE212</b:Tag>
    <b:SourceType>InternetSite</b:SourceType>
    <b:Guid>{B4976401-375B-4866-AAB6-C6A5FD634FE9}</b:Guid>
    <b:Title>Legal Affairs</b:Title>
    <b:Year>2021</b:Year>
    <b:Author>
      <b:Author>
        <b:NameList>
          <b:Person>
            <b:Last>UNESCO</b:Last>
          </b:Person>
        </b:NameList>
      </b:Author>
    </b:Author>
    <b:InternetSiteTitle>Recommendation on the Ethics of Artificial Intelligence</b:InternetSiteTitle>
    <b:URL>https://www.unesco.org/en/legal-affairs/recommendation-ethics-artificial-intelligence?hub=1063&amp;utm_source</b:URL>
    <b:RefOrder>51</b:RefOrder>
  </b:Source>
</b:Sources>
</file>

<file path=customXml/itemProps1.xml><?xml version="1.0" encoding="utf-8"?>
<ds:datastoreItem xmlns:ds="http://schemas.openxmlformats.org/officeDocument/2006/customXml" ds:itemID="{2EAC92F1-6B5D-482D-9C17-B70573E12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88</Pages>
  <Words>36500</Words>
  <Characters>208054</Characters>
  <Application>Microsoft Office Word</Application>
  <DocSecurity>0</DocSecurity>
  <Lines>1733</Lines>
  <Paragraphs>488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Kanchev Kostov (2530998)</dc:creator>
  <cp:keywords/>
  <dc:description/>
  <cp:lastModifiedBy>Maya Hadzhieva</cp:lastModifiedBy>
  <cp:revision>189</cp:revision>
  <dcterms:created xsi:type="dcterms:W3CDTF">2026-08-12T17:08:00Z</dcterms:created>
  <dcterms:modified xsi:type="dcterms:W3CDTF">2026-08-14T22:01:00Z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eb61bf1f-dd73-4fd9-ae40-029aeada947c</vt:lpwstr>
  </property>
</Properties>
</file>