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E3155" w14:textId="4AA877A5" w:rsidR="00DC7D15" w:rsidRDefault="009A588A" w:rsidP="00DC7D15">
      <w:pPr>
        <w:jc w:val="center"/>
        <w:rPr>
          <w:rFonts w:ascii="Arial" w:hAnsi="Arial" w:cs="Arial"/>
          <w:sz w:val="56"/>
          <w:szCs w:val="56"/>
        </w:rPr>
      </w:pPr>
      <w:r w:rsidRPr="009A588A">
        <w:rPr>
          <w:rFonts w:ascii="Arial" w:hAnsi="Arial" w:cs="Arial"/>
          <w:sz w:val="56"/>
          <w:szCs w:val="56"/>
        </w:rPr>
        <w:t>Developing a Venture Plan for Sustainable Delivery and Longevity</w:t>
      </w:r>
      <w:r w:rsidR="0091699A">
        <w:rPr>
          <w:rFonts w:ascii="Arial" w:hAnsi="Arial" w:cs="Arial"/>
          <w:sz w:val="56"/>
          <w:szCs w:val="56"/>
        </w:rPr>
        <w:t>:</w:t>
      </w:r>
    </w:p>
    <w:p w14:paraId="5239A689" w14:textId="743E55FD" w:rsidR="0091699A" w:rsidRPr="0091699A" w:rsidRDefault="0091699A" w:rsidP="00DC7D15">
      <w:pPr>
        <w:jc w:val="center"/>
        <w:rPr>
          <w:rFonts w:ascii="Arial" w:hAnsi="Arial" w:cs="Arial"/>
          <w:sz w:val="56"/>
          <w:szCs w:val="56"/>
          <w:lang w:val="fr-FR"/>
        </w:rPr>
      </w:pPr>
      <w:proofErr w:type="spellStart"/>
      <w:r w:rsidRPr="0091699A">
        <w:rPr>
          <w:rFonts w:ascii="Arial" w:hAnsi="Arial" w:cs="Arial"/>
          <w:sz w:val="56"/>
          <w:szCs w:val="56"/>
          <w:lang w:val="fr-FR"/>
        </w:rPr>
        <w:t>Fl</w:t>
      </w:r>
      <w:r>
        <w:rPr>
          <w:rFonts w:ascii="Arial" w:hAnsi="Arial" w:cs="Arial"/>
          <w:sz w:val="56"/>
          <w:szCs w:val="56"/>
          <w:lang w:val="fr-FR"/>
        </w:rPr>
        <w:t>exFund</w:t>
      </w:r>
      <w:proofErr w:type="spellEnd"/>
    </w:p>
    <w:p w14:paraId="230CEF94" w14:textId="77777777" w:rsidR="00DC7D15" w:rsidRPr="0091699A" w:rsidRDefault="00DC7D15" w:rsidP="00DC7D15">
      <w:pPr>
        <w:jc w:val="center"/>
        <w:rPr>
          <w:rFonts w:ascii="Arial" w:hAnsi="Arial" w:cs="Arial"/>
          <w:sz w:val="56"/>
          <w:szCs w:val="56"/>
          <w:lang w:val="fr-FR"/>
        </w:rPr>
      </w:pPr>
    </w:p>
    <w:p w14:paraId="0B6E4A66" w14:textId="77777777" w:rsidR="00DC7D15" w:rsidRPr="0091699A" w:rsidRDefault="00DC7D15" w:rsidP="00DC7D15">
      <w:pPr>
        <w:jc w:val="center"/>
        <w:rPr>
          <w:rFonts w:ascii="Arial" w:hAnsi="Arial" w:cs="Arial"/>
          <w:sz w:val="56"/>
          <w:szCs w:val="56"/>
          <w:lang w:val="fr-FR"/>
        </w:rPr>
      </w:pPr>
    </w:p>
    <w:p w14:paraId="39A8852A" w14:textId="77777777" w:rsidR="00DC7D15" w:rsidRPr="0091699A" w:rsidRDefault="00DC7D15" w:rsidP="00DC7D15">
      <w:pPr>
        <w:jc w:val="center"/>
        <w:rPr>
          <w:rFonts w:ascii="Arial" w:hAnsi="Arial" w:cs="Arial"/>
          <w:sz w:val="56"/>
          <w:szCs w:val="56"/>
          <w:lang w:val="fr-FR"/>
        </w:rPr>
      </w:pPr>
    </w:p>
    <w:p w14:paraId="2FD4137C" w14:textId="77777777" w:rsidR="00DC7D15" w:rsidRPr="0091699A" w:rsidRDefault="00DC7D15" w:rsidP="00DC7D15">
      <w:pPr>
        <w:jc w:val="center"/>
        <w:rPr>
          <w:rFonts w:ascii="Arial" w:hAnsi="Arial" w:cs="Arial"/>
          <w:sz w:val="56"/>
          <w:szCs w:val="56"/>
          <w:lang w:val="fr-FR"/>
        </w:rPr>
      </w:pPr>
    </w:p>
    <w:p w14:paraId="69921880" w14:textId="77777777" w:rsidR="00DC7D15" w:rsidRPr="0091699A" w:rsidRDefault="00DC7D15" w:rsidP="00DC7D15">
      <w:pPr>
        <w:jc w:val="center"/>
        <w:rPr>
          <w:rFonts w:ascii="Arial" w:hAnsi="Arial" w:cs="Arial"/>
          <w:sz w:val="56"/>
          <w:szCs w:val="56"/>
          <w:lang w:val="fr-FR"/>
        </w:rPr>
      </w:pPr>
    </w:p>
    <w:p w14:paraId="62646CB8" w14:textId="77777777" w:rsidR="00DC7D15" w:rsidRPr="0091699A" w:rsidRDefault="00DC7D15" w:rsidP="00DC7D15">
      <w:pPr>
        <w:jc w:val="center"/>
        <w:rPr>
          <w:rFonts w:ascii="Arial" w:hAnsi="Arial" w:cs="Arial"/>
          <w:sz w:val="56"/>
          <w:szCs w:val="56"/>
          <w:lang w:val="fr-FR"/>
        </w:rPr>
      </w:pPr>
    </w:p>
    <w:p w14:paraId="4CD1B71E" w14:textId="31AC7C9F" w:rsidR="00DC7D15" w:rsidRPr="0091699A" w:rsidRDefault="00DC7D15" w:rsidP="00DC7D15">
      <w:pPr>
        <w:spacing w:line="360" w:lineRule="auto"/>
        <w:jc w:val="both"/>
        <w:rPr>
          <w:rFonts w:ascii="Arial" w:hAnsi="Arial" w:cs="Arial"/>
          <w:sz w:val="56"/>
          <w:szCs w:val="56"/>
          <w:lang w:val="fr-FR"/>
        </w:rPr>
      </w:pPr>
      <w:r w:rsidRPr="0091699A">
        <w:rPr>
          <w:rFonts w:ascii="Arial" w:hAnsi="Arial" w:cs="Arial"/>
          <w:sz w:val="44"/>
          <w:szCs w:val="44"/>
          <w:lang w:val="fr-FR"/>
        </w:rPr>
        <w:t xml:space="preserve">Module: </w:t>
      </w:r>
      <w:r w:rsidR="0091699A" w:rsidRPr="0091699A">
        <w:rPr>
          <w:rFonts w:ascii="Arial" w:hAnsi="Arial" w:cs="Arial"/>
          <w:sz w:val="44"/>
          <w:szCs w:val="44"/>
          <w:lang w:val="fr-FR"/>
        </w:rPr>
        <w:t>Entrepreneurial Innovation</w:t>
      </w:r>
    </w:p>
    <w:p w14:paraId="163BB43B" w14:textId="6A284153" w:rsidR="00DC7D15" w:rsidRPr="0091699A" w:rsidRDefault="00DC7D15" w:rsidP="00DC7D15">
      <w:pPr>
        <w:spacing w:line="360" w:lineRule="auto"/>
        <w:jc w:val="both"/>
        <w:rPr>
          <w:rFonts w:ascii="Arial" w:hAnsi="Arial" w:cs="Arial"/>
          <w:sz w:val="44"/>
          <w:szCs w:val="44"/>
          <w:lang w:val="fr-FR"/>
        </w:rPr>
      </w:pPr>
      <w:r w:rsidRPr="0091699A">
        <w:rPr>
          <w:rFonts w:ascii="Arial" w:hAnsi="Arial" w:cs="Arial"/>
          <w:sz w:val="44"/>
          <w:szCs w:val="44"/>
          <w:lang w:val="fr-FR"/>
        </w:rPr>
        <w:t xml:space="preserve">Module Code: </w:t>
      </w:r>
      <w:r w:rsidR="0091699A" w:rsidRPr="0091699A">
        <w:rPr>
          <w:rFonts w:ascii="Arial" w:hAnsi="Arial" w:cs="Arial"/>
          <w:sz w:val="44"/>
          <w:szCs w:val="44"/>
          <w:lang w:val="fr-FR"/>
        </w:rPr>
        <w:t>BMBM4011</w:t>
      </w:r>
    </w:p>
    <w:p w14:paraId="31EDA3F6" w14:textId="2CE20231" w:rsidR="00DC7D15" w:rsidRPr="00B60956" w:rsidRDefault="00DC7D15" w:rsidP="00DC7D15">
      <w:pPr>
        <w:spacing w:line="360" w:lineRule="auto"/>
        <w:jc w:val="both"/>
        <w:rPr>
          <w:rFonts w:ascii="Arial" w:hAnsi="Arial" w:cs="Arial"/>
          <w:sz w:val="44"/>
          <w:szCs w:val="44"/>
        </w:rPr>
      </w:pPr>
      <w:r w:rsidRPr="00B60956">
        <w:rPr>
          <w:rFonts w:ascii="Arial" w:hAnsi="Arial" w:cs="Arial"/>
          <w:sz w:val="44"/>
          <w:szCs w:val="44"/>
        </w:rPr>
        <w:t>Name: Loredana</w:t>
      </w:r>
      <w:r w:rsidR="00B41B28">
        <w:rPr>
          <w:rFonts w:ascii="Arial" w:hAnsi="Arial" w:cs="Arial"/>
          <w:sz w:val="44"/>
          <w:szCs w:val="44"/>
        </w:rPr>
        <w:t xml:space="preserve"> </w:t>
      </w:r>
      <w:r w:rsidRPr="00B60956">
        <w:rPr>
          <w:rFonts w:ascii="Arial" w:hAnsi="Arial" w:cs="Arial"/>
          <w:sz w:val="44"/>
          <w:szCs w:val="44"/>
        </w:rPr>
        <w:t>Morosan</w:t>
      </w:r>
    </w:p>
    <w:p w14:paraId="25CCB9F5" w14:textId="59683E5A" w:rsidR="00DC7D15" w:rsidRPr="00DC7D15" w:rsidRDefault="00DC7D15" w:rsidP="00DC7D15">
      <w:pPr>
        <w:spacing w:line="360" w:lineRule="auto"/>
        <w:jc w:val="both"/>
        <w:rPr>
          <w:rFonts w:ascii="Arial" w:hAnsi="Arial" w:cs="Arial"/>
          <w:sz w:val="44"/>
          <w:szCs w:val="44"/>
        </w:rPr>
      </w:pPr>
      <w:r w:rsidRPr="00DC7D15">
        <w:rPr>
          <w:rFonts w:ascii="Arial" w:hAnsi="Arial" w:cs="Arial"/>
          <w:sz w:val="44"/>
          <w:szCs w:val="44"/>
        </w:rPr>
        <w:t xml:space="preserve">Student Number: </w:t>
      </w:r>
      <w:r w:rsidR="00B60956">
        <w:rPr>
          <w:rFonts w:ascii="Arial" w:hAnsi="Arial" w:cs="Arial"/>
          <w:sz w:val="44"/>
          <w:szCs w:val="44"/>
        </w:rPr>
        <w:t>2414597</w:t>
      </w:r>
    </w:p>
    <w:p w14:paraId="0F9BB97A" w14:textId="58A12350" w:rsidR="00DC7D15" w:rsidRDefault="00DC7D15" w:rsidP="00DC7D15">
      <w:pPr>
        <w:spacing w:line="360" w:lineRule="auto"/>
        <w:jc w:val="both"/>
        <w:rPr>
          <w:rFonts w:ascii="Arial" w:hAnsi="Arial" w:cs="Arial"/>
          <w:sz w:val="44"/>
          <w:szCs w:val="44"/>
        </w:rPr>
      </w:pPr>
      <w:r w:rsidRPr="00DC7D15">
        <w:rPr>
          <w:rFonts w:ascii="Arial" w:hAnsi="Arial" w:cs="Arial"/>
          <w:sz w:val="44"/>
          <w:szCs w:val="44"/>
        </w:rPr>
        <w:t xml:space="preserve">Lecturer: </w:t>
      </w:r>
      <w:r w:rsidR="0091699A" w:rsidRPr="0091699A">
        <w:rPr>
          <w:rFonts w:ascii="Arial" w:hAnsi="Arial" w:cs="Arial"/>
          <w:sz w:val="44"/>
          <w:szCs w:val="44"/>
        </w:rPr>
        <w:t>Robyn Griffiths</w:t>
      </w:r>
    </w:p>
    <w:p w14:paraId="7BF3E909" w14:textId="77777777" w:rsidR="00DC7D15" w:rsidRDefault="00DC7D15" w:rsidP="00DC7D15">
      <w:pPr>
        <w:spacing w:line="360" w:lineRule="auto"/>
        <w:jc w:val="both"/>
        <w:rPr>
          <w:rFonts w:ascii="Arial" w:hAnsi="Arial" w:cs="Arial"/>
          <w:sz w:val="44"/>
          <w:szCs w:val="44"/>
        </w:rPr>
      </w:pPr>
    </w:p>
    <w:p w14:paraId="26BDFF4F" w14:textId="6839E603" w:rsidR="00D45269" w:rsidRDefault="00DC7D15" w:rsidP="0091699A">
      <w:pPr>
        <w:spacing w:line="360" w:lineRule="auto"/>
        <w:jc w:val="both"/>
        <w:rPr>
          <w:rFonts w:ascii="Arial" w:hAnsi="Arial" w:cs="Arial"/>
          <w:sz w:val="44"/>
          <w:szCs w:val="44"/>
        </w:rPr>
      </w:pPr>
      <w:r>
        <w:rPr>
          <w:rFonts w:ascii="Arial" w:hAnsi="Arial" w:cs="Arial"/>
          <w:sz w:val="44"/>
          <w:szCs w:val="44"/>
        </w:rPr>
        <w:t>Word Count:</w:t>
      </w:r>
      <w:r w:rsidR="00D45269">
        <w:rPr>
          <w:rFonts w:ascii="Arial" w:hAnsi="Arial" w:cs="Arial"/>
          <w:sz w:val="44"/>
          <w:szCs w:val="44"/>
        </w:rPr>
        <w:t xml:space="preserve"> 2941</w:t>
      </w:r>
    </w:p>
    <w:p w14:paraId="5C7D6673" w14:textId="22D028E8" w:rsidR="00511620" w:rsidRPr="00D45269" w:rsidRDefault="00511620" w:rsidP="0091699A">
      <w:pPr>
        <w:spacing w:line="360" w:lineRule="auto"/>
        <w:jc w:val="both"/>
        <w:rPr>
          <w:rFonts w:ascii="Arial" w:hAnsi="Arial" w:cs="Arial"/>
          <w:sz w:val="44"/>
          <w:szCs w:val="44"/>
        </w:rPr>
      </w:pPr>
      <w:r w:rsidRPr="00511620">
        <w:rPr>
          <w:rFonts w:ascii="Arial" w:hAnsi="Arial" w:cs="Arial"/>
          <w:b/>
          <w:bCs/>
          <w:sz w:val="24"/>
          <w:szCs w:val="24"/>
        </w:rPr>
        <w:lastRenderedPageBreak/>
        <w:t>Executive Summary</w:t>
      </w:r>
    </w:p>
    <w:p w14:paraId="3C342174" w14:textId="71731D25"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The financial stability of university students in the United Kingdom has become increasingly fragile, driven by rising living costs, delays in maintenance payments, and limited access to flexible financial support. Evidence highlights a growing number of students experiencing financial hardship, with many struggling to cover essential expenses such as rent, food, and transport (Office for National Statistics, 2023; National Union of Students, 2022). Disruptions to funding can exacerbate this vulnerability and place students at risk of academic disengagement (Student Finance Wales, 2024).</w:t>
      </w:r>
    </w:p>
    <w:p w14:paraId="504C5D19" w14:textId="39118DA1"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This venture proposes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a digital micro-finance platform designed specifically for students facing short-term financial disruption. The platform provides rapid access to small emergency funds, with flexible repayment structures aligned to student finance schedules. Unlike traditional credit options,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prioritises affordability, transparency, and institutional trust through partnerships with universities.</w:t>
      </w:r>
    </w:p>
    <w:p w14:paraId="646E6E57" w14:textId="77777777" w:rsid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The need for such a solution is intensified by the ongoing cost of living crisis, which continues to disproportionately impact students (Bank of England, 2023; Office for Budget Responsibility, 2023). By addressing immediate financial gaps while promoting sustainable repayment,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offers a scalable and viable model that supports both student wellbeing and long-term financial resilience.</w:t>
      </w:r>
    </w:p>
    <w:p w14:paraId="490F06EA" w14:textId="68321577" w:rsidR="00511620" w:rsidRPr="00511620" w:rsidRDefault="00511620" w:rsidP="007A0443">
      <w:pPr>
        <w:spacing w:line="360" w:lineRule="auto"/>
        <w:jc w:val="both"/>
        <w:rPr>
          <w:rFonts w:ascii="Arial" w:hAnsi="Arial" w:cs="Arial"/>
          <w:b/>
          <w:bCs/>
          <w:sz w:val="24"/>
          <w:szCs w:val="24"/>
        </w:rPr>
      </w:pPr>
      <w:r w:rsidRPr="00511620">
        <w:rPr>
          <w:rFonts w:ascii="Arial" w:hAnsi="Arial" w:cs="Arial"/>
          <w:b/>
          <w:bCs/>
          <w:sz w:val="24"/>
          <w:szCs w:val="24"/>
        </w:rPr>
        <w:t>Project Overview &amp; Context</w:t>
      </w:r>
    </w:p>
    <w:p w14:paraId="2AC8B01C" w14:textId="61F847EC"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The scale of financial hardship among university students in the UK has intensified significantly in recent years, driven by rising living costs, stagnant maintenance support, and increasing reliance on external financial assistance. A substantial proportion of students regularly struggle to meet basic living expenses, with many reporting skipping meals, accumulating debt, or facing housing insecurity (Office for National Statistics, 2023; National Union of Students, 2022). Additional research highlights rising overdraft use and financial anxiety among students (Save the Student, 2024). The structure of funding provided through maintenance loans further contributes to this issue, as payments are disbursed in instalments, leaving students vulnerable to cash flow gaps (Student Loans Company, 2024).</w:t>
      </w:r>
    </w:p>
    <w:p w14:paraId="0849BF1F" w14:textId="48F8B24A"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lastRenderedPageBreak/>
        <w:t xml:space="preserve">Current support mechanisms, while present, are often insufficient in addressing urgent financial needs. University hardship funds are typically constrained by limited budgets, strict eligibility criteria, and lengthy application processes. Individuals facing financial emergencies frequently encounter bureaucratic barriers that delay access to support (Citizens Advice, 2023; </w:t>
      </w:r>
      <w:proofErr w:type="spellStart"/>
      <w:r w:rsidRPr="007A0443">
        <w:rPr>
          <w:rFonts w:ascii="Arial" w:hAnsi="Arial" w:cs="Arial"/>
          <w:sz w:val="24"/>
          <w:szCs w:val="24"/>
        </w:rPr>
        <w:t>MoneyHelper</w:t>
      </w:r>
      <w:proofErr w:type="spellEnd"/>
      <w:r w:rsidRPr="007A0443">
        <w:rPr>
          <w:rFonts w:ascii="Arial" w:hAnsi="Arial" w:cs="Arial"/>
          <w:sz w:val="24"/>
          <w:szCs w:val="24"/>
        </w:rPr>
        <w:t>, 2024). This creates a critical gap between the onset of financial difficulty and the availability of assistance.</w:t>
      </w:r>
    </w:p>
    <w:p w14:paraId="0A884A15" w14:textId="77777777" w:rsidR="007A0443" w:rsidRDefault="007A0443" w:rsidP="007A0443">
      <w:pPr>
        <w:spacing w:line="360" w:lineRule="auto"/>
        <w:jc w:val="both"/>
        <w:rPr>
          <w:rFonts w:ascii="Arial" w:hAnsi="Arial" w:cs="Arial"/>
          <w:sz w:val="24"/>
          <w:szCs w:val="24"/>
        </w:rPr>
      </w:pPr>
      <w:r w:rsidRPr="007A0443">
        <w:rPr>
          <w:rFonts w:ascii="Arial" w:hAnsi="Arial" w:cs="Arial"/>
          <w:sz w:val="24"/>
          <w:szCs w:val="24"/>
        </w:rPr>
        <w:t>In response, many students turn to existing financial products such as bank overdrafts, credit cards, or short-term loans. However, these options present significant limitations. Overdrafts are often capped and may incur fees, while credit cards can lead to high-interest debt if not managed carefully. Payday loans are widely criticised for their high costs and potential to trap users in cycles of debt (Financial Conduct Authority, 2023). These alternatives are not designed with the unique financial patterns of students in mind and therefore fail to provide a sustainable or supportive solution.</w:t>
      </w:r>
    </w:p>
    <w:p w14:paraId="371FD05F" w14:textId="77F19905" w:rsidR="00511620" w:rsidRPr="00511620" w:rsidRDefault="00511620" w:rsidP="007A0443">
      <w:pPr>
        <w:spacing w:line="360" w:lineRule="auto"/>
        <w:jc w:val="both"/>
        <w:rPr>
          <w:rFonts w:ascii="Arial" w:hAnsi="Arial" w:cs="Arial"/>
          <w:b/>
          <w:bCs/>
          <w:sz w:val="24"/>
          <w:szCs w:val="24"/>
        </w:rPr>
      </w:pPr>
      <w:r w:rsidRPr="00511620">
        <w:rPr>
          <w:rFonts w:ascii="Arial" w:hAnsi="Arial" w:cs="Arial"/>
          <w:b/>
          <w:bCs/>
          <w:sz w:val="24"/>
          <w:szCs w:val="24"/>
        </w:rPr>
        <w:t>Strategy for Longevity</w:t>
      </w:r>
    </w:p>
    <w:p w14:paraId="360CA071" w14:textId="1E8B7A39"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The long-term sustainability of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is grounded in a model that balances financial viability with social value, ensuring the platform can operate effectively over a minimum two-year horizon while scaling responsibly. Central to this strategy is a diversified and low-risk revenue model. Rather than relying on high-interest lending,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adopts a small, transparent service fee applied to each transaction, ensuring affordability for students while generating consistent income. Additional revenue is derived from institutional partnerships with universities, who have a vested interest in improving student retention and wellbeing. Financial hardship has been identified as a key factor contributing to student withdrawal (Office for Students, 2023), creating a strong incentive f</w:t>
      </w:r>
      <w:r>
        <w:rPr>
          <w:rFonts w:ascii="Arial" w:hAnsi="Arial" w:cs="Arial"/>
          <w:sz w:val="24"/>
          <w:szCs w:val="24"/>
        </w:rPr>
        <w:t>o</w:t>
      </w:r>
      <w:r w:rsidRPr="007A0443">
        <w:rPr>
          <w:rFonts w:ascii="Arial" w:hAnsi="Arial" w:cs="Arial"/>
          <w:sz w:val="24"/>
          <w:szCs w:val="24"/>
        </w:rPr>
        <w:t>r universities to co-invest in preventative financial support solutions.</w:t>
      </w:r>
    </w:p>
    <w:p w14:paraId="7F112EA8" w14:textId="67DCA72F"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Scalability is embedded within the platform’s digital-first design. Initially launched as a pilot within a single university,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can expand incrementally across the UK higher education sector. The standardised structure of student finance systems, where payments are centrally administered (Student Loans Company, 2024), enables replication with minimal structural adaptation. Growth is further supported by the increasing digitisation of financial services and the widespread adoption of mobile applications among students (Financial Conduct Authority, 2023). By year two, the </w:t>
      </w:r>
      <w:r w:rsidRPr="007A0443">
        <w:rPr>
          <w:rFonts w:ascii="Arial" w:hAnsi="Arial" w:cs="Arial"/>
          <w:sz w:val="24"/>
          <w:szCs w:val="24"/>
        </w:rPr>
        <w:lastRenderedPageBreak/>
        <w:t>venture aims to establish partnerships with multiple universities, generating network effects that enhance both reach and credibility.</w:t>
      </w:r>
    </w:p>
    <w:p w14:paraId="6820C606" w14:textId="1706A50C"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Trust is a critical component of long-term viability, particularly given the financial vulnerability of the target market.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addresses this by positioning itself as a university-aligned service rather than a commercial lender. Collaborations with student unions and institutional support services reinforce legitimacy and encourage adoption. Students are more likely to engage with financial services endorsed by their university (National Union of Students, 2022), particularly where financial risk is involved. Transparent communication, clearly defined repayment terms, and ethical pricing further strengthen user trust and retention.</w:t>
      </w:r>
    </w:p>
    <w:p w14:paraId="2BB7367A" w14:textId="74F67135"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Risk management is essential to ensure financial sustainability.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mitigates default risk through capped borrowing limits, eligibility checks linked to verified student status, and repayment scheduling aligned with maintenance loan disbursements. This alignment reduces the likelihood of missed payments by matching repayment expectations with predictable income cycles (Student Loans Company, 2024). Fraud prevention measures, including identity verification and integration with university systems, minimise misuse of the platform. In addition, conservative financial modelling and the establishment of a contingency reserve fund provide a buffer against early-stage financial risk.</w:t>
      </w:r>
    </w:p>
    <w:p w14:paraId="6FFB468B" w14:textId="2D61F2C5"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Continuous improvement is driven through a data-informed learning approach. The platform collects anonymised usage data to identify patterns in demand, repayment behaviour, and user satisfaction. This enables iterative refinement of the service, ensuring it remains responsive to evolving student needs. Feedback loops, including surveys and pilot evaluations, allow for rapid adjustments to both the user experience and financial model. The importance of adaptive financial support systems during periods of economic uncertainty has been emphasised in recent research (Citizens Advice, 2023), reinforcing the need for ongoing responsiveness and flexibility.</w:t>
      </w:r>
    </w:p>
    <w:p w14:paraId="1A505104" w14:textId="77777777" w:rsid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Overall, </w:t>
      </w:r>
      <w:proofErr w:type="spellStart"/>
      <w:r w:rsidRPr="007A0443">
        <w:rPr>
          <w:rFonts w:ascii="Arial" w:hAnsi="Arial" w:cs="Arial"/>
          <w:sz w:val="24"/>
          <w:szCs w:val="24"/>
        </w:rPr>
        <w:t>FlexFund’s</w:t>
      </w:r>
      <w:proofErr w:type="spellEnd"/>
      <w:r w:rsidRPr="007A0443">
        <w:rPr>
          <w:rFonts w:ascii="Arial" w:hAnsi="Arial" w:cs="Arial"/>
          <w:sz w:val="24"/>
          <w:szCs w:val="24"/>
        </w:rPr>
        <w:t xml:space="preserve"> strategy for longevity combines sustainable revenue generation, scalable infrastructure, institutional trust, robust risk management, and continuous learning. This integrated approach ensures that the venture is not only viable in the short term but capable of evolving and expanding to meet the ongoing financial challenges faced by students across the UK.</w:t>
      </w:r>
    </w:p>
    <w:p w14:paraId="4BE54895" w14:textId="23F8C954" w:rsidR="00511620" w:rsidRPr="00511620" w:rsidRDefault="00511620" w:rsidP="007A0443">
      <w:pPr>
        <w:spacing w:line="360" w:lineRule="auto"/>
        <w:jc w:val="both"/>
        <w:rPr>
          <w:rFonts w:ascii="Arial" w:hAnsi="Arial" w:cs="Arial"/>
          <w:sz w:val="24"/>
          <w:szCs w:val="24"/>
        </w:rPr>
      </w:pPr>
      <w:r w:rsidRPr="00511620">
        <w:rPr>
          <w:rFonts w:ascii="Arial" w:hAnsi="Arial" w:cs="Arial"/>
          <w:b/>
          <w:bCs/>
          <w:sz w:val="24"/>
          <w:szCs w:val="24"/>
        </w:rPr>
        <w:lastRenderedPageBreak/>
        <w:t>Viability, Finance &amp; Resources (350 words)</w:t>
      </w:r>
    </w:p>
    <w:p w14:paraId="6EC7C3C1" w14:textId="21AB346D"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The financial viability of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is based on a lean startup model that minimises initial costs while establishing a scalable digital infrastructure. Key startup costs include the development of a mobile and web-based platform, estimated at £25,000–£40,000 depending on functionality, user interface design, and security requirements. Legal and compliance costs, particularly in relation to financial regulation and data protection, are projected at approximately £10,000, ensuring alignment with UK financial standards (Financial Conduct Authority, 2023). Additional resource requirements include partnership development with universities, marketing, and a small operational team, bringing the total initial investment to an estimated £60,000–£80,000.</w:t>
      </w:r>
    </w:p>
    <w:p w14:paraId="25364BA8" w14:textId="757AE63E"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Revenue generation is based on a low, transparent service fee applied to each transaction, typically between 3</w:t>
      </w:r>
      <w:r>
        <w:rPr>
          <w:rFonts w:ascii="Arial" w:hAnsi="Arial" w:cs="Arial"/>
          <w:sz w:val="24"/>
          <w:szCs w:val="24"/>
        </w:rPr>
        <w:t>-</w:t>
      </w:r>
      <w:r w:rsidRPr="007A0443">
        <w:rPr>
          <w:rFonts w:ascii="Arial" w:hAnsi="Arial" w:cs="Arial"/>
          <w:sz w:val="24"/>
          <w:szCs w:val="24"/>
        </w:rPr>
        <w:t>5% of the borrowed amount. Assuming a conservative user base of 500 students within the first pilot year, with an average transaction value of £200 and two transactions per user annually, projected revenue would range between £6,000 and £10,000. As partnerships expand and user adoption increases across multiple institutions, revenue is expected to scale significantly. By year two, with expansion to 3</w:t>
      </w:r>
      <w:r>
        <w:rPr>
          <w:rFonts w:ascii="Arial" w:hAnsi="Arial" w:cs="Arial"/>
          <w:sz w:val="24"/>
          <w:szCs w:val="24"/>
        </w:rPr>
        <w:t>-</w:t>
      </w:r>
      <w:r w:rsidRPr="007A0443">
        <w:rPr>
          <w:rFonts w:ascii="Arial" w:hAnsi="Arial" w:cs="Arial"/>
          <w:sz w:val="24"/>
          <w:szCs w:val="24"/>
        </w:rPr>
        <w:t>5 universities and an estimated 3,000 users, projected revenue could exceed £50,000 annually. This growth is supported by increasing demand for flexible financial solutions among students (Save the Student, 2024).</w:t>
      </w:r>
    </w:p>
    <w:p w14:paraId="5D640A62" w14:textId="06DFCD91"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The break-even point is anticipated within 18</w:t>
      </w:r>
      <w:r>
        <w:rPr>
          <w:rFonts w:ascii="Arial" w:hAnsi="Arial" w:cs="Arial"/>
          <w:sz w:val="24"/>
          <w:szCs w:val="24"/>
        </w:rPr>
        <w:t>-</w:t>
      </w:r>
      <w:r w:rsidRPr="007A0443">
        <w:rPr>
          <w:rFonts w:ascii="Arial" w:hAnsi="Arial" w:cs="Arial"/>
          <w:sz w:val="24"/>
          <w:szCs w:val="24"/>
        </w:rPr>
        <w:t>24 months, depending on the rate of user growth and partnership acquisition. This projection is supported by the relatively low marginal cost of serving additional users once the platform is established. Furthermore, institutional partnerships may include co-funding or subscription-based contributions, reducing financial pressure during early growth stages. Investment in student support services has been shown to contribute positively to retention outcomes (Office for Students, 2023), strengthening the case for university collaboration as both a financial and strategic resource.</w:t>
      </w:r>
    </w:p>
    <w:p w14:paraId="14D41DDF" w14:textId="6F79F41F" w:rsidR="00D45269" w:rsidRPr="00D45269"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Overall,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demonstrates a realistic pathway to financial sustainability through controlled costs, scalable revenue streams, and strategic partnerships that enhance both funding stability and long-term viability.</w:t>
      </w:r>
    </w:p>
    <w:p w14:paraId="2A54B2B4" w14:textId="77777777" w:rsidR="00D45269" w:rsidRDefault="00D45269" w:rsidP="007A0443">
      <w:pPr>
        <w:spacing w:line="360" w:lineRule="auto"/>
        <w:jc w:val="both"/>
        <w:rPr>
          <w:rFonts w:ascii="Arial" w:hAnsi="Arial" w:cs="Arial"/>
          <w:b/>
          <w:bCs/>
          <w:sz w:val="24"/>
          <w:szCs w:val="24"/>
        </w:rPr>
      </w:pPr>
    </w:p>
    <w:p w14:paraId="18433750" w14:textId="34974592" w:rsidR="007A0443" w:rsidRPr="007A0443" w:rsidRDefault="007A0443" w:rsidP="007A0443">
      <w:pPr>
        <w:spacing w:line="360" w:lineRule="auto"/>
        <w:jc w:val="both"/>
        <w:rPr>
          <w:rFonts w:ascii="Arial" w:hAnsi="Arial" w:cs="Arial"/>
          <w:b/>
          <w:bCs/>
          <w:sz w:val="24"/>
          <w:szCs w:val="24"/>
        </w:rPr>
      </w:pPr>
      <w:r w:rsidRPr="007A0443">
        <w:rPr>
          <w:rFonts w:ascii="Arial" w:hAnsi="Arial" w:cs="Arial"/>
          <w:b/>
          <w:bCs/>
          <w:sz w:val="24"/>
          <w:szCs w:val="24"/>
        </w:rPr>
        <w:lastRenderedPageBreak/>
        <w:t>Implementation &amp; Learning Loop</w:t>
      </w:r>
    </w:p>
    <w:p w14:paraId="4BF9C344" w14:textId="2EAFE380"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The implementation of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follows a structured, iterative approach designed to minimise risk while maximising learning and adaptability. The initial phase involves the development of a Minimum Viable Product (MVP), focusing on core functionalities such as user registration, eligibility verification, fund disbursement, and repayment scheduling. This MVP will be piloted within a single university, allowing for controlled testing in a real-world environment and reducing exposure to large-scale operational risks.</w:t>
      </w:r>
    </w:p>
    <w:p w14:paraId="681B9702" w14:textId="2CB783B0"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The pilot phase serves as a critical learning stage, during which data is collected on user behaviour, demand patterns, repayment reliability, and overall user experience. Feedback will be gathered through surveys, usage analytics, and direct engagement with students and university stakeholders. This aligns with established principles of iterative innovation, where early-stage testing informs continuous refinement and reduces uncertainty (Ries, 2011). Additionally, the importance of responsive financial support systems that adapt to user needs has been highlighted in recent research (Citizens Advice, 2023), reinforcing the value of this approach.</w:t>
      </w:r>
    </w:p>
    <w:p w14:paraId="2CD0AE60" w14:textId="1743B6C7"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Based on insights from the pilot,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will undergo iterative improvement cycles. These may include adjustments to borrowing limits, fee structures, user interface design, and risk assessment processes. Each iteration aims to enhance usability, reduce friction, and improve financial outcomes for both users and the platform. This data-driven approach ensures that decisions are evidence-based rather than assumption-led, increasing the likelihood of long-term success.</w:t>
      </w:r>
    </w:p>
    <w:p w14:paraId="114967E6" w14:textId="0E5873DE"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Following successful validation, the platform will scale gradually to additional universities. Expansion will prioritise institutions with demonstrated need and willingness to collaborate, ensuring controlled and sustainable growth. Partnerships with student unions and support services will further support adoption and integration within existing student support ecosystems (National Union of Students, 2022).</w:t>
      </w:r>
    </w:p>
    <w:p w14:paraId="5F9945D6" w14:textId="77777777"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Overall, this implementation strategy ensures that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remains flexible, evidence-based, and responsive, significantly enhancing its resilience and long-term viability within a dynamic financial environment.</w:t>
      </w:r>
    </w:p>
    <w:p w14:paraId="2B66BADE" w14:textId="77777777" w:rsidR="00D45269" w:rsidRDefault="00D45269" w:rsidP="007A0443">
      <w:pPr>
        <w:spacing w:line="360" w:lineRule="auto"/>
        <w:jc w:val="both"/>
        <w:rPr>
          <w:rFonts w:ascii="Arial" w:hAnsi="Arial" w:cs="Arial"/>
          <w:b/>
          <w:bCs/>
          <w:sz w:val="24"/>
          <w:szCs w:val="24"/>
        </w:rPr>
      </w:pPr>
    </w:p>
    <w:p w14:paraId="15D74CF3" w14:textId="7261C245" w:rsidR="00511620" w:rsidRPr="00511620" w:rsidRDefault="00511620" w:rsidP="007A0443">
      <w:pPr>
        <w:spacing w:line="360" w:lineRule="auto"/>
        <w:jc w:val="both"/>
        <w:rPr>
          <w:rFonts w:ascii="Arial" w:hAnsi="Arial" w:cs="Arial"/>
          <w:sz w:val="24"/>
          <w:szCs w:val="24"/>
        </w:rPr>
      </w:pPr>
      <w:r w:rsidRPr="00511620">
        <w:rPr>
          <w:rFonts w:ascii="Arial" w:hAnsi="Arial" w:cs="Arial"/>
          <w:b/>
          <w:bCs/>
          <w:sz w:val="24"/>
          <w:szCs w:val="24"/>
        </w:rPr>
        <w:lastRenderedPageBreak/>
        <w:t>Conclusion (50 words)</w:t>
      </w:r>
    </w:p>
    <w:p w14:paraId="0E1B2060" w14:textId="77777777" w:rsidR="007A0443" w:rsidRDefault="00511620" w:rsidP="00511620">
      <w:pPr>
        <w:spacing w:line="360" w:lineRule="auto"/>
        <w:jc w:val="both"/>
        <w:rPr>
          <w:rFonts w:ascii="Arial" w:hAnsi="Arial" w:cs="Arial"/>
          <w:sz w:val="24"/>
          <w:szCs w:val="24"/>
        </w:rPr>
      </w:pPr>
      <w:proofErr w:type="spellStart"/>
      <w:r w:rsidRPr="00511620">
        <w:rPr>
          <w:rFonts w:ascii="Arial" w:hAnsi="Arial" w:cs="Arial"/>
          <w:sz w:val="24"/>
          <w:szCs w:val="24"/>
        </w:rPr>
        <w:t>FlexFund</w:t>
      </w:r>
      <w:proofErr w:type="spellEnd"/>
      <w:r w:rsidRPr="00511620">
        <w:rPr>
          <w:rFonts w:ascii="Arial" w:hAnsi="Arial" w:cs="Arial"/>
          <w:sz w:val="24"/>
          <w:szCs w:val="24"/>
        </w:rPr>
        <w:t xml:space="preserve"> addresses a critical and growing gap in student financial support by providing fast, flexible, and accessible emergency funding. Its scalable model, combined with strong institutional partnerships and data-driven development, ensures both sustainability and impact. The venture presents a credible, innovative solution with strong potential for long-term success.</w:t>
      </w:r>
    </w:p>
    <w:p w14:paraId="74605A57" w14:textId="19DEA98C" w:rsidR="007A0443" w:rsidRDefault="007A0443" w:rsidP="00511620">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2D29DE02" wp14:editId="3A36B111">
            <wp:simplePos x="0" y="0"/>
            <wp:positionH relativeFrom="page">
              <wp:posOffset>66040</wp:posOffset>
            </wp:positionH>
            <wp:positionV relativeFrom="paragraph">
              <wp:posOffset>360680</wp:posOffset>
            </wp:positionV>
            <wp:extent cx="7494270" cy="4996180"/>
            <wp:effectExtent l="0" t="0" r="0" b="0"/>
            <wp:wrapSquare wrapText="bothSides"/>
            <wp:docPr id="9026222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494270" cy="4996180"/>
                    </a:xfrm>
                    <a:prstGeom prst="rect">
                      <a:avLst/>
                    </a:prstGeom>
                    <a:noFill/>
                  </pic:spPr>
                </pic:pic>
              </a:graphicData>
            </a:graphic>
            <wp14:sizeRelH relativeFrom="margin">
              <wp14:pctWidth>0</wp14:pctWidth>
            </wp14:sizeRelH>
            <wp14:sizeRelV relativeFrom="margin">
              <wp14:pctHeight>0</wp14:pctHeight>
            </wp14:sizeRelV>
          </wp:anchor>
        </w:drawing>
      </w:r>
    </w:p>
    <w:p w14:paraId="1505C459" w14:textId="63D831C6" w:rsidR="00C3715C" w:rsidRDefault="00C3715C" w:rsidP="00511620">
      <w:pPr>
        <w:spacing w:line="360" w:lineRule="auto"/>
        <w:jc w:val="both"/>
        <w:rPr>
          <w:rFonts w:ascii="Arial" w:hAnsi="Arial" w:cs="Arial"/>
          <w:sz w:val="24"/>
          <w:szCs w:val="24"/>
        </w:rPr>
      </w:pPr>
    </w:p>
    <w:p w14:paraId="7563325F" w14:textId="77777777" w:rsidR="007A0443" w:rsidRDefault="007A0443" w:rsidP="00C3715C">
      <w:pPr>
        <w:spacing w:line="360" w:lineRule="auto"/>
        <w:jc w:val="both"/>
        <w:rPr>
          <w:rFonts w:ascii="Arial" w:hAnsi="Arial" w:cs="Arial"/>
          <w:b/>
          <w:bCs/>
          <w:sz w:val="24"/>
          <w:szCs w:val="24"/>
        </w:rPr>
      </w:pPr>
    </w:p>
    <w:p w14:paraId="5C825AF9" w14:textId="77777777" w:rsidR="00B41B28" w:rsidRDefault="00B41B28" w:rsidP="00C3715C">
      <w:pPr>
        <w:spacing w:line="360" w:lineRule="auto"/>
        <w:jc w:val="both"/>
        <w:rPr>
          <w:rFonts w:ascii="Arial" w:hAnsi="Arial" w:cs="Arial"/>
          <w:b/>
          <w:bCs/>
          <w:sz w:val="24"/>
          <w:szCs w:val="24"/>
        </w:rPr>
      </w:pPr>
    </w:p>
    <w:p w14:paraId="76210135" w14:textId="77777777" w:rsidR="00B41B28" w:rsidRDefault="00B41B28" w:rsidP="00C3715C">
      <w:pPr>
        <w:spacing w:line="360" w:lineRule="auto"/>
        <w:jc w:val="both"/>
        <w:rPr>
          <w:rFonts w:ascii="Arial" w:hAnsi="Arial" w:cs="Arial"/>
          <w:b/>
          <w:bCs/>
          <w:sz w:val="24"/>
          <w:szCs w:val="24"/>
        </w:rPr>
      </w:pPr>
    </w:p>
    <w:p w14:paraId="66669B72" w14:textId="77777777" w:rsidR="00B41B28" w:rsidRDefault="00B41B28" w:rsidP="00C3715C">
      <w:pPr>
        <w:spacing w:line="360" w:lineRule="auto"/>
        <w:jc w:val="both"/>
        <w:rPr>
          <w:rFonts w:ascii="Arial" w:hAnsi="Arial" w:cs="Arial"/>
          <w:b/>
          <w:bCs/>
          <w:sz w:val="24"/>
          <w:szCs w:val="24"/>
        </w:rPr>
      </w:pPr>
    </w:p>
    <w:p w14:paraId="7084BB45" w14:textId="6B38356E" w:rsidR="00C3715C" w:rsidRPr="00C3715C" w:rsidRDefault="00C3715C" w:rsidP="00C3715C">
      <w:pPr>
        <w:spacing w:line="360" w:lineRule="auto"/>
        <w:jc w:val="both"/>
        <w:rPr>
          <w:rFonts w:ascii="Arial" w:hAnsi="Arial" w:cs="Arial"/>
          <w:b/>
          <w:bCs/>
          <w:sz w:val="24"/>
          <w:szCs w:val="24"/>
        </w:rPr>
      </w:pPr>
      <w:r w:rsidRPr="00C3715C">
        <w:rPr>
          <w:rFonts w:ascii="Arial" w:hAnsi="Arial" w:cs="Arial"/>
          <w:b/>
          <w:bCs/>
          <w:sz w:val="24"/>
          <w:szCs w:val="24"/>
        </w:rPr>
        <w:lastRenderedPageBreak/>
        <w:t>Figure 1: Business Model Canvas</w:t>
      </w:r>
      <w:r w:rsidRPr="00C3715C">
        <w:rPr>
          <w:rFonts w:ascii="Arial" w:hAnsi="Arial" w:cs="Arial"/>
          <w:b/>
          <w:bCs/>
          <w:sz w:val="24"/>
          <w:szCs w:val="24"/>
        </w:rPr>
        <w:t xml:space="preserve"> - </w:t>
      </w:r>
      <w:proofErr w:type="spellStart"/>
      <w:r w:rsidRPr="00C3715C">
        <w:rPr>
          <w:rFonts w:ascii="Arial" w:hAnsi="Arial" w:cs="Arial"/>
          <w:b/>
          <w:bCs/>
          <w:sz w:val="24"/>
          <w:szCs w:val="24"/>
        </w:rPr>
        <w:t>FlexFund</w:t>
      </w:r>
      <w:proofErr w:type="spellEnd"/>
    </w:p>
    <w:p w14:paraId="4859A685" w14:textId="09664034"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The Business Model Canvas illustrates how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creates, delivers, and captures value within the student financial support market. At its core, the value proposition focuses on providing fast, accessible emergency funding tailored specifically to students experiencing short-term financial disruption. Rising financial pressure on students has been widely documented, particularly in relation to housing, food, and daily expenses (Universities UK, 2023; Sutton Trust, 2023). By aligning repayment schedules with student income cycles, </w:t>
      </w:r>
      <w:proofErr w:type="spellStart"/>
      <w:r w:rsidRPr="007A0443">
        <w:rPr>
          <w:rFonts w:ascii="Arial" w:hAnsi="Arial" w:cs="Arial"/>
          <w:sz w:val="24"/>
          <w:szCs w:val="24"/>
        </w:rPr>
        <w:t>FlexFund</w:t>
      </w:r>
      <w:proofErr w:type="spellEnd"/>
      <w:r w:rsidRPr="007A0443">
        <w:rPr>
          <w:rFonts w:ascii="Arial" w:hAnsi="Arial" w:cs="Arial"/>
          <w:sz w:val="24"/>
          <w:szCs w:val="24"/>
        </w:rPr>
        <w:t xml:space="preserve"> reduces financial strain and improves affordability.</w:t>
      </w:r>
    </w:p>
    <w:p w14:paraId="2A385E3E" w14:textId="32B9D1EC"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The canvas highlights the importance of key partnerships, particularly with universities and student unions, which enhance credibility and facilitate user adoption. These partnerships also play a strategic role in long-term sustainability, as institutions are increasingly prioritising student wellbeing and retention (Advance HE, 2022). Additionally, fintech providers and digital verification systems contribute to operational efficiency and risk management, reflecting broader trends in digital financial innovation (World Bank, 2022).</w:t>
      </w:r>
    </w:p>
    <w:p w14:paraId="1D2C113E" w14:textId="1CCF285C"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Customer segments are clearly defined as university students in the UK, particularly those facing temporary financial instability. The selected channels, including mobile applications and institutional platforms, reflect the increasing reliance on digital financial tools among younger populations (UK Finance, 2023). Customer relationships are maintained through automated systems, personalised notifications, and feedback mechanisms, supporting continuous engagement and service improvement</w:t>
      </w:r>
      <w:r w:rsidR="00B41B28">
        <w:rPr>
          <w:rFonts w:ascii="Arial" w:hAnsi="Arial" w:cs="Arial"/>
          <w:sz w:val="24"/>
          <w:szCs w:val="24"/>
        </w:rPr>
        <w:t>.</w:t>
      </w:r>
    </w:p>
    <w:p w14:paraId="54FB6FA3" w14:textId="524C1EBF" w:rsidR="007A0443" w:rsidRPr="007A0443" w:rsidRDefault="007A0443" w:rsidP="007A0443">
      <w:pPr>
        <w:spacing w:line="360" w:lineRule="auto"/>
        <w:jc w:val="both"/>
        <w:rPr>
          <w:rFonts w:ascii="Arial" w:hAnsi="Arial" w:cs="Arial"/>
          <w:sz w:val="24"/>
          <w:szCs w:val="24"/>
        </w:rPr>
      </w:pPr>
      <w:r w:rsidRPr="007A0443">
        <w:rPr>
          <w:rFonts w:ascii="Arial" w:hAnsi="Arial" w:cs="Arial"/>
          <w:sz w:val="24"/>
          <w:szCs w:val="24"/>
        </w:rPr>
        <w:t>From a financial perspective, the cost structure remains relatively lean, focusing on platform development, regulatory compliance, and operational support. Revenue streams are generated through small service fees and institutional partnerships, ensuring a balance between affordability and sustainability. Overall, the canvas demonstrates a scalable model capable of delivering both social and financial value.</w:t>
      </w:r>
    </w:p>
    <w:p w14:paraId="77C924A6" w14:textId="77777777" w:rsidR="007A0443" w:rsidRDefault="007A0443" w:rsidP="007A0443">
      <w:pPr>
        <w:spacing w:line="360" w:lineRule="auto"/>
        <w:jc w:val="both"/>
        <w:rPr>
          <w:rFonts w:ascii="Arial" w:hAnsi="Arial" w:cs="Arial"/>
          <w:sz w:val="24"/>
          <w:szCs w:val="24"/>
        </w:rPr>
      </w:pPr>
      <w:r w:rsidRPr="007A0443">
        <w:rPr>
          <w:rFonts w:ascii="Arial" w:hAnsi="Arial" w:cs="Arial"/>
          <w:sz w:val="24"/>
          <w:szCs w:val="24"/>
        </w:rPr>
        <w:t xml:space="preserve">Beyond its structural components, the canvas reflects </w:t>
      </w:r>
      <w:proofErr w:type="spellStart"/>
      <w:r w:rsidRPr="007A0443">
        <w:rPr>
          <w:rFonts w:ascii="Arial" w:hAnsi="Arial" w:cs="Arial"/>
          <w:sz w:val="24"/>
          <w:szCs w:val="24"/>
        </w:rPr>
        <w:t>FlexFund’s</w:t>
      </w:r>
      <w:proofErr w:type="spellEnd"/>
      <w:r w:rsidRPr="007A0443">
        <w:rPr>
          <w:rFonts w:ascii="Arial" w:hAnsi="Arial" w:cs="Arial"/>
          <w:sz w:val="24"/>
          <w:szCs w:val="24"/>
        </w:rPr>
        <w:t xml:space="preserve"> positioning as a hybrid venture combining fintech innovation with social enterprise principles. By prioritising ethical financial practices and accessibility, the model differentiates itself from high-cost credit providers. This approach supports trust-building and long-term </w:t>
      </w:r>
      <w:r w:rsidRPr="007A0443">
        <w:rPr>
          <w:rFonts w:ascii="Arial" w:hAnsi="Arial" w:cs="Arial"/>
          <w:sz w:val="24"/>
          <w:szCs w:val="24"/>
        </w:rPr>
        <w:lastRenderedPageBreak/>
        <w:t>customer retention, while also enabling adaptability in response to evolving student financial needs and broader economic conditions.</w:t>
      </w:r>
    </w:p>
    <w:p w14:paraId="3DA3791A" w14:textId="2C3E9439" w:rsidR="00C3715C" w:rsidRDefault="00C3715C" w:rsidP="007A0443">
      <w:pPr>
        <w:spacing w:line="360" w:lineRule="auto"/>
        <w:jc w:val="both"/>
        <w:rPr>
          <w:rFonts w:ascii="Arial" w:hAnsi="Arial" w:cs="Arial"/>
          <w:b/>
          <w:bCs/>
          <w:sz w:val="24"/>
          <w:szCs w:val="24"/>
        </w:rPr>
      </w:pPr>
      <w:r w:rsidRPr="00C3715C">
        <w:rPr>
          <w:rFonts w:ascii="Arial" w:hAnsi="Arial" w:cs="Arial"/>
          <w:b/>
          <w:bCs/>
          <w:sz w:val="24"/>
          <w:szCs w:val="24"/>
        </w:rPr>
        <w:t>Figure 2: Financial Projection</w:t>
      </w:r>
      <w:r>
        <w:rPr>
          <w:rFonts w:ascii="Arial" w:hAnsi="Arial" w:cs="Arial"/>
          <w:b/>
          <w:bCs/>
          <w:sz w:val="24"/>
          <w:szCs w:val="24"/>
        </w:rPr>
        <w:t xml:space="preserve"> - </w:t>
      </w:r>
      <w:r w:rsidRPr="00C3715C">
        <w:rPr>
          <w:rFonts w:ascii="Arial" w:hAnsi="Arial" w:cs="Arial"/>
          <w:b/>
          <w:bCs/>
          <w:sz w:val="24"/>
          <w:szCs w:val="24"/>
        </w:rPr>
        <w:t>2-Year Growth</w:t>
      </w:r>
    </w:p>
    <w:p w14:paraId="7A72963E" w14:textId="4D44709C" w:rsidR="00B41B28" w:rsidRPr="00B41B28" w:rsidRDefault="00B41B28" w:rsidP="00B41B28">
      <w:pPr>
        <w:spacing w:line="360" w:lineRule="auto"/>
        <w:jc w:val="both"/>
        <w:rPr>
          <w:rFonts w:ascii="Arial" w:hAnsi="Arial" w:cs="Arial"/>
          <w:sz w:val="24"/>
          <w:szCs w:val="24"/>
        </w:rPr>
      </w:pPr>
      <w:r w:rsidRPr="00B41B28">
        <w:rPr>
          <w:rFonts w:ascii="Arial" w:hAnsi="Arial" w:cs="Arial"/>
          <w:sz w:val="24"/>
          <w:szCs w:val="24"/>
        </w:rPr>
        <w:t xml:space="preserve">The financial projection visual provides a clear overview of </w:t>
      </w:r>
      <w:proofErr w:type="spellStart"/>
      <w:r w:rsidRPr="00B41B28">
        <w:rPr>
          <w:rFonts w:ascii="Arial" w:hAnsi="Arial" w:cs="Arial"/>
          <w:sz w:val="24"/>
          <w:szCs w:val="24"/>
        </w:rPr>
        <w:t>FlexFund’s</w:t>
      </w:r>
      <w:proofErr w:type="spellEnd"/>
      <w:r w:rsidRPr="00B41B28">
        <w:rPr>
          <w:rFonts w:ascii="Arial" w:hAnsi="Arial" w:cs="Arial"/>
          <w:sz w:val="24"/>
          <w:szCs w:val="24"/>
        </w:rPr>
        <w:t xml:space="preserve"> expected growth trajectory over a two-year period. It demonstrates how the venture transitions from a small-scale pilot to a scalable operation across multiple universities. In the first year, the platform is expected to serve approximately 500 users within a single institution, generating modest revenue through transaction-based service fees. This initial phase prioritises testing, validation, and refinement rather than profit maximisation, which is consistent with early-stage venture development principles (Blank and Dorf, 2012).</w:t>
      </w:r>
    </w:p>
    <w:p w14:paraId="64C8BDC9" w14:textId="55A0E7BD" w:rsidR="00B41B28" w:rsidRPr="00B41B28" w:rsidRDefault="00B41B28" w:rsidP="00B41B28">
      <w:pPr>
        <w:spacing w:line="360" w:lineRule="auto"/>
        <w:jc w:val="both"/>
        <w:rPr>
          <w:rFonts w:ascii="Arial" w:hAnsi="Arial" w:cs="Arial"/>
          <w:sz w:val="24"/>
          <w:szCs w:val="24"/>
        </w:rPr>
      </w:pPr>
      <w:r w:rsidRPr="00B41B28">
        <w:rPr>
          <w:rFonts w:ascii="Arial" w:hAnsi="Arial" w:cs="Arial"/>
          <w:sz w:val="24"/>
          <w:szCs w:val="24"/>
        </w:rPr>
        <w:t>By the second year, the model projects significant growth, with user numbers increasing to approximately 3,000 as the platform expands to additional universities. This growth is driven by strategic partnerships, increased awareness, and positive user experiences during the pilot phase. Research highlights that user trust and peer influence play a key role in the adoption of financial technologies (EY, 2023). Revenue is expected to increase substantially, exceeding £50,000 annually, reflecting the scalability of the platform and growing demand for alternative financial solutions (Statista, 2024).</w:t>
      </w:r>
    </w:p>
    <w:p w14:paraId="356887F2" w14:textId="18E71A0D" w:rsidR="00B41B28" w:rsidRPr="00B41B28" w:rsidRDefault="00B41B28" w:rsidP="00B41B28">
      <w:pPr>
        <w:spacing w:line="360" w:lineRule="auto"/>
        <w:jc w:val="both"/>
        <w:rPr>
          <w:rFonts w:ascii="Arial" w:hAnsi="Arial" w:cs="Arial"/>
          <w:sz w:val="24"/>
          <w:szCs w:val="24"/>
        </w:rPr>
      </w:pPr>
      <w:r w:rsidRPr="00B41B28">
        <w:rPr>
          <w:rFonts w:ascii="Arial" w:hAnsi="Arial" w:cs="Arial"/>
          <w:sz w:val="24"/>
          <w:szCs w:val="24"/>
        </w:rPr>
        <w:t>A key strength of this model lies in its ability to generate higher revenue without proportionally increasing costs. Once the platform is developed, the marginal cost of adding new users remains low, enabling economies of scale (Varian, 2019). This supports the projected break-even point within 18 to 24 months, which aligns with typical timelines for digital startups in the fintech sector (CB Insights, 2023).</w:t>
      </w:r>
    </w:p>
    <w:p w14:paraId="139459C3" w14:textId="77777777" w:rsidR="00B41B28" w:rsidRDefault="00B41B28" w:rsidP="00B41B28">
      <w:pPr>
        <w:spacing w:line="360" w:lineRule="auto"/>
        <w:jc w:val="both"/>
        <w:rPr>
          <w:rFonts w:ascii="Arial" w:hAnsi="Arial" w:cs="Arial"/>
          <w:sz w:val="24"/>
          <w:szCs w:val="24"/>
        </w:rPr>
      </w:pPr>
      <w:r w:rsidRPr="00B41B28">
        <w:rPr>
          <w:rFonts w:ascii="Arial" w:hAnsi="Arial" w:cs="Arial"/>
          <w:sz w:val="24"/>
          <w:szCs w:val="24"/>
        </w:rPr>
        <w:t xml:space="preserve">The visual also reinforces the sustainability of the venture by showing that growth is driven primarily by user adoption rather than price increases. This aligns with the ethical positioning of </w:t>
      </w:r>
      <w:proofErr w:type="spellStart"/>
      <w:r w:rsidRPr="00B41B28">
        <w:rPr>
          <w:rFonts w:ascii="Arial" w:hAnsi="Arial" w:cs="Arial"/>
          <w:sz w:val="24"/>
          <w:szCs w:val="24"/>
        </w:rPr>
        <w:t>FlexFund</w:t>
      </w:r>
      <w:proofErr w:type="spellEnd"/>
      <w:r w:rsidRPr="00B41B28">
        <w:rPr>
          <w:rFonts w:ascii="Arial" w:hAnsi="Arial" w:cs="Arial"/>
          <w:sz w:val="24"/>
          <w:szCs w:val="24"/>
        </w:rPr>
        <w:t xml:space="preserve"> as an affordable alternative to high-cost financial services. Overall, the financial projection demonstrates a credible and achievable pathway to long-term viability within a competitive and evolving financial landscape.</w:t>
      </w:r>
    </w:p>
    <w:p w14:paraId="2D7990A8" w14:textId="77777777" w:rsidR="00B41B28" w:rsidRDefault="00B41B28" w:rsidP="00B41B28">
      <w:pPr>
        <w:spacing w:line="360" w:lineRule="auto"/>
        <w:jc w:val="both"/>
        <w:rPr>
          <w:rFonts w:ascii="Arial" w:hAnsi="Arial" w:cs="Arial"/>
          <w:b/>
          <w:bCs/>
          <w:sz w:val="24"/>
          <w:szCs w:val="24"/>
        </w:rPr>
      </w:pPr>
    </w:p>
    <w:p w14:paraId="00D2789E" w14:textId="77777777" w:rsidR="00B41B28" w:rsidRDefault="00B41B28" w:rsidP="00B41B28">
      <w:pPr>
        <w:spacing w:line="360" w:lineRule="auto"/>
        <w:jc w:val="both"/>
        <w:rPr>
          <w:rFonts w:ascii="Arial" w:hAnsi="Arial" w:cs="Arial"/>
          <w:b/>
          <w:bCs/>
          <w:sz w:val="24"/>
          <w:szCs w:val="24"/>
        </w:rPr>
      </w:pPr>
    </w:p>
    <w:p w14:paraId="363885E3" w14:textId="2BAF5812" w:rsidR="00C3715C" w:rsidRPr="00C3715C" w:rsidRDefault="00C3715C" w:rsidP="00B41B28">
      <w:pPr>
        <w:spacing w:line="360" w:lineRule="auto"/>
        <w:jc w:val="both"/>
        <w:rPr>
          <w:rFonts w:ascii="Arial" w:hAnsi="Arial" w:cs="Arial"/>
          <w:b/>
          <w:bCs/>
          <w:sz w:val="24"/>
          <w:szCs w:val="24"/>
        </w:rPr>
      </w:pPr>
      <w:r w:rsidRPr="00C3715C">
        <w:rPr>
          <w:rFonts w:ascii="Arial" w:hAnsi="Arial" w:cs="Arial"/>
          <w:b/>
          <w:bCs/>
          <w:sz w:val="24"/>
          <w:szCs w:val="24"/>
        </w:rPr>
        <w:lastRenderedPageBreak/>
        <w:t>Figure 3: Implementation &amp; Learning Loop (MVP Cycle)</w:t>
      </w:r>
    </w:p>
    <w:p w14:paraId="24F3DCEE" w14:textId="256A0337" w:rsidR="00B41B28" w:rsidRPr="00B41B28" w:rsidRDefault="00B41B28" w:rsidP="00B41B28">
      <w:pPr>
        <w:spacing w:line="360" w:lineRule="auto"/>
        <w:jc w:val="both"/>
        <w:rPr>
          <w:rFonts w:ascii="Arial" w:hAnsi="Arial" w:cs="Arial"/>
          <w:sz w:val="24"/>
          <w:szCs w:val="24"/>
        </w:rPr>
      </w:pPr>
      <w:r w:rsidRPr="00B41B28">
        <w:rPr>
          <w:rFonts w:ascii="Arial" w:hAnsi="Arial" w:cs="Arial"/>
          <w:sz w:val="24"/>
          <w:szCs w:val="24"/>
        </w:rPr>
        <w:t xml:space="preserve">The implementation and learning loop visual outlines the iterative process through which </w:t>
      </w:r>
      <w:proofErr w:type="spellStart"/>
      <w:r w:rsidRPr="00B41B28">
        <w:rPr>
          <w:rFonts w:ascii="Arial" w:hAnsi="Arial" w:cs="Arial"/>
          <w:sz w:val="24"/>
          <w:szCs w:val="24"/>
        </w:rPr>
        <w:t>FlexFund</w:t>
      </w:r>
      <w:proofErr w:type="spellEnd"/>
      <w:r w:rsidRPr="00B41B28">
        <w:rPr>
          <w:rFonts w:ascii="Arial" w:hAnsi="Arial" w:cs="Arial"/>
          <w:sz w:val="24"/>
          <w:szCs w:val="24"/>
        </w:rPr>
        <w:t xml:space="preserve"> will be developed, tested, and improved. This model is based on the concept of a Minimum Viable Product (MVP), which enables ventures to launch with essential features while gathering real-world feedback prior to scaling (Osterwalder et al., 2020). The process begins with the development of a basic platform that includes core functionalities such as user registration, fund disbursement, and repayment tracking.</w:t>
      </w:r>
    </w:p>
    <w:p w14:paraId="5FBB5113" w14:textId="6F0A2933" w:rsidR="00B41B28" w:rsidRPr="00B41B28" w:rsidRDefault="00B41B28" w:rsidP="00B41B28">
      <w:pPr>
        <w:spacing w:line="360" w:lineRule="auto"/>
        <w:jc w:val="both"/>
        <w:rPr>
          <w:rFonts w:ascii="Arial" w:hAnsi="Arial" w:cs="Arial"/>
          <w:sz w:val="24"/>
          <w:szCs w:val="24"/>
        </w:rPr>
      </w:pPr>
      <w:r w:rsidRPr="00B41B28">
        <w:rPr>
          <w:rFonts w:ascii="Arial" w:hAnsi="Arial" w:cs="Arial"/>
          <w:sz w:val="24"/>
          <w:szCs w:val="24"/>
        </w:rPr>
        <w:t>Following development, the platform is launched as a pilot within a single university. This controlled environment enables the collection of valuable data on user behaviour, demand patterns, and repayment performance. Feedback is gathered through surveys, analytics, and direct engagement with users, providing insights into both strengths and areas for improvement. User-centred design approaches emphasise the importance of incorporating feedback early in development to improve usability and effectiveness (Norman, 2013).</w:t>
      </w:r>
    </w:p>
    <w:p w14:paraId="2B086C97" w14:textId="73DB7529" w:rsidR="00B41B28" w:rsidRPr="00B41B28" w:rsidRDefault="00B41B28" w:rsidP="00B41B28">
      <w:pPr>
        <w:spacing w:line="360" w:lineRule="auto"/>
        <w:jc w:val="both"/>
        <w:rPr>
          <w:rFonts w:ascii="Arial" w:hAnsi="Arial" w:cs="Arial"/>
          <w:sz w:val="24"/>
          <w:szCs w:val="24"/>
        </w:rPr>
      </w:pPr>
      <w:r w:rsidRPr="00B41B28">
        <w:rPr>
          <w:rFonts w:ascii="Arial" w:hAnsi="Arial" w:cs="Arial"/>
          <w:sz w:val="24"/>
          <w:szCs w:val="24"/>
        </w:rPr>
        <w:t>The next stage involves analysing this data to identify trends, challenges, and opportunities. This evidence-based approach ensures that decisions are informed by real user experiences rather than assumptions. Data-driven decision-making has been widely recognised as a critical factor in improving organisational performance and innovation outcomes (McAfee and Brynjolfsson, 2017). Based on these insights, the platform undergoes iterative improvements, which may include refining features, adjusting financial terms, or enhancing the user interface.</w:t>
      </w:r>
    </w:p>
    <w:p w14:paraId="2FA9A67E" w14:textId="1F1B9C69" w:rsidR="00B41B28" w:rsidRDefault="00B41B28" w:rsidP="00B41B28">
      <w:pPr>
        <w:spacing w:line="360" w:lineRule="auto"/>
        <w:jc w:val="both"/>
        <w:rPr>
          <w:rFonts w:ascii="Arial" w:hAnsi="Arial" w:cs="Arial"/>
          <w:sz w:val="24"/>
          <w:szCs w:val="24"/>
        </w:rPr>
      </w:pPr>
      <w:r w:rsidRPr="00B41B28">
        <w:rPr>
          <w:rFonts w:ascii="Arial" w:hAnsi="Arial" w:cs="Arial"/>
          <w:sz w:val="24"/>
          <w:szCs w:val="24"/>
        </w:rPr>
        <w:t xml:space="preserve">This cycle repeats continuously, allowing </w:t>
      </w:r>
      <w:proofErr w:type="spellStart"/>
      <w:r w:rsidRPr="00B41B28">
        <w:rPr>
          <w:rFonts w:ascii="Arial" w:hAnsi="Arial" w:cs="Arial"/>
          <w:sz w:val="24"/>
          <w:szCs w:val="24"/>
        </w:rPr>
        <w:t>FlexFund</w:t>
      </w:r>
      <w:proofErr w:type="spellEnd"/>
      <w:r w:rsidRPr="00B41B28">
        <w:rPr>
          <w:rFonts w:ascii="Arial" w:hAnsi="Arial" w:cs="Arial"/>
          <w:sz w:val="24"/>
          <w:szCs w:val="24"/>
        </w:rPr>
        <w:t xml:space="preserve"> to adapt to changing needs and improve over time. Agile development principles support this approach by promoting flexibility, responsiveness, and continuous delivery of improvements (Beck et al., 2001). Only after successful validation does the venture scale to additional universities, ensuring that expansion is sustainable and low-risk. This staged growth model reduces uncertainty and improves the likelihood of long-term success (Cohen and Hochberg, 2014).</w:t>
      </w:r>
      <w:r w:rsidR="00C3715C" w:rsidRPr="00C3715C">
        <w:rPr>
          <w:rFonts w:ascii="Arial" w:hAnsi="Arial" w:cs="Arial"/>
          <w:sz w:val="24"/>
          <w:szCs w:val="24"/>
        </w:rPr>
        <w:t xml:space="preserve">In summary, the learning loop demonstrates how </w:t>
      </w:r>
      <w:proofErr w:type="spellStart"/>
      <w:r w:rsidR="00C3715C" w:rsidRPr="00C3715C">
        <w:rPr>
          <w:rFonts w:ascii="Arial" w:hAnsi="Arial" w:cs="Arial"/>
          <w:sz w:val="24"/>
          <w:szCs w:val="24"/>
        </w:rPr>
        <w:t>FlexFund</w:t>
      </w:r>
      <w:proofErr w:type="spellEnd"/>
      <w:r w:rsidR="00C3715C" w:rsidRPr="00C3715C">
        <w:rPr>
          <w:rFonts w:ascii="Arial" w:hAnsi="Arial" w:cs="Arial"/>
          <w:sz w:val="24"/>
          <w:szCs w:val="24"/>
        </w:rPr>
        <w:t xml:space="preserve"> remains flexible, responsive, and evidence-driven, which is essential for long-term success in a dynamic financial </w:t>
      </w:r>
      <w:r>
        <w:rPr>
          <w:rFonts w:ascii="Arial" w:hAnsi="Arial" w:cs="Arial"/>
          <w:sz w:val="24"/>
          <w:szCs w:val="24"/>
        </w:rPr>
        <w:t>environment</w:t>
      </w:r>
      <w:r w:rsidR="00D45269">
        <w:rPr>
          <w:rFonts w:ascii="Arial" w:hAnsi="Arial" w:cs="Arial"/>
          <w:sz w:val="24"/>
          <w:szCs w:val="24"/>
        </w:rPr>
        <w:t>.</w:t>
      </w:r>
    </w:p>
    <w:p w14:paraId="21ED6CC6" w14:textId="77777777" w:rsidR="00B41B28" w:rsidRDefault="00B41B28" w:rsidP="00B41B28">
      <w:pPr>
        <w:spacing w:line="360" w:lineRule="auto"/>
        <w:jc w:val="both"/>
        <w:rPr>
          <w:rFonts w:ascii="Arial" w:hAnsi="Arial" w:cs="Arial"/>
          <w:sz w:val="24"/>
          <w:szCs w:val="24"/>
        </w:rPr>
      </w:pPr>
    </w:p>
    <w:p w14:paraId="0F9537C0" w14:textId="3F0AF1DC" w:rsidR="00655EB7" w:rsidRPr="00B41B28" w:rsidRDefault="00655EB7" w:rsidP="00B41B28">
      <w:pPr>
        <w:spacing w:line="360" w:lineRule="auto"/>
        <w:jc w:val="both"/>
        <w:rPr>
          <w:rFonts w:ascii="Arial" w:hAnsi="Arial" w:cs="Arial"/>
          <w:sz w:val="24"/>
          <w:szCs w:val="24"/>
        </w:rPr>
      </w:pPr>
      <w:r w:rsidRPr="00B41B28">
        <w:rPr>
          <w:rFonts w:ascii="Arial" w:hAnsi="Arial" w:cs="Arial"/>
          <w:sz w:val="24"/>
          <w:szCs w:val="24"/>
        </w:rPr>
        <w:lastRenderedPageBreak/>
        <w:t>References</w:t>
      </w:r>
    </w:p>
    <w:p w14:paraId="7197F4C8" w14:textId="4EB360AD"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Advance HE (2022) </w:t>
      </w:r>
      <w:r w:rsidRPr="00B41B28">
        <w:rPr>
          <w:rFonts w:ascii="Arial" w:hAnsi="Arial" w:cs="Arial"/>
          <w:i/>
          <w:iCs/>
        </w:rPr>
        <w:t>Student success and wellbeing in higher education</w:t>
      </w:r>
      <w:r w:rsidRPr="00B41B28">
        <w:rPr>
          <w:rFonts w:ascii="Arial" w:hAnsi="Arial" w:cs="Arial"/>
        </w:rPr>
        <w:t xml:space="preserve">. Available at: </w:t>
      </w:r>
      <w:hyperlink r:id="rId6" w:tgtFrame="_new" w:history="1">
        <w:r w:rsidRPr="00B41B28">
          <w:rPr>
            <w:rStyle w:val="Hyperlink"/>
            <w:rFonts w:ascii="Arial" w:hAnsi="Arial" w:cs="Arial"/>
          </w:rPr>
          <w:t>https://www.advance-he.ac.uk</w:t>
        </w:r>
      </w:hyperlink>
      <w:r w:rsidRPr="00B41B28">
        <w:rPr>
          <w:rFonts w:ascii="Arial" w:hAnsi="Arial" w:cs="Arial"/>
        </w:rPr>
        <w:t xml:space="preserve"> (Accessed: </w:t>
      </w:r>
      <w:r w:rsidR="00D45269">
        <w:rPr>
          <w:rFonts w:ascii="Arial" w:hAnsi="Arial" w:cs="Arial"/>
        </w:rPr>
        <w:t>18</w:t>
      </w:r>
      <w:r w:rsidRPr="00B41B28">
        <w:rPr>
          <w:rFonts w:ascii="Arial" w:hAnsi="Arial" w:cs="Arial"/>
        </w:rPr>
        <w:t xml:space="preserve"> April 2026).</w:t>
      </w:r>
    </w:p>
    <w:p w14:paraId="6D96A0AD" w14:textId="7AE1049F"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Bank of England (2023) </w:t>
      </w:r>
      <w:r w:rsidRPr="00B41B28">
        <w:rPr>
          <w:rFonts w:ascii="Arial" w:hAnsi="Arial" w:cs="Arial"/>
          <w:i/>
          <w:iCs/>
        </w:rPr>
        <w:t>Monetary Policy Report</w:t>
      </w:r>
      <w:r w:rsidRPr="00B41B28">
        <w:rPr>
          <w:rFonts w:ascii="Arial" w:hAnsi="Arial" w:cs="Arial"/>
        </w:rPr>
        <w:t xml:space="preserve">. Available at: </w:t>
      </w:r>
      <w:hyperlink r:id="rId7" w:tgtFrame="_new" w:history="1">
        <w:r w:rsidRPr="00B41B28">
          <w:rPr>
            <w:rStyle w:val="Hyperlink"/>
            <w:rFonts w:ascii="Arial" w:hAnsi="Arial" w:cs="Arial"/>
          </w:rPr>
          <w:t>https://www.bankofengland.co.uk</w:t>
        </w:r>
      </w:hyperlink>
      <w:r w:rsidRPr="00B41B28">
        <w:rPr>
          <w:rFonts w:ascii="Arial" w:hAnsi="Arial" w:cs="Arial"/>
        </w:rPr>
        <w:t xml:space="preserve"> (Accessed: </w:t>
      </w:r>
      <w:r w:rsidR="00D45269">
        <w:rPr>
          <w:rFonts w:ascii="Arial" w:hAnsi="Arial" w:cs="Arial"/>
        </w:rPr>
        <w:t>20</w:t>
      </w:r>
      <w:r w:rsidRPr="00B41B28">
        <w:rPr>
          <w:rFonts w:ascii="Arial" w:hAnsi="Arial" w:cs="Arial"/>
        </w:rPr>
        <w:t xml:space="preserve"> April 2026).</w:t>
      </w:r>
    </w:p>
    <w:p w14:paraId="469F0F26" w14:textId="24E89192"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Beck, K. et al. (2001) </w:t>
      </w:r>
      <w:r w:rsidRPr="00B41B28">
        <w:rPr>
          <w:rFonts w:ascii="Arial" w:hAnsi="Arial" w:cs="Arial"/>
          <w:i/>
          <w:iCs/>
        </w:rPr>
        <w:t>Manifesto for Agile Software Development</w:t>
      </w:r>
      <w:r w:rsidRPr="00B41B28">
        <w:rPr>
          <w:rFonts w:ascii="Arial" w:hAnsi="Arial" w:cs="Arial"/>
        </w:rPr>
        <w:t xml:space="preserve">. Available at: </w:t>
      </w:r>
      <w:hyperlink r:id="rId8" w:tgtFrame="_new" w:history="1">
        <w:r w:rsidRPr="00B41B28">
          <w:rPr>
            <w:rStyle w:val="Hyperlink"/>
            <w:rFonts w:ascii="Arial" w:hAnsi="Arial" w:cs="Arial"/>
          </w:rPr>
          <w:t>https://agilemanifesto.org</w:t>
        </w:r>
      </w:hyperlink>
      <w:r w:rsidRPr="00B41B28">
        <w:rPr>
          <w:rFonts w:ascii="Arial" w:hAnsi="Arial" w:cs="Arial"/>
        </w:rPr>
        <w:t xml:space="preserve"> (Accessed: </w:t>
      </w:r>
      <w:r w:rsidR="00D45269">
        <w:rPr>
          <w:rFonts w:ascii="Arial" w:hAnsi="Arial" w:cs="Arial"/>
        </w:rPr>
        <w:t>18</w:t>
      </w:r>
      <w:r w:rsidRPr="00B41B28">
        <w:rPr>
          <w:rFonts w:ascii="Arial" w:hAnsi="Arial" w:cs="Arial"/>
        </w:rPr>
        <w:t xml:space="preserve"> April 2026).</w:t>
      </w:r>
    </w:p>
    <w:p w14:paraId="5F14F9D9"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Blank, S. and Dorf, B. (2012) </w:t>
      </w:r>
      <w:r w:rsidRPr="00B41B28">
        <w:rPr>
          <w:rFonts w:ascii="Arial" w:hAnsi="Arial" w:cs="Arial"/>
          <w:i/>
          <w:iCs/>
        </w:rPr>
        <w:t>The Startup Owner’s Manual</w:t>
      </w:r>
      <w:r w:rsidRPr="00B41B28">
        <w:rPr>
          <w:rFonts w:ascii="Arial" w:hAnsi="Arial" w:cs="Arial"/>
        </w:rPr>
        <w:t>. Pescadero: K&amp;S Ranch.</w:t>
      </w:r>
    </w:p>
    <w:p w14:paraId="42C1D9E4" w14:textId="0C4BB04E"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CB Insights (2023) </w:t>
      </w:r>
      <w:r w:rsidRPr="00B41B28">
        <w:rPr>
          <w:rFonts w:ascii="Arial" w:hAnsi="Arial" w:cs="Arial"/>
          <w:i/>
          <w:iCs/>
        </w:rPr>
        <w:t>Fintech trends and startup analysis report</w:t>
      </w:r>
      <w:r w:rsidRPr="00B41B28">
        <w:rPr>
          <w:rFonts w:ascii="Arial" w:hAnsi="Arial" w:cs="Arial"/>
        </w:rPr>
        <w:t xml:space="preserve">. Available at: </w:t>
      </w:r>
      <w:hyperlink r:id="rId9" w:tgtFrame="_new" w:history="1">
        <w:r w:rsidRPr="00B41B28">
          <w:rPr>
            <w:rStyle w:val="Hyperlink"/>
            <w:rFonts w:ascii="Arial" w:hAnsi="Arial" w:cs="Arial"/>
          </w:rPr>
          <w:t>https://www.cbinsights.com</w:t>
        </w:r>
      </w:hyperlink>
      <w:r w:rsidRPr="00B41B28">
        <w:rPr>
          <w:rFonts w:ascii="Arial" w:hAnsi="Arial" w:cs="Arial"/>
        </w:rPr>
        <w:t xml:space="preserve"> (Accessed: </w:t>
      </w:r>
      <w:r w:rsidR="00D45269">
        <w:rPr>
          <w:rFonts w:ascii="Arial" w:hAnsi="Arial" w:cs="Arial"/>
        </w:rPr>
        <w:t>19</w:t>
      </w:r>
      <w:r w:rsidRPr="00B41B28">
        <w:rPr>
          <w:rFonts w:ascii="Arial" w:hAnsi="Arial" w:cs="Arial"/>
        </w:rPr>
        <w:t xml:space="preserve"> April 2026).</w:t>
      </w:r>
    </w:p>
    <w:p w14:paraId="21D0D46D" w14:textId="0873A9F4"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Citizens Advice (2023) </w:t>
      </w:r>
      <w:r w:rsidRPr="00B41B28">
        <w:rPr>
          <w:rFonts w:ascii="Arial" w:hAnsi="Arial" w:cs="Arial"/>
          <w:i/>
          <w:iCs/>
        </w:rPr>
        <w:t>Cost of living crisis: impact on households</w:t>
      </w:r>
      <w:r w:rsidRPr="00B41B28">
        <w:rPr>
          <w:rFonts w:ascii="Arial" w:hAnsi="Arial" w:cs="Arial"/>
        </w:rPr>
        <w:t xml:space="preserve">. Available at: </w:t>
      </w:r>
      <w:hyperlink r:id="rId10" w:tgtFrame="_new" w:history="1">
        <w:r w:rsidRPr="00B41B28">
          <w:rPr>
            <w:rStyle w:val="Hyperlink"/>
            <w:rFonts w:ascii="Arial" w:hAnsi="Arial" w:cs="Arial"/>
          </w:rPr>
          <w:t>https://www.citizensadvice.org.uk</w:t>
        </w:r>
      </w:hyperlink>
      <w:r w:rsidRPr="00B41B28">
        <w:rPr>
          <w:rFonts w:ascii="Arial" w:hAnsi="Arial" w:cs="Arial"/>
        </w:rPr>
        <w:t xml:space="preserve"> (Accessed: </w:t>
      </w:r>
      <w:r w:rsidR="00D45269">
        <w:rPr>
          <w:rFonts w:ascii="Arial" w:hAnsi="Arial" w:cs="Arial"/>
        </w:rPr>
        <w:t>20</w:t>
      </w:r>
      <w:r w:rsidRPr="00B41B28">
        <w:rPr>
          <w:rFonts w:ascii="Arial" w:hAnsi="Arial" w:cs="Arial"/>
        </w:rPr>
        <w:t xml:space="preserve"> April 2026).</w:t>
      </w:r>
    </w:p>
    <w:p w14:paraId="63720FD8"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Cohen, S. and Hochberg, Y. (2014) </w:t>
      </w:r>
      <w:r w:rsidRPr="00B41B28">
        <w:rPr>
          <w:rFonts w:ascii="Arial" w:hAnsi="Arial" w:cs="Arial"/>
          <w:i/>
          <w:iCs/>
        </w:rPr>
        <w:t>Accelerating startups: The seed accelerator phenomenon</w:t>
      </w:r>
      <w:r w:rsidRPr="00B41B28">
        <w:rPr>
          <w:rFonts w:ascii="Arial" w:hAnsi="Arial" w:cs="Arial"/>
        </w:rPr>
        <w:t xml:space="preserve">. Available at: </w:t>
      </w:r>
      <w:hyperlink r:id="rId11" w:tgtFrame="_new" w:history="1">
        <w:r w:rsidRPr="00B41B28">
          <w:rPr>
            <w:rStyle w:val="Hyperlink"/>
            <w:rFonts w:ascii="Arial" w:hAnsi="Arial" w:cs="Arial"/>
          </w:rPr>
          <w:t>https://papers.ssrn.com</w:t>
        </w:r>
      </w:hyperlink>
      <w:r w:rsidRPr="00B41B28">
        <w:rPr>
          <w:rFonts w:ascii="Arial" w:hAnsi="Arial" w:cs="Arial"/>
        </w:rPr>
        <w:t xml:space="preserve"> (Accessed: 21 April 2026).</w:t>
      </w:r>
    </w:p>
    <w:p w14:paraId="29D6BECA"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EY (2023) </w:t>
      </w:r>
      <w:r w:rsidRPr="00B41B28">
        <w:rPr>
          <w:rFonts w:ascii="Arial" w:hAnsi="Arial" w:cs="Arial"/>
          <w:i/>
          <w:iCs/>
        </w:rPr>
        <w:t>Global FinTech Adoption Index</w:t>
      </w:r>
      <w:r w:rsidRPr="00B41B28">
        <w:rPr>
          <w:rFonts w:ascii="Arial" w:hAnsi="Arial" w:cs="Arial"/>
        </w:rPr>
        <w:t xml:space="preserve">. Available at: </w:t>
      </w:r>
      <w:hyperlink r:id="rId12" w:tgtFrame="_new" w:history="1">
        <w:r w:rsidRPr="00B41B28">
          <w:rPr>
            <w:rStyle w:val="Hyperlink"/>
            <w:rFonts w:ascii="Arial" w:hAnsi="Arial" w:cs="Arial"/>
          </w:rPr>
          <w:t>https://www.ey.com</w:t>
        </w:r>
      </w:hyperlink>
      <w:r w:rsidRPr="00B41B28">
        <w:rPr>
          <w:rFonts w:ascii="Arial" w:hAnsi="Arial" w:cs="Arial"/>
        </w:rPr>
        <w:t xml:space="preserve"> (Accessed: 21 April 2026).</w:t>
      </w:r>
    </w:p>
    <w:p w14:paraId="2E6225BF" w14:textId="0DB72A05"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Financial Conduct Authority (2023) </w:t>
      </w:r>
      <w:r w:rsidRPr="00B41B28">
        <w:rPr>
          <w:rFonts w:ascii="Arial" w:hAnsi="Arial" w:cs="Arial"/>
          <w:i/>
          <w:iCs/>
        </w:rPr>
        <w:t>High-cost credit and consumer borrowing review</w:t>
      </w:r>
      <w:r w:rsidRPr="00B41B28">
        <w:rPr>
          <w:rFonts w:ascii="Arial" w:hAnsi="Arial" w:cs="Arial"/>
        </w:rPr>
        <w:t xml:space="preserve">. Available at: </w:t>
      </w:r>
      <w:hyperlink r:id="rId13" w:tgtFrame="_new" w:history="1">
        <w:r w:rsidRPr="00B41B28">
          <w:rPr>
            <w:rStyle w:val="Hyperlink"/>
            <w:rFonts w:ascii="Arial" w:hAnsi="Arial" w:cs="Arial"/>
          </w:rPr>
          <w:t>https://www.fca.org.uk</w:t>
        </w:r>
      </w:hyperlink>
      <w:r w:rsidRPr="00B41B28">
        <w:rPr>
          <w:rFonts w:ascii="Arial" w:hAnsi="Arial" w:cs="Arial"/>
        </w:rPr>
        <w:t xml:space="preserve"> (Accessed: </w:t>
      </w:r>
      <w:r w:rsidR="00D45269">
        <w:rPr>
          <w:rFonts w:ascii="Arial" w:hAnsi="Arial" w:cs="Arial"/>
        </w:rPr>
        <w:t>18</w:t>
      </w:r>
      <w:r w:rsidRPr="00B41B28">
        <w:rPr>
          <w:rFonts w:ascii="Arial" w:hAnsi="Arial" w:cs="Arial"/>
        </w:rPr>
        <w:t xml:space="preserve"> April 2026).</w:t>
      </w:r>
    </w:p>
    <w:p w14:paraId="064EEC7A"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McAfee, A. and Brynjolfsson, E. (2017) </w:t>
      </w:r>
      <w:r w:rsidRPr="00B41B28">
        <w:rPr>
          <w:rFonts w:ascii="Arial" w:hAnsi="Arial" w:cs="Arial"/>
          <w:i/>
          <w:iCs/>
        </w:rPr>
        <w:t>Machine, Platform, Crowd</w:t>
      </w:r>
      <w:r w:rsidRPr="00B41B28">
        <w:rPr>
          <w:rFonts w:ascii="Arial" w:hAnsi="Arial" w:cs="Arial"/>
        </w:rPr>
        <w:t>. New York: W.W. Norton &amp; Company.</w:t>
      </w:r>
    </w:p>
    <w:p w14:paraId="1CD2C0DD" w14:textId="28151FAF" w:rsidR="00B41B28" w:rsidRPr="00B41B28" w:rsidRDefault="00B41B28" w:rsidP="00B41B28">
      <w:pPr>
        <w:pStyle w:val="NormalWeb"/>
        <w:spacing w:line="360" w:lineRule="auto"/>
        <w:jc w:val="both"/>
        <w:rPr>
          <w:rFonts w:ascii="Arial" w:hAnsi="Arial" w:cs="Arial"/>
        </w:rPr>
      </w:pPr>
      <w:proofErr w:type="spellStart"/>
      <w:r w:rsidRPr="00B41B28">
        <w:rPr>
          <w:rFonts w:ascii="Arial" w:hAnsi="Arial" w:cs="Arial"/>
        </w:rPr>
        <w:t>MoneyHelper</w:t>
      </w:r>
      <w:proofErr w:type="spellEnd"/>
      <w:r w:rsidRPr="00B41B28">
        <w:rPr>
          <w:rFonts w:ascii="Arial" w:hAnsi="Arial" w:cs="Arial"/>
        </w:rPr>
        <w:t xml:space="preserve"> (2024) </w:t>
      </w:r>
      <w:r w:rsidRPr="00B41B28">
        <w:rPr>
          <w:rFonts w:ascii="Arial" w:hAnsi="Arial" w:cs="Arial"/>
          <w:i/>
          <w:iCs/>
        </w:rPr>
        <w:t>Managing money as a student</w:t>
      </w:r>
      <w:r w:rsidRPr="00B41B28">
        <w:rPr>
          <w:rFonts w:ascii="Arial" w:hAnsi="Arial" w:cs="Arial"/>
        </w:rPr>
        <w:t xml:space="preserve">. Available at: </w:t>
      </w:r>
      <w:hyperlink r:id="rId14" w:tgtFrame="_new" w:history="1">
        <w:r w:rsidRPr="00B41B28">
          <w:rPr>
            <w:rStyle w:val="Hyperlink"/>
            <w:rFonts w:ascii="Arial" w:hAnsi="Arial" w:cs="Arial"/>
          </w:rPr>
          <w:t>https://www.moneyhelper.org.uk</w:t>
        </w:r>
      </w:hyperlink>
      <w:r w:rsidRPr="00B41B28">
        <w:rPr>
          <w:rFonts w:ascii="Arial" w:hAnsi="Arial" w:cs="Arial"/>
        </w:rPr>
        <w:t xml:space="preserve"> (Accessed: </w:t>
      </w:r>
      <w:r w:rsidR="00D45269">
        <w:rPr>
          <w:rFonts w:ascii="Arial" w:hAnsi="Arial" w:cs="Arial"/>
        </w:rPr>
        <w:t>17</w:t>
      </w:r>
      <w:r w:rsidRPr="00B41B28">
        <w:rPr>
          <w:rFonts w:ascii="Arial" w:hAnsi="Arial" w:cs="Arial"/>
        </w:rPr>
        <w:t xml:space="preserve"> April 2026).</w:t>
      </w:r>
    </w:p>
    <w:p w14:paraId="5C3DAF22" w14:textId="0C0ED6AA"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National Union of Students (2022) </w:t>
      </w:r>
      <w:r w:rsidRPr="00B41B28">
        <w:rPr>
          <w:rFonts w:ascii="Arial" w:hAnsi="Arial" w:cs="Arial"/>
          <w:i/>
          <w:iCs/>
        </w:rPr>
        <w:t>Cost of Living Report</w:t>
      </w:r>
      <w:r w:rsidRPr="00B41B28">
        <w:rPr>
          <w:rFonts w:ascii="Arial" w:hAnsi="Arial" w:cs="Arial"/>
        </w:rPr>
        <w:t xml:space="preserve">. Available at: </w:t>
      </w:r>
      <w:hyperlink r:id="rId15" w:tgtFrame="_new" w:history="1">
        <w:r w:rsidRPr="00B41B28">
          <w:rPr>
            <w:rStyle w:val="Hyperlink"/>
            <w:rFonts w:ascii="Arial" w:hAnsi="Arial" w:cs="Arial"/>
          </w:rPr>
          <w:t>https://www.nus.org.uk</w:t>
        </w:r>
      </w:hyperlink>
      <w:r w:rsidRPr="00B41B28">
        <w:rPr>
          <w:rFonts w:ascii="Arial" w:hAnsi="Arial" w:cs="Arial"/>
        </w:rPr>
        <w:t xml:space="preserve"> (Accessed: </w:t>
      </w:r>
      <w:r w:rsidR="00D45269">
        <w:rPr>
          <w:rFonts w:ascii="Arial" w:hAnsi="Arial" w:cs="Arial"/>
        </w:rPr>
        <w:t>18</w:t>
      </w:r>
      <w:r w:rsidRPr="00B41B28">
        <w:rPr>
          <w:rFonts w:ascii="Arial" w:hAnsi="Arial" w:cs="Arial"/>
        </w:rPr>
        <w:t xml:space="preserve"> April 2026).</w:t>
      </w:r>
    </w:p>
    <w:p w14:paraId="457484D1"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lastRenderedPageBreak/>
        <w:t xml:space="preserve">Norman, D. (2013) </w:t>
      </w:r>
      <w:r w:rsidRPr="00B41B28">
        <w:rPr>
          <w:rFonts w:ascii="Arial" w:hAnsi="Arial" w:cs="Arial"/>
          <w:i/>
          <w:iCs/>
        </w:rPr>
        <w:t>The Design of Everyday Things</w:t>
      </w:r>
      <w:r w:rsidRPr="00B41B28">
        <w:rPr>
          <w:rFonts w:ascii="Arial" w:hAnsi="Arial" w:cs="Arial"/>
        </w:rPr>
        <w:t xml:space="preserve">. Revised </w:t>
      </w:r>
      <w:proofErr w:type="spellStart"/>
      <w:r w:rsidRPr="00B41B28">
        <w:rPr>
          <w:rFonts w:ascii="Arial" w:hAnsi="Arial" w:cs="Arial"/>
        </w:rPr>
        <w:t>edn</w:t>
      </w:r>
      <w:proofErr w:type="spellEnd"/>
      <w:r w:rsidRPr="00B41B28">
        <w:rPr>
          <w:rFonts w:ascii="Arial" w:hAnsi="Arial" w:cs="Arial"/>
        </w:rPr>
        <w:t>. New York: Basic Books.</w:t>
      </w:r>
    </w:p>
    <w:p w14:paraId="22181B1F" w14:textId="736588A4"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Office for Budget Responsibility (2023) </w:t>
      </w:r>
      <w:r w:rsidRPr="00B41B28">
        <w:rPr>
          <w:rFonts w:ascii="Arial" w:hAnsi="Arial" w:cs="Arial"/>
          <w:i/>
          <w:iCs/>
        </w:rPr>
        <w:t>Economic and fiscal outlook</w:t>
      </w:r>
      <w:r w:rsidRPr="00B41B28">
        <w:rPr>
          <w:rFonts w:ascii="Arial" w:hAnsi="Arial" w:cs="Arial"/>
        </w:rPr>
        <w:t xml:space="preserve">. Available at: </w:t>
      </w:r>
      <w:hyperlink r:id="rId16" w:tgtFrame="_new" w:history="1">
        <w:r w:rsidRPr="00B41B28">
          <w:rPr>
            <w:rStyle w:val="Hyperlink"/>
            <w:rFonts w:ascii="Arial" w:hAnsi="Arial" w:cs="Arial"/>
          </w:rPr>
          <w:t>https://obr.uk</w:t>
        </w:r>
      </w:hyperlink>
      <w:r w:rsidRPr="00B41B28">
        <w:rPr>
          <w:rFonts w:ascii="Arial" w:hAnsi="Arial" w:cs="Arial"/>
        </w:rPr>
        <w:t xml:space="preserve"> (Accessed: </w:t>
      </w:r>
      <w:r w:rsidR="00D45269">
        <w:rPr>
          <w:rFonts w:ascii="Arial" w:hAnsi="Arial" w:cs="Arial"/>
        </w:rPr>
        <w:t>17</w:t>
      </w:r>
      <w:r w:rsidRPr="00B41B28">
        <w:rPr>
          <w:rFonts w:ascii="Arial" w:hAnsi="Arial" w:cs="Arial"/>
        </w:rPr>
        <w:t xml:space="preserve"> April 2026).</w:t>
      </w:r>
    </w:p>
    <w:p w14:paraId="11D53BE5" w14:textId="5437B3DE"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Office for National Statistics (2023) </w:t>
      </w:r>
      <w:r w:rsidRPr="00B41B28">
        <w:rPr>
          <w:rFonts w:ascii="Arial" w:hAnsi="Arial" w:cs="Arial"/>
          <w:i/>
          <w:iCs/>
        </w:rPr>
        <w:t>Student cost of living insights</w:t>
      </w:r>
      <w:r w:rsidRPr="00B41B28">
        <w:rPr>
          <w:rFonts w:ascii="Arial" w:hAnsi="Arial" w:cs="Arial"/>
        </w:rPr>
        <w:t xml:space="preserve">. Available at: </w:t>
      </w:r>
      <w:hyperlink r:id="rId17" w:tgtFrame="_new" w:history="1">
        <w:r w:rsidRPr="00B41B28">
          <w:rPr>
            <w:rStyle w:val="Hyperlink"/>
            <w:rFonts w:ascii="Arial" w:hAnsi="Arial" w:cs="Arial"/>
          </w:rPr>
          <w:t>https://www.ons.gov.uk</w:t>
        </w:r>
      </w:hyperlink>
      <w:r w:rsidRPr="00B41B28">
        <w:rPr>
          <w:rFonts w:ascii="Arial" w:hAnsi="Arial" w:cs="Arial"/>
        </w:rPr>
        <w:t xml:space="preserve"> (Accessed: </w:t>
      </w:r>
      <w:r w:rsidR="00D45269">
        <w:rPr>
          <w:rFonts w:ascii="Arial" w:hAnsi="Arial" w:cs="Arial"/>
        </w:rPr>
        <w:t>15</w:t>
      </w:r>
      <w:r w:rsidRPr="00B41B28">
        <w:rPr>
          <w:rFonts w:ascii="Arial" w:hAnsi="Arial" w:cs="Arial"/>
        </w:rPr>
        <w:t xml:space="preserve"> April 2026).</w:t>
      </w:r>
    </w:p>
    <w:p w14:paraId="3C678C8B" w14:textId="2BB0142C"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Office for Students (2023) </w:t>
      </w:r>
      <w:r w:rsidRPr="00B41B28">
        <w:rPr>
          <w:rFonts w:ascii="Arial" w:hAnsi="Arial" w:cs="Arial"/>
          <w:i/>
          <w:iCs/>
        </w:rPr>
        <w:t>Student outcomes and financial hardship report</w:t>
      </w:r>
      <w:r w:rsidRPr="00B41B28">
        <w:rPr>
          <w:rFonts w:ascii="Arial" w:hAnsi="Arial" w:cs="Arial"/>
        </w:rPr>
        <w:t xml:space="preserve">. Available at: </w:t>
      </w:r>
      <w:hyperlink r:id="rId18" w:tgtFrame="_new" w:history="1">
        <w:r w:rsidRPr="00B41B28">
          <w:rPr>
            <w:rStyle w:val="Hyperlink"/>
            <w:rFonts w:ascii="Arial" w:hAnsi="Arial" w:cs="Arial"/>
          </w:rPr>
          <w:t>https://www.officeforstudents.org.uk</w:t>
        </w:r>
      </w:hyperlink>
      <w:r w:rsidRPr="00B41B28">
        <w:rPr>
          <w:rFonts w:ascii="Arial" w:hAnsi="Arial" w:cs="Arial"/>
        </w:rPr>
        <w:t xml:space="preserve"> (Accessed: </w:t>
      </w:r>
      <w:r w:rsidR="00D45269">
        <w:rPr>
          <w:rFonts w:ascii="Arial" w:hAnsi="Arial" w:cs="Arial"/>
        </w:rPr>
        <w:t>15</w:t>
      </w:r>
      <w:r w:rsidRPr="00B41B28">
        <w:rPr>
          <w:rFonts w:ascii="Arial" w:hAnsi="Arial" w:cs="Arial"/>
        </w:rPr>
        <w:t xml:space="preserve"> April 2026).</w:t>
      </w:r>
    </w:p>
    <w:p w14:paraId="6B878DDB"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Osterwalder, A. et al. (2020) </w:t>
      </w:r>
      <w:r w:rsidRPr="00B41B28">
        <w:rPr>
          <w:rFonts w:ascii="Arial" w:hAnsi="Arial" w:cs="Arial"/>
          <w:i/>
          <w:iCs/>
        </w:rPr>
        <w:t>The Invincible Company</w:t>
      </w:r>
      <w:r w:rsidRPr="00B41B28">
        <w:rPr>
          <w:rFonts w:ascii="Arial" w:hAnsi="Arial" w:cs="Arial"/>
        </w:rPr>
        <w:t>. Hoboken: Wiley.</w:t>
      </w:r>
    </w:p>
    <w:p w14:paraId="4A59F0D6"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Ries, E. (2011) </w:t>
      </w:r>
      <w:r w:rsidRPr="00B41B28">
        <w:rPr>
          <w:rFonts w:ascii="Arial" w:hAnsi="Arial" w:cs="Arial"/>
          <w:i/>
          <w:iCs/>
        </w:rPr>
        <w:t>The Lean Startup</w:t>
      </w:r>
      <w:r w:rsidRPr="00B41B28">
        <w:rPr>
          <w:rFonts w:ascii="Arial" w:hAnsi="Arial" w:cs="Arial"/>
        </w:rPr>
        <w:t>. New York: Crown Business.</w:t>
      </w:r>
    </w:p>
    <w:p w14:paraId="77791955" w14:textId="7C89CD44"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Save the Student (2024) </w:t>
      </w:r>
      <w:r w:rsidRPr="00B41B28">
        <w:rPr>
          <w:rFonts w:ascii="Arial" w:hAnsi="Arial" w:cs="Arial"/>
          <w:i/>
          <w:iCs/>
        </w:rPr>
        <w:t>National Student Money Survey</w:t>
      </w:r>
      <w:r w:rsidRPr="00B41B28">
        <w:rPr>
          <w:rFonts w:ascii="Arial" w:hAnsi="Arial" w:cs="Arial"/>
        </w:rPr>
        <w:t xml:space="preserve">. Available at: </w:t>
      </w:r>
      <w:hyperlink r:id="rId19" w:tgtFrame="_new" w:history="1">
        <w:r w:rsidRPr="00B41B28">
          <w:rPr>
            <w:rStyle w:val="Hyperlink"/>
            <w:rFonts w:ascii="Arial" w:hAnsi="Arial" w:cs="Arial"/>
          </w:rPr>
          <w:t>https://www.savethestudent.org</w:t>
        </w:r>
      </w:hyperlink>
      <w:r w:rsidRPr="00B41B28">
        <w:rPr>
          <w:rFonts w:ascii="Arial" w:hAnsi="Arial" w:cs="Arial"/>
        </w:rPr>
        <w:t xml:space="preserve"> (Accessed: </w:t>
      </w:r>
      <w:r w:rsidR="00D45269">
        <w:rPr>
          <w:rFonts w:ascii="Arial" w:hAnsi="Arial" w:cs="Arial"/>
        </w:rPr>
        <w:t>15</w:t>
      </w:r>
      <w:r w:rsidRPr="00B41B28">
        <w:rPr>
          <w:rFonts w:ascii="Arial" w:hAnsi="Arial" w:cs="Arial"/>
        </w:rPr>
        <w:t xml:space="preserve"> April 2026).</w:t>
      </w:r>
    </w:p>
    <w:p w14:paraId="7BCDB8AD"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Statista (2024) </w:t>
      </w:r>
      <w:r w:rsidRPr="00B41B28">
        <w:rPr>
          <w:rFonts w:ascii="Arial" w:hAnsi="Arial" w:cs="Arial"/>
          <w:i/>
          <w:iCs/>
        </w:rPr>
        <w:t>Fintech usage statistics</w:t>
      </w:r>
      <w:r w:rsidRPr="00B41B28">
        <w:rPr>
          <w:rFonts w:ascii="Arial" w:hAnsi="Arial" w:cs="Arial"/>
        </w:rPr>
        <w:t xml:space="preserve">. Available at: </w:t>
      </w:r>
      <w:hyperlink r:id="rId20" w:tgtFrame="_new" w:history="1">
        <w:r w:rsidRPr="00B41B28">
          <w:rPr>
            <w:rStyle w:val="Hyperlink"/>
            <w:rFonts w:ascii="Arial" w:hAnsi="Arial" w:cs="Arial"/>
          </w:rPr>
          <w:t>https://www.statista.com</w:t>
        </w:r>
      </w:hyperlink>
      <w:r w:rsidRPr="00B41B28">
        <w:rPr>
          <w:rFonts w:ascii="Arial" w:hAnsi="Arial" w:cs="Arial"/>
        </w:rPr>
        <w:t xml:space="preserve"> (Accessed: 21 April 2026).</w:t>
      </w:r>
    </w:p>
    <w:p w14:paraId="1E32CD25" w14:textId="6CB32BAE"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Student Finance Wales (2024) </w:t>
      </w:r>
      <w:r w:rsidRPr="00B41B28">
        <w:rPr>
          <w:rFonts w:ascii="Arial" w:hAnsi="Arial" w:cs="Arial"/>
          <w:i/>
          <w:iCs/>
        </w:rPr>
        <w:t>Student finance guidance</w:t>
      </w:r>
      <w:r w:rsidRPr="00B41B28">
        <w:rPr>
          <w:rFonts w:ascii="Arial" w:hAnsi="Arial" w:cs="Arial"/>
        </w:rPr>
        <w:t xml:space="preserve">. Available at: </w:t>
      </w:r>
      <w:hyperlink r:id="rId21" w:tgtFrame="_new" w:history="1">
        <w:r w:rsidRPr="00B41B28">
          <w:rPr>
            <w:rStyle w:val="Hyperlink"/>
            <w:rFonts w:ascii="Arial" w:hAnsi="Arial" w:cs="Arial"/>
          </w:rPr>
          <w:t>https://www.studentfinancewales.co.uk</w:t>
        </w:r>
      </w:hyperlink>
      <w:r w:rsidRPr="00B41B28">
        <w:rPr>
          <w:rFonts w:ascii="Arial" w:hAnsi="Arial" w:cs="Arial"/>
        </w:rPr>
        <w:t xml:space="preserve"> (Accessed: </w:t>
      </w:r>
      <w:r w:rsidR="00D45269">
        <w:rPr>
          <w:rFonts w:ascii="Arial" w:hAnsi="Arial" w:cs="Arial"/>
        </w:rPr>
        <w:t>15</w:t>
      </w:r>
      <w:r w:rsidRPr="00B41B28">
        <w:rPr>
          <w:rFonts w:ascii="Arial" w:hAnsi="Arial" w:cs="Arial"/>
        </w:rPr>
        <w:t xml:space="preserve"> April 2026).</w:t>
      </w:r>
    </w:p>
    <w:p w14:paraId="1DF4C781"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Student Loans Company (2024) </w:t>
      </w:r>
      <w:r w:rsidRPr="00B41B28">
        <w:rPr>
          <w:rFonts w:ascii="Arial" w:hAnsi="Arial" w:cs="Arial"/>
          <w:i/>
          <w:iCs/>
        </w:rPr>
        <w:t>How student finance works</w:t>
      </w:r>
      <w:r w:rsidRPr="00B41B28">
        <w:rPr>
          <w:rFonts w:ascii="Arial" w:hAnsi="Arial" w:cs="Arial"/>
        </w:rPr>
        <w:t xml:space="preserve">. Available at: </w:t>
      </w:r>
      <w:hyperlink r:id="rId22" w:tgtFrame="_new" w:history="1">
        <w:r w:rsidRPr="00B41B28">
          <w:rPr>
            <w:rStyle w:val="Hyperlink"/>
            <w:rFonts w:ascii="Arial" w:hAnsi="Arial" w:cs="Arial"/>
          </w:rPr>
          <w:t>https://www.slc.co.uk</w:t>
        </w:r>
      </w:hyperlink>
      <w:r w:rsidRPr="00B41B28">
        <w:rPr>
          <w:rFonts w:ascii="Arial" w:hAnsi="Arial" w:cs="Arial"/>
        </w:rPr>
        <w:t xml:space="preserve"> (Accessed: 21 April 2026).</w:t>
      </w:r>
    </w:p>
    <w:p w14:paraId="52966924"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Sutton Trust (2023) </w:t>
      </w:r>
      <w:r w:rsidRPr="00B41B28">
        <w:rPr>
          <w:rFonts w:ascii="Arial" w:hAnsi="Arial" w:cs="Arial"/>
          <w:i/>
          <w:iCs/>
        </w:rPr>
        <w:t>Cost of living and student hardship report</w:t>
      </w:r>
      <w:r w:rsidRPr="00B41B28">
        <w:rPr>
          <w:rFonts w:ascii="Arial" w:hAnsi="Arial" w:cs="Arial"/>
        </w:rPr>
        <w:t xml:space="preserve">. Available at: </w:t>
      </w:r>
      <w:hyperlink r:id="rId23" w:tgtFrame="_new" w:history="1">
        <w:r w:rsidRPr="00B41B28">
          <w:rPr>
            <w:rStyle w:val="Hyperlink"/>
            <w:rFonts w:ascii="Arial" w:hAnsi="Arial" w:cs="Arial"/>
          </w:rPr>
          <w:t>https://www.suttontrust.com</w:t>
        </w:r>
      </w:hyperlink>
      <w:r w:rsidRPr="00B41B28">
        <w:rPr>
          <w:rFonts w:ascii="Arial" w:hAnsi="Arial" w:cs="Arial"/>
        </w:rPr>
        <w:t xml:space="preserve"> (Accessed: 21 April 2026).</w:t>
      </w:r>
    </w:p>
    <w:p w14:paraId="6F4C7CA4" w14:textId="64891224"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UK Finance (2023) </w:t>
      </w:r>
      <w:r w:rsidRPr="00B41B28">
        <w:rPr>
          <w:rFonts w:ascii="Arial" w:hAnsi="Arial" w:cs="Arial"/>
          <w:i/>
          <w:iCs/>
        </w:rPr>
        <w:t>UK payment markets summary</w:t>
      </w:r>
      <w:r w:rsidRPr="00B41B28">
        <w:rPr>
          <w:rFonts w:ascii="Arial" w:hAnsi="Arial" w:cs="Arial"/>
        </w:rPr>
        <w:t xml:space="preserve">. Available at: </w:t>
      </w:r>
      <w:hyperlink r:id="rId24" w:tgtFrame="_new" w:history="1">
        <w:r w:rsidRPr="00B41B28">
          <w:rPr>
            <w:rStyle w:val="Hyperlink"/>
            <w:rFonts w:ascii="Arial" w:hAnsi="Arial" w:cs="Arial"/>
          </w:rPr>
          <w:t>https://www.ukfinance.org.uk</w:t>
        </w:r>
      </w:hyperlink>
      <w:r w:rsidRPr="00B41B28">
        <w:rPr>
          <w:rFonts w:ascii="Arial" w:hAnsi="Arial" w:cs="Arial"/>
        </w:rPr>
        <w:t xml:space="preserve"> (Accessed: </w:t>
      </w:r>
      <w:r w:rsidR="00D45269">
        <w:rPr>
          <w:rFonts w:ascii="Arial" w:hAnsi="Arial" w:cs="Arial"/>
        </w:rPr>
        <w:t>14</w:t>
      </w:r>
      <w:r w:rsidRPr="00B41B28">
        <w:rPr>
          <w:rFonts w:ascii="Arial" w:hAnsi="Arial" w:cs="Arial"/>
        </w:rPr>
        <w:t xml:space="preserve"> April 2026).</w:t>
      </w:r>
    </w:p>
    <w:p w14:paraId="6456955D" w14:textId="492FB53A"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Universities UK (2023) </w:t>
      </w:r>
      <w:r w:rsidRPr="00B41B28">
        <w:rPr>
          <w:rFonts w:ascii="Arial" w:hAnsi="Arial" w:cs="Arial"/>
          <w:i/>
          <w:iCs/>
        </w:rPr>
        <w:t>Student experience and financial pressures report</w:t>
      </w:r>
      <w:r w:rsidRPr="00B41B28">
        <w:rPr>
          <w:rFonts w:ascii="Arial" w:hAnsi="Arial" w:cs="Arial"/>
        </w:rPr>
        <w:t xml:space="preserve">. Available at: </w:t>
      </w:r>
      <w:hyperlink r:id="rId25" w:tgtFrame="_new" w:history="1">
        <w:r w:rsidRPr="00B41B28">
          <w:rPr>
            <w:rStyle w:val="Hyperlink"/>
            <w:rFonts w:ascii="Arial" w:hAnsi="Arial" w:cs="Arial"/>
          </w:rPr>
          <w:t>https://www.universitiesuk.ac.uk</w:t>
        </w:r>
      </w:hyperlink>
      <w:r w:rsidRPr="00B41B28">
        <w:rPr>
          <w:rFonts w:ascii="Arial" w:hAnsi="Arial" w:cs="Arial"/>
        </w:rPr>
        <w:t xml:space="preserve"> (Accessed: </w:t>
      </w:r>
      <w:r w:rsidR="00D45269">
        <w:rPr>
          <w:rFonts w:ascii="Arial" w:hAnsi="Arial" w:cs="Arial"/>
        </w:rPr>
        <w:t>14</w:t>
      </w:r>
      <w:r w:rsidRPr="00B41B28">
        <w:rPr>
          <w:rFonts w:ascii="Arial" w:hAnsi="Arial" w:cs="Arial"/>
        </w:rPr>
        <w:t xml:space="preserve"> April 2026).</w:t>
      </w:r>
    </w:p>
    <w:p w14:paraId="68ACFF4D" w14:textId="77777777" w:rsidR="00B41B28" w:rsidRPr="00B41B28" w:rsidRDefault="00B41B28" w:rsidP="00B41B28">
      <w:pPr>
        <w:pStyle w:val="NormalWeb"/>
        <w:spacing w:line="360" w:lineRule="auto"/>
        <w:jc w:val="both"/>
        <w:rPr>
          <w:rFonts w:ascii="Arial" w:hAnsi="Arial" w:cs="Arial"/>
        </w:rPr>
      </w:pPr>
      <w:r w:rsidRPr="00B41B28">
        <w:rPr>
          <w:rFonts w:ascii="Arial" w:hAnsi="Arial" w:cs="Arial"/>
        </w:rPr>
        <w:t xml:space="preserve">Varian, H. (2019) </w:t>
      </w:r>
      <w:r w:rsidRPr="00B41B28">
        <w:rPr>
          <w:rFonts w:ascii="Arial" w:hAnsi="Arial" w:cs="Arial"/>
          <w:i/>
          <w:iCs/>
        </w:rPr>
        <w:t>Intermediate Microeconomics</w:t>
      </w:r>
      <w:r w:rsidRPr="00B41B28">
        <w:rPr>
          <w:rFonts w:ascii="Arial" w:hAnsi="Arial" w:cs="Arial"/>
        </w:rPr>
        <w:t xml:space="preserve">. 9th </w:t>
      </w:r>
      <w:proofErr w:type="spellStart"/>
      <w:r w:rsidRPr="00B41B28">
        <w:rPr>
          <w:rFonts w:ascii="Arial" w:hAnsi="Arial" w:cs="Arial"/>
        </w:rPr>
        <w:t>edn</w:t>
      </w:r>
      <w:proofErr w:type="spellEnd"/>
      <w:r w:rsidRPr="00B41B28">
        <w:rPr>
          <w:rFonts w:ascii="Arial" w:hAnsi="Arial" w:cs="Arial"/>
        </w:rPr>
        <w:t>. New York: W.W. Norton.</w:t>
      </w:r>
    </w:p>
    <w:p w14:paraId="4FCB2A1A" w14:textId="6AB6C1DE" w:rsidR="00B41B28" w:rsidRPr="00B41B28" w:rsidRDefault="00B41B28" w:rsidP="00B41B28">
      <w:pPr>
        <w:pStyle w:val="NormalWeb"/>
        <w:spacing w:line="360" w:lineRule="auto"/>
        <w:jc w:val="both"/>
        <w:rPr>
          <w:rFonts w:ascii="Arial" w:hAnsi="Arial" w:cs="Arial"/>
        </w:rPr>
      </w:pPr>
      <w:r w:rsidRPr="00B41B28">
        <w:rPr>
          <w:rFonts w:ascii="Arial" w:hAnsi="Arial" w:cs="Arial"/>
        </w:rPr>
        <w:lastRenderedPageBreak/>
        <w:t xml:space="preserve">World Bank (2022) </w:t>
      </w:r>
      <w:r w:rsidRPr="00B41B28">
        <w:rPr>
          <w:rFonts w:ascii="Arial" w:hAnsi="Arial" w:cs="Arial"/>
          <w:i/>
          <w:iCs/>
        </w:rPr>
        <w:t>Digital financial services overview</w:t>
      </w:r>
      <w:r w:rsidRPr="00B41B28">
        <w:rPr>
          <w:rFonts w:ascii="Arial" w:hAnsi="Arial" w:cs="Arial"/>
        </w:rPr>
        <w:t xml:space="preserve">. Available at: </w:t>
      </w:r>
      <w:hyperlink r:id="rId26" w:tgtFrame="_new" w:history="1">
        <w:r w:rsidRPr="00B41B28">
          <w:rPr>
            <w:rStyle w:val="Hyperlink"/>
            <w:rFonts w:ascii="Arial" w:hAnsi="Arial" w:cs="Arial"/>
          </w:rPr>
          <w:t>https://www.worldbank.org</w:t>
        </w:r>
      </w:hyperlink>
      <w:r w:rsidRPr="00B41B28">
        <w:rPr>
          <w:rFonts w:ascii="Arial" w:hAnsi="Arial" w:cs="Arial"/>
        </w:rPr>
        <w:t xml:space="preserve"> (Accessed: </w:t>
      </w:r>
      <w:r w:rsidR="00D45269">
        <w:rPr>
          <w:rFonts w:ascii="Arial" w:hAnsi="Arial" w:cs="Arial"/>
        </w:rPr>
        <w:t>14</w:t>
      </w:r>
      <w:r w:rsidRPr="00B41B28">
        <w:rPr>
          <w:rFonts w:ascii="Arial" w:hAnsi="Arial" w:cs="Arial"/>
        </w:rPr>
        <w:t xml:space="preserve"> April 2026).</w:t>
      </w:r>
    </w:p>
    <w:p w14:paraId="2639471D" w14:textId="77777777" w:rsidR="007A0443" w:rsidRDefault="007A0443" w:rsidP="00655EB7">
      <w:pPr>
        <w:pStyle w:val="NormalWeb"/>
        <w:spacing w:line="360" w:lineRule="auto"/>
        <w:jc w:val="both"/>
        <w:rPr>
          <w:rFonts w:ascii="Arial" w:hAnsi="Arial" w:cs="Arial"/>
        </w:rPr>
      </w:pPr>
    </w:p>
    <w:p w14:paraId="5ADD6C6D" w14:textId="77777777" w:rsidR="007A0443" w:rsidRPr="00511620" w:rsidRDefault="007A0443" w:rsidP="00655EB7">
      <w:pPr>
        <w:pStyle w:val="NormalWeb"/>
        <w:spacing w:line="360" w:lineRule="auto"/>
        <w:jc w:val="both"/>
        <w:rPr>
          <w:rFonts w:ascii="Arial" w:hAnsi="Arial" w:cs="Arial"/>
        </w:rPr>
      </w:pPr>
    </w:p>
    <w:sectPr w:rsidR="007A0443" w:rsidRPr="005116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D37BF"/>
    <w:multiLevelType w:val="multilevel"/>
    <w:tmpl w:val="91747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B6025"/>
    <w:multiLevelType w:val="multilevel"/>
    <w:tmpl w:val="68003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6F40BD"/>
    <w:multiLevelType w:val="hybridMultilevel"/>
    <w:tmpl w:val="C930A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6C04B5"/>
    <w:multiLevelType w:val="hybridMultilevel"/>
    <w:tmpl w:val="8F788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774400">
    <w:abstractNumId w:val="0"/>
  </w:num>
  <w:num w:numId="2" w16cid:durableId="1181579459">
    <w:abstractNumId w:val="1"/>
  </w:num>
  <w:num w:numId="3" w16cid:durableId="779497040">
    <w:abstractNumId w:val="3"/>
  </w:num>
  <w:num w:numId="4" w16cid:durableId="9912530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D15"/>
    <w:rsid w:val="000B1362"/>
    <w:rsid w:val="00345808"/>
    <w:rsid w:val="00511620"/>
    <w:rsid w:val="00655EB7"/>
    <w:rsid w:val="00792B45"/>
    <w:rsid w:val="007A0443"/>
    <w:rsid w:val="008D322E"/>
    <w:rsid w:val="0091699A"/>
    <w:rsid w:val="009A3805"/>
    <w:rsid w:val="009A588A"/>
    <w:rsid w:val="00B41B28"/>
    <w:rsid w:val="00B60956"/>
    <w:rsid w:val="00C0788C"/>
    <w:rsid w:val="00C3715C"/>
    <w:rsid w:val="00CB0A2E"/>
    <w:rsid w:val="00D45269"/>
    <w:rsid w:val="00DC7D15"/>
    <w:rsid w:val="00ED0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7989C"/>
  <w15:chartTrackingRefBased/>
  <w15:docId w15:val="{2B9B9E69-97C0-4926-9E9B-DA8308B1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D1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C7D1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7D1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C7D1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7D1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7D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D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D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D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D1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C7D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C7D1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C7D1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7D1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7D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D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D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D15"/>
    <w:rPr>
      <w:rFonts w:eastAsiaTheme="majorEastAsia" w:cstheme="majorBidi"/>
      <w:color w:val="272727" w:themeColor="text1" w:themeTint="D8"/>
    </w:rPr>
  </w:style>
  <w:style w:type="paragraph" w:styleId="Title">
    <w:name w:val="Title"/>
    <w:basedOn w:val="Normal"/>
    <w:next w:val="Normal"/>
    <w:link w:val="TitleChar"/>
    <w:uiPriority w:val="10"/>
    <w:qFormat/>
    <w:rsid w:val="00DC7D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D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D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D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D15"/>
    <w:pPr>
      <w:spacing w:before="160"/>
      <w:jc w:val="center"/>
    </w:pPr>
    <w:rPr>
      <w:i/>
      <w:iCs/>
      <w:color w:val="404040" w:themeColor="text1" w:themeTint="BF"/>
    </w:rPr>
  </w:style>
  <w:style w:type="character" w:customStyle="1" w:styleId="QuoteChar">
    <w:name w:val="Quote Char"/>
    <w:basedOn w:val="DefaultParagraphFont"/>
    <w:link w:val="Quote"/>
    <w:uiPriority w:val="29"/>
    <w:rsid w:val="00DC7D15"/>
    <w:rPr>
      <w:i/>
      <w:iCs/>
      <w:color w:val="404040" w:themeColor="text1" w:themeTint="BF"/>
    </w:rPr>
  </w:style>
  <w:style w:type="paragraph" w:styleId="ListParagraph">
    <w:name w:val="List Paragraph"/>
    <w:basedOn w:val="Normal"/>
    <w:uiPriority w:val="34"/>
    <w:qFormat/>
    <w:rsid w:val="00DC7D15"/>
    <w:pPr>
      <w:ind w:left="720"/>
      <w:contextualSpacing/>
    </w:pPr>
  </w:style>
  <w:style w:type="character" w:styleId="IntenseEmphasis">
    <w:name w:val="Intense Emphasis"/>
    <w:basedOn w:val="DefaultParagraphFont"/>
    <w:uiPriority w:val="21"/>
    <w:qFormat/>
    <w:rsid w:val="00DC7D15"/>
    <w:rPr>
      <w:i/>
      <w:iCs/>
      <w:color w:val="2F5496" w:themeColor="accent1" w:themeShade="BF"/>
    </w:rPr>
  </w:style>
  <w:style w:type="paragraph" w:styleId="IntenseQuote">
    <w:name w:val="Intense Quote"/>
    <w:basedOn w:val="Normal"/>
    <w:next w:val="Normal"/>
    <w:link w:val="IntenseQuoteChar"/>
    <w:uiPriority w:val="30"/>
    <w:qFormat/>
    <w:rsid w:val="00DC7D1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7D15"/>
    <w:rPr>
      <w:i/>
      <w:iCs/>
      <w:color w:val="2F5496" w:themeColor="accent1" w:themeShade="BF"/>
    </w:rPr>
  </w:style>
  <w:style w:type="character" w:styleId="IntenseReference">
    <w:name w:val="Intense Reference"/>
    <w:basedOn w:val="DefaultParagraphFont"/>
    <w:uiPriority w:val="32"/>
    <w:qFormat/>
    <w:rsid w:val="00DC7D15"/>
    <w:rPr>
      <w:b/>
      <w:bCs/>
      <w:smallCaps/>
      <w:color w:val="2F5496" w:themeColor="accent1" w:themeShade="BF"/>
      <w:spacing w:val="5"/>
    </w:rPr>
  </w:style>
  <w:style w:type="paragraph" w:styleId="NormalWeb">
    <w:name w:val="Normal (Web)"/>
    <w:basedOn w:val="Normal"/>
    <w:uiPriority w:val="99"/>
    <w:unhideWhenUsed/>
    <w:rsid w:val="00655E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55EB7"/>
    <w:rPr>
      <w:i/>
      <w:iCs/>
    </w:rPr>
  </w:style>
  <w:style w:type="character" w:styleId="Hyperlink">
    <w:name w:val="Hyperlink"/>
    <w:basedOn w:val="DefaultParagraphFont"/>
    <w:uiPriority w:val="99"/>
    <w:unhideWhenUsed/>
    <w:rsid w:val="007A0443"/>
    <w:rPr>
      <w:color w:val="0563C1" w:themeColor="hyperlink"/>
      <w:u w:val="single"/>
    </w:rPr>
  </w:style>
  <w:style w:type="character" w:styleId="UnresolvedMention">
    <w:name w:val="Unresolved Mention"/>
    <w:basedOn w:val="DefaultParagraphFont"/>
    <w:uiPriority w:val="99"/>
    <w:semiHidden/>
    <w:unhideWhenUsed/>
    <w:rsid w:val="007A04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gilemanifesto.org" TargetMode="External"/><Relationship Id="rId13" Type="http://schemas.openxmlformats.org/officeDocument/2006/relationships/hyperlink" Target="https://www.fca.org.uk" TargetMode="External"/><Relationship Id="rId18" Type="http://schemas.openxmlformats.org/officeDocument/2006/relationships/hyperlink" Target="https://www.officeforstudents.org.uk" TargetMode="External"/><Relationship Id="rId26" Type="http://schemas.openxmlformats.org/officeDocument/2006/relationships/hyperlink" Target="https://www.worldbank.org" TargetMode="External"/><Relationship Id="rId3" Type="http://schemas.openxmlformats.org/officeDocument/2006/relationships/settings" Target="settings.xml"/><Relationship Id="rId21" Type="http://schemas.openxmlformats.org/officeDocument/2006/relationships/hyperlink" Target="https://www.studentfinancewales.co.uk" TargetMode="External"/><Relationship Id="rId7" Type="http://schemas.openxmlformats.org/officeDocument/2006/relationships/hyperlink" Target="https://www.bankofengland.co.uk" TargetMode="External"/><Relationship Id="rId12" Type="http://schemas.openxmlformats.org/officeDocument/2006/relationships/hyperlink" Target="https://www.ey.com" TargetMode="External"/><Relationship Id="rId17" Type="http://schemas.openxmlformats.org/officeDocument/2006/relationships/hyperlink" Target="https://www.ons.gov.uk" TargetMode="External"/><Relationship Id="rId25" Type="http://schemas.openxmlformats.org/officeDocument/2006/relationships/hyperlink" Target="https://www.universitiesuk.ac.uk" TargetMode="External"/><Relationship Id="rId2" Type="http://schemas.openxmlformats.org/officeDocument/2006/relationships/styles" Target="styles.xml"/><Relationship Id="rId16" Type="http://schemas.openxmlformats.org/officeDocument/2006/relationships/hyperlink" Target="https://obr.uk" TargetMode="External"/><Relationship Id="rId20" Type="http://schemas.openxmlformats.org/officeDocument/2006/relationships/hyperlink" Target="https://www.statista.com" TargetMode="External"/><Relationship Id="rId1" Type="http://schemas.openxmlformats.org/officeDocument/2006/relationships/numbering" Target="numbering.xml"/><Relationship Id="rId6" Type="http://schemas.openxmlformats.org/officeDocument/2006/relationships/hyperlink" Target="https://www.advance-he.ac.uk" TargetMode="External"/><Relationship Id="rId11" Type="http://schemas.openxmlformats.org/officeDocument/2006/relationships/hyperlink" Target="https://papers.ssrn.com" TargetMode="External"/><Relationship Id="rId24" Type="http://schemas.openxmlformats.org/officeDocument/2006/relationships/hyperlink" Target="https://www.ukfinance.org.uk" TargetMode="External"/><Relationship Id="rId5" Type="http://schemas.openxmlformats.org/officeDocument/2006/relationships/image" Target="media/image1.png"/><Relationship Id="rId15" Type="http://schemas.openxmlformats.org/officeDocument/2006/relationships/hyperlink" Target="https://www.nus.org.uk" TargetMode="External"/><Relationship Id="rId23" Type="http://schemas.openxmlformats.org/officeDocument/2006/relationships/hyperlink" Target="https://www.suttontrust.com" TargetMode="External"/><Relationship Id="rId28" Type="http://schemas.openxmlformats.org/officeDocument/2006/relationships/theme" Target="theme/theme1.xml"/><Relationship Id="rId10" Type="http://schemas.openxmlformats.org/officeDocument/2006/relationships/hyperlink" Target="https://www.citizensadvice.org.uk" TargetMode="External"/><Relationship Id="rId19" Type="http://schemas.openxmlformats.org/officeDocument/2006/relationships/hyperlink" Target="https://www.savethestudent.org" TargetMode="External"/><Relationship Id="rId4" Type="http://schemas.openxmlformats.org/officeDocument/2006/relationships/webSettings" Target="webSettings.xml"/><Relationship Id="rId9" Type="http://schemas.openxmlformats.org/officeDocument/2006/relationships/hyperlink" Target="https://www.cbinsights.com" TargetMode="External"/><Relationship Id="rId14" Type="http://schemas.openxmlformats.org/officeDocument/2006/relationships/hyperlink" Target="https://www.moneyhelper.org.uk" TargetMode="External"/><Relationship Id="rId22" Type="http://schemas.openxmlformats.org/officeDocument/2006/relationships/hyperlink" Target="https://www.slc.co.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3580</Words>
  <Characters>20406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dc:creator>
  <cp:keywords/>
  <dc:description/>
  <cp:lastModifiedBy>Ellie G</cp:lastModifiedBy>
  <cp:revision>2</cp:revision>
  <dcterms:created xsi:type="dcterms:W3CDTF">2026-04-21T15:05:00Z</dcterms:created>
  <dcterms:modified xsi:type="dcterms:W3CDTF">2026-04-21T15:05:00Z</dcterms:modified>
</cp:coreProperties>
</file>