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5A9A7FA" w14:textId="356445F9" w:rsidR="5A453747" w:rsidRDefault="00012B16">
      <w:r>
        <w:rPr>
          <w:noProof/>
        </w:rPr>
        <w:drawing>
          <wp:inline distT="0" distB="0" distL="0" distR="0" wp14:anchorId="02F2A5C9" wp14:editId="6F442787">
            <wp:extent cx="2028825" cy="704850"/>
            <wp:effectExtent l="0" t="0" r="0" b="0"/>
            <wp:docPr id="2007465704" name="Picture 200746570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extLst>
                        <a:ext uri="{28A0092B-C50C-407E-A947-70E740481C1C}">
                          <a14:useLocalDpi xmlns:a14="http://schemas.microsoft.com/office/drawing/2010/main" val="0"/>
                        </a:ext>
                      </a:extLst>
                    </a:blip>
                    <a:stretch>
                      <a:fillRect/>
                    </a:stretch>
                  </pic:blipFill>
                  <pic:spPr>
                    <a:xfrm>
                      <a:off x="0" y="0"/>
                      <a:ext cx="2028825" cy="704850"/>
                    </a:xfrm>
                    <a:prstGeom prst="rect">
                      <a:avLst/>
                    </a:prstGeom>
                  </pic:spPr>
                </pic:pic>
              </a:graphicData>
            </a:graphic>
          </wp:inline>
        </w:drawing>
      </w:r>
    </w:p>
    <w:p w14:paraId="6303AB61" w14:textId="77777777" w:rsidR="00563B58" w:rsidRPr="00A47621" w:rsidRDefault="00563B58" w:rsidP="0040668F">
      <w:pPr>
        <w:rPr>
          <w:rFonts w:ascii="Times New Roman" w:hAnsi="Times New Roman" w:cs="Times New Roman"/>
          <w:sz w:val="24"/>
          <w:szCs w:val="24"/>
        </w:rPr>
      </w:pPr>
    </w:p>
    <w:p w14:paraId="1ED29290" w14:textId="77777777" w:rsidR="00F927A1" w:rsidRPr="00F927A1" w:rsidRDefault="00F927A1" w:rsidP="00FF7EBB">
      <w:pPr>
        <w:overflowPunct/>
        <w:autoSpaceDE/>
        <w:autoSpaceDN/>
        <w:adjustRightInd/>
        <w:textAlignment w:val="auto"/>
        <w:rPr>
          <w:rFonts w:ascii="Times New Roman" w:hAnsi="Times New Roman"/>
          <w:b/>
          <w:bCs/>
          <w:color w:val="auto"/>
          <w:sz w:val="48"/>
          <w:szCs w:val="48"/>
        </w:rPr>
      </w:pPr>
      <w:r w:rsidRPr="00F927A1">
        <w:rPr>
          <w:rFonts w:ascii="Times New Roman" w:hAnsi="Times New Roman" w:cs="Times New Roman"/>
          <w:b/>
          <w:color w:val="auto"/>
          <w:sz w:val="48"/>
          <w:szCs w:val="48"/>
        </w:rPr>
        <w:t xml:space="preserve">GRADUATE CERTIFICATE in </w:t>
      </w:r>
      <w:r w:rsidRPr="00F927A1">
        <w:rPr>
          <w:rFonts w:ascii="Times New Roman" w:hAnsi="Times New Roman"/>
          <w:b/>
          <w:bCs/>
          <w:color w:val="auto"/>
          <w:sz w:val="48"/>
          <w:szCs w:val="48"/>
        </w:rPr>
        <w:t>Consolidation of Social Work Practice</w:t>
      </w:r>
    </w:p>
    <w:p w14:paraId="0F4D6E7D" w14:textId="7C8C0132" w:rsidR="0085230E" w:rsidRPr="00DC2924" w:rsidRDefault="0085230E"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LEVEL 6 - 60 Credits</w:t>
      </w:r>
    </w:p>
    <w:p w14:paraId="2216C5B7" w14:textId="5A138451" w:rsidR="00706BB5" w:rsidRPr="0085230E" w:rsidRDefault="00706BB5" w:rsidP="00FF7EBB">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BMPF6044</w:t>
      </w:r>
    </w:p>
    <w:p w14:paraId="28947286" w14:textId="77777777" w:rsidR="00F927A1" w:rsidRDefault="00F927A1" w:rsidP="00FF7EBB">
      <w:pPr>
        <w:overflowPunct/>
        <w:autoSpaceDE/>
        <w:autoSpaceDN/>
        <w:adjustRightInd/>
        <w:ind w:right="-957"/>
        <w:textAlignment w:val="auto"/>
        <w:rPr>
          <w:rFonts w:ascii="Times New Roman" w:hAnsi="Times New Roman" w:cs="Times New Roman"/>
          <w:b/>
          <w:color w:val="auto"/>
          <w:sz w:val="48"/>
        </w:rPr>
      </w:pPr>
    </w:p>
    <w:p w14:paraId="61FA5299" w14:textId="77777777" w:rsidR="00F927A1" w:rsidRPr="00FE5F90" w:rsidRDefault="00F927A1" w:rsidP="00F927A1">
      <w:pPr>
        <w:overflowPunct/>
        <w:autoSpaceDE/>
        <w:autoSpaceDN/>
        <w:adjustRightInd/>
        <w:ind w:right="-957"/>
        <w:textAlignment w:val="auto"/>
        <w:rPr>
          <w:rFonts w:ascii="Times New Roman" w:hAnsi="Times New Roman" w:cs="Times New Roman"/>
          <w:b/>
          <w:color w:val="auto"/>
          <w:sz w:val="18"/>
          <w:szCs w:val="2"/>
        </w:rPr>
      </w:pPr>
    </w:p>
    <w:p w14:paraId="5B3FA234" w14:textId="77777777" w:rsidR="00F927A1" w:rsidRPr="00F927A1" w:rsidRDefault="0085230E" w:rsidP="00F927A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 </w:t>
      </w:r>
      <w:r w:rsidR="00F927A1">
        <w:rPr>
          <w:rFonts w:ascii="Times New Roman" w:hAnsi="Times New Roman" w:cs="Times New Roman"/>
          <w:b/>
          <w:color w:val="auto"/>
          <w:sz w:val="48"/>
        </w:rPr>
        <w:t>PORTFOLIO</w:t>
      </w:r>
    </w:p>
    <w:p w14:paraId="333E90F0" w14:textId="62DD2FD5" w:rsidR="00F927A1" w:rsidRPr="00706BB5" w:rsidRDefault="00F927A1">
      <w:pPr>
        <w:overflowPunct/>
        <w:autoSpaceDE/>
        <w:autoSpaceDN/>
        <w:adjustRightInd/>
        <w:ind w:right="-957"/>
        <w:textAlignment w:val="auto"/>
        <w:rPr>
          <w:rFonts w:ascii="Times New Roman" w:hAnsi="Times New Roman" w:cs="Times New Roman"/>
          <w:b/>
          <w:bCs/>
          <w:color w:val="auto"/>
          <w:sz w:val="48"/>
          <w:szCs w:val="48"/>
        </w:rPr>
      </w:pPr>
      <w:r w:rsidRPr="00F15354">
        <w:rPr>
          <w:rFonts w:ascii="Times New Roman" w:hAnsi="Times New Roman" w:cs="Times New Roman"/>
          <w:b/>
          <w:bCs/>
          <w:color w:val="auto"/>
          <w:sz w:val="48"/>
          <w:szCs w:val="48"/>
        </w:rPr>
        <w:t>(PORTH AGORED and U</w:t>
      </w:r>
      <w:r w:rsidR="6E4F6729" w:rsidRPr="00F15354">
        <w:rPr>
          <w:rFonts w:ascii="Times New Roman" w:hAnsi="Times New Roman" w:cs="Times New Roman"/>
          <w:b/>
          <w:bCs/>
          <w:color w:val="auto"/>
          <w:sz w:val="48"/>
          <w:szCs w:val="48"/>
        </w:rPr>
        <w:t>NIVERSITY OF WALES TRINITY SAINT DAVID</w:t>
      </w:r>
      <w:r w:rsidRPr="00F15354">
        <w:rPr>
          <w:rFonts w:ascii="Times New Roman" w:hAnsi="Times New Roman" w:cs="Times New Roman"/>
          <w:b/>
          <w:bCs/>
          <w:color w:val="auto"/>
          <w:sz w:val="48"/>
          <w:szCs w:val="48"/>
        </w:rPr>
        <w:t>)</w:t>
      </w:r>
    </w:p>
    <w:p w14:paraId="024B1E2F" w14:textId="77777777" w:rsidR="0085230E" w:rsidRPr="00FE5F90" w:rsidRDefault="0085230E" w:rsidP="00F927A1">
      <w:pPr>
        <w:overflowPunct/>
        <w:autoSpaceDE/>
        <w:autoSpaceDN/>
        <w:adjustRightInd/>
        <w:ind w:right="-957"/>
        <w:textAlignment w:val="auto"/>
        <w:rPr>
          <w:rFonts w:ascii="Times New Roman" w:hAnsi="Times New Roman" w:cs="Times New Roman"/>
          <w:b/>
          <w:color w:val="auto"/>
          <w:sz w:val="14"/>
          <w:szCs w:val="2"/>
        </w:rPr>
      </w:pPr>
    </w:p>
    <w:p w14:paraId="16D1A022" w14:textId="77777777" w:rsidR="0085230E" w:rsidRPr="00F927A1" w:rsidRDefault="0085230E" w:rsidP="00F927A1">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F927A1" w:rsidRPr="005D3F07" w14:paraId="68CAA39D" w14:textId="77777777" w:rsidTr="005D3F07">
        <w:tc>
          <w:tcPr>
            <w:tcW w:w="10368" w:type="dxa"/>
            <w:shd w:val="clear" w:color="auto" w:fill="auto"/>
          </w:tcPr>
          <w:p w14:paraId="02F8EE88" w14:textId="0E668DA1" w:rsidR="00986B43" w:rsidRDefault="00986B43"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name:</w:t>
            </w:r>
            <w:r w:rsidR="00247265">
              <w:rPr>
                <w:rFonts w:ascii="Times New Roman" w:hAnsi="Times New Roman" w:cs="Times New Roman"/>
                <w:b/>
                <w:color w:val="auto"/>
                <w:sz w:val="48"/>
              </w:rPr>
              <w:t xml:space="preserve"> </w:t>
            </w:r>
            <w:r w:rsidR="00DB0B7D">
              <w:rPr>
                <w:rFonts w:ascii="Times New Roman" w:hAnsi="Times New Roman" w:cs="Times New Roman"/>
                <w:b/>
                <w:sz w:val="48"/>
              </w:rPr>
              <w:t>Gillian Williams</w:t>
            </w:r>
          </w:p>
          <w:p w14:paraId="0B6CD0DB" w14:textId="689515B5" w:rsidR="009C337F" w:rsidRDefault="009C337F" w:rsidP="005D3F07">
            <w:pPr>
              <w:overflowPunct/>
              <w:autoSpaceDE/>
              <w:autoSpaceDN/>
              <w:adjustRightInd/>
              <w:ind w:right="-957"/>
              <w:textAlignment w:val="auto"/>
              <w:rPr>
                <w:rFonts w:ascii="Times New Roman" w:hAnsi="Times New Roman" w:cs="Times New Roman"/>
                <w:b/>
                <w:color w:val="auto"/>
                <w:sz w:val="48"/>
              </w:rPr>
            </w:pPr>
          </w:p>
          <w:p w14:paraId="3A6EAAC7" w14:textId="6DB4E04E" w:rsidR="009C337F" w:rsidRDefault="009C337F" w:rsidP="005D3F07">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DB0B7D">
              <w:rPr>
                <w:rFonts w:ascii="Times New Roman" w:hAnsi="Times New Roman" w:cs="Times New Roman"/>
                <w:b/>
                <w:sz w:val="48"/>
              </w:rPr>
              <w:t xml:space="preserve"> 2421533@student.uwtsd.ac.uk</w:t>
            </w:r>
          </w:p>
          <w:p w14:paraId="22E38809" w14:textId="77777777" w:rsidR="00986B43" w:rsidRDefault="00986B43" w:rsidP="005D3F07">
            <w:pPr>
              <w:overflowPunct/>
              <w:autoSpaceDE/>
              <w:autoSpaceDN/>
              <w:adjustRightInd/>
              <w:ind w:right="-957"/>
              <w:textAlignment w:val="auto"/>
              <w:rPr>
                <w:rFonts w:ascii="Times New Roman" w:hAnsi="Times New Roman" w:cs="Times New Roman"/>
                <w:b/>
                <w:color w:val="auto"/>
                <w:sz w:val="48"/>
              </w:rPr>
            </w:pPr>
          </w:p>
          <w:p w14:paraId="0DE696B2" w14:textId="00624A85" w:rsidR="00F927A1" w:rsidRPr="005D3F07" w:rsidRDefault="0085230E" w:rsidP="005D3F07">
            <w:pPr>
              <w:overflowPunct/>
              <w:autoSpaceDE/>
              <w:autoSpaceDN/>
              <w:adjustRightInd/>
              <w:ind w:right="-957"/>
              <w:textAlignment w:val="auto"/>
              <w:rPr>
                <w:rFonts w:ascii="Times New Roman" w:hAnsi="Times New Roman" w:cs="Times New Roman"/>
                <w:b/>
                <w:color w:val="auto"/>
                <w:sz w:val="48"/>
              </w:rPr>
            </w:pPr>
            <w:r w:rsidRPr="005D3F07">
              <w:rPr>
                <w:rFonts w:ascii="Times New Roman" w:hAnsi="Times New Roman" w:cs="Times New Roman"/>
                <w:b/>
                <w:color w:val="auto"/>
                <w:sz w:val="48"/>
              </w:rPr>
              <w:t>Learner’s University Registration</w:t>
            </w:r>
            <w:r w:rsidR="00F927A1" w:rsidRPr="005D3F07">
              <w:rPr>
                <w:rFonts w:ascii="Times New Roman" w:hAnsi="Times New Roman" w:cs="Times New Roman"/>
                <w:b/>
                <w:color w:val="auto"/>
                <w:sz w:val="48"/>
              </w:rPr>
              <w:t xml:space="preserve"> Number:</w:t>
            </w:r>
            <w:r w:rsidR="00DB0B7D">
              <w:rPr>
                <w:rFonts w:ascii="Times New Roman" w:hAnsi="Times New Roman" w:cs="Times New Roman"/>
                <w:b/>
                <w:sz w:val="48"/>
              </w:rPr>
              <w:t xml:space="preserve"> 2421533</w:t>
            </w:r>
          </w:p>
          <w:p w14:paraId="622FD17A" w14:textId="77777777" w:rsidR="0085230E" w:rsidRPr="005D3F07" w:rsidRDefault="0085230E" w:rsidP="005D3F07">
            <w:pPr>
              <w:overflowPunct/>
              <w:autoSpaceDE/>
              <w:autoSpaceDN/>
              <w:adjustRightInd/>
              <w:ind w:right="-957"/>
              <w:textAlignment w:val="auto"/>
              <w:rPr>
                <w:rFonts w:ascii="Times New Roman" w:hAnsi="Times New Roman" w:cs="Times New Roman"/>
                <w:b/>
                <w:color w:val="auto"/>
                <w:sz w:val="48"/>
              </w:rPr>
            </w:pPr>
          </w:p>
          <w:p w14:paraId="5F84129B" w14:textId="048C9EAF" w:rsidR="0085230E" w:rsidRPr="005D3F07" w:rsidRDefault="00706BB5" w:rsidP="005D3F07">
            <w:pPr>
              <w:overflowPunct/>
              <w:autoSpaceDE/>
              <w:autoSpaceDN/>
              <w:adjustRightInd/>
              <w:ind w:right="-957"/>
              <w:textAlignment w:val="auto"/>
              <w:rPr>
                <w:rFonts w:ascii="Times New Roman" w:hAnsi="Times New Roman" w:cs="Times New Roman"/>
                <w:b/>
                <w:color w:val="auto"/>
                <w:sz w:val="48"/>
              </w:rPr>
            </w:pPr>
            <w:r w:rsidRPr="00DC2924">
              <w:rPr>
                <w:rFonts w:ascii="Times New Roman" w:hAnsi="Times New Roman" w:cs="Times New Roman"/>
                <w:b/>
                <w:color w:val="auto"/>
                <w:sz w:val="48"/>
              </w:rPr>
              <w:t xml:space="preserve">Cohort: </w:t>
            </w:r>
            <w:r w:rsidR="00B037B0">
              <w:rPr>
                <w:rFonts w:ascii="Times New Roman" w:hAnsi="Times New Roman" w:cs="Times New Roman"/>
                <w:b/>
                <w:color w:val="auto"/>
                <w:sz w:val="48"/>
              </w:rPr>
              <w:t>21</w:t>
            </w:r>
            <w:r w:rsidR="00AE6231">
              <w:rPr>
                <w:rFonts w:ascii="Times New Roman" w:hAnsi="Times New Roman" w:cs="Times New Roman"/>
                <w:b/>
                <w:color w:val="auto"/>
                <w:sz w:val="48"/>
              </w:rPr>
              <w:t xml:space="preserve"> onwards</w:t>
            </w:r>
          </w:p>
        </w:tc>
      </w:tr>
    </w:tbl>
    <w:p w14:paraId="40F3C009" w14:textId="77777777" w:rsidR="00F927A1" w:rsidRPr="00F927A1" w:rsidRDefault="008420E1" w:rsidP="00986B43">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621AF8BA" w14:textId="77777777" w:rsidR="00F927A1" w:rsidRPr="00F927A1" w:rsidRDefault="00F927A1" w:rsidP="00F927A1">
      <w:pPr>
        <w:overflowPunct/>
        <w:autoSpaceDE/>
        <w:autoSpaceDN/>
        <w:adjustRightInd/>
        <w:textAlignment w:val="auto"/>
        <w:rPr>
          <w:rFonts w:ascii="Times New Roman" w:hAnsi="Times New Roman" w:cs="Times New Roman"/>
          <w:color w:val="auto"/>
          <w:sz w:val="24"/>
        </w:rPr>
      </w:pPr>
    </w:p>
    <w:p w14:paraId="3FC4E125" w14:textId="77777777" w:rsidR="00F927A1" w:rsidRPr="00F927A1" w:rsidRDefault="00F927A1" w:rsidP="00F927A1">
      <w:pPr>
        <w:overflowPunct/>
        <w:autoSpaceDE/>
        <w:autoSpaceDN/>
        <w:adjustRightInd/>
        <w:ind w:right="-957"/>
        <w:textAlignment w:val="auto"/>
        <w:rPr>
          <w:rFonts w:ascii="Times New Roman" w:hAnsi="Times New Roman" w:cs="Times New Roman"/>
          <w:b/>
          <w:color w:val="auto"/>
          <w:sz w:val="48"/>
        </w:rPr>
      </w:pPr>
    </w:p>
    <w:p w14:paraId="025CB5FE" w14:textId="1EB157DC" w:rsidR="00E559CE" w:rsidRDefault="00E83F91" w:rsidP="005B3A2D">
      <w:pPr>
        <w:jc w:val="center"/>
        <w:rPr>
          <w:b/>
          <w:sz w:val="24"/>
          <w:szCs w:val="24"/>
        </w:rPr>
      </w:pPr>
      <w:r>
        <w:rPr>
          <w:b/>
          <w:sz w:val="24"/>
          <w:szCs w:val="24"/>
        </w:rPr>
        <w:br w:type="page"/>
      </w:r>
    </w:p>
    <w:p w14:paraId="70797153" w14:textId="77777777" w:rsidR="007F312E" w:rsidRDefault="007F312E" w:rsidP="005F64AA">
      <w:pPr>
        <w:jc w:val="center"/>
        <w:rPr>
          <w:b/>
          <w:sz w:val="28"/>
          <w:szCs w:val="28"/>
        </w:rPr>
      </w:pPr>
    </w:p>
    <w:p w14:paraId="1D68DA91" w14:textId="77777777" w:rsidR="00D3203C" w:rsidRDefault="00D3203C" w:rsidP="00EE5BC3">
      <w:pPr>
        <w:jc w:val="center"/>
        <w:rPr>
          <w:b/>
          <w:sz w:val="24"/>
          <w:szCs w:val="24"/>
        </w:rPr>
      </w:pPr>
    </w:p>
    <w:p w14:paraId="5A670606" w14:textId="63DC81B5" w:rsidR="00F546D1" w:rsidRPr="00EE5BC3" w:rsidRDefault="007374EF" w:rsidP="00EE5BC3">
      <w:pPr>
        <w:jc w:val="center"/>
        <w:rPr>
          <w:sz w:val="28"/>
          <w:szCs w:val="28"/>
        </w:rPr>
      </w:pPr>
      <w:r w:rsidRPr="00EE5BC3">
        <w:rPr>
          <w:b/>
          <w:sz w:val="28"/>
          <w:szCs w:val="28"/>
        </w:rPr>
        <w:t>Task 3</w:t>
      </w:r>
    </w:p>
    <w:p w14:paraId="3D5F0C24" w14:textId="77777777" w:rsidR="00F546D1" w:rsidRPr="00EE5BC3" w:rsidRDefault="00F546D1" w:rsidP="00EE5BC3">
      <w:pPr>
        <w:jc w:val="center"/>
        <w:rPr>
          <w:b/>
          <w:sz w:val="28"/>
          <w:szCs w:val="28"/>
        </w:rPr>
      </w:pPr>
    </w:p>
    <w:p w14:paraId="02619381" w14:textId="77777777" w:rsidR="00A12F22" w:rsidRPr="00EE5BC3" w:rsidRDefault="00E559CE" w:rsidP="00EE5BC3">
      <w:pPr>
        <w:jc w:val="center"/>
        <w:rPr>
          <w:b/>
          <w:color w:val="auto"/>
          <w:sz w:val="28"/>
          <w:szCs w:val="28"/>
        </w:rPr>
      </w:pPr>
      <w:r w:rsidRPr="00EE5BC3">
        <w:rPr>
          <w:b/>
          <w:color w:val="auto"/>
          <w:sz w:val="28"/>
          <w:szCs w:val="28"/>
        </w:rPr>
        <w:t>Safeguarding and working in complex situations</w:t>
      </w:r>
      <w:r w:rsidR="00002C7A" w:rsidRPr="00EE5BC3">
        <w:rPr>
          <w:b/>
          <w:color w:val="auto"/>
          <w:sz w:val="28"/>
          <w:szCs w:val="28"/>
        </w:rPr>
        <w:t xml:space="preserve"> – Case Study</w:t>
      </w:r>
    </w:p>
    <w:p w14:paraId="746467D8" w14:textId="77777777" w:rsidR="007C5ABE" w:rsidRDefault="007C5ABE" w:rsidP="0093018C">
      <w:pPr>
        <w:rPr>
          <w:b/>
          <w:color w:val="auto"/>
          <w:sz w:val="24"/>
          <w:szCs w:val="24"/>
        </w:rPr>
      </w:pPr>
    </w:p>
    <w:p w14:paraId="4AF0BB36" w14:textId="77777777" w:rsidR="00D0503D" w:rsidRDefault="00D0503D" w:rsidP="0093018C">
      <w:pPr>
        <w:rPr>
          <w:b/>
          <w:color w:val="auto"/>
          <w:sz w:val="24"/>
          <w:szCs w:val="24"/>
        </w:rPr>
      </w:pPr>
      <w:r>
        <w:rPr>
          <w:b/>
          <w:color w:val="auto"/>
          <w:sz w:val="24"/>
          <w:szCs w:val="24"/>
        </w:rPr>
        <w:t>Guidance</w:t>
      </w:r>
      <w:r w:rsidR="00084DA6">
        <w:rPr>
          <w:b/>
          <w:color w:val="auto"/>
          <w:sz w:val="24"/>
          <w:szCs w:val="24"/>
        </w:rPr>
        <w:t>;</w:t>
      </w:r>
    </w:p>
    <w:p w14:paraId="104AED32" w14:textId="11F293C2" w:rsidR="007C5ABE" w:rsidRPr="00706BB5" w:rsidRDefault="00084DA6">
      <w:pPr>
        <w:jc w:val="both"/>
        <w:rPr>
          <w:i/>
          <w:iCs/>
          <w:sz w:val="24"/>
          <w:szCs w:val="24"/>
        </w:rPr>
      </w:pPr>
      <w:r w:rsidRPr="00F15354">
        <w:rPr>
          <w:i/>
          <w:iCs/>
          <w:sz w:val="24"/>
          <w:szCs w:val="24"/>
        </w:rPr>
        <w:t xml:space="preserve">Please ensure that you </w:t>
      </w:r>
      <w:r w:rsidR="00F45521" w:rsidRPr="00F15354">
        <w:rPr>
          <w:i/>
          <w:iCs/>
          <w:sz w:val="24"/>
          <w:szCs w:val="24"/>
        </w:rPr>
        <w:t>meet</w:t>
      </w:r>
      <w:r w:rsidRPr="006179BB">
        <w:rPr>
          <w:i/>
          <w:iCs/>
          <w:sz w:val="24"/>
          <w:szCs w:val="24"/>
        </w:rPr>
        <w:t xml:space="preserve"> the </w:t>
      </w:r>
      <w:r w:rsidR="00AA7960" w:rsidRPr="006179BB">
        <w:rPr>
          <w:i/>
          <w:iCs/>
          <w:sz w:val="24"/>
          <w:szCs w:val="24"/>
        </w:rPr>
        <w:t xml:space="preserve">National Occupational Standards and assigned </w:t>
      </w:r>
      <w:r w:rsidRPr="00A5656A">
        <w:rPr>
          <w:i/>
          <w:iCs/>
          <w:sz w:val="24"/>
          <w:szCs w:val="24"/>
        </w:rPr>
        <w:t>Learning Outcomes for this task</w:t>
      </w:r>
      <w:r w:rsidR="00AA7960" w:rsidRPr="00A5656A">
        <w:rPr>
          <w:i/>
          <w:iCs/>
          <w:sz w:val="24"/>
          <w:szCs w:val="24"/>
        </w:rPr>
        <w:t xml:space="preserve"> (s</w:t>
      </w:r>
      <w:r w:rsidRPr="00A5656A">
        <w:rPr>
          <w:i/>
          <w:iCs/>
          <w:sz w:val="24"/>
          <w:szCs w:val="24"/>
        </w:rPr>
        <w:t xml:space="preserve">ee </w:t>
      </w:r>
      <w:r w:rsidR="6D1B720D" w:rsidRPr="00A5656A">
        <w:rPr>
          <w:i/>
          <w:iCs/>
          <w:sz w:val="24"/>
          <w:szCs w:val="24"/>
        </w:rPr>
        <w:t>handbook</w:t>
      </w:r>
      <w:r w:rsidR="00AA7960" w:rsidRPr="00A5656A">
        <w:rPr>
          <w:i/>
          <w:iCs/>
          <w:sz w:val="24"/>
          <w:szCs w:val="24"/>
        </w:rPr>
        <w:t>)</w:t>
      </w:r>
      <w:r w:rsidR="007374EF" w:rsidRPr="00A5656A">
        <w:rPr>
          <w:i/>
          <w:iCs/>
          <w:sz w:val="24"/>
          <w:szCs w:val="24"/>
        </w:rPr>
        <w:t>.</w:t>
      </w:r>
      <w:r w:rsidR="00540EEC" w:rsidRPr="009C7342">
        <w:rPr>
          <w:i/>
          <w:iCs/>
          <w:sz w:val="24"/>
          <w:szCs w:val="24"/>
        </w:rPr>
        <w:t xml:space="preserve"> </w:t>
      </w:r>
    </w:p>
    <w:p w14:paraId="257A6431" w14:textId="77777777" w:rsidR="008B28E7" w:rsidRDefault="008B28E7" w:rsidP="00FF7EBB">
      <w:pPr>
        <w:jc w:val="both"/>
        <w:rPr>
          <w:b/>
          <w:color w:val="auto"/>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31"/>
      </w:tblGrid>
      <w:tr w:rsidR="008B28E7" w:rsidRPr="008B28E7" w14:paraId="2E129DEE" w14:textId="77777777" w:rsidTr="7B2CF1A9">
        <w:tc>
          <w:tcPr>
            <w:tcW w:w="10031" w:type="dxa"/>
            <w:shd w:val="clear" w:color="auto" w:fill="auto"/>
          </w:tcPr>
          <w:p w14:paraId="63627B26" w14:textId="64A7A177" w:rsidR="006872A0" w:rsidRPr="006872A0" w:rsidRDefault="006872A0" w:rsidP="00064063">
            <w:pPr>
              <w:jc w:val="both"/>
              <w:rPr>
                <w:b/>
                <w:sz w:val="24"/>
                <w:szCs w:val="24"/>
              </w:rPr>
            </w:pPr>
            <w:r w:rsidRPr="006872A0">
              <w:rPr>
                <w:b/>
                <w:sz w:val="24"/>
                <w:szCs w:val="24"/>
              </w:rPr>
              <w:t>Question</w:t>
            </w:r>
            <w:r w:rsidR="007A628F">
              <w:rPr>
                <w:b/>
                <w:sz w:val="24"/>
                <w:szCs w:val="24"/>
              </w:rPr>
              <w:t>:</w:t>
            </w:r>
          </w:p>
          <w:p w14:paraId="541B485B" w14:textId="4CB44B06" w:rsidR="00C77FA5" w:rsidRPr="00706BB5" w:rsidRDefault="000A584A">
            <w:pPr>
              <w:jc w:val="both"/>
              <w:rPr>
                <w:sz w:val="24"/>
                <w:szCs w:val="24"/>
              </w:rPr>
            </w:pPr>
            <w:r w:rsidRPr="008B28E7">
              <w:rPr>
                <w:sz w:val="24"/>
                <w:szCs w:val="24"/>
              </w:rPr>
              <w:t xml:space="preserve">Complete a critically reflective case study </w:t>
            </w:r>
            <w:r w:rsidR="00D0503D" w:rsidRPr="008B28E7">
              <w:rPr>
                <w:sz w:val="24"/>
                <w:szCs w:val="24"/>
              </w:rPr>
              <w:t>based</w:t>
            </w:r>
            <w:r w:rsidRPr="008B28E7">
              <w:rPr>
                <w:sz w:val="24"/>
                <w:szCs w:val="24"/>
              </w:rPr>
              <w:t xml:space="preserve"> on</w:t>
            </w:r>
            <w:r w:rsidR="00696A88">
              <w:rPr>
                <w:sz w:val="24"/>
                <w:szCs w:val="24"/>
              </w:rPr>
              <w:t xml:space="preserve"> </w:t>
            </w:r>
            <w:r w:rsidR="00411EF7" w:rsidRPr="008B28E7">
              <w:rPr>
                <w:sz w:val="24"/>
                <w:szCs w:val="24"/>
              </w:rPr>
              <w:t xml:space="preserve">an </w:t>
            </w:r>
            <w:r w:rsidR="00411EF7" w:rsidRPr="00EE5BC3">
              <w:rPr>
                <w:sz w:val="24"/>
                <w:szCs w:val="24"/>
              </w:rPr>
              <w:t>assessment</w:t>
            </w:r>
            <w:r w:rsidR="007F312E">
              <w:rPr>
                <w:sz w:val="24"/>
                <w:szCs w:val="24"/>
              </w:rPr>
              <w:t xml:space="preserve"> </w:t>
            </w:r>
            <w:r w:rsidR="007C5ABE" w:rsidRPr="00EE5BC3">
              <w:rPr>
                <w:sz w:val="24"/>
                <w:szCs w:val="24"/>
              </w:rPr>
              <w:t>that</w:t>
            </w:r>
            <w:r w:rsidR="007C5ABE">
              <w:rPr>
                <w:sz w:val="24"/>
                <w:szCs w:val="24"/>
              </w:rPr>
              <w:t xml:space="preserve"> you have </w:t>
            </w:r>
            <w:r>
              <w:rPr>
                <w:sz w:val="24"/>
                <w:szCs w:val="24"/>
              </w:rPr>
              <w:t>u</w:t>
            </w:r>
            <w:r w:rsidRPr="008B28E7">
              <w:rPr>
                <w:sz w:val="24"/>
                <w:szCs w:val="24"/>
              </w:rPr>
              <w:t>ndertake</w:t>
            </w:r>
            <w:r>
              <w:rPr>
                <w:sz w:val="24"/>
                <w:szCs w:val="24"/>
              </w:rPr>
              <w:t>n</w:t>
            </w:r>
            <w:r w:rsidRPr="008B28E7">
              <w:rPr>
                <w:sz w:val="24"/>
                <w:szCs w:val="24"/>
              </w:rPr>
              <w:t xml:space="preserve"> with </w:t>
            </w:r>
            <w:r w:rsidR="00D0503D" w:rsidRPr="008B28E7">
              <w:rPr>
                <w:sz w:val="24"/>
                <w:szCs w:val="24"/>
              </w:rPr>
              <w:t>others</w:t>
            </w:r>
            <w:r w:rsidR="00D0503D">
              <w:rPr>
                <w:sz w:val="24"/>
                <w:szCs w:val="24"/>
              </w:rPr>
              <w:t>,</w:t>
            </w:r>
            <w:r w:rsidR="00D0503D" w:rsidRPr="00F15354">
              <w:rPr>
                <w:b/>
                <w:bCs/>
                <w:sz w:val="24"/>
                <w:szCs w:val="24"/>
              </w:rPr>
              <w:t xml:space="preserve"> </w:t>
            </w:r>
            <w:r w:rsidR="00D0503D" w:rsidRPr="00064063">
              <w:rPr>
                <w:sz w:val="24"/>
                <w:szCs w:val="24"/>
              </w:rPr>
              <w:t>in</w:t>
            </w:r>
            <w:r w:rsidR="0002440E" w:rsidRPr="00064063">
              <w:rPr>
                <w:sz w:val="24"/>
                <w:szCs w:val="24"/>
              </w:rPr>
              <w:t xml:space="preserve"> your own area of work</w:t>
            </w:r>
            <w:r w:rsidR="00D0503D" w:rsidRPr="00D0503D">
              <w:rPr>
                <w:sz w:val="24"/>
                <w:szCs w:val="24"/>
              </w:rPr>
              <w:t xml:space="preserve">, </w:t>
            </w:r>
            <w:r w:rsidR="00587923">
              <w:rPr>
                <w:sz w:val="24"/>
                <w:szCs w:val="24"/>
              </w:rPr>
              <w:t>c</w:t>
            </w:r>
            <w:r w:rsidR="008B28E7" w:rsidRPr="008B28E7">
              <w:rPr>
                <w:sz w:val="24"/>
                <w:szCs w:val="24"/>
              </w:rPr>
              <w:t>oncerning the safeguarding of either an adult or a child</w:t>
            </w:r>
            <w:r>
              <w:rPr>
                <w:sz w:val="24"/>
                <w:szCs w:val="24"/>
              </w:rPr>
              <w:t xml:space="preserve">. </w:t>
            </w:r>
            <w:r w:rsidR="00216563">
              <w:rPr>
                <w:sz w:val="24"/>
                <w:szCs w:val="24"/>
              </w:rPr>
              <w:t xml:space="preserve">You must demonstrate how </w:t>
            </w:r>
            <w:r w:rsidR="00F34C86">
              <w:rPr>
                <w:sz w:val="24"/>
                <w:szCs w:val="24"/>
              </w:rPr>
              <w:t xml:space="preserve">the case relates to or could relate to safeguarding </w:t>
            </w:r>
            <w:r w:rsidR="00216563">
              <w:rPr>
                <w:sz w:val="24"/>
                <w:szCs w:val="24"/>
              </w:rPr>
              <w:t>legislation, policies</w:t>
            </w:r>
            <w:r w:rsidR="00F34C86">
              <w:rPr>
                <w:sz w:val="24"/>
                <w:szCs w:val="24"/>
              </w:rPr>
              <w:t>, strategies and procedures</w:t>
            </w:r>
            <w:r w:rsidR="7AAB400D">
              <w:rPr>
                <w:sz w:val="24"/>
                <w:szCs w:val="24"/>
              </w:rPr>
              <w:t xml:space="preserve"> </w:t>
            </w:r>
            <w:r w:rsidR="623F2A43">
              <w:rPr>
                <w:sz w:val="24"/>
                <w:szCs w:val="24"/>
              </w:rPr>
              <w:t>(</w:t>
            </w:r>
            <w:r w:rsidR="7AAB400D">
              <w:rPr>
                <w:sz w:val="24"/>
                <w:szCs w:val="24"/>
              </w:rPr>
              <w:t>i</w:t>
            </w:r>
            <w:r w:rsidR="623F2A43" w:rsidRPr="00706BB5">
              <w:rPr>
                <w:sz w:val="24"/>
                <w:szCs w:val="24"/>
              </w:rPr>
              <w:t xml:space="preserve">ncluding </w:t>
            </w:r>
            <w:r w:rsidR="322513AD" w:rsidRPr="00706BB5">
              <w:rPr>
                <w:sz w:val="24"/>
                <w:szCs w:val="24"/>
              </w:rPr>
              <w:t>d</w:t>
            </w:r>
            <w:r w:rsidR="7E97696C" w:rsidRPr="00706BB5">
              <w:rPr>
                <w:sz w:val="24"/>
                <w:szCs w:val="24"/>
              </w:rPr>
              <w:t xml:space="preserve">emonstrating an understanding of </w:t>
            </w:r>
            <w:r w:rsidR="623F2A43" w:rsidRPr="00706BB5">
              <w:rPr>
                <w:sz w:val="24"/>
                <w:szCs w:val="24"/>
              </w:rPr>
              <w:t>the</w:t>
            </w:r>
            <w:r w:rsidR="350F702B">
              <w:rPr>
                <w:sz w:val="24"/>
                <w:szCs w:val="24"/>
              </w:rPr>
              <w:t xml:space="preserve"> </w:t>
            </w:r>
            <w:r w:rsidR="3B2446CA" w:rsidRPr="00706BB5">
              <w:rPr>
                <w:rFonts w:eastAsia="Arial"/>
                <w:color w:val="000000" w:themeColor="text1"/>
                <w:sz w:val="24"/>
                <w:szCs w:val="24"/>
              </w:rPr>
              <w:t xml:space="preserve">interface </w:t>
            </w:r>
            <w:r w:rsidR="534A9052" w:rsidRPr="00706BB5">
              <w:rPr>
                <w:rFonts w:eastAsia="Arial"/>
                <w:color w:val="000000" w:themeColor="text1"/>
                <w:sz w:val="24"/>
                <w:szCs w:val="24"/>
              </w:rPr>
              <w:t>between social services provision in Wales with the United Kingdom, the European Union</w:t>
            </w:r>
            <w:r w:rsidR="007A628F">
              <w:rPr>
                <w:rFonts w:eastAsia="Arial"/>
                <w:color w:val="000000" w:themeColor="text1"/>
                <w:sz w:val="24"/>
                <w:szCs w:val="24"/>
              </w:rPr>
              <w:t xml:space="preserve"> (EU)</w:t>
            </w:r>
            <w:r w:rsidR="534A9052" w:rsidRPr="00706BB5">
              <w:rPr>
                <w:rFonts w:eastAsia="Arial"/>
                <w:color w:val="000000" w:themeColor="text1"/>
                <w:sz w:val="24"/>
                <w:szCs w:val="24"/>
              </w:rPr>
              <w:t xml:space="preserve"> and outside the EU</w:t>
            </w:r>
            <w:r w:rsidR="623F2A43" w:rsidRPr="00706BB5">
              <w:rPr>
                <w:rFonts w:eastAsia="Arial"/>
                <w:color w:val="000000" w:themeColor="text1"/>
                <w:sz w:val="24"/>
                <w:szCs w:val="24"/>
              </w:rPr>
              <w:t>)</w:t>
            </w:r>
            <w:r w:rsidR="00411EF7">
              <w:rPr>
                <w:sz w:val="24"/>
                <w:szCs w:val="24"/>
              </w:rPr>
              <w:t>.</w:t>
            </w:r>
            <w:r w:rsidR="00354B6D">
              <w:rPr>
                <w:sz w:val="24"/>
                <w:szCs w:val="24"/>
              </w:rPr>
              <w:t xml:space="preserve"> </w:t>
            </w:r>
            <w:r w:rsidR="102A3950">
              <w:rPr>
                <w:sz w:val="24"/>
                <w:szCs w:val="24"/>
              </w:rPr>
              <w:t>You</w:t>
            </w:r>
            <w:r w:rsidR="00354B6D">
              <w:rPr>
                <w:sz w:val="24"/>
                <w:szCs w:val="24"/>
              </w:rPr>
              <w:t xml:space="preserve"> must</w:t>
            </w:r>
            <w:r w:rsidR="00411EF7">
              <w:rPr>
                <w:sz w:val="24"/>
                <w:szCs w:val="24"/>
              </w:rPr>
              <w:t xml:space="preserve"> </w:t>
            </w:r>
            <w:r w:rsidR="00354B6D">
              <w:rPr>
                <w:sz w:val="24"/>
                <w:szCs w:val="24"/>
              </w:rPr>
              <w:t>demonstrate your understanding of</w:t>
            </w:r>
            <w:r w:rsidR="00F34C86">
              <w:rPr>
                <w:sz w:val="24"/>
                <w:szCs w:val="24"/>
              </w:rPr>
              <w:t xml:space="preserve"> </w:t>
            </w:r>
            <w:r w:rsidR="00411EF7">
              <w:rPr>
                <w:sz w:val="24"/>
                <w:szCs w:val="24"/>
              </w:rPr>
              <w:t xml:space="preserve">the </w:t>
            </w:r>
            <w:r w:rsidR="00216563">
              <w:rPr>
                <w:sz w:val="24"/>
                <w:szCs w:val="24"/>
              </w:rPr>
              <w:t xml:space="preserve">integration of </w:t>
            </w:r>
            <w:r w:rsidR="6A854C79">
              <w:rPr>
                <w:sz w:val="24"/>
                <w:szCs w:val="24"/>
              </w:rPr>
              <w:t>analysis in asses</w:t>
            </w:r>
            <w:r w:rsidR="0F77E214">
              <w:rPr>
                <w:sz w:val="24"/>
                <w:szCs w:val="24"/>
              </w:rPr>
              <w:t>sment, collabo</w:t>
            </w:r>
            <w:r w:rsidR="6A854C79">
              <w:rPr>
                <w:sz w:val="24"/>
                <w:szCs w:val="24"/>
              </w:rPr>
              <w:t>rative work</w:t>
            </w:r>
            <w:r w:rsidR="0F77E214">
              <w:rPr>
                <w:sz w:val="24"/>
                <w:szCs w:val="24"/>
              </w:rPr>
              <w:t>ing</w:t>
            </w:r>
            <w:r w:rsidR="6A854C79">
              <w:rPr>
                <w:sz w:val="24"/>
                <w:szCs w:val="24"/>
              </w:rPr>
              <w:t xml:space="preserve"> a</w:t>
            </w:r>
            <w:r w:rsidR="0F77E214">
              <w:rPr>
                <w:sz w:val="24"/>
                <w:szCs w:val="24"/>
              </w:rPr>
              <w:t xml:space="preserve">nd </w:t>
            </w:r>
            <w:r w:rsidR="6A854C79">
              <w:rPr>
                <w:sz w:val="24"/>
                <w:szCs w:val="24"/>
              </w:rPr>
              <w:t>professional</w:t>
            </w:r>
            <w:r w:rsidR="00F34C86">
              <w:rPr>
                <w:sz w:val="24"/>
                <w:szCs w:val="24"/>
              </w:rPr>
              <w:t xml:space="preserve"> </w:t>
            </w:r>
            <w:r w:rsidR="00216563">
              <w:rPr>
                <w:sz w:val="24"/>
                <w:szCs w:val="24"/>
              </w:rPr>
              <w:t>judgements</w:t>
            </w:r>
            <w:r w:rsidR="0F77E214">
              <w:rPr>
                <w:sz w:val="24"/>
                <w:szCs w:val="24"/>
              </w:rPr>
              <w:t xml:space="preserve"> in increasingly complex situations </w:t>
            </w:r>
            <w:r w:rsidR="00E5498A" w:rsidRPr="007374EF">
              <w:rPr>
                <w:sz w:val="24"/>
                <w:szCs w:val="24"/>
              </w:rPr>
              <w:t>and</w:t>
            </w:r>
            <w:r w:rsidR="1D6670C0" w:rsidRPr="007374EF">
              <w:rPr>
                <w:sz w:val="24"/>
                <w:szCs w:val="24"/>
              </w:rPr>
              <w:t xml:space="preserve"> </w:t>
            </w:r>
            <w:r w:rsidR="39C47EB7" w:rsidRPr="007374EF">
              <w:rPr>
                <w:sz w:val="24"/>
                <w:szCs w:val="24"/>
              </w:rPr>
              <w:t>the</w:t>
            </w:r>
            <w:r w:rsidR="25F327FB" w:rsidRPr="007374EF">
              <w:rPr>
                <w:sz w:val="24"/>
                <w:szCs w:val="24"/>
              </w:rPr>
              <w:t xml:space="preserve"> </w:t>
            </w:r>
            <w:r w:rsidR="00F34C86">
              <w:rPr>
                <w:sz w:val="24"/>
                <w:szCs w:val="24"/>
              </w:rPr>
              <w:t>use of social work theories</w:t>
            </w:r>
            <w:r w:rsidR="756EEE2D">
              <w:rPr>
                <w:sz w:val="24"/>
                <w:szCs w:val="24"/>
              </w:rPr>
              <w:t>.</w:t>
            </w:r>
            <w:r w:rsidR="00216563">
              <w:rPr>
                <w:sz w:val="24"/>
                <w:szCs w:val="24"/>
              </w:rPr>
              <w:t xml:space="preserve"> </w:t>
            </w:r>
            <w:r w:rsidR="756EEE2D">
              <w:rPr>
                <w:sz w:val="24"/>
                <w:szCs w:val="24"/>
              </w:rPr>
              <w:t>You</w:t>
            </w:r>
            <w:r w:rsidR="00216563">
              <w:rPr>
                <w:sz w:val="24"/>
                <w:szCs w:val="24"/>
              </w:rPr>
              <w:t xml:space="preserve"> </w:t>
            </w:r>
            <w:r w:rsidR="00E5498A" w:rsidRPr="00FC0334">
              <w:rPr>
                <w:sz w:val="24"/>
                <w:szCs w:val="24"/>
              </w:rPr>
              <w:t>must</w:t>
            </w:r>
            <w:r w:rsidR="00E5498A">
              <w:rPr>
                <w:sz w:val="24"/>
                <w:szCs w:val="24"/>
              </w:rPr>
              <w:t xml:space="preserve"> </w:t>
            </w:r>
            <w:r w:rsidR="00F030D4">
              <w:rPr>
                <w:sz w:val="24"/>
                <w:szCs w:val="24"/>
              </w:rPr>
              <w:t>refer to</w:t>
            </w:r>
            <w:r w:rsidR="00216563">
              <w:rPr>
                <w:sz w:val="24"/>
                <w:szCs w:val="24"/>
              </w:rPr>
              <w:t xml:space="preserve"> </w:t>
            </w:r>
            <w:r w:rsidR="00F34C86">
              <w:rPr>
                <w:sz w:val="24"/>
                <w:szCs w:val="24"/>
              </w:rPr>
              <w:t>the specific dimensions of working in Wales</w:t>
            </w:r>
            <w:r w:rsidR="00411EF7">
              <w:rPr>
                <w:sz w:val="24"/>
                <w:szCs w:val="24"/>
              </w:rPr>
              <w:t xml:space="preserve">. </w:t>
            </w:r>
          </w:p>
          <w:p w14:paraId="2F8A7CA5" w14:textId="6EDC9DFB" w:rsidR="008D5999" w:rsidRDefault="008D5999" w:rsidP="00064063">
            <w:pPr>
              <w:jc w:val="both"/>
              <w:rPr>
                <w:sz w:val="24"/>
                <w:szCs w:val="24"/>
              </w:rPr>
            </w:pPr>
          </w:p>
          <w:p w14:paraId="20A5906F" w14:textId="77777777" w:rsidR="008D5999" w:rsidRDefault="008D5999" w:rsidP="00064063">
            <w:pPr>
              <w:jc w:val="both"/>
              <w:rPr>
                <w:sz w:val="24"/>
                <w:szCs w:val="24"/>
              </w:rPr>
            </w:pPr>
          </w:p>
          <w:p w14:paraId="51AF4546" w14:textId="476CB9AF" w:rsidR="00D3203C" w:rsidRDefault="00045C40" w:rsidP="00FF7EBB">
            <w:pPr>
              <w:jc w:val="both"/>
              <w:rPr>
                <w:i/>
                <w:sz w:val="24"/>
                <w:szCs w:val="24"/>
              </w:rPr>
            </w:pPr>
            <w:r>
              <w:rPr>
                <w:i/>
                <w:sz w:val="24"/>
                <w:szCs w:val="24"/>
              </w:rPr>
              <w:t xml:space="preserve">4000 </w:t>
            </w:r>
            <w:r w:rsidR="008B28E7" w:rsidRPr="008B28E7">
              <w:rPr>
                <w:i/>
                <w:sz w:val="24"/>
                <w:szCs w:val="24"/>
              </w:rPr>
              <w:t>words</w:t>
            </w:r>
            <w:r w:rsidR="008B28E7" w:rsidRPr="008B28E7">
              <w:rPr>
                <w:sz w:val="24"/>
                <w:szCs w:val="24"/>
              </w:rPr>
              <w:t xml:space="preserve"> </w:t>
            </w:r>
            <w:r w:rsidR="008B28E7" w:rsidRPr="008B28E7">
              <w:rPr>
                <w:i/>
                <w:sz w:val="24"/>
                <w:szCs w:val="24"/>
              </w:rPr>
              <w:t>(+/- 10%: include your actual word count at the end of each section)</w:t>
            </w:r>
            <w:r w:rsidR="007A628F">
              <w:rPr>
                <w:i/>
                <w:sz w:val="24"/>
                <w:szCs w:val="24"/>
              </w:rPr>
              <w:t>.</w:t>
            </w:r>
          </w:p>
          <w:p w14:paraId="701D8D4D" w14:textId="38C2B218" w:rsidR="00D3203C" w:rsidRDefault="00D3203C" w:rsidP="00FF7EBB">
            <w:pPr>
              <w:jc w:val="both"/>
              <w:rPr>
                <w:i/>
                <w:sz w:val="24"/>
                <w:szCs w:val="24"/>
              </w:rPr>
            </w:pPr>
          </w:p>
          <w:p w14:paraId="20370495" w14:textId="79B79501" w:rsidR="00D3203C" w:rsidRPr="002A7FB2" w:rsidRDefault="00D3203C" w:rsidP="002A7FB2">
            <w:pPr>
              <w:spacing w:line="360" w:lineRule="auto"/>
              <w:jc w:val="both"/>
              <w:rPr>
                <w:i/>
                <w:sz w:val="24"/>
                <w:szCs w:val="24"/>
              </w:rPr>
            </w:pPr>
          </w:p>
          <w:p w14:paraId="09FA5A35" w14:textId="77777777" w:rsidR="00D13539" w:rsidRPr="00CC21C9" w:rsidRDefault="00D13539" w:rsidP="00D13539">
            <w:pPr>
              <w:pStyle w:val="NormalWeb"/>
              <w:spacing w:line="360" w:lineRule="auto"/>
              <w:rPr>
                <w:rFonts w:ascii="Arial" w:hAnsi="Arial" w:cs="Arial"/>
              </w:rPr>
            </w:pPr>
            <w:r w:rsidRPr="00CC21C9">
              <w:rPr>
                <w:rFonts w:ascii="Arial" w:hAnsi="Arial" w:cs="Arial"/>
              </w:rPr>
              <w:t>This essay presents a critically reflective case study based on an assessment I undertook as a children’s social worker within the Assessment and Intervention Team of a Welsh L</w:t>
            </w:r>
            <w:r>
              <w:rPr>
                <w:rFonts w:ascii="Arial" w:hAnsi="Arial" w:cs="Arial"/>
              </w:rPr>
              <w:t>ocal A</w:t>
            </w:r>
            <w:r w:rsidRPr="00CC21C9">
              <w:rPr>
                <w:rFonts w:ascii="Arial" w:hAnsi="Arial" w:cs="Arial"/>
              </w:rPr>
              <w:t xml:space="preserve">uthority. The case concerned two children following disclosures of physical chastisement within their family. The reflection is structured around Kolb’s experiential learning cycle, which emphasises the integration of experience, reflection, conceptualisation, and active experimentation in professional learning (Kolb, 1984). Using this framework, I </w:t>
            </w:r>
            <w:r>
              <w:rPr>
                <w:rFonts w:ascii="Arial" w:hAnsi="Arial" w:cs="Arial"/>
              </w:rPr>
              <w:t xml:space="preserve">will </w:t>
            </w:r>
            <w:r w:rsidRPr="00CC21C9">
              <w:rPr>
                <w:rFonts w:ascii="Arial" w:hAnsi="Arial" w:cs="Arial"/>
              </w:rPr>
              <w:t xml:space="preserve">critically evaluate my professional judgements, collaborative working, and the application of theory within the Welsh safeguarding context. </w:t>
            </w:r>
          </w:p>
          <w:p w14:paraId="6463541B" w14:textId="77777777" w:rsidR="00D13539" w:rsidRPr="00CC21C9" w:rsidRDefault="00D13539" w:rsidP="00D13539">
            <w:pPr>
              <w:pStyle w:val="NormalWeb"/>
              <w:spacing w:line="360" w:lineRule="auto"/>
              <w:rPr>
                <w:rFonts w:ascii="Arial" w:hAnsi="Arial" w:cs="Arial"/>
              </w:rPr>
            </w:pPr>
            <w:r w:rsidRPr="00CC21C9">
              <w:rPr>
                <w:rFonts w:ascii="Arial" w:hAnsi="Arial" w:cs="Arial"/>
              </w:rPr>
              <w:t>Safeguarding practice in Wales operates within a distinctive legal and policy</w:t>
            </w:r>
            <w:r>
              <w:rPr>
                <w:rFonts w:ascii="Arial" w:hAnsi="Arial" w:cs="Arial"/>
              </w:rPr>
              <w:t xml:space="preserve"> framework</w:t>
            </w:r>
            <w:r w:rsidRPr="00CC21C9">
              <w:rPr>
                <w:rFonts w:ascii="Arial" w:hAnsi="Arial" w:cs="Arial"/>
              </w:rPr>
              <w:t xml:space="preserve">. The Social Services and Well-being (Wales) Act 2014 (Welsh Government, 2014) provides the overarching framework for social care, embedding duties of cooperation and integration across agencies. Part 7 of the Act sets out specific responsibilities for safeguarding children at risk of harm. This is complemented by the Children (Abolition of Defence of Reasonable </w:t>
            </w:r>
            <w:r w:rsidRPr="00CC21C9">
              <w:rPr>
                <w:rFonts w:ascii="Arial" w:hAnsi="Arial" w:cs="Arial"/>
              </w:rPr>
              <w:lastRenderedPageBreak/>
              <w:t xml:space="preserve">Punishment) (Wales) Act 2020 (Welsh Government, 2020), which removed the legal defence of reasonable punishment and positioned Wales as the first UK nation to prohibit all forms of physical chastisement. These laws reflect Wales' commitment to children's rights, particularly those set out in the United Nations Convention on the Rights of the Child (United Nations, 1989). </w:t>
            </w:r>
          </w:p>
          <w:p w14:paraId="519E7A22" w14:textId="77777777" w:rsidR="00D13539" w:rsidRPr="00CC21C9" w:rsidRDefault="00D13539" w:rsidP="00D13539">
            <w:pPr>
              <w:pStyle w:val="NormalWeb"/>
              <w:spacing w:line="360" w:lineRule="auto"/>
              <w:rPr>
                <w:rFonts w:ascii="Arial" w:hAnsi="Arial" w:cs="Arial"/>
              </w:rPr>
            </w:pPr>
            <w:r w:rsidRPr="00CC21C9">
              <w:rPr>
                <w:rFonts w:ascii="Arial" w:hAnsi="Arial" w:cs="Arial"/>
              </w:rPr>
              <w:t>Welsh</w:t>
            </w:r>
            <w:r>
              <w:rPr>
                <w:rFonts w:ascii="Arial" w:hAnsi="Arial" w:cs="Arial"/>
              </w:rPr>
              <w:t xml:space="preserve"> legislation</w:t>
            </w:r>
            <w:r w:rsidRPr="00CC21C9">
              <w:rPr>
                <w:rFonts w:ascii="Arial" w:hAnsi="Arial" w:cs="Arial"/>
              </w:rPr>
              <w:t xml:space="preserve"> framework</w:t>
            </w:r>
            <w:r>
              <w:rPr>
                <w:rFonts w:ascii="Arial" w:hAnsi="Arial" w:cs="Arial"/>
              </w:rPr>
              <w:t>s</w:t>
            </w:r>
            <w:r w:rsidRPr="00CC21C9">
              <w:rPr>
                <w:rFonts w:ascii="Arial" w:hAnsi="Arial" w:cs="Arial"/>
              </w:rPr>
              <w:t xml:space="preserve"> interacts with wider UK and European structures. Information sharing is governed by the </w:t>
            </w:r>
            <w:r w:rsidRPr="00CC21C9">
              <w:rPr>
                <w:rStyle w:val="Strong"/>
                <w:rFonts w:ascii="Arial" w:hAnsi="Arial" w:cs="Arial"/>
              </w:rPr>
              <w:t>Data Protection Act 2018</w:t>
            </w:r>
            <w:r w:rsidRPr="00CC21C9">
              <w:rPr>
                <w:rFonts w:ascii="Arial" w:hAnsi="Arial" w:cs="Arial"/>
                <w:b/>
              </w:rPr>
              <w:t xml:space="preserve"> </w:t>
            </w:r>
            <w:r w:rsidRPr="00CC21C9">
              <w:rPr>
                <w:rFonts w:ascii="Arial" w:hAnsi="Arial" w:cs="Arial"/>
              </w:rPr>
              <w:t xml:space="preserve">and </w:t>
            </w:r>
            <w:r w:rsidRPr="00CC21C9">
              <w:rPr>
                <w:rStyle w:val="Strong"/>
                <w:rFonts w:ascii="Arial" w:hAnsi="Arial" w:cs="Arial"/>
              </w:rPr>
              <w:t>GDPR</w:t>
            </w:r>
            <w:r>
              <w:rPr>
                <w:rStyle w:val="Strong"/>
                <w:rFonts w:ascii="Arial" w:hAnsi="Arial" w:cs="Arial"/>
              </w:rPr>
              <w:t xml:space="preserve"> </w:t>
            </w:r>
            <w:r w:rsidRPr="00CC21C9">
              <w:rPr>
                <w:rFonts w:ascii="Arial" w:hAnsi="Arial" w:cs="Arial"/>
              </w:rPr>
              <w:t>(European Union, 2016)</w:t>
            </w:r>
            <w:r w:rsidRPr="00CC21C9">
              <w:rPr>
                <w:rFonts w:ascii="Arial" w:hAnsi="Arial" w:cs="Arial"/>
                <w:b/>
              </w:rPr>
              <w:t>,</w:t>
            </w:r>
            <w:r w:rsidRPr="00CC21C9">
              <w:rPr>
                <w:rFonts w:ascii="Arial" w:hAnsi="Arial" w:cs="Arial"/>
              </w:rPr>
              <w:t xml:space="preserve"> while guidance such as </w:t>
            </w:r>
            <w:r w:rsidRPr="00CC21C9">
              <w:rPr>
                <w:rStyle w:val="Strong"/>
                <w:rFonts w:ascii="Arial" w:hAnsi="Arial" w:cs="Arial"/>
              </w:rPr>
              <w:t>Working Together to Safeguard Children (HM Government, 2018)</w:t>
            </w:r>
            <w:r w:rsidRPr="00CC21C9">
              <w:rPr>
                <w:rFonts w:ascii="Arial" w:hAnsi="Arial" w:cs="Arial"/>
              </w:rPr>
              <w:t xml:space="preserve"> continues to influence practice in England. Practitioners in Wales, particularly in border areas, must navigate devolved and UK-wide responsibilities while aligning with international obligations.</w:t>
            </w:r>
          </w:p>
          <w:p w14:paraId="47C03A86"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I have maintained confidentiality in this essay in line with the </w:t>
            </w:r>
            <w:r w:rsidRPr="003E18C6">
              <w:rPr>
                <w:rStyle w:val="Strong"/>
                <w:rFonts w:ascii="Arial" w:hAnsi="Arial" w:cs="Arial"/>
              </w:rPr>
              <w:t>Code of Professional Practice for Social Care (Social Care Wales, 2017)</w:t>
            </w:r>
            <w:r w:rsidRPr="00CC21C9">
              <w:rPr>
                <w:rFonts w:ascii="Arial" w:hAnsi="Arial" w:cs="Arial"/>
              </w:rPr>
              <w:t xml:space="preserve"> and data protection law. The case is anonymised: the children are referred to as Child (1), male aged five, and Child (2), female aged eight; their parents are Mother (3) and Father (4).</w:t>
            </w:r>
          </w:p>
          <w:p w14:paraId="34920E28"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Having outlined the legislative framework that underpins safeguarding practice in Wales, it is important to consider how these duties are </w:t>
            </w:r>
            <w:r>
              <w:rPr>
                <w:rFonts w:ascii="Arial" w:hAnsi="Arial" w:cs="Arial"/>
              </w:rPr>
              <w:t xml:space="preserve">put </w:t>
            </w:r>
            <w:r w:rsidRPr="00CC21C9">
              <w:rPr>
                <w:rFonts w:ascii="Arial" w:hAnsi="Arial" w:cs="Arial"/>
              </w:rPr>
              <w:t xml:space="preserve">into action within the specific case. The following section sets out the background to the referral and the initial response undertaken by both myself and partner agencies, demonstrating how statutory obligations shaped the assessment process and informed the decisions made at each stage. </w:t>
            </w:r>
          </w:p>
          <w:p w14:paraId="6235E873"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referral began when Child (1) disclosed to his school that his father had struck him with a belt. Under </w:t>
            </w:r>
            <w:r w:rsidRPr="003E18C6">
              <w:rPr>
                <w:rStyle w:val="Strong"/>
                <w:rFonts w:ascii="Arial" w:hAnsi="Arial" w:cs="Arial"/>
              </w:rPr>
              <w:t>Section 28 of the SSWBA (2014)</w:t>
            </w:r>
            <w:r>
              <w:rPr>
                <w:rFonts w:ascii="Arial" w:hAnsi="Arial" w:cs="Arial"/>
              </w:rPr>
              <w:t>, Schools, Health, Police, and Local A</w:t>
            </w:r>
            <w:r w:rsidRPr="00CC21C9">
              <w:rPr>
                <w:rFonts w:ascii="Arial" w:hAnsi="Arial" w:cs="Arial"/>
              </w:rPr>
              <w:t xml:space="preserve">uthorities have a statutory duty to share information necessary to safeguard a child's well-being. This created an immediate need for a </w:t>
            </w:r>
            <w:r w:rsidRPr="003E18C6">
              <w:rPr>
                <w:rStyle w:val="Strong"/>
                <w:rFonts w:ascii="Arial" w:hAnsi="Arial" w:cs="Arial"/>
              </w:rPr>
              <w:t>multi-agency response</w:t>
            </w:r>
            <w:r w:rsidRPr="00CC21C9">
              <w:rPr>
                <w:rFonts w:ascii="Arial" w:hAnsi="Arial" w:cs="Arial"/>
              </w:rPr>
              <w:t>.</w:t>
            </w:r>
          </w:p>
          <w:p w14:paraId="49236E66" w14:textId="77777777" w:rsidR="00D13539" w:rsidRPr="00CC21C9" w:rsidRDefault="00D13539" w:rsidP="00D13539">
            <w:pPr>
              <w:pStyle w:val="NormalWeb"/>
              <w:spacing w:line="360" w:lineRule="auto"/>
              <w:rPr>
                <w:rFonts w:ascii="Arial" w:hAnsi="Arial" w:cs="Arial"/>
                <w:b/>
              </w:rPr>
            </w:pPr>
            <w:r>
              <w:rPr>
                <w:rFonts w:ascii="Arial" w:hAnsi="Arial" w:cs="Arial"/>
              </w:rPr>
              <w:t xml:space="preserve">In </w:t>
            </w:r>
            <w:r w:rsidRPr="00CC21C9">
              <w:rPr>
                <w:rFonts w:ascii="Arial" w:hAnsi="Arial" w:cs="Arial"/>
              </w:rPr>
              <w:t xml:space="preserve">England, safeguarding is primarily guided by the </w:t>
            </w:r>
            <w:r w:rsidRPr="003E18C6">
              <w:rPr>
                <w:rStyle w:val="Strong"/>
                <w:rFonts w:ascii="Arial" w:hAnsi="Arial" w:cs="Arial"/>
              </w:rPr>
              <w:t>Children Acts 1989 and 2004</w:t>
            </w:r>
            <w:r w:rsidRPr="00CC21C9">
              <w:rPr>
                <w:rFonts w:ascii="Arial" w:hAnsi="Arial" w:cs="Arial"/>
              </w:rPr>
              <w:t xml:space="preserve"> and </w:t>
            </w:r>
            <w:r w:rsidRPr="00CC21C9">
              <w:rPr>
                <w:rStyle w:val="Emphasis"/>
                <w:rFonts w:ascii="Arial" w:hAnsi="Arial" w:cs="Arial"/>
              </w:rPr>
              <w:t>Working Together to Safeguard Children</w:t>
            </w:r>
            <w:r w:rsidRPr="00CC21C9">
              <w:rPr>
                <w:rFonts w:ascii="Arial" w:hAnsi="Arial" w:cs="Arial"/>
              </w:rPr>
              <w:t xml:space="preserve"> (HM Government, 2018), the SSWBA</w:t>
            </w:r>
            <w:r>
              <w:rPr>
                <w:rFonts w:ascii="Arial" w:hAnsi="Arial" w:cs="Arial"/>
              </w:rPr>
              <w:t xml:space="preserve"> 2014</w:t>
            </w:r>
            <w:r w:rsidRPr="00CC21C9">
              <w:rPr>
                <w:rFonts w:ascii="Arial" w:hAnsi="Arial" w:cs="Arial"/>
              </w:rPr>
              <w:t xml:space="preserve"> consolidates responsibilities for children and adults in one</w:t>
            </w:r>
            <w:r>
              <w:rPr>
                <w:rFonts w:ascii="Arial" w:hAnsi="Arial" w:cs="Arial"/>
              </w:rPr>
              <w:t xml:space="preserve"> part</w:t>
            </w:r>
            <w:r w:rsidRPr="00CC21C9">
              <w:rPr>
                <w:rFonts w:ascii="Arial" w:hAnsi="Arial" w:cs="Arial"/>
              </w:rPr>
              <w:t xml:space="preserve">. Part 7 requires timely strategy discussions and coordinated interventions. In this case, </w:t>
            </w:r>
            <w:r>
              <w:rPr>
                <w:rFonts w:ascii="Arial" w:hAnsi="Arial" w:cs="Arial"/>
              </w:rPr>
              <w:t xml:space="preserve">this </w:t>
            </w:r>
            <w:r w:rsidRPr="00CC21C9">
              <w:rPr>
                <w:rFonts w:ascii="Arial" w:hAnsi="Arial" w:cs="Arial"/>
              </w:rPr>
              <w:t xml:space="preserve">led to a strategy </w:t>
            </w:r>
            <w:r w:rsidRPr="00CC21C9">
              <w:rPr>
                <w:rFonts w:ascii="Arial" w:hAnsi="Arial" w:cs="Arial"/>
              </w:rPr>
              <w:lastRenderedPageBreak/>
              <w:t xml:space="preserve">discussion with the Police within 24 hours of the referral being received, in accordance with the </w:t>
            </w:r>
            <w:r w:rsidRPr="003E18C6">
              <w:rPr>
                <w:rStyle w:val="Strong"/>
                <w:rFonts w:ascii="Arial" w:hAnsi="Arial" w:cs="Arial"/>
              </w:rPr>
              <w:t>Wales Safeguarding Procedures (2020)</w:t>
            </w:r>
            <w:r w:rsidRPr="003E18C6">
              <w:rPr>
                <w:rFonts w:ascii="Arial" w:hAnsi="Arial" w:cs="Arial"/>
                <w:b/>
              </w:rPr>
              <w:t>.</w:t>
            </w:r>
          </w:p>
          <w:p w14:paraId="6F4F2B19"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Children (Abolition of Defence of Reasonable Punishment) (Wales) Act 2020 (Welsh Government, 2020) was also central. This Act removed the defence of “reasonable punishment,” making all physical chastisement unlawful in Wales. Child (1)’s disclosure of being “flogged” with a belt therefore met the legal definition of abuse, regardless of the family’s cultural background. This reflects Wales’ commitment to </w:t>
            </w:r>
            <w:r w:rsidRPr="003E18C6">
              <w:rPr>
                <w:rStyle w:val="Strong"/>
                <w:rFonts w:ascii="Arial" w:hAnsi="Arial" w:cs="Arial"/>
              </w:rPr>
              <w:t>UNCRC Article 19</w:t>
            </w:r>
            <w:r w:rsidRPr="00CC21C9">
              <w:rPr>
                <w:rFonts w:ascii="Arial" w:hAnsi="Arial" w:cs="Arial"/>
              </w:rPr>
              <w:t>, which protects children from “all forms of physical or mental violence.”</w:t>
            </w:r>
          </w:p>
          <w:p w14:paraId="4B355B70"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More Than Just Words strategy (Welsh Government, 2022) also illustrates the uniquely Welsh safeguarding environment. While primarily designed to protect Welsh language rights, its principle of the “active offer” of communication in a person’s language of choice was </w:t>
            </w:r>
            <w:r>
              <w:rPr>
                <w:rFonts w:ascii="Arial" w:hAnsi="Arial" w:cs="Arial"/>
              </w:rPr>
              <w:t xml:space="preserve">used </w:t>
            </w:r>
            <w:r w:rsidRPr="00CC21C9">
              <w:rPr>
                <w:rFonts w:ascii="Arial" w:hAnsi="Arial" w:cs="Arial"/>
              </w:rPr>
              <w:t xml:space="preserve">in this case to provide the parents with interpretation in their first language. </w:t>
            </w:r>
            <w:r>
              <w:rPr>
                <w:rFonts w:ascii="Arial" w:hAnsi="Arial" w:cs="Arial"/>
              </w:rPr>
              <w:t>Demonstrating</w:t>
            </w:r>
            <w:r w:rsidRPr="00CC21C9">
              <w:rPr>
                <w:rFonts w:ascii="Arial" w:hAnsi="Arial" w:cs="Arial"/>
              </w:rPr>
              <w:t xml:space="preserve"> how Welsh policy promotes equitable, accessible, and culturally sensitive services. </w:t>
            </w:r>
          </w:p>
          <w:p w14:paraId="5901AD2E" w14:textId="77777777" w:rsidR="00D13539" w:rsidRPr="00CC21C9" w:rsidRDefault="00D13539" w:rsidP="00D13539">
            <w:pPr>
              <w:pStyle w:val="NormalWeb"/>
              <w:spacing w:line="360" w:lineRule="auto"/>
              <w:rPr>
                <w:rFonts w:ascii="Arial" w:hAnsi="Arial" w:cs="Arial"/>
              </w:rPr>
            </w:pPr>
            <w:r w:rsidRPr="00CC21C9">
              <w:rPr>
                <w:rFonts w:ascii="Arial" w:hAnsi="Arial" w:cs="Arial"/>
              </w:rPr>
              <w:t>Cross-border issues added</w:t>
            </w:r>
            <w:r>
              <w:rPr>
                <w:rFonts w:ascii="Arial" w:hAnsi="Arial" w:cs="Arial"/>
              </w:rPr>
              <w:t xml:space="preserve"> further</w:t>
            </w:r>
            <w:r w:rsidRPr="00CC21C9">
              <w:rPr>
                <w:rFonts w:ascii="Arial" w:hAnsi="Arial" w:cs="Arial"/>
              </w:rPr>
              <w:t xml:space="preserve"> complexity. The family had recently moved from England, living near the Wales–England border. Had the disclosure occurred in England, the response would have been framed by </w:t>
            </w:r>
            <w:r w:rsidRPr="003E18C6">
              <w:rPr>
                <w:rStyle w:val="Emphasis"/>
                <w:rFonts w:ascii="Arial" w:hAnsi="Arial" w:cs="Arial"/>
              </w:rPr>
              <w:t>Working Together</w:t>
            </w:r>
            <w:r w:rsidRPr="00CC21C9">
              <w:rPr>
                <w:rFonts w:ascii="Arial" w:hAnsi="Arial" w:cs="Arial"/>
              </w:rPr>
              <w:t xml:space="preserve"> rather than the SSWBA. </w:t>
            </w:r>
            <w:r>
              <w:rPr>
                <w:rFonts w:ascii="Arial" w:hAnsi="Arial" w:cs="Arial"/>
              </w:rPr>
              <w:t xml:space="preserve">As I am a </w:t>
            </w:r>
            <w:r w:rsidRPr="00CC21C9">
              <w:rPr>
                <w:rFonts w:ascii="Arial" w:hAnsi="Arial" w:cs="Arial"/>
              </w:rPr>
              <w:t>Welsh pra</w:t>
            </w:r>
            <w:r>
              <w:rPr>
                <w:rFonts w:ascii="Arial" w:hAnsi="Arial" w:cs="Arial"/>
              </w:rPr>
              <w:t>ctitioner working within a border region, I</w:t>
            </w:r>
            <w:r w:rsidRPr="00CC21C9">
              <w:rPr>
                <w:rFonts w:ascii="Arial" w:hAnsi="Arial" w:cs="Arial"/>
              </w:rPr>
              <w:t xml:space="preserve"> must therefore be </w:t>
            </w:r>
            <w:r>
              <w:rPr>
                <w:rFonts w:ascii="Arial" w:hAnsi="Arial" w:cs="Arial"/>
              </w:rPr>
              <w:t xml:space="preserve">mindful </w:t>
            </w:r>
            <w:r w:rsidRPr="00CC21C9">
              <w:rPr>
                <w:rFonts w:ascii="Arial" w:hAnsi="Arial" w:cs="Arial"/>
              </w:rPr>
              <w:t>to differences in thresholds, duties, and procedures across the UK.</w:t>
            </w:r>
          </w:p>
          <w:p w14:paraId="305DA138" w14:textId="77777777" w:rsidR="00D13539" w:rsidRPr="00701394" w:rsidRDefault="00D13539" w:rsidP="00D13539">
            <w:pPr>
              <w:pStyle w:val="NormalWeb"/>
              <w:spacing w:line="360" w:lineRule="auto"/>
              <w:rPr>
                <w:rFonts w:ascii="Arial" w:hAnsi="Arial" w:cs="Arial"/>
              </w:rPr>
            </w:pPr>
            <w:r w:rsidRPr="00701394">
              <w:rPr>
                <w:rFonts w:ascii="Arial" w:hAnsi="Arial" w:cs="Arial"/>
              </w:rPr>
              <w:t xml:space="preserve">Information sharing was also shaped by the </w:t>
            </w:r>
            <w:r w:rsidRPr="00701394">
              <w:rPr>
                <w:rStyle w:val="Strong"/>
                <w:rFonts w:ascii="Arial" w:hAnsi="Arial" w:cs="Arial"/>
              </w:rPr>
              <w:t>Data Protection Act 2018</w:t>
            </w:r>
            <w:r w:rsidRPr="00701394">
              <w:rPr>
                <w:rFonts w:ascii="Arial" w:hAnsi="Arial" w:cs="Arial"/>
              </w:rPr>
              <w:t xml:space="preserve"> and </w:t>
            </w:r>
            <w:r w:rsidRPr="00701394">
              <w:rPr>
                <w:rStyle w:val="Strong"/>
                <w:rFonts w:ascii="Arial" w:hAnsi="Arial" w:cs="Arial"/>
              </w:rPr>
              <w:t>GDPR</w:t>
            </w:r>
            <w:r w:rsidRPr="00701394">
              <w:rPr>
                <w:rFonts w:ascii="Arial" w:hAnsi="Arial" w:cs="Arial"/>
              </w:rPr>
              <w:t>, which provide a lawful basis for sharing concerns. Safeguarding a child at risk outweighs confidentiality restrictions.</w:t>
            </w:r>
          </w:p>
          <w:p w14:paraId="12FE9D37" w14:textId="77777777" w:rsidR="00D13539" w:rsidRPr="00CC21C9" w:rsidRDefault="00D13539" w:rsidP="00D13539">
            <w:pPr>
              <w:pStyle w:val="NormalWeb"/>
              <w:spacing w:line="360" w:lineRule="auto"/>
              <w:rPr>
                <w:rFonts w:ascii="Arial" w:hAnsi="Arial" w:cs="Arial"/>
              </w:rPr>
            </w:pPr>
            <w:r w:rsidRPr="00CC21C9">
              <w:rPr>
                <w:rFonts w:ascii="Arial" w:hAnsi="Arial" w:cs="Arial"/>
              </w:rPr>
              <w:t>Following Child (1)’s disclosure, a strategy discussion was held within twenty-four hours between my team manager and the Police. This complied with the Wales Safeguarding Procedures (Welsh Government, 2020), which require timely responses to safeguarding concerns. The statutory basis lies in Part 7 of the Social Services and Well-being (Wales) Act 2014 (Welsh Government, 2014), which frames safeguarding as a shared duty across agencies.</w:t>
            </w:r>
          </w:p>
          <w:p w14:paraId="4CE1FF7A" w14:textId="77777777" w:rsidR="00D13539" w:rsidRPr="00CC21C9" w:rsidRDefault="00D13539" w:rsidP="00D13539">
            <w:pPr>
              <w:pStyle w:val="NormalWeb"/>
              <w:spacing w:line="360" w:lineRule="auto"/>
              <w:rPr>
                <w:rFonts w:ascii="Arial" w:hAnsi="Arial" w:cs="Arial"/>
              </w:rPr>
            </w:pPr>
            <w:r w:rsidRPr="00CC21C9">
              <w:rPr>
                <w:rFonts w:ascii="Arial" w:hAnsi="Arial" w:cs="Arial"/>
              </w:rPr>
              <w:lastRenderedPageBreak/>
              <w:t>The o</w:t>
            </w:r>
            <w:r>
              <w:rPr>
                <w:rFonts w:ascii="Arial" w:hAnsi="Arial" w:cs="Arial"/>
              </w:rPr>
              <w:t xml:space="preserve">utcome of the strategy discussion, was to initiate a joint </w:t>
            </w:r>
            <w:r w:rsidRPr="00CC21C9">
              <w:rPr>
                <w:rFonts w:ascii="Arial" w:hAnsi="Arial" w:cs="Arial"/>
              </w:rPr>
              <w:t xml:space="preserve">Sec47 (CA89) enquiry under the Children Act </w:t>
            </w:r>
            <w:r>
              <w:rPr>
                <w:rFonts w:ascii="Arial" w:hAnsi="Arial" w:cs="Arial"/>
              </w:rPr>
              <w:t>(</w:t>
            </w:r>
            <w:r w:rsidRPr="00CC21C9">
              <w:rPr>
                <w:rFonts w:ascii="Arial" w:hAnsi="Arial" w:cs="Arial"/>
              </w:rPr>
              <w:t>1989</w:t>
            </w:r>
            <w:r>
              <w:rPr>
                <w:rFonts w:ascii="Arial" w:hAnsi="Arial" w:cs="Arial"/>
              </w:rPr>
              <w:t>)</w:t>
            </w:r>
            <w:r w:rsidRPr="00CC21C9">
              <w:rPr>
                <w:rFonts w:ascii="Arial" w:hAnsi="Arial" w:cs="Arial"/>
              </w:rPr>
              <w:t xml:space="preserve">, SSWBA </w:t>
            </w:r>
            <w:r>
              <w:rPr>
                <w:rFonts w:ascii="Arial" w:hAnsi="Arial" w:cs="Arial"/>
              </w:rPr>
              <w:t>(2014) and the L</w:t>
            </w:r>
            <w:r w:rsidRPr="00CC21C9">
              <w:rPr>
                <w:rFonts w:ascii="Arial" w:hAnsi="Arial" w:cs="Arial"/>
              </w:rPr>
              <w:t>ocal</w:t>
            </w:r>
            <w:r>
              <w:rPr>
                <w:rFonts w:ascii="Arial" w:hAnsi="Arial" w:cs="Arial"/>
              </w:rPr>
              <w:t xml:space="preserve"> A</w:t>
            </w:r>
            <w:r w:rsidRPr="00CC21C9">
              <w:rPr>
                <w:rFonts w:ascii="Arial" w:hAnsi="Arial" w:cs="Arial"/>
              </w:rPr>
              <w:t xml:space="preserve">uthority’s threshold document. This dual reference </w:t>
            </w:r>
            <w:r>
              <w:rPr>
                <w:rFonts w:ascii="Arial" w:hAnsi="Arial" w:cs="Arial"/>
              </w:rPr>
              <w:t xml:space="preserve">demonstrates </w:t>
            </w:r>
            <w:r w:rsidRPr="00CC21C9">
              <w:rPr>
                <w:rFonts w:ascii="Arial" w:hAnsi="Arial" w:cs="Arial"/>
              </w:rPr>
              <w:t xml:space="preserve">how Welsh practitioners must navigate both devolved and UK-wide frameworks. </w:t>
            </w:r>
          </w:p>
          <w:p w14:paraId="1512C384" w14:textId="77777777" w:rsidR="00D13539" w:rsidRPr="00CC21C9" w:rsidRDefault="00D13539" w:rsidP="00D13539">
            <w:pPr>
              <w:pStyle w:val="NormalWeb"/>
              <w:spacing w:line="360" w:lineRule="auto"/>
              <w:rPr>
                <w:rFonts w:ascii="Arial" w:hAnsi="Arial" w:cs="Arial"/>
              </w:rPr>
            </w:pPr>
            <w:r w:rsidRPr="00CC21C9">
              <w:rPr>
                <w:rFonts w:ascii="Arial" w:hAnsi="Arial" w:cs="Arial"/>
              </w:rPr>
              <w:t>While the Police focused on gathering evidence for possible prosecution, my role centred on assessing welfare and risk. Bronfenbrenner's ecological systems theory (1979) helps explain this stage: children's immediate experiences in the family (microsystem) are shaped by wider structures such as education, law, and cultural norms (exosystem and macrosystem). Recognising this interplay supported a more holistic decision-making process.</w:t>
            </w:r>
          </w:p>
          <w:p w14:paraId="0BE34A6A" w14:textId="77777777" w:rsidR="00D13539" w:rsidRPr="00CC21C9" w:rsidRDefault="00D13539" w:rsidP="00D13539">
            <w:pPr>
              <w:pStyle w:val="NormalWeb"/>
              <w:spacing w:line="360" w:lineRule="auto"/>
              <w:rPr>
                <w:rFonts w:ascii="Arial" w:hAnsi="Arial" w:cs="Arial"/>
              </w:rPr>
            </w:pPr>
            <w:r>
              <w:rPr>
                <w:rFonts w:ascii="Arial" w:hAnsi="Arial" w:cs="Arial"/>
              </w:rPr>
              <w:t xml:space="preserve">I applied </w:t>
            </w:r>
            <w:r w:rsidRPr="00CC21C9">
              <w:rPr>
                <w:rFonts w:ascii="Arial" w:hAnsi="Arial" w:cs="Arial"/>
              </w:rPr>
              <w:t>Kolb's (1984) reflective cycle</w:t>
            </w:r>
            <w:r>
              <w:rPr>
                <w:rFonts w:ascii="Arial" w:hAnsi="Arial" w:cs="Arial"/>
              </w:rPr>
              <w:t xml:space="preserve"> here</w:t>
            </w:r>
            <w:r w:rsidRPr="00CC21C9">
              <w:rPr>
                <w:rFonts w:ascii="Arial" w:hAnsi="Arial" w:cs="Arial"/>
              </w:rPr>
              <w:t>. The concrete experience of the referral was followed by reflective observation on the role of legislation and procedure. Through abstract conceptualisation, I linked theory to practice, and through active experimentation, I refined how I approached later multi-agency work.</w:t>
            </w:r>
          </w:p>
          <w:p w14:paraId="29AA8579" w14:textId="77777777" w:rsidR="00D13539" w:rsidRPr="00CC21C9" w:rsidRDefault="00D13539" w:rsidP="00D13539">
            <w:pPr>
              <w:pStyle w:val="NormalWeb"/>
              <w:spacing w:line="360" w:lineRule="auto"/>
              <w:rPr>
                <w:rFonts w:ascii="Arial" w:hAnsi="Arial" w:cs="Arial"/>
              </w:rPr>
            </w:pPr>
            <w:r>
              <w:rPr>
                <w:rFonts w:ascii="Arial" w:hAnsi="Arial" w:cs="Arial"/>
              </w:rPr>
              <w:t>A Joint visit</w:t>
            </w:r>
            <w:r w:rsidRPr="00CC21C9">
              <w:rPr>
                <w:rFonts w:ascii="Arial" w:hAnsi="Arial" w:cs="Arial"/>
              </w:rPr>
              <w:t xml:space="preserve"> with the Poli</w:t>
            </w:r>
            <w:r>
              <w:rPr>
                <w:rFonts w:ascii="Arial" w:hAnsi="Arial" w:cs="Arial"/>
              </w:rPr>
              <w:t>ce to the children's school was made</w:t>
            </w:r>
            <w:r w:rsidRPr="00CC21C9">
              <w:rPr>
                <w:rFonts w:ascii="Arial" w:hAnsi="Arial" w:cs="Arial"/>
              </w:rPr>
              <w:t xml:space="preserve"> in line with Achieving Best Evidence (Home Office, 2011). Although parental </w:t>
            </w:r>
            <w:r>
              <w:rPr>
                <w:rFonts w:ascii="Arial" w:hAnsi="Arial" w:cs="Arial"/>
              </w:rPr>
              <w:t xml:space="preserve">consent was not required under </w:t>
            </w:r>
            <w:r w:rsidRPr="00CC21C9">
              <w:rPr>
                <w:rFonts w:ascii="Arial" w:hAnsi="Arial" w:cs="Arial"/>
              </w:rPr>
              <w:t xml:space="preserve">Sec47 </w:t>
            </w:r>
            <w:r>
              <w:rPr>
                <w:rFonts w:ascii="Arial" w:hAnsi="Arial" w:cs="Arial"/>
              </w:rPr>
              <w:t>(CA89).</w:t>
            </w:r>
            <w:r w:rsidRPr="00CC21C9">
              <w:rPr>
                <w:rFonts w:ascii="Arial" w:hAnsi="Arial" w:cs="Arial"/>
              </w:rPr>
              <w:t xml:space="preserve">I sought it to reflect the Welsh ethos of transparency and co-production within the SSWBA 2014 (Welsh Government, 2014). This gave me my first interaction with the family; they confirmed they had moved to the area two months prior, following a brief period in a large English city, having originally migrated from Africa. </w:t>
            </w:r>
          </w:p>
          <w:p w14:paraId="0DCF38F2" w14:textId="77777777" w:rsidR="00D13539" w:rsidRPr="00CC21C9" w:rsidRDefault="00D13539" w:rsidP="00D13539">
            <w:pPr>
              <w:pStyle w:val="NormalWeb"/>
              <w:spacing w:line="360" w:lineRule="auto"/>
              <w:rPr>
                <w:rFonts w:ascii="Arial" w:hAnsi="Arial" w:cs="Arial"/>
              </w:rPr>
            </w:pPr>
            <w:r w:rsidRPr="00CC21C9">
              <w:rPr>
                <w:rFonts w:ascii="Arial" w:hAnsi="Arial" w:cs="Arial"/>
              </w:rPr>
              <w:t>The parents were in the UK on work visas. Their first language was their tribal African language, and they spoke limited English. During the initial telephone call, it was evident there was a lan</w:t>
            </w:r>
            <w:r>
              <w:rPr>
                <w:rFonts w:ascii="Arial" w:hAnsi="Arial" w:cs="Arial"/>
              </w:rPr>
              <w:t>guage barrier. Using the "A</w:t>
            </w:r>
            <w:r w:rsidRPr="00CC21C9">
              <w:rPr>
                <w:rFonts w:ascii="Arial" w:hAnsi="Arial" w:cs="Arial"/>
              </w:rPr>
              <w:t xml:space="preserve">ctive offer," giving the family a choice of language in line with the More Than Just Words framework (Welsh Government, 2022), I was able to conduct the conversation through an interpreter in the language of choice, ensuring the parents were fully informed. Engaging the parents revealed both linguistic and cultural barriers. </w:t>
            </w:r>
          </w:p>
          <w:p w14:paraId="61C8420D" w14:textId="77777777" w:rsidR="00D13539" w:rsidRPr="00CC21C9" w:rsidRDefault="00D13539" w:rsidP="00D13539">
            <w:pPr>
              <w:pStyle w:val="NormalWeb"/>
              <w:spacing w:line="360" w:lineRule="auto"/>
              <w:rPr>
                <w:rFonts w:ascii="Arial" w:hAnsi="Arial" w:cs="Arial"/>
              </w:rPr>
            </w:pPr>
            <w:r w:rsidRPr="00CC21C9">
              <w:rPr>
                <w:rFonts w:ascii="Arial" w:hAnsi="Arial" w:cs="Arial"/>
              </w:rPr>
              <w:lastRenderedPageBreak/>
              <w:t xml:space="preserve">Interpreters were arranged in line with the More Than Just Words strategy (Welsh Government, 2022), ensuring they could fully participate in the process. Both parents described corporal punishment as a normal aspect of their upbringing, with Father (4) disclosing his own scars from childhood. They expressed surprise that such practices were regarded as unlawful in Wales. This required balancing cultural humility (Hook et al., 2013) with clear communication that physical chastisement is prohibited under the Children (Abolition of Defence of Reasonable Punishment) (Wales) Act 2020 (Welsh Government, 2020). </w:t>
            </w:r>
          </w:p>
          <w:p w14:paraId="5A9AD805" w14:textId="77777777" w:rsidR="00D13539" w:rsidRPr="00CC21C9" w:rsidRDefault="00D13539" w:rsidP="00D13539">
            <w:pPr>
              <w:pStyle w:val="NormalWeb"/>
              <w:spacing w:line="360" w:lineRule="auto"/>
              <w:rPr>
                <w:rFonts w:ascii="Arial" w:hAnsi="Arial" w:cs="Arial"/>
              </w:rPr>
            </w:pPr>
            <w:r w:rsidRPr="00323333">
              <w:rPr>
                <w:rFonts w:ascii="Arial" w:hAnsi="Arial" w:cs="Arial"/>
              </w:rPr>
              <w:t>Referring the family to an Ethnic support group, provided culturally sensitive support and helped address isolation often faced by migrant families in child protection processes (Bernard and Harris, 2019). Child (1) disclosed being “flogged” with a belt, describing it as a recurring disciplinary method both in the UK and in Africa. Child (2) was more guarded but referred to corporal punishment in her African school. While no fresh injuries were observed, these accounts fell within the scope of the Children (Abolition of Defence of Reasonable Punishment) (Wales) Act 2020 (Welsh Government, 2020).</w:t>
            </w:r>
            <w:r w:rsidRPr="00FB22F3">
              <w:rPr>
                <w:rFonts w:ascii="Arial" w:hAnsi="Arial" w:cs="Arial"/>
                <w:i/>
              </w:rPr>
              <w:t xml:space="preserve"> </w:t>
            </w:r>
            <w:r w:rsidRPr="00CC21C9">
              <w:rPr>
                <w:rFonts w:ascii="Arial" w:hAnsi="Arial" w:cs="Arial"/>
              </w:rPr>
              <w:t xml:space="preserve">I recognised my own initial shock at the disclosure, rooted in personal values shaped within a culture where corporal punishment is socially unacceptable. Kolb’s (1984) reflective cycle helped me process this reaction and situate the parents’ behaviour within a broader socio-cultural context while still prioritising children’s rights (United Nations, 1989). </w:t>
            </w:r>
          </w:p>
          <w:p w14:paraId="015E15DB"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These disclosures highlighted tensions between cultural norms and Welsh law. Corporal punishment may be socially accepted in some contexts (Mweru, 2010), yet in Wales it is categorised as abuse. This contrast </w:t>
            </w:r>
            <w:r>
              <w:rPr>
                <w:rFonts w:ascii="Arial" w:hAnsi="Arial" w:cs="Arial"/>
              </w:rPr>
              <w:t xml:space="preserve">highlights </w:t>
            </w:r>
            <w:r w:rsidRPr="00CC21C9">
              <w:rPr>
                <w:rFonts w:ascii="Arial" w:hAnsi="Arial" w:cs="Arial"/>
              </w:rPr>
              <w:t>the clash between cultural relativism and universal rights (United Nations, 1989).</w:t>
            </w:r>
          </w:p>
          <w:p w14:paraId="11792477"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On arrival at the school with the allocated </w:t>
            </w:r>
            <w:r>
              <w:rPr>
                <w:rFonts w:ascii="Arial" w:hAnsi="Arial" w:cs="Arial"/>
              </w:rPr>
              <w:t>P</w:t>
            </w:r>
            <w:r w:rsidRPr="00CC21C9">
              <w:rPr>
                <w:rFonts w:ascii="Arial" w:hAnsi="Arial" w:cs="Arial"/>
              </w:rPr>
              <w:t xml:space="preserve">olice officer, we firstly spoke with the designated safeguarding lead, who shared further information about the children's attendance, presentation, parental involvement, and academic ability. Information was limited as they had only been attending for a few months. However, it was shared that both (1) and (2) have excellent verbal English speaking skills. School had noted that (1) behaviour in school on the day of the disclosure was challenging. Child (1)'s dysregulated behaviour in school, </w:t>
            </w:r>
            <w:r w:rsidRPr="00CC21C9">
              <w:rPr>
                <w:rFonts w:ascii="Arial" w:hAnsi="Arial" w:cs="Arial"/>
              </w:rPr>
              <w:lastRenderedPageBreak/>
              <w:t xml:space="preserve">including overturning tables, could be linked to trauma and anxiety through the lens of attachment theory (Bowlby, 1969). </w:t>
            </w:r>
          </w:p>
          <w:p w14:paraId="6F789BA8" w14:textId="77777777" w:rsidR="00D13539" w:rsidRDefault="00D13539" w:rsidP="00D13539">
            <w:pPr>
              <w:pStyle w:val="NormalWeb"/>
              <w:spacing w:line="360" w:lineRule="auto"/>
              <w:rPr>
                <w:rFonts w:ascii="Arial" w:hAnsi="Arial" w:cs="Arial"/>
              </w:rPr>
            </w:pPr>
            <w:r w:rsidRPr="00CC21C9">
              <w:rPr>
                <w:rFonts w:ascii="Arial" w:hAnsi="Arial" w:cs="Arial"/>
              </w:rPr>
              <w:t xml:space="preserve">Recognising this helped me consider not just the disclosure itself but also the emotional impact of physical punishment on the children’s development. Engaging the parents revealed both linguistic and cultural barriers. </w:t>
            </w:r>
          </w:p>
          <w:p w14:paraId="00F86ABE"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This reinforced that safeguarding in Wales requires practitioners to balance empathy with an uncompromising stance on protecting children from harm. A child protection medical was arranged after consultation with health colleagues. Although Child (1) had no visible injuries, evidence shows that bruising can be less apparent on darker skin tones (Magin et al., 2019). Child (2) was found to have historic scars, consistent with corporal punishment in Africa. The medical highlighted the interface between international practices and Welsh safeguarding frameworks. While corporal punishment was common in the children’s African school environment (Mweru, 2010), in Wales it constitutes abuse under the Children (Abolition of Defence of Reasonable Punishment) (Wales) Act 2020 (Welsh Government, 2020). </w:t>
            </w:r>
          </w:p>
          <w:p w14:paraId="5523A9B4"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This </w:t>
            </w:r>
            <w:r>
              <w:rPr>
                <w:rFonts w:ascii="Arial" w:hAnsi="Arial" w:cs="Arial"/>
              </w:rPr>
              <w:t xml:space="preserve">highlighted </w:t>
            </w:r>
            <w:r w:rsidRPr="00CC21C9">
              <w:rPr>
                <w:rFonts w:ascii="Arial" w:hAnsi="Arial" w:cs="Arial"/>
              </w:rPr>
              <w:t xml:space="preserve">how practitioners must uphold universal rights (United Nations, 1989) while recognising diverse cultural contexts. Whilst the Police were investigating the matter, (3) had to stay with a friend who did not have children, and (4) had to take on the main caring roles of the children in order to comply with the Police bail conditions. I developed a safety plan to this effect that both parents signed. </w:t>
            </w:r>
          </w:p>
          <w:p w14:paraId="54323E73"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During this time, I had to complete the Sec47 (CA89) investigation and make a decision whether a multi-agency Strategy discussion was required for the case to be considered for a child protection conference. A  Sec47 (CA89) gives the social worker 10 days to conclude the investigation within this period if there is a likelihood of ongoing significant harm, a request for a multi-agency strategy needs to be made to allow all involved professionals to contribute to the decision, and a request for initial child protection needs to be made. </w:t>
            </w:r>
          </w:p>
          <w:p w14:paraId="2692A1D6" w14:textId="5C0D8982" w:rsidR="00D13539" w:rsidRPr="00CC21C9" w:rsidRDefault="00D13539" w:rsidP="00D13539">
            <w:pPr>
              <w:pStyle w:val="NormalWeb"/>
              <w:spacing w:line="360" w:lineRule="auto"/>
              <w:rPr>
                <w:rFonts w:ascii="Arial" w:hAnsi="Arial" w:cs="Arial"/>
              </w:rPr>
            </w:pPr>
            <w:r w:rsidRPr="00CC21C9">
              <w:rPr>
                <w:rFonts w:ascii="Arial" w:hAnsi="Arial" w:cs="Arial"/>
              </w:rPr>
              <w:t xml:space="preserve">A further multi-agency strategy discussion was made with a unanimous decision that the case needed to be heard at the Initial child protection conference. This then gave me a </w:t>
            </w:r>
            <w:r w:rsidRPr="00CC21C9">
              <w:rPr>
                <w:rFonts w:ascii="Arial" w:hAnsi="Arial" w:cs="Arial"/>
              </w:rPr>
              <w:lastRenderedPageBreak/>
              <w:t xml:space="preserve">further 10 working days to complete the comprehensive assessment on the family to </w:t>
            </w:r>
            <w:r>
              <w:rPr>
                <w:rFonts w:ascii="Arial" w:hAnsi="Arial" w:cs="Arial"/>
              </w:rPr>
              <w:t xml:space="preserve">analyse </w:t>
            </w:r>
            <w:r w:rsidRPr="00CC21C9">
              <w:rPr>
                <w:rFonts w:ascii="Arial" w:hAnsi="Arial" w:cs="Arial"/>
              </w:rPr>
              <w:t xml:space="preserve">risk. During the assessment period, I gathered all information from partner agencies. Furthermore, it was imperative for me to gain an understanding and demonstrate cultural competence around the family's background with (3) and (4) lived experiences of being parented in Africa. It is illegal to use physical chastisement in Wales; however, it is considered normal practice in </w:t>
            </w:r>
            <w:bookmarkStart w:id="0" w:name="_GoBack"/>
            <w:bookmarkEnd w:id="0"/>
            <w:r>
              <w:rPr>
                <w:rFonts w:ascii="Arial" w:hAnsi="Arial" w:cs="Arial"/>
              </w:rPr>
              <w:t xml:space="preserve">some parts of </w:t>
            </w:r>
            <w:r w:rsidRPr="00CC21C9">
              <w:rPr>
                <w:rFonts w:ascii="Arial" w:hAnsi="Arial" w:cs="Arial"/>
              </w:rPr>
              <w:t xml:space="preserve">Africa, with teachers using it and parents as a means of punishment. </w:t>
            </w:r>
          </w:p>
          <w:p w14:paraId="62576356" w14:textId="77777777" w:rsidR="00D13539" w:rsidRDefault="00D13539" w:rsidP="00D13539">
            <w:pPr>
              <w:pStyle w:val="NormalWeb"/>
              <w:spacing w:line="360" w:lineRule="auto"/>
              <w:rPr>
                <w:rFonts w:ascii="Arial" w:hAnsi="Arial" w:cs="Arial"/>
              </w:rPr>
            </w:pPr>
            <w:r w:rsidRPr="00CC21C9">
              <w:rPr>
                <w:rFonts w:ascii="Arial" w:hAnsi="Arial" w:cs="Arial"/>
              </w:rPr>
              <w:t xml:space="preserve">Both parents shared that within their culture and upbringing, being flogged (another word for being hit with a stick, cane, or whip) was common practice, and it was normalised to the family. This shocked me and made me reflect on my own values and beliefs. Although the CPS determined that prosecution was not possible due to insufficient evidence, children's services continued under the civil threshold of "balance of probability." Payne (2020) emphasises that social workers must act on risk even where evidence is inconclusive. This reinforced the distinct roles of agencies: the Police and CPS work within </w:t>
            </w:r>
            <w:r>
              <w:rPr>
                <w:rFonts w:ascii="Arial" w:hAnsi="Arial" w:cs="Arial"/>
              </w:rPr>
              <w:t>their evidential frameworks</w:t>
            </w:r>
            <w:r w:rsidRPr="00CC21C9">
              <w:rPr>
                <w:rFonts w:ascii="Arial" w:hAnsi="Arial" w:cs="Arial"/>
              </w:rPr>
              <w:t xml:space="preserve">, whereas social work prioritises children's welfare. </w:t>
            </w:r>
          </w:p>
          <w:p w14:paraId="4D8AB6DA"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decision to progress to an Initial Child Protection Conference reflected Wales' integrated safeguarding ethos, where risk is evaluated collectively across agencies (Welsh Government, 2014). </w:t>
            </w:r>
          </w:p>
          <w:p w14:paraId="5D95B684" w14:textId="77777777" w:rsidR="00D13539" w:rsidRPr="00CC21C9" w:rsidRDefault="00D13539" w:rsidP="00D13539">
            <w:pPr>
              <w:pStyle w:val="NormalWeb"/>
              <w:spacing w:line="360" w:lineRule="auto"/>
              <w:rPr>
                <w:rFonts w:ascii="Arial" w:hAnsi="Arial" w:cs="Arial"/>
              </w:rPr>
            </w:pPr>
            <w:r w:rsidRPr="00CC21C9">
              <w:rPr>
                <w:rFonts w:ascii="Arial" w:hAnsi="Arial" w:cs="Arial"/>
              </w:rPr>
              <w:t>Reflectively, I f</w:t>
            </w:r>
            <w:r>
              <w:rPr>
                <w:rFonts w:ascii="Arial" w:hAnsi="Arial" w:cs="Arial"/>
              </w:rPr>
              <w:t>ound this stage challenging, however</w:t>
            </w:r>
            <w:r w:rsidRPr="00CC21C9">
              <w:rPr>
                <w:rFonts w:ascii="Arial" w:hAnsi="Arial" w:cs="Arial"/>
              </w:rPr>
              <w:t xml:space="preserve"> it strengthened my confidence in my social work role and the importance of professional judgement. At the Initial Child Protection Conference (ICPC), both children were placed on the child protection register under the category of physical abuse. This decision reflected the civil threshold of “likelihood of significant harm” under the Children Act 1989 (HM Government, 1989) and the SSWBA 2014 (Welsh Government, 2014). It also demonstrated the Welsh commitment to collective, multi-agency decision-making (Welsh Government, 2020). </w:t>
            </w:r>
          </w:p>
          <w:p w14:paraId="5387C051"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Child Protection Plan balanced intervention with supportive partnership. Parents were required to work with a physical chastisement officer to develop parenting strategies. A Schedule of Expectations was drawn up to set clear boundaries. At the same time, the plan </w:t>
            </w:r>
            <w:r w:rsidRPr="00CC21C9">
              <w:rPr>
                <w:rFonts w:ascii="Arial" w:hAnsi="Arial" w:cs="Arial"/>
              </w:rPr>
              <w:lastRenderedPageBreak/>
              <w:t xml:space="preserve">was built on parental strengths, such as their commitment to education, aligning with strengths-based practice (Saleebey, 2006). </w:t>
            </w:r>
          </w:p>
          <w:p w14:paraId="19E9BF84"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Engaging an Ethnic support group ensured culturally sensitive support, reducing the risk of isolation. This reflected the ethos of co-production within the SSWBA (Welsh Government, 2014), which requires practitioners to "work with" families rather than impose solutions. Systems theory (Bronfenbrenner, 1979) highlighted how change at the family level could be sustained through wider professional and community networks. </w:t>
            </w:r>
          </w:p>
          <w:p w14:paraId="3764E77F" w14:textId="77777777" w:rsidR="00D13539" w:rsidRPr="00CC21C9" w:rsidRDefault="00D13539" w:rsidP="00D13539">
            <w:pPr>
              <w:pStyle w:val="NormalWeb"/>
              <w:spacing w:line="360" w:lineRule="auto"/>
              <w:rPr>
                <w:rFonts w:ascii="Arial" w:hAnsi="Arial" w:cs="Arial"/>
              </w:rPr>
            </w:pPr>
            <w:r>
              <w:rPr>
                <w:rFonts w:ascii="Arial" w:hAnsi="Arial" w:cs="Arial"/>
              </w:rPr>
              <w:t xml:space="preserve">Reflectively, this </w:t>
            </w:r>
            <w:r w:rsidRPr="00CC21C9">
              <w:rPr>
                <w:rFonts w:ascii="Arial" w:hAnsi="Arial" w:cs="Arial"/>
              </w:rPr>
              <w:t xml:space="preserve">illustrated that safeguarding in Wales requires balancing children’s rights with collaborative support for families. By combining statutory authority with preventative services, the Welsh model promotes both safety and change. One of the most complex aspects of this case was reconciling the parents’ cultural norms with Welsh safeguarding law. Both Mother (3) and Father (4) described corporal punishment as an accepted method of discipline in their upbringing. Father (4) disclosed scars from his own childhood, highlighting how physical chastisement was normalised in their country of origin. From their perspective, such practices were neither abusive nor unusual (Mweru, 2010). </w:t>
            </w:r>
          </w:p>
          <w:p w14:paraId="3511C3FC"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In Wales, however, the Children (Abolition of Defence of Reasonable Punishment) (Wales) Act 2020 (Welsh Government, 2020) prohibits all forms of physical chastisement. This reflects a rights-based ethos grounded in the United Nations Convention on the Rights of the Child (United Nations, 1989), particularly Article 19, which requires protection from "all forms of physical or mental violence." Wales has embedded the UNCRC into domestic law, positioning children's rights at the centre of safeguarding policy (Welsh Government, 2019). This clash highlighted the tension between cultural relativism and universalism. </w:t>
            </w:r>
          </w:p>
          <w:p w14:paraId="05987404"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While respect for cultural diversity is important, certain rights cannot be compromised. My role as a Welsh social worker was therefore to uphold children’s rights while engaging with the family respectfully. Dominelli (2002) argues that anti-oppressive practice requires practitioners to challenge harmful cultural practices without resorting to stereotyping or judgment. To do this, I linked the family with a Welsh organisation supporting minority ethnic families. This provided both practical support and cultural understanding, ensuring that the intervention did not leave the family isolated. </w:t>
            </w:r>
          </w:p>
          <w:p w14:paraId="44A76C49" w14:textId="77777777" w:rsidR="00D13539" w:rsidRPr="00CC21C9" w:rsidRDefault="00D13539" w:rsidP="00D13539">
            <w:pPr>
              <w:pStyle w:val="NormalWeb"/>
              <w:spacing w:line="360" w:lineRule="auto"/>
              <w:rPr>
                <w:rFonts w:ascii="Arial" w:hAnsi="Arial" w:cs="Arial"/>
              </w:rPr>
            </w:pPr>
            <w:r w:rsidRPr="00CC21C9">
              <w:rPr>
                <w:rFonts w:ascii="Arial" w:hAnsi="Arial" w:cs="Arial"/>
              </w:rPr>
              <w:lastRenderedPageBreak/>
              <w:t>This step reflects what Hook et al. (2013) describe as cultural humility — an openness to learning about different cultural perspectives while maintaining professional responsibility to safeguard. Throughout the case, professional curiosity was essential to my learning. The Wales Safeguarding Procedures (Welsh Government, 2020) states the importance of asking probing questions and avoiding assumptions. When Child (2)’s medical examination revealed linear scars, I had to consider whether these were historic injuries from Africa or the result of more recent harm. Without curiosity and careful enquiry, there was a risk that potential ongoing abuse might have been minimised</w:t>
            </w:r>
            <w:r>
              <w:rPr>
                <w:rFonts w:ascii="Arial" w:hAnsi="Arial" w:cs="Arial"/>
              </w:rPr>
              <w:t xml:space="preserve"> or missed</w:t>
            </w:r>
            <w:r w:rsidRPr="00CC21C9">
              <w:rPr>
                <w:rFonts w:ascii="Arial" w:hAnsi="Arial" w:cs="Arial"/>
              </w:rPr>
              <w:t xml:space="preserve">. </w:t>
            </w:r>
          </w:p>
          <w:p w14:paraId="65F1F426"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At the same time, I reflected on my own biases and values. My initial reaction to the disclosure of physical chastisement was one of shock, rooted in my personal values where corporal punishment is widely rejected. While this reinforced my safeguarding duty, I recognised the need to avoid letting my own values dominate. Kolb’s (1984) reflective cycle helped me move from the concrete experience of the disclosure, through reflective observation of my emotional response, to abstract conceptualisation of cultural relativism and universal children’s rights. </w:t>
            </w:r>
          </w:p>
          <w:p w14:paraId="0E304886"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This process allowed me to reframe the situation professionally rather than reactively. I also considered how systemic bias might affect the family. Research shows that minority ethnic families can face disproportionate scrutiny in child protection systems (Featherstone et al., 2018). This risk was heightened by the family’s immigration status, as parents on work visas may fear that social work involvement could jeopardise their residency (Bernard and Harris, 2019). </w:t>
            </w:r>
          </w:p>
          <w:p w14:paraId="6D5AF3AD"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To mitigate this, I prioritised transparency and partnership, explaining safeguarding processes clearly and ensuring that interpreters were always used and assessments were all translated into the family’s language. This reflection underscored that safeguarding in Wales requires not only compliance with law but also self-awareness and reflexivity. The Code of Professional Practice for Social Care (Social Care Wales, 2017) emphasises integrity, respect, and person-centred practice. </w:t>
            </w:r>
          </w:p>
          <w:p w14:paraId="55431A20"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By recognising my own biases, maintaining curiosity, and actively checking assumptions, I was able to act in a way that was both protective of the children and respectful of the family. </w:t>
            </w:r>
            <w:r w:rsidRPr="00CC21C9">
              <w:rPr>
                <w:rFonts w:ascii="Arial" w:hAnsi="Arial" w:cs="Arial"/>
              </w:rPr>
              <w:lastRenderedPageBreak/>
              <w:t xml:space="preserve">The case demonstrated the value of integrating theory into practice. Bronfenbrenner’s ecological systems theory (1979) provided a lens to understand how the children’s experiences were shaped not only by family dynamics but also by cultural norms, migration, and wider legal systems. Attachment theory (Bowlby, 1969) helped explain Child (1)’s dysregulated behaviour in school, which could be interpreted as anxiety stemming from exposure to physical punishment. </w:t>
            </w:r>
          </w:p>
          <w:p w14:paraId="0A4E1538"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Alongside risk, I sought to recognise resilience. Strengths-based practice (Saleebey, 2006) encouraged me to build on positives such as the parents’ commitment to their children’s education and their eventual willingness to engage with support. This aligned with the Welsh Government’s emphasis on well-being and co-production (Welsh Government, 2019). At the same time, anti-oppressive practice (Dominelli, 2002) guided me to consider power imbalances, particularly given the parents’ migrant status and limited understanding of Welsh systems. </w:t>
            </w:r>
          </w:p>
          <w:p w14:paraId="7090C5C8"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Kolb’s reflective cycle (1984) provided a structure for my professional learning. The concrete experience of managing the case prompted reflective observation on cultural tensions and my own biases. Through abstract conceptualisation, I applied theory and legislation to deepen my understanding. Finally, active experimentation involved identifying how I would improve future practice, such as consulting cultural advisors earlier and embedding reflective tools in real time rather than retrospectively. </w:t>
            </w:r>
          </w:p>
          <w:p w14:paraId="7D006B96"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Going forward, I would strengthen early engagement with community organisations and ensure that interventions are framed in ways that respect cultural background while upholding Welsh law. Overall, this section highlighted that safeguarding in Wales requires balancing statutory authority with reflective, culturally sensitive practice. By applying theory and maintaining reflexivity, I was able to integrate analysis into assessment and plan for more effective practice in the future. </w:t>
            </w:r>
          </w:p>
          <w:p w14:paraId="142C42EB"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One of the most challenging aspects of the case was the divergence between criminal justice and child protection thresholds. After the child protection medical, the Crown Prosecution Service (CPS) determined that there was insufficient evidence to prosecute Mother (3). This decision reflected the criminal standard of proof, which requires evidence </w:t>
            </w:r>
            <w:r w:rsidRPr="00CC21C9">
              <w:rPr>
                <w:rFonts w:ascii="Arial" w:hAnsi="Arial" w:cs="Arial"/>
              </w:rPr>
              <w:lastRenderedPageBreak/>
              <w:t>“beyond reasonable doubt.” In contrast, children’s services continued under the civil threshold of the balance of probability. The Social Services and Well-being (Wales) Act 2014 (Welsh Government, 2014) obliges local authorities to act protectively where there is a likelihood of significant harm, regardless of criminal proceedings.</w:t>
            </w:r>
          </w:p>
          <w:p w14:paraId="010FFABB"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 This allowed intervention to progress even though the CPS decided against prosecution. Reflectively, I found this difficult. I initially felt frustrated that the children's experiences were not considered strong enough for legal action. However, Payne (2020) notes that social work practice involves navigating uncertainty and exercising discretion in complex multi-agency contexts. While the CPS focused on evidential sufficiency, my duty was to safeguard based on risk. This reinforced my understanding of the distinct role of social workers compared with the Police and courts. The divergence also highlighted the importance of professional confidence. By grounding decisions in Welsh law and children's rights (United Nations, 1989), I was able to justify intervention despite the absence of criminal proceedings. </w:t>
            </w:r>
          </w:p>
          <w:p w14:paraId="5D1284BD"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This aligns with the Welsh safeguarding ethos, which prioritises children’s well-being over evidential certainty (Welsh Government, 2019). Ultimately, the divergence in thresholds did not undermine the safeguarding process. Instead, it underscored the need for social workers to hold their professional ground while recognising that partner agencies operate within different parameters. The case reinforced my capacity to integrate analysis into assessment and to maintain focus on children’s rights, even when other systems reached different conclusions. </w:t>
            </w:r>
          </w:p>
          <w:p w14:paraId="2A7B3854"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 Initial Child Protection Conference (ICPC) concluded that both children should be placed on the child protection register under the category of physical abuse. This decision reflected the civil threshold of “likelihood of significant harm” under the Children Act 1989 (HM Government, 1989) and the SSWBA 2014 (Welsh Government, 2014). It also demonstrated how multi-agency forums in Wales ensure that no single professional makes safeguarding decisions in isolation. The resulting Child Protection Plan balanced authoritative intervention with supportive partnership. On the one hand, it established clear boundaries: physical chastisement was unlawful, and the parents had to agree not to use it. </w:t>
            </w:r>
            <w:r w:rsidRPr="00CC21C9">
              <w:rPr>
                <w:rFonts w:ascii="Arial" w:hAnsi="Arial" w:cs="Arial"/>
              </w:rPr>
              <w:lastRenderedPageBreak/>
              <w:t xml:space="preserve">On the other hand, it included supportive measures, such as work with a physical chastisement officer, who provided alternative behaviour management strategies. This dual approach aligns with Wales' rights-based model of safeguarding, which emphasises prevention and co-production (Welsh Government, 2019). </w:t>
            </w:r>
          </w:p>
          <w:p w14:paraId="542CC282"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To strengthen accountability, I developed a Schedule of Expectations outlining the parents' commitments, including refraining from physical punishment, attending support sessions, and maintaining cooperation with professionals. This was explained through interpreters to ensure understanding and consent. Involving an Ethnic support group continued to be valuable in supporting the family and reducing isolation, reflecting the More Than Just Words ethos of equitable access (Welsh Government, 2022). </w:t>
            </w:r>
          </w:p>
          <w:p w14:paraId="542EE6D1"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Reflectively, this stage highlighted my role in navigating the balance between authority and empowerment. Bronfenbrenner’s systems theory (1979) helped me view change at the family level as being sustained by wider professional and community support. Similarly, strengths-based practice (Saleebey, 2006) reminded me to recognise parental positives, such as their commitment to education, while addressing risks. </w:t>
            </w:r>
          </w:p>
          <w:p w14:paraId="2659C7DA" w14:textId="77777777" w:rsidR="00D13539" w:rsidRPr="00CC21C9" w:rsidRDefault="00D13539" w:rsidP="00D13539">
            <w:pPr>
              <w:pStyle w:val="NormalWeb"/>
              <w:spacing w:line="360" w:lineRule="auto"/>
              <w:rPr>
                <w:rFonts w:ascii="Arial" w:hAnsi="Arial" w:cs="Arial"/>
              </w:rPr>
            </w:pPr>
            <w:r w:rsidRPr="00CC21C9">
              <w:rPr>
                <w:rFonts w:ascii="Arial" w:hAnsi="Arial" w:cs="Arial"/>
              </w:rPr>
              <w:t>The eventual police decision to take no further action was disappointing but underscored that safeguarding is not dependent on criminal justice outcomes. Children’s services work on the balance of probability, meaning that risk is managed even where prosecution is not possible. This reinforced my professional identity as a social worker operating within a distinct legal and ethical framework. From a learning perspective, the case emphasised the importance of resilience and reflexivity. It taught me to anticipate divergences in agency thresholds, to ground decisions in Welsh legislation and children’s rights, and to maintain transparency with families.</w:t>
            </w:r>
          </w:p>
          <w:p w14:paraId="5D54CD8F"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 Going forward, I would strengthen early engagement with cultural advisors and refine how I apply reflective models during ongoing work, not just retrospectively. Overall, the Child Protection Plan reflected Wales’ distinctive safeguarding ethos: combining statutory authority with preventative, rights-based support. It demonstrated that sustainable outcomes for children are achieved not only through protective measures but also through collaboration, cultural sensitivity, and professional confidence. </w:t>
            </w:r>
          </w:p>
          <w:p w14:paraId="195EDF36" w14:textId="77777777" w:rsidR="00D13539" w:rsidRPr="00CC21C9" w:rsidRDefault="00D13539" w:rsidP="00D13539">
            <w:pPr>
              <w:pStyle w:val="NormalWeb"/>
              <w:spacing w:line="360" w:lineRule="auto"/>
              <w:rPr>
                <w:rFonts w:ascii="Arial" w:hAnsi="Arial" w:cs="Arial"/>
              </w:rPr>
            </w:pPr>
            <w:r w:rsidRPr="00CC21C9">
              <w:rPr>
                <w:rFonts w:ascii="Arial" w:hAnsi="Arial" w:cs="Arial"/>
              </w:rPr>
              <w:lastRenderedPageBreak/>
              <w:t xml:space="preserve">This case study has critically reflected on a child protection assessment undertaken in Wales, applying Kolb’s (1984) experiential learning cycle to analyse practice. It demonstrated how safeguarding in Wales is shaped by distinctive legislation and procedures, particularly the Social Services and Well-being (Wales) Act 2014 (Welsh Government, 2014), the Children (Abolition of Defence of Reasonable Punishment) (Wales) Act 2020 (Welsh Government, 2020), and the Wales Safeguarding Procedures (Welsh Government, 2020). </w:t>
            </w:r>
          </w:p>
          <w:p w14:paraId="67A5E28C"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These frameworks emphasise children’s rights, multi-agency collaboration, and preventative intervention, setting Wales apart from other UK jurisdictions. The case illustrated the complexities of safeguarding in culturally diverse contexts. While the parents normalised corporal punishment, Welsh law categorised this as abuse, reflecting international children’s rights obligations under the UNCRC (United Nations, 1989). This tension required me to balance respect for cultural background with a clear commitment to children’s safety. </w:t>
            </w:r>
          </w:p>
          <w:p w14:paraId="61F0FD15"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By engaging an Ethnic support group and interpreters, I sought to practise cultural humility (Hook et al., 2013) and anti-oppressive approaches (Dominelli, 2002), ensuring that the family was supported as well as held accountable. Reflective analysis also highlighted the importance of professional curiosity, bias awareness, and judgment. Divergence between criminal justice and child protection thresholds reinforced that social workers must exercise discretion based on the balance of probability rather than evidential certainty (Payne, 2020). Theoretical frameworks such as ecological systems theory (Bronfenbrenner, 1979), attachment theory (Bowlby, 1969), and strengths-based practice (Saleebey, 2006) deepened understanding of the children’s experiences and informed intervention planning. </w:t>
            </w:r>
          </w:p>
          <w:p w14:paraId="752A01DE" w14:textId="77777777" w:rsidR="00D13539" w:rsidRPr="00CC21C9" w:rsidRDefault="00D13539" w:rsidP="00D13539">
            <w:pPr>
              <w:pStyle w:val="NormalWeb"/>
              <w:spacing w:line="360" w:lineRule="auto"/>
              <w:rPr>
                <w:rFonts w:ascii="Arial" w:hAnsi="Arial" w:cs="Arial"/>
              </w:rPr>
            </w:pPr>
            <w:r w:rsidRPr="00CC21C9">
              <w:rPr>
                <w:rFonts w:ascii="Arial" w:hAnsi="Arial" w:cs="Arial"/>
              </w:rPr>
              <w:t xml:space="preserve">Reflectively, the case reinforced the importance of </w:t>
            </w:r>
            <w:r w:rsidRPr="00CC21C9">
              <w:rPr>
                <w:rStyle w:val="Strong"/>
                <w:rFonts w:ascii="Arial" w:hAnsi="Arial" w:cs="Arial"/>
              </w:rPr>
              <w:t>professional curiosity</w:t>
            </w:r>
            <w:r w:rsidRPr="00CC21C9">
              <w:rPr>
                <w:rFonts w:ascii="Arial" w:hAnsi="Arial" w:cs="Arial"/>
                <w:b/>
              </w:rPr>
              <w:t xml:space="preserve">, </w:t>
            </w:r>
            <w:r w:rsidRPr="00CC21C9">
              <w:rPr>
                <w:rStyle w:val="Strong"/>
                <w:rFonts w:ascii="Arial" w:hAnsi="Arial" w:cs="Arial"/>
              </w:rPr>
              <w:t>bias awareness</w:t>
            </w:r>
            <w:r w:rsidRPr="00CC21C9">
              <w:rPr>
                <w:rFonts w:ascii="Arial" w:hAnsi="Arial" w:cs="Arial"/>
                <w:b/>
              </w:rPr>
              <w:t xml:space="preserve">, </w:t>
            </w:r>
            <w:r w:rsidRPr="00CC21C9">
              <w:rPr>
                <w:rFonts w:ascii="Arial" w:hAnsi="Arial" w:cs="Arial"/>
              </w:rPr>
              <w:t xml:space="preserve">and </w:t>
            </w:r>
            <w:r w:rsidRPr="00CC21C9">
              <w:rPr>
                <w:rStyle w:val="Strong"/>
                <w:rFonts w:ascii="Arial" w:hAnsi="Arial" w:cs="Arial"/>
              </w:rPr>
              <w:t>confidence in decision-making</w:t>
            </w:r>
            <w:r w:rsidRPr="00CC21C9">
              <w:rPr>
                <w:rFonts w:ascii="Arial" w:hAnsi="Arial" w:cs="Arial"/>
              </w:rPr>
              <w:t>, particularly where thresholds diverged between criminal and child protection systems. Theoretical frameworks — ecological systems (Bronfenbrenner, 1979), attachment (Bowlby, 1969), and strengths-based practice (Saleebey, 2006) — supported analysis of risk and resilience.</w:t>
            </w:r>
          </w:p>
          <w:p w14:paraId="6796896C" w14:textId="77777777" w:rsidR="00D13539" w:rsidRPr="00CC21C9" w:rsidRDefault="00D13539" w:rsidP="00D13539">
            <w:pPr>
              <w:pStyle w:val="NormalWeb"/>
              <w:spacing w:line="360" w:lineRule="auto"/>
              <w:rPr>
                <w:rFonts w:ascii="Arial" w:hAnsi="Arial" w:cs="Arial"/>
              </w:rPr>
            </w:pPr>
            <w:r w:rsidRPr="00CC21C9">
              <w:rPr>
                <w:rFonts w:ascii="Arial" w:hAnsi="Arial" w:cs="Arial"/>
              </w:rPr>
              <w:t>In conclusion, the case demonstrated that safeguarding in Wales is distinguished by its progressive, rights-based ethos, integrated legal framework, and emphasis on co-</w:t>
            </w:r>
            <w:r w:rsidRPr="00CC21C9">
              <w:rPr>
                <w:rFonts w:ascii="Arial" w:hAnsi="Arial" w:cs="Arial"/>
              </w:rPr>
              <w:lastRenderedPageBreak/>
              <w:t xml:space="preserve">production. By combining statutory authority with reflective, culturally sensitive practice, social workers can both protect children and empower families to change. </w:t>
            </w:r>
          </w:p>
          <w:p w14:paraId="1522E41B" w14:textId="77777777" w:rsidR="00D13539" w:rsidRPr="00CC21C9" w:rsidRDefault="00D13539" w:rsidP="00D13539">
            <w:pPr>
              <w:spacing w:line="360" w:lineRule="auto"/>
              <w:rPr>
                <w:sz w:val="24"/>
                <w:szCs w:val="24"/>
              </w:rPr>
            </w:pPr>
            <w:r>
              <w:rPr>
                <w:sz w:val="24"/>
                <w:szCs w:val="24"/>
              </w:rPr>
              <w:t>Word Count 4160</w:t>
            </w:r>
          </w:p>
          <w:p w14:paraId="0C1020FE" w14:textId="61CE561C" w:rsidR="00D3203C" w:rsidRDefault="00D3203C" w:rsidP="00FF7EBB">
            <w:pPr>
              <w:jc w:val="both"/>
              <w:rPr>
                <w:i/>
                <w:sz w:val="24"/>
                <w:szCs w:val="24"/>
              </w:rPr>
            </w:pPr>
          </w:p>
          <w:p w14:paraId="43CA65F6" w14:textId="46B65686" w:rsidR="00D3203C" w:rsidRDefault="00D3203C" w:rsidP="00FF7EBB">
            <w:pPr>
              <w:jc w:val="both"/>
              <w:rPr>
                <w:i/>
                <w:sz w:val="24"/>
                <w:szCs w:val="24"/>
              </w:rPr>
            </w:pPr>
          </w:p>
          <w:p w14:paraId="5C222972" w14:textId="259CE14B" w:rsidR="00D3203C" w:rsidRDefault="00D3203C" w:rsidP="00FF7EBB">
            <w:pPr>
              <w:jc w:val="both"/>
              <w:rPr>
                <w:i/>
                <w:sz w:val="24"/>
                <w:szCs w:val="24"/>
              </w:rPr>
            </w:pPr>
          </w:p>
          <w:p w14:paraId="0E7BBCC9" w14:textId="77777777" w:rsidR="00D3203C" w:rsidRDefault="00D3203C" w:rsidP="00FF7EBB">
            <w:pPr>
              <w:jc w:val="both"/>
              <w:rPr>
                <w:i/>
                <w:sz w:val="24"/>
                <w:szCs w:val="24"/>
              </w:rPr>
            </w:pPr>
          </w:p>
          <w:p w14:paraId="47F21B6A" w14:textId="007FFCCE" w:rsidR="007A628F" w:rsidRPr="008B28E7" w:rsidRDefault="007A628F" w:rsidP="00FF7EBB">
            <w:pPr>
              <w:jc w:val="both"/>
              <w:rPr>
                <w:sz w:val="24"/>
                <w:szCs w:val="24"/>
              </w:rPr>
            </w:pPr>
          </w:p>
        </w:tc>
      </w:tr>
    </w:tbl>
    <w:p w14:paraId="1B4186EF" w14:textId="77777777" w:rsidR="00D3442D" w:rsidRDefault="00D3442D" w:rsidP="00D3442D">
      <w:pPr>
        <w:jc w:val="both"/>
        <w:rPr>
          <w:sz w:val="24"/>
          <w:szCs w:val="24"/>
        </w:rPr>
      </w:pPr>
    </w:p>
    <w:p w14:paraId="3BE23FA3" w14:textId="77777777" w:rsidR="00DD31C5" w:rsidRDefault="00DD31C5" w:rsidP="00064063">
      <w:pPr>
        <w:ind w:firstLine="720"/>
        <w:jc w:val="both"/>
        <w:rPr>
          <w:b/>
          <w:sz w:val="24"/>
          <w:szCs w:val="24"/>
        </w:rPr>
      </w:pPr>
    </w:p>
    <w:p w14:paraId="71B02E9F" w14:textId="77777777" w:rsidR="00DD31C5" w:rsidRPr="008B28E7" w:rsidRDefault="00DD31C5" w:rsidP="00064063">
      <w:pPr>
        <w:ind w:firstLine="720"/>
        <w:jc w:val="both"/>
        <w:rPr>
          <w:b/>
          <w:sz w:val="24"/>
          <w:szCs w:val="24"/>
        </w:rPr>
      </w:pPr>
    </w:p>
    <w:p w14:paraId="7F4433FA" w14:textId="247A8309" w:rsidR="00CC135E" w:rsidRPr="003B29BC" w:rsidRDefault="00CC135E" w:rsidP="003B29BC">
      <w:pPr>
        <w:rPr>
          <w:color w:val="auto"/>
          <w:sz w:val="24"/>
          <w:szCs w:val="24"/>
        </w:rPr>
      </w:pPr>
    </w:p>
    <w:sectPr w:rsidR="00CC135E" w:rsidRPr="003B29BC" w:rsidSect="00F15354">
      <w:headerReference w:type="default" r:id="rId12"/>
      <w:footerReference w:type="default" r:id="rId13"/>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FF5ABA1" w14:textId="77777777" w:rsidR="002E5A02" w:rsidRDefault="002E5A02">
      <w:r>
        <w:separator/>
      </w:r>
    </w:p>
  </w:endnote>
  <w:endnote w:type="continuationSeparator" w:id="0">
    <w:p w14:paraId="0C03B406" w14:textId="77777777" w:rsidR="002E5A02" w:rsidRDefault="002E5A0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altName w:val="Verdana"/>
    <w:panose1 w:val="020B0604030504040204"/>
    <w:charset w:val="00"/>
    <w:family w:val="swiss"/>
    <w:pitch w:val="variable"/>
    <w:sig w:usb0="E1002EFF" w:usb1="C000605B" w:usb2="00000029" w:usb3="00000000" w:csb0="000101FF" w:csb1="00000000"/>
  </w:font>
  <w:font w:name="DengXian Light">
    <w:altName w:val="Microsoft YaHei"/>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SimSun"/>
    <w:panose1 w:val="02010600030101010101"/>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FA3DEAF" w14:textId="48F83EF3" w:rsidR="00A5656A" w:rsidRDefault="00A5656A">
    <w:pPr>
      <w:pStyle w:val="Footer"/>
      <w:jc w:val="right"/>
    </w:pPr>
    <w:r>
      <w:fldChar w:fldCharType="begin"/>
    </w:r>
    <w:r>
      <w:instrText xml:space="preserve"> PAGE   \* MERGEFORMAT </w:instrText>
    </w:r>
    <w:r>
      <w:fldChar w:fldCharType="separate"/>
    </w:r>
    <w:r w:rsidR="00D13539">
      <w:rPr>
        <w:noProof/>
      </w:rPr>
      <w:t>13</w:t>
    </w:r>
    <w:r>
      <w:rPr>
        <w:noProof/>
      </w:rPr>
      <w:fldChar w:fldCharType="end"/>
    </w:r>
  </w:p>
  <w:p w14:paraId="5CA2AEEC" w14:textId="77777777" w:rsidR="00A5656A" w:rsidRPr="00E60F42" w:rsidRDefault="00A5656A" w:rsidP="004C2D3A">
    <w:pPr>
      <w:pStyle w:val="Footer"/>
      <w:ind w:right="360"/>
      <w:jc w:val="center"/>
      <w:rPr>
        <w:lang w:val="en-GB"/>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5AAC689C" w14:textId="77777777" w:rsidR="002E5A02" w:rsidRDefault="002E5A02">
      <w:r>
        <w:separator/>
      </w:r>
    </w:p>
  </w:footnote>
  <w:footnote w:type="continuationSeparator" w:id="0">
    <w:p w14:paraId="6C725195" w14:textId="77777777" w:rsidR="002E5A02" w:rsidRDefault="002E5A0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053128E" w14:textId="52E03DEF" w:rsidR="00A5656A" w:rsidRDefault="00A5656A">
    <w:pPr>
      <w:pStyle w:val="Header"/>
    </w:pPr>
    <w:r>
      <w:t xml:space="preserve">Version </w:t>
    </w:r>
    <w:r w:rsidR="00DC2924">
      <w:t>1_Cohort 15</w:t>
    </w:r>
    <w: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553EB41A"/>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25C2BAD"/>
    <w:multiLevelType w:val="hybridMultilevel"/>
    <w:tmpl w:val="B38EBB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8"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10"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452C1E"/>
    <w:multiLevelType w:val="hybridMultilevel"/>
    <w:tmpl w:val="60F064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5FE0A19"/>
    <w:multiLevelType w:val="hybridMultilevel"/>
    <w:tmpl w:val="324E5EC0"/>
    <w:lvl w:ilvl="0" w:tplc="08090001">
      <w:start w:val="1"/>
      <w:numFmt w:val="bullet"/>
      <w:lvlText w:val=""/>
      <w:lvlJc w:val="left"/>
      <w:pPr>
        <w:ind w:left="1440" w:hanging="360"/>
      </w:pPr>
      <w:rPr>
        <w:rFonts w:ascii="Symbol" w:hAnsi="Symbol" w:hint="default"/>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25"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6"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7"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1A68C6"/>
    <w:multiLevelType w:val="hybridMultilevel"/>
    <w:tmpl w:val="BC742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A5F6D3A"/>
    <w:multiLevelType w:val="hybridMultilevel"/>
    <w:tmpl w:val="1D687F2E"/>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1"/>
    <w:lvlOverride w:ilvl="0">
      <w:lvl w:ilvl="0">
        <w:start w:val="1"/>
        <w:numFmt w:val="bullet"/>
        <w:lvlText w:val=""/>
        <w:lvlJc w:val="left"/>
        <w:pPr>
          <w:ind w:left="720" w:hanging="360"/>
        </w:pPr>
        <w:rPr>
          <w:rFonts w:ascii="Symbol" w:hAnsi="Symbol" w:hint="default"/>
        </w:rPr>
      </w:lvl>
    </w:lvlOverride>
  </w:num>
  <w:num w:numId="2">
    <w:abstractNumId w:val="22"/>
  </w:num>
  <w:num w:numId="3">
    <w:abstractNumId w:val="45"/>
  </w:num>
  <w:num w:numId="4">
    <w:abstractNumId w:val="47"/>
  </w:num>
  <w:num w:numId="5">
    <w:abstractNumId w:val="34"/>
  </w:num>
  <w:num w:numId="6">
    <w:abstractNumId w:val="32"/>
  </w:num>
  <w:num w:numId="7">
    <w:abstractNumId w:val="29"/>
  </w:num>
  <w:num w:numId="8">
    <w:abstractNumId w:val="30"/>
  </w:num>
  <w:num w:numId="9">
    <w:abstractNumId w:val="10"/>
  </w:num>
  <w:num w:numId="10">
    <w:abstractNumId w:val="33"/>
  </w:num>
  <w:num w:numId="11">
    <w:abstractNumId w:val="17"/>
  </w:num>
  <w:num w:numId="12">
    <w:abstractNumId w:val="16"/>
  </w:num>
  <w:num w:numId="13">
    <w:abstractNumId w:val="27"/>
  </w:num>
  <w:num w:numId="14">
    <w:abstractNumId w:val="8"/>
  </w:num>
  <w:num w:numId="15">
    <w:abstractNumId w:val="26"/>
  </w:num>
  <w:num w:numId="16">
    <w:abstractNumId w:val="15"/>
  </w:num>
  <w:num w:numId="17">
    <w:abstractNumId w:val="13"/>
  </w:num>
  <w:num w:numId="18">
    <w:abstractNumId w:val="9"/>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9">
    <w:abstractNumId w:val="23"/>
  </w:num>
  <w:num w:numId="20">
    <w:abstractNumId w:val="18"/>
  </w:num>
  <w:num w:numId="21">
    <w:abstractNumId w:val="14"/>
  </w:num>
  <w:num w:numId="22">
    <w:abstractNumId w:val="11"/>
  </w:num>
  <w:num w:numId="23">
    <w:abstractNumId w:val="28"/>
  </w:num>
  <w:num w:numId="24">
    <w:abstractNumId w:val="19"/>
  </w:num>
  <w:num w:numId="25">
    <w:abstractNumId w:val="41"/>
  </w:num>
  <w:num w:numId="26">
    <w:abstractNumId w:val="35"/>
  </w:num>
  <w:num w:numId="27">
    <w:abstractNumId w:val="40"/>
  </w:num>
  <w:num w:numId="28">
    <w:abstractNumId w:val="20"/>
  </w:num>
  <w:num w:numId="29">
    <w:abstractNumId w:val="43"/>
  </w:num>
  <w:num w:numId="30">
    <w:abstractNumId w:val="31"/>
  </w:num>
  <w:num w:numId="31">
    <w:abstractNumId w:val="12"/>
  </w:num>
  <w:num w:numId="32">
    <w:abstractNumId w:val="44"/>
  </w:num>
  <w:num w:numId="33">
    <w:abstractNumId w:val="39"/>
  </w:num>
  <w:num w:numId="34">
    <w:abstractNumId w:val="5"/>
  </w:num>
  <w:num w:numId="35">
    <w:abstractNumId w:val="46"/>
  </w:num>
  <w:num w:numId="36">
    <w:abstractNumId w:val="42"/>
  </w:num>
  <w:num w:numId="37">
    <w:abstractNumId w:val="36"/>
  </w:num>
  <w:num w:numId="38">
    <w:abstractNumId w:val="37"/>
  </w:num>
  <w:num w:numId="39">
    <w:abstractNumId w:val="4"/>
  </w:num>
  <w:num w:numId="40">
    <w:abstractNumId w:val="6"/>
  </w:num>
  <w:num w:numId="41">
    <w:abstractNumId w:val="25"/>
  </w:num>
  <w:num w:numId="42">
    <w:abstractNumId w:val="7"/>
  </w:num>
  <w:num w:numId="43">
    <w:abstractNumId w:val="3"/>
  </w:num>
  <w:num w:numId="44">
    <w:abstractNumId w:val="38"/>
  </w:num>
  <w:num w:numId="45">
    <w:abstractNumId w:val="0"/>
  </w:num>
  <w:num w:numId="46">
    <w:abstractNumId w:val="14"/>
  </w:num>
  <w:num w:numId="47">
    <w:abstractNumId w:val="48"/>
  </w:num>
  <w:num w:numId="48">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9">
    <w:abstractNumId w:val="11"/>
  </w:num>
  <w:num w:numId="50">
    <w:abstractNumId w:val="28"/>
  </w:num>
  <w:num w:numId="51">
    <w:abstractNumId w:val="24"/>
  </w:num>
  <w:num w:numId="52">
    <w:abstractNumId w:val="21"/>
  </w:num>
  <w:num w:numId="53">
    <w:abstractNumId w:val="2"/>
  </w:num>
  <w:numIdMacAtCleanup w:val="5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138E"/>
    <w:rsid w:val="00002C7A"/>
    <w:rsid w:val="000045B8"/>
    <w:rsid w:val="00012B16"/>
    <w:rsid w:val="00020EEC"/>
    <w:rsid w:val="0002440E"/>
    <w:rsid w:val="0002759A"/>
    <w:rsid w:val="00027B1F"/>
    <w:rsid w:val="0003088B"/>
    <w:rsid w:val="000325D9"/>
    <w:rsid w:val="000372B2"/>
    <w:rsid w:val="0004079F"/>
    <w:rsid w:val="00043543"/>
    <w:rsid w:val="00045B87"/>
    <w:rsid w:val="00045C07"/>
    <w:rsid w:val="00045C40"/>
    <w:rsid w:val="00046861"/>
    <w:rsid w:val="00054A07"/>
    <w:rsid w:val="00055D43"/>
    <w:rsid w:val="00056FAC"/>
    <w:rsid w:val="00057751"/>
    <w:rsid w:val="00062E39"/>
    <w:rsid w:val="00064063"/>
    <w:rsid w:val="0006581A"/>
    <w:rsid w:val="00074461"/>
    <w:rsid w:val="000766EC"/>
    <w:rsid w:val="00080E58"/>
    <w:rsid w:val="00083D99"/>
    <w:rsid w:val="00084DA6"/>
    <w:rsid w:val="00085699"/>
    <w:rsid w:val="00090160"/>
    <w:rsid w:val="00091F52"/>
    <w:rsid w:val="00092970"/>
    <w:rsid w:val="00093720"/>
    <w:rsid w:val="000938E6"/>
    <w:rsid w:val="00093B3C"/>
    <w:rsid w:val="0009488C"/>
    <w:rsid w:val="00095C1B"/>
    <w:rsid w:val="00096DEA"/>
    <w:rsid w:val="000A4240"/>
    <w:rsid w:val="000A469A"/>
    <w:rsid w:val="000A584A"/>
    <w:rsid w:val="000A6458"/>
    <w:rsid w:val="000C378F"/>
    <w:rsid w:val="000C6892"/>
    <w:rsid w:val="000C6FFE"/>
    <w:rsid w:val="000D0BB6"/>
    <w:rsid w:val="000D2ED2"/>
    <w:rsid w:val="000D6653"/>
    <w:rsid w:val="000E0D51"/>
    <w:rsid w:val="000E178A"/>
    <w:rsid w:val="000E26B0"/>
    <w:rsid w:val="000E37C2"/>
    <w:rsid w:val="000E38C3"/>
    <w:rsid w:val="000F1599"/>
    <w:rsid w:val="000F1769"/>
    <w:rsid w:val="000F1A97"/>
    <w:rsid w:val="000F42AE"/>
    <w:rsid w:val="000F6196"/>
    <w:rsid w:val="000F6BC3"/>
    <w:rsid w:val="0010312C"/>
    <w:rsid w:val="00105026"/>
    <w:rsid w:val="0010662B"/>
    <w:rsid w:val="00106DC7"/>
    <w:rsid w:val="00112391"/>
    <w:rsid w:val="00114F52"/>
    <w:rsid w:val="00130119"/>
    <w:rsid w:val="00132812"/>
    <w:rsid w:val="001347F8"/>
    <w:rsid w:val="001359EE"/>
    <w:rsid w:val="00137BB5"/>
    <w:rsid w:val="00137E05"/>
    <w:rsid w:val="001447F6"/>
    <w:rsid w:val="00147DE3"/>
    <w:rsid w:val="00150794"/>
    <w:rsid w:val="00151DA6"/>
    <w:rsid w:val="001608C4"/>
    <w:rsid w:val="00164832"/>
    <w:rsid w:val="00171418"/>
    <w:rsid w:val="001772BF"/>
    <w:rsid w:val="001772DE"/>
    <w:rsid w:val="0019496C"/>
    <w:rsid w:val="001961CF"/>
    <w:rsid w:val="001A59BB"/>
    <w:rsid w:val="001A607E"/>
    <w:rsid w:val="001A6A51"/>
    <w:rsid w:val="001A79C4"/>
    <w:rsid w:val="001B331A"/>
    <w:rsid w:val="001C0237"/>
    <w:rsid w:val="001C0E74"/>
    <w:rsid w:val="001C3E71"/>
    <w:rsid w:val="001C4DB8"/>
    <w:rsid w:val="001C50B8"/>
    <w:rsid w:val="001D229F"/>
    <w:rsid w:val="001E2EB6"/>
    <w:rsid w:val="001F4552"/>
    <w:rsid w:val="002019EB"/>
    <w:rsid w:val="00204B58"/>
    <w:rsid w:val="00205051"/>
    <w:rsid w:val="00211F65"/>
    <w:rsid w:val="00214047"/>
    <w:rsid w:val="00216563"/>
    <w:rsid w:val="0021792F"/>
    <w:rsid w:val="00220D06"/>
    <w:rsid w:val="002246A0"/>
    <w:rsid w:val="00230439"/>
    <w:rsid w:val="00232A09"/>
    <w:rsid w:val="00235176"/>
    <w:rsid w:val="00236061"/>
    <w:rsid w:val="0024100E"/>
    <w:rsid w:val="00241C1B"/>
    <w:rsid w:val="0024288B"/>
    <w:rsid w:val="00243DB0"/>
    <w:rsid w:val="00247265"/>
    <w:rsid w:val="0025342E"/>
    <w:rsid w:val="00260663"/>
    <w:rsid w:val="002657E9"/>
    <w:rsid w:val="0026665E"/>
    <w:rsid w:val="0027147E"/>
    <w:rsid w:val="002761F4"/>
    <w:rsid w:val="002775E1"/>
    <w:rsid w:val="00277979"/>
    <w:rsid w:val="00291ADD"/>
    <w:rsid w:val="002920DF"/>
    <w:rsid w:val="00292F3D"/>
    <w:rsid w:val="00295CA1"/>
    <w:rsid w:val="002A0E51"/>
    <w:rsid w:val="002A1A44"/>
    <w:rsid w:val="002A291A"/>
    <w:rsid w:val="002A2C54"/>
    <w:rsid w:val="002A4E2E"/>
    <w:rsid w:val="002A5604"/>
    <w:rsid w:val="002A7FB2"/>
    <w:rsid w:val="002B1701"/>
    <w:rsid w:val="002B23C3"/>
    <w:rsid w:val="002B443A"/>
    <w:rsid w:val="002B5B35"/>
    <w:rsid w:val="002B7AEE"/>
    <w:rsid w:val="002C2536"/>
    <w:rsid w:val="002C256A"/>
    <w:rsid w:val="002C3031"/>
    <w:rsid w:val="002C4233"/>
    <w:rsid w:val="002C496D"/>
    <w:rsid w:val="002D05EB"/>
    <w:rsid w:val="002D11A8"/>
    <w:rsid w:val="002D2F29"/>
    <w:rsid w:val="002D46C0"/>
    <w:rsid w:val="002D5A92"/>
    <w:rsid w:val="002D65D2"/>
    <w:rsid w:val="002D6B31"/>
    <w:rsid w:val="002E5A02"/>
    <w:rsid w:val="002E6D17"/>
    <w:rsid w:val="002E7017"/>
    <w:rsid w:val="002E7F2C"/>
    <w:rsid w:val="002F1FC7"/>
    <w:rsid w:val="002F2185"/>
    <w:rsid w:val="002F4F6E"/>
    <w:rsid w:val="003015C3"/>
    <w:rsid w:val="003106DB"/>
    <w:rsid w:val="0031350A"/>
    <w:rsid w:val="00316815"/>
    <w:rsid w:val="003168CA"/>
    <w:rsid w:val="00321255"/>
    <w:rsid w:val="0032230D"/>
    <w:rsid w:val="00322A0B"/>
    <w:rsid w:val="00330881"/>
    <w:rsid w:val="00331CD2"/>
    <w:rsid w:val="00332426"/>
    <w:rsid w:val="00335C41"/>
    <w:rsid w:val="00335FC5"/>
    <w:rsid w:val="0033771E"/>
    <w:rsid w:val="00337FEF"/>
    <w:rsid w:val="00354B6D"/>
    <w:rsid w:val="00355210"/>
    <w:rsid w:val="00355CFD"/>
    <w:rsid w:val="00365DF9"/>
    <w:rsid w:val="0037066E"/>
    <w:rsid w:val="00372DB4"/>
    <w:rsid w:val="00373A36"/>
    <w:rsid w:val="0037419E"/>
    <w:rsid w:val="00375AF5"/>
    <w:rsid w:val="003761BD"/>
    <w:rsid w:val="00377448"/>
    <w:rsid w:val="00377884"/>
    <w:rsid w:val="003826BD"/>
    <w:rsid w:val="00385414"/>
    <w:rsid w:val="00390074"/>
    <w:rsid w:val="00392F73"/>
    <w:rsid w:val="00393600"/>
    <w:rsid w:val="0039762B"/>
    <w:rsid w:val="003A0C37"/>
    <w:rsid w:val="003A1B6B"/>
    <w:rsid w:val="003A46C0"/>
    <w:rsid w:val="003A600E"/>
    <w:rsid w:val="003A6513"/>
    <w:rsid w:val="003B16C7"/>
    <w:rsid w:val="003B29BC"/>
    <w:rsid w:val="003B3115"/>
    <w:rsid w:val="003C19F1"/>
    <w:rsid w:val="003C3C67"/>
    <w:rsid w:val="003C4186"/>
    <w:rsid w:val="003C6185"/>
    <w:rsid w:val="003D0D2D"/>
    <w:rsid w:val="003D1885"/>
    <w:rsid w:val="003D1BC0"/>
    <w:rsid w:val="003D20F1"/>
    <w:rsid w:val="003D4710"/>
    <w:rsid w:val="003E16D7"/>
    <w:rsid w:val="003E197E"/>
    <w:rsid w:val="003E4B70"/>
    <w:rsid w:val="003E54CF"/>
    <w:rsid w:val="003E5FBA"/>
    <w:rsid w:val="003F1233"/>
    <w:rsid w:val="003F67A4"/>
    <w:rsid w:val="00400786"/>
    <w:rsid w:val="00401FDA"/>
    <w:rsid w:val="004046F0"/>
    <w:rsid w:val="0040668F"/>
    <w:rsid w:val="00411EF7"/>
    <w:rsid w:val="00412677"/>
    <w:rsid w:val="00425160"/>
    <w:rsid w:val="0042595C"/>
    <w:rsid w:val="00430DE3"/>
    <w:rsid w:val="004348AE"/>
    <w:rsid w:val="004376C0"/>
    <w:rsid w:val="0044223A"/>
    <w:rsid w:val="00450B67"/>
    <w:rsid w:val="00451851"/>
    <w:rsid w:val="0045189A"/>
    <w:rsid w:val="00453343"/>
    <w:rsid w:val="004538C3"/>
    <w:rsid w:val="004608B9"/>
    <w:rsid w:val="00463B55"/>
    <w:rsid w:val="00465947"/>
    <w:rsid w:val="004667B1"/>
    <w:rsid w:val="00467F66"/>
    <w:rsid w:val="00470461"/>
    <w:rsid w:val="00470BB1"/>
    <w:rsid w:val="00473153"/>
    <w:rsid w:val="0047350F"/>
    <w:rsid w:val="004743AF"/>
    <w:rsid w:val="00482C17"/>
    <w:rsid w:val="00484CE3"/>
    <w:rsid w:val="004911B4"/>
    <w:rsid w:val="0049196A"/>
    <w:rsid w:val="004923DA"/>
    <w:rsid w:val="00492EEB"/>
    <w:rsid w:val="00493434"/>
    <w:rsid w:val="004968E2"/>
    <w:rsid w:val="004A2A49"/>
    <w:rsid w:val="004A5A64"/>
    <w:rsid w:val="004B5553"/>
    <w:rsid w:val="004B600B"/>
    <w:rsid w:val="004B6822"/>
    <w:rsid w:val="004B69F6"/>
    <w:rsid w:val="004C2D3A"/>
    <w:rsid w:val="004D03C4"/>
    <w:rsid w:val="004D0BF1"/>
    <w:rsid w:val="004D0F4E"/>
    <w:rsid w:val="004D3278"/>
    <w:rsid w:val="004D35A4"/>
    <w:rsid w:val="004D445F"/>
    <w:rsid w:val="004E087B"/>
    <w:rsid w:val="004E44A4"/>
    <w:rsid w:val="004E7B8B"/>
    <w:rsid w:val="004E7BDD"/>
    <w:rsid w:val="004F1966"/>
    <w:rsid w:val="004F1E21"/>
    <w:rsid w:val="004F2542"/>
    <w:rsid w:val="004F4E33"/>
    <w:rsid w:val="004F740D"/>
    <w:rsid w:val="004F7B8F"/>
    <w:rsid w:val="00500748"/>
    <w:rsid w:val="005011D6"/>
    <w:rsid w:val="00502A14"/>
    <w:rsid w:val="005042F1"/>
    <w:rsid w:val="0050481B"/>
    <w:rsid w:val="005113D4"/>
    <w:rsid w:val="0051287D"/>
    <w:rsid w:val="00513C7D"/>
    <w:rsid w:val="00521123"/>
    <w:rsid w:val="00521221"/>
    <w:rsid w:val="0052250B"/>
    <w:rsid w:val="005305C6"/>
    <w:rsid w:val="00540EEC"/>
    <w:rsid w:val="005414F4"/>
    <w:rsid w:val="00546187"/>
    <w:rsid w:val="00547B11"/>
    <w:rsid w:val="00557D77"/>
    <w:rsid w:val="00562EAA"/>
    <w:rsid w:val="00563B58"/>
    <w:rsid w:val="005640C4"/>
    <w:rsid w:val="0056684C"/>
    <w:rsid w:val="00574A0C"/>
    <w:rsid w:val="0057780F"/>
    <w:rsid w:val="00581E0A"/>
    <w:rsid w:val="00586D89"/>
    <w:rsid w:val="005877C8"/>
    <w:rsid w:val="00587923"/>
    <w:rsid w:val="00594F9F"/>
    <w:rsid w:val="005A1B4C"/>
    <w:rsid w:val="005A545C"/>
    <w:rsid w:val="005B271A"/>
    <w:rsid w:val="005B3A2D"/>
    <w:rsid w:val="005C1567"/>
    <w:rsid w:val="005C28D3"/>
    <w:rsid w:val="005C6CE5"/>
    <w:rsid w:val="005D3F07"/>
    <w:rsid w:val="005D4A1E"/>
    <w:rsid w:val="005D4F72"/>
    <w:rsid w:val="005E13EA"/>
    <w:rsid w:val="005E17F1"/>
    <w:rsid w:val="005F64AA"/>
    <w:rsid w:val="005F7851"/>
    <w:rsid w:val="00606E27"/>
    <w:rsid w:val="006108C9"/>
    <w:rsid w:val="00614DF7"/>
    <w:rsid w:val="006179BB"/>
    <w:rsid w:val="0062158D"/>
    <w:rsid w:val="006223FD"/>
    <w:rsid w:val="006326D1"/>
    <w:rsid w:val="00632E0A"/>
    <w:rsid w:val="00633165"/>
    <w:rsid w:val="006447DE"/>
    <w:rsid w:val="00644889"/>
    <w:rsid w:val="0065276E"/>
    <w:rsid w:val="00654329"/>
    <w:rsid w:val="00654CEC"/>
    <w:rsid w:val="00655507"/>
    <w:rsid w:val="006579FD"/>
    <w:rsid w:val="006635E3"/>
    <w:rsid w:val="006669F3"/>
    <w:rsid w:val="006712A7"/>
    <w:rsid w:val="00672CED"/>
    <w:rsid w:val="00674FC2"/>
    <w:rsid w:val="00676E35"/>
    <w:rsid w:val="00677E42"/>
    <w:rsid w:val="00681A0F"/>
    <w:rsid w:val="00682334"/>
    <w:rsid w:val="00684732"/>
    <w:rsid w:val="00684B16"/>
    <w:rsid w:val="00687016"/>
    <w:rsid w:val="006872A0"/>
    <w:rsid w:val="0069625A"/>
    <w:rsid w:val="00696A88"/>
    <w:rsid w:val="00696F65"/>
    <w:rsid w:val="00697572"/>
    <w:rsid w:val="006B4496"/>
    <w:rsid w:val="006B5E67"/>
    <w:rsid w:val="006B6612"/>
    <w:rsid w:val="006C2EB5"/>
    <w:rsid w:val="006D18A3"/>
    <w:rsid w:val="006D5970"/>
    <w:rsid w:val="006E481E"/>
    <w:rsid w:val="006E795F"/>
    <w:rsid w:val="006F0862"/>
    <w:rsid w:val="006F1438"/>
    <w:rsid w:val="006F2A9E"/>
    <w:rsid w:val="006F5ED3"/>
    <w:rsid w:val="00700249"/>
    <w:rsid w:val="007069CD"/>
    <w:rsid w:val="00706BB5"/>
    <w:rsid w:val="0071231A"/>
    <w:rsid w:val="00712E90"/>
    <w:rsid w:val="00713B7E"/>
    <w:rsid w:val="0072678F"/>
    <w:rsid w:val="007276E5"/>
    <w:rsid w:val="00727C4C"/>
    <w:rsid w:val="00734809"/>
    <w:rsid w:val="0073714E"/>
    <w:rsid w:val="007374EF"/>
    <w:rsid w:val="007406E1"/>
    <w:rsid w:val="00743E40"/>
    <w:rsid w:val="00745016"/>
    <w:rsid w:val="0075031F"/>
    <w:rsid w:val="00751263"/>
    <w:rsid w:val="007544FC"/>
    <w:rsid w:val="00755427"/>
    <w:rsid w:val="00756548"/>
    <w:rsid w:val="0075673A"/>
    <w:rsid w:val="0075704F"/>
    <w:rsid w:val="00763B2D"/>
    <w:rsid w:val="00764C84"/>
    <w:rsid w:val="007710AD"/>
    <w:rsid w:val="00772924"/>
    <w:rsid w:val="0078112D"/>
    <w:rsid w:val="007872F2"/>
    <w:rsid w:val="007873F9"/>
    <w:rsid w:val="007908E0"/>
    <w:rsid w:val="00793EB3"/>
    <w:rsid w:val="00794205"/>
    <w:rsid w:val="0079422A"/>
    <w:rsid w:val="007A1F6A"/>
    <w:rsid w:val="007A628F"/>
    <w:rsid w:val="007B0DE3"/>
    <w:rsid w:val="007B1BFD"/>
    <w:rsid w:val="007B7191"/>
    <w:rsid w:val="007C1D94"/>
    <w:rsid w:val="007C556F"/>
    <w:rsid w:val="007C5ABE"/>
    <w:rsid w:val="007C6A87"/>
    <w:rsid w:val="007D0A07"/>
    <w:rsid w:val="007D0F11"/>
    <w:rsid w:val="007D133D"/>
    <w:rsid w:val="007D3EB4"/>
    <w:rsid w:val="007D3F16"/>
    <w:rsid w:val="007F10BD"/>
    <w:rsid w:val="007F312E"/>
    <w:rsid w:val="007F3F7E"/>
    <w:rsid w:val="007F4BA4"/>
    <w:rsid w:val="00813CEC"/>
    <w:rsid w:val="0081534C"/>
    <w:rsid w:val="00816CE7"/>
    <w:rsid w:val="008171E4"/>
    <w:rsid w:val="008208EA"/>
    <w:rsid w:val="00822B44"/>
    <w:rsid w:val="00824E67"/>
    <w:rsid w:val="00825A64"/>
    <w:rsid w:val="00826F48"/>
    <w:rsid w:val="008308AE"/>
    <w:rsid w:val="00830DD1"/>
    <w:rsid w:val="0083166E"/>
    <w:rsid w:val="00831DC3"/>
    <w:rsid w:val="008322C7"/>
    <w:rsid w:val="008340BA"/>
    <w:rsid w:val="00834F1D"/>
    <w:rsid w:val="00836FEC"/>
    <w:rsid w:val="00841F9D"/>
    <w:rsid w:val="008420E1"/>
    <w:rsid w:val="00844D98"/>
    <w:rsid w:val="00846D84"/>
    <w:rsid w:val="008471FC"/>
    <w:rsid w:val="00850233"/>
    <w:rsid w:val="0085230E"/>
    <w:rsid w:val="008550A1"/>
    <w:rsid w:val="00861038"/>
    <w:rsid w:val="00865B58"/>
    <w:rsid w:val="00866B50"/>
    <w:rsid w:val="00867A63"/>
    <w:rsid w:val="008708F1"/>
    <w:rsid w:val="00871960"/>
    <w:rsid w:val="0087369F"/>
    <w:rsid w:val="00880539"/>
    <w:rsid w:val="008859E8"/>
    <w:rsid w:val="0088737B"/>
    <w:rsid w:val="00891078"/>
    <w:rsid w:val="00892716"/>
    <w:rsid w:val="00893067"/>
    <w:rsid w:val="008933DE"/>
    <w:rsid w:val="00895FCE"/>
    <w:rsid w:val="00897F3E"/>
    <w:rsid w:val="008A21B4"/>
    <w:rsid w:val="008B07DE"/>
    <w:rsid w:val="008B1309"/>
    <w:rsid w:val="008B28E7"/>
    <w:rsid w:val="008B67F6"/>
    <w:rsid w:val="008C14C7"/>
    <w:rsid w:val="008C2FFB"/>
    <w:rsid w:val="008C633F"/>
    <w:rsid w:val="008C6EEA"/>
    <w:rsid w:val="008C7770"/>
    <w:rsid w:val="008C79C7"/>
    <w:rsid w:val="008D03B0"/>
    <w:rsid w:val="008D2150"/>
    <w:rsid w:val="008D5813"/>
    <w:rsid w:val="008D5999"/>
    <w:rsid w:val="008D634E"/>
    <w:rsid w:val="008D778A"/>
    <w:rsid w:val="008D78C9"/>
    <w:rsid w:val="008E3195"/>
    <w:rsid w:val="008E5A35"/>
    <w:rsid w:val="008F127E"/>
    <w:rsid w:val="008F32D9"/>
    <w:rsid w:val="00902A65"/>
    <w:rsid w:val="00903932"/>
    <w:rsid w:val="009079BD"/>
    <w:rsid w:val="00912BD9"/>
    <w:rsid w:val="00916FB2"/>
    <w:rsid w:val="00920E5B"/>
    <w:rsid w:val="00926436"/>
    <w:rsid w:val="00926C53"/>
    <w:rsid w:val="0093018C"/>
    <w:rsid w:val="0094495F"/>
    <w:rsid w:val="009544C0"/>
    <w:rsid w:val="00954FA4"/>
    <w:rsid w:val="00956AE9"/>
    <w:rsid w:val="00964CC6"/>
    <w:rsid w:val="00967BFA"/>
    <w:rsid w:val="0098262C"/>
    <w:rsid w:val="00983858"/>
    <w:rsid w:val="0098427C"/>
    <w:rsid w:val="00986B43"/>
    <w:rsid w:val="00986C0B"/>
    <w:rsid w:val="00986D46"/>
    <w:rsid w:val="00991FDA"/>
    <w:rsid w:val="00992ACA"/>
    <w:rsid w:val="009A5F3B"/>
    <w:rsid w:val="009A5F79"/>
    <w:rsid w:val="009A6F87"/>
    <w:rsid w:val="009B0B61"/>
    <w:rsid w:val="009B28C0"/>
    <w:rsid w:val="009B3178"/>
    <w:rsid w:val="009B3E46"/>
    <w:rsid w:val="009B7136"/>
    <w:rsid w:val="009C337F"/>
    <w:rsid w:val="009C53E7"/>
    <w:rsid w:val="009C6092"/>
    <w:rsid w:val="009C7342"/>
    <w:rsid w:val="009D4365"/>
    <w:rsid w:val="009D477B"/>
    <w:rsid w:val="009D4E3B"/>
    <w:rsid w:val="009D59C2"/>
    <w:rsid w:val="009D7BC9"/>
    <w:rsid w:val="009E122F"/>
    <w:rsid w:val="009E1982"/>
    <w:rsid w:val="009E4D2C"/>
    <w:rsid w:val="009F0978"/>
    <w:rsid w:val="009F3AEC"/>
    <w:rsid w:val="009F6801"/>
    <w:rsid w:val="00A00081"/>
    <w:rsid w:val="00A06422"/>
    <w:rsid w:val="00A10D56"/>
    <w:rsid w:val="00A12AAE"/>
    <w:rsid w:val="00A12F22"/>
    <w:rsid w:val="00A141EA"/>
    <w:rsid w:val="00A16DD1"/>
    <w:rsid w:val="00A22441"/>
    <w:rsid w:val="00A23F3B"/>
    <w:rsid w:val="00A24406"/>
    <w:rsid w:val="00A25F64"/>
    <w:rsid w:val="00A275F6"/>
    <w:rsid w:val="00A303B9"/>
    <w:rsid w:val="00A37416"/>
    <w:rsid w:val="00A40ED6"/>
    <w:rsid w:val="00A47621"/>
    <w:rsid w:val="00A479CD"/>
    <w:rsid w:val="00A50CFC"/>
    <w:rsid w:val="00A54D67"/>
    <w:rsid w:val="00A55A3F"/>
    <w:rsid w:val="00A5656A"/>
    <w:rsid w:val="00A60103"/>
    <w:rsid w:val="00A652F6"/>
    <w:rsid w:val="00A65861"/>
    <w:rsid w:val="00A732EA"/>
    <w:rsid w:val="00A7489E"/>
    <w:rsid w:val="00A8015F"/>
    <w:rsid w:val="00A85039"/>
    <w:rsid w:val="00A906AA"/>
    <w:rsid w:val="00A9482F"/>
    <w:rsid w:val="00A94C5E"/>
    <w:rsid w:val="00AA252C"/>
    <w:rsid w:val="00AA666E"/>
    <w:rsid w:val="00AA7960"/>
    <w:rsid w:val="00AB5518"/>
    <w:rsid w:val="00AC3A0E"/>
    <w:rsid w:val="00AC4A04"/>
    <w:rsid w:val="00AC5679"/>
    <w:rsid w:val="00AD336F"/>
    <w:rsid w:val="00AE134C"/>
    <w:rsid w:val="00AE1868"/>
    <w:rsid w:val="00AE2564"/>
    <w:rsid w:val="00AE301F"/>
    <w:rsid w:val="00AE3302"/>
    <w:rsid w:val="00AE5BA6"/>
    <w:rsid w:val="00AE6231"/>
    <w:rsid w:val="00AE7077"/>
    <w:rsid w:val="00AF61C2"/>
    <w:rsid w:val="00AF6CC6"/>
    <w:rsid w:val="00B0296A"/>
    <w:rsid w:val="00B037B0"/>
    <w:rsid w:val="00B07E79"/>
    <w:rsid w:val="00B12295"/>
    <w:rsid w:val="00B137BE"/>
    <w:rsid w:val="00B15998"/>
    <w:rsid w:val="00B17FA0"/>
    <w:rsid w:val="00B2292C"/>
    <w:rsid w:val="00B22C3C"/>
    <w:rsid w:val="00B24344"/>
    <w:rsid w:val="00B26769"/>
    <w:rsid w:val="00B2754B"/>
    <w:rsid w:val="00B31C91"/>
    <w:rsid w:val="00B3747F"/>
    <w:rsid w:val="00B42E76"/>
    <w:rsid w:val="00B43194"/>
    <w:rsid w:val="00B436BF"/>
    <w:rsid w:val="00B47734"/>
    <w:rsid w:val="00B50FBA"/>
    <w:rsid w:val="00B558EB"/>
    <w:rsid w:val="00B577D3"/>
    <w:rsid w:val="00B60466"/>
    <w:rsid w:val="00B6548F"/>
    <w:rsid w:val="00B71A32"/>
    <w:rsid w:val="00B7502A"/>
    <w:rsid w:val="00B77305"/>
    <w:rsid w:val="00B774BD"/>
    <w:rsid w:val="00B82CC2"/>
    <w:rsid w:val="00B84A89"/>
    <w:rsid w:val="00B9256C"/>
    <w:rsid w:val="00B92BEF"/>
    <w:rsid w:val="00B94443"/>
    <w:rsid w:val="00B9689A"/>
    <w:rsid w:val="00B97056"/>
    <w:rsid w:val="00BA531E"/>
    <w:rsid w:val="00BA728B"/>
    <w:rsid w:val="00BB06CB"/>
    <w:rsid w:val="00BB261F"/>
    <w:rsid w:val="00BB2887"/>
    <w:rsid w:val="00BB3B56"/>
    <w:rsid w:val="00BB5EAA"/>
    <w:rsid w:val="00BB5F11"/>
    <w:rsid w:val="00BB6638"/>
    <w:rsid w:val="00BB7FD2"/>
    <w:rsid w:val="00BC04FA"/>
    <w:rsid w:val="00BC1C22"/>
    <w:rsid w:val="00BC460B"/>
    <w:rsid w:val="00BC4ED3"/>
    <w:rsid w:val="00BC562B"/>
    <w:rsid w:val="00BC5725"/>
    <w:rsid w:val="00BD30B1"/>
    <w:rsid w:val="00BE0F7B"/>
    <w:rsid w:val="00BE10C2"/>
    <w:rsid w:val="00BE2CA9"/>
    <w:rsid w:val="00BF0D6C"/>
    <w:rsid w:val="00C01D14"/>
    <w:rsid w:val="00C01D97"/>
    <w:rsid w:val="00C025B4"/>
    <w:rsid w:val="00C029EC"/>
    <w:rsid w:val="00C161FD"/>
    <w:rsid w:val="00C17C9F"/>
    <w:rsid w:val="00C21FCC"/>
    <w:rsid w:val="00C23F17"/>
    <w:rsid w:val="00C246F2"/>
    <w:rsid w:val="00C26D0D"/>
    <w:rsid w:val="00C27C95"/>
    <w:rsid w:val="00C300D2"/>
    <w:rsid w:val="00C3270F"/>
    <w:rsid w:val="00C3278B"/>
    <w:rsid w:val="00C33375"/>
    <w:rsid w:val="00C34C23"/>
    <w:rsid w:val="00C368FA"/>
    <w:rsid w:val="00C42005"/>
    <w:rsid w:val="00C4664D"/>
    <w:rsid w:val="00C472AA"/>
    <w:rsid w:val="00C50A05"/>
    <w:rsid w:val="00C54AED"/>
    <w:rsid w:val="00C555FC"/>
    <w:rsid w:val="00C55E9B"/>
    <w:rsid w:val="00C56D09"/>
    <w:rsid w:val="00C57D24"/>
    <w:rsid w:val="00C604D6"/>
    <w:rsid w:val="00C63CAB"/>
    <w:rsid w:val="00C63D00"/>
    <w:rsid w:val="00C6441B"/>
    <w:rsid w:val="00C65921"/>
    <w:rsid w:val="00C7108B"/>
    <w:rsid w:val="00C75883"/>
    <w:rsid w:val="00C77FA5"/>
    <w:rsid w:val="00C8089F"/>
    <w:rsid w:val="00C835FE"/>
    <w:rsid w:val="00C836CC"/>
    <w:rsid w:val="00C852D6"/>
    <w:rsid w:val="00C87A74"/>
    <w:rsid w:val="00C92C71"/>
    <w:rsid w:val="00C93F8F"/>
    <w:rsid w:val="00CA0894"/>
    <w:rsid w:val="00CA3593"/>
    <w:rsid w:val="00CA5726"/>
    <w:rsid w:val="00CA7E6A"/>
    <w:rsid w:val="00CB258E"/>
    <w:rsid w:val="00CB3C8F"/>
    <w:rsid w:val="00CC02F1"/>
    <w:rsid w:val="00CC1122"/>
    <w:rsid w:val="00CC11A6"/>
    <w:rsid w:val="00CC135E"/>
    <w:rsid w:val="00CC7226"/>
    <w:rsid w:val="00CD0735"/>
    <w:rsid w:val="00CD45E3"/>
    <w:rsid w:val="00CD4771"/>
    <w:rsid w:val="00CD5089"/>
    <w:rsid w:val="00CD5D3F"/>
    <w:rsid w:val="00CD7E1F"/>
    <w:rsid w:val="00CE4BC4"/>
    <w:rsid w:val="00CE7DA2"/>
    <w:rsid w:val="00CF2F8A"/>
    <w:rsid w:val="00CF3DB3"/>
    <w:rsid w:val="00D0274B"/>
    <w:rsid w:val="00D0503D"/>
    <w:rsid w:val="00D052BC"/>
    <w:rsid w:val="00D07026"/>
    <w:rsid w:val="00D13539"/>
    <w:rsid w:val="00D146AE"/>
    <w:rsid w:val="00D22C8F"/>
    <w:rsid w:val="00D3203C"/>
    <w:rsid w:val="00D33491"/>
    <w:rsid w:val="00D3442D"/>
    <w:rsid w:val="00D36F00"/>
    <w:rsid w:val="00D42619"/>
    <w:rsid w:val="00D44B67"/>
    <w:rsid w:val="00D44F8E"/>
    <w:rsid w:val="00D51FD5"/>
    <w:rsid w:val="00D55DE0"/>
    <w:rsid w:val="00D607EF"/>
    <w:rsid w:val="00D60F88"/>
    <w:rsid w:val="00D646BD"/>
    <w:rsid w:val="00D65558"/>
    <w:rsid w:val="00D71201"/>
    <w:rsid w:val="00D720C7"/>
    <w:rsid w:val="00D84841"/>
    <w:rsid w:val="00D876E6"/>
    <w:rsid w:val="00D90958"/>
    <w:rsid w:val="00DA1025"/>
    <w:rsid w:val="00DA22EC"/>
    <w:rsid w:val="00DA5682"/>
    <w:rsid w:val="00DA5860"/>
    <w:rsid w:val="00DA5C0C"/>
    <w:rsid w:val="00DB0B7D"/>
    <w:rsid w:val="00DB2767"/>
    <w:rsid w:val="00DC1B10"/>
    <w:rsid w:val="00DC2924"/>
    <w:rsid w:val="00DC4729"/>
    <w:rsid w:val="00DD2F0F"/>
    <w:rsid w:val="00DD31C5"/>
    <w:rsid w:val="00DD5020"/>
    <w:rsid w:val="00DD63BE"/>
    <w:rsid w:val="00DE4296"/>
    <w:rsid w:val="00DF2469"/>
    <w:rsid w:val="00DF7899"/>
    <w:rsid w:val="00E0524C"/>
    <w:rsid w:val="00E15751"/>
    <w:rsid w:val="00E17160"/>
    <w:rsid w:val="00E17D41"/>
    <w:rsid w:val="00E231D1"/>
    <w:rsid w:val="00E3288D"/>
    <w:rsid w:val="00E35112"/>
    <w:rsid w:val="00E35BEC"/>
    <w:rsid w:val="00E41A6A"/>
    <w:rsid w:val="00E50821"/>
    <w:rsid w:val="00E51F91"/>
    <w:rsid w:val="00E5498A"/>
    <w:rsid w:val="00E559CE"/>
    <w:rsid w:val="00E60F42"/>
    <w:rsid w:val="00E6746C"/>
    <w:rsid w:val="00E7086E"/>
    <w:rsid w:val="00E71248"/>
    <w:rsid w:val="00E73C41"/>
    <w:rsid w:val="00E75911"/>
    <w:rsid w:val="00E7598F"/>
    <w:rsid w:val="00E76F60"/>
    <w:rsid w:val="00E812B5"/>
    <w:rsid w:val="00E83D90"/>
    <w:rsid w:val="00E83F91"/>
    <w:rsid w:val="00E86299"/>
    <w:rsid w:val="00E9107A"/>
    <w:rsid w:val="00E91F62"/>
    <w:rsid w:val="00E929FD"/>
    <w:rsid w:val="00E93240"/>
    <w:rsid w:val="00E9479B"/>
    <w:rsid w:val="00E94E22"/>
    <w:rsid w:val="00E95F08"/>
    <w:rsid w:val="00E97171"/>
    <w:rsid w:val="00EA4D48"/>
    <w:rsid w:val="00EA7ADF"/>
    <w:rsid w:val="00EB2173"/>
    <w:rsid w:val="00EB62E6"/>
    <w:rsid w:val="00EB695F"/>
    <w:rsid w:val="00EC3A85"/>
    <w:rsid w:val="00EC4B89"/>
    <w:rsid w:val="00EC59A5"/>
    <w:rsid w:val="00EC6E15"/>
    <w:rsid w:val="00ED1B30"/>
    <w:rsid w:val="00ED5D03"/>
    <w:rsid w:val="00EE01ED"/>
    <w:rsid w:val="00EE1AC1"/>
    <w:rsid w:val="00EE39D6"/>
    <w:rsid w:val="00EE52AD"/>
    <w:rsid w:val="00EE5BC3"/>
    <w:rsid w:val="00EE6FAB"/>
    <w:rsid w:val="00EF328C"/>
    <w:rsid w:val="00EF68BB"/>
    <w:rsid w:val="00F01F92"/>
    <w:rsid w:val="00F030D4"/>
    <w:rsid w:val="00F04053"/>
    <w:rsid w:val="00F06573"/>
    <w:rsid w:val="00F10A08"/>
    <w:rsid w:val="00F10D66"/>
    <w:rsid w:val="00F15354"/>
    <w:rsid w:val="00F22AC5"/>
    <w:rsid w:val="00F254D1"/>
    <w:rsid w:val="00F32B82"/>
    <w:rsid w:val="00F34C86"/>
    <w:rsid w:val="00F4043E"/>
    <w:rsid w:val="00F41795"/>
    <w:rsid w:val="00F41BBC"/>
    <w:rsid w:val="00F444F0"/>
    <w:rsid w:val="00F446FF"/>
    <w:rsid w:val="00F45521"/>
    <w:rsid w:val="00F50847"/>
    <w:rsid w:val="00F53F27"/>
    <w:rsid w:val="00F546D1"/>
    <w:rsid w:val="00F60281"/>
    <w:rsid w:val="00F66272"/>
    <w:rsid w:val="00F709C0"/>
    <w:rsid w:val="00F81FEC"/>
    <w:rsid w:val="00F927A1"/>
    <w:rsid w:val="00F92E4D"/>
    <w:rsid w:val="00F95D08"/>
    <w:rsid w:val="00FA23BD"/>
    <w:rsid w:val="00FA3764"/>
    <w:rsid w:val="00FA41C7"/>
    <w:rsid w:val="00FA4A79"/>
    <w:rsid w:val="00FA56ED"/>
    <w:rsid w:val="00FB002C"/>
    <w:rsid w:val="00FB05DD"/>
    <w:rsid w:val="00FB0F7C"/>
    <w:rsid w:val="00FB24EA"/>
    <w:rsid w:val="00FB5FA6"/>
    <w:rsid w:val="00FC0334"/>
    <w:rsid w:val="00FC1310"/>
    <w:rsid w:val="00FC2FF3"/>
    <w:rsid w:val="00FC3263"/>
    <w:rsid w:val="00FC51F9"/>
    <w:rsid w:val="00FC5B40"/>
    <w:rsid w:val="00FC5FF8"/>
    <w:rsid w:val="00FD271B"/>
    <w:rsid w:val="00FD3D7C"/>
    <w:rsid w:val="00FD4F8F"/>
    <w:rsid w:val="00FE0C16"/>
    <w:rsid w:val="00FE14B1"/>
    <w:rsid w:val="00FE4D97"/>
    <w:rsid w:val="00FE5F90"/>
    <w:rsid w:val="00FF0070"/>
    <w:rsid w:val="00FF07C3"/>
    <w:rsid w:val="00FF5F6A"/>
    <w:rsid w:val="00FF7784"/>
    <w:rsid w:val="00FF7EBB"/>
    <w:rsid w:val="03CC700C"/>
    <w:rsid w:val="04770B8A"/>
    <w:rsid w:val="04D3B2CE"/>
    <w:rsid w:val="06783AA2"/>
    <w:rsid w:val="06F34FBA"/>
    <w:rsid w:val="07AF858D"/>
    <w:rsid w:val="0895A14B"/>
    <w:rsid w:val="0A27561F"/>
    <w:rsid w:val="0CE8605B"/>
    <w:rsid w:val="0D80B037"/>
    <w:rsid w:val="0D8C05F9"/>
    <w:rsid w:val="0EDBA8BD"/>
    <w:rsid w:val="0F2B140F"/>
    <w:rsid w:val="0F77E214"/>
    <w:rsid w:val="102A3950"/>
    <w:rsid w:val="10904BF9"/>
    <w:rsid w:val="129BB562"/>
    <w:rsid w:val="14E55E54"/>
    <w:rsid w:val="15B21EA4"/>
    <w:rsid w:val="1661DBBC"/>
    <w:rsid w:val="16BDB770"/>
    <w:rsid w:val="18FA07C0"/>
    <w:rsid w:val="19A0B2E9"/>
    <w:rsid w:val="1B0FBC5A"/>
    <w:rsid w:val="1D53B054"/>
    <w:rsid w:val="1D6670C0"/>
    <w:rsid w:val="21CFAFAE"/>
    <w:rsid w:val="230FA6B9"/>
    <w:rsid w:val="240100B1"/>
    <w:rsid w:val="24D4E93A"/>
    <w:rsid w:val="25F327FB"/>
    <w:rsid w:val="27B81414"/>
    <w:rsid w:val="289DDE72"/>
    <w:rsid w:val="28F1FF9E"/>
    <w:rsid w:val="2C030924"/>
    <w:rsid w:val="2CDFB560"/>
    <w:rsid w:val="2E55808E"/>
    <w:rsid w:val="2E5939F5"/>
    <w:rsid w:val="2F90E210"/>
    <w:rsid w:val="30A6948F"/>
    <w:rsid w:val="322513AD"/>
    <w:rsid w:val="3353280C"/>
    <w:rsid w:val="3498D05F"/>
    <w:rsid w:val="34A1032C"/>
    <w:rsid w:val="350F702B"/>
    <w:rsid w:val="3517D1D9"/>
    <w:rsid w:val="364AF8A5"/>
    <w:rsid w:val="39C47EB7"/>
    <w:rsid w:val="3B2446CA"/>
    <w:rsid w:val="3B2C4091"/>
    <w:rsid w:val="3BE7216C"/>
    <w:rsid w:val="3C06DA9E"/>
    <w:rsid w:val="3CA50B99"/>
    <w:rsid w:val="3CD2139F"/>
    <w:rsid w:val="3D962690"/>
    <w:rsid w:val="3EE31E8D"/>
    <w:rsid w:val="488A33B2"/>
    <w:rsid w:val="49FF326B"/>
    <w:rsid w:val="4A356110"/>
    <w:rsid w:val="4BCDE19D"/>
    <w:rsid w:val="4D2D8025"/>
    <w:rsid w:val="4EC15626"/>
    <w:rsid w:val="4EC4A02F"/>
    <w:rsid w:val="4ECF827F"/>
    <w:rsid w:val="513585DA"/>
    <w:rsid w:val="5158DB01"/>
    <w:rsid w:val="51C116BA"/>
    <w:rsid w:val="5329D3D3"/>
    <w:rsid w:val="534A9052"/>
    <w:rsid w:val="577E9AE8"/>
    <w:rsid w:val="59EF9C14"/>
    <w:rsid w:val="5A453747"/>
    <w:rsid w:val="5C371BFF"/>
    <w:rsid w:val="5EE62511"/>
    <w:rsid w:val="623F2A43"/>
    <w:rsid w:val="63A0D8E5"/>
    <w:rsid w:val="63A1FAF3"/>
    <w:rsid w:val="6531D631"/>
    <w:rsid w:val="678A7E8E"/>
    <w:rsid w:val="69904927"/>
    <w:rsid w:val="69CA8342"/>
    <w:rsid w:val="6A6BA477"/>
    <w:rsid w:val="6A854C79"/>
    <w:rsid w:val="6D1724F2"/>
    <w:rsid w:val="6D1B720D"/>
    <w:rsid w:val="6D4748C2"/>
    <w:rsid w:val="6DBA418C"/>
    <w:rsid w:val="6E4F6729"/>
    <w:rsid w:val="6EEF356E"/>
    <w:rsid w:val="72B097EA"/>
    <w:rsid w:val="732985A0"/>
    <w:rsid w:val="7331E4ED"/>
    <w:rsid w:val="7368B423"/>
    <w:rsid w:val="745329EC"/>
    <w:rsid w:val="748B3D85"/>
    <w:rsid w:val="756EEE2D"/>
    <w:rsid w:val="7645D2F6"/>
    <w:rsid w:val="77387C12"/>
    <w:rsid w:val="79F82AFD"/>
    <w:rsid w:val="7AAB400D"/>
    <w:rsid w:val="7AC29F21"/>
    <w:rsid w:val="7B2CF1A9"/>
    <w:rsid w:val="7E95C208"/>
    <w:rsid w:val="7E97696C"/>
    <w:rsid w:val="7F2B57DC"/>
    <w:rsid w:val="7FD8067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46E12A4"/>
  <w15:chartTrackingRefBased/>
  <w15:docId w15:val="{F677DC9E-46F3-4B80-9253-2422DE785A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lang w:val="x-none"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lang w:val="x-none" w:eastAsia="x-none"/>
    </w:r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rPr>
      <w:rFonts w:cs="Times New Roman"/>
      <w:lang w:val="x-none" w:eastAsia="x-none"/>
    </w:rPr>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rFonts w:cs="Times New Roman"/>
      <w:sz w:val="16"/>
      <w:szCs w:val="16"/>
      <w:lang w:val="x-none" w:eastAsia="x-none"/>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LightList-Accent31">
    <w:name w:val="Light List - Accent 31"/>
    <w:hidden/>
    <w:uiPriority w:val="99"/>
    <w:semiHidden/>
    <w:rsid w:val="004B6822"/>
    <w:rPr>
      <w:rFonts w:ascii="Arial" w:hAnsi="Arial" w:cs="Arial"/>
      <w:color w:val="000000"/>
    </w:rPr>
  </w:style>
  <w:style w:type="character" w:customStyle="1" w:styleId="FooterChar">
    <w:name w:val="Footer Char"/>
    <w:link w:val="Footer"/>
    <w:uiPriority w:val="99"/>
    <w:rsid w:val="00727C4C"/>
    <w:rPr>
      <w:rFonts w:ascii="Arial" w:hAnsi="Arial" w:cs="Arial"/>
      <w:color w:val="000000"/>
    </w:rPr>
  </w:style>
  <w:style w:type="paragraph" w:styleId="EndnoteText">
    <w:name w:val="endnote text"/>
    <w:basedOn w:val="Normal"/>
    <w:link w:val="EndnoteTextChar"/>
    <w:uiPriority w:val="99"/>
    <w:semiHidden/>
    <w:unhideWhenUsed/>
    <w:rsid w:val="00B2292C"/>
  </w:style>
  <w:style w:type="character" w:customStyle="1" w:styleId="EndnoteTextChar">
    <w:name w:val="Endnote Text Char"/>
    <w:link w:val="EndnoteText"/>
    <w:uiPriority w:val="99"/>
    <w:semiHidden/>
    <w:rsid w:val="00B2292C"/>
    <w:rPr>
      <w:rFonts w:ascii="Arial" w:hAnsi="Arial" w:cs="Arial"/>
      <w:color w:val="000000"/>
    </w:rPr>
  </w:style>
  <w:style w:type="character" w:styleId="EndnoteReference">
    <w:name w:val="endnote reference"/>
    <w:uiPriority w:val="99"/>
    <w:semiHidden/>
    <w:unhideWhenUsed/>
    <w:rsid w:val="00B2292C"/>
    <w:rPr>
      <w:vertAlign w:val="superscript"/>
    </w:rPr>
  </w:style>
  <w:style w:type="paragraph" w:styleId="Title">
    <w:name w:val="Title"/>
    <w:basedOn w:val="Normal"/>
    <w:link w:val="TitleChar"/>
    <w:qFormat/>
    <w:rsid w:val="00986C0B"/>
    <w:pPr>
      <w:overflowPunct/>
      <w:autoSpaceDE/>
      <w:autoSpaceDN/>
      <w:adjustRightInd/>
      <w:jc w:val="center"/>
      <w:textAlignment w:val="auto"/>
    </w:pPr>
    <w:rPr>
      <w:rFonts w:cs="Times New Roman"/>
      <w:b/>
      <w:color w:val="auto"/>
      <w:sz w:val="24"/>
    </w:rPr>
  </w:style>
  <w:style w:type="character" w:customStyle="1" w:styleId="TitleChar">
    <w:name w:val="Title Char"/>
    <w:link w:val="Title"/>
    <w:rsid w:val="00986C0B"/>
    <w:rPr>
      <w:rFonts w:ascii="Arial" w:hAnsi="Arial"/>
      <w:b/>
      <w:sz w:val="24"/>
    </w:rPr>
  </w:style>
  <w:style w:type="paragraph" w:styleId="Revision">
    <w:name w:val="Revision"/>
    <w:hidden/>
    <w:uiPriority w:val="99"/>
    <w:semiHidden/>
    <w:rsid w:val="008D2150"/>
    <w:rPr>
      <w:rFonts w:ascii="Arial" w:hAnsi="Arial" w:cs="Arial"/>
      <w:color w:val="000000"/>
    </w:rPr>
  </w:style>
  <w:style w:type="paragraph" w:styleId="NormalWeb">
    <w:name w:val="Normal (Web)"/>
    <w:basedOn w:val="Normal"/>
    <w:uiPriority w:val="99"/>
    <w:unhideWhenUsed/>
    <w:rsid w:val="00A948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A9482F"/>
    <w:rPr>
      <w:b/>
      <w:bCs/>
    </w:rPr>
  </w:style>
  <w:style w:type="character" w:styleId="Emphasis">
    <w:name w:val="Emphasis"/>
    <w:basedOn w:val="DefaultParagraphFont"/>
    <w:uiPriority w:val="20"/>
    <w:qFormat/>
    <w:rsid w:val="00A9482F"/>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979505290">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eader" Target="head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_ip_UnifiedCompliancePolicyUIAction xmlns="http://schemas.microsoft.com/sharepoint/v3" xsi:nil="true"/>
    <_ip_UnifiedCompliancePolicyProperties xmlns="http://schemas.microsoft.com/sharepoint/v3" xsi:nil="true"/>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A8F6AD9820481C47915963A0E76EFC25" ma:contentTypeVersion="10" ma:contentTypeDescription="Create a new document." ma:contentTypeScope="" ma:versionID="3907882b5a9e1b518080e04a13114595">
  <xsd:schema xmlns:xsd="http://www.w3.org/2001/XMLSchema" xmlns:xs="http://www.w3.org/2001/XMLSchema" xmlns:p="http://schemas.microsoft.com/office/2006/metadata/properties" xmlns:ns1="http://schemas.microsoft.com/sharepoint/v3" xmlns:ns3="5480b724-9f67-4efc-ba60-54e0abc06203" targetNamespace="http://schemas.microsoft.com/office/2006/metadata/properties" ma:root="true" ma:fieldsID="9584bf80db93f515e1c31c5410f6d560" ns1:_="" ns3:_="">
    <xsd:import namespace="http://schemas.microsoft.com/sharepoint/v3"/>
    <xsd:import namespace="5480b724-9f67-4efc-ba60-54e0abc06203"/>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SystemTags" minOccurs="0"/>
                <xsd:element ref="ns3:MediaServiceGenerationTime" minOccurs="0"/>
                <xsd:element ref="ns3:MediaServiceEventHashCode" minOccurs="0"/>
                <xsd:element ref="ns3:MediaLengthInSeconds" minOccurs="0"/>
                <xsd:element ref="ns1:_ip_UnifiedCompliancePolicyProperties" minOccurs="0"/>
                <xsd:element ref="ns1:_ip_UnifiedCompliancePolicyUIAc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http://schemas.microsoft.com/sharepoint/v3" elementFormDefault="qualified">
    <xsd:import namespace="http://schemas.microsoft.com/office/2006/documentManagement/types"/>
    <xsd:import namespace="http://schemas.microsoft.com/office/infopath/2007/PartnerControls"/>
    <xsd:element name="_ip_UnifiedCompliancePolicyProperties" ma:index="16" nillable="true" ma:displayName="Unified Compliance Policy Properties" ma:hidden="true" ma:internalName="_ip_UnifiedCompliancePolicyProperties">
      <xsd:simpleType>
        <xsd:restriction base="dms:Note"/>
      </xsd:simpleType>
    </xsd:element>
    <xsd:element name="_ip_UnifiedCompliancePolicyUIAction" ma:index="17" nillable="true" ma:displayName="Unified Compliance Policy UI Action" ma:hidden="true" ma:internalName="_ip_UnifiedCompliancePolicyUIAction">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480b724-9f67-4efc-ba60-54e0abc06203"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LengthInSeconds" ma:index="15"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445BC2D2-D659-43EA-88DB-2E5B706B9614}">
  <ds:schemaRefs>
    <ds:schemaRef ds:uri="http://purl.org/dc/elements/1.1/"/>
    <ds:schemaRef ds:uri="5480b724-9f67-4efc-ba60-54e0abc06203"/>
    <ds:schemaRef ds:uri="http://schemas.openxmlformats.org/package/2006/metadata/core-properties"/>
    <ds:schemaRef ds:uri="http://schemas.microsoft.com/office/infopath/2007/PartnerControls"/>
    <ds:schemaRef ds:uri="http://purl.org/dc/terms/"/>
    <ds:schemaRef ds:uri="http://schemas.microsoft.com/office/2006/documentManagement/types"/>
    <ds:schemaRef ds:uri="http://schemas.microsoft.com/sharepoint/v3"/>
    <ds:schemaRef ds:uri="http://schemas.microsoft.com/office/2006/metadata/properties"/>
    <ds:schemaRef ds:uri="http://www.w3.org/XML/1998/namespace"/>
    <ds:schemaRef ds:uri="http://purl.org/dc/dcmitype/"/>
  </ds:schemaRefs>
</ds:datastoreItem>
</file>

<file path=customXml/itemProps2.xml><?xml version="1.0" encoding="utf-8"?>
<ds:datastoreItem xmlns:ds="http://schemas.openxmlformats.org/officeDocument/2006/customXml" ds:itemID="{BB85BEB2-32D2-4861-9C9E-F30416F7554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http://schemas.microsoft.com/sharepoint/v3"/>
    <ds:schemaRef ds:uri="5480b724-9f67-4efc-ba60-54e0abc0620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D1A67F47-07D0-46ED-98C2-091F86B8B366}">
  <ds:schemaRefs>
    <ds:schemaRef ds:uri="http://schemas.microsoft.com/sharepoint/v3/contenttype/forms"/>
  </ds:schemaRefs>
</ds:datastoreItem>
</file>

<file path=customXml/itemProps4.xml><?xml version="1.0" encoding="utf-8"?>
<ds:datastoreItem xmlns:ds="http://schemas.openxmlformats.org/officeDocument/2006/customXml" ds:itemID="{3B5DB47B-5EE6-4C9B-A6D2-987E28ACEF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4578</Words>
  <Characters>26098</Characters>
  <Application>Microsoft Office Word</Application>
  <DocSecurity>0</DocSecurity>
  <Lines>217</Lines>
  <Paragraphs>61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30615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Gill Williams</cp:lastModifiedBy>
  <cp:revision>2</cp:revision>
  <cp:lastPrinted>2020-02-11T19:20:00Z</cp:lastPrinted>
  <dcterms:created xsi:type="dcterms:W3CDTF">2025-10-06T15:53:00Z</dcterms:created>
  <dcterms:modified xsi:type="dcterms:W3CDTF">2025-10-06T15:53:00Z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0x010100A8F6AD9820481C47915963A0E76EFC25</vt:lpwstr>
  </property>
</Properties>
</file>