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6E1D7F" w14:textId="3503E086" w:rsidR="00E0091E" w:rsidRDefault="00E0091E" w:rsidP="00E0091E">
      <w:r>
        <w:rPr>
          <w:noProof/>
        </w:rPr>
        <w:drawing>
          <wp:inline distT="0" distB="0" distL="0" distR="0" wp14:anchorId="35500F77" wp14:editId="562DC5A3">
            <wp:extent cx="2032000" cy="704850"/>
            <wp:effectExtent l="0" t="0" r="6350" b="0"/>
            <wp:docPr id="599169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746570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32000" cy="704850"/>
                    </a:xfrm>
                    <a:prstGeom prst="rect">
                      <a:avLst/>
                    </a:prstGeom>
                    <a:noFill/>
                    <a:ln>
                      <a:noFill/>
                    </a:ln>
                  </pic:spPr>
                </pic:pic>
              </a:graphicData>
            </a:graphic>
          </wp:inline>
        </w:drawing>
      </w:r>
    </w:p>
    <w:p w14:paraId="2A6E861A" w14:textId="77777777" w:rsidR="00E0091E" w:rsidRDefault="00E0091E" w:rsidP="00E0091E">
      <w:pPr>
        <w:rPr>
          <w:rFonts w:ascii="Times New Roman" w:hAnsi="Times New Roman" w:cs="Times New Roman"/>
          <w:sz w:val="24"/>
          <w:szCs w:val="24"/>
        </w:rPr>
      </w:pPr>
    </w:p>
    <w:p w14:paraId="6D1B5BAC" w14:textId="77777777" w:rsidR="00E0091E" w:rsidRDefault="00E0091E" w:rsidP="00E0091E">
      <w:pPr>
        <w:overflowPunct/>
        <w:autoSpaceDE/>
        <w:adjustRightInd/>
        <w:rPr>
          <w:rFonts w:ascii="Times New Roman" w:hAnsi="Times New Roman"/>
          <w:b/>
          <w:bCs/>
          <w:color w:val="auto"/>
          <w:sz w:val="48"/>
          <w:szCs w:val="48"/>
        </w:rPr>
      </w:pPr>
      <w:r>
        <w:rPr>
          <w:rFonts w:ascii="Times New Roman" w:hAnsi="Times New Roman" w:cs="Times New Roman"/>
          <w:b/>
          <w:color w:val="auto"/>
          <w:sz w:val="48"/>
          <w:szCs w:val="48"/>
        </w:rPr>
        <w:t xml:space="preserve">GRADUATE CERTIFICATE in </w:t>
      </w:r>
      <w:r>
        <w:rPr>
          <w:rFonts w:ascii="Times New Roman" w:hAnsi="Times New Roman"/>
          <w:b/>
          <w:bCs/>
          <w:color w:val="auto"/>
          <w:sz w:val="48"/>
          <w:szCs w:val="48"/>
        </w:rPr>
        <w:t>Consolidation of Social Work Practice</w:t>
      </w:r>
    </w:p>
    <w:p w14:paraId="4D98D995" w14:textId="77777777" w:rsidR="00E0091E" w:rsidRDefault="00E0091E" w:rsidP="00E0091E">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LEVEL 6 - 60 Credits</w:t>
      </w:r>
    </w:p>
    <w:p w14:paraId="7BE00BF5" w14:textId="77777777" w:rsidR="00E0091E" w:rsidRDefault="00E0091E" w:rsidP="00E0091E">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BMPF6044</w:t>
      </w:r>
    </w:p>
    <w:p w14:paraId="5D37A63F" w14:textId="77777777" w:rsidR="00E0091E" w:rsidRDefault="00E0091E" w:rsidP="00E0091E">
      <w:pPr>
        <w:overflowPunct/>
        <w:autoSpaceDE/>
        <w:adjustRightInd/>
        <w:ind w:right="-957"/>
        <w:rPr>
          <w:rFonts w:ascii="Times New Roman" w:hAnsi="Times New Roman" w:cs="Times New Roman"/>
          <w:b/>
          <w:color w:val="auto"/>
          <w:sz w:val="48"/>
        </w:rPr>
      </w:pPr>
    </w:p>
    <w:p w14:paraId="3AF19C9F" w14:textId="77777777" w:rsidR="00E0091E" w:rsidRDefault="00E0091E" w:rsidP="00E0091E">
      <w:pPr>
        <w:overflowPunct/>
        <w:autoSpaceDE/>
        <w:adjustRightInd/>
        <w:ind w:right="-957"/>
        <w:rPr>
          <w:rFonts w:ascii="Times New Roman" w:hAnsi="Times New Roman" w:cs="Times New Roman"/>
          <w:b/>
          <w:color w:val="auto"/>
          <w:sz w:val="18"/>
          <w:szCs w:val="2"/>
        </w:rPr>
      </w:pPr>
    </w:p>
    <w:p w14:paraId="62126284" w14:textId="77777777" w:rsidR="00E0091E" w:rsidRDefault="00E0091E" w:rsidP="00E0091E">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LEARNER PORTFOLIO</w:t>
      </w:r>
    </w:p>
    <w:p w14:paraId="765A4B39" w14:textId="77777777" w:rsidR="00E0091E" w:rsidRDefault="00E0091E" w:rsidP="00E0091E">
      <w:pPr>
        <w:overflowPunct/>
        <w:autoSpaceDE/>
        <w:adjustRightInd/>
        <w:ind w:right="-957"/>
        <w:rPr>
          <w:rFonts w:ascii="Times New Roman" w:hAnsi="Times New Roman" w:cs="Times New Roman"/>
          <w:b/>
          <w:bCs/>
          <w:color w:val="auto"/>
          <w:sz w:val="48"/>
          <w:szCs w:val="48"/>
        </w:rPr>
      </w:pPr>
      <w:r>
        <w:rPr>
          <w:rFonts w:ascii="Times New Roman" w:hAnsi="Times New Roman" w:cs="Times New Roman"/>
          <w:b/>
          <w:bCs/>
          <w:color w:val="auto"/>
          <w:sz w:val="48"/>
          <w:szCs w:val="48"/>
        </w:rPr>
        <w:t>(PORTH AGORED and UNIVERSITY OF WALES TRINITY SAINT DAVID)</w:t>
      </w:r>
    </w:p>
    <w:p w14:paraId="0104D1C8" w14:textId="77777777" w:rsidR="00E0091E" w:rsidRDefault="00E0091E" w:rsidP="00E0091E">
      <w:pPr>
        <w:overflowPunct/>
        <w:autoSpaceDE/>
        <w:adjustRightInd/>
        <w:ind w:right="-957"/>
        <w:rPr>
          <w:rFonts w:ascii="Times New Roman" w:hAnsi="Times New Roman" w:cs="Times New Roman"/>
          <w:b/>
          <w:color w:val="auto"/>
          <w:sz w:val="14"/>
          <w:szCs w:val="2"/>
        </w:rPr>
      </w:pPr>
    </w:p>
    <w:p w14:paraId="30F093BD" w14:textId="77777777" w:rsidR="00E0091E" w:rsidRDefault="00E0091E" w:rsidP="00E0091E">
      <w:pPr>
        <w:overflowPunct/>
        <w:autoSpaceDE/>
        <w:adjustRightInd/>
        <w:ind w:right="-957"/>
        <w:rPr>
          <w:rFonts w:ascii="Times New Roman" w:hAnsi="Times New Roman" w:cs="Times New Roman"/>
          <w:b/>
          <w:color w:val="auto"/>
          <w:sz w:val="48"/>
        </w:rPr>
      </w:pPr>
    </w:p>
    <w:tbl>
      <w:tblPr>
        <w:tblW w:w="1108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82"/>
      </w:tblGrid>
      <w:tr w:rsidR="00E0091E" w14:paraId="00E7AD22" w14:textId="77777777" w:rsidTr="00A910CA">
        <w:tc>
          <w:tcPr>
            <w:tcW w:w="11082" w:type="dxa"/>
            <w:tcBorders>
              <w:top w:val="single" w:sz="4" w:space="0" w:color="auto"/>
              <w:left w:val="single" w:sz="4" w:space="0" w:color="auto"/>
              <w:bottom w:val="single" w:sz="4" w:space="0" w:color="auto"/>
              <w:right w:val="single" w:sz="4" w:space="0" w:color="auto"/>
            </w:tcBorders>
          </w:tcPr>
          <w:p w14:paraId="18608857" w14:textId="6912E172" w:rsidR="00E0091E" w:rsidRDefault="00E0091E">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 xml:space="preserve">Learner’s name: </w:t>
            </w:r>
            <w:r w:rsidR="00AC0438">
              <w:rPr>
                <w:rFonts w:ascii="Times New Roman" w:hAnsi="Times New Roman" w:cs="Times New Roman"/>
                <w:b/>
                <w:color w:val="auto"/>
                <w:sz w:val="48"/>
              </w:rPr>
              <w:t>Sara Hatcher</w:t>
            </w:r>
          </w:p>
          <w:p w14:paraId="4A5B25F1" w14:textId="77777777" w:rsidR="00E0091E" w:rsidRDefault="00E0091E">
            <w:pPr>
              <w:overflowPunct/>
              <w:autoSpaceDE/>
              <w:adjustRightInd/>
              <w:ind w:right="-957"/>
              <w:rPr>
                <w:rFonts w:ascii="Times New Roman" w:hAnsi="Times New Roman" w:cs="Times New Roman"/>
                <w:b/>
                <w:color w:val="auto"/>
                <w:sz w:val="48"/>
              </w:rPr>
            </w:pPr>
          </w:p>
          <w:p w14:paraId="25CB76D1" w14:textId="29C58F90" w:rsidR="00E0091E" w:rsidRDefault="00E0091E">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Email address:</w:t>
            </w:r>
            <w:r w:rsidR="00AC0438">
              <w:rPr>
                <w:rFonts w:ascii="Times New Roman" w:hAnsi="Times New Roman" w:cs="Times New Roman"/>
                <w:b/>
                <w:color w:val="auto"/>
                <w:sz w:val="48"/>
              </w:rPr>
              <w:t xml:space="preserve"> Sara.hatcher2@ceredigion.gov.uk</w:t>
            </w:r>
          </w:p>
          <w:p w14:paraId="0999ED12" w14:textId="77777777" w:rsidR="00E0091E" w:rsidRDefault="00E0091E">
            <w:pPr>
              <w:overflowPunct/>
              <w:autoSpaceDE/>
              <w:adjustRightInd/>
              <w:ind w:right="-957"/>
              <w:rPr>
                <w:rFonts w:ascii="Times New Roman" w:hAnsi="Times New Roman" w:cs="Times New Roman"/>
                <w:b/>
                <w:color w:val="auto"/>
                <w:sz w:val="48"/>
              </w:rPr>
            </w:pPr>
          </w:p>
          <w:p w14:paraId="71288767" w14:textId="46EA31C1" w:rsidR="00E0091E" w:rsidRDefault="00E0091E">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Learner’s University Registration Number:</w:t>
            </w:r>
            <w:r w:rsidR="006C2137">
              <w:rPr>
                <w:rFonts w:ascii="Times New Roman" w:hAnsi="Times New Roman" w:cs="Times New Roman"/>
                <w:b/>
                <w:color w:val="auto"/>
                <w:sz w:val="48"/>
              </w:rPr>
              <w:t xml:space="preserve"> </w:t>
            </w:r>
            <w:r w:rsidR="00A910CA" w:rsidRPr="00A910CA">
              <w:rPr>
                <w:rFonts w:ascii="Times New Roman" w:hAnsi="Times New Roman" w:cs="Times New Roman"/>
                <w:b/>
                <w:color w:val="auto"/>
                <w:sz w:val="48"/>
              </w:rPr>
              <w:t>2520472</w:t>
            </w:r>
          </w:p>
          <w:p w14:paraId="3ADF7FA4" w14:textId="77777777" w:rsidR="00E0091E" w:rsidRDefault="00E0091E">
            <w:pPr>
              <w:overflowPunct/>
              <w:autoSpaceDE/>
              <w:adjustRightInd/>
              <w:ind w:right="-957"/>
              <w:rPr>
                <w:rFonts w:ascii="Times New Roman" w:hAnsi="Times New Roman" w:cs="Times New Roman"/>
                <w:b/>
                <w:color w:val="auto"/>
                <w:sz w:val="48"/>
              </w:rPr>
            </w:pPr>
          </w:p>
          <w:p w14:paraId="2B308EEC" w14:textId="664BFCC2" w:rsidR="00E0091E" w:rsidRDefault="00E0091E">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 xml:space="preserve">Cohort: </w:t>
            </w:r>
            <w:r w:rsidR="00AC0438">
              <w:rPr>
                <w:rFonts w:ascii="Times New Roman" w:hAnsi="Times New Roman" w:cs="Times New Roman"/>
                <w:b/>
                <w:color w:val="auto"/>
                <w:sz w:val="48"/>
              </w:rPr>
              <w:t>26</w:t>
            </w:r>
          </w:p>
        </w:tc>
      </w:tr>
    </w:tbl>
    <w:p w14:paraId="52E9AA12" w14:textId="77777777" w:rsidR="00E0091E" w:rsidRDefault="00E0091E" w:rsidP="00E0091E">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 xml:space="preserve"> </w:t>
      </w:r>
    </w:p>
    <w:p w14:paraId="692E61A2" w14:textId="77777777" w:rsidR="00E0091E" w:rsidRDefault="00E0091E" w:rsidP="00E0091E">
      <w:pPr>
        <w:overflowPunct/>
        <w:autoSpaceDE/>
        <w:adjustRightInd/>
        <w:rPr>
          <w:rFonts w:ascii="Times New Roman" w:hAnsi="Times New Roman" w:cs="Times New Roman"/>
          <w:color w:val="auto"/>
          <w:sz w:val="24"/>
        </w:rPr>
      </w:pPr>
    </w:p>
    <w:p w14:paraId="33647B23" w14:textId="77777777" w:rsidR="00E0091E" w:rsidRDefault="00E0091E" w:rsidP="00E0091E">
      <w:pPr>
        <w:overflowPunct/>
        <w:autoSpaceDE/>
        <w:adjustRightInd/>
        <w:ind w:right="-957"/>
        <w:rPr>
          <w:rFonts w:ascii="Times New Roman" w:hAnsi="Times New Roman" w:cs="Times New Roman"/>
          <w:b/>
          <w:color w:val="auto"/>
          <w:sz w:val="48"/>
        </w:rPr>
      </w:pPr>
    </w:p>
    <w:p w14:paraId="555F77BE" w14:textId="02640EA6" w:rsidR="00E0091E" w:rsidRDefault="00E0091E" w:rsidP="00A910CA">
      <w:pPr>
        <w:jc w:val="center"/>
        <w:rPr>
          <w:b/>
          <w:sz w:val="24"/>
          <w:szCs w:val="24"/>
        </w:rPr>
      </w:pPr>
      <w:r>
        <w:rPr>
          <w:b/>
          <w:sz w:val="24"/>
          <w:szCs w:val="24"/>
        </w:rPr>
        <w:br w:type="page"/>
      </w:r>
    </w:p>
    <w:p w14:paraId="4A81A34B" w14:textId="77777777" w:rsidR="00E0091E" w:rsidRDefault="00E0091E" w:rsidP="00E0091E">
      <w:pPr>
        <w:jc w:val="center"/>
        <w:rPr>
          <w:b/>
          <w:sz w:val="28"/>
          <w:szCs w:val="28"/>
        </w:rPr>
      </w:pPr>
      <w:r>
        <w:rPr>
          <w:b/>
          <w:sz w:val="28"/>
          <w:szCs w:val="28"/>
        </w:rPr>
        <w:lastRenderedPageBreak/>
        <w:t>Task 4</w:t>
      </w:r>
    </w:p>
    <w:p w14:paraId="6A6243F8" w14:textId="77777777" w:rsidR="00E0091E" w:rsidRDefault="00E0091E" w:rsidP="00E0091E">
      <w:pPr>
        <w:jc w:val="center"/>
        <w:rPr>
          <w:b/>
          <w:sz w:val="28"/>
          <w:szCs w:val="28"/>
        </w:rPr>
      </w:pPr>
    </w:p>
    <w:p w14:paraId="56D6651F" w14:textId="77777777" w:rsidR="00E0091E" w:rsidRDefault="00E0091E" w:rsidP="00E0091E">
      <w:pPr>
        <w:jc w:val="center"/>
        <w:rPr>
          <w:b/>
          <w:sz w:val="28"/>
          <w:szCs w:val="28"/>
        </w:rPr>
      </w:pPr>
      <w:r>
        <w:rPr>
          <w:b/>
          <w:sz w:val="28"/>
          <w:szCs w:val="28"/>
        </w:rPr>
        <w:t>Safeguarding in an area which is not your main area of work</w:t>
      </w:r>
    </w:p>
    <w:p w14:paraId="79F242E8" w14:textId="77777777" w:rsidR="00E0091E" w:rsidRDefault="00E0091E" w:rsidP="00E0091E">
      <w:pPr>
        <w:jc w:val="both"/>
        <w:rPr>
          <w:b/>
          <w:sz w:val="24"/>
          <w:szCs w:val="24"/>
        </w:rPr>
      </w:pPr>
    </w:p>
    <w:p w14:paraId="5DFDA6A8" w14:textId="77777777" w:rsidR="00E0091E" w:rsidRDefault="00E0091E" w:rsidP="00E0091E">
      <w:pPr>
        <w:ind w:left="-90"/>
        <w:jc w:val="both"/>
        <w:rPr>
          <w:b/>
          <w:i/>
          <w:sz w:val="24"/>
          <w:szCs w:val="24"/>
        </w:rPr>
      </w:pPr>
      <w:r>
        <w:rPr>
          <w:b/>
          <w:i/>
          <w:sz w:val="24"/>
          <w:szCs w:val="24"/>
        </w:rPr>
        <w:t xml:space="preserve">Guidance: </w:t>
      </w:r>
    </w:p>
    <w:p w14:paraId="66EF55EB" w14:textId="77777777" w:rsidR="00E0091E" w:rsidRDefault="00E0091E" w:rsidP="00E0091E">
      <w:pPr>
        <w:ind w:left="-90"/>
        <w:jc w:val="both"/>
        <w:rPr>
          <w:i/>
          <w:iCs/>
          <w:sz w:val="24"/>
          <w:szCs w:val="24"/>
        </w:rPr>
      </w:pPr>
      <w:r>
        <w:rPr>
          <w:i/>
          <w:iCs/>
          <w:sz w:val="24"/>
          <w:szCs w:val="24"/>
        </w:rPr>
        <w:t xml:space="preserve">Social Care Wales require newly qualified social workers to provide evidence of their understanding of safeguarding work with adults and children. The assignment below will enable you to demonstrate this. </w:t>
      </w:r>
      <w:r>
        <w:rPr>
          <w:b/>
          <w:bCs/>
          <w:i/>
          <w:iCs/>
          <w:sz w:val="24"/>
          <w:szCs w:val="24"/>
        </w:rPr>
        <w:t>N.B</w:t>
      </w:r>
      <w:r>
        <w:rPr>
          <w:i/>
          <w:iCs/>
          <w:sz w:val="24"/>
          <w:szCs w:val="24"/>
        </w:rPr>
        <w:t>. if your usual area of work is with children please write about adult safeguarding. If you usually work with adults, then write about child safeguarding.  Ensure you meet the learning out comes for this task (see appendix 5 of the handbook).</w:t>
      </w:r>
    </w:p>
    <w:p w14:paraId="06BFFEE0" w14:textId="77777777" w:rsidR="00E0091E" w:rsidRDefault="00E0091E" w:rsidP="00E0091E">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0091E" w14:paraId="186C79C0" w14:textId="77777777">
        <w:tc>
          <w:tcPr>
            <w:tcW w:w="10188" w:type="dxa"/>
            <w:tcBorders>
              <w:top w:val="single" w:sz="4" w:space="0" w:color="auto"/>
              <w:left w:val="single" w:sz="4" w:space="0" w:color="auto"/>
              <w:bottom w:val="single" w:sz="4" w:space="0" w:color="auto"/>
              <w:right w:val="single" w:sz="4" w:space="0" w:color="auto"/>
            </w:tcBorders>
          </w:tcPr>
          <w:p w14:paraId="0EA19D70" w14:textId="77777777" w:rsidR="00E0091E" w:rsidRDefault="00E0091E">
            <w:pPr>
              <w:jc w:val="both"/>
              <w:rPr>
                <w:b/>
                <w:sz w:val="24"/>
                <w:szCs w:val="24"/>
              </w:rPr>
            </w:pPr>
            <w:r>
              <w:rPr>
                <w:b/>
                <w:sz w:val="24"/>
                <w:szCs w:val="24"/>
              </w:rPr>
              <w:t>Question a:</w:t>
            </w:r>
          </w:p>
          <w:p w14:paraId="0FB3514A" w14:textId="7BC0E97F" w:rsidR="00E0091E" w:rsidRPr="008C2B31" w:rsidRDefault="00E0091E" w:rsidP="008C2B31">
            <w:pPr>
              <w:jc w:val="both"/>
              <w:rPr>
                <w:sz w:val="24"/>
                <w:szCs w:val="24"/>
              </w:rPr>
            </w:pPr>
            <w:r>
              <w:rPr>
                <w:sz w:val="24"/>
                <w:szCs w:val="24"/>
              </w:rPr>
              <w:t xml:space="preserve">In an area </w:t>
            </w:r>
            <w:r>
              <w:rPr>
                <w:b/>
                <w:sz w:val="24"/>
                <w:szCs w:val="24"/>
              </w:rPr>
              <w:t xml:space="preserve">that is not your main focus of work </w:t>
            </w:r>
            <w:r>
              <w:rPr>
                <w:sz w:val="24"/>
                <w:szCs w:val="24"/>
              </w:rPr>
              <w:t xml:space="preserve">(see guidance above), explain the relevant legislation, and the national, local and organisational policies and procedures for safeguarding. </w:t>
            </w:r>
          </w:p>
          <w:p w14:paraId="42584527" w14:textId="77777777" w:rsidR="00C072CC" w:rsidRDefault="00C072CC" w:rsidP="00E0091E">
            <w:pPr>
              <w:jc w:val="both"/>
              <w:rPr>
                <w:sz w:val="22"/>
                <w:szCs w:val="22"/>
              </w:rPr>
            </w:pPr>
          </w:p>
          <w:p w14:paraId="1AE2B227" w14:textId="0DECB0F3" w:rsidR="00E53E90" w:rsidRPr="00E53E90" w:rsidRDefault="00E53E90" w:rsidP="00277AD9">
            <w:pPr>
              <w:spacing w:line="276" w:lineRule="auto"/>
              <w:jc w:val="both"/>
              <w:rPr>
                <w:rFonts w:asciiTheme="minorHAnsi" w:hAnsiTheme="minorHAnsi"/>
                <w:sz w:val="24"/>
                <w:szCs w:val="24"/>
              </w:rPr>
            </w:pPr>
            <w:r w:rsidRPr="00E53E90">
              <w:rPr>
                <w:rFonts w:asciiTheme="minorHAnsi" w:hAnsiTheme="minorHAnsi"/>
                <w:sz w:val="24"/>
                <w:szCs w:val="24"/>
              </w:rPr>
              <w:t>Child safeguarding in Wales is underpinned by legislation placing duties on public services to protect children and promote their well-being. The Children Act 1989</w:t>
            </w:r>
            <w:r w:rsidR="00911FC7">
              <w:rPr>
                <w:rFonts w:asciiTheme="minorHAnsi" w:hAnsiTheme="minorHAnsi"/>
                <w:sz w:val="24"/>
                <w:szCs w:val="24"/>
              </w:rPr>
              <w:t>(CA, 1989)</w:t>
            </w:r>
            <w:r w:rsidRPr="00E53E90">
              <w:rPr>
                <w:rFonts w:asciiTheme="minorHAnsi" w:hAnsiTheme="minorHAnsi"/>
                <w:sz w:val="24"/>
                <w:szCs w:val="24"/>
              </w:rPr>
              <w:t xml:space="preserve"> is central to safeguarding practice. Section 17 requires local authorities to safeguard and promote the welfare of children in need, while section 47 requires enquiries where there is reasonable cause to suspect a child is suffering, or likely to suffer, significant harm. The Children Act 2004</w:t>
            </w:r>
            <w:r w:rsidR="00911FC7">
              <w:rPr>
                <w:rFonts w:asciiTheme="minorHAnsi" w:hAnsiTheme="minorHAnsi"/>
                <w:sz w:val="24"/>
                <w:szCs w:val="24"/>
              </w:rPr>
              <w:t>(CA, 2004)</w:t>
            </w:r>
            <w:r w:rsidRPr="00E53E90">
              <w:rPr>
                <w:rFonts w:asciiTheme="minorHAnsi" w:hAnsiTheme="minorHAnsi"/>
                <w:sz w:val="24"/>
                <w:szCs w:val="24"/>
              </w:rPr>
              <w:t xml:space="preserve"> strengthens partnership working, requiring specified Welsh bodies to </w:t>
            </w:r>
            <w:r w:rsidR="00956798" w:rsidRPr="00E53E90">
              <w:rPr>
                <w:rFonts w:asciiTheme="minorHAnsi" w:hAnsiTheme="minorHAnsi"/>
                <w:sz w:val="24"/>
                <w:szCs w:val="24"/>
              </w:rPr>
              <w:t>decide</w:t>
            </w:r>
            <w:r w:rsidRPr="00E53E90">
              <w:rPr>
                <w:rFonts w:asciiTheme="minorHAnsi" w:hAnsiTheme="minorHAnsi"/>
                <w:sz w:val="24"/>
                <w:szCs w:val="24"/>
              </w:rPr>
              <w:t xml:space="preserve"> to safeguard and promote children’s welfare. The S</w:t>
            </w:r>
            <w:r w:rsidR="00770D56">
              <w:rPr>
                <w:rFonts w:asciiTheme="minorHAnsi" w:hAnsiTheme="minorHAnsi"/>
                <w:sz w:val="24"/>
                <w:szCs w:val="24"/>
              </w:rPr>
              <w:t>SWWA</w:t>
            </w:r>
            <w:r w:rsidRPr="00E53E90">
              <w:rPr>
                <w:rFonts w:asciiTheme="minorHAnsi" w:hAnsiTheme="minorHAnsi"/>
                <w:sz w:val="24"/>
                <w:szCs w:val="24"/>
              </w:rPr>
              <w:t xml:space="preserve"> 2014 provides the wider safeguarding framework. Section 130 establishes a duty to report a child at risk to the local authority, while sections 134–139 support coordinated safeguarding through Safeguarding Boards (C</w:t>
            </w:r>
            <w:r w:rsidR="00911FC7">
              <w:rPr>
                <w:rFonts w:asciiTheme="minorHAnsi" w:hAnsiTheme="minorHAnsi"/>
                <w:sz w:val="24"/>
                <w:szCs w:val="24"/>
              </w:rPr>
              <w:t>A,</w:t>
            </w:r>
            <w:r w:rsidRPr="00E53E90">
              <w:rPr>
                <w:rFonts w:asciiTheme="minorHAnsi" w:hAnsiTheme="minorHAnsi"/>
                <w:sz w:val="24"/>
                <w:szCs w:val="24"/>
              </w:rPr>
              <w:t xml:space="preserve"> 1989; C</w:t>
            </w:r>
            <w:r w:rsidR="00911FC7">
              <w:rPr>
                <w:rFonts w:asciiTheme="minorHAnsi" w:hAnsiTheme="minorHAnsi"/>
                <w:sz w:val="24"/>
                <w:szCs w:val="24"/>
              </w:rPr>
              <w:t xml:space="preserve">A, </w:t>
            </w:r>
            <w:r w:rsidRPr="00E53E90">
              <w:rPr>
                <w:rFonts w:asciiTheme="minorHAnsi" w:hAnsiTheme="minorHAnsi"/>
                <w:sz w:val="24"/>
                <w:szCs w:val="24"/>
              </w:rPr>
              <w:t>2004; S</w:t>
            </w:r>
            <w:r w:rsidR="00770D56">
              <w:rPr>
                <w:rFonts w:asciiTheme="minorHAnsi" w:hAnsiTheme="minorHAnsi"/>
                <w:sz w:val="24"/>
                <w:szCs w:val="24"/>
              </w:rPr>
              <w:t>SW</w:t>
            </w:r>
            <w:r w:rsidR="00340BAF">
              <w:rPr>
                <w:rFonts w:asciiTheme="minorHAnsi" w:hAnsiTheme="minorHAnsi"/>
                <w:sz w:val="24"/>
                <w:szCs w:val="24"/>
              </w:rPr>
              <w:t>WA,</w:t>
            </w:r>
            <w:r w:rsidRPr="00E53E90">
              <w:rPr>
                <w:rFonts w:asciiTheme="minorHAnsi" w:hAnsiTheme="minorHAnsi"/>
                <w:sz w:val="24"/>
                <w:szCs w:val="24"/>
              </w:rPr>
              <w:t xml:space="preserve"> 2014).</w:t>
            </w:r>
          </w:p>
          <w:p w14:paraId="05D93858" w14:textId="77777777" w:rsidR="00E53E90" w:rsidRPr="00E53E90" w:rsidRDefault="00E53E90" w:rsidP="00277AD9">
            <w:pPr>
              <w:spacing w:line="276" w:lineRule="auto"/>
              <w:jc w:val="both"/>
              <w:rPr>
                <w:rFonts w:asciiTheme="minorHAnsi" w:hAnsiTheme="minorHAnsi"/>
                <w:sz w:val="24"/>
                <w:szCs w:val="24"/>
              </w:rPr>
            </w:pPr>
          </w:p>
          <w:p w14:paraId="795347F4" w14:textId="2A4BBABF" w:rsidR="00E53E90" w:rsidRPr="00E53E90" w:rsidRDefault="00E53E90" w:rsidP="00277AD9">
            <w:pPr>
              <w:spacing w:line="276" w:lineRule="auto"/>
              <w:jc w:val="both"/>
              <w:rPr>
                <w:rFonts w:asciiTheme="minorHAnsi" w:hAnsiTheme="minorHAnsi"/>
                <w:sz w:val="24"/>
                <w:szCs w:val="24"/>
              </w:rPr>
            </w:pPr>
            <w:r w:rsidRPr="00E53E90">
              <w:rPr>
                <w:rFonts w:asciiTheme="minorHAnsi" w:hAnsiTheme="minorHAnsi"/>
                <w:sz w:val="24"/>
                <w:szCs w:val="24"/>
              </w:rPr>
              <w:t>National guidance includes Welsh Government’s Working Together to Safeguard People: Volume 5, which explains referral, assessment, information sharing, strategy discussions, section 47 enquiries, child protection conferences and planning. The W</w:t>
            </w:r>
            <w:r w:rsidR="00956798">
              <w:rPr>
                <w:rFonts w:asciiTheme="minorHAnsi" w:hAnsiTheme="minorHAnsi"/>
                <w:sz w:val="24"/>
                <w:szCs w:val="24"/>
              </w:rPr>
              <w:t>SP</w:t>
            </w:r>
            <w:r w:rsidRPr="00E53E90">
              <w:rPr>
                <w:rFonts w:asciiTheme="minorHAnsi" w:hAnsiTheme="minorHAnsi"/>
                <w:sz w:val="24"/>
                <w:szCs w:val="24"/>
              </w:rPr>
              <w:t xml:space="preserve"> translate legislation into practice across social care, health, education, police and other services. They emphasise that safeguarding is everyone’s responsibility and requires child-centred, multi-agency working (Welsh Government, 2019; W</w:t>
            </w:r>
            <w:r w:rsidR="00956798">
              <w:rPr>
                <w:rFonts w:asciiTheme="minorHAnsi" w:hAnsiTheme="minorHAnsi"/>
                <w:sz w:val="24"/>
                <w:szCs w:val="24"/>
              </w:rPr>
              <w:t>SP</w:t>
            </w:r>
            <w:r w:rsidRPr="00E53E90">
              <w:rPr>
                <w:rFonts w:asciiTheme="minorHAnsi" w:hAnsiTheme="minorHAnsi"/>
                <w:sz w:val="24"/>
                <w:szCs w:val="24"/>
              </w:rPr>
              <w:t>, 2026).</w:t>
            </w:r>
          </w:p>
          <w:p w14:paraId="0AFC607E" w14:textId="77777777" w:rsidR="00E53E90" w:rsidRPr="00E53E90" w:rsidRDefault="00E53E90" w:rsidP="00277AD9">
            <w:pPr>
              <w:spacing w:line="276" w:lineRule="auto"/>
              <w:jc w:val="both"/>
              <w:rPr>
                <w:rFonts w:asciiTheme="minorHAnsi" w:hAnsiTheme="minorHAnsi"/>
                <w:sz w:val="24"/>
                <w:szCs w:val="24"/>
              </w:rPr>
            </w:pPr>
          </w:p>
          <w:p w14:paraId="0F0E7733" w14:textId="1F5071DA" w:rsidR="00E53E90" w:rsidRPr="00E53E90" w:rsidRDefault="00E53E90" w:rsidP="00277AD9">
            <w:pPr>
              <w:spacing w:line="276" w:lineRule="auto"/>
              <w:jc w:val="both"/>
              <w:rPr>
                <w:rFonts w:asciiTheme="minorHAnsi" w:hAnsiTheme="minorHAnsi"/>
                <w:sz w:val="24"/>
                <w:szCs w:val="24"/>
              </w:rPr>
            </w:pPr>
            <w:r w:rsidRPr="00E53E90">
              <w:rPr>
                <w:rFonts w:asciiTheme="minorHAnsi" w:hAnsiTheme="minorHAnsi"/>
                <w:sz w:val="24"/>
                <w:szCs w:val="24"/>
              </w:rPr>
              <w:t xml:space="preserve">Regional Safeguarding Boards coordinate safeguarding arrangements between local authorities, police, health services and voluntary organisations. Local procedures include referral pathways, threshold guidance, strategy meetings and child protection planning. Organisational policies should cover recognising and reporting concerns, accurate recording, information sharing, allegations against staff, whistleblowing, safer recruitment, supervision and training. Social workers must follow these procedures, maintain confidentiality, record information accurately and escalate </w:t>
            </w:r>
            <w:r w:rsidRPr="00E53E90">
              <w:rPr>
                <w:rFonts w:asciiTheme="minorHAnsi" w:hAnsiTheme="minorHAnsi"/>
                <w:sz w:val="24"/>
                <w:szCs w:val="24"/>
              </w:rPr>
              <w:lastRenderedPageBreak/>
              <w:t>concerns appropriately, including contacting children’s social services or police when necessary (S</w:t>
            </w:r>
            <w:r w:rsidR="00340BAF">
              <w:rPr>
                <w:rFonts w:asciiTheme="minorHAnsi" w:hAnsiTheme="minorHAnsi"/>
                <w:sz w:val="24"/>
                <w:szCs w:val="24"/>
              </w:rPr>
              <w:t>CW</w:t>
            </w:r>
            <w:r w:rsidRPr="00E53E90">
              <w:rPr>
                <w:rFonts w:asciiTheme="minorHAnsi" w:hAnsiTheme="minorHAnsi"/>
                <w:sz w:val="24"/>
                <w:szCs w:val="24"/>
              </w:rPr>
              <w:t>, 2026).</w:t>
            </w:r>
          </w:p>
          <w:p w14:paraId="38FFA68F" w14:textId="77777777" w:rsidR="00E53E90" w:rsidRPr="00E53E90" w:rsidRDefault="00E53E90" w:rsidP="00277AD9">
            <w:pPr>
              <w:spacing w:line="276" w:lineRule="auto"/>
              <w:jc w:val="both"/>
              <w:rPr>
                <w:rFonts w:asciiTheme="minorHAnsi" w:hAnsiTheme="minorHAnsi"/>
                <w:sz w:val="24"/>
                <w:szCs w:val="24"/>
              </w:rPr>
            </w:pPr>
          </w:p>
          <w:p w14:paraId="42A59D48" w14:textId="72675A17" w:rsidR="00E53E90" w:rsidRPr="00E53E90" w:rsidRDefault="00E53E90" w:rsidP="00277AD9">
            <w:pPr>
              <w:spacing w:line="276" w:lineRule="auto"/>
              <w:jc w:val="both"/>
              <w:rPr>
                <w:rFonts w:asciiTheme="minorHAnsi" w:hAnsiTheme="minorHAnsi"/>
                <w:sz w:val="24"/>
                <w:szCs w:val="24"/>
              </w:rPr>
            </w:pPr>
            <w:r w:rsidRPr="00E53E90">
              <w:rPr>
                <w:rFonts w:asciiTheme="minorHAnsi" w:hAnsiTheme="minorHAnsi"/>
                <w:sz w:val="24"/>
                <w:szCs w:val="24"/>
              </w:rPr>
              <w:t>Several factors may increase a child’s vulnerability to harm, including young age, disability, communication difficulties, developmental needs and previous abuse</w:t>
            </w:r>
            <w:r w:rsidR="00B87367">
              <w:rPr>
                <w:rFonts w:asciiTheme="minorHAnsi" w:hAnsiTheme="minorHAnsi"/>
                <w:sz w:val="24"/>
                <w:szCs w:val="24"/>
              </w:rPr>
              <w:t xml:space="preserve"> (NICE, 2017)</w:t>
            </w:r>
            <w:r w:rsidRPr="00E53E90">
              <w:rPr>
                <w:rFonts w:asciiTheme="minorHAnsi" w:hAnsiTheme="minorHAnsi"/>
                <w:sz w:val="24"/>
                <w:szCs w:val="24"/>
              </w:rPr>
              <w:t>. Family circumstances such as domestic abuse, parental substance misuse, mental health difficulties, poverty, homelessness and social isolation may also increase risk. These factors do not automatically indicate abuse; professionals must consider individual circumstances and identify patterns or combinations of concerns.</w:t>
            </w:r>
          </w:p>
          <w:p w14:paraId="668FAB1F" w14:textId="77777777" w:rsidR="00E53E90" w:rsidRPr="00E53E90" w:rsidRDefault="00E53E90" w:rsidP="00277AD9">
            <w:pPr>
              <w:spacing w:line="276" w:lineRule="auto"/>
              <w:jc w:val="both"/>
              <w:rPr>
                <w:rFonts w:asciiTheme="minorHAnsi" w:hAnsiTheme="minorHAnsi"/>
                <w:sz w:val="24"/>
                <w:szCs w:val="24"/>
              </w:rPr>
            </w:pPr>
          </w:p>
          <w:p w14:paraId="30A4A78B" w14:textId="4C3E323C" w:rsidR="00E53E90" w:rsidRPr="00E53E90" w:rsidRDefault="00E53E90" w:rsidP="00277AD9">
            <w:pPr>
              <w:spacing w:line="276" w:lineRule="auto"/>
              <w:jc w:val="both"/>
              <w:rPr>
                <w:rFonts w:asciiTheme="minorHAnsi" w:hAnsiTheme="minorHAnsi"/>
                <w:sz w:val="24"/>
                <w:szCs w:val="24"/>
              </w:rPr>
            </w:pPr>
            <w:r w:rsidRPr="00E53E90">
              <w:rPr>
                <w:rFonts w:asciiTheme="minorHAnsi" w:hAnsiTheme="minorHAnsi"/>
                <w:sz w:val="24"/>
                <w:szCs w:val="24"/>
              </w:rPr>
              <w:t>Indicators vary according to the type of abuse. Physical abuse may involve unexplained bruising, burns, fractures, frequent injuries or inconsistent explanations. Emotional abuse may present through anxiety, withdrawal, low self-esteem, fearfulness or difficulties forming relationships</w:t>
            </w:r>
            <w:r w:rsidR="00584217">
              <w:rPr>
                <w:rFonts w:asciiTheme="minorHAnsi" w:hAnsiTheme="minorHAnsi"/>
                <w:sz w:val="24"/>
                <w:szCs w:val="24"/>
              </w:rPr>
              <w:t xml:space="preserve"> (Maguire et al, 2015)</w:t>
            </w:r>
            <w:r w:rsidRPr="00E53E90">
              <w:rPr>
                <w:rFonts w:asciiTheme="minorHAnsi" w:hAnsiTheme="minorHAnsi"/>
                <w:sz w:val="24"/>
                <w:szCs w:val="24"/>
              </w:rPr>
              <w:t xml:space="preserve">. Sexual abuse may involve inappropriate sexualised behaviour, age-inappropriate sexual knowledge, physical injuries, secrecy or fear of </w:t>
            </w:r>
            <w:r w:rsidR="00EC64E0" w:rsidRPr="00E53E90">
              <w:rPr>
                <w:rFonts w:asciiTheme="minorHAnsi" w:hAnsiTheme="minorHAnsi"/>
                <w:sz w:val="24"/>
                <w:szCs w:val="24"/>
              </w:rPr>
              <w:t>individuals</w:t>
            </w:r>
            <w:r w:rsidRPr="00E53E90">
              <w:rPr>
                <w:rFonts w:asciiTheme="minorHAnsi" w:hAnsiTheme="minorHAnsi"/>
                <w:sz w:val="24"/>
                <w:szCs w:val="24"/>
              </w:rPr>
              <w:t>. Neglect may be indicated by poor hygiene, inadequate clothing, hunger, untreated medical needs, unsafe living conditions, developmental difficulties or persistent school absence. Other concerns include exploitation, online abuse, bullying and domestic abuse. Professionals must recognise that abuse can occur at home, in educational settings, within the community or online. A single indicator does not prove abuse, so observations must be considered alongside the child’s circumstances and expressed concerns (Welsh Government, 2019).</w:t>
            </w:r>
          </w:p>
          <w:p w14:paraId="37BC4CD3" w14:textId="77777777" w:rsidR="00E53E90" w:rsidRPr="00E53E90" w:rsidRDefault="00E53E90" w:rsidP="00277AD9">
            <w:pPr>
              <w:spacing w:line="276" w:lineRule="auto"/>
              <w:jc w:val="both"/>
              <w:rPr>
                <w:rFonts w:asciiTheme="minorHAnsi" w:hAnsiTheme="minorHAnsi"/>
                <w:sz w:val="24"/>
                <w:szCs w:val="24"/>
              </w:rPr>
            </w:pPr>
          </w:p>
          <w:p w14:paraId="4DDBFF83" w14:textId="53345163" w:rsidR="00E53E90" w:rsidRPr="00E53E90" w:rsidRDefault="00E53E90" w:rsidP="00277AD9">
            <w:pPr>
              <w:spacing w:line="276" w:lineRule="auto"/>
              <w:jc w:val="both"/>
              <w:rPr>
                <w:rFonts w:asciiTheme="minorHAnsi" w:hAnsiTheme="minorHAnsi"/>
                <w:sz w:val="24"/>
                <w:szCs w:val="24"/>
              </w:rPr>
            </w:pPr>
            <w:r w:rsidRPr="00E53E90">
              <w:rPr>
                <w:rFonts w:asciiTheme="minorHAnsi" w:hAnsiTheme="minorHAnsi"/>
                <w:sz w:val="24"/>
                <w:szCs w:val="24"/>
              </w:rPr>
              <w:t>Establishing preferred outcomes is essential to ensure safeguarding interventions remain child-centred. Children should be supported to express their wishes and feelings according to their age and understanding</w:t>
            </w:r>
            <w:r w:rsidR="00241CD2">
              <w:rPr>
                <w:rFonts w:asciiTheme="minorHAnsi" w:hAnsiTheme="minorHAnsi"/>
                <w:sz w:val="24"/>
                <w:szCs w:val="24"/>
              </w:rPr>
              <w:t xml:space="preserve"> (Welsh Government, 2019)</w:t>
            </w:r>
            <w:r w:rsidRPr="00E53E90">
              <w:rPr>
                <w:rFonts w:asciiTheme="minorHAnsi" w:hAnsiTheme="minorHAnsi"/>
                <w:sz w:val="24"/>
                <w:szCs w:val="24"/>
              </w:rPr>
              <w:t>. For example, a child experiencing bullying may want to feel safe at school, identify trusted adults or access specialist support. Understanding these outcomes helps professionals develop meaningful interventions rather than relying solely on assumptions</w:t>
            </w:r>
            <w:r w:rsidR="006C2290">
              <w:rPr>
                <w:rFonts w:asciiTheme="minorHAnsi" w:hAnsiTheme="minorHAnsi"/>
                <w:sz w:val="24"/>
                <w:szCs w:val="24"/>
              </w:rPr>
              <w:t xml:space="preserve"> (SSWWA, 2014)</w:t>
            </w:r>
            <w:r w:rsidRPr="00E53E90">
              <w:rPr>
                <w:rFonts w:asciiTheme="minorHAnsi" w:hAnsiTheme="minorHAnsi"/>
                <w:sz w:val="24"/>
                <w:szCs w:val="24"/>
              </w:rPr>
              <w:t>.</w:t>
            </w:r>
          </w:p>
          <w:p w14:paraId="0BE61BA9" w14:textId="77777777" w:rsidR="00E53E90" w:rsidRPr="00E53E90" w:rsidRDefault="00E53E90" w:rsidP="00277AD9">
            <w:pPr>
              <w:spacing w:line="276" w:lineRule="auto"/>
              <w:jc w:val="both"/>
              <w:rPr>
                <w:rFonts w:asciiTheme="minorHAnsi" w:hAnsiTheme="minorHAnsi"/>
                <w:sz w:val="24"/>
                <w:szCs w:val="24"/>
              </w:rPr>
            </w:pPr>
          </w:p>
          <w:p w14:paraId="15BFD86C" w14:textId="4060FF3F" w:rsidR="00E53E90" w:rsidRPr="00E53E90" w:rsidRDefault="00E53E90" w:rsidP="00277AD9">
            <w:pPr>
              <w:spacing w:line="276" w:lineRule="auto"/>
              <w:jc w:val="both"/>
              <w:rPr>
                <w:rFonts w:asciiTheme="minorHAnsi" w:hAnsiTheme="minorHAnsi"/>
                <w:sz w:val="24"/>
                <w:szCs w:val="24"/>
              </w:rPr>
            </w:pPr>
            <w:r w:rsidRPr="00E53E90">
              <w:rPr>
                <w:rFonts w:asciiTheme="minorHAnsi" w:hAnsiTheme="minorHAnsi"/>
                <w:sz w:val="24"/>
                <w:szCs w:val="24"/>
              </w:rPr>
              <w:t>Parents and carers should also be involved where appropriate, particularly where support needs relating to housing, finances, substance misuse, domestic abuse or parenting affect the child’s safety. Addressing these difficulties may strengthen family circumstances and reduce safeguarding risks</w:t>
            </w:r>
            <w:r w:rsidR="005F3BBB">
              <w:rPr>
                <w:rFonts w:asciiTheme="minorHAnsi" w:hAnsiTheme="minorHAnsi"/>
                <w:sz w:val="24"/>
                <w:szCs w:val="24"/>
              </w:rPr>
              <w:t xml:space="preserve"> (W</w:t>
            </w:r>
            <w:r w:rsidR="00510402">
              <w:rPr>
                <w:rFonts w:asciiTheme="minorHAnsi" w:hAnsiTheme="minorHAnsi"/>
                <w:sz w:val="24"/>
                <w:szCs w:val="24"/>
              </w:rPr>
              <w:t>SP</w:t>
            </w:r>
            <w:r w:rsidR="005F3BBB">
              <w:rPr>
                <w:rFonts w:asciiTheme="minorHAnsi" w:hAnsiTheme="minorHAnsi"/>
                <w:sz w:val="24"/>
                <w:szCs w:val="24"/>
              </w:rPr>
              <w:t xml:space="preserve">, </w:t>
            </w:r>
            <w:r w:rsidR="00164A93">
              <w:rPr>
                <w:rFonts w:asciiTheme="minorHAnsi" w:hAnsiTheme="minorHAnsi"/>
                <w:sz w:val="24"/>
                <w:szCs w:val="24"/>
              </w:rPr>
              <w:t>2026</w:t>
            </w:r>
            <w:r w:rsidR="005F3BBB">
              <w:rPr>
                <w:rFonts w:asciiTheme="minorHAnsi" w:hAnsiTheme="minorHAnsi"/>
                <w:sz w:val="24"/>
                <w:szCs w:val="24"/>
              </w:rPr>
              <w:t>)</w:t>
            </w:r>
            <w:r w:rsidRPr="00E53E90">
              <w:rPr>
                <w:rFonts w:asciiTheme="minorHAnsi" w:hAnsiTheme="minorHAnsi"/>
                <w:sz w:val="24"/>
                <w:szCs w:val="24"/>
              </w:rPr>
              <w:t>.</w:t>
            </w:r>
          </w:p>
          <w:p w14:paraId="7BDE5948" w14:textId="77777777" w:rsidR="00E53E90" w:rsidRPr="00E53E90" w:rsidRDefault="00E53E90" w:rsidP="00277AD9">
            <w:pPr>
              <w:spacing w:line="276" w:lineRule="auto"/>
              <w:jc w:val="both"/>
              <w:rPr>
                <w:rFonts w:asciiTheme="minorHAnsi" w:hAnsiTheme="minorHAnsi"/>
                <w:sz w:val="24"/>
                <w:szCs w:val="24"/>
              </w:rPr>
            </w:pPr>
          </w:p>
          <w:p w14:paraId="129DAD2E" w14:textId="1C142C40" w:rsidR="008A2AB6" w:rsidRDefault="00E53E90" w:rsidP="00277AD9">
            <w:pPr>
              <w:spacing w:line="276" w:lineRule="auto"/>
              <w:jc w:val="both"/>
              <w:rPr>
                <w:rFonts w:asciiTheme="minorHAnsi" w:hAnsiTheme="minorHAnsi"/>
                <w:sz w:val="24"/>
                <w:szCs w:val="24"/>
              </w:rPr>
            </w:pPr>
            <w:r w:rsidRPr="00E53E90">
              <w:rPr>
                <w:rFonts w:asciiTheme="minorHAnsi" w:hAnsiTheme="minorHAnsi"/>
                <w:sz w:val="24"/>
                <w:szCs w:val="24"/>
              </w:rPr>
              <w:t xml:space="preserve">However, a child’s preferred outcome cannot override the professional responsibility to protect them from significant harm. Social workers must balance the child’s wishes with their legal safeguarding duties, taking proportionate protective action when </w:t>
            </w:r>
            <w:r w:rsidRPr="00E53E90">
              <w:rPr>
                <w:rFonts w:asciiTheme="minorHAnsi" w:hAnsiTheme="minorHAnsi"/>
                <w:sz w:val="24"/>
                <w:szCs w:val="24"/>
              </w:rPr>
              <w:lastRenderedPageBreak/>
              <w:t>necessary. Overall, effective safeguarding requires legislation, organisational procedures, professional judgement and multi-agency collaboration, with the child’s welfare, voice and safety central to every decision.</w:t>
            </w:r>
          </w:p>
          <w:p w14:paraId="74E345A4" w14:textId="77777777" w:rsidR="00E0091E" w:rsidRDefault="00E0091E">
            <w:pPr>
              <w:jc w:val="both"/>
              <w:rPr>
                <w:sz w:val="24"/>
                <w:szCs w:val="24"/>
              </w:rPr>
            </w:pPr>
          </w:p>
          <w:p w14:paraId="4DF3A36E" w14:textId="48C37804" w:rsidR="00E0091E" w:rsidRDefault="00C072CC">
            <w:pPr>
              <w:jc w:val="both"/>
              <w:rPr>
                <w:sz w:val="24"/>
                <w:szCs w:val="24"/>
              </w:rPr>
            </w:pPr>
            <w:r>
              <w:rPr>
                <w:sz w:val="24"/>
                <w:szCs w:val="24"/>
              </w:rPr>
              <w:t xml:space="preserve">Word count: </w:t>
            </w:r>
            <w:r w:rsidR="00E53E90">
              <w:rPr>
                <w:sz w:val="24"/>
                <w:szCs w:val="24"/>
              </w:rPr>
              <w:t>6</w:t>
            </w:r>
            <w:r w:rsidR="00510402">
              <w:rPr>
                <w:sz w:val="24"/>
                <w:szCs w:val="24"/>
              </w:rPr>
              <w:t>13</w:t>
            </w:r>
          </w:p>
          <w:p w14:paraId="044471AE" w14:textId="77777777" w:rsidR="00C072CC" w:rsidRDefault="00C072CC">
            <w:pPr>
              <w:jc w:val="both"/>
              <w:rPr>
                <w:sz w:val="24"/>
                <w:szCs w:val="24"/>
              </w:rPr>
            </w:pPr>
          </w:p>
          <w:p w14:paraId="16D1A0BC" w14:textId="77777777" w:rsidR="00E0091E" w:rsidRDefault="00E0091E">
            <w:pPr>
              <w:jc w:val="both"/>
              <w:rPr>
                <w:sz w:val="24"/>
                <w:szCs w:val="24"/>
              </w:rPr>
            </w:pPr>
            <w:r>
              <w:rPr>
                <w:i/>
                <w:sz w:val="24"/>
                <w:szCs w:val="24"/>
              </w:rPr>
              <w:t>500 words</w:t>
            </w:r>
            <w:r>
              <w:rPr>
                <w:sz w:val="24"/>
                <w:szCs w:val="24"/>
              </w:rPr>
              <w:t xml:space="preserve"> (+/- 10%: include your actual word count at the end of each section).</w:t>
            </w:r>
          </w:p>
          <w:p w14:paraId="031003BF" w14:textId="77777777" w:rsidR="00E0091E" w:rsidRDefault="00E0091E">
            <w:pPr>
              <w:jc w:val="both"/>
              <w:rPr>
                <w:b/>
                <w:sz w:val="24"/>
                <w:szCs w:val="24"/>
              </w:rPr>
            </w:pPr>
          </w:p>
        </w:tc>
      </w:tr>
    </w:tbl>
    <w:p w14:paraId="1487798C" w14:textId="77777777" w:rsidR="00E0091E" w:rsidRDefault="00E0091E" w:rsidP="00E0091E">
      <w:pPr>
        <w:jc w:val="both"/>
        <w:rPr>
          <w:sz w:val="24"/>
          <w:szCs w:val="24"/>
        </w:rPr>
      </w:pPr>
    </w:p>
    <w:p w14:paraId="2C4E9C38" w14:textId="77777777" w:rsidR="00E0091E" w:rsidRDefault="00E0091E" w:rsidP="00E0091E">
      <w:pPr>
        <w:jc w:val="both"/>
        <w:rPr>
          <w:sz w:val="24"/>
          <w:szCs w:val="24"/>
        </w:rPr>
      </w:pPr>
    </w:p>
    <w:p w14:paraId="5ECBD833" w14:textId="77777777" w:rsidR="00E0091E" w:rsidRDefault="00E0091E" w:rsidP="00E0091E">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0091E" w14:paraId="22F3AD86" w14:textId="77777777">
        <w:tc>
          <w:tcPr>
            <w:tcW w:w="10278" w:type="dxa"/>
            <w:tcBorders>
              <w:top w:val="single" w:sz="4" w:space="0" w:color="auto"/>
              <w:left w:val="single" w:sz="4" w:space="0" w:color="auto"/>
              <w:bottom w:val="single" w:sz="4" w:space="0" w:color="auto"/>
              <w:right w:val="single" w:sz="4" w:space="0" w:color="auto"/>
            </w:tcBorders>
          </w:tcPr>
          <w:p w14:paraId="4D31FDC9" w14:textId="77777777" w:rsidR="00E0091E" w:rsidRDefault="00E0091E">
            <w:pPr>
              <w:jc w:val="both"/>
              <w:rPr>
                <w:b/>
                <w:sz w:val="24"/>
                <w:szCs w:val="24"/>
              </w:rPr>
            </w:pPr>
            <w:r>
              <w:rPr>
                <w:b/>
                <w:sz w:val="24"/>
                <w:szCs w:val="24"/>
              </w:rPr>
              <w:t>Question b:</w:t>
            </w:r>
          </w:p>
          <w:p w14:paraId="11E1D905" w14:textId="77777777" w:rsidR="00E0091E" w:rsidRDefault="00E0091E">
            <w:pPr>
              <w:jc w:val="both"/>
              <w:rPr>
                <w:sz w:val="24"/>
                <w:szCs w:val="24"/>
              </w:rPr>
            </w:pPr>
            <w:r>
              <w:rPr>
                <w:sz w:val="24"/>
                <w:szCs w:val="24"/>
              </w:rPr>
              <w:t>Reflect on the difference between safeguarding in adults’ and children’s work</w:t>
            </w:r>
          </w:p>
          <w:p w14:paraId="480EF1EB" w14:textId="77777777" w:rsidR="00CE60D6" w:rsidRDefault="00CE60D6">
            <w:pPr>
              <w:jc w:val="both"/>
              <w:rPr>
                <w:sz w:val="24"/>
                <w:szCs w:val="24"/>
              </w:rPr>
            </w:pPr>
          </w:p>
          <w:p w14:paraId="4D96EC8C" w14:textId="585071C4" w:rsidR="00CE60D6" w:rsidRPr="00CE60D6" w:rsidRDefault="00CE60D6" w:rsidP="00F76F3C">
            <w:pPr>
              <w:spacing w:line="276" w:lineRule="auto"/>
              <w:jc w:val="both"/>
              <w:rPr>
                <w:rFonts w:asciiTheme="minorHAnsi" w:hAnsiTheme="minorHAnsi"/>
                <w:sz w:val="24"/>
                <w:szCs w:val="24"/>
              </w:rPr>
            </w:pPr>
            <w:r w:rsidRPr="00CE60D6">
              <w:rPr>
                <w:rFonts w:asciiTheme="minorHAnsi" w:hAnsiTheme="minorHAnsi"/>
                <w:sz w:val="24"/>
                <w:szCs w:val="24"/>
              </w:rPr>
              <w:t xml:space="preserve">Safeguarding adults and children share the fundamental purpose of protecting people from abuse, neglect and harm. However, there are important differences in the legal frameworks, responsibilities and approaches used when safeguarding adults and children in Wales. </w:t>
            </w:r>
            <w:r w:rsidR="00F732A6">
              <w:rPr>
                <w:rFonts w:asciiTheme="minorHAnsi" w:hAnsiTheme="minorHAnsi"/>
                <w:sz w:val="24"/>
                <w:szCs w:val="24"/>
              </w:rPr>
              <w:t xml:space="preserve">SSWWA, 2014 </w:t>
            </w:r>
            <w:r w:rsidRPr="00CE60D6">
              <w:rPr>
                <w:rFonts w:asciiTheme="minorHAnsi" w:hAnsiTheme="minorHAnsi"/>
                <w:sz w:val="24"/>
                <w:szCs w:val="24"/>
              </w:rPr>
              <w:t>provides the main statutory framework for safeguarding both adults and children in Wales, with Part 7 specifically addressing safeguarding responsibilities (Welsh Government, 2014).</w:t>
            </w:r>
          </w:p>
          <w:p w14:paraId="31FDA874" w14:textId="77777777" w:rsidR="00CE60D6" w:rsidRPr="00CE60D6" w:rsidRDefault="00CE60D6" w:rsidP="00F76F3C">
            <w:pPr>
              <w:spacing w:line="276" w:lineRule="auto"/>
              <w:jc w:val="both"/>
              <w:rPr>
                <w:rFonts w:asciiTheme="minorHAnsi" w:hAnsiTheme="minorHAnsi"/>
                <w:sz w:val="24"/>
                <w:szCs w:val="24"/>
              </w:rPr>
            </w:pPr>
          </w:p>
          <w:p w14:paraId="081E1647" w14:textId="1482E455" w:rsidR="00CE60D6" w:rsidRDefault="00CE60D6" w:rsidP="00F76F3C">
            <w:pPr>
              <w:spacing w:line="276" w:lineRule="auto"/>
              <w:jc w:val="both"/>
              <w:rPr>
                <w:rFonts w:asciiTheme="minorHAnsi" w:hAnsiTheme="minorHAnsi"/>
                <w:sz w:val="24"/>
                <w:szCs w:val="24"/>
              </w:rPr>
            </w:pPr>
            <w:r w:rsidRPr="00CE60D6">
              <w:rPr>
                <w:rFonts w:asciiTheme="minorHAnsi" w:hAnsiTheme="minorHAnsi"/>
                <w:sz w:val="24"/>
                <w:szCs w:val="24"/>
              </w:rPr>
              <w:t>An adult at risk is defined under Section 126 of the S</w:t>
            </w:r>
            <w:r w:rsidR="00B26F2C">
              <w:rPr>
                <w:rFonts w:asciiTheme="minorHAnsi" w:hAnsiTheme="minorHAnsi"/>
                <w:sz w:val="24"/>
                <w:szCs w:val="24"/>
              </w:rPr>
              <w:t>SWWA 2014</w:t>
            </w:r>
            <w:r w:rsidRPr="00CE60D6">
              <w:rPr>
                <w:rFonts w:asciiTheme="minorHAnsi" w:hAnsiTheme="minorHAnsi"/>
                <w:sz w:val="24"/>
                <w:szCs w:val="24"/>
              </w:rPr>
              <w:t xml:space="preserve"> as an adult who is experiencing, or is at risk of, abuse or neglect; has needs for care and support, whether or not these needs are being met; and, as a result of those needs, is unable to protect themselves from the abuse, neglect or risk of it (S</w:t>
            </w:r>
            <w:r w:rsidR="00B26F2C">
              <w:rPr>
                <w:rFonts w:asciiTheme="minorHAnsi" w:hAnsiTheme="minorHAnsi"/>
                <w:sz w:val="24"/>
                <w:szCs w:val="24"/>
              </w:rPr>
              <w:t xml:space="preserve">SWWA, </w:t>
            </w:r>
            <w:r w:rsidRPr="00CE60D6">
              <w:rPr>
                <w:rFonts w:asciiTheme="minorHAnsi" w:hAnsiTheme="minorHAnsi"/>
                <w:sz w:val="24"/>
                <w:szCs w:val="24"/>
              </w:rPr>
              <w:t>2014, s.126). Where a local authority has reasonable cause to suspect that an adult is at risk, it must make appropriate enquiries to determine whether action is required. Relevant partners also have a statutory duty to report concerns about adults at risk under Section 128 (S</w:t>
            </w:r>
            <w:r w:rsidR="00E61637">
              <w:rPr>
                <w:rFonts w:asciiTheme="minorHAnsi" w:hAnsiTheme="minorHAnsi"/>
                <w:sz w:val="24"/>
                <w:szCs w:val="24"/>
              </w:rPr>
              <w:t>SWWA,</w:t>
            </w:r>
            <w:r w:rsidRPr="00CE60D6">
              <w:rPr>
                <w:rFonts w:asciiTheme="minorHAnsi" w:hAnsiTheme="minorHAnsi"/>
                <w:sz w:val="24"/>
                <w:szCs w:val="24"/>
              </w:rPr>
              <w:t xml:space="preserve"> 2014</w:t>
            </w:r>
            <w:r w:rsidR="00B63ECD">
              <w:rPr>
                <w:rFonts w:asciiTheme="minorHAnsi" w:hAnsiTheme="minorHAnsi"/>
                <w:sz w:val="24"/>
                <w:szCs w:val="24"/>
              </w:rPr>
              <w:t>)</w:t>
            </w:r>
            <w:r w:rsidR="00A731F5">
              <w:rPr>
                <w:rFonts w:asciiTheme="minorHAnsi" w:hAnsiTheme="minorHAnsi"/>
                <w:sz w:val="24"/>
                <w:szCs w:val="24"/>
              </w:rPr>
              <w:t xml:space="preserve">. </w:t>
            </w:r>
          </w:p>
          <w:p w14:paraId="7DD32D68" w14:textId="77777777" w:rsidR="00A731F5" w:rsidRDefault="00A731F5" w:rsidP="00F76F3C">
            <w:pPr>
              <w:spacing w:line="276" w:lineRule="auto"/>
              <w:jc w:val="both"/>
              <w:rPr>
                <w:rFonts w:asciiTheme="minorHAnsi" w:hAnsiTheme="minorHAnsi"/>
                <w:sz w:val="24"/>
                <w:szCs w:val="24"/>
              </w:rPr>
            </w:pPr>
          </w:p>
          <w:p w14:paraId="236D320C" w14:textId="4088C604" w:rsidR="00A731F5" w:rsidRPr="00A731F5" w:rsidRDefault="00E63863" w:rsidP="00F76F3C">
            <w:pPr>
              <w:spacing w:line="276" w:lineRule="auto"/>
              <w:jc w:val="both"/>
              <w:rPr>
                <w:rFonts w:asciiTheme="minorHAnsi" w:hAnsiTheme="minorHAnsi"/>
                <w:sz w:val="24"/>
                <w:szCs w:val="24"/>
              </w:rPr>
            </w:pPr>
            <w:r>
              <w:rPr>
                <w:rFonts w:asciiTheme="minorHAnsi" w:hAnsiTheme="minorHAnsi"/>
                <w:sz w:val="24"/>
                <w:szCs w:val="24"/>
              </w:rPr>
              <w:t>Adult Safeguarding therefore pl</w:t>
            </w:r>
            <w:r w:rsidR="006B1192">
              <w:rPr>
                <w:rFonts w:asciiTheme="minorHAnsi" w:hAnsiTheme="minorHAnsi"/>
                <w:sz w:val="24"/>
                <w:szCs w:val="24"/>
              </w:rPr>
              <w:t>aces significant emphasis on voice, control</w:t>
            </w:r>
            <w:r w:rsidR="00920937">
              <w:rPr>
                <w:rFonts w:asciiTheme="minorHAnsi" w:hAnsiTheme="minorHAnsi"/>
                <w:sz w:val="24"/>
                <w:szCs w:val="24"/>
              </w:rPr>
              <w:t xml:space="preserve">, choice </w:t>
            </w:r>
            <w:r w:rsidR="00A731F5">
              <w:rPr>
                <w:rFonts w:asciiTheme="minorHAnsi" w:hAnsiTheme="minorHAnsi"/>
                <w:sz w:val="24"/>
                <w:szCs w:val="24"/>
              </w:rPr>
              <w:t>a</w:t>
            </w:r>
            <w:r w:rsidR="00A731F5" w:rsidRPr="00A731F5">
              <w:rPr>
                <w:rFonts w:asciiTheme="minorHAnsi" w:hAnsiTheme="minorHAnsi"/>
                <w:sz w:val="24"/>
                <w:szCs w:val="24"/>
              </w:rPr>
              <w:t>nd individual well-being. This means professionals should involve adults in decisions about their safeguarding wherever possible and consider their wishes when deciding what action should be taken (Welsh Government, 2024). This can create a balance between protecting an adult from harm and respecting their autonomy.</w:t>
            </w:r>
          </w:p>
          <w:p w14:paraId="2F25C868" w14:textId="77777777" w:rsidR="00A731F5" w:rsidRPr="00A731F5" w:rsidRDefault="00A731F5" w:rsidP="00F76F3C">
            <w:pPr>
              <w:spacing w:line="276" w:lineRule="auto"/>
              <w:jc w:val="both"/>
              <w:rPr>
                <w:rFonts w:asciiTheme="minorHAnsi" w:hAnsiTheme="minorHAnsi"/>
                <w:sz w:val="24"/>
                <w:szCs w:val="24"/>
              </w:rPr>
            </w:pPr>
          </w:p>
          <w:p w14:paraId="79EABD95" w14:textId="78FFDDAC" w:rsidR="00A731F5" w:rsidRDefault="00A731F5" w:rsidP="00F76F3C">
            <w:pPr>
              <w:spacing w:line="276" w:lineRule="auto"/>
              <w:jc w:val="both"/>
              <w:rPr>
                <w:rFonts w:asciiTheme="minorHAnsi" w:hAnsiTheme="minorHAnsi"/>
                <w:sz w:val="24"/>
                <w:szCs w:val="24"/>
              </w:rPr>
            </w:pPr>
            <w:r w:rsidRPr="00A731F5">
              <w:rPr>
                <w:rFonts w:asciiTheme="minorHAnsi" w:hAnsiTheme="minorHAnsi"/>
                <w:sz w:val="24"/>
                <w:szCs w:val="24"/>
              </w:rPr>
              <w:t xml:space="preserve">In comparison, Section 130 defines a child at risk as a child who is experiencing, or is at risk of, abuse, neglect or other kinds of harm and has needs for care and support, </w:t>
            </w:r>
            <w:r w:rsidR="005D7CF1" w:rsidRPr="00A731F5">
              <w:rPr>
                <w:rFonts w:asciiTheme="minorHAnsi" w:hAnsiTheme="minorHAnsi"/>
                <w:sz w:val="24"/>
                <w:szCs w:val="24"/>
              </w:rPr>
              <w:t>whether</w:t>
            </w:r>
            <w:r w:rsidRPr="00A731F5">
              <w:rPr>
                <w:rFonts w:asciiTheme="minorHAnsi" w:hAnsiTheme="minorHAnsi"/>
                <w:sz w:val="24"/>
                <w:szCs w:val="24"/>
              </w:rPr>
              <w:t xml:space="preserve"> those needs are being met (S</w:t>
            </w:r>
            <w:r w:rsidR="00BD5FE8">
              <w:rPr>
                <w:rFonts w:asciiTheme="minorHAnsi" w:hAnsiTheme="minorHAnsi"/>
                <w:sz w:val="24"/>
                <w:szCs w:val="24"/>
              </w:rPr>
              <w:t xml:space="preserve">SWWA, </w:t>
            </w:r>
            <w:r w:rsidRPr="00A731F5">
              <w:rPr>
                <w:rFonts w:asciiTheme="minorHAnsi" w:hAnsiTheme="minorHAnsi"/>
                <w:sz w:val="24"/>
                <w:szCs w:val="24"/>
              </w:rPr>
              <w:t>2014, s.130). Relevant partners have a statutory duty to report children at risk to the local authority. The local authority must then consider whether further investigation is required, including an investigation under Section 47 of C</w:t>
            </w:r>
            <w:r w:rsidR="004A1041">
              <w:rPr>
                <w:rFonts w:asciiTheme="minorHAnsi" w:hAnsiTheme="minorHAnsi"/>
                <w:sz w:val="24"/>
                <w:szCs w:val="24"/>
              </w:rPr>
              <w:t>A</w:t>
            </w:r>
            <w:r w:rsidRPr="00A731F5">
              <w:rPr>
                <w:rFonts w:asciiTheme="minorHAnsi" w:hAnsiTheme="minorHAnsi"/>
                <w:sz w:val="24"/>
                <w:szCs w:val="24"/>
              </w:rPr>
              <w:t xml:space="preserve"> 1989 where there is reasonable cause to suspect that a child is suffering, or is likely to suffer, significant harm (S</w:t>
            </w:r>
            <w:r w:rsidR="00BD5FE8">
              <w:rPr>
                <w:rFonts w:asciiTheme="minorHAnsi" w:hAnsiTheme="minorHAnsi"/>
                <w:sz w:val="24"/>
                <w:szCs w:val="24"/>
              </w:rPr>
              <w:t>SWWA,</w:t>
            </w:r>
            <w:r w:rsidRPr="00A731F5">
              <w:rPr>
                <w:rFonts w:asciiTheme="minorHAnsi" w:hAnsiTheme="minorHAnsi"/>
                <w:sz w:val="24"/>
                <w:szCs w:val="24"/>
              </w:rPr>
              <w:t xml:space="preserve"> 2014</w:t>
            </w:r>
            <w:r w:rsidR="00EB7696">
              <w:rPr>
                <w:rFonts w:asciiTheme="minorHAnsi" w:hAnsiTheme="minorHAnsi"/>
                <w:sz w:val="24"/>
                <w:szCs w:val="24"/>
              </w:rPr>
              <w:t>)</w:t>
            </w:r>
            <w:r w:rsidR="001820F6">
              <w:rPr>
                <w:rFonts w:asciiTheme="minorHAnsi" w:hAnsiTheme="minorHAnsi"/>
                <w:sz w:val="24"/>
                <w:szCs w:val="24"/>
              </w:rPr>
              <w:t xml:space="preserve">. </w:t>
            </w:r>
          </w:p>
          <w:p w14:paraId="0ECD2C02" w14:textId="77777777" w:rsidR="001820F6" w:rsidRDefault="001820F6" w:rsidP="00F76F3C">
            <w:pPr>
              <w:spacing w:line="276" w:lineRule="auto"/>
              <w:jc w:val="both"/>
              <w:rPr>
                <w:rFonts w:asciiTheme="minorHAnsi" w:hAnsiTheme="minorHAnsi"/>
                <w:sz w:val="24"/>
                <w:szCs w:val="24"/>
              </w:rPr>
            </w:pPr>
          </w:p>
          <w:p w14:paraId="0A60B9DC" w14:textId="00F75584" w:rsidR="001820F6" w:rsidRPr="001820F6" w:rsidRDefault="001820F6" w:rsidP="00F76F3C">
            <w:pPr>
              <w:spacing w:line="276" w:lineRule="auto"/>
              <w:jc w:val="both"/>
              <w:rPr>
                <w:rFonts w:asciiTheme="minorHAnsi" w:hAnsiTheme="minorHAnsi"/>
                <w:sz w:val="24"/>
                <w:szCs w:val="24"/>
              </w:rPr>
            </w:pPr>
            <w:r w:rsidRPr="001820F6">
              <w:rPr>
                <w:rFonts w:asciiTheme="minorHAnsi" w:hAnsiTheme="minorHAnsi"/>
                <w:sz w:val="24"/>
                <w:szCs w:val="24"/>
              </w:rPr>
              <w:t>A key similarity between adult and child safeguarding is that abuse can occur in many forms and settings. Professionals must therefore recognise indicators such as unexplained injuries, changes in behaviour, fear, withdrawal, poor hygiene, financial concerns or changes in presentation</w:t>
            </w:r>
            <w:r w:rsidR="00EF19AC">
              <w:rPr>
                <w:rFonts w:asciiTheme="minorHAnsi" w:hAnsiTheme="minorHAnsi"/>
                <w:sz w:val="24"/>
                <w:szCs w:val="24"/>
              </w:rPr>
              <w:t xml:space="preserve"> (NICE, 2017)</w:t>
            </w:r>
            <w:r w:rsidRPr="001820F6">
              <w:rPr>
                <w:rFonts w:asciiTheme="minorHAnsi" w:hAnsiTheme="minorHAnsi"/>
                <w:sz w:val="24"/>
                <w:szCs w:val="24"/>
              </w:rPr>
              <w:t>. When working with children, indicators may also include developmental regression, changes in school attendance or significant behavioural changes.</w:t>
            </w:r>
          </w:p>
          <w:p w14:paraId="3BC6EFD5" w14:textId="77777777" w:rsidR="001820F6" w:rsidRPr="001820F6" w:rsidRDefault="001820F6" w:rsidP="00F76F3C">
            <w:pPr>
              <w:spacing w:line="276" w:lineRule="auto"/>
              <w:jc w:val="both"/>
              <w:rPr>
                <w:rFonts w:asciiTheme="minorHAnsi" w:hAnsiTheme="minorHAnsi"/>
                <w:sz w:val="24"/>
                <w:szCs w:val="24"/>
              </w:rPr>
            </w:pPr>
          </w:p>
          <w:p w14:paraId="498966C0" w14:textId="6E512741" w:rsidR="001820F6" w:rsidRDefault="001820F6" w:rsidP="00F76F3C">
            <w:pPr>
              <w:spacing w:line="276" w:lineRule="auto"/>
              <w:jc w:val="both"/>
              <w:rPr>
                <w:rFonts w:asciiTheme="minorHAnsi" w:hAnsiTheme="minorHAnsi"/>
                <w:sz w:val="24"/>
                <w:szCs w:val="24"/>
              </w:rPr>
            </w:pPr>
            <w:r w:rsidRPr="001820F6">
              <w:rPr>
                <w:rFonts w:asciiTheme="minorHAnsi" w:hAnsiTheme="minorHAnsi"/>
                <w:sz w:val="24"/>
                <w:szCs w:val="24"/>
              </w:rPr>
              <w:t>Reflecting on these differences, I understand that adult safeguarding places greater emphasis on autonomy and person-centred decision-making, while safeguarding children places a stronger emphasis on protection from significant harm and promoting the child’s welfare</w:t>
            </w:r>
            <w:r w:rsidR="00711DD5">
              <w:rPr>
                <w:rFonts w:asciiTheme="minorHAnsi" w:hAnsiTheme="minorHAnsi"/>
                <w:sz w:val="24"/>
                <w:szCs w:val="24"/>
              </w:rPr>
              <w:t xml:space="preserve"> (SSWWA, 2014)</w:t>
            </w:r>
            <w:r w:rsidRPr="001820F6">
              <w:rPr>
                <w:rFonts w:asciiTheme="minorHAnsi" w:hAnsiTheme="minorHAnsi"/>
                <w:sz w:val="24"/>
                <w:szCs w:val="24"/>
              </w:rPr>
              <w:t>. Nevertheless, both require professionals to recognise concerns, report appropriately, share relevant information and take timely action</w:t>
            </w:r>
            <w:r w:rsidR="00711DD5">
              <w:rPr>
                <w:rFonts w:asciiTheme="minorHAnsi" w:hAnsiTheme="minorHAnsi"/>
                <w:sz w:val="24"/>
                <w:szCs w:val="24"/>
              </w:rPr>
              <w:t xml:space="preserve"> (W</w:t>
            </w:r>
            <w:r w:rsidR="005D7CF1">
              <w:rPr>
                <w:rFonts w:asciiTheme="minorHAnsi" w:hAnsiTheme="minorHAnsi"/>
                <w:sz w:val="24"/>
                <w:szCs w:val="24"/>
              </w:rPr>
              <w:t>SP</w:t>
            </w:r>
            <w:r w:rsidR="00711DD5">
              <w:rPr>
                <w:rFonts w:asciiTheme="minorHAnsi" w:hAnsiTheme="minorHAnsi"/>
                <w:sz w:val="24"/>
                <w:szCs w:val="24"/>
              </w:rPr>
              <w:t xml:space="preserve">, </w:t>
            </w:r>
            <w:r w:rsidR="004E105D">
              <w:rPr>
                <w:rFonts w:asciiTheme="minorHAnsi" w:hAnsiTheme="minorHAnsi"/>
                <w:sz w:val="24"/>
                <w:szCs w:val="24"/>
              </w:rPr>
              <w:t>20</w:t>
            </w:r>
            <w:r w:rsidR="00164A93">
              <w:rPr>
                <w:rFonts w:asciiTheme="minorHAnsi" w:hAnsiTheme="minorHAnsi"/>
                <w:sz w:val="24"/>
                <w:szCs w:val="24"/>
              </w:rPr>
              <w:t>26</w:t>
            </w:r>
            <w:r w:rsidR="004E105D">
              <w:rPr>
                <w:rFonts w:asciiTheme="minorHAnsi" w:hAnsiTheme="minorHAnsi"/>
                <w:sz w:val="24"/>
                <w:szCs w:val="24"/>
              </w:rPr>
              <w:t>)</w:t>
            </w:r>
            <w:r w:rsidRPr="001820F6">
              <w:rPr>
                <w:rFonts w:asciiTheme="minorHAnsi" w:hAnsiTheme="minorHAnsi"/>
                <w:sz w:val="24"/>
                <w:szCs w:val="24"/>
              </w:rPr>
              <w:t>. Effective safeguarding therefore depends not only on understanding legislation but also on professional judgement, communication and recognising the individual circumstances of the person at risk.</w:t>
            </w:r>
          </w:p>
          <w:p w14:paraId="4BADBECC" w14:textId="77777777" w:rsidR="001820F6" w:rsidRDefault="001820F6" w:rsidP="001820F6">
            <w:pPr>
              <w:jc w:val="both"/>
              <w:rPr>
                <w:rFonts w:asciiTheme="minorHAnsi" w:hAnsiTheme="minorHAnsi"/>
                <w:sz w:val="24"/>
                <w:szCs w:val="24"/>
              </w:rPr>
            </w:pPr>
          </w:p>
          <w:p w14:paraId="169733F6" w14:textId="37FBE30A" w:rsidR="00122ECB" w:rsidRPr="001A18EE" w:rsidRDefault="001820F6">
            <w:pPr>
              <w:jc w:val="both"/>
              <w:rPr>
                <w:rFonts w:asciiTheme="minorHAnsi" w:hAnsiTheme="minorHAnsi"/>
                <w:sz w:val="24"/>
                <w:szCs w:val="24"/>
              </w:rPr>
            </w:pPr>
            <w:r>
              <w:rPr>
                <w:rFonts w:asciiTheme="minorHAnsi" w:hAnsiTheme="minorHAnsi"/>
                <w:sz w:val="24"/>
                <w:szCs w:val="24"/>
              </w:rPr>
              <w:t>Word count: 4</w:t>
            </w:r>
            <w:r w:rsidR="00770D56">
              <w:rPr>
                <w:rFonts w:asciiTheme="minorHAnsi" w:hAnsiTheme="minorHAnsi"/>
                <w:sz w:val="24"/>
                <w:szCs w:val="24"/>
              </w:rPr>
              <w:t>6</w:t>
            </w:r>
            <w:r w:rsidR="005D7CF1">
              <w:rPr>
                <w:rFonts w:asciiTheme="minorHAnsi" w:hAnsiTheme="minorHAnsi"/>
                <w:sz w:val="24"/>
                <w:szCs w:val="24"/>
              </w:rPr>
              <w:t>3</w:t>
            </w:r>
          </w:p>
          <w:p w14:paraId="68A1BB58" w14:textId="77777777" w:rsidR="00E0091E" w:rsidRDefault="00E0091E">
            <w:pPr>
              <w:jc w:val="both"/>
              <w:rPr>
                <w:sz w:val="24"/>
                <w:szCs w:val="24"/>
              </w:rPr>
            </w:pPr>
          </w:p>
          <w:p w14:paraId="1F9D10B6" w14:textId="77777777" w:rsidR="00E0091E" w:rsidRDefault="00E0091E">
            <w:pPr>
              <w:jc w:val="both"/>
              <w:rPr>
                <w:i/>
                <w:sz w:val="24"/>
                <w:szCs w:val="24"/>
              </w:rPr>
            </w:pPr>
            <w:r>
              <w:rPr>
                <w:i/>
                <w:sz w:val="24"/>
                <w:szCs w:val="24"/>
              </w:rPr>
              <w:t>400 words</w:t>
            </w:r>
            <w:r>
              <w:rPr>
                <w:sz w:val="24"/>
                <w:szCs w:val="24"/>
              </w:rPr>
              <w:t xml:space="preserve"> </w:t>
            </w:r>
            <w:r>
              <w:rPr>
                <w:i/>
                <w:sz w:val="24"/>
                <w:szCs w:val="24"/>
              </w:rPr>
              <w:t>(+/- 10%: include your actual word count at the end of each section).</w:t>
            </w:r>
          </w:p>
          <w:p w14:paraId="6796E59D" w14:textId="77777777" w:rsidR="00E0091E" w:rsidRDefault="00E0091E">
            <w:pPr>
              <w:jc w:val="both"/>
              <w:rPr>
                <w:sz w:val="24"/>
                <w:szCs w:val="24"/>
              </w:rPr>
            </w:pPr>
          </w:p>
        </w:tc>
      </w:tr>
    </w:tbl>
    <w:p w14:paraId="1885733D" w14:textId="625E0B4D" w:rsidR="00F833B7" w:rsidRPr="00B21CB3" w:rsidRDefault="001B109D" w:rsidP="00B21CB3">
      <w:pPr>
        <w:pStyle w:val="Default"/>
        <w:rPr>
          <w:sz w:val="22"/>
          <w:szCs w:val="22"/>
        </w:rPr>
      </w:pPr>
      <w:r>
        <w:rPr>
          <w:sz w:val="22"/>
          <w:szCs w:val="22"/>
        </w:rPr>
        <w:lastRenderedPageBreak/>
        <w:t xml:space="preserve"> </w:t>
      </w:r>
    </w:p>
    <w:sectPr w:rsidR="00F833B7" w:rsidRPr="00B21C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675A7"/>
    <w:multiLevelType w:val="hybridMultilevel"/>
    <w:tmpl w:val="B22A690E"/>
    <w:lvl w:ilvl="0" w:tplc="C49C46F2">
      <w:start w:val="1"/>
      <w:numFmt w:val="bullet"/>
      <w:lvlText w:val="•"/>
      <w:lvlJc w:val="left"/>
      <w:pPr>
        <w:tabs>
          <w:tab w:val="num" w:pos="720"/>
        </w:tabs>
        <w:ind w:left="720" w:hanging="360"/>
      </w:pPr>
      <w:rPr>
        <w:rFonts w:ascii="Arial" w:hAnsi="Arial" w:hint="default"/>
      </w:rPr>
    </w:lvl>
    <w:lvl w:ilvl="1" w:tplc="3878B672" w:tentative="1">
      <w:start w:val="1"/>
      <w:numFmt w:val="bullet"/>
      <w:lvlText w:val="•"/>
      <w:lvlJc w:val="left"/>
      <w:pPr>
        <w:tabs>
          <w:tab w:val="num" w:pos="1440"/>
        </w:tabs>
        <w:ind w:left="1440" w:hanging="360"/>
      </w:pPr>
      <w:rPr>
        <w:rFonts w:ascii="Arial" w:hAnsi="Arial" w:hint="default"/>
      </w:rPr>
    </w:lvl>
    <w:lvl w:ilvl="2" w:tplc="EA7E9D12" w:tentative="1">
      <w:start w:val="1"/>
      <w:numFmt w:val="bullet"/>
      <w:lvlText w:val="•"/>
      <w:lvlJc w:val="left"/>
      <w:pPr>
        <w:tabs>
          <w:tab w:val="num" w:pos="2160"/>
        </w:tabs>
        <w:ind w:left="2160" w:hanging="360"/>
      </w:pPr>
      <w:rPr>
        <w:rFonts w:ascii="Arial" w:hAnsi="Arial" w:hint="default"/>
      </w:rPr>
    </w:lvl>
    <w:lvl w:ilvl="3" w:tplc="57A84564" w:tentative="1">
      <w:start w:val="1"/>
      <w:numFmt w:val="bullet"/>
      <w:lvlText w:val="•"/>
      <w:lvlJc w:val="left"/>
      <w:pPr>
        <w:tabs>
          <w:tab w:val="num" w:pos="2880"/>
        </w:tabs>
        <w:ind w:left="2880" w:hanging="360"/>
      </w:pPr>
      <w:rPr>
        <w:rFonts w:ascii="Arial" w:hAnsi="Arial" w:hint="default"/>
      </w:rPr>
    </w:lvl>
    <w:lvl w:ilvl="4" w:tplc="7A209CEC" w:tentative="1">
      <w:start w:val="1"/>
      <w:numFmt w:val="bullet"/>
      <w:lvlText w:val="•"/>
      <w:lvlJc w:val="left"/>
      <w:pPr>
        <w:tabs>
          <w:tab w:val="num" w:pos="3600"/>
        </w:tabs>
        <w:ind w:left="3600" w:hanging="360"/>
      </w:pPr>
      <w:rPr>
        <w:rFonts w:ascii="Arial" w:hAnsi="Arial" w:hint="default"/>
      </w:rPr>
    </w:lvl>
    <w:lvl w:ilvl="5" w:tplc="7B2474A6" w:tentative="1">
      <w:start w:val="1"/>
      <w:numFmt w:val="bullet"/>
      <w:lvlText w:val="•"/>
      <w:lvlJc w:val="left"/>
      <w:pPr>
        <w:tabs>
          <w:tab w:val="num" w:pos="4320"/>
        </w:tabs>
        <w:ind w:left="4320" w:hanging="360"/>
      </w:pPr>
      <w:rPr>
        <w:rFonts w:ascii="Arial" w:hAnsi="Arial" w:hint="default"/>
      </w:rPr>
    </w:lvl>
    <w:lvl w:ilvl="6" w:tplc="7DAE229E" w:tentative="1">
      <w:start w:val="1"/>
      <w:numFmt w:val="bullet"/>
      <w:lvlText w:val="•"/>
      <w:lvlJc w:val="left"/>
      <w:pPr>
        <w:tabs>
          <w:tab w:val="num" w:pos="5040"/>
        </w:tabs>
        <w:ind w:left="5040" w:hanging="360"/>
      </w:pPr>
      <w:rPr>
        <w:rFonts w:ascii="Arial" w:hAnsi="Arial" w:hint="default"/>
      </w:rPr>
    </w:lvl>
    <w:lvl w:ilvl="7" w:tplc="66FC5DB8" w:tentative="1">
      <w:start w:val="1"/>
      <w:numFmt w:val="bullet"/>
      <w:lvlText w:val="•"/>
      <w:lvlJc w:val="left"/>
      <w:pPr>
        <w:tabs>
          <w:tab w:val="num" w:pos="5760"/>
        </w:tabs>
        <w:ind w:left="5760" w:hanging="360"/>
      </w:pPr>
      <w:rPr>
        <w:rFonts w:ascii="Arial" w:hAnsi="Arial" w:hint="default"/>
      </w:rPr>
    </w:lvl>
    <w:lvl w:ilvl="8" w:tplc="AFFA8E5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CB91EA2"/>
    <w:multiLevelType w:val="hybridMultilevel"/>
    <w:tmpl w:val="D5D291AA"/>
    <w:lvl w:ilvl="0" w:tplc="A4C217F2">
      <w:start w:val="1"/>
      <w:numFmt w:val="bullet"/>
      <w:lvlText w:val="•"/>
      <w:lvlJc w:val="left"/>
      <w:pPr>
        <w:tabs>
          <w:tab w:val="num" w:pos="720"/>
        </w:tabs>
        <w:ind w:left="720" w:hanging="360"/>
      </w:pPr>
      <w:rPr>
        <w:rFonts w:ascii="Arial" w:hAnsi="Arial" w:hint="default"/>
      </w:rPr>
    </w:lvl>
    <w:lvl w:ilvl="1" w:tplc="E3C6BE18" w:tentative="1">
      <w:start w:val="1"/>
      <w:numFmt w:val="bullet"/>
      <w:lvlText w:val="•"/>
      <w:lvlJc w:val="left"/>
      <w:pPr>
        <w:tabs>
          <w:tab w:val="num" w:pos="1440"/>
        </w:tabs>
        <w:ind w:left="1440" w:hanging="360"/>
      </w:pPr>
      <w:rPr>
        <w:rFonts w:ascii="Arial" w:hAnsi="Arial" w:hint="default"/>
      </w:rPr>
    </w:lvl>
    <w:lvl w:ilvl="2" w:tplc="1C7E4F70" w:tentative="1">
      <w:start w:val="1"/>
      <w:numFmt w:val="bullet"/>
      <w:lvlText w:val="•"/>
      <w:lvlJc w:val="left"/>
      <w:pPr>
        <w:tabs>
          <w:tab w:val="num" w:pos="2160"/>
        </w:tabs>
        <w:ind w:left="2160" w:hanging="360"/>
      </w:pPr>
      <w:rPr>
        <w:rFonts w:ascii="Arial" w:hAnsi="Arial" w:hint="default"/>
      </w:rPr>
    </w:lvl>
    <w:lvl w:ilvl="3" w:tplc="DDA474BE" w:tentative="1">
      <w:start w:val="1"/>
      <w:numFmt w:val="bullet"/>
      <w:lvlText w:val="•"/>
      <w:lvlJc w:val="left"/>
      <w:pPr>
        <w:tabs>
          <w:tab w:val="num" w:pos="2880"/>
        </w:tabs>
        <w:ind w:left="2880" w:hanging="360"/>
      </w:pPr>
      <w:rPr>
        <w:rFonts w:ascii="Arial" w:hAnsi="Arial" w:hint="default"/>
      </w:rPr>
    </w:lvl>
    <w:lvl w:ilvl="4" w:tplc="049E8BC2" w:tentative="1">
      <w:start w:val="1"/>
      <w:numFmt w:val="bullet"/>
      <w:lvlText w:val="•"/>
      <w:lvlJc w:val="left"/>
      <w:pPr>
        <w:tabs>
          <w:tab w:val="num" w:pos="3600"/>
        </w:tabs>
        <w:ind w:left="3600" w:hanging="360"/>
      </w:pPr>
      <w:rPr>
        <w:rFonts w:ascii="Arial" w:hAnsi="Arial" w:hint="default"/>
      </w:rPr>
    </w:lvl>
    <w:lvl w:ilvl="5" w:tplc="28000214" w:tentative="1">
      <w:start w:val="1"/>
      <w:numFmt w:val="bullet"/>
      <w:lvlText w:val="•"/>
      <w:lvlJc w:val="left"/>
      <w:pPr>
        <w:tabs>
          <w:tab w:val="num" w:pos="4320"/>
        </w:tabs>
        <w:ind w:left="4320" w:hanging="360"/>
      </w:pPr>
      <w:rPr>
        <w:rFonts w:ascii="Arial" w:hAnsi="Arial" w:hint="default"/>
      </w:rPr>
    </w:lvl>
    <w:lvl w:ilvl="6" w:tplc="24400AA0" w:tentative="1">
      <w:start w:val="1"/>
      <w:numFmt w:val="bullet"/>
      <w:lvlText w:val="•"/>
      <w:lvlJc w:val="left"/>
      <w:pPr>
        <w:tabs>
          <w:tab w:val="num" w:pos="5040"/>
        </w:tabs>
        <w:ind w:left="5040" w:hanging="360"/>
      </w:pPr>
      <w:rPr>
        <w:rFonts w:ascii="Arial" w:hAnsi="Arial" w:hint="default"/>
      </w:rPr>
    </w:lvl>
    <w:lvl w:ilvl="7" w:tplc="D5D6ED5E" w:tentative="1">
      <w:start w:val="1"/>
      <w:numFmt w:val="bullet"/>
      <w:lvlText w:val="•"/>
      <w:lvlJc w:val="left"/>
      <w:pPr>
        <w:tabs>
          <w:tab w:val="num" w:pos="5760"/>
        </w:tabs>
        <w:ind w:left="5760" w:hanging="360"/>
      </w:pPr>
      <w:rPr>
        <w:rFonts w:ascii="Arial" w:hAnsi="Arial" w:hint="default"/>
      </w:rPr>
    </w:lvl>
    <w:lvl w:ilvl="8" w:tplc="CCBCD61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73D6193"/>
    <w:multiLevelType w:val="hybridMultilevel"/>
    <w:tmpl w:val="44061078"/>
    <w:lvl w:ilvl="0" w:tplc="1974EAAC">
      <w:start w:val="1"/>
      <w:numFmt w:val="bullet"/>
      <w:lvlText w:val="•"/>
      <w:lvlJc w:val="left"/>
      <w:pPr>
        <w:tabs>
          <w:tab w:val="num" w:pos="720"/>
        </w:tabs>
        <w:ind w:left="720" w:hanging="360"/>
      </w:pPr>
      <w:rPr>
        <w:rFonts w:ascii="Arial" w:hAnsi="Arial" w:hint="default"/>
      </w:rPr>
    </w:lvl>
    <w:lvl w:ilvl="1" w:tplc="79A638EC" w:tentative="1">
      <w:start w:val="1"/>
      <w:numFmt w:val="bullet"/>
      <w:lvlText w:val="•"/>
      <w:lvlJc w:val="left"/>
      <w:pPr>
        <w:tabs>
          <w:tab w:val="num" w:pos="1440"/>
        </w:tabs>
        <w:ind w:left="1440" w:hanging="360"/>
      </w:pPr>
      <w:rPr>
        <w:rFonts w:ascii="Arial" w:hAnsi="Arial" w:hint="default"/>
      </w:rPr>
    </w:lvl>
    <w:lvl w:ilvl="2" w:tplc="18C49670" w:tentative="1">
      <w:start w:val="1"/>
      <w:numFmt w:val="bullet"/>
      <w:lvlText w:val="•"/>
      <w:lvlJc w:val="left"/>
      <w:pPr>
        <w:tabs>
          <w:tab w:val="num" w:pos="2160"/>
        </w:tabs>
        <w:ind w:left="2160" w:hanging="360"/>
      </w:pPr>
      <w:rPr>
        <w:rFonts w:ascii="Arial" w:hAnsi="Arial" w:hint="default"/>
      </w:rPr>
    </w:lvl>
    <w:lvl w:ilvl="3" w:tplc="E7B21404" w:tentative="1">
      <w:start w:val="1"/>
      <w:numFmt w:val="bullet"/>
      <w:lvlText w:val="•"/>
      <w:lvlJc w:val="left"/>
      <w:pPr>
        <w:tabs>
          <w:tab w:val="num" w:pos="2880"/>
        </w:tabs>
        <w:ind w:left="2880" w:hanging="360"/>
      </w:pPr>
      <w:rPr>
        <w:rFonts w:ascii="Arial" w:hAnsi="Arial" w:hint="default"/>
      </w:rPr>
    </w:lvl>
    <w:lvl w:ilvl="4" w:tplc="57A6D280" w:tentative="1">
      <w:start w:val="1"/>
      <w:numFmt w:val="bullet"/>
      <w:lvlText w:val="•"/>
      <w:lvlJc w:val="left"/>
      <w:pPr>
        <w:tabs>
          <w:tab w:val="num" w:pos="3600"/>
        </w:tabs>
        <w:ind w:left="3600" w:hanging="360"/>
      </w:pPr>
      <w:rPr>
        <w:rFonts w:ascii="Arial" w:hAnsi="Arial" w:hint="default"/>
      </w:rPr>
    </w:lvl>
    <w:lvl w:ilvl="5" w:tplc="0278EE60" w:tentative="1">
      <w:start w:val="1"/>
      <w:numFmt w:val="bullet"/>
      <w:lvlText w:val="•"/>
      <w:lvlJc w:val="left"/>
      <w:pPr>
        <w:tabs>
          <w:tab w:val="num" w:pos="4320"/>
        </w:tabs>
        <w:ind w:left="4320" w:hanging="360"/>
      </w:pPr>
      <w:rPr>
        <w:rFonts w:ascii="Arial" w:hAnsi="Arial" w:hint="default"/>
      </w:rPr>
    </w:lvl>
    <w:lvl w:ilvl="6" w:tplc="94AC0A88" w:tentative="1">
      <w:start w:val="1"/>
      <w:numFmt w:val="bullet"/>
      <w:lvlText w:val="•"/>
      <w:lvlJc w:val="left"/>
      <w:pPr>
        <w:tabs>
          <w:tab w:val="num" w:pos="5040"/>
        </w:tabs>
        <w:ind w:left="5040" w:hanging="360"/>
      </w:pPr>
      <w:rPr>
        <w:rFonts w:ascii="Arial" w:hAnsi="Arial" w:hint="default"/>
      </w:rPr>
    </w:lvl>
    <w:lvl w:ilvl="7" w:tplc="62B2C116" w:tentative="1">
      <w:start w:val="1"/>
      <w:numFmt w:val="bullet"/>
      <w:lvlText w:val="•"/>
      <w:lvlJc w:val="left"/>
      <w:pPr>
        <w:tabs>
          <w:tab w:val="num" w:pos="5760"/>
        </w:tabs>
        <w:ind w:left="5760" w:hanging="360"/>
      </w:pPr>
      <w:rPr>
        <w:rFonts w:ascii="Arial" w:hAnsi="Arial" w:hint="default"/>
      </w:rPr>
    </w:lvl>
    <w:lvl w:ilvl="8" w:tplc="EC14686C" w:tentative="1">
      <w:start w:val="1"/>
      <w:numFmt w:val="bullet"/>
      <w:lvlText w:val="•"/>
      <w:lvlJc w:val="left"/>
      <w:pPr>
        <w:tabs>
          <w:tab w:val="num" w:pos="6480"/>
        </w:tabs>
        <w:ind w:left="6480" w:hanging="360"/>
      </w:pPr>
      <w:rPr>
        <w:rFonts w:ascii="Arial" w:hAnsi="Arial" w:hint="default"/>
      </w:rPr>
    </w:lvl>
  </w:abstractNum>
  <w:num w:numId="1" w16cid:durableId="1089345900">
    <w:abstractNumId w:val="2"/>
  </w:num>
  <w:num w:numId="2" w16cid:durableId="123625161">
    <w:abstractNumId w:val="1"/>
  </w:num>
  <w:num w:numId="3" w16cid:durableId="20886446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91E"/>
    <w:rsid w:val="00091856"/>
    <w:rsid w:val="00122ECB"/>
    <w:rsid w:val="0015311C"/>
    <w:rsid w:val="00164A93"/>
    <w:rsid w:val="001820F6"/>
    <w:rsid w:val="001A18EE"/>
    <w:rsid w:val="001B109D"/>
    <w:rsid w:val="001D71D7"/>
    <w:rsid w:val="001E112F"/>
    <w:rsid w:val="002125FE"/>
    <w:rsid w:val="00213D3B"/>
    <w:rsid w:val="00237A56"/>
    <w:rsid w:val="00241CD2"/>
    <w:rsid w:val="00277AD9"/>
    <w:rsid w:val="00340BAF"/>
    <w:rsid w:val="003D5A5B"/>
    <w:rsid w:val="004A1041"/>
    <w:rsid w:val="004D56D7"/>
    <w:rsid w:val="004E105D"/>
    <w:rsid w:val="00510402"/>
    <w:rsid w:val="00521FC4"/>
    <w:rsid w:val="00584217"/>
    <w:rsid w:val="005D7CF1"/>
    <w:rsid w:val="005F3BBB"/>
    <w:rsid w:val="00640852"/>
    <w:rsid w:val="006B1192"/>
    <w:rsid w:val="006C0AD9"/>
    <w:rsid w:val="006C2137"/>
    <w:rsid w:val="006C2290"/>
    <w:rsid w:val="00711DD5"/>
    <w:rsid w:val="00770D56"/>
    <w:rsid w:val="007853B8"/>
    <w:rsid w:val="007B0C20"/>
    <w:rsid w:val="00812B72"/>
    <w:rsid w:val="00894D75"/>
    <w:rsid w:val="008A2AB6"/>
    <w:rsid w:val="008C2B31"/>
    <w:rsid w:val="00900D6B"/>
    <w:rsid w:val="00911FC7"/>
    <w:rsid w:val="00920937"/>
    <w:rsid w:val="00942D64"/>
    <w:rsid w:val="00956798"/>
    <w:rsid w:val="00A35816"/>
    <w:rsid w:val="00A731F5"/>
    <w:rsid w:val="00A910CA"/>
    <w:rsid w:val="00AC0438"/>
    <w:rsid w:val="00AC6062"/>
    <w:rsid w:val="00B048B3"/>
    <w:rsid w:val="00B21CB3"/>
    <w:rsid w:val="00B26F2C"/>
    <w:rsid w:val="00B63ECD"/>
    <w:rsid w:val="00B87367"/>
    <w:rsid w:val="00BD5FE8"/>
    <w:rsid w:val="00C072CC"/>
    <w:rsid w:val="00C10AE6"/>
    <w:rsid w:val="00CA2AAF"/>
    <w:rsid w:val="00CE60D6"/>
    <w:rsid w:val="00D45DDA"/>
    <w:rsid w:val="00E0091E"/>
    <w:rsid w:val="00E53E90"/>
    <w:rsid w:val="00E608EE"/>
    <w:rsid w:val="00E61637"/>
    <w:rsid w:val="00E63863"/>
    <w:rsid w:val="00EB7696"/>
    <w:rsid w:val="00EC64E0"/>
    <w:rsid w:val="00EF19AC"/>
    <w:rsid w:val="00F1258A"/>
    <w:rsid w:val="00F732A6"/>
    <w:rsid w:val="00F76F3C"/>
    <w:rsid w:val="00F833B7"/>
    <w:rsid w:val="00F839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EBDE48"/>
  <w15:chartTrackingRefBased/>
  <w15:docId w15:val="{43B6A863-2A09-4AF7-B8B4-D8B53EBBF1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091E"/>
    <w:pPr>
      <w:overflowPunct w:val="0"/>
      <w:autoSpaceDE w:val="0"/>
      <w:autoSpaceDN w:val="0"/>
      <w:adjustRightInd w:val="0"/>
      <w:spacing w:after="0" w:line="240" w:lineRule="auto"/>
    </w:pPr>
    <w:rPr>
      <w:rFonts w:ascii="Arial" w:eastAsia="Times New Roman" w:hAnsi="Arial" w:cs="Arial"/>
      <w:color w:val="000000"/>
      <w:kern w:val="0"/>
      <w:sz w:val="20"/>
      <w:szCs w:val="20"/>
      <w:lang w:eastAsia="en-GB"/>
      <w14:ligatures w14:val="none"/>
    </w:rPr>
  </w:style>
  <w:style w:type="paragraph" w:styleId="Heading1">
    <w:name w:val="heading 1"/>
    <w:basedOn w:val="Normal"/>
    <w:next w:val="Normal"/>
    <w:link w:val="Heading1Char"/>
    <w:uiPriority w:val="9"/>
    <w:qFormat/>
    <w:rsid w:val="00E0091E"/>
    <w:pPr>
      <w:keepNext/>
      <w:keepLines/>
      <w:overflowPunct/>
      <w:autoSpaceDE/>
      <w:autoSpaceDN/>
      <w:adjustRightInd/>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E0091E"/>
    <w:pPr>
      <w:keepNext/>
      <w:keepLines/>
      <w:overflowPunct/>
      <w:autoSpaceDE/>
      <w:autoSpaceDN/>
      <w:adjustRightInd/>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E0091E"/>
    <w:pPr>
      <w:keepNext/>
      <w:keepLines/>
      <w:overflowPunct/>
      <w:autoSpaceDE/>
      <w:autoSpaceDN/>
      <w:adjustRightInd/>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E0091E"/>
    <w:pPr>
      <w:keepNext/>
      <w:keepLines/>
      <w:overflowPunct/>
      <w:autoSpaceDE/>
      <w:autoSpaceDN/>
      <w:adjustRightInd/>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E0091E"/>
    <w:pPr>
      <w:keepNext/>
      <w:keepLines/>
      <w:overflowPunct/>
      <w:autoSpaceDE/>
      <w:autoSpaceDN/>
      <w:adjustRightInd/>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E0091E"/>
    <w:pPr>
      <w:keepNext/>
      <w:keepLines/>
      <w:overflowPunct/>
      <w:autoSpaceDE/>
      <w:autoSpaceDN/>
      <w:adjustRightInd/>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E0091E"/>
    <w:pPr>
      <w:keepNext/>
      <w:keepLines/>
      <w:overflowPunct/>
      <w:autoSpaceDE/>
      <w:autoSpaceDN/>
      <w:adjustRightInd/>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E0091E"/>
    <w:pPr>
      <w:keepNext/>
      <w:keepLines/>
      <w:overflowPunct/>
      <w:autoSpaceDE/>
      <w:autoSpaceDN/>
      <w:adjustRightInd/>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E0091E"/>
    <w:pPr>
      <w:keepNext/>
      <w:keepLines/>
      <w:overflowPunct/>
      <w:autoSpaceDE/>
      <w:autoSpaceDN/>
      <w:adjustRightInd/>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09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09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09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09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09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09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09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09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091E"/>
    <w:rPr>
      <w:rFonts w:eastAsiaTheme="majorEastAsia" w:cstheme="majorBidi"/>
      <w:color w:val="272727" w:themeColor="text1" w:themeTint="D8"/>
    </w:rPr>
  </w:style>
  <w:style w:type="paragraph" w:styleId="Title">
    <w:name w:val="Title"/>
    <w:basedOn w:val="Normal"/>
    <w:next w:val="Normal"/>
    <w:link w:val="TitleChar"/>
    <w:uiPriority w:val="10"/>
    <w:qFormat/>
    <w:rsid w:val="00E0091E"/>
    <w:pPr>
      <w:overflowPunct/>
      <w:autoSpaceDE/>
      <w:autoSpaceDN/>
      <w:adjustRightInd/>
      <w:spacing w:after="80"/>
      <w:contextualSpacing/>
    </w:pPr>
    <w:rPr>
      <w:rFonts w:asciiTheme="majorHAnsi" w:eastAsiaTheme="majorEastAsia" w:hAnsiTheme="majorHAnsi" w:cstheme="majorBidi"/>
      <w:color w:val="auto"/>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E009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091E"/>
    <w:pPr>
      <w:numPr>
        <w:ilvl w:val="1"/>
      </w:numPr>
      <w:overflowPunct/>
      <w:autoSpaceDE/>
      <w:autoSpaceDN/>
      <w:adjustRightInd/>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E009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091E"/>
    <w:pPr>
      <w:overflowPunct/>
      <w:autoSpaceDE/>
      <w:autoSpaceDN/>
      <w:adjustRightInd/>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E0091E"/>
    <w:rPr>
      <w:i/>
      <w:iCs/>
      <w:color w:val="404040" w:themeColor="text1" w:themeTint="BF"/>
    </w:rPr>
  </w:style>
  <w:style w:type="paragraph" w:styleId="ListParagraph">
    <w:name w:val="List Paragraph"/>
    <w:basedOn w:val="Normal"/>
    <w:uiPriority w:val="34"/>
    <w:qFormat/>
    <w:rsid w:val="00E0091E"/>
    <w:pPr>
      <w:overflowPunct/>
      <w:autoSpaceDE/>
      <w:autoSpaceDN/>
      <w:adjustRightInd/>
      <w:spacing w:after="160" w:line="278" w:lineRule="auto"/>
      <w:ind w:left="720"/>
      <w:contextualSpacing/>
    </w:pPr>
    <w:rPr>
      <w:rFonts w:asciiTheme="minorHAnsi" w:eastAsiaTheme="minorHAnsi" w:hAnsiTheme="minorHAnsi" w:cstheme="minorBidi"/>
      <w:color w:val="auto"/>
      <w:kern w:val="2"/>
      <w:sz w:val="24"/>
      <w:szCs w:val="24"/>
      <w:lang w:eastAsia="en-US"/>
      <w14:ligatures w14:val="standardContextual"/>
    </w:rPr>
  </w:style>
  <w:style w:type="character" w:styleId="IntenseEmphasis">
    <w:name w:val="Intense Emphasis"/>
    <w:basedOn w:val="DefaultParagraphFont"/>
    <w:uiPriority w:val="21"/>
    <w:qFormat/>
    <w:rsid w:val="00E0091E"/>
    <w:rPr>
      <w:i/>
      <w:iCs/>
      <w:color w:val="0F4761" w:themeColor="accent1" w:themeShade="BF"/>
    </w:rPr>
  </w:style>
  <w:style w:type="paragraph" w:styleId="IntenseQuote">
    <w:name w:val="Intense Quote"/>
    <w:basedOn w:val="Normal"/>
    <w:next w:val="Normal"/>
    <w:link w:val="IntenseQuoteChar"/>
    <w:uiPriority w:val="30"/>
    <w:qFormat/>
    <w:rsid w:val="00E0091E"/>
    <w:pPr>
      <w:pBdr>
        <w:top w:val="single" w:sz="4" w:space="10" w:color="0F4761" w:themeColor="accent1" w:themeShade="BF"/>
        <w:bottom w:val="single" w:sz="4" w:space="10" w:color="0F4761" w:themeColor="accent1" w:themeShade="BF"/>
      </w:pBdr>
      <w:overflowPunct/>
      <w:autoSpaceDE/>
      <w:autoSpaceDN/>
      <w:adjustRightInd/>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E0091E"/>
    <w:rPr>
      <w:i/>
      <w:iCs/>
      <w:color w:val="0F4761" w:themeColor="accent1" w:themeShade="BF"/>
    </w:rPr>
  </w:style>
  <w:style w:type="character" w:styleId="IntenseReference">
    <w:name w:val="Intense Reference"/>
    <w:basedOn w:val="DefaultParagraphFont"/>
    <w:uiPriority w:val="32"/>
    <w:qFormat/>
    <w:rsid w:val="00E0091E"/>
    <w:rPr>
      <w:b/>
      <w:bCs/>
      <w:smallCaps/>
      <w:color w:val="0F4761" w:themeColor="accent1" w:themeShade="BF"/>
      <w:spacing w:val="5"/>
    </w:rPr>
  </w:style>
  <w:style w:type="paragraph" w:customStyle="1" w:styleId="Default">
    <w:name w:val="Default"/>
    <w:rsid w:val="00E0091E"/>
    <w:pPr>
      <w:autoSpaceDE w:val="0"/>
      <w:autoSpaceDN w:val="0"/>
      <w:adjustRightInd w:val="0"/>
      <w:spacing w:after="0" w:line="240" w:lineRule="auto"/>
    </w:pPr>
    <w:rPr>
      <w:rFonts w:ascii="Arial" w:hAnsi="Arial" w:cs="Arial"/>
      <w:color w:val="000000"/>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1321</TotalTime>
  <Pages>5</Pages>
  <Words>1289</Words>
  <Characters>8023</Characters>
  <Application>Microsoft Office Word</Application>
  <DocSecurity>0</DocSecurity>
  <Lines>174</Lines>
  <Paragraphs>40</Paragraphs>
  <ScaleCrop>false</ScaleCrop>
  <HeadingPairs>
    <vt:vector size="2" baseType="variant">
      <vt:variant>
        <vt:lpstr>Title</vt:lpstr>
      </vt:variant>
      <vt:variant>
        <vt:i4>1</vt:i4>
      </vt:variant>
    </vt:vector>
  </HeadingPairs>
  <TitlesOfParts>
    <vt:vector size="1" baseType="lpstr">
      <vt:lpstr/>
    </vt:vector>
  </TitlesOfParts>
  <Company>Cyngor Sir CEREDIGION County Council</Company>
  <LinksUpToDate>false</LinksUpToDate>
  <CharactersWithSpaces>9272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Hatcher</dc:creator>
  <cp:keywords/>
  <dc:description/>
  <cp:lastModifiedBy>Sara Hatcher</cp:lastModifiedBy>
  <cp:revision>64</cp:revision>
  <dcterms:created xsi:type="dcterms:W3CDTF">2026-06-08T21:22:00Z</dcterms:created>
  <dcterms:modified xsi:type="dcterms:W3CDTF">2026-10-06T17:41:00Z</dcterms:modified>
</cp:coreProperties>
</file>