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8C6" w:rsidRPr="00BB68C6" w:rsidRDefault="00BB68C6" w:rsidP="00BB68C6">
      <w:pPr>
        <w:pStyle w:val="Title"/>
        <w:jc w:val="center"/>
        <w:rPr>
          <w:rFonts w:ascii="Arial" w:hAnsi="Arial" w:cs="Arial"/>
          <w:b/>
        </w:rPr>
      </w:pPr>
      <w:r w:rsidRPr="00BB68C6">
        <w:rPr>
          <w:rFonts w:ascii="Arial" w:hAnsi="Arial" w:cs="Arial"/>
          <w:b/>
        </w:rPr>
        <w:t>Researching and analyzing Data</w:t>
      </w:r>
    </w:p>
    <w:p w:rsidR="009314EF" w:rsidRDefault="009314EF" w:rsidP="00BB68C6">
      <w:pPr>
        <w:spacing w:line="360" w:lineRule="auto"/>
        <w:jc w:val="center"/>
        <w:rPr>
          <w:rFonts w:ascii="Arial" w:hAnsi="Arial" w:cs="Arial"/>
          <w:b/>
          <w:sz w:val="36"/>
          <w:szCs w:val="24"/>
        </w:rPr>
      </w:pPr>
    </w:p>
    <w:p w:rsidR="009314EF" w:rsidRDefault="009314EF" w:rsidP="00BB68C6">
      <w:pPr>
        <w:spacing w:line="360" w:lineRule="auto"/>
        <w:jc w:val="center"/>
        <w:rPr>
          <w:rFonts w:ascii="Arial" w:hAnsi="Arial" w:cs="Arial"/>
          <w:b/>
          <w:sz w:val="36"/>
          <w:szCs w:val="24"/>
        </w:rPr>
      </w:pPr>
    </w:p>
    <w:p w:rsidR="009314EF" w:rsidRDefault="009314EF" w:rsidP="00BB68C6">
      <w:pPr>
        <w:spacing w:line="360" w:lineRule="auto"/>
        <w:jc w:val="center"/>
        <w:rPr>
          <w:rFonts w:ascii="Arial" w:hAnsi="Arial" w:cs="Arial"/>
          <w:b/>
          <w:sz w:val="36"/>
          <w:szCs w:val="24"/>
        </w:rPr>
      </w:pPr>
    </w:p>
    <w:p w:rsidR="00BB68C6" w:rsidRDefault="00BB68C6" w:rsidP="00BB68C6">
      <w:pPr>
        <w:spacing w:line="360" w:lineRule="auto"/>
        <w:jc w:val="center"/>
        <w:rPr>
          <w:rFonts w:ascii="Arial" w:hAnsi="Arial" w:cs="Arial"/>
          <w:b/>
          <w:sz w:val="36"/>
          <w:szCs w:val="24"/>
        </w:rPr>
      </w:pPr>
      <w:r w:rsidRPr="00BB68C6">
        <w:rPr>
          <w:rFonts w:ascii="Arial" w:hAnsi="Arial" w:cs="Arial"/>
          <w:b/>
          <w:sz w:val="36"/>
          <w:szCs w:val="24"/>
        </w:rPr>
        <w:t>Selected Topic: Doctors cry foul at NHS privatization by stealth</w:t>
      </w: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Default="00981EAC" w:rsidP="00BB68C6">
      <w:pPr>
        <w:spacing w:line="360" w:lineRule="auto"/>
        <w:jc w:val="center"/>
        <w:rPr>
          <w:rFonts w:ascii="Arial" w:hAnsi="Arial" w:cs="Arial"/>
          <w:b/>
          <w:sz w:val="36"/>
          <w:szCs w:val="24"/>
        </w:rPr>
      </w:pPr>
    </w:p>
    <w:p w:rsidR="00981EAC" w:rsidRPr="00BB68C6" w:rsidRDefault="00981EAC" w:rsidP="00BB68C6">
      <w:pPr>
        <w:spacing w:line="360" w:lineRule="auto"/>
        <w:jc w:val="center"/>
        <w:rPr>
          <w:rFonts w:ascii="Arial" w:hAnsi="Arial" w:cs="Arial"/>
          <w:b/>
          <w:sz w:val="36"/>
          <w:szCs w:val="24"/>
        </w:rPr>
      </w:pPr>
      <w:bookmarkStart w:id="0" w:name="_GoBack"/>
      <w:bookmarkEnd w:id="0"/>
    </w:p>
    <w:p w:rsidR="00981EAC" w:rsidRDefault="00981EAC" w:rsidP="00981EAC">
      <w:pPr>
        <w:spacing w:line="360" w:lineRule="auto"/>
        <w:jc w:val="center"/>
        <w:rPr>
          <w:rFonts w:ascii="Arial" w:hAnsi="Arial" w:cs="Arial"/>
          <w:b/>
          <w:sz w:val="36"/>
          <w:szCs w:val="24"/>
        </w:rPr>
      </w:pPr>
      <w:proofErr w:type="spellStart"/>
      <w:r w:rsidRPr="00981EAC">
        <w:rPr>
          <w:rFonts w:ascii="Arial" w:hAnsi="Arial" w:cs="Arial"/>
          <w:b/>
          <w:sz w:val="36"/>
          <w:szCs w:val="24"/>
        </w:rPr>
        <w:t>Daisis</w:t>
      </w:r>
      <w:proofErr w:type="spellEnd"/>
      <w:r w:rsidRPr="00981EAC">
        <w:rPr>
          <w:rFonts w:ascii="Arial" w:hAnsi="Arial" w:cs="Arial"/>
          <w:b/>
          <w:sz w:val="36"/>
          <w:szCs w:val="24"/>
        </w:rPr>
        <w:t xml:space="preserve"> </w:t>
      </w:r>
      <w:proofErr w:type="spellStart"/>
      <w:r w:rsidRPr="00981EAC">
        <w:rPr>
          <w:rFonts w:ascii="Arial" w:hAnsi="Arial" w:cs="Arial"/>
          <w:b/>
          <w:sz w:val="36"/>
          <w:szCs w:val="24"/>
        </w:rPr>
        <w:t>Biembongo</w:t>
      </w:r>
      <w:proofErr w:type="spellEnd"/>
      <w:r w:rsidRPr="00981EAC">
        <w:rPr>
          <w:rFonts w:ascii="Arial" w:hAnsi="Arial" w:cs="Arial"/>
          <w:b/>
          <w:sz w:val="36"/>
          <w:szCs w:val="24"/>
        </w:rPr>
        <w:t xml:space="preserve"> </w:t>
      </w:r>
    </w:p>
    <w:p w:rsidR="00981EAC" w:rsidRPr="00981EAC" w:rsidRDefault="00981EAC" w:rsidP="00981EAC">
      <w:pPr>
        <w:spacing w:line="360" w:lineRule="auto"/>
        <w:jc w:val="center"/>
        <w:rPr>
          <w:rFonts w:ascii="Arial" w:hAnsi="Arial" w:cs="Arial"/>
          <w:b/>
          <w:sz w:val="36"/>
          <w:szCs w:val="24"/>
        </w:rPr>
      </w:pPr>
      <w:r w:rsidRPr="00981EAC">
        <w:rPr>
          <w:rFonts w:ascii="Arial" w:hAnsi="Arial" w:cs="Arial"/>
          <w:b/>
          <w:sz w:val="36"/>
          <w:szCs w:val="24"/>
        </w:rPr>
        <w:t>1604177</w:t>
      </w:r>
    </w:p>
    <w:p w:rsidR="00BB68C6" w:rsidRDefault="00BB68C6">
      <w:pPr>
        <w:rPr>
          <w:rFonts w:ascii="Arial" w:hAnsi="Arial" w:cs="Arial"/>
          <w:sz w:val="24"/>
          <w:szCs w:val="24"/>
        </w:rPr>
      </w:pPr>
    </w:p>
    <w:sdt>
      <w:sdtPr>
        <w:rPr>
          <w:rFonts w:asciiTheme="minorHAnsi" w:eastAsiaTheme="minorHAnsi" w:hAnsiTheme="minorHAnsi" w:cstheme="minorBidi"/>
          <w:color w:val="auto"/>
          <w:sz w:val="22"/>
          <w:szCs w:val="22"/>
        </w:rPr>
        <w:id w:val="-851644345"/>
        <w:docPartObj>
          <w:docPartGallery w:val="Table of Contents"/>
          <w:docPartUnique/>
        </w:docPartObj>
      </w:sdtPr>
      <w:sdtEndPr>
        <w:rPr>
          <w:b/>
          <w:bCs/>
          <w:noProof/>
        </w:rPr>
      </w:sdtEndPr>
      <w:sdtContent>
        <w:p w:rsidR="00BB68C6" w:rsidRPr="00BB68C6" w:rsidRDefault="009314EF" w:rsidP="009314EF">
          <w:pPr>
            <w:pStyle w:val="TOCHeading"/>
            <w:jc w:val="center"/>
            <w:rPr>
              <w:rStyle w:val="Heading1Char"/>
              <w:sz w:val="36"/>
            </w:rPr>
          </w:pPr>
          <w:r>
            <w:rPr>
              <w:rStyle w:val="Heading1Char"/>
              <w:sz w:val="36"/>
            </w:rPr>
            <w:t>Table of C</w:t>
          </w:r>
          <w:r w:rsidR="00BB68C6" w:rsidRPr="00BB68C6">
            <w:rPr>
              <w:rStyle w:val="Heading1Char"/>
              <w:sz w:val="36"/>
            </w:rPr>
            <w:t>ontents</w:t>
          </w:r>
        </w:p>
        <w:p w:rsidR="00BB68C6" w:rsidRPr="00BB68C6" w:rsidRDefault="00BB68C6">
          <w:pPr>
            <w:pStyle w:val="TOC1"/>
            <w:tabs>
              <w:tab w:val="right" w:leader="dot" w:pos="8774"/>
            </w:tabs>
            <w:rPr>
              <w:rFonts w:ascii="Arial" w:hAnsi="Arial" w:cs="Arial"/>
              <w:noProof/>
              <w:sz w:val="32"/>
            </w:rPr>
          </w:pPr>
          <w:r w:rsidRPr="00BB68C6">
            <w:rPr>
              <w:rFonts w:ascii="Arial" w:hAnsi="Arial" w:cs="Arial"/>
              <w:sz w:val="32"/>
            </w:rPr>
            <w:fldChar w:fldCharType="begin"/>
          </w:r>
          <w:r w:rsidRPr="00BB68C6">
            <w:rPr>
              <w:rFonts w:ascii="Arial" w:hAnsi="Arial" w:cs="Arial"/>
              <w:sz w:val="32"/>
            </w:rPr>
            <w:instrText xml:space="preserve"> TOC \o "1-3" \h \z \u </w:instrText>
          </w:r>
          <w:r w:rsidRPr="00BB68C6">
            <w:rPr>
              <w:rFonts w:ascii="Arial" w:hAnsi="Arial" w:cs="Arial"/>
              <w:sz w:val="32"/>
            </w:rPr>
            <w:fldChar w:fldCharType="separate"/>
          </w:r>
          <w:hyperlink w:anchor="_Toc493714830" w:history="1">
            <w:r w:rsidRPr="00BB68C6">
              <w:rPr>
                <w:rStyle w:val="Hyperlink"/>
                <w:rFonts w:ascii="Arial" w:hAnsi="Arial" w:cs="Arial"/>
                <w:noProof/>
                <w:sz w:val="32"/>
              </w:rPr>
              <w:t>Introduction</w:t>
            </w:r>
            <w:r w:rsidRPr="00BB68C6">
              <w:rPr>
                <w:rFonts w:ascii="Arial" w:hAnsi="Arial" w:cs="Arial"/>
                <w:noProof/>
                <w:webHidden/>
                <w:sz w:val="32"/>
              </w:rPr>
              <w:tab/>
            </w:r>
            <w:r w:rsidRPr="00BB68C6">
              <w:rPr>
                <w:rFonts w:ascii="Arial" w:hAnsi="Arial" w:cs="Arial"/>
                <w:noProof/>
                <w:webHidden/>
                <w:sz w:val="32"/>
              </w:rPr>
              <w:fldChar w:fldCharType="begin"/>
            </w:r>
            <w:r w:rsidRPr="00BB68C6">
              <w:rPr>
                <w:rFonts w:ascii="Arial" w:hAnsi="Arial" w:cs="Arial"/>
                <w:noProof/>
                <w:webHidden/>
                <w:sz w:val="32"/>
              </w:rPr>
              <w:instrText xml:space="preserve"> PAGEREF _Toc493714830 \h </w:instrText>
            </w:r>
            <w:r w:rsidRPr="00BB68C6">
              <w:rPr>
                <w:rFonts w:ascii="Arial" w:hAnsi="Arial" w:cs="Arial"/>
                <w:noProof/>
                <w:webHidden/>
                <w:sz w:val="32"/>
              </w:rPr>
            </w:r>
            <w:r w:rsidRPr="00BB68C6">
              <w:rPr>
                <w:rFonts w:ascii="Arial" w:hAnsi="Arial" w:cs="Arial"/>
                <w:noProof/>
                <w:webHidden/>
                <w:sz w:val="32"/>
              </w:rPr>
              <w:fldChar w:fldCharType="separate"/>
            </w:r>
            <w:r w:rsidRPr="00BB68C6">
              <w:rPr>
                <w:rFonts w:ascii="Arial" w:hAnsi="Arial" w:cs="Arial"/>
                <w:noProof/>
                <w:webHidden/>
                <w:sz w:val="32"/>
              </w:rPr>
              <w:t>3</w:t>
            </w:r>
            <w:r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1" w:history="1">
            <w:r w:rsidR="00BB68C6" w:rsidRPr="00BB68C6">
              <w:rPr>
                <w:rStyle w:val="Hyperlink"/>
                <w:rFonts w:ascii="Arial" w:hAnsi="Arial" w:cs="Arial"/>
                <w:noProof/>
                <w:sz w:val="32"/>
              </w:rPr>
              <w:t>Literature Review</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_Toc493714831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4</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2" w:history="1">
            <w:r w:rsidR="00BB68C6" w:rsidRPr="00BB68C6">
              <w:rPr>
                <w:rStyle w:val="Hyperlink"/>
                <w:rFonts w:ascii="Arial" w:hAnsi="Arial" w:cs="Arial"/>
                <w:noProof/>
                <w:sz w:val="32"/>
              </w:rPr>
              <w:t>Research Methodology</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_Toc493714832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5</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3" w:history="1">
            <w:r w:rsidR="00BB68C6" w:rsidRPr="00BB68C6">
              <w:rPr>
                <w:rStyle w:val="Hyperlink"/>
                <w:rFonts w:ascii="Arial" w:hAnsi="Arial" w:cs="Arial"/>
                <w:noProof/>
                <w:sz w:val="32"/>
              </w:rPr>
              <w:t>Findings and Data analysis</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_Toc493714833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6</w:t>
            </w:r>
            <w:r w:rsidR="00BB68C6" w:rsidRPr="00BB68C6">
              <w:rPr>
                <w:rFonts w:ascii="Arial" w:hAnsi="Arial" w:cs="Arial"/>
                <w:noProof/>
                <w:webHidden/>
                <w:sz w:val="32"/>
              </w:rPr>
              <w:fldChar w:fldCharType="end"/>
            </w:r>
          </w:hyperlink>
        </w:p>
        <w:p w:rsidR="00BB68C6" w:rsidRPr="00BB68C6" w:rsidRDefault="003C2C35">
          <w:pPr>
            <w:pStyle w:val="TOC2"/>
            <w:tabs>
              <w:tab w:val="right" w:leader="dot" w:pos="8774"/>
            </w:tabs>
            <w:rPr>
              <w:rFonts w:ascii="Arial" w:hAnsi="Arial" w:cs="Arial"/>
              <w:noProof/>
              <w:sz w:val="32"/>
            </w:rPr>
          </w:pPr>
          <w:hyperlink w:anchor="_Toc493714834" w:history="1">
            <w:r w:rsidR="00BB68C6" w:rsidRPr="00BB68C6">
              <w:rPr>
                <w:rStyle w:val="Hyperlink"/>
                <w:rFonts w:ascii="Arial" w:hAnsi="Arial" w:cs="Arial"/>
                <w:noProof/>
                <w:sz w:val="32"/>
              </w:rPr>
              <w:t>Frequency analysis</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_Toc493714834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6</w:t>
            </w:r>
            <w:r w:rsidR="00BB68C6" w:rsidRPr="00BB68C6">
              <w:rPr>
                <w:rFonts w:ascii="Arial" w:hAnsi="Arial" w:cs="Arial"/>
                <w:noProof/>
                <w:webHidden/>
                <w:sz w:val="32"/>
              </w:rPr>
              <w:fldChar w:fldCharType="end"/>
            </w:r>
          </w:hyperlink>
        </w:p>
        <w:p w:rsidR="00BB68C6" w:rsidRPr="00BB68C6" w:rsidRDefault="003C2C35">
          <w:pPr>
            <w:pStyle w:val="TOC2"/>
            <w:tabs>
              <w:tab w:val="right" w:leader="dot" w:pos="8774"/>
            </w:tabs>
            <w:rPr>
              <w:rFonts w:ascii="Arial" w:hAnsi="Arial" w:cs="Arial"/>
              <w:noProof/>
              <w:sz w:val="32"/>
            </w:rPr>
          </w:pPr>
          <w:hyperlink w:anchor="_Toc493714835" w:history="1">
            <w:r w:rsidR="00BB68C6" w:rsidRPr="00BB68C6">
              <w:rPr>
                <w:rStyle w:val="Hyperlink"/>
                <w:rFonts w:ascii="Arial" w:hAnsi="Arial" w:cs="Arial"/>
                <w:noProof/>
                <w:sz w:val="32"/>
              </w:rPr>
              <w:t>Descriptive statistics</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_Toc493714835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8</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6" w:history="1">
            <w:r w:rsidR="00BB68C6" w:rsidRPr="00BB68C6">
              <w:rPr>
                <w:rStyle w:val="Hyperlink"/>
                <w:rFonts w:ascii="Arial" w:hAnsi="Arial" w:cs="Arial"/>
                <w:noProof/>
                <w:sz w:val="32"/>
              </w:rPr>
              <w:t>Discussion</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_Toc493714836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9</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7" w:history="1">
            <w:r w:rsidR="00BB68C6" w:rsidRPr="00BB68C6">
              <w:rPr>
                <w:rStyle w:val="Hyperlink"/>
                <w:rFonts w:ascii="Arial" w:hAnsi="Arial" w:cs="Arial"/>
                <w:noProof/>
                <w:sz w:val="32"/>
              </w:rPr>
              <w:t>Conclusion and Recommendation</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_Toc493714837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10</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8" w:history="1">
            <w:r w:rsidR="00BB68C6" w:rsidRPr="00BB68C6">
              <w:rPr>
                <w:rStyle w:val="Hyperlink"/>
                <w:rFonts w:ascii="Arial" w:hAnsi="Arial" w:cs="Arial"/>
                <w:noProof/>
                <w:sz w:val="32"/>
              </w:rPr>
              <w:t>References</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_Toc493714838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11</w:t>
            </w:r>
            <w:r w:rsidR="00BB68C6" w:rsidRPr="00BB68C6">
              <w:rPr>
                <w:rFonts w:ascii="Arial" w:hAnsi="Arial" w:cs="Arial"/>
                <w:noProof/>
                <w:webHidden/>
                <w:sz w:val="32"/>
              </w:rPr>
              <w:fldChar w:fldCharType="end"/>
            </w:r>
          </w:hyperlink>
        </w:p>
        <w:p w:rsidR="00BB68C6" w:rsidRPr="00BB68C6" w:rsidRDefault="003C2C35">
          <w:pPr>
            <w:pStyle w:val="TOC1"/>
            <w:tabs>
              <w:tab w:val="right" w:leader="dot" w:pos="8774"/>
            </w:tabs>
            <w:rPr>
              <w:rFonts w:ascii="Arial" w:hAnsi="Arial" w:cs="Arial"/>
              <w:noProof/>
              <w:sz w:val="32"/>
            </w:rPr>
          </w:pPr>
          <w:hyperlink w:anchor="_Toc493714839" w:history="1">
            <w:r w:rsidR="00BB68C6" w:rsidRPr="00BB68C6">
              <w:rPr>
                <w:rStyle w:val="Hyperlink"/>
                <w:rFonts w:ascii="Arial" w:hAnsi="Arial" w:cs="Arial"/>
                <w:noProof/>
                <w:sz w:val="32"/>
              </w:rPr>
              <w:t>Appendix</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_Toc493714839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13</w:t>
            </w:r>
            <w:r w:rsidR="00BB68C6" w:rsidRPr="00BB68C6">
              <w:rPr>
                <w:rFonts w:ascii="Arial" w:hAnsi="Arial" w:cs="Arial"/>
                <w:noProof/>
                <w:webHidden/>
                <w:sz w:val="32"/>
              </w:rPr>
              <w:fldChar w:fldCharType="end"/>
            </w:r>
          </w:hyperlink>
        </w:p>
        <w:p w:rsidR="00BB68C6" w:rsidRPr="00BB68C6" w:rsidRDefault="003C2C35">
          <w:pPr>
            <w:pStyle w:val="TOC2"/>
            <w:tabs>
              <w:tab w:val="right" w:leader="dot" w:pos="8774"/>
            </w:tabs>
            <w:rPr>
              <w:rFonts w:ascii="Arial" w:hAnsi="Arial" w:cs="Arial"/>
              <w:noProof/>
              <w:sz w:val="32"/>
            </w:rPr>
          </w:pPr>
          <w:hyperlink w:anchor="_Toc493714840" w:history="1">
            <w:r w:rsidR="00BB68C6" w:rsidRPr="00BB68C6">
              <w:rPr>
                <w:rStyle w:val="Hyperlink"/>
                <w:rFonts w:ascii="Arial" w:hAnsi="Arial" w:cs="Arial"/>
                <w:noProof/>
                <w:sz w:val="32"/>
              </w:rPr>
              <w:t>Appendix #1: Questionnaire</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_Toc493714840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13</w:t>
            </w:r>
            <w:r w:rsidR="00BB68C6" w:rsidRPr="00BB68C6">
              <w:rPr>
                <w:rFonts w:ascii="Arial" w:hAnsi="Arial" w:cs="Arial"/>
                <w:noProof/>
                <w:webHidden/>
                <w:sz w:val="32"/>
              </w:rPr>
              <w:fldChar w:fldCharType="end"/>
            </w:r>
          </w:hyperlink>
        </w:p>
        <w:p w:rsidR="00BB68C6" w:rsidRPr="00BB68C6" w:rsidRDefault="003C2C35">
          <w:pPr>
            <w:pStyle w:val="TOC2"/>
            <w:tabs>
              <w:tab w:val="right" w:leader="dot" w:pos="8774"/>
            </w:tabs>
            <w:rPr>
              <w:rFonts w:ascii="Arial" w:hAnsi="Arial" w:cs="Arial"/>
              <w:noProof/>
              <w:sz w:val="32"/>
            </w:rPr>
          </w:pPr>
          <w:hyperlink w:anchor="_Toc493714841" w:history="1">
            <w:r w:rsidR="00BB68C6" w:rsidRPr="00BB68C6">
              <w:rPr>
                <w:rStyle w:val="Hyperlink"/>
                <w:rFonts w:ascii="Arial" w:hAnsi="Arial" w:cs="Arial"/>
                <w:noProof/>
                <w:sz w:val="32"/>
              </w:rPr>
              <w:t>Appendix # 2: Responses from respondents</w:t>
            </w:r>
            <w:r w:rsidR="00BB68C6" w:rsidRPr="00BB68C6">
              <w:rPr>
                <w:rFonts w:ascii="Arial" w:hAnsi="Arial" w:cs="Arial"/>
                <w:noProof/>
                <w:webHidden/>
                <w:sz w:val="32"/>
              </w:rPr>
              <w:tab/>
            </w:r>
            <w:r w:rsidR="00BB68C6" w:rsidRPr="00BB68C6">
              <w:rPr>
                <w:rFonts w:ascii="Arial" w:hAnsi="Arial" w:cs="Arial"/>
                <w:noProof/>
                <w:webHidden/>
                <w:sz w:val="32"/>
              </w:rPr>
              <w:fldChar w:fldCharType="begin"/>
            </w:r>
            <w:r w:rsidR="00BB68C6" w:rsidRPr="00BB68C6">
              <w:rPr>
                <w:rFonts w:ascii="Arial" w:hAnsi="Arial" w:cs="Arial"/>
                <w:noProof/>
                <w:webHidden/>
                <w:sz w:val="32"/>
              </w:rPr>
              <w:instrText xml:space="preserve"> PAGEREF _Toc493714841 \h </w:instrText>
            </w:r>
            <w:r w:rsidR="00BB68C6" w:rsidRPr="00BB68C6">
              <w:rPr>
                <w:rFonts w:ascii="Arial" w:hAnsi="Arial" w:cs="Arial"/>
                <w:noProof/>
                <w:webHidden/>
                <w:sz w:val="32"/>
              </w:rPr>
            </w:r>
            <w:r w:rsidR="00BB68C6" w:rsidRPr="00BB68C6">
              <w:rPr>
                <w:rFonts w:ascii="Arial" w:hAnsi="Arial" w:cs="Arial"/>
                <w:noProof/>
                <w:webHidden/>
                <w:sz w:val="32"/>
              </w:rPr>
              <w:fldChar w:fldCharType="separate"/>
            </w:r>
            <w:r w:rsidR="00BB68C6" w:rsidRPr="00BB68C6">
              <w:rPr>
                <w:rFonts w:ascii="Arial" w:hAnsi="Arial" w:cs="Arial"/>
                <w:noProof/>
                <w:webHidden/>
                <w:sz w:val="32"/>
              </w:rPr>
              <w:t>14</w:t>
            </w:r>
            <w:r w:rsidR="00BB68C6" w:rsidRPr="00BB68C6">
              <w:rPr>
                <w:rFonts w:ascii="Arial" w:hAnsi="Arial" w:cs="Arial"/>
                <w:noProof/>
                <w:webHidden/>
                <w:sz w:val="32"/>
              </w:rPr>
              <w:fldChar w:fldCharType="end"/>
            </w:r>
          </w:hyperlink>
        </w:p>
        <w:p w:rsidR="00BB68C6" w:rsidRDefault="00BB68C6">
          <w:r w:rsidRPr="00BB68C6">
            <w:rPr>
              <w:rFonts w:ascii="Arial" w:hAnsi="Arial" w:cs="Arial"/>
              <w:b/>
              <w:bCs/>
              <w:noProof/>
              <w:sz w:val="32"/>
            </w:rPr>
            <w:fldChar w:fldCharType="end"/>
          </w:r>
        </w:p>
      </w:sdtContent>
    </w:sdt>
    <w:p w:rsidR="00FC5FE5" w:rsidRDefault="00FC5FE5" w:rsidP="00FC5FE5">
      <w:pPr>
        <w:spacing w:line="360" w:lineRule="auto"/>
        <w:rPr>
          <w:rFonts w:ascii="Arial" w:hAnsi="Arial" w:cs="Arial"/>
          <w:sz w:val="24"/>
          <w:szCs w:val="24"/>
        </w:rPr>
      </w:pPr>
      <w:r>
        <w:rPr>
          <w:rFonts w:ascii="Arial" w:hAnsi="Arial" w:cs="Arial"/>
          <w:sz w:val="24"/>
          <w:szCs w:val="24"/>
        </w:rPr>
        <w:br w:type="page"/>
      </w:r>
    </w:p>
    <w:p w:rsidR="00FC5FE5" w:rsidRPr="00FC5FE5" w:rsidRDefault="00FC5FE5" w:rsidP="00BB68C6">
      <w:pPr>
        <w:pStyle w:val="Heading1"/>
      </w:pPr>
      <w:bookmarkStart w:id="1" w:name="_Toc493714830"/>
      <w:r w:rsidRPr="00FC5FE5">
        <w:lastRenderedPageBreak/>
        <w:t>Introduction</w:t>
      </w:r>
      <w:bookmarkEnd w:id="1"/>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t>In terms of the privatization in NHS in UK, privatization refers to the provision of healthcare to the patient of NHS and its concerned party which is defined by independent sector</w:t>
      </w:r>
      <w:r>
        <w:rPr>
          <w:rFonts w:ascii="Arial" w:hAnsi="Arial" w:cs="Arial"/>
          <w:sz w:val="24"/>
          <w:szCs w:val="24"/>
        </w:rPr>
        <w:t xml:space="preserve"> (</w:t>
      </w:r>
      <w:proofErr w:type="spellStart"/>
      <w:r>
        <w:rPr>
          <w:rFonts w:ascii="Arial" w:hAnsi="Arial" w:cs="Arial"/>
          <w:sz w:val="24"/>
          <w:szCs w:val="24"/>
        </w:rPr>
        <w:t>Calnan</w:t>
      </w:r>
      <w:proofErr w:type="spellEnd"/>
      <w:r>
        <w:rPr>
          <w:rFonts w:ascii="Arial" w:hAnsi="Arial" w:cs="Arial"/>
          <w:sz w:val="24"/>
          <w:szCs w:val="24"/>
        </w:rPr>
        <w:t xml:space="preserve"> et al., 1993)</w:t>
      </w:r>
      <w:r w:rsidRPr="00FC5FE5">
        <w:rPr>
          <w:rFonts w:ascii="Arial" w:hAnsi="Arial" w:cs="Arial"/>
          <w:sz w:val="24"/>
          <w:szCs w:val="24"/>
        </w:rPr>
        <w:t>. Many scholars have defined privatization based on different aspects and therefore it is difficult to define privatization in a single framework.</w:t>
      </w:r>
      <w:r>
        <w:rPr>
          <w:rFonts w:ascii="Arial" w:hAnsi="Arial" w:cs="Arial"/>
          <w:sz w:val="24"/>
          <w:szCs w:val="24"/>
        </w:rPr>
        <w:t xml:space="preserve"> Kirkwood &amp; Pollok (2016)</w:t>
      </w:r>
      <w:r w:rsidRPr="00FC5FE5">
        <w:rPr>
          <w:rFonts w:ascii="Arial" w:hAnsi="Arial" w:cs="Arial"/>
          <w:sz w:val="24"/>
          <w:szCs w:val="24"/>
        </w:rPr>
        <w:t xml:space="preserve"> defined privatization as outsourcing</w:t>
      </w:r>
      <w:r>
        <w:rPr>
          <w:rFonts w:ascii="Arial" w:hAnsi="Arial" w:cs="Arial"/>
          <w:sz w:val="24"/>
          <w:szCs w:val="24"/>
        </w:rPr>
        <w:t>. On the other hand, Mason et al., (2010)</w:t>
      </w:r>
      <w:r w:rsidRPr="00FC5FE5">
        <w:rPr>
          <w:rFonts w:ascii="Arial" w:hAnsi="Arial" w:cs="Arial"/>
          <w:sz w:val="24"/>
          <w:szCs w:val="24"/>
        </w:rPr>
        <w:t xml:space="preserve"> described privatization as the way by which the NHS commissioner gets assistance from commercial sector. Moreover, privatization can be described as the degree to which the NHS in the UK is independent to deliver some specific services such as insurance based health system</w:t>
      </w:r>
      <w:r>
        <w:rPr>
          <w:rFonts w:ascii="Arial" w:hAnsi="Arial" w:cs="Arial"/>
          <w:sz w:val="24"/>
          <w:szCs w:val="24"/>
        </w:rPr>
        <w:t xml:space="preserve"> (</w:t>
      </w:r>
      <w:proofErr w:type="spellStart"/>
      <w:r>
        <w:rPr>
          <w:rFonts w:ascii="Arial" w:hAnsi="Arial" w:cs="Arial"/>
          <w:sz w:val="24"/>
          <w:szCs w:val="24"/>
        </w:rPr>
        <w:t>Peedell</w:t>
      </w:r>
      <w:proofErr w:type="spellEnd"/>
      <w:r>
        <w:rPr>
          <w:rFonts w:ascii="Arial" w:hAnsi="Arial" w:cs="Arial"/>
          <w:sz w:val="24"/>
          <w:szCs w:val="24"/>
        </w:rPr>
        <w:t>, 2011)</w:t>
      </w:r>
      <w:r w:rsidRPr="00FC5FE5">
        <w:rPr>
          <w:rFonts w:ascii="Arial" w:hAnsi="Arial" w:cs="Arial"/>
          <w:sz w:val="24"/>
          <w:szCs w:val="24"/>
        </w:rPr>
        <w:t>. However, privatization facilitates some opportunity to the NHS and its patient in terms of ensuring high quality care services.</w:t>
      </w:r>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t>As per to the Health Foundation (2005), the NHS commissioners and associated body faced serious problem to meet the financial budget in terms of delivering high quality care services. As a result, it was required to assess the requirements or need in this area. NHS, the independent sector provision had experienced dramatic changes during the previous years</w:t>
      </w:r>
      <w:r>
        <w:rPr>
          <w:rFonts w:ascii="Arial" w:hAnsi="Arial" w:cs="Arial"/>
          <w:sz w:val="24"/>
          <w:szCs w:val="24"/>
        </w:rPr>
        <w:t xml:space="preserve"> (The Guardian, 2013)</w:t>
      </w:r>
      <w:r w:rsidRPr="00FC5FE5">
        <w:rPr>
          <w:rFonts w:ascii="Arial" w:hAnsi="Arial" w:cs="Arial"/>
          <w:sz w:val="24"/>
          <w:szCs w:val="24"/>
        </w:rPr>
        <w:t xml:space="preserve">. Therefore, NHS required to restructure their organizational structure and activities to enhance the service quality that adds value to patients. </w:t>
      </w:r>
    </w:p>
    <w:p w:rsidR="00FC5FE5" w:rsidRDefault="00FC5FE5" w:rsidP="00FC5FE5">
      <w:pPr>
        <w:spacing w:line="360" w:lineRule="auto"/>
        <w:jc w:val="both"/>
        <w:rPr>
          <w:rFonts w:ascii="Arial" w:hAnsi="Arial" w:cs="Arial"/>
          <w:sz w:val="24"/>
          <w:szCs w:val="24"/>
        </w:rPr>
      </w:pPr>
      <w:r w:rsidRPr="00FC5FE5">
        <w:rPr>
          <w:rFonts w:ascii="Arial" w:hAnsi="Arial" w:cs="Arial"/>
          <w:sz w:val="24"/>
          <w:szCs w:val="24"/>
        </w:rPr>
        <w:t>The privatization in NHS is not good for doctors because doctor believes that fragmentation destabilization of the services might be uncomfortable for them</w:t>
      </w:r>
      <w:r>
        <w:rPr>
          <w:rFonts w:ascii="Arial" w:hAnsi="Arial" w:cs="Arial"/>
          <w:sz w:val="24"/>
          <w:szCs w:val="24"/>
        </w:rPr>
        <w:t xml:space="preserve"> (BMA, 2013)</w:t>
      </w:r>
      <w:r w:rsidRPr="00FC5FE5">
        <w:rPr>
          <w:rFonts w:ascii="Arial" w:hAnsi="Arial" w:cs="Arial"/>
          <w:sz w:val="24"/>
          <w:szCs w:val="24"/>
        </w:rPr>
        <w:t>. On the other hand, increasing the quality of NHS services, reducing cost and pressure on NHS, prioritizing the choice of patient are some reasons for which doctors might be comfortable</w:t>
      </w:r>
      <w:r>
        <w:rPr>
          <w:rFonts w:ascii="Arial" w:hAnsi="Arial" w:cs="Arial"/>
          <w:sz w:val="24"/>
          <w:szCs w:val="24"/>
        </w:rPr>
        <w:t xml:space="preserve"> (The Guardian, 2013)</w:t>
      </w:r>
      <w:r w:rsidRPr="00FC5FE5">
        <w:rPr>
          <w:rFonts w:ascii="Arial" w:hAnsi="Arial" w:cs="Arial"/>
          <w:sz w:val="24"/>
          <w:szCs w:val="24"/>
        </w:rPr>
        <w:t xml:space="preserve">. This area creates contradistinction whether doctors are happy or not due to the privatization in NHS. The current research attempts to find out the solution of the question </w:t>
      </w:r>
      <w:r w:rsidRPr="00FC5FE5">
        <w:rPr>
          <w:rFonts w:ascii="Arial" w:hAnsi="Arial" w:cs="Arial"/>
          <w:i/>
          <w:sz w:val="24"/>
          <w:szCs w:val="24"/>
        </w:rPr>
        <w:t>“what is the extent to which doctors are happy or unhappy due to the independent sector provision of NHS healthcare</w:t>
      </w:r>
      <w:r w:rsidRPr="00FC5FE5">
        <w:rPr>
          <w:rFonts w:ascii="Arial" w:hAnsi="Arial" w:cs="Arial"/>
          <w:sz w:val="24"/>
          <w:szCs w:val="24"/>
        </w:rPr>
        <w:t xml:space="preserve">”. </w:t>
      </w:r>
    </w:p>
    <w:p w:rsidR="00BB68C6" w:rsidRDefault="00BB68C6" w:rsidP="00FC5FE5">
      <w:pPr>
        <w:spacing w:line="360" w:lineRule="auto"/>
        <w:jc w:val="both"/>
        <w:rPr>
          <w:rFonts w:ascii="Arial" w:hAnsi="Arial" w:cs="Arial"/>
          <w:b/>
          <w:sz w:val="24"/>
          <w:szCs w:val="24"/>
        </w:rPr>
      </w:pPr>
    </w:p>
    <w:p w:rsidR="00FC5FE5" w:rsidRPr="00FC5FE5" w:rsidRDefault="00FC5FE5" w:rsidP="00BB68C6">
      <w:pPr>
        <w:pStyle w:val="Heading1"/>
      </w:pPr>
      <w:bookmarkStart w:id="2" w:name="_Toc493714831"/>
      <w:r w:rsidRPr="00FC5FE5">
        <w:lastRenderedPageBreak/>
        <w:t>Literature Review</w:t>
      </w:r>
      <w:bookmarkEnd w:id="2"/>
      <w:r w:rsidRPr="00FC5FE5">
        <w:t xml:space="preserve"> </w:t>
      </w:r>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t>The NHS in England was founded in 1948. It conducts its holistic activities by focusing on free and accessible healthcare system in the UK. The organization runs its operation with its own fund and taxation</w:t>
      </w:r>
      <w:r>
        <w:rPr>
          <w:rFonts w:ascii="Arial" w:hAnsi="Arial" w:cs="Arial"/>
          <w:sz w:val="24"/>
          <w:szCs w:val="24"/>
        </w:rPr>
        <w:t xml:space="preserve"> (Mason et al., 2010)</w:t>
      </w:r>
      <w:r w:rsidRPr="00FC5FE5">
        <w:rPr>
          <w:rFonts w:ascii="Arial" w:hAnsi="Arial" w:cs="Arial"/>
          <w:sz w:val="24"/>
          <w:szCs w:val="24"/>
        </w:rPr>
        <w:t>. The success of world class health care system was suspicious due to the tremendous financial pressure on NHS healthcare system. In terms of implementing health and social care act, NHS faced the most challenging issue after beginning its journey. This pressure leads to the fragmentation and destabilization of NHS services. In order to confront this situation, NHS embraces privatization</w:t>
      </w:r>
      <w:r>
        <w:rPr>
          <w:rFonts w:ascii="Arial" w:hAnsi="Arial" w:cs="Arial"/>
          <w:sz w:val="24"/>
          <w:szCs w:val="24"/>
        </w:rPr>
        <w:t xml:space="preserve"> (</w:t>
      </w:r>
      <w:proofErr w:type="spellStart"/>
      <w:r>
        <w:rPr>
          <w:rFonts w:ascii="Arial" w:hAnsi="Arial" w:cs="Arial"/>
          <w:sz w:val="24"/>
          <w:szCs w:val="24"/>
        </w:rPr>
        <w:t>Turrell</w:t>
      </w:r>
      <w:proofErr w:type="spellEnd"/>
      <w:r>
        <w:rPr>
          <w:rFonts w:ascii="Arial" w:hAnsi="Arial" w:cs="Arial"/>
          <w:sz w:val="24"/>
          <w:szCs w:val="24"/>
        </w:rPr>
        <w:t>, 1999)</w:t>
      </w:r>
      <w:r w:rsidRPr="00FC5FE5">
        <w:rPr>
          <w:rFonts w:ascii="Arial" w:hAnsi="Arial" w:cs="Arial"/>
          <w:sz w:val="24"/>
          <w:szCs w:val="24"/>
        </w:rPr>
        <w:t>. The main reasons behind this were to reduce the role of government in terms of monitoring and supervision, transfer the NHS services to private sector from public sector, and outsource some of equipment and parts for NHS service, market mechanism and so on. Moreover, it is clear that the limitation on the access of some services leads NHS to embrace privatization.</w:t>
      </w:r>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t>NHS staff experienced TUPE transferred due to the privatization in NHS. It forced them to go non-NHS organization. The privatization changed some terms and conditions for the NHS staff and doctors because it was impossible to cover the NHS staff with the national negotiating arrangement</w:t>
      </w:r>
      <w:r>
        <w:rPr>
          <w:rFonts w:ascii="Arial" w:hAnsi="Arial" w:cs="Arial"/>
          <w:sz w:val="24"/>
          <w:szCs w:val="24"/>
        </w:rPr>
        <w:t xml:space="preserve"> (</w:t>
      </w:r>
      <w:proofErr w:type="spellStart"/>
      <w:r>
        <w:rPr>
          <w:rFonts w:ascii="Arial" w:hAnsi="Arial" w:cs="Arial"/>
          <w:sz w:val="24"/>
          <w:szCs w:val="24"/>
        </w:rPr>
        <w:t>Addicott</w:t>
      </w:r>
      <w:proofErr w:type="spellEnd"/>
      <w:r>
        <w:rPr>
          <w:rFonts w:ascii="Arial" w:hAnsi="Arial" w:cs="Arial"/>
          <w:sz w:val="24"/>
          <w:szCs w:val="24"/>
        </w:rPr>
        <w:t xml:space="preserve"> et al., 2015)</w:t>
      </w:r>
      <w:r w:rsidRPr="00FC5FE5">
        <w:rPr>
          <w:rFonts w:ascii="Arial" w:hAnsi="Arial" w:cs="Arial"/>
          <w:sz w:val="24"/>
          <w:szCs w:val="24"/>
        </w:rPr>
        <w:t>. The access of NHS pension scheme might be restricted for NHS staff and doctors due to the privatization. The NHS staff has been recognized as new staff rather than old staff. However, privatization influences the doctors, NHS staff, professional body, trade union and concerned party.</w:t>
      </w:r>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t>When privatization creates some difficulties for NHS doctors, it allows patient to access the service of NHS with high quality care services. It also maximizes the transparency and accountability in terms of patient safety. In order to control over the large bureaucracy, it was required to high investment which implies high transaction cost</w:t>
      </w:r>
      <w:r>
        <w:rPr>
          <w:rFonts w:ascii="Arial" w:hAnsi="Arial" w:cs="Arial"/>
          <w:sz w:val="24"/>
          <w:szCs w:val="24"/>
        </w:rPr>
        <w:t xml:space="preserve"> (Pollock and Godden, 2015)</w:t>
      </w:r>
      <w:r w:rsidRPr="00FC5FE5">
        <w:rPr>
          <w:rFonts w:ascii="Arial" w:hAnsi="Arial" w:cs="Arial"/>
          <w:sz w:val="24"/>
          <w:szCs w:val="24"/>
        </w:rPr>
        <w:t>. The privatization in NHS may not fulfill the financial return of patient because the privative sector conducts its operation with high profit motive. However, privatization leads to high destabilization and fragmentation of NHS services.</w:t>
      </w:r>
    </w:p>
    <w:p w:rsidR="00FC5FE5" w:rsidRPr="00FC5FE5" w:rsidRDefault="00FC5FE5" w:rsidP="00FC5FE5">
      <w:pPr>
        <w:spacing w:line="360" w:lineRule="auto"/>
        <w:jc w:val="both"/>
        <w:rPr>
          <w:rFonts w:ascii="Arial" w:hAnsi="Arial" w:cs="Arial"/>
          <w:sz w:val="24"/>
          <w:szCs w:val="24"/>
        </w:rPr>
      </w:pPr>
      <w:r w:rsidRPr="00FC5FE5">
        <w:rPr>
          <w:rFonts w:ascii="Arial" w:hAnsi="Arial" w:cs="Arial"/>
          <w:sz w:val="24"/>
          <w:szCs w:val="24"/>
        </w:rPr>
        <w:lastRenderedPageBreak/>
        <w:t>BMA conducted a survey to determine the extent to which doctors are satisfied with privatization of NHS. By conducting a survey on 463 doctors, they concluded that 67% of the respondents (doctors) were uncomfortable with NHS privatization due to the fragmentation and destabilization of NHS services and the loss of NHS pension scheme</w:t>
      </w:r>
      <w:r>
        <w:rPr>
          <w:rFonts w:ascii="Arial" w:hAnsi="Arial" w:cs="Arial"/>
          <w:sz w:val="24"/>
          <w:szCs w:val="24"/>
        </w:rPr>
        <w:t xml:space="preserve"> (BMA, 2013)</w:t>
      </w:r>
      <w:r w:rsidRPr="00FC5FE5">
        <w:rPr>
          <w:rFonts w:ascii="Arial" w:hAnsi="Arial" w:cs="Arial"/>
          <w:sz w:val="24"/>
          <w:szCs w:val="24"/>
        </w:rPr>
        <w:t>.</w:t>
      </w:r>
    </w:p>
    <w:p w:rsidR="00FC5FE5" w:rsidRPr="00FC5FE5" w:rsidRDefault="00FC5FE5" w:rsidP="00BB68C6">
      <w:pPr>
        <w:pStyle w:val="Heading1"/>
      </w:pPr>
      <w:bookmarkStart w:id="3" w:name="_Toc493714832"/>
      <w:r w:rsidRPr="00FC5FE5">
        <w:t>Research Methodology</w:t>
      </w:r>
      <w:bookmarkEnd w:id="3"/>
    </w:p>
    <w:p w:rsidR="00FC5FE5" w:rsidRDefault="00FC5FE5" w:rsidP="00FC5FE5">
      <w:pPr>
        <w:spacing w:line="360" w:lineRule="auto"/>
        <w:jc w:val="both"/>
        <w:rPr>
          <w:rFonts w:ascii="Arial" w:hAnsi="Arial" w:cs="Arial"/>
          <w:sz w:val="24"/>
          <w:szCs w:val="24"/>
        </w:rPr>
      </w:pPr>
      <w:r w:rsidRPr="00FC5FE5">
        <w:rPr>
          <w:rFonts w:ascii="Arial" w:hAnsi="Arial" w:cs="Arial"/>
          <w:sz w:val="24"/>
          <w:szCs w:val="24"/>
        </w:rPr>
        <w:t>Research methodology is a systematic or scientific process collecting, analyzing, and evaluating data used for the purpose of research and to determine whether the research conclusion meets the research purpose</w:t>
      </w:r>
      <w:r>
        <w:rPr>
          <w:rFonts w:ascii="Arial" w:hAnsi="Arial" w:cs="Arial"/>
          <w:sz w:val="24"/>
          <w:szCs w:val="24"/>
        </w:rPr>
        <w:t xml:space="preserve"> (Flick, 2015)</w:t>
      </w:r>
      <w:r w:rsidRPr="00FC5FE5">
        <w:rPr>
          <w:rFonts w:ascii="Arial" w:hAnsi="Arial" w:cs="Arial"/>
          <w:sz w:val="24"/>
          <w:szCs w:val="24"/>
        </w:rPr>
        <w:t>. In contrast, research method refers to techniques used for the completion of the research work</w:t>
      </w:r>
      <w:r>
        <w:rPr>
          <w:rFonts w:ascii="Arial" w:hAnsi="Arial" w:cs="Arial"/>
          <w:sz w:val="24"/>
          <w:szCs w:val="24"/>
        </w:rPr>
        <w:t xml:space="preserve"> (</w:t>
      </w:r>
      <w:proofErr w:type="spellStart"/>
      <w:r>
        <w:rPr>
          <w:rFonts w:ascii="Arial" w:hAnsi="Arial" w:cs="Arial"/>
          <w:sz w:val="24"/>
          <w:szCs w:val="24"/>
        </w:rPr>
        <w:t>Neuman</w:t>
      </w:r>
      <w:proofErr w:type="spellEnd"/>
      <w:r>
        <w:rPr>
          <w:rFonts w:ascii="Arial" w:hAnsi="Arial" w:cs="Arial"/>
          <w:sz w:val="24"/>
          <w:szCs w:val="24"/>
        </w:rPr>
        <w:t xml:space="preserve"> &amp; Robson, 2014)</w:t>
      </w:r>
      <w:r w:rsidRPr="00FC5FE5">
        <w:rPr>
          <w:rFonts w:ascii="Arial" w:hAnsi="Arial" w:cs="Arial"/>
          <w:sz w:val="24"/>
          <w:szCs w:val="24"/>
        </w:rPr>
        <w:t>. The current research used quantitative approach to collect and analyze research data. Quantitative technique has been used here because the research uses statistical data and quantitative observations</w:t>
      </w:r>
      <w:r>
        <w:rPr>
          <w:rFonts w:ascii="Arial" w:hAnsi="Arial" w:cs="Arial"/>
          <w:sz w:val="24"/>
          <w:szCs w:val="24"/>
        </w:rPr>
        <w:t xml:space="preserve"> (Flick, 2015)</w:t>
      </w:r>
      <w:r w:rsidRPr="00FC5FE5">
        <w:rPr>
          <w:rFonts w:ascii="Arial" w:hAnsi="Arial" w:cs="Arial"/>
          <w:sz w:val="24"/>
          <w:szCs w:val="24"/>
        </w:rPr>
        <w:t>. The primary data has been collected by designing survey questionnaire based on ‘</w:t>
      </w:r>
      <w:proofErr w:type="spellStart"/>
      <w:r w:rsidRPr="00FC5FE5">
        <w:rPr>
          <w:rFonts w:ascii="Arial" w:hAnsi="Arial" w:cs="Arial"/>
          <w:sz w:val="24"/>
          <w:szCs w:val="24"/>
        </w:rPr>
        <w:t>Likert</w:t>
      </w:r>
      <w:proofErr w:type="spellEnd"/>
      <w:r w:rsidRPr="00FC5FE5">
        <w:rPr>
          <w:rFonts w:ascii="Arial" w:hAnsi="Arial" w:cs="Arial"/>
          <w:sz w:val="24"/>
          <w:szCs w:val="24"/>
        </w:rPr>
        <w:t xml:space="preserve"> Scale”. Therefore, it used survey questionnaire strategy. The researcher collected 100 filled up questionnaires by sending 150 emails to NHS doctors. The secondary data has been collected by using previous literature such as journal article, website publication, and newspaper. The collected data has been analyzed by statistical technique such as frequency analysis and descriptive statistics. In order to present the research data, graph was used. MS Excel has been used to organize, analyze and evaluate collected data. However, it was a complete descriptive research. </w:t>
      </w:r>
    </w:p>
    <w:p w:rsidR="006F2D62" w:rsidRDefault="006F2D62">
      <w:pPr>
        <w:rPr>
          <w:rFonts w:ascii="Arial" w:hAnsi="Arial" w:cs="Arial"/>
          <w:sz w:val="24"/>
          <w:szCs w:val="24"/>
        </w:rPr>
      </w:pPr>
      <w:r>
        <w:rPr>
          <w:rFonts w:ascii="Arial" w:hAnsi="Arial" w:cs="Arial"/>
          <w:sz w:val="24"/>
          <w:szCs w:val="24"/>
        </w:rPr>
        <w:br w:type="page"/>
      </w:r>
    </w:p>
    <w:p w:rsidR="006B71F6" w:rsidRPr="006B71F6" w:rsidRDefault="006B71F6" w:rsidP="00BB68C6">
      <w:pPr>
        <w:pStyle w:val="Heading1"/>
      </w:pPr>
      <w:bookmarkStart w:id="4" w:name="_Toc493714833"/>
      <w:r w:rsidRPr="006B71F6">
        <w:lastRenderedPageBreak/>
        <w:t>Findings and Data analysis</w:t>
      </w:r>
      <w:bookmarkEnd w:id="4"/>
    </w:p>
    <w:p w:rsidR="006B71F6" w:rsidRPr="00BB68C6" w:rsidRDefault="006B71F6" w:rsidP="00BB68C6">
      <w:pPr>
        <w:pStyle w:val="Heading2"/>
      </w:pPr>
      <w:bookmarkStart w:id="5" w:name="_Toc493714834"/>
      <w:r w:rsidRPr="00BB68C6">
        <w:t>Frequency analysis</w:t>
      </w:r>
      <w:bookmarkEnd w:id="5"/>
    </w:p>
    <w:p w:rsidR="006B71F6" w:rsidRPr="00BB68C6" w:rsidRDefault="006B71F6" w:rsidP="006B71F6">
      <w:pPr>
        <w:spacing w:line="360" w:lineRule="auto"/>
        <w:jc w:val="both"/>
        <w:rPr>
          <w:rFonts w:ascii="Arial" w:hAnsi="Arial" w:cs="Arial"/>
          <w:b/>
          <w:sz w:val="24"/>
          <w:szCs w:val="24"/>
        </w:rPr>
      </w:pPr>
      <w:r w:rsidRPr="00BB68C6">
        <w:rPr>
          <w:rFonts w:ascii="Arial" w:hAnsi="Arial" w:cs="Arial"/>
          <w:b/>
          <w:sz w:val="24"/>
          <w:szCs w:val="24"/>
        </w:rPr>
        <w:t>Q1: The existing level of spending by NHS is about as expected. Do you agree with the following statement?</w:t>
      </w:r>
    </w:p>
    <w:p w:rsidR="006B71F6" w:rsidRPr="006B71F6" w:rsidRDefault="006B71F6" w:rsidP="006B71F6">
      <w:pPr>
        <w:spacing w:line="360" w:lineRule="auto"/>
        <w:jc w:val="both"/>
        <w:rPr>
          <w:rFonts w:ascii="Arial" w:hAnsi="Arial" w:cs="Arial"/>
          <w:sz w:val="24"/>
          <w:szCs w:val="24"/>
        </w:rPr>
      </w:pPr>
      <w:r w:rsidRPr="006B71F6">
        <w:rPr>
          <w:rFonts w:ascii="Arial" w:hAnsi="Arial" w:cs="Arial"/>
          <w:noProof/>
          <w:sz w:val="24"/>
          <w:szCs w:val="24"/>
        </w:rPr>
        <w:drawing>
          <wp:inline distT="0" distB="0" distL="0" distR="0" wp14:anchorId="0500161F" wp14:editId="6F5D571C">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In response to this question, 55% respondent out of 100% claimed that the existing level of spending by NHS is about expected because NHS incurs this cost due to the improvement of service quality, staff skill, and overall improvement of Healthcare system in the UK.</w:t>
      </w:r>
    </w:p>
    <w:p w:rsidR="006B71F6" w:rsidRPr="00BB68C6" w:rsidRDefault="006B71F6" w:rsidP="006B71F6">
      <w:pPr>
        <w:spacing w:line="360" w:lineRule="auto"/>
        <w:jc w:val="both"/>
        <w:rPr>
          <w:rFonts w:ascii="Arial" w:hAnsi="Arial" w:cs="Arial"/>
          <w:b/>
          <w:sz w:val="24"/>
          <w:szCs w:val="24"/>
        </w:rPr>
      </w:pPr>
      <w:r w:rsidRPr="00BB68C6">
        <w:rPr>
          <w:rFonts w:ascii="Arial" w:hAnsi="Arial" w:cs="Arial"/>
          <w:b/>
          <w:sz w:val="24"/>
          <w:szCs w:val="24"/>
        </w:rPr>
        <w:t>Q2: The independent sector provision of NHS clinical service is unsatisfactory and uncomfortable to doctor. Do you agree with the statement?</w:t>
      </w:r>
    </w:p>
    <w:p w:rsidR="006B71F6" w:rsidRPr="006B71F6" w:rsidRDefault="006B71F6" w:rsidP="006B71F6">
      <w:pPr>
        <w:spacing w:line="360" w:lineRule="auto"/>
        <w:jc w:val="both"/>
        <w:rPr>
          <w:rFonts w:ascii="Arial" w:hAnsi="Arial" w:cs="Arial"/>
          <w:sz w:val="24"/>
          <w:szCs w:val="24"/>
        </w:rPr>
      </w:pPr>
      <w:r w:rsidRPr="006B71F6">
        <w:rPr>
          <w:rFonts w:ascii="Arial" w:hAnsi="Arial" w:cs="Arial"/>
          <w:noProof/>
          <w:sz w:val="24"/>
          <w:szCs w:val="24"/>
        </w:rPr>
        <w:drawing>
          <wp:inline distT="0" distB="0" distL="0" distR="0" wp14:anchorId="6AE3C1AF" wp14:editId="3E8A41CC">
            <wp:extent cx="4572000" cy="1666875"/>
            <wp:effectExtent l="0" t="0" r="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Majority of the respondents (41% agree and 10% strongly agree) answered that the independent sector provision of NHS clinical service is unsatisfactory </w:t>
      </w:r>
      <w:r w:rsidRPr="006B71F6">
        <w:rPr>
          <w:rFonts w:ascii="Arial" w:hAnsi="Arial" w:cs="Arial"/>
          <w:sz w:val="24"/>
          <w:szCs w:val="24"/>
        </w:rPr>
        <w:lastRenderedPageBreak/>
        <w:t>and uncomfortable to them. They claimed that this causes high fragmentation and destabilization of NHS services. Moreover, they face the loss of NHS pension scheme due to the independent sector provision of NHS and therefore they are uncomfortable to NHS privatization.</w:t>
      </w:r>
    </w:p>
    <w:p w:rsidR="006B71F6" w:rsidRPr="00BB68C6" w:rsidRDefault="006B71F6" w:rsidP="006B71F6">
      <w:pPr>
        <w:spacing w:line="360" w:lineRule="auto"/>
        <w:jc w:val="both"/>
        <w:rPr>
          <w:rFonts w:ascii="Arial" w:hAnsi="Arial" w:cs="Arial"/>
          <w:b/>
          <w:sz w:val="24"/>
          <w:szCs w:val="24"/>
        </w:rPr>
      </w:pPr>
      <w:r w:rsidRPr="00BB68C6">
        <w:rPr>
          <w:rFonts w:ascii="Arial" w:hAnsi="Arial" w:cs="Arial"/>
          <w:b/>
          <w:sz w:val="24"/>
          <w:szCs w:val="24"/>
        </w:rPr>
        <w:t>Q3: The independent sector provision of NHS clinical services causes high fragmentation and destabilization of NHS services, and unfavorable terms and conditions. Do you agree with the statement?</w:t>
      </w:r>
    </w:p>
    <w:p w:rsidR="006B71F6" w:rsidRPr="006B71F6" w:rsidRDefault="006B71F6" w:rsidP="006B71F6">
      <w:pPr>
        <w:spacing w:line="360" w:lineRule="auto"/>
        <w:jc w:val="both"/>
        <w:rPr>
          <w:rFonts w:ascii="Arial" w:hAnsi="Arial" w:cs="Arial"/>
          <w:sz w:val="24"/>
          <w:szCs w:val="24"/>
        </w:rPr>
      </w:pPr>
      <w:r w:rsidRPr="006B71F6">
        <w:rPr>
          <w:rFonts w:ascii="Arial" w:hAnsi="Arial" w:cs="Arial"/>
          <w:noProof/>
          <w:sz w:val="24"/>
          <w:szCs w:val="24"/>
        </w:rPr>
        <w:drawing>
          <wp:inline distT="0" distB="0" distL="0" distR="0" wp14:anchorId="590B0640" wp14:editId="16FBA89C">
            <wp:extent cx="4572000" cy="27432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As per to the larger portion of the respondents (35% agree and 30% strongly agree), the independent sector provision of NHS clinical services causes high fragmentation and destabilization of NHS services, and unfavorable terms and conditions. They also claimed that the NHS privatization will not add value for money. Besides, the private sector conducts its operation with high profit motive that will lead to worse quality of patient safety.</w:t>
      </w:r>
    </w:p>
    <w:p w:rsidR="006B71F6" w:rsidRPr="00BB68C6" w:rsidRDefault="006B71F6" w:rsidP="006B71F6">
      <w:pPr>
        <w:spacing w:line="360" w:lineRule="auto"/>
        <w:jc w:val="both"/>
        <w:rPr>
          <w:rFonts w:ascii="Arial" w:hAnsi="Arial" w:cs="Arial"/>
          <w:b/>
          <w:sz w:val="24"/>
          <w:szCs w:val="24"/>
        </w:rPr>
      </w:pPr>
      <w:r w:rsidRPr="00BB68C6">
        <w:rPr>
          <w:rFonts w:ascii="Arial" w:hAnsi="Arial" w:cs="Arial"/>
          <w:b/>
          <w:sz w:val="24"/>
          <w:szCs w:val="24"/>
        </w:rPr>
        <w:t>Q4: The NHS privatization contributes to the improvement of service quality and to maximize the choice of patient. Do you agree with the statement?</w:t>
      </w:r>
    </w:p>
    <w:p w:rsidR="006B71F6" w:rsidRPr="006B71F6" w:rsidRDefault="006B71F6" w:rsidP="006B71F6">
      <w:pPr>
        <w:spacing w:line="360" w:lineRule="auto"/>
        <w:jc w:val="both"/>
        <w:rPr>
          <w:rFonts w:ascii="Arial" w:hAnsi="Arial" w:cs="Arial"/>
          <w:sz w:val="24"/>
          <w:szCs w:val="24"/>
        </w:rPr>
      </w:pPr>
    </w:p>
    <w:p w:rsidR="006B71F6" w:rsidRPr="006B71F6" w:rsidRDefault="006B71F6" w:rsidP="006B71F6">
      <w:pPr>
        <w:spacing w:line="360" w:lineRule="auto"/>
        <w:jc w:val="both"/>
        <w:rPr>
          <w:rFonts w:ascii="Arial" w:hAnsi="Arial" w:cs="Arial"/>
          <w:sz w:val="24"/>
          <w:szCs w:val="24"/>
        </w:rPr>
      </w:pPr>
      <w:r w:rsidRPr="006B71F6">
        <w:rPr>
          <w:rFonts w:ascii="Arial" w:hAnsi="Arial" w:cs="Arial"/>
          <w:noProof/>
          <w:sz w:val="24"/>
          <w:szCs w:val="24"/>
        </w:rPr>
        <w:lastRenderedPageBreak/>
        <w:drawing>
          <wp:inline distT="0" distB="0" distL="0" distR="0" wp14:anchorId="4F80169A" wp14:editId="7FEFF90B">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In response to this question, 20% respondents agreed that the NHS privatization contributes to the improvement of service quality and to maximize the choice of patient. They also claimed that the reduction of pressure on NHS leads to the improvement of care service quality and therefore it will maximize the choice of patient. </w:t>
      </w:r>
    </w:p>
    <w:p w:rsidR="006B71F6" w:rsidRPr="006B71F6" w:rsidRDefault="006B71F6" w:rsidP="00BB68C6">
      <w:pPr>
        <w:pStyle w:val="Heading2"/>
      </w:pPr>
      <w:bookmarkStart w:id="6" w:name="_Toc493714835"/>
      <w:r w:rsidRPr="006B71F6">
        <w:t>Descriptive statistics</w:t>
      </w:r>
      <w:bookmarkEnd w:id="6"/>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In terms of measuring central tendency, some of the popular statistics have been used in the current study. In order to summarize the overall outlook, the mean, median, mode, and standard deviation have been calculated with the collected primary data. How doctors’ responses vary from each other have been visualized with dispersion toll of standard deviation. </w:t>
      </w:r>
    </w:p>
    <w:tbl>
      <w:tblPr>
        <w:tblStyle w:val="TableGrid"/>
        <w:tblW w:w="5000" w:type="pct"/>
        <w:tblLook w:val="04A0" w:firstRow="1" w:lastRow="0" w:firstColumn="1" w:lastColumn="0" w:noHBand="0" w:noVBand="1"/>
      </w:tblPr>
      <w:tblGrid>
        <w:gridCol w:w="2589"/>
        <w:gridCol w:w="1520"/>
        <w:gridCol w:w="1520"/>
        <w:gridCol w:w="1520"/>
        <w:gridCol w:w="1518"/>
      </w:tblGrid>
      <w:tr w:rsidR="006B71F6" w:rsidRPr="006B71F6" w:rsidTr="00EC0A42">
        <w:trPr>
          <w:trHeight w:val="300"/>
        </w:trPr>
        <w:tc>
          <w:tcPr>
            <w:tcW w:w="1493" w:type="pct"/>
            <w:noWrap/>
            <w:hideMark/>
          </w:tcPr>
          <w:p w:rsidR="006B71F6" w:rsidRPr="006B71F6" w:rsidRDefault="006B71F6" w:rsidP="006B71F6">
            <w:pPr>
              <w:spacing w:after="160" w:line="360" w:lineRule="auto"/>
              <w:jc w:val="both"/>
              <w:rPr>
                <w:rFonts w:ascii="Arial" w:hAnsi="Arial" w:cs="Arial"/>
                <w:sz w:val="24"/>
                <w:szCs w:val="24"/>
              </w:rPr>
            </w:pP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Q1</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Q2</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Q3</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Q4</w:t>
            </w:r>
          </w:p>
        </w:tc>
      </w:tr>
      <w:tr w:rsidR="006B71F6" w:rsidRPr="006B71F6" w:rsidTr="00EC0A42">
        <w:trPr>
          <w:trHeight w:val="300"/>
        </w:trPr>
        <w:tc>
          <w:tcPr>
            <w:tcW w:w="1493"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Mean</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23.25</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22.75</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23.25</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23.25</w:t>
            </w:r>
          </w:p>
        </w:tc>
      </w:tr>
      <w:tr w:rsidR="006B71F6" w:rsidRPr="006B71F6" w:rsidTr="00EC0A42">
        <w:trPr>
          <w:trHeight w:val="300"/>
        </w:trPr>
        <w:tc>
          <w:tcPr>
            <w:tcW w:w="1493"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Median</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19</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20</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22.5</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21.5</w:t>
            </w:r>
          </w:p>
        </w:tc>
      </w:tr>
      <w:tr w:rsidR="006B71F6" w:rsidRPr="006B71F6" w:rsidTr="00EC0A42">
        <w:trPr>
          <w:trHeight w:val="300"/>
        </w:trPr>
        <w:tc>
          <w:tcPr>
            <w:tcW w:w="1493"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 xml:space="preserve">Mode </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#N/A</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#N/A</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#N/A</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#N/A</w:t>
            </w:r>
          </w:p>
        </w:tc>
      </w:tr>
      <w:tr w:rsidR="006B71F6" w:rsidRPr="006B71F6" w:rsidTr="00EC0A42">
        <w:trPr>
          <w:trHeight w:val="300"/>
        </w:trPr>
        <w:tc>
          <w:tcPr>
            <w:tcW w:w="1493"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Standard Deviation</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15.45693</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13.07351</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10.90489</w:t>
            </w:r>
          </w:p>
        </w:tc>
        <w:tc>
          <w:tcPr>
            <w:tcW w:w="877" w:type="pct"/>
            <w:noWrap/>
            <w:hideMark/>
          </w:tcPr>
          <w:p w:rsidR="006B71F6" w:rsidRPr="006B71F6" w:rsidRDefault="006B71F6" w:rsidP="006B71F6">
            <w:pPr>
              <w:spacing w:after="160" w:line="360" w:lineRule="auto"/>
              <w:jc w:val="both"/>
              <w:rPr>
                <w:rFonts w:ascii="Arial" w:hAnsi="Arial" w:cs="Arial"/>
                <w:sz w:val="24"/>
                <w:szCs w:val="24"/>
              </w:rPr>
            </w:pPr>
            <w:r w:rsidRPr="006B71F6">
              <w:rPr>
                <w:rFonts w:ascii="Arial" w:hAnsi="Arial" w:cs="Arial"/>
                <w:sz w:val="24"/>
                <w:szCs w:val="24"/>
              </w:rPr>
              <w:t>6.946222</w:t>
            </w:r>
          </w:p>
        </w:tc>
      </w:tr>
    </w:tbl>
    <w:p w:rsidR="006B71F6" w:rsidRPr="006B71F6" w:rsidRDefault="006B71F6" w:rsidP="006B71F6">
      <w:pPr>
        <w:spacing w:line="360" w:lineRule="auto"/>
        <w:jc w:val="both"/>
        <w:rPr>
          <w:rFonts w:ascii="Arial" w:hAnsi="Arial" w:cs="Arial"/>
          <w:sz w:val="24"/>
          <w:szCs w:val="24"/>
        </w:rPr>
      </w:pP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lastRenderedPageBreak/>
        <w:t xml:space="preserve">The aforementioned calculated mean represents that the responses collected from the participants hovered around ‘agree’ scale in the </w:t>
      </w:r>
      <w:proofErr w:type="spellStart"/>
      <w:r w:rsidRPr="006B71F6">
        <w:rPr>
          <w:rFonts w:ascii="Arial" w:hAnsi="Arial" w:cs="Arial"/>
          <w:sz w:val="24"/>
          <w:szCs w:val="24"/>
        </w:rPr>
        <w:t>Likert</w:t>
      </w:r>
      <w:proofErr w:type="spellEnd"/>
      <w:r w:rsidRPr="006B71F6">
        <w:rPr>
          <w:rFonts w:ascii="Arial" w:hAnsi="Arial" w:cs="Arial"/>
          <w:sz w:val="24"/>
          <w:szCs w:val="24"/>
        </w:rPr>
        <w:t xml:space="preserve"> scale. This portion of the scale was actually surrounded by the central tendency of the respondents. This is clear by the central tendency of the responses that the NHS doctors agreed that they are not comfortable or satisfied with the NHS privatization.</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In order to measure the central tendency, Median is an essential tool. In most of the cases, Doctors have reached to agree marking to strongly agree. Out of 4 questions, the median was 19 for Q1, 20 for Q2, 22.5 for Q3 and 21.5 for Q4. The descriptive statistics with collected data tells that mode is not applicable here. Apparently, the standard deviation is high due to less sample size. The dispersion of standard deviation was higher for Q1.</w:t>
      </w:r>
    </w:p>
    <w:p w:rsidR="006B71F6" w:rsidRPr="006B71F6" w:rsidRDefault="006B71F6" w:rsidP="00BB68C6">
      <w:pPr>
        <w:pStyle w:val="Heading1"/>
      </w:pPr>
      <w:bookmarkStart w:id="7" w:name="_Toc493714836"/>
      <w:r w:rsidRPr="006B71F6">
        <w:t>Discussion</w:t>
      </w:r>
      <w:bookmarkEnd w:id="7"/>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The findings of the study reveal that the Doctors are uncomfortable and dissatisfied with the provision of NHS clinical services or NHS privatization due to destabilization and fragmentation of NHS services as well as the loss of pension scheme. Moreover, the NHS privatization leads to transfer the control from public sector to private which conducts operation with high profit motive that can increase cost and decrease the quality of services. A survey conducted by BMA founded that two thirds of the doctors are dissatisfied with the NHS privatization due to high destabilization of NHS services. As the findings are similar with previous literature. There is no research gap for the current study.</w:t>
      </w:r>
    </w:p>
    <w:p w:rsidR="006B71F6" w:rsidRDefault="006B71F6" w:rsidP="006B71F6">
      <w:pPr>
        <w:spacing w:line="360" w:lineRule="auto"/>
        <w:jc w:val="both"/>
        <w:rPr>
          <w:rFonts w:ascii="Arial" w:hAnsi="Arial" w:cs="Arial"/>
          <w:b/>
          <w:sz w:val="24"/>
          <w:szCs w:val="24"/>
        </w:rPr>
      </w:pPr>
    </w:p>
    <w:p w:rsidR="006B71F6" w:rsidRDefault="006B71F6" w:rsidP="006B71F6">
      <w:pPr>
        <w:spacing w:line="360" w:lineRule="auto"/>
        <w:jc w:val="both"/>
        <w:rPr>
          <w:rFonts w:ascii="Arial" w:hAnsi="Arial" w:cs="Arial"/>
          <w:b/>
          <w:sz w:val="24"/>
          <w:szCs w:val="24"/>
        </w:rPr>
      </w:pPr>
    </w:p>
    <w:p w:rsidR="00BB68C6" w:rsidRDefault="00BB68C6" w:rsidP="006B71F6">
      <w:pPr>
        <w:spacing w:line="360" w:lineRule="auto"/>
        <w:jc w:val="both"/>
        <w:rPr>
          <w:rFonts w:ascii="Arial" w:hAnsi="Arial" w:cs="Arial"/>
          <w:b/>
          <w:sz w:val="24"/>
          <w:szCs w:val="24"/>
        </w:rPr>
      </w:pPr>
    </w:p>
    <w:p w:rsidR="006B71F6" w:rsidRPr="006B71F6" w:rsidRDefault="006B71F6" w:rsidP="00BB68C6">
      <w:pPr>
        <w:pStyle w:val="Heading1"/>
      </w:pPr>
      <w:bookmarkStart w:id="8" w:name="_Toc493714837"/>
      <w:r w:rsidRPr="006B71F6">
        <w:t>Conclusion and Recommendation</w:t>
      </w:r>
      <w:bookmarkEnd w:id="8"/>
    </w:p>
    <w:p w:rsidR="00BB68C6" w:rsidRPr="00BB68C6" w:rsidRDefault="00BB68C6" w:rsidP="006B71F6">
      <w:pPr>
        <w:spacing w:line="360" w:lineRule="auto"/>
        <w:jc w:val="both"/>
        <w:rPr>
          <w:rFonts w:ascii="Arial" w:hAnsi="Arial" w:cs="Arial"/>
          <w:b/>
          <w:sz w:val="24"/>
          <w:szCs w:val="24"/>
        </w:rPr>
      </w:pPr>
      <w:r w:rsidRPr="00BB68C6">
        <w:rPr>
          <w:rFonts w:ascii="Arial" w:hAnsi="Arial" w:cs="Arial"/>
          <w:b/>
          <w:sz w:val="24"/>
          <w:szCs w:val="24"/>
        </w:rPr>
        <w:t>Conclusion</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lastRenderedPageBreak/>
        <w:t>The research has made an attempt to determine whether the doctors are happy or unhappy with the NHS privatization. In order to resolve the question, the research designed questionnaire based on extensive literature survey. By surveying on 100 doctors of NHS, the research found that Doctors are uncomfortable and dissatisfied with the provision of NHS clinical services or NHS privatization due to destabilization and fragmentation of NHS services as well as the loss of pension scheme. The research reached only 100 respondents. Therefore, the lower sample size and scarcity of time is key limitation for the study.</w:t>
      </w:r>
    </w:p>
    <w:p w:rsidR="006B71F6" w:rsidRPr="006B71F6" w:rsidRDefault="006B71F6" w:rsidP="006B71F6">
      <w:pPr>
        <w:spacing w:line="360" w:lineRule="auto"/>
        <w:jc w:val="both"/>
        <w:rPr>
          <w:rFonts w:ascii="Arial" w:hAnsi="Arial" w:cs="Arial"/>
          <w:b/>
          <w:sz w:val="24"/>
          <w:szCs w:val="24"/>
        </w:rPr>
      </w:pPr>
      <w:r w:rsidRPr="006B71F6">
        <w:rPr>
          <w:rFonts w:ascii="Arial" w:hAnsi="Arial" w:cs="Arial"/>
          <w:b/>
          <w:sz w:val="24"/>
          <w:szCs w:val="24"/>
        </w:rPr>
        <w:t>Recommendation</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Based on the findings of the study, the following recommendations are provided</w:t>
      </w:r>
    </w:p>
    <w:p w:rsidR="006B71F6" w:rsidRPr="006B71F6" w:rsidRDefault="006B71F6" w:rsidP="006B71F6">
      <w:pPr>
        <w:pStyle w:val="ListParagraph"/>
        <w:numPr>
          <w:ilvl w:val="0"/>
          <w:numId w:val="1"/>
        </w:numPr>
        <w:spacing w:line="360" w:lineRule="auto"/>
        <w:jc w:val="both"/>
        <w:rPr>
          <w:rFonts w:ascii="Arial" w:hAnsi="Arial" w:cs="Arial"/>
          <w:sz w:val="24"/>
          <w:szCs w:val="24"/>
        </w:rPr>
      </w:pPr>
      <w:r w:rsidRPr="006B71F6">
        <w:rPr>
          <w:rFonts w:ascii="Arial" w:hAnsi="Arial" w:cs="Arial"/>
          <w:sz w:val="24"/>
          <w:szCs w:val="24"/>
        </w:rPr>
        <w:t>The NHS in England should reassess their services due to reduce the destabilization of fragmentation of NHS services because doctors are uncomfortable with such issue.</w:t>
      </w:r>
    </w:p>
    <w:p w:rsidR="006B71F6" w:rsidRPr="006B71F6" w:rsidRDefault="006B71F6" w:rsidP="006B71F6">
      <w:pPr>
        <w:pStyle w:val="ListParagraph"/>
        <w:numPr>
          <w:ilvl w:val="0"/>
          <w:numId w:val="1"/>
        </w:numPr>
        <w:spacing w:line="360" w:lineRule="auto"/>
        <w:jc w:val="both"/>
        <w:rPr>
          <w:rFonts w:ascii="Arial" w:hAnsi="Arial" w:cs="Arial"/>
          <w:sz w:val="24"/>
          <w:szCs w:val="24"/>
        </w:rPr>
      </w:pPr>
      <w:r w:rsidRPr="006B71F6">
        <w:rPr>
          <w:rFonts w:ascii="Arial" w:hAnsi="Arial" w:cs="Arial"/>
          <w:sz w:val="24"/>
          <w:szCs w:val="24"/>
        </w:rPr>
        <w:t>As Doctors are uncomfortable with the loss of pension scheme. The NHS should pay attention to such issue.</w:t>
      </w:r>
    </w:p>
    <w:p w:rsidR="006B71F6" w:rsidRPr="006B71F6" w:rsidRDefault="006B71F6" w:rsidP="006B71F6">
      <w:pPr>
        <w:spacing w:line="360" w:lineRule="auto"/>
        <w:jc w:val="both"/>
        <w:rPr>
          <w:rFonts w:ascii="Arial" w:hAnsi="Arial" w:cs="Arial"/>
          <w:b/>
          <w:sz w:val="24"/>
          <w:szCs w:val="24"/>
        </w:rPr>
      </w:pPr>
      <w:r w:rsidRPr="006B71F6">
        <w:rPr>
          <w:rFonts w:ascii="Arial" w:hAnsi="Arial" w:cs="Arial"/>
          <w:b/>
          <w:sz w:val="24"/>
          <w:szCs w:val="24"/>
        </w:rPr>
        <w:t>Further Research Ground</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As it is a small scale research project, the similar study can be conducted in the future with higher scale and high sample size in terms of generalizing the actual results.</w:t>
      </w:r>
    </w:p>
    <w:p w:rsidR="006B71F6" w:rsidRPr="006B71F6" w:rsidRDefault="006B71F6" w:rsidP="006B71F6">
      <w:pPr>
        <w:spacing w:line="360" w:lineRule="auto"/>
        <w:jc w:val="both"/>
        <w:rPr>
          <w:rFonts w:ascii="Arial" w:hAnsi="Arial" w:cs="Arial"/>
          <w:sz w:val="24"/>
          <w:szCs w:val="24"/>
        </w:rPr>
      </w:pPr>
    </w:p>
    <w:p w:rsidR="006F2D62" w:rsidRPr="00FC5FE5" w:rsidRDefault="006F2D62" w:rsidP="00FC5FE5">
      <w:pPr>
        <w:spacing w:line="360" w:lineRule="auto"/>
        <w:jc w:val="both"/>
        <w:rPr>
          <w:rFonts w:ascii="Arial" w:hAnsi="Arial" w:cs="Arial"/>
          <w:sz w:val="24"/>
          <w:szCs w:val="24"/>
        </w:rPr>
      </w:pPr>
    </w:p>
    <w:p w:rsidR="00FC5FE5" w:rsidRDefault="00FC5FE5" w:rsidP="00FC5FE5">
      <w:pPr>
        <w:spacing w:line="360" w:lineRule="auto"/>
        <w:jc w:val="both"/>
        <w:rPr>
          <w:rFonts w:ascii="Arial" w:hAnsi="Arial" w:cs="Arial"/>
          <w:sz w:val="24"/>
          <w:szCs w:val="24"/>
        </w:rPr>
      </w:pPr>
    </w:p>
    <w:p w:rsidR="000E2F1D" w:rsidRDefault="000E2F1D" w:rsidP="00FC5FE5">
      <w:pPr>
        <w:spacing w:line="360" w:lineRule="auto"/>
        <w:jc w:val="both"/>
        <w:rPr>
          <w:rFonts w:ascii="Arial" w:hAnsi="Arial" w:cs="Arial"/>
          <w:sz w:val="24"/>
          <w:szCs w:val="24"/>
        </w:rPr>
      </w:pPr>
    </w:p>
    <w:p w:rsidR="000E2F1D" w:rsidRDefault="000E2F1D" w:rsidP="00FC5FE5">
      <w:pPr>
        <w:spacing w:line="360" w:lineRule="auto"/>
        <w:jc w:val="both"/>
        <w:rPr>
          <w:rFonts w:ascii="Arial" w:hAnsi="Arial" w:cs="Arial"/>
          <w:sz w:val="24"/>
          <w:szCs w:val="24"/>
        </w:rPr>
      </w:pPr>
    </w:p>
    <w:p w:rsidR="000E2F1D" w:rsidRDefault="000E2F1D" w:rsidP="00FC5FE5">
      <w:pPr>
        <w:spacing w:line="360" w:lineRule="auto"/>
        <w:jc w:val="both"/>
        <w:rPr>
          <w:rFonts w:ascii="Arial" w:hAnsi="Arial" w:cs="Arial"/>
          <w:sz w:val="24"/>
          <w:szCs w:val="24"/>
        </w:rPr>
      </w:pPr>
    </w:p>
    <w:p w:rsidR="000E2F1D" w:rsidRPr="00FC5FE5" w:rsidRDefault="000E2F1D" w:rsidP="00FC5FE5">
      <w:pPr>
        <w:spacing w:line="360" w:lineRule="auto"/>
        <w:jc w:val="both"/>
        <w:rPr>
          <w:rFonts w:ascii="Arial" w:hAnsi="Arial" w:cs="Arial"/>
          <w:sz w:val="24"/>
          <w:szCs w:val="24"/>
        </w:rPr>
      </w:pPr>
    </w:p>
    <w:p w:rsidR="00FC5FE5" w:rsidRDefault="00FC5FE5" w:rsidP="00FC5FE5">
      <w:pPr>
        <w:spacing w:line="360" w:lineRule="auto"/>
        <w:jc w:val="both"/>
        <w:rPr>
          <w:rFonts w:ascii="Arial" w:hAnsi="Arial" w:cs="Arial"/>
          <w:sz w:val="24"/>
          <w:szCs w:val="24"/>
        </w:rPr>
      </w:pPr>
      <w:r w:rsidRPr="00FC5FE5">
        <w:rPr>
          <w:rFonts w:ascii="Arial" w:hAnsi="Arial" w:cs="Arial"/>
          <w:sz w:val="24"/>
          <w:szCs w:val="24"/>
        </w:rPr>
        <w:t xml:space="preserve"> </w:t>
      </w:r>
    </w:p>
    <w:p w:rsidR="00FC5FE5" w:rsidRPr="00BB68C6" w:rsidRDefault="006B71F6" w:rsidP="00BB68C6">
      <w:pPr>
        <w:pStyle w:val="Heading1"/>
      </w:pPr>
      <w:bookmarkStart w:id="9" w:name="_Toc493714838"/>
      <w:r w:rsidRPr="006B71F6">
        <w:t>References</w:t>
      </w:r>
      <w:bookmarkEnd w:id="9"/>
    </w:p>
    <w:p w:rsidR="006B71F6" w:rsidRPr="006B71F6" w:rsidRDefault="006B71F6" w:rsidP="006B71F6">
      <w:pPr>
        <w:spacing w:line="360" w:lineRule="auto"/>
        <w:jc w:val="both"/>
        <w:rPr>
          <w:rFonts w:ascii="Arial" w:hAnsi="Arial" w:cs="Arial"/>
          <w:sz w:val="24"/>
          <w:szCs w:val="24"/>
        </w:rPr>
      </w:pPr>
      <w:proofErr w:type="spellStart"/>
      <w:r w:rsidRPr="006B71F6">
        <w:rPr>
          <w:rFonts w:ascii="Arial" w:hAnsi="Arial" w:cs="Arial"/>
          <w:sz w:val="24"/>
          <w:szCs w:val="24"/>
        </w:rPr>
        <w:t>Addicott</w:t>
      </w:r>
      <w:proofErr w:type="spellEnd"/>
      <w:r w:rsidRPr="006B71F6">
        <w:rPr>
          <w:rFonts w:ascii="Arial" w:hAnsi="Arial" w:cs="Arial"/>
          <w:sz w:val="24"/>
          <w:szCs w:val="24"/>
        </w:rPr>
        <w:t xml:space="preserve">, R., Maguire, D., </w:t>
      </w:r>
      <w:proofErr w:type="spellStart"/>
      <w:r w:rsidRPr="006B71F6">
        <w:rPr>
          <w:rFonts w:ascii="Arial" w:hAnsi="Arial" w:cs="Arial"/>
          <w:sz w:val="24"/>
          <w:szCs w:val="24"/>
        </w:rPr>
        <w:t>Honeyman</w:t>
      </w:r>
      <w:proofErr w:type="spellEnd"/>
      <w:r w:rsidRPr="006B71F6">
        <w:rPr>
          <w:rFonts w:ascii="Arial" w:hAnsi="Arial" w:cs="Arial"/>
          <w:sz w:val="24"/>
          <w:szCs w:val="24"/>
        </w:rPr>
        <w:t xml:space="preserve">, M., &amp; </w:t>
      </w:r>
      <w:proofErr w:type="spellStart"/>
      <w:r w:rsidRPr="006B71F6">
        <w:rPr>
          <w:rFonts w:ascii="Arial" w:hAnsi="Arial" w:cs="Arial"/>
          <w:sz w:val="24"/>
          <w:szCs w:val="24"/>
        </w:rPr>
        <w:t>Jabbal</w:t>
      </w:r>
      <w:proofErr w:type="spellEnd"/>
      <w:r w:rsidRPr="006B71F6">
        <w:rPr>
          <w:rFonts w:ascii="Arial" w:hAnsi="Arial" w:cs="Arial"/>
          <w:sz w:val="24"/>
          <w:szCs w:val="24"/>
        </w:rPr>
        <w:t>, J. (2015). </w:t>
      </w:r>
      <w:r w:rsidRPr="006B71F6">
        <w:rPr>
          <w:rFonts w:ascii="Arial" w:hAnsi="Arial" w:cs="Arial"/>
          <w:i/>
          <w:iCs/>
          <w:sz w:val="24"/>
          <w:szCs w:val="24"/>
        </w:rPr>
        <w:t>Workforce planning in the NHS</w:t>
      </w:r>
      <w:r w:rsidRPr="006B71F6">
        <w:rPr>
          <w:rFonts w:ascii="Arial" w:hAnsi="Arial" w:cs="Arial"/>
          <w:sz w:val="24"/>
          <w:szCs w:val="24"/>
        </w:rPr>
        <w:t>. King's Fund.</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British Medical Association (2013). </w:t>
      </w:r>
      <w:r w:rsidRPr="006B71F6">
        <w:rPr>
          <w:rFonts w:ascii="Arial" w:hAnsi="Arial" w:cs="Arial"/>
          <w:i/>
          <w:sz w:val="24"/>
          <w:szCs w:val="24"/>
        </w:rPr>
        <w:t xml:space="preserve">Privatization and independent sector provision of NHS healthcare. </w:t>
      </w:r>
      <w:r w:rsidRPr="006B71F6">
        <w:rPr>
          <w:rFonts w:ascii="Arial" w:hAnsi="Arial" w:cs="Arial"/>
          <w:sz w:val="24"/>
          <w:szCs w:val="24"/>
        </w:rPr>
        <w:t>Survey report.</w:t>
      </w:r>
    </w:p>
    <w:p w:rsidR="006B71F6" w:rsidRPr="006B71F6" w:rsidRDefault="006B71F6" w:rsidP="006B71F6">
      <w:pPr>
        <w:spacing w:line="360" w:lineRule="auto"/>
        <w:jc w:val="both"/>
        <w:rPr>
          <w:rFonts w:ascii="Arial" w:hAnsi="Arial" w:cs="Arial"/>
          <w:sz w:val="24"/>
          <w:szCs w:val="24"/>
        </w:rPr>
      </w:pPr>
      <w:proofErr w:type="spellStart"/>
      <w:r w:rsidRPr="006B71F6">
        <w:rPr>
          <w:rFonts w:ascii="Arial" w:hAnsi="Arial" w:cs="Arial"/>
          <w:sz w:val="24"/>
          <w:szCs w:val="24"/>
        </w:rPr>
        <w:t>Calnan</w:t>
      </w:r>
      <w:proofErr w:type="spellEnd"/>
      <w:r w:rsidRPr="006B71F6">
        <w:rPr>
          <w:rFonts w:ascii="Arial" w:hAnsi="Arial" w:cs="Arial"/>
          <w:sz w:val="24"/>
          <w:szCs w:val="24"/>
        </w:rPr>
        <w:t>, M., Cant, S. L., &amp; Gabe, J. (1993). </w:t>
      </w:r>
      <w:r w:rsidRPr="006B71F6">
        <w:rPr>
          <w:rFonts w:ascii="Arial" w:hAnsi="Arial" w:cs="Arial"/>
          <w:i/>
          <w:iCs/>
          <w:sz w:val="24"/>
          <w:szCs w:val="24"/>
        </w:rPr>
        <w:t>Going private: why people pay for their health care</w:t>
      </w:r>
      <w:r w:rsidRPr="006B71F6">
        <w:rPr>
          <w:rFonts w:ascii="Arial" w:hAnsi="Arial" w:cs="Arial"/>
          <w:sz w:val="24"/>
          <w:szCs w:val="24"/>
        </w:rPr>
        <w:t>. Open University Press.</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Flick, U. (2015). </w:t>
      </w:r>
      <w:r w:rsidRPr="006B71F6">
        <w:rPr>
          <w:rFonts w:ascii="Arial" w:hAnsi="Arial" w:cs="Arial"/>
          <w:i/>
          <w:iCs/>
          <w:sz w:val="24"/>
          <w:szCs w:val="24"/>
        </w:rPr>
        <w:t>Introducing research methodology: A beginner's guide to doing a research project</w:t>
      </w:r>
      <w:r w:rsidRPr="006B71F6">
        <w:rPr>
          <w:rFonts w:ascii="Arial" w:hAnsi="Arial" w:cs="Arial"/>
          <w:sz w:val="24"/>
          <w:szCs w:val="24"/>
        </w:rPr>
        <w:t>. Sage.</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Kirkwood, G., &amp; Pollock, A. M. (2016). Patient choice and private provision decreased public provision and increased inequalities in Scotland: a case study of elective hip </w:t>
      </w:r>
      <w:proofErr w:type="spellStart"/>
      <w:r w:rsidRPr="006B71F6">
        <w:rPr>
          <w:rFonts w:ascii="Arial" w:hAnsi="Arial" w:cs="Arial"/>
          <w:sz w:val="24"/>
          <w:szCs w:val="24"/>
        </w:rPr>
        <w:t>arthroplasty</w:t>
      </w:r>
      <w:proofErr w:type="spellEnd"/>
      <w:r w:rsidRPr="006B71F6">
        <w:rPr>
          <w:rFonts w:ascii="Arial" w:hAnsi="Arial" w:cs="Arial"/>
          <w:sz w:val="24"/>
          <w:szCs w:val="24"/>
        </w:rPr>
        <w:t>. </w:t>
      </w:r>
      <w:r w:rsidRPr="006B71F6">
        <w:rPr>
          <w:rFonts w:ascii="Arial" w:hAnsi="Arial" w:cs="Arial"/>
          <w:i/>
          <w:iCs/>
          <w:sz w:val="24"/>
          <w:szCs w:val="24"/>
        </w:rPr>
        <w:t>Journal of Public Health</w:t>
      </w:r>
      <w:r w:rsidRPr="006B71F6">
        <w:rPr>
          <w:rFonts w:ascii="Arial" w:hAnsi="Arial" w:cs="Arial"/>
          <w:sz w:val="24"/>
          <w:szCs w:val="24"/>
        </w:rPr>
        <w:t>, 1-8.</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Mason, A., Street, A., &amp; </w:t>
      </w:r>
      <w:proofErr w:type="spellStart"/>
      <w:r w:rsidRPr="006B71F6">
        <w:rPr>
          <w:rFonts w:ascii="Arial" w:hAnsi="Arial" w:cs="Arial"/>
          <w:sz w:val="24"/>
          <w:szCs w:val="24"/>
        </w:rPr>
        <w:t>Verzulli</w:t>
      </w:r>
      <w:proofErr w:type="spellEnd"/>
      <w:r w:rsidRPr="006B71F6">
        <w:rPr>
          <w:rFonts w:ascii="Arial" w:hAnsi="Arial" w:cs="Arial"/>
          <w:sz w:val="24"/>
          <w:szCs w:val="24"/>
        </w:rPr>
        <w:t xml:space="preserve">, R. (2010). Private sector treatment </w:t>
      </w:r>
      <w:proofErr w:type="spellStart"/>
      <w:r w:rsidRPr="006B71F6">
        <w:rPr>
          <w:rFonts w:ascii="Arial" w:hAnsi="Arial" w:cs="Arial"/>
          <w:sz w:val="24"/>
          <w:szCs w:val="24"/>
        </w:rPr>
        <w:t>centres</w:t>
      </w:r>
      <w:proofErr w:type="spellEnd"/>
      <w:r w:rsidRPr="006B71F6">
        <w:rPr>
          <w:rFonts w:ascii="Arial" w:hAnsi="Arial" w:cs="Arial"/>
          <w:sz w:val="24"/>
          <w:szCs w:val="24"/>
        </w:rPr>
        <w:t xml:space="preserve"> are treating less complex patients than the NHS. </w:t>
      </w:r>
      <w:r w:rsidRPr="006B71F6">
        <w:rPr>
          <w:rFonts w:ascii="Arial" w:hAnsi="Arial" w:cs="Arial"/>
          <w:i/>
          <w:iCs/>
          <w:sz w:val="24"/>
          <w:szCs w:val="24"/>
        </w:rPr>
        <w:t>Journal of the Royal Society of Medicine</w:t>
      </w:r>
      <w:r w:rsidRPr="006B71F6">
        <w:rPr>
          <w:rFonts w:ascii="Arial" w:hAnsi="Arial" w:cs="Arial"/>
          <w:sz w:val="24"/>
          <w:szCs w:val="24"/>
        </w:rPr>
        <w:t>, </w:t>
      </w:r>
      <w:r w:rsidRPr="006B71F6">
        <w:rPr>
          <w:rFonts w:ascii="Arial" w:hAnsi="Arial" w:cs="Arial"/>
          <w:i/>
          <w:iCs/>
          <w:sz w:val="24"/>
          <w:szCs w:val="24"/>
        </w:rPr>
        <w:t>103</w:t>
      </w:r>
      <w:r w:rsidRPr="006B71F6">
        <w:rPr>
          <w:rFonts w:ascii="Arial" w:hAnsi="Arial" w:cs="Arial"/>
          <w:sz w:val="24"/>
          <w:szCs w:val="24"/>
        </w:rPr>
        <w:t>(8), 322-331.</w:t>
      </w:r>
    </w:p>
    <w:p w:rsidR="006B71F6" w:rsidRPr="006B71F6" w:rsidRDefault="006B71F6" w:rsidP="006B71F6">
      <w:pPr>
        <w:spacing w:line="360" w:lineRule="auto"/>
        <w:jc w:val="both"/>
        <w:rPr>
          <w:rFonts w:ascii="Arial" w:hAnsi="Arial" w:cs="Arial"/>
          <w:sz w:val="24"/>
          <w:szCs w:val="24"/>
        </w:rPr>
      </w:pPr>
      <w:proofErr w:type="spellStart"/>
      <w:r w:rsidRPr="006B71F6">
        <w:rPr>
          <w:rFonts w:ascii="Arial" w:hAnsi="Arial" w:cs="Arial"/>
          <w:sz w:val="24"/>
          <w:szCs w:val="24"/>
        </w:rPr>
        <w:t>Neuman</w:t>
      </w:r>
      <w:proofErr w:type="spellEnd"/>
      <w:r w:rsidRPr="006B71F6">
        <w:rPr>
          <w:rFonts w:ascii="Arial" w:hAnsi="Arial" w:cs="Arial"/>
          <w:sz w:val="24"/>
          <w:szCs w:val="24"/>
        </w:rPr>
        <w:t>, W. L., &amp; Robson, K. (2014). </w:t>
      </w:r>
      <w:r w:rsidRPr="006B71F6">
        <w:rPr>
          <w:rFonts w:ascii="Arial" w:hAnsi="Arial" w:cs="Arial"/>
          <w:i/>
          <w:iCs/>
          <w:sz w:val="24"/>
          <w:szCs w:val="24"/>
        </w:rPr>
        <w:t>Basics of social research</w:t>
      </w:r>
      <w:r w:rsidRPr="006B71F6">
        <w:rPr>
          <w:rFonts w:ascii="Arial" w:hAnsi="Arial" w:cs="Arial"/>
          <w:sz w:val="24"/>
          <w:szCs w:val="24"/>
        </w:rPr>
        <w:t>. Pearson Canada.</w:t>
      </w:r>
    </w:p>
    <w:p w:rsidR="006B71F6" w:rsidRPr="006B71F6" w:rsidRDefault="006B71F6" w:rsidP="006B71F6">
      <w:pPr>
        <w:spacing w:line="360" w:lineRule="auto"/>
        <w:jc w:val="both"/>
        <w:rPr>
          <w:rFonts w:ascii="Arial" w:hAnsi="Arial" w:cs="Arial"/>
          <w:sz w:val="24"/>
          <w:szCs w:val="24"/>
        </w:rPr>
      </w:pPr>
      <w:proofErr w:type="spellStart"/>
      <w:r w:rsidRPr="006B71F6">
        <w:rPr>
          <w:rFonts w:ascii="Arial" w:hAnsi="Arial" w:cs="Arial"/>
          <w:sz w:val="24"/>
          <w:szCs w:val="24"/>
        </w:rPr>
        <w:t>Peedell</w:t>
      </w:r>
      <w:proofErr w:type="spellEnd"/>
      <w:r w:rsidRPr="006B71F6">
        <w:rPr>
          <w:rFonts w:ascii="Arial" w:hAnsi="Arial" w:cs="Arial"/>
          <w:sz w:val="24"/>
          <w:szCs w:val="24"/>
        </w:rPr>
        <w:t xml:space="preserve">, C. (2011). Further </w:t>
      </w:r>
      <w:proofErr w:type="spellStart"/>
      <w:r w:rsidRPr="006B71F6">
        <w:rPr>
          <w:rFonts w:ascii="Arial" w:hAnsi="Arial" w:cs="Arial"/>
          <w:sz w:val="24"/>
          <w:szCs w:val="24"/>
        </w:rPr>
        <w:t>privatisation</w:t>
      </w:r>
      <w:proofErr w:type="spellEnd"/>
      <w:r w:rsidRPr="006B71F6">
        <w:rPr>
          <w:rFonts w:ascii="Arial" w:hAnsi="Arial" w:cs="Arial"/>
          <w:sz w:val="24"/>
          <w:szCs w:val="24"/>
        </w:rPr>
        <w:t xml:space="preserve"> is inevitable under the proposed NHS reforms. </w:t>
      </w:r>
      <w:r w:rsidRPr="006B71F6">
        <w:rPr>
          <w:rFonts w:ascii="Arial" w:hAnsi="Arial" w:cs="Arial"/>
          <w:i/>
          <w:iCs/>
          <w:sz w:val="24"/>
          <w:szCs w:val="24"/>
        </w:rPr>
        <w:t>BMJ: British Medical Journal</w:t>
      </w:r>
      <w:r w:rsidRPr="006B71F6">
        <w:rPr>
          <w:rFonts w:ascii="Arial" w:hAnsi="Arial" w:cs="Arial"/>
          <w:sz w:val="24"/>
          <w:szCs w:val="24"/>
        </w:rPr>
        <w:t>, </w:t>
      </w:r>
      <w:r w:rsidRPr="006B71F6">
        <w:rPr>
          <w:rFonts w:ascii="Arial" w:hAnsi="Arial" w:cs="Arial"/>
          <w:i/>
          <w:iCs/>
          <w:sz w:val="24"/>
          <w:szCs w:val="24"/>
        </w:rPr>
        <w:t>342</w:t>
      </w:r>
      <w:r w:rsidRPr="006B71F6">
        <w:rPr>
          <w:rFonts w:ascii="Arial" w:hAnsi="Arial" w:cs="Arial"/>
          <w:sz w:val="24"/>
          <w:szCs w:val="24"/>
        </w:rPr>
        <w:t>.</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Pollock, A. M., &amp; Godden, S. (2008). Independent sector treatment </w:t>
      </w:r>
      <w:proofErr w:type="spellStart"/>
      <w:r w:rsidRPr="006B71F6">
        <w:rPr>
          <w:rFonts w:ascii="Arial" w:hAnsi="Arial" w:cs="Arial"/>
          <w:sz w:val="24"/>
          <w:szCs w:val="24"/>
        </w:rPr>
        <w:t>centres</w:t>
      </w:r>
      <w:proofErr w:type="spellEnd"/>
      <w:r w:rsidRPr="006B71F6">
        <w:rPr>
          <w:rFonts w:ascii="Arial" w:hAnsi="Arial" w:cs="Arial"/>
          <w:sz w:val="24"/>
          <w:szCs w:val="24"/>
        </w:rPr>
        <w:t>: evidence so far. </w:t>
      </w:r>
      <w:r w:rsidRPr="006B71F6">
        <w:rPr>
          <w:rFonts w:ascii="Arial" w:hAnsi="Arial" w:cs="Arial"/>
          <w:i/>
          <w:iCs/>
          <w:sz w:val="24"/>
          <w:szCs w:val="24"/>
        </w:rPr>
        <w:t>BMJ: British Medical Journal</w:t>
      </w:r>
      <w:r w:rsidRPr="006B71F6">
        <w:rPr>
          <w:rFonts w:ascii="Arial" w:hAnsi="Arial" w:cs="Arial"/>
          <w:sz w:val="24"/>
          <w:szCs w:val="24"/>
        </w:rPr>
        <w:t>, </w:t>
      </w:r>
      <w:r w:rsidRPr="006B71F6">
        <w:rPr>
          <w:rFonts w:ascii="Arial" w:hAnsi="Arial" w:cs="Arial"/>
          <w:i/>
          <w:iCs/>
          <w:sz w:val="24"/>
          <w:szCs w:val="24"/>
        </w:rPr>
        <w:t>336</w:t>
      </w:r>
      <w:r w:rsidRPr="006B71F6">
        <w:rPr>
          <w:rFonts w:ascii="Arial" w:hAnsi="Arial" w:cs="Arial"/>
          <w:sz w:val="24"/>
          <w:szCs w:val="24"/>
        </w:rPr>
        <w:t>(7641), 421.</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t xml:space="preserve">The Guardian, (2013). </w:t>
      </w:r>
      <w:r w:rsidRPr="006B71F6">
        <w:rPr>
          <w:rFonts w:ascii="Arial" w:hAnsi="Arial" w:cs="Arial"/>
          <w:i/>
          <w:sz w:val="24"/>
          <w:szCs w:val="24"/>
        </w:rPr>
        <w:t>Doctors cry foul at NHS 'privatization by stealth'.</w:t>
      </w:r>
      <w:r w:rsidRPr="006B71F6">
        <w:rPr>
          <w:rFonts w:ascii="Arial" w:hAnsi="Arial" w:cs="Arial"/>
          <w:sz w:val="24"/>
          <w:szCs w:val="24"/>
        </w:rPr>
        <w:t xml:space="preserve"> [Online] Available at&gt; </w:t>
      </w:r>
      <w:hyperlink r:id="rId13" w:history="1">
        <w:r w:rsidRPr="006B71F6">
          <w:rPr>
            <w:rStyle w:val="Hyperlink"/>
            <w:rFonts w:ascii="Arial" w:hAnsi="Arial" w:cs="Arial"/>
            <w:sz w:val="24"/>
            <w:szCs w:val="24"/>
          </w:rPr>
          <w:t>https://www.theguardian.com/society/2013/mar/02/doctors-bemoan-nhs-privatisation-by-stealth</w:t>
        </w:r>
      </w:hyperlink>
      <w:r w:rsidR="000E2F1D">
        <w:rPr>
          <w:rFonts w:ascii="Arial" w:hAnsi="Arial" w:cs="Arial"/>
          <w:sz w:val="24"/>
          <w:szCs w:val="24"/>
        </w:rPr>
        <w:t xml:space="preserve"> [Online] [Accessed: 20</w:t>
      </w:r>
      <w:r w:rsidRPr="006B71F6">
        <w:rPr>
          <w:rFonts w:ascii="Arial" w:hAnsi="Arial" w:cs="Arial"/>
          <w:sz w:val="24"/>
          <w:szCs w:val="24"/>
        </w:rPr>
        <w:t xml:space="preserve"> September 2017]</w:t>
      </w:r>
    </w:p>
    <w:p w:rsidR="006B71F6" w:rsidRPr="006B71F6" w:rsidRDefault="006B71F6" w:rsidP="006B71F6">
      <w:pPr>
        <w:spacing w:line="360" w:lineRule="auto"/>
        <w:jc w:val="both"/>
        <w:rPr>
          <w:rFonts w:ascii="Arial" w:hAnsi="Arial" w:cs="Arial"/>
          <w:sz w:val="24"/>
          <w:szCs w:val="24"/>
        </w:rPr>
      </w:pPr>
      <w:r w:rsidRPr="006B71F6">
        <w:rPr>
          <w:rFonts w:ascii="Arial" w:hAnsi="Arial" w:cs="Arial"/>
          <w:sz w:val="24"/>
          <w:szCs w:val="24"/>
        </w:rPr>
        <w:lastRenderedPageBreak/>
        <w:t xml:space="preserve">The Health Foundation (2015). Evolution, revolution or confusion? Competition and privatization in the NHS; Department of Health (2015). </w:t>
      </w:r>
      <w:r w:rsidRPr="006B71F6">
        <w:rPr>
          <w:rFonts w:ascii="Arial" w:hAnsi="Arial" w:cs="Arial"/>
          <w:i/>
          <w:sz w:val="24"/>
          <w:szCs w:val="24"/>
        </w:rPr>
        <w:t>Annual Report and Accounts</w:t>
      </w:r>
      <w:r w:rsidRPr="006B71F6">
        <w:rPr>
          <w:rFonts w:ascii="Arial" w:hAnsi="Arial" w:cs="Arial"/>
          <w:sz w:val="24"/>
          <w:szCs w:val="24"/>
        </w:rPr>
        <w:t xml:space="preserve"> 2014-15</w:t>
      </w:r>
    </w:p>
    <w:p w:rsidR="006B71F6" w:rsidRPr="006B71F6" w:rsidRDefault="006B71F6" w:rsidP="006B71F6">
      <w:pPr>
        <w:spacing w:line="360" w:lineRule="auto"/>
        <w:jc w:val="both"/>
        <w:rPr>
          <w:rFonts w:ascii="Arial" w:hAnsi="Arial" w:cs="Arial"/>
          <w:sz w:val="24"/>
          <w:szCs w:val="24"/>
        </w:rPr>
      </w:pPr>
      <w:proofErr w:type="spellStart"/>
      <w:r w:rsidRPr="006B71F6">
        <w:rPr>
          <w:rFonts w:ascii="Arial" w:hAnsi="Arial" w:cs="Arial"/>
          <w:sz w:val="24"/>
          <w:szCs w:val="24"/>
        </w:rPr>
        <w:t>Turrell</w:t>
      </w:r>
      <w:proofErr w:type="spellEnd"/>
      <w:r w:rsidRPr="006B71F6">
        <w:rPr>
          <w:rFonts w:ascii="Arial" w:hAnsi="Arial" w:cs="Arial"/>
          <w:sz w:val="24"/>
          <w:szCs w:val="24"/>
        </w:rPr>
        <w:t xml:space="preserve">, A. R., </w:t>
      </w:r>
      <w:proofErr w:type="spellStart"/>
      <w:r w:rsidRPr="006B71F6">
        <w:rPr>
          <w:rFonts w:ascii="Arial" w:hAnsi="Arial" w:cs="Arial"/>
          <w:sz w:val="24"/>
          <w:szCs w:val="24"/>
        </w:rPr>
        <w:t>Castleden</w:t>
      </w:r>
      <w:proofErr w:type="spellEnd"/>
      <w:r w:rsidRPr="006B71F6">
        <w:rPr>
          <w:rFonts w:ascii="Arial" w:hAnsi="Arial" w:cs="Arial"/>
          <w:sz w:val="24"/>
          <w:szCs w:val="24"/>
        </w:rPr>
        <w:t>, C. M., &amp; Freestone, B. (1998). Long stay care and the NHS: discontinuities between policy and practice. </w:t>
      </w:r>
      <w:r w:rsidRPr="006B71F6">
        <w:rPr>
          <w:rFonts w:ascii="Arial" w:hAnsi="Arial" w:cs="Arial"/>
          <w:i/>
          <w:iCs/>
          <w:sz w:val="24"/>
          <w:szCs w:val="24"/>
        </w:rPr>
        <w:t>BMJ: British Medical Journal</w:t>
      </w:r>
      <w:r w:rsidRPr="006B71F6">
        <w:rPr>
          <w:rFonts w:ascii="Arial" w:hAnsi="Arial" w:cs="Arial"/>
          <w:sz w:val="24"/>
          <w:szCs w:val="24"/>
        </w:rPr>
        <w:t>, </w:t>
      </w:r>
      <w:r w:rsidRPr="006B71F6">
        <w:rPr>
          <w:rFonts w:ascii="Arial" w:hAnsi="Arial" w:cs="Arial"/>
          <w:i/>
          <w:iCs/>
          <w:sz w:val="24"/>
          <w:szCs w:val="24"/>
        </w:rPr>
        <w:t>317</w:t>
      </w:r>
      <w:r w:rsidRPr="006B71F6">
        <w:rPr>
          <w:rFonts w:ascii="Arial" w:hAnsi="Arial" w:cs="Arial"/>
          <w:sz w:val="24"/>
          <w:szCs w:val="24"/>
        </w:rPr>
        <w:t>(7163), 942.</w:t>
      </w:r>
    </w:p>
    <w:p w:rsidR="00BB68C6" w:rsidRDefault="00BB68C6">
      <w:pPr>
        <w:rPr>
          <w:rFonts w:ascii="Arial" w:hAnsi="Arial" w:cs="Arial"/>
          <w:sz w:val="24"/>
          <w:szCs w:val="24"/>
        </w:rPr>
      </w:pPr>
      <w:r>
        <w:rPr>
          <w:rFonts w:ascii="Arial" w:hAnsi="Arial" w:cs="Arial"/>
          <w:sz w:val="24"/>
          <w:szCs w:val="24"/>
        </w:rPr>
        <w:br w:type="page"/>
      </w:r>
    </w:p>
    <w:p w:rsidR="006B71F6" w:rsidRDefault="006B71F6" w:rsidP="00BB68C6">
      <w:pPr>
        <w:pStyle w:val="Heading1"/>
      </w:pPr>
      <w:bookmarkStart w:id="10" w:name="_Toc493714839"/>
      <w:r>
        <w:lastRenderedPageBreak/>
        <w:t>Appendix</w:t>
      </w:r>
      <w:bookmarkEnd w:id="10"/>
      <w:r>
        <w:t xml:space="preserve"> </w:t>
      </w:r>
    </w:p>
    <w:p w:rsidR="006B71F6" w:rsidRDefault="00BB68C6" w:rsidP="00BB68C6">
      <w:pPr>
        <w:pStyle w:val="Heading2"/>
      </w:pPr>
      <w:bookmarkStart w:id="11" w:name="_Toc493714840"/>
      <w:r>
        <w:t xml:space="preserve">Appendix #1: </w:t>
      </w:r>
      <w:r w:rsidR="006B71F6">
        <w:t>Questionnaire</w:t>
      </w:r>
      <w:bookmarkEnd w:id="11"/>
    </w:p>
    <w:tbl>
      <w:tblPr>
        <w:tblStyle w:val="TableGrid"/>
        <w:tblW w:w="0" w:type="auto"/>
        <w:tblLook w:val="04A0" w:firstRow="1" w:lastRow="0" w:firstColumn="1" w:lastColumn="0" w:noHBand="0" w:noVBand="1"/>
      </w:tblPr>
      <w:tblGrid>
        <w:gridCol w:w="3299"/>
        <w:gridCol w:w="1177"/>
        <w:gridCol w:w="1177"/>
        <w:gridCol w:w="990"/>
        <w:gridCol w:w="897"/>
        <w:gridCol w:w="1127"/>
      </w:tblGrid>
      <w:tr w:rsidR="006B71F6" w:rsidRPr="00BB68C6" w:rsidTr="00BB68C6">
        <w:trPr>
          <w:trHeight w:val="908"/>
        </w:trPr>
        <w:tc>
          <w:tcPr>
            <w:tcW w:w="3401" w:type="dxa"/>
          </w:tcPr>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r w:rsidRPr="00BB68C6">
              <w:rPr>
                <w:rFonts w:ascii="Arial" w:hAnsi="Arial" w:cs="Arial"/>
                <w:sz w:val="24"/>
                <w:szCs w:val="24"/>
              </w:rPr>
              <w:t xml:space="preserve">Disagree </w:t>
            </w:r>
          </w:p>
        </w:tc>
        <w:tc>
          <w:tcPr>
            <w:tcW w:w="1177" w:type="dxa"/>
          </w:tcPr>
          <w:p w:rsidR="006B71F6" w:rsidRPr="00BB68C6" w:rsidRDefault="006B71F6" w:rsidP="006B71F6">
            <w:pPr>
              <w:spacing w:line="360" w:lineRule="auto"/>
              <w:jc w:val="both"/>
              <w:rPr>
                <w:rFonts w:ascii="Arial" w:hAnsi="Arial" w:cs="Arial"/>
                <w:sz w:val="24"/>
                <w:szCs w:val="24"/>
              </w:rPr>
            </w:pPr>
            <w:r w:rsidRPr="00BB68C6">
              <w:rPr>
                <w:rFonts w:ascii="Arial" w:hAnsi="Arial" w:cs="Arial"/>
                <w:sz w:val="24"/>
                <w:szCs w:val="24"/>
              </w:rPr>
              <w:t>Strongly Disagree</w:t>
            </w:r>
          </w:p>
        </w:tc>
        <w:tc>
          <w:tcPr>
            <w:tcW w:w="990" w:type="dxa"/>
          </w:tcPr>
          <w:p w:rsidR="006B71F6" w:rsidRPr="00BB68C6" w:rsidRDefault="006B71F6" w:rsidP="006B71F6">
            <w:pPr>
              <w:spacing w:line="360" w:lineRule="auto"/>
              <w:jc w:val="both"/>
              <w:rPr>
                <w:rFonts w:ascii="Arial" w:hAnsi="Arial" w:cs="Arial"/>
                <w:sz w:val="24"/>
                <w:szCs w:val="24"/>
              </w:rPr>
            </w:pPr>
            <w:r w:rsidRPr="00BB68C6">
              <w:rPr>
                <w:rFonts w:ascii="Arial" w:hAnsi="Arial" w:cs="Arial"/>
                <w:sz w:val="24"/>
                <w:szCs w:val="24"/>
              </w:rPr>
              <w:t>Neutral</w:t>
            </w:r>
          </w:p>
        </w:tc>
        <w:tc>
          <w:tcPr>
            <w:tcW w:w="900" w:type="dxa"/>
          </w:tcPr>
          <w:p w:rsidR="006B71F6" w:rsidRPr="00BB68C6" w:rsidRDefault="006B71F6" w:rsidP="006B71F6">
            <w:pPr>
              <w:spacing w:line="360" w:lineRule="auto"/>
              <w:jc w:val="both"/>
              <w:rPr>
                <w:rFonts w:ascii="Arial" w:hAnsi="Arial" w:cs="Arial"/>
                <w:sz w:val="24"/>
                <w:szCs w:val="24"/>
              </w:rPr>
            </w:pPr>
            <w:r w:rsidRPr="00BB68C6">
              <w:rPr>
                <w:rFonts w:ascii="Arial" w:hAnsi="Arial" w:cs="Arial"/>
                <w:sz w:val="24"/>
                <w:szCs w:val="24"/>
              </w:rPr>
              <w:t xml:space="preserve">Agree </w:t>
            </w:r>
          </w:p>
        </w:tc>
        <w:tc>
          <w:tcPr>
            <w:tcW w:w="1129" w:type="dxa"/>
          </w:tcPr>
          <w:p w:rsidR="006B71F6" w:rsidRPr="00BB68C6" w:rsidRDefault="006B71F6" w:rsidP="006B71F6">
            <w:pPr>
              <w:spacing w:line="360" w:lineRule="auto"/>
              <w:jc w:val="both"/>
              <w:rPr>
                <w:rFonts w:ascii="Arial" w:hAnsi="Arial" w:cs="Arial"/>
                <w:sz w:val="24"/>
                <w:szCs w:val="24"/>
              </w:rPr>
            </w:pPr>
            <w:r w:rsidRPr="00BB68C6">
              <w:rPr>
                <w:rFonts w:ascii="Arial" w:hAnsi="Arial" w:cs="Arial"/>
                <w:sz w:val="24"/>
                <w:szCs w:val="24"/>
              </w:rPr>
              <w:t>Strongly agree</w:t>
            </w:r>
          </w:p>
        </w:tc>
      </w:tr>
      <w:tr w:rsidR="006B71F6" w:rsidRPr="00BB68C6" w:rsidTr="00BB68C6">
        <w:tc>
          <w:tcPr>
            <w:tcW w:w="3401" w:type="dxa"/>
          </w:tcPr>
          <w:p w:rsidR="00BB68C6" w:rsidRPr="00BB68C6" w:rsidRDefault="00BB68C6" w:rsidP="00BB68C6">
            <w:pPr>
              <w:jc w:val="both"/>
              <w:rPr>
                <w:rFonts w:ascii="Arial" w:hAnsi="Arial" w:cs="Arial"/>
                <w:sz w:val="24"/>
                <w:szCs w:val="24"/>
              </w:rPr>
            </w:pPr>
            <w:r w:rsidRPr="00BB68C6">
              <w:rPr>
                <w:rFonts w:ascii="Arial" w:hAnsi="Arial" w:cs="Arial"/>
                <w:sz w:val="24"/>
                <w:szCs w:val="24"/>
              </w:rPr>
              <w:t>Q1The existing level of spending by NHS is about as expected. Do you agree with the following statement?</w:t>
            </w:r>
          </w:p>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990" w:type="dxa"/>
          </w:tcPr>
          <w:p w:rsidR="006B71F6" w:rsidRPr="00BB68C6" w:rsidRDefault="006B71F6" w:rsidP="006B71F6">
            <w:pPr>
              <w:spacing w:line="360" w:lineRule="auto"/>
              <w:jc w:val="both"/>
              <w:rPr>
                <w:rFonts w:ascii="Arial" w:hAnsi="Arial" w:cs="Arial"/>
                <w:sz w:val="24"/>
                <w:szCs w:val="24"/>
              </w:rPr>
            </w:pPr>
          </w:p>
        </w:tc>
        <w:tc>
          <w:tcPr>
            <w:tcW w:w="900" w:type="dxa"/>
          </w:tcPr>
          <w:p w:rsidR="006B71F6" w:rsidRPr="00BB68C6" w:rsidRDefault="006B71F6" w:rsidP="006B71F6">
            <w:pPr>
              <w:spacing w:line="360" w:lineRule="auto"/>
              <w:jc w:val="both"/>
              <w:rPr>
                <w:rFonts w:ascii="Arial" w:hAnsi="Arial" w:cs="Arial"/>
                <w:sz w:val="24"/>
                <w:szCs w:val="24"/>
              </w:rPr>
            </w:pPr>
          </w:p>
        </w:tc>
        <w:tc>
          <w:tcPr>
            <w:tcW w:w="1129" w:type="dxa"/>
          </w:tcPr>
          <w:p w:rsidR="006B71F6" w:rsidRPr="00BB68C6" w:rsidRDefault="006B71F6" w:rsidP="006B71F6">
            <w:pPr>
              <w:spacing w:line="360" w:lineRule="auto"/>
              <w:jc w:val="both"/>
              <w:rPr>
                <w:rFonts w:ascii="Arial" w:hAnsi="Arial" w:cs="Arial"/>
                <w:sz w:val="24"/>
                <w:szCs w:val="24"/>
              </w:rPr>
            </w:pPr>
          </w:p>
        </w:tc>
      </w:tr>
      <w:tr w:rsidR="006B71F6" w:rsidRPr="00BB68C6" w:rsidTr="00BB68C6">
        <w:tc>
          <w:tcPr>
            <w:tcW w:w="3401" w:type="dxa"/>
          </w:tcPr>
          <w:p w:rsidR="00BB68C6" w:rsidRPr="00BB68C6" w:rsidRDefault="00BB68C6" w:rsidP="00BB68C6">
            <w:pPr>
              <w:jc w:val="both"/>
              <w:rPr>
                <w:rFonts w:ascii="Arial" w:hAnsi="Arial" w:cs="Arial"/>
                <w:sz w:val="24"/>
                <w:szCs w:val="24"/>
              </w:rPr>
            </w:pPr>
            <w:r w:rsidRPr="00BB68C6">
              <w:rPr>
                <w:rFonts w:ascii="Arial" w:hAnsi="Arial" w:cs="Arial"/>
                <w:sz w:val="24"/>
                <w:szCs w:val="24"/>
              </w:rPr>
              <w:t>Q2: The independent sector provision of NHS clinical service is unsatisfactory and uncomfortable to doctor. Do you agree with the statement?</w:t>
            </w:r>
          </w:p>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990" w:type="dxa"/>
          </w:tcPr>
          <w:p w:rsidR="006B71F6" w:rsidRPr="00BB68C6" w:rsidRDefault="006B71F6" w:rsidP="006B71F6">
            <w:pPr>
              <w:spacing w:line="360" w:lineRule="auto"/>
              <w:jc w:val="both"/>
              <w:rPr>
                <w:rFonts w:ascii="Arial" w:hAnsi="Arial" w:cs="Arial"/>
                <w:sz w:val="24"/>
                <w:szCs w:val="24"/>
              </w:rPr>
            </w:pPr>
          </w:p>
        </w:tc>
        <w:tc>
          <w:tcPr>
            <w:tcW w:w="900" w:type="dxa"/>
          </w:tcPr>
          <w:p w:rsidR="006B71F6" w:rsidRPr="00BB68C6" w:rsidRDefault="006B71F6" w:rsidP="006B71F6">
            <w:pPr>
              <w:spacing w:line="360" w:lineRule="auto"/>
              <w:jc w:val="both"/>
              <w:rPr>
                <w:rFonts w:ascii="Arial" w:hAnsi="Arial" w:cs="Arial"/>
                <w:sz w:val="24"/>
                <w:szCs w:val="24"/>
              </w:rPr>
            </w:pPr>
          </w:p>
        </w:tc>
        <w:tc>
          <w:tcPr>
            <w:tcW w:w="1129" w:type="dxa"/>
          </w:tcPr>
          <w:p w:rsidR="006B71F6" w:rsidRPr="00BB68C6" w:rsidRDefault="006B71F6" w:rsidP="006B71F6">
            <w:pPr>
              <w:spacing w:line="360" w:lineRule="auto"/>
              <w:jc w:val="both"/>
              <w:rPr>
                <w:rFonts w:ascii="Arial" w:hAnsi="Arial" w:cs="Arial"/>
                <w:sz w:val="24"/>
                <w:szCs w:val="24"/>
              </w:rPr>
            </w:pPr>
          </w:p>
        </w:tc>
      </w:tr>
      <w:tr w:rsidR="006B71F6" w:rsidRPr="00BB68C6" w:rsidTr="00BB68C6">
        <w:tc>
          <w:tcPr>
            <w:tcW w:w="3401" w:type="dxa"/>
          </w:tcPr>
          <w:p w:rsidR="00BB68C6" w:rsidRPr="00BB68C6" w:rsidRDefault="00BB68C6" w:rsidP="00BB68C6">
            <w:pPr>
              <w:jc w:val="both"/>
              <w:rPr>
                <w:rFonts w:ascii="Arial" w:hAnsi="Arial" w:cs="Arial"/>
                <w:sz w:val="24"/>
                <w:szCs w:val="24"/>
              </w:rPr>
            </w:pPr>
            <w:r w:rsidRPr="00BB68C6">
              <w:rPr>
                <w:rFonts w:ascii="Arial" w:hAnsi="Arial" w:cs="Arial"/>
                <w:sz w:val="24"/>
                <w:szCs w:val="24"/>
              </w:rPr>
              <w:t>Q3: The independent sector provision of NHS clinical services causes high fragmentation and destabilization of NHS services, and unfavorable terms and conditions. Do you agree with the statement?</w:t>
            </w:r>
          </w:p>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990" w:type="dxa"/>
          </w:tcPr>
          <w:p w:rsidR="006B71F6" w:rsidRPr="00BB68C6" w:rsidRDefault="006B71F6" w:rsidP="006B71F6">
            <w:pPr>
              <w:spacing w:line="360" w:lineRule="auto"/>
              <w:jc w:val="both"/>
              <w:rPr>
                <w:rFonts w:ascii="Arial" w:hAnsi="Arial" w:cs="Arial"/>
                <w:sz w:val="24"/>
                <w:szCs w:val="24"/>
              </w:rPr>
            </w:pPr>
          </w:p>
        </w:tc>
        <w:tc>
          <w:tcPr>
            <w:tcW w:w="900" w:type="dxa"/>
          </w:tcPr>
          <w:p w:rsidR="006B71F6" w:rsidRPr="00BB68C6" w:rsidRDefault="006B71F6" w:rsidP="006B71F6">
            <w:pPr>
              <w:spacing w:line="360" w:lineRule="auto"/>
              <w:jc w:val="both"/>
              <w:rPr>
                <w:rFonts w:ascii="Arial" w:hAnsi="Arial" w:cs="Arial"/>
                <w:sz w:val="24"/>
                <w:szCs w:val="24"/>
              </w:rPr>
            </w:pPr>
          </w:p>
        </w:tc>
        <w:tc>
          <w:tcPr>
            <w:tcW w:w="1129" w:type="dxa"/>
          </w:tcPr>
          <w:p w:rsidR="006B71F6" w:rsidRPr="00BB68C6" w:rsidRDefault="006B71F6" w:rsidP="006B71F6">
            <w:pPr>
              <w:spacing w:line="360" w:lineRule="auto"/>
              <w:jc w:val="both"/>
              <w:rPr>
                <w:rFonts w:ascii="Arial" w:hAnsi="Arial" w:cs="Arial"/>
                <w:sz w:val="24"/>
                <w:szCs w:val="24"/>
              </w:rPr>
            </w:pPr>
          </w:p>
        </w:tc>
      </w:tr>
      <w:tr w:rsidR="006B71F6" w:rsidRPr="00BB68C6" w:rsidTr="00BB68C6">
        <w:tc>
          <w:tcPr>
            <w:tcW w:w="3401" w:type="dxa"/>
          </w:tcPr>
          <w:p w:rsidR="00BB68C6" w:rsidRPr="00BB68C6" w:rsidRDefault="00BB68C6" w:rsidP="00BB68C6">
            <w:pPr>
              <w:jc w:val="both"/>
              <w:rPr>
                <w:rFonts w:ascii="Arial" w:hAnsi="Arial" w:cs="Arial"/>
                <w:sz w:val="24"/>
                <w:szCs w:val="24"/>
              </w:rPr>
            </w:pPr>
            <w:r w:rsidRPr="00BB68C6">
              <w:rPr>
                <w:rFonts w:ascii="Arial" w:hAnsi="Arial" w:cs="Arial"/>
                <w:sz w:val="24"/>
                <w:szCs w:val="24"/>
              </w:rPr>
              <w:t>Q4: The NHS privatization contributes to the improvement of service quality and to maximize the choice of patient. Do you agree with the statement?</w:t>
            </w:r>
          </w:p>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1177" w:type="dxa"/>
          </w:tcPr>
          <w:p w:rsidR="006B71F6" w:rsidRPr="00BB68C6" w:rsidRDefault="006B71F6" w:rsidP="006B71F6">
            <w:pPr>
              <w:spacing w:line="360" w:lineRule="auto"/>
              <w:jc w:val="both"/>
              <w:rPr>
                <w:rFonts w:ascii="Arial" w:hAnsi="Arial" w:cs="Arial"/>
                <w:sz w:val="24"/>
                <w:szCs w:val="24"/>
              </w:rPr>
            </w:pPr>
          </w:p>
        </w:tc>
        <w:tc>
          <w:tcPr>
            <w:tcW w:w="990" w:type="dxa"/>
          </w:tcPr>
          <w:p w:rsidR="006B71F6" w:rsidRPr="00BB68C6" w:rsidRDefault="006B71F6" w:rsidP="006B71F6">
            <w:pPr>
              <w:spacing w:line="360" w:lineRule="auto"/>
              <w:jc w:val="both"/>
              <w:rPr>
                <w:rFonts w:ascii="Arial" w:hAnsi="Arial" w:cs="Arial"/>
                <w:sz w:val="24"/>
                <w:szCs w:val="24"/>
              </w:rPr>
            </w:pPr>
          </w:p>
        </w:tc>
        <w:tc>
          <w:tcPr>
            <w:tcW w:w="900" w:type="dxa"/>
          </w:tcPr>
          <w:p w:rsidR="006B71F6" w:rsidRPr="00BB68C6" w:rsidRDefault="006B71F6" w:rsidP="006B71F6">
            <w:pPr>
              <w:spacing w:line="360" w:lineRule="auto"/>
              <w:jc w:val="both"/>
              <w:rPr>
                <w:rFonts w:ascii="Arial" w:hAnsi="Arial" w:cs="Arial"/>
                <w:sz w:val="24"/>
                <w:szCs w:val="24"/>
              </w:rPr>
            </w:pPr>
          </w:p>
        </w:tc>
        <w:tc>
          <w:tcPr>
            <w:tcW w:w="1129" w:type="dxa"/>
          </w:tcPr>
          <w:p w:rsidR="006B71F6" w:rsidRPr="00BB68C6" w:rsidRDefault="006B71F6" w:rsidP="006B71F6">
            <w:pPr>
              <w:spacing w:line="360" w:lineRule="auto"/>
              <w:jc w:val="both"/>
              <w:rPr>
                <w:rFonts w:ascii="Arial" w:hAnsi="Arial" w:cs="Arial"/>
                <w:sz w:val="24"/>
                <w:szCs w:val="24"/>
              </w:rPr>
            </w:pPr>
          </w:p>
        </w:tc>
      </w:tr>
    </w:tbl>
    <w:p w:rsidR="006B71F6" w:rsidRDefault="006B71F6" w:rsidP="006B71F6">
      <w:pPr>
        <w:spacing w:line="360" w:lineRule="auto"/>
        <w:jc w:val="both"/>
        <w:rPr>
          <w:rFonts w:ascii="Arial" w:hAnsi="Arial" w:cs="Arial"/>
          <w:sz w:val="24"/>
          <w:szCs w:val="24"/>
        </w:rPr>
      </w:pPr>
    </w:p>
    <w:p w:rsidR="00BB68C6" w:rsidRDefault="00BB68C6">
      <w:pPr>
        <w:rPr>
          <w:rFonts w:ascii="Arial" w:hAnsi="Arial" w:cs="Arial"/>
          <w:sz w:val="24"/>
          <w:szCs w:val="24"/>
        </w:rPr>
      </w:pPr>
      <w:r>
        <w:rPr>
          <w:rFonts w:ascii="Arial" w:hAnsi="Arial" w:cs="Arial"/>
          <w:sz w:val="24"/>
          <w:szCs w:val="24"/>
        </w:rPr>
        <w:br w:type="page"/>
      </w:r>
    </w:p>
    <w:p w:rsidR="006B71F6" w:rsidRDefault="00BB68C6" w:rsidP="00BB68C6">
      <w:pPr>
        <w:pStyle w:val="Heading2"/>
      </w:pPr>
      <w:bookmarkStart w:id="12" w:name="_Toc493714841"/>
      <w:r>
        <w:lastRenderedPageBreak/>
        <w:t>Appendix # 2: Responses from respondents</w:t>
      </w:r>
      <w:bookmarkEnd w:id="12"/>
    </w:p>
    <w:p w:rsidR="00BB68C6" w:rsidRDefault="00BB68C6" w:rsidP="006B71F6">
      <w:pPr>
        <w:spacing w:line="360" w:lineRule="auto"/>
        <w:jc w:val="both"/>
        <w:rPr>
          <w:rFonts w:ascii="Arial" w:hAnsi="Arial" w:cs="Arial"/>
          <w:sz w:val="24"/>
          <w:szCs w:val="24"/>
        </w:rPr>
      </w:pPr>
      <w:r w:rsidRPr="00F0094E">
        <w:rPr>
          <w:noProof/>
        </w:rPr>
        <w:drawing>
          <wp:inline distT="0" distB="0" distL="0" distR="0" wp14:anchorId="03B2305F" wp14:editId="65F66BAD">
            <wp:extent cx="5577840" cy="6568264"/>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77840" cy="6568264"/>
                    </a:xfrm>
                    <a:prstGeom prst="rect">
                      <a:avLst/>
                    </a:prstGeom>
                    <a:noFill/>
                    <a:ln>
                      <a:noFill/>
                    </a:ln>
                  </pic:spPr>
                </pic:pic>
              </a:graphicData>
            </a:graphic>
          </wp:inline>
        </w:drawing>
      </w:r>
    </w:p>
    <w:p w:rsidR="00BB68C6" w:rsidRDefault="00BB68C6" w:rsidP="006B71F6">
      <w:pPr>
        <w:spacing w:line="360" w:lineRule="auto"/>
        <w:jc w:val="both"/>
        <w:rPr>
          <w:rFonts w:ascii="Arial" w:hAnsi="Arial" w:cs="Arial"/>
          <w:sz w:val="24"/>
          <w:szCs w:val="24"/>
        </w:rPr>
      </w:pPr>
    </w:p>
    <w:p w:rsidR="00BB68C6" w:rsidRDefault="00BB68C6" w:rsidP="006B71F6">
      <w:pPr>
        <w:spacing w:line="360" w:lineRule="auto"/>
        <w:jc w:val="both"/>
        <w:rPr>
          <w:rFonts w:ascii="Arial" w:hAnsi="Arial" w:cs="Arial"/>
          <w:sz w:val="24"/>
          <w:szCs w:val="24"/>
        </w:rPr>
      </w:pPr>
    </w:p>
    <w:p w:rsidR="00BB68C6" w:rsidRDefault="00BB68C6" w:rsidP="006B71F6">
      <w:pPr>
        <w:spacing w:line="360" w:lineRule="auto"/>
        <w:jc w:val="both"/>
        <w:rPr>
          <w:rFonts w:ascii="Arial" w:hAnsi="Arial" w:cs="Arial"/>
          <w:sz w:val="24"/>
          <w:szCs w:val="24"/>
        </w:rPr>
      </w:pPr>
      <w:r w:rsidRPr="00F0094E">
        <w:rPr>
          <w:noProof/>
        </w:rPr>
        <w:lastRenderedPageBreak/>
        <w:drawing>
          <wp:inline distT="0" distB="0" distL="0" distR="0" wp14:anchorId="4B02A32C" wp14:editId="3F3AB4D0">
            <wp:extent cx="5577840" cy="800324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7840" cy="8003247"/>
                    </a:xfrm>
                    <a:prstGeom prst="rect">
                      <a:avLst/>
                    </a:prstGeom>
                    <a:noFill/>
                    <a:ln>
                      <a:noFill/>
                    </a:ln>
                  </pic:spPr>
                </pic:pic>
              </a:graphicData>
            </a:graphic>
          </wp:inline>
        </w:drawing>
      </w:r>
    </w:p>
    <w:p w:rsidR="00BB68C6" w:rsidRPr="006B71F6" w:rsidRDefault="00BB68C6" w:rsidP="006B71F6">
      <w:pPr>
        <w:spacing w:line="360" w:lineRule="auto"/>
        <w:jc w:val="both"/>
        <w:rPr>
          <w:rFonts w:ascii="Arial" w:hAnsi="Arial" w:cs="Arial"/>
          <w:sz w:val="24"/>
          <w:szCs w:val="24"/>
        </w:rPr>
      </w:pPr>
      <w:r w:rsidRPr="00F0094E">
        <w:rPr>
          <w:noProof/>
        </w:rPr>
        <w:lastRenderedPageBreak/>
        <w:drawing>
          <wp:inline distT="0" distB="0" distL="0" distR="0" wp14:anchorId="7FD28029" wp14:editId="498BA300">
            <wp:extent cx="5577840" cy="6158269"/>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7840" cy="6158269"/>
                    </a:xfrm>
                    <a:prstGeom prst="rect">
                      <a:avLst/>
                    </a:prstGeom>
                    <a:noFill/>
                    <a:ln>
                      <a:noFill/>
                    </a:ln>
                  </pic:spPr>
                </pic:pic>
              </a:graphicData>
            </a:graphic>
          </wp:inline>
        </w:drawing>
      </w:r>
    </w:p>
    <w:p w:rsidR="006B71F6" w:rsidRPr="00FC5FE5" w:rsidRDefault="006B71F6" w:rsidP="00FC5FE5">
      <w:pPr>
        <w:spacing w:line="360" w:lineRule="auto"/>
        <w:jc w:val="both"/>
        <w:rPr>
          <w:rFonts w:ascii="Arial" w:hAnsi="Arial" w:cs="Arial"/>
          <w:sz w:val="24"/>
          <w:szCs w:val="24"/>
        </w:rPr>
      </w:pPr>
    </w:p>
    <w:p w:rsidR="00A61DCE" w:rsidRPr="00FC5FE5" w:rsidRDefault="00A61DCE" w:rsidP="00FC5FE5">
      <w:pPr>
        <w:spacing w:line="360" w:lineRule="auto"/>
        <w:jc w:val="both"/>
        <w:rPr>
          <w:rFonts w:ascii="Arial" w:hAnsi="Arial" w:cs="Arial"/>
          <w:sz w:val="24"/>
          <w:szCs w:val="24"/>
        </w:rPr>
      </w:pPr>
    </w:p>
    <w:sectPr w:rsidR="00A61DCE" w:rsidRPr="00FC5FE5" w:rsidSect="009314EF">
      <w:footerReference w:type="default" r:id="rId17"/>
      <w:pgSz w:w="11907" w:h="16839" w:code="9"/>
      <w:pgMar w:top="1728" w:right="1728" w:bottom="1728"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C35" w:rsidRDefault="003C2C35" w:rsidP="00BB68C6">
      <w:pPr>
        <w:spacing w:after="0" w:line="240" w:lineRule="auto"/>
      </w:pPr>
      <w:r>
        <w:separator/>
      </w:r>
    </w:p>
  </w:endnote>
  <w:endnote w:type="continuationSeparator" w:id="0">
    <w:p w:rsidR="003C2C35" w:rsidRDefault="003C2C35" w:rsidP="00BB6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9243593"/>
      <w:docPartObj>
        <w:docPartGallery w:val="Page Numbers (Bottom of Page)"/>
        <w:docPartUnique/>
      </w:docPartObj>
    </w:sdtPr>
    <w:sdtEndPr>
      <w:rPr>
        <w:noProof/>
      </w:rPr>
    </w:sdtEndPr>
    <w:sdtContent>
      <w:p w:rsidR="00BB68C6" w:rsidRDefault="00BB68C6">
        <w:pPr>
          <w:pStyle w:val="Footer"/>
          <w:jc w:val="center"/>
        </w:pPr>
        <w:r>
          <w:fldChar w:fldCharType="begin"/>
        </w:r>
        <w:r>
          <w:instrText xml:space="preserve"> PAGE   \* MERGEFORMAT </w:instrText>
        </w:r>
        <w:r>
          <w:fldChar w:fldCharType="separate"/>
        </w:r>
        <w:r w:rsidR="00981EAC">
          <w:rPr>
            <w:noProof/>
          </w:rPr>
          <w:t>1</w:t>
        </w:r>
        <w:r>
          <w:rPr>
            <w:noProof/>
          </w:rPr>
          <w:fldChar w:fldCharType="end"/>
        </w:r>
      </w:p>
    </w:sdtContent>
  </w:sdt>
  <w:p w:rsidR="00BB68C6" w:rsidRDefault="00BB68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C35" w:rsidRDefault="003C2C35" w:rsidP="00BB68C6">
      <w:pPr>
        <w:spacing w:after="0" w:line="240" w:lineRule="auto"/>
      </w:pPr>
      <w:r>
        <w:separator/>
      </w:r>
    </w:p>
  </w:footnote>
  <w:footnote w:type="continuationSeparator" w:id="0">
    <w:p w:rsidR="003C2C35" w:rsidRDefault="003C2C35" w:rsidP="00BB68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2B2567"/>
    <w:multiLevelType w:val="hybridMultilevel"/>
    <w:tmpl w:val="4A9A4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617"/>
    <w:rsid w:val="000E2F1D"/>
    <w:rsid w:val="003C2C35"/>
    <w:rsid w:val="006A4FD1"/>
    <w:rsid w:val="006B71F6"/>
    <w:rsid w:val="006F2D62"/>
    <w:rsid w:val="009314EF"/>
    <w:rsid w:val="00981EAC"/>
    <w:rsid w:val="00A61DCE"/>
    <w:rsid w:val="00AB66BF"/>
    <w:rsid w:val="00B52617"/>
    <w:rsid w:val="00BB68C6"/>
    <w:rsid w:val="00FC5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B68C6"/>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BB68C6"/>
    <w:pPr>
      <w:keepNext/>
      <w:keepLines/>
      <w:spacing w:before="40" w:after="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1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71F6"/>
    <w:pPr>
      <w:ind w:left="720"/>
      <w:contextualSpacing/>
    </w:pPr>
  </w:style>
  <w:style w:type="character" w:styleId="Hyperlink">
    <w:name w:val="Hyperlink"/>
    <w:basedOn w:val="DefaultParagraphFont"/>
    <w:uiPriority w:val="99"/>
    <w:unhideWhenUsed/>
    <w:rsid w:val="006B71F6"/>
    <w:rPr>
      <w:color w:val="0563C1" w:themeColor="hyperlink"/>
      <w:u w:val="single"/>
    </w:rPr>
  </w:style>
  <w:style w:type="character" w:customStyle="1" w:styleId="Heading1Char">
    <w:name w:val="Heading 1 Char"/>
    <w:basedOn w:val="DefaultParagraphFont"/>
    <w:link w:val="Heading1"/>
    <w:uiPriority w:val="9"/>
    <w:rsid w:val="00BB68C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BB68C6"/>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BB68C6"/>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B68C6"/>
    <w:pPr>
      <w:spacing w:after="100"/>
    </w:pPr>
  </w:style>
  <w:style w:type="paragraph" w:styleId="TOC2">
    <w:name w:val="toc 2"/>
    <w:basedOn w:val="Normal"/>
    <w:next w:val="Normal"/>
    <w:autoRedefine/>
    <w:uiPriority w:val="39"/>
    <w:unhideWhenUsed/>
    <w:rsid w:val="00BB68C6"/>
    <w:pPr>
      <w:spacing w:after="100"/>
      <w:ind w:left="220"/>
    </w:pPr>
  </w:style>
  <w:style w:type="paragraph" w:styleId="Header">
    <w:name w:val="header"/>
    <w:basedOn w:val="Normal"/>
    <w:link w:val="HeaderChar"/>
    <w:uiPriority w:val="99"/>
    <w:unhideWhenUsed/>
    <w:rsid w:val="00BB6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8C6"/>
  </w:style>
  <w:style w:type="paragraph" w:styleId="Footer">
    <w:name w:val="footer"/>
    <w:basedOn w:val="Normal"/>
    <w:link w:val="FooterChar"/>
    <w:uiPriority w:val="99"/>
    <w:unhideWhenUsed/>
    <w:rsid w:val="00BB6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8C6"/>
  </w:style>
  <w:style w:type="paragraph" w:styleId="Title">
    <w:name w:val="Title"/>
    <w:basedOn w:val="Normal"/>
    <w:next w:val="Normal"/>
    <w:link w:val="TitleChar"/>
    <w:uiPriority w:val="10"/>
    <w:qFormat/>
    <w:rsid w:val="00BB68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8C6"/>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981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E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B68C6"/>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BB68C6"/>
    <w:pPr>
      <w:keepNext/>
      <w:keepLines/>
      <w:spacing w:before="40" w:after="0"/>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1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71F6"/>
    <w:pPr>
      <w:ind w:left="720"/>
      <w:contextualSpacing/>
    </w:pPr>
  </w:style>
  <w:style w:type="character" w:styleId="Hyperlink">
    <w:name w:val="Hyperlink"/>
    <w:basedOn w:val="DefaultParagraphFont"/>
    <w:uiPriority w:val="99"/>
    <w:unhideWhenUsed/>
    <w:rsid w:val="006B71F6"/>
    <w:rPr>
      <w:color w:val="0563C1" w:themeColor="hyperlink"/>
      <w:u w:val="single"/>
    </w:rPr>
  </w:style>
  <w:style w:type="character" w:customStyle="1" w:styleId="Heading1Char">
    <w:name w:val="Heading 1 Char"/>
    <w:basedOn w:val="DefaultParagraphFont"/>
    <w:link w:val="Heading1"/>
    <w:uiPriority w:val="9"/>
    <w:rsid w:val="00BB68C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BB68C6"/>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BB68C6"/>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B68C6"/>
    <w:pPr>
      <w:spacing w:after="100"/>
    </w:pPr>
  </w:style>
  <w:style w:type="paragraph" w:styleId="TOC2">
    <w:name w:val="toc 2"/>
    <w:basedOn w:val="Normal"/>
    <w:next w:val="Normal"/>
    <w:autoRedefine/>
    <w:uiPriority w:val="39"/>
    <w:unhideWhenUsed/>
    <w:rsid w:val="00BB68C6"/>
    <w:pPr>
      <w:spacing w:after="100"/>
      <w:ind w:left="220"/>
    </w:pPr>
  </w:style>
  <w:style w:type="paragraph" w:styleId="Header">
    <w:name w:val="header"/>
    <w:basedOn w:val="Normal"/>
    <w:link w:val="HeaderChar"/>
    <w:uiPriority w:val="99"/>
    <w:unhideWhenUsed/>
    <w:rsid w:val="00BB6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8C6"/>
  </w:style>
  <w:style w:type="paragraph" w:styleId="Footer">
    <w:name w:val="footer"/>
    <w:basedOn w:val="Normal"/>
    <w:link w:val="FooterChar"/>
    <w:uiPriority w:val="99"/>
    <w:unhideWhenUsed/>
    <w:rsid w:val="00BB6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8C6"/>
  </w:style>
  <w:style w:type="paragraph" w:styleId="Title">
    <w:name w:val="Title"/>
    <w:basedOn w:val="Normal"/>
    <w:next w:val="Normal"/>
    <w:link w:val="TitleChar"/>
    <w:uiPriority w:val="10"/>
    <w:qFormat/>
    <w:rsid w:val="00BB68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8C6"/>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981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E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63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guardian.com/society/2013/mar/02/doctors-bemoan-nhs-privatisation-by-stealt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chart" Target="charts/chart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1.em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Q1</a:t>
            </a:r>
          </a:p>
        </c:rich>
      </c:tx>
      <c:overlay val="0"/>
      <c:spPr>
        <a:noFill/>
        <a:ln>
          <a:noFill/>
        </a:ln>
        <a:effectLst/>
      </c:spPr>
    </c:title>
    <c:autoTitleDeleted val="0"/>
    <c:plotArea>
      <c:layout/>
      <c:barChart>
        <c:barDir val="col"/>
        <c:grouping val="clustered"/>
        <c:varyColors val="0"/>
        <c:ser>
          <c:idx val="0"/>
          <c:order val="0"/>
          <c:tx>
            <c:strRef>
              <c:f>Sheet4!$D$176</c:f>
              <c:strCache>
                <c:ptCount val="1"/>
                <c:pt idx="0">
                  <c:v>Frequency</c:v>
                </c:pt>
              </c:strCache>
            </c:strRef>
          </c:tx>
          <c:spPr>
            <a:solidFill>
              <a:schemeClr val="accent1"/>
            </a:solidFill>
            <a:ln>
              <a:noFill/>
            </a:ln>
            <a:effectLst/>
          </c:spPr>
          <c:invertIfNegative val="0"/>
          <c:cat>
            <c:strRef>
              <c:f>Sheet4!$C$177:$C$181</c:f>
              <c:strCache>
                <c:ptCount val="5"/>
                <c:pt idx="0">
                  <c:v>Strongly Disagree</c:v>
                </c:pt>
                <c:pt idx="1">
                  <c:v>Disagree</c:v>
                </c:pt>
                <c:pt idx="2">
                  <c:v>Neutral</c:v>
                </c:pt>
                <c:pt idx="3">
                  <c:v>Agree</c:v>
                </c:pt>
                <c:pt idx="4">
                  <c:v>Strongly agree</c:v>
                </c:pt>
              </c:strCache>
            </c:strRef>
          </c:cat>
          <c:val>
            <c:numRef>
              <c:f>Sheet4!$D$177:$D$181</c:f>
              <c:numCache>
                <c:formatCode>General</c:formatCode>
                <c:ptCount val="5"/>
                <c:pt idx="0">
                  <c:v>7</c:v>
                </c:pt>
                <c:pt idx="1">
                  <c:v>23</c:v>
                </c:pt>
                <c:pt idx="2">
                  <c:v>15</c:v>
                </c:pt>
                <c:pt idx="3">
                  <c:v>45</c:v>
                </c:pt>
                <c:pt idx="4">
                  <c:v>10</c:v>
                </c:pt>
              </c:numCache>
            </c:numRef>
          </c:val>
        </c:ser>
        <c:ser>
          <c:idx val="1"/>
          <c:order val="1"/>
          <c:tx>
            <c:strRef>
              <c:f>Sheet4!$E$176</c:f>
              <c:strCache>
                <c:ptCount val="1"/>
                <c:pt idx="0">
                  <c:v>Percent</c:v>
                </c:pt>
              </c:strCache>
            </c:strRef>
          </c:tx>
          <c:spPr>
            <a:solidFill>
              <a:schemeClr val="accent2"/>
            </a:solidFill>
            <a:ln>
              <a:noFill/>
            </a:ln>
            <a:effectLst/>
          </c:spPr>
          <c:invertIfNegative val="0"/>
          <c:cat>
            <c:strRef>
              <c:f>Sheet4!$C$177:$C$181</c:f>
              <c:strCache>
                <c:ptCount val="5"/>
                <c:pt idx="0">
                  <c:v>Strongly Disagree</c:v>
                </c:pt>
                <c:pt idx="1">
                  <c:v>Disagree</c:v>
                </c:pt>
                <c:pt idx="2">
                  <c:v>Neutral</c:v>
                </c:pt>
                <c:pt idx="3">
                  <c:v>Agree</c:v>
                </c:pt>
                <c:pt idx="4">
                  <c:v>Strongly agree</c:v>
                </c:pt>
              </c:strCache>
            </c:strRef>
          </c:cat>
          <c:val>
            <c:numRef>
              <c:f>Sheet4!$E$177:$E$181</c:f>
              <c:numCache>
                <c:formatCode>General</c:formatCode>
                <c:ptCount val="5"/>
                <c:pt idx="0">
                  <c:v>7</c:v>
                </c:pt>
                <c:pt idx="1">
                  <c:v>23</c:v>
                </c:pt>
                <c:pt idx="2">
                  <c:v>15</c:v>
                </c:pt>
                <c:pt idx="3">
                  <c:v>45</c:v>
                </c:pt>
                <c:pt idx="4">
                  <c:v>10</c:v>
                </c:pt>
              </c:numCache>
            </c:numRef>
          </c:val>
        </c:ser>
        <c:dLbls>
          <c:showLegendKey val="0"/>
          <c:showVal val="0"/>
          <c:showCatName val="0"/>
          <c:showSerName val="0"/>
          <c:showPercent val="0"/>
          <c:showBubbleSize val="0"/>
        </c:dLbls>
        <c:gapWidth val="150"/>
        <c:axId val="202242304"/>
        <c:axId val="220332032"/>
      </c:barChart>
      <c:catAx>
        <c:axId val="202242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332032"/>
        <c:crosses val="autoZero"/>
        <c:auto val="1"/>
        <c:lblAlgn val="ctr"/>
        <c:lblOffset val="100"/>
        <c:noMultiLvlLbl val="0"/>
      </c:catAx>
      <c:valAx>
        <c:axId val="220332032"/>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24230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Q2</a:t>
            </a:r>
          </a:p>
        </c:rich>
      </c:tx>
      <c:overlay val="0"/>
      <c:spPr>
        <a:noFill/>
        <a:ln>
          <a:noFill/>
        </a:ln>
        <a:effectLst/>
      </c:spPr>
    </c:title>
    <c:autoTitleDeleted val="0"/>
    <c:plotArea>
      <c:layout/>
      <c:barChart>
        <c:barDir val="col"/>
        <c:grouping val="clustered"/>
        <c:varyColors val="0"/>
        <c:ser>
          <c:idx val="0"/>
          <c:order val="0"/>
          <c:tx>
            <c:strRef>
              <c:f>Sheet4!$I$199</c:f>
              <c:strCache>
                <c:ptCount val="1"/>
                <c:pt idx="0">
                  <c:v>Frequency</c:v>
                </c:pt>
              </c:strCache>
            </c:strRef>
          </c:tx>
          <c:spPr>
            <a:solidFill>
              <a:schemeClr val="accent1"/>
            </a:solidFill>
            <a:ln>
              <a:noFill/>
            </a:ln>
            <a:effectLst/>
          </c:spPr>
          <c:invertIfNegative val="0"/>
          <c:cat>
            <c:strRef>
              <c:f>Sheet4!$H$200:$H$206</c:f>
              <c:strCache>
                <c:ptCount val="7"/>
                <c:pt idx="1">
                  <c:v>Strongly Disagree</c:v>
                </c:pt>
                <c:pt idx="2">
                  <c:v>Disagree</c:v>
                </c:pt>
                <c:pt idx="3">
                  <c:v>Neutral</c:v>
                </c:pt>
                <c:pt idx="4">
                  <c:v>Agree</c:v>
                </c:pt>
                <c:pt idx="5">
                  <c:v>Strongly agree</c:v>
                </c:pt>
                <c:pt idx="6">
                  <c:v>Total</c:v>
                </c:pt>
              </c:strCache>
            </c:strRef>
          </c:cat>
          <c:val>
            <c:numRef>
              <c:f>Sheet4!$I$200:$I$206</c:f>
              <c:numCache>
                <c:formatCode>General</c:formatCode>
                <c:ptCount val="7"/>
                <c:pt idx="1">
                  <c:v>9</c:v>
                </c:pt>
                <c:pt idx="2">
                  <c:v>21</c:v>
                </c:pt>
                <c:pt idx="3">
                  <c:v>19</c:v>
                </c:pt>
                <c:pt idx="4">
                  <c:v>41</c:v>
                </c:pt>
                <c:pt idx="5">
                  <c:v>10</c:v>
                </c:pt>
                <c:pt idx="6">
                  <c:v>100</c:v>
                </c:pt>
              </c:numCache>
            </c:numRef>
          </c:val>
        </c:ser>
        <c:ser>
          <c:idx val="1"/>
          <c:order val="1"/>
          <c:tx>
            <c:strRef>
              <c:f>Sheet4!$J$199</c:f>
              <c:strCache>
                <c:ptCount val="1"/>
                <c:pt idx="0">
                  <c:v>Percent</c:v>
                </c:pt>
              </c:strCache>
            </c:strRef>
          </c:tx>
          <c:spPr>
            <a:solidFill>
              <a:schemeClr val="accent2"/>
            </a:solidFill>
            <a:ln>
              <a:noFill/>
            </a:ln>
            <a:effectLst/>
          </c:spPr>
          <c:invertIfNegative val="0"/>
          <c:cat>
            <c:strRef>
              <c:f>Sheet4!$H$200:$H$206</c:f>
              <c:strCache>
                <c:ptCount val="7"/>
                <c:pt idx="1">
                  <c:v>Strongly Disagree</c:v>
                </c:pt>
                <c:pt idx="2">
                  <c:v>Disagree</c:v>
                </c:pt>
                <c:pt idx="3">
                  <c:v>Neutral</c:v>
                </c:pt>
                <c:pt idx="4">
                  <c:v>Agree</c:v>
                </c:pt>
                <c:pt idx="5">
                  <c:v>Strongly agree</c:v>
                </c:pt>
                <c:pt idx="6">
                  <c:v>Total</c:v>
                </c:pt>
              </c:strCache>
            </c:strRef>
          </c:cat>
          <c:val>
            <c:numRef>
              <c:f>Sheet4!$J$200:$J$206</c:f>
              <c:numCache>
                <c:formatCode>General</c:formatCode>
                <c:ptCount val="7"/>
                <c:pt idx="1">
                  <c:v>9</c:v>
                </c:pt>
                <c:pt idx="2">
                  <c:v>21</c:v>
                </c:pt>
                <c:pt idx="3">
                  <c:v>19</c:v>
                </c:pt>
                <c:pt idx="4">
                  <c:v>41</c:v>
                </c:pt>
                <c:pt idx="5">
                  <c:v>10</c:v>
                </c:pt>
                <c:pt idx="6">
                  <c:v>100</c:v>
                </c:pt>
              </c:numCache>
            </c:numRef>
          </c:val>
        </c:ser>
        <c:dLbls>
          <c:showLegendKey val="0"/>
          <c:showVal val="0"/>
          <c:showCatName val="0"/>
          <c:showSerName val="0"/>
          <c:showPercent val="0"/>
          <c:showBubbleSize val="0"/>
        </c:dLbls>
        <c:gapWidth val="150"/>
        <c:axId val="221911296"/>
        <c:axId val="221917184"/>
      </c:barChart>
      <c:catAx>
        <c:axId val="221911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917184"/>
        <c:crosses val="autoZero"/>
        <c:auto val="1"/>
        <c:lblAlgn val="ctr"/>
        <c:lblOffset val="100"/>
        <c:noMultiLvlLbl val="0"/>
      </c:catAx>
      <c:valAx>
        <c:axId val="22191718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9112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Q3</a:t>
            </a:r>
          </a:p>
        </c:rich>
      </c:tx>
      <c:overlay val="0"/>
      <c:spPr>
        <a:noFill/>
        <a:ln>
          <a:noFill/>
        </a:ln>
        <a:effectLst/>
      </c:spPr>
    </c:title>
    <c:autoTitleDeleted val="0"/>
    <c:plotArea>
      <c:layout/>
      <c:barChart>
        <c:barDir val="col"/>
        <c:grouping val="clustered"/>
        <c:varyColors val="0"/>
        <c:ser>
          <c:idx val="0"/>
          <c:order val="0"/>
          <c:tx>
            <c:strRef>
              <c:f>Sheet4!$H$218</c:f>
              <c:strCache>
                <c:ptCount val="1"/>
                <c:pt idx="0">
                  <c:v>Frequency</c:v>
                </c:pt>
              </c:strCache>
            </c:strRef>
          </c:tx>
          <c:spPr>
            <a:solidFill>
              <a:schemeClr val="accent1"/>
            </a:solidFill>
            <a:ln>
              <a:noFill/>
            </a:ln>
            <a:effectLst/>
          </c:spPr>
          <c:invertIfNegative val="0"/>
          <c:cat>
            <c:strRef>
              <c:f>Sheet4!$G$219:$G$224</c:f>
              <c:strCache>
                <c:ptCount val="6"/>
                <c:pt idx="0">
                  <c:v>Strongly Disagree</c:v>
                </c:pt>
                <c:pt idx="1">
                  <c:v>Disagree</c:v>
                </c:pt>
                <c:pt idx="2">
                  <c:v>Neutral</c:v>
                </c:pt>
                <c:pt idx="3">
                  <c:v>Agree</c:v>
                </c:pt>
                <c:pt idx="4">
                  <c:v>Strongly agree</c:v>
                </c:pt>
                <c:pt idx="5">
                  <c:v>Total</c:v>
                </c:pt>
              </c:strCache>
            </c:strRef>
          </c:cat>
          <c:val>
            <c:numRef>
              <c:f>Sheet4!$H$219:$H$224</c:f>
              <c:numCache>
                <c:formatCode>General</c:formatCode>
                <c:ptCount val="6"/>
                <c:pt idx="0">
                  <c:v>7</c:v>
                </c:pt>
                <c:pt idx="1">
                  <c:v>13</c:v>
                </c:pt>
                <c:pt idx="2">
                  <c:v>15</c:v>
                </c:pt>
                <c:pt idx="3">
                  <c:v>35</c:v>
                </c:pt>
                <c:pt idx="4">
                  <c:v>30</c:v>
                </c:pt>
                <c:pt idx="5">
                  <c:v>100</c:v>
                </c:pt>
              </c:numCache>
            </c:numRef>
          </c:val>
        </c:ser>
        <c:ser>
          <c:idx val="1"/>
          <c:order val="1"/>
          <c:tx>
            <c:strRef>
              <c:f>Sheet4!$I$218</c:f>
              <c:strCache>
                <c:ptCount val="1"/>
                <c:pt idx="0">
                  <c:v>Percent</c:v>
                </c:pt>
              </c:strCache>
            </c:strRef>
          </c:tx>
          <c:spPr>
            <a:solidFill>
              <a:schemeClr val="accent2"/>
            </a:solidFill>
            <a:ln>
              <a:noFill/>
            </a:ln>
            <a:effectLst/>
          </c:spPr>
          <c:invertIfNegative val="0"/>
          <c:cat>
            <c:strRef>
              <c:f>Sheet4!$G$219:$G$224</c:f>
              <c:strCache>
                <c:ptCount val="6"/>
                <c:pt idx="0">
                  <c:v>Strongly Disagree</c:v>
                </c:pt>
                <c:pt idx="1">
                  <c:v>Disagree</c:v>
                </c:pt>
                <c:pt idx="2">
                  <c:v>Neutral</c:v>
                </c:pt>
                <c:pt idx="3">
                  <c:v>Agree</c:v>
                </c:pt>
                <c:pt idx="4">
                  <c:v>Strongly agree</c:v>
                </c:pt>
                <c:pt idx="5">
                  <c:v>Total</c:v>
                </c:pt>
              </c:strCache>
            </c:strRef>
          </c:cat>
          <c:val>
            <c:numRef>
              <c:f>Sheet4!$I$219:$I$224</c:f>
              <c:numCache>
                <c:formatCode>General</c:formatCode>
                <c:ptCount val="6"/>
                <c:pt idx="0">
                  <c:v>7</c:v>
                </c:pt>
                <c:pt idx="1">
                  <c:v>13</c:v>
                </c:pt>
                <c:pt idx="2">
                  <c:v>15</c:v>
                </c:pt>
                <c:pt idx="3">
                  <c:v>35</c:v>
                </c:pt>
                <c:pt idx="4">
                  <c:v>30</c:v>
                </c:pt>
                <c:pt idx="5">
                  <c:v>100</c:v>
                </c:pt>
              </c:numCache>
            </c:numRef>
          </c:val>
        </c:ser>
        <c:dLbls>
          <c:showLegendKey val="0"/>
          <c:showVal val="0"/>
          <c:showCatName val="0"/>
          <c:showSerName val="0"/>
          <c:showPercent val="0"/>
          <c:showBubbleSize val="0"/>
        </c:dLbls>
        <c:gapWidth val="150"/>
        <c:axId val="220530944"/>
        <c:axId val="220573696"/>
      </c:barChart>
      <c:catAx>
        <c:axId val="220530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573696"/>
        <c:crosses val="autoZero"/>
        <c:auto val="1"/>
        <c:lblAlgn val="ctr"/>
        <c:lblOffset val="100"/>
        <c:noMultiLvlLbl val="0"/>
      </c:catAx>
      <c:valAx>
        <c:axId val="22057369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5309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Q4</a:t>
            </a:r>
          </a:p>
        </c:rich>
      </c:tx>
      <c:overlay val="0"/>
      <c:spPr>
        <a:noFill/>
        <a:ln>
          <a:noFill/>
        </a:ln>
        <a:effectLst/>
      </c:spPr>
    </c:title>
    <c:autoTitleDeleted val="0"/>
    <c:plotArea>
      <c:layout/>
      <c:barChart>
        <c:barDir val="col"/>
        <c:grouping val="clustered"/>
        <c:varyColors val="0"/>
        <c:ser>
          <c:idx val="0"/>
          <c:order val="0"/>
          <c:tx>
            <c:strRef>
              <c:f>Sheet4!$F$251</c:f>
              <c:strCache>
                <c:ptCount val="1"/>
                <c:pt idx="0">
                  <c:v>Frequency</c:v>
                </c:pt>
              </c:strCache>
            </c:strRef>
          </c:tx>
          <c:spPr>
            <a:solidFill>
              <a:schemeClr val="accent1"/>
            </a:solidFill>
            <a:ln>
              <a:noFill/>
            </a:ln>
            <a:effectLst/>
          </c:spPr>
          <c:invertIfNegative val="0"/>
          <c:cat>
            <c:strRef>
              <c:f>Sheet4!$E$252:$E$257</c:f>
              <c:strCache>
                <c:ptCount val="6"/>
                <c:pt idx="0">
                  <c:v>Strongly Disagree</c:v>
                </c:pt>
                <c:pt idx="1">
                  <c:v>Disagree</c:v>
                </c:pt>
                <c:pt idx="2">
                  <c:v>Neutral</c:v>
                </c:pt>
                <c:pt idx="3">
                  <c:v>Agree</c:v>
                </c:pt>
                <c:pt idx="4">
                  <c:v>Strongly agree</c:v>
                </c:pt>
                <c:pt idx="5">
                  <c:v>Total</c:v>
                </c:pt>
              </c:strCache>
            </c:strRef>
          </c:cat>
          <c:val>
            <c:numRef>
              <c:f>Sheet4!$F$252:$F$257</c:f>
              <c:numCache>
                <c:formatCode>General</c:formatCode>
                <c:ptCount val="6"/>
                <c:pt idx="0">
                  <c:v>7</c:v>
                </c:pt>
                <c:pt idx="1">
                  <c:v>23</c:v>
                </c:pt>
                <c:pt idx="2">
                  <c:v>17</c:v>
                </c:pt>
                <c:pt idx="3">
                  <c:v>20</c:v>
                </c:pt>
                <c:pt idx="4">
                  <c:v>33</c:v>
                </c:pt>
                <c:pt idx="5">
                  <c:v>100</c:v>
                </c:pt>
              </c:numCache>
            </c:numRef>
          </c:val>
        </c:ser>
        <c:ser>
          <c:idx val="1"/>
          <c:order val="1"/>
          <c:tx>
            <c:strRef>
              <c:f>Sheet4!$G$251</c:f>
              <c:strCache>
                <c:ptCount val="1"/>
                <c:pt idx="0">
                  <c:v>Percent</c:v>
                </c:pt>
              </c:strCache>
            </c:strRef>
          </c:tx>
          <c:spPr>
            <a:solidFill>
              <a:schemeClr val="accent2"/>
            </a:solidFill>
            <a:ln>
              <a:noFill/>
            </a:ln>
            <a:effectLst/>
          </c:spPr>
          <c:invertIfNegative val="0"/>
          <c:cat>
            <c:strRef>
              <c:f>Sheet4!$E$252:$E$257</c:f>
              <c:strCache>
                <c:ptCount val="6"/>
                <c:pt idx="0">
                  <c:v>Strongly Disagree</c:v>
                </c:pt>
                <c:pt idx="1">
                  <c:v>Disagree</c:v>
                </c:pt>
                <c:pt idx="2">
                  <c:v>Neutral</c:v>
                </c:pt>
                <c:pt idx="3">
                  <c:v>Agree</c:v>
                </c:pt>
                <c:pt idx="4">
                  <c:v>Strongly agree</c:v>
                </c:pt>
                <c:pt idx="5">
                  <c:v>Total</c:v>
                </c:pt>
              </c:strCache>
            </c:strRef>
          </c:cat>
          <c:val>
            <c:numRef>
              <c:f>Sheet4!$G$252:$G$257</c:f>
              <c:numCache>
                <c:formatCode>General</c:formatCode>
                <c:ptCount val="6"/>
                <c:pt idx="0">
                  <c:v>7</c:v>
                </c:pt>
                <c:pt idx="1">
                  <c:v>23</c:v>
                </c:pt>
                <c:pt idx="2">
                  <c:v>17</c:v>
                </c:pt>
                <c:pt idx="3">
                  <c:v>20</c:v>
                </c:pt>
                <c:pt idx="4">
                  <c:v>33</c:v>
                </c:pt>
                <c:pt idx="5">
                  <c:v>100</c:v>
                </c:pt>
              </c:numCache>
            </c:numRef>
          </c:val>
        </c:ser>
        <c:dLbls>
          <c:showLegendKey val="0"/>
          <c:showVal val="0"/>
          <c:showCatName val="0"/>
          <c:showSerName val="0"/>
          <c:showPercent val="0"/>
          <c:showBubbleSize val="0"/>
        </c:dLbls>
        <c:gapWidth val="150"/>
        <c:axId val="236886272"/>
        <c:axId val="236466176"/>
      </c:barChart>
      <c:catAx>
        <c:axId val="23688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466176"/>
        <c:crosses val="autoZero"/>
        <c:auto val="1"/>
        <c:lblAlgn val="ctr"/>
        <c:lblOffset val="100"/>
        <c:noMultiLvlLbl val="0"/>
      </c:catAx>
      <c:valAx>
        <c:axId val="236466176"/>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68862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BAA51-F06D-439E-B3BB-7C3666926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Daisis</dc:creator>
  <cp:keywords/>
  <dc:description/>
  <cp:lastModifiedBy>lenovo</cp:lastModifiedBy>
  <cp:revision>9</cp:revision>
  <dcterms:created xsi:type="dcterms:W3CDTF">2017-09-20T17:18:00Z</dcterms:created>
  <dcterms:modified xsi:type="dcterms:W3CDTF">2018-02-17T01:47:00Z</dcterms:modified>
</cp:coreProperties>
</file>