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97CD73" w14:textId="667B6FF7" w:rsidR="00057F1E" w:rsidRPr="00057F1E" w:rsidRDefault="00057F1E" w:rsidP="00057F1E">
      <w:bookmarkStart w:id="0" w:name="_Hlk44914695"/>
      <w:r w:rsidRPr="00057F1E">
        <w:rPr>
          <w:noProof/>
        </w:rPr>
        <w:drawing>
          <wp:inline distT="0" distB="0" distL="0" distR="0" wp14:anchorId="0B4267E1" wp14:editId="0F706911">
            <wp:extent cx="1905000" cy="638175"/>
            <wp:effectExtent l="19050" t="19050" r="19050"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3B17CC9" w14:textId="77777777" w:rsidR="00057F1E" w:rsidRPr="00057F1E" w:rsidRDefault="00057F1E" w:rsidP="00057F1E"/>
    <w:p w14:paraId="1B0CF3DA" w14:textId="77777777" w:rsidR="00057F1E" w:rsidRPr="00057F1E" w:rsidRDefault="00057F1E" w:rsidP="00057F1E"/>
    <w:p w14:paraId="5AF3BAF3" w14:textId="77777777" w:rsidR="00057F1E" w:rsidRPr="00057F1E" w:rsidRDefault="00057F1E" w:rsidP="00057F1E">
      <w:pPr>
        <w:rPr>
          <w:b/>
          <w:lang w:val="cy-GB"/>
        </w:rPr>
      </w:pPr>
      <w:r w:rsidRPr="00057F1E">
        <w:rPr>
          <w:b/>
          <w:lang w:val="cy-GB"/>
        </w:rPr>
        <w:t xml:space="preserve">Postgraduate/Distance Learning </w:t>
      </w:r>
    </w:p>
    <w:p w14:paraId="5357E46D" w14:textId="77777777" w:rsidR="00057F1E" w:rsidRPr="00057F1E" w:rsidRDefault="00057F1E" w:rsidP="00057F1E">
      <w:pPr>
        <w:rPr>
          <w:b/>
        </w:rPr>
      </w:pPr>
      <w:r w:rsidRPr="00057F1E">
        <w:rPr>
          <w:b/>
          <w:lang w:val="cy-GB"/>
        </w:rPr>
        <w:t>Assignment coversheet &amp; feedback form</w:t>
      </w:r>
    </w:p>
    <w:p w14:paraId="6DE315DE" w14:textId="77777777" w:rsidR="00057F1E" w:rsidRPr="00057F1E" w:rsidRDefault="00057F1E" w:rsidP="00057F1E">
      <w:pPr>
        <w:rPr>
          <w:lang w:val="cy-GB"/>
        </w:rPr>
      </w:pPr>
    </w:p>
    <w:p w14:paraId="3BCAD18C" w14:textId="77777777" w:rsidR="00057F1E" w:rsidRPr="00057F1E" w:rsidRDefault="00057F1E" w:rsidP="00057F1E">
      <w:pPr>
        <w:rPr>
          <w:b/>
          <w:bCs/>
          <w:lang w:val="cy-GB"/>
        </w:rPr>
      </w:pPr>
      <w:r w:rsidRPr="00057F1E">
        <w:rPr>
          <w:b/>
          <w:bCs/>
          <w:lang w:val="cy-GB"/>
        </w:rPr>
        <w:t>THIS SHEET MUST BE THE FIRST PAGE OF THE ASSIGNMENT YOU ARE SUBMITTING  (DO NOT SEND AS A SEPARATE FILE)</w:t>
      </w:r>
    </w:p>
    <w:p w14:paraId="6ED5B0E9" w14:textId="77777777" w:rsidR="00057F1E" w:rsidRPr="00057F1E" w:rsidRDefault="00057F1E" w:rsidP="00057F1E">
      <w:pPr>
        <w:rPr>
          <w:b/>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57F1E" w:rsidRPr="00057F1E" w14:paraId="319B220F" w14:textId="77777777" w:rsidTr="001C644E">
        <w:trPr>
          <w:trHeight w:val="614"/>
        </w:trPr>
        <w:tc>
          <w:tcPr>
            <w:tcW w:w="8856" w:type="dxa"/>
            <w:gridSpan w:val="5"/>
          </w:tcPr>
          <w:p w14:paraId="16F0DEAC" w14:textId="77777777" w:rsidR="00057F1E" w:rsidRPr="00057F1E" w:rsidRDefault="00057F1E" w:rsidP="00057F1E">
            <w:r w:rsidRPr="00057F1E">
              <w:rPr>
                <w:b/>
              </w:rPr>
              <w:t>For completion by the student</w:t>
            </w:r>
            <w:r w:rsidRPr="00057F1E">
              <w:t>:</w:t>
            </w:r>
          </w:p>
        </w:tc>
      </w:tr>
      <w:tr w:rsidR="00057F1E" w:rsidRPr="00057F1E" w14:paraId="3B47D115" w14:textId="77777777" w:rsidTr="001C644E">
        <w:trPr>
          <w:trHeight w:val="718"/>
        </w:trPr>
        <w:tc>
          <w:tcPr>
            <w:tcW w:w="8856" w:type="dxa"/>
            <w:gridSpan w:val="5"/>
          </w:tcPr>
          <w:p w14:paraId="27766E6B" w14:textId="77777777" w:rsidR="00057F1E" w:rsidRPr="00057F1E" w:rsidRDefault="00057F1E" w:rsidP="00057F1E">
            <w:r w:rsidRPr="00057F1E">
              <w:t>Student Name:</w:t>
            </w:r>
          </w:p>
          <w:p w14:paraId="0576D7F7" w14:textId="77777777" w:rsidR="00057F1E" w:rsidRPr="00057F1E" w:rsidRDefault="00057F1E" w:rsidP="00057F1E">
            <w:r w:rsidRPr="00057F1E">
              <w:t>Abigail Instone</w:t>
            </w:r>
          </w:p>
        </w:tc>
      </w:tr>
      <w:tr w:rsidR="00057F1E" w:rsidRPr="00057F1E" w14:paraId="04E092DA" w14:textId="77777777" w:rsidTr="001C644E">
        <w:trPr>
          <w:trHeight w:val="849"/>
        </w:trPr>
        <w:tc>
          <w:tcPr>
            <w:tcW w:w="4788" w:type="dxa"/>
          </w:tcPr>
          <w:p w14:paraId="4D2CEEDD" w14:textId="77777777" w:rsidR="00057F1E" w:rsidRPr="00057F1E" w:rsidRDefault="00057F1E" w:rsidP="00057F1E">
            <w:r w:rsidRPr="00057F1E">
              <w:t>Module code:</w:t>
            </w:r>
          </w:p>
          <w:p w14:paraId="4FD48520" w14:textId="77777777" w:rsidR="00057F1E" w:rsidRPr="00057F1E" w:rsidRDefault="00057F1E" w:rsidP="00057F1E">
            <w:r w:rsidRPr="00057F1E">
              <w:t>HPCA7005</w:t>
            </w:r>
          </w:p>
          <w:p w14:paraId="27040B98" w14:textId="77777777" w:rsidR="00057F1E" w:rsidRPr="00057F1E" w:rsidRDefault="00057F1E" w:rsidP="00057F1E"/>
          <w:p w14:paraId="613DA06E" w14:textId="77777777" w:rsidR="00057F1E" w:rsidRPr="00057F1E" w:rsidRDefault="00057F1E" w:rsidP="00057F1E">
            <w:r w:rsidRPr="00057F1E">
              <w:t>Module title:</w:t>
            </w:r>
          </w:p>
          <w:p w14:paraId="1440907A" w14:textId="77777777" w:rsidR="00057F1E" w:rsidRPr="00057F1E" w:rsidRDefault="00057F1E" w:rsidP="00057F1E">
            <w:r w:rsidRPr="00057F1E">
              <w:t xml:space="preserve">Cosmology, </w:t>
            </w:r>
            <w:proofErr w:type="gramStart"/>
            <w:r w:rsidRPr="00057F1E">
              <w:t>Magic</w:t>
            </w:r>
            <w:proofErr w:type="gramEnd"/>
            <w:r w:rsidRPr="00057F1E">
              <w:t xml:space="preserve"> and Divination</w:t>
            </w:r>
          </w:p>
          <w:p w14:paraId="0BF35D1C" w14:textId="77777777" w:rsidR="00057F1E" w:rsidRPr="00057F1E" w:rsidRDefault="00057F1E" w:rsidP="00057F1E"/>
        </w:tc>
        <w:tc>
          <w:tcPr>
            <w:tcW w:w="2266" w:type="dxa"/>
            <w:gridSpan w:val="3"/>
          </w:tcPr>
          <w:p w14:paraId="1247A4E9" w14:textId="77777777" w:rsidR="00057F1E" w:rsidRPr="00057F1E" w:rsidRDefault="00057F1E" w:rsidP="00057F1E">
            <w:r w:rsidRPr="00057F1E">
              <w:t>Student ID number:</w:t>
            </w:r>
          </w:p>
          <w:p w14:paraId="618E38CA" w14:textId="77777777" w:rsidR="00057F1E" w:rsidRPr="00057F1E" w:rsidRDefault="00057F1E" w:rsidP="00057F1E"/>
          <w:p w14:paraId="2825756D" w14:textId="77777777" w:rsidR="00057F1E" w:rsidRPr="00057F1E" w:rsidRDefault="00057F1E" w:rsidP="00057F1E">
            <w:r w:rsidRPr="00057F1E">
              <w:t>1904035</w:t>
            </w:r>
          </w:p>
        </w:tc>
        <w:tc>
          <w:tcPr>
            <w:tcW w:w="1802" w:type="dxa"/>
          </w:tcPr>
          <w:p w14:paraId="40169A7C" w14:textId="77777777" w:rsidR="00057F1E" w:rsidRPr="00057F1E" w:rsidRDefault="00057F1E" w:rsidP="00057F1E">
            <w:r w:rsidRPr="00057F1E">
              <w:t>Educational support needs:</w:t>
            </w:r>
          </w:p>
          <w:p w14:paraId="3E315041" w14:textId="77777777" w:rsidR="00057F1E" w:rsidRPr="00057F1E" w:rsidRDefault="00057F1E" w:rsidP="00057F1E">
            <w:r w:rsidRPr="00057F1E">
              <w:t>No</w:t>
            </w:r>
          </w:p>
        </w:tc>
      </w:tr>
      <w:tr w:rsidR="00057F1E" w:rsidRPr="00057F1E" w14:paraId="5B4E4C1F" w14:textId="77777777" w:rsidTr="001C644E">
        <w:trPr>
          <w:trHeight w:val="1139"/>
        </w:trPr>
        <w:tc>
          <w:tcPr>
            <w:tcW w:w="8856" w:type="dxa"/>
            <w:gridSpan w:val="5"/>
          </w:tcPr>
          <w:p w14:paraId="366E6261" w14:textId="77777777" w:rsidR="00057F1E" w:rsidRPr="00057F1E" w:rsidRDefault="00057F1E" w:rsidP="00057F1E">
            <w:r w:rsidRPr="00057F1E">
              <w:t>Module tutor:</w:t>
            </w:r>
          </w:p>
          <w:p w14:paraId="43C0EB05" w14:textId="77777777" w:rsidR="00057F1E" w:rsidRPr="00057F1E" w:rsidRDefault="00057F1E" w:rsidP="00057F1E">
            <w:r w:rsidRPr="00057F1E">
              <w:t xml:space="preserve">Dr Dorian </w:t>
            </w:r>
            <w:proofErr w:type="spellStart"/>
            <w:r w:rsidRPr="00057F1E">
              <w:t>Geenbaum</w:t>
            </w:r>
            <w:proofErr w:type="spellEnd"/>
          </w:p>
          <w:p w14:paraId="5B04F91B" w14:textId="77777777" w:rsidR="00057F1E" w:rsidRPr="00057F1E" w:rsidRDefault="00057F1E" w:rsidP="00057F1E"/>
          <w:p w14:paraId="68D555ED" w14:textId="77777777" w:rsidR="00057F1E" w:rsidRPr="00057F1E" w:rsidRDefault="00057F1E" w:rsidP="00057F1E">
            <w:r w:rsidRPr="00057F1E">
              <w:t>Assignment due date:06/07/20</w:t>
            </w:r>
          </w:p>
        </w:tc>
      </w:tr>
      <w:tr w:rsidR="00057F1E" w:rsidRPr="00057F1E" w14:paraId="0B1C5195" w14:textId="77777777" w:rsidTr="001C644E">
        <w:trPr>
          <w:trHeight w:val="978"/>
        </w:trPr>
        <w:tc>
          <w:tcPr>
            <w:tcW w:w="8856" w:type="dxa"/>
            <w:gridSpan w:val="5"/>
            <w:tcBorders>
              <w:bottom w:val="single" w:sz="4" w:space="0" w:color="000000"/>
            </w:tcBorders>
          </w:tcPr>
          <w:p w14:paraId="65CB3819" w14:textId="77777777" w:rsidR="00057F1E" w:rsidRPr="00057F1E" w:rsidRDefault="00057F1E" w:rsidP="00057F1E">
            <w:r w:rsidRPr="00057F1E">
              <w:t xml:space="preserve">If your module has multiple </w:t>
            </w:r>
            <w:proofErr w:type="gramStart"/>
            <w:r w:rsidRPr="00057F1E">
              <w:t>submissions</w:t>
            </w:r>
            <w:proofErr w:type="gramEnd"/>
            <w:r w:rsidRPr="00057F1E">
              <w:t xml:space="preserve"> please indicate which piece of work this is.</w:t>
            </w:r>
          </w:p>
          <w:p w14:paraId="4033F411" w14:textId="77777777" w:rsidR="00057F1E" w:rsidRPr="00057F1E" w:rsidRDefault="00057F1E" w:rsidP="00057F1E"/>
          <w:p w14:paraId="242719FA" w14:textId="77777777" w:rsidR="00057F1E" w:rsidRPr="00057F1E" w:rsidRDefault="00057F1E" w:rsidP="00057F1E">
            <w:r w:rsidRPr="00057F1E">
              <w:t>1</w:t>
            </w:r>
            <w:r w:rsidRPr="00057F1E">
              <w:rPr>
                <w:vertAlign w:val="superscript"/>
              </w:rPr>
              <w:t xml:space="preserve">st </w:t>
            </w:r>
            <w:r w:rsidRPr="00057F1E">
              <w:fldChar w:fldCharType="begin">
                <w:ffData>
                  <w:name w:val="Check13"/>
                  <w:enabled/>
                  <w:calcOnExit w:val="0"/>
                  <w:checkBox>
                    <w:sizeAuto/>
                    <w:default w:val="0"/>
                  </w:checkBox>
                </w:ffData>
              </w:fldChar>
            </w:r>
            <w:bookmarkStart w:id="1" w:name="Check13"/>
            <w:r w:rsidRPr="00057F1E">
              <w:instrText xml:space="preserve"> FORMCHECKBOX </w:instrText>
            </w:r>
            <w:r w:rsidR="003C68D8">
              <w:fldChar w:fldCharType="separate"/>
            </w:r>
            <w:r w:rsidRPr="00057F1E">
              <w:fldChar w:fldCharType="end"/>
            </w:r>
            <w:bookmarkEnd w:id="1"/>
            <w:r w:rsidRPr="00057F1E">
              <w:t xml:space="preserve">    2</w:t>
            </w:r>
            <w:r w:rsidRPr="00057F1E">
              <w:rPr>
                <w:vertAlign w:val="superscript"/>
              </w:rPr>
              <w:t>nd</w:t>
            </w:r>
            <w:r w:rsidRPr="00057F1E">
              <w:t xml:space="preserve">  </w:t>
            </w:r>
            <w:r w:rsidRPr="00057F1E">
              <w:fldChar w:fldCharType="begin">
                <w:ffData>
                  <w:name w:val="Check14"/>
                  <w:enabled/>
                  <w:calcOnExit w:val="0"/>
                  <w:checkBox>
                    <w:sizeAuto/>
                    <w:default w:val="1"/>
                  </w:checkBox>
                </w:ffData>
              </w:fldChar>
            </w:r>
            <w:bookmarkStart w:id="2" w:name="Check14"/>
            <w:r w:rsidRPr="00057F1E">
              <w:instrText xml:space="preserve"> FORMCHECKBOX </w:instrText>
            </w:r>
            <w:r w:rsidR="003C68D8">
              <w:fldChar w:fldCharType="separate"/>
            </w:r>
            <w:r w:rsidRPr="00057F1E">
              <w:fldChar w:fldCharType="end"/>
            </w:r>
            <w:bookmarkEnd w:id="2"/>
            <w:r w:rsidRPr="00057F1E">
              <w:t xml:space="preserve">     3</w:t>
            </w:r>
            <w:r w:rsidRPr="00057F1E">
              <w:rPr>
                <w:vertAlign w:val="superscript"/>
              </w:rPr>
              <w:t>rd</w:t>
            </w:r>
            <w:r w:rsidRPr="00057F1E">
              <w:t xml:space="preserve">  </w:t>
            </w:r>
            <w:r w:rsidRPr="00057F1E">
              <w:fldChar w:fldCharType="begin">
                <w:ffData>
                  <w:name w:val="Check15"/>
                  <w:enabled/>
                  <w:calcOnExit w:val="0"/>
                  <w:checkBox>
                    <w:sizeAuto/>
                    <w:default w:val="0"/>
                  </w:checkBox>
                </w:ffData>
              </w:fldChar>
            </w:r>
            <w:bookmarkStart w:id="3" w:name="Check15"/>
            <w:r w:rsidRPr="00057F1E">
              <w:instrText xml:space="preserve"> FORMCHECKBOX </w:instrText>
            </w:r>
            <w:r w:rsidR="003C68D8">
              <w:fldChar w:fldCharType="separate"/>
            </w:r>
            <w:r w:rsidRPr="00057F1E">
              <w:fldChar w:fldCharType="end"/>
            </w:r>
            <w:bookmarkEnd w:id="3"/>
            <w:r w:rsidRPr="00057F1E">
              <w:t xml:space="preserve">      4</w:t>
            </w:r>
            <w:r w:rsidRPr="00057F1E">
              <w:rPr>
                <w:vertAlign w:val="superscript"/>
              </w:rPr>
              <w:t>th</w:t>
            </w:r>
            <w:r w:rsidRPr="00057F1E">
              <w:t xml:space="preserve"> </w:t>
            </w:r>
            <w:r w:rsidRPr="00057F1E">
              <w:fldChar w:fldCharType="begin">
                <w:ffData>
                  <w:name w:val="Check16"/>
                  <w:enabled/>
                  <w:calcOnExit w:val="0"/>
                  <w:checkBox>
                    <w:sizeAuto/>
                    <w:default w:val="0"/>
                  </w:checkBox>
                </w:ffData>
              </w:fldChar>
            </w:r>
            <w:bookmarkStart w:id="4" w:name="Check16"/>
            <w:r w:rsidRPr="00057F1E">
              <w:instrText xml:space="preserve"> FORMCHECKBOX </w:instrText>
            </w:r>
            <w:r w:rsidR="003C68D8">
              <w:fldChar w:fldCharType="separate"/>
            </w:r>
            <w:r w:rsidRPr="00057F1E">
              <w:fldChar w:fldCharType="end"/>
            </w:r>
            <w:bookmarkEnd w:id="4"/>
            <w:r w:rsidRPr="00057F1E">
              <w:t xml:space="preserve">      5</w:t>
            </w:r>
            <w:r w:rsidRPr="00057F1E">
              <w:rPr>
                <w:vertAlign w:val="superscript"/>
              </w:rPr>
              <w:t>th</w:t>
            </w:r>
            <w:r w:rsidRPr="00057F1E">
              <w:t xml:space="preserve"> </w:t>
            </w:r>
            <w:r w:rsidRPr="00057F1E">
              <w:fldChar w:fldCharType="begin">
                <w:ffData>
                  <w:name w:val="Check17"/>
                  <w:enabled/>
                  <w:calcOnExit w:val="0"/>
                  <w:checkBox>
                    <w:sizeAuto/>
                    <w:default w:val="0"/>
                  </w:checkBox>
                </w:ffData>
              </w:fldChar>
            </w:r>
            <w:bookmarkStart w:id="5" w:name="Check17"/>
            <w:r w:rsidRPr="00057F1E">
              <w:instrText xml:space="preserve"> FORMCHECKBOX </w:instrText>
            </w:r>
            <w:r w:rsidR="003C68D8">
              <w:fldChar w:fldCharType="separate"/>
            </w:r>
            <w:r w:rsidRPr="00057F1E">
              <w:fldChar w:fldCharType="end"/>
            </w:r>
            <w:bookmarkEnd w:id="5"/>
            <w:r w:rsidRPr="00057F1E">
              <w:t xml:space="preserve">      6</w:t>
            </w:r>
            <w:r w:rsidRPr="00057F1E">
              <w:rPr>
                <w:vertAlign w:val="superscript"/>
              </w:rPr>
              <w:t>th</w:t>
            </w:r>
            <w:r w:rsidRPr="00057F1E">
              <w:t xml:space="preserve"> </w:t>
            </w:r>
            <w:r w:rsidRPr="00057F1E">
              <w:fldChar w:fldCharType="begin">
                <w:ffData>
                  <w:name w:val="Check18"/>
                  <w:enabled/>
                  <w:calcOnExit w:val="0"/>
                  <w:checkBox>
                    <w:sizeAuto/>
                    <w:default w:val="0"/>
                  </w:checkBox>
                </w:ffData>
              </w:fldChar>
            </w:r>
            <w:bookmarkStart w:id="6" w:name="Check18"/>
            <w:r w:rsidRPr="00057F1E">
              <w:instrText xml:space="preserve"> FORMCHECKBOX </w:instrText>
            </w:r>
            <w:r w:rsidR="003C68D8">
              <w:fldChar w:fldCharType="separate"/>
            </w:r>
            <w:r w:rsidRPr="00057F1E">
              <w:fldChar w:fldCharType="end"/>
            </w:r>
            <w:bookmarkEnd w:id="6"/>
          </w:p>
        </w:tc>
      </w:tr>
      <w:tr w:rsidR="00057F1E" w:rsidRPr="00057F1E" w14:paraId="381E239C" w14:textId="77777777" w:rsidTr="001C644E">
        <w:trPr>
          <w:trHeight w:val="978"/>
        </w:trPr>
        <w:tc>
          <w:tcPr>
            <w:tcW w:w="8856" w:type="dxa"/>
            <w:gridSpan w:val="5"/>
            <w:shd w:val="clear" w:color="auto" w:fill="D9D9D9"/>
          </w:tcPr>
          <w:p w14:paraId="587278B9" w14:textId="77777777" w:rsidR="00057F1E" w:rsidRPr="00057F1E" w:rsidRDefault="00057F1E" w:rsidP="00057F1E">
            <w:r w:rsidRPr="00057F1E">
              <w:t>I confirm that this is my original work and that I have adhered to the University policy on plagiarism.</w:t>
            </w:r>
          </w:p>
          <w:p w14:paraId="3A8E48DE" w14:textId="77777777" w:rsidR="00057F1E" w:rsidRPr="00057F1E" w:rsidRDefault="00057F1E" w:rsidP="00057F1E">
            <w:r w:rsidRPr="00057F1E">
              <w:t>Signed ……………Abigail Instone………………………………………………</w:t>
            </w:r>
          </w:p>
          <w:p w14:paraId="7F8E498E" w14:textId="77777777" w:rsidR="00057F1E" w:rsidRPr="00057F1E" w:rsidRDefault="00057F1E" w:rsidP="00057F1E">
            <w:pPr>
              <w:rPr>
                <w:b/>
              </w:rPr>
            </w:pPr>
            <w:r w:rsidRPr="00057F1E">
              <w:rPr>
                <w:b/>
              </w:rPr>
              <w:t>Email submission: if you are submitting this form via email, please tick this box □</w:t>
            </w:r>
          </w:p>
          <w:p w14:paraId="10A8D5C8" w14:textId="77777777" w:rsidR="00057F1E" w:rsidRPr="00057F1E" w:rsidRDefault="00057F1E" w:rsidP="00057F1E">
            <w:r w:rsidRPr="00057F1E">
              <w:rPr>
                <w:b/>
              </w:rPr>
              <w:lastRenderedPageBreak/>
              <w:t>(as a substitute for your signature) to confirm that you agree to the above declaration.</w:t>
            </w:r>
          </w:p>
        </w:tc>
      </w:tr>
      <w:tr w:rsidR="00057F1E" w:rsidRPr="00057F1E" w14:paraId="0305D06C" w14:textId="77777777" w:rsidTr="001C644E">
        <w:trPr>
          <w:trHeight w:val="3972"/>
        </w:trPr>
        <w:tc>
          <w:tcPr>
            <w:tcW w:w="8856" w:type="dxa"/>
            <w:gridSpan w:val="5"/>
          </w:tcPr>
          <w:p w14:paraId="7748FC39" w14:textId="77777777" w:rsidR="00057F1E" w:rsidRPr="00057F1E" w:rsidRDefault="00057F1E" w:rsidP="00057F1E">
            <w:pPr>
              <w:rPr>
                <w:b/>
              </w:rPr>
            </w:pPr>
          </w:p>
          <w:p w14:paraId="46010DC5" w14:textId="77777777" w:rsidR="00057F1E" w:rsidRPr="00057F1E" w:rsidRDefault="00057F1E" w:rsidP="00057F1E">
            <w:r w:rsidRPr="00057F1E">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57F1E" w:rsidRPr="00057F1E" w14:paraId="3BB56F1B" w14:textId="77777777" w:rsidTr="001C644E">
              <w:tc>
                <w:tcPr>
                  <w:tcW w:w="6970" w:type="dxa"/>
                </w:tcPr>
                <w:p w14:paraId="317A0A2C" w14:textId="77777777" w:rsidR="00057F1E" w:rsidRPr="00057F1E" w:rsidRDefault="00057F1E" w:rsidP="00057F1E"/>
                <w:p w14:paraId="31E4F807" w14:textId="77777777" w:rsidR="00057F1E" w:rsidRPr="00057F1E" w:rsidRDefault="00057F1E" w:rsidP="00057F1E">
                  <w:r w:rsidRPr="00057F1E">
                    <w:t>1</w:t>
                  </w:r>
                  <w:r w:rsidRPr="00057F1E">
                    <w:rPr>
                      <w:vertAlign w:val="superscript"/>
                    </w:rPr>
                    <w:t>st</w:t>
                  </w:r>
                  <w:r w:rsidRPr="00057F1E">
                    <w:t xml:space="preserve"> Marker’s Provisional mark</w:t>
                  </w:r>
                </w:p>
              </w:tc>
              <w:tc>
                <w:tcPr>
                  <w:tcW w:w="1660" w:type="dxa"/>
                </w:tcPr>
                <w:p w14:paraId="380BE74E" w14:textId="77777777" w:rsidR="00057F1E" w:rsidRPr="00057F1E" w:rsidRDefault="00057F1E" w:rsidP="00057F1E"/>
              </w:tc>
            </w:tr>
            <w:tr w:rsidR="00057F1E" w:rsidRPr="00057F1E" w14:paraId="3CD9EE8C" w14:textId="77777777" w:rsidTr="001C644E">
              <w:tc>
                <w:tcPr>
                  <w:tcW w:w="6970" w:type="dxa"/>
                </w:tcPr>
                <w:p w14:paraId="3A743B7F" w14:textId="77777777" w:rsidR="00057F1E" w:rsidRPr="00057F1E" w:rsidRDefault="00057F1E" w:rsidP="00057F1E"/>
                <w:p w14:paraId="181B4511" w14:textId="77777777" w:rsidR="00057F1E" w:rsidRPr="00057F1E" w:rsidRDefault="00057F1E" w:rsidP="00057F1E">
                  <w:r w:rsidRPr="00057F1E">
                    <w:t>2</w:t>
                  </w:r>
                  <w:r w:rsidRPr="00057F1E">
                    <w:rPr>
                      <w:vertAlign w:val="superscript"/>
                    </w:rPr>
                    <w:t>nd</w:t>
                  </w:r>
                  <w:r w:rsidRPr="00057F1E">
                    <w:t xml:space="preserve"> Marker’s/Moderator’s provisional mark</w:t>
                  </w:r>
                </w:p>
              </w:tc>
              <w:tc>
                <w:tcPr>
                  <w:tcW w:w="1660" w:type="dxa"/>
                </w:tcPr>
                <w:p w14:paraId="69354D0E" w14:textId="77777777" w:rsidR="00057F1E" w:rsidRPr="00057F1E" w:rsidRDefault="00057F1E" w:rsidP="00057F1E"/>
              </w:tc>
            </w:tr>
            <w:tr w:rsidR="00057F1E" w:rsidRPr="00057F1E" w14:paraId="1047B81B" w14:textId="77777777" w:rsidTr="001C644E">
              <w:tc>
                <w:tcPr>
                  <w:tcW w:w="6970" w:type="dxa"/>
                </w:tcPr>
                <w:p w14:paraId="0FA1503F" w14:textId="77777777" w:rsidR="00057F1E" w:rsidRPr="00057F1E" w:rsidRDefault="00057F1E" w:rsidP="00057F1E">
                  <w:r w:rsidRPr="00057F1E">
                    <w:t xml:space="preserve">Agreed Internal Mark: </w:t>
                  </w:r>
                </w:p>
                <w:p w14:paraId="3A903D21" w14:textId="77777777" w:rsidR="00057F1E" w:rsidRPr="00057F1E" w:rsidRDefault="00057F1E" w:rsidP="00057F1E"/>
              </w:tc>
              <w:tc>
                <w:tcPr>
                  <w:tcW w:w="1660" w:type="dxa"/>
                </w:tcPr>
                <w:p w14:paraId="4A85F653" w14:textId="77777777" w:rsidR="00057F1E" w:rsidRPr="00057F1E" w:rsidRDefault="00057F1E" w:rsidP="00057F1E"/>
              </w:tc>
            </w:tr>
            <w:tr w:rsidR="00057F1E" w:rsidRPr="00057F1E" w14:paraId="1F40877A" w14:textId="77777777" w:rsidTr="001C644E">
              <w:tc>
                <w:tcPr>
                  <w:tcW w:w="6970" w:type="dxa"/>
                </w:tcPr>
                <w:p w14:paraId="2A6E9124" w14:textId="77777777" w:rsidR="00057F1E" w:rsidRPr="00057F1E" w:rsidRDefault="00057F1E" w:rsidP="00057F1E"/>
                <w:p w14:paraId="6EC2E7CB" w14:textId="77777777" w:rsidR="00057F1E" w:rsidRPr="00057F1E" w:rsidRDefault="00057F1E" w:rsidP="00057F1E">
                  <w:r w:rsidRPr="00057F1E">
                    <w:t>External Examiner’s mark (if relevant)</w:t>
                  </w:r>
                </w:p>
              </w:tc>
              <w:tc>
                <w:tcPr>
                  <w:tcW w:w="1660" w:type="dxa"/>
                </w:tcPr>
                <w:p w14:paraId="46434F28" w14:textId="77777777" w:rsidR="00057F1E" w:rsidRPr="00057F1E" w:rsidRDefault="00057F1E" w:rsidP="00057F1E"/>
              </w:tc>
            </w:tr>
            <w:tr w:rsidR="00057F1E" w:rsidRPr="00057F1E" w14:paraId="574328D1" w14:textId="77777777" w:rsidTr="001C644E">
              <w:tc>
                <w:tcPr>
                  <w:tcW w:w="6970" w:type="dxa"/>
                </w:tcPr>
                <w:p w14:paraId="099A13EA" w14:textId="77777777" w:rsidR="00057F1E" w:rsidRPr="00057F1E" w:rsidRDefault="00057F1E" w:rsidP="00057F1E"/>
                <w:p w14:paraId="76FA9B25" w14:textId="77777777" w:rsidR="00057F1E" w:rsidRPr="00057F1E" w:rsidRDefault="00057F1E" w:rsidP="00057F1E">
                  <w:pPr>
                    <w:rPr>
                      <w:b/>
                    </w:rPr>
                  </w:pPr>
                  <w:r w:rsidRPr="00057F1E">
                    <w:rPr>
                      <w:b/>
                    </w:rPr>
                    <w:t>Final Mark</w:t>
                  </w:r>
                </w:p>
                <w:p w14:paraId="071EE1EA" w14:textId="77777777" w:rsidR="00057F1E" w:rsidRPr="00057F1E" w:rsidRDefault="00057F1E" w:rsidP="00057F1E"/>
              </w:tc>
              <w:tc>
                <w:tcPr>
                  <w:tcW w:w="1660" w:type="dxa"/>
                </w:tcPr>
                <w:p w14:paraId="46CD9112" w14:textId="77777777" w:rsidR="00057F1E" w:rsidRPr="00057F1E" w:rsidRDefault="00057F1E" w:rsidP="00057F1E"/>
              </w:tc>
            </w:tr>
          </w:tbl>
          <w:p w14:paraId="4681CC7E" w14:textId="77777777" w:rsidR="00057F1E" w:rsidRPr="00057F1E" w:rsidRDefault="00057F1E" w:rsidP="00057F1E">
            <w:pPr>
              <w:rPr>
                <w:b/>
              </w:rPr>
            </w:pPr>
          </w:p>
          <w:p w14:paraId="7C8ECD32" w14:textId="77777777" w:rsidR="00057F1E" w:rsidRPr="00057F1E" w:rsidRDefault="00057F1E" w:rsidP="00057F1E">
            <w:r w:rsidRPr="00057F1E">
              <w:rPr>
                <w:b/>
              </w:rPr>
              <w:t>NB.</w:t>
            </w:r>
            <w:r w:rsidRPr="00057F1E">
              <w:t xml:space="preserve">  All marks are provisional until confirmed by the Final Examination Board.</w:t>
            </w:r>
          </w:p>
          <w:p w14:paraId="0D62E5B0" w14:textId="77777777" w:rsidR="00057F1E" w:rsidRPr="00057F1E" w:rsidRDefault="00057F1E" w:rsidP="00057F1E">
            <w:pPr>
              <w:rPr>
                <w:b/>
              </w:rPr>
            </w:pPr>
          </w:p>
          <w:p w14:paraId="2612416B" w14:textId="77777777" w:rsidR="00057F1E" w:rsidRPr="00057F1E" w:rsidRDefault="00057F1E" w:rsidP="00057F1E">
            <w:pPr>
              <w:rPr>
                <w:b/>
              </w:rPr>
            </w:pPr>
          </w:p>
          <w:p w14:paraId="25646D5B" w14:textId="77777777" w:rsidR="00057F1E" w:rsidRPr="00057F1E" w:rsidRDefault="00057F1E" w:rsidP="00057F1E">
            <w:pPr>
              <w:rPr>
                <w:b/>
              </w:rPr>
            </w:pPr>
          </w:p>
          <w:p w14:paraId="18C3FA7A" w14:textId="77777777" w:rsidR="00057F1E" w:rsidRPr="00057F1E" w:rsidRDefault="00057F1E" w:rsidP="00057F1E">
            <w:pPr>
              <w:rPr>
                <w:b/>
              </w:rPr>
            </w:pPr>
          </w:p>
          <w:p w14:paraId="316CD990" w14:textId="77777777" w:rsidR="00057F1E" w:rsidRPr="00057F1E" w:rsidRDefault="00057F1E" w:rsidP="00057F1E">
            <w:pPr>
              <w:rPr>
                <w:b/>
              </w:rPr>
            </w:pPr>
            <w:r w:rsidRPr="00057F1E">
              <w:rPr>
                <w:b/>
              </w:rPr>
              <w:t xml:space="preserve">For completion by Marker </w:t>
            </w:r>
            <w:proofErr w:type="gramStart"/>
            <w:r w:rsidRPr="00057F1E">
              <w:rPr>
                <w:b/>
              </w:rPr>
              <w:t>1 :</w:t>
            </w:r>
            <w:proofErr w:type="gramEnd"/>
          </w:p>
          <w:p w14:paraId="37E3287A" w14:textId="77777777" w:rsidR="00057F1E" w:rsidRPr="00057F1E" w:rsidRDefault="00057F1E" w:rsidP="00057F1E">
            <w:r w:rsidRPr="00057F1E">
              <w:t>Comments:</w:t>
            </w:r>
          </w:p>
          <w:p w14:paraId="2094AEE2" w14:textId="77777777" w:rsidR="00057F1E" w:rsidRPr="00057F1E" w:rsidRDefault="00057F1E" w:rsidP="00057F1E"/>
        </w:tc>
      </w:tr>
      <w:tr w:rsidR="00057F1E" w:rsidRPr="00057F1E" w14:paraId="5D5ED06B" w14:textId="77777777" w:rsidTr="001C644E">
        <w:trPr>
          <w:trHeight w:val="492"/>
        </w:trPr>
        <w:tc>
          <w:tcPr>
            <w:tcW w:w="6768" w:type="dxa"/>
            <w:gridSpan w:val="3"/>
          </w:tcPr>
          <w:p w14:paraId="11197B2E" w14:textId="77777777" w:rsidR="00057F1E" w:rsidRPr="00057F1E" w:rsidRDefault="00057F1E" w:rsidP="00057F1E">
            <w:r w:rsidRPr="00057F1E">
              <w:t>Marker’s signature:</w:t>
            </w:r>
          </w:p>
        </w:tc>
        <w:tc>
          <w:tcPr>
            <w:tcW w:w="2088" w:type="dxa"/>
            <w:gridSpan w:val="2"/>
          </w:tcPr>
          <w:p w14:paraId="1997532E" w14:textId="77777777" w:rsidR="00057F1E" w:rsidRPr="00057F1E" w:rsidRDefault="00057F1E" w:rsidP="00057F1E">
            <w:r w:rsidRPr="00057F1E">
              <w:t>Date:</w:t>
            </w:r>
          </w:p>
        </w:tc>
      </w:tr>
      <w:tr w:rsidR="00057F1E" w:rsidRPr="00057F1E" w14:paraId="34AAB135" w14:textId="77777777" w:rsidTr="001C644E">
        <w:tc>
          <w:tcPr>
            <w:tcW w:w="8856" w:type="dxa"/>
            <w:gridSpan w:val="5"/>
          </w:tcPr>
          <w:p w14:paraId="196E885E" w14:textId="77777777" w:rsidR="00057F1E" w:rsidRPr="00057F1E" w:rsidRDefault="00057F1E" w:rsidP="00057F1E">
            <w:pPr>
              <w:rPr>
                <w:bCs/>
                <w:i/>
              </w:rPr>
            </w:pPr>
          </w:p>
          <w:p w14:paraId="40723C6A" w14:textId="77777777" w:rsidR="00057F1E" w:rsidRPr="00057F1E" w:rsidRDefault="00057F1E" w:rsidP="00057F1E">
            <w:pPr>
              <w:rPr>
                <w:b/>
                <w:bCs/>
              </w:rPr>
            </w:pPr>
            <w:r w:rsidRPr="00057F1E">
              <w:rPr>
                <w:b/>
                <w:bCs/>
              </w:rPr>
              <w:t>For completion by Marker 2/Moderator:</w:t>
            </w:r>
          </w:p>
          <w:p w14:paraId="7984862C" w14:textId="77777777" w:rsidR="00057F1E" w:rsidRPr="00057F1E" w:rsidRDefault="00057F1E" w:rsidP="00057F1E">
            <w:pPr>
              <w:rPr>
                <w:b/>
                <w:bCs/>
              </w:rPr>
            </w:pPr>
          </w:p>
          <w:p w14:paraId="6C1C33C1" w14:textId="77777777" w:rsidR="00057F1E" w:rsidRPr="00057F1E" w:rsidRDefault="00057F1E" w:rsidP="00057F1E">
            <w:pPr>
              <w:rPr>
                <w:bCs/>
              </w:rPr>
            </w:pPr>
            <w:r w:rsidRPr="00057F1E">
              <w:rPr>
                <w:bCs/>
              </w:rPr>
              <w:t>Comments:</w:t>
            </w:r>
          </w:p>
          <w:p w14:paraId="10FA5100" w14:textId="77777777" w:rsidR="00057F1E" w:rsidRPr="00057F1E" w:rsidRDefault="00057F1E" w:rsidP="00057F1E">
            <w:pPr>
              <w:rPr>
                <w:bCs/>
              </w:rPr>
            </w:pPr>
          </w:p>
          <w:p w14:paraId="6E023767" w14:textId="77777777" w:rsidR="00057F1E" w:rsidRPr="00057F1E" w:rsidRDefault="00057F1E" w:rsidP="00057F1E">
            <w:pPr>
              <w:rPr>
                <w:bCs/>
              </w:rPr>
            </w:pPr>
          </w:p>
          <w:p w14:paraId="6614526B" w14:textId="77777777" w:rsidR="00057F1E" w:rsidRPr="00057F1E" w:rsidRDefault="00057F1E" w:rsidP="00057F1E">
            <w:pPr>
              <w:rPr>
                <w:bCs/>
              </w:rPr>
            </w:pPr>
          </w:p>
        </w:tc>
      </w:tr>
      <w:tr w:rsidR="00057F1E" w:rsidRPr="00057F1E" w14:paraId="5C559752" w14:textId="77777777" w:rsidTr="001C644E">
        <w:trPr>
          <w:trHeight w:val="720"/>
        </w:trPr>
        <w:tc>
          <w:tcPr>
            <w:tcW w:w="5211" w:type="dxa"/>
            <w:gridSpan w:val="2"/>
          </w:tcPr>
          <w:p w14:paraId="135D0C08" w14:textId="77777777" w:rsidR="00057F1E" w:rsidRPr="00057F1E" w:rsidRDefault="00057F1E" w:rsidP="00057F1E">
            <w:pPr>
              <w:rPr>
                <w:bCs/>
              </w:rPr>
            </w:pPr>
            <w:r w:rsidRPr="00057F1E">
              <w:rPr>
                <w:bCs/>
              </w:rPr>
              <w:lastRenderedPageBreak/>
              <w:t>Marker’s Signature:</w:t>
            </w:r>
          </w:p>
        </w:tc>
        <w:tc>
          <w:tcPr>
            <w:tcW w:w="3645" w:type="dxa"/>
            <w:gridSpan w:val="3"/>
          </w:tcPr>
          <w:p w14:paraId="73A35736" w14:textId="77777777" w:rsidR="00057F1E" w:rsidRPr="00057F1E" w:rsidRDefault="00057F1E" w:rsidP="00057F1E">
            <w:pPr>
              <w:rPr>
                <w:bCs/>
              </w:rPr>
            </w:pPr>
            <w:r w:rsidRPr="00057F1E">
              <w:rPr>
                <w:bCs/>
              </w:rPr>
              <w:t>Date:</w:t>
            </w:r>
          </w:p>
        </w:tc>
      </w:tr>
      <w:tr w:rsidR="00057F1E" w:rsidRPr="00057F1E" w14:paraId="4D489814" w14:textId="77777777" w:rsidTr="001C644E">
        <w:trPr>
          <w:trHeight w:val="720"/>
        </w:trPr>
        <w:tc>
          <w:tcPr>
            <w:tcW w:w="8856" w:type="dxa"/>
            <w:gridSpan w:val="5"/>
          </w:tcPr>
          <w:p w14:paraId="5A9B036C" w14:textId="77777777" w:rsidR="00057F1E" w:rsidRPr="00057F1E" w:rsidRDefault="00057F1E" w:rsidP="00057F1E">
            <w:pPr>
              <w:rPr>
                <w:b/>
              </w:rPr>
            </w:pPr>
            <w:r w:rsidRPr="00057F1E">
              <w:rPr>
                <w:b/>
              </w:rPr>
              <w:t>AGREED INTERNAL MARK (where necessary):</w:t>
            </w:r>
          </w:p>
          <w:p w14:paraId="07DF2FE3" w14:textId="77777777" w:rsidR="00057F1E" w:rsidRPr="00057F1E" w:rsidRDefault="00057F1E" w:rsidP="00057F1E">
            <w:pPr>
              <w:rPr>
                <w:b/>
              </w:rPr>
            </w:pPr>
          </w:p>
          <w:p w14:paraId="183CCF4A" w14:textId="77777777" w:rsidR="00057F1E" w:rsidRPr="00057F1E" w:rsidRDefault="00057F1E" w:rsidP="00057F1E">
            <w:pPr>
              <w:rPr>
                <w:b/>
              </w:rPr>
            </w:pPr>
            <w:r w:rsidRPr="00057F1E">
              <w:rPr>
                <w:b/>
              </w:rPr>
              <w:t>Comment on process of arriving at agreed mark:</w:t>
            </w:r>
          </w:p>
          <w:p w14:paraId="6FE909B8" w14:textId="77777777" w:rsidR="00057F1E" w:rsidRPr="00057F1E" w:rsidRDefault="00057F1E" w:rsidP="00057F1E">
            <w:pPr>
              <w:rPr>
                <w:b/>
              </w:rPr>
            </w:pPr>
          </w:p>
          <w:p w14:paraId="5A26CEC1" w14:textId="77777777" w:rsidR="00057F1E" w:rsidRPr="00057F1E" w:rsidRDefault="00057F1E" w:rsidP="00057F1E">
            <w:pPr>
              <w:rPr>
                <w:b/>
              </w:rPr>
            </w:pPr>
          </w:p>
          <w:p w14:paraId="1DD6A625" w14:textId="77777777" w:rsidR="00057F1E" w:rsidRPr="00057F1E" w:rsidRDefault="00057F1E" w:rsidP="00057F1E">
            <w:pPr>
              <w:rPr>
                <w:b/>
              </w:rPr>
            </w:pPr>
          </w:p>
          <w:p w14:paraId="4EB09FB9" w14:textId="77777777" w:rsidR="00057F1E" w:rsidRPr="00057F1E" w:rsidRDefault="00057F1E" w:rsidP="00057F1E">
            <w:pPr>
              <w:rPr>
                <w:b/>
              </w:rPr>
            </w:pPr>
          </w:p>
          <w:p w14:paraId="68EC6494" w14:textId="77777777" w:rsidR="00057F1E" w:rsidRPr="00057F1E" w:rsidRDefault="00057F1E" w:rsidP="00057F1E">
            <w:pPr>
              <w:rPr>
                <w:b/>
              </w:rPr>
            </w:pPr>
          </w:p>
          <w:p w14:paraId="4FDB82F1" w14:textId="77777777" w:rsidR="00057F1E" w:rsidRPr="00057F1E" w:rsidRDefault="00057F1E" w:rsidP="00057F1E">
            <w:pPr>
              <w:rPr>
                <w:b/>
              </w:rPr>
            </w:pPr>
          </w:p>
          <w:p w14:paraId="333B3716" w14:textId="77777777" w:rsidR="00057F1E" w:rsidRPr="00057F1E" w:rsidRDefault="00057F1E" w:rsidP="00057F1E">
            <w:pPr>
              <w:rPr>
                <w:b/>
              </w:rPr>
            </w:pPr>
          </w:p>
          <w:p w14:paraId="01BD112D" w14:textId="77777777" w:rsidR="00057F1E" w:rsidRPr="00057F1E" w:rsidRDefault="00057F1E" w:rsidP="00057F1E">
            <w:pPr>
              <w:rPr>
                <w:b/>
              </w:rPr>
            </w:pPr>
          </w:p>
        </w:tc>
      </w:tr>
      <w:tr w:rsidR="00057F1E" w:rsidRPr="00057F1E" w14:paraId="1C488088" w14:textId="77777777" w:rsidTr="001C644E">
        <w:trPr>
          <w:trHeight w:val="720"/>
        </w:trPr>
        <w:tc>
          <w:tcPr>
            <w:tcW w:w="8856" w:type="dxa"/>
            <w:gridSpan w:val="5"/>
          </w:tcPr>
          <w:p w14:paraId="74FF21F7" w14:textId="77777777" w:rsidR="00057F1E" w:rsidRPr="00057F1E" w:rsidRDefault="00057F1E" w:rsidP="00057F1E">
            <w:pPr>
              <w:rPr>
                <w:b/>
              </w:rPr>
            </w:pPr>
            <w:r w:rsidRPr="00057F1E">
              <w:rPr>
                <w:b/>
              </w:rPr>
              <w:t>External Examiner’s comments (if relevant)</w:t>
            </w:r>
          </w:p>
          <w:p w14:paraId="7AC6E462" w14:textId="77777777" w:rsidR="00057F1E" w:rsidRPr="00057F1E" w:rsidRDefault="00057F1E" w:rsidP="00057F1E">
            <w:pPr>
              <w:rPr>
                <w:bCs/>
              </w:rPr>
            </w:pPr>
          </w:p>
          <w:p w14:paraId="3B3473EB" w14:textId="77777777" w:rsidR="00057F1E" w:rsidRPr="00057F1E" w:rsidRDefault="00057F1E" w:rsidP="00057F1E">
            <w:pPr>
              <w:rPr>
                <w:bCs/>
              </w:rPr>
            </w:pPr>
          </w:p>
          <w:p w14:paraId="664FE2FF" w14:textId="77777777" w:rsidR="00057F1E" w:rsidRPr="00057F1E" w:rsidRDefault="00057F1E" w:rsidP="00057F1E">
            <w:pPr>
              <w:rPr>
                <w:bCs/>
              </w:rPr>
            </w:pPr>
          </w:p>
          <w:p w14:paraId="21C44EAB" w14:textId="77777777" w:rsidR="00057F1E" w:rsidRPr="00057F1E" w:rsidRDefault="00057F1E" w:rsidP="00057F1E">
            <w:pPr>
              <w:rPr>
                <w:bCs/>
              </w:rPr>
            </w:pPr>
          </w:p>
          <w:p w14:paraId="030ABD88" w14:textId="77777777" w:rsidR="00057F1E" w:rsidRPr="00057F1E" w:rsidRDefault="00057F1E" w:rsidP="00057F1E">
            <w:pPr>
              <w:rPr>
                <w:bCs/>
              </w:rPr>
            </w:pPr>
          </w:p>
          <w:p w14:paraId="4E15C1DA" w14:textId="77777777" w:rsidR="00057F1E" w:rsidRPr="00057F1E" w:rsidRDefault="00057F1E" w:rsidP="00057F1E">
            <w:pPr>
              <w:rPr>
                <w:bCs/>
              </w:rPr>
            </w:pPr>
          </w:p>
          <w:p w14:paraId="33BAB1EC" w14:textId="77777777" w:rsidR="00057F1E" w:rsidRPr="00057F1E" w:rsidRDefault="00057F1E" w:rsidP="00057F1E">
            <w:pPr>
              <w:rPr>
                <w:bCs/>
              </w:rPr>
            </w:pPr>
          </w:p>
        </w:tc>
      </w:tr>
      <w:tr w:rsidR="00057F1E" w:rsidRPr="00057F1E" w14:paraId="023ABF87" w14:textId="77777777" w:rsidTr="001C644E">
        <w:trPr>
          <w:trHeight w:val="720"/>
        </w:trPr>
        <w:tc>
          <w:tcPr>
            <w:tcW w:w="5211" w:type="dxa"/>
            <w:gridSpan w:val="2"/>
          </w:tcPr>
          <w:p w14:paraId="2477940F" w14:textId="77777777" w:rsidR="00057F1E" w:rsidRPr="00057F1E" w:rsidRDefault="00057F1E" w:rsidP="00057F1E">
            <w:r w:rsidRPr="00057F1E">
              <w:t>External Examiner’s Signature:</w:t>
            </w:r>
          </w:p>
        </w:tc>
        <w:tc>
          <w:tcPr>
            <w:tcW w:w="3645" w:type="dxa"/>
            <w:gridSpan w:val="3"/>
          </w:tcPr>
          <w:p w14:paraId="1A77D533" w14:textId="77777777" w:rsidR="00057F1E" w:rsidRPr="00057F1E" w:rsidRDefault="00057F1E" w:rsidP="00057F1E">
            <w:r w:rsidRPr="00057F1E">
              <w:t>Date:</w:t>
            </w:r>
          </w:p>
        </w:tc>
      </w:tr>
      <w:bookmarkEnd w:id="0"/>
    </w:tbl>
    <w:p w14:paraId="2A685F98" w14:textId="097C7BAF" w:rsidR="00315BC9" w:rsidRDefault="00315BC9"/>
    <w:p w14:paraId="07A1AF2A" w14:textId="60C98669" w:rsidR="00057F1E" w:rsidRDefault="00057F1E"/>
    <w:p w14:paraId="2E364284" w14:textId="72A282C3" w:rsidR="00057F1E" w:rsidRDefault="00057F1E"/>
    <w:p w14:paraId="5F7F779C" w14:textId="381C96C8" w:rsidR="00057F1E" w:rsidRDefault="00057F1E"/>
    <w:p w14:paraId="3BD13AD7" w14:textId="64CB2F2F" w:rsidR="00057F1E" w:rsidRDefault="00057F1E"/>
    <w:p w14:paraId="77742B14" w14:textId="77777777" w:rsidR="00057F1E" w:rsidRDefault="00057F1E" w:rsidP="00057F1E"/>
    <w:p w14:paraId="2D42AA28" w14:textId="02AE6563" w:rsidR="00057F1E" w:rsidRPr="00D52C22" w:rsidRDefault="00057F1E" w:rsidP="00057F1E">
      <w:pPr>
        <w:rPr>
          <w:b/>
          <w:bCs/>
          <w:sz w:val="24"/>
          <w:szCs w:val="24"/>
          <w:u w:val="single"/>
        </w:rPr>
      </w:pPr>
      <w:r w:rsidRPr="00D52C22">
        <w:rPr>
          <w:b/>
          <w:bCs/>
          <w:sz w:val="24"/>
          <w:szCs w:val="24"/>
          <w:u w:val="single"/>
        </w:rPr>
        <w:lastRenderedPageBreak/>
        <w:t>A Critical Analysis of the Greek Magical Papyri text, PGMXIII, in terms of its Cosmology and Astrology.</w:t>
      </w:r>
    </w:p>
    <w:p w14:paraId="1167C200" w14:textId="0A91F19B" w:rsidR="00F3117B" w:rsidRPr="00D52C22" w:rsidRDefault="00057F1E" w:rsidP="00961D19">
      <w:pPr>
        <w:rPr>
          <w:sz w:val="24"/>
          <w:szCs w:val="24"/>
          <w:u w:val="single"/>
        </w:rPr>
      </w:pPr>
      <w:r w:rsidRPr="00D52C22">
        <w:rPr>
          <w:sz w:val="24"/>
          <w:szCs w:val="24"/>
          <w:u w:val="single"/>
        </w:rPr>
        <w:t>Introduction</w:t>
      </w:r>
    </w:p>
    <w:p w14:paraId="527E4452" w14:textId="6A3987BD" w:rsidR="00F3117B" w:rsidRPr="00D52C22" w:rsidRDefault="00F3117B" w:rsidP="00961D19">
      <w:pPr>
        <w:rPr>
          <w:sz w:val="24"/>
          <w:szCs w:val="24"/>
        </w:rPr>
      </w:pPr>
      <w:r w:rsidRPr="00D52C22">
        <w:rPr>
          <w:sz w:val="24"/>
          <w:szCs w:val="24"/>
        </w:rPr>
        <w:t>The Greek Magical Papyri refers to a collection of papyri discovered in Greco-Roman Egypt, thought to date back as early as the 3</w:t>
      </w:r>
      <w:r w:rsidRPr="00D52C22">
        <w:rPr>
          <w:sz w:val="24"/>
          <w:szCs w:val="24"/>
          <w:vertAlign w:val="superscript"/>
        </w:rPr>
        <w:t>rd</w:t>
      </w:r>
      <w:r w:rsidRPr="00D52C22">
        <w:rPr>
          <w:sz w:val="24"/>
          <w:szCs w:val="24"/>
        </w:rPr>
        <w:t xml:space="preserve"> Century CE (Riess,</w:t>
      </w:r>
      <w:proofErr w:type="gramStart"/>
      <w:r w:rsidRPr="00D52C22">
        <w:rPr>
          <w:sz w:val="24"/>
          <w:szCs w:val="24"/>
        </w:rPr>
        <w:t>1935,p.</w:t>
      </w:r>
      <w:proofErr w:type="gramEnd"/>
      <w:r w:rsidRPr="00D52C22">
        <w:rPr>
          <w:sz w:val="24"/>
          <w:szCs w:val="24"/>
        </w:rPr>
        <w:t>105). The collection</w:t>
      </w:r>
      <w:r w:rsidRPr="00D52C22">
        <w:rPr>
          <w:sz w:val="24"/>
          <w:szCs w:val="24"/>
        </w:rPr>
        <w:t xml:space="preserve">, </w:t>
      </w:r>
      <w:r w:rsidRPr="00D52C22">
        <w:rPr>
          <w:sz w:val="24"/>
          <w:szCs w:val="24"/>
        </w:rPr>
        <w:t>‘differing wildly in length but little in character’ (Nock,1929,p.219</w:t>
      </w:r>
      <w:r w:rsidRPr="00D52C22">
        <w:rPr>
          <w:sz w:val="24"/>
          <w:szCs w:val="24"/>
        </w:rPr>
        <w:t>,</w:t>
      </w:r>
      <w:r w:rsidRPr="00D52C22">
        <w:rPr>
          <w:sz w:val="24"/>
          <w:szCs w:val="24"/>
        </w:rPr>
        <w:t xml:space="preserve"> contains a variety of hymns, spells, rituals and recipes, offering an insight into the lives of the ancient world, composed of a complex combination of magic and religion.</w:t>
      </w:r>
    </w:p>
    <w:p w14:paraId="39DD3F20" w14:textId="6732CE02" w:rsidR="00961D19" w:rsidRPr="00D52C22" w:rsidRDefault="00961D19" w:rsidP="00961D19">
      <w:pPr>
        <w:rPr>
          <w:sz w:val="24"/>
          <w:szCs w:val="24"/>
        </w:rPr>
      </w:pPr>
      <w:r w:rsidRPr="00D52C22">
        <w:rPr>
          <w:sz w:val="24"/>
          <w:szCs w:val="24"/>
        </w:rPr>
        <w:t>This essay will focus upon one text of the Greek Magical Papyri, PGMXIII, which is generally accepted as being written during the 4</w:t>
      </w:r>
      <w:r w:rsidRPr="00D52C22">
        <w:rPr>
          <w:sz w:val="24"/>
          <w:szCs w:val="24"/>
          <w:vertAlign w:val="superscript"/>
        </w:rPr>
        <w:t>th</w:t>
      </w:r>
      <w:r w:rsidRPr="00D52C22">
        <w:rPr>
          <w:sz w:val="24"/>
          <w:szCs w:val="24"/>
        </w:rPr>
        <w:t xml:space="preserve"> Century CE (Klutz,2011). Daniel refers to PGMXIII as ‘amongst the most important magical texts that have survived from late antiquity’ (Daniel,</w:t>
      </w:r>
      <w:proofErr w:type="gramStart"/>
      <w:r w:rsidRPr="00D52C22">
        <w:rPr>
          <w:sz w:val="24"/>
          <w:szCs w:val="24"/>
        </w:rPr>
        <w:t>1991,pIX</w:t>
      </w:r>
      <w:proofErr w:type="gramEnd"/>
      <w:r w:rsidRPr="00D52C22">
        <w:rPr>
          <w:sz w:val="24"/>
          <w:szCs w:val="24"/>
        </w:rPr>
        <w:t>); many such texts were destroyed during the 13</w:t>
      </w:r>
      <w:r w:rsidRPr="00D52C22">
        <w:rPr>
          <w:sz w:val="24"/>
          <w:szCs w:val="24"/>
          <w:vertAlign w:val="superscript"/>
        </w:rPr>
        <w:t>th</w:t>
      </w:r>
      <w:r w:rsidRPr="00D52C22">
        <w:rPr>
          <w:sz w:val="24"/>
          <w:szCs w:val="24"/>
        </w:rPr>
        <w:t xml:space="preserve"> Century CE. This essay aims to analyse the cosmological and astrological content behind the complex ritual descriptions, exploring the ways in which this cosmology and astrology reinforce the purpose of the text.</w:t>
      </w:r>
    </w:p>
    <w:p w14:paraId="3CDE090A" w14:textId="5296BE12" w:rsidR="00F3117B" w:rsidRPr="00D52C22" w:rsidRDefault="00961D19" w:rsidP="00961D19">
      <w:pPr>
        <w:rPr>
          <w:sz w:val="24"/>
          <w:szCs w:val="24"/>
        </w:rPr>
      </w:pPr>
      <w:r w:rsidRPr="00D52C22">
        <w:rPr>
          <w:sz w:val="24"/>
          <w:szCs w:val="24"/>
        </w:rPr>
        <w:t xml:space="preserve">There are various ways in which cosmology can be defined, and thus what constitutes cosmological content also varies. Modern day interpretations of cosmology, such as that presented by Steven Hawking, centre upon theoretical physics and the laws of science which govern the creation and maintenance of the universe (Loevinger,1989). Aristotle’s work </w:t>
      </w:r>
      <w:r w:rsidRPr="00D52C22">
        <w:rPr>
          <w:i/>
          <w:iCs/>
          <w:sz w:val="24"/>
          <w:szCs w:val="24"/>
        </w:rPr>
        <w:t xml:space="preserve">On the Heavens </w:t>
      </w:r>
      <w:r w:rsidRPr="00D52C22">
        <w:rPr>
          <w:sz w:val="24"/>
          <w:szCs w:val="24"/>
        </w:rPr>
        <w:t>presents a similar focus on the practical nature of the universe, in an ancient context, questioning whether the universe ‘really had a beginning’ (I.10). Although there is evidence of such a practical way of thinking within PGMXIII, due to the word constrains of this essay I will focus upon cosmology in a religious sense, as does Jonas who describes cosmology as ‘invested with the highest religious dignity’ (Jonas in Campion,2012,p.4). As such this essay will analyse the position which PGMXIII gives the Gods within the cosmos.</w:t>
      </w:r>
    </w:p>
    <w:p w14:paraId="77D25DCD" w14:textId="77777777" w:rsidR="00F3117B" w:rsidRPr="00D52C22" w:rsidRDefault="00F3117B" w:rsidP="00F3117B">
      <w:pPr>
        <w:rPr>
          <w:sz w:val="24"/>
          <w:szCs w:val="24"/>
        </w:rPr>
      </w:pPr>
      <w:r w:rsidRPr="00D52C22">
        <w:rPr>
          <w:sz w:val="24"/>
          <w:szCs w:val="24"/>
        </w:rPr>
        <w:t>Astrology is a similarly difficult term to define. Astrological practices vary cross-culturally, however there are certain universal notions within astrology, which can be reduced to the concept that ‘the entire cosmos is alive and interconnected’ (Campion,</w:t>
      </w:r>
      <w:proofErr w:type="gramStart"/>
      <w:r w:rsidRPr="00D52C22">
        <w:rPr>
          <w:sz w:val="24"/>
          <w:szCs w:val="24"/>
        </w:rPr>
        <w:t>2012,p.</w:t>
      </w:r>
      <w:proofErr w:type="gramEnd"/>
      <w:r w:rsidRPr="00D52C22">
        <w:rPr>
          <w:sz w:val="24"/>
          <w:szCs w:val="24"/>
        </w:rPr>
        <w:t xml:space="preserve">12). This concept will be drawn upon with specific reference to the various astrological terms within PGMXIII, analysing the effect their inclusion has on the view of the Gods and the cosmos. This essay will also draw parallels between the content of PGMXIII with Greek and Egyptian sources throughout, </w:t>
      </w:r>
      <w:proofErr w:type="gramStart"/>
      <w:r w:rsidRPr="00D52C22">
        <w:rPr>
          <w:sz w:val="24"/>
          <w:szCs w:val="24"/>
        </w:rPr>
        <w:t>in order to</w:t>
      </w:r>
      <w:proofErr w:type="gramEnd"/>
      <w:r w:rsidRPr="00D52C22">
        <w:rPr>
          <w:sz w:val="24"/>
          <w:szCs w:val="24"/>
        </w:rPr>
        <w:t xml:space="preserve"> highlight the influence of other cultures present at the time of the text’s composition. </w:t>
      </w:r>
    </w:p>
    <w:p w14:paraId="768DA120" w14:textId="77777777" w:rsidR="00961D19" w:rsidRPr="00D52C22" w:rsidRDefault="00961D19" w:rsidP="00961D19">
      <w:pPr>
        <w:rPr>
          <w:sz w:val="24"/>
          <w:szCs w:val="24"/>
          <w:u w:val="single"/>
        </w:rPr>
      </w:pPr>
      <w:r w:rsidRPr="00D52C22">
        <w:rPr>
          <w:sz w:val="24"/>
          <w:szCs w:val="24"/>
          <w:u w:val="single"/>
        </w:rPr>
        <w:t>Structure of PGMXIII</w:t>
      </w:r>
    </w:p>
    <w:p w14:paraId="326B3546" w14:textId="7F9EC9F2" w:rsidR="00961D19" w:rsidRPr="00D52C22" w:rsidRDefault="00961D19" w:rsidP="00961D19">
      <w:pPr>
        <w:rPr>
          <w:sz w:val="24"/>
          <w:szCs w:val="24"/>
        </w:rPr>
      </w:pPr>
      <w:r w:rsidRPr="00D52C22">
        <w:rPr>
          <w:sz w:val="24"/>
          <w:szCs w:val="24"/>
        </w:rPr>
        <w:t xml:space="preserve">Before analysing the cosmological content of PGMXIII it is first essential to discuss the structure of the text. The text has been translated and interpreted by various scholars, from the works of </w:t>
      </w:r>
      <w:proofErr w:type="spellStart"/>
      <w:r w:rsidRPr="00D52C22">
        <w:rPr>
          <w:sz w:val="24"/>
          <w:szCs w:val="24"/>
        </w:rPr>
        <w:t>Leemans</w:t>
      </w:r>
      <w:proofErr w:type="spellEnd"/>
      <w:r w:rsidRPr="00D52C22">
        <w:rPr>
          <w:sz w:val="24"/>
          <w:szCs w:val="24"/>
        </w:rPr>
        <w:t xml:space="preserve"> to the modern work of Daniel. The text’s 1075 lines have been interpreted as constituting different sections of the overall text. Within his work on PGMXIII Morton Smith splits the text into four separate sections, claiming that the first three, A (1-</w:t>
      </w:r>
      <w:r w:rsidRPr="00D52C22">
        <w:rPr>
          <w:sz w:val="24"/>
          <w:szCs w:val="24"/>
        </w:rPr>
        <w:lastRenderedPageBreak/>
        <w:t xml:space="preserve">343), B (343-646) and C (646-734), are all independent texts constituting different versions of one text, ‘The Eighth Book of Moses’ (Smith,1996). The remaining section, D (734-1077) is an independent text which Smith refers to as ‘The Tenth Book of Moses’ (Smith,1996). </w:t>
      </w:r>
    </w:p>
    <w:p w14:paraId="55E78097" w14:textId="74F3F8A4" w:rsidR="00961D19" w:rsidRPr="00D52C22" w:rsidRDefault="00961D19" w:rsidP="00961D19">
      <w:pPr>
        <w:rPr>
          <w:sz w:val="24"/>
          <w:szCs w:val="24"/>
        </w:rPr>
      </w:pPr>
      <w:r w:rsidRPr="00D52C22">
        <w:rPr>
          <w:sz w:val="24"/>
          <w:szCs w:val="24"/>
        </w:rPr>
        <w:t>Smith’s work has had a major influence on subsequent scholarship, which is evident in later translations of the text, such as that proposed by Betz. Betz similarly adheres to Smith’s four section structure, identifying multiple similarities between the first three sections of the text, such as the correlations between lines 3-6 and 343-50.</w:t>
      </w:r>
      <w:r w:rsidRPr="00D52C22">
        <w:rPr>
          <w:rStyle w:val="FootnoteReference"/>
          <w:sz w:val="24"/>
          <w:szCs w:val="24"/>
        </w:rPr>
        <w:footnoteReference w:id="1"/>
      </w:r>
      <w:r w:rsidRPr="00D52C22">
        <w:rPr>
          <w:sz w:val="24"/>
          <w:szCs w:val="24"/>
        </w:rPr>
        <w:t xml:space="preserve"> ‘Their essential parts are often closely parallel’</w:t>
      </w:r>
      <w:r w:rsidR="005B50D0" w:rsidRPr="00D52C22">
        <w:rPr>
          <w:sz w:val="24"/>
          <w:szCs w:val="24"/>
        </w:rPr>
        <w:t xml:space="preserve"> </w:t>
      </w:r>
      <w:r w:rsidRPr="00D52C22">
        <w:rPr>
          <w:sz w:val="24"/>
          <w:szCs w:val="24"/>
        </w:rPr>
        <w:t>(Betz,1986,P181)</w:t>
      </w:r>
      <w:r w:rsidR="005B50D0" w:rsidRPr="00D52C22">
        <w:rPr>
          <w:sz w:val="24"/>
          <w:szCs w:val="24"/>
        </w:rPr>
        <w:t>.</w:t>
      </w:r>
    </w:p>
    <w:p w14:paraId="2D3D099B" w14:textId="3810E053" w:rsidR="00961D19" w:rsidRPr="00D52C22" w:rsidRDefault="00961D19" w:rsidP="00961D19">
      <w:pPr>
        <w:rPr>
          <w:sz w:val="24"/>
          <w:szCs w:val="24"/>
        </w:rPr>
      </w:pPr>
      <w:r w:rsidRPr="00D52C22">
        <w:rPr>
          <w:sz w:val="24"/>
          <w:szCs w:val="24"/>
        </w:rPr>
        <w:t xml:space="preserve">Klutz however identifies problems with Smith’s methodology and </w:t>
      </w:r>
      <w:r w:rsidR="00986E6A" w:rsidRPr="00D52C22">
        <w:rPr>
          <w:sz w:val="24"/>
          <w:szCs w:val="24"/>
        </w:rPr>
        <w:t>sub</w:t>
      </w:r>
      <w:r w:rsidRPr="00D52C22">
        <w:rPr>
          <w:sz w:val="24"/>
          <w:szCs w:val="24"/>
        </w:rPr>
        <w:t>sequently introduces his own reading of the text. PGMXIII is intended to be read as two versions of the same text, A (1-343) and B (343-734), with a further independent text C (734-1077). He identifies multiple reasons for this assertion, arguing that the opening of Smith’s section C is only comprehensible with prior reference to section B. The ‘he’ of line 648, ‘what he says to you’ (XIII.648), is only clear when read as a continuation of the subject of section B’s line 609 ‘Greetings Lord’</w:t>
      </w:r>
      <w:r w:rsidR="005B50D0" w:rsidRPr="00D52C22">
        <w:rPr>
          <w:sz w:val="24"/>
          <w:szCs w:val="24"/>
        </w:rPr>
        <w:t xml:space="preserve"> </w:t>
      </w:r>
      <w:r w:rsidRPr="00D52C22">
        <w:rPr>
          <w:sz w:val="24"/>
          <w:szCs w:val="24"/>
        </w:rPr>
        <w:t>(XIII.609)</w:t>
      </w:r>
      <w:r w:rsidR="005B50D0" w:rsidRPr="00D52C22">
        <w:rPr>
          <w:sz w:val="24"/>
          <w:szCs w:val="24"/>
        </w:rPr>
        <w:t>.</w:t>
      </w:r>
      <w:r w:rsidRPr="00D52C22">
        <w:rPr>
          <w:sz w:val="24"/>
          <w:szCs w:val="24"/>
        </w:rPr>
        <w:t xml:space="preserve"> Thus, Smith’s section C cannot be read independently, it must be read as a continuation of section B</w:t>
      </w:r>
      <w:r w:rsidR="005B50D0" w:rsidRPr="00D52C22">
        <w:rPr>
          <w:sz w:val="24"/>
          <w:szCs w:val="24"/>
        </w:rPr>
        <w:t xml:space="preserve"> </w:t>
      </w:r>
      <w:r w:rsidRPr="00D52C22">
        <w:rPr>
          <w:sz w:val="24"/>
          <w:szCs w:val="24"/>
        </w:rPr>
        <w:t>(Klutz,2011)</w:t>
      </w:r>
      <w:r w:rsidR="005B50D0" w:rsidRPr="00D52C22">
        <w:rPr>
          <w:sz w:val="24"/>
          <w:szCs w:val="24"/>
        </w:rPr>
        <w:t>.</w:t>
      </w:r>
      <w:r w:rsidRPr="00D52C22">
        <w:rPr>
          <w:sz w:val="24"/>
          <w:szCs w:val="24"/>
        </w:rPr>
        <w:t xml:space="preserve"> He further argues that the content of section A is an adaptation of the content of section B</w:t>
      </w:r>
      <w:r w:rsidR="005B50D0" w:rsidRPr="00D52C22">
        <w:rPr>
          <w:sz w:val="24"/>
          <w:szCs w:val="24"/>
        </w:rPr>
        <w:t>,</w:t>
      </w:r>
      <w:r w:rsidRPr="00D52C22">
        <w:rPr>
          <w:sz w:val="24"/>
          <w:szCs w:val="24"/>
        </w:rPr>
        <w:t xml:space="preserve"> in what he terms a more ‘Christianised’ version.</w:t>
      </w:r>
      <w:r w:rsidRPr="00D52C22">
        <w:rPr>
          <w:rStyle w:val="FootnoteReference"/>
          <w:sz w:val="24"/>
          <w:szCs w:val="24"/>
        </w:rPr>
        <w:footnoteReference w:id="2"/>
      </w:r>
    </w:p>
    <w:p w14:paraId="19A6569A" w14:textId="77777777" w:rsidR="00961D19" w:rsidRPr="00D52C22" w:rsidRDefault="00961D19" w:rsidP="00961D19">
      <w:pPr>
        <w:rPr>
          <w:sz w:val="24"/>
          <w:szCs w:val="24"/>
        </w:rPr>
      </w:pPr>
      <w:r w:rsidRPr="00D52C22">
        <w:rPr>
          <w:sz w:val="24"/>
          <w:szCs w:val="24"/>
        </w:rPr>
        <w:t>This essay will adopt Klutz’s proposed structure; hereafter section A will refer to (1-343), B (343-734), C (734-1077). The issue of structure will be referred to throughout this essay and as such a comparison of the variations in the content of all three sections will permeate the discussion. This essay will also provide arguments to support Klutz’s proposition that section A is a later adaptation of B.</w:t>
      </w:r>
    </w:p>
    <w:p w14:paraId="2D515CFF" w14:textId="77777777" w:rsidR="005B50D0" w:rsidRPr="00D52C22" w:rsidRDefault="005B50D0" w:rsidP="005B50D0">
      <w:pPr>
        <w:rPr>
          <w:sz w:val="24"/>
          <w:szCs w:val="24"/>
          <w:u w:val="single"/>
        </w:rPr>
      </w:pPr>
      <w:r w:rsidRPr="00D52C22">
        <w:rPr>
          <w:sz w:val="24"/>
          <w:szCs w:val="24"/>
          <w:u w:val="single"/>
        </w:rPr>
        <w:t>Cosmological Content of PGMXIII</w:t>
      </w:r>
    </w:p>
    <w:p w14:paraId="256976C8" w14:textId="50F19079" w:rsidR="005B50D0" w:rsidRPr="00D52C22" w:rsidRDefault="005B50D0" w:rsidP="005B50D0">
      <w:pPr>
        <w:rPr>
          <w:sz w:val="24"/>
          <w:szCs w:val="24"/>
        </w:rPr>
      </w:pPr>
      <w:r w:rsidRPr="00D52C22">
        <w:rPr>
          <w:sz w:val="24"/>
          <w:szCs w:val="24"/>
        </w:rPr>
        <w:t xml:space="preserve">All three sections of PGMXIII mention what </w:t>
      </w:r>
      <w:proofErr w:type="spellStart"/>
      <w:r w:rsidRPr="00D52C22">
        <w:rPr>
          <w:sz w:val="24"/>
          <w:szCs w:val="24"/>
        </w:rPr>
        <w:t>Riess</w:t>
      </w:r>
      <w:proofErr w:type="spellEnd"/>
      <w:r w:rsidRPr="00D52C22">
        <w:rPr>
          <w:sz w:val="24"/>
          <w:szCs w:val="24"/>
        </w:rPr>
        <w:t xml:space="preserve"> describes as a ‘bewildering crowd of divine beings’ (</w:t>
      </w:r>
      <w:proofErr w:type="gramStart"/>
      <w:r w:rsidRPr="00D52C22">
        <w:rPr>
          <w:sz w:val="24"/>
          <w:szCs w:val="24"/>
        </w:rPr>
        <w:t>Riess,p</w:t>
      </w:r>
      <w:proofErr w:type="gramEnd"/>
      <w:r w:rsidRPr="00D52C22">
        <w:rPr>
          <w:sz w:val="24"/>
          <w:szCs w:val="24"/>
        </w:rPr>
        <w:t>107). We encounter a range of different Gods, including Greek Gods such as Hermes and Helios (XIII,17-21), the Egyptian ‘falcon-faced crocodile’</w:t>
      </w:r>
      <w:r w:rsidRPr="00D52C22">
        <w:rPr>
          <w:rStyle w:val="FootnoteReference"/>
          <w:sz w:val="24"/>
          <w:szCs w:val="24"/>
        </w:rPr>
        <w:footnoteReference w:id="3"/>
      </w:r>
      <w:r w:rsidRPr="00D52C22">
        <w:rPr>
          <w:sz w:val="24"/>
          <w:szCs w:val="24"/>
        </w:rPr>
        <w:t xml:space="preserve">(XIII.41-42), as well as Gods representative of light and earth (XIII.162-193). In section C we are also introduced to Abraham, </w:t>
      </w:r>
      <w:proofErr w:type="gramStart"/>
      <w:r w:rsidRPr="00D52C22">
        <w:rPr>
          <w:sz w:val="24"/>
          <w:szCs w:val="24"/>
        </w:rPr>
        <w:t>Isaac</w:t>
      </w:r>
      <w:proofErr w:type="gramEnd"/>
      <w:r w:rsidRPr="00D52C22">
        <w:rPr>
          <w:sz w:val="24"/>
          <w:szCs w:val="24"/>
        </w:rPr>
        <w:t xml:space="preserve"> and Jacob (XIII.816)</w:t>
      </w:r>
      <w:r w:rsidR="00773761" w:rsidRPr="00D52C22">
        <w:rPr>
          <w:sz w:val="24"/>
          <w:szCs w:val="24"/>
        </w:rPr>
        <w:t>.</w:t>
      </w:r>
      <w:r w:rsidRPr="00D52C22">
        <w:rPr>
          <w:sz w:val="24"/>
          <w:szCs w:val="24"/>
        </w:rPr>
        <w:t xml:space="preserve"> This therefore suggests that the text was influenced by multiple belief systems, the ‘three component elements’ often accepted as being Jewish, Egyptian and Greek</w:t>
      </w:r>
      <w:r w:rsidR="00773761" w:rsidRPr="00D52C22">
        <w:rPr>
          <w:sz w:val="24"/>
          <w:szCs w:val="24"/>
        </w:rPr>
        <w:t xml:space="preserve"> </w:t>
      </w:r>
      <w:r w:rsidRPr="00D52C22">
        <w:rPr>
          <w:sz w:val="24"/>
          <w:szCs w:val="24"/>
        </w:rPr>
        <w:t>(Riess,</w:t>
      </w:r>
      <w:proofErr w:type="gramStart"/>
      <w:r w:rsidRPr="00D52C22">
        <w:rPr>
          <w:sz w:val="24"/>
          <w:szCs w:val="24"/>
        </w:rPr>
        <w:t>1935,p.</w:t>
      </w:r>
      <w:proofErr w:type="gramEnd"/>
      <w:r w:rsidRPr="00D52C22">
        <w:rPr>
          <w:sz w:val="24"/>
          <w:szCs w:val="24"/>
        </w:rPr>
        <w:t>2)</w:t>
      </w:r>
      <w:r w:rsidR="00773761" w:rsidRPr="00D52C22">
        <w:rPr>
          <w:sz w:val="24"/>
          <w:szCs w:val="24"/>
        </w:rPr>
        <w:t>.</w:t>
      </w:r>
      <w:r w:rsidRPr="00D52C22">
        <w:rPr>
          <w:sz w:val="24"/>
          <w:szCs w:val="24"/>
        </w:rPr>
        <w:t xml:space="preserve"> </w:t>
      </w:r>
    </w:p>
    <w:p w14:paraId="59FEAFD2" w14:textId="4BAB2FEF" w:rsidR="005B50D0" w:rsidRPr="00D52C22" w:rsidRDefault="005B50D0" w:rsidP="005B50D0">
      <w:pPr>
        <w:rPr>
          <w:sz w:val="24"/>
          <w:szCs w:val="24"/>
        </w:rPr>
      </w:pPr>
      <w:proofErr w:type="spellStart"/>
      <w:r w:rsidRPr="00D52C22">
        <w:rPr>
          <w:sz w:val="24"/>
          <w:szCs w:val="24"/>
        </w:rPr>
        <w:t>Peerbolte</w:t>
      </w:r>
      <w:proofErr w:type="spellEnd"/>
      <w:r w:rsidRPr="00D52C22">
        <w:rPr>
          <w:sz w:val="24"/>
          <w:szCs w:val="24"/>
        </w:rPr>
        <w:t xml:space="preserve"> argues for the significance of the Jewish influences found within PGMXIII. Such Judaeo-Christian influences are found not only in section C but also feature throughout section A, which references the temple of Jerusalem (XIII.233), cherubim (XIII.254), and Christ himself (XIII.289) (Peerbolte,2007). Klutz proposes two arguments for the presence of such passages; </w:t>
      </w:r>
      <w:proofErr w:type="gramStart"/>
      <w:r w:rsidRPr="00D52C22">
        <w:rPr>
          <w:sz w:val="24"/>
          <w:szCs w:val="24"/>
        </w:rPr>
        <w:t>in order to</w:t>
      </w:r>
      <w:proofErr w:type="gramEnd"/>
      <w:r w:rsidRPr="00D52C22">
        <w:rPr>
          <w:sz w:val="24"/>
          <w:szCs w:val="24"/>
        </w:rPr>
        <w:t xml:space="preserve"> gain prestige from the authority they possess</w:t>
      </w:r>
      <w:r w:rsidR="00773761" w:rsidRPr="00D52C22">
        <w:rPr>
          <w:sz w:val="24"/>
          <w:szCs w:val="24"/>
        </w:rPr>
        <w:t>ed,</w:t>
      </w:r>
      <w:r w:rsidRPr="00D52C22">
        <w:rPr>
          <w:sz w:val="24"/>
          <w:szCs w:val="24"/>
        </w:rPr>
        <w:t xml:space="preserve"> or to make the </w:t>
      </w:r>
      <w:r w:rsidRPr="00D52C22">
        <w:rPr>
          <w:sz w:val="24"/>
          <w:szCs w:val="24"/>
        </w:rPr>
        <w:lastRenderedPageBreak/>
        <w:t>magico-religious content of section B more appealing to a Christian audience (Klutz,2011)</w:t>
      </w:r>
      <w:r w:rsidR="00773761" w:rsidRPr="00D52C22">
        <w:rPr>
          <w:sz w:val="24"/>
          <w:szCs w:val="24"/>
        </w:rPr>
        <w:t>.</w:t>
      </w:r>
      <w:r w:rsidRPr="00D52C22">
        <w:rPr>
          <w:sz w:val="24"/>
          <w:szCs w:val="24"/>
        </w:rPr>
        <w:t xml:space="preserve"> As </w:t>
      </w:r>
      <w:proofErr w:type="spellStart"/>
      <w:r w:rsidRPr="00D52C22">
        <w:rPr>
          <w:sz w:val="24"/>
          <w:szCs w:val="24"/>
        </w:rPr>
        <w:t>Kaatz</w:t>
      </w:r>
      <w:proofErr w:type="spellEnd"/>
      <w:r w:rsidRPr="00D52C22">
        <w:rPr>
          <w:sz w:val="24"/>
          <w:szCs w:val="24"/>
        </w:rPr>
        <w:t xml:space="preserve"> notes, Christianity grew in popularity during the 4</w:t>
      </w:r>
      <w:r w:rsidRPr="00D52C22">
        <w:rPr>
          <w:sz w:val="24"/>
          <w:szCs w:val="24"/>
          <w:vertAlign w:val="superscript"/>
        </w:rPr>
        <w:t>th</w:t>
      </w:r>
      <w:r w:rsidRPr="00D52C22">
        <w:rPr>
          <w:sz w:val="24"/>
          <w:szCs w:val="24"/>
        </w:rPr>
        <w:t xml:space="preserve"> Century, due in part to the council of </w:t>
      </w:r>
      <w:proofErr w:type="spellStart"/>
      <w:r w:rsidRPr="00D52C22">
        <w:rPr>
          <w:sz w:val="24"/>
          <w:szCs w:val="24"/>
        </w:rPr>
        <w:t>Nicea</w:t>
      </w:r>
      <w:proofErr w:type="spellEnd"/>
      <w:r w:rsidRPr="00D52C22">
        <w:rPr>
          <w:sz w:val="24"/>
          <w:szCs w:val="24"/>
        </w:rPr>
        <w:t xml:space="preserve"> and Emperor Constantine’s adoption of the religion</w:t>
      </w:r>
      <w:r w:rsidR="00773761" w:rsidRPr="00D52C22">
        <w:rPr>
          <w:sz w:val="24"/>
          <w:szCs w:val="24"/>
        </w:rPr>
        <w:t xml:space="preserve"> </w:t>
      </w:r>
      <w:r w:rsidRPr="00D52C22">
        <w:rPr>
          <w:sz w:val="24"/>
          <w:szCs w:val="24"/>
        </w:rPr>
        <w:t>(Kaatz,</w:t>
      </w:r>
      <w:proofErr w:type="gramStart"/>
      <w:r w:rsidRPr="00D52C22">
        <w:rPr>
          <w:sz w:val="24"/>
          <w:szCs w:val="24"/>
        </w:rPr>
        <w:t>2016,p.</w:t>
      </w:r>
      <w:proofErr w:type="gramEnd"/>
      <w:r w:rsidRPr="00D52C22">
        <w:rPr>
          <w:sz w:val="24"/>
          <w:szCs w:val="24"/>
        </w:rPr>
        <w:t>7)</w:t>
      </w:r>
      <w:r w:rsidR="00773761" w:rsidRPr="00D52C22">
        <w:rPr>
          <w:sz w:val="24"/>
          <w:szCs w:val="24"/>
        </w:rPr>
        <w:t>.</w:t>
      </w:r>
      <w:r w:rsidRPr="00D52C22">
        <w:rPr>
          <w:sz w:val="24"/>
          <w:szCs w:val="24"/>
        </w:rPr>
        <w:t xml:space="preserve"> It is therefore likely that the content of section B was adapted to the form of section A</w:t>
      </w:r>
      <w:r w:rsidR="00773761" w:rsidRPr="00D52C22">
        <w:rPr>
          <w:sz w:val="24"/>
          <w:szCs w:val="24"/>
        </w:rPr>
        <w:t>,</w:t>
      </w:r>
      <w:r w:rsidRPr="00D52C22">
        <w:rPr>
          <w:sz w:val="24"/>
          <w:szCs w:val="24"/>
        </w:rPr>
        <w:t xml:space="preserve"> </w:t>
      </w:r>
      <w:proofErr w:type="gramStart"/>
      <w:r w:rsidRPr="00D52C22">
        <w:rPr>
          <w:sz w:val="24"/>
          <w:szCs w:val="24"/>
        </w:rPr>
        <w:t>in order to</w:t>
      </w:r>
      <w:proofErr w:type="gramEnd"/>
      <w:r w:rsidRPr="00D52C22">
        <w:rPr>
          <w:sz w:val="24"/>
          <w:szCs w:val="24"/>
        </w:rPr>
        <w:t xml:space="preserve"> appeal to this new Christian audience. </w:t>
      </w:r>
    </w:p>
    <w:p w14:paraId="1AABEAFA" w14:textId="14152AB5" w:rsidR="005B50D0" w:rsidRPr="00D52C22" w:rsidRDefault="005B50D0" w:rsidP="005B50D0">
      <w:pPr>
        <w:rPr>
          <w:sz w:val="24"/>
          <w:szCs w:val="24"/>
        </w:rPr>
      </w:pPr>
      <w:r w:rsidRPr="00D52C22">
        <w:rPr>
          <w:sz w:val="24"/>
          <w:szCs w:val="24"/>
        </w:rPr>
        <w:t xml:space="preserve">It is suggested throughout PGMXIII that the plethora of divine beings introduced are not of equal status. </w:t>
      </w:r>
      <w:proofErr w:type="spellStart"/>
      <w:r w:rsidRPr="00D52C22">
        <w:rPr>
          <w:sz w:val="24"/>
          <w:szCs w:val="24"/>
        </w:rPr>
        <w:t>Riess</w:t>
      </w:r>
      <w:proofErr w:type="spellEnd"/>
      <w:r w:rsidRPr="00D52C22">
        <w:rPr>
          <w:sz w:val="24"/>
          <w:szCs w:val="24"/>
        </w:rPr>
        <w:t xml:space="preserve"> argues that this is evidenced by the preferential way in which the Gods of light are treated (Riess,1935</w:t>
      </w:r>
      <w:r w:rsidR="00773761" w:rsidRPr="00D52C22">
        <w:rPr>
          <w:sz w:val="24"/>
          <w:szCs w:val="24"/>
        </w:rPr>
        <w:t>,p.106</w:t>
      </w:r>
      <w:r w:rsidRPr="00D52C22">
        <w:rPr>
          <w:sz w:val="24"/>
          <w:szCs w:val="24"/>
        </w:rPr>
        <w:t xml:space="preserve">), exemplified by Helios, who ‘signifies flame and radiance’ being ‘appointed and entrusted with all authorities’ (XIII.140-41). </w:t>
      </w:r>
      <w:r w:rsidR="00773761" w:rsidRPr="00D52C22">
        <w:rPr>
          <w:sz w:val="24"/>
          <w:szCs w:val="24"/>
        </w:rPr>
        <w:t xml:space="preserve">There is further evidence of this hierarchy of the Gods, ‘the first God gave him preference of the nine Gods’ (XIII.552). </w:t>
      </w:r>
      <w:r w:rsidRPr="00D52C22">
        <w:rPr>
          <w:sz w:val="24"/>
          <w:szCs w:val="24"/>
        </w:rPr>
        <w:t xml:space="preserve">This is akin to the structure of the Gods within Greek mythology as found within </w:t>
      </w:r>
      <w:bookmarkStart w:id="7" w:name="_Hlk44764264"/>
      <w:r w:rsidRPr="00D52C22">
        <w:rPr>
          <w:sz w:val="24"/>
          <w:szCs w:val="24"/>
        </w:rPr>
        <w:t xml:space="preserve">Apollonius </w:t>
      </w:r>
      <w:bookmarkEnd w:id="7"/>
      <w:proofErr w:type="spellStart"/>
      <w:r w:rsidRPr="00D52C22">
        <w:rPr>
          <w:sz w:val="24"/>
          <w:szCs w:val="24"/>
        </w:rPr>
        <w:t>Rhodius</w:t>
      </w:r>
      <w:proofErr w:type="spellEnd"/>
      <w:r w:rsidRPr="00D52C22">
        <w:rPr>
          <w:sz w:val="24"/>
          <w:szCs w:val="24"/>
        </w:rPr>
        <w:t xml:space="preserve">’ </w:t>
      </w:r>
      <w:r w:rsidRPr="00D52C22">
        <w:rPr>
          <w:i/>
          <w:iCs/>
          <w:sz w:val="24"/>
          <w:szCs w:val="24"/>
        </w:rPr>
        <w:t>Argonautica</w:t>
      </w:r>
      <w:r w:rsidR="00773761" w:rsidRPr="00D52C22">
        <w:rPr>
          <w:i/>
          <w:iCs/>
          <w:sz w:val="24"/>
          <w:szCs w:val="24"/>
        </w:rPr>
        <w:t>,</w:t>
      </w:r>
      <w:r w:rsidRPr="00D52C22">
        <w:rPr>
          <w:i/>
          <w:iCs/>
          <w:sz w:val="24"/>
          <w:szCs w:val="24"/>
        </w:rPr>
        <w:t xml:space="preserve"> </w:t>
      </w:r>
      <w:r w:rsidRPr="00D52C22">
        <w:rPr>
          <w:sz w:val="24"/>
          <w:szCs w:val="24"/>
        </w:rPr>
        <w:t>which references Cronos, who ‘reigned over the Titans’</w:t>
      </w:r>
      <w:r w:rsidR="00773761" w:rsidRPr="00D52C22">
        <w:rPr>
          <w:sz w:val="24"/>
          <w:szCs w:val="24"/>
        </w:rPr>
        <w:t xml:space="preserve"> </w:t>
      </w:r>
      <w:r w:rsidRPr="00D52C22">
        <w:rPr>
          <w:sz w:val="24"/>
          <w:szCs w:val="24"/>
        </w:rPr>
        <w:t>(II.1231-1241)</w:t>
      </w:r>
      <w:r w:rsidR="00773761" w:rsidRPr="00D52C22">
        <w:rPr>
          <w:sz w:val="24"/>
          <w:szCs w:val="24"/>
        </w:rPr>
        <w:t>.</w:t>
      </w:r>
    </w:p>
    <w:p w14:paraId="50622A92" w14:textId="46678130" w:rsidR="005B50D0" w:rsidRPr="00D52C22" w:rsidRDefault="005B50D0" w:rsidP="005B50D0">
      <w:pPr>
        <w:rPr>
          <w:sz w:val="24"/>
          <w:szCs w:val="24"/>
        </w:rPr>
      </w:pPr>
      <w:r w:rsidRPr="00D52C22">
        <w:rPr>
          <w:sz w:val="24"/>
          <w:szCs w:val="24"/>
        </w:rPr>
        <w:t>As well as this multitude of Gods we are also introduced to the notion of a singular ‘supreme God’</w:t>
      </w:r>
      <w:r w:rsidR="00773761" w:rsidRPr="00D52C22">
        <w:rPr>
          <w:sz w:val="24"/>
          <w:szCs w:val="24"/>
        </w:rPr>
        <w:t xml:space="preserve"> </w:t>
      </w:r>
      <w:r w:rsidRPr="00D52C22">
        <w:rPr>
          <w:sz w:val="24"/>
          <w:szCs w:val="24"/>
        </w:rPr>
        <w:t>(XIII.541)</w:t>
      </w:r>
      <w:r w:rsidR="00773761" w:rsidRPr="00D52C22">
        <w:rPr>
          <w:sz w:val="24"/>
          <w:szCs w:val="24"/>
        </w:rPr>
        <w:t>.</w:t>
      </w:r>
      <w:r w:rsidRPr="00D52C22">
        <w:rPr>
          <w:sz w:val="24"/>
          <w:szCs w:val="24"/>
        </w:rPr>
        <w:t xml:space="preserve"> This God is described as ‘King of all the heavens and the earth’ (XIII.785), and ‘greater than all, the creator of all’ (XIII.64). The creator role of this supreme </w:t>
      </w:r>
      <w:r w:rsidR="00773761" w:rsidRPr="00D52C22">
        <w:rPr>
          <w:sz w:val="24"/>
          <w:szCs w:val="24"/>
        </w:rPr>
        <w:t>G</w:t>
      </w:r>
      <w:r w:rsidRPr="00D52C22">
        <w:rPr>
          <w:sz w:val="24"/>
          <w:szCs w:val="24"/>
        </w:rPr>
        <w:t>od is expanded upon in the brief creation account</w:t>
      </w:r>
      <w:r w:rsidR="00773761" w:rsidRPr="00D52C22">
        <w:rPr>
          <w:sz w:val="24"/>
          <w:szCs w:val="24"/>
        </w:rPr>
        <w:t xml:space="preserve"> </w:t>
      </w:r>
      <w:r w:rsidRPr="00D52C22">
        <w:rPr>
          <w:sz w:val="24"/>
          <w:szCs w:val="24"/>
        </w:rPr>
        <w:t>the text</w:t>
      </w:r>
      <w:r w:rsidR="00773761" w:rsidRPr="00D52C22">
        <w:rPr>
          <w:sz w:val="24"/>
          <w:szCs w:val="24"/>
        </w:rPr>
        <w:t xml:space="preserve"> provides us with</w:t>
      </w:r>
      <w:r w:rsidRPr="00D52C22">
        <w:rPr>
          <w:sz w:val="24"/>
          <w:szCs w:val="24"/>
        </w:rPr>
        <w:t>. Here creation and light are interlinked</w:t>
      </w:r>
      <w:r w:rsidR="00773761" w:rsidRPr="00D52C22">
        <w:rPr>
          <w:sz w:val="24"/>
          <w:szCs w:val="24"/>
        </w:rPr>
        <w:t>,</w:t>
      </w:r>
      <w:r w:rsidRPr="00D52C22">
        <w:rPr>
          <w:sz w:val="24"/>
          <w:szCs w:val="24"/>
        </w:rPr>
        <w:t xml:space="preserve"> ‘and who, in divine light create the cosmos’ (XIII.145). This echoes the Egyptian creation story which similarly emphasises the importance of light, in the form of the visible sun, as the first step of the creation of the cosmos out of the formless mass, </w:t>
      </w:r>
      <w:r w:rsidRPr="00D52C22">
        <w:rPr>
          <w:i/>
          <w:iCs/>
          <w:sz w:val="24"/>
          <w:szCs w:val="24"/>
        </w:rPr>
        <w:t>nun</w:t>
      </w:r>
      <w:r w:rsidR="00773761" w:rsidRPr="00D52C22">
        <w:rPr>
          <w:sz w:val="24"/>
          <w:szCs w:val="24"/>
        </w:rPr>
        <w:t xml:space="preserve"> </w:t>
      </w:r>
      <w:r w:rsidRPr="00D52C22">
        <w:rPr>
          <w:sz w:val="24"/>
          <w:szCs w:val="24"/>
        </w:rPr>
        <w:t xml:space="preserve">(el-Sayed, 1997,p70-72). </w:t>
      </w:r>
    </w:p>
    <w:p w14:paraId="61081441" w14:textId="3EA65C4D" w:rsidR="005B50D0" w:rsidRPr="00D52C22" w:rsidRDefault="005B50D0" w:rsidP="005B50D0">
      <w:pPr>
        <w:rPr>
          <w:sz w:val="24"/>
          <w:szCs w:val="24"/>
        </w:rPr>
      </w:pPr>
      <w:r w:rsidRPr="00D52C22">
        <w:rPr>
          <w:sz w:val="24"/>
          <w:szCs w:val="24"/>
        </w:rPr>
        <w:t>The concept of creation serves to illustrate the great power that the supreme God possesses. In addition to the power of creating the cosmos, the supreme God is also described as creating other Gods; ‘when he laughed seven Gods were born’ (XIII.476). That is not to say that the other Gods lack power, on the contrary we see these Gods as ‘compassing all things’ (XIII.519)</w:t>
      </w:r>
      <w:r w:rsidR="007274C4" w:rsidRPr="00D52C22">
        <w:rPr>
          <w:sz w:val="24"/>
          <w:szCs w:val="24"/>
        </w:rPr>
        <w:t>,</w:t>
      </w:r>
      <w:r w:rsidRPr="00D52C22">
        <w:rPr>
          <w:sz w:val="24"/>
          <w:szCs w:val="24"/>
        </w:rPr>
        <w:t xml:space="preserve"> with ‘possession of power and glory’ (XIII.554). Thus, the audience of the text are fully aware of the powers the Gods possess and their elevated status</w:t>
      </w:r>
      <w:r w:rsidR="00986E6A" w:rsidRPr="00D52C22">
        <w:rPr>
          <w:sz w:val="24"/>
          <w:szCs w:val="24"/>
        </w:rPr>
        <w:t>,</w:t>
      </w:r>
      <w:r w:rsidR="007274C4" w:rsidRPr="00D52C22">
        <w:rPr>
          <w:sz w:val="24"/>
          <w:szCs w:val="24"/>
        </w:rPr>
        <w:t xml:space="preserve"> </w:t>
      </w:r>
      <w:r w:rsidRPr="00D52C22">
        <w:rPr>
          <w:sz w:val="24"/>
          <w:szCs w:val="24"/>
        </w:rPr>
        <w:t xml:space="preserve">‘you who surround all things’ (XIII.444). This echoes the content of Aristotle’s </w:t>
      </w:r>
      <w:r w:rsidRPr="00D52C22">
        <w:rPr>
          <w:i/>
          <w:iCs/>
          <w:sz w:val="24"/>
          <w:szCs w:val="24"/>
        </w:rPr>
        <w:t xml:space="preserve">On the Heavens </w:t>
      </w:r>
      <w:r w:rsidRPr="00D52C22">
        <w:rPr>
          <w:sz w:val="24"/>
          <w:szCs w:val="24"/>
        </w:rPr>
        <w:t xml:space="preserve">which </w:t>
      </w:r>
      <w:proofErr w:type="spellStart"/>
      <w:r w:rsidRPr="00D52C22">
        <w:rPr>
          <w:sz w:val="24"/>
          <w:szCs w:val="24"/>
        </w:rPr>
        <w:t>Kak</w:t>
      </w:r>
      <w:proofErr w:type="spellEnd"/>
      <w:r w:rsidRPr="00D52C22">
        <w:rPr>
          <w:sz w:val="24"/>
          <w:szCs w:val="24"/>
        </w:rPr>
        <w:t xml:space="preserve"> describes as presenting the ‘mainstream view of Greek cosmology’ (Kak,2018). Aristotle notes the perfect and unchangeable nature of celestial beings made of matter ‘prior to them all and more divine than they’ (I.2)</w:t>
      </w:r>
      <w:r w:rsidR="007274C4" w:rsidRPr="00D52C22">
        <w:rPr>
          <w:sz w:val="24"/>
          <w:szCs w:val="24"/>
        </w:rPr>
        <w:t>.</w:t>
      </w:r>
    </w:p>
    <w:p w14:paraId="0DFDED10" w14:textId="6A1FE6F9" w:rsidR="005B50D0" w:rsidRPr="00D52C22" w:rsidRDefault="005B50D0" w:rsidP="005B50D0">
      <w:pPr>
        <w:rPr>
          <w:sz w:val="24"/>
          <w:szCs w:val="24"/>
        </w:rPr>
      </w:pPr>
      <w:r w:rsidRPr="00D52C22">
        <w:rPr>
          <w:sz w:val="24"/>
          <w:szCs w:val="24"/>
        </w:rPr>
        <w:t>PGMXIII goes on to describe how the power of the Gods can be harnessed by initiates. This is achieved through the utterance of the name of the God</w:t>
      </w:r>
      <w:r w:rsidR="00986E6A" w:rsidRPr="00D52C22">
        <w:rPr>
          <w:sz w:val="24"/>
          <w:szCs w:val="24"/>
        </w:rPr>
        <w:t>.</w:t>
      </w:r>
      <w:r w:rsidRPr="00D52C22">
        <w:rPr>
          <w:sz w:val="24"/>
          <w:szCs w:val="24"/>
        </w:rPr>
        <w:t xml:space="preserve"> All sections imply a level of secrecy; section A refers to the God revealing his own name</w:t>
      </w:r>
      <w:r w:rsidR="007274C4" w:rsidRPr="00D52C22">
        <w:rPr>
          <w:sz w:val="24"/>
          <w:szCs w:val="24"/>
        </w:rPr>
        <w:t xml:space="preserve"> (XIII.210-11)</w:t>
      </w:r>
      <w:r w:rsidRPr="00D52C22">
        <w:rPr>
          <w:sz w:val="24"/>
          <w:szCs w:val="24"/>
        </w:rPr>
        <w:t>, section B speaks of the ‘true name’</w:t>
      </w:r>
      <w:r w:rsidR="007274C4" w:rsidRPr="00D52C22">
        <w:rPr>
          <w:sz w:val="24"/>
          <w:szCs w:val="24"/>
        </w:rPr>
        <w:t xml:space="preserve"> (XIII.621)</w:t>
      </w:r>
      <w:r w:rsidRPr="00D52C22">
        <w:rPr>
          <w:sz w:val="24"/>
          <w:szCs w:val="24"/>
        </w:rPr>
        <w:t>, whilst section C requires the name to be learnt and concealed</w:t>
      </w:r>
      <w:r w:rsidR="007274C4" w:rsidRPr="00D52C22">
        <w:rPr>
          <w:sz w:val="24"/>
          <w:szCs w:val="24"/>
        </w:rPr>
        <w:t xml:space="preserve"> (XIII.755-56)</w:t>
      </w:r>
      <w:r w:rsidRPr="00D52C22">
        <w:rPr>
          <w:sz w:val="24"/>
          <w:szCs w:val="24"/>
        </w:rPr>
        <w:t>. Secrecy was a similarly common theme within Egyptian mythology, as exemplified in the myths surrounding the Goddess Isis. Pinch notes Isis’ various attempts to learn the ‘true name’ of Ra in order to harness his power</w:t>
      </w:r>
      <w:r w:rsidR="007274C4" w:rsidRPr="00D52C22">
        <w:rPr>
          <w:sz w:val="24"/>
          <w:szCs w:val="24"/>
        </w:rPr>
        <w:t xml:space="preserve"> </w:t>
      </w:r>
      <w:r w:rsidRPr="00D52C22">
        <w:rPr>
          <w:sz w:val="24"/>
          <w:szCs w:val="24"/>
        </w:rPr>
        <w:t>(Pinch,</w:t>
      </w:r>
      <w:proofErr w:type="gramStart"/>
      <w:r w:rsidRPr="00D52C22">
        <w:rPr>
          <w:sz w:val="24"/>
          <w:szCs w:val="24"/>
        </w:rPr>
        <w:t>2002,p</w:t>
      </w:r>
      <w:proofErr w:type="gramEnd"/>
      <w:r w:rsidRPr="00D52C22">
        <w:rPr>
          <w:sz w:val="24"/>
          <w:szCs w:val="24"/>
        </w:rPr>
        <w:t>70-71)</w:t>
      </w:r>
      <w:r w:rsidR="007274C4" w:rsidRPr="00D52C22">
        <w:rPr>
          <w:sz w:val="24"/>
          <w:szCs w:val="24"/>
        </w:rPr>
        <w:t>.</w:t>
      </w:r>
    </w:p>
    <w:p w14:paraId="617C446B" w14:textId="2A2E5645" w:rsidR="005B50D0" w:rsidRPr="00D52C22" w:rsidRDefault="005B50D0" w:rsidP="005B50D0">
      <w:pPr>
        <w:rPr>
          <w:sz w:val="24"/>
          <w:szCs w:val="24"/>
        </w:rPr>
      </w:pPr>
      <w:r w:rsidRPr="00D52C22">
        <w:rPr>
          <w:sz w:val="24"/>
          <w:szCs w:val="24"/>
        </w:rPr>
        <w:t>The text notes how knowledge of the name of the God can provide protection for the initiate; ‘no spirit will stand against me…because of your name’</w:t>
      </w:r>
      <w:r w:rsidR="007274C4" w:rsidRPr="00D52C22">
        <w:rPr>
          <w:sz w:val="24"/>
          <w:szCs w:val="24"/>
        </w:rPr>
        <w:t xml:space="preserve"> </w:t>
      </w:r>
      <w:r w:rsidRPr="00D52C22">
        <w:rPr>
          <w:sz w:val="24"/>
          <w:szCs w:val="24"/>
        </w:rPr>
        <w:t xml:space="preserve">(XIII.797). It also provides power, as illustrated by numerous spells, such as those for invisibility, killing a snake and </w:t>
      </w:r>
      <w:r w:rsidRPr="00D52C22">
        <w:rPr>
          <w:sz w:val="24"/>
          <w:szCs w:val="24"/>
        </w:rPr>
        <w:lastRenderedPageBreak/>
        <w:t>resurrecting a dead body, all of which conclude with the instruction ‘say the name’</w:t>
      </w:r>
      <w:r w:rsidR="007274C4" w:rsidRPr="00D52C22">
        <w:rPr>
          <w:sz w:val="24"/>
          <w:szCs w:val="24"/>
        </w:rPr>
        <w:t xml:space="preserve"> </w:t>
      </w:r>
      <w:r w:rsidRPr="00D52C22">
        <w:rPr>
          <w:sz w:val="24"/>
          <w:szCs w:val="24"/>
        </w:rPr>
        <w:t>(XIII.235-270)</w:t>
      </w:r>
      <w:r w:rsidR="007274C4" w:rsidRPr="00D52C22">
        <w:rPr>
          <w:sz w:val="24"/>
          <w:szCs w:val="24"/>
        </w:rPr>
        <w:t>.</w:t>
      </w:r>
      <w:r w:rsidRPr="00D52C22">
        <w:rPr>
          <w:sz w:val="24"/>
          <w:szCs w:val="24"/>
        </w:rPr>
        <w:t xml:space="preserve"> The names of the Gods possess power in themselves; ‘…having taken away, along with their power, also initials of their names’</w:t>
      </w:r>
      <w:r w:rsidR="007274C4" w:rsidRPr="00D52C22">
        <w:rPr>
          <w:sz w:val="24"/>
          <w:szCs w:val="24"/>
        </w:rPr>
        <w:t xml:space="preserve"> </w:t>
      </w:r>
      <w:r w:rsidRPr="00D52C22">
        <w:rPr>
          <w:sz w:val="24"/>
          <w:szCs w:val="24"/>
        </w:rPr>
        <w:t>(XIII.555-556)</w:t>
      </w:r>
      <w:r w:rsidR="007274C4" w:rsidRPr="00D52C22">
        <w:rPr>
          <w:sz w:val="24"/>
          <w:szCs w:val="24"/>
        </w:rPr>
        <w:t>.</w:t>
      </w:r>
      <w:r w:rsidRPr="00D52C22">
        <w:rPr>
          <w:sz w:val="24"/>
          <w:szCs w:val="24"/>
        </w:rPr>
        <w:t xml:space="preserve"> Thus, through knowledge of the secret name of the God, initiates too can harness this power. </w:t>
      </w:r>
    </w:p>
    <w:p w14:paraId="7759B341" w14:textId="59D82139" w:rsidR="005B50D0" w:rsidRPr="00D52C22" w:rsidRDefault="005B50D0" w:rsidP="005B50D0">
      <w:pPr>
        <w:rPr>
          <w:sz w:val="24"/>
          <w:szCs w:val="24"/>
        </w:rPr>
      </w:pPr>
      <w:r w:rsidRPr="00D52C22">
        <w:rPr>
          <w:sz w:val="24"/>
          <w:szCs w:val="24"/>
        </w:rPr>
        <w:t>It is implied that not only the names of the Gods are secret, but the contents of the entire text are intended to remain concealed</w:t>
      </w:r>
      <w:r w:rsidR="007274C4" w:rsidRPr="00D52C22">
        <w:rPr>
          <w:sz w:val="24"/>
          <w:szCs w:val="24"/>
        </w:rPr>
        <w:t>; ‘when you have learned the power of the book, you are to keep it secret’ (XIII.741).</w:t>
      </w:r>
      <w:r w:rsidRPr="00D52C22">
        <w:rPr>
          <w:sz w:val="24"/>
          <w:szCs w:val="24"/>
        </w:rPr>
        <w:t xml:space="preserve"> </w:t>
      </w:r>
      <w:proofErr w:type="spellStart"/>
      <w:r w:rsidRPr="00D52C22">
        <w:rPr>
          <w:sz w:val="24"/>
          <w:szCs w:val="24"/>
        </w:rPr>
        <w:t>Ritner</w:t>
      </w:r>
      <w:proofErr w:type="spellEnd"/>
      <w:r w:rsidRPr="00D52C22">
        <w:rPr>
          <w:sz w:val="24"/>
          <w:szCs w:val="24"/>
        </w:rPr>
        <w:t xml:space="preserve"> notes that secrecy, as a measure of ‘safeguarding this power of magic’, is also common place within Ancient Egyptian source material</w:t>
      </w:r>
      <w:r w:rsidR="007274C4" w:rsidRPr="00D52C22">
        <w:rPr>
          <w:sz w:val="24"/>
          <w:szCs w:val="24"/>
        </w:rPr>
        <w:t xml:space="preserve"> </w:t>
      </w:r>
      <w:r w:rsidRPr="00D52C22">
        <w:rPr>
          <w:sz w:val="24"/>
          <w:szCs w:val="24"/>
        </w:rPr>
        <w:t>(Ritner,</w:t>
      </w:r>
      <w:proofErr w:type="gramStart"/>
      <w:r w:rsidRPr="00D52C22">
        <w:rPr>
          <w:sz w:val="24"/>
          <w:szCs w:val="24"/>
        </w:rPr>
        <w:t>1993,p.</w:t>
      </w:r>
      <w:proofErr w:type="gramEnd"/>
      <w:r w:rsidRPr="00D52C22">
        <w:rPr>
          <w:sz w:val="24"/>
          <w:szCs w:val="24"/>
        </w:rPr>
        <w:t>203)</w:t>
      </w:r>
      <w:r w:rsidR="007274C4" w:rsidRPr="00D52C22">
        <w:rPr>
          <w:sz w:val="24"/>
          <w:szCs w:val="24"/>
        </w:rPr>
        <w:t>.</w:t>
      </w:r>
      <w:r w:rsidRPr="00D52C22">
        <w:rPr>
          <w:sz w:val="24"/>
          <w:szCs w:val="24"/>
        </w:rPr>
        <w:t xml:space="preserve"> The power of this magic is only to be attained through the ritual knowledge found within the text. PGMXIII therefore acts as access to the power of the Gods; only through correct adherence to the text can the power of the Gods be attained. </w:t>
      </w:r>
    </w:p>
    <w:p w14:paraId="473EC484" w14:textId="49CBA670" w:rsidR="005B50D0" w:rsidRPr="00D52C22" w:rsidRDefault="005B50D0" w:rsidP="005B50D0">
      <w:pPr>
        <w:rPr>
          <w:sz w:val="24"/>
          <w:szCs w:val="24"/>
        </w:rPr>
      </w:pPr>
      <w:r w:rsidRPr="00D52C22">
        <w:rPr>
          <w:sz w:val="24"/>
          <w:szCs w:val="24"/>
        </w:rPr>
        <w:t>The purpose of PGMXIII is centred upon gaining an interaction with the God. This is achieved by following the detailed ritual present within the text. If the ritual is not followed correctly then the Gods will ‘refuse to receive you as uninitiated’ (XIII.55-6). This implies that the Gods are always present, however only act when correctly called upon. This echoes the distinction between the visible and the invisible</w:t>
      </w:r>
      <w:r w:rsidR="00646FDE" w:rsidRPr="00D52C22">
        <w:rPr>
          <w:sz w:val="24"/>
          <w:szCs w:val="24"/>
        </w:rPr>
        <w:t>,</w:t>
      </w:r>
      <w:r w:rsidRPr="00D52C22">
        <w:rPr>
          <w:sz w:val="24"/>
          <w:szCs w:val="24"/>
        </w:rPr>
        <w:t xml:space="preserve"> which el-Sayed refers to as the ‘fundamental principle’ upon which ancient Egyptian cosmology was based. The sun God Ra pre-existed creation, invisibly, and only during creation becomes visible</w:t>
      </w:r>
      <w:r w:rsidR="00646FDE" w:rsidRPr="00D52C22">
        <w:rPr>
          <w:sz w:val="24"/>
          <w:szCs w:val="24"/>
        </w:rPr>
        <w:t xml:space="preserve"> </w:t>
      </w:r>
      <w:r w:rsidRPr="00D52C22">
        <w:rPr>
          <w:sz w:val="24"/>
          <w:szCs w:val="24"/>
        </w:rPr>
        <w:t>(el-Sayed,</w:t>
      </w:r>
      <w:proofErr w:type="gramStart"/>
      <w:r w:rsidRPr="00D52C22">
        <w:rPr>
          <w:sz w:val="24"/>
          <w:szCs w:val="24"/>
        </w:rPr>
        <w:t>1997,p</w:t>
      </w:r>
      <w:proofErr w:type="gramEnd"/>
      <w:r w:rsidRPr="00D52C22">
        <w:rPr>
          <w:sz w:val="24"/>
          <w:szCs w:val="24"/>
        </w:rPr>
        <w:t>70)</w:t>
      </w:r>
      <w:r w:rsidR="00646FDE" w:rsidRPr="00D52C22">
        <w:rPr>
          <w:sz w:val="24"/>
          <w:szCs w:val="24"/>
        </w:rPr>
        <w:t>.</w:t>
      </w:r>
      <w:r w:rsidRPr="00D52C22">
        <w:rPr>
          <w:sz w:val="24"/>
          <w:szCs w:val="24"/>
        </w:rPr>
        <w:t xml:space="preserve"> The Gods and the divine encompass everything, but, according to PGMXIII, only become visible when ritual has been correctly adhered to.</w:t>
      </w:r>
    </w:p>
    <w:p w14:paraId="4E05D830" w14:textId="0CB52EF7" w:rsidR="005B50D0" w:rsidRPr="00D52C22" w:rsidRDefault="005B50D0" w:rsidP="005B50D0">
      <w:pPr>
        <w:rPr>
          <w:sz w:val="24"/>
          <w:szCs w:val="24"/>
        </w:rPr>
      </w:pPr>
      <w:r w:rsidRPr="00D52C22">
        <w:rPr>
          <w:sz w:val="24"/>
          <w:szCs w:val="24"/>
        </w:rPr>
        <w:t>PGMXIII notes that the Gods reside in the heavens</w:t>
      </w:r>
      <w:r w:rsidR="00646FDE" w:rsidRPr="00D52C22">
        <w:rPr>
          <w:sz w:val="24"/>
          <w:szCs w:val="24"/>
        </w:rPr>
        <w:t>, ‘who is at leisure in heaven’</w:t>
      </w:r>
      <w:r w:rsidRPr="00D52C22">
        <w:rPr>
          <w:sz w:val="24"/>
          <w:szCs w:val="24"/>
        </w:rPr>
        <w:t xml:space="preserve"> (XIII.2</w:t>
      </w:r>
      <w:r w:rsidR="00646FDE" w:rsidRPr="00D52C22">
        <w:rPr>
          <w:sz w:val="24"/>
          <w:szCs w:val="24"/>
        </w:rPr>
        <w:t>84</w:t>
      </w:r>
      <w:r w:rsidRPr="00D52C22">
        <w:rPr>
          <w:sz w:val="24"/>
          <w:szCs w:val="24"/>
        </w:rPr>
        <w:t>)</w:t>
      </w:r>
      <w:r w:rsidR="00646FDE" w:rsidRPr="00D52C22">
        <w:rPr>
          <w:sz w:val="24"/>
          <w:szCs w:val="24"/>
        </w:rPr>
        <w:t>,</w:t>
      </w:r>
      <w:r w:rsidRPr="00D52C22">
        <w:rPr>
          <w:sz w:val="24"/>
          <w:szCs w:val="24"/>
        </w:rPr>
        <w:t xml:space="preserve"> however we are given a multitude of examples as to their influence within this world. Section A provides a plethora of practical </w:t>
      </w:r>
      <w:r w:rsidR="00646FDE" w:rsidRPr="00D52C22">
        <w:rPr>
          <w:sz w:val="24"/>
          <w:szCs w:val="24"/>
        </w:rPr>
        <w:t>desires</w:t>
      </w:r>
      <w:r w:rsidRPr="00D52C22">
        <w:rPr>
          <w:sz w:val="24"/>
          <w:szCs w:val="24"/>
        </w:rPr>
        <w:t xml:space="preserve"> which the Gods can fulfil such as invisibility, fetching a lover, and making someone unattractive (XIII.235-40). We again see parallels to Egyptian religion through the God Osiris who was thought to live upon the earth and provide practical solutions to humanity’s problems</w:t>
      </w:r>
      <w:r w:rsidR="00646FDE" w:rsidRPr="00D52C22">
        <w:rPr>
          <w:sz w:val="24"/>
          <w:szCs w:val="24"/>
        </w:rPr>
        <w:t xml:space="preserve"> </w:t>
      </w:r>
      <w:r w:rsidRPr="00D52C22">
        <w:rPr>
          <w:sz w:val="24"/>
          <w:szCs w:val="24"/>
        </w:rPr>
        <w:t>(el-Sayed,</w:t>
      </w:r>
      <w:proofErr w:type="gramStart"/>
      <w:r w:rsidRPr="00D52C22">
        <w:rPr>
          <w:sz w:val="24"/>
          <w:szCs w:val="24"/>
        </w:rPr>
        <w:t>1997</w:t>
      </w:r>
      <w:r w:rsidR="00646FDE" w:rsidRPr="00D52C22">
        <w:rPr>
          <w:sz w:val="24"/>
          <w:szCs w:val="24"/>
        </w:rPr>
        <w:t>,p.</w:t>
      </w:r>
      <w:proofErr w:type="gramEnd"/>
      <w:r w:rsidR="00646FDE" w:rsidRPr="00D52C22">
        <w:rPr>
          <w:sz w:val="24"/>
          <w:szCs w:val="24"/>
        </w:rPr>
        <w:t>72-74</w:t>
      </w:r>
      <w:r w:rsidRPr="00D52C22">
        <w:rPr>
          <w:sz w:val="24"/>
          <w:szCs w:val="24"/>
        </w:rPr>
        <w:t>)</w:t>
      </w:r>
      <w:r w:rsidR="00646FDE" w:rsidRPr="00D52C22">
        <w:rPr>
          <w:sz w:val="24"/>
          <w:szCs w:val="24"/>
        </w:rPr>
        <w:t>.</w:t>
      </w:r>
      <w:r w:rsidRPr="00D52C22">
        <w:rPr>
          <w:sz w:val="24"/>
          <w:szCs w:val="24"/>
        </w:rPr>
        <w:t xml:space="preserve"> Similarly</w:t>
      </w:r>
      <w:r w:rsidR="00646FDE" w:rsidRPr="00D52C22">
        <w:rPr>
          <w:sz w:val="24"/>
          <w:szCs w:val="24"/>
        </w:rPr>
        <w:t>,</w:t>
      </w:r>
      <w:r w:rsidRPr="00D52C22">
        <w:rPr>
          <w:sz w:val="24"/>
          <w:szCs w:val="24"/>
        </w:rPr>
        <w:t xml:space="preserve"> within Greek mythology</w:t>
      </w:r>
      <w:r w:rsidR="00646FDE" w:rsidRPr="00D52C22">
        <w:rPr>
          <w:sz w:val="24"/>
          <w:szCs w:val="24"/>
        </w:rPr>
        <w:t>,</w:t>
      </w:r>
      <w:r w:rsidRPr="00D52C22">
        <w:rPr>
          <w:sz w:val="24"/>
          <w:szCs w:val="24"/>
        </w:rPr>
        <w:t xml:space="preserve"> th</w:t>
      </w:r>
      <w:r w:rsidR="00646FDE" w:rsidRPr="00D52C22">
        <w:rPr>
          <w:sz w:val="24"/>
          <w:szCs w:val="24"/>
        </w:rPr>
        <w:t>e titan</w:t>
      </w:r>
      <w:r w:rsidRPr="00D52C22">
        <w:rPr>
          <w:sz w:val="24"/>
          <w:szCs w:val="24"/>
        </w:rPr>
        <w:t xml:space="preserve"> Prometheus is said to have stolen the fire which Zeus took from humanity and returned it to the Earth (Cartwright,2013)</w:t>
      </w:r>
      <w:r w:rsidR="00646FDE" w:rsidRPr="00D52C22">
        <w:rPr>
          <w:sz w:val="24"/>
          <w:szCs w:val="24"/>
        </w:rPr>
        <w:t>.</w:t>
      </w:r>
      <w:r w:rsidRPr="00D52C22">
        <w:rPr>
          <w:sz w:val="24"/>
          <w:szCs w:val="24"/>
        </w:rPr>
        <w:t xml:space="preserve"> The Gods can interact with this world, and their power can be accessed through adherence to ritual practices.</w:t>
      </w:r>
    </w:p>
    <w:p w14:paraId="51439A47" w14:textId="55925ADD" w:rsidR="005B50D0" w:rsidRPr="00D52C22" w:rsidRDefault="005B50D0" w:rsidP="005B50D0">
      <w:pPr>
        <w:rPr>
          <w:sz w:val="24"/>
          <w:szCs w:val="24"/>
        </w:rPr>
      </w:pPr>
      <w:r w:rsidRPr="00D52C22">
        <w:rPr>
          <w:sz w:val="24"/>
          <w:szCs w:val="24"/>
        </w:rPr>
        <w:t>It must be noted that section A contains significantly more examples of the practical uses of the God’s power than either section B or C. Nock notes that magico-religious texts had to be practically useful, and thus were often adapted over time to suit the needs of practitioners. ‘So, one modifies it and incorporates suggestions from other sources’</w:t>
      </w:r>
      <w:r w:rsidR="00646FDE" w:rsidRPr="00D52C22">
        <w:rPr>
          <w:sz w:val="24"/>
          <w:szCs w:val="24"/>
        </w:rPr>
        <w:t xml:space="preserve"> </w:t>
      </w:r>
      <w:r w:rsidRPr="00D52C22">
        <w:rPr>
          <w:sz w:val="24"/>
          <w:szCs w:val="24"/>
        </w:rPr>
        <w:t>(Nock,1925)</w:t>
      </w:r>
      <w:r w:rsidR="00646FDE" w:rsidRPr="00D52C22">
        <w:rPr>
          <w:sz w:val="24"/>
          <w:szCs w:val="24"/>
        </w:rPr>
        <w:t>.</w:t>
      </w:r>
      <w:r w:rsidRPr="00D52C22">
        <w:rPr>
          <w:sz w:val="24"/>
          <w:szCs w:val="24"/>
        </w:rPr>
        <w:t xml:space="preserve"> Section B therefore may have been </w:t>
      </w:r>
      <w:r w:rsidR="004A199D" w:rsidRPr="00D52C22">
        <w:rPr>
          <w:sz w:val="24"/>
          <w:szCs w:val="24"/>
        </w:rPr>
        <w:t xml:space="preserve">altered and </w:t>
      </w:r>
      <w:r w:rsidRPr="00D52C22">
        <w:rPr>
          <w:sz w:val="24"/>
          <w:szCs w:val="24"/>
        </w:rPr>
        <w:t xml:space="preserve">adapted to include specific spells </w:t>
      </w:r>
      <w:proofErr w:type="gramStart"/>
      <w:r w:rsidRPr="00D52C22">
        <w:rPr>
          <w:sz w:val="24"/>
          <w:szCs w:val="24"/>
        </w:rPr>
        <w:t>in order to</w:t>
      </w:r>
      <w:proofErr w:type="gramEnd"/>
      <w:r w:rsidRPr="00D52C22">
        <w:rPr>
          <w:sz w:val="24"/>
          <w:szCs w:val="24"/>
        </w:rPr>
        <w:t xml:space="preserve"> meet the needs of practitioners. This further supports Klutz’s assertion that section A is an altered expansion of B.</w:t>
      </w:r>
    </w:p>
    <w:p w14:paraId="5C2A6969" w14:textId="7325A409" w:rsidR="00961D19" w:rsidRPr="00D52C22" w:rsidRDefault="005B50D0" w:rsidP="001C644E">
      <w:pPr>
        <w:rPr>
          <w:sz w:val="24"/>
          <w:szCs w:val="24"/>
        </w:rPr>
      </w:pPr>
      <w:r w:rsidRPr="00D52C22">
        <w:rPr>
          <w:sz w:val="24"/>
          <w:szCs w:val="24"/>
        </w:rPr>
        <w:t xml:space="preserve">Overall, when PGMXIII is looked at in its entirety, the text clearly illustrates the powerful and distant nature of the Gods. </w:t>
      </w:r>
      <w:r w:rsidR="003B583F" w:rsidRPr="00D52C22">
        <w:rPr>
          <w:sz w:val="24"/>
          <w:szCs w:val="24"/>
        </w:rPr>
        <w:t xml:space="preserve">Such a cosmological view of the high status of Gods is similarly found within Homer’s </w:t>
      </w:r>
      <w:r w:rsidR="003B583F" w:rsidRPr="00D52C22">
        <w:rPr>
          <w:i/>
          <w:iCs/>
          <w:sz w:val="24"/>
          <w:szCs w:val="24"/>
        </w:rPr>
        <w:t>Iliad</w:t>
      </w:r>
      <w:r w:rsidR="003B583F" w:rsidRPr="00D52C22">
        <w:rPr>
          <w:sz w:val="24"/>
          <w:szCs w:val="24"/>
        </w:rPr>
        <w:t>; ‘ever constant, ever rule mankind’ (VIII.153).</w:t>
      </w:r>
      <w:r w:rsidR="003B583F" w:rsidRPr="00D52C22">
        <w:rPr>
          <w:sz w:val="24"/>
          <w:szCs w:val="24"/>
        </w:rPr>
        <w:t xml:space="preserve"> </w:t>
      </w:r>
      <w:r w:rsidRPr="00D52C22">
        <w:rPr>
          <w:sz w:val="24"/>
          <w:szCs w:val="24"/>
        </w:rPr>
        <w:t>However, at the same time the text makes it known to initiates that such power is still attainable. Through close adherence to the ritual content of the text</w:t>
      </w:r>
      <w:r w:rsidR="004A199D" w:rsidRPr="00D52C22">
        <w:rPr>
          <w:sz w:val="24"/>
          <w:szCs w:val="24"/>
        </w:rPr>
        <w:t>,</w:t>
      </w:r>
      <w:r w:rsidRPr="00D52C22">
        <w:rPr>
          <w:sz w:val="24"/>
          <w:szCs w:val="24"/>
        </w:rPr>
        <w:t xml:space="preserve"> and a knowledge of its secret </w:t>
      </w:r>
      <w:r w:rsidRPr="00D52C22">
        <w:rPr>
          <w:sz w:val="24"/>
          <w:szCs w:val="24"/>
        </w:rPr>
        <w:lastRenderedPageBreak/>
        <w:t>content, initiates can access the God’s power and</w:t>
      </w:r>
      <w:r w:rsidR="004A199D" w:rsidRPr="00D52C22">
        <w:rPr>
          <w:sz w:val="24"/>
          <w:szCs w:val="24"/>
        </w:rPr>
        <w:t xml:space="preserve"> utilize it to</w:t>
      </w:r>
      <w:r w:rsidRPr="00D52C22">
        <w:rPr>
          <w:sz w:val="24"/>
          <w:szCs w:val="24"/>
        </w:rPr>
        <w:t xml:space="preserve"> </w:t>
      </w:r>
      <w:proofErr w:type="gramStart"/>
      <w:r w:rsidRPr="00D52C22">
        <w:rPr>
          <w:sz w:val="24"/>
          <w:szCs w:val="24"/>
        </w:rPr>
        <w:t>a number of</w:t>
      </w:r>
      <w:proofErr w:type="gramEnd"/>
      <w:r w:rsidRPr="00D52C22">
        <w:rPr>
          <w:sz w:val="24"/>
          <w:szCs w:val="24"/>
        </w:rPr>
        <w:t xml:space="preserve"> world</w:t>
      </w:r>
      <w:r w:rsidR="001C644E" w:rsidRPr="00D52C22">
        <w:rPr>
          <w:sz w:val="24"/>
          <w:szCs w:val="24"/>
        </w:rPr>
        <w:t>ly</w:t>
      </w:r>
      <w:r w:rsidRPr="00D52C22">
        <w:rPr>
          <w:sz w:val="24"/>
          <w:szCs w:val="24"/>
        </w:rPr>
        <w:t xml:space="preserve"> applications. In this sense </w:t>
      </w:r>
      <w:r w:rsidR="004A199D" w:rsidRPr="00D52C22">
        <w:rPr>
          <w:sz w:val="24"/>
          <w:szCs w:val="24"/>
        </w:rPr>
        <w:t xml:space="preserve">the cosmological content of </w:t>
      </w:r>
      <w:r w:rsidRPr="00D52C22">
        <w:rPr>
          <w:sz w:val="24"/>
          <w:szCs w:val="24"/>
        </w:rPr>
        <w:t xml:space="preserve">PGMXIII </w:t>
      </w:r>
      <w:r w:rsidR="004A199D" w:rsidRPr="00D52C22">
        <w:rPr>
          <w:sz w:val="24"/>
          <w:szCs w:val="24"/>
        </w:rPr>
        <w:t>enables the text to act</w:t>
      </w:r>
      <w:r w:rsidRPr="00D52C22">
        <w:rPr>
          <w:sz w:val="24"/>
          <w:szCs w:val="24"/>
        </w:rPr>
        <w:t xml:space="preserve"> as a gateway to the accessible power of the Gods.</w:t>
      </w:r>
    </w:p>
    <w:p w14:paraId="34649488" w14:textId="77777777" w:rsidR="001C644E" w:rsidRPr="00D52C22" w:rsidRDefault="001C644E" w:rsidP="001C644E">
      <w:pPr>
        <w:rPr>
          <w:sz w:val="24"/>
          <w:szCs w:val="24"/>
          <w:u w:val="single"/>
        </w:rPr>
      </w:pPr>
      <w:r w:rsidRPr="00D52C22">
        <w:rPr>
          <w:sz w:val="24"/>
          <w:szCs w:val="24"/>
          <w:u w:val="single"/>
        </w:rPr>
        <w:t>Astrological Content of PGMXIII</w:t>
      </w:r>
    </w:p>
    <w:p w14:paraId="11A300AC" w14:textId="0824F729" w:rsidR="001C644E" w:rsidRPr="00D52C22" w:rsidRDefault="001C644E" w:rsidP="001C644E">
      <w:pPr>
        <w:rPr>
          <w:sz w:val="24"/>
          <w:szCs w:val="24"/>
        </w:rPr>
      </w:pPr>
      <w:r w:rsidRPr="00D52C22">
        <w:rPr>
          <w:sz w:val="24"/>
          <w:szCs w:val="24"/>
        </w:rPr>
        <w:t>As well as the Gods we are introduced to various astrological terms throughout the text, such as the references to daimones in section C (XIII.782). Greenbaum notes the difficulties in defining the word daimon, noting that it can be used in the context of ‘demons, spirit, genius, personality, destiny, power and even fate’ (Greenbaum,</w:t>
      </w:r>
      <w:proofErr w:type="gramStart"/>
      <w:r w:rsidRPr="00D52C22">
        <w:rPr>
          <w:sz w:val="24"/>
          <w:szCs w:val="24"/>
        </w:rPr>
        <w:t>2015,p.</w:t>
      </w:r>
      <w:proofErr w:type="gramEnd"/>
      <w:r w:rsidRPr="00D52C22">
        <w:rPr>
          <w:sz w:val="24"/>
          <w:szCs w:val="24"/>
        </w:rPr>
        <w:t xml:space="preserve">4). Daimones are found in the fixed astrological chart, serving as two of the twelve </w:t>
      </w:r>
      <w:proofErr w:type="gramStart"/>
      <w:r w:rsidRPr="00D52C22">
        <w:rPr>
          <w:sz w:val="24"/>
          <w:szCs w:val="24"/>
        </w:rPr>
        <w:t>places;</w:t>
      </w:r>
      <w:proofErr w:type="gramEnd"/>
      <w:r w:rsidRPr="00D52C22">
        <w:rPr>
          <w:sz w:val="24"/>
          <w:szCs w:val="24"/>
        </w:rPr>
        <w:t xml:space="preserve"> ‘good daimon’ and ‘bad daimon’. Their fixed position locates them as opposing ‘good fortune’ and ‘bad fortune’, thus daimon and fortune are ‘culturally, religiously and philosophically paired’ (Greenbaum,</w:t>
      </w:r>
      <w:proofErr w:type="gramStart"/>
      <w:r w:rsidRPr="00D52C22">
        <w:rPr>
          <w:sz w:val="24"/>
          <w:szCs w:val="24"/>
        </w:rPr>
        <w:t>2015,p</w:t>
      </w:r>
      <w:proofErr w:type="gramEnd"/>
      <w:r w:rsidRPr="00D52C22">
        <w:rPr>
          <w:sz w:val="24"/>
          <w:szCs w:val="24"/>
        </w:rPr>
        <w:t xml:space="preserve">6). </w:t>
      </w:r>
    </w:p>
    <w:p w14:paraId="355D831A" w14:textId="0B3EE979" w:rsidR="001C644E" w:rsidRPr="00D52C22" w:rsidRDefault="001C644E" w:rsidP="001C644E">
      <w:pPr>
        <w:rPr>
          <w:sz w:val="24"/>
          <w:szCs w:val="24"/>
        </w:rPr>
      </w:pPr>
      <w:r w:rsidRPr="00D52C22">
        <w:rPr>
          <w:sz w:val="24"/>
          <w:szCs w:val="24"/>
        </w:rPr>
        <w:t xml:space="preserve">The concept of fortune is also present within section B of PGMXIII; ‘the fate determined at my birth’ (XIII.610-11). We know from Ptolemy’s writings, specifically </w:t>
      </w:r>
      <w:proofErr w:type="spellStart"/>
      <w:r w:rsidRPr="00D52C22">
        <w:rPr>
          <w:rFonts w:cstheme="minorHAnsi"/>
          <w:i/>
          <w:iCs/>
          <w:sz w:val="24"/>
          <w:szCs w:val="24"/>
          <w:shd w:val="clear" w:color="auto" w:fill="FFFFFF"/>
        </w:rPr>
        <w:t>Tetrabiblos</w:t>
      </w:r>
      <w:proofErr w:type="spellEnd"/>
      <w:r w:rsidRPr="00D52C22">
        <w:rPr>
          <w:rFonts w:cstheme="minorHAnsi"/>
          <w:i/>
          <w:iCs/>
          <w:sz w:val="24"/>
          <w:szCs w:val="24"/>
          <w:shd w:val="clear" w:color="auto" w:fill="FFFFFF"/>
        </w:rPr>
        <w:t>,</w:t>
      </w:r>
      <w:r w:rsidRPr="00D52C22">
        <w:rPr>
          <w:sz w:val="24"/>
          <w:szCs w:val="24"/>
        </w:rPr>
        <w:t xml:space="preserve"> that fate was a central concept within astrology. He </w:t>
      </w:r>
      <w:r w:rsidRPr="00D52C22">
        <w:rPr>
          <w:rFonts w:cstheme="minorHAnsi"/>
          <w:sz w:val="24"/>
          <w:szCs w:val="24"/>
        </w:rPr>
        <w:t>explains how the position of the planets and luminaries at the time of birth and conception could influence the fate of an individual.</w:t>
      </w:r>
      <w:r w:rsidRPr="00D52C22">
        <w:rPr>
          <w:rFonts w:cstheme="minorHAnsi"/>
          <w:sz w:val="24"/>
          <w:szCs w:val="24"/>
          <w:shd w:val="clear" w:color="auto" w:fill="FFFFFF"/>
        </w:rPr>
        <w:t xml:space="preserve"> ‘If Mercury should bear witness…this disposition produces prophets who also make money thereby’ (III.8).</w:t>
      </w:r>
      <w:r w:rsidRPr="00D52C22">
        <w:rPr>
          <w:sz w:val="24"/>
          <w:szCs w:val="24"/>
        </w:rPr>
        <w:t xml:space="preserve"> Practitioners therefore accept that they have a lack of control over their lives; ‘every form of astrology begins by posing a level of </w:t>
      </w:r>
      <w:proofErr w:type="spellStart"/>
      <w:r w:rsidRPr="00D52C22">
        <w:rPr>
          <w:sz w:val="24"/>
          <w:szCs w:val="24"/>
        </w:rPr>
        <w:t>fatedness</w:t>
      </w:r>
      <w:proofErr w:type="spellEnd"/>
      <w:r w:rsidRPr="00D52C22">
        <w:rPr>
          <w:sz w:val="24"/>
          <w:szCs w:val="24"/>
        </w:rPr>
        <w:t>’ (Campion,</w:t>
      </w:r>
      <w:proofErr w:type="gramStart"/>
      <w:r w:rsidRPr="00D52C22">
        <w:rPr>
          <w:sz w:val="24"/>
          <w:szCs w:val="24"/>
        </w:rPr>
        <w:t>2012,p.</w:t>
      </w:r>
      <w:proofErr w:type="gramEnd"/>
      <w:r w:rsidRPr="00D52C22">
        <w:rPr>
          <w:sz w:val="24"/>
          <w:szCs w:val="24"/>
        </w:rPr>
        <w:t>16). Fate is further emphasised by the presence of horoscopes within the text (XIII.635). Also known as astrological charts, they depict the position of the planets, luminaries, and zodiacal signs. These planetary positions are interpreted and applied to earthly events, thus showing the connections between earth and the heavenly realm; ‘if a celestial event happens, then an earthly event happens’ (Greenbaum,</w:t>
      </w:r>
      <w:proofErr w:type="gramStart"/>
      <w:r w:rsidRPr="00D52C22">
        <w:rPr>
          <w:sz w:val="24"/>
          <w:szCs w:val="24"/>
        </w:rPr>
        <w:t>2020,p.</w:t>
      </w:r>
      <w:proofErr w:type="gramEnd"/>
      <w:r w:rsidRPr="00D52C22">
        <w:rPr>
          <w:sz w:val="24"/>
          <w:szCs w:val="24"/>
        </w:rPr>
        <w:t>446).</w:t>
      </w:r>
    </w:p>
    <w:p w14:paraId="5F7B5442" w14:textId="35ED6643" w:rsidR="001C644E" w:rsidRPr="00D52C22" w:rsidRDefault="001C644E" w:rsidP="001C644E">
      <w:pPr>
        <w:rPr>
          <w:sz w:val="24"/>
          <w:szCs w:val="24"/>
        </w:rPr>
      </w:pPr>
      <w:r w:rsidRPr="00D52C22">
        <w:rPr>
          <w:sz w:val="24"/>
          <w:szCs w:val="24"/>
        </w:rPr>
        <w:t xml:space="preserve">Section A lacks such strong astrological </w:t>
      </w:r>
      <w:proofErr w:type="gramStart"/>
      <w:r w:rsidRPr="00D52C22">
        <w:rPr>
          <w:sz w:val="24"/>
          <w:szCs w:val="24"/>
        </w:rPr>
        <w:t>themes,</w:t>
      </w:r>
      <w:proofErr w:type="gramEnd"/>
      <w:r w:rsidRPr="00D52C22">
        <w:rPr>
          <w:sz w:val="24"/>
          <w:szCs w:val="24"/>
        </w:rPr>
        <w:t xml:space="preserve"> however it still makes reference to the significance of the lunar cycle (XIII.30 &amp; XIII.115). The observation of lunar cycles is a feature of what Campion calls ‘ordered and predictable’ astrology, which observes the periodicities of the celestial realm (Campion,</w:t>
      </w:r>
      <w:proofErr w:type="gramStart"/>
      <w:r w:rsidRPr="00D52C22">
        <w:rPr>
          <w:sz w:val="24"/>
          <w:szCs w:val="24"/>
        </w:rPr>
        <w:t>2012,p</w:t>
      </w:r>
      <w:proofErr w:type="gramEnd"/>
      <w:r w:rsidRPr="00D52C22">
        <w:rPr>
          <w:sz w:val="24"/>
          <w:szCs w:val="24"/>
        </w:rPr>
        <w:t>14). The importance of the lunar cycle is highlighted in PGMXIII, with sections A and B emphasising the auspicious timing of the lunar cycle; ‘your contemplation of them will coincide with the dark of the moon which occurs in Aries’ (PGMXIII.7-8).</w:t>
      </w:r>
      <w:r w:rsidRPr="00D52C22">
        <w:rPr>
          <w:rStyle w:val="FootnoteReference"/>
          <w:sz w:val="24"/>
          <w:szCs w:val="24"/>
        </w:rPr>
        <w:footnoteReference w:id="4"/>
      </w:r>
      <w:r w:rsidRPr="00D52C22">
        <w:rPr>
          <w:sz w:val="24"/>
          <w:szCs w:val="24"/>
        </w:rPr>
        <w:t>This underlines the importance of the moon’s position within specific zodiacal signs. This was common within the ancient world, as exemplified through the timings of Babylonian sacred festivals, based upon the observations of the predictable cycles of the moon (Greenbaum,</w:t>
      </w:r>
      <w:proofErr w:type="gramStart"/>
      <w:r w:rsidRPr="00D52C22">
        <w:rPr>
          <w:sz w:val="24"/>
          <w:szCs w:val="24"/>
        </w:rPr>
        <w:t>2015,P.</w:t>
      </w:r>
      <w:proofErr w:type="gramEnd"/>
      <w:r w:rsidRPr="00D52C22">
        <w:rPr>
          <w:sz w:val="24"/>
          <w:szCs w:val="24"/>
        </w:rPr>
        <w:t>444).</w:t>
      </w:r>
    </w:p>
    <w:p w14:paraId="195C63B0" w14:textId="6184A233" w:rsidR="001C644E" w:rsidRPr="00D52C22" w:rsidRDefault="001C644E" w:rsidP="001C644E">
      <w:pPr>
        <w:rPr>
          <w:sz w:val="24"/>
          <w:szCs w:val="24"/>
        </w:rPr>
      </w:pPr>
      <w:r w:rsidRPr="00D52C22">
        <w:rPr>
          <w:sz w:val="24"/>
          <w:szCs w:val="24"/>
        </w:rPr>
        <w:t>Section A lacks the strong astrological themes present within the other sections. I argue that this again supports Klutz’s theory of the later composition of section A. As previously discussed, Christianity’s popularity increased during the 4</w:t>
      </w:r>
      <w:r w:rsidRPr="00D52C22">
        <w:rPr>
          <w:sz w:val="24"/>
          <w:szCs w:val="24"/>
          <w:vertAlign w:val="superscript"/>
        </w:rPr>
        <w:t>th</w:t>
      </w:r>
      <w:r w:rsidRPr="00D52C22">
        <w:rPr>
          <w:sz w:val="24"/>
          <w:szCs w:val="24"/>
        </w:rPr>
        <w:t xml:space="preserve"> Century; Klutz himself notes this would have generated a new market for the producers of magico-religious texts (Klutz,2011). Such reproduced texts would therefore be modified to fit this audience’s view </w:t>
      </w:r>
      <w:r w:rsidRPr="00D52C22">
        <w:rPr>
          <w:sz w:val="24"/>
          <w:szCs w:val="24"/>
        </w:rPr>
        <w:lastRenderedPageBreak/>
        <w:t xml:space="preserve">of astrological practices. This view is represented by Augustine’s work </w:t>
      </w:r>
      <w:r w:rsidRPr="00D52C22">
        <w:rPr>
          <w:i/>
          <w:iCs/>
          <w:sz w:val="24"/>
          <w:szCs w:val="24"/>
        </w:rPr>
        <w:t xml:space="preserve">The City of God </w:t>
      </w:r>
      <w:r w:rsidRPr="00D52C22">
        <w:rPr>
          <w:sz w:val="24"/>
          <w:szCs w:val="24"/>
        </w:rPr>
        <w:t>which denounced astrological practices; ‘they deceive men’</w:t>
      </w:r>
      <w:r w:rsidRPr="00D52C22">
        <w:rPr>
          <w:rStyle w:val="FootnoteReference"/>
          <w:sz w:val="24"/>
          <w:szCs w:val="24"/>
        </w:rPr>
        <w:footnoteReference w:id="5"/>
      </w:r>
      <w:r w:rsidRPr="00D52C22">
        <w:rPr>
          <w:sz w:val="24"/>
          <w:szCs w:val="24"/>
        </w:rPr>
        <w:t>(V.7)</w:t>
      </w:r>
      <w:r w:rsidR="00906436" w:rsidRPr="00D52C22">
        <w:rPr>
          <w:sz w:val="24"/>
          <w:szCs w:val="24"/>
        </w:rPr>
        <w:t>.</w:t>
      </w:r>
      <w:r w:rsidRPr="00D52C22">
        <w:rPr>
          <w:sz w:val="24"/>
          <w:szCs w:val="24"/>
        </w:rPr>
        <w:t xml:space="preserve"> The lack of astrological content therefore reflects this appeal to a more Christian audience. </w:t>
      </w:r>
    </w:p>
    <w:p w14:paraId="08690625" w14:textId="1F43E2CC" w:rsidR="001C644E" w:rsidRPr="00D52C22" w:rsidRDefault="001C644E" w:rsidP="001C644E">
      <w:pPr>
        <w:rPr>
          <w:sz w:val="24"/>
          <w:szCs w:val="24"/>
        </w:rPr>
      </w:pPr>
      <w:r w:rsidRPr="00D52C22">
        <w:rPr>
          <w:sz w:val="24"/>
          <w:szCs w:val="24"/>
        </w:rPr>
        <w:t xml:space="preserve">PGMXIII does not provide any explanation of the astrological terms it uses, which suggests that </w:t>
      </w:r>
      <w:r w:rsidR="00207F32" w:rsidRPr="00D52C22">
        <w:rPr>
          <w:sz w:val="24"/>
          <w:szCs w:val="24"/>
        </w:rPr>
        <w:t xml:space="preserve">these </w:t>
      </w:r>
      <w:r w:rsidRPr="00D52C22">
        <w:rPr>
          <w:sz w:val="24"/>
          <w:szCs w:val="24"/>
        </w:rPr>
        <w:t xml:space="preserve">terms were widely understood. It is not unreasonable to suggest this, as </w:t>
      </w:r>
      <w:r w:rsidR="00207F32" w:rsidRPr="00D52C22">
        <w:rPr>
          <w:sz w:val="24"/>
          <w:szCs w:val="24"/>
        </w:rPr>
        <w:t>there is</w:t>
      </w:r>
      <w:r w:rsidRPr="00D52C22">
        <w:rPr>
          <w:sz w:val="24"/>
          <w:szCs w:val="24"/>
        </w:rPr>
        <w:t xml:space="preserve"> widespread evidence of astrology in practise within the ancient world. This is evidenced through the corpus of </w:t>
      </w:r>
      <w:r w:rsidR="00207F32" w:rsidRPr="00D52C22">
        <w:rPr>
          <w:sz w:val="24"/>
          <w:szCs w:val="24"/>
        </w:rPr>
        <w:t>a</w:t>
      </w:r>
      <w:r w:rsidRPr="00D52C22">
        <w:rPr>
          <w:sz w:val="24"/>
          <w:szCs w:val="24"/>
        </w:rPr>
        <w:t xml:space="preserve">ncient Greek horoscopes, specifically the recent discovery of </w:t>
      </w:r>
      <w:proofErr w:type="gramStart"/>
      <w:r w:rsidRPr="00D52C22">
        <w:rPr>
          <w:sz w:val="24"/>
          <w:szCs w:val="24"/>
        </w:rPr>
        <w:t>P.Berl</w:t>
      </w:r>
      <w:proofErr w:type="gramEnd"/>
      <w:r w:rsidRPr="00D52C22">
        <w:rPr>
          <w:sz w:val="24"/>
          <w:szCs w:val="24"/>
        </w:rPr>
        <w:t>.9825, which Greenbaum and Jones date back to 4</w:t>
      </w:r>
      <w:r w:rsidRPr="00D52C22">
        <w:rPr>
          <w:sz w:val="24"/>
          <w:szCs w:val="24"/>
          <w:vertAlign w:val="superscript"/>
        </w:rPr>
        <w:t>th</w:t>
      </w:r>
      <w:r w:rsidRPr="00D52C22">
        <w:rPr>
          <w:sz w:val="24"/>
          <w:szCs w:val="24"/>
        </w:rPr>
        <w:t xml:space="preserve"> Century CE (Greenbaum &amp; Jones,2017). We can therefore equally assume that the audience of PGMXIII were similarly familiar with the astrological world view. Reflection is regarded as ‘the fundamental premise of astrology’ (Campion,2012,p.13), thus showing that the astrological world view assumes an interconnection between the heavens and the earth; the earth acts as a mirror to the heavens. This illustrates the interconnection of the cosmos as a whole, ‘the entire cosmos is alive and everything in it exists in a series of relationships with all other things’</w:t>
      </w:r>
      <w:r w:rsidR="00207F32" w:rsidRPr="00D52C22">
        <w:rPr>
          <w:sz w:val="24"/>
          <w:szCs w:val="24"/>
        </w:rPr>
        <w:t xml:space="preserve"> </w:t>
      </w:r>
      <w:r w:rsidRPr="00D52C22">
        <w:rPr>
          <w:sz w:val="24"/>
          <w:szCs w:val="24"/>
        </w:rPr>
        <w:t>(Campion,</w:t>
      </w:r>
      <w:proofErr w:type="gramStart"/>
      <w:r w:rsidRPr="00D52C22">
        <w:rPr>
          <w:sz w:val="24"/>
          <w:szCs w:val="24"/>
        </w:rPr>
        <w:t>2012,p.</w:t>
      </w:r>
      <w:proofErr w:type="gramEnd"/>
      <w:r w:rsidRPr="00D52C22">
        <w:rPr>
          <w:sz w:val="24"/>
          <w:szCs w:val="24"/>
        </w:rPr>
        <w:t>14)</w:t>
      </w:r>
      <w:r w:rsidR="00207F32" w:rsidRPr="00D52C22">
        <w:rPr>
          <w:sz w:val="24"/>
          <w:szCs w:val="24"/>
        </w:rPr>
        <w:t>.</w:t>
      </w:r>
      <w:r w:rsidRPr="00D52C22">
        <w:rPr>
          <w:sz w:val="24"/>
          <w:szCs w:val="24"/>
        </w:rPr>
        <w:t xml:space="preserve"> </w:t>
      </w:r>
    </w:p>
    <w:p w14:paraId="401D7D8D" w14:textId="77777777" w:rsidR="001C644E" w:rsidRPr="00D52C22" w:rsidRDefault="001C644E" w:rsidP="001C644E">
      <w:pPr>
        <w:rPr>
          <w:sz w:val="24"/>
          <w:szCs w:val="24"/>
        </w:rPr>
      </w:pPr>
      <w:r w:rsidRPr="00D52C22">
        <w:rPr>
          <w:sz w:val="24"/>
          <w:szCs w:val="24"/>
        </w:rPr>
        <w:t xml:space="preserve">Therefore, just as the heavens </w:t>
      </w:r>
      <w:proofErr w:type="gramStart"/>
      <w:r w:rsidRPr="00D52C22">
        <w:rPr>
          <w:sz w:val="24"/>
          <w:szCs w:val="24"/>
        </w:rPr>
        <w:t>are connected with</w:t>
      </w:r>
      <w:proofErr w:type="gramEnd"/>
      <w:r w:rsidRPr="00D52C22">
        <w:rPr>
          <w:sz w:val="24"/>
          <w:szCs w:val="24"/>
        </w:rPr>
        <w:t xml:space="preserve"> the earth, the Gods are interconnected with humanity. Thus, the presence of astrology within PGMXIII, and the implications of an astrological worldview, further emphasise the cosmological content of the text; although distant, the Gods can use their power on this earth. </w:t>
      </w:r>
    </w:p>
    <w:p w14:paraId="46666855" w14:textId="628B252B" w:rsidR="001C644E" w:rsidRPr="00D52C22" w:rsidRDefault="001C644E" w:rsidP="001C644E">
      <w:pPr>
        <w:rPr>
          <w:sz w:val="24"/>
          <w:szCs w:val="24"/>
        </w:rPr>
      </w:pPr>
      <w:r w:rsidRPr="00D52C22">
        <w:rPr>
          <w:sz w:val="24"/>
          <w:szCs w:val="24"/>
        </w:rPr>
        <w:t>As well as the interconnection of cosmology and astrology, PGMXIII introduces astrology as interconnected with both magic and religion. Griffiths notes that the magician ‘invokes the aid of religion’ when seeking astrological knowledge (Griffiths,</w:t>
      </w:r>
      <w:proofErr w:type="gramStart"/>
      <w:r w:rsidRPr="00D52C22">
        <w:rPr>
          <w:sz w:val="24"/>
          <w:szCs w:val="24"/>
        </w:rPr>
        <w:t>1969,P.</w:t>
      </w:r>
      <w:proofErr w:type="gramEnd"/>
      <w:r w:rsidRPr="00D52C22">
        <w:rPr>
          <w:sz w:val="24"/>
          <w:szCs w:val="24"/>
        </w:rPr>
        <w:t>358). For example before finding out about one’s star or daimon the initiate is instructed to begin by greeting the God, ‘master, what is fated for me’ (XIII.709), and upon receiving the information ‘thank him for hearing you’ (XIII.714-5). The initiate therefore must have faith in this God, without wh</w:t>
      </w:r>
      <w:r w:rsidR="000E5358" w:rsidRPr="00D52C22">
        <w:rPr>
          <w:sz w:val="24"/>
          <w:szCs w:val="24"/>
        </w:rPr>
        <w:t>om</w:t>
      </w:r>
      <w:r w:rsidRPr="00D52C22">
        <w:rPr>
          <w:sz w:val="24"/>
          <w:szCs w:val="24"/>
        </w:rPr>
        <w:t xml:space="preserve"> the astral predictions are not possible. </w:t>
      </w:r>
    </w:p>
    <w:p w14:paraId="3A83792E" w14:textId="248F4DAE" w:rsidR="00961D19" w:rsidRPr="00D52C22" w:rsidRDefault="001C644E" w:rsidP="00444AEE">
      <w:pPr>
        <w:rPr>
          <w:sz w:val="24"/>
          <w:szCs w:val="24"/>
        </w:rPr>
      </w:pPr>
      <w:r w:rsidRPr="00D52C22">
        <w:rPr>
          <w:sz w:val="24"/>
          <w:szCs w:val="24"/>
        </w:rPr>
        <w:t>Not only does this show how astrology and magico-religious practices are interlinked, it also shows how the Gods can impact an individual’s fate. On various occasions the Gods are noted as protecting initiates from their destiny (XIII.634) and washing away the bad fortune attributed to them (XIII.611-12). The Gods can therefore alter the fate determined by the initiate’s horoscope. This Greenbaum argues is ‘the antithesis of fatalistic astrology’ (Greenbaum,</w:t>
      </w:r>
      <w:proofErr w:type="gramStart"/>
      <w:r w:rsidRPr="00D52C22">
        <w:rPr>
          <w:sz w:val="24"/>
          <w:szCs w:val="24"/>
        </w:rPr>
        <w:t>2015,p.</w:t>
      </w:r>
      <w:proofErr w:type="gramEnd"/>
      <w:r w:rsidRPr="00D52C22">
        <w:rPr>
          <w:sz w:val="24"/>
          <w:szCs w:val="24"/>
        </w:rPr>
        <w:t>204). Rather than blindly accepting fate initiates are aware that it can be altered, by ‘propagating the God for divine intervention’</w:t>
      </w:r>
      <w:r w:rsidR="002F1D5B" w:rsidRPr="00D52C22">
        <w:rPr>
          <w:sz w:val="24"/>
          <w:szCs w:val="24"/>
        </w:rPr>
        <w:t xml:space="preserve"> </w:t>
      </w:r>
      <w:r w:rsidRPr="00D52C22">
        <w:rPr>
          <w:sz w:val="24"/>
          <w:szCs w:val="24"/>
        </w:rPr>
        <w:t>(Greenbaum,</w:t>
      </w:r>
      <w:proofErr w:type="gramStart"/>
      <w:r w:rsidRPr="00D52C22">
        <w:rPr>
          <w:sz w:val="24"/>
          <w:szCs w:val="24"/>
        </w:rPr>
        <w:t>2015,p.</w:t>
      </w:r>
      <w:proofErr w:type="gramEnd"/>
      <w:r w:rsidRPr="00D52C22">
        <w:rPr>
          <w:sz w:val="24"/>
          <w:szCs w:val="24"/>
        </w:rPr>
        <w:t xml:space="preserve">204). We see similar notions within Ptolemy’s </w:t>
      </w:r>
      <w:proofErr w:type="spellStart"/>
      <w:r w:rsidRPr="00D52C22">
        <w:rPr>
          <w:i/>
          <w:iCs/>
          <w:sz w:val="24"/>
          <w:szCs w:val="24"/>
        </w:rPr>
        <w:t>Tetrabiblos</w:t>
      </w:r>
      <w:proofErr w:type="spellEnd"/>
      <w:r w:rsidRPr="00D52C22">
        <w:rPr>
          <w:i/>
          <w:iCs/>
          <w:sz w:val="24"/>
          <w:szCs w:val="24"/>
        </w:rPr>
        <w:t xml:space="preserve"> </w:t>
      </w:r>
      <w:r w:rsidRPr="00D52C22">
        <w:rPr>
          <w:sz w:val="24"/>
          <w:szCs w:val="24"/>
        </w:rPr>
        <w:t>within which he asserts that Egyptian scholars believed that future fates could be altered (I.3)</w:t>
      </w:r>
      <w:r w:rsidR="002F1D5B" w:rsidRPr="00D52C22">
        <w:rPr>
          <w:sz w:val="24"/>
          <w:szCs w:val="24"/>
        </w:rPr>
        <w:t>.</w:t>
      </w:r>
      <w:r w:rsidRPr="00D52C22">
        <w:rPr>
          <w:sz w:val="24"/>
          <w:szCs w:val="24"/>
        </w:rPr>
        <w:t xml:space="preserve"> We also see a similar assertion in the </w:t>
      </w:r>
      <w:r w:rsidRPr="00D52C22">
        <w:rPr>
          <w:i/>
          <w:iCs/>
          <w:sz w:val="24"/>
          <w:szCs w:val="24"/>
        </w:rPr>
        <w:t xml:space="preserve">Iliad </w:t>
      </w:r>
      <w:r w:rsidRPr="00D52C22">
        <w:rPr>
          <w:sz w:val="24"/>
          <w:szCs w:val="24"/>
        </w:rPr>
        <w:t xml:space="preserve">which documents Zeus’ deliberation on altering the fate of his son, Sarpedon, following his death in battle (XVI.300). This further emphasises the powers of the Gods; </w:t>
      </w:r>
      <w:r w:rsidRPr="00D52C22">
        <w:rPr>
          <w:sz w:val="24"/>
          <w:szCs w:val="24"/>
        </w:rPr>
        <w:lastRenderedPageBreak/>
        <w:t xml:space="preserve">their ability to alter the fated future. Initiates are therefore further motivated to adhere strictly to the ritual contents of PGMXIII due to its potential impact on personal fate. </w:t>
      </w:r>
    </w:p>
    <w:p w14:paraId="795137E2" w14:textId="77777777" w:rsidR="00444AEE" w:rsidRPr="00D52C22" w:rsidRDefault="00444AEE" w:rsidP="00444AEE">
      <w:pPr>
        <w:rPr>
          <w:sz w:val="24"/>
          <w:szCs w:val="24"/>
          <w:u w:val="single"/>
        </w:rPr>
      </w:pPr>
      <w:r w:rsidRPr="00D52C22">
        <w:rPr>
          <w:sz w:val="24"/>
          <w:szCs w:val="24"/>
          <w:u w:val="single"/>
        </w:rPr>
        <w:t>Conclusion</w:t>
      </w:r>
    </w:p>
    <w:p w14:paraId="6C09ED87" w14:textId="0C0ADBFF" w:rsidR="00E406B0" w:rsidRPr="00D52C22" w:rsidRDefault="00E406B0" w:rsidP="00E406B0">
      <w:pPr>
        <w:rPr>
          <w:sz w:val="24"/>
          <w:szCs w:val="24"/>
        </w:rPr>
      </w:pPr>
      <w:r w:rsidRPr="00D52C22">
        <w:rPr>
          <w:sz w:val="24"/>
          <w:szCs w:val="24"/>
        </w:rPr>
        <w:t>This essay has presented various ways in which the cosmology and astrology of PGMXIII both serve t</w:t>
      </w:r>
      <w:r w:rsidR="000A5A4D" w:rsidRPr="00D52C22">
        <w:rPr>
          <w:sz w:val="24"/>
          <w:szCs w:val="24"/>
        </w:rPr>
        <w:t>o</w:t>
      </w:r>
      <w:r w:rsidRPr="00D52C22">
        <w:rPr>
          <w:sz w:val="24"/>
          <w:szCs w:val="24"/>
        </w:rPr>
        <w:t xml:space="preserve"> reinforce its purpose. It has also provided evidence to support Klutz’s assertion that section A is a later, Christianised adaption of section B, therefore supporting the use of Klutz’s structure for this essay and for future scholarship. </w:t>
      </w:r>
    </w:p>
    <w:p w14:paraId="53EA427D" w14:textId="77777777" w:rsidR="00E406B0" w:rsidRPr="00D52C22" w:rsidRDefault="00E406B0" w:rsidP="00E406B0">
      <w:pPr>
        <w:rPr>
          <w:sz w:val="24"/>
          <w:szCs w:val="24"/>
        </w:rPr>
      </w:pPr>
      <w:r w:rsidRPr="00D52C22">
        <w:rPr>
          <w:sz w:val="24"/>
          <w:szCs w:val="24"/>
        </w:rPr>
        <w:t>PGMXIII emphasises the omnipotence of the Gods, making various references to their power and elevated status throughout. This essay has demonstrated that this is not a unique view of the universe, illustrating how PGMXIII presents a cosmology typical of the ancient world and further emphasising the influence of Greek and Egyptian culture.</w:t>
      </w:r>
    </w:p>
    <w:p w14:paraId="5D05855B" w14:textId="37796B38" w:rsidR="00E406B0" w:rsidRPr="00D52C22" w:rsidRDefault="00E406B0" w:rsidP="00E406B0">
      <w:pPr>
        <w:rPr>
          <w:sz w:val="24"/>
          <w:szCs w:val="24"/>
        </w:rPr>
      </w:pPr>
      <w:r w:rsidRPr="00D52C22">
        <w:rPr>
          <w:sz w:val="24"/>
          <w:szCs w:val="24"/>
        </w:rPr>
        <w:t>The astrological content of the text serves to enhance this cosmological view by emphasising the attainability of the Gods</w:t>
      </w:r>
      <w:r w:rsidR="000A5A4D" w:rsidRPr="00D52C22">
        <w:rPr>
          <w:sz w:val="24"/>
          <w:szCs w:val="24"/>
        </w:rPr>
        <w:t>’</w:t>
      </w:r>
      <w:r w:rsidRPr="00D52C22">
        <w:rPr>
          <w:sz w:val="24"/>
          <w:szCs w:val="24"/>
        </w:rPr>
        <w:t xml:space="preserve"> power. By illustrating the interconnection of the cosmos, the Gods</w:t>
      </w:r>
      <w:r w:rsidR="000A5A4D" w:rsidRPr="00D52C22">
        <w:rPr>
          <w:sz w:val="24"/>
          <w:szCs w:val="24"/>
        </w:rPr>
        <w:t>’</w:t>
      </w:r>
      <w:r w:rsidRPr="00D52C22">
        <w:rPr>
          <w:sz w:val="24"/>
          <w:szCs w:val="24"/>
        </w:rPr>
        <w:t xml:space="preserve"> interaction with humanity is also emphasised. The presence of individual fate also strengthens this, illustrating how the Gods interact not only with humanity in general, but also </w:t>
      </w:r>
      <w:r w:rsidR="00676720" w:rsidRPr="00D52C22">
        <w:rPr>
          <w:sz w:val="24"/>
          <w:szCs w:val="24"/>
        </w:rPr>
        <w:t xml:space="preserve">with </w:t>
      </w:r>
      <w:r w:rsidRPr="00D52C22">
        <w:rPr>
          <w:sz w:val="24"/>
          <w:szCs w:val="24"/>
        </w:rPr>
        <w:t>initiates on a personal level.  Thus, together the cosmology and astrology serve to promote PGMXIII as containing everything initiates need t</w:t>
      </w:r>
      <w:r w:rsidR="000A5A4D" w:rsidRPr="00D52C22">
        <w:rPr>
          <w:sz w:val="24"/>
          <w:szCs w:val="24"/>
        </w:rPr>
        <w:t>o utilise</w:t>
      </w:r>
      <w:r w:rsidRPr="00D52C22">
        <w:rPr>
          <w:sz w:val="24"/>
          <w:szCs w:val="24"/>
        </w:rPr>
        <w:t xml:space="preserve"> the accessible power of the Gods </w:t>
      </w:r>
      <w:r w:rsidR="00676720" w:rsidRPr="00D52C22">
        <w:rPr>
          <w:sz w:val="24"/>
          <w:szCs w:val="24"/>
        </w:rPr>
        <w:t>and</w:t>
      </w:r>
      <w:r w:rsidRPr="00D52C22">
        <w:rPr>
          <w:sz w:val="24"/>
          <w:szCs w:val="24"/>
        </w:rPr>
        <w:t xml:space="preserve"> influence their individual fate.</w:t>
      </w:r>
    </w:p>
    <w:p w14:paraId="269B4AB5" w14:textId="77777777" w:rsidR="00961D19" w:rsidRDefault="00961D19" w:rsidP="00057F1E">
      <w:pPr>
        <w:tabs>
          <w:tab w:val="left" w:pos="2790"/>
        </w:tabs>
      </w:pPr>
    </w:p>
    <w:p w14:paraId="33AD9AF8" w14:textId="52A8C76F" w:rsidR="00961D19" w:rsidRDefault="00961D19" w:rsidP="00057F1E">
      <w:pPr>
        <w:tabs>
          <w:tab w:val="left" w:pos="2790"/>
        </w:tabs>
        <w:rPr>
          <w:b/>
          <w:bCs/>
        </w:rPr>
      </w:pPr>
    </w:p>
    <w:p w14:paraId="2FF7C956" w14:textId="4FF3C42E" w:rsidR="005E6389" w:rsidRDefault="005E6389" w:rsidP="00057F1E">
      <w:pPr>
        <w:tabs>
          <w:tab w:val="left" w:pos="2790"/>
        </w:tabs>
        <w:rPr>
          <w:b/>
          <w:bCs/>
        </w:rPr>
      </w:pPr>
    </w:p>
    <w:p w14:paraId="55B9EDAE" w14:textId="58E0054D" w:rsidR="005E6389" w:rsidRDefault="005E6389" w:rsidP="00057F1E">
      <w:pPr>
        <w:tabs>
          <w:tab w:val="left" w:pos="2790"/>
        </w:tabs>
        <w:rPr>
          <w:b/>
          <w:bCs/>
        </w:rPr>
      </w:pPr>
    </w:p>
    <w:p w14:paraId="253833B1" w14:textId="7823C32C" w:rsidR="005E6389" w:rsidRDefault="005E6389" w:rsidP="00057F1E">
      <w:pPr>
        <w:tabs>
          <w:tab w:val="left" w:pos="2790"/>
        </w:tabs>
        <w:rPr>
          <w:b/>
          <w:bCs/>
        </w:rPr>
      </w:pPr>
    </w:p>
    <w:p w14:paraId="0F035FD4" w14:textId="0F8010C6" w:rsidR="005E6389" w:rsidRDefault="005E6389" w:rsidP="00057F1E">
      <w:pPr>
        <w:tabs>
          <w:tab w:val="left" w:pos="2790"/>
        </w:tabs>
        <w:rPr>
          <w:b/>
          <w:bCs/>
        </w:rPr>
      </w:pPr>
    </w:p>
    <w:p w14:paraId="3F103DB8" w14:textId="6D1C81C0" w:rsidR="005E6389" w:rsidRDefault="005E6389" w:rsidP="00057F1E">
      <w:pPr>
        <w:tabs>
          <w:tab w:val="left" w:pos="2790"/>
        </w:tabs>
        <w:rPr>
          <w:b/>
          <w:bCs/>
        </w:rPr>
      </w:pPr>
    </w:p>
    <w:p w14:paraId="79AA8EA5" w14:textId="1F2F3F5D" w:rsidR="005E6389" w:rsidRDefault="005E6389" w:rsidP="00057F1E">
      <w:pPr>
        <w:tabs>
          <w:tab w:val="left" w:pos="2790"/>
        </w:tabs>
        <w:rPr>
          <w:b/>
          <w:bCs/>
        </w:rPr>
      </w:pPr>
    </w:p>
    <w:p w14:paraId="729E8A28" w14:textId="47270349" w:rsidR="005E6389" w:rsidRDefault="005E6389" w:rsidP="00057F1E">
      <w:pPr>
        <w:tabs>
          <w:tab w:val="left" w:pos="2790"/>
        </w:tabs>
        <w:rPr>
          <w:b/>
          <w:bCs/>
        </w:rPr>
      </w:pPr>
    </w:p>
    <w:p w14:paraId="3EB5F0F2" w14:textId="64E93D31" w:rsidR="005E6389" w:rsidRDefault="005E6389" w:rsidP="00057F1E">
      <w:pPr>
        <w:tabs>
          <w:tab w:val="left" w:pos="2790"/>
        </w:tabs>
        <w:rPr>
          <w:b/>
          <w:bCs/>
        </w:rPr>
      </w:pPr>
    </w:p>
    <w:p w14:paraId="62DD735D" w14:textId="649FAC92" w:rsidR="005E6389" w:rsidRDefault="005E6389" w:rsidP="00057F1E">
      <w:pPr>
        <w:tabs>
          <w:tab w:val="left" w:pos="2790"/>
        </w:tabs>
        <w:rPr>
          <w:b/>
          <w:bCs/>
        </w:rPr>
      </w:pPr>
    </w:p>
    <w:p w14:paraId="5CAC4B8F" w14:textId="58DB83B7" w:rsidR="005E6389" w:rsidRDefault="005E6389" w:rsidP="00057F1E">
      <w:pPr>
        <w:tabs>
          <w:tab w:val="left" w:pos="2790"/>
        </w:tabs>
        <w:rPr>
          <w:b/>
          <w:bCs/>
        </w:rPr>
      </w:pPr>
    </w:p>
    <w:p w14:paraId="7858EA5B" w14:textId="06238DF6" w:rsidR="005E6389" w:rsidRDefault="005E6389" w:rsidP="00057F1E">
      <w:pPr>
        <w:tabs>
          <w:tab w:val="left" w:pos="2790"/>
        </w:tabs>
        <w:rPr>
          <w:b/>
          <w:bCs/>
        </w:rPr>
      </w:pPr>
    </w:p>
    <w:p w14:paraId="1D09D53C" w14:textId="0612E9CE" w:rsidR="005E6389" w:rsidRDefault="005E6389" w:rsidP="00057F1E">
      <w:pPr>
        <w:tabs>
          <w:tab w:val="left" w:pos="2790"/>
        </w:tabs>
        <w:rPr>
          <w:b/>
          <w:bCs/>
        </w:rPr>
      </w:pPr>
    </w:p>
    <w:p w14:paraId="1EA0331E" w14:textId="02D5D0FB" w:rsidR="00D52C22" w:rsidRDefault="00D52C22" w:rsidP="00057F1E">
      <w:pPr>
        <w:tabs>
          <w:tab w:val="left" w:pos="2790"/>
        </w:tabs>
        <w:rPr>
          <w:b/>
          <w:bCs/>
        </w:rPr>
      </w:pPr>
    </w:p>
    <w:p w14:paraId="5FBEE0CF" w14:textId="77777777" w:rsidR="00D52C22" w:rsidRDefault="00D52C22" w:rsidP="00057F1E">
      <w:pPr>
        <w:tabs>
          <w:tab w:val="left" w:pos="2790"/>
        </w:tabs>
        <w:rPr>
          <w:b/>
          <w:bCs/>
        </w:rPr>
      </w:pPr>
    </w:p>
    <w:p w14:paraId="29997EC0" w14:textId="77777777" w:rsidR="005E6389" w:rsidRPr="005E6389" w:rsidRDefault="005E6389" w:rsidP="005E6389">
      <w:pPr>
        <w:rPr>
          <w:b/>
          <w:bCs/>
          <w:sz w:val="24"/>
          <w:szCs w:val="24"/>
          <w:u w:val="single"/>
        </w:rPr>
      </w:pPr>
      <w:r w:rsidRPr="005E6389">
        <w:rPr>
          <w:b/>
          <w:bCs/>
          <w:sz w:val="24"/>
          <w:szCs w:val="24"/>
          <w:u w:val="single"/>
        </w:rPr>
        <w:lastRenderedPageBreak/>
        <w:t>Bibliography</w:t>
      </w:r>
    </w:p>
    <w:p w14:paraId="00A04D04" w14:textId="0E8142BB" w:rsidR="005E6389" w:rsidRPr="005E6389" w:rsidRDefault="005E6389" w:rsidP="005E6389">
      <w:pPr>
        <w:rPr>
          <w:b/>
          <w:bCs/>
          <w:sz w:val="24"/>
          <w:szCs w:val="24"/>
          <w:u w:val="single"/>
        </w:rPr>
      </w:pPr>
      <w:r w:rsidRPr="005E6389">
        <w:rPr>
          <w:b/>
          <w:bCs/>
          <w:sz w:val="24"/>
          <w:szCs w:val="24"/>
          <w:u w:val="single"/>
        </w:rPr>
        <w:t>Primary Sources</w:t>
      </w:r>
    </w:p>
    <w:p w14:paraId="20B74DF3" w14:textId="77777777" w:rsidR="005E6389" w:rsidRPr="005E6389" w:rsidRDefault="005E6389" w:rsidP="005E6389">
      <w:pPr>
        <w:rPr>
          <w:sz w:val="24"/>
          <w:szCs w:val="24"/>
        </w:rPr>
      </w:pPr>
      <w:r w:rsidRPr="005E6389">
        <w:rPr>
          <w:sz w:val="24"/>
          <w:szCs w:val="24"/>
        </w:rPr>
        <w:t xml:space="preserve">Apollonius </w:t>
      </w:r>
      <w:proofErr w:type="spellStart"/>
      <w:r w:rsidRPr="005E6389">
        <w:rPr>
          <w:sz w:val="24"/>
          <w:szCs w:val="24"/>
        </w:rPr>
        <w:t>Rhodius</w:t>
      </w:r>
      <w:proofErr w:type="spellEnd"/>
      <w:r w:rsidRPr="005E6389">
        <w:rPr>
          <w:sz w:val="24"/>
          <w:szCs w:val="24"/>
        </w:rPr>
        <w:t xml:space="preserve">, </w:t>
      </w:r>
      <w:r w:rsidRPr="005E6389">
        <w:rPr>
          <w:i/>
          <w:iCs/>
          <w:sz w:val="24"/>
          <w:szCs w:val="24"/>
        </w:rPr>
        <w:t xml:space="preserve">The Argonautica, </w:t>
      </w:r>
      <w:r w:rsidRPr="005E6389">
        <w:rPr>
          <w:sz w:val="24"/>
          <w:szCs w:val="24"/>
        </w:rPr>
        <w:t>trans. By R. C. Seaton (Cambridge, MA: Harvard University Press, 1912)</w:t>
      </w:r>
    </w:p>
    <w:p w14:paraId="33361F4C" w14:textId="77777777" w:rsidR="005E6389" w:rsidRPr="005E6389" w:rsidRDefault="005E6389" w:rsidP="005E6389">
      <w:pPr>
        <w:rPr>
          <w:sz w:val="24"/>
          <w:szCs w:val="24"/>
        </w:rPr>
      </w:pPr>
      <w:r w:rsidRPr="005E6389">
        <w:rPr>
          <w:sz w:val="24"/>
          <w:szCs w:val="24"/>
        </w:rPr>
        <w:t xml:space="preserve">Aristotle, </w:t>
      </w:r>
      <w:r w:rsidRPr="005E6389">
        <w:rPr>
          <w:i/>
          <w:iCs/>
          <w:sz w:val="24"/>
          <w:szCs w:val="24"/>
        </w:rPr>
        <w:t xml:space="preserve">On the Heavens, </w:t>
      </w:r>
      <w:r w:rsidRPr="005E6389">
        <w:rPr>
          <w:sz w:val="24"/>
          <w:szCs w:val="24"/>
        </w:rPr>
        <w:t xml:space="preserve">trans. By J. L. Stocks (1922) Available at </w:t>
      </w:r>
      <w:hyperlink r:id="rId8" w:history="1">
        <w:r w:rsidRPr="005E6389">
          <w:rPr>
            <w:rStyle w:val="Hyperlink"/>
            <w:sz w:val="24"/>
            <w:szCs w:val="24"/>
          </w:rPr>
          <w:t>http://classics.mit.edu/Aristotle/heavens.1.i.html</w:t>
        </w:r>
      </w:hyperlink>
      <w:r w:rsidRPr="005E6389">
        <w:rPr>
          <w:sz w:val="24"/>
          <w:szCs w:val="24"/>
        </w:rPr>
        <w:t xml:space="preserve"> [Accessed on June 3rd 2020]</w:t>
      </w:r>
    </w:p>
    <w:p w14:paraId="3E5B788B" w14:textId="77777777" w:rsidR="005E6389" w:rsidRPr="005E6389" w:rsidRDefault="005E6389" w:rsidP="005E6389">
      <w:pPr>
        <w:rPr>
          <w:sz w:val="24"/>
          <w:szCs w:val="24"/>
        </w:rPr>
      </w:pPr>
      <w:r w:rsidRPr="005E6389">
        <w:rPr>
          <w:sz w:val="24"/>
          <w:szCs w:val="24"/>
        </w:rPr>
        <w:t xml:space="preserve">Aurelius Augustine, </w:t>
      </w:r>
      <w:r w:rsidRPr="005E6389">
        <w:rPr>
          <w:i/>
          <w:iCs/>
          <w:sz w:val="24"/>
          <w:szCs w:val="24"/>
        </w:rPr>
        <w:t xml:space="preserve">The City of God, </w:t>
      </w:r>
      <w:r w:rsidRPr="005E6389">
        <w:rPr>
          <w:sz w:val="24"/>
          <w:szCs w:val="24"/>
        </w:rPr>
        <w:t xml:space="preserve">trans. By Marcus </w:t>
      </w:r>
      <w:proofErr w:type="spellStart"/>
      <w:r w:rsidRPr="005E6389">
        <w:rPr>
          <w:sz w:val="24"/>
          <w:szCs w:val="24"/>
        </w:rPr>
        <w:t>Dodds</w:t>
      </w:r>
      <w:proofErr w:type="spellEnd"/>
      <w:r w:rsidRPr="005E6389">
        <w:rPr>
          <w:sz w:val="24"/>
          <w:szCs w:val="24"/>
        </w:rPr>
        <w:t xml:space="preserve"> (2014) Available at </w:t>
      </w:r>
      <w:hyperlink r:id="rId9" w:history="1">
        <w:r w:rsidRPr="005E6389">
          <w:rPr>
            <w:rStyle w:val="Hyperlink"/>
            <w:sz w:val="24"/>
            <w:szCs w:val="24"/>
          </w:rPr>
          <w:t>https://gutenberg.org/files/45304/45304-h/45304-h.htm</w:t>
        </w:r>
      </w:hyperlink>
      <w:r w:rsidRPr="005E6389">
        <w:rPr>
          <w:sz w:val="24"/>
          <w:szCs w:val="24"/>
        </w:rPr>
        <w:t xml:space="preserve"> [Accessed on June 10</w:t>
      </w:r>
      <w:r w:rsidRPr="005E6389">
        <w:rPr>
          <w:sz w:val="24"/>
          <w:szCs w:val="24"/>
          <w:vertAlign w:val="superscript"/>
        </w:rPr>
        <w:t>th</w:t>
      </w:r>
      <w:r w:rsidRPr="005E6389">
        <w:rPr>
          <w:sz w:val="24"/>
          <w:szCs w:val="24"/>
        </w:rPr>
        <w:t xml:space="preserve"> 2020]</w:t>
      </w:r>
    </w:p>
    <w:p w14:paraId="562C4B18" w14:textId="77777777" w:rsidR="005E6389" w:rsidRPr="005E6389" w:rsidRDefault="005E6389" w:rsidP="005E6389">
      <w:pPr>
        <w:rPr>
          <w:sz w:val="24"/>
          <w:szCs w:val="24"/>
        </w:rPr>
      </w:pPr>
      <w:r w:rsidRPr="005E6389">
        <w:rPr>
          <w:sz w:val="24"/>
          <w:szCs w:val="24"/>
        </w:rPr>
        <w:t xml:space="preserve">Claudius Ptolemy, </w:t>
      </w:r>
      <w:proofErr w:type="spellStart"/>
      <w:r w:rsidRPr="005E6389">
        <w:rPr>
          <w:i/>
          <w:iCs/>
          <w:sz w:val="24"/>
          <w:szCs w:val="24"/>
        </w:rPr>
        <w:t>Tetrabiblos</w:t>
      </w:r>
      <w:proofErr w:type="spellEnd"/>
      <w:r w:rsidRPr="005E6389">
        <w:rPr>
          <w:i/>
          <w:iCs/>
          <w:sz w:val="24"/>
          <w:szCs w:val="24"/>
        </w:rPr>
        <w:t xml:space="preserve">, </w:t>
      </w:r>
      <w:r w:rsidRPr="005E6389">
        <w:rPr>
          <w:sz w:val="24"/>
          <w:szCs w:val="24"/>
        </w:rPr>
        <w:t>trans. By Frank Egleston Robbins (Harvard University Press, 1940)</w:t>
      </w:r>
    </w:p>
    <w:p w14:paraId="7C49AABC" w14:textId="77777777" w:rsidR="005E6389" w:rsidRPr="005E6389" w:rsidRDefault="005E6389" w:rsidP="005E6389">
      <w:pPr>
        <w:rPr>
          <w:sz w:val="24"/>
          <w:szCs w:val="24"/>
        </w:rPr>
      </w:pPr>
      <w:r w:rsidRPr="005E6389">
        <w:rPr>
          <w:sz w:val="24"/>
          <w:szCs w:val="24"/>
        </w:rPr>
        <w:t xml:space="preserve">Homer, </w:t>
      </w:r>
      <w:r w:rsidRPr="005E6389">
        <w:rPr>
          <w:i/>
          <w:iCs/>
          <w:sz w:val="24"/>
          <w:szCs w:val="24"/>
        </w:rPr>
        <w:t xml:space="preserve">The Iliad of Homer, </w:t>
      </w:r>
      <w:r w:rsidRPr="005E6389">
        <w:rPr>
          <w:sz w:val="24"/>
          <w:szCs w:val="24"/>
        </w:rPr>
        <w:t xml:space="preserve">trans. By Alexander Pope (2006) Available at </w:t>
      </w:r>
      <w:hyperlink r:id="rId10" w:history="1">
        <w:r w:rsidRPr="005E6389">
          <w:rPr>
            <w:rStyle w:val="Hyperlink"/>
            <w:sz w:val="24"/>
            <w:szCs w:val="24"/>
          </w:rPr>
          <w:t>https://www.gutenberg.org/files/6130/6130-pdf.pdf</w:t>
        </w:r>
      </w:hyperlink>
      <w:r w:rsidRPr="005E6389">
        <w:rPr>
          <w:sz w:val="24"/>
          <w:szCs w:val="24"/>
        </w:rPr>
        <w:t xml:space="preserve"> [Accessed on 13th June 2020]</w:t>
      </w:r>
    </w:p>
    <w:p w14:paraId="3127F864" w14:textId="09AFD0F1" w:rsidR="005E6389" w:rsidRPr="005E6389" w:rsidRDefault="005E6389" w:rsidP="005E6389">
      <w:pPr>
        <w:rPr>
          <w:b/>
          <w:bCs/>
          <w:sz w:val="24"/>
          <w:szCs w:val="24"/>
          <w:u w:val="single"/>
        </w:rPr>
      </w:pPr>
      <w:r w:rsidRPr="005E6389">
        <w:rPr>
          <w:b/>
          <w:bCs/>
          <w:sz w:val="24"/>
          <w:szCs w:val="24"/>
          <w:u w:val="single"/>
        </w:rPr>
        <w:t>Secondary Sources</w:t>
      </w:r>
    </w:p>
    <w:p w14:paraId="6570E52C" w14:textId="77777777" w:rsidR="005E6389" w:rsidRPr="005E6389" w:rsidRDefault="005E6389" w:rsidP="005E6389">
      <w:pPr>
        <w:rPr>
          <w:sz w:val="24"/>
          <w:szCs w:val="24"/>
        </w:rPr>
      </w:pPr>
      <w:r w:rsidRPr="005E6389">
        <w:rPr>
          <w:sz w:val="24"/>
          <w:szCs w:val="24"/>
        </w:rPr>
        <w:t xml:space="preserve">[129] The Astrology Podcast, </w:t>
      </w:r>
      <w:r w:rsidRPr="005E6389">
        <w:rPr>
          <w:i/>
          <w:iCs/>
          <w:sz w:val="24"/>
          <w:szCs w:val="24"/>
        </w:rPr>
        <w:t>A Newly Discovered 4</w:t>
      </w:r>
      <w:r w:rsidRPr="005E6389">
        <w:rPr>
          <w:i/>
          <w:iCs/>
          <w:sz w:val="24"/>
          <w:szCs w:val="24"/>
          <w:vertAlign w:val="superscript"/>
        </w:rPr>
        <w:t>th</w:t>
      </w:r>
      <w:r w:rsidRPr="005E6389">
        <w:rPr>
          <w:i/>
          <w:iCs/>
          <w:sz w:val="24"/>
          <w:szCs w:val="24"/>
        </w:rPr>
        <w:t xml:space="preserve"> Century Horoscope. </w:t>
      </w:r>
      <w:r w:rsidRPr="005E6389">
        <w:rPr>
          <w:sz w:val="24"/>
          <w:szCs w:val="24"/>
        </w:rPr>
        <w:t>Accessed 17</w:t>
      </w:r>
      <w:r w:rsidRPr="005E6389">
        <w:rPr>
          <w:sz w:val="24"/>
          <w:szCs w:val="24"/>
          <w:vertAlign w:val="superscript"/>
        </w:rPr>
        <w:t>th</w:t>
      </w:r>
      <w:r w:rsidRPr="005E6389">
        <w:rPr>
          <w:sz w:val="24"/>
          <w:szCs w:val="24"/>
        </w:rPr>
        <w:t xml:space="preserve"> June 2020. [Online]. Available: </w:t>
      </w:r>
      <w:hyperlink r:id="rId11" w:history="1">
        <w:r w:rsidRPr="005E6389">
          <w:rPr>
            <w:rStyle w:val="Hyperlink"/>
            <w:sz w:val="24"/>
            <w:szCs w:val="24"/>
          </w:rPr>
          <w:t>https://theastrologypodcast.com/2017/10/19/newly-discovered-4th-century-horoscope/</w:t>
        </w:r>
      </w:hyperlink>
      <w:r w:rsidRPr="005E6389">
        <w:rPr>
          <w:sz w:val="24"/>
          <w:szCs w:val="24"/>
        </w:rPr>
        <w:t xml:space="preserve"> </w:t>
      </w:r>
    </w:p>
    <w:p w14:paraId="3714C8D0" w14:textId="77777777" w:rsidR="005E6389" w:rsidRPr="005E6389" w:rsidRDefault="005E6389" w:rsidP="005E6389">
      <w:pPr>
        <w:rPr>
          <w:sz w:val="24"/>
          <w:szCs w:val="24"/>
        </w:rPr>
      </w:pPr>
      <w:r w:rsidRPr="005E6389">
        <w:rPr>
          <w:sz w:val="24"/>
          <w:szCs w:val="24"/>
        </w:rPr>
        <w:t xml:space="preserve">Betz, H.D. (1986) </w:t>
      </w:r>
      <w:r w:rsidRPr="005E6389">
        <w:rPr>
          <w:i/>
          <w:iCs/>
          <w:sz w:val="24"/>
          <w:szCs w:val="24"/>
        </w:rPr>
        <w:t xml:space="preserve">The Greek Magical Papyri in Translation – Including the Demotic Spells. </w:t>
      </w:r>
      <w:r w:rsidRPr="005E6389">
        <w:rPr>
          <w:sz w:val="24"/>
          <w:szCs w:val="24"/>
        </w:rPr>
        <w:t>University of Chicago Press: London.</w:t>
      </w:r>
    </w:p>
    <w:p w14:paraId="3368A8C2" w14:textId="77777777" w:rsidR="005E6389" w:rsidRPr="005E6389" w:rsidRDefault="005E6389" w:rsidP="005E6389">
      <w:pPr>
        <w:rPr>
          <w:sz w:val="24"/>
          <w:szCs w:val="24"/>
        </w:rPr>
      </w:pPr>
      <w:r w:rsidRPr="005E6389">
        <w:rPr>
          <w:sz w:val="24"/>
          <w:szCs w:val="24"/>
        </w:rPr>
        <w:t xml:space="preserve">Campion, N. (2012) </w:t>
      </w:r>
      <w:r w:rsidRPr="005E6389">
        <w:rPr>
          <w:i/>
          <w:iCs/>
          <w:sz w:val="24"/>
          <w:szCs w:val="24"/>
        </w:rPr>
        <w:t>Astrology and Cosmology in the World’s Religions</w:t>
      </w:r>
      <w:r w:rsidRPr="005E6389">
        <w:rPr>
          <w:sz w:val="24"/>
          <w:szCs w:val="24"/>
        </w:rPr>
        <w:t>. New York University Press: New York.</w:t>
      </w:r>
    </w:p>
    <w:p w14:paraId="511EE21B" w14:textId="77777777" w:rsidR="005E6389" w:rsidRPr="005E6389" w:rsidRDefault="005E6389" w:rsidP="005E6389">
      <w:pPr>
        <w:rPr>
          <w:sz w:val="24"/>
          <w:szCs w:val="24"/>
        </w:rPr>
      </w:pPr>
      <w:r w:rsidRPr="005E6389">
        <w:rPr>
          <w:sz w:val="24"/>
          <w:szCs w:val="24"/>
        </w:rPr>
        <w:t xml:space="preserve">Cartwright, M (2013) Prometheus. Available at: </w:t>
      </w:r>
      <w:hyperlink r:id="rId12" w:history="1">
        <w:r w:rsidRPr="005E6389">
          <w:rPr>
            <w:rStyle w:val="Hyperlink"/>
            <w:sz w:val="24"/>
            <w:szCs w:val="24"/>
          </w:rPr>
          <w:t>https://www.ancient.eu/Prometheus/</w:t>
        </w:r>
      </w:hyperlink>
      <w:r w:rsidRPr="005E6389">
        <w:rPr>
          <w:sz w:val="24"/>
          <w:szCs w:val="24"/>
        </w:rPr>
        <w:t xml:space="preserve"> [Accessed on 10th June 2020]</w:t>
      </w:r>
    </w:p>
    <w:p w14:paraId="28D51887" w14:textId="77777777" w:rsidR="005E6389" w:rsidRPr="005E6389" w:rsidRDefault="005E6389" w:rsidP="005E6389">
      <w:pPr>
        <w:rPr>
          <w:sz w:val="24"/>
          <w:szCs w:val="24"/>
        </w:rPr>
      </w:pPr>
      <w:r w:rsidRPr="005E6389">
        <w:rPr>
          <w:sz w:val="24"/>
          <w:szCs w:val="24"/>
        </w:rPr>
        <w:t xml:space="preserve">Daniel, R.W. (1991) </w:t>
      </w:r>
      <w:r w:rsidRPr="005E6389">
        <w:rPr>
          <w:i/>
          <w:iCs/>
          <w:sz w:val="24"/>
          <w:szCs w:val="24"/>
        </w:rPr>
        <w:t xml:space="preserve">Two Greek Magical Papyri in the National Museum of Antiquities in Leiden: A Photographical Edition of J384 &amp; J395. </w:t>
      </w:r>
      <w:proofErr w:type="spellStart"/>
      <w:r w:rsidRPr="005E6389">
        <w:rPr>
          <w:sz w:val="24"/>
          <w:szCs w:val="24"/>
        </w:rPr>
        <w:t>Opladen</w:t>
      </w:r>
      <w:proofErr w:type="spellEnd"/>
      <w:r w:rsidRPr="005E6389">
        <w:rPr>
          <w:sz w:val="24"/>
          <w:szCs w:val="24"/>
        </w:rPr>
        <w:t xml:space="preserve">: </w:t>
      </w:r>
      <w:proofErr w:type="spellStart"/>
      <w:r w:rsidRPr="005E6389">
        <w:rPr>
          <w:sz w:val="24"/>
          <w:szCs w:val="24"/>
        </w:rPr>
        <w:t>Westdeutscher</w:t>
      </w:r>
      <w:proofErr w:type="spellEnd"/>
      <w:r w:rsidRPr="005E6389">
        <w:rPr>
          <w:sz w:val="24"/>
          <w:szCs w:val="24"/>
        </w:rPr>
        <w:t xml:space="preserve"> Verlag</w:t>
      </w:r>
    </w:p>
    <w:p w14:paraId="121AAA0B" w14:textId="77777777" w:rsidR="005E6389" w:rsidRPr="005E6389" w:rsidRDefault="005E6389" w:rsidP="005E6389">
      <w:pPr>
        <w:rPr>
          <w:sz w:val="24"/>
          <w:szCs w:val="24"/>
        </w:rPr>
      </w:pPr>
      <w:r w:rsidRPr="005E6389">
        <w:rPr>
          <w:sz w:val="24"/>
          <w:szCs w:val="24"/>
        </w:rPr>
        <w:t xml:space="preserve">el-Sayed el-Aswad. (1997) ‘Archaic Egyptian Cosmology’. </w:t>
      </w:r>
      <w:r w:rsidRPr="005E6389">
        <w:rPr>
          <w:i/>
          <w:iCs/>
          <w:sz w:val="24"/>
          <w:szCs w:val="24"/>
        </w:rPr>
        <w:t xml:space="preserve">Anthropos. </w:t>
      </w:r>
      <w:r w:rsidRPr="005E6389">
        <w:rPr>
          <w:sz w:val="24"/>
          <w:szCs w:val="24"/>
        </w:rPr>
        <w:t>92(1), pp.69-81.</w:t>
      </w:r>
    </w:p>
    <w:p w14:paraId="23FA27E9" w14:textId="77777777" w:rsidR="005E6389" w:rsidRPr="005E6389" w:rsidRDefault="005E6389" w:rsidP="005E6389">
      <w:pPr>
        <w:rPr>
          <w:color w:val="FF0000"/>
          <w:sz w:val="24"/>
          <w:szCs w:val="24"/>
        </w:rPr>
      </w:pPr>
      <w:r w:rsidRPr="005E6389">
        <w:rPr>
          <w:sz w:val="24"/>
          <w:szCs w:val="24"/>
        </w:rPr>
        <w:t xml:space="preserve">Greenbaum, D.G. (2015) </w:t>
      </w:r>
      <w:r w:rsidRPr="005E6389">
        <w:rPr>
          <w:i/>
          <w:iCs/>
          <w:sz w:val="24"/>
          <w:szCs w:val="24"/>
        </w:rPr>
        <w:t xml:space="preserve">The Daimon in Hellenistic Astrology – Origins and Influence. </w:t>
      </w:r>
      <w:r w:rsidRPr="005E6389">
        <w:rPr>
          <w:sz w:val="24"/>
          <w:szCs w:val="24"/>
        </w:rPr>
        <w:t>Brill: Boston</w:t>
      </w:r>
    </w:p>
    <w:p w14:paraId="4ED9ED29" w14:textId="77777777" w:rsidR="005E6389" w:rsidRPr="005E6389" w:rsidRDefault="005E6389" w:rsidP="005E6389">
      <w:pPr>
        <w:rPr>
          <w:color w:val="FF0000"/>
          <w:sz w:val="24"/>
          <w:szCs w:val="24"/>
        </w:rPr>
      </w:pPr>
      <w:r w:rsidRPr="005E6389">
        <w:rPr>
          <w:sz w:val="24"/>
          <w:szCs w:val="24"/>
        </w:rPr>
        <w:t xml:space="preserve">Greenbaum, D.G. &amp; Jones, A. (2017) </w:t>
      </w:r>
      <w:proofErr w:type="spellStart"/>
      <w:proofErr w:type="gramStart"/>
      <w:r w:rsidRPr="005E6389">
        <w:rPr>
          <w:sz w:val="24"/>
          <w:szCs w:val="24"/>
        </w:rPr>
        <w:t>P.Berl</w:t>
      </w:r>
      <w:proofErr w:type="spellEnd"/>
      <w:proofErr w:type="gramEnd"/>
      <w:r w:rsidRPr="005E6389">
        <w:rPr>
          <w:sz w:val="24"/>
          <w:szCs w:val="24"/>
        </w:rPr>
        <w:t xml:space="preserve">. 9825: An Elaborate Horoscope for 319 CE and its Significance for Greek Astronomical and Astrological Practise. Institute for the Study of the Ancient World: New York University. Available at </w:t>
      </w:r>
      <w:hyperlink r:id="rId13" w:history="1">
        <w:r w:rsidRPr="005E6389">
          <w:rPr>
            <w:rStyle w:val="Hyperlink"/>
            <w:sz w:val="24"/>
            <w:szCs w:val="24"/>
          </w:rPr>
          <w:t>http://dlib.nyu.edu/awdl/isaw/isaw-papers/12/</w:t>
        </w:r>
      </w:hyperlink>
      <w:r w:rsidRPr="005E6389">
        <w:rPr>
          <w:color w:val="FF0000"/>
          <w:sz w:val="24"/>
          <w:szCs w:val="24"/>
        </w:rPr>
        <w:t xml:space="preserve"> </w:t>
      </w:r>
      <w:r w:rsidRPr="005E6389">
        <w:rPr>
          <w:sz w:val="24"/>
          <w:szCs w:val="24"/>
        </w:rPr>
        <w:t>[Accessed on 7</w:t>
      </w:r>
      <w:r w:rsidRPr="005E6389">
        <w:rPr>
          <w:sz w:val="24"/>
          <w:szCs w:val="24"/>
          <w:vertAlign w:val="superscript"/>
        </w:rPr>
        <w:t>th</w:t>
      </w:r>
      <w:r w:rsidRPr="005E6389">
        <w:rPr>
          <w:sz w:val="24"/>
          <w:szCs w:val="24"/>
        </w:rPr>
        <w:t xml:space="preserve"> June 2020]</w:t>
      </w:r>
    </w:p>
    <w:p w14:paraId="196C1DBB" w14:textId="77777777" w:rsidR="005E6389" w:rsidRPr="005E6389" w:rsidRDefault="005E6389" w:rsidP="005E6389">
      <w:pPr>
        <w:rPr>
          <w:sz w:val="24"/>
          <w:szCs w:val="24"/>
        </w:rPr>
      </w:pPr>
      <w:r w:rsidRPr="005E6389">
        <w:rPr>
          <w:sz w:val="24"/>
          <w:szCs w:val="24"/>
        </w:rPr>
        <w:t xml:space="preserve">Greenbaum, D.G. (2020) ‘The Hellenistic Horoscope’ in Bower, A.C. &amp; </w:t>
      </w:r>
      <w:proofErr w:type="spellStart"/>
      <w:r w:rsidRPr="005E6389">
        <w:rPr>
          <w:sz w:val="24"/>
          <w:szCs w:val="24"/>
        </w:rPr>
        <w:t>Rochbery</w:t>
      </w:r>
      <w:proofErr w:type="spellEnd"/>
      <w:r w:rsidRPr="005E6389">
        <w:rPr>
          <w:sz w:val="24"/>
          <w:szCs w:val="24"/>
        </w:rPr>
        <w:t xml:space="preserve">, F. </w:t>
      </w:r>
      <w:r w:rsidRPr="005E6389">
        <w:rPr>
          <w:i/>
          <w:iCs/>
          <w:sz w:val="24"/>
          <w:szCs w:val="24"/>
        </w:rPr>
        <w:t>Hellenistic Astronomy – The Science in its Contexts.</w:t>
      </w:r>
      <w:r w:rsidRPr="005E6389">
        <w:rPr>
          <w:sz w:val="24"/>
          <w:szCs w:val="24"/>
        </w:rPr>
        <w:t xml:space="preserve"> Brill: Boston, pp.443-471</w:t>
      </w:r>
    </w:p>
    <w:p w14:paraId="63BD4E9F" w14:textId="77777777" w:rsidR="005E6389" w:rsidRPr="005E6389" w:rsidRDefault="005E6389" w:rsidP="005E6389">
      <w:pPr>
        <w:rPr>
          <w:sz w:val="24"/>
          <w:szCs w:val="24"/>
        </w:rPr>
      </w:pPr>
      <w:r w:rsidRPr="005E6389">
        <w:rPr>
          <w:sz w:val="24"/>
          <w:szCs w:val="24"/>
        </w:rPr>
        <w:t xml:space="preserve">Griffiths, J.G. (1969) ‘Astrology in the Papyri’. </w:t>
      </w:r>
      <w:r w:rsidRPr="005E6389">
        <w:rPr>
          <w:i/>
          <w:iCs/>
          <w:sz w:val="24"/>
          <w:szCs w:val="24"/>
        </w:rPr>
        <w:t xml:space="preserve">The Classical Review. </w:t>
      </w:r>
      <w:r w:rsidRPr="005E6389">
        <w:rPr>
          <w:sz w:val="24"/>
          <w:szCs w:val="24"/>
        </w:rPr>
        <w:t>19(3), pp.358-360</w:t>
      </w:r>
    </w:p>
    <w:p w14:paraId="707E12BC" w14:textId="77777777" w:rsidR="005E6389" w:rsidRPr="005E6389" w:rsidRDefault="005E6389" w:rsidP="005E6389">
      <w:pPr>
        <w:rPr>
          <w:sz w:val="24"/>
          <w:szCs w:val="24"/>
        </w:rPr>
      </w:pPr>
      <w:proofErr w:type="spellStart"/>
      <w:r w:rsidRPr="005E6389">
        <w:rPr>
          <w:sz w:val="24"/>
          <w:szCs w:val="24"/>
        </w:rPr>
        <w:lastRenderedPageBreak/>
        <w:t>Kaatz</w:t>
      </w:r>
      <w:proofErr w:type="spellEnd"/>
      <w:r w:rsidRPr="005E6389">
        <w:rPr>
          <w:sz w:val="24"/>
          <w:szCs w:val="24"/>
        </w:rPr>
        <w:t xml:space="preserve">, K.W. (2016) </w:t>
      </w:r>
      <w:r w:rsidRPr="005E6389">
        <w:rPr>
          <w:i/>
          <w:iCs/>
          <w:sz w:val="24"/>
          <w:szCs w:val="24"/>
        </w:rPr>
        <w:t xml:space="preserve">The Rise of Christianity – History, Documents, and Key Questions. </w:t>
      </w:r>
      <w:r w:rsidRPr="005E6389">
        <w:rPr>
          <w:sz w:val="24"/>
          <w:szCs w:val="24"/>
        </w:rPr>
        <w:t xml:space="preserve">ABC-CLIO: California. </w:t>
      </w:r>
    </w:p>
    <w:p w14:paraId="2FA1A27F" w14:textId="77777777" w:rsidR="005E6389" w:rsidRPr="005E6389" w:rsidRDefault="005E6389" w:rsidP="005E6389">
      <w:pPr>
        <w:rPr>
          <w:sz w:val="24"/>
          <w:szCs w:val="24"/>
        </w:rPr>
      </w:pPr>
      <w:proofErr w:type="spellStart"/>
      <w:r w:rsidRPr="005E6389">
        <w:rPr>
          <w:sz w:val="24"/>
          <w:szCs w:val="24"/>
        </w:rPr>
        <w:t>Kak</w:t>
      </w:r>
      <w:proofErr w:type="spellEnd"/>
      <w:r w:rsidRPr="005E6389">
        <w:rPr>
          <w:sz w:val="24"/>
          <w:szCs w:val="24"/>
        </w:rPr>
        <w:t xml:space="preserve">, S. (2018) ‘Greek and Indian Cosmology: Review of Early History’. </w:t>
      </w:r>
      <w:r w:rsidRPr="005E6389">
        <w:rPr>
          <w:i/>
          <w:iCs/>
          <w:sz w:val="24"/>
          <w:szCs w:val="24"/>
        </w:rPr>
        <w:t xml:space="preserve">History of Science, Philosophy and Culture in Indian Civilization. </w:t>
      </w:r>
      <w:r w:rsidRPr="005E6389">
        <w:rPr>
          <w:sz w:val="24"/>
          <w:szCs w:val="24"/>
        </w:rPr>
        <w:t>1(4), pp.871-894</w:t>
      </w:r>
    </w:p>
    <w:p w14:paraId="66E3A0B3" w14:textId="77777777" w:rsidR="005E6389" w:rsidRPr="005E6389" w:rsidRDefault="005E6389" w:rsidP="005E6389">
      <w:pPr>
        <w:rPr>
          <w:sz w:val="24"/>
          <w:szCs w:val="24"/>
        </w:rPr>
      </w:pPr>
      <w:r w:rsidRPr="005E6389">
        <w:rPr>
          <w:sz w:val="24"/>
          <w:szCs w:val="24"/>
        </w:rPr>
        <w:t xml:space="preserve">Klutz, T. (2011) ‘Jesus, Morton Smith, and the Eighth Book of Moses (PGM13.1-734)’. </w:t>
      </w:r>
      <w:r w:rsidRPr="005E6389">
        <w:rPr>
          <w:i/>
          <w:iCs/>
          <w:sz w:val="24"/>
          <w:szCs w:val="24"/>
        </w:rPr>
        <w:t xml:space="preserve">Journal for the Study of the Pseudepigrapha. </w:t>
      </w:r>
      <w:r w:rsidRPr="005E6389">
        <w:rPr>
          <w:sz w:val="24"/>
          <w:szCs w:val="24"/>
        </w:rPr>
        <w:t>21(2), pp.133-159</w:t>
      </w:r>
    </w:p>
    <w:p w14:paraId="4598E691" w14:textId="77777777" w:rsidR="005E6389" w:rsidRPr="005E6389" w:rsidRDefault="005E6389" w:rsidP="005E6389">
      <w:pPr>
        <w:rPr>
          <w:sz w:val="24"/>
          <w:szCs w:val="24"/>
        </w:rPr>
      </w:pPr>
      <w:r w:rsidRPr="005E6389">
        <w:rPr>
          <w:sz w:val="24"/>
          <w:szCs w:val="24"/>
        </w:rPr>
        <w:t xml:space="preserve">Klutz, T. (2013) ‘The Eighth Book of Moses: A New Translation and Introduction’ in </w:t>
      </w:r>
      <w:proofErr w:type="spellStart"/>
      <w:r w:rsidRPr="005E6389">
        <w:rPr>
          <w:sz w:val="24"/>
          <w:szCs w:val="24"/>
        </w:rPr>
        <w:t>Bauckham</w:t>
      </w:r>
      <w:proofErr w:type="spellEnd"/>
      <w:r w:rsidRPr="005E6389">
        <w:rPr>
          <w:sz w:val="24"/>
          <w:szCs w:val="24"/>
        </w:rPr>
        <w:t xml:space="preserve">, R.J. Davila, R.J. &amp; </w:t>
      </w:r>
      <w:proofErr w:type="spellStart"/>
      <w:r w:rsidRPr="005E6389">
        <w:rPr>
          <w:sz w:val="24"/>
          <w:szCs w:val="24"/>
        </w:rPr>
        <w:t>Panayotov</w:t>
      </w:r>
      <w:proofErr w:type="spellEnd"/>
      <w:r w:rsidRPr="005E6389">
        <w:rPr>
          <w:sz w:val="24"/>
          <w:szCs w:val="24"/>
        </w:rPr>
        <w:t xml:space="preserve">, A. </w:t>
      </w:r>
      <w:r w:rsidRPr="005E6389">
        <w:rPr>
          <w:i/>
          <w:iCs/>
          <w:sz w:val="24"/>
          <w:szCs w:val="24"/>
        </w:rPr>
        <w:t>Old Testament Pseudepigrapha: More Non-Canonical Scriptures</w:t>
      </w:r>
      <w:r w:rsidRPr="005E6389">
        <w:rPr>
          <w:sz w:val="24"/>
          <w:szCs w:val="24"/>
        </w:rPr>
        <w:t>. William B Eerdmans Publishing Company: Cambridge, pp.189-235</w:t>
      </w:r>
    </w:p>
    <w:p w14:paraId="15D225F7" w14:textId="77777777" w:rsidR="005E6389" w:rsidRPr="005E6389" w:rsidRDefault="005E6389" w:rsidP="005E6389">
      <w:pPr>
        <w:rPr>
          <w:sz w:val="24"/>
          <w:szCs w:val="24"/>
        </w:rPr>
      </w:pPr>
      <w:proofErr w:type="spellStart"/>
      <w:r w:rsidRPr="005E6389">
        <w:rPr>
          <w:sz w:val="24"/>
          <w:szCs w:val="24"/>
        </w:rPr>
        <w:t>Loevinger</w:t>
      </w:r>
      <w:proofErr w:type="spellEnd"/>
      <w:r w:rsidRPr="005E6389">
        <w:rPr>
          <w:sz w:val="24"/>
          <w:szCs w:val="24"/>
        </w:rPr>
        <w:t xml:space="preserve">, L. (1989) ‘A Brief History of Time by Stephen W. Hawking Review’. </w:t>
      </w:r>
      <w:r w:rsidRPr="005E6389">
        <w:rPr>
          <w:i/>
          <w:iCs/>
          <w:sz w:val="24"/>
          <w:szCs w:val="24"/>
        </w:rPr>
        <w:t xml:space="preserve">Jurimetrics. </w:t>
      </w:r>
      <w:r w:rsidRPr="005E6389">
        <w:rPr>
          <w:sz w:val="24"/>
          <w:szCs w:val="24"/>
        </w:rPr>
        <w:t>29(2), pp245-253</w:t>
      </w:r>
    </w:p>
    <w:p w14:paraId="3A072DAD" w14:textId="77777777" w:rsidR="005E6389" w:rsidRPr="005E6389" w:rsidRDefault="005E6389" w:rsidP="005E6389">
      <w:pPr>
        <w:rPr>
          <w:sz w:val="24"/>
          <w:szCs w:val="24"/>
        </w:rPr>
      </w:pPr>
      <w:r w:rsidRPr="005E6389">
        <w:rPr>
          <w:sz w:val="24"/>
          <w:szCs w:val="24"/>
        </w:rPr>
        <w:t xml:space="preserve">Nock, A.D. (1929) ‘Greek Magical Papyri’. </w:t>
      </w:r>
      <w:r w:rsidRPr="005E6389">
        <w:rPr>
          <w:i/>
          <w:iCs/>
          <w:sz w:val="24"/>
          <w:szCs w:val="24"/>
        </w:rPr>
        <w:t xml:space="preserve">The Journal of Egyptian Archaeology. </w:t>
      </w:r>
      <w:r w:rsidRPr="005E6389">
        <w:rPr>
          <w:sz w:val="24"/>
          <w:szCs w:val="24"/>
        </w:rPr>
        <w:t>15(3), pp 219-235.</w:t>
      </w:r>
    </w:p>
    <w:p w14:paraId="4070217C" w14:textId="77777777" w:rsidR="005E6389" w:rsidRPr="005E6389" w:rsidRDefault="005E6389" w:rsidP="005E6389">
      <w:pPr>
        <w:rPr>
          <w:sz w:val="24"/>
          <w:szCs w:val="24"/>
        </w:rPr>
      </w:pPr>
      <w:r w:rsidRPr="005E6389">
        <w:rPr>
          <w:sz w:val="24"/>
          <w:szCs w:val="24"/>
        </w:rPr>
        <w:t xml:space="preserve">Pinch, G. (2002) </w:t>
      </w:r>
      <w:r w:rsidRPr="005E6389">
        <w:rPr>
          <w:i/>
          <w:iCs/>
          <w:sz w:val="24"/>
          <w:szCs w:val="24"/>
        </w:rPr>
        <w:t xml:space="preserve">Egyptian Mythology: A Guide to the Gods, Goddesses and Traditions of Ancient Egypt. </w:t>
      </w:r>
      <w:r w:rsidRPr="005E6389">
        <w:rPr>
          <w:sz w:val="24"/>
          <w:szCs w:val="24"/>
        </w:rPr>
        <w:t>Oxford University Press: New York</w:t>
      </w:r>
    </w:p>
    <w:p w14:paraId="28C17182" w14:textId="77777777" w:rsidR="005E6389" w:rsidRPr="005E6389" w:rsidRDefault="005E6389" w:rsidP="005E6389">
      <w:pPr>
        <w:rPr>
          <w:sz w:val="24"/>
          <w:szCs w:val="24"/>
        </w:rPr>
      </w:pPr>
      <w:proofErr w:type="spellStart"/>
      <w:r w:rsidRPr="005E6389">
        <w:rPr>
          <w:sz w:val="24"/>
          <w:szCs w:val="24"/>
        </w:rPr>
        <w:t>Riess</w:t>
      </w:r>
      <w:proofErr w:type="spellEnd"/>
      <w:r w:rsidRPr="005E6389">
        <w:rPr>
          <w:sz w:val="24"/>
          <w:szCs w:val="24"/>
        </w:rPr>
        <w:t xml:space="preserve">, E. (1935) ‘Religious Gleanings from the Magical Papyri’. </w:t>
      </w:r>
      <w:r w:rsidRPr="005E6389">
        <w:rPr>
          <w:i/>
          <w:iCs/>
          <w:sz w:val="24"/>
          <w:szCs w:val="24"/>
        </w:rPr>
        <w:t xml:space="preserve">The Classical Weekly. </w:t>
      </w:r>
      <w:r w:rsidRPr="005E6389">
        <w:rPr>
          <w:sz w:val="24"/>
          <w:szCs w:val="24"/>
        </w:rPr>
        <w:t>28(14), pp 105-111</w:t>
      </w:r>
    </w:p>
    <w:p w14:paraId="202C4B71" w14:textId="77777777" w:rsidR="005E6389" w:rsidRPr="005E6389" w:rsidRDefault="005E6389" w:rsidP="005E6389">
      <w:pPr>
        <w:rPr>
          <w:sz w:val="24"/>
          <w:szCs w:val="24"/>
        </w:rPr>
      </w:pPr>
      <w:proofErr w:type="spellStart"/>
      <w:r w:rsidRPr="005E6389">
        <w:rPr>
          <w:sz w:val="24"/>
          <w:szCs w:val="24"/>
        </w:rPr>
        <w:t>Ritner</w:t>
      </w:r>
      <w:proofErr w:type="spellEnd"/>
      <w:r w:rsidRPr="005E6389">
        <w:rPr>
          <w:sz w:val="24"/>
          <w:szCs w:val="24"/>
        </w:rPr>
        <w:t xml:space="preserve">, R.K. (1993) </w:t>
      </w:r>
      <w:r w:rsidRPr="005E6389">
        <w:rPr>
          <w:i/>
          <w:iCs/>
          <w:sz w:val="24"/>
          <w:szCs w:val="24"/>
        </w:rPr>
        <w:t xml:space="preserve">The Mechanics of Ancient Egyptian Magical Practise. </w:t>
      </w:r>
      <w:r w:rsidRPr="005E6389">
        <w:rPr>
          <w:sz w:val="24"/>
          <w:szCs w:val="24"/>
        </w:rPr>
        <w:t xml:space="preserve">University of Chicago: United States of America. </w:t>
      </w:r>
    </w:p>
    <w:p w14:paraId="5E56DEE7" w14:textId="77777777" w:rsidR="005E6389" w:rsidRPr="005E6389" w:rsidRDefault="005E6389" w:rsidP="005E6389">
      <w:pPr>
        <w:rPr>
          <w:sz w:val="24"/>
          <w:szCs w:val="24"/>
        </w:rPr>
      </w:pPr>
      <w:r w:rsidRPr="005E6389">
        <w:rPr>
          <w:sz w:val="24"/>
          <w:szCs w:val="24"/>
        </w:rPr>
        <w:t xml:space="preserve">Smith, M. (1996) ‘The Eighth Book of Moses and How it Grew’. </w:t>
      </w:r>
      <w:r w:rsidRPr="005E6389">
        <w:rPr>
          <w:i/>
          <w:iCs/>
          <w:sz w:val="24"/>
          <w:szCs w:val="24"/>
        </w:rPr>
        <w:t>Studies in the Cult of Yahweh.</w:t>
      </w:r>
      <w:r w:rsidRPr="005E6389">
        <w:rPr>
          <w:sz w:val="24"/>
          <w:szCs w:val="24"/>
        </w:rPr>
        <w:t xml:space="preserve"> 130 (2), pp.217-226.</w:t>
      </w:r>
    </w:p>
    <w:p w14:paraId="45B22E3E" w14:textId="77777777" w:rsidR="005E6389" w:rsidRPr="005E6389" w:rsidRDefault="005E6389" w:rsidP="005E6389">
      <w:pPr>
        <w:rPr>
          <w:sz w:val="24"/>
          <w:szCs w:val="24"/>
        </w:rPr>
      </w:pPr>
      <w:proofErr w:type="spellStart"/>
      <w:r w:rsidRPr="005E6389">
        <w:rPr>
          <w:sz w:val="24"/>
          <w:szCs w:val="24"/>
        </w:rPr>
        <w:t>Peerbolte</w:t>
      </w:r>
      <w:proofErr w:type="spellEnd"/>
      <w:r w:rsidRPr="005E6389">
        <w:rPr>
          <w:sz w:val="24"/>
          <w:szCs w:val="24"/>
        </w:rPr>
        <w:t>, B.J.L. (2007) ‘The Eighth Book of Moses (</w:t>
      </w:r>
      <w:proofErr w:type="spellStart"/>
      <w:r w:rsidRPr="005E6389">
        <w:rPr>
          <w:sz w:val="24"/>
          <w:szCs w:val="24"/>
        </w:rPr>
        <w:t>PLeid</w:t>
      </w:r>
      <w:proofErr w:type="spellEnd"/>
      <w:r w:rsidRPr="005E6389">
        <w:rPr>
          <w:sz w:val="24"/>
          <w:szCs w:val="24"/>
        </w:rPr>
        <w:t xml:space="preserve">. J 395): Hellenistic Jewish Influence in a Pagan Magical Papyrus’, in </w:t>
      </w:r>
      <w:proofErr w:type="spellStart"/>
      <w:r w:rsidRPr="005E6389">
        <w:rPr>
          <w:sz w:val="24"/>
          <w:szCs w:val="24"/>
        </w:rPr>
        <w:t>Labahn</w:t>
      </w:r>
      <w:proofErr w:type="spellEnd"/>
      <w:r w:rsidRPr="005E6389">
        <w:rPr>
          <w:sz w:val="24"/>
          <w:szCs w:val="24"/>
        </w:rPr>
        <w:t xml:space="preserve">, M. &amp; </w:t>
      </w:r>
      <w:proofErr w:type="spellStart"/>
      <w:r w:rsidRPr="005E6389">
        <w:rPr>
          <w:sz w:val="24"/>
          <w:szCs w:val="24"/>
        </w:rPr>
        <w:t>Peerbolte</w:t>
      </w:r>
      <w:proofErr w:type="spellEnd"/>
      <w:r w:rsidRPr="005E6389">
        <w:rPr>
          <w:sz w:val="24"/>
          <w:szCs w:val="24"/>
        </w:rPr>
        <w:t xml:space="preserve">, B.J.L (eds.) </w:t>
      </w:r>
      <w:r w:rsidRPr="005E6389">
        <w:rPr>
          <w:i/>
          <w:iCs/>
          <w:sz w:val="24"/>
          <w:szCs w:val="24"/>
        </w:rPr>
        <w:t>A Kind of Magic – Understanding Magic in The New Testament and its Religious Environment</w:t>
      </w:r>
      <w:r w:rsidRPr="005E6389">
        <w:rPr>
          <w:sz w:val="24"/>
          <w:szCs w:val="24"/>
        </w:rPr>
        <w:t>. T&amp;T Clark: London, pp.184-194</w:t>
      </w:r>
    </w:p>
    <w:p w14:paraId="267F5EDA" w14:textId="77777777" w:rsidR="005E6389" w:rsidRPr="00961D19" w:rsidRDefault="005E6389" w:rsidP="00057F1E">
      <w:pPr>
        <w:tabs>
          <w:tab w:val="left" w:pos="2790"/>
        </w:tabs>
        <w:rPr>
          <w:b/>
          <w:bCs/>
        </w:rPr>
      </w:pPr>
    </w:p>
    <w:sectPr w:rsidR="005E6389" w:rsidRPr="00961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869F5C" w14:textId="77777777" w:rsidR="003C68D8" w:rsidRDefault="003C68D8" w:rsidP="00961D19">
      <w:pPr>
        <w:spacing w:after="0" w:line="240" w:lineRule="auto"/>
      </w:pPr>
      <w:r>
        <w:separator/>
      </w:r>
    </w:p>
  </w:endnote>
  <w:endnote w:type="continuationSeparator" w:id="0">
    <w:p w14:paraId="71EB9D64" w14:textId="77777777" w:rsidR="003C68D8" w:rsidRDefault="003C68D8" w:rsidP="00961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2E5864" w14:textId="77777777" w:rsidR="003C68D8" w:rsidRDefault="003C68D8" w:rsidP="00961D19">
      <w:pPr>
        <w:spacing w:after="0" w:line="240" w:lineRule="auto"/>
      </w:pPr>
      <w:r>
        <w:separator/>
      </w:r>
    </w:p>
  </w:footnote>
  <w:footnote w:type="continuationSeparator" w:id="0">
    <w:p w14:paraId="563D578A" w14:textId="77777777" w:rsidR="003C68D8" w:rsidRDefault="003C68D8" w:rsidP="00961D19">
      <w:pPr>
        <w:spacing w:after="0" w:line="240" w:lineRule="auto"/>
      </w:pPr>
      <w:r>
        <w:continuationSeparator/>
      </w:r>
    </w:p>
  </w:footnote>
  <w:footnote w:id="1">
    <w:p w14:paraId="2EEC6EFF" w14:textId="2F9D2D74" w:rsidR="001C644E" w:rsidRDefault="001C644E">
      <w:pPr>
        <w:pStyle w:val="FootnoteText"/>
      </w:pPr>
      <w:r>
        <w:rPr>
          <w:rStyle w:val="FootnoteReference"/>
        </w:rPr>
        <w:footnoteRef/>
      </w:r>
      <w:r>
        <w:t xml:space="preserve"> Both passages emphasise ‘the holy name’ and the importance of remaining ‘pure’ for 41 days prior to completing the ritual (XIII.3-6 &amp; XIII.343-50).</w:t>
      </w:r>
    </w:p>
  </w:footnote>
  <w:footnote w:id="2">
    <w:p w14:paraId="1D551CE0" w14:textId="66A698FF" w:rsidR="001C644E" w:rsidRDefault="001C644E" w:rsidP="00961D19">
      <w:pPr>
        <w:pStyle w:val="FootnoteText"/>
      </w:pPr>
      <w:r>
        <w:rPr>
          <w:rStyle w:val="FootnoteReference"/>
        </w:rPr>
        <w:footnoteRef/>
      </w:r>
      <w:r>
        <w:t xml:space="preserve"> It must be noted that by ‘Christianised’ Klutz is referring to an audience acutely aware of the Christian faith, so much so that is becomes ‘part of the religious air he breathes’ (Klutz,2011,p.154). </w:t>
      </w:r>
    </w:p>
  </w:footnote>
  <w:footnote w:id="3">
    <w:p w14:paraId="0F2C070F" w14:textId="77777777" w:rsidR="001C644E" w:rsidRDefault="001C644E" w:rsidP="005B50D0">
      <w:pPr>
        <w:pStyle w:val="FootnoteText"/>
      </w:pPr>
      <w:r>
        <w:rPr>
          <w:rStyle w:val="FootnoteReference"/>
        </w:rPr>
        <w:footnoteRef/>
      </w:r>
      <w:r>
        <w:t xml:space="preserve"> This, Betz notes, is a combination of the crocodile God Sobek and the hawk God Horus (Betz,</w:t>
      </w:r>
      <w:proofErr w:type="gramStart"/>
      <w:r>
        <w:t>1986,p.</w:t>
      </w:r>
      <w:proofErr w:type="gramEnd"/>
      <w:r>
        <w:t>173)</w:t>
      </w:r>
    </w:p>
  </w:footnote>
  <w:footnote w:id="4">
    <w:p w14:paraId="39B68134" w14:textId="58348957" w:rsidR="001C644E" w:rsidRDefault="001C644E" w:rsidP="001C644E">
      <w:pPr>
        <w:pStyle w:val="FootnoteText"/>
      </w:pPr>
      <w:r>
        <w:rPr>
          <w:rStyle w:val="FootnoteReference"/>
        </w:rPr>
        <w:footnoteRef/>
      </w:r>
      <w:r>
        <w:t xml:space="preserve"> Section B reads similarly, ‘</w:t>
      </w:r>
      <w:r w:rsidRPr="001C644E">
        <w:t>having calculated the day and the hour in which th</w:t>
      </w:r>
      <w:r>
        <w:t>e</w:t>
      </w:r>
      <w:r w:rsidRPr="001C644E">
        <w:t xml:space="preserve"> last appearance of / the old moon will occur in Aries</w:t>
      </w:r>
      <w:r>
        <w:t>’ (XIII.349-350).</w:t>
      </w:r>
    </w:p>
  </w:footnote>
  <w:footnote w:id="5">
    <w:p w14:paraId="29878B79" w14:textId="5728FDE1" w:rsidR="001C644E" w:rsidRDefault="001C644E" w:rsidP="001C644E">
      <w:pPr>
        <w:pStyle w:val="FootnoteText"/>
      </w:pPr>
      <w:r>
        <w:rPr>
          <w:rStyle w:val="FootnoteReference"/>
        </w:rPr>
        <w:footnoteRef/>
      </w:r>
      <w:r>
        <w:t xml:space="preserve"> </w:t>
      </w:r>
      <w:r w:rsidRPr="00D83DC4">
        <w:t>Augustine is further seen to renounce the authenticity of astrology with regards to the prosperity of the state</w:t>
      </w:r>
      <w:r w:rsidR="00906436">
        <w:t>.</w:t>
      </w:r>
      <w:r w:rsidRPr="00D83DC4">
        <w:t xml:space="preserve"> ‘</w:t>
      </w:r>
      <w:r w:rsidRPr="00D83DC4">
        <w:rPr>
          <w:color w:val="000000"/>
        </w:rPr>
        <w:t xml:space="preserve">That the cause of the Roman empire, and of all kingdoms, is neither fortuitous nor consists in the position of the stars’ </w:t>
      </w:r>
      <w:r w:rsidRPr="00D83DC4">
        <w:t>(V.1)</w:t>
      </w:r>
      <w:r w:rsidR="00906436">
        <w:t>.</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F1E"/>
    <w:rsid w:val="00057F1E"/>
    <w:rsid w:val="000A5A4D"/>
    <w:rsid w:val="000E5358"/>
    <w:rsid w:val="001C644E"/>
    <w:rsid w:val="00207F32"/>
    <w:rsid w:val="002F1D5B"/>
    <w:rsid w:val="00315BC9"/>
    <w:rsid w:val="003B583F"/>
    <w:rsid w:val="003C68D8"/>
    <w:rsid w:val="00444AEE"/>
    <w:rsid w:val="004A199D"/>
    <w:rsid w:val="005432C5"/>
    <w:rsid w:val="00591E3C"/>
    <w:rsid w:val="005B50D0"/>
    <w:rsid w:val="005E6389"/>
    <w:rsid w:val="00646FDE"/>
    <w:rsid w:val="00676720"/>
    <w:rsid w:val="00685EBB"/>
    <w:rsid w:val="006D5250"/>
    <w:rsid w:val="007274C4"/>
    <w:rsid w:val="00773761"/>
    <w:rsid w:val="008A24BC"/>
    <w:rsid w:val="00906436"/>
    <w:rsid w:val="00961D19"/>
    <w:rsid w:val="00986E6A"/>
    <w:rsid w:val="009D311C"/>
    <w:rsid w:val="00D226FC"/>
    <w:rsid w:val="00D52C22"/>
    <w:rsid w:val="00E406B0"/>
    <w:rsid w:val="00F31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DFE8F1"/>
  <w15:chartTrackingRefBased/>
  <w15:docId w15:val="{CEF08EB4-A75C-4C33-9A07-E3EABD6B0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F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61D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1D19"/>
    <w:rPr>
      <w:sz w:val="20"/>
      <w:szCs w:val="20"/>
    </w:rPr>
  </w:style>
  <w:style w:type="character" w:styleId="FootnoteReference">
    <w:name w:val="footnote reference"/>
    <w:basedOn w:val="DefaultParagraphFont"/>
    <w:uiPriority w:val="99"/>
    <w:semiHidden/>
    <w:unhideWhenUsed/>
    <w:rsid w:val="00961D19"/>
    <w:rPr>
      <w:vertAlign w:val="superscript"/>
    </w:rPr>
  </w:style>
  <w:style w:type="paragraph" w:styleId="Header">
    <w:name w:val="header"/>
    <w:basedOn w:val="Normal"/>
    <w:link w:val="HeaderChar"/>
    <w:uiPriority w:val="99"/>
    <w:unhideWhenUsed/>
    <w:rsid w:val="009D3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11C"/>
  </w:style>
  <w:style w:type="paragraph" w:styleId="Footer">
    <w:name w:val="footer"/>
    <w:basedOn w:val="Normal"/>
    <w:link w:val="FooterChar"/>
    <w:uiPriority w:val="99"/>
    <w:unhideWhenUsed/>
    <w:rsid w:val="009D3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11C"/>
  </w:style>
  <w:style w:type="character" w:styleId="Hyperlink">
    <w:name w:val="Hyperlink"/>
    <w:basedOn w:val="DefaultParagraphFont"/>
    <w:uiPriority w:val="99"/>
    <w:unhideWhenUsed/>
    <w:rsid w:val="005E63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lassics.mit.edu/Aristotle/heavens.1.i.html" TargetMode="External"/><Relationship Id="rId13" Type="http://schemas.openxmlformats.org/officeDocument/2006/relationships/hyperlink" Target="http://dlib.nyu.edu/awdl/isaw/isaw-papers/1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ncient.eu/Promethe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astrologypodcast.com/2017/10/19/newly-discovered-4th-century-horoscop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utenberg.org/files/6130/6130-pdf.pdf" TargetMode="External"/><Relationship Id="rId4" Type="http://schemas.openxmlformats.org/officeDocument/2006/relationships/webSettings" Target="webSettings.xml"/><Relationship Id="rId9" Type="http://schemas.openxmlformats.org/officeDocument/2006/relationships/hyperlink" Target="https://gutenberg.org/files/45304/45304-h/45304-h.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3194CF-E7DB-4CFB-AAC0-BF0E32E0A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12</Pages>
  <Words>4211</Words>
  <Characters>22699</Characters>
  <Application>Microsoft Office Word</Application>
  <DocSecurity>0</DocSecurity>
  <Lines>343</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instone</dc:creator>
  <cp:keywords/>
  <dc:description/>
  <cp:lastModifiedBy>abby instone</cp:lastModifiedBy>
  <cp:revision>12</cp:revision>
  <dcterms:created xsi:type="dcterms:W3CDTF">2020-07-06T09:08:00Z</dcterms:created>
  <dcterms:modified xsi:type="dcterms:W3CDTF">2020-07-06T14:41:00Z</dcterms:modified>
</cp:coreProperties>
</file>