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B9388"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79276DCB" w14:textId="77777777" w:rsidR="00A531EE" w:rsidRDefault="00A531EE" w:rsidP="00A531EE">
      <w:pPr>
        <w:spacing w:before="100" w:beforeAutospacing="1" w:after="100" w:afterAutospacing="1" w:line="360" w:lineRule="auto"/>
        <w:ind w:left="5760"/>
        <w:jc w:val="both"/>
        <w:outlineLvl w:val="1"/>
        <w:rPr>
          <w:rFonts w:ascii="Arial" w:eastAsia="Times New Roman" w:hAnsi="Arial" w:cs="Arial"/>
          <w:b/>
          <w:bCs/>
        </w:rPr>
      </w:pPr>
      <w:r>
        <w:rPr>
          <w:rFonts w:ascii="Arial" w:eastAsia="Times New Roman" w:hAnsi="Arial" w:cs="Arial"/>
          <w:b/>
          <w:bCs/>
          <w:noProof/>
        </w:rPr>
        <w:drawing>
          <wp:inline distT="0" distB="0" distL="0" distR="0" wp14:anchorId="15C4A1B3" wp14:editId="20F7FC74">
            <wp:extent cx="1810385" cy="1047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1047750"/>
                    </a:xfrm>
                    <a:prstGeom prst="rect">
                      <a:avLst/>
                    </a:prstGeom>
                    <a:noFill/>
                  </pic:spPr>
                </pic:pic>
              </a:graphicData>
            </a:graphic>
          </wp:inline>
        </w:drawing>
      </w:r>
    </w:p>
    <w:p w14:paraId="78ABF715"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3221"/>
        <w:gridCol w:w="5825"/>
      </w:tblGrid>
      <w:tr w:rsidR="00A531EE" w:rsidRPr="008E30AB" w14:paraId="2B8D16C8" w14:textId="77777777" w:rsidTr="003C5576">
        <w:trPr>
          <w:trHeight w:val="179"/>
          <w:jc w:val="center"/>
        </w:trPr>
        <w:tc>
          <w:tcPr>
            <w:tcW w:w="0" w:type="auto"/>
            <w:hideMark/>
          </w:tcPr>
          <w:p w14:paraId="7832E7DF" w14:textId="77777777" w:rsidR="00A531EE" w:rsidRPr="00756740" w:rsidRDefault="00A531EE" w:rsidP="003C5576">
            <w:pPr>
              <w:tabs>
                <w:tab w:val="right" w:pos="2299"/>
              </w:tabs>
              <w:spacing w:line="360" w:lineRule="auto"/>
              <w:jc w:val="both"/>
              <w:rPr>
                <w:rFonts w:ascii="Arial" w:eastAsia="Times New Roman" w:hAnsi="Arial" w:cs="Arial"/>
                <w:b/>
                <w:bCs/>
                <w:sz w:val="32"/>
                <w:szCs w:val="32"/>
              </w:rPr>
            </w:pPr>
            <w:r w:rsidRPr="00756740">
              <w:rPr>
                <w:rFonts w:ascii="Arial" w:eastAsia="Times New Roman" w:hAnsi="Arial" w:cs="Arial"/>
                <w:b/>
                <w:bCs/>
                <w:sz w:val="32"/>
                <w:szCs w:val="32"/>
              </w:rPr>
              <w:t>Student Name:</w:t>
            </w:r>
            <w:r w:rsidRPr="00756740">
              <w:rPr>
                <w:rFonts w:ascii="Arial" w:eastAsia="Times New Roman" w:hAnsi="Arial" w:cs="Arial"/>
                <w:b/>
                <w:bCs/>
                <w:sz w:val="32"/>
                <w:szCs w:val="32"/>
              </w:rPr>
              <w:tab/>
            </w:r>
          </w:p>
        </w:tc>
        <w:tc>
          <w:tcPr>
            <w:tcW w:w="5825" w:type="dxa"/>
            <w:hideMark/>
          </w:tcPr>
          <w:p w14:paraId="53F650F8" w14:textId="6388BECC" w:rsidR="00A531EE" w:rsidRPr="00756740" w:rsidRDefault="00AC6A8D" w:rsidP="003C5576">
            <w:pPr>
              <w:spacing w:line="360" w:lineRule="auto"/>
              <w:jc w:val="both"/>
              <w:rPr>
                <w:rFonts w:ascii="Arial" w:eastAsia="Times New Roman" w:hAnsi="Arial" w:cs="Arial"/>
                <w:bCs/>
                <w:sz w:val="32"/>
                <w:szCs w:val="32"/>
              </w:rPr>
            </w:pPr>
            <w:r>
              <w:rPr>
                <w:rFonts w:ascii="Arial" w:eastAsia="Times New Roman" w:hAnsi="Arial" w:cs="Arial"/>
                <w:bCs/>
                <w:sz w:val="32"/>
                <w:szCs w:val="32"/>
              </w:rPr>
              <w:t xml:space="preserve">Munaza </w:t>
            </w:r>
            <w:proofErr w:type="spellStart"/>
            <w:r>
              <w:rPr>
                <w:rFonts w:ascii="Arial" w:eastAsia="Times New Roman" w:hAnsi="Arial" w:cs="Arial"/>
                <w:bCs/>
                <w:sz w:val="32"/>
                <w:szCs w:val="32"/>
              </w:rPr>
              <w:t>sakindar</w:t>
            </w:r>
            <w:proofErr w:type="spellEnd"/>
          </w:p>
        </w:tc>
      </w:tr>
      <w:tr w:rsidR="00A531EE" w:rsidRPr="008E30AB" w14:paraId="06D23EFA" w14:textId="77777777" w:rsidTr="003C5576">
        <w:trPr>
          <w:jc w:val="center"/>
        </w:trPr>
        <w:tc>
          <w:tcPr>
            <w:tcW w:w="0" w:type="auto"/>
            <w:hideMark/>
          </w:tcPr>
          <w:p w14:paraId="5EAFC495" w14:textId="77777777" w:rsidR="00A531EE" w:rsidRPr="00756740" w:rsidRDefault="00A531EE" w:rsidP="003C5576">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Student ID Number:</w:t>
            </w:r>
          </w:p>
        </w:tc>
        <w:tc>
          <w:tcPr>
            <w:tcW w:w="5825" w:type="dxa"/>
            <w:hideMark/>
          </w:tcPr>
          <w:p w14:paraId="18155E60" w14:textId="273F2152" w:rsidR="00A531EE" w:rsidRPr="00756740" w:rsidRDefault="00AC6A8D" w:rsidP="003C5576">
            <w:pPr>
              <w:spacing w:line="360" w:lineRule="auto"/>
              <w:jc w:val="both"/>
              <w:rPr>
                <w:rFonts w:ascii="Arial" w:eastAsia="Times New Roman" w:hAnsi="Arial" w:cs="Arial"/>
                <w:sz w:val="32"/>
                <w:szCs w:val="32"/>
              </w:rPr>
            </w:pPr>
            <w:r>
              <w:rPr>
                <w:rFonts w:ascii="Arial" w:eastAsia="Times New Roman" w:hAnsi="Arial" w:cs="Arial"/>
                <w:sz w:val="32"/>
                <w:szCs w:val="32"/>
              </w:rPr>
              <w:t>2419348</w:t>
            </w:r>
          </w:p>
        </w:tc>
      </w:tr>
      <w:tr w:rsidR="00A531EE" w:rsidRPr="008E30AB" w14:paraId="210BB075" w14:textId="77777777" w:rsidTr="003C5576">
        <w:trPr>
          <w:jc w:val="center"/>
        </w:trPr>
        <w:tc>
          <w:tcPr>
            <w:tcW w:w="0" w:type="auto"/>
            <w:hideMark/>
          </w:tcPr>
          <w:p w14:paraId="4AC6B5D7" w14:textId="77777777" w:rsidR="00A531EE" w:rsidRPr="00756740" w:rsidRDefault="00A531EE" w:rsidP="003C5576">
            <w:pPr>
              <w:spacing w:line="360" w:lineRule="auto"/>
              <w:jc w:val="both"/>
              <w:rPr>
                <w:rFonts w:ascii="Arial" w:eastAsia="Times New Roman" w:hAnsi="Arial" w:cs="Arial"/>
                <w:sz w:val="32"/>
                <w:szCs w:val="32"/>
              </w:rPr>
            </w:pPr>
            <w:proofErr w:type="spellStart"/>
            <w:r w:rsidRPr="00756740">
              <w:rPr>
                <w:rFonts w:ascii="Arial" w:eastAsia="Times New Roman" w:hAnsi="Arial" w:cs="Arial"/>
                <w:b/>
                <w:bCs/>
                <w:sz w:val="32"/>
                <w:szCs w:val="32"/>
              </w:rPr>
              <w:t>Programme</w:t>
            </w:r>
            <w:proofErr w:type="spellEnd"/>
            <w:r w:rsidRPr="00756740">
              <w:rPr>
                <w:rFonts w:ascii="Arial" w:eastAsia="Times New Roman" w:hAnsi="Arial" w:cs="Arial"/>
                <w:b/>
                <w:bCs/>
                <w:sz w:val="32"/>
                <w:szCs w:val="32"/>
              </w:rPr>
              <w:t>:</w:t>
            </w:r>
          </w:p>
        </w:tc>
        <w:tc>
          <w:tcPr>
            <w:tcW w:w="5825" w:type="dxa"/>
            <w:hideMark/>
          </w:tcPr>
          <w:p w14:paraId="443ADBB6" w14:textId="77777777" w:rsidR="00A531EE" w:rsidRPr="00756740" w:rsidRDefault="00A531EE" w:rsidP="003C5576">
            <w:pPr>
              <w:spacing w:line="360" w:lineRule="auto"/>
              <w:jc w:val="both"/>
              <w:rPr>
                <w:rFonts w:ascii="Arial" w:eastAsia="Times New Roman" w:hAnsi="Arial" w:cs="Arial"/>
                <w:b/>
                <w:sz w:val="32"/>
                <w:szCs w:val="32"/>
              </w:rPr>
            </w:pPr>
            <w:r w:rsidRPr="00756740">
              <w:rPr>
                <w:rFonts w:ascii="Arial" w:hAnsi="Arial" w:cs="Arial"/>
                <w:b/>
                <w:sz w:val="32"/>
                <w:szCs w:val="32"/>
              </w:rPr>
              <w:t>BSc Health and Social Care</w:t>
            </w:r>
          </w:p>
        </w:tc>
      </w:tr>
      <w:tr w:rsidR="00A531EE" w:rsidRPr="008E30AB" w14:paraId="0DFC5272" w14:textId="77777777" w:rsidTr="003C5576">
        <w:trPr>
          <w:jc w:val="center"/>
        </w:trPr>
        <w:tc>
          <w:tcPr>
            <w:tcW w:w="0" w:type="auto"/>
            <w:hideMark/>
          </w:tcPr>
          <w:p w14:paraId="587D3C17" w14:textId="77777777" w:rsidR="00A531EE" w:rsidRPr="00756740" w:rsidRDefault="00A531EE" w:rsidP="003C5576">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Title:</w:t>
            </w:r>
          </w:p>
        </w:tc>
        <w:tc>
          <w:tcPr>
            <w:tcW w:w="5825" w:type="dxa"/>
            <w:hideMark/>
          </w:tcPr>
          <w:p w14:paraId="5777120D" w14:textId="77777777" w:rsidR="00A531EE" w:rsidRPr="00756740" w:rsidRDefault="00A531EE" w:rsidP="003C5576">
            <w:pPr>
              <w:spacing w:line="360" w:lineRule="auto"/>
              <w:jc w:val="both"/>
              <w:rPr>
                <w:rFonts w:ascii="Arial" w:eastAsia="Times New Roman" w:hAnsi="Arial" w:cs="Arial"/>
                <w:sz w:val="32"/>
                <w:szCs w:val="32"/>
              </w:rPr>
            </w:pPr>
            <w:r w:rsidRPr="00756740">
              <w:rPr>
                <w:rFonts w:ascii="Arial" w:hAnsi="Arial" w:cs="Arial"/>
                <w:b/>
                <w:sz w:val="32"/>
                <w:szCs w:val="32"/>
              </w:rPr>
              <w:t>Introduction to Physiology</w:t>
            </w:r>
          </w:p>
        </w:tc>
      </w:tr>
      <w:tr w:rsidR="00A531EE" w:rsidRPr="008E30AB" w14:paraId="23063143" w14:textId="77777777" w:rsidTr="003C5576">
        <w:trPr>
          <w:jc w:val="center"/>
        </w:trPr>
        <w:tc>
          <w:tcPr>
            <w:tcW w:w="0" w:type="auto"/>
            <w:hideMark/>
          </w:tcPr>
          <w:p w14:paraId="23F38B19" w14:textId="77777777" w:rsidR="00A531EE" w:rsidRPr="00756740" w:rsidRDefault="00A531EE" w:rsidP="003C5576">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Code:</w:t>
            </w:r>
          </w:p>
        </w:tc>
        <w:tc>
          <w:tcPr>
            <w:tcW w:w="5825" w:type="dxa"/>
            <w:hideMark/>
          </w:tcPr>
          <w:p w14:paraId="512C13F3" w14:textId="77777777" w:rsidR="00A531EE" w:rsidRPr="00756740" w:rsidRDefault="00A531EE" w:rsidP="003C5576">
            <w:pPr>
              <w:spacing w:line="360" w:lineRule="auto"/>
              <w:jc w:val="both"/>
              <w:rPr>
                <w:rFonts w:ascii="Arial" w:eastAsia="Times New Roman" w:hAnsi="Arial" w:cs="Arial"/>
                <w:sz w:val="32"/>
                <w:szCs w:val="32"/>
              </w:rPr>
            </w:pPr>
            <w:r w:rsidRPr="00756740">
              <w:rPr>
                <w:rFonts w:ascii="Arial" w:hAnsi="Arial" w:cs="Arial"/>
                <w:b/>
                <w:sz w:val="32"/>
                <w:szCs w:val="32"/>
              </w:rPr>
              <w:t>BMHP5023</w:t>
            </w:r>
          </w:p>
        </w:tc>
      </w:tr>
    </w:tbl>
    <w:p w14:paraId="3F9CA4F7"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77717876"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572733D0"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15FB9073"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6EE1561B"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55B12AD7"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08C55CA4"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167FAD96"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B331B33"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2A746D9"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5655CC12"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482B531"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156DECCC"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5221957" w14:textId="77777777" w:rsidR="00A531EE" w:rsidRPr="00A531EE" w:rsidRDefault="00A531EE" w:rsidP="00A531EE">
      <w:pPr>
        <w:spacing w:before="100" w:beforeAutospacing="1" w:after="100" w:afterAutospacing="1" w:line="240" w:lineRule="auto"/>
        <w:outlineLvl w:val="1"/>
        <w:rPr>
          <w:rFonts w:ascii="Arial" w:eastAsia="Times New Roman" w:hAnsi="Arial" w:cs="Arial"/>
          <w:b/>
          <w:bCs/>
          <w:sz w:val="36"/>
          <w:szCs w:val="36"/>
        </w:rPr>
      </w:pPr>
      <w:r w:rsidRPr="00A531EE">
        <w:rPr>
          <w:rFonts w:ascii="Arial" w:eastAsia="Times New Roman" w:hAnsi="Arial" w:cs="Arial"/>
          <w:b/>
          <w:bCs/>
          <w:sz w:val="36"/>
          <w:szCs w:val="36"/>
        </w:rPr>
        <w:t>Table of Contents</w:t>
      </w:r>
    </w:p>
    <w:p w14:paraId="7832E02A"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 xml:space="preserve">Introduction ............................................................... </w:t>
      </w:r>
      <w:r w:rsidR="00756740">
        <w:rPr>
          <w:rFonts w:ascii="Arial" w:eastAsia="Times New Roman" w:hAnsi="Arial" w:cs="Arial"/>
          <w:sz w:val="36"/>
          <w:szCs w:val="36"/>
        </w:rPr>
        <w:t>3</w:t>
      </w:r>
    </w:p>
    <w:p w14:paraId="52CEA8FD"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 xml:space="preserve">Blood Sugar Regulation ............................................ </w:t>
      </w:r>
      <w:r w:rsidR="00756740">
        <w:rPr>
          <w:rFonts w:ascii="Arial" w:eastAsia="Times New Roman" w:hAnsi="Arial" w:cs="Arial"/>
          <w:sz w:val="36"/>
          <w:szCs w:val="36"/>
        </w:rPr>
        <w:t>3</w:t>
      </w:r>
    </w:p>
    <w:p w14:paraId="5D35C3CE"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Cellular Energy Metabolism ...........................</w:t>
      </w:r>
      <w:r w:rsidR="00756740">
        <w:rPr>
          <w:rFonts w:ascii="Arial" w:eastAsia="Times New Roman" w:hAnsi="Arial" w:cs="Arial"/>
          <w:sz w:val="36"/>
          <w:szCs w:val="36"/>
        </w:rPr>
        <w:t>.</w:t>
      </w:r>
      <w:r w:rsidRPr="00A531EE">
        <w:rPr>
          <w:rFonts w:ascii="Arial" w:eastAsia="Times New Roman" w:hAnsi="Arial" w:cs="Arial"/>
          <w:sz w:val="36"/>
          <w:szCs w:val="36"/>
        </w:rPr>
        <w:t xml:space="preserve">.......... </w:t>
      </w:r>
      <w:r w:rsidR="00756740">
        <w:rPr>
          <w:rFonts w:ascii="Arial" w:eastAsia="Times New Roman" w:hAnsi="Arial" w:cs="Arial"/>
          <w:sz w:val="36"/>
          <w:szCs w:val="36"/>
        </w:rPr>
        <w:t>5</w:t>
      </w:r>
    </w:p>
    <w:p w14:paraId="72A5A421"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 xml:space="preserve">Recording &amp; Tracking Blood Sugar .......................... </w:t>
      </w:r>
      <w:r w:rsidR="00756740">
        <w:rPr>
          <w:rFonts w:ascii="Arial" w:eastAsia="Times New Roman" w:hAnsi="Arial" w:cs="Arial"/>
          <w:sz w:val="36"/>
          <w:szCs w:val="36"/>
        </w:rPr>
        <w:t>7</w:t>
      </w:r>
    </w:p>
    <w:p w14:paraId="57966E36"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 xml:space="preserve">Evidence-Based Lifestyle Recommendations .......... </w:t>
      </w:r>
      <w:r w:rsidR="00756740">
        <w:rPr>
          <w:rFonts w:ascii="Arial" w:eastAsia="Times New Roman" w:hAnsi="Arial" w:cs="Arial"/>
          <w:sz w:val="36"/>
          <w:szCs w:val="36"/>
        </w:rPr>
        <w:t>8</w:t>
      </w:r>
    </w:p>
    <w:p w14:paraId="410F00EF"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Conclusion .................................</w:t>
      </w:r>
      <w:r w:rsidR="00756740">
        <w:rPr>
          <w:rFonts w:ascii="Arial" w:eastAsia="Times New Roman" w:hAnsi="Arial" w:cs="Arial"/>
          <w:sz w:val="36"/>
          <w:szCs w:val="36"/>
        </w:rPr>
        <w:t>................</w:t>
      </w:r>
      <w:r w:rsidRPr="00A531EE">
        <w:rPr>
          <w:rFonts w:ascii="Arial" w:eastAsia="Times New Roman" w:hAnsi="Arial" w:cs="Arial"/>
          <w:sz w:val="36"/>
          <w:szCs w:val="36"/>
        </w:rPr>
        <w:t xml:space="preserve">............. </w:t>
      </w:r>
      <w:r w:rsidR="00756740">
        <w:rPr>
          <w:rFonts w:ascii="Arial" w:eastAsia="Times New Roman" w:hAnsi="Arial" w:cs="Arial"/>
          <w:sz w:val="36"/>
          <w:szCs w:val="36"/>
        </w:rPr>
        <w:t>10</w:t>
      </w:r>
    </w:p>
    <w:p w14:paraId="77A39934" w14:textId="77777777" w:rsidR="00A531EE" w:rsidRPr="00A531EE" w:rsidRDefault="00A531EE" w:rsidP="00A531EE">
      <w:pPr>
        <w:numPr>
          <w:ilvl w:val="0"/>
          <w:numId w:val="1"/>
        </w:numPr>
        <w:spacing w:before="100" w:beforeAutospacing="1" w:after="100" w:afterAutospacing="1" w:line="240" w:lineRule="auto"/>
        <w:rPr>
          <w:rFonts w:ascii="Arial" w:eastAsia="Times New Roman" w:hAnsi="Arial" w:cs="Arial"/>
          <w:sz w:val="36"/>
          <w:szCs w:val="36"/>
        </w:rPr>
      </w:pPr>
      <w:r w:rsidRPr="00A531EE">
        <w:rPr>
          <w:rFonts w:ascii="Arial" w:eastAsia="Times New Roman" w:hAnsi="Arial" w:cs="Arial"/>
          <w:sz w:val="36"/>
          <w:szCs w:val="36"/>
        </w:rPr>
        <w:t>References .................................</w:t>
      </w:r>
      <w:r w:rsidR="00756740">
        <w:rPr>
          <w:rFonts w:ascii="Arial" w:eastAsia="Times New Roman" w:hAnsi="Arial" w:cs="Arial"/>
          <w:sz w:val="36"/>
          <w:szCs w:val="36"/>
        </w:rPr>
        <w:t>................</w:t>
      </w:r>
      <w:r w:rsidRPr="00A531EE">
        <w:rPr>
          <w:rFonts w:ascii="Arial" w:eastAsia="Times New Roman" w:hAnsi="Arial" w:cs="Arial"/>
          <w:sz w:val="36"/>
          <w:szCs w:val="36"/>
        </w:rPr>
        <w:t xml:space="preserve">............ </w:t>
      </w:r>
      <w:r w:rsidR="00756740">
        <w:rPr>
          <w:rFonts w:ascii="Arial" w:eastAsia="Times New Roman" w:hAnsi="Arial" w:cs="Arial"/>
          <w:sz w:val="36"/>
          <w:szCs w:val="36"/>
        </w:rPr>
        <w:t>11</w:t>
      </w:r>
    </w:p>
    <w:p w14:paraId="5A394B90" w14:textId="77777777" w:rsidR="00A531EE" w:rsidRPr="00A531EE" w:rsidRDefault="00A531EE" w:rsidP="00A531EE">
      <w:pPr>
        <w:tabs>
          <w:tab w:val="left" w:pos="3430"/>
        </w:tabs>
        <w:spacing w:before="100" w:beforeAutospacing="1" w:after="100" w:afterAutospacing="1" w:line="360" w:lineRule="auto"/>
        <w:jc w:val="both"/>
        <w:outlineLvl w:val="1"/>
        <w:rPr>
          <w:rFonts w:ascii="Arial" w:eastAsia="Times New Roman" w:hAnsi="Arial" w:cs="Arial"/>
          <w:b/>
          <w:bCs/>
          <w:sz w:val="36"/>
          <w:szCs w:val="36"/>
        </w:rPr>
      </w:pPr>
      <w:r w:rsidRPr="00A531EE">
        <w:rPr>
          <w:rFonts w:ascii="Arial" w:eastAsia="Times New Roman" w:hAnsi="Arial" w:cs="Arial"/>
          <w:b/>
          <w:bCs/>
          <w:sz w:val="36"/>
          <w:szCs w:val="36"/>
        </w:rPr>
        <w:tab/>
      </w:r>
    </w:p>
    <w:p w14:paraId="6314ADE6"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2B60418C"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26BF6E67"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18FB3764"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7888C639"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229832D"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7D9A2298"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1D2E2BD7"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0F548BEF"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39890579" w14:textId="77777777" w:rsidR="00A531EE" w:rsidRDefault="00A531EE" w:rsidP="00A531EE">
      <w:pPr>
        <w:spacing w:before="100" w:beforeAutospacing="1" w:after="100" w:afterAutospacing="1" w:line="360" w:lineRule="auto"/>
        <w:jc w:val="both"/>
        <w:outlineLvl w:val="1"/>
        <w:rPr>
          <w:rFonts w:ascii="Arial" w:eastAsia="Times New Roman" w:hAnsi="Arial" w:cs="Arial"/>
          <w:b/>
          <w:bCs/>
        </w:rPr>
      </w:pPr>
    </w:p>
    <w:p w14:paraId="58A3CEE5" w14:textId="77777777" w:rsidR="008D4938" w:rsidRPr="008D4938" w:rsidRDefault="008D4938" w:rsidP="00A531EE">
      <w:pPr>
        <w:spacing w:before="100" w:beforeAutospacing="1" w:after="100" w:afterAutospacing="1" w:line="360" w:lineRule="auto"/>
        <w:jc w:val="both"/>
        <w:outlineLvl w:val="1"/>
        <w:rPr>
          <w:rFonts w:ascii="Arial" w:eastAsia="Times New Roman" w:hAnsi="Arial" w:cs="Arial"/>
          <w:b/>
          <w:bCs/>
        </w:rPr>
      </w:pPr>
      <w:r w:rsidRPr="00A531EE">
        <w:rPr>
          <w:rFonts w:ascii="Arial" w:eastAsia="Times New Roman" w:hAnsi="Arial" w:cs="Arial"/>
          <w:b/>
          <w:bCs/>
        </w:rPr>
        <w:lastRenderedPageBreak/>
        <w:t xml:space="preserve">Introduction </w:t>
      </w:r>
    </w:p>
    <w:p w14:paraId="1F44FC2A"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Type 2 diabetes mellitus (T2D) is a chronic metabolic disorder </w:t>
      </w:r>
      <w:r w:rsidR="00A531EE" w:rsidRPr="008D4938">
        <w:rPr>
          <w:rFonts w:ascii="Arial" w:eastAsia="Times New Roman" w:hAnsi="Arial" w:cs="Arial"/>
        </w:rPr>
        <w:t>characterized</w:t>
      </w:r>
      <w:r w:rsidRPr="008D4938">
        <w:rPr>
          <w:rFonts w:ascii="Arial" w:eastAsia="Times New Roman" w:hAnsi="Arial" w:cs="Arial"/>
        </w:rPr>
        <w:t xml:space="preserve"> by insulin resistance and relative insulin deficiency, resulting in sustained high blood glucose levels and an increased risk of macrovascular and microvascular complications. In the United Kingdom, over </w:t>
      </w:r>
      <w:r w:rsidRPr="00A531EE">
        <w:rPr>
          <w:rFonts w:ascii="Arial" w:eastAsia="Times New Roman" w:hAnsi="Arial" w:cs="Arial"/>
          <w:bCs/>
        </w:rPr>
        <w:t>5.8 million people live with diabetes</w:t>
      </w:r>
      <w:r w:rsidRPr="008D4938">
        <w:rPr>
          <w:rFonts w:ascii="Arial" w:eastAsia="Times New Roman" w:hAnsi="Arial" w:cs="Arial"/>
        </w:rPr>
        <w:t xml:space="preserve">, of whom around </w:t>
      </w:r>
      <w:r w:rsidRPr="00A531EE">
        <w:rPr>
          <w:rFonts w:ascii="Arial" w:eastAsia="Times New Roman" w:hAnsi="Arial" w:cs="Arial"/>
          <w:bCs/>
        </w:rPr>
        <w:t>90% have T2D</w:t>
      </w:r>
      <w:r w:rsidRPr="008D4938">
        <w:rPr>
          <w:rFonts w:ascii="Arial" w:eastAsia="Times New Roman" w:hAnsi="Arial" w:cs="Arial"/>
        </w:rPr>
        <w:t>, making it one of the most common long</w:t>
      </w:r>
      <w:r w:rsidRPr="008D4938">
        <w:rPr>
          <w:rFonts w:ascii="Arial" w:eastAsia="Times New Roman" w:hAnsi="Arial" w:cs="Arial"/>
        </w:rPr>
        <w:noBreakHyphen/>
        <w:t xml:space="preserve">term conditions encountered in primary care (Diabetes UK, 2025; NHS England, 2024). Alarmingly, an estimated </w:t>
      </w:r>
      <w:r w:rsidRPr="00A531EE">
        <w:rPr>
          <w:rFonts w:ascii="Arial" w:eastAsia="Times New Roman" w:hAnsi="Arial" w:cs="Arial"/>
          <w:bCs/>
        </w:rPr>
        <w:t>6.3 million adults are at increased risk of developing T2D</w:t>
      </w:r>
      <w:r w:rsidRPr="008D4938">
        <w:rPr>
          <w:rFonts w:ascii="Arial" w:eastAsia="Times New Roman" w:hAnsi="Arial" w:cs="Arial"/>
        </w:rPr>
        <w:t xml:space="preserve"> (prediabetes), many of whom remain undiagnosed, highlighting the need for early education, monitoring and intervention (Diabetes UK, 2025).</w:t>
      </w:r>
    </w:p>
    <w:p w14:paraId="348A89FC"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Risk factors for T2D are multifactorial. </w:t>
      </w:r>
      <w:r w:rsidRPr="00A531EE">
        <w:rPr>
          <w:rFonts w:ascii="Arial" w:eastAsia="Times New Roman" w:hAnsi="Arial" w:cs="Arial"/>
          <w:bCs/>
        </w:rPr>
        <w:t>Non</w:t>
      </w:r>
      <w:r w:rsidRPr="00A531EE">
        <w:rPr>
          <w:rFonts w:ascii="Arial" w:eastAsia="Times New Roman" w:hAnsi="Arial" w:cs="Arial"/>
          <w:bCs/>
        </w:rPr>
        <w:noBreakHyphen/>
        <w:t>modifiable factors</w:t>
      </w:r>
      <w:r w:rsidRPr="008D4938">
        <w:rPr>
          <w:rFonts w:ascii="Arial" w:eastAsia="Times New Roman" w:hAnsi="Arial" w:cs="Arial"/>
        </w:rPr>
        <w:t xml:space="preserve"> include age, family history and ethnicity, with people of South Asian, African</w:t>
      </w:r>
      <w:r w:rsidRPr="008D4938">
        <w:rPr>
          <w:rFonts w:ascii="Arial" w:eastAsia="Times New Roman" w:hAnsi="Arial" w:cs="Arial"/>
        </w:rPr>
        <w:noBreakHyphen/>
        <w:t xml:space="preserve">Caribbean or Black African descent at higher risk (Diabetes UK, 2025). </w:t>
      </w:r>
      <w:r w:rsidRPr="00A531EE">
        <w:rPr>
          <w:rFonts w:ascii="Arial" w:eastAsia="Times New Roman" w:hAnsi="Arial" w:cs="Arial"/>
          <w:bCs/>
        </w:rPr>
        <w:t>Modifiable factors</w:t>
      </w:r>
      <w:r w:rsidRPr="008D4938">
        <w:rPr>
          <w:rFonts w:ascii="Arial" w:eastAsia="Times New Roman" w:hAnsi="Arial" w:cs="Arial"/>
        </w:rPr>
        <w:t xml:space="preserve"> such as </w:t>
      </w:r>
      <w:proofErr w:type="gramStart"/>
      <w:r w:rsidRPr="008D4938">
        <w:rPr>
          <w:rFonts w:ascii="Arial" w:eastAsia="Times New Roman" w:hAnsi="Arial" w:cs="Arial"/>
        </w:rPr>
        <w:t>overweight</w:t>
      </w:r>
      <w:proofErr w:type="gramEnd"/>
      <w:r w:rsidRPr="008D4938">
        <w:rPr>
          <w:rFonts w:ascii="Arial" w:eastAsia="Times New Roman" w:hAnsi="Arial" w:cs="Arial"/>
        </w:rPr>
        <w:t>/obesity, physical inactivity and unhealthy diet are major contributors to metabolic dysfunction and insulin resistance (NICE, 2025). In addition, conditions such as pre</w:t>
      </w:r>
      <w:r w:rsidRPr="008D4938">
        <w:rPr>
          <w:rFonts w:ascii="Arial" w:eastAsia="Times New Roman" w:hAnsi="Arial" w:cs="Arial"/>
        </w:rPr>
        <w:noBreakHyphen/>
        <w:t xml:space="preserve">diabetes and gestational diabetes further elevate future T2D risk, particularly </w:t>
      </w:r>
      <w:proofErr w:type="gramStart"/>
      <w:r w:rsidRPr="008D4938">
        <w:rPr>
          <w:rFonts w:ascii="Arial" w:eastAsia="Times New Roman" w:hAnsi="Arial" w:cs="Arial"/>
        </w:rPr>
        <w:t>in socio</w:t>
      </w:r>
      <w:r w:rsidRPr="008D4938">
        <w:rPr>
          <w:rFonts w:ascii="Arial" w:eastAsia="Times New Roman" w:hAnsi="Arial" w:cs="Arial"/>
        </w:rPr>
        <w:noBreakHyphen/>
        <w:t>economically deprived</w:t>
      </w:r>
      <w:proofErr w:type="gramEnd"/>
      <w:r w:rsidRPr="008D4938">
        <w:rPr>
          <w:rFonts w:ascii="Arial" w:eastAsia="Times New Roman" w:hAnsi="Arial" w:cs="Arial"/>
        </w:rPr>
        <w:t xml:space="preserve"> communities (Diabetes UK, 2025; NHS England, 2025). The growing number of younger adults diagnosed with T2D underscores the urgency of equipping patients with practical understanding and self</w:t>
      </w:r>
      <w:r w:rsidRPr="008D4938">
        <w:rPr>
          <w:rFonts w:ascii="Arial" w:eastAsia="Times New Roman" w:hAnsi="Arial" w:cs="Arial"/>
        </w:rPr>
        <w:noBreakHyphen/>
        <w:t>management skills (NHS England, 2024).</w:t>
      </w:r>
    </w:p>
    <w:p w14:paraId="41DC6143"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In </w:t>
      </w:r>
      <w:proofErr w:type="gramStart"/>
      <w:r w:rsidRPr="008D4938">
        <w:rPr>
          <w:rFonts w:ascii="Arial" w:eastAsia="Times New Roman" w:hAnsi="Arial" w:cs="Arial"/>
        </w:rPr>
        <w:t>a GP</w:t>
      </w:r>
      <w:proofErr w:type="gramEnd"/>
      <w:r w:rsidRPr="008D4938">
        <w:rPr>
          <w:rFonts w:ascii="Arial" w:eastAsia="Times New Roman" w:hAnsi="Arial" w:cs="Arial"/>
        </w:rPr>
        <w:t xml:space="preserve"> surgery, many patients attending with T2D or at risk of developing it lack a coherent understanding of how their lifestyle </w:t>
      </w:r>
      <w:proofErr w:type="spellStart"/>
      <w:r w:rsidRPr="008D4938">
        <w:rPr>
          <w:rFonts w:ascii="Arial" w:eastAsia="Times New Roman" w:hAnsi="Arial" w:cs="Arial"/>
        </w:rPr>
        <w:t>behaviours</w:t>
      </w:r>
      <w:proofErr w:type="spellEnd"/>
      <w:r w:rsidRPr="008D4938">
        <w:rPr>
          <w:rFonts w:ascii="Arial" w:eastAsia="Times New Roman" w:hAnsi="Arial" w:cs="Arial"/>
        </w:rPr>
        <w:t xml:space="preserve"> influence blood glucose control. This gap impedes effective engagement with care plans and can delay initiation of preventative or management strategies. Enhancing patients’ knowledge about what diabetes is and the lifestyle risk factors that drive it is therefore essential to support safe, evidence</w:t>
      </w:r>
      <w:r w:rsidRPr="008D4938">
        <w:rPr>
          <w:rFonts w:ascii="Arial" w:eastAsia="Times New Roman" w:hAnsi="Arial" w:cs="Arial"/>
        </w:rPr>
        <w:noBreakHyphen/>
        <w:t>based self</w:t>
      </w:r>
      <w:r w:rsidRPr="008D4938">
        <w:rPr>
          <w:rFonts w:ascii="Arial" w:eastAsia="Times New Roman" w:hAnsi="Arial" w:cs="Arial"/>
        </w:rPr>
        <w:noBreakHyphen/>
        <w:t>management and reduce the likelihood of avoidable complications.</w:t>
      </w:r>
    </w:p>
    <w:p w14:paraId="3E8C2394" w14:textId="77777777" w:rsidR="008D4938" w:rsidRPr="008D4938" w:rsidRDefault="008D4938" w:rsidP="00A531EE">
      <w:pPr>
        <w:spacing w:before="100" w:beforeAutospacing="1" w:after="100" w:afterAutospacing="1" w:line="360" w:lineRule="auto"/>
        <w:jc w:val="both"/>
        <w:outlineLvl w:val="1"/>
        <w:rPr>
          <w:rFonts w:ascii="Arial" w:eastAsia="Times New Roman" w:hAnsi="Arial" w:cs="Arial"/>
          <w:b/>
          <w:bCs/>
        </w:rPr>
      </w:pPr>
      <w:r w:rsidRPr="00A531EE">
        <w:rPr>
          <w:rFonts w:ascii="Arial" w:eastAsia="Times New Roman" w:hAnsi="Arial" w:cs="Arial"/>
          <w:b/>
          <w:bCs/>
        </w:rPr>
        <w:t>Maintenance of Blood Sugar at Safe and Effective Levels</w:t>
      </w:r>
    </w:p>
    <w:p w14:paraId="213DAF3F"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Blood glucose concentration is tightly regulated to provide a constant energy supply to vital organs while preventing harmful extremes of </w:t>
      </w:r>
      <w:proofErr w:type="spellStart"/>
      <w:r w:rsidRPr="008D4938">
        <w:rPr>
          <w:rFonts w:ascii="Arial" w:eastAsia="Times New Roman" w:hAnsi="Arial" w:cs="Arial"/>
        </w:rPr>
        <w:t>hypoglycaemia</w:t>
      </w:r>
      <w:proofErr w:type="spellEnd"/>
      <w:r w:rsidRPr="008D4938">
        <w:rPr>
          <w:rFonts w:ascii="Arial" w:eastAsia="Times New Roman" w:hAnsi="Arial" w:cs="Arial"/>
        </w:rPr>
        <w:t xml:space="preserve"> or </w:t>
      </w:r>
      <w:proofErr w:type="spellStart"/>
      <w:r w:rsidRPr="008D4938">
        <w:rPr>
          <w:rFonts w:ascii="Arial" w:eastAsia="Times New Roman" w:hAnsi="Arial" w:cs="Arial"/>
        </w:rPr>
        <w:t>hyperglycaemia</w:t>
      </w:r>
      <w:proofErr w:type="spellEnd"/>
      <w:r w:rsidRPr="008D4938">
        <w:rPr>
          <w:rFonts w:ascii="Arial" w:eastAsia="Times New Roman" w:hAnsi="Arial" w:cs="Arial"/>
        </w:rPr>
        <w:t xml:space="preserve">. This balance is achieved through the antagonistic actions of two pancreatic hormones: </w:t>
      </w:r>
      <w:r w:rsidRPr="00A531EE">
        <w:rPr>
          <w:rFonts w:ascii="Arial" w:eastAsia="Times New Roman" w:hAnsi="Arial" w:cs="Arial"/>
          <w:bCs/>
        </w:rPr>
        <w:t>insulin</w:t>
      </w:r>
      <w:r w:rsidRPr="008D4938">
        <w:rPr>
          <w:rFonts w:ascii="Arial" w:eastAsia="Times New Roman" w:hAnsi="Arial" w:cs="Arial"/>
        </w:rPr>
        <w:t xml:space="preserve"> and </w:t>
      </w:r>
      <w:r w:rsidRPr="00A531EE">
        <w:rPr>
          <w:rFonts w:ascii="Arial" w:eastAsia="Times New Roman" w:hAnsi="Arial" w:cs="Arial"/>
          <w:bCs/>
        </w:rPr>
        <w:t>glucagon</w:t>
      </w:r>
      <w:r w:rsidRPr="008D4938">
        <w:rPr>
          <w:rFonts w:ascii="Arial" w:eastAsia="Times New Roman" w:hAnsi="Arial" w:cs="Arial"/>
        </w:rPr>
        <w:t xml:space="preserve"> (Amin and Salman, 2025; Wu et al., 2025). After carbohydrate ingestion, elevated blood glucose stimulates pancreatic β</w:t>
      </w:r>
      <w:r w:rsidRPr="008D4938">
        <w:rPr>
          <w:rFonts w:ascii="Arial" w:eastAsia="Times New Roman" w:hAnsi="Arial" w:cs="Arial"/>
        </w:rPr>
        <w:noBreakHyphen/>
        <w:t xml:space="preserve">cells to release insulin, which facilitates uptake of glucose into </w:t>
      </w:r>
      <w:r w:rsidRPr="00A531EE">
        <w:rPr>
          <w:rFonts w:ascii="Arial" w:eastAsia="Times New Roman" w:hAnsi="Arial" w:cs="Arial"/>
          <w:bCs/>
        </w:rPr>
        <w:t>liver, skeletal muscle</w:t>
      </w:r>
      <w:r w:rsidRPr="00A531EE">
        <w:rPr>
          <w:rFonts w:ascii="Arial" w:eastAsia="Times New Roman" w:hAnsi="Arial" w:cs="Arial"/>
          <w:b/>
          <w:bCs/>
        </w:rPr>
        <w:t xml:space="preserve"> </w:t>
      </w:r>
      <w:r w:rsidRPr="00A531EE">
        <w:rPr>
          <w:rFonts w:ascii="Arial" w:eastAsia="Times New Roman" w:hAnsi="Arial" w:cs="Arial"/>
          <w:bCs/>
        </w:rPr>
        <w:lastRenderedPageBreak/>
        <w:t>and adipose tissue</w:t>
      </w:r>
      <w:r w:rsidRPr="008D4938">
        <w:rPr>
          <w:rFonts w:ascii="Arial" w:eastAsia="Times New Roman" w:hAnsi="Arial" w:cs="Arial"/>
        </w:rPr>
        <w:t xml:space="preserve"> and promotes storage as glycogen or conversion to fat (Wu et al., 2025; Medscape, 2025). At the same time, insulin suppresses hepatic glucose production, ensuring post</w:t>
      </w:r>
      <w:r w:rsidRPr="008D4938">
        <w:rPr>
          <w:rFonts w:ascii="Arial" w:eastAsia="Times New Roman" w:hAnsi="Arial" w:cs="Arial"/>
        </w:rPr>
        <w:noBreakHyphen/>
        <w:t>meal glucose elevations are moderated. By contrast, when blood glucose falls during fasting states, pancreatic α</w:t>
      </w:r>
      <w:r w:rsidRPr="008D4938">
        <w:rPr>
          <w:rFonts w:ascii="Arial" w:eastAsia="Times New Roman" w:hAnsi="Arial" w:cs="Arial"/>
        </w:rPr>
        <w:noBreakHyphen/>
        <w:t xml:space="preserve">cells secrete glucagon, a hormone that stimulates hepatic </w:t>
      </w:r>
      <w:r w:rsidRPr="00A531EE">
        <w:rPr>
          <w:rFonts w:ascii="Arial" w:eastAsia="Times New Roman" w:hAnsi="Arial" w:cs="Arial"/>
          <w:bCs/>
        </w:rPr>
        <w:t>glycogenolysis and gluconeogenesis</w:t>
      </w:r>
      <w:r w:rsidRPr="008D4938">
        <w:rPr>
          <w:rFonts w:ascii="Arial" w:eastAsia="Times New Roman" w:hAnsi="Arial" w:cs="Arial"/>
        </w:rPr>
        <w:t xml:space="preserve">, releasing glucose into circulation to maintain </w:t>
      </w:r>
      <w:proofErr w:type="spellStart"/>
      <w:r w:rsidRPr="008D4938">
        <w:rPr>
          <w:rFonts w:ascii="Arial" w:eastAsia="Times New Roman" w:hAnsi="Arial" w:cs="Arial"/>
        </w:rPr>
        <w:t>euglycaemia</w:t>
      </w:r>
      <w:proofErr w:type="spellEnd"/>
      <w:r w:rsidRPr="008D4938">
        <w:rPr>
          <w:rFonts w:ascii="Arial" w:eastAsia="Times New Roman" w:hAnsi="Arial" w:cs="Arial"/>
        </w:rPr>
        <w:t xml:space="preserve"> (Amin and Salman, 2025; Wu et al., 2025).</w:t>
      </w:r>
    </w:p>
    <w:p w14:paraId="5678CC7E" w14:textId="77777777" w:rsid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In the </w:t>
      </w:r>
      <w:r w:rsidRPr="00A531EE">
        <w:rPr>
          <w:rFonts w:ascii="Arial" w:eastAsia="Times New Roman" w:hAnsi="Arial" w:cs="Arial"/>
          <w:bCs/>
        </w:rPr>
        <w:t>fasting state</w:t>
      </w:r>
      <w:r w:rsidRPr="008D4938">
        <w:rPr>
          <w:rFonts w:ascii="Arial" w:eastAsia="Times New Roman" w:hAnsi="Arial" w:cs="Arial"/>
        </w:rPr>
        <w:t xml:space="preserve">, low insulin and higher glucagon levels shift the balance towards glucose production by the liver while reducing peripheral glucose uptake. In the </w:t>
      </w:r>
      <w:r w:rsidRPr="00A531EE">
        <w:rPr>
          <w:rFonts w:ascii="Arial" w:eastAsia="Times New Roman" w:hAnsi="Arial" w:cs="Arial"/>
          <w:bCs/>
        </w:rPr>
        <w:t>post</w:t>
      </w:r>
      <w:r w:rsidRPr="00A531EE">
        <w:rPr>
          <w:rFonts w:ascii="Arial" w:eastAsia="Times New Roman" w:hAnsi="Arial" w:cs="Arial"/>
          <w:bCs/>
        </w:rPr>
        <w:noBreakHyphen/>
        <w:t>prandial state</w:t>
      </w:r>
      <w:r w:rsidRPr="008D4938">
        <w:rPr>
          <w:rFonts w:ascii="Arial" w:eastAsia="Times New Roman" w:hAnsi="Arial" w:cs="Arial"/>
        </w:rPr>
        <w:t xml:space="preserve">, increased insulin and suppressed glucagon promote glucose uptake and storage, particularly in muscle and adipose tissue, which together account for the majority of glucose disposal after meals (Wu et 2025; </w:t>
      </w:r>
      <w:proofErr w:type="spellStart"/>
      <w:r w:rsidRPr="008D4938">
        <w:rPr>
          <w:rFonts w:ascii="Arial" w:eastAsia="Times New Roman" w:hAnsi="Arial" w:cs="Arial"/>
        </w:rPr>
        <w:t>Shibib</w:t>
      </w:r>
      <w:proofErr w:type="spellEnd"/>
      <w:r w:rsidRPr="008D4938">
        <w:rPr>
          <w:rFonts w:ascii="Arial" w:eastAsia="Times New Roman" w:hAnsi="Arial" w:cs="Arial"/>
        </w:rPr>
        <w:t xml:space="preserve"> et 2024). These coordinated responses ensure that blood glucose remains within a narrow physiological range despite fluctuating intake and energy demands.</w:t>
      </w:r>
    </w:p>
    <w:p w14:paraId="7349D7FC" w14:textId="77777777" w:rsidR="001B34ED" w:rsidRDefault="001B34ED" w:rsidP="00A531EE">
      <w:pPr>
        <w:spacing w:before="100" w:beforeAutospacing="1" w:after="100" w:afterAutospacing="1" w:line="360" w:lineRule="auto"/>
        <w:jc w:val="both"/>
        <w:rPr>
          <w:rFonts w:ascii="Arial" w:eastAsia="Times New Roman" w:hAnsi="Arial" w:cs="Arial"/>
        </w:rPr>
      </w:pPr>
      <w:r w:rsidRPr="001B34ED">
        <w:rPr>
          <w:noProof/>
        </w:rPr>
        <w:drawing>
          <wp:inline distT="0" distB="0" distL="0" distR="0" wp14:anchorId="649CB745" wp14:editId="6B2FB6B1">
            <wp:extent cx="5740400" cy="3743739"/>
            <wp:effectExtent l="0" t="0" r="0" b="9525"/>
            <wp:docPr id="7" name="Picture 7" descr="4. Regulation of Blood Glucose | ATra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4. Regulation of Blood Glucose | ATrain Edu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0400" cy="3743739"/>
                    </a:xfrm>
                    <a:prstGeom prst="rect">
                      <a:avLst/>
                    </a:prstGeom>
                    <a:noFill/>
                    <a:ln>
                      <a:noFill/>
                    </a:ln>
                  </pic:spPr>
                </pic:pic>
              </a:graphicData>
            </a:graphic>
          </wp:inline>
        </w:drawing>
      </w:r>
    </w:p>
    <w:p w14:paraId="72EFD30F" w14:textId="77777777" w:rsidR="001B34ED" w:rsidRPr="008D4938" w:rsidRDefault="001B34ED" w:rsidP="00A531EE">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                                                         </w:t>
      </w:r>
      <w:r w:rsidRPr="001B34ED">
        <w:rPr>
          <w:rFonts w:ascii="Arial" w:eastAsia="Times New Roman" w:hAnsi="Arial" w:cs="Arial"/>
          <w:b/>
        </w:rPr>
        <w:t>(Atrain,2026)</w:t>
      </w:r>
      <w:r w:rsidRPr="001B34ED">
        <w:rPr>
          <w:noProof/>
        </w:rPr>
        <w:drawing>
          <wp:inline distT="0" distB="0" distL="0" distR="0" wp14:anchorId="2080A255" wp14:editId="01E05E4A">
            <wp:extent cx="5943600" cy="419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19100"/>
                    </a:xfrm>
                    <a:prstGeom prst="rect">
                      <a:avLst/>
                    </a:prstGeom>
                    <a:noFill/>
                    <a:ln>
                      <a:noFill/>
                    </a:ln>
                  </pic:spPr>
                </pic:pic>
              </a:graphicData>
            </a:graphic>
          </wp:inline>
        </w:drawing>
      </w:r>
    </w:p>
    <w:p w14:paraId="7580D1AB"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bCs/>
        </w:rPr>
        <w:lastRenderedPageBreak/>
        <w:t>Insulin resistance</w:t>
      </w:r>
      <w:r w:rsidRPr="008D4938">
        <w:rPr>
          <w:rFonts w:ascii="Arial" w:eastAsia="Times New Roman" w:hAnsi="Arial" w:cs="Arial"/>
        </w:rPr>
        <w:t xml:space="preserve">, a core feature of T2D, develops when target tissues no longer respond adequately to normal insulin levels, particularly in </w:t>
      </w:r>
      <w:r w:rsidRPr="00A531EE">
        <w:rPr>
          <w:rFonts w:ascii="Arial" w:eastAsia="Times New Roman" w:hAnsi="Arial" w:cs="Arial"/>
          <w:bCs/>
        </w:rPr>
        <w:t>liver, muscle and adipose tissue</w:t>
      </w:r>
      <w:r w:rsidRPr="008D4938">
        <w:rPr>
          <w:rFonts w:ascii="Arial" w:eastAsia="Times New Roman" w:hAnsi="Arial" w:cs="Arial"/>
        </w:rPr>
        <w:t xml:space="preserve">. Research shows that insulin resistance increases hepatic glucose output and reduces glucose uptake in peripheral tissues, leading to chronic </w:t>
      </w:r>
      <w:proofErr w:type="spellStart"/>
      <w:r w:rsidRPr="008D4938">
        <w:rPr>
          <w:rFonts w:ascii="Arial" w:eastAsia="Times New Roman" w:hAnsi="Arial" w:cs="Arial"/>
        </w:rPr>
        <w:t>hyperglycaemia</w:t>
      </w:r>
      <w:proofErr w:type="spellEnd"/>
      <w:r w:rsidRPr="008D4938">
        <w:rPr>
          <w:rFonts w:ascii="Arial" w:eastAsia="Times New Roman" w:hAnsi="Arial" w:cs="Arial"/>
        </w:rPr>
        <w:t xml:space="preserve"> characteristic of T2D (</w:t>
      </w:r>
      <w:proofErr w:type="spellStart"/>
      <w:r w:rsidRPr="008D4938">
        <w:rPr>
          <w:rFonts w:ascii="Arial" w:eastAsia="Times New Roman" w:hAnsi="Arial" w:cs="Arial"/>
        </w:rPr>
        <w:t>Młynarska</w:t>
      </w:r>
      <w:proofErr w:type="spellEnd"/>
      <w:r w:rsidRPr="008D4938">
        <w:rPr>
          <w:rFonts w:ascii="Arial" w:eastAsia="Times New Roman" w:hAnsi="Arial" w:cs="Arial"/>
        </w:rPr>
        <w:t xml:space="preserve"> et al., 2025; </w:t>
      </w:r>
      <w:proofErr w:type="spellStart"/>
      <w:r w:rsidRPr="008D4938">
        <w:rPr>
          <w:rFonts w:ascii="Arial" w:eastAsia="Times New Roman" w:hAnsi="Arial" w:cs="Arial"/>
        </w:rPr>
        <w:t>StatPearls</w:t>
      </w:r>
      <w:proofErr w:type="spellEnd"/>
      <w:r w:rsidRPr="008D4938">
        <w:rPr>
          <w:rFonts w:ascii="Arial" w:eastAsia="Times New Roman" w:hAnsi="Arial" w:cs="Arial"/>
        </w:rPr>
        <w:t xml:space="preserve">, 2023). In adipose tissue, dysfunction contributes to increased free fatty acid release and inflammatory </w:t>
      </w:r>
      <w:r w:rsidR="00A531EE" w:rsidRPr="008D4938">
        <w:rPr>
          <w:rFonts w:ascii="Arial" w:eastAsia="Times New Roman" w:hAnsi="Arial" w:cs="Arial"/>
        </w:rPr>
        <w:t>signaling</w:t>
      </w:r>
      <w:r w:rsidRPr="008D4938">
        <w:rPr>
          <w:rFonts w:ascii="Arial" w:eastAsia="Times New Roman" w:hAnsi="Arial" w:cs="Arial"/>
        </w:rPr>
        <w:t>, exacerbating systemic insulin resistance (</w:t>
      </w:r>
      <w:proofErr w:type="spellStart"/>
      <w:r w:rsidRPr="008D4938">
        <w:rPr>
          <w:rFonts w:ascii="Arial" w:eastAsia="Times New Roman" w:hAnsi="Arial" w:cs="Arial"/>
        </w:rPr>
        <w:t>Rabiee</w:t>
      </w:r>
      <w:proofErr w:type="spellEnd"/>
      <w:r w:rsidRPr="008D4938">
        <w:rPr>
          <w:rFonts w:ascii="Arial" w:eastAsia="Times New Roman" w:hAnsi="Arial" w:cs="Arial"/>
        </w:rPr>
        <w:t xml:space="preserve"> et al., 2025). Muscle insulin resistance specifically impairs glucose uptake, further elevating blood glucose levels (Kemper et al., 2025). Together, these mechanisms highlight the importance of both pancreatic hormone regulation and </w:t>
      </w:r>
      <w:r w:rsidRPr="00A531EE">
        <w:rPr>
          <w:rFonts w:ascii="Arial" w:eastAsia="Times New Roman" w:hAnsi="Arial" w:cs="Arial"/>
          <w:bCs/>
        </w:rPr>
        <w:t>tissue sensitivity to insulin</w:t>
      </w:r>
      <w:r w:rsidRPr="008D4938">
        <w:rPr>
          <w:rFonts w:ascii="Arial" w:eastAsia="Times New Roman" w:hAnsi="Arial" w:cs="Arial"/>
        </w:rPr>
        <w:t xml:space="preserve"> in maintaining safe blood sugar levels.</w:t>
      </w:r>
    </w:p>
    <w:p w14:paraId="69F88AA0" w14:textId="77777777" w:rsidR="001B34ED" w:rsidRDefault="008D4938" w:rsidP="001B34ED">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For patients in a primary</w:t>
      </w:r>
      <w:r w:rsidRPr="008D4938">
        <w:rPr>
          <w:rFonts w:ascii="Arial" w:eastAsia="Times New Roman" w:hAnsi="Arial" w:cs="Arial"/>
        </w:rPr>
        <w:noBreakHyphen/>
        <w:t xml:space="preserve">care setting, understanding that insulin’s action on liver and muscle is essential for glucose balance, and that glucagon prevents dangerous </w:t>
      </w:r>
      <w:proofErr w:type="spellStart"/>
      <w:r w:rsidRPr="008D4938">
        <w:rPr>
          <w:rFonts w:ascii="Arial" w:eastAsia="Times New Roman" w:hAnsi="Arial" w:cs="Arial"/>
        </w:rPr>
        <w:t>hypoglycaemia</w:t>
      </w:r>
      <w:proofErr w:type="spellEnd"/>
      <w:r w:rsidRPr="008D4938">
        <w:rPr>
          <w:rFonts w:ascii="Arial" w:eastAsia="Times New Roman" w:hAnsi="Arial" w:cs="Arial"/>
        </w:rPr>
        <w:t xml:space="preserve"> between meals, supports effective engagement with treatment plans, monitoring and lifestyle interventions aimed at improving insulin sensitivity and preventing glucose excursions.</w:t>
      </w:r>
    </w:p>
    <w:p w14:paraId="7EEAFF8D" w14:textId="77777777" w:rsidR="008D4938" w:rsidRPr="008D4938" w:rsidRDefault="008D4938" w:rsidP="001B34ED">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b/>
          <w:bCs/>
        </w:rPr>
        <w:t>Oxygen, Glucose and Cellular Energy Metabolism</w:t>
      </w:r>
    </w:p>
    <w:p w14:paraId="185AC5DA"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Energy for all cellular processes is generated by the conversion of </w:t>
      </w:r>
      <w:r w:rsidRPr="00A531EE">
        <w:rPr>
          <w:rFonts w:ascii="Arial" w:eastAsia="Times New Roman" w:hAnsi="Arial" w:cs="Arial"/>
          <w:bCs/>
        </w:rPr>
        <w:t>glucose and oxygen into adenosine triphosphate (ATP)</w:t>
      </w:r>
      <w:r w:rsidRPr="008D4938">
        <w:rPr>
          <w:rFonts w:ascii="Arial" w:eastAsia="Times New Roman" w:hAnsi="Arial" w:cs="Arial"/>
        </w:rPr>
        <w:t xml:space="preserve">, the universal “energy currency” of the body. Glucose metabolism begins with </w:t>
      </w:r>
      <w:r w:rsidRPr="00A531EE">
        <w:rPr>
          <w:rFonts w:ascii="Arial" w:eastAsia="Times New Roman" w:hAnsi="Arial" w:cs="Arial"/>
          <w:bCs/>
        </w:rPr>
        <w:t>glycolysis</w:t>
      </w:r>
      <w:r w:rsidRPr="008D4938">
        <w:rPr>
          <w:rFonts w:ascii="Arial" w:eastAsia="Times New Roman" w:hAnsi="Arial" w:cs="Arial"/>
        </w:rPr>
        <w:t>, a series of enzyme</w:t>
      </w:r>
      <w:r w:rsidRPr="008D4938">
        <w:rPr>
          <w:rFonts w:ascii="Arial" w:eastAsia="Times New Roman" w:hAnsi="Arial" w:cs="Arial"/>
        </w:rPr>
        <w:noBreakHyphen/>
        <w:t>mediated reactions in the cell cytoplasm that break one glucose molecule into two molecules of pyruvate while yielding a small amount of ATP and reduced coenzymes (NADH) (</w:t>
      </w:r>
      <w:proofErr w:type="spellStart"/>
      <w:r w:rsidRPr="008D4938">
        <w:rPr>
          <w:rFonts w:ascii="Arial" w:eastAsia="Times New Roman" w:hAnsi="Arial" w:cs="Arial"/>
        </w:rPr>
        <w:t>StatPearls</w:t>
      </w:r>
      <w:proofErr w:type="spellEnd"/>
      <w:r w:rsidRPr="008D4938">
        <w:rPr>
          <w:rFonts w:ascii="Arial" w:eastAsia="Times New Roman" w:hAnsi="Arial" w:cs="Arial"/>
        </w:rPr>
        <w:t xml:space="preserve">, 2023; </w:t>
      </w:r>
      <w:proofErr w:type="spellStart"/>
      <w:r w:rsidRPr="008D4938">
        <w:rPr>
          <w:rFonts w:ascii="Arial" w:eastAsia="Times New Roman" w:hAnsi="Arial" w:cs="Arial"/>
        </w:rPr>
        <w:t>MedTechNews</w:t>
      </w:r>
      <w:proofErr w:type="spellEnd"/>
      <w:r w:rsidRPr="008D4938">
        <w:rPr>
          <w:rFonts w:ascii="Arial" w:eastAsia="Times New Roman" w:hAnsi="Arial" w:cs="Arial"/>
        </w:rPr>
        <w:t xml:space="preserve">, 2024). Glycolysis does not require oxygen and therefore occurs under both aerobic and anaerobic conditions, but it produces only </w:t>
      </w:r>
      <w:r w:rsidRPr="00A531EE">
        <w:rPr>
          <w:rFonts w:ascii="Arial" w:eastAsia="Times New Roman" w:hAnsi="Arial" w:cs="Arial"/>
          <w:bCs/>
        </w:rPr>
        <w:t>2 ATP per glucose</w:t>
      </w:r>
      <w:r w:rsidR="004D48F2">
        <w:rPr>
          <w:rFonts w:ascii="Arial" w:eastAsia="Times New Roman" w:hAnsi="Arial" w:cs="Arial"/>
        </w:rPr>
        <w:t xml:space="preserve"> molecule </w:t>
      </w:r>
      <w:r w:rsidRPr="008D4938">
        <w:rPr>
          <w:rFonts w:ascii="Arial" w:eastAsia="Times New Roman" w:hAnsi="Arial" w:cs="Arial"/>
        </w:rPr>
        <w:t>far less than complete aerobic metabolism (</w:t>
      </w:r>
      <w:proofErr w:type="spellStart"/>
      <w:r w:rsidRPr="008D4938">
        <w:rPr>
          <w:rFonts w:ascii="Arial" w:eastAsia="Times New Roman" w:hAnsi="Arial" w:cs="Arial"/>
        </w:rPr>
        <w:t>StatPearls</w:t>
      </w:r>
      <w:proofErr w:type="spellEnd"/>
      <w:r w:rsidRPr="008D4938">
        <w:rPr>
          <w:rFonts w:ascii="Arial" w:eastAsia="Times New Roman" w:hAnsi="Arial" w:cs="Arial"/>
        </w:rPr>
        <w:t xml:space="preserve">, 2023; </w:t>
      </w:r>
      <w:proofErr w:type="spellStart"/>
      <w:r w:rsidRPr="008D4938">
        <w:rPr>
          <w:rFonts w:ascii="Arial" w:eastAsia="Times New Roman" w:hAnsi="Arial" w:cs="Arial"/>
        </w:rPr>
        <w:t>MedTechNews</w:t>
      </w:r>
      <w:proofErr w:type="spellEnd"/>
      <w:r w:rsidRPr="008D4938">
        <w:rPr>
          <w:rFonts w:ascii="Arial" w:eastAsia="Times New Roman" w:hAnsi="Arial" w:cs="Arial"/>
        </w:rPr>
        <w:t>, 2024).</w:t>
      </w:r>
    </w:p>
    <w:p w14:paraId="6D64F8CF"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When oxygen is available, pyruvate enters mitochondria and is transformed into </w:t>
      </w:r>
      <w:r w:rsidR="00A531EE" w:rsidRPr="008D4938">
        <w:rPr>
          <w:rFonts w:ascii="Arial" w:eastAsia="Times New Roman" w:hAnsi="Arial" w:cs="Arial"/>
        </w:rPr>
        <w:t>acetyl-</w:t>
      </w:r>
      <w:proofErr w:type="spellStart"/>
      <w:r w:rsidR="00A531EE" w:rsidRPr="008D4938">
        <w:rPr>
          <w:rFonts w:ascii="Arial" w:eastAsia="Times New Roman" w:hAnsi="Arial" w:cs="Arial"/>
        </w:rPr>
        <w:t>coA</w:t>
      </w:r>
      <w:proofErr w:type="spellEnd"/>
      <w:r w:rsidRPr="008D4938">
        <w:rPr>
          <w:rFonts w:ascii="Arial" w:eastAsia="Times New Roman" w:hAnsi="Arial" w:cs="Arial"/>
        </w:rPr>
        <w:t xml:space="preserve">, which feeds into the </w:t>
      </w:r>
      <w:r w:rsidRPr="00A531EE">
        <w:rPr>
          <w:rFonts w:ascii="Arial" w:eastAsia="Times New Roman" w:hAnsi="Arial" w:cs="Arial"/>
          <w:bCs/>
        </w:rPr>
        <w:t>tricarboxylic acid (TCA) cycle (Krebs cycle)</w:t>
      </w:r>
      <w:r w:rsidRPr="008D4938">
        <w:rPr>
          <w:rFonts w:ascii="Arial" w:eastAsia="Times New Roman" w:hAnsi="Arial" w:cs="Arial"/>
        </w:rPr>
        <w:t>. This cycle generates high</w:t>
      </w:r>
      <w:r w:rsidRPr="008D4938">
        <w:rPr>
          <w:rFonts w:ascii="Arial" w:eastAsia="Times New Roman" w:hAnsi="Arial" w:cs="Arial"/>
        </w:rPr>
        <w:noBreakHyphen/>
        <w:t>energy carriers (NADH, FADH</w:t>
      </w:r>
      <w:r w:rsidRPr="008D4938">
        <w:rPr>
          <w:rFonts w:ascii="Cambria Math" w:eastAsia="Times New Roman" w:hAnsi="Cambria Math" w:cs="Cambria Math"/>
        </w:rPr>
        <w:t>₂</w:t>
      </w:r>
      <w:r w:rsidRPr="008D4938">
        <w:rPr>
          <w:rFonts w:ascii="Arial" w:eastAsia="Times New Roman" w:hAnsi="Arial" w:cs="Arial"/>
        </w:rPr>
        <w:t xml:space="preserve">) that donate electrons to the </w:t>
      </w:r>
      <w:r w:rsidRPr="00A531EE">
        <w:rPr>
          <w:rFonts w:ascii="Arial" w:eastAsia="Times New Roman" w:hAnsi="Arial" w:cs="Arial"/>
          <w:bCs/>
        </w:rPr>
        <w:t>electron transport chain (ETC)</w:t>
      </w:r>
      <w:r w:rsidRPr="008D4938">
        <w:rPr>
          <w:rFonts w:ascii="Arial" w:eastAsia="Times New Roman" w:hAnsi="Arial" w:cs="Arial"/>
        </w:rPr>
        <w:t xml:space="preserve"> on the inner mitochondrial membrane (turning chemical energy into a proton gradient). The energy from </w:t>
      </w:r>
      <w:proofErr w:type="gramStart"/>
      <w:r w:rsidRPr="008D4938">
        <w:rPr>
          <w:rFonts w:ascii="Arial" w:eastAsia="Times New Roman" w:hAnsi="Arial" w:cs="Arial"/>
        </w:rPr>
        <w:t>this gradient drives</w:t>
      </w:r>
      <w:proofErr w:type="gramEnd"/>
      <w:r w:rsidRPr="008D4938">
        <w:rPr>
          <w:rFonts w:ascii="Arial" w:eastAsia="Times New Roman" w:hAnsi="Arial" w:cs="Arial"/>
        </w:rPr>
        <w:t xml:space="preserve"> </w:t>
      </w:r>
      <w:r w:rsidRPr="00A531EE">
        <w:rPr>
          <w:rFonts w:ascii="Arial" w:eastAsia="Times New Roman" w:hAnsi="Arial" w:cs="Arial"/>
          <w:bCs/>
        </w:rPr>
        <w:t>oxidative phosphorylation (</w:t>
      </w:r>
      <w:proofErr w:type="spellStart"/>
      <w:r w:rsidRPr="00A531EE">
        <w:rPr>
          <w:rFonts w:ascii="Arial" w:eastAsia="Times New Roman" w:hAnsi="Arial" w:cs="Arial"/>
          <w:bCs/>
        </w:rPr>
        <w:t>OxPhos</w:t>
      </w:r>
      <w:proofErr w:type="spellEnd"/>
      <w:r w:rsidRPr="00A531EE">
        <w:rPr>
          <w:rFonts w:ascii="Arial" w:eastAsia="Times New Roman" w:hAnsi="Arial" w:cs="Arial"/>
          <w:bCs/>
        </w:rPr>
        <w:t>)</w:t>
      </w:r>
      <w:r w:rsidRPr="008D4938">
        <w:rPr>
          <w:rFonts w:ascii="Arial" w:eastAsia="Times New Roman" w:hAnsi="Arial" w:cs="Arial"/>
        </w:rPr>
        <w:t xml:space="preserve">, where the majority of ATP is </w:t>
      </w:r>
      <w:r w:rsidR="00A531EE" w:rsidRPr="008D4938">
        <w:rPr>
          <w:rFonts w:ascii="Arial" w:eastAsia="Times New Roman" w:hAnsi="Arial" w:cs="Arial"/>
        </w:rPr>
        <w:t>synthesized</w:t>
      </w:r>
      <w:r w:rsidRPr="008D4938">
        <w:rPr>
          <w:rFonts w:ascii="Arial" w:eastAsia="Times New Roman" w:hAnsi="Arial" w:cs="Arial"/>
        </w:rPr>
        <w:t xml:space="preserve"> (≈29–30 ATP per glucose under typical conditions) (Wikipedia, 2025; </w:t>
      </w:r>
      <w:proofErr w:type="spellStart"/>
      <w:r w:rsidRPr="008D4938">
        <w:rPr>
          <w:rFonts w:ascii="Arial" w:eastAsia="Times New Roman" w:hAnsi="Arial" w:cs="Arial"/>
        </w:rPr>
        <w:t>MedTechNews</w:t>
      </w:r>
      <w:proofErr w:type="spellEnd"/>
      <w:r w:rsidRPr="008D4938">
        <w:rPr>
          <w:rFonts w:ascii="Arial" w:eastAsia="Times New Roman" w:hAnsi="Arial" w:cs="Arial"/>
        </w:rPr>
        <w:t xml:space="preserve">, 2024). Oxygen’s role is as the </w:t>
      </w:r>
      <w:r w:rsidRPr="00A531EE">
        <w:rPr>
          <w:rFonts w:ascii="Arial" w:eastAsia="Times New Roman" w:hAnsi="Arial" w:cs="Arial"/>
          <w:bCs/>
        </w:rPr>
        <w:t>final electron acceptor</w:t>
      </w:r>
      <w:r w:rsidRPr="008D4938">
        <w:rPr>
          <w:rFonts w:ascii="Arial" w:eastAsia="Times New Roman" w:hAnsi="Arial" w:cs="Arial"/>
        </w:rPr>
        <w:t xml:space="preserve"> at the end of the ETC, forming water and permitting </w:t>
      </w:r>
      <w:r w:rsidRPr="008D4938">
        <w:rPr>
          <w:rFonts w:ascii="Arial" w:eastAsia="Times New Roman" w:hAnsi="Arial" w:cs="Arial"/>
        </w:rPr>
        <w:lastRenderedPageBreak/>
        <w:t xml:space="preserve">continuous ATP generation; without oxygen, </w:t>
      </w:r>
      <w:proofErr w:type="spellStart"/>
      <w:r w:rsidRPr="008D4938">
        <w:rPr>
          <w:rFonts w:ascii="Arial" w:eastAsia="Times New Roman" w:hAnsi="Arial" w:cs="Arial"/>
        </w:rPr>
        <w:t>OxPhos</w:t>
      </w:r>
      <w:proofErr w:type="spellEnd"/>
      <w:r w:rsidRPr="008D4938">
        <w:rPr>
          <w:rFonts w:ascii="Arial" w:eastAsia="Times New Roman" w:hAnsi="Arial" w:cs="Arial"/>
        </w:rPr>
        <w:t xml:space="preserve"> cannot proceed and cells rely on much less efficient anaerobic glycolysis (Wikipedia, 2025).</w:t>
      </w:r>
    </w:p>
    <w:p w14:paraId="55AA1B61"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In T2D, </w:t>
      </w:r>
      <w:r w:rsidRPr="00A531EE">
        <w:rPr>
          <w:rFonts w:ascii="Arial" w:eastAsia="Times New Roman" w:hAnsi="Arial" w:cs="Arial"/>
          <w:bCs/>
        </w:rPr>
        <w:t>insulin resistance</w:t>
      </w:r>
      <w:r w:rsidRPr="008D4938">
        <w:rPr>
          <w:rFonts w:ascii="Arial" w:eastAsia="Times New Roman" w:hAnsi="Arial" w:cs="Arial"/>
        </w:rPr>
        <w:t xml:space="preserve"> and persistent </w:t>
      </w:r>
      <w:proofErr w:type="spellStart"/>
      <w:r w:rsidRPr="008D4938">
        <w:rPr>
          <w:rFonts w:ascii="Arial" w:eastAsia="Times New Roman" w:hAnsi="Arial" w:cs="Arial"/>
        </w:rPr>
        <w:t>hyperglycaemia</w:t>
      </w:r>
      <w:proofErr w:type="spellEnd"/>
      <w:r w:rsidRPr="008D4938">
        <w:rPr>
          <w:rFonts w:ascii="Arial" w:eastAsia="Times New Roman" w:hAnsi="Arial" w:cs="Arial"/>
        </w:rPr>
        <w:t xml:space="preserve"> impair mitochondrial energy metabolism. Recent research highlights t</w:t>
      </w:r>
      <w:r w:rsidR="004D48F2">
        <w:rPr>
          <w:rFonts w:ascii="Arial" w:eastAsia="Times New Roman" w:hAnsi="Arial" w:cs="Arial"/>
        </w:rPr>
        <w:t xml:space="preserve">hat mitochondrial dysfunction </w:t>
      </w:r>
      <w:r w:rsidRPr="008D4938">
        <w:rPr>
          <w:rFonts w:ascii="Arial" w:eastAsia="Times New Roman" w:hAnsi="Arial" w:cs="Arial"/>
        </w:rPr>
        <w:t xml:space="preserve">including reduced </w:t>
      </w:r>
      <w:proofErr w:type="spellStart"/>
      <w:r w:rsidRPr="008D4938">
        <w:rPr>
          <w:rFonts w:ascii="Arial" w:eastAsia="Times New Roman" w:hAnsi="Arial" w:cs="Arial"/>
        </w:rPr>
        <w:t>OxPhos</w:t>
      </w:r>
      <w:proofErr w:type="spellEnd"/>
      <w:r w:rsidRPr="008D4938">
        <w:rPr>
          <w:rFonts w:ascii="Arial" w:eastAsia="Times New Roman" w:hAnsi="Arial" w:cs="Arial"/>
        </w:rPr>
        <w:t xml:space="preserve"> efficiency, disrupted TCA flux, excessive reactive oxygen species (ROS) and altered mit</w:t>
      </w:r>
      <w:r w:rsidR="004D48F2">
        <w:rPr>
          <w:rFonts w:ascii="Arial" w:eastAsia="Times New Roman" w:hAnsi="Arial" w:cs="Arial"/>
        </w:rPr>
        <w:t>ochondrial dynamics</w:t>
      </w:r>
      <w:r w:rsidRPr="008D4938">
        <w:rPr>
          <w:rFonts w:ascii="Arial" w:eastAsia="Times New Roman" w:hAnsi="Arial" w:cs="Arial"/>
        </w:rPr>
        <w:t xml:space="preserve"> </w:t>
      </w:r>
      <w:proofErr w:type="gramStart"/>
      <w:r w:rsidRPr="008D4938">
        <w:rPr>
          <w:rFonts w:ascii="Arial" w:eastAsia="Times New Roman" w:hAnsi="Arial" w:cs="Arial"/>
        </w:rPr>
        <w:t>is</w:t>
      </w:r>
      <w:proofErr w:type="gramEnd"/>
      <w:r w:rsidRPr="008D4938">
        <w:rPr>
          <w:rFonts w:ascii="Arial" w:eastAsia="Times New Roman" w:hAnsi="Arial" w:cs="Arial"/>
        </w:rPr>
        <w:t xml:space="preserve"> a central pathological feature of T2D in </w:t>
      </w:r>
      <w:r w:rsidRPr="00A531EE">
        <w:rPr>
          <w:rFonts w:ascii="Arial" w:eastAsia="Times New Roman" w:hAnsi="Arial" w:cs="Arial"/>
          <w:bCs/>
        </w:rPr>
        <w:t>liver, muscle and adipose tissues</w:t>
      </w:r>
      <w:r w:rsidRPr="008D4938">
        <w:rPr>
          <w:rFonts w:ascii="Arial" w:eastAsia="Times New Roman" w:hAnsi="Arial" w:cs="Arial"/>
        </w:rPr>
        <w:t xml:space="preserve">, leading to reduced ATP production and contributing to metabolic dysregulation (Feng et al., 2025; Qin et al., 2025). This dysfunction not only limits cellular energy supply but also exacerbates ROS generation that further impairs insulin </w:t>
      </w:r>
      <w:r w:rsidR="00A531EE" w:rsidRPr="008D4938">
        <w:rPr>
          <w:rFonts w:ascii="Arial" w:eastAsia="Times New Roman" w:hAnsi="Arial" w:cs="Arial"/>
        </w:rPr>
        <w:t>signaling</w:t>
      </w:r>
      <w:r w:rsidRPr="008D4938">
        <w:rPr>
          <w:rFonts w:ascii="Arial" w:eastAsia="Times New Roman" w:hAnsi="Arial" w:cs="Arial"/>
        </w:rPr>
        <w:t xml:space="preserve"> and glucose </w:t>
      </w:r>
      <w:r w:rsidR="00A531EE" w:rsidRPr="008D4938">
        <w:rPr>
          <w:rFonts w:ascii="Arial" w:eastAsia="Times New Roman" w:hAnsi="Arial" w:cs="Arial"/>
        </w:rPr>
        <w:t>utilization</w:t>
      </w:r>
      <w:r w:rsidRPr="008D4938">
        <w:rPr>
          <w:rFonts w:ascii="Arial" w:eastAsia="Times New Roman" w:hAnsi="Arial" w:cs="Arial"/>
        </w:rPr>
        <w:t>.</w:t>
      </w:r>
    </w:p>
    <w:p w14:paraId="79E92D94" w14:textId="77777777" w:rsid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Understanding these</w:t>
      </w:r>
      <w:r w:rsidR="00B544B4">
        <w:rPr>
          <w:rFonts w:ascii="Arial" w:eastAsia="Times New Roman" w:hAnsi="Arial" w:cs="Arial"/>
        </w:rPr>
        <w:t xml:space="preserve"> pathways is vital for patients</w:t>
      </w:r>
      <w:r w:rsidRPr="008D4938">
        <w:rPr>
          <w:rFonts w:ascii="Arial" w:eastAsia="Times New Roman" w:hAnsi="Arial" w:cs="Arial"/>
        </w:rPr>
        <w:t xml:space="preserve"> when muscle and liver cells use glucose inefficiently due to impaired insulin action and mitochondrial dysfunction, blood sugar remains elevated and energy production is compromised. </w:t>
      </w:r>
      <w:r w:rsidR="00A531EE" w:rsidRPr="008D4938">
        <w:rPr>
          <w:rFonts w:ascii="Arial" w:eastAsia="Times New Roman" w:hAnsi="Arial" w:cs="Arial"/>
        </w:rPr>
        <w:t>Recognizing</w:t>
      </w:r>
      <w:r w:rsidRPr="008D4938">
        <w:rPr>
          <w:rFonts w:ascii="Arial" w:eastAsia="Times New Roman" w:hAnsi="Arial" w:cs="Arial"/>
        </w:rPr>
        <w:t xml:space="preserve"> how oxygen and glucose interact to produce ATP supports practic</w:t>
      </w:r>
      <w:r w:rsidR="004D48F2">
        <w:rPr>
          <w:rFonts w:ascii="Arial" w:eastAsia="Times New Roman" w:hAnsi="Arial" w:cs="Arial"/>
        </w:rPr>
        <w:t>al self</w:t>
      </w:r>
      <w:r w:rsidR="004D48F2">
        <w:rPr>
          <w:rFonts w:ascii="Arial" w:eastAsia="Times New Roman" w:hAnsi="Arial" w:cs="Arial"/>
        </w:rPr>
        <w:noBreakHyphen/>
        <w:t xml:space="preserve">management </w:t>
      </w:r>
      <w:proofErr w:type="spellStart"/>
      <w:r w:rsidR="004D48F2">
        <w:rPr>
          <w:rFonts w:ascii="Arial" w:eastAsia="Times New Roman" w:hAnsi="Arial" w:cs="Arial"/>
        </w:rPr>
        <w:t>behaviours</w:t>
      </w:r>
      <w:proofErr w:type="spellEnd"/>
      <w:r w:rsidR="004D48F2">
        <w:rPr>
          <w:rFonts w:ascii="Arial" w:eastAsia="Times New Roman" w:hAnsi="Arial" w:cs="Arial"/>
        </w:rPr>
        <w:t xml:space="preserve"> </w:t>
      </w:r>
      <w:r w:rsidRPr="008D4938">
        <w:rPr>
          <w:rFonts w:ascii="Arial" w:eastAsia="Times New Roman" w:hAnsi="Arial" w:cs="Arial"/>
        </w:rPr>
        <w:t>for example, improved diet and exercise enhance mitochondrial function and insulin sensitivity, helping the body use glucose more effectively and maintain stable energy levels.</w:t>
      </w:r>
    </w:p>
    <w:p w14:paraId="018682B3" w14:textId="77777777" w:rsidR="00756740" w:rsidRPr="008D4938" w:rsidRDefault="00756740" w:rsidP="00A531EE">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noProof/>
        </w:rPr>
        <w:drawing>
          <wp:inline distT="0" distB="0" distL="0" distR="0" wp14:anchorId="178DF455" wp14:editId="3BE3243E">
            <wp:extent cx="5930900" cy="3279140"/>
            <wp:effectExtent l="0" t="0" r="0" b="0"/>
            <wp:docPr id="8" name="Picture 8" descr="Cellular energy metabolism.: ATP production in a cell (thick lines) occurs via glycolysis using glucose, and when oxygen is present ATP is produced via oxidative phosphorylation (OXPHOS) using the products of glycolysis. Both processes are oscillatory, and can influence each other (for details see main text). Couplings between these processes as well as external influences are shown by dashe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ellular energy metabolism.: ATP production in a cell (thick lines) occurs via glycolysis using glucose, and when oxygen is present ATP is produced via oxidative phosphorylation (OXPHOS) using the products of glycolysis. Both processes are oscillatory, and can influence each other (for details see main text). Couplings between these processes as well as external influences are shown by dashed lin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1938" cy="3279714"/>
                    </a:xfrm>
                    <a:prstGeom prst="rect">
                      <a:avLst/>
                    </a:prstGeom>
                    <a:noFill/>
                    <a:ln>
                      <a:noFill/>
                    </a:ln>
                  </pic:spPr>
                </pic:pic>
              </a:graphicData>
            </a:graphic>
          </wp:inline>
        </w:drawing>
      </w:r>
    </w:p>
    <w:p w14:paraId="2050D124" w14:textId="77777777" w:rsidR="00756740" w:rsidRDefault="00756740" w:rsidP="00A531EE">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                                                    (Jenkins, 2016)</w:t>
      </w:r>
    </w:p>
    <w:p w14:paraId="577409D3" w14:textId="77777777" w:rsidR="008D4938" w:rsidRPr="008D4938" w:rsidRDefault="008D4938" w:rsidP="00A531EE">
      <w:pPr>
        <w:spacing w:before="100" w:beforeAutospacing="1" w:after="100" w:afterAutospacing="1" w:line="360" w:lineRule="auto"/>
        <w:jc w:val="both"/>
        <w:outlineLvl w:val="1"/>
        <w:rPr>
          <w:rFonts w:ascii="Arial" w:eastAsia="Times New Roman" w:hAnsi="Arial" w:cs="Arial"/>
          <w:b/>
          <w:bCs/>
        </w:rPr>
      </w:pPr>
      <w:r w:rsidRPr="00A531EE">
        <w:rPr>
          <w:rFonts w:ascii="Arial" w:eastAsia="Times New Roman" w:hAnsi="Arial" w:cs="Arial"/>
          <w:b/>
          <w:bCs/>
        </w:rPr>
        <w:lastRenderedPageBreak/>
        <w:t xml:space="preserve">Recording and Tracking Blood Sugar Levels </w:t>
      </w:r>
    </w:p>
    <w:p w14:paraId="19A9CE64"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Recording and tracking blood glucose levels is a cornerstone of effective Type 2 diabetes (T2D) self-management because it empowers individuals and clinicians to identify patterns, adjust </w:t>
      </w:r>
      <w:proofErr w:type="spellStart"/>
      <w:r w:rsidRPr="008D4938">
        <w:rPr>
          <w:rFonts w:ascii="Arial" w:eastAsia="Times New Roman" w:hAnsi="Arial" w:cs="Arial"/>
        </w:rPr>
        <w:t>behaviours</w:t>
      </w:r>
      <w:proofErr w:type="spellEnd"/>
      <w:r w:rsidRPr="008D4938">
        <w:rPr>
          <w:rFonts w:ascii="Arial" w:eastAsia="Times New Roman" w:hAnsi="Arial" w:cs="Arial"/>
        </w:rPr>
        <w:t xml:space="preserve"> and therapies, and prevent dangerous </w:t>
      </w:r>
      <w:proofErr w:type="spellStart"/>
      <w:r w:rsidRPr="008D4938">
        <w:rPr>
          <w:rFonts w:ascii="Arial" w:eastAsia="Times New Roman" w:hAnsi="Arial" w:cs="Arial"/>
        </w:rPr>
        <w:t>glycaemic</w:t>
      </w:r>
      <w:proofErr w:type="spellEnd"/>
      <w:r w:rsidRPr="008D4938">
        <w:rPr>
          <w:rFonts w:ascii="Arial" w:eastAsia="Times New Roman" w:hAnsi="Arial" w:cs="Arial"/>
        </w:rPr>
        <w:t xml:space="preserve"> events. Traditional </w:t>
      </w:r>
      <w:r w:rsidRPr="00A531EE">
        <w:rPr>
          <w:rFonts w:ascii="Arial" w:eastAsia="Times New Roman" w:hAnsi="Arial" w:cs="Arial"/>
          <w:bCs/>
        </w:rPr>
        <w:t>Self-Monitoring of Blood Glucose (SMBG)</w:t>
      </w:r>
      <w:r w:rsidR="004D48F2">
        <w:rPr>
          <w:rFonts w:ascii="Arial" w:eastAsia="Times New Roman" w:hAnsi="Arial" w:cs="Arial"/>
        </w:rPr>
        <w:t xml:space="preserve"> </w:t>
      </w:r>
      <w:r w:rsidRPr="008D4938">
        <w:rPr>
          <w:rFonts w:ascii="Arial" w:eastAsia="Times New Roman" w:hAnsi="Arial" w:cs="Arial"/>
        </w:rPr>
        <w:t>where patients use finger-prick tests to me</w:t>
      </w:r>
      <w:r w:rsidR="004D48F2">
        <w:rPr>
          <w:rFonts w:ascii="Arial" w:eastAsia="Times New Roman" w:hAnsi="Arial" w:cs="Arial"/>
        </w:rPr>
        <w:t xml:space="preserve">asure capillary blood glucose </w:t>
      </w:r>
      <w:r w:rsidRPr="008D4938">
        <w:rPr>
          <w:rFonts w:ascii="Arial" w:eastAsia="Times New Roman" w:hAnsi="Arial" w:cs="Arial"/>
        </w:rPr>
        <w:t xml:space="preserve">provides discrete snapshots of glucose at specific times of the day. Although SMBG alone has shown mixed effectiveness on </w:t>
      </w:r>
      <w:proofErr w:type="spellStart"/>
      <w:r w:rsidRPr="008D4938">
        <w:rPr>
          <w:rFonts w:ascii="Arial" w:eastAsia="Times New Roman" w:hAnsi="Arial" w:cs="Arial"/>
        </w:rPr>
        <w:t>glycaemic</w:t>
      </w:r>
      <w:proofErr w:type="spellEnd"/>
      <w:r w:rsidRPr="008D4938">
        <w:rPr>
          <w:rFonts w:ascii="Arial" w:eastAsia="Times New Roman" w:hAnsi="Arial" w:cs="Arial"/>
        </w:rPr>
        <w:t xml:space="preserve"> control when used without structured support, recent evidence highlights that SMBG combined with education and clinical feedback can improve self-management and </w:t>
      </w:r>
      <w:proofErr w:type="spellStart"/>
      <w:r w:rsidRPr="008D4938">
        <w:rPr>
          <w:rFonts w:ascii="Arial" w:eastAsia="Times New Roman" w:hAnsi="Arial" w:cs="Arial"/>
        </w:rPr>
        <w:t>glycaemic</w:t>
      </w:r>
      <w:proofErr w:type="spellEnd"/>
      <w:r w:rsidRPr="008D4938">
        <w:rPr>
          <w:rFonts w:ascii="Arial" w:eastAsia="Times New Roman" w:hAnsi="Arial" w:cs="Arial"/>
        </w:rPr>
        <w:t xml:space="preserve"> outcomes, particularly when patients and healthcare professionals use readings to modify lifestyle or therapy plans (Xiao et al., 2025).</w:t>
      </w:r>
    </w:p>
    <w:p w14:paraId="225F8F52" w14:textId="77777777" w:rsid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Continuous glucose monitoring (</w:t>
      </w:r>
      <w:r w:rsidRPr="00A531EE">
        <w:rPr>
          <w:rFonts w:ascii="Arial" w:eastAsia="Times New Roman" w:hAnsi="Arial" w:cs="Arial"/>
          <w:bCs/>
        </w:rPr>
        <w:t>CGM</w:t>
      </w:r>
      <w:r w:rsidRPr="008D4938">
        <w:rPr>
          <w:rFonts w:ascii="Arial" w:eastAsia="Times New Roman" w:hAnsi="Arial" w:cs="Arial"/>
        </w:rPr>
        <w:t xml:space="preserve">) represents a more advanced method by providing </w:t>
      </w:r>
      <w:r w:rsidRPr="00A531EE">
        <w:rPr>
          <w:rFonts w:ascii="Arial" w:eastAsia="Times New Roman" w:hAnsi="Arial" w:cs="Arial"/>
          <w:bCs/>
        </w:rPr>
        <w:t>real-time glucose data throughout the day</w:t>
      </w:r>
      <w:r w:rsidRPr="008D4938">
        <w:rPr>
          <w:rFonts w:ascii="Arial" w:eastAsia="Times New Roman" w:hAnsi="Arial" w:cs="Arial"/>
        </w:rPr>
        <w:t xml:space="preserve">, alerting users to upward or downward trends that SMBG might miss. Systematic reviews and clinical studies in adults with T2D demonstrate that CGM use is associated with </w:t>
      </w:r>
      <w:r w:rsidRPr="00A531EE">
        <w:rPr>
          <w:rFonts w:ascii="Arial" w:eastAsia="Times New Roman" w:hAnsi="Arial" w:cs="Arial"/>
          <w:bCs/>
        </w:rPr>
        <w:t>significant reductions in HbA1c, greater time in target glucose range and improved self-management capacity compared with SMBG alone</w:t>
      </w:r>
      <w:r w:rsidRPr="008D4938">
        <w:rPr>
          <w:rFonts w:ascii="Arial" w:eastAsia="Times New Roman" w:hAnsi="Arial" w:cs="Arial"/>
        </w:rPr>
        <w:t xml:space="preserve"> (Lian et al., 2025; Kong and Cho, 2024; Hayek et al., 2025). Real-time feedback helps patients understand how </w:t>
      </w:r>
      <w:r w:rsidRPr="00A531EE">
        <w:rPr>
          <w:rFonts w:ascii="Arial" w:eastAsia="Times New Roman" w:hAnsi="Arial" w:cs="Arial"/>
          <w:bCs/>
        </w:rPr>
        <w:t>meals, activity and medications influence glucose levels</w:t>
      </w:r>
      <w:r w:rsidRPr="008D4938">
        <w:rPr>
          <w:rFonts w:ascii="Arial" w:eastAsia="Times New Roman" w:hAnsi="Arial" w:cs="Arial"/>
        </w:rPr>
        <w:t>, enabling more informed decisions about diet choices, physical activity, or treatment timing (Lian et al., 2025).</w:t>
      </w:r>
    </w:p>
    <w:p w14:paraId="470A1115" w14:textId="77777777" w:rsidR="00756740" w:rsidRPr="008D4938" w:rsidRDefault="00756740" w:rsidP="00A531EE">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noProof/>
        </w:rPr>
        <w:drawing>
          <wp:inline distT="0" distB="0" distL="0" distR="0" wp14:anchorId="13F23452" wp14:editId="4DCDE071">
            <wp:extent cx="5994400" cy="2689225"/>
            <wp:effectExtent l="0" t="0" r="6350" b="0"/>
            <wp:docPr id="9" name="Picture 9" descr="Expanding the horizon of continuous glucose monitoring into the future of  pediatric medicine | Pediatric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xpanding the horizon of continuous glucose monitoring into the future of  pediatric medicine | Pediatric Resear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95158" cy="2689565"/>
                    </a:xfrm>
                    <a:prstGeom prst="rect">
                      <a:avLst/>
                    </a:prstGeom>
                    <a:noFill/>
                    <a:ln>
                      <a:noFill/>
                    </a:ln>
                  </pic:spPr>
                </pic:pic>
              </a:graphicData>
            </a:graphic>
          </wp:inline>
        </w:drawing>
      </w:r>
    </w:p>
    <w:p w14:paraId="683E39BA" w14:textId="77777777" w:rsidR="00756740" w:rsidRPr="00756740" w:rsidRDefault="00756740" w:rsidP="00A531EE">
      <w:pPr>
        <w:spacing w:before="100" w:beforeAutospacing="1" w:after="100" w:afterAutospacing="1" w:line="360" w:lineRule="auto"/>
        <w:jc w:val="both"/>
        <w:rPr>
          <w:rFonts w:ascii="Arial" w:eastAsia="Times New Roman" w:hAnsi="Arial" w:cs="Arial"/>
          <w:b/>
        </w:rPr>
      </w:pPr>
      <w:r w:rsidRPr="00756740">
        <w:rPr>
          <w:rFonts w:ascii="Arial" w:eastAsia="Times New Roman" w:hAnsi="Arial" w:cs="Arial"/>
          <w:b/>
        </w:rPr>
        <w:t xml:space="preserve">                                                            (MacLeish, 2024)</w:t>
      </w:r>
    </w:p>
    <w:p w14:paraId="36399260"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lastRenderedPageBreak/>
        <w:t xml:space="preserve">Trend detection is particularly critical because sustained </w:t>
      </w:r>
      <w:proofErr w:type="spellStart"/>
      <w:r w:rsidRPr="008D4938">
        <w:rPr>
          <w:rFonts w:ascii="Arial" w:eastAsia="Times New Roman" w:hAnsi="Arial" w:cs="Arial"/>
        </w:rPr>
        <w:t>hyperglycaemia</w:t>
      </w:r>
      <w:proofErr w:type="spellEnd"/>
      <w:r w:rsidRPr="008D4938">
        <w:rPr>
          <w:rFonts w:ascii="Arial" w:eastAsia="Times New Roman" w:hAnsi="Arial" w:cs="Arial"/>
        </w:rPr>
        <w:t xml:space="preserve"> increases the risk</w:t>
      </w:r>
      <w:r w:rsidR="004D48F2">
        <w:rPr>
          <w:rFonts w:ascii="Arial" w:eastAsia="Times New Roman" w:hAnsi="Arial" w:cs="Arial"/>
        </w:rPr>
        <w:t xml:space="preserve"> of micro</w:t>
      </w:r>
      <w:r w:rsidRPr="008D4938">
        <w:rPr>
          <w:rFonts w:ascii="Arial" w:eastAsia="Times New Roman" w:hAnsi="Arial" w:cs="Arial"/>
        </w:rPr>
        <w:t xml:space="preserve"> and macrovascular complications. By </w:t>
      </w:r>
      <w:r w:rsidR="00A531EE" w:rsidRPr="008D4938">
        <w:rPr>
          <w:rFonts w:ascii="Arial" w:eastAsia="Times New Roman" w:hAnsi="Arial" w:cs="Arial"/>
        </w:rPr>
        <w:t>visualizing</w:t>
      </w:r>
      <w:r w:rsidRPr="008D4938">
        <w:rPr>
          <w:rFonts w:ascii="Arial" w:eastAsia="Times New Roman" w:hAnsi="Arial" w:cs="Arial"/>
        </w:rPr>
        <w:t xml:space="preserve"> glucose patterns, both patients and clinicians can identify recurrent post-prandial spikes, nocturnal lows, or prolonged periods above target range, which supports </w:t>
      </w:r>
      <w:r w:rsidRPr="00A531EE">
        <w:rPr>
          <w:rFonts w:ascii="Arial" w:eastAsia="Times New Roman" w:hAnsi="Arial" w:cs="Arial"/>
          <w:bCs/>
        </w:rPr>
        <w:t>early action</w:t>
      </w:r>
      <w:r w:rsidRPr="008D4938">
        <w:rPr>
          <w:rFonts w:ascii="Arial" w:eastAsia="Times New Roman" w:hAnsi="Arial" w:cs="Arial"/>
        </w:rPr>
        <w:t>, such as altering nutrition, modifying physical activity, or adjusting medications (Hayek et al., 2025).</w:t>
      </w:r>
    </w:p>
    <w:p w14:paraId="59B145BD" w14:textId="77777777" w:rsidR="008D4938" w:rsidRPr="008D4938" w:rsidRDefault="008D4938" w:rsidP="00A531EE">
      <w:pPr>
        <w:spacing w:before="100" w:beforeAutospacing="1" w:after="100" w:afterAutospacing="1" w:line="360" w:lineRule="auto"/>
        <w:jc w:val="both"/>
        <w:rPr>
          <w:rFonts w:ascii="Arial" w:eastAsia="Times New Roman" w:hAnsi="Arial" w:cs="Arial"/>
        </w:rPr>
      </w:pPr>
      <w:r w:rsidRPr="008D4938">
        <w:rPr>
          <w:rFonts w:ascii="Arial" w:eastAsia="Times New Roman" w:hAnsi="Arial" w:cs="Arial"/>
        </w:rPr>
        <w:t xml:space="preserve">In UK primary-care settings, integrating glucose monitoring data into routine care enhances </w:t>
      </w:r>
      <w:r w:rsidRPr="00A531EE">
        <w:rPr>
          <w:rFonts w:ascii="Arial" w:eastAsia="Times New Roman" w:hAnsi="Arial" w:cs="Arial"/>
          <w:bCs/>
        </w:rPr>
        <w:t>shared decision-making</w:t>
      </w:r>
      <w:r w:rsidRPr="008D4938">
        <w:rPr>
          <w:rFonts w:ascii="Arial" w:eastAsia="Times New Roman" w:hAnsi="Arial" w:cs="Arial"/>
        </w:rPr>
        <w:t xml:space="preserve">. Patients can bring SMBG logs or CGM reports to appointments, allowing GPs and practice nurses to tailor guidance, adjust therapy plans and set </w:t>
      </w:r>
      <w:r w:rsidR="00A531EE" w:rsidRPr="008D4938">
        <w:rPr>
          <w:rFonts w:ascii="Arial" w:eastAsia="Times New Roman" w:hAnsi="Arial" w:cs="Arial"/>
        </w:rPr>
        <w:t>personalized</w:t>
      </w:r>
      <w:r w:rsidRPr="008D4938">
        <w:rPr>
          <w:rFonts w:ascii="Arial" w:eastAsia="Times New Roman" w:hAnsi="Arial" w:cs="Arial"/>
        </w:rPr>
        <w:t xml:space="preserve"> lifestyle goals. When data are discussed collaboratively, individuals are more likely to feel involved in their care, improving adherence and reducing complications over time (Xiao et al., 2025).</w:t>
      </w:r>
    </w:p>
    <w:p w14:paraId="00CD4DD6" w14:textId="77777777" w:rsidR="00A531EE" w:rsidRPr="00A531EE" w:rsidRDefault="00A531EE" w:rsidP="00A531EE">
      <w:pPr>
        <w:spacing w:before="100" w:beforeAutospacing="1" w:after="100" w:afterAutospacing="1" w:line="360" w:lineRule="auto"/>
        <w:jc w:val="both"/>
        <w:outlineLvl w:val="1"/>
        <w:rPr>
          <w:rFonts w:ascii="Arial" w:eastAsia="Times New Roman" w:hAnsi="Arial" w:cs="Arial"/>
          <w:b/>
          <w:bCs/>
        </w:rPr>
      </w:pPr>
      <w:r w:rsidRPr="00A531EE">
        <w:rPr>
          <w:rFonts w:ascii="Arial" w:eastAsia="Times New Roman" w:hAnsi="Arial" w:cs="Arial"/>
          <w:b/>
          <w:bCs/>
        </w:rPr>
        <w:t>Evidence</w:t>
      </w:r>
      <w:r w:rsidRPr="00A531EE">
        <w:rPr>
          <w:rFonts w:ascii="Arial" w:eastAsia="Times New Roman" w:hAnsi="Arial" w:cs="Arial"/>
          <w:b/>
          <w:bCs/>
        </w:rPr>
        <w:noBreakHyphen/>
        <w:t xml:space="preserve">Based Lifestyle Recommendations </w:t>
      </w:r>
    </w:p>
    <w:p w14:paraId="5F2FCCFA"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 xml:space="preserve">Lifestyle modification plays a central role in the management of Type 2 diabetes (T2D), with strong evidence showing that improving diet, physical activity, smoking status, alcohol use, sleep and stress can meaningfully improve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control and reduce future health risks (NICE, 2022; Zhang et al., 2023; Liu et al., 2024). These changes form an essential part of routine care in GP</w:t>
      </w:r>
      <w:r w:rsidRPr="00A531EE">
        <w:rPr>
          <w:rFonts w:ascii="Arial" w:eastAsia="Times New Roman" w:hAnsi="Arial" w:cs="Arial"/>
        </w:rPr>
        <w:noBreakHyphen/>
        <w:t>led diabetes management.</w:t>
      </w:r>
    </w:p>
    <w:p w14:paraId="47D7828A" w14:textId="77777777" w:rsidR="00A531EE" w:rsidRPr="00A531EE" w:rsidRDefault="00A531EE" w:rsidP="00A531EE">
      <w:pPr>
        <w:spacing w:before="100" w:beforeAutospacing="1" w:after="100" w:afterAutospacing="1" w:line="360" w:lineRule="auto"/>
        <w:jc w:val="both"/>
        <w:outlineLvl w:val="2"/>
        <w:rPr>
          <w:rFonts w:ascii="Arial" w:eastAsia="Times New Roman" w:hAnsi="Arial" w:cs="Arial"/>
          <w:b/>
          <w:bCs/>
        </w:rPr>
      </w:pPr>
      <w:r w:rsidRPr="00A531EE">
        <w:rPr>
          <w:rFonts w:ascii="Arial" w:eastAsia="Times New Roman" w:hAnsi="Arial" w:cs="Arial"/>
          <w:b/>
          <w:bCs/>
        </w:rPr>
        <w:t>a) Diet &amp; Nutrition</w:t>
      </w:r>
    </w:p>
    <w:p w14:paraId="31B7C6C5"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 xml:space="preserve">Healthy dietary patterns improve blood glucose control and support weight reduction. UK clinical guidance emphasizes that a balanced diet low in saturated fats, added sugars and refined carbohydrates, and rich in whole grains, vegetables, pulses and lean proteins, can help stabilize blood sugar levels and reduce cardiovascular risk (NICE, 2022). Systematic reviews confirm that lifestyle interventions with diet and structured nutritional advice significantly reduce HbA1c and fasting glucose in adults with T2D (Zhang et al., 2023). Combined programs that include caloric control and increased dietary </w:t>
      </w:r>
      <w:proofErr w:type="spellStart"/>
      <w:r w:rsidRPr="00A531EE">
        <w:rPr>
          <w:rFonts w:ascii="Arial" w:eastAsia="Times New Roman" w:hAnsi="Arial" w:cs="Arial"/>
        </w:rPr>
        <w:t>fibre</w:t>
      </w:r>
      <w:proofErr w:type="spellEnd"/>
      <w:r w:rsidRPr="00A531EE">
        <w:rPr>
          <w:rFonts w:ascii="Arial" w:eastAsia="Times New Roman" w:hAnsi="Arial" w:cs="Arial"/>
        </w:rPr>
        <w:t xml:space="preserve"> </w:t>
      </w:r>
      <w:proofErr w:type="gramStart"/>
      <w:r w:rsidRPr="00A531EE">
        <w:rPr>
          <w:rFonts w:ascii="Arial" w:eastAsia="Times New Roman" w:hAnsi="Arial" w:cs="Arial"/>
        </w:rPr>
        <w:t>lead</w:t>
      </w:r>
      <w:proofErr w:type="gramEnd"/>
      <w:r w:rsidRPr="00A531EE">
        <w:rPr>
          <w:rFonts w:ascii="Arial" w:eastAsia="Times New Roman" w:hAnsi="Arial" w:cs="Arial"/>
        </w:rPr>
        <w:t xml:space="preserve"> to better metabolic outcomes, while weight loss (even of 5–10% of body weight) is strongly linked with improved insulin sensitivity and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control (NICE, 2022; Zhang et al., 2023). Mediter</w:t>
      </w:r>
      <w:r w:rsidR="004D48F2">
        <w:rPr>
          <w:rFonts w:ascii="Arial" w:eastAsia="Times New Roman" w:hAnsi="Arial" w:cs="Arial"/>
        </w:rPr>
        <w:t>ranean</w:t>
      </w:r>
      <w:r w:rsidR="004D48F2">
        <w:rPr>
          <w:rFonts w:ascii="Arial" w:eastAsia="Times New Roman" w:hAnsi="Arial" w:cs="Arial"/>
        </w:rPr>
        <w:noBreakHyphen/>
        <w:t xml:space="preserve">style dietary patterns </w:t>
      </w:r>
      <w:r w:rsidRPr="00A531EE">
        <w:rPr>
          <w:rFonts w:ascii="Arial" w:eastAsia="Times New Roman" w:hAnsi="Arial" w:cs="Arial"/>
        </w:rPr>
        <w:t xml:space="preserve">characterized by fruits, vegetables, </w:t>
      </w:r>
      <w:r w:rsidR="004D48F2">
        <w:rPr>
          <w:rFonts w:ascii="Arial" w:eastAsia="Times New Roman" w:hAnsi="Arial" w:cs="Arial"/>
        </w:rPr>
        <w:t xml:space="preserve">whole grains and healthy fats </w:t>
      </w:r>
      <w:r w:rsidRPr="00A531EE">
        <w:rPr>
          <w:rFonts w:ascii="Arial" w:eastAsia="Times New Roman" w:hAnsi="Arial" w:cs="Arial"/>
        </w:rPr>
        <w:t>are frequently recommended due to their association with improved insulin action and inflammation reduction (NICE, 2022).</w:t>
      </w:r>
    </w:p>
    <w:p w14:paraId="725136D9" w14:textId="77777777" w:rsidR="00B544B4" w:rsidRDefault="00B544B4" w:rsidP="00A531EE">
      <w:pPr>
        <w:spacing w:before="100" w:beforeAutospacing="1" w:after="100" w:afterAutospacing="1" w:line="360" w:lineRule="auto"/>
        <w:jc w:val="both"/>
        <w:outlineLvl w:val="2"/>
        <w:rPr>
          <w:rFonts w:ascii="Arial" w:eastAsia="Times New Roman" w:hAnsi="Arial" w:cs="Arial"/>
          <w:b/>
          <w:bCs/>
        </w:rPr>
      </w:pPr>
    </w:p>
    <w:p w14:paraId="30B22762" w14:textId="77777777" w:rsidR="00A531EE" w:rsidRPr="00A531EE" w:rsidRDefault="00A531EE" w:rsidP="00A531EE">
      <w:pPr>
        <w:spacing w:before="100" w:beforeAutospacing="1" w:after="100" w:afterAutospacing="1" w:line="360" w:lineRule="auto"/>
        <w:jc w:val="both"/>
        <w:outlineLvl w:val="2"/>
        <w:rPr>
          <w:rFonts w:ascii="Arial" w:eastAsia="Times New Roman" w:hAnsi="Arial" w:cs="Arial"/>
          <w:b/>
          <w:bCs/>
        </w:rPr>
      </w:pPr>
      <w:r w:rsidRPr="00A531EE">
        <w:rPr>
          <w:rFonts w:ascii="Arial" w:eastAsia="Times New Roman" w:hAnsi="Arial" w:cs="Arial"/>
          <w:b/>
          <w:bCs/>
        </w:rPr>
        <w:lastRenderedPageBreak/>
        <w:t>b) Physical Activity</w:t>
      </w:r>
    </w:p>
    <w:p w14:paraId="3D9D9A84"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 xml:space="preserve">Physical activity enhances glucose uptake by skeletal muscles, independent of insulin, thus improving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control and insulin sensitivity. Regular moderate</w:t>
      </w:r>
      <w:r w:rsidRPr="00A531EE">
        <w:rPr>
          <w:rFonts w:ascii="Arial" w:eastAsia="Times New Roman" w:hAnsi="Arial" w:cs="Arial"/>
        </w:rPr>
        <w:noBreakHyphen/>
        <w:t>intensity activity (e.g. brisk walking) and resistance training are associated with meaningful HbA1c reductions and improved metabolic profiles (Zhang et al., 2023; Aseela et al., 2025). Although activity levels vary between individuals, research confirms that integrating aerobic and resistance exercise into daily routines significantly lowers post</w:t>
      </w:r>
      <w:r w:rsidRPr="00A531EE">
        <w:rPr>
          <w:rFonts w:ascii="Arial" w:eastAsia="Times New Roman" w:hAnsi="Arial" w:cs="Arial"/>
        </w:rPr>
        <w:noBreakHyphen/>
        <w:t>meal glucose and supports weight control, both of which reduce long</w:t>
      </w:r>
      <w:r w:rsidRPr="00A531EE">
        <w:rPr>
          <w:rFonts w:ascii="Arial" w:eastAsia="Times New Roman" w:hAnsi="Arial" w:cs="Arial"/>
        </w:rPr>
        <w:noBreakHyphen/>
        <w:t>term complications (Zhang et al., 2023). UK guidance recommends aiming for at least 150 minutes per week of moderate</w:t>
      </w:r>
      <w:r w:rsidRPr="00A531EE">
        <w:rPr>
          <w:rFonts w:ascii="Arial" w:eastAsia="Times New Roman" w:hAnsi="Arial" w:cs="Arial"/>
        </w:rPr>
        <w:noBreakHyphen/>
        <w:t>intensity activity, with muscle</w:t>
      </w:r>
      <w:r w:rsidRPr="00A531EE">
        <w:rPr>
          <w:rFonts w:ascii="Arial" w:eastAsia="Times New Roman" w:hAnsi="Arial" w:cs="Arial"/>
        </w:rPr>
        <w:noBreakHyphen/>
        <w:t xml:space="preserve">strengthening activities on 2 or more days per week, to improve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outcomes and cardiovascular health (NICE, 2022).</w:t>
      </w:r>
    </w:p>
    <w:p w14:paraId="623D9178" w14:textId="77777777" w:rsidR="00A531EE" w:rsidRPr="00A531EE" w:rsidRDefault="00A531EE" w:rsidP="00A531EE">
      <w:pPr>
        <w:spacing w:before="100" w:beforeAutospacing="1" w:after="100" w:afterAutospacing="1" w:line="360" w:lineRule="auto"/>
        <w:jc w:val="both"/>
        <w:outlineLvl w:val="2"/>
        <w:rPr>
          <w:rFonts w:ascii="Arial" w:eastAsia="Times New Roman" w:hAnsi="Arial" w:cs="Arial"/>
          <w:b/>
          <w:bCs/>
        </w:rPr>
      </w:pPr>
      <w:r w:rsidRPr="00A531EE">
        <w:rPr>
          <w:rFonts w:ascii="Arial" w:eastAsia="Times New Roman" w:hAnsi="Arial" w:cs="Arial"/>
          <w:b/>
          <w:bCs/>
        </w:rPr>
        <w:t>c) Smoking Cessation</w:t>
      </w:r>
    </w:p>
    <w:p w14:paraId="6F02886D"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proofErr w:type="gramStart"/>
      <w:r w:rsidRPr="00A531EE">
        <w:rPr>
          <w:rFonts w:ascii="Arial" w:eastAsia="Times New Roman" w:hAnsi="Arial" w:cs="Arial"/>
        </w:rPr>
        <w:t>Smoking increases insulin resistance,</w:t>
      </w:r>
      <w:proofErr w:type="gramEnd"/>
      <w:r w:rsidRPr="00A531EE">
        <w:rPr>
          <w:rFonts w:ascii="Arial" w:eastAsia="Times New Roman" w:hAnsi="Arial" w:cs="Arial"/>
        </w:rPr>
        <w:t xml:space="preserve"> promotes inflammation</w:t>
      </w:r>
      <w:r w:rsidR="004D48F2">
        <w:rPr>
          <w:rFonts w:ascii="Arial" w:eastAsia="Times New Roman" w:hAnsi="Arial" w:cs="Arial"/>
        </w:rPr>
        <w:t xml:space="preserve"> and elevates the risk of micro</w:t>
      </w:r>
      <w:r w:rsidRPr="00A531EE">
        <w:rPr>
          <w:rFonts w:ascii="Arial" w:eastAsia="Times New Roman" w:hAnsi="Arial" w:cs="Arial"/>
        </w:rPr>
        <w:t xml:space="preserve"> and macrovascular complications in T2D. Although UK</w:t>
      </w:r>
      <w:r w:rsidRPr="00A531EE">
        <w:rPr>
          <w:rFonts w:ascii="Arial" w:eastAsia="Times New Roman" w:hAnsi="Arial" w:cs="Arial"/>
        </w:rPr>
        <w:noBreakHyphen/>
        <w:t>specific RCT data are limited, clinical management guides encourage smoking cessation due to its well</w:t>
      </w:r>
      <w:r w:rsidRPr="00A531EE">
        <w:rPr>
          <w:rFonts w:ascii="Arial" w:eastAsia="Times New Roman" w:hAnsi="Arial" w:cs="Arial"/>
        </w:rPr>
        <w:noBreakHyphen/>
        <w:t xml:space="preserve">established adverse effects on cardiovascular and metabolic health in diabetes (Govt Scotland, 2024; NICE, 2022). Patients who stop smoking often experience improved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profiles and reduced risk of coronary events compared with continuing smokers.</w:t>
      </w:r>
    </w:p>
    <w:p w14:paraId="4F38A3A6" w14:textId="77777777" w:rsidR="00A531EE" w:rsidRPr="00A531EE" w:rsidRDefault="00A531EE" w:rsidP="00A531EE">
      <w:pPr>
        <w:spacing w:before="100" w:beforeAutospacing="1" w:after="100" w:afterAutospacing="1" w:line="360" w:lineRule="auto"/>
        <w:jc w:val="both"/>
        <w:outlineLvl w:val="2"/>
        <w:rPr>
          <w:rFonts w:ascii="Arial" w:eastAsia="Times New Roman" w:hAnsi="Arial" w:cs="Arial"/>
          <w:b/>
          <w:bCs/>
        </w:rPr>
      </w:pPr>
      <w:r w:rsidRPr="00A531EE">
        <w:rPr>
          <w:rFonts w:ascii="Arial" w:eastAsia="Times New Roman" w:hAnsi="Arial" w:cs="Arial"/>
          <w:b/>
          <w:bCs/>
        </w:rPr>
        <w:t>d) Alcohol Moderation</w:t>
      </w:r>
    </w:p>
    <w:p w14:paraId="4AEB0047"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 xml:space="preserve">Excessive alcohol consumption can worsen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variability and negatively affect liver function and energy metabolism. While high</w:t>
      </w:r>
      <w:r w:rsidRPr="00A531EE">
        <w:rPr>
          <w:rFonts w:ascii="Arial" w:eastAsia="Times New Roman" w:hAnsi="Arial" w:cs="Arial"/>
        </w:rPr>
        <w:noBreakHyphen/>
        <w:t>quality RCTs are limited, NICE guidance still recommends moderation in alcohol intake to minimize unpredictable effects on blood glucose, weight gain and long</w:t>
      </w:r>
      <w:r w:rsidRPr="00A531EE">
        <w:rPr>
          <w:rFonts w:ascii="Arial" w:eastAsia="Times New Roman" w:hAnsi="Arial" w:cs="Arial"/>
        </w:rPr>
        <w:noBreakHyphen/>
        <w:t>term metabolic risk (NICE, 2022).</w:t>
      </w:r>
    </w:p>
    <w:p w14:paraId="34768FFE" w14:textId="77777777" w:rsidR="00A531EE" w:rsidRPr="00A531EE" w:rsidRDefault="00A531EE" w:rsidP="00A531EE">
      <w:pPr>
        <w:spacing w:before="100" w:beforeAutospacing="1" w:after="100" w:afterAutospacing="1" w:line="360" w:lineRule="auto"/>
        <w:jc w:val="both"/>
        <w:outlineLvl w:val="2"/>
        <w:rPr>
          <w:rFonts w:ascii="Arial" w:eastAsia="Times New Roman" w:hAnsi="Arial" w:cs="Arial"/>
          <w:b/>
          <w:bCs/>
        </w:rPr>
      </w:pPr>
      <w:r w:rsidRPr="00A531EE">
        <w:rPr>
          <w:rFonts w:ascii="Arial" w:eastAsia="Times New Roman" w:hAnsi="Arial" w:cs="Arial"/>
          <w:b/>
          <w:bCs/>
        </w:rPr>
        <w:t>e) Sleep &amp; Stress Management</w:t>
      </w:r>
    </w:p>
    <w:p w14:paraId="437EC1D7"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Sleep quality and stress directly influence glucose metabolism. Emerging evidence links poor or irregular sleep patterns with increased insulin resistance and higher HbA1c levels, suggesting that improving sleep hygiene may support metabolic regulation (Galindo et al., 2023). Stress also affects hormonal pathways (e.g. cortisol) that elevate glucose production and impair insulin action; therefore, stress</w:t>
      </w:r>
      <w:r w:rsidRPr="00A531EE">
        <w:rPr>
          <w:rFonts w:ascii="Arial" w:eastAsia="Times New Roman" w:hAnsi="Arial" w:cs="Arial"/>
        </w:rPr>
        <w:noBreakHyphen/>
        <w:t xml:space="preserve">management strategies (e.g. mindfulness, structured relaxation) should be </w:t>
      </w:r>
      <w:r w:rsidRPr="00A531EE">
        <w:rPr>
          <w:rFonts w:ascii="Arial" w:eastAsia="Times New Roman" w:hAnsi="Arial" w:cs="Arial"/>
        </w:rPr>
        <w:lastRenderedPageBreak/>
        <w:t>integrated into diabetes care to reduce physiological stress responses and enhance self</w:t>
      </w:r>
      <w:r w:rsidRPr="00A531EE">
        <w:rPr>
          <w:rFonts w:ascii="Arial" w:eastAsia="Times New Roman" w:hAnsi="Arial" w:cs="Arial"/>
        </w:rPr>
        <w:noBreakHyphen/>
        <w:t>management capacity (NICE, 2022; Galindo et al., 2023).</w:t>
      </w:r>
    </w:p>
    <w:p w14:paraId="70DF2247" w14:textId="77777777" w:rsidR="00A531EE" w:rsidRP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Collectively,</w:t>
      </w:r>
      <w:r w:rsidR="004D48F2">
        <w:rPr>
          <w:rFonts w:ascii="Arial" w:eastAsia="Times New Roman" w:hAnsi="Arial" w:cs="Arial"/>
        </w:rPr>
        <w:t xml:space="preserve"> these lifestyle interventions</w:t>
      </w:r>
      <w:r w:rsidRPr="00A531EE">
        <w:rPr>
          <w:rFonts w:ascii="Arial" w:eastAsia="Times New Roman" w:hAnsi="Arial" w:cs="Arial"/>
        </w:rPr>
        <w:t xml:space="preserve"> when personalized and su</w:t>
      </w:r>
      <w:r w:rsidR="004D48F2">
        <w:rPr>
          <w:rFonts w:ascii="Arial" w:eastAsia="Times New Roman" w:hAnsi="Arial" w:cs="Arial"/>
        </w:rPr>
        <w:t xml:space="preserve">pported within primary care </w:t>
      </w:r>
      <w:r w:rsidRPr="00A531EE">
        <w:rPr>
          <w:rFonts w:ascii="Arial" w:eastAsia="Times New Roman" w:hAnsi="Arial" w:cs="Arial"/>
        </w:rPr>
        <w:t xml:space="preserve">are proven to improve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control, reduce medication needs in some cases, and lower complications risk. Educating patients about how specific lifestyle </w:t>
      </w:r>
      <w:proofErr w:type="spellStart"/>
      <w:r w:rsidRPr="00A531EE">
        <w:rPr>
          <w:rFonts w:ascii="Arial" w:eastAsia="Times New Roman" w:hAnsi="Arial" w:cs="Arial"/>
        </w:rPr>
        <w:t>behaviours</w:t>
      </w:r>
      <w:proofErr w:type="spellEnd"/>
      <w:r w:rsidRPr="00A531EE">
        <w:rPr>
          <w:rFonts w:ascii="Arial" w:eastAsia="Times New Roman" w:hAnsi="Arial" w:cs="Arial"/>
        </w:rPr>
        <w:t xml:space="preserve"> influence glucose metabolism and insulin sensitivity reinforces self</w:t>
      </w:r>
      <w:r w:rsidRPr="00A531EE">
        <w:rPr>
          <w:rFonts w:ascii="Arial" w:eastAsia="Times New Roman" w:hAnsi="Arial" w:cs="Arial"/>
        </w:rPr>
        <w:noBreakHyphen/>
        <w:t>efficacy and supports safer, more effective self</w:t>
      </w:r>
      <w:r w:rsidRPr="00A531EE">
        <w:rPr>
          <w:rFonts w:ascii="Arial" w:eastAsia="Times New Roman" w:hAnsi="Arial" w:cs="Arial"/>
        </w:rPr>
        <w:noBreakHyphen/>
        <w:t>management.</w:t>
      </w:r>
    </w:p>
    <w:p w14:paraId="3B330171" w14:textId="77777777" w:rsidR="00A531EE" w:rsidRPr="00A531EE" w:rsidRDefault="00A531EE" w:rsidP="00A531EE">
      <w:pPr>
        <w:spacing w:before="100" w:beforeAutospacing="1" w:after="100" w:afterAutospacing="1" w:line="360" w:lineRule="auto"/>
        <w:jc w:val="both"/>
        <w:outlineLvl w:val="1"/>
        <w:rPr>
          <w:rFonts w:ascii="Arial" w:eastAsia="Times New Roman" w:hAnsi="Arial" w:cs="Arial"/>
          <w:b/>
          <w:bCs/>
        </w:rPr>
      </w:pPr>
      <w:r w:rsidRPr="00A531EE">
        <w:rPr>
          <w:rFonts w:ascii="Arial" w:eastAsia="Times New Roman" w:hAnsi="Arial" w:cs="Arial"/>
          <w:b/>
          <w:bCs/>
        </w:rPr>
        <w:t>Conclusion</w:t>
      </w:r>
    </w:p>
    <w:p w14:paraId="2ECB2B70" w14:textId="77777777" w:rsidR="00A531EE" w:rsidRDefault="00A531EE" w:rsidP="00A531EE">
      <w:pPr>
        <w:spacing w:before="100" w:beforeAutospacing="1" w:after="100" w:afterAutospacing="1" w:line="360" w:lineRule="auto"/>
        <w:jc w:val="both"/>
        <w:rPr>
          <w:rFonts w:ascii="Arial" w:eastAsia="Times New Roman" w:hAnsi="Arial" w:cs="Arial"/>
        </w:rPr>
      </w:pPr>
      <w:r w:rsidRPr="00A531EE">
        <w:rPr>
          <w:rFonts w:ascii="Arial" w:eastAsia="Times New Roman" w:hAnsi="Arial" w:cs="Arial"/>
        </w:rPr>
        <w:t xml:space="preserve">Effective management of Type 2 diabetes requires understanding blood sugar regulation, cellular energy production, and the impact of lifestyle factors. Regular monitoring of glucose, combined with evidence-based diet, exercise, smoking cessation, and stress management, enables patients to make informed decisions and prevent complications. In a GP clinic setting, personalized education and support empower patients to actively self-manage, improving </w:t>
      </w:r>
      <w:proofErr w:type="spellStart"/>
      <w:r w:rsidRPr="00A531EE">
        <w:rPr>
          <w:rFonts w:ascii="Arial" w:eastAsia="Times New Roman" w:hAnsi="Arial" w:cs="Arial"/>
        </w:rPr>
        <w:t>glycaemic</w:t>
      </w:r>
      <w:proofErr w:type="spellEnd"/>
      <w:r w:rsidRPr="00A531EE">
        <w:rPr>
          <w:rFonts w:ascii="Arial" w:eastAsia="Times New Roman" w:hAnsi="Arial" w:cs="Arial"/>
        </w:rPr>
        <w:t xml:space="preserve"> control and long-term health outcomes.</w:t>
      </w:r>
    </w:p>
    <w:p w14:paraId="434E23EE" w14:textId="77777777" w:rsidR="00A531EE" w:rsidRDefault="00A531EE" w:rsidP="00A531EE">
      <w:pPr>
        <w:spacing w:before="100" w:beforeAutospacing="1" w:after="100" w:afterAutospacing="1" w:line="360" w:lineRule="auto"/>
        <w:jc w:val="both"/>
        <w:rPr>
          <w:rFonts w:ascii="Arial" w:eastAsia="Times New Roman" w:hAnsi="Arial" w:cs="Arial"/>
        </w:rPr>
      </w:pPr>
    </w:p>
    <w:p w14:paraId="27C53CCD"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54BA480F"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096B3B26"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71C8D028"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3FE686F1"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09D3A17F"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16E745BA"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416ABA13"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36714C03"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337DD227" w14:textId="77777777" w:rsidR="00756740" w:rsidRDefault="00756740" w:rsidP="00A531EE">
      <w:pPr>
        <w:spacing w:before="100" w:beforeAutospacing="1" w:after="100" w:afterAutospacing="1" w:line="360" w:lineRule="auto"/>
        <w:jc w:val="both"/>
        <w:rPr>
          <w:rFonts w:ascii="Arial" w:eastAsia="Times New Roman" w:hAnsi="Arial" w:cs="Arial"/>
          <w:b/>
        </w:rPr>
      </w:pPr>
    </w:p>
    <w:p w14:paraId="7CF3EB72" w14:textId="77777777" w:rsidR="00A531EE" w:rsidRPr="00A531EE" w:rsidRDefault="00A531EE" w:rsidP="00A531EE">
      <w:pPr>
        <w:spacing w:before="100" w:beforeAutospacing="1" w:after="100" w:afterAutospacing="1" w:line="360" w:lineRule="auto"/>
        <w:jc w:val="both"/>
        <w:rPr>
          <w:rFonts w:ascii="Arial" w:eastAsia="Times New Roman" w:hAnsi="Arial" w:cs="Arial"/>
          <w:b/>
        </w:rPr>
      </w:pPr>
      <w:r w:rsidRPr="00A531EE">
        <w:rPr>
          <w:rFonts w:ascii="Arial" w:eastAsia="Times New Roman" w:hAnsi="Arial" w:cs="Arial"/>
          <w:b/>
        </w:rPr>
        <w:t>REFERENCES</w:t>
      </w:r>
    </w:p>
    <w:p w14:paraId="349C66FB"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Amin, A. and Salman, T.M. (2025) ‘Glucagon in glucose homeostasis and metabolic disease: from physiology to therapeutics’, </w:t>
      </w:r>
      <w:r w:rsidRPr="004D48F2">
        <w:rPr>
          <w:rStyle w:val="Emphasis"/>
          <w:rFonts w:ascii="Arial" w:hAnsi="Arial" w:cs="Arial"/>
          <w:sz w:val="22"/>
          <w:szCs w:val="22"/>
        </w:rPr>
        <w:t>Journal of Basic and Clinical Physiology and Pharmacology</w:t>
      </w:r>
      <w:r w:rsidRPr="004D48F2">
        <w:rPr>
          <w:rFonts w:ascii="Arial" w:hAnsi="Arial" w:cs="Arial"/>
          <w:sz w:val="22"/>
          <w:szCs w:val="22"/>
        </w:rPr>
        <w:t>, 36(2</w:t>
      </w:r>
      <w:r w:rsidRPr="004D48F2">
        <w:rPr>
          <w:rFonts w:ascii="Arial" w:hAnsi="Arial" w:cs="Arial"/>
          <w:sz w:val="22"/>
          <w:szCs w:val="22"/>
        </w:rPr>
        <w:noBreakHyphen/>
        <w:t>3), pp. 139–146.</w:t>
      </w:r>
    </w:p>
    <w:p w14:paraId="6F277AAE"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Aseela, et al. (2025) </w:t>
      </w:r>
      <w:r w:rsidRPr="004D48F2">
        <w:rPr>
          <w:rStyle w:val="Emphasis"/>
          <w:rFonts w:ascii="Arial" w:hAnsi="Arial" w:cs="Arial"/>
          <w:sz w:val="22"/>
          <w:szCs w:val="22"/>
        </w:rPr>
        <w:t>Physical activity and glycemic control among adults with Type 2 Diabetes: Data from primary care settings</w:t>
      </w:r>
      <w:r w:rsidRPr="004D48F2">
        <w:rPr>
          <w:rFonts w:ascii="Arial" w:hAnsi="Arial" w:cs="Arial"/>
          <w:sz w:val="22"/>
          <w:szCs w:val="22"/>
        </w:rPr>
        <w:t>.</w:t>
      </w:r>
    </w:p>
    <w:p w14:paraId="589A5AB3" w14:textId="77777777" w:rsidR="004D48F2" w:rsidRPr="004D48F2" w:rsidRDefault="004D48F2" w:rsidP="004D48F2">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rPr>
        <w:t xml:space="preserve">Diabetes UK (2025) </w:t>
      </w:r>
      <w:r w:rsidRPr="00756740">
        <w:rPr>
          <w:rFonts w:ascii="Arial" w:eastAsia="Times New Roman" w:hAnsi="Arial" w:cs="Arial"/>
          <w:i/>
          <w:iCs/>
        </w:rPr>
        <w:t xml:space="preserve">How many people in the UK have </w:t>
      </w:r>
      <w:proofErr w:type="gramStart"/>
      <w:r w:rsidRPr="00756740">
        <w:rPr>
          <w:rFonts w:ascii="Arial" w:eastAsia="Times New Roman" w:hAnsi="Arial" w:cs="Arial"/>
          <w:i/>
          <w:iCs/>
        </w:rPr>
        <w:t>diabetes?</w:t>
      </w:r>
      <w:r w:rsidRPr="00756740">
        <w:rPr>
          <w:rFonts w:ascii="Arial" w:eastAsia="Times New Roman" w:hAnsi="Arial" w:cs="Arial"/>
        </w:rPr>
        <w:t>.</w:t>
      </w:r>
      <w:proofErr w:type="gramEnd"/>
      <w:r w:rsidRPr="00756740">
        <w:rPr>
          <w:rFonts w:ascii="Arial" w:eastAsia="Times New Roman" w:hAnsi="Arial" w:cs="Arial"/>
        </w:rPr>
        <w:t xml:space="preserve"> Available at: </w:t>
      </w:r>
      <w:hyperlink r:id="rId13" w:tgtFrame="_new" w:history="1">
        <w:r w:rsidRPr="00756740">
          <w:rPr>
            <w:rFonts w:ascii="Arial" w:eastAsia="Times New Roman" w:hAnsi="Arial" w:cs="Arial"/>
            <w:color w:val="0000FF"/>
            <w:u w:val="single"/>
          </w:rPr>
          <w:t>https://www.diabetes.org.uk/about-us/about-the-charity/our-strategy/statistics</w:t>
        </w:r>
      </w:hyperlink>
      <w:r w:rsidRPr="00756740">
        <w:rPr>
          <w:rFonts w:ascii="Arial" w:eastAsia="Times New Roman" w:hAnsi="Arial" w:cs="Arial"/>
        </w:rPr>
        <w:t xml:space="preserve"> </w:t>
      </w:r>
    </w:p>
    <w:p w14:paraId="349657AD"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Feng, Z., Tan, Z. and Lu, D. (</w:t>
      </w:r>
      <w:proofErr w:type="gramStart"/>
      <w:r w:rsidRPr="004D48F2">
        <w:rPr>
          <w:rFonts w:ascii="Arial" w:hAnsi="Arial" w:cs="Arial"/>
          <w:sz w:val="22"/>
          <w:szCs w:val="22"/>
        </w:rPr>
        <w:t>2025) ‘</w:t>
      </w:r>
      <w:proofErr w:type="gramEnd"/>
      <w:r w:rsidRPr="004D48F2">
        <w:rPr>
          <w:rFonts w:ascii="Arial" w:hAnsi="Arial" w:cs="Arial"/>
          <w:sz w:val="22"/>
          <w:szCs w:val="22"/>
        </w:rPr>
        <w:t xml:space="preserve">Mitochondrial bioenergetics dysfunction in T2DM: linking oxidative stress to insulin resistance’, </w:t>
      </w:r>
      <w:r w:rsidRPr="004D48F2">
        <w:rPr>
          <w:rStyle w:val="Emphasis"/>
          <w:rFonts w:ascii="Arial" w:hAnsi="Arial" w:cs="Arial"/>
          <w:sz w:val="22"/>
          <w:szCs w:val="22"/>
        </w:rPr>
        <w:t>Frontiers in Endocrinology</w:t>
      </w:r>
      <w:r w:rsidRPr="004D48F2">
        <w:rPr>
          <w:rFonts w:ascii="Arial" w:hAnsi="Arial" w:cs="Arial"/>
          <w:sz w:val="22"/>
          <w:szCs w:val="22"/>
        </w:rPr>
        <w:t xml:space="preserve">, 16, article 1674477. </w:t>
      </w:r>
    </w:p>
    <w:p w14:paraId="06AE48BD"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Galindo, R.J. (2023) </w:t>
      </w:r>
      <w:r w:rsidRPr="004D48F2">
        <w:rPr>
          <w:rStyle w:val="Emphasis"/>
          <w:rFonts w:ascii="Arial" w:hAnsi="Arial" w:cs="Arial"/>
          <w:sz w:val="22"/>
          <w:szCs w:val="22"/>
        </w:rPr>
        <w:t>Advances in the management of type 2 diabetes in adults</w:t>
      </w:r>
      <w:r w:rsidRPr="004D48F2">
        <w:rPr>
          <w:rFonts w:ascii="Arial" w:hAnsi="Arial" w:cs="Arial"/>
          <w:sz w:val="22"/>
          <w:szCs w:val="22"/>
        </w:rPr>
        <w:t xml:space="preserve">, </w:t>
      </w:r>
      <w:r w:rsidRPr="004D48F2">
        <w:rPr>
          <w:rStyle w:val="Emphasis"/>
          <w:rFonts w:ascii="Arial" w:hAnsi="Arial" w:cs="Arial"/>
          <w:sz w:val="22"/>
          <w:szCs w:val="22"/>
        </w:rPr>
        <w:t>BMJ Medicine</w:t>
      </w:r>
      <w:r w:rsidRPr="004D48F2">
        <w:rPr>
          <w:rFonts w:ascii="Arial" w:hAnsi="Arial" w:cs="Arial"/>
          <w:sz w:val="22"/>
          <w:szCs w:val="22"/>
        </w:rPr>
        <w:t>.</w:t>
      </w:r>
    </w:p>
    <w:p w14:paraId="672939AC"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Govt Scotland (2024) </w:t>
      </w:r>
      <w:r w:rsidRPr="004D48F2">
        <w:rPr>
          <w:rStyle w:val="Emphasis"/>
          <w:rFonts w:ascii="Arial" w:hAnsi="Arial" w:cs="Arial"/>
          <w:sz w:val="22"/>
          <w:szCs w:val="22"/>
        </w:rPr>
        <w:t xml:space="preserve">Type 2 Diabetes Mellitus quality prescribing strategy: improvement guide </w:t>
      </w:r>
      <w:proofErr w:type="gramStart"/>
      <w:r w:rsidRPr="004D48F2">
        <w:rPr>
          <w:rStyle w:val="Emphasis"/>
          <w:rFonts w:ascii="Arial" w:hAnsi="Arial" w:cs="Arial"/>
          <w:sz w:val="22"/>
          <w:szCs w:val="22"/>
        </w:rPr>
        <w:t>2024</w:t>
      </w:r>
      <w:r w:rsidRPr="004D48F2">
        <w:rPr>
          <w:rStyle w:val="Emphasis"/>
          <w:rFonts w:ascii="Arial" w:hAnsi="Arial" w:cs="Arial"/>
          <w:sz w:val="22"/>
          <w:szCs w:val="22"/>
        </w:rPr>
        <w:noBreakHyphen/>
        <w:t>27</w:t>
      </w:r>
      <w:proofErr w:type="gramEnd"/>
      <w:r w:rsidRPr="004D48F2">
        <w:rPr>
          <w:rFonts w:ascii="Arial" w:hAnsi="Arial" w:cs="Arial"/>
          <w:sz w:val="22"/>
          <w:szCs w:val="22"/>
        </w:rPr>
        <w:t>.</w:t>
      </w:r>
    </w:p>
    <w:p w14:paraId="33967279"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Hayek, A.A., </w:t>
      </w:r>
      <w:proofErr w:type="spellStart"/>
      <w:r w:rsidRPr="004D48F2">
        <w:rPr>
          <w:rFonts w:ascii="Arial" w:hAnsi="Arial" w:cs="Arial"/>
          <w:sz w:val="22"/>
          <w:szCs w:val="22"/>
        </w:rPr>
        <w:t>Klonoff</w:t>
      </w:r>
      <w:proofErr w:type="spellEnd"/>
      <w:r w:rsidRPr="004D48F2">
        <w:rPr>
          <w:rFonts w:ascii="Arial" w:hAnsi="Arial" w:cs="Arial"/>
          <w:sz w:val="22"/>
          <w:szCs w:val="22"/>
        </w:rPr>
        <w:t xml:space="preserve">, D.C., Al Zahrani, W.M., Al Saeed, A.H. and Al </w:t>
      </w:r>
      <w:proofErr w:type="spellStart"/>
      <w:r w:rsidRPr="004D48F2">
        <w:rPr>
          <w:rFonts w:ascii="Arial" w:hAnsi="Arial" w:cs="Arial"/>
          <w:sz w:val="22"/>
          <w:szCs w:val="22"/>
        </w:rPr>
        <w:t>Dawish</w:t>
      </w:r>
      <w:proofErr w:type="spellEnd"/>
      <w:r w:rsidRPr="004D48F2">
        <w:rPr>
          <w:rFonts w:ascii="Arial" w:hAnsi="Arial" w:cs="Arial"/>
          <w:sz w:val="22"/>
          <w:szCs w:val="22"/>
        </w:rPr>
        <w:t>, M.A. (</w:t>
      </w:r>
      <w:proofErr w:type="gramStart"/>
      <w:r w:rsidRPr="004D48F2">
        <w:rPr>
          <w:rFonts w:ascii="Arial" w:hAnsi="Arial" w:cs="Arial"/>
          <w:sz w:val="22"/>
          <w:szCs w:val="22"/>
        </w:rPr>
        <w:t>2025) ‘</w:t>
      </w:r>
      <w:proofErr w:type="gramEnd"/>
      <w:r w:rsidRPr="004D48F2">
        <w:rPr>
          <w:rFonts w:ascii="Arial" w:hAnsi="Arial" w:cs="Arial"/>
          <w:sz w:val="22"/>
          <w:szCs w:val="22"/>
        </w:rPr>
        <w:t xml:space="preserve">Impact of transitioning from conventional blood glucose monitoring to continuous glucose monitoring on glycemic control and self-management in adults with Type 2 diabetes on oral glucose-lowering medications’, </w:t>
      </w:r>
      <w:r w:rsidRPr="004D48F2">
        <w:rPr>
          <w:rStyle w:val="Emphasis"/>
          <w:rFonts w:ascii="Arial" w:hAnsi="Arial" w:cs="Arial"/>
          <w:sz w:val="22"/>
          <w:szCs w:val="22"/>
        </w:rPr>
        <w:t>Diabetes Research and Clinical Practice</w:t>
      </w:r>
      <w:r w:rsidRPr="004D48F2">
        <w:rPr>
          <w:rFonts w:ascii="Arial" w:hAnsi="Arial" w:cs="Arial"/>
          <w:sz w:val="22"/>
          <w:szCs w:val="22"/>
        </w:rPr>
        <w:t xml:space="preserve"> [online]. Available at: </w:t>
      </w:r>
      <w:hyperlink r:id="rId14" w:tgtFrame="_new" w:history="1">
        <w:r w:rsidRPr="004D48F2">
          <w:rPr>
            <w:rStyle w:val="Hyperlink"/>
            <w:rFonts w:ascii="Arial" w:hAnsi="Arial" w:cs="Arial"/>
            <w:sz w:val="22"/>
            <w:szCs w:val="22"/>
          </w:rPr>
          <w:t>https://www.sciencedirect.com/science/article/abs/pii/S0168822725004723</w:t>
        </w:r>
      </w:hyperlink>
      <w:r w:rsidRPr="004D48F2">
        <w:rPr>
          <w:rFonts w:ascii="Arial" w:hAnsi="Arial" w:cs="Arial"/>
          <w:sz w:val="22"/>
          <w:szCs w:val="22"/>
        </w:rPr>
        <w:t xml:space="preserve"> (Accessed: 10 February 2026).</w:t>
      </w:r>
    </w:p>
    <w:p w14:paraId="2DB25085"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Kemper, E.J. et al. (</w:t>
      </w:r>
      <w:proofErr w:type="gramStart"/>
      <w:r w:rsidRPr="004D48F2">
        <w:rPr>
          <w:rFonts w:ascii="Arial" w:hAnsi="Arial" w:cs="Arial"/>
          <w:sz w:val="22"/>
          <w:szCs w:val="22"/>
        </w:rPr>
        <w:t>2025) ‘</w:t>
      </w:r>
      <w:proofErr w:type="gramEnd"/>
      <w:r w:rsidRPr="004D48F2">
        <w:rPr>
          <w:rFonts w:ascii="Arial" w:hAnsi="Arial" w:cs="Arial"/>
          <w:sz w:val="22"/>
          <w:szCs w:val="22"/>
        </w:rPr>
        <w:t xml:space="preserve">Muscle and liver insulin resistance are associated with distinct proteomic profiles in overweight individuals’, </w:t>
      </w:r>
      <w:r w:rsidRPr="004D48F2">
        <w:rPr>
          <w:rStyle w:val="Emphasis"/>
          <w:rFonts w:ascii="Arial" w:hAnsi="Arial" w:cs="Arial"/>
          <w:sz w:val="22"/>
          <w:szCs w:val="22"/>
        </w:rPr>
        <w:t>Journal of Clinical Endocrinology &amp; Metabolism</w:t>
      </w:r>
      <w:r w:rsidRPr="004D48F2">
        <w:rPr>
          <w:rFonts w:ascii="Arial" w:hAnsi="Arial" w:cs="Arial"/>
          <w:sz w:val="22"/>
          <w:szCs w:val="22"/>
        </w:rPr>
        <w:t>.</w:t>
      </w:r>
    </w:p>
    <w:p w14:paraId="2CC7B983"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Kong, S.-Y. and Cho, M.-K. (2024) ‘Effects of Continuous Glucose Monitoring on Glycemic Control in Type 2 Diabetes: A Systematic Review and Meta-Analysis’, </w:t>
      </w:r>
      <w:r w:rsidRPr="004D48F2">
        <w:rPr>
          <w:rStyle w:val="Emphasis"/>
          <w:rFonts w:ascii="Arial" w:hAnsi="Arial" w:cs="Arial"/>
          <w:sz w:val="22"/>
          <w:szCs w:val="22"/>
        </w:rPr>
        <w:t>Healthcare</w:t>
      </w:r>
      <w:r w:rsidRPr="004D48F2">
        <w:rPr>
          <w:rFonts w:ascii="Arial" w:hAnsi="Arial" w:cs="Arial"/>
          <w:sz w:val="22"/>
          <w:szCs w:val="22"/>
        </w:rPr>
        <w:t xml:space="preserve">, 12(5), p. 571. Available at: </w:t>
      </w:r>
      <w:hyperlink r:id="rId15" w:tgtFrame="_new" w:history="1">
        <w:r w:rsidRPr="004D48F2">
          <w:rPr>
            <w:rStyle w:val="Hyperlink"/>
            <w:rFonts w:ascii="Arial" w:hAnsi="Arial" w:cs="Arial"/>
            <w:sz w:val="22"/>
            <w:szCs w:val="22"/>
          </w:rPr>
          <w:t>https://www.mdpi.com/2227-9032/12/5/571</w:t>
        </w:r>
      </w:hyperlink>
      <w:r w:rsidRPr="004D48F2">
        <w:rPr>
          <w:rFonts w:ascii="Arial" w:hAnsi="Arial" w:cs="Arial"/>
          <w:sz w:val="22"/>
          <w:szCs w:val="22"/>
        </w:rPr>
        <w:t xml:space="preserve"> (Accessed: 10 February 2026).</w:t>
      </w:r>
    </w:p>
    <w:p w14:paraId="05249D1A" w14:textId="77777777" w:rsid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lastRenderedPageBreak/>
        <w:t>Lian, X. et al. (</w:t>
      </w:r>
      <w:proofErr w:type="gramStart"/>
      <w:r w:rsidRPr="004D48F2">
        <w:rPr>
          <w:rFonts w:ascii="Arial" w:hAnsi="Arial" w:cs="Arial"/>
          <w:sz w:val="22"/>
          <w:szCs w:val="22"/>
        </w:rPr>
        <w:t>2025) ‘</w:t>
      </w:r>
      <w:proofErr w:type="gramEnd"/>
      <w:r w:rsidRPr="004D48F2">
        <w:rPr>
          <w:rFonts w:ascii="Arial" w:hAnsi="Arial" w:cs="Arial"/>
          <w:sz w:val="22"/>
          <w:szCs w:val="22"/>
        </w:rPr>
        <w:t xml:space="preserve">Impact of real-time continuous glucose monitoring on </w:t>
      </w:r>
      <w:proofErr w:type="spellStart"/>
      <w:r w:rsidRPr="004D48F2">
        <w:rPr>
          <w:rFonts w:ascii="Arial" w:hAnsi="Arial" w:cs="Arial"/>
          <w:sz w:val="22"/>
          <w:szCs w:val="22"/>
        </w:rPr>
        <w:t>glycaemic</w:t>
      </w:r>
      <w:proofErr w:type="spellEnd"/>
      <w:r w:rsidRPr="004D48F2">
        <w:rPr>
          <w:rFonts w:ascii="Arial" w:hAnsi="Arial" w:cs="Arial"/>
          <w:sz w:val="22"/>
          <w:szCs w:val="22"/>
        </w:rPr>
        <w:t xml:space="preserve"> control and self-management capacity in adults with Type 2 diabetes: A systematic review’, </w:t>
      </w:r>
      <w:r w:rsidRPr="004D48F2">
        <w:rPr>
          <w:rStyle w:val="Emphasis"/>
          <w:rFonts w:ascii="Arial" w:hAnsi="Arial" w:cs="Arial"/>
          <w:sz w:val="22"/>
          <w:szCs w:val="22"/>
        </w:rPr>
        <w:t>Frontiers in Endocrinology</w:t>
      </w:r>
      <w:r>
        <w:rPr>
          <w:rStyle w:val="Emphasis"/>
          <w:rFonts w:ascii="Arial" w:hAnsi="Arial" w:cs="Arial"/>
          <w:sz w:val="22"/>
          <w:szCs w:val="22"/>
        </w:rPr>
        <w:t>.</w:t>
      </w:r>
      <w:r w:rsidRPr="004D48F2">
        <w:rPr>
          <w:rFonts w:ascii="Arial" w:hAnsi="Arial" w:cs="Arial"/>
          <w:sz w:val="22"/>
          <w:szCs w:val="22"/>
        </w:rPr>
        <w:t xml:space="preserve"> Available at: </w:t>
      </w:r>
    </w:p>
    <w:p w14:paraId="68AB9EFF" w14:textId="77777777" w:rsidR="004D48F2" w:rsidRPr="004D48F2" w:rsidRDefault="004D48F2" w:rsidP="004D48F2">
      <w:pPr>
        <w:pStyle w:val="NormalWeb"/>
        <w:spacing w:line="360" w:lineRule="auto"/>
        <w:jc w:val="both"/>
        <w:rPr>
          <w:rFonts w:ascii="Arial" w:hAnsi="Arial" w:cs="Arial"/>
          <w:sz w:val="22"/>
          <w:szCs w:val="22"/>
        </w:rPr>
      </w:pPr>
      <w:hyperlink r:id="rId16" w:tgtFrame="_new" w:history="1">
        <w:r w:rsidRPr="004D48F2">
          <w:rPr>
            <w:rStyle w:val="Hyperlink"/>
            <w:rFonts w:ascii="Arial" w:hAnsi="Arial" w:cs="Arial"/>
            <w:sz w:val="22"/>
            <w:szCs w:val="22"/>
          </w:rPr>
          <w:t>https://www.frontiersin.org/journals/endocrinology/articles/10.3389/fendo.2025.1761579/full</w:t>
        </w:r>
      </w:hyperlink>
      <w:r w:rsidRPr="004D48F2">
        <w:rPr>
          <w:rFonts w:ascii="Arial" w:hAnsi="Arial" w:cs="Arial"/>
          <w:sz w:val="22"/>
          <w:szCs w:val="22"/>
        </w:rPr>
        <w:t xml:space="preserve"> (Accessed: 10 February 2026).</w:t>
      </w:r>
    </w:p>
    <w:p w14:paraId="1AFF9174"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Liu, F. et al. (2024) ‘Efficacy of telemedicine intervention in the self</w:t>
      </w:r>
      <w:r w:rsidRPr="004D48F2">
        <w:rPr>
          <w:rFonts w:ascii="Arial" w:hAnsi="Arial" w:cs="Arial"/>
          <w:sz w:val="22"/>
          <w:szCs w:val="22"/>
        </w:rPr>
        <w:noBreakHyphen/>
        <w:t>management of patients with type 2 diabetes: systematic review and meta</w:t>
      </w:r>
      <w:r w:rsidRPr="004D48F2">
        <w:rPr>
          <w:rFonts w:ascii="Arial" w:hAnsi="Arial" w:cs="Arial"/>
          <w:sz w:val="22"/>
          <w:szCs w:val="22"/>
        </w:rPr>
        <w:noBreakHyphen/>
        <w:t xml:space="preserve">analysis’, </w:t>
      </w:r>
      <w:r w:rsidRPr="004D48F2">
        <w:rPr>
          <w:rStyle w:val="Emphasis"/>
          <w:rFonts w:ascii="Arial" w:hAnsi="Arial" w:cs="Arial"/>
          <w:sz w:val="22"/>
          <w:szCs w:val="22"/>
        </w:rPr>
        <w:t>Frontiers in Public Health</w:t>
      </w:r>
      <w:r w:rsidRPr="004D48F2">
        <w:rPr>
          <w:rFonts w:ascii="Arial" w:hAnsi="Arial" w:cs="Arial"/>
          <w:sz w:val="22"/>
          <w:szCs w:val="22"/>
        </w:rPr>
        <w:t>, 12.</w:t>
      </w:r>
    </w:p>
    <w:p w14:paraId="597BC96F" w14:textId="77777777" w:rsidR="004D48F2" w:rsidRPr="004D48F2" w:rsidRDefault="004D48F2" w:rsidP="004D48F2">
      <w:pPr>
        <w:pStyle w:val="NormalWeb"/>
        <w:spacing w:line="360" w:lineRule="auto"/>
        <w:jc w:val="both"/>
        <w:rPr>
          <w:rFonts w:ascii="Arial" w:hAnsi="Arial" w:cs="Arial"/>
          <w:sz w:val="22"/>
          <w:szCs w:val="22"/>
        </w:rPr>
      </w:pPr>
      <w:proofErr w:type="spellStart"/>
      <w:r w:rsidRPr="004D48F2">
        <w:rPr>
          <w:rFonts w:ascii="Arial" w:hAnsi="Arial" w:cs="Arial"/>
          <w:sz w:val="22"/>
          <w:szCs w:val="22"/>
        </w:rPr>
        <w:t>MedTechNews</w:t>
      </w:r>
      <w:proofErr w:type="spellEnd"/>
      <w:r w:rsidRPr="004D48F2">
        <w:rPr>
          <w:rFonts w:ascii="Arial" w:hAnsi="Arial" w:cs="Arial"/>
          <w:sz w:val="22"/>
          <w:szCs w:val="22"/>
        </w:rPr>
        <w:t xml:space="preserve"> UK (2024) </w:t>
      </w:r>
      <w:r w:rsidRPr="004D48F2">
        <w:rPr>
          <w:rStyle w:val="Emphasis"/>
          <w:rFonts w:ascii="Arial" w:hAnsi="Arial" w:cs="Arial"/>
          <w:sz w:val="22"/>
          <w:szCs w:val="22"/>
        </w:rPr>
        <w:t>Glucose metabolism: a comprehensive review of pathways and implications for health and disease</w:t>
      </w:r>
      <w:r w:rsidRPr="004D48F2">
        <w:rPr>
          <w:rFonts w:ascii="Arial" w:hAnsi="Arial" w:cs="Arial"/>
          <w:sz w:val="22"/>
          <w:szCs w:val="22"/>
        </w:rPr>
        <w:t xml:space="preserve">. Available at: https://medtechnews.uk/research-reports/glucose-metabolism-a-comprehensive-review. </w:t>
      </w:r>
    </w:p>
    <w:p w14:paraId="7CEB8D4C" w14:textId="77777777" w:rsidR="004D48F2" w:rsidRPr="004D48F2" w:rsidRDefault="004D48F2" w:rsidP="004D48F2">
      <w:pPr>
        <w:pStyle w:val="NormalWeb"/>
        <w:spacing w:line="360" w:lineRule="auto"/>
        <w:jc w:val="both"/>
        <w:rPr>
          <w:rFonts w:ascii="Arial" w:hAnsi="Arial" w:cs="Arial"/>
          <w:sz w:val="22"/>
          <w:szCs w:val="22"/>
        </w:rPr>
      </w:pPr>
      <w:proofErr w:type="spellStart"/>
      <w:r w:rsidRPr="004D48F2">
        <w:rPr>
          <w:rFonts w:ascii="Arial" w:hAnsi="Arial" w:cs="Arial"/>
          <w:sz w:val="22"/>
          <w:szCs w:val="22"/>
        </w:rPr>
        <w:t>Młynarska</w:t>
      </w:r>
      <w:proofErr w:type="spellEnd"/>
      <w:r w:rsidRPr="004D48F2">
        <w:rPr>
          <w:rFonts w:ascii="Arial" w:hAnsi="Arial" w:cs="Arial"/>
          <w:sz w:val="22"/>
          <w:szCs w:val="22"/>
        </w:rPr>
        <w:t xml:space="preserve">, E. et al. (2025) ‘Type 2 diabetes mellitus: new pathogenetic mechanisms’, </w:t>
      </w:r>
      <w:r w:rsidRPr="004D48F2">
        <w:rPr>
          <w:rStyle w:val="Emphasis"/>
          <w:rFonts w:ascii="Arial" w:hAnsi="Arial" w:cs="Arial"/>
          <w:sz w:val="22"/>
          <w:szCs w:val="22"/>
        </w:rPr>
        <w:t>International Journal of Molecular Sciences</w:t>
      </w:r>
      <w:r w:rsidRPr="004D48F2">
        <w:rPr>
          <w:rFonts w:ascii="Arial" w:hAnsi="Arial" w:cs="Arial"/>
          <w:sz w:val="22"/>
          <w:szCs w:val="22"/>
        </w:rPr>
        <w:t>, 26(3), pp. 1094–1112.</w:t>
      </w:r>
    </w:p>
    <w:p w14:paraId="7398A4FA" w14:textId="77777777" w:rsidR="004D48F2" w:rsidRPr="00756740" w:rsidRDefault="004D48F2" w:rsidP="004D48F2">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rPr>
        <w:t xml:space="preserve">NHS England (2024) </w:t>
      </w:r>
      <w:r w:rsidRPr="00756740">
        <w:rPr>
          <w:rFonts w:ascii="Arial" w:eastAsia="Times New Roman" w:hAnsi="Arial" w:cs="Arial"/>
          <w:i/>
          <w:iCs/>
        </w:rPr>
        <w:t>NHS identifies over half a million more people at risk of type 2 diabetes in a Year</w:t>
      </w:r>
      <w:r w:rsidRPr="00756740">
        <w:rPr>
          <w:rFonts w:ascii="Arial" w:eastAsia="Times New Roman" w:hAnsi="Arial" w:cs="Arial"/>
        </w:rPr>
        <w:t xml:space="preserve">. Available at: </w:t>
      </w:r>
      <w:hyperlink r:id="rId17" w:tgtFrame="_new" w:history="1">
        <w:r w:rsidRPr="00756740">
          <w:rPr>
            <w:rFonts w:ascii="Arial" w:eastAsia="Times New Roman" w:hAnsi="Arial" w:cs="Arial"/>
            <w:color w:val="0000FF"/>
            <w:u w:val="single"/>
          </w:rPr>
          <w:t>https://www.england.nhs.uk/2024/06/nhs-identifies-over-half-a-million-more-people-at-risk-of-type-2-diabetes-in-a-year/</w:t>
        </w:r>
      </w:hyperlink>
    </w:p>
    <w:p w14:paraId="41FDFB23" w14:textId="77777777" w:rsidR="004D48F2" w:rsidRPr="00756740" w:rsidRDefault="004D48F2" w:rsidP="004D48F2">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rPr>
        <w:t xml:space="preserve">NHS England (2025) </w:t>
      </w:r>
      <w:r w:rsidRPr="00756740">
        <w:rPr>
          <w:rFonts w:ascii="Arial" w:eastAsia="Times New Roman" w:hAnsi="Arial" w:cs="Arial"/>
          <w:i/>
          <w:iCs/>
        </w:rPr>
        <w:t>NHS initiative helps thousands more tackle their diabetes risk</w:t>
      </w:r>
      <w:r w:rsidRPr="00756740">
        <w:rPr>
          <w:rFonts w:ascii="Arial" w:eastAsia="Times New Roman" w:hAnsi="Arial" w:cs="Arial"/>
        </w:rPr>
        <w:t xml:space="preserve">. Available at: </w:t>
      </w:r>
      <w:hyperlink r:id="rId18" w:tgtFrame="_new" w:history="1">
        <w:r w:rsidRPr="00756740">
          <w:rPr>
            <w:rFonts w:ascii="Arial" w:eastAsia="Times New Roman" w:hAnsi="Arial" w:cs="Arial"/>
            <w:color w:val="0000FF"/>
            <w:u w:val="single"/>
          </w:rPr>
          <w:t>https://www.england.nhs.uk/2025/05/nhs-initiative-helps-thousands-more-tackle-their-diabetes-risk/</w:t>
        </w:r>
      </w:hyperlink>
      <w:r w:rsidRPr="00756740">
        <w:rPr>
          <w:rFonts w:ascii="Arial" w:eastAsia="Times New Roman" w:hAnsi="Arial" w:cs="Arial"/>
        </w:rPr>
        <w:t xml:space="preserve"> </w:t>
      </w:r>
    </w:p>
    <w:p w14:paraId="47985258"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NICE (2022) </w:t>
      </w:r>
      <w:r w:rsidRPr="004D48F2">
        <w:rPr>
          <w:rStyle w:val="Emphasis"/>
          <w:rFonts w:ascii="Arial" w:hAnsi="Arial" w:cs="Arial"/>
          <w:sz w:val="22"/>
          <w:szCs w:val="22"/>
        </w:rPr>
        <w:t>Type 2 diabetes in adults: management</w:t>
      </w:r>
      <w:r w:rsidRPr="004D48F2">
        <w:rPr>
          <w:rFonts w:ascii="Arial" w:hAnsi="Arial" w:cs="Arial"/>
          <w:sz w:val="22"/>
          <w:szCs w:val="22"/>
        </w:rPr>
        <w:t xml:space="preserve"> (NG28), National Institute for Health and Care Excellence.</w:t>
      </w:r>
    </w:p>
    <w:p w14:paraId="399BD1A3" w14:textId="77777777" w:rsidR="004D48F2" w:rsidRPr="00756740" w:rsidRDefault="004D48F2" w:rsidP="004D48F2">
      <w:pPr>
        <w:spacing w:before="100" w:beforeAutospacing="1" w:after="100" w:afterAutospacing="1" w:line="360" w:lineRule="auto"/>
        <w:jc w:val="both"/>
        <w:rPr>
          <w:rFonts w:ascii="Arial" w:eastAsia="Times New Roman" w:hAnsi="Arial" w:cs="Arial"/>
        </w:rPr>
      </w:pPr>
      <w:r w:rsidRPr="00756740">
        <w:rPr>
          <w:rFonts w:ascii="Arial" w:eastAsia="Times New Roman" w:hAnsi="Arial" w:cs="Arial"/>
        </w:rPr>
        <w:t xml:space="preserve">NICE (2025) </w:t>
      </w:r>
      <w:r w:rsidRPr="00756740">
        <w:rPr>
          <w:rFonts w:ascii="Arial" w:eastAsia="Times New Roman" w:hAnsi="Arial" w:cs="Arial"/>
          <w:i/>
          <w:iCs/>
        </w:rPr>
        <w:t>Diabetes type 2: risk factors and diagnosis</w:t>
      </w:r>
      <w:r w:rsidRPr="00756740">
        <w:rPr>
          <w:rFonts w:ascii="Arial" w:eastAsia="Times New Roman" w:hAnsi="Arial" w:cs="Arial"/>
        </w:rPr>
        <w:t xml:space="preserve">. National Institute for Health and Care Excellence. Available at: </w:t>
      </w:r>
      <w:hyperlink r:id="rId19" w:tgtFrame="_new" w:history="1">
        <w:r w:rsidRPr="00756740">
          <w:rPr>
            <w:rFonts w:ascii="Arial" w:eastAsia="Times New Roman" w:hAnsi="Arial" w:cs="Arial"/>
            <w:color w:val="0000FF"/>
            <w:u w:val="single"/>
          </w:rPr>
          <w:t>https://cks.nice.org.uk/topics/diabetes-type-2/background-information/risk-factors/</w:t>
        </w:r>
      </w:hyperlink>
      <w:r w:rsidRPr="00756740">
        <w:rPr>
          <w:rFonts w:ascii="Arial" w:eastAsia="Times New Roman" w:hAnsi="Arial" w:cs="Arial"/>
        </w:rPr>
        <w:t xml:space="preserve"> </w:t>
      </w:r>
    </w:p>
    <w:p w14:paraId="29C621A0"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Qin, B. et al. (</w:t>
      </w:r>
      <w:proofErr w:type="gramStart"/>
      <w:r w:rsidRPr="004D48F2">
        <w:rPr>
          <w:rFonts w:ascii="Arial" w:hAnsi="Arial" w:cs="Arial"/>
          <w:sz w:val="22"/>
          <w:szCs w:val="22"/>
        </w:rPr>
        <w:t>2025) ‘</w:t>
      </w:r>
      <w:proofErr w:type="gramEnd"/>
      <w:r w:rsidRPr="004D48F2">
        <w:rPr>
          <w:rFonts w:ascii="Arial" w:hAnsi="Arial" w:cs="Arial"/>
          <w:sz w:val="22"/>
          <w:szCs w:val="22"/>
        </w:rPr>
        <w:t xml:space="preserve">The role of mitochondrial function in the pathogenesis of diabetes’, </w:t>
      </w:r>
      <w:r w:rsidRPr="004D48F2">
        <w:rPr>
          <w:rStyle w:val="Emphasis"/>
          <w:rFonts w:ascii="Arial" w:hAnsi="Arial" w:cs="Arial"/>
          <w:sz w:val="22"/>
          <w:szCs w:val="22"/>
        </w:rPr>
        <w:t>Frontiers in Endocrinology</w:t>
      </w:r>
      <w:r w:rsidRPr="004D48F2">
        <w:rPr>
          <w:rFonts w:ascii="Arial" w:hAnsi="Arial" w:cs="Arial"/>
          <w:sz w:val="22"/>
          <w:szCs w:val="22"/>
        </w:rPr>
        <w:t>, 16, article 1607641.</w:t>
      </w:r>
    </w:p>
    <w:p w14:paraId="3104AE93" w14:textId="77777777" w:rsidR="004D48F2" w:rsidRPr="004D48F2" w:rsidRDefault="004D48F2" w:rsidP="004D48F2">
      <w:pPr>
        <w:pStyle w:val="NormalWeb"/>
        <w:spacing w:line="360" w:lineRule="auto"/>
        <w:jc w:val="both"/>
        <w:rPr>
          <w:rFonts w:ascii="Arial" w:hAnsi="Arial" w:cs="Arial"/>
          <w:sz w:val="22"/>
          <w:szCs w:val="22"/>
        </w:rPr>
      </w:pPr>
      <w:proofErr w:type="spellStart"/>
      <w:r w:rsidRPr="004D48F2">
        <w:rPr>
          <w:rFonts w:ascii="Arial" w:hAnsi="Arial" w:cs="Arial"/>
          <w:sz w:val="22"/>
          <w:szCs w:val="22"/>
        </w:rPr>
        <w:t>Rabiee</w:t>
      </w:r>
      <w:proofErr w:type="spellEnd"/>
      <w:r w:rsidRPr="004D48F2">
        <w:rPr>
          <w:rFonts w:ascii="Arial" w:hAnsi="Arial" w:cs="Arial"/>
          <w:sz w:val="22"/>
          <w:szCs w:val="22"/>
        </w:rPr>
        <w:t xml:space="preserve">, A. et al. (2025) ‘Adipose tissue insulin resistance: a key driver of metabolic dysfunction’, </w:t>
      </w:r>
      <w:r w:rsidRPr="004D48F2">
        <w:rPr>
          <w:rStyle w:val="Emphasis"/>
          <w:rFonts w:ascii="Arial" w:hAnsi="Arial" w:cs="Arial"/>
          <w:sz w:val="22"/>
          <w:szCs w:val="22"/>
        </w:rPr>
        <w:t>Biomedicines</w:t>
      </w:r>
      <w:r w:rsidRPr="004D48F2">
        <w:rPr>
          <w:rFonts w:ascii="Arial" w:hAnsi="Arial" w:cs="Arial"/>
          <w:sz w:val="22"/>
          <w:szCs w:val="22"/>
        </w:rPr>
        <w:t>, 13(10), pp. 2376–2390.</w:t>
      </w:r>
    </w:p>
    <w:p w14:paraId="1BAA00C4" w14:textId="77777777" w:rsidR="004D48F2" w:rsidRPr="004D48F2" w:rsidRDefault="004D48F2" w:rsidP="004D48F2">
      <w:pPr>
        <w:pStyle w:val="NormalWeb"/>
        <w:spacing w:line="360" w:lineRule="auto"/>
        <w:jc w:val="both"/>
        <w:rPr>
          <w:rFonts w:ascii="Arial" w:hAnsi="Arial" w:cs="Arial"/>
          <w:sz w:val="22"/>
          <w:szCs w:val="22"/>
        </w:rPr>
      </w:pPr>
      <w:proofErr w:type="spellStart"/>
      <w:r w:rsidRPr="004D48F2">
        <w:rPr>
          <w:rFonts w:ascii="Arial" w:hAnsi="Arial" w:cs="Arial"/>
          <w:sz w:val="22"/>
          <w:szCs w:val="22"/>
        </w:rPr>
        <w:lastRenderedPageBreak/>
        <w:t>Shibib</w:t>
      </w:r>
      <w:proofErr w:type="spellEnd"/>
      <w:r w:rsidRPr="004D48F2">
        <w:rPr>
          <w:rFonts w:ascii="Arial" w:hAnsi="Arial" w:cs="Arial"/>
          <w:sz w:val="22"/>
          <w:szCs w:val="22"/>
        </w:rPr>
        <w:t>, L. et al. (</w:t>
      </w:r>
      <w:proofErr w:type="gramStart"/>
      <w:r w:rsidRPr="004D48F2">
        <w:rPr>
          <w:rFonts w:ascii="Arial" w:hAnsi="Arial" w:cs="Arial"/>
          <w:sz w:val="22"/>
          <w:szCs w:val="22"/>
        </w:rPr>
        <w:t>2024) ‘</w:t>
      </w:r>
      <w:proofErr w:type="gramEnd"/>
      <w:r w:rsidRPr="004D48F2">
        <w:rPr>
          <w:rFonts w:ascii="Arial" w:hAnsi="Arial" w:cs="Arial"/>
          <w:sz w:val="22"/>
          <w:szCs w:val="22"/>
        </w:rPr>
        <w:t>Manipulation of post</w:t>
      </w:r>
      <w:r w:rsidRPr="004D48F2">
        <w:rPr>
          <w:rFonts w:ascii="Arial" w:hAnsi="Arial" w:cs="Arial"/>
          <w:sz w:val="22"/>
          <w:szCs w:val="22"/>
        </w:rPr>
        <w:noBreakHyphen/>
        <w:t xml:space="preserve">prandial </w:t>
      </w:r>
      <w:proofErr w:type="spellStart"/>
      <w:r w:rsidRPr="004D48F2">
        <w:rPr>
          <w:rFonts w:ascii="Arial" w:hAnsi="Arial" w:cs="Arial"/>
          <w:sz w:val="22"/>
          <w:szCs w:val="22"/>
        </w:rPr>
        <w:t>hyperglycaemia</w:t>
      </w:r>
      <w:proofErr w:type="spellEnd"/>
      <w:r w:rsidRPr="004D48F2">
        <w:rPr>
          <w:rFonts w:ascii="Arial" w:hAnsi="Arial" w:cs="Arial"/>
          <w:sz w:val="22"/>
          <w:szCs w:val="22"/>
        </w:rPr>
        <w:t xml:space="preserve"> in type 2 diabetes: an update for </w:t>
      </w:r>
      <w:proofErr w:type="gramStart"/>
      <w:r w:rsidRPr="004D48F2">
        <w:rPr>
          <w:rFonts w:ascii="Arial" w:hAnsi="Arial" w:cs="Arial"/>
          <w:sz w:val="22"/>
          <w:szCs w:val="22"/>
        </w:rPr>
        <w:t>practitioners’,</w:t>
      </w:r>
      <w:proofErr w:type="gramEnd"/>
      <w:r w:rsidRPr="004D48F2">
        <w:rPr>
          <w:rFonts w:ascii="Arial" w:hAnsi="Arial" w:cs="Arial"/>
          <w:sz w:val="22"/>
          <w:szCs w:val="22"/>
        </w:rPr>
        <w:t xml:space="preserve"> </w:t>
      </w:r>
      <w:r w:rsidRPr="004D48F2">
        <w:rPr>
          <w:rStyle w:val="Emphasis"/>
          <w:rFonts w:ascii="Arial" w:hAnsi="Arial" w:cs="Arial"/>
          <w:sz w:val="22"/>
          <w:szCs w:val="22"/>
        </w:rPr>
        <w:t>Diabetes, Metabolic Syndrome and Obesity</w:t>
      </w:r>
      <w:r w:rsidRPr="004D48F2">
        <w:rPr>
          <w:rFonts w:ascii="Arial" w:hAnsi="Arial" w:cs="Arial"/>
          <w:sz w:val="22"/>
          <w:szCs w:val="22"/>
        </w:rPr>
        <w:t>, pp. S458894.</w:t>
      </w:r>
    </w:p>
    <w:p w14:paraId="63EC1DFE" w14:textId="77777777" w:rsidR="004D48F2" w:rsidRPr="004D48F2" w:rsidRDefault="004D48F2" w:rsidP="004D48F2">
      <w:pPr>
        <w:pStyle w:val="NormalWeb"/>
        <w:spacing w:line="360" w:lineRule="auto"/>
        <w:jc w:val="both"/>
        <w:rPr>
          <w:rFonts w:ascii="Arial" w:hAnsi="Arial" w:cs="Arial"/>
          <w:sz w:val="22"/>
          <w:szCs w:val="22"/>
        </w:rPr>
      </w:pPr>
      <w:proofErr w:type="spellStart"/>
      <w:r w:rsidRPr="004D48F2">
        <w:rPr>
          <w:rFonts w:ascii="Arial" w:hAnsi="Arial" w:cs="Arial"/>
          <w:sz w:val="22"/>
          <w:szCs w:val="22"/>
        </w:rPr>
        <w:t>StatPearls</w:t>
      </w:r>
      <w:proofErr w:type="spellEnd"/>
      <w:r w:rsidRPr="004D48F2">
        <w:rPr>
          <w:rFonts w:ascii="Arial" w:hAnsi="Arial" w:cs="Arial"/>
          <w:sz w:val="22"/>
          <w:szCs w:val="22"/>
        </w:rPr>
        <w:t xml:space="preserve"> (</w:t>
      </w:r>
      <w:proofErr w:type="gramStart"/>
      <w:r w:rsidRPr="004D48F2">
        <w:rPr>
          <w:rFonts w:ascii="Arial" w:hAnsi="Arial" w:cs="Arial"/>
          <w:sz w:val="22"/>
          <w:szCs w:val="22"/>
        </w:rPr>
        <w:t>2023) ‘</w:t>
      </w:r>
      <w:proofErr w:type="gramEnd"/>
      <w:r w:rsidRPr="004D48F2">
        <w:rPr>
          <w:rFonts w:ascii="Arial" w:hAnsi="Arial" w:cs="Arial"/>
          <w:sz w:val="22"/>
          <w:szCs w:val="22"/>
        </w:rPr>
        <w:t xml:space="preserve">Insulin resistance’, </w:t>
      </w:r>
      <w:proofErr w:type="spellStart"/>
      <w:r w:rsidRPr="004D48F2">
        <w:rPr>
          <w:rStyle w:val="Emphasis"/>
          <w:rFonts w:ascii="Arial" w:hAnsi="Arial" w:cs="Arial"/>
          <w:sz w:val="22"/>
          <w:szCs w:val="22"/>
        </w:rPr>
        <w:t>StatPearls</w:t>
      </w:r>
      <w:proofErr w:type="spellEnd"/>
      <w:r w:rsidRPr="004D48F2">
        <w:rPr>
          <w:rFonts w:ascii="Arial" w:hAnsi="Arial" w:cs="Arial"/>
          <w:sz w:val="22"/>
          <w:szCs w:val="22"/>
        </w:rPr>
        <w:t xml:space="preserve">, Treasure Island (FL): </w:t>
      </w:r>
      <w:proofErr w:type="spellStart"/>
      <w:r w:rsidRPr="004D48F2">
        <w:rPr>
          <w:rFonts w:ascii="Arial" w:hAnsi="Arial" w:cs="Arial"/>
          <w:sz w:val="22"/>
          <w:szCs w:val="22"/>
        </w:rPr>
        <w:t>StatPearls</w:t>
      </w:r>
      <w:proofErr w:type="spellEnd"/>
      <w:r w:rsidRPr="004D48F2">
        <w:rPr>
          <w:rFonts w:ascii="Arial" w:hAnsi="Arial" w:cs="Arial"/>
          <w:sz w:val="22"/>
          <w:szCs w:val="22"/>
        </w:rPr>
        <w:t xml:space="preserve"> Publishing.</w:t>
      </w:r>
    </w:p>
    <w:p w14:paraId="74477B5A" w14:textId="77777777" w:rsid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 xml:space="preserve">Wikipedia (2025) ‘Cellular respiration’, </w:t>
      </w:r>
      <w:r w:rsidRPr="004D48F2">
        <w:rPr>
          <w:rStyle w:val="Emphasis"/>
          <w:rFonts w:ascii="Arial" w:hAnsi="Arial" w:cs="Arial"/>
          <w:sz w:val="22"/>
          <w:szCs w:val="22"/>
        </w:rPr>
        <w:t>Wikipedia</w:t>
      </w:r>
      <w:r w:rsidRPr="004D48F2">
        <w:rPr>
          <w:rFonts w:ascii="Arial" w:hAnsi="Arial" w:cs="Arial"/>
          <w:sz w:val="22"/>
          <w:szCs w:val="22"/>
        </w:rPr>
        <w:t xml:space="preserve">. Available at: </w:t>
      </w:r>
      <w:hyperlink r:id="rId20" w:tgtFrame="_new" w:history="1">
        <w:r w:rsidRPr="004D48F2">
          <w:rPr>
            <w:rStyle w:val="Hyperlink"/>
            <w:rFonts w:ascii="Arial" w:hAnsi="Arial" w:cs="Arial"/>
            <w:sz w:val="22"/>
            <w:szCs w:val="22"/>
          </w:rPr>
          <w:t>https://en.wikipedia.org/wiki/Cellular_respiration</w:t>
        </w:r>
      </w:hyperlink>
      <w:r w:rsidRPr="004D48F2">
        <w:rPr>
          <w:rFonts w:ascii="Arial" w:hAnsi="Arial" w:cs="Arial"/>
          <w:sz w:val="22"/>
          <w:szCs w:val="22"/>
        </w:rPr>
        <w:t xml:space="preserve"> </w:t>
      </w:r>
    </w:p>
    <w:p w14:paraId="755422FA"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Wu, Y. et al. (</w:t>
      </w:r>
      <w:proofErr w:type="gramStart"/>
      <w:r w:rsidRPr="004D48F2">
        <w:rPr>
          <w:rFonts w:ascii="Arial" w:hAnsi="Arial" w:cs="Arial"/>
          <w:sz w:val="22"/>
          <w:szCs w:val="22"/>
        </w:rPr>
        <w:t>2025) ‘</w:t>
      </w:r>
      <w:proofErr w:type="gramEnd"/>
      <w:r w:rsidRPr="004D48F2">
        <w:rPr>
          <w:rFonts w:ascii="Arial" w:hAnsi="Arial" w:cs="Arial"/>
          <w:sz w:val="22"/>
          <w:szCs w:val="22"/>
        </w:rPr>
        <w:t xml:space="preserve">Regulation of blood glucose by insulin and glucagon’, </w:t>
      </w:r>
      <w:r w:rsidRPr="004D48F2">
        <w:rPr>
          <w:rStyle w:val="Emphasis"/>
          <w:rFonts w:ascii="Arial" w:hAnsi="Arial" w:cs="Arial"/>
          <w:sz w:val="22"/>
          <w:szCs w:val="22"/>
        </w:rPr>
        <w:t>Frontiers in Endocrinology</w:t>
      </w:r>
      <w:r w:rsidRPr="004D48F2">
        <w:rPr>
          <w:rFonts w:ascii="Arial" w:hAnsi="Arial" w:cs="Arial"/>
          <w:sz w:val="22"/>
          <w:szCs w:val="22"/>
        </w:rPr>
        <w:t>, 2025.</w:t>
      </w:r>
    </w:p>
    <w:p w14:paraId="37CED79E" w14:textId="77777777" w:rsidR="004D48F2" w:rsidRP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Xiao, Y. et al. (</w:t>
      </w:r>
      <w:proofErr w:type="gramStart"/>
      <w:r w:rsidRPr="004D48F2">
        <w:rPr>
          <w:rFonts w:ascii="Arial" w:hAnsi="Arial" w:cs="Arial"/>
          <w:sz w:val="22"/>
          <w:szCs w:val="22"/>
        </w:rPr>
        <w:t>2025) ‘</w:t>
      </w:r>
      <w:proofErr w:type="gramEnd"/>
      <w:r w:rsidRPr="004D48F2">
        <w:rPr>
          <w:rFonts w:ascii="Arial" w:hAnsi="Arial" w:cs="Arial"/>
          <w:sz w:val="22"/>
          <w:szCs w:val="22"/>
        </w:rPr>
        <w:t xml:space="preserve">Effectiveness of Digital Diabetes Management Technology in Improving Glycemic Outcomes and BMI in Type 2 Diabetes: Systematic Review and Meta-Analysis’, </w:t>
      </w:r>
      <w:r w:rsidRPr="004D48F2">
        <w:rPr>
          <w:rStyle w:val="Emphasis"/>
          <w:rFonts w:ascii="Arial" w:hAnsi="Arial" w:cs="Arial"/>
          <w:sz w:val="22"/>
          <w:szCs w:val="22"/>
        </w:rPr>
        <w:t>Journal of Medical Internet Research</w:t>
      </w:r>
      <w:r w:rsidRPr="004D48F2">
        <w:rPr>
          <w:rFonts w:ascii="Arial" w:hAnsi="Arial" w:cs="Arial"/>
          <w:sz w:val="22"/>
          <w:szCs w:val="22"/>
        </w:rPr>
        <w:t xml:space="preserve">, 27, p. e66441. Available at: </w:t>
      </w:r>
      <w:hyperlink r:id="rId21" w:tgtFrame="_new" w:history="1">
        <w:r w:rsidRPr="004D48F2">
          <w:rPr>
            <w:rStyle w:val="Hyperlink"/>
            <w:rFonts w:ascii="Arial" w:hAnsi="Arial" w:cs="Arial"/>
            <w:sz w:val="22"/>
            <w:szCs w:val="22"/>
          </w:rPr>
          <w:t>https://www.jmir.org/2025/1/e66441/</w:t>
        </w:r>
      </w:hyperlink>
      <w:r w:rsidRPr="004D48F2">
        <w:rPr>
          <w:rFonts w:ascii="Arial" w:hAnsi="Arial" w:cs="Arial"/>
          <w:sz w:val="22"/>
          <w:szCs w:val="22"/>
        </w:rPr>
        <w:t xml:space="preserve"> (Accessed: 10 February 2026).</w:t>
      </w:r>
    </w:p>
    <w:p w14:paraId="1532998C" w14:textId="77777777" w:rsidR="004D48F2" w:rsidRDefault="004D48F2" w:rsidP="004D48F2">
      <w:pPr>
        <w:pStyle w:val="NormalWeb"/>
        <w:spacing w:line="360" w:lineRule="auto"/>
        <w:jc w:val="both"/>
        <w:rPr>
          <w:rFonts w:ascii="Arial" w:hAnsi="Arial" w:cs="Arial"/>
          <w:sz w:val="22"/>
          <w:szCs w:val="22"/>
        </w:rPr>
      </w:pPr>
      <w:r w:rsidRPr="004D48F2">
        <w:rPr>
          <w:rFonts w:ascii="Arial" w:hAnsi="Arial" w:cs="Arial"/>
          <w:sz w:val="22"/>
          <w:szCs w:val="22"/>
        </w:rPr>
        <w:t>Zhang, Y. et al. (2023) ‘The effectiveness of lifestyle interventions for diabetes remission and glycemic control: systematic review and meta</w:t>
      </w:r>
      <w:r w:rsidRPr="004D48F2">
        <w:rPr>
          <w:rFonts w:ascii="Arial" w:hAnsi="Arial" w:cs="Arial"/>
          <w:sz w:val="22"/>
          <w:szCs w:val="22"/>
        </w:rPr>
        <w:noBreakHyphen/>
        <w:t xml:space="preserve">analysis’, </w:t>
      </w:r>
      <w:r w:rsidRPr="004D48F2">
        <w:rPr>
          <w:rStyle w:val="Emphasis"/>
          <w:rFonts w:ascii="Arial" w:hAnsi="Arial" w:cs="Arial"/>
          <w:sz w:val="22"/>
          <w:szCs w:val="22"/>
        </w:rPr>
        <w:t>Worldviews on Evidence</w:t>
      </w:r>
      <w:r w:rsidRPr="004D48F2">
        <w:rPr>
          <w:rStyle w:val="Emphasis"/>
          <w:rFonts w:ascii="Arial" w:hAnsi="Arial" w:cs="Arial"/>
          <w:sz w:val="22"/>
          <w:szCs w:val="22"/>
        </w:rPr>
        <w:noBreakHyphen/>
        <w:t>Based Nursing</w:t>
      </w:r>
      <w:r w:rsidRPr="004D48F2">
        <w:rPr>
          <w:rFonts w:ascii="Arial" w:hAnsi="Arial" w:cs="Arial"/>
          <w:sz w:val="22"/>
          <w:szCs w:val="22"/>
        </w:rPr>
        <w:t>, 20(1), pp. 64–78.</w:t>
      </w:r>
    </w:p>
    <w:p w14:paraId="51395ED5" w14:textId="77777777" w:rsidR="00B544B4" w:rsidRPr="004D48F2" w:rsidRDefault="00B544B4" w:rsidP="004D48F2">
      <w:pPr>
        <w:pStyle w:val="NormalWeb"/>
        <w:spacing w:line="360" w:lineRule="auto"/>
        <w:jc w:val="both"/>
        <w:rPr>
          <w:rFonts w:ascii="Arial" w:hAnsi="Arial" w:cs="Arial"/>
          <w:sz w:val="22"/>
          <w:szCs w:val="22"/>
        </w:rPr>
      </w:pPr>
    </w:p>
    <w:sectPr w:rsidR="00B544B4" w:rsidRPr="004D48F2" w:rsidSect="00A531EE">
      <w:footerReference w:type="default" r:id="rId2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35347" w14:textId="77777777" w:rsidR="0049182A" w:rsidRDefault="0049182A" w:rsidP="00A531EE">
      <w:pPr>
        <w:spacing w:after="0" w:line="240" w:lineRule="auto"/>
      </w:pPr>
      <w:r>
        <w:separator/>
      </w:r>
    </w:p>
  </w:endnote>
  <w:endnote w:type="continuationSeparator" w:id="0">
    <w:p w14:paraId="1D592706" w14:textId="77777777" w:rsidR="0049182A" w:rsidRDefault="0049182A" w:rsidP="00A53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16665"/>
      <w:docPartObj>
        <w:docPartGallery w:val="Page Numbers (Bottom of Page)"/>
        <w:docPartUnique/>
      </w:docPartObj>
    </w:sdtPr>
    <w:sdtEndPr>
      <w:rPr>
        <w:noProof/>
      </w:rPr>
    </w:sdtEndPr>
    <w:sdtContent>
      <w:p w14:paraId="66EF3FE4" w14:textId="77777777" w:rsidR="00A531EE" w:rsidRDefault="00A531EE">
        <w:pPr>
          <w:pStyle w:val="Footer"/>
          <w:jc w:val="right"/>
        </w:pPr>
        <w:r>
          <w:fldChar w:fldCharType="begin"/>
        </w:r>
        <w:r>
          <w:instrText xml:space="preserve"> PAGE   \* MERGEFORMAT </w:instrText>
        </w:r>
        <w:r>
          <w:fldChar w:fldCharType="separate"/>
        </w:r>
        <w:r w:rsidR="00B544B4">
          <w:rPr>
            <w:noProof/>
          </w:rPr>
          <w:t>1</w:t>
        </w:r>
        <w:r>
          <w:rPr>
            <w:noProof/>
          </w:rPr>
          <w:fldChar w:fldCharType="end"/>
        </w:r>
      </w:p>
    </w:sdtContent>
  </w:sdt>
  <w:p w14:paraId="0372F169" w14:textId="77777777" w:rsidR="00A531EE" w:rsidRDefault="00A53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5C88E" w14:textId="77777777" w:rsidR="0049182A" w:rsidRDefault="0049182A" w:rsidP="00A531EE">
      <w:pPr>
        <w:spacing w:after="0" w:line="240" w:lineRule="auto"/>
      </w:pPr>
      <w:r>
        <w:separator/>
      </w:r>
    </w:p>
  </w:footnote>
  <w:footnote w:type="continuationSeparator" w:id="0">
    <w:p w14:paraId="0926ABC2" w14:textId="77777777" w:rsidR="0049182A" w:rsidRDefault="0049182A" w:rsidP="00A53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23DEF"/>
    <w:multiLevelType w:val="multilevel"/>
    <w:tmpl w:val="89785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689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938"/>
    <w:rsid w:val="001B34ED"/>
    <w:rsid w:val="001F3595"/>
    <w:rsid w:val="002F3BED"/>
    <w:rsid w:val="0049182A"/>
    <w:rsid w:val="004D48F2"/>
    <w:rsid w:val="00750665"/>
    <w:rsid w:val="00756740"/>
    <w:rsid w:val="0087234C"/>
    <w:rsid w:val="008D4938"/>
    <w:rsid w:val="008F4BCD"/>
    <w:rsid w:val="00A531EE"/>
    <w:rsid w:val="00AC6A8D"/>
    <w:rsid w:val="00B544B4"/>
    <w:rsid w:val="00D00144"/>
    <w:rsid w:val="00E25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37C3B"/>
  <w15:chartTrackingRefBased/>
  <w15:docId w15:val="{3CED98E7-8416-4664-9C39-E46423FA5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31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31EE"/>
  </w:style>
  <w:style w:type="paragraph" w:styleId="Footer">
    <w:name w:val="footer"/>
    <w:basedOn w:val="Normal"/>
    <w:link w:val="FooterChar"/>
    <w:uiPriority w:val="99"/>
    <w:unhideWhenUsed/>
    <w:rsid w:val="00A531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31EE"/>
  </w:style>
  <w:style w:type="table" w:styleId="TableGrid">
    <w:name w:val="Table Grid"/>
    <w:basedOn w:val="TableNormal"/>
    <w:uiPriority w:val="39"/>
    <w:rsid w:val="00A53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D48F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D48F2"/>
    <w:rPr>
      <w:i/>
      <w:iCs/>
    </w:rPr>
  </w:style>
  <w:style w:type="character" w:styleId="Hyperlink">
    <w:name w:val="Hyperlink"/>
    <w:basedOn w:val="DefaultParagraphFont"/>
    <w:uiPriority w:val="99"/>
    <w:semiHidden/>
    <w:unhideWhenUsed/>
    <w:rsid w:val="004D48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850126">
      <w:bodyDiv w:val="1"/>
      <w:marLeft w:val="0"/>
      <w:marRight w:val="0"/>
      <w:marTop w:val="0"/>
      <w:marBottom w:val="0"/>
      <w:divBdr>
        <w:top w:val="none" w:sz="0" w:space="0" w:color="auto"/>
        <w:left w:val="none" w:sz="0" w:space="0" w:color="auto"/>
        <w:bottom w:val="none" w:sz="0" w:space="0" w:color="auto"/>
        <w:right w:val="none" w:sz="0" w:space="0" w:color="auto"/>
      </w:divBdr>
    </w:div>
    <w:div w:id="252203108">
      <w:bodyDiv w:val="1"/>
      <w:marLeft w:val="0"/>
      <w:marRight w:val="0"/>
      <w:marTop w:val="0"/>
      <w:marBottom w:val="0"/>
      <w:divBdr>
        <w:top w:val="none" w:sz="0" w:space="0" w:color="auto"/>
        <w:left w:val="none" w:sz="0" w:space="0" w:color="auto"/>
        <w:bottom w:val="none" w:sz="0" w:space="0" w:color="auto"/>
        <w:right w:val="none" w:sz="0" w:space="0" w:color="auto"/>
      </w:divBdr>
    </w:div>
    <w:div w:id="339039870">
      <w:bodyDiv w:val="1"/>
      <w:marLeft w:val="0"/>
      <w:marRight w:val="0"/>
      <w:marTop w:val="0"/>
      <w:marBottom w:val="0"/>
      <w:divBdr>
        <w:top w:val="none" w:sz="0" w:space="0" w:color="auto"/>
        <w:left w:val="none" w:sz="0" w:space="0" w:color="auto"/>
        <w:bottom w:val="none" w:sz="0" w:space="0" w:color="auto"/>
        <w:right w:val="none" w:sz="0" w:space="0" w:color="auto"/>
      </w:divBdr>
    </w:div>
    <w:div w:id="380179258">
      <w:bodyDiv w:val="1"/>
      <w:marLeft w:val="0"/>
      <w:marRight w:val="0"/>
      <w:marTop w:val="0"/>
      <w:marBottom w:val="0"/>
      <w:divBdr>
        <w:top w:val="none" w:sz="0" w:space="0" w:color="auto"/>
        <w:left w:val="none" w:sz="0" w:space="0" w:color="auto"/>
        <w:bottom w:val="none" w:sz="0" w:space="0" w:color="auto"/>
        <w:right w:val="none" w:sz="0" w:space="0" w:color="auto"/>
      </w:divBdr>
    </w:div>
    <w:div w:id="1081829893">
      <w:bodyDiv w:val="1"/>
      <w:marLeft w:val="0"/>
      <w:marRight w:val="0"/>
      <w:marTop w:val="0"/>
      <w:marBottom w:val="0"/>
      <w:divBdr>
        <w:top w:val="none" w:sz="0" w:space="0" w:color="auto"/>
        <w:left w:val="none" w:sz="0" w:space="0" w:color="auto"/>
        <w:bottom w:val="none" w:sz="0" w:space="0" w:color="auto"/>
        <w:right w:val="none" w:sz="0" w:space="0" w:color="auto"/>
      </w:divBdr>
    </w:div>
    <w:div w:id="1159729216">
      <w:bodyDiv w:val="1"/>
      <w:marLeft w:val="0"/>
      <w:marRight w:val="0"/>
      <w:marTop w:val="0"/>
      <w:marBottom w:val="0"/>
      <w:divBdr>
        <w:top w:val="none" w:sz="0" w:space="0" w:color="auto"/>
        <w:left w:val="none" w:sz="0" w:space="0" w:color="auto"/>
        <w:bottom w:val="none" w:sz="0" w:space="0" w:color="auto"/>
        <w:right w:val="none" w:sz="0" w:space="0" w:color="auto"/>
      </w:divBdr>
    </w:div>
    <w:div w:id="1207595836">
      <w:bodyDiv w:val="1"/>
      <w:marLeft w:val="0"/>
      <w:marRight w:val="0"/>
      <w:marTop w:val="0"/>
      <w:marBottom w:val="0"/>
      <w:divBdr>
        <w:top w:val="none" w:sz="0" w:space="0" w:color="auto"/>
        <w:left w:val="none" w:sz="0" w:space="0" w:color="auto"/>
        <w:bottom w:val="none" w:sz="0" w:space="0" w:color="auto"/>
        <w:right w:val="none" w:sz="0" w:space="0" w:color="auto"/>
      </w:divBdr>
    </w:div>
    <w:div w:id="1770152963">
      <w:bodyDiv w:val="1"/>
      <w:marLeft w:val="0"/>
      <w:marRight w:val="0"/>
      <w:marTop w:val="0"/>
      <w:marBottom w:val="0"/>
      <w:divBdr>
        <w:top w:val="none" w:sz="0" w:space="0" w:color="auto"/>
        <w:left w:val="none" w:sz="0" w:space="0" w:color="auto"/>
        <w:bottom w:val="none" w:sz="0" w:space="0" w:color="auto"/>
        <w:right w:val="none" w:sz="0" w:space="0" w:color="auto"/>
      </w:divBdr>
    </w:div>
    <w:div w:id="1848248496">
      <w:bodyDiv w:val="1"/>
      <w:marLeft w:val="0"/>
      <w:marRight w:val="0"/>
      <w:marTop w:val="0"/>
      <w:marBottom w:val="0"/>
      <w:divBdr>
        <w:top w:val="none" w:sz="0" w:space="0" w:color="auto"/>
        <w:left w:val="none" w:sz="0" w:space="0" w:color="auto"/>
        <w:bottom w:val="none" w:sz="0" w:space="0" w:color="auto"/>
        <w:right w:val="none" w:sz="0" w:space="0" w:color="auto"/>
      </w:divBdr>
    </w:div>
    <w:div w:id="1952592235">
      <w:bodyDiv w:val="1"/>
      <w:marLeft w:val="0"/>
      <w:marRight w:val="0"/>
      <w:marTop w:val="0"/>
      <w:marBottom w:val="0"/>
      <w:divBdr>
        <w:top w:val="none" w:sz="0" w:space="0" w:color="auto"/>
        <w:left w:val="none" w:sz="0" w:space="0" w:color="auto"/>
        <w:bottom w:val="none" w:sz="0" w:space="0" w:color="auto"/>
        <w:right w:val="none" w:sz="0" w:space="0" w:color="auto"/>
      </w:divBdr>
    </w:div>
    <w:div w:id="2013871185">
      <w:bodyDiv w:val="1"/>
      <w:marLeft w:val="0"/>
      <w:marRight w:val="0"/>
      <w:marTop w:val="0"/>
      <w:marBottom w:val="0"/>
      <w:divBdr>
        <w:top w:val="none" w:sz="0" w:space="0" w:color="auto"/>
        <w:left w:val="none" w:sz="0" w:space="0" w:color="auto"/>
        <w:bottom w:val="none" w:sz="0" w:space="0" w:color="auto"/>
        <w:right w:val="none" w:sz="0" w:space="0" w:color="auto"/>
      </w:divBdr>
    </w:div>
    <w:div w:id="2045787037">
      <w:bodyDiv w:val="1"/>
      <w:marLeft w:val="0"/>
      <w:marRight w:val="0"/>
      <w:marTop w:val="0"/>
      <w:marBottom w:val="0"/>
      <w:divBdr>
        <w:top w:val="none" w:sz="0" w:space="0" w:color="auto"/>
        <w:left w:val="none" w:sz="0" w:space="0" w:color="auto"/>
        <w:bottom w:val="none" w:sz="0" w:space="0" w:color="auto"/>
        <w:right w:val="none" w:sz="0" w:space="0" w:color="auto"/>
      </w:divBdr>
    </w:div>
    <w:div w:id="2115514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about-us/about-the-charity/our-strategy/statistics?utm_source=chatgpt.com" TargetMode="External"/><Relationship Id="rId18" Type="http://schemas.openxmlformats.org/officeDocument/2006/relationships/hyperlink" Target="https://www.england.nhs.uk/2025/05/nhs-initiative-helps-thousands-more-tackle-their-diabetes-risk/?utm_source=chatgpt.com" TargetMode="External"/><Relationship Id="rId3" Type="http://schemas.openxmlformats.org/officeDocument/2006/relationships/styles" Target="styles.xml"/><Relationship Id="rId21" Type="http://schemas.openxmlformats.org/officeDocument/2006/relationships/hyperlink" Target="https://www.jmir.org/2025/1/e66441/?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ngland.nhs.uk/2024/06/nhs-identifies-over-half-a-million-more-people-at-risk-of-type-2-diabetes-in-a-year/?utm_source=chatgpt.com" TargetMode="External"/><Relationship Id="rId2" Type="http://schemas.openxmlformats.org/officeDocument/2006/relationships/numbering" Target="numbering.xml"/><Relationship Id="rId16" Type="http://schemas.openxmlformats.org/officeDocument/2006/relationships/hyperlink" Target="https://www.frontiersin.org/journals/endocrinology/articles/10.3389/fendo.2025.1761579/full?utm_source=chatgpt.com" TargetMode="External"/><Relationship Id="rId20" Type="http://schemas.openxmlformats.org/officeDocument/2006/relationships/hyperlink" Target="https://en.wikipedia.org/wiki/Cellular_respiration?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227-9032/12/5/571?utm_source=chatgpt.com"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cks.nice.org.uk/topics/diabetes-type-2/background-information/risk-factor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abs/pii/S0168822725004723?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F57C9-5E23-48EF-A002-55244A6D6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3216</Words>
  <Characters>18334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Munaza sakindar</dc:creator>
  <cp:keywords/>
  <dc:description/>
  <cp:lastModifiedBy>Munaza Sakindar</cp:lastModifiedBy>
  <cp:revision>2</cp:revision>
  <dcterms:created xsi:type="dcterms:W3CDTF">2026-02-14T12:40:00Z</dcterms:created>
  <dcterms:modified xsi:type="dcterms:W3CDTF">2026-02-14T12:40:00Z</dcterms:modified>
</cp:coreProperties>
</file>