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pStyle w:val="2"/>
        <w:spacing w:line="360" w:lineRule="auto"/>
        <w:jc w:val="both"/>
        <w:rPr>
          <w:rFonts w:ascii="Arial" w:hAnsi="Arial" w:eastAsia="Arial" w:cs="Arial"/>
          <w:color w:val="000000"/>
          <w:sz w:val="24"/>
          <w:szCs w:val="24"/>
        </w:rPr>
      </w:pPr>
      <w:r>
        <w:rPr>
          <w:rFonts w:ascii="Arial" w:hAnsi="Arial" w:eastAsia="Arial" w:cs="Arial"/>
          <w:color w:val="000000"/>
          <w:sz w:val="24"/>
          <w:szCs w:val="24"/>
          <w:rtl w:val="0"/>
        </w:rPr>
        <w:t>Research Proposal:</w:t>
      </w:r>
    </w:p>
    <w:p w14:paraId="00000002">
      <w:pPr>
        <w:pStyle w:val="2"/>
        <w:spacing w:line="360" w:lineRule="auto"/>
        <w:jc w:val="both"/>
        <w:rPr>
          <w:rFonts w:ascii="Arial" w:hAnsi="Arial" w:eastAsia="Arial" w:cs="Arial"/>
          <w:color w:val="000000"/>
          <w:sz w:val="24"/>
          <w:szCs w:val="24"/>
        </w:rPr>
      </w:pPr>
      <w:r>
        <w:rPr>
          <w:rFonts w:ascii="Arial" w:hAnsi="Arial" w:eastAsia="Arial" w:cs="Arial"/>
          <w:b/>
          <w:color w:val="000000"/>
          <w:sz w:val="24"/>
          <w:szCs w:val="24"/>
          <w:rtl w:val="0"/>
        </w:rPr>
        <w:t>Project Title:</w:t>
      </w:r>
      <w:r>
        <w:rPr>
          <w:rFonts w:ascii="Arial" w:hAnsi="Arial" w:eastAsia="Arial" w:cs="Arial"/>
          <w:color w:val="000000"/>
          <w:sz w:val="24"/>
          <w:szCs w:val="24"/>
          <w:rtl w:val="0"/>
        </w:rPr>
        <w:t xml:space="preserve"> </w:t>
      </w:r>
      <w:r>
        <w:rPr>
          <w:rFonts w:ascii="Arial" w:hAnsi="Arial" w:eastAsia="Arial" w:cs="Arial"/>
          <w:b/>
          <w:i/>
          <w:color w:val="000000"/>
          <w:sz w:val="24"/>
          <w:szCs w:val="24"/>
          <w:rtl w:val="0"/>
        </w:rPr>
        <w:t>Understanding NHS Workforce Pressures: Staff Perceptions of Burnout, Morale, and Retention – A Secondary Research Study.</w:t>
      </w:r>
    </w:p>
    <w:p w14:paraId="00000003">
      <w:pPr>
        <w:spacing w:line="360" w:lineRule="auto"/>
        <w:jc w:val="both"/>
        <w:rPr>
          <w:rFonts w:ascii="Arial" w:hAnsi="Arial" w:eastAsia="Arial" w:cs="Arial"/>
          <w:b/>
          <w:i/>
          <w:sz w:val="24"/>
          <w:szCs w:val="24"/>
        </w:rPr>
      </w:pPr>
    </w:p>
    <w:p w14:paraId="00000004">
      <w:pPr>
        <w:spacing w:line="360" w:lineRule="auto"/>
        <w:jc w:val="both"/>
        <w:rPr>
          <w:rFonts w:ascii="Arial" w:hAnsi="Arial" w:eastAsia="Arial" w:cs="Arial"/>
          <w:sz w:val="24"/>
          <w:szCs w:val="24"/>
        </w:rPr>
      </w:pPr>
      <w:r>
        <w:rPr>
          <w:rFonts w:ascii="Arial" w:hAnsi="Arial" w:eastAsia="Arial" w:cs="Arial"/>
          <w:sz w:val="24"/>
          <w:szCs w:val="24"/>
          <w:rtl w:val="0"/>
        </w:rPr>
        <w:t>The NHS is experiencing a severe workforce crisis characterised by staff shortages, increasing service demands, and financial pressures (NHS England, 2023). The COVID-19 pandemic further intensified these challenges, heightening workloads and psychological strain among healthcare workers (NHS Staff Survey, 2023). Despite ongoing initiatives, many NHS employees continue to face burnout, reduced morale, and intentions to leave the profession. This study will conduct secondary research to analyse existing evidence on staff perceptions of burnout, morale, and retention, aiming to identify key challenges and gaps in current understanding (King’s Fund, 2022).</w:t>
      </w:r>
    </w:p>
    <w:p w14:paraId="00000005">
      <w:pPr>
        <w:spacing w:line="360" w:lineRule="auto"/>
        <w:jc w:val="both"/>
        <w:rPr>
          <w:rFonts w:ascii="Arial" w:hAnsi="Arial" w:eastAsia="Arial" w:cs="Arial"/>
          <w:b/>
          <w:i/>
          <w:sz w:val="24"/>
          <w:szCs w:val="24"/>
        </w:rPr>
      </w:pPr>
    </w:p>
    <w:p w14:paraId="00000006">
      <w:pPr>
        <w:pStyle w:val="3"/>
        <w:spacing w:line="360" w:lineRule="auto"/>
        <w:jc w:val="both"/>
        <w:rPr>
          <w:rFonts w:ascii="Arial" w:hAnsi="Arial" w:eastAsia="Arial" w:cs="Arial"/>
          <w:color w:val="000000"/>
          <w:sz w:val="24"/>
          <w:szCs w:val="24"/>
        </w:rPr>
      </w:pPr>
      <w:r>
        <w:rPr>
          <w:rFonts w:ascii="Arial" w:hAnsi="Arial" w:eastAsia="Arial" w:cs="Arial"/>
          <w:color w:val="000000"/>
          <w:sz w:val="24"/>
          <w:szCs w:val="24"/>
          <w:rtl w:val="0"/>
        </w:rPr>
        <w:t>1) Aim:</w:t>
      </w:r>
    </w:p>
    <w:p w14:paraId="00000007">
      <w:pPr>
        <w:spacing w:line="360" w:lineRule="auto"/>
        <w:jc w:val="both"/>
        <w:rPr>
          <w:rFonts w:ascii="Arial" w:hAnsi="Arial" w:eastAsia="Arial" w:cs="Arial"/>
          <w:sz w:val="24"/>
          <w:szCs w:val="24"/>
        </w:rPr>
      </w:pPr>
      <w:r>
        <w:rPr>
          <w:rFonts w:ascii="Arial" w:hAnsi="Arial" w:eastAsia="Arial" w:cs="Arial"/>
          <w:sz w:val="24"/>
          <w:szCs w:val="24"/>
          <w:rtl w:val="0"/>
        </w:rPr>
        <w:t>The primary aim of this research is to critically analyse secondary evidence on NHS workforce pressures, focusing on staff perceptions of burnout, morale, and retention. The study seeks to consolidate existing findings from academic literature, surveys, and policy reports to understand key factors affecting staff wellbeing and workforce sustainability within the NHS.</w:t>
      </w:r>
    </w:p>
    <w:p w14:paraId="00000008">
      <w:pPr>
        <w:spacing w:line="360" w:lineRule="auto"/>
        <w:jc w:val="both"/>
        <w:rPr>
          <w:rFonts w:ascii="Arial" w:hAnsi="Arial" w:eastAsia="Arial" w:cs="Arial"/>
          <w:sz w:val="24"/>
          <w:szCs w:val="24"/>
        </w:rPr>
      </w:pPr>
    </w:p>
    <w:p w14:paraId="00000009">
      <w:pPr>
        <w:pStyle w:val="3"/>
        <w:spacing w:line="360" w:lineRule="auto"/>
        <w:jc w:val="both"/>
        <w:rPr>
          <w:rFonts w:ascii="Arial" w:hAnsi="Arial" w:eastAsia="Arial" w:cs="Arial"/>
          <w:color w:val="000000"/>
          <w:sz w:val="24"/>
          <w:szCs w:val="24"/>
        </w:rPr>
      </w:pPr>
      <w:r>
        <w:rPr>
          <w:rFonts w:ascii="Arial" w:hAnsi="Arial" w:eastAsia="Arial" w:cs="Arial"/>
          <w:color w:val="000000"/>
          <w:sz w:val="24"/>
          <w:szCs w:val="24"/>
          <w:rtl w:val="0"/>
        </w:rPr>
        <w:t>2) Objectives:</w:t>
      </w:r>
    </w:p>
    <w:p w14:paraId="0000000A">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Define and examine the nature and causes of NHS workforce pressures as identified in secondary research.</w:t>
      </w:r>
    </w:p>
    <w:p w14:paraId="0000000B">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Analyse how staff perceptions of burnout and its impacts are reported in surveys, reports, and academic studies.</w:t>
      </w:r>
    </w:p>
    <w:p w14:paraId="0000000C">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Evaluate the evidence on morale, organisational culture, and their relationship with staff retention and performance.</w:t>
      </w:r>
    </w:p>
    <w:p w14:paraId="0000000D">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Provide recommendations for improving staff wellbeing, morale, and retention strategies within the NHS, based on identified research gaps.</w:t>
      </w:r>
    </w:p>
    <w:p w14:paraId="0000000E">
      <w:pPr>
        <w:spacing w:line="360" w:lineRule="auto"/>
        <w:jc w:val="both"/>
        <w:rPr>
          <w:rFonts w:ascii="Arial" w:hAnsi="Arial" w:eastAsia="Arial" w:cs="Arial"/>
          <w:sz w:val="24"/>
          <w:szCs w:val="24"/>
        </w:rPr>
      </w:pPr>
      <w:r>
        <w:rPr>
          <w:rFonts w:ascii="Arial" w:hAnsi="Arial" w:eastAsia="Arial" w:cs="Arial"/>
          <w:sz w:val="24"/>
          <w:szCs w:val="24"/>
          <w:rtl w:val="0"/>
        </w:rPr>
        <w:t>These objectives will guide a structured review of existing sources to develop a comprehensive understanding of current workforce challenges.</w:t>
      </w:r>
    </w:p>
    <w:p w14:paraId="0000000F">
      <w:pPr>
        <w:spacing w:line="360" w:lineRule="auto"/>
        <w:jc w:val="both"/>
        <w:rPr>
          <w:rFonts w:ascii="Arial" w:hAnsi="Arial" w:eastAsia="Arial" w:cs="Arial"/>
          <w:sz w:val="24"/>
          <w:szCs w:val="24"/>
        </w:rPr>
      </w:pPr>
    </w:p>
    <w:p w14:paraId="00000010">
      <w:pPr>
        <w:spacing w:line="360" w:lineRule="auto"/>
        <w:jc w:val="both"/>
        <w:rPr>
          <w:rFonts w:ascii="Arial" w:hAnsi="Arial" w:eastAsia="Arial" w:cs="Arial"/>
          <w:sz w:val="24"/>
          <w:szCs w:val="24"/>
        </w:rPr>
      </w:pPr>
    </w:p>
    <w:p w14:paraId="00000011">
      <w:pPr>
        <w:pStyle w:val="3"/>
        <w:spacing w:line="360" w:lineRule="auto"/>
        <w:jc w:val="both"/>
        <w:rPr>
          <w:rFonts w:ascii="Arial" w:hAnsi="Arial" w:eastAsia="Arial" w:cs="Arial"/>
          <w:color w:val="000000"/>
          <w:sz w:val="24"/>
          <w:szCs w:val="24"/>
        </w:rPr>
      </w:pPr>
      <w:r>
        <w:rPr>
          <w:rFonts w:ascii="Arial" w:hAnsi="Arial" w:eastAsia="Arial" w:cs="Arial"/>
          <w:color w:val="000000"/>
          <w:sz w:val="24"/>
          <w:szCs w:val="24"/>
          <w:rtl w:val="0"/>
        </w:rPr>
        <w:t>3) Background/Rationale:</w:t>
      </w:r>
    </w:p>
    <w:p w14:paraId="00000012">
      <w:pPr>
        <w:spacing w:line="360" w:lineRule="auto"/>
        <w:jc w:val="both"/>
        <w:rPr>
          <w:rFonts w:ascii="Arial" w:hAnsi="Arial" w:eastAsia="Arial" w:cs="Arial"/>
          <w:sz w:val="24"/>
          <w:szCs w:val="24"/>
        </w:rPr>
      </w:pPr>
      <w:r>
        <w:rPr>
          <w:rFonts w:ascii="Arial" w:hAnsi="Arial" w:eastAsia="Arial" w:cs="Arial"/>
          <w:sz w:val="24"/>
          <w:szCs w:val="24"/>
          <w:rtl w:val="0"/>
        </w:rPr>
        <w:t>The NHS faces a critical workforce crisis characterised by staff shortages, increasing workload, and declining morale. The NHS Long Term Workforce Plan (NHS England, 2023) highlights the need to expand the workforce and improve retention. Despite such initiatives, many NHS professionals continue to report burnout and job dissatisfaction (NHS Staff Survey, 2023). The COVID-19 pandemic intensified these challenges, exposing vulnerabilities in workforce wellbeing and organisational support systems. While numerous reports and studies explore workforce issues, the evidence remains fragmented across different sources. This research is significant as it synthesises secondary data to provide an integrated understanding of staff experiences, identifying key factors influencing burnout, morale, and retention. The findings will help inform future workforce strategies aimed at improving staff wellbeing and patient care outcomes within the NHS.</w:t>
      </w:r>
    </w:p>
    <w:p w14:paraId="00000013">
      <w:pPr>
        <w:spacing w:line="360" w:lineRule="auto"/>
        <w:jc w:val="both"/>
        <w:rPr>
          <w:rFonts w:ascii="Arial" w:hAnsi="Arial" w:eastAsia="Arial" w:cs="Arial"/>
          <w:sz w:val="24"/>
          <w:szCs w:val="24"/>
        </w:rPr>
      </w:pPr>
    </w:p>
    <w:p w14:paraId="00000014">
      <w:pPr>
        <w:spacing w:line="360" w:lineRule="auto"/>
        <w:jc w:val="both"/>
        <w:rPr>
          <w:rFonts w:ascii="Arial" w:hAnsi="Arial" w:eastAsia="Arial" w:cs="Arial"/>
          <w:sz w:val="24"/>
          <w:szCs w:val="24"/>
        </w:rPr>
      </w:pPr>
    </w:p>
    <w:p w14:paraId="00000015">
      <w:pPr>
        <w:spacing w:line="360" w:lineRule="auto"/>
        <w:jc w:val="both"/>
        <w:rPr>
          <w:rFonts w:ascii="Arial" w:hAnsi="Arial" w:eastAsia="Arial" w:cs="Arial"/>
          <w:sz w:val="24"/>
          <w:szCs w:val="24"/>
        </w:rPr>
      </w:pPr>
    </w:p>
    <w:p w14:paraId="00000016">
      <w:pPr>
        <w:spacing w:line="360" w:lineRule="auto"/>
        <w:jc w:val="both"/>
        <w:rPr>
          <w:rFonts w:ascii="Arial" w:hAnsi="Arial" w:eastAsia="Arial" w:cs="Arial"/>
          <w:sz w:val="24"/>
          <w:szCs w:val="24"/>
        </w:rPr>
      </w:pPr>
    </w:p>
    <w:p w14:paraId="00000017">
      <w:pPr>
        <w:pStyle w:val="3"/>
        <w:spacing w:line="360" w:lineRule="auto"/>
        <w:jc w:val="both"/>
        <w:rPr>
          <w:rFonts w:ascii="Arial" w:hAnsi="Arial" w:eastAsia="Arial" w:cs="Arial"/>
          <w:color w:val="000000"/>
          <w:sz w:val="24"/>
          <w:szCs w:val="24"/>
        </w:rPr>
      </w:pPr>
      <w:r>
        <w:rPr>
          <w:rFonts w:ascii="Arial" w:hAnsi="Arial" w:eastAsia="Arial" w:cs="Arial"/>
          <w:color w:val="000000"/>
          <w:sz w:val="24"/>
          <w:szCs w:val="24"/>
          <w:rtl w:val="0"/>
        </w:rPr>
        <w:t>4) Methods:</w:t>
      </w:r>
    </w:p>
    <w:p w14:paraId="00000018">
      <w:pPr>
        <w:spacing w:line="360" w:lineRule="auto"/>
        <w:jc w:val="both"/>
        <w:rPr>
          <w:rFonts w:ascii="Arial" w:hAnsi="Arial" w:eastAsia="Arial" w:cs="Arial"/>
          <w:sz w:val="24"/>
          <w:szCs w:val="24"/>
        </w:rPr>
      </w:pPr>
      <w:r>
        <w:rPr>
          <w:rFonts w:ascii="Arial" w:hAnsi="Arial" w:eastAsia="Arial" w:cs="Arial"/>
          <w:sz w:val="24"/>
          <w:szCs w:val="24"/>
          <w:rtl w:val="0"/>
        </w:rPr>
        <w:t>This study will employ a secondary research approach using academic journals, NHS reports, and policy documents. Sources will be selected based on relevance, credibility, and publication within the last decade (2015–2024). A structured search using databases such as PubMed, Scopus, and CINAHL will identify studies focused on NHS staff experiences. Thematic synthesis (Thomas &amp; Harden, 2008) will be used to analyse recurring themes such as burnout, morale, and retention. Ethical considerations include proper citation, transparency in interpretation, and adherence to academic integrity by avoiding plagiarism and respecting copyright guidelines.</w:t>
      </w:r>
    </w:p>
    <w:p w14:paraId="00000019">
      <w:pPr>
        <w:spacing w:line="360" w:lineRule="auto"/>
        <w:jc w:val="both"/>
        <w:rPr>
          <w:rFonts w:ascii="Arial" w:hAnsi="Arial" w:eastAsia="Arial" w:cs="Arial"/>
          <w:sz w:val="24"/>
          <w:szCs w:val="24"/>
        </w:rPr>
      </w:pPr>
    </w:p>
    <w:p w14:paraId="0000001A">
      <w:pPr>
        <w:pStyle w:val="3"/>
        <w:spacing w:line="360" w:lineRule="auto"/>
        <w:jc w:val="both"/>
        <w:rPr>
          <w:rFonts w:ascii="Arial" w:hAnsi="Arial" w:eastAsia="Arial" w:cs="Arial"/>
          <w:color w:val="000000"/>
          <w:sz w:val="24"/>
          <w:szCs w:val="24"/>
        </w:rPr>
      </w:pPr>
      <w:r>
        <w:rPr>
          <w:rFonts w:ascii="Arial" w:hAnsi="Arial" w:eastAsia="Arial" w:cs="Arial"/>
          <w:color w:val="000000"/>
          <w:sz w:val="24"/>
          <w:szCs w:val="24"/>
          <w:rtl w:val="0"/>
        </w:rPr>
        <w:t>5) Resources:</w:t>
      </w:r>
    </w:p>
    <w:p w14:paraId="0000001B">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NHS Digital and NHS England online databases</w:t>
      </w:r>
    </w:p>
    <w:p w14:paraId="0000001C">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Academic databases: PubMed, Scopus, CINAHL</w:t>
      </w:r>
    </w:p>
    <w:p w14:paraId="0000001D">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University library resources</w:t>
      </w:r>
    </w:p>
    <w:p w14:paraId="0000001E">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Microsoft Word/Excel for analysis</w:t>
      </w:r>
    </w:p>
    <w:p w14:paraId="0000001F">
      <w:pPr>
        <w:spacing w:line="360" w:lineRule="auto"/>
        <w:jc w:val="both"/>
        <w:rPr>
          <w:rFonts w:ascii="Arial" w:hAnsi="Arial" w:eastAsia="Arial" w:cs="Arial"/>
          <w:sz w:val="24"/>
          <w:szCs w:val="24"/>
        </w:rPr>
      </w:pPr>
    </w:p>
    <w:p w14:paraId="00000020">
      <w:pPr>
        <w:pStyle w:val="3"/>
        <w:spacing w:line="360" w:lineRule="auto"/>
        <w:jc w:val="both"/>
        <w:rPr>
          <w:rFonts w:ascii="Arial" w:hAnsi="Arial" w:eastAsia="Arial" w:cs="Arial"/>
          <w:color w:val="000000"/>
          <w:sz w:val="24"/>
          <w:szCs w:val="24"/>
        </w:rPr>
      </w:pPr>
      <w:r>
        <w:rPr>
          <w:rFonts w:ascii="Arial" w:hAnsi="Arial" w:eastAsia="Arial" w:cs="Arial"/>
          <w:color w:val="000000"/>
          <w:sz w:val="24"/>
          <w:szCs w:val="24"/>
          <w:rtl w:val="0"/>
        </w:rPr>
        <w:t>6) Timescale:</w:t>
      </w:r>
    </w:p>
    <w:p w14:paraId="00000021">
      <w:pPr>
        <w:keepNext w:val="0"/>
        <w:keepLines w:val="0"/>
        <w:pageBreakBefore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Weeks 1–2: Literature search and selection</w:t>
      </w:r>
    </w:p>
    <w:p w14:paraId="00000022">
      <w:pPr>
        <w:keepNext w:val="0"/>
        <w:keepLines w:val="0"/>
        <w:pageBreakBefore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Weeks 3–4: Thematic analysis</w:t>
      </w:r>
    </w:p>
    <w:p w14:paraId="00000023">
      <w:pPr>
        <w:keepNext w:val="0"/>
        <w:keepLines w:val="0"/>
        <w:pageBreakBefore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Weeks 5–6: Drafting findings</w:t>
      </w:r>
    </w:p>
    <w:p w14:paraId="00000024">
      <w:pPr>
        <w:keepNext w:val="0"/>
        <w:keepLines w:val="0"/>
        <w:pageBreakBefore w:val="0"/>
        <w:widowControl/>
        <w:numPr>
          <w:ilvl w:val="0"/>
          <w:numId w:val="3"/>
        </w:numPr>
        <w:pBdr>
          <w:top w:val="none" w:color="auto" w:sz="0" w:space="0"/>
          <w:left w:val="none" w:color="auto" w:sz="0" w:space="0"/>
          <w:bottom w:val="none" w:color="auto" w:sz="0" w:space="0"/>
          <w:right w:val="none" w:color="auto" w:sz="0" w:space="0"/>
          <w:between w:val="none" w:color="auto" w:sz="0" w:space="0"/>
        </w:pBdr>
        <w:shd w:val="clear" w:fill="auto"/>
        <w:spacing w:before="0" w:after="200" w:line="360" w:lineRule="auto"/>
        <w:ind w:left="720" w:right="0" w:hanging="360"/>
        <w:jc w:val="both"/>
        <w:rPr>
          <w:b w:val="0"/>
          <w:i w:val="0"/>
          <w:smallCaps w:val="0"/>
          <w:strike w:val="0"/>
          <w:color w:val="000000"/>
          <w:sz w:val="24"/>
          <w:szCs w:val="24"/>
          <w:u w:val="none"/>
          <w:shd w:val="clear" w:fill="auto"/>
          <w:vertAlign w:val="baseline"/>
        </w:rPr>
      </w:pPr>
      <w:r>
        <w:rPr>
          <w:rFonts w:ascii="Arial" w:hAnsi="Arial" w:eastAsia="Arial" w:cs="Arial"/>
          <w:b w:val="0"/>
          <w:i w:val="0"/>
          <w:smallCaps w:val="0"/>
          <w:strike w:val="0"/>
          <w:color w:val="000000"/>
          <w:sz w:val="24"/>
          <w:szCs w:val="24"/>
          <w:u w:val="none"/>
          <w:shd w:val="clear" w:fill="auto"/>
          <w:vertAlign w:val="baseline"/>
          <w:rtl w:val="0"/>
        </w:rPr>
        <w:t>Weeks 7–8: Final review and proofreading</w:t>
      </w:r>
    </w:p>
    <w:p w14:paraId="00000025">
      <w:pPr>
        <w:spacing w:line="360" w:lineRule="auto"/>
        <w:jc w:val="both"/>
        <w:rPr>
          <w:rFonts w:ascii="Arial" w:hAnsi="Arial" w:eastAsia="Arial" w:cs="Arial"/>
          <w:sz w:val="24"/>
          <w:szCs w:val="24"/>
        </w:rPr>
      </w:pPr>
    </w:p>
    <w:p w14:paraId="00000026">
      <w:pPr>
        <w:pStyle w:val="3"/>
        <w:spacing w:line="360" w:lineRule="auto"/>
        <w:jc w:val="both"/>
        <w:rPr>
          <w:rFonts w:ascii="Arial" w:hAnsi="Arial" w:eastAsia="Arial" w:cs="Arial"/>
          <w:color w:val="000000"/>
          <w:sz w:val="24"/>
          <w:szCs w:val="24"/>
        </w:rPr>
      </w:pPr>
      <w:r>
        <w:rPr>
          <w:rFonts w:ascii="Arial" w:hAnsi="Arial" w:eastAsia="Arial" w:cs="Arial"/>
          <w:color w:val="000000"/>
          <w:sz w:val="24"/>
          <w:szCs w:val="24"/>
          <w:rtl w:val="0"/>
        </w:rPr>
        <w:t>7) Self-reflection as researcher:</w:t>
      </w:r>
    </w:p>
    <w:p w14:paraId="00000027">
      <w:pPr>
        <w:spacing w:line="360" w:lineRule="auto"/>
        <w:jc w:val="both"/>
        <w:rPr>
          <w:rFonts w:ascii="Arial" w:hAnsi="Arial" w:eastAsia="Arial" w:cs="Arial"/>
          <w:sz w:val="24"/>
          <w:szCs w:val="24"/>
        </w:rPr>
      </w:pPr>
      <w:r>
        <w:rPr>
          <w:rFonts w:ascii="Arial" w:hAnsi="Arial" w:eastAsia="Arial" w:cs="Arial"/>
          <w:sz w:val="24"/>
          <w:szCs w:val="24"/>
          <w:rtl w:val="0"/>
        </w:rPr>
        <w:t>My strengths include strong analytical skills and familiarity with academic research. However, synthesising large amounts of secondary data may be challenging. I aim to enhance my critical appraisal and thematic analysis skills through this project while improving time management and academic writing proficiency during the research process.</w:t>
      </w:r>
    </w:p>
    <w:p w14:paraId="00000028">
      <w:pPr>
        <w:spacing w:line="360" w:lineRule="auto"/>
        <w:jc w:val="both"/>
        <w:rPr>
          <w:rFonts w:ascii="Arial" w:hAnsi="Arial" w:eastAsia="Arial" w:cs="Arial"/>
          <w:b/>
          <w:sz w:val="24"/>
          <w:szCs w:val="24"/>
        </w:rPr>
      </w:pPr>
    </w:p>
    <w:p w14:paraId="00000029">
      <w:pPr>
        <w:pStyle w:val="3"/>
        <w:spacing w:line="360" w:lineRule="auto"/>
        <w:jc w:val="both"/>
        <w:rPr>
          <w:rFonts w:ascii="Arial" w:hAnsi="Arial" w:eastAsia="Arial" w:cs="Arial"/>
          <w:b/>
          <w:color w:val="000000"/>
          <w:sz w:val="24"/>
          <w:szCs w:val="24"/>
        </w:rPr>
      </w:pPr>
      <w:r>
        <w:rPr>
          <w:rFonts w:ascii="Arial" w:hAnsi="Arial" w:eastAsia="Arial" w:cs="Arial"/>
          <w:b/>
          <w:color w:val="000000"/>
          <w:sz w:val="24"/>
          <w:szCs w:val="24"/>
          <w:rtl w:val="0"/>
        </w:rPr>
        <w:t>References:</w:t>
      </w:r>
    </w:p>
    <w:p w14:paraId="0000002A">
      <w:pPr>
        <w:rPr>
          <w:rFonts w:ascii="Arial" w:hAnsi="Arial" w:eastAsia="Arial" w:cs="Arial"/>
          <w:sz w:val="24"/>
          <w:szCs w:val="24"/>
        </w:rPr>
      </w:pPr>
    </w:p>
    <w:p w14:paraId="0000002B">
      <w:pPr>
        <w:spacing w:line="360" w:lineRule="auto"/>
        <w:jc w:val="both"/>
        <w:rPr>
          <w:rFonts w:ascii="Arial" w:hAnsi="Arial" w:eastAsia="Arial" w:cs="Arial"/>
          <w:sz w:val="24"/>
          <w:szCs w:val="24"/>
        </w:rPr>
      </w:pPr>
      <w:r>
        <w:rPr>
          <w:rFonts w:ascii="Arial" w:hAnsi="Arial" w:eastAsia="Arial" w:cs="Arial"/>
          <w:sz w:val="24"/>
          <w:szCs w:val="24"/>
          <w:rtl w:val="0"/>
        </w:rPr>
        <w:t>King’s Fund. (2022) NHS workforce: recruitment, retention and staff wellbeing. Available at: https://www.kingsfund.org.uk/ (Accessed: 6 October 2025).</w:t>
      </w:r>
    </w:p>
    <w:p w14:paraId="0000002C">
      <w:pPr>
        <w:spacing w:line="360" w:lineRule="auto"/>
        <w:jc w:val="both"/>
        <w:rPr>
          <w:rFonts w:ascii="Arial" w:hAnsi="Arial" w:eastAsia="Arial" w:cs="Arial"/>
          <w:sz w:val="24"/>
          <w:szCs w:val="24"/>
        </w:rPr>
      </w:pPr>
      <w:r>
        <w:rPr>
          <w:rFonts w:ascii="Arial" w:hAnsi="Arial" w:eastAsia="Arial" w:cs="Arial"/>
          <w:sz w:val="24"/>
          <w:szCs w:val="24"/>
          <w:rtl w:val="0"/>
        </w:rPr>
        <w:t>Maslach, C. and Leiter, M. P. (2016) ‘Burnout’, in Stress: Concepts, Cognition, Emotion, and Behavior. Elsevier.</w:t>
      </w:r>
    </w:p>
    <w:p w14:paraId="0000002D">
      <w:pPr>
        <w:spacing w:line="360" w:lineRule="auto"/>
        <w:jc w:val="both"/>
        <w:rPr>
          <w:rFonts w:ascii="Arial" w:hAnsi="Arial" w:eastAsia="Arial" w:cs="Arial"/>
          <w:sz w:val="24"/>
          <w:szCs w:val="24"/>
        </w:rPr>
      </w:pPr>
      <w:r>
        <w:rPr>
          <w:rFonts w:ascii="Arial" w:hAnsi="Arial" w:eastAsia="Arial" w:cs="Arial"/>
          <w:sz w:val="24"/>
          <w:szCs w:val="24"/>
          <w:rtl w:val="0"/>
        </w:rPr>
        <w:t>NHS Digital. (2023) NHS Vacancy Statistics. Available at: https://digital.nhs.uk/ (Accessed: 6 October 2025).</w:t>
      </w:r>
    </w:p>
    <w:p w14:paraId="0000002E">
      <w:pPr>
        <w:spacing w:line="360" w:lineRule="auto"/>
        <w:jc w:val="both"/>
        <w:rPr>
          <w:rFonts w:ascii="Arial" w:hAnsi="Arial" w:eastAsia="Arial" w:cs="Arial"/>
          <w:sz w:val="24"/>
          <w:szCs w:val="24"/>
        </w:rPr>
      </w:pPr>
      <w:r>
        <w:rPr>
          <w:rFonts w:ascii="Arial" w:hAnsi="Arial" w:eastAsia="Arial" w:cs="Arial"/>
          <w:sz w:val="24"/>
          <w:szCs w:val="24"/>
          <w:rtl w:val="0"/>
        </w:rPr>
        <w:t>NHS England. (2023) NHS Long Term Workforce Plan. Available at: https://www.england.nhs.uk/ (Accessed: 6 October 2025).</w:t>
      </w:r>
    </w:p>
    <w:p w14:paraId="0000002F">
      <w:pPr>
        <w:spacing w:line="360" w:lineRule="auto"/>
        <w:jc w:val="both"/>
        <w:rPr>
          <w:rFonts w:ascii="Arial" w:hAnsi="Arial" w:eastAsia="Arial" w:cs="Arial"/>
          <w:sz w:val="24"/>
          <w:szCs w:val="24"/>
        </w:rPr>
      </w:pPr>
      <w:r>
        <w:rPr>
          <w:rFonts w:ascii="Arial" w:hAnsi="Arial" w:eastAsia="Arial" w:cs="Arial"/>
          <w:sz w:val="24"/>
          <w:szCs w:val="24"/>
          <w:rtl w:val="0"/>
        </w:rPr>
        <w:t>NHS Staff Survey. (2023) National Results Briefing. Available at: https://www.nhsstaffsurveys.com/ (Accessed: 6 October 2025).</w:t>
      </w:r>
    </w:p>
    <w:p w14:paraId="00000030">
      <w:pPr>
        <w:spacing w:line="360" w:lineRule="auto"/>
        <w:jc w:val="both"/>
        <w:rPr>
          <w:rFonts w:ascii="Arial" w:hAnsi="Arial" w:eastAsia="Arial" w:cs="Arial"/>
          <w:sz w:val="24"/>
          <w:szCs w:val="24"/>
        </w:rPr>
      </w:pPr>
      <w:r>
        <w:rPr>
          <w:rFonts w:ascii="Arial" w:hAnsi="Arial" w:eastAsia="Arial" w:cs="Arial"/>
          <w:sz w:val="24"/>
          <w:szCs w:val="24"/>
          <w:rtl w:val="0"/>
        </w:rPr>
        <w:t>Thomas, J. and Harden, A. (2008) ‘Methods for the thematic synthesis of qualitative research in systematic reviews’, BMC Medical Research Methodology, 8(45), pp. 1–10.</w:t>
      </w:r>
    </w:p>
    <w:p w14:paraId="00000031">
      <w:pPr>
        <w:spacing w:line="360" w:lineRule="auto"/>
        <w:jc w:val="both"/>
        <w:rPr>
          <w:rFonts w:ascii="Arial" w:hAnsi="Arial" w:eastAsia="Arial" w:cs="Arial"/>
          <w:sz w:val="24"/>
          <w:szCs w:val="24"/>
        </w:rPr>
      </w:pPr>
      <w:r>
        <w:rPr>
          <w:rFonts w:ascii="Arial" w:hAnsi="Arial" w:eastAsia="Arial" w:cs="Arial"/>
          <w:sz w:val="24"/>
          <w:szCs w:val="24"/>
          <w:rtl w:val="0"/>
        </w:rPr>
        <w:t>West, M. and Coia, D. (2019) Caring for doctors, caring for patients. London: General Medical Council.</w:t>
      </w:r>
    </w:p>
    <w:p w14:paraId="00000032">
      <w:pPr>
        <w:spacing w:line="360" w:lineRule="auto"/>
        <w:jc w:val="both"/>
        <w:rPr>
          <w:rFonts w:ascii="Arial" w:hAnsi="Arial" w:eastAsia="Arial" w:cs="Arial"/>
          <w:sz w:val="24"/>
          <w:szCs w:val="24"/>
        </w:rPr>
      </w:pPr>
      <w:r>
        <w:rPr>
          <w:rFonts w:ascii="Arial" w:hAnsi="Arial" w:eastAsia="Arial" w:cs="Arial"/>
          <w:sz w:val="24"/>
          <w:szCs w:val="24"/>
          <w:rtl w:val="0"/>
        </w:rPr>
        <w:t>West, M. et al. (2020) The courage of compassion: Supporting nurses and midwives to deliver high-quality care. London: The King’s Fund.</w:t>
      </w:r>
    </w:p>
    <w:p w14:paraId="00000033">
      <w:pPr>
        <w:rPr>
          <w:rFonts w:ascii="Arial" w:hAnsi="Arial" w:eastAsia="Arial" w:cs="Arial"/>
          <w:sz w:val="24"/>
          <w:szCs w:val="24"/>
        </w:rPr>
      </w:pPr>
    </w:p>
    <w:sectPr>
      <w:headerReference r:id="rId5" w:type="default"/>
      <w:footerReference r:id="rId6" w:type="default"/>
      <w:pgSz w:w="12240" w:h="15840"/>
      <w:pgMar w:top="1440" w:right="1800" w:bottom="1440" w:left="1800" w:header="720" w:footer="720" w:gutter="0"/>
      <w:pgNumType w:fmt="decimal"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Noto Sans Symbol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7646BE">
    <w:pPr>
      <w:pStyle w:val="10"/>
    </w:pPr>
    <w:bookmarkStart w:id="0" w:name="_GoBack"/>
    <w:bookmarkEnd w:id="0"/>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6155AC3">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66155AC3">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CB226">
    <w:pPr>
      <w:pStyle w:val="11"/>
      <w:rPr>
        <w:rFonts w:hint="default"/>
        <w:lang w:val="en-GB"/>
      </w:rPr>
    </w:pPr>
    <w:r>
      <w:rPr>
        <w:rFonts w:hint="default"/>
        <w:lang w:val="en-GB"/>
      </w:rPr>
      <w:t>Student Number: 2235619</w:t>
    </w:r>
    <w:r>
      <w:rPr>
        <w:rFonts w:hint="default"/>
        <w:lang w:val="en-GB"/>
      </w:rPr>
      <w:tab/>
      <w:t/>
    </w:r>
    <w:r>
      <w:rPr>
        <w:rFonts w:hint="default"/>
        <w:lang w:val="en-GB"/>
      </w:rPr>
      <w:tab/>
      <w:t>Student Name: Fahmida Rahman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
    <w:nsid w:val="0053208E"/>
    <w:multiLevelType w:val="multilevel"/>
    <w:tmpl w:val="0053208E"/>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2">
    <w:nsid w:val="59ADCABA"/>
    <w:multiLevelType w:val="multilevel"/>
    <w:tmpl w:val="59ADCABA"/>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445F56E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after="200" w:line="276" w:lineRule="auto"/>
    </w:pPr>
    <w:rPr>
      <w:rFonts w:ascii="Calibri" w:hAnsi="Calibri" w:eastAsia="Calibri" w:cs="Calibri"/>
      <w:sz w:val="22"/>
      <w:szCs w:val="22"/>
      <w:lang w:val="en-US"/>
    </w:rPr>
  </w:style>
  <w:style w:type="paragraph" w:styleId="2">
    <w:name w:val="heading 1"/>
    <w:basedOn w:val="1"/>
    <w:next w:val="1"/>
    <w:uiPriority w:val="0"/>
    <w:pPr>
      <w:keepNext/>
      <w:keepLines/>
      <w:spacing w:before="360" w:after="80"/>
    </w:pPr>
    <w:rPr>
      <w:rFonts w:ascii="Calibri" w:hAnsi="Calibri" w:eastAsia="Calibri" w:cs="Calibri"/>
      <w:color w:val="2F5496"/>
      <w:sz w:val="40"/>
      <w:szCs w:val="40"/>
    </w:rPr>
  </w:style>
  <w:style w:type="paragraph" w:styleId="3">
    <w:name w:val="heading 2"/>
    <w:basedOn w:val="1"/>
    <w:next w:val="1"/>
    <w:uiPriority w:val="0"/>
    <w:pPr>
      <w:keepNext/>
      <w:keepLines/>
      <w:spacing w:before="160" w:after="80"/>
    </w:pPr>
    <w:rPr>
      <w:rFonts w:ascii="Calibri" w:hAnsi="Calibri" w:eastAsia="Calibri" w:cs="Calibri"/>
      <w:color w:val="2F5496"/>
      <w:sz w:val="32"/>
      <w:szCs w:val="32"/>
    </w:rPr>
  </w:style>
  <w:style w:type="paragraph" w:styleId="4">
    <w:name w:val="heading 3"/>
    <w:basedOn w:val="1"/>
    <w:next w:val="1"/>
    <w:uiPriority w:val="0"/>
    <w:pPr>
      <w:keepNext/>
      <w:keepLines/>
      <w:spacing w:before="160" w:after="80"/>
    </w:pPr>
    <w:rPr>
      <w:color w:val="2F5496"/>
      <w:sz w:val="28"/>
      <w:szCs w:val="28"/>
    </w:rPr>
  </w:style>
  <w:style w:type="paragraph" w:styleId="5">
    <w:name w:val="heading 4"/>
    <w:basedOn w:val="1"/>
    <w:next w:val="1"/>
    <w:uiPriority w:val="0"/>
    <w:pPr>
      <w:keepNext/>
      <w:keepLines/>
      <w:spacing w:before="80" w:after="40"/>
    </w:pPr>
    <w:rPr>
      <w:i/>
      <w:color w:val="2F5496"/>
    </w:rPr>
  </w:style>
  <w:style w:type="paragraph" w:styleId="6">
    <w:name w:val="heading 5"/>
    <w:basedOn w:val="1"/>
    <w:next w:val="1"/>
    <w:uiPriority w:val="0"/>
    <w:pPr>
      <w:keepNext/>
      <w:keepLines/>
      <w:spacing w:before="80" w:after="40"/>
    </w:pPr>
    <w:rPr>
      <w:color w:val="2F5496"/>
    </w:rPr>
  </w:style>
  <w:style w:type="paragraph" w:styleId="7">
    <w:name w:val="heading 6"/>
    <w:basedOn w:val="1"/>
    <w:next w:val="1"/>
    <w:uiPriority w:val="0"/>
    <w:pPr>
      <w:keepNext/>
      <w:keepLines/>
      <w:spacing w:before="40" w:after="0"/>
    </w:pPr>
    <w:rPr>
      <w:i/>
      <w:color w:val="595959"/>
    </w:rPr>
  </w:style>
  <w:style w:type="character" w:default="1" w:styleId="8">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10">
    <w:name w:val="footer"/>
    <w:basedOn w:val="1"/>
    <w:uiPriority w:val="0"/>
    <w:pPr>
      <w:tabs>
        <w:tab w:val="center" w:pos="4153"/>
        <w:tab w:val="right" w:pos="8306"/>
      </w:tabs>
      <w:snapToGrid w:val="0"/>
      <w:jc w:val="left"/>
    </w:pPr>
    <w:rPr>
      <w:sz w:val="18"/>
      <w:szCs w:val="18"/>
    </w:rPr>
  </w:style>
  <w:style w:type="paragraph" w:styleId="11">
    <w:name w:val="header"/>
    <w:basedOn w:val="1"/>
    <w:uiPriority w:val="0"/>
    <w:pPr>
      <w:tabs>
        <w:tab w:val="center" w:pos="4153"/>
        <w:tab w:val="right" w:pos="8306"/>
      </w:tabs>
      <w:snapToGrid w:val="0"/>
    </w:pPr>
    <w:rPr>
      <w:sz w:val="18"/>
      <w:szCs w:val="18"/>
    </w:rPr>
  </w:style>
  <w:style w:type="paragraph" w:styleId="12">
    <w:name w:val="Subtitle"/>
    <w:basedOn w:val="1"/>
    <w:next w:val="1"/>
    <w:uiPriority w:val="0"/>
    <w:rPr>
      <w:color w:val="595959"/>
      <w:sz w:val="28"/>
      <w:szCs w:val="28"/>
    </w:rPr>
  </w:style>
  <w:style w:type="paragraph" w:styleId="13">
    <w:name w:val="Title"/>
    <w:basedOn w:val="1"/>
    <w:next w:val="1"/>
    <w:uiPriority w:val="0"/>
    <w:pPr>
      <w:spacing w:after="80" w:line="240" w:lineRule="auto"/>
    </w:pPr>
    <w:rPr>
      <w:rFonts w:ascii="Calibri" w:hAnsi="Calibri" w:eastAsia="Calibri" w:cs="Calibri"/>
      <w:sz w:val="56"/>
      <w:szCs w:val="56"/>
    </w:rPr>
  </w:style>
  <w:style w:type="table" w:customStyle="1" w:styleId="14">
    <w:name w:val="Table Normal1"/>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Pages>
  <TotalTime>4</TotalTime>
  <ScaleCrop>false</ScaleCrop>
  <LinksUpToDate>false</LinksUpToDate>
  <Application>WPS Office_12.2.0.22556_F1E327BC-269C-435d-A152-05C5408002CA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2025-10-17T16:06:23Z</dcterms:created>
  <dc:creator>Piya1</dc:creator>
  <cp:lastModifiedBy>Piya1</cp:lastModifiedBy>
  <dcterms:modified xsi:type="dcterms:W3CDTF">2025-10-17T16:11:00Z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2057-12.2.0.22556</vt:lpwstr>
  </property>
  <property fmtid="{D5CDD505-2E9C-101B-9397-08002B2CF9AE}" pid="3" name="ICV">
    <vt:lpwstr>165C5EB12C6C4D91A7D08B60A9D29D1F_12</vt:lpwstr>
  </property>
</Properties>
</file>