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44B5896" w14:textId="5A35F6BC" w:rsidR="007E7745" w:rsidRPr="00C03A91" w:rsidRDefault="007E7745" w:rsidP="00C03A91">
      <w:pPr>
        <w:spacing w:line="360" w:lineRule="auto"/>
        <w:rPr>
          <w:rFonts w:ascii="Arial" w:hAnsi="Arial" w:cs="Arial"/>
        </w:rPr>
      </w:pPr>
    </w:p>
    <w:p w14:paraId="365DE405" w14:textId="77777777" w:rsidR="00EB12BC" w:rsidRPr="00C03A91" w:rsidRDefault="00EB12BC" w:rsidP="00C03A91">
      <w:pPr>
        <w:spacing w:line="360" w:lineRule="auto"/>
        <w:rPr>
          <w:rFonts w:ascii="Arial" w:hAnsi="Arial" w:cs="Arial"/>
          <w:szCs w:val="24"/>
        </w:rPr>
      </w:pPr>
      <w:r w:rsidRPr="00C03A91">
        <w:rPr>
          <w:rFonts w:ascii="Arial" w:hAnsi="Arial" w:cs="Arial"/>
          <w:noProof/>
          <w:szCs w:val="24"/>
        </w:rPr>
        <w:drawing>
          <wp:anchor distT="0" distB="0" distL="114300" distR="114300" simplePos="0" relativeHeight="251659264" behindDoc="0" locked="0" layoutInCell="1" allowOverlap="1" wp14:anchorId="2F049D74" wp14:editId="5F1928BB">
            <wp:simplePos x="0" y="0"/>
            <wp:positionH relativeFrom="column">
              <wp:posOffset>0</wp:posOffset>
            </wp:positionH>
            <wp:positionV relativeFrom="paragraph">
              <wp:posOffset>292100</wp:posOffset>
            </wp:positionV>
            <wp:extent cx="1809750" cy="723900"/>
            <wp:effectExtent l="0" t="0" r="0" b="0"/>
            <wp:wrapSquare wrapText="bothSides"/>
            <wp:docPr id="4" name="Picture 4"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4B015D8C" w14:textId="77777777" w:rsidR="00EB12BC" w:rsidRPr="00C03A91" w:rsidRDefault="00EB12BC" w:rsidP="00C03A91">
      <w:pPr>
        <w:spacing w:line="360" w:lineRule="auto"/>
        <w:rPr>
          <w:rFonts w:ascii="Arial" w:hAnsi="Arial" w:cs="Arial"/>
          <w:szCs w:val="24"/>
        </w:rPr>
      </w:pPr>
    </w:p>
    <w:p w14:paraId="0E6E9383" w14:textId="77777777" w:rsidR="00EB12BC" w:rsidRPr="00C03A91" w:rsidRDefault="00EB12BC" w:rsidP="00C03A91">
      <w:pPr>
        <w:spacing w:line="360" w:lineRule="auto"/>
        <w:rPr>
          <w:rFonts w:ascii="Arial" w:hAnsi="Arial" w:cs="Arial"/>
          <w:szCs w:val="24"/>
        </w:rPr>
      </w:pPr>
    </w:p>
    <w:p w14:paraId="431DBF4A" w14:textId="77777777" w:rsidR="00EB12BC" w:rsidRPr="00C03A91" w:rsidRDefault="00EB12BC" w:rsidP="00C03A91">
      <w:pPr>
        <w:spacing w:line="360" w:lineRule="auto"/>
        <w:rPr>
          <w:rFonts w:ascii="Arial" w:hAnsi="Arial" w:cs="Arial"/>
          <w:szCs w:val="24"/>
        </w:rPr>
      </w:pPr>
    </w:p>
    <w:p w14:paraId="67404449" w14:textId="77777777" w:rsidR="00EB12BC" w:rsidRPr="00C03A91" w:rsidRDefault="00EB12BC" w:rsidP="00C03A91">
      <w:pPr>
        <w:tabs>
          <w:tab w:val="left" w:pos="6540"/>
        </w:tabs>
        <w:spacing w:line="360" w:lineRule="auto"/>
        <w:rPr>
          <w:rFonts w:ascii="Arial" w:hAnsi="Arial" w:cs="Arial"/>
          <w:sz w:val="28"/>
          <w:szCs w:val="28"/>
        </w:rPr>
      </w:pPr>
    </w:p>
    <w:p w14:paraId="27888C86" w14:textId="497C790E" w:rsidR="00EB12BC" w:rsidRPr="00076AC0" w:rsidRDefault="00EB12BC" w:rsidP="00C03A91">
      <w:pPr>
        <w:tabs>
          <w:tab w:val="left" w:pos="6540"/>
        </w:tabs>
        <w:spacing w:line="360" w:lineRule="auto"/>
        <w:rPr>
          <w:rFonts w:ascii="Arial" w:hAnsi="Arial" w:cs="Arial"/>
          <w:sz w:val="28"/>
          <w:szCs w:val="28"/>
          <w:lang w:val="nl-NL"/>
        </w:rPr>
      </w:pPr>
      <w:r w:rsidRPr="00076AC0">
        <w:rPr>
          <w:rFonts w:ascii="Arial" w:hAnsi="Arial" w:cs="Arial"/>
          <w:b/>
          <w:bCs/>
          <w:sz w:val="28"/>
          <w:szCs w:val="28"/>
          <w:lang w:val="nl-NL"/>
        </w:rPr>
        <w:t>Student name</w:t>
      </w:r>
      <w:r w:rsidRPr="00076AC0">
        <w:rPr>
          <w:rFonts w:ascii="Arial" w:hAnsi="Arial" w:cs="Arial"/>
          <w:sz w:val="28"/>
          <w:szCs w:val="28"/>
          <w:lang w:val="nl-NL"/>
        </w:rPr>
        <w:t>:</w:t>
      </w:r>
      <w:r w:rsidR="00F0292E">
        <w:rPr>
          <w:rFonts w:ascii="Arial" w:hAnsi="Arial" w:cs="Arial"/>
          <w:sz w:val="28"/>
          <w:szCs w:val="28"/>
          <w:lang w:val="nl-NL"/>
        </w:rPr>
        <w:t xml:space="preserve"> Bouadoua Sylvie Kouao</w:t>
      </w:r>
    </w:p>
    <w:p w14:paraId="3C83A8A7" w14:textId="18A9BD7C" w:rsidR="00EB12BC" w:rsidRPr="00076AC0" w:rsidRDefault="00EB12BC" w:rsidP="00C03A91">
      <w:pPr>
        <w:tabs>
          <w:tab w:val="left" w:pos="6540"/>
        </w:tabs>
        <w:spacing w:line="360" w:lineRule="auto"/>
        <w:rPr>
          <w:rFonts w:ascii="Arial" w:hAnsi="Arial" w:cs="Arial"/>
          <w:sz w:val="28"/>
          <w:szCs w:val="28"/>
          <w:lang w:val="nl-NL"/>
        </w:rPr>
      </w:pPr>
      <w:r w:rsidRPr="00076AC0">
        <w:rPr>
          <w:rFonts w:ascii="Arial" w:hAnsi="Arial" w:cs="Arial"/>
          <w:b/>
          <w:bCs/>
          <w:sz w:val="28"/>
          <w:szCs w:val="28"/>
          <w:lang w:val="nl-NL"/>
        </w:rPr>
        <w:t>Student ID</w:t>
      </w:r>
      <w:r w:rsidRPr="00076AC0">
        <w:rPr>
          <w:rFonts w:ascii="Arial" w:hAnsi="Arial" w:cs="Arial"/>
          <w:sz w:val="28"/>
          <w:szCs w:val="28"/>
          <w:lang w:val="nl-NL"/>
        </w:rPr>
        <w:t>:</w:t>
      </w:r>
      <w:r w:rsidR="00F0292E">
        <w:rPr>
          <w:rFonts w:ascii="Arial" w:hAnsi="Arial" w:cs="Arial"/>
          <w:sz w:val="28"/>
          <w:szCs w:val="28"/>
          <w:lang w:val="nl-NL"/>
        </w:rPr>
        <w:t xml:space="preserve"> 2417904</w:t>
      </w:r>
    </w:p>
    <w:p w14:paraId="21E9DC72" w14:textId="77777777" w:rsidR="00EB12BC" w:rsidRPr="00076AC0" w:rsidRDefault="00EB12BC" w:rsidP="00C03A91">
      <w:pPr>
        <w:tabs>
          <w:tab w:val="left" w:pos="6540"/>
        </w:tabs>
        <w:spacing w:line="360" w:lineRule="auto"/>
        <w:rPr>
          <w:rFonts w:ascii="Arial" w:hAnsi="Arial" w:cs="Arial"/>
          <w:sz w:val="28"/>
          <w:szCs w:val="28"/>
          <w:lang w:val="nl-NL"/>
        </w:rPr>
      </w:pPr>
    </w:p>
    <w:p w14:paraId="23BAC9B9" w14:textId="0DAA6581" w:rsidR="00EB12BC" w:rsidRPr="00033E7C" w:rsidRDefault="00EB12BC" w:rsidP="00C03A91">
      <w:pPr>
        <w:tabs>
          <w:tab w:val="left" w:pos="6540"/>
        </w:tabs>
        <w:spacing w:line="360" w:lineRule="auto"/>
        <w:rPr>
          <w:rFonts w:ascii="Arial" w:hAnsi="Arial" w:cs="Arial"/>
          <w:sz w:val="28"/>
          <w:szCs w:val="28"/>
          <w:lang w:val="nl-NL"/>
        </w:rPr>
      </w:pPr>
      <w:r w:rsidRPr="00076AC0">
        <w:rPr>
          <w:rFonts w:ascii="Arial" w:hAnsi="Arial" w:cs="Arial"/>
          <w:b/>
          <w:bCs/>
          <w:sz w:val="28"/>
          <w:szCs w:val="28"/>
          <w:lang w:val="nl-NL"/>
        </w:rPr>
        <w:t>Module name</w:t>
      </w:r>
      <w:r w:rsidRPr="00076AC0">
        <w:rPr>
          <w:rFonts w:ascii="Arial" w:hAnsi="Arial" w:cs="Arial"/>
          <w:sz w:val="28"/>
          <w:szCs w:val="28"/>
          <w:lang w:val="nl-NL"/>
        </w:rPr>
        <w:t xml:space="preserve">: </w:t>
      </w:r>
      <w:r w:rsidR="00033E7C" w:rsidRPr="00033E7C">
        <w:rPr>
          <w:sz w:val="28"/>
          <w:szCs w:val="28"/>
        </w:rPr>
        <w:t>Protecting and Supporting Families in Health and Care Module Code</w:t>
      </w:r>
    </w:p>
    <w:p w14:paraId="4FD97C8C" w14:textId="4709DFFA" w:rsidR="00EB12BC" w:rsidRPr="00C03A91" w:rsidRDefault="00EB12BC" w:rsidP="00C03A91">
      <w:pPr>
        <w:tabs>
          <w:tab w:val="left" w:pos="6540"/>
        </w:tabs>
        <w:spacing w:line="360" w:lineRule="auto"/>
        <w:rPr>
          <w:rFonts w:ascii="Arial" w:hAnsi="Arial" w:cs="Arial"/>
          <w:sz w:val="28"/>
          <w:szCs w:val="28"/>
        </w:rPr>
      </w:pPr>
      <w:r w:rsidRPr="00C03A91">
        <w:rPr>
          <w:rFonts w:ascii="Arial" w:hAnsi="Arial" w:cs="Arial"/>
          <w:b/>
          <w:bCs/>
          <w:sz w:val="28"/>
          <w:szCs w:val="28"/>
        </w:rPr>
        <w:t>Module code</w:t>
      </w:r>
      <w:r w:rsidRPr="00C03A91">
        <w:rPr>
          <w:rFonts w:ascii="Arial" w:hAnsi="Arial" w:cs="Arial"/>
          <w:sz w:val="28"/>
          <w:szCs w:val="28"/>
        </w:rPr>
        <w:t>:</w:t>
      </w:r>
      <w:r w:rsidR="00F0292E" w:rsidRPr="00F0292E">
        <w:rPr>
          <w:b/>
          <w:bCs/>
          <w:sz w:val="28"/>
          <w:szCs w:val="28"/>
        </w:rPr>
        <w:t xml:space="preserve"> </w:t>
      </w:r>
      <w:r w:rsidR="00F0292E" w:rsidRPr="00033E7C">
        <w:rPr>
          <w:sz w:val="28"/>
          <w:szCs w:val="28"/>
        </w:rPr>
        <w:t>BMHP5021_LON</w:t>
      </w:r>
    </w:p>
    <w:p w14:paraId="5E310533" w14:textId="57DD7929" w:rsidR="00F0292E" w:rsidRDefault="00EB12BC" w:rsidP="00C03A91">
      <w:pPr>
        <w:tabs>
          <w:tab w:val="left" w:pos="6540"/>
        </w:tabs>
        <w:spacing w:line="360" w:lineRule="auto"/>
        <w:rPr>
          <w:b/>
          <w:bCs/>
          <w:sz w:val="28"/>
          <w:szCs w:val="28"/>
        </w:rPr>
      </w:pPr>
      <w:r w:rsidRPr="00C03A91">
        <w:rPr>
          <w:rFonts w:ascii="Arial" w:hAnsi="Arial" w:cs="Arial"/>
          <w:b/>
          <w:bCs/>
          <w:sz w:val="28"/>
          <w:szCs w:val="28"/>
        </w:rPr>
        <w:t>Lecturer name</w:t>
      </w:r>
      <w:r w:rsidRPr="00C03A91">
        <w:rPr>
          <w:rFonts w:ascii="Arial" w:hAnsi="Arial" w:cs="Arial"/>
          <w:sz w:val="28"/>
          <w:szCs w:val="28"/>
        </w:rPr>
        <w:t>:</w:t>
      </w:r>
      <w:r w:rsidR="00343645" w:rsidRPr="00343645">
        <w:rPr>
          <w:b/>
          <w:bCs/>
        </w:rPr>
        <w:t xml:space="preserve"> </w:t>
      </w:r>
      <w:r w:rsidR="00343645" w:rsidRPr="00343645">
        <w:rPr>
          <w:sz w:val="28"/>
          <w:szCs w:val="28"/>
        </w:rPr>
        <w:t>Shaila Hussain</w:t>
      </w:r>
      <w:r w:rsidR="00343645">
        <w:rPr>
          <w:rFonts w:ascii="Arial" w:hAnsi="Arial" w:cs="Arial"/>
          <w:sz w:val="28"/>
          <w:szCs w:val="28"/>
        </w:rPr>
        <w:t xml:space="preserve"> </w:t>
      </w:r>
      <w:r w:rsidR="00F0292E" w:rsidRPr="00F0292E">
        <w:rPr>
          <w:b/>
          <w:bCs/>
          <w:sz w:val="28"/>
          <w:szCs w:val="28"/>
        </w:rPr>
        <w:t xml:space="preserve"> </w:t>
      </w:r>
    </w:p>
    <w:p w14:paraId="58422515" w14:textId="77777777" w:rsidR="00033E7C" w:rsidRPr="00033E7C" w:rsidRDefault="00F0292E" w:rsidP="00033E7C">
      <w:pPr>
        <w:tabs>
          <w:tab w:val="left" w:pos="6540"/>
        </w:tabs>
        <w:spacing w:line="360" w:lineRule="auto"/>
        <w:rPr>
          <w:rFonts w:ascii="Arial" w:hAnsi="Arial" w:cs="Arial"/>
          <w:sz w:val="28"/>
          <w:szCs w:val="28"/>
        </w:rPr>
      </w:pPr>
      <w:r w:rsidRPr="00F0292E">
        <w:rPr>
          <w:b/>
          <w:bCs/>
          <w:sz w:val="28"/>
          <w:szCs w:val="28"/>
        </w:rPr>
        <w:t>Assignment Title:</w:t>
      </w:r>
      <w:r w:rsidR="006A2644">
        <w:rPr>
          <w:b/>
          <w:bCs/>
          <w:sz w:val="28"/>
          <w:szCs w:val="28"/>
        </w:rPr>
        <w:t xml:space="preserve"> </w:t>
      </w:r>
      <w:r w:rsidR="00033E7C" w:rsidRPr="00033E7C">
        <w:rPr>
          <w:rFonts w:ascii="Arial" w:hAnsi="Arial" w:cs="Arial"/>
          <w:sz w:val="28"/>
          <w:szCs w:val="24"/>
        </w:rPr>
        <w:t>An examination and analysis of how the ‘Early Help’ system is signposted to UK families by their local authority website.</w:t>
      </w:r>
    </w:p>
    <w:p w14:paraId="658BE57E" w14:textId="7C957A48" w:rsidR="00EB12BC" w:rsidRPr="00033E7C" w:rsidRDefault="00EB12BC" w:rsidP="00C03A91">
      <w:pPr>
        <w:tabs>
          <w:tab w:val="left" w:pos="6540"/>
        </w:tabs>
        <w:spacing w:line="360" w:lineRule="auto"/>
        <w:rPr>
          <w:rFonts w:ascii="Arial" w:hAnsi="Arial" w:cs="Arial"/>
          <w:b/>
          <w:bCs/>
          <w:sz w:val="28"/>
          <w:szCs w:val="28"/>
        </w:rPr>
      </w:pPr>
    </w:p>
    <w:p w14:paraId="11F3009D" w14:textId="77777777" w:rsidR="00F0292E" w:rsidRPr="00C03A91" w:rsidRDefault="00F0292E" w:rsidP="00C03A91">
      <w:pPr>
        <w:tabs>
          <w:tab w:val="left" w:pos="6540"/>
        </w:tabs>
        <w:spacing w:line="360" w:lineRule="auto"/>
        <w:rPr>
          <w:rFonts w:ascii="Arial" w:hAnsi="Arial" w:cs="Arial"/>
          <w:sz w:val="28"/>
          <w:szCs w:val="28"/>
        </w:rPr>
      </w:pPr>
    </w:p>
    <w:p w14:paraId="60C916A4" w14:textId="0A7F36F8" w:rsidR="000C4EDA" w:rsidRDefault="000C4EDA" w:rsidP="00C03A91">
      <w:pPr>
        <w:spacing w:line="360" w:lineRule="auto"/>
      </w:pPr>
    </w:p>
    <w:p w14:paraId="589EE140" w14:textId="77777777" w:rsidR="00033E7C" w:rsidRDefault="00033E7C" w:rsidP="00C03A91">
      <w:pPr>
        <w:spacing w:line="360" w:lineRule="auto"/>
      </w:pPr>
    </w:p>
    <w:p w14:paraId="06FE585A" w14:textId="77777777" w:rsidR="00033E7C" w:rsidRDefault="00033E7C" w:rsidP="00C03A91">
      <w:pPr>
        <w:spacing w:line="360" w:lineRule="auto"/>
      </w:pPr>
    </w:p>
    <w:p w14:paraId="41092CB0" w14:textId="77777777" w:rsidR="00033E7C" w:rsidRDefault="00033E7C" w:rsidP="00C03A91">
      <w:pPr>
        <w:spacing w:line="360" w:lineRule="auto"/>
      </w:pPr>
    </w:p>
    <w:p w14:paraId="7156EA14" w14:textId="77777777" w:rsidR="00033E7C" w:rsidRDefault="00033E7C" w:rsidP="00C03A91">
      <w:pPr>
        <w:spacing w:line="360" w:lineRule="auto"/>
      </w:pPr>
    </w:p>
    <w:p w14:paraId="0CBCD672" w14:textId="77777777" w:rsidR="00033E7C" w:rsidRDefault="00033E7C" w:rsidP="00C03A91">
      <w:pPr>
        <w:spacing w:line="360" w:lineRule="auto"/>
      </w:pPr>
    </w:p>
    <w:p w14:paraId="3A3FB49A" w14:textId="77777777" w:rsidR="007F7FC2" w:rsidRPr="006E46CE" w:rsidRDefault="007F7FC2" w:rsidP="007F7FC2">
      <w:pPr>
        <w:spacing w:before="100" w:beforeAutospacing="1" w:after="100" w:afterAutospacing="1" w:line="240" w:lineRule="auto"/>
        <w:outlineLvl w:val="2"/>
        <w:rPr>
          <w:rFonts w:eastAsia="Times New Roman" w:cs="Times New Roman"/>
          <w:b/>
          <w:bCs/>
          <w:sz w:val="27"/>
          <w:szCs w:val="27"/>
          <w:lang w:eastAsia="en-GB"/>
        </w:rPr>
      </w:pPr>
      <w:r w:rsidRPr="006E46CE">
        <w:rPr>
          <w:rFonts w:eastAsia="Times New Roman" w:cs="Times New Roman"/>
          <w:b/>
          <w:bCs/>
          <w:sz w:val="27"/>
          <w:szCs w:val="27"/>
          <w:lang w:eastAsia="en-GB"/>
        </w:rPr>
        <w:lastRenderedPageBreak/>
        <w:t xml:space="preserve">1. Introduction </w:t>
      </w:r>
    </w:p>
    <w:p w14:paraId="39005B3A" w14:textId="77777777" w:rsidR="007F7FC2" w:rsidRPr="006E46CE" w:rsidRDefault="007F7FC2" w:rsidP="007F7FC2">
      <w:pPr>
        <w:spacing w:before="100" w:beforeAutospacing="1" w:after="100" w:afterAutospacing="1" w:line="240" w:lineRule="auto"/>
        <w:rPr>
          <w:rFonts w:eastAsia="Times New Roman" w:cs="Times New Roman"/>
          <w:lang w:eastAsia="en-GB"/>
        </w:rPr>
      </w:pPr>
      <w:r w:rsidRPr="006E46CE">
        <w:rPr>
          <w:rFonts w:eastAsia="Times New Roman" w:cs="Times New Roman"/>
          <w:lang w:eastAsia="en-GB"/>
        </w:rPr>
        <w:t>Early intervention has become a cornerstone of contemporary child welfare policy in the United Kingdom, reflecting a significant shift from reactive safeguarding towards preventative and early support strategies (HM Government, 2020; HM Government, 2023). Central to this approach is the Early Help system, which aims to identify and respond to emerging needs before they escalate into statutory intervention (HM Government, 2020). However, the effectiveness of Early Help is not solely dependent on the availability of services; it is also shaped by how accessible, visible, and understandable these services are to families.</w:t>
      </w:r>
    </w:p>
    <w:p w14:paraId="5DB88D65" w14:textId="77777777" w:rsidR="007F7FC2" w:rsidRPr="006E46CE" w:rsidRDefault="007F7FC2" w:rsidP="007F7FC2">
      <w:pPr>
        <w:spacing w:before="100" w:beforeAutospacing="1" w:after="100" w:afterAutospacing="1" w:line="240" w:lineRule="auto"/>
        <w:rPr>
          <w:rFonts w:eastAsia="Times New Roman" w:cs="Times New Roman"/>
          <w:lang w:eastAsia="en-GB"/>
        </w:rPr>
      </w:pPr>
      <w:r w:rsidRPr="006E46CE">
        <w:rPr>
          <w:rFonts w:eastAsia="Times New Roman" w:cs="Times New Roman"/>
          <w:lang w:eastAsia="en-GB"/>
        </w:rPr>
        <w:t xml:space="preserve">In an increasingly digital society, local authority websites function as a primary gateway through which families access information, guidance, and support. As such, the quality of online communication plays a critical role in determining whether families </w:t>
      </w:r>
      <w:r>
        <w:rPr>
          <w:rFonts w:eastAsia="Times New Roman" w:cs="Times New Roman"/>
          <w:lang w:eastAsia="en-GB"/>
        </w:rPr>
        <w:t>can</w:t>
      </w:r>
      <w:r w:rsidRPr="006E46CE">
        <w:rPr>
          <w:rFonts w:eastAsia="Times New Roman" w:cs="Times New Roman"/>
          <w:lang w:eastAsia="en-GB"/>
        </w:rPr>
        <w:t xml:space="preserve"> recognise their needs, engage with services, and seek help at an early stage. Poorly designed or inaccessible websites risk creating barriers to support, thereby undermining the preventative aims of Early Help (Nielsen, 2020).</w:t>
      </w:r>
    </w:p>
    <w:p w14:paraId="0C1546EB" w14:textId="77FF20BE" w:rsidR="007F7FC2" w:rsidRPr="006E46CE" w:rsidRDefault="007F7FC2" w:rsidP="007F7FC2">
      <w:pPr>
        <w:spacing w:before="100" w:beforeAutospacing="1" w:after="100" w:afterAutospacing="1" w:line="240" w:lineRule="auto"/>
        <w:rPr>
          <w:rFonts w:eastAsia="Times New Roman" w:cs="Times New Roman"/>
          <w:lang w:eastAsia="en-GB"/>
        </w:rPr>
      </w:pPr>
      <w:r w:rsidRPr="006E46CE">
        <w:rPr>
          <w:rFonts w:eastAsia="Times New Roman" w:cs="Times New Roman"/>
          <w:lang w:eastAsia="en-GB"/>
        </w:rPr>
        <w:t>This report critically analyses how three local authorities</w:t>
      </w:r>
      <w:r w:rsidR="00B22CB8">
        <w:rPr>
          <w:rFonts w:eastAsia="Times New Roman" w:cs="Times New Roman"/>
          <w:lang w:eastAsia="en-GB"/>
        </w:rPr>
        <w:t xml:space="preserve">, </w:t>
      </w:r>
      <w:r w:rsidRPr="006E46CE">
        <w:rPr>
          <w:rFonts w:eastAsia="Times New Roman" w:cs="Times New Roman"/>
          <w:lang w:eastAsia="en-GB"/>
        </w:rPr>
        <w:t>Norfolk County Council, Leeds City Council, and Tower Hamlets Council</w:t>
      </w:r>
      <w:r w:rsidR="00B22CB8">
        <w:rPr>
          <w:rFonts w:eastAsia="Times New Roman" w:cs="Times New Roman"/>
          <w:lang w:eastAsia="en-GB"/>
        </w:rPr>
        <w:t xml:space="preserve">, </w:t>
      </w:r>
      <w:r w:rsidRPr="006E46CE">
        <w:rPr>
          <w:rFonts w:eastAsia="Times New Roman" w:cs="Times New Roman"/>
          <w:lang w:eastAsia="en-GB"/>
        </w:rPr>
        <w:t xml:space="preserve">present and signpost Early Help services through their websites. It evaluates their effectiveness against key principles derived from the </w:t>
      </w:r>
      <w:r w:rsidRPr="006E46CE">
        <w:rPr>
          <w:rFonts w:eastAsia="Times New Roman" w:cs="Times New Roman"/>
          <w:i/>
          <w:iCs/>
          <w:lang w:eastAsia="en-GB"/>
        </w:rPr>
        <w:t>Early Help System Guide</w:t>
      </w:r>
      <w:r w:rsidRPr="006E46CE">
        <w:rPr>
          <w:rFonts w:eastAsia="Times New Roman" w:cs="Times New Roman"/>
          <w:lang w:eastAsia="en-GB"/>
        </w:rPr>
        <w:t xml:space="preserve"> (HM Government, 2020) and </w:t>
      </w:r>
      <w:r w:rsidRPr="006E46CE">
        <w:rPr>
          <w:rFonts w:eastAsia="Times New Roman" w:cs="Times New Roman"/>
          <w:i/>
          <w:iCs/>
          <w:lang w:eastAsia="en-GB"/>
        </w:rPr>
        <w:t>Working Together to Safeguard Children 2023</w:t>
      </w:r>
      <w:r w:rsidRPr="006E46CE">
        <w:rPr>
          <w:rFonts w:eastAsia="Times New Roman" w:cs="Times New Roman"/>
          <w:lang w:eastAsia="en-GB"/>
        </w:rPr>
        <w:t xml:space="preserve"> (HM Government, 2023), with particular focus on accessibility, clarity, inclusivity, and user engagement.</w:t>
      </w:r>
    </w:p>
    <w:p w14:paraId="274E5614" w14:textId="77777777" w:rsidR="007F7FC2" w:rsidRPr="006E46CE" w:rsidRDefault="007F7FC2" w:rsidP="007F7FC2">
      <w:pPr>
        <w:spacing w:before="100" w:beforeAutospacing="1" w:after="100" w:afterAutospacing="1" w:line="240" w:lineRule="auto"/>
        <w:rPr>
          <w:rFonts w:eastAsia="Times New Roman" w:cs="Times New Roman"/>
          <w:lang w:eastAsia="en-GB"/>
        </w:rPr>
      </w:pPr>
      <w:r w:rsidRPr="006E46CE">
        <w:rPr>
          <w:rFonts w:eastAsia="Times New Roman" w:cs="Times New Roman"/>
          <w:lang w:eastAsia="en-GB"/>
        </w:rPr>
        <w:t>The report will first outline the theoretical and policy context of Early Help and multi-agency working, drawing on ecological and strengths-based perspectives (Bronfenbrenner, 1979; Featherstone, White and Morris, 2014). It will then evaluate each local authority website before undertaking a comparative analysis of strengths and limitations. The report concludes by identifying best practices, with particular emphasis on Leeds City Council, and offering recommendations for improving accessibility.</w:t>
      </w:r>
    </w:p>
    <w:p w14:paraId="0348F34B" w14:textId="77777777" w:rsidR="007F7FC2" w:rsidRPr="006E46CE" w:rsidRDefault="007F7FC2" w:rsidP="007F7FC2">
      <w:pPr>
        <w:spacing w:before="100" w:beforeAutospacing="1" w:after="100" w:afterAutospacing="1" w:line="240" w:lineRule="auto"/>
        <w:outlineLvl w:val="1"/>
        <w:rPr>
          <w:rFonts w:eastAsia="Times New Roman" w:cs="Times New Roman"/>
          <w:b/>
          <w:bCs/>
          <w:sz w:val="36"/>
          <w:szCs w:val="36"/>
          <w:lang w:eastAsia="en-GB"/>
        </w:rPr>
      </w:pPr>
      <w:r w:rsidRPr="006E46CE">
        <w:rPr>
          <w:rFonts w:eastAsia="Times New Roman" w:cs="Times New Roman"/>
          <w:b/>
          <w:bCs/>
          <w:sz w:val="36"/>
          <w:szCs w:val="36"/>
          <w:lang w:eastAsia="en-GB"/>
        </w:rPr>
        <w:t>2. Main Body</w:t>
      </w:r>
    </w:p>
    <w:p w14:paraId="20AA364D" w14:textId="77777777" w:rsidR="007F7FC2" w:rsidRPr="006E46CE" w:rsidRDefault="007F7FC2" w:rsidP="007F7FC2">
      <w:pPr>
        <w:spacing w:before="100" w:beforeAutospacing="1" w:after="100" w:afterAutospacing="1" w:line="240" w:lineRule="auto"/>
        <w:outlineLvl w:val="2"/>
        <w:rPr>
          <w:rFonts w:eastAsia="Times New Roman" w:cs="Times New Roman"/>
          <w:b/>
          <w:bCs/>
          <w:sz w:val="27"/>
          <w:szCs w:val="27"/>
          <w:lang w:eastAsia="en-GB"/>
        </w:rPr>
      </w:pPr>
      <w:r w:rsidRPr="006E46CE">
        <w:rPr>
          <w:rFonts w:eastAsia="Times New Roman" w:cs="Times New Roman"/>
          <w:b/>
          <w:bCs/>
          <w:sz w:val="27"/>
          <w:szCs w:val="27"/>
          <w:lang w:eastAsia="en-GB"/>
        </w:rPr>
        <w:t>The Early Help System: Policy and Practice Context</w:t>
      </w:r>
    </w:p>
    <w:p w14:paraId="3CF1E857" w14:textId="77777777" w:rsidR="007F7FC2" w:rsidRPr="006E46CE" w:rsidRDefault="007F7FC2" w:rsidP="007F7FC2">
      <w:pPr>
        <w:spacing w:before="100" w:beforeAutospacing="1" w:after="100" w:afterAutospacing="1" w:line="240" w:lineRule="auto"/>
        <w:rPr>
          <w:rFonts w:eastAsia="Times New Roman" w:cs="Times New Roman"/>
          <w:lang w:eastAsia="en-GB"/>
        </w:rPr>
      </w:pPr>
      <w:r w:rsidRPr="006E46CE">
        <w:rPr>
          <w:rFonts w:eastAsia="Times New Roman" w:cs="Times New Roman"/>
          <w:lang w:eastAsia="en-GB"/>
        </w:rPr>
        <w:t>The Early Help system is defined as a coordinated, multi-agency approach designed to support children and families at the earliest stage of need (HM Government, 2020). Its preventative focus reflects wider policy developments influenced by austerity, increasing demand on statutory services, and recognition of the long-term social and economic benefits of early intervention (Munro, 2011). By addressing issues at an early stage, Early Help aims to reduce the need for more intensive and costly statutory interventions while improving outcomes for children and promoting family resilience (HM Government, 2020).</w:t>
      </w:r>
    </w:p>
    <w:p w14:paraId="276B1D36" w14:textId="77777777" w:rsidR="007F7FC2" w:rsidRPr="006E46CE" w:rsidRDefault="007F7FC2" w:rsidP="007F7FC2">
      <w:pPr>
        <w:spacing w:before="100" w:beforeAutospacing="1" w:after="100" w:afterAutospacing="1" w:line="240" w:lineRule="auto"/>
        <w:rPr>
          <w:rFonts w:eastAsia="Times New Roman" w:cs="Times New Roman"/>
          <w:lang w:eastAsia="en-GB"/>
        </w:rPr>
      </w:pPr>
      <w:r w:rsidRPr="006E46CE">
        <w:rPr>
          <w:rFonts w:eastAsia="Times New Roman" w:cs="Times New Roman"/>
          <w:lang w:eastAsia="en-GB"/>
        </w:rPr>
        <w:t xml:space="preserve">At its core, Early Help is underpinned by four key principles: prevention over intervention, voluntary participation, holistic and family-centred support, and multi-agency collaboration (HM Government, 2020). These principles reflect a shift away from crisis-driven models of safeguarding towards a more proactive and supportive framework. Voluntary engagement is central to building trust with families, although this can also present challenges where </w:t>
      </w:r>
      <w:r w:rsidRPr="006E46CE">
        <w:rPr>
          <w:rFonts w:eastAsia="Times New Roman" w:cs="Times New Roman"/>
          <w:lang w:eastAsia="en-GB"/>
        </w:rPr>
        <w:lastRenderedPageBreak/>
        <w:t>families are reluctant to engage or lack awareness of available services (Featherstone, White and Morris, 2014).</w:t>
      </w:r>
    </w:p>
    <w:p w14:paraId="534C5EA8" w14:textId="6553FA9E" w:rsidR="007F7FC2" w:rsidRPr="006E46CE" w:rsidRDefault="007F7FC2" w:rsidP="007F7FC2">
      <w:pPr>
        <w:spacing w:before="100" w:beforeAutospacing="1" w:after="100" w:afterAutospacing="1" w:line="240" w:lineRule="auto"/>
        <w:rPr>
          <w:rFonts w:eastAsia="Times New Roman" w:cs="Times New Roman"/>
          <w:lang w:eastAsia="en-GB"/>
        </w:rPr>
      </w:pPr>
      <w:r w:rsidRPr="006E46CE">
        <w:rPr>
          <w:rFonts w:eastAsia="Times New Roman" w:cs="Times New Roman"/>
          <w:lang w:eastAsia="en-GB"/>
        </w:rPr>
        <w:t>From a theoretical perspective, Early Help aligns closely with ecological systems theory, which conceptualises child development as influenced by multiple interacting systems, including family, school, community, and wider societal structures (Bronfenbrenner, 1979). This framework recognises that difficulties experienced by children rarely exist in isolation and are often shaped by interconnected factors such as poverty, parental mental health, domestic abuse, and housing instability. Early Help</w:t>
      </w:r>
      <w:r>
        <w:rPr>
          <w:rFonts w:eastAsia="Times New Roman" w:cs="Times New Roman"/>
          <w:lang w:eastAsia="en-GB"/>
        </w:rPr>
        <w:t>,</w:t>
      </w:r>
      <w:r w:rsidRPr="006E46CE">
        <w:rPr>
          <w:rFonts w:eastAsia="Times New Roman" w:cs="Times New Roman"/>
          <w:lang w:eastAsia="en-GB"/>
        </w:rPr>
        <w:t xml:space="preserve"> therefore</w:t>
      </w:r>
      <w:r>
        <w:rPr>
          <w:rFonts w:eastAsia="Times New Roman" w:cs="Times New Roman"/>
          <w:lang w:eastAsia="en-GB"/>
        </w:rPr>
        <w:t>,</w:t>
      </w:r>
      <w:r w:rsidRPr="006E46CE">
        <w:rPr>
          <w:rFonts w:eastAsia="Times New Roman" w:cs="Times New Roman"/>
          <w:lang w:eastAsia="en-GB"/>
        </w:rPr>
        <w:t xml:space="preserve"> reflects an understanding that effective intervention must extend beyond the individual child to address the broader context in which they live.</w:t>
      </w:r>
    </w:p>
    <w:p w14:paraId="33D83C28" w14:textId="77777777" w:rsidR="007F7FC2" w:rsidRPr="006E46CE" w:rsidRDefault="007F7FC2" w:rsidP="007F7FC2">
      <w:pPr>
        <w:spacing w:before="100" w:beforeAutospacing="1" w:after="100" w:afterAutospacing="1" w:line="240" w:lineRule="auto"/>
        <w:rPr>
          <w:rFonts w:eastAsia="Times New Roman" w:cs="Times New Roman"/>
          <w:lang w:eastAsia="en-GB"/>
        </w:rPr>
      </w:pPr>
      <w:r w:rsidRPr="006E46CE">
        <w:rPr>
          <w:rFonts w:eastAsia="Times New Roman" w:cs="Times New Roman"/>
          <w:lang w:eastAsia="en-GB"/>
        </w:rPr>
        <w:t>Furthermore, Early Help can be linked to strengths-based approaches, which emphasise empowering families and building on existing capabilities rather than focusing solely on deficits (Featherstone, White and Morris, 2014). This approach aligns with contemporary safeguarding practice, which seeks to promote partnership working and reduce stigmatisation.</w:t>
      </w:r>
    </w:p>
    <w:p w14:paraId="09889E4E" w14:textId="4E40FE18" w:rsidR="007F7FC2" w:rsidRPr="006E46CE" w:rsidRDefault="007F7FC2" w:rsidP="007F7FC2">
      <w:pPr>
        <w:spacing w:before="100" w:beforeAutospacing="1" w:after="100" w:afterAutospacing="1" w:line="240" w:lineRule="auto"/>
        <w:rPr>
          <w:rFonts w:eastAsia="Times New Roman" w:cs="Times New Roman"/>
          <w:lang w:eastAsia="en-GB"/>
        </w:rPr>
      </w:pPr>
      <w:r w:rsidRPr="006E46CE">
        <w:rPr>
          <w:rFonts w:eastAsia="Times New Roman" w:cs="Times New Roman"/>
          <w:lang w:eastAsia="en-GB"/>
        </w:rPr>
        <w:t>However, despite its strong theoretical and policy foundations, a key critique within academic and policy literature is the existence of an “implementation gap”</w:t>
      </w:r>
      <w:r>
        <w:rPr>
          <w:rFonts w:eastAsia="Times New Roman" w:cs="Times New Roman"/>
          <w:lang w:eastAsia="en-GB"/>
        </w:rPr>
        <w:t xml:space="preserve">, </w:t>
      </w:r>
      <w:r w:rsidRPr="006E46CE">
        <w:rPr>
          <w:rFonts w:eastAsia="Times New Roman" w:cs="Times New Roman"/>
          <w:lang w:eastAsia="en-GB"/>
        </w:rPr>
        <w:t xml:space="preserve">the disparity between policy intent and practical accessibility (Munro, 2011). While Early Help is designed to be universally accessible, many families encounter barriers </w:t>
      </w:r>
      <w:r>
        <w:rPr>
          <w:rFonts w:eastAsia="Times New Roman" w:cs="Times New Roman"/>
          <w:lang w:eastAsia="en-GB"/>
        </w:rPr>
        <w:t>to engagement, including digital exclusion, low literacy</w:t>
      </w:r>
      <w:r w:rsidRPr="006E46CE">
        <w:rPr>
          <w:rFonts w:eastAsia="Times New Roman" w:cs="Times New Roman"/>
          <w:lang w:eastAsia="en-GB"/>
        </w:rPr>
        <w:t>, language barriers, and a lack of awareness of available services.</w:t>
      </w:r>
    </w:p>
    <w:p w14:paraId="592DCCA8" w14:textId="77777777" w:rsidR="007F7FC2" w:rsidRPr="006E46CE" w:rsidRDefault="007F7FC2" w:rsidP="007F7FC2">
      <w:pPr>
        <w:spacing w:before="100" w:beforeAutospacing="1" w:after="100" w:afterAutospacing="1" w:line="240" w:lineRule="auto"/>
        <w:rPr>
          <w:rFonts w:eastAsia="Times New Roman" w:cs="Times New Roman"/>
          <w:lang w:eastAsia="en-GB"/>
        </w:rPr>
      </w:pPr>
      <w:r w:rsidRPr="006E46CE">
        <w:rPr>
          <w:rFonts w:eastAsia="Times New Roman" w:cs="Times New Roman"/>
          <w:lang w:eastAsia="en-GB"/>
        </w:rPr>
        <w:t>In addition, the complexity of multi-agency systems can make it difficult for families to navigate support pathways. Referral processes, thresholds for intervention, and the roles of different professionals are not always clearly communicated, leading to confusion and disengagement (HM Government, 2023). This is particularly significant for vulnerable families who may already face multiple disadvantages.</w:t>
      </w:r>
    </w:p>
    <w:p w14:paraId="4D113D52" w14:textId="77777777" w:rsidR="007F7FC2" w:rsidRPr="006E46CE" w:rsidRDefault="007F7FC2" w:rsidP="007F7FC2">
      <w:pPr>
        <w:spacing w:before="100" w:beforeAutospacing="1" w:after="100" w:afterAutospacing="1" w:line="240" w:lineRule="auto"/>
        <w:rPr>
          <w:rFonts w:eastAsia="Times New Roman" w:cs="Times New Roman"/>
          <w:lang w:eastAsia="en-GB"/>
        </w:rPr>
      </w:pPr>
      <w:r w:rsidRPr="006E46CE">
        <w:rPr>
          <w:rFonts w:eastAsia="Times New Roman" w:cs="Times New Roman"/>
          <w:lang w:eastAsia="en-GB"/>
        </w:rPr>
        <w:t>Local authority websites therefore play a critical role in either mitigating or reinforcing these barriers. As the primary source of information for many families, websites must translate complex systems into clear, accessible, and user-friendly guidance. Where websites are overly technical or poorly structured, they risk reinforcing the implementation gap by making services less accessible (Nielsen, 2020). Conversely, well-designed websites can act as enabling tools, supporting early engagement and helping families access the right support at the right time.</w:t>
      </w:r>
    </w:p>
    <w:p w14:paraId="296A4909" w14:textId="77777777" w:rsidR="007F7FC2" w:rsidRPr="006E46CE" w:rsidRDefault="007F7FC2" w:rsidP="007F7FC2">
      <w:pPr>
        <w:spacing w:before="100" w:beforeAutospacing="1" w:after="100" w:afterAutospacing="1" w:line="240" w:lineRule="auto"/>
        <w:outlineLvl w:val="2"/>
        <w:rPr>
          <w:rFonts w:eastAsia="Times New Roman" w:cs="Times New Roman"/>
          <w:b/>
          <w:bCs/>
          <w:sz w:val="27"/>
          <w:szCs w:val="27"/>
          <w:lang w:eastAsia="en-GB"/>
        </w:rPr>
      </w:pPr>
      <w:r w:rsidRPr="006E46CE">
        <w:rPr>
          <w:rFonts w:eastAsia="Times New Roman" w:cs="Times New Roman"/>
          <w:b/>
          <w:bCs/>
          <w:sz w:val="27"/>
          <w:szCs w:val="27"/>
          <w:lang w:eastAsia="en-GB"/>
        </w:rPr>
        <w:t>Multi-Agency Working and Communication</w:t>
      </w:r>
    </w:p>
    <w:p w14:paraId="6D80945E" w14:textId="77777777" w:rsidR="007F7FC2" w:rsidRPr="006E46CE" w:rsidRDefault="007F7FC2" w:rsidP="007F7FC2">
      <w:pPr>
        <w:spacing w:before="100" w:beforeAutospacing="1" w:after="100" w:afterAutospacing="1" w:line="240" w:lineRule="auto"/>
        <w:rPr>
          <w:rFonts w:eastAsia="Times New Roman" w:cs="Times New Roman"/>
          <w:lang w:eastAsia="en-GB"/>
        </w:rPr>
      </w:pPr>
      <w:r w:rsidRPr="006E46CE">
        <w:rPr>
          <w:rFonts w:eastAsia="Times New Roman" w:cs="Times New Roman"/>
          <w:lang w:eastAsia="en-GB"/>
        </w:rPr>
        <w:t xml:space="preserve">The importance of multi-agency working is emphasised in </w:t>
      </w:r>
      <w:r w:rsidRPr="006E46CE">
        <w:rPr>
          <w:rFonts w:eastAsia="Times New Roman" w:cs="Times New Roman"/>
          <w:i/>
          <w:iCs/>
          <w:lang w:eastAsia="en-GB"/>
        </w:rPr>
        <w:t>Working Together to Safeguard Children 2023</w:t>
      </w:r>
      <w:r w:rsidRPr="006E46CE">
        <w:rPr>
          <w:rFonts w:eastAsia="Times New Roman" w:cs="Times New Roman"/>
          <w:lang w:eastAsia="en-GB"/>
        </w:rPr>
        <w:t>, which establishes safeguarding as a shared responsibility across a range of services and professionals (HM Government, 2023). Effective Early Help provision depends on coordinated collaboration between key agencies, including health services, education providers, children’s social care, law enforcement, and voluntary and community organisations.</w:t>
      </w:r>
    </w:p>
    <w:p w14:paraId="78C8B987" w14:textId="77777777" w:rsidR="007F7FC2" w:rsidRPr="006E46CE" w:rsidRDefault="007F7FC2" w:rsidP="007F7FC2">
      <w:pPr>
        <w:spacing w:before="100" w:beforeAutospacing="1" w:after="100" w:afterAutospacing="1" w:line="240" w:lineRule="auto"/>
        <w:rPr>
          <w:rFonts w:eastAsia="Times New Roman" w:cs="Times New Roman"/>
          <w:lang w:eastAsia="en-GB"/>
        </w:rPr>
      </w:pPr>
      <w:r w:rsidRPr="006E46CE">
        <w:rPr>
          <w:rFonts w:eastAsia="Times New Roman" w:cs="Times New Roman"/>
          <w:lang w:eastAsia="en-GB"/>
        </w:rPr>
        <w:t xml:space="preserve">This collaborative approach reflects the concept of integrated service delivery, often associated with “joined-up governance,” which seeks to address fragmentation within public services by promoting coordination, information sharing, and collective responsibility </w:t>
      </w:r>
      <w:r w:rsidRPr="006E46CE">
        <w:rPr>
          <w:rFonts w:eastAsia="Times New Roman" w:cs="Times New Roman"/>
          <w:lang w:eastAsia="en-GB"/>
        </w:rPr>
        <w:lastRenderedPageBreak/>
        <w:t>(Munro, 2011). By working together, agencies are better able to identify emerging needs, share relevant information, and deliver holistic, child-centred support.</w:t>
      </w:r>
    </w:p>
    <w:p w14:paraId="47827916" w14:textId="77777777" w:rsidR="007F7FC2" w:rsidRPr="006E46CE" w:rsidRDefault="007F7FC2" w:rsidP="007F7FC2">
      <w:pPr>
        <w:spacing w:before="100" w:beforeAutospacing="1" w:after="100" w:afterAutospacing="1" w:line="240" w:lineRule="auto"/>
        <w:rPr>
          <w:rFonts w:eastAsia="Times New Roman" w:cs="Times New Roman"/>
          <w:lang w:eastAsia="en-GB"/>
        </w:rPr>
      </w:pPr>
      <w:r w:rsidRPr="006E46CE">
        <w:rPr>
          <w:rFonts w:eastAsia="Times New Roman" w:cs="Times New Roman"/>
          <w:lang w:eastAsia="en-GB"/>
        </w:rPr>
        <w:t>From a theoretical perspective, multi-agency working aligns with systems-based approaches to safeguarding, recognising that no single agency can fully respond to the complexities of family life in isolation (Bronfenbrenner, 1979). Instead, effective intervention relies on combining professional knowledge, resources, and perspectives across sectors.</w:t>
      </w:r>
    </w:p>
    <w:p w14:paraId="736C235F" w14:textId="77777777" w:rsidR="007F7FC2" w:rsidRPr="006E46CE" w:rsidRDefault="007F7FC2" w:rsidP="007F7FC2">
      <w:pPr>
        <w:spacing w:before="100" w:beforeAutospacing="1" w:after="100" w:afterAutospacing="1" w:line="240" w:lineRule="auto"/>
        <w:rPr>
          <w:rFonts w:eastAsia="Times New Roman" w:cs="Times New Roman"/>
          <w:lang w:eastAsia="en-GB"/>
        </w:rPr>
      </w:pPr>
      <w:r w:rsidRPr="006E46CE">
        <w:rPr>
          <w:rFonts w:eastAsia="Times New Roman" w:cs="Times New Roman"/>
          <w:lang w:eastAsia="en-GB"/>
        </w:rPr>
        <w:t>However, multi-agency working also introduces complexity. Different agencies operate with varying thresholds, professional language, and organisational priorities, which can lead to inconsistencies, communication breakdowns, and delays (HM Government, 2023). For families, navigating multiple services can be confusing and overwhelming.</w:t>
      </w:r>
    </w:p>
    <w:p w14:paraId="1695E04F" w14:textId="77777777" w:rsidR="007F7FC2" w:rsidRPr="006E46CE" w:rsidRDefault="007F7FC2" w:rsidP="007F7FC2">
      <w:pPr>
        <w:spacing w:before="100" w:beforeAutospacing="1" w:after="100" w:afterAutospacing="1" w:line="240" w:lineRule="auto"/>
        <w:rPr>
          <w:rFonts w:eastAsia="Times New Roman" w:cs="Times New Roman"/>
          <w:lang w:eastAsia="en-GB"/>
        </w:rPr>
      </w:pPr>
      <w:r w:rsidRPr="006E46CE">
        <w:rPr>
          <w:rFonts w:eastAsia="Times New Roman" w:cs="Times New Roman"/>
          <w:lang w:eastAsia="en-GB"/>
        </w:rPr>
        <w:t>In this context, local authority websites act as translational tools, bridging the gap between complex professional systems and public understanding. Websites must simplify terminology, clearly explain referral pathways, and provide coherent guidance reflecting integrated services. Where this is done effectively, websites enhance transparency and empower families to seek support early (Nielsen, 2020). Conversely, unclear communication can reinforce professional gatekeeping, disproportionately affecting vulnerable families.</w:t>
      </w:r>
    </w:p>
    <w:p w14:paraId="0ECB06A7" w14:textId="77777777" w:rsidR="007F7FC2" w:rsidRPr="006E46CE" w:rsidRDefault="007F7FC2" w:rsidP="007F7FC2">
      <w:pPr>
        <w:spacing w:before="100" w:beforeAutospacing="1" w:after="100" w:afterAutospacing="1" w:line="240" w:lineRule="auto"/>
        <w:outlineLvl w:val="2"/>
        <w:rPr>
          <w:rFonts w:eastAsia="Times New Roman" w:cs="Times New Roman"/>
          <w:b/>
          <w:bCs/>
          <w:sz w:val="27"/>
          <w:szCs w:val="27"/>
          <w:lang w:eastAsia="en-GB"/>
        </w:rPr>
      </w:pPr>
      <w:r w:rsidRPr="006E46CE">
        <w:rPr>
          <w:rFonts w:eastAsia="Times New Roman" w:cs="Times New Roman"/>
          <w:b/>
          <w:bCs/>
          <w:sz w:val="27"/>
          <w:szCs w:val="27"/>
          <w:lang w:eastAsia="en-GB"/>
        </w:rPr>
        <w:t>Evaluation of Local Authority Websites</w:t>
      </w:r>
    </w:p>
    <w:p w14:paraId="1DCAE0E1" w14:textId="77777777" w:rsidR="007F7FC2" w:rsidRPr="006E46CE" w:rsidRDefault="007F7FC2" w:rsidP="007F7FC2">
      <w:pPr>
        <w:spacing w:before="100" w:beforeAutospacing="1" w:after="100" w:afterAutospacing="1" w:line="240" w:lineRule="auto"/>
        <w:outlineLvl w:val="3"/>
        <w:rPr>
          <w:rFonts w:eastAsia="Times New Roman" w:cs="Times New Roman"/>
          <w:b/>
          <w:bCs/>
          <w:lang w:eastAsia="en-GB"/>
        </w:rPr>
      </w:pPr>
      <w:r w:rsidRPr="006E46CE">
        <w:rPr>
          <w:rFonts w:eastAsia="Times New Roman" w:cs="Times New Roman"/>
          <w:b/>
          <w:bCs/>
          <w:lang w:eastAsia="en-GB"/>
        </w:rPr>
        <w:t>Norfolk County Council</w:t>
      </w:r>
    </w:p>
    <w:p w14:paraId="0B21D1A9" w14:textId="77777777" w:rsidR="007F7FC2" w:rsidRPr="006E46CE" w:rsidRDefault="007F7FC2" w:rsidP="007F7FC2">
      <w:pPr>
        <w:spacing w:before="100" w:beforeAutospacing="1" w:after="100" w:afterAutospacing="1" w:line="240" w:lineRule="auto"/>
        <w:rPr>
          <w:rFonts w:eastAsia="Times New Roman" w:cs="Times New Roman"/>
          <w:lang w:eastAsia="en-GB"/>
        </w:rPr>
      </w:pPr>
      <w:r w:rsidRPr="006E46CE">
        <w:rPr>
          <w:rFonts w:eastAsia="Times New Roman" w:cs="Times New Roman"/>
          <w:lang w:eastAsia="en-GB"/>
        </w:rPr>
        <w:t>The Norfolk County Council website provides a detailed and structured overview of Early Help services, with clear explanations of processes and referral mechanisms.</w:t>
      </w:r>
    </w:p>
    <w:p w14:paraId="2B750388" w14:textId="77777777" w:rsidR="007F7FC2" w:rsidRPr="006E46CE" w:rsidRDefault="007F7FC2" w:rsidP="007F7FC2">
      <w:pPr>
        <w:spacing w:before="100" w:beforeAutospacing="1" w:after="100" w:afterAutospacing="1" w:line="240" w:lineRule="auto"/>
        <w:rPr>
          <w:rFonts w:eastAsia="Times New Roman" w:cs="Times New Roman"/>
          <w:lang w:eastAsia="en-GB"/>
        </w:rPr>
      </w:pPr>
      <w:r w:rsidRPr="006E46CE">
        <w:rPr>
          <w:rFonts w:eastAsia="Times New Roman" w:cs="Times New Roman"/>
          <w:b/>
          <w:bCs/>
          <w:lang w:eastAsia="en-GB"/>
        </w:rPr>
        <w:t>Strengths:</w:t>
      </w:r>
    </w:p>
    <w:p w14:paraId="431548A8" w14:textId="77777777" w:rsidR="007F7FC2" w:rsidRPr="006E46CE" w:rsidRDefault="007F7FC2" w:rsidP="007F7FC2">
      <w:pPr>
        <w:numPr>
          <w:ilvl w:val="0"/>
          <w:numId w:val="19"/>
        </w:numPr>
        <w:spacing w:before="100" w:beforeAutospacing="1" w:after="100" w:afterAutospacing="1" w:line="240" w:lineRule="auto"/>
        <w:rPr>
          <w:rFonts w:eastAsia="Times New Roman" w:cs="Times New Roman"/>
          <w:lang w:eastAsia="en-GB"/>
        </w:rPr>
      </w:pPr>
      <w:r w:rsidRPr="006E46CE">
        <w:rPr>
          <w:rFonts w:eastAsia="Times New Roman" w:cs="Times New Roman"/>
          <w:lang w:eastAsia="en-GB"/>
        </w:rPr>
        <w:t xml:space="preserve">Strong alignment with statutory guidance (HM Government, 2020) </w:t>
      </w:r>
    </w:p>
    <w:p w14:paraId="22911D1D" w14:textId="77777777" w:rsidR="007F7FC2" w:rsidRPr="006E46CE" w:rsidRDefault="007F7FC2" w:rsidP="007F7FC2">
      <w:pPr>
        <w:numPr>
          <w:ilvl w:val="0"/>
          <w:numId w:val="19"/>
        </w:numPr>
        <w:spacing w:before="100" w:beforeAutospacing="1" w:after="100" w:afterAutospacing="1" w:line="240" w:lineRule="auto"/>
        <w:rPr>
          <w:rFonts w:eastAsia="Times New Roman" w:cs="Times New Roman"/>
          <w:lang w:eastAsia="en-GB"/>
        </w:rPr>
      </w:pPr>
      <w:r w:rsidRPr="006E46CE">
        <w:rPr>
          <w:rFonts w:eastAsia="Times New Roman" w:cs="Times New Roman"/>
          <w:lang w:eastAsia="en-GB"/>
        </w:rPr>
        <w:t xml:space="preserve">Detailed explanation of assessments and pathways </w:t>
      </w:r>
    </w:p>
    <w:p w14:paraId="3416B156" w14:textId="77777777" w:rsidR="007F7FC2" w:rsidRPr="006E46CE" w:rsidRDefault="007F7FC2" w:rsidP="007F7FC2">
      <w:pPr>
        <w:numPr>
          <w:ilvl w:val="0"/>
          <w:numId w:val="19"/>
        </w:numPr>
        <w:spacing w:before="100" w:beforeAutospacing="1" w:after="100" w:afterAutospacing="1" w:line="240" w:lineRule="auto"/>
        <w:rPr>
          <w:rFonts w:eastAsia="Times New Roman" w:cs="Times New Roman"/>
          <w:lang w:eastAsia="en-GB"/>
        </w:rPr>
      </w:pPr>
      <w:r w:rsidRPr="006E46CE">
        <w:rPr>
          <w:rFonts w:eastAsia="Times New Roman" w:cs="Times New Roman"/>
          <w:lang w:eastAsia="en-GB"/>
        </w:rPr>
        <w:t xml:space="preserve">Availability of downloadable resources </w:t>
      </w:r>
    </w:p>
    <w:p w14:paraId="659DF4E0" w14:textId="77777777" w:rsidR="007F7FC2" w:rsidRPr="006E46CE" w:rsidRDefault="007F7FC2" w:rsidP="007F7FC2">
      <w:pPr>
        <w:numPr>
          <w:ilvl w:val="0"/>
          <w:numId w:val="19"/>
        </w:numPr>
        <w:spacing w:before="100" w:beforeAutospacing="1" w:after="100" w:afterAutospacing="1" w:line="240" w:lineRule="auto"/>
        <w:rPr>
          <w:rFonts w:eastAsia="Times New Roman" w:cs="Times New Roman"/>
          <w:lang w:eastAsia="en-GB"/>
        </w:rPr>
      </w:pPr>
      <w:r w:rsidRPr="006E46CE">
        <w:rPr>
          <w:rFonts w:eastAsia="Times New Roman" w:cs="Times New Roman"/>
          <w:lang w:eastAsia="en-GB"/>
        </w:rPr>
        <w:t xml:space="preserve">Transparency regarding thresholds </w:t>
      </w:r>
    </w:p>
    <w:p w14:paraId="77C81DE6" w14:textId="77777777" w:rsidR="007F7FC2" w:rsidRPr="006E46CE" w:rsidRDefault="007F7FC2" w:rsidP="007F7FC2">
      <w:pPr>
        <w:spacing w:before="100" w:beforeAutospacing="1" w:after="100" w:afterAutospacing="1" w:line="240" w:lineRule="auto"/>
        <w:rPr>
          <w:rFonts w:eastAsia="Times New Roman" w:cs="Times New Roman"/>
          <w:lang w:eastAsia="en-GB"/>
        </w:rPr>
      </w:pPr>
      <w:r w:rsidRPr="006E46CE">
        <w:rPr>
          <w:rFonts w:eastAsia="Times New Roman" w:cs="Times New Roman"/>
          <w:b/>
          <w:bCs/>
          <w:lang w:eastAsia="en-GB"/>
        </w:rPr>
        <w:t>Critical Analysis:</w:t>
      </w:r>
      <w:r w:rsidRPr="006E46CE">
        <w:rPr>
          <w:rFonts w:eastAsia="Times New Roman" w:cs="Times New Roman"/>
          <w:lang w:eastAsia="en-GB"/>
        </w:rPr>
        <w:br/>
        <w:t>Norfolk’s approach reflects a compliance-driven model, prioritising completeness and procedural accuracy. While this ensures consistency with national policy, it raises accessibility concerns. The heavy reliance on text creates barriers for users with low literacy levels, learning difficulties, or limited English proficiency.</w:t>
      </w:r>
    </w:p>
    <w:p w14:paraId="532FE94E" w14:textId="77777777" w:rsidR="007F7FC2" w:rsidRPr="006E46CE" w:rsidRDefault="007F7FC2" w:rsidP="007F7FC2">
      <w:pPr>
        <w:spacing w:before="100" w:beforeAutospacing="1" w:after="100" w:afterAutospacing="1" w:line="240" w:lineRule="auto"/>
        <w:rPr>
          <w:rFonts w:eastAsia="Times New Roman" w:cs="Times New Roman"/>
          <w:lang w:eastAsia="en-GB"/>
        </w:rPr>
      </w:pPr>
      <w:r w:rsidRPr="006E46CE">
        <w:rPr>
          <w:rFonts w:eastAsia="Times New Roman" w:cs="Times New Roman"/>
          <w:lang w:eastAsia="en-GB"/>
        </w:rPr>
        <w:t>This reflects usability theory, which suggests that excessive information without prioritisation can lead to cognitive overload and reduced engagement (Nielsen, 2020).</w:t>
      </w:r>
    </w:p>
    <w:p w14:paraId="70162CC6" w14:textId="77777777" w:rsidR="007F7FC2" w:rsidRPr="006E46CE" w:rsidRDefault="007F7FC2" w:rsidP="007F7FC2">
      <w:pPr>
        <w:spacing w:before="100" w:beforeAutospacing="1" w:after="100" w:afterAutospacing="1" w:line="240" w:lineRule="auto"/>
        <w:rPr>
          <w:rFonts w:eastAsia="Times New Roman" w:cs="Times New Roman"/>
          <w:lang w:eastAsia="en-GB"/>
        </w:rPr>
      </w:pPr>
      <w:r w:rsidRPr="006E46CE">
        <w:rPr>
          <w:rFonts w:eastAsia="Times New Roman" w:cs="Times New Roman"/>
          <w:b/>
          <w:bCs/>
          <w:lang w:eastAsia="en-GB"/>
        </w:rPr>
        <w:t>Key Limitation:</w:t>
      </w:r>
      <w:r w:rsidRPr="006E46CE">
        <w:rPr>
          <w:rFonts w:eastAsia="Times New Roman" w:cs="Times New Roman"/>
          <w:lang w:eastAsia="en-GB"/>
        </w:rPr>
        <w:br/>
        <w:t>The site assumes a relatively high level of user capability, potentially excluding vulnerable families, contrary to the inclusive aims of Early Help (HM Government, 2020).</w:t>
      </w:r>
    </w:p>
    <w:p w14:paraId="1DC0A729" w14:textId="77777777" w:rsidR="007F7FC2" w:rsidRPr="006E46CE" w:rsidRDefault="007F7FC2" w:rsidP="007F7FC2">
      <w:pPr>
        <w:spacing w:after="0" w:line="240" w:lineRule="auto"/>
        <w:rPr>
          <w:rFonts w:eastAsia="Times New Roman" w:cs="Times New Roman"/>
          <w:lang w:eastAsia="en-GB"/>
        </w:rPr>
      </w:pPr>
    </w:p>
    <w:p w14:paraId="73CB6465" w14:textId="77777777" w:rsidR="00343645" w:rsidRDefault="00343645" w:rsidP="007F7FC2">
      <w:pPr>
        <w:spacing w:before="100" w:beforeAutospacing="1" w:after="100" w:afterAutospacing="1" w:line="240" w:lineRule="auto"/>
        <w:outlineLvl w:val="3"/>
        <w:rPr>
          <w:rFonts w:eastAsia="Times New Roman" w:cs="Times New Roman"/>
          <w:b/>
          <w:bCs/>
          <w:lang w:eastAsia="en-GB"/>
        </w:rPr>
      </w:pPr>
    </w:p>
    <w:p w14:paraId="02D993DC" w14:textId="23183C3B" w:rsidR="007F7FC2" w:rsidRPr="006E46CE" w:rsidRDefault="007F7FC2" w:rsidP="007F7FC2">
      <w:pPr>
        <w:spacing w:before="100" w:beforeAutospacing="1" w:after="100" w:afterAutospacing="1" w:line="240" w:lineRule="auto"/>
        <w:outlineLvl w:val="3"/>
        <w:rPr>
          <w:rFonts w:eastAsia="Times New Roman" w:cs="Times New Roman"/>
          <w:b/>
          <w:bCs/>
          <w:lang w:eastAsia="en-GB"/>
        </w:rPr>
      </w:pPr>
      <w:r w:rsidRPr="006E46CE">
        <w:rPr>
          <w:rFonts w:eastAsia="Times New Roman" w:cs="Times New Roman"/>
          <w:b/>
          <w:bCs/>
          <w:lang w:eastAsia="en-GB"/>
        </w:rPr>
        <w:lastRenderedPageBreak/>
        <w:t>Leeds City Council</w:t>
      </w:r>
    </w:p>
    <w:p w14:paraId="700A08BB" w14:textId="77777777" w:rsidR="007F7FC2" w:rsidRPr="006E46CE" w:rsidRDefault="007F7FC2" w:rsidP="007F7FC2">
      <w:pPr>
        <w:spacing w:before="100" w:beforeAutospacing="1" w:after="100" w:afterAutospacing="1" w:line="240" w:lineRule="auto"/>
        <w:rPr>
          <w:rFonts w:eastAsia="Times New Roman" w:cs="Times New Roman"/>
          <w:lang w:eastAsia="en-GB"/>
        </w:rPr>
      </w:pPr>
      <w:r w:rsidRPr="006E46CE">
        <w:rPr>
          <w:rFonts w:eastAsia="Times New Roman" w:cs="Times New Roman"/>
          <w:lang w:eastAsia="en-GB"/>
        </w:rPr>
        <w:t>The Leeds City Council website adopts a more integrated and user-focused approach, embedding Early Help within broader family support services.</w:t>
      </w:r>
    </w:p>
    <w:p w14:paraId="4BFDD569" w14:textId="77777777" w:rsidR="007F7FC2" w:rsidRPr="006E46CE" w:rsidRDefault="007F7FC2" w:rsidP="007F7FC2">
      <w:pPr>
        <w:spacing w:before="100" w:beforeAutospacing="1" w:after="100" w:afterAutospacing="1" w:line="240" w:lineRule="auto"/>
        <w:rPr>
          <w:rFonts w:eastAsia="Times New Roman" w:cs="Times New Roman"/>
          <w:lang w:eastAsia="en-GB"/>
        </w:rPr>
      </w:pPr>
      <w:r w:rsidRPr="006E46CE">
        <w:rPr>
          <w:rFonts w:eastAsia="Times New Roman" w:cs="Times New Roman"/>
          <w:b/>
          <w:bCs/>
          <w:lang w:eastAsia="en-GB"/>
        </w:rPr>
        <w:t>Strengths:</w:t>
      </w:r>
    </w:p>
    <w:p w14:paraId="63F10811" w14:textId="77777777" w:rsidR="007F7FC2" w:rsidRPr="006E46CE" w:rsidRDefault="007F7FC2" w:rsidP="007F7FC2">
      <w:pPr>
        <w:numPr>
          <w:ilvl w:val="0"/>
          <w:numId w:val="20"/>
        </w:numPr>
        <w:spacing w:before="100" w:beforeAutospacing="1" w:after="100" w:afterAutospacing="1" w:line="240" w:lineRule="auto"/>
        <w:rPr>
          <w:rFonts w:eastAsia="Times New Roman" w:cs="Times New Roman"/>
          <w:lang w:eastAsia="en-GB"/>
        </w:rPr>
      </w:pPr>
      <w:r w:rsidRPr="006E46CE">
        <w:rPr>
          <w:rFonts w:eastAsia="Times New Roman" w:cs="Times New Roman"/>
          <w:lang w:eastAsia="en-GB"/>
        </w:rPr>
        <w:t xml:space="preserve">Clear, accessible language (Nielsen, 2020) </w:t>
      </w:r>
    </w:p>
    <w:p w14:paraId="30CF55BC" w14:textId="77777777" w:rsidR="007F7FC2" w:rsidRPr="006E46CE" w:rsidRDefault="007F7FC2" w:rsidP="007F7FC2">
      <w:pPr>
        <w:numPr>
          <w:ilvl w:val="0"/>
          <w:numId w:val="20"/>
        </w:numPr>
        <w:spacing w:before="100" w:beforeAutospacing="1" w:after="100" w:afterAutospacing="1" w:line="240" w:lineRule="auto"/>
        <w:rPr>
          <w:rFonts w:eastAsia="Times New Roman" w:cs="Times New Roman"/>
          <w:lang w:eastAsia="en-GB"/>
        </w:rPr>
      </w:pPr>
      <w:r w:rsidRPr="006E46CE">
        <w:rPr>
          <w:rFonts w:eastAsia="Times New Roman" w:cs="Times New Roman"/>
          <w:lang w:eastAsia="en-GB"/>
        </w:rPr>
        <w:t xml:space="preserve">Logical and intuitive navigation </w:t>
      </w:r>
    </w:p>
    <w:p w14:paraId="1D18D3CF" w14:textId="77777777" w:rsidR="007F7FC2" w:rsidRPr="006E46CE" w:rsidRDefault="007F7FC2" w:rsidP="007F7FC2">
      <w:pPr>
        <w:numPr>
          <w:ilvl w:val="0"/>
          <w:numId w:val="20"/>
        </w:numPr>
        <w:spacing w:before="100" w:beforeAutospacing="1" w:after="100" w:afterAutospacing="1" w:line="240" w:lineRule="auto"/>
        <w:rPr>
          <w:rFonts w:eastAsia="Times New Roman" w:cs="Times New Roman"/>
          <w:lang w:eastAsia="en-GB"/>
        </w:rPr>
      </w:pPr>
      <w:r w:rsidRPr="006E46CE">
        <w:rPr>
          <w:rFonts w:eastAsia="Times New Roman" w:cs="Times New Roman"/>
          <w:lang w:eastAsia="en-GB"/>
        </w:rPr>
        <w:t xml:space="preserve">Strong emphasis on user experience </w:t>
      </w:r>
    </w:p>
    <w:p w14:paraId="5C825CC0" w14:textId="77777777" w:rsidR="007F7FC2" w:rsidRPr="006E46CE" w:rsidRDefault="007F7FC2" w:rsidP="007F7FC2">
      <w:pPr>
        <w:numPr>
          <w:ilvl w:val="0"/>
          <w:numId w:val="20"/>
        </w:numPr>
        <w:spacing w:before="100" w:beforeAutospacing="1" w:after="100" w:afterAutospacing="1" w:line="240" w:lineRule="auto"/>
        <w:rPr>
          <w:rFonts w:eastAsia="Times New Roman" w:cs="Times New Roman"/>
          <w:lang w:eastAsia="en-GB"/>
        </w:rPr>
      </w:pPr>
      <w:r w:rsidRPr="006E46CE">
        <w:rPr>
          <w:rFonts w:eastAsia="Times New Roman" w:cs="Times New Roman"/>
          <w:lang w:eastAsia="en-GB"/>
        </w:rPr>
        <w:t xml:space="preserve">Effective cross-linking between services </w:t>
      </w:r>
    </w:p>
    <w:p w14:paraId="102D2691" w14:textId="77777777" w:rsidR="007F7FC2" w:rsidRPr="006E46CE" w:rsidRDefault="007F7FC2" w:rsidP="007F7FC2">
      <w:pPr>
        <w:spacing w:before="100" w:beforeAutospacing="1" w:after="100" w:afterAutospacing="1" w:line="240" w:lineRule="auto"/>
        <w:rPr>
          <w:rFonts w:eastAsia="Times New Roman" w:cs="Times New Roman"/>
          <w:lang w:eastAsia="en-GB"/>
        </w:rPr>
      </w:pPr>
      <w:r w:rsidRPr="006E46CE">
        <w:rPr>
          <w:rFonts w:eastAsia="Times New Roman" w:cs="Times New Roman"/>
          <w:b/>
          <w:bCs/>
          <w:lang w:eastAsia="en-GB"/>
        </w:rPr>
        <w:t>Critical Analysis:</w:t>
      </w:r>
      <w:r w:rsidRPr="006E46CE">
        <w:rPr>
          <w:rFonts w:eastAsia="Times New Roman" w:cs="Times New Roman"/>
          <w:lang w:eastAsia="en-GB"/>
        </w:rPr>
        <w:br/>
        <w:t>Leeds demonstrates a user-centred design philosophy aligned with best practice in digital public services (Nielsen, 2020). The use of plain English and structured categories reflects an understanding of diverse user needs and supports early engagement.</w:t>
      </w:r>
    </w:p>
    <w:p w14:paraId="2F2D42F9" w14:textId="77777777" w:rsidR="007F7FC2" w:rsidRPr="006E46CE" w:rsidRDefault="007F7FC2" w:rsidP="007F7FC2">
      <w:pPr>
        <w:spacing w:before="100" w:beforeAutospacing="1" w:after="100" w:afterAutospacing="1" w:line="240" w:lineRule="auto"/>
        <w:rPr>
          <w:rFonts w:eastAsia="Times New Roman" w:cs="Times New Roman"/>
          <w:lang w:eastAsia="en-GB"/>
        </w:rPr>
      </w:pPr>
      <w:r w:rsidRPr="006E46CE">
        <w:rPr>
          <w:rFonts w:eastAsia="Times New Roman" w:cs="Times New Roman"/>
          <w:lang w:eastAsia="en-GB"/>
        </w:rPr>
        <w:t>However, this approach introduces a trade-off: Early Help as a distinct concept becomes less visible, and users may not fully understand the structured process behind support (HM Government, 2020).</w:t>
      </w:r>
    </w:p>
    <w:p w14:paraId="766F0A11" w14:textId="77777777" w:rsidR="007F7FC2" w:rsidRPr="006E46CE" w:rsidRDefault="007F7FC2" w:rsidP="007F7FC2">
      <w:pPr>
        <w:spacing w:before="100" w:beforeAutospacing="1" w:after="100" w:afterAutospacing="1" w:line="240" w:lineRule="auto"/>
        <w:outlineLvl w:val="3"/>
        <w:rPr>
          <w:rFonts w:eastAsia="Times New Roman" w:cs="Times New Roman"/>
          <w:b/>
          <w:bCs/>
          <w:lang w:eastAsia="en-GB"/>
        </w:rPr>
      </w:pPr>
      <w:r w:rsidRPr="006E46CE">
        <w:rPr>
          <w:rFonts w:eastAsia="Times New Roman" w:cs="Times New Roman"/>
          <w:b/>
          <w:bCs/>
          <w:lang w:eastAsia="en-GB"/>
        </w:rPr>
        <w:t>Tower Hamlets Council</w:t>
      </w:r>
    </w:p>
    <w:p w14:paraId="1CE2368C" w14:textId="77777777" w:rsidR="007F7FC2" w:rsidRPr="006E46CE" w:rsidRDefault="007F7FC2" w:rsidP="007F7FC2">
      <w:pPr>
        <w:spacing w:before="100" w:beforeAutospacing="1" w:after="100" w:afterAutospacing="1" w:line="240" w:lineRule="auto"/>
        <w:rPr>
          <w:rFonts w:eastAsia="Times New Roman" w:cs="Times New Roman"/>
          <w:lang w:eastAsia="en-GB"/>
        </w:rPr>
      </w:pPr>
      <w:r w:rsidRPr="006E46CE">
        <w:rPr>
          <w:rFonts w:eastAsia="Times New Roman" w:cs="Times New Roman"/>
          <w:lang w:eastAsia="en-GB"/>
        </w:rPr>
        <w:t>The Tower Hamlets Council website provides detailed and policy-aligned information but adopts a more formal tone.</w:t>
      </w:r>
    </w:p>
    <w:p w14:paraId="2D5362D1" w14:textId="77777777" w:rsidR="007F7FC2" w:rsidRPr="006E46CE" w:rsidRDefault="007F7FC2" w:rsidP="007F7FC2">
      <w:pPr>
        <w:spacing w:before="100" w:beforeAutospacing="1" w:after="100" w:afterAutospacing="1" w:line="240" w:lineRule="auto"/>
        <w:rPr>
          <w:rFonts w:eastAsia="Times New Roman" w:cs="Times New Roman"/>
          <w:lang w:eastAsia="en-GB"/>
        </w:rPr>
      </w:pPr>
      <w:r w:rsidRPr="006E46CE">
        <w:rPr>
          <w:rFonts w:eastAsia="Times New Roman" w:cs="Times New Roman"/>
          <w:b/>
          <w:bCs/>
          <w:lang w:eastAsia="en-GB"/>
        </w:rPr>
        <w:t>Strengths:</w:t>
      </w:r>
    </w:p>
    <w:p w14:paraId="7302AA1D" w14:textId="77777777" w:rsidR="007F7FC2" w:rsidRPr="006E46CE" w:rsidRDefault="007F7FC2" w:rsidP="007F7FC2">
      <w:pPr>
        <w:numPr>
          <w:ilvl w:val="0"/>
          <w:numId w:val="21"/>
        </w:numPr>
        <w:spacing w:before="100" w:beforeAutospacing="1" w:after="100" w:afterAutospacing="1" w:line="240" w:lineRule="auto"/>
        <w:rPr>
          <w:rFonts w:eastAsia="Times New Roman" w:cs="Times New Roman"/>
          <w:lang w:eastAsia="en-GB"/>
        </w:rPr>
      </w:pPr>
      <w:r w:rsidRPr="006E46CE">
        <w:rPr>
          <w:rFonts w:eastAsia="Times New Roman" w:cs="Times New Roman"/>
          <w:lang w:eastAsia="en-GB"/>
        </w:rPr>
        <w:t xml:space="preserve">Clear articulation of safeguarding thresholds </w:t>
      </w:r>
    </w:p>
    <w:p w14:paraId="48451199" w14:textId="77777777" w:rsidR="007F7FC2" w:rsidRPr="006E46CE" w:rsidRDefault="007F7FC2" w:rsidP="007F7FC2">
      <w:pPr>
        <w:numPr>
          <w:ilvl w:val="0"/>
          <w:numId w:val="21"/>
        </w:numPr>
        <w:spacing w:before="100" w:beforeAutospacing="1" w:after="100" w:afterAutospacing="1" w:line="240" w:lineRule="auto"/>
        <w:rPr>
          <w:rFonts w:eastAsia="Times New Roman" w:cs="Times New Roman"/>
          <w:lang w:eastAsia="en-GB"/>
        </w:rPr>
      </w:pPr>
      <w:r w:rsidRPr="006E46CE">
        <w:rPr>
          <w:rFonts w:eastAsia="Times New Roman" w:cs="Times New Roman"/>
          <w:lang w:eastAsia="en-GB"/>
        </w:rPr>
        <w:t xml:space="preserve">Strong professional focus </w:t>
      </w:r>
    </w:p>
    <w:p w14:paraId="1CC0E630" w14:textId="77777777" w:rsidR="007F7FC2" w:rsidRPr="006E46CE" w:rsidRDefault="007F7FC2" w:rsidP="007F7FC2">
      <w:pPr>
        <w:numPr>
          <w:ilvl w:val="0"/>
          <w:numId w:val="21"/>
        </w:numPr>
        <w:spacing w:before="100" w:beforeAutospacing="1" w:after="100" w:afterAutospacing="1" w:line="240" w:lineRule="auto"/>
        <w:rPr>
          <w:rFonts w:eastAsia="Times New Roman" w:cs="Times New Roman"/>
          <w:lang w:eastAsia="en-GB"/>
        </w:rPr>
      </w:pPr>
      <w:r w:rsidRPr="006E46CE">
        <w:rPr>
          <w:rFonts w:eastAsia="Times New Roman" w:cs="Times New Roman"/>
          <w:lang w:eastAsia="en-GB"/>
        </w:rPr>
        <w:t xml:space="preserve">Detailed guidance documentation </w:t>
      </w:r>
    </w:p>
    <w:p w14:paraId="2F4B7D7B" w14:textId="77777777" w:rsidR="007F7FC2" w:rsidRPr="006E46CE" w:rsidRDefault="007F7FC2" w:rsidP="007F7FC2">
      <w:pPr>
        <w:spacing w:before="100" w:beforeAutospacing="1" w:after="100" w:afterAutospacing="1" w:line="240" w:lineRule="auto"/>
        <w:rPr>
          <w:rFonts w:eastAsia="Times New Roman" w:cs="Times New Roman"/>
          <w:lang w:eastAsia="en-GB"/>
        </w:rPr>
      </w:pPr>
      <w:r w:rsidRPr="006E46CE">
        <w:rPr>
          <w:rFonts w:eastAsia="Times New Roman" w:cs="Times New Roman"/>
          <w:b/>
          <w:bCs/>
          <w:lang w:eastAsia="en-GB"/>
        </w:rPr>
        <w:t>Critical Analysis:</w:t>
      </w:r>
      <w:r w:rsidRPr="006E46CE">
        <w:rPr>
          <w:rFonts w:eastAsia="Times New Roman" w:cs="Times New Roman"/>
          <w:lang w:eastAsia="en-GB"/>
        </w:rPr>
        <w:br/>
        <w:t>Tower Hamlets reflects a bureaucratic communication model prioritising procedural clarity. While beneficial for professionals, this creates barriers for families. The use of technical language may discourage engagement and create confusion.</w:t>
      </w:r>
    </w:p>
    <w:p w14:paraId="7E199A71" w14:textId="77777777" w:rsidR="007F7FC2" w:rsidRPr="006E46CE" w:rsidRDefault="007F7FC2" w:rsidP="007F7FC2">
      <w:pPr>
        <w:spacing w:before="100" w:beforeAutospacing="1" w:after="100" w:afterAutospacing="1" w:line="240" w:lineRule="auto"/>
        <w:rPr>
          <w:rFonts w:eastAsia="Times New Roman" w:cs="Times New Roman"/>
          <w:lang w:eastAsia="en-GB"/>
        </w:rPr>
      </w:pPr>
      <w:r w:rsidRPr="006E46CE">
        <w:rPr>
          <w:rFonts w:eastAsia="Times New Roman" w:cs="Times New Roman"/>
          <w:lang w:eastAsia="en-GB"/>
        </w:rPr>
        <w:t>From a social justice perspective, this raises concerns about equity, as families with lower literacy or digital skills may be disproportionately excluded (Featherstone, White and Morris, 2014).</w:t>
      </w:r>
    </w:p>
    <w:p w14:paraId="3746DB2F" w14:textId="77777777" w:rsidR="007F7FC2" w:rsidRPr="006E46CE" w:rsidRDefault="007F7FC2" w:rsidP="007F7FC2">
      <w:pPr>
        <w:spacing w:before="100" w:beforeAutospacing="1" w:after="100" w:afterAutospacing="1" w:line="240" w:lineRule="auto"/>
        <w:rPr>
          <w:rFonts w:eastAsia="Times New Roman" w:cs="Times New Roman"/>
          <w:lang w:eastAsia="en-GB"/>
        </w:rPr>
      </w:pPr>
      <w:r w:rsidRPr="006E46CE">
        <w:rPr>
          <w:rFonts w:eastAsia="Times New Roman" w:cs="Times New Roman"/>
          <w:b/>
          <w:bCs/>
          <w:lang w:eastAsia="en-GB"/>
        </w:rPr>
        <w:t>Key Limitation:</w:t>
      </w:r>
      <w:r w:rsidRPr="006E46CE">
        <w:rPr>
          <w:rFonts w:eastAsia="Times New Roman" w:cs="Times New Roman"/>
          <w:lang w:eastAsia="en-GB"/>
        </w:rPr>
        <w:br/>
        <w:t>The website appears designed primarily for professionals, undermining the principle of Early Help as a universal service (HM Government, 2020).</w:t>
      </w:r>
    </w:p>
    <w:p w14:paraId="0105A483" w14:textId="77777777" w:rsidR="007F7FC2" w:rsidRPr="006E46CE" w:rsidRDefault="007F7FC2" w:rsidP="007F7FC2">
      <w:pPr>
        <w:spacing w:before="100" w:beforeAutospacing="1" w:after="100" w:afterAutospacing="1" w:line="240" w:lineRule="auto"/>
        <w:outlineLvl w:val="2"/>
        <w:rPr>
          <w:rFonts w:eastAsia="Times New Roman" w:cs="Times New Roman"/>
          <w:b/>
          <w:bCs/>
          <w:sz w:val="27"/>
          <w:szCs w:val="27"/>
          <w:lang w:eastAsia="en-GB"/>
        </w:rPr>
      </w:pPr>
      <w:r w:rsidRPr="006E46CE">
        <w:rPr>
          <w:rFonts w:eastAsia="Times New Roman" w:cs="Times New Roman"/>
          <w:b/>
          <w:bCs/>
          <w:sz w:val="27"/>
          <w:szCs w:val="27"/>
          <w:lang w:eastAsia="en-GB"/>
        </w:rPr>
        <w:t>Comparative Analysis</w:t>
      </w:r>
    </w:p>
    <w:p w14:paraId="5084DD3A" w14:textId="77777777" w:rsidR="007F7FC2" w:rsidRPr="006E46CE" w:rsidRDefault="007F7FC2" w:rsidP="007F7FC2">
      <w:pPr>
        <w:spacing w:before="100" w:beforeAutospacing="1" w:after="100" w:afterAutospacing="1" w:line="240" w:lineRule="auto"/>
        <w:rPr>
          <w:rFonts w:eastAsia="Times New Roman" w:cs="Times New Roman"/>
          <w:lang w:eastAsia="en-GB"/>
        </w:rPr>
      </w:pPr>
      <w:r w:rsidRPr="006E46CE">
        <w:rPr>
          <w:rFonts w:eastAsia="Times New Roman" w:cs="Times New Roman"/>
          <w:b/>
          <w:bCs/>
          <w:lang w:eastAsia="en-GB"/>
        </w:rPr>
        <w:t>1. Accessibility and Inclusion</w:t>
      </w:r>
      <w:r w:rsidRPr="006E46CE">
        <w:rPr>
          <w:rFonts w:eastAsia="Times New Roman" w:cs="Times New Roman"/>
          <w:lang w:eastAsia="en-GB"/>
        </w:rPr>
        <w:br/>
        <w:t xml:space="preserve">Leeds demonstrates the strongest commitment to accessibility through plain language and </w:t>
      </w:r>
      <w:r w:rsidRPr="006E46CE">
        <w:rPr>
          <w:rFonts w:eastAsia="Times New Roman" w:cs="Times New Roman"/>
          <w:lang w:eastAsia="en-GB"/>
        </w:rPr>
        <w:lastRenderedPageBreak/>
        <w:t>intuitive design (Nielsen, 2020). Norfolk provides detailed information but lacks inclusivity, while Tower Hamlets presents the greatest barriers due to technical language.</w:t>
      </w:r>
    </w:p>
    <w:p w14:paraId="1427D749" w14:textId="77777777" w:rsidR="007F7FC2" w:rsidRPr="006E46CE" w:rsidRDefault="007F7FC2" w:rsidP="007F7FC2">
      <w:pPr>
        <w:spacing w:before="100" w:beforeAutospacing="1" w:after="100" w:afterAutospacing="1" w:line="240" w:lineRule="auto"/>
        <w:rPr>
          <w:rFonts w:eastAsia="Times New Roman" w:cs="Times New Roman"/>
          <w:lang w:eastAsia="en-GB"/>
        </w:rPr>
      </w:pPr>
      <w:r w:rsidRPr="006E46CE">
        <w:rPr>
          <w:rFonts w:eastAsia="Times New Roman" w:cs="Times New Roman"/>
          <w:b/>
          <w:bCs/>
          <w:lang w:eastAsia="en-GB"/>
        </w:rPr>
        <w:t>2. Clarity vs Complexity</w:t>
      </w:r>
      <w:r w:rsidRPr="006E46CE">
        <w:rPr>
          <w:rFonts w:eastAsia="Times New Roman" w:cs="Times New Roman"/>
          <w:lang w:eastAsia="en-GB"/>
        </w:rPr>
        <w:br/>
        <w:t>Norfolk excels in procedural clarity but at the cost of usability. Leeds balances clarity with accessibility, while Tower Hamlets prioritises professional accuracy over user understanding (HM Government, 2023).</w:t>
      </w:r>
    </w:p>
    <w:p w14:paraId="577AC8F6" w14:textId="77777777" w:rsidR="007F7FC2" w:rsidRPr="006E46CE" w:rsidRDefault="007F7FC2" w:rsidP="007F7FC2">
      <w:pPr>
        <w:spacing w:before="100" w:beforeAutospacing="1" w:after="100" w:afterAutospacing="1" w:line="240" w:lineRule="auto"/>
        <w:rPr>
          <w:rFonts w:eastAsia="Times New Roman" w:cs="Times New Roman"/>
          <w:lang w:eastAsia="en-GB"/>
        </w:rPr>
      </w:pPr>
      <w:r w:rsidRPr="006E46CE">
        <w:rPr>
          <w:rFonts w:eastAsia="Times New Roman" w:cs="Times New Roman"/>
          <w:b/>
          <w:bCs/>
          <w:lang w:eastAsia="en-GB"/>
        </w:rPr>
        <w:t>3. User Engagement</w:t>
      </w:r>
      <w:r w:rsidRPr="006E46CE">
        <w:rPr>
          <w:rFonts w:eastAsia="Times New Roman" w:cs="Times New Roman"/>
          <w:lang w:eastAsia="en-GB"/>
        </w:rPr>
        <w:br/>
        <w:t xml:space="preserve">Leeds is the most engaging due to its approachable style. Norfolk is informative but less engaging, while Tower Hamlets is </w:t>
      </w:r>
      <w:r>
        <w:rPr>
          <w:rFonts w:eastAsia="Times New Roman" w:cs="Times New Roman"/>
          <w:lang w:eastAsia="en-GB"/>
        </w:rPr>
        <w:t xml:space="preserve">the </w:t>
      </w:r>
      <w:r w:rsidRPr="006E46CE">
        <w:rPr>
          <w:rFonts w:eastAsia="Times New Roman" w:cs="Times New Roman"/>
          <w:lang w:eastAsia="en-GB"/>
        </w:rPr>
        <w:t>least engaging, reflecting a compliance-focused model (Nielsen, 2020).</w:t>
      </w:r>
    </w:p>
    <w:p w14:paraId="1C7C5D1C" w14:textId="77777777" w:rsidR="007F7FC2" w:rsidRPr="006E46CE" w:rsidRDefault="007F7FC2" w:rsidP="007F7FC2">
      <w:pPr>
        <w:spacing w:before="100" w:beforeAutospacing="1" w:after="100" w:afterAutospacing="1" w:line="240" w:lineRule="auto"/>
        <w:rPr>
          <w:rFonts w:eastAsia="Times New Roman" w:cs="Times New Roman"/>
          <w:lang w:eastAsia="en-GB"/>
        </w:rPr>
      </w:pPr>
      <w:r w:rsidRPr="006E46CE">
        <w:rPr>
          <w:rFonts w:eastAsia="Times New Roman" w:cs="Times New Roman"/>
          <w:b/>
          <w:bCs/>
          <w:lang w:eastAsia="en-GB"/>
        </w:rPr>
        <w:t>4. Policy vs Practice Gap</w:t>
      </w:r>
      <w:r w:rsidRPr="006E46CE">
        <w:rPr>
          <w:rFonts w:eastAsia="Times New Roman" w:cs="Times New Roman"/>
          <w:lang w:eastAsia="en-GB"/>
        </w:rPr>
        <w:br/>
        <w:t xml:space="preserve">All three websites align with national frameworks; however, Leeds most effectively translates policy into accessible practice. Norfolk achieves this </w:t>
      </w:r>
      <w:r>
        <w:rPr>
          <w:rFonts w:eastAsia="Times New Roman" w:cs="Times New Roman"/>
          <w:lang w:eastAsia="en-GB"/>
        </w:rPr>
        <w:t xml:space="preserve">in part, while Tower Hamlets largely retains its </w:t>
      </w:r>
      <w:r w:rsidRPr="006E46CE">
        <w:rPr>
          <w:rFonts w:eastAsia="Times New Roman" w:cs="Times New Roman"/>
          <w:lang w:eastAsia="en-GB"/>
        </w:rPr>
        <w:t>policy language. This illustrates the implementation gap identified by Munro (2011).</w:t>
      </w:r>
    </w:p>
    <w:p w14:paraId="6A0CC98B" w14:textId="77777777" w:rsidR="007F7FC2" w:rsidRPr="006E46CE" w:rsidRDefault="007F7FC2" w:rsidP="007F7FC2">
      <w:pPr>
        <w:spacing w:before="100" w:beforeAutospacing="1" w:after="100" w:afterAutospacing="1" w:line="240" w:lineRule="auto"/>
        <w:outlineLvl w:val="1"/>
        <w:rPr>
          <w:rFonts w:eastAsia="Times New Roman" w:cs="Times New Roman"/>
          <w:b/>
          <w:bCs/>
          <w:sz w:val="36"/>
          <w:szCs w:val="36"/>
          <w:lang w:eastAsia="en-GB"/>
        </w:rPr>
      </w:pPr>
      <w:r w:rsidRPr="006E46CE">
        <w:rPr>
          <w:rFonts w:eastAsia="Times New Roman" w:cs="Times New Roman"/>
          <w:b/>
          <w:bCs/>
          <w:sz w:val="36"/>
          <w:szCs w:val="36"/>
          <w:lang w:eastAsia="en-GB"/>
        </w:rPr>
        <w:t>3. Conclusion</w:t>
      </w:r>
    </w:p>
    <w:p w14:paraId="079CD98D" w14:textId="77777777" w:rsidR="007F7FC2" w:rsidRPr="006E46CE" w:rsidRDefault="007F7FC2" w:rsidP="007F7FC2">
      <w:pPr>
        <w:spacing w:before="100" w:beforeAutospacing="1" w:after="100" w:afterAutospacing="1" w:line="240" w:lineRule="auto"/>
        <w:rPr>
          <w:rFonts w:eastAsia="Times New Roman" w:cs="Times New Roman"/>
          <w:lang w:eastAsia="en-GB"/>
        </w:rPr>
      </w:pPr>
      <w:r w:rsidRPr="006E46CE">
        <w:rPr>
          <w:rFonts w:eastAsia="Times New Roman" w:cs="Times New Roman"/>
          <w:lang w:eastAsia="en-GB"/>
        </w:rPr>
        <w:t>This analysis concludes that Leeds City Council provides the most effective communication of Early Help services among the three local authorities examined. Its user-centred design, accessible language, and clear navigation demonstrate strong alignment with the preventative aims of Early Help, enabling families to recognise their needs and access support more easily (HM Government, 2020; Nielsen, 2020).</w:t>
      </w:r>
    </w:p>
    <w:p w14:paraId="2752B9F6" w14:textId="77777777" w:rsidR="007F7FC2" w:rsidRPr="006E46CE" w:rsidRDefault="007F7FC2" w:rsidP="007F7FC2">
      <w:pPr>
        <w:spacing w:before="100" w:beforeAutospacing="1" w:after="100" w:afterAutospacing="1" w:line="240" w:lineRule="auto"/>
        <w:rPr>
          <w:rFonts w:eastAsia="Times New Roman" w:cs="Times New Roman"/>
          <w:lang w:eastAsia="en-GB"/>
        </w:rPr>
      </w:pPr>
      <w:r w:rsidRPr="006E46CE">
        <w:rPr>
          <w:rFonts w:eastAsia="Times New Roman" w:cs="Times New Roman"/>
          <w:lang w:eastAsia="en-GB"/>
        </w:rPr>
        <w:t>In contrast, while Norfolk County Council and Tower Hamlets Council offer comprehensive and policy-aligned information, their approaches highlight the challenges of balancing procedural accuracy with accessibility. A key finding is that no local authority fully resolves the tension between the complexity of multi-agency safeguarding systems and the need for clear, user-friendly communication (HM Government, 2023).</w:t>
      </w:r>
    </w:p>
    <w:p w14:paraId="2BB4CDA3" w14:textId="77777777" w:rsidR="007F7FC2" w:rsidRPr="006E46CE" w:rsidRDefault="007F7FC2" w:rsidP="007F7FC2">
      <w:pPr>
        <w:spacing w:before="100" w:beforeAutospacing="1" w:after="100" w:afterAutospacing="1" w:line="240" w:lineRule="auto"/>
        <w:rPr>
          <w:rFonts w:eastAsia="Times New Roman" w:cs="Times New Roman"/>
          <w:lang w:eastAsia="en-GB"/>
        </w:rPr>
      </w:pPr>
      <w:r w:rsidRPr="006E46CE">
        <w:rPr>
          <w:rFonts w:eastAsia="Times New Roman" w:cs="Times New Roman"/>
          <w:lang w:eastAsia="en-GB"/>
        </w:rPr>
        <w:t>This reflects the broader policy–practice gap identified in safeguarding literature (Munro, 2011), where national frameworks are not always translated into accessible, family-focused communication.</w:t>
      </w:r>
    </w:p>
    <w:p w14:paraId="5241B3B1" w14:textId="77777777" w:rsidR="007F7FC2" w:rsidRDefault="007F7FC2" w:rsidP="007F7FC2">
      <w:pPr>
        <w:spacing w:before="100" w:beforeAutospacing="1" w:after="100" w:afterAutospacing="1" w:line="240" w:lineRule="auto"/>
        <w:rPr>
          <w:rFonts w:cs="Arial"/>
          <w:b/>
          <w:bCs/>
          <w:sz w:val="28"/>
          <w:szCs w:val="28"/>
        </w:rPr>
      </w:pPr>
      <w:r w:rsidRPr="006E46CE">
        <w:rPr>
          <w:rFonts w:eastAsia="Times New Roman" w:cs="Times New Roman"/>
          <w:lang w:eastAsia="en-GB"/>
        </w:rPr>
        <w:t>The analysis also highlights that digital communication is not a neutral tool but a critical factor in determining access to support. Where websites are clear, inclusive, and engaging, they can facilitate early intervention and reduce demand on statutory services. Conversely, where information is overly technical or difficult to navigate, it risks reinforcing professional gatekeeping and excluding those families most in need of Early Help (Featherstone, White and Morris, 2014).</w:t>
      </w:r>
      <w:r w:rsidRPr="006E46CE">
        <w:rPr>
          <w:rFonts w:cs="Arial"/>
          <w:b/>
          <w:bCs/>
          <w:sz w:val="28"/>
          <w:szCs w:val="28"/>
        </w:rPr>
        <w:t xml:space="preserve"> </w:t>
      </w:r>
    </w:p>
    <w:p w14:paraId="3D976019" w14:textId="77777777" w:rsidR="007F7FC2" w:rsidRPr="000F6CC6" w:rsidRDefault="007F7FC2" w:rsidP="007F7FC2">
      <w:pPr>
        <w:spacing w:before="100" w:beforeAutospacing="1" w:after="100" w:afterAutospacing="1" w:line="240" w:lineRule="auto"/>
        <w:rPr>
          <w:rFonts w:eastAsia="Times New Roman" w:cs="Times New Roman"/>
          <w:b/>
          <w:bCs/>
          <w:sz w:val="28"/>
          <w:szCs w:val="28"/>
          <w:lang w:eastAsia="en-GB"/>
        </w:rPr>
      </w:pPr>
      <w:r w:rsidRPr="000F6CC6">
        <w:rPr>
          <w:rFonts w:cs="Arial"/>
          <w:b/>
          <w:bCs/>
          <w:sz w:val="28"/>
          <w:szCs w:val="28"/>
        </w:rPr>
        <w:t>4. Recommendations</w:t>
      </w:r>
      <w:r w:rsidRPr="000F6CC6">
        <w:rPr>
          <w:rFonts w:eastAsia="Times New Roman" w:cs="Times New Roman"/>
          <w:b/>
          <w:bCs/>
          <w:sz w:val="28"/>
          <w:szCs w:val="28"/>
          <w:lang w:eastAsia="en-GB"/>
        </w:rPr>
        <w:t xml:space="preserve"> </w:t>
      </w:r>
    </w:p>
    <w:p w14:paraId="734E6DE7" w14:textId="77777777" w:rsidR="007F7FC2" w:rsidRPr="0096163D" w:rsidRDefault="007F7FC2" w:rsidP="007F7FC2">
      <w:pPr>
        <w:spacing w:before="100" w:beforeAutospacing="1" w:after="100" w:afterAutospacing="1" w:line="240" w:lineRule="auto"/>
        <w:rPr>
          <w:rFonts w:eastAsia="Times New Roman" w:cs="Times New Roman"/>
          <w:lang w:eastAsia="en-GB"/>
        </w:rPr>
      </w:pPr>
      <w:r w:rsidRPr="0096163D">
        <w:rPr>
          <w:rFonts w:eastAsia="Times New Roman" w:cs="Times New Roman"/>
          <w:lang w:eastAsia="en-GB"/>
        </w:rPr>
        <w:t xml:space="preserve">This analysis concludes that Leeds City Council provides the most effective communication of Early Help services among the three local authorities examined. Its user-centred design, accessible language, and clear navigation demonstrate a strong alignment with the </w:t>
      </w:r>
      <w:r w:rsidRPr="0096163D">
        <w:rPr>
          <w:rFonts w:eastAsia="Times New Roman" w:cs="Times New Roman"/>
          <w:lang w:eastAsia="en-GB"/>
        </w:rPr>
        <w:lastRenderedPageBreak/>
        <w:t xml:space="preserve">preventative aims of Early Help, enabling families </w:t>
      </w:r>
      <w:r>
        <w:rPr>
          <w:rFonts w:eastAsia="Times New Roman" w:cs="Times New Roman"/>
          <w:lang w:eastAsia="en-GB"/>
        </w:rPr>
        <w:t>to recognise their needs and access appropriate support more easily</w:t>
      </w:r>
      <w:r w:rsidRPr="0096163D">
        <w:rPr>
          <w:rFonts w:eastAsia="Times New Roman" w:cs="Times New Roman"/>
          <w:lang w:eastAsia="en-GB"/>
        </w:rPr>
        <w:t>. In contrast, while Norfolk County Council and Tower Hamlets Council offer comprehensive and policy-aligned information, their approaches highlight the challenges of balancing procedural accuracy with accessibility.</w:t>
      </w:r>
    </w:p>
    <w:p w14:paraId="22DB3A6B" w14:textId="77777777" w:rsidR="007F7FC2" w:rsidRPr="0096163D" w:rsidRDefault="007F7FC2" w:rsidP="007F7FC2">
      <w:pPr>
        <w:spacing w:before="100" w:beforeAutospacing="1" w:after="100" w:afterAutospacing="1" w:line="240" w:lineRule="auto"/>
        <w:rPr>
          <w:rFonts w:eastAsia="Times New Roman" w:cs="Times New Roman"/>
          <w:lang w:eastAsia="en-GB"/>
        </w:rPr>
      </w:pPr>
      <w:r w:rsidRPr="0096163D">
        <w:rPr>
          <w:rFonts w:eastAsia="Times New Roman" w:cs="Times New Roman"/>
          <w:lang w:eastAsia="en-GB"/>
        </w:rPr>
        <w:t xml:space="preserve">A key finding of this report is that no local authority fully resolves the inherent tension between the complexity of multi-agency safeguarding systems and the need for clear, user-friendly communication. This reflects the broader policy–practice gap, where well-established national frameworks, such as the </w:t>
      </w:r>
      <w:r w:rsidRPr="0096163D">
        <w:rPr>
          <w:rFonts w:eastAsia="Times New Roman" w:cs="Times New Roman"/>
          <w:i/>
          <w:iCs/>
          <w:lang w:eastAsia="en-GB"/>
        </w:rPr>
        <w:t>Early Help System Guide</w:t>
      </w:r>
      <w:r w:rsidRPr="0096163D">
        <w:rPr>
          <w:rFonts w:eastAsia="Times New Roman" w:cs="Times New Roman"/>
          <w:lang w:eastAsia="en-GB"/>
        </w:rPr>
        <w:t xml:space="preserve"> and </w:t>
      </w:r>
      <w:r w:rsidRPr="0096163D">
        <w:rPr>
          <w:rFonts w:eastAsia="Times New Roman" w:cs="Times New Roman"/>
          <w:i/>
          <w:iCs/>
          <w:lang w:eastAsia="en-GB"/>
        </w:rPr>
        <w:t>Working Together to Safeguard Children 2023</w:t>
      </w:r>
      <w:r w:rsidRPr="0096163D">
        <w:rPr>
          <w:rFonts w:eastAsia="Times New Roman" w:cs="Times New Roman"/>
          <w:lang w:eastAsia="en-GB"/>
        </w:rPr>
        <w:t>, are not always translated into accessible, family-focused communication in practice.</w:t>
      </w:r>
    </w:p>
    <w:p w14:paraId="4F5CEC51" w14:textId="77777777" w:rsidR="007F7FC2" w:rsidRPr="0096163D" w:rsidRDefault="007F7FC2" w:rsidP="007F7FC2">
      <w:pPr>
        <w:spacing w:before="100" w:beforeAutospacing="1" w:after="100" w:afterAutospacing="1" w:line="240" w:lineRule="auto"/>
        <w:rPr>
          <w:rFonts w:eastAsia="Times New Roman" w:cs="Times New Roman"/>
          <w:lang w:eastAsia="en-GB"/>
        </w:rPr>
      </w:pPr>
      <w:r w:rsidRPr="0096163D">
        <w:rPr>
          <w:rFonts w:eastAsia="Times New Roman" w:cs="Times New Roman"/>
          <w:lang w:eastAsia="en-GB"/>
        </w:rPr>
        <w:t>The analysis also highlights that digital communication is not a neutral tool but a critical factor in determining access to support. Where websites are clear, inclusive, and engaging, they can facilitate early intervention and reduce demand on statutory services. Conversely, where information is overly technical, fragmented, or difficult to navigate, it risks reinforcing professional gatekeeping and excluding those families most in need of Early Help.</w:t>
      </w:r>
    </w:p>
    <w:p w14:paraId="3AE2CA46" w14:textId="77777777" w:rsidR="007F7FC2" w:rsidRDefault="007F7FC2" w:rsidP="007F7FC2">
      <w:pPr>
        <w:pStyle w:val="Heading1"/>
        <w:spacing w:line="360" w:lineRule="auto"/>
        <w:rPr>
          <w:rFonts w:cs="Arial"/>
        </w:rPr>
      </w:pPr>
    </w:p>
    <w:p w14:paraId="2976BA05" w14:textId="77777777" w:rsidR="007F7FC2" w:rsidRDefault="007F7FC2" w:rsidP="007F7FC2">
      <w:pPr>
        <w:spacing w:before="100" w:beforeAutospacing="1" w:after="100" w:afterAutospacing="1" w:line="240" w:lineRule="auto"/>
        <w:rPr>
          <w:rFonts w:eastAsia="Times New Roman" w:cs="Times New Roman"/>
          <w:lang w:eastAsia="en-GB"/>
        </w:rPr>
      </w:pPr>
    </w:p>
    <w:p w14:paraId="4ACB1C72" w14:textId="77777777" w:rsidR="007F7FC2" w:rsidRDefault="007F7FC2" w:rsidP="007F7FC2">
      <w:pPr>
        <w:spacing w:before="100" w:beforeAutospacing="1" w:after="100" w:afterAutospacing="1" w:line="240" w:lineRule="auto"/>
        <w:outlineLvl w:val="1"/>
        <w:rPr>
          <w:rFonts w:eastAsia="Times New Roman" w:cs="Times New Roman"/>
          <w:lang w:eastAsia="en-GB"/>
        </w:rPr>
      </w:pPr>
    </w:p>
    <w:p w14:paraId="6D0F17F4" w14:textId="77777777" w:rsidR="007F7FC2" w:rsidRDefault="007F7FC2" w:rsidP="007F7FC2">
      <w:pPr>
        <w:spacing w:before="100" w:beforeAutospacing="1" w:after="100" w:afterAutospacing="1" w:line="240" w:lineRule="auto"/>
        <w:outlineLvl w:val="1"/>
        <w:rPr>
          <w:rFonts w:eastAsia="Times New Roman" w:cs="Times New Roman"/>
          <w:lang w:eastAsia="en-GB"/>
        </w:rPr>
      </w:pPr>
    </w:p>
    <w:p w14:paraId="7716E3F9" w14:textId="77777777" w:rsidR="007F7FC2" w:rsidRDefault="007F7FC2" w:rsidP="007F7FC2">
      <w:pPr>
        <w:spacing w:before="100" w:beforeAutospacing="1" w:after="100" w:afterAutospacing="1" w:line="240" w:lineRule="auto"/>
        <w:outlineLvl w:val="1"/>
        <w:rPr>
          <w:rFonts w:eastAsia="Times New Roman" w:cs="Times New Roman"/>
          <w:lang w:eastAsia="en-GB"/>
        </w:rPr>
      </w:pPr>
    </w:p>
    <w:p w14:paraId="4434BCDF" w14:textId="77777777" w:rsidR="007F7FC2" w:rsidRDefault="007F7FC2" w:rsidP="007F7FC2">
      <w:pPr>
        <w:spacing w:before="100" w:beforeAutospacing="1" w:after="100" w:afterAutospacing="1" w:line="240" w:lineRule="auto"/>
        <w:outlineLvl w:val="1"/>
        <w:rPr>
          <w:rFonts w:eastAsia="Times New Roman" w:cs="Times New Roman"/>
          <w:lang w:eastAsia="en-GB"/>
        </w:rPr>
      </w:pPr>
    </w:p>
    <w:p w14:paraId="363E82C4" w14:textId="77777777" w:rsidR="007F7FC2" w:rsidRDefault="007F7FC2" w:rsidP="007F7FC2">
      <w:pPr>
        <w:spacing w:before="100" w:beforeAutospacing="1" w:after="100" w:afterAutospacing="1" w:line="240" w:lineRule="auto"/>
        <w:outlineLvl w:val="1"/>
        <w:rPr>
          <w:rFonts w:eastAsia="Times New Roman" w:cs="Times New Roman"/>
          <w:lang w:eastAsia="en-GB"/>
        </w:rPr>
      </w:pPr>
    </w:p>
    <w:p w14:paraId="172B652F" w14:textId="77777777" w:rsidR="007F7FC2" w:rsidRDefault="007F7FC2" w:rsidP="007F7FC2">
      <w:pPr>
        <w:spacing w:before="100" w:beforeAutospacing="1" w:after="100" w:afterAutospacing="1" w:line="240" w:lineRule="auto"/>
        <w:outlineLvl w:val="1"/>
        <w:rPr>
          <w:rFonts w:eastAsia="Times New Roman" w:cs="Times New Roman"/>
          <w:lang w:eastAsia="en-GB"/>
        </w:rPr>
      </w:pPr>
    </w:p>
    <w:p w14:paraId="76D57697" w14:textId="77777777" w:rsidR="007F7FC2" w:rsidRDefault="007F7FC2" w:rsidP="007F7FC2">
      <w:pPr>
        <w:spacing w:before="100" w:beforeAutospacing="1" w:after="100" w:afterAutospacing="1" w:line="240" w:lineRule="auto"/>
        <w:outlineLvl w:val="1"/>
        <w:rPr>
          <w:rFonts w:eastAsia="Times New Roman" w:cs="Times New Roman"/>
          <w:lang w:eastAsia="en-GB"/>
        </w:rPr>
      </w:pPr>
    </w:p>
    <w:p w14:paraId="763379BC" w14:textId="77777777" w:rsidR="007F7FC2" w:rsidRDefault="007F7FC2" w:rsidP="007F7FC2">
      <w:pPr>
        <w:spacing w:before="100" w:beforeAutospacing="1" w:after="100" w:afterAutospacing="1" w:line="240" w:lineRule="auto"/>
        <w:outlineLvl w:val="1"/>
        <w:rPr>
          <w:rFonts w:eastAsia="Times New Roman" w:cs="Times New Roman"/>
          <w:lang w:eastAsia="en-GB"/>
        </w:rPr>
      </w:pPr>
    </w:p>
    <w:p w14:paraId="2FD21D4E" w14:textId="77777777" w:rsidR="007F7FC2" w:rsidRDefault="007F7FC2" w:rsidP="007F7FC2">
      <w:pPr>
        <w:spacing w:before="100" w:beforeAutospacing="1" w:after="100" w:afterAutospacing="1" w:line="240" w:lineRule="auto"/>
        <w:outlineLvl w:val="1"/>
        <w:rPr>
          <w:rFonts w:eastAsia="Times New Roman" w:cs="Times New Roman"/>
          <w:lang w:eastAsia="en-GB"/>
        </w:rPr>
      </w:pPr>
    </w:p>
    <w:p w14:paraId="2ABB047E" w14:textId="77777777" w:rsidR="007F7FC2" w:rsidRDefault="007F7FC2" w:rsidP="007F7FC2">
      <w:pPr>
        <w:spacing w:before="100" w:beforeAutospacing="1" w:after="100" w:afterAutospacing="1" w:line="240" w:lineRule="auto"/>
        <w:outlineLvl w:val="1"/>
        <w:rPr>
          <w:rFonts w:eastAsia="Times New Roman" w:cs="Times New Roman"/>
          <w:lang w:eastAsia="en-GB"/>
        </w:rPr>
      </w:pPr>
    </w:p>
    <w:p w14:paraId="63A8105E" w14:textId="77777777" w:rsidR="007F7FC2" w:rsidRDefault="007F7FC2" w:rsidP="007F7FC2">
      <w:pPr>
        <w:spacing w:before="100" w:beforeAutospacing="1" w:after="100" w:afterAutospacing="1" w:line="240" w:lineRule="auto"/>
        <w:outlineLvl w:val="1"/>
        <w:rPr>
          <w:rFonts w:eastAsia="Times New Roman" w:cs="Times New Roman"/>
          <w:lang w:eastAsia="en-GB"/>
        </w:rPr>
      </w:pPr>
    </w:p>
    <w:p w14:paraId="12A75A19" w14:textId="77777777" w:rsidR="007F7FC2" w:rsidRDefault="007F7FC2" w:rsidP="007F7FC2">
      <w:pPr>
        <w:spacing w:before="100" w:beforeAutospacing="1" w:after="100" w:afterAutospacing="1" w:line="240" w:lineRule="auto"/>
        <w:outlineLvl w:val="1"/>
        <w:rPr>
          <w:rFonts w:eastAsia="Times New Roman" w:cs="Times New Roman"/>
          <w:b/>
          <w:bCs/>
          <w:sz w:val="36"/>
          <w:szCs w:val="36"/>
          <w:lang w:eastAsia="en-GB"/>
        </w:rPr>
      </w:pPr>
    </w:p>
    <w:p w14:paraId="3DC1E6E0" w14:textId="77777777" w:rsidR="007F7FC2" w:rsidRDefault="007F7FC2" w:rsidP="007F7FC2">
      <w:pPr>
        <w:spacing w:before="100" w:beforeAutospacing="1" w:after="100" w:afterAutospacing="1" w:line="240" w:lineRule="auto"/>
        <w:outlineLvl w:val="1"/>
        <w:rPr>
          <w:rFonts w:eastAsia="Times New Roman" w:cs="Times New Roman"/>
          <w:b/>
          <w:bCs/>
          <w:sz w:val="36"/>
          <w:szCs w:val="36"/>
          <w:lang w:eastAsia="en-GB"/>
        </w:rPr>
      </w:pPr>
    </w:p>
    <w:p w14:paraId="1BD7108E" w14:textId="77777777" w:rsidR="007F7FC2" w:rsidRDefault="007F7FC2" w:rsidP="007F7FC2">
      <w:pPr>
        <w:spacing w:before="100" w:beforeAutospacing="1" w:after="100" w:afterAutospacing="1" w:line="240" w:lineRule="auto"/>
        <w:outlineLvl w:val="1"/>
        <w:rPr>
          <w:rFonts w:eastAsia="Times New Roman" w:cs="Times New Roman"/>
          <w:b/>
          <w:bCs/>
          <w:sz w:val="36"/>
          <w:szCs w:val="36"/>
          <w:lang w:eastAsia="en-GB"/>
        </w:rPr>
      </w:pPr>
    </w:p>
    <w:p w14:paraId="4188C1A3" w14:textId="52C2F252" w:rsidR="007F7FC2" w:rsidRPr="006E46CE" w:rsidRDefault="007F7FC2" w:rsidP="007F7FC2">
      <w:pPr>
        <w:spacing w:before="100" w:beforeAutospacing="1" w:after="100" w:afterAutospacing="1" w:line="240" w:lineRule="auto"/>
        <w:outlineLvl w:val="1"/>
        <w:rPr>
          <w:rFonts w:eastAsia="Times New Roman" w:cs="Times New Roman"/>
          <w:b/>
          <w:bCs/>
          <w:sz w:val="36"/>
          <w:szCs w:val="36"/>
          <w:lang w:eastAsia="en-GB"/>
        </w:rPr>
      </w:pPr>
      <w:r w:rsidRPr="006E46CE">
        <w:rPr>
          <w:rFonts w:eastAsia="Times New Roman" w:cs="Times New Roman"/>
          <w:b/>
          <w:bCs/>
          <w:sz w:val="36"/>
          <w:szCs w:val="36"/>
          <w:lang w:eastAsia="en-GB"/>
        </w:rPr>
        <w:t xml:space="preserve">References </w:t>
      </w:r>
    </w:p>
    <w:p w14:paraId="36795BBD" w14:textId="77777777" w:rsidR="007F7FC2" w:rsidRPr="006E46CE" w:rsidRDefault="007F7FC2" w:rsidP="007F7FC2">
      <w:pPr>
        <w:spacing w:before="100" w:beforeAutospacing="1" w:after="100" w:afterAutospacing="1" w:line="240" w:lineRule="auto"/>
        <w:rPr>
          <w:rFonts w:eastAsia="Times New Roman" w:cs="Times New Roman"/>
          <w:lang w:eastAsia="en-GB"/>
        </w:rPr>
      </w:pPr>
      <w:r w:rsidRPr="006E46CE">
        <w:rPr>
          <w:rFonts w:eastAsia="Times New Roman" w:cs="Times New Roman"/>
          <w:lang w:eastAsia="en-GB"/>
        </w:rPr>
        <w:t xml:space="preserve">Bronfenbrenner, U. (1979) </w:t>
      </w:r>
      <w:r w:rsidRPr="006E46CE">
        <w:rPr>
          <w:rFonts w:eastAsia="Times New Roman" w:cs="Times New Roman"/>
          <w:i/>
          <w:iCs/>
          <w:lang w:eastAsia="en-GB"/>
        </w:rPr>
        <w:t>The ecology of human development: Experiments by nature and design</w:t>
      </w:r>
      <w:r w:rsidRPr="006E46CE">
        <w:rPr>
          <w:rFonts w:eastAsia="Times New Roman" w:cs="Times New Roman"/>
          <w:lang w:eastAsia="en-GB"/>
        </w:rPr>
        <w:t>. Cambridge, MA: Harvard University Press.</w:t>
      </w:r>
    </w:p>
    <w:p w14:paraId="68C12D1C" w14:textId="77777777" w:rsidR="007F7FC2" w:rsidRPr="006E46CE" w:rsidRDefault="007F7FC2" w:rsidP="007F7FC2">
      <w:pPr>
        <w:spacing w:before="100" w:beforeAutospacing="1" w:after="100" w:afterAutospacing="1" w:line="240" w:lineRule="auto"/>
        <w:rPr>
          <w:rFonts w:eastAsia="Times New Roman" w:cs="Times New Roman"/>
          <w:lang w:eastAsia="en-GB"/>
        </w:rPr>
      </w:pPr>
      <w:r w:rsidRPr="006E46CE">
        <w:rPr>
          <w:rFonts w:eastAsia="Times New Roman" w:cs="Times New Roman"/>
          <w:lang w:eastAsia="en-GB"/>
        </w:rPr>
        <w:t xml:space="preserve">Featherstone, B., White, S. and Morris, K. (2014) </w:t>
      </w:r>
      <w:r w:rsidRPr="006E46CE">
        <w:rPr>
          <w:rFonts w:eastAsia="Times New Roman" w:cs="Times New Roman"/>
          <w:i/>
          <w:iCs/>
          <w:lang w:eastAsia="en-GB"/>
        </w:rPr>
        <w:t>Re-imagining child protection: Towards humane social work with families</w:t>
      </w:r>
      <w:r w:rsidRPr="006E46CE">
        <w:rPr>
          <w:rFonts w:eastAsia="Times New Roman" w:cs="Times New Roman"/>
          <w:lang w:eastAsia="en-GB"/>
        </w:rPr>
        <w:t>. Bristol: Policy Press.</w:t>
      </w:r>
    </w:p>
    <w:p w14:paraId="55EC8800" w14:textId="77777777" w:rsidR="007F7FC2" w:rsidRPr="006E46CE" w:rsidRDefault="007F7FC2" w:rsidP="007F7FC2">
      <w:pPr>
        <w:spacing w:before="100" w:beforeAutospacing="1" w:after="100" w:afterAutospacing="1" w:line="240" w:lineRule="auto"/>
        <w:rPr>
          <w:rFonts w:eastAsia="Times New Roman" w:cs="Times New Roman"/>
          <w:lang w:eastAsia="en-GB"/>
        </w:rPr>
      </w:pPr>
      <w:r w:rsidRPr="006E46CE">
        <w:rPr>
          <w:rFonts w:eastAsia="Times New Roman" w:cs="Times New Roman"/>
          <w:lang w:eastAsia="en-GB"/>
        </w:rPr>
        <w:t xml:space="preserve">HM Government (2020) </w:t>
      </w:r>
      <w:r w:rsidRPr="006E46CE">
        <w:rPr>
          <w:rFonts w:eastAsia="Times New Roman" w:cs="Times New Roman"/>
          <w:i/>
          <w:iCs/>
          <w:lang w:eastAsia="en-GB"/>
        </w:rPr>
        <w:t>Early help system guide</w:t>
      </w:r>
      <w:r w:rsidRPr="006E46CE">
        <w:rPr>
          <w:rFonts w:eastAsia="Times New Roman" w:cs="Times New Roman"/>
          <w:lang w:eastAsia="en-GB"/>
        </w:rPr>
        <w:t xml:space="preserve">. Available at: </w:t>
      </w:r>
      <w:hyperlink r:id="rId9" w:tgtFrame="_new" w:history="1">
        <w:r w:rsidRPr="006E46CE">
          <w:rPr>
            <w:rFonts w:eastAsia="Times New Roman" w:cs="Times New Roman"/>
            <w:color w:val="0000FF"/>
            <w:u w:val="single"/>
            <w:lang w:eastAsia="en-GB"/>
          </w:rPr>
          <w:t>https://www.gov.uk</w:t>
        </w:r>
      </w:hyperlink>
      <w:r w:rsidRPr="006E46CE">
        <w:rPr>
          <w:rFonts w:eastAsia="Times New Roman" w:cs="Times New Roman"/>
          <w:lang w:eastAsia="en-GB"/>
        </w:rPr>
        <w:t xml:space="preserve"> (Accessed: 11 April 2026).</w:t>
      </w:r>
    </w:p>
    <w:p w14:paraId="6E2A595D" w14:textId="77777777" w:rsidR="007F7FC2" w:rsidRPr="006E46CE" w:rsidRDefault="007F7FC2" w:rsidP="007F7FC2">
      <w:pPr>
        <w:spacing w:before="100" w:beforeAutospacing="1" w:after="100" w:afterAutospacing="1" w:line="240" w:lineRule="auto"/>
        <w:rPr>
          <w:rFonts w:eastAsia="Times New Roman" w:cs="Times New Roman"/>
          <w:lang w:eastAsia="en-GB"/>
        </w:rPr>
      </w:pPr>
      <w:r w:rsidRPr="006E46CE">
        <w:rPr>
          <w:rFonts w:eastAsia="Times New Roman" w:cs="Times New Roman"/>
          <w:lang w:eastAsia="en-GB"/>
        </w:rPr>
        <w:t xml:space="preserve">HM Government (2023) </w:t>
      </w:r>
      <w:r w:rsidRPr="006E46CE">
        <w:rPr>
          <w:rFonts w:eastAsia="Times New Roman" w:cs="Times New Roman"/>
          <w:i/>
          <w:iCs/>
          <w:lang w:eastAsia="en-GB"/>
        </w:rPr>
        <w:t>Working together to safeguard children 2023: A guide to multi-agency working to help, protect and promote the welfare of children</w:t>
      </w:r>
      <w:r w:rsidRPr="006E46CE">
        <w:rPr>
          <w:rFonts w:eastAsia="Times New Roman" w:cs="Times New Roman"/>
          <w:lang w:eastAsia="en-GB"/>
        </w:rPr>
        <w:t xml:space="preserve">. Available at: </w:t>
      </w:r>
      <w:hyperlink r:id="rId10" w:tgtFrame="_new" w:history="1">
        <w:r w:rsidRPr="006E46CE">
          <w:rPr>
            <w:rFonts w:eastAsia="Times New Roman" w:cs="Times New Roman"/>
            <w:color w:val="0000FF"/>
            <w:u w:val="single"/>
            <w:lang w:eastAsia="en-GB"/>
          </w:rPr>
          <w:t>https://www.gov.uk</w:t>
        </w:r>
      </w:hyperlink>
      <w:r w:rsidRPr="006E46CE">
        <w:rPr>
          <w:rFonts w:eastAsia="Times New Roman" w:cs="Times New Roman"/>
          <w:lang w:eastAsia="en-GB"/>
        </w:rPr>
        <w:t xml:space="preserve"> (Accessed: 11 April 2026).</w:t>
      </w:r>
    </w:p>
    <w:p w14:paraId="69B33E2B" w14:textId="77777777" w:rsidR="007F7FC2" w:rsidRPr="006E46CE" w:rsidRDefault="007F7FC2" w:rsidP="007F7FC2">
      <w:pPr>
        <w:spacing w:before="100" w:beforeAutospacing="1" w:after="100" w:afterAutospacing="1" w:line="240" w:lineRule="auto"/>
        <w:rPr>
          <w:rFonts w:eastAsia="Times New Roman" w:cs="Times New Roman"/>
          <w:lang w:eastAsia="en-GB"/>
        </w:rPr>
      </w:pPr>
      <w:r w:rsidRPr="006E46CE">
        <w:rPr>
          <w:rFonts w:eastAsia="Times New Roman" w:cs="Times New Roman"/>
          <w:lang w:eastAsia="en-GB"/>
        </w:rPr>
        <w:t xml:space="preserve">Munro, E. (2011) </w:t>
      </w:r>
      <w:r w:rsidRPr="006E46CE">
        <w:rPr>
          <w:rFonts w:eastAsia="Times New Roman" w:cs="Times New Roman"/>
          <w:i/>
          <w:iCs/>
          <w:lang w:eastAsia="en-GB"/>
        </w:rPr>
        <w:t>The Munro review of child protection: Final report – A child-centred system</w:t>
      </w:r>
      <w:r w:rsidRPr="006E46CE">
        <w:rPr>
          <w:rFonts w:eastAsia="Times New Roman" w:cs="Times New Roman"/>
          <w:lang w:eastAsia="en-GB"/>
        </w:rPr>
        <w:t>. London: Department for Education.</w:t>
      </w:r>
    </w:p>
    <w:p w14:paraId="1C64DB5A" w14:textId="77777777" w:rsidR="007F7FC2" w:rsidRPr="006E46CE" w:rsidRDefault="007F7FC2" w:rsidP="007F7FC2">
      <w:pPr>
        <w:spacing w:before="100" w:beforeAutospacing="1" w:after="100" w:afterAutospacing="1" w:line="240" w:lineRule="auto"/>
        <w:rPr>
          <w:rFonts w:eastAsia="Times New Roman" w:cs="Times New Roman"/>
          <w:lang w:eastAsia="en-GB"/>
        </w:rPr>
      </w:pPr>
      <w:r w:rsidRPr="006E46CE">
        <w:rPr>
          <w:rFonts w:eastAsia="Times New Roman" w:cs="Times New Roman"/>
          <w:lang w:eastAsia="en-GB"/>
        </w:rPr>
        <w:t xml:space="preserve">Nielsen, J. (2020) </w:t>
      </w:r>
      <w:r w:rsidRPr="006E46CE">
        <w:rPr>
          <w:rFonts w:eastAsia="Times New Roman" w:cs="Times New Roman"/>
          <w:i/>
          <w:iCs/>
          <w:lang w:eastAsia="en-GB"/>
        </w:rPr>
        <w:t>Usability engineering</w:t>
      </w:r>
      <w:r w:rsidRPr="006E46CE">
        <w:rPr>
          <w:rFonts w:eastAsia="Times New Roman" w:cs="Times New Roman"/>
          <w:lang w:eastAsia="en-GB"/>
        </w:rPr>
        <w:t xml:space="preserve">. 2nd </w:t>
      </w:r>
      <w:proofErr w:type="spellStart"/>
      <w:r w:rsidRPr="006E46CE">
        <w:rPr>
          <w:rFonts w:eastAsia="Times New Roman" w:cs="Times New Roman"/>
          <w:lang w:eastAsia="en-GB"/>
        </w:rPr>
        <w:t>edn</w:t>
      </w:r>
      <w:proofErr w:type="spellEnd"/>
      <w:r w:rsidRPr="006E46CE">
        <w:rPr>
          <w:rFonts w:eastAsia="Times New Roman" w:cs="Times New Roman"/>
          <w:lang w:eastAsia="en-GB"/>
        </w:rPr>
        <w:t>. San Francisco: Morgan Kaufmann.</w:t>
      </w:r>
    </w:p>
    <w:p w14:paraId="643FDC77" w14:textId="77777777" w:rsidR="007F7FC2" w:rsidRPr="006E46CE" w:rsidRDefault="007F7FC2" w:rsidP="007F7FC2">
      <w:pPr>
        <w:spacing w:before="100" w:beforeAutospacing="1" w:after="100" w:afterAutospacing="1" w:line="240" w:lineRule="auto"/>
        <w:rPr>
          <w:rFonts w:eastAsia="Times New Roman" w:cs="Times New Roman"/>
          <w:lang w:eastAsia="en-GB"/>
        </w:rPr>
      </w:pPr>
      <w:r w:rsidRPr="006E46CE">
        <w:rPr>
          <w:rFonts w:eastAsia="Times New Roman" w:cs="Times New Roman"/>
          <w:lang w:eastAsia="en-GB"/>
        </w:rPr>
        <w:t xml:space="preserve">Parton, N. (2014) </w:t>
      </w:r>
      <w:r w:rsidRPr="006E46CE">
        <w:rPr>
          <w:rFonts w:eastAsia="Times New Roman" w:cs="Times New Roman"/>
          <w:i/>
          <w:iCs/>
          <w:lang w:eastAsia="en-GB"/>
        </w:rPr>
        <w:t>The politics of child protection: Contemporary developments and future directions</w:t>
      </w:r>
      <w:r w:rsidRPr="006E46CE">
        <w:rPr>
          <w:rFonts w:eastAsia="Times New Roman" w:cs="Times New Roman"/>
          <w:lang w:eastAsia="en-GB"/>
        </w:rPr>
        <w:t>. Basingstoke: Palgrave Macmillan.</w:t>
      </w:r>
    </w:p>
    <w:p w14:paraId="480FD18A" w14:textId="77777777" w:rsidR="00033E7C" w:rsidRPr="00C03A91" w:rsidRDefault="00033E7C" w:rsidP="00C03A91">
      <w:pPr>
        <w:spacing w:line="360" w:lineRule="auto"/>
        <w:rPr>
          <w:rFonts w:ascii="Arial" w:hAnsi="Arial" w:cs="Arial"/>
          <w:sz w:val="28"/>
          <w:szCs w:val="28"/>
        </w:rPr>
      </w:pPr>
    </w:p>
    <w:p w14:paraId="1C1B5B6E" w14:textId="77777777" w:rsidR="001B7A40" w:rsidRPr="00C03A91" w:rsidRDefault="001B7A40" w:rsidP="00C03A91">
      <w:pPr>
        <w:spacing w:line="360" w:lineRule="auto"/>
        <w:rPr>
          <w:rFonts w:ascii="Arial" w:hAnsi="Arial" w:cs="Arial"/>
        </w:rPr>
      </w:pPr>
    </w:p>
    <w:sectPr w:rsidR="001B7A40" w:rsidRPr="00C03A91" w:rsidSect="00370282">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7E2CDB8" w14:textId="77777777" w:rsidR="004B52BF" w:rsidRDefault="004B52BF" w:rsidP="00C03A91">
      <w:pPr>
        <w:spacing w:after="0" w:line="240" w:lineRule="auto"/>
      </w:pPr>
      <w:r>
        <w:separator/>
      </w:r>
    </w:p>
  </w:endnote>
  <w:endnote w:type="continuationSeparator" w:id="0">
    <w:p w14:paraId="5F2A7228" w14:textId="77777777" w:rsidR="004B52BF" w:rsidRDefault="004B52BF" w:rsidP="00C03A9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0013923"/>
      <w:docPartObj>
        <w:docPartGallery w:val="Page Numbers (Bottom of Page)"/>
        <w:docPartUnique/>
      </w:docPartObj>
    </w:sdtPr>
    <w:sdtEndPr>
      <w:rPr>
        <w:rFonts w:ascii="Arial" w:hAnsi="Arial" w:cs="Arial"/>
        <w:noProof/>
        <w:sz w:val="22"/>
      </w:rPr>
    </w:sdtEndPr>
    <w:sdtContent>
      <w:p w14:paraId="77A430F9" w14:textId="682EAD2D" w:rsidR="00C03A91" w:rsidRPr="00C03A91" w:rsidRDefault="00C03A91">
        <w:pPr>
          <w:pStyle w:val="Footer"/>
          <w:jc w:val="center"/>
          <w:rPr>
            <w:rFonts w:ascii="Arial" w:hAnsi="Arial" w:cs="Arial"/>
            <w:sz w:val="22"/>
          </w:rPr>
        </w:pPr>
        <w:r w:rsidRPr="00C03A91">
          <w:rPr>
            <w:rFonts w:ascii="Arial" w:hAnsi="Arial" w:cs="Arial"/>
            <w:sz w:val="22"/>
          </w:rPr>
          <w:fldChar w:fldCharType="begin"/>
        </w:r>
        <w:r w:rsidRPr="00C03A91">
          <w:rPr>
            <w:rFonts w:ascii="Arial" w:hAnsi="Arial" w:cs="Arial"/>
            <w:sz w:val="22"/>
          </w:rPr>
          <w:instrText xml:space="preserve"> PAGE   \* MERGEFORMAT </w:instrText>
        </w:r>
        <w:r w:rsidRPr="00C03A91">
          <w:rPr>
            <w:rFonts w:ascii="Arial" w:hAnsi="Arial" w:cs="Arial"/>
            <w:sz w:val="22"/>
          </w:rPr>
          <w:fldChar w:fldCharType="separate"/>
        </w:r>
        <w:r w:rsidRPr="00C03A91">
          <w:rPr>
            <w:rFonts w:ascii="Arial" w:hAnsi="Arial" w:cs="Arial"/>
            <w:noProof/>
            <w:sz w:val="22"/>
          </w:rPr>
          <w:t>2</w:t>
        </w:r>
        <w:r w:rsidRPr="00C03A91">
          <w:rPr>
            <w:rFonts w:ascii="Arial" w:hAnsi="Arial" w:cs="Arial"/>
            <w:noProof/>
            <w:sz w:val="22"/>
          </w:rPr>
          <w:fldChar w:fldCharType="end"/>
        </w:r>
      </w:p>
    </w:sdtContent>
  </w:sdt>
  <w:p w14:paraId="545B1AFD" w14:textId="77777777" w:rsidR="00C03A91" w:rsidRDefault="00C03A9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28B192A" w14:textId="77777777" w:rsidR="004B52BF" w:rsidRDefault="004B52BF" w:rsidP="00C03A91">
      <w:pPr>
        <w:spacing w:after="0" w:line="240" w:lineRule="auto"/>
      </w:pPr>
      <w:r>
        <w:separator/>
      </w:r>
    </w:p>
  </w:footnote>
  <w:footnote w:type="continuationSeparator" w:id="0">
    <w:p w14:paraId="4D0F86B5" w14:textId="77777777" w:rsidR="004B52BF" w:rsidRDefault="004B52BF" w:rsidP="00C03A9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B37546"/>
    <w:multiLevelType w:val="multilevel"/>
    <w:tmpl w:val="94AAD5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9677D3B"/>
    <w:multiLevelType w:val="multilevel"/>
    <w:tmpl w:val="4D1A52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CD34D74"/>
    <w:multiLevelType w:val="hybridMultilevel"/>
    <w:tmpl w:val="51D61134"/>
    <w:lvl w:ilvl="0" w:tplc="EC38CEE8">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6B276D1"/>
    <w:multiLevelType w:val="hybridMultilevel"/>
    <w:tmpl w:val="F822C6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D3303D5"/>
    <w:multiLevelType w:val="multilevel"/>
    <w:tmpl w:val="744055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10823CB"/>
    <w:multiLevelType w:val="hybridMultilevel"/>
    <w:tmpl w:val="04D002F2"/>
    <w:lvl w:ilvl="0" w:tplc="4FCA66CC">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15178BD"/>
    <w:multiLevelType w:val="hybridMultilevel"/>
    <w:tmpl w:val="8238249E"/>
    <w:lvl w:ilvl="0" w:tplc="A1DE2AB4">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7AA0C25"/>
    <w:multiLevelType w:val="hybridMultilevel"/>
    <w:tmpl w:val="E9923FE8"/>
    <w:lvl w:ilvl="0" w:tplc="995CE72A">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83C6FF2"/>
    <w:multiLevelType w:val="hybridMultilevel"/>
    <w:tmpl w:val="3E4C742C"/>
    <w:lvl w:ilvl="0" w:tplc="5A447094">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89F2D98"/>
    <w:multiLevelType w:val="hybridMultilevel"/>
    <w:tmpl w:val="74ECEC4A"/>
    <w:lvl w:ilvl="0" w:tplc="D28A8A56">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0E80B5D"/>
    <w:multiLevelType w:val="multilevel"/>
    <w:tmpl w:val="26E8D6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FA80BD7"/>
    <w:multiLevelType w:val="multilevel"/>
    <w:tmpl w:val="B05E82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01377E9"/>
    <w:multiLevelType w:val="multilevel"/>
    <w:tmpl w:val="E12022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1891B8E"/>
    <w:multiLevelType w:val="multilevel"/>
    <w:tmpl w:val="7EE479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617545B"/>
    <w:multiLevelType w:val="multilevel"/>
    <w:tmpl w:val="CBC28B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93E4B85"/>
    <w:multiLevelType w:val="multilevel"/>
    <w:tmpl w:val="ED58DF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F0C5BFA"/>
    <w:multiLevelType w:val="multilevel"/>
    <w:tmpl w:val="AB64A8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5953614"/>
    <w:multiLevelType w:val="hybridMultilevel"/>
    <w:tmpl w:val="E3F25C66"/>
    <w:lvl w:ilvl="0" w:tplc="C0FC25F0">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8B044BF"/>
    <w:multiLevelType w:val="multilevel"/>
    <w:tmpl w:val="4F46AE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BE5457F"/>
    <w:multiLevelType w:val="multilevel"/>
    <w:tmpl w:val="9FE6AB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ECA6362"/>
    <w:multiLevelType w:val="multilevel"/>
    <w:tmpl w:val="D15E88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52944685">
    <w:abstractNumId w:val="7"/>
  </w:num>
  <w:num w:numId="2" w16cid:durableId="1940680655">
    <w:abstractNumId w:val="5"/>
  </w:num>
  <w:num w:numId="3" w16cid:durableId="1890221906">
    <w:abstractNumId w:val="3"/>
  </w:num>
  <w:num w:numId="4" w16cid:durableId="396249628">
    <w:abstractNumId w:val="9"/>
  </w:num>
  <w:num w:numId="5" w16cid:durableId="156192234">
    <w:abstractNumId w:val="17"/>
  </w:num>
  <w:num w:numId="6" w16cid:durableId="926303317">
    <w:abstractNumId w:val="8"/>
  </w:num>
  <w:num w:numId="7" w16cid:durableId="1188908463">
    <w:abstractNumId w:val="2"/>
  </w:num>
  <w:num w:numId="8" w16cid:durableId="567612098">
    <w:abstractNumId w:val="6"/>
  </w:num>
  <w:num w:numId="9" w16cid:durableId="1276475242">
    <w:abstractNumId w:val="14"/>
  </w:num>
  <w:num w:numId="10" w16cid:durableId="779684608">
    <w:abstractNumId w:val="13"/>
  </w:num>
  <w:num w:numId="11" w16cid:durableId="1903372129">
    <w:abstractNumId w:val="1"/>
  </w:num>
  <w:num w:numId="12" w16cid:durableId="1557274381">
    <w:abstractNumId w:val="20"/>
  </w:num>
  <w:num w:numId="13" w16cid:durableId="942762966">
    <w:abstractNumId w:val="11"/>
  </w:num>
  <w:num w:numId="14" w16cid:durableId="1296447421">
    <w:abstractNumId w:val="4"/>
  </w:num>
  <w:num w:numId="15" w16cid:durableId="1045719379">
    <w:abstractNumId w:val="19"/>
  </w:num>
  <w:num w:numId="16" w16cid:durableId="1782414958">
    <w:abstractNumId w:val="15"/>
  </w:num>
  <w:num w:numId="17" w16cid:durableId="1464035366">
    <w:abstractNumId w:val="0"/>
  </w:num>
  <w:num w:numId="18" w16cid:durableId="651642000">
    <w:abstractNumId w:val="10"/>
  </w:num>
  <w:num w:numId="19" w16cid:durableId="182519887">
    <w:abstractNumId w:val="16"/>
  </w:num>
  <w:num w:numId="20" w16cid:durableId="713189962">
    <w:abstractNumId w:val="18"/>
  </w:num>
  <w:num w:numId="21" w16cid:durableId="830563797">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7745"/>
    <w:rsid w:val="00033E7C"/>
    <w:rsid w:val="00076AC0"/>
    <w:rsid w:val="000C4EDA"/>
    <w:rsid w:val="000F6CC6"/>
    <w:rsid w:val="001B7A40"/>
    <w:rsid w:val="001F6DDB"/>
    <w:rsid w:val="002007E1"/>
    <w:rsid w:val="00216C85"/>
    <w:rsid w:val="00273EDD"/>
    <w:rsid w:val="002C3965"/>
    <w:rsid w:val="002D5EDB"/>
    <w:rsid w:val="002F2C0A"/>
    <w:rsid w:val="00321C4C"/>
    <w:rsid w:val="00343645"/>
    <w:rsid w:val="00370282"/>
    <w:rsid w:val="0039087F"/>
    <w:rsid w:val="003E03CB"/>
    <w:rsid w:val="004577F7"/>
    <w:rsid w:val="00460B1A"/>
    <w:rsid w:val="004B52BF"/>
    <w:rsid w:val="005247B0"/>
    <w:rsid w:val="005851AD"/>
    <w:rsid w:val="00653893"/>
    <w:rsid w:val="006A2644"/>
    <w:rsid w:val="00764F2A"/>
    <w:rsid w:val="00790926"/>
    <w:rsid w:val="007A7297"/>
    <w:rsid w:val="007E7745"/>
    <w:rsid w:val="007F7FC2"/>
    <w:rsid w:val="008353D4"/>
    <w:rsid w:val="008828C9"/>
    <w:rsid w:val="009D1D1E"/>
    <w:rsid w:val="009E3AEA"/>
    <w:rsid w:val="00A035FD"/>
    <w:rsid w:val="00AA4DD8"/>
    <w:rsid w:val="00AF2969"/>
    <w:rsid w:val="00B21D29"/>
    <w:rsid w:val="00B22CB8"/>
    <w:rsid w:val="00B92565"/>
    <w:rsid w:val="00BD0069"/>
    <w:rsid w:val="00BD4F8F"/>
    <w:rsid w:val="00C03A91"/>
    <w:rsid w:val="00CD2863"/>
    <w:rsid w:val="00CE7A90"/>
    <w:rsid w:val="00D73FB0"/>
    <w:rsid w:val="00DA2A1E"/>
    <w:rsid w:val="00DA709B"/>
    <w:rsid w:val="00DA7664"/>
    <w:rsid w:val="00DB6D4B"/>
    <w:rsid w:val="00DD2BF9"/>
    <w:rsid w:val="00E2038D"/>
    <w:rsid w:val="00EA1C4A"/>
    <w:rsid w:val="00EB12BC"/>
    <w:rsid w:val="00F0292E"/>
    <w:rsid w:val="00F137E3"/>
    <w:rsid w:val="00F44C8F"/>
    <w:rsid w:val="00FD739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35F9BC9"/>
  <w15:chartTrackingRefBased/>
  <w15:docId w15:val="{8EB1080A-AF07-4431-94ED-C80E0754A8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2C3965"/>
    <w:pPr>
      <w:keepNext/>
      <w:keepLines/>
      <w:spacing w:before="240" w:after="0"/>
      <w:outlineLvl w:val="0"/>
    </w:pPr>
    <w:rPr>
      <w:rFonts w:ascii="Arial" w:eastAsiaTheme="majorEastAsia" w:hAnsi="Arial" w:cstheme="majorBidi"/>
      <w:b/>
      <w:sz w:val="32"/>
      <w:szCs w:val="32"/>
    </w:rPr>
  </w:style>
  <w:style w:type="paragraph" w:styleId="Heading2">
    <w:name w:val="heading 2"/>
    <w:basedOn w:val="Normal"/>
    <w:next w:val="Normal"/>
    <w:link w:val="Heading2Char"/>
    <w:autoRedefine/>
    <w:uiPriority w:val="9"/>
    <w:unhideWhenUsed/>
    <w:qFormat/>
    <w:rsid w:val="00A035FD"/>
    <w:pPr>
      <w:keepNext/>
      <w:keepLines/>
      <w:spacing w:before="40" w:after="0"/>
      <w:outlineLvl w:val="1"/>
    </w:pPr>
    <w:rPr>
      <w:rFonts w:ascii="Arial" w:eastAsiaTheme="majorEastAsia" w:hAnsi="Arial" w:cstheme="majorBidi"/>
      <w:b/>
      <w:i/>
      <w:color w:val="2F5496" w:themeColor="accent1" w:themeShade="BF"/>
      <w:sz w:val="26"/>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C3965"/>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A035FD"/>
    <w:rPr>
      <w:rFonts w:ascii="Arial" w:eastAsiaTheme="majorEastAsia" w:hAnsi="Arial" w:cstheme="majorBidi"/>
      <w:b/>
      <w:i/>
      <w:color w:val="2F5496" w:themeColor="accent1" w:themeShade="BF"/>
      <w:sz w:val="26"/>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table" w:styleId="TableGrid">
    <w:name w:val="Table Grid"/>
    <w:basedOn w:val="TableNormal"/>
    <w:uiPriority w:val="39"/>
    <w:rsid w:val="007E774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7E7745"/>
    <w:rPr>
      <w:color w:val="0563C1" w:themeColor="hyperlink"/>
      <w:u w:val="single"/>
    </w:rPr>
  </w:style>
  <w:style w:type="character" w:styleId="UnresolvedMention">
    <w:name w:val="Unresolved Mention"/>
    <w:basedOn w:val="DefaultParagraphFont"/>
    <w:uiPriority w:val="99"/>
    <w:semiHidden/>
    <w:unhideWhenUsed/>
    <w:rsid w:val="007E7745"/>
    <w:rPr>
      <w:color w:val="605E5C"/>
      <w:shd w:val="clear" w:color="auto" w:fill="E1DFDD"/>
    </w:rPr>
  </w:style>
  <w:style w:type="paragraph" w:styleId="Header">
    <w:name w:val="header"/>
    <w:basedOn w:val="Normal"/>
    <w:link w:val="HeaderChar"/>
    <w:uiPriority w:val="99"/>
    <w:unhideWhenUsed/>
    <w:rsid w:val="00C03A91"/>
    <w:pPr>
      <w:tabs>
        <w:tab w:val="center" w:pos="4513"/>
        <w:tab w:val="right" w:pos="9026"/>
      </w:tabs>
      <w:spacing w:after="0" w:line="240" w:lineRule="auto"/>
    </w:pPr>
  </w:style>
  <w:style w:type="character" w:customStyle="1" w:styleId="HeaderChar">
    <w:name w:val="Header Char"/>
    <w:basedOn w:val="DefaultParagraphFont"/>
    <w:link w:val="Header"/>
    <w:uiPriority w:val="99"/>
    <w:rsid w:val="00C03A91"/>
  </w:style>
  <w:style w:type="paragraph" w:styleId="Footer">
    <w:name w:val="footer"/>
    <w:basedOn w:val="Normal"/>
    <w:link w:val="FooterChar"/>
    <w:uiPriority w:val="99"/>
    <w:unhideWhenUsed/>
    <w:rsid w:val="00C03A91"/>
    <w:pPr>
      <w:tabs>
        <w:tab w:val="center" w:pos="4513"/>
        <w:tab w:val="right" w:pos="9026"/>
      </w:tabs>
      <w:spacing w:after="0" w:line="240" w:lineRule="auto"/>
    </w:pPr>
  </w:style>
  <w:style w:type="character" w:customStyle="1" w:styleId="FooterChar">
    <w:name w:val="Footer Char"/>
    <w:basedOn w:val="DefaultParagraphFont"/>
    <w:link w:val="Footer"/>
    <w:uiPriority w:val="99"/>
    <w:rsid w:val="00C03A91"/>
  </w:style>
  <w:style w:type="paragraph" w:styleId="ListParagraph">
    <w:name w:val="List Paragraph"/>
    <w:basedOn w:val="Normal"/>
    <w:uiPriority w:val="34"/>
    <w:qFormat/>
    <w:rsid w:val="00FD7392"/>
    <w:pPr>
      <w:ind w:left="720"/>
      <w:contextualSpacing/>
    </w:pPr>
  </w:style>
  <w:style w:type="character" w:styleId="FollowedHyperlink">
    <w:name w:val="FollowedHyperlink"/>
    <w:basedOn w:val="DefaultParagraphFont"/>
    <w:uiPriority w:val="99"/>
    <w:semiHidden/>
    <w:unhideWhenUsed/>
    <w:rsid w:val="00AF2969"/>
    <w:rPr>
      <w:color w:val="954F72" w:themeColor="followedHyperlink"/>
      <w:u w:val="single"/>
    </w:rPr>
  </w:style>
  <w:style w:type="paragraph" w:styleId="NormalWeb">
    <w:name w:val="Normal (Web)"/>
    <w:basedOn w:val="Normal"/>
    <w:uiPriority w:val="99"/>
    <w:semiHidden/>
    <w:unhideWhenUsed/>
    <w:rsid w:val="002007E1"/>
    <w:pPr>
      <w:spacing w:before="100" w:beforeAutospacing="1" w:after="100" w:afterAutospacing="1" w:line="240" w:lineRule="auto"/>
    </w:pPr>
    <w:rPr>
      <w:rFonts w:eastAsia="Times New Roman" w:cs="Times New Roman"/>
      <w:szCs w:val="24"/>
      <w:lang w:eastAsia="en-GB"/>
    </w:rPr>
  </w:style>
  <w:style w:type="character" w:customStyle="1" w:styleId="whitespace-normal">
    <w:name w:val="whitespace-normal"/>
    <w:basedOn w:val="DefaultParagraphFont"/>
    <w:rsid w:val="002007E1"/>
  </w:style>
  <w:style w:type="character" w:styleId="Emphasis">
    <w:name w:val="Emphasis"/>
    <w:basedOn w:val="DefaultParagraphFont"/>
    <w:uiPriority w:val="20"/>
    <w:qFormat/>
    <w:rsid w:val="002007E1"/>
    <w:rPr>
      <w:i/>
      <w:iCs/>
    </w:rPr>
  </w:style>
  <w:style w:type="character" w:styleId="Strong">
    <w:name w:val="Strong"/>
    <w:basedOn w:val="DefaultParagraphFont"/>
    <w:uiPriority w:val="22"/>
    <w:qFormat/>
    <w:rsid w:val="002007E1"/>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681523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www.gov.uk" TargetMode="External"/><Relationship Id="rId4" Type="http://schemas.openxmlformats.org/officeDocument/2006/relationships/webSettings" Target="webSettings.xml"/><Relationship Id="rId9" Type="http://schemas.openxmlformats.org/officeDocument/2006/relationships/hyperlink" Target="https://www.gov.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8</Pages>
  <Words>2428</Words>
  <Characters>13845</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Management 009345</cp:lastModifiedBy>
  <cp:revision>3</cp:revision>
  <cp:lastPrinted>2026-04-08T10:29:00Z</cp:lastPrinted>
  <dcterms:created xsi:type="dcterms:W3CDTF">2026-04-12T18:18:00Z</dcterms:created>
  <dcterms:modified xsi:type="dcterms:W3CDTF">2026-04-12T18:19:00Z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b64a6509-f6a8-419a-99e9-fb6a1b8a1ec6</vt:lpwstr>
  </property>
</Properties>
</file>