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91C55" w:rsidP="145AC16E" w:rsidRDefault="00BC0556" w14:paraId="07254D53" w14:textId="165517C2">
      <w:pPr>
        <w:pStyle w:val="Heading3"/>
        <w:rPr>
          <w:sz w:val="40"/>
          <w:szCs w:val="40"/>
        </w:rPr>
      </w:pPr>
      <w:r>
        <w:rPr>
          <w:noProof/>
        </w:rPr>
        <w:drawing>
          <wp:inline distT="0" distB="0" distL="0" distR="0" wp14:anchorId="06FE98B9" wp14:editId="7035ABE0">
            <wp:extent cx="1793240" cy="675640"/>
            <wp:effectExtent l="0" t="0" r="0" b="0"/>
            <wp:docPr id="800927997"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27997" name="Picture 800927997"/>
                    <pic:cNvPicPr/>
                  </pic:nvPicPr>
                  <pic:blipFill>
                    <a:blip r:embed="rId8">
                      <a:extLst>
                        <a:ext uri="{28A0092B-C50C-407E-A947-70E740481C1C}">
                          <a14:useLocalDpi xmlns:a14="http://schemas.microsoft.com/office/drawing/2010/main"/>
                        </a:ext>
                      </a:extLst>
                    </a:blip>
                    <a:stretch>
                      <a:fillRect/>
                    </a:stretch>
                  </pic:blipFill>
                  <pic:spPr>
                    <a:xfrm>
                      <a:off x="0" y="0"/>
                      <a:ext cx="1793240" cy="675640"/>
                    </a:xfrm>
                    <a:prstGeom prst="rect">
                      <a:avLst/>
                    </a:prstGeom>
                  </pic:spPr>
                </pic:pic>
              </a:graphicData>
            </a:graphic>
          </wp:inline>
        </w:drawing>
      </w:r>
    </w:p>
    <w:p w:rsidRPr="003B15AE" w:rsidR="003B15AE" w:rsidP="003B15AE" w:rsidRDefault="003B15AE" w14:paraId="51460553" w14:textId="77777777"/>
    <w:p w:rsidR="1A33F8B0" w:rsidP="001021EE" w:rsidRDefault="1A33F8B0" w14:paraId="65EE8DEF" w14:textId="2E90E170">
      <w:pPr>
        <w:pStyle w:val="Heading3"/>
        <w:jc w:val="center"/>
        <w:rPr>
          <w:rFonts w:ascii="Arial" w:hAnsi="Arial" w:eastAsia="Arial" w:cs="Arial"/>
          <w:sz w:val="40"/>
          <w:szCs w:val="40"/>
        </w:rPr>
      </w:pPr>
      <w:bookmarkStart w:name="_Toc286503948" w:id="522393361"/>
      <w:r w:rsidRPr="3A68F3DD" w:rsidR="1A33F8B0">
        <w:rPr>
          <w:sz w:val="40"/>
          <w:szCs w:val="40"/>
        </w:rPr>
        <w:t>Title: Strategic Management</w:t>
      </w:r>
      <w:bookmarkEnd w:id="522393361"/>
    </w:p>
    <w:p w:rsidR="50D05E9E" w:rsidP="50D05E9E" w:rsidRDefault="50D05E9E" w14:paraId="1FBC5114" w14:textId="3070ABFB">
      <w:pPr>
        <w:jc w:val="center"/>
      </w:pPr>
    </w:p>
    <w:p w:rsidR="50D05E9E" w:rsidP="50D05E9E" w:rsidRDefault="50D05E9E" w14:paraId="5E037B37" w14:textId="5FBEE610">
      <w:pPr>
        <w:jc w:val="center"/>
      </w:pPr>
    </w:p>
    <w:p w:rsidR="24857319" w:rsidP="1CCD2970" w:rsidRDefault="24857319" w14:paraId="5FC9DBF5" w14:textId="301E7452">
      <w:pPr>
        <w:jc w:val="center"/>
      </w:pPr>
      <w:r>
        <w:rPr>
          <w:noProof/>
        </w:rPr>
        <w:drawing>
          <wp:inline distT="0" distB="0" distL="0" distR="0" wp14:anchorId="59715FF1" wp14:editId="1A4DA403">
            <wp:extent cx="5943600" cy="3371850"/>
            <wp:effectExtent l="0" t="0" r="0" b="0"/>
            <wp:docPr id="1370972998" name="drawing" descr="Is a Hatchback-Style Model Y on the Horizon? Here's Why Project Junip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397731" name="Picture 1725397731"/>
                    <pic:cNvPicPr/>
                  </pic:nvPicPr>
                  <pic:blipFill>
                    <a:blip r:embed="rId9">
                      <a:extLst>
                        <a:ext uri="{28A0092B-C50C-407E-A947-70E740481C1C}">
                          <a14:useLocalDpi xmlns:a14="http://schemas.microsoft.com/office/drawing/2010/main"/>
                        </a:ext>
                      </a:extLst>
                    </a:blip>
                    <a:stretch>
                      <a:fillRect/>
                    </a:stretch>
                  </pic:blipFill>
                  <pic:spPr>
                    <a:xfrm>
                      <a:off x="0" y="0"/>
                      <a:ext cx="5943600" cy="3371850"/>
                    </a:xfrm>
                    <a:prstGeom prst="rect">
                      <a:avLst/>
                    </a:prstGeom>
                  </pic:spPr>
                </pic:pic>
              </a:graphicData>
            </a:graphic>
          </wp:inline>
        </w:drawing>
      </w:r>
    </w:p>
    <w:p w:rsidR="1CCD2970" w:rsidP="1CCD2970" w:rsidRDefault="1CCD2970" w14:paraId="0BC8B326" w14:textId="0AEDBE0D">
      <w:pPr>
        <w:jc w:val="center"/>
      </w:pPr>
    </w:p>
    <w:p w:rsidR="1CCD2970" w:rsidP="50D05E9E" w:rsidRDefault="1CCD2970" w14:paraId="382BBC70" w14:textId="10FA2E40">
      <w:pPr>
        <w:jc w:val="center"/>
        <w:rPr>
          <w:rFonts w:ascii="Arial" w:hAnsi="Arial" w:eastAsia="Arial" w:cs="Arial"/>
          <w:color w:val="000000" w:themeColor="text1"/>
        </w:rPr>
      </w:pPr>
    </w:p>
    <w:p w:rsidR="00F52F10" w:rsidP="50D05E9E" w:rsidRDefault="00F52F10" w14:paraId="5B7ADFF8" w14:textId="77777777">
      <w:pPr>
        <w:keepNext/>
        <w:keepLines/>
        <w:spacing w:line="360" w:lineRule="auto"/>
        <w:jc w:val="center"/>
        <w:rPr>
          <w:rFonts w:ascii="Arial" w:hAnsi="Arial" w:eastAsia="Arial" w:cs="Arial"/>
          <w:sz w:val="40"/>
          <w:szCs w:val="40"/>
        </w:rPr>
      </w:pPr>
    </w:p>
    <w:p w:rsidR="00BF1256" w:rsidP="50D05E9E" w:rsidRDefault="00BF1256" w14:paraId="62BB3E30" w14:textId="77777777">
      <w:pPr>
        <w:keepNext/>
        <w:keepLines/>
        <w:spacing w:line="360" w:lineRule="auto"/>
        <w:jc w:val="center"/>
        <w:rPr>
          <w:rFonts w:ascii="Arial" w:hAnsi="Arial" w:eastAsia="Arial" w:cs="Arial"/>
          <w:sz w:val="40"/>
          <w:szCs w:val="40"/>
        </w:rPr>
      </w:pPr>
    </w:p>
    <w:p w:rsidR="00F52F10" w:rsidP="50D05E9E" w:rsidRDefault="00F52F10" w14:paraId="333A2953" w14:textId="77777777">
      <w:pPr>
        <w:keepNext/>
        <w:keepLines/>
        <w:spacing w:line="360" w:lineRule="auto"/>
        <w:jc w:val="center"/>
        <w:rPr>
          <w:rFonts w:ascii="Arial" w:hAnsi="Arial" w:eastAsia="Arial" w:cs="Arial"/>
          <w:sz w:val="40"/>
          <w:szCs w:val="40"/>
        </w:rPr>
      </w:pPr>
    </w:p>
    <w:p w:rsidR="09664869" w:rsidP="50D05E9E" w:rsidRDefault="0ED36E15" w14:paraId="6EBA520D" w14:textId="44956B17">
      <w:pPr>
        <w:keepNext/>
        <w:keepLines/>
        <w:spacing w:line="360" w:lineRule="auto"/>
        <w:jc w:val="center"/>
        <w:rPr>
          <w:rFonts w:ascii="Arial" w:hAnsi="Arial" w:eastAsia="Arial" w:cs="Arial"/>
          <w:color w:val="0F4761" w:themeColor="accent1" w:themeShade="BF"/>
          <w:sz w:val="40"/>
          <w:szCs w:val="40"/>
        </w:rPr>
      </w:pPr>
      <w:r w:rsidRPr="50D05E9E">
        <w:rPr>
          <w:rFonts w:ascii="Arial" w:hAnsi="Arial" w:eastAsia="Arial" w:cs="Arial"/>
          <w:sz w:val="40"/>
          <w:szCs w:val="40"/>
        </w:rPr>
        <w:t>Student name: Alicia Naomi Blake</w:t>
      </w:r>
    </w:p>
    <w:p w:rsidR="09664869" w:rsidP="50D05E9E" w:rsidRDefault="0ED36E15" w14:paraId="1C53F76D" w14:textId="13601628">
      <w:pPr>
        <w:keepNext/>
        <w:keepLines/>
        <w:spacing w:line="360" w:lineRule="auto"/>
        <w:jc w:val="center"/>
        <w:rPr>
          <w:rFonts w:ascii="Arial" w:hAnsi="Arial" w:eastAsia="Arial" w:cs="Arial"/>
          <w:color w:val="0F4761" w:themeColor="accent1" w:themeShade="BF"/>
          <w:sz w:val="40"/>
          <w:szCs w:val="40"/>
        </w:rPr>
      </w:pPr>
      <w:r w:rsidRPr="50D05E9E">
        <w:rPr>
          <w:rFonts w:ascii="Arial" w:hAnsi="Arial" w:eastAsia="Arial" w:cs="Arial"/>
          <w:sz w:val="40"/>
          <w:szCs w:val="40"/>
        </w:rPr>
        <w:t>Student number: 2208796</w:t>
      </w:r>
    </w:p>
    <w:p w:rsidR="09664869" w:rsidP="50D05E9E" w:rsidRDefault="0ED36E15" w14:paraId="0951E2A1" w14:textId="2C766199">
      <w:pPr>
        <w:spacing w:line="360" w:lineRule="auto"/>
        <w:jc w:val="center"/>
        <w:rPr>
          <w:rFonts w:ascii="Arial" w:hAnsi="Arial" w:eastAsia="Arial" w:cs="Arial"/>
          <w:color w:val="0F4761" w:themeColor="accent1" w:themeShade="BF"/>
          <w:sz w:val="40"/>
          <w:szCs w:val="40"/>
        </w:rPr>
      </w:pPr>
      <w:r w:rsidRPr="50D05E9E">
        <w:rPr>
          <w:rFonts w:ascii="Arial" w:hAnsi="Arial" w:eastAsia="Arial" w:cs="Arial"/>
          <w:sz w:val="40"/>
          <w:szCs w:val="40"/>
        </w:rPr>
        <w:t>Module:</w:t>
      </w:r>
      <w:r w:rsidRPr="50D05E9E" w:rsidR="57658973">
        <w:rPr>
          <w:rFonts w:ascii="Arial" w:hAnsi="Arial" w:eastAsia="Arial" w:cs="Arial"/>
          <w:sz w:val="40"/>
          <w:szCs w:val="40"/>
        </w:rPr>
        <w:t xml:space="preserve"> Strategic Management</w:t>
      </w:r>
    </w:p>
    <w:p w:rsidR="09664869" w:rsidP="50D05E9E" w:rsidRDefault="0ED36E15" w14:paraId="39F269F1" w14:textId="54382385">
      <w:pPr>
        <w:keepNext/>
        <w:keepLines/>
        <w:spacing w:line="360" w:lineRule="auto"/>
        <w:jc w:val="center"/>
        <w:rPr>
          <w:rFonts w:ascii="Arial" w:hAnsi="Arial" w:eastAsia="Arial" w:cs="Arial"/>
          <w:b/>
          <w:bCs/>
          <w:color w:val="000000" w:themeColor="text1"/>
          <w:sz w:val="40"/>
          <w:szCs w:val="40"/>
          <w:lang w:val="en-GB"/>
        </w:rPr>
      </w:pPr>
      <w:r w:rsidRPr="50D05E9E">
        <w:rPr>
          <w:rFonts w:ascii="Arial" w:hAnsi="Arial" w:eastAsia="Arial" w:cs="Arial"/>
          <w:sz w:val="40"/>
          <w:szCs w:val="40"/>
        </w:rPr>
        <w:t>Module Code:</w:t>
      </w:r>
      <w:r w:rsidRPr="50D05E9E" w:rsidR="258275D9">
        <w:rPr>
          <w:rFonts w:ascii="Arial" w:hAnsi="Arial" w:eastAsia="Arial" w:cs="Arial"/>
          <w:sz w:val="40"/>
          <w:szCs w:val="40"/>
        </w:rPr>
        <w:t xml:space="preserve"> LCMB7003</w:t>
      </w:r>
    </w:p>
    <w:p w:rsidR="09664869" w:rsidP="50D05E9E" w:rsidRDefault="0ED36E15" w14:paraId="7160A8EB" w14:textId="5110B69B">
      <w:pPr>
        <w:keepNext/>
        <w:keepLines/>
        <w:spacing w:line="360" w:lineRule="auto"/>
        <w:jc w:val="center"/>
        <w:rPr>
          <w:rFonts w:ascii="Arial" w:hAnsi="Arial" w:eastAsia="Arial" w:cs="Arial"/>
          <w:color w:val="0F4761" w:themeColor="accent1" w:themeShade="BF"/>
          <w:sz w:val="40"/>
          <w:szCs w:val="40"/>
        </w:rPr>
      </w:pPr>
      <w:r w:rsidRPr="50D05E9E">
        <w:rPr>
          <w:rFonts w:ascii="Arial" w:hAnsi="Arial" w:eastAsia="Arial" w:cs="Arial"/>
          <w:sz w:val="40"/>
          <w:szCs w:val="40"/>
        </w:rPr>
        <w:t xml:space="preserve">Lecturer: </w:t>
      </w:r>
      <w:r w:rsidRPr="50D05E9E" w:rsidR="7303679E">
        <w:rPr>
          <w:rFonts w:ascii="Arial" w:hAnsi="Arial" w:eastAsia="Arial" w:cs="Arial"/>
          <w:sz w:val="40"/>
          <w:szCs w:val="40"/>
        </w:rPr>
        <w:t>Dr</w:t>
      </w:r>
      <w:r w:rsidR="008044D3">
        <w:rPr>
          <w:rFonts w:ascii="Arial" w:hAnsi="Arial" w:eastAsia="Arial" w:cs="Arial"/>
          <w:sz w:val="40"/>
          <w:szCs w:val="40"/>
        </w:rPr>
        <w:t>.</w:t>
      </w:r>
      <w:r w:rsidRPr="50D05E9E" w:rsidR="7303679E">
        <w:rPr>
          <w:rFonts w:ascii="Arial" w:hAnsi="Arial" w:eastAsia="Arial" w:cs="Arial"/>
          <w:sz w:val="40"/>
          <w:szCs w:val="40"/>
        </w:rPr>
        <w:t xml:space="preserve"> Robart Ejike </w:t>
      </w:r>
      <w:proofErr w:type="spellStart"/>
      <w:r w:rsidRPr="50D05E9E" w:rsidR="7303679E">
        <w:rPr>
          <w:rFonts w:ascii="Arial" w:hAnsi="Arial" w:eastAsia="Arial" w:cs="Arial"/>
          <w:sz w:val="40"/>
          <w:szCs w:val="40"/>
        </w:rPr>
        <w:t>Udeogu</w:t>
      </w:r>
      <w:proofErr w:type="spellEnd"/>
    </w:p>
    <w:p w:rsidR="09664869" w:rsidP="50D05E9E" w:rsidRDefault="0ED36E15" w14:paraId="2894427F" w14:textId="7E2CF32C">
      <w:pPr>
        <w:spacing w:line="360" w:lineRule="auto"/>
        <w:jc w:val="center"/>
        <w:rPr>
          <w:rFonts w:ascii="Arial" w:hAnsi="Arial" w:eastAsia="Arial" w:cs="Arial"/>
          <w:color w:val="0F4761" w:themeColor="accent1" w:themeShade="BF"/>
          <w:sz w:val="40"/>
          <w:szCs w:val="40"/>
        </w:rPr>
      </w:pPr>
      <w:r w:rsidRPr="50D05E9E">
        <w:rPr>
          <w:rFonts w:ascii="Arial" w:hAnsi="Arial" w:eastAsia="Arial" w:cs="Arial"/>
          <w:sz w:val="40"/>
          <w:szCs w:val="40"/>
        </w:rPr>
        <w:t>Submission Date:</w:t>
      </w:r>
      <w:r w:rsidRPr="50D05E9E" w:rsidR="1C042D90">
        <w:rPr>
          <w:rFonts w:ascii="Arial" w:hAnsi="Arial" w:eastAsia="Arial" w:cs="Arial"/>
          <w:sz w:val="40"/>
          <w:szCs w:val="40"/>
        </w:rPr>
        <w:t xml:space="preserve"> Friday 24th July 2026</w:t>
      </w:r>
    </w:p>
    <w:p w:rsidR="50D05E9E" w:rsidP="50D05E9E" w:rsidRDefault="50D05E9E" w14:paraId="548D7FD0" w14:textId="5BC00AF3">
      <w:pPr>
        <w:spacing w:before="120" w:after="120"/>
        <w:jc w:val="center"/>
        <w:rPr>
          <w:rFonts w:ascii="Arial" w:hAnsi="Arial" w:eastAsia="Arial" w:cs="Arial"/>
          <w:color w:val="0F4761" w:themeColor="accent1" w:themeShade="BF"/>
          <w:sz w:val="36"/>
          <w:szCs w:val="36"/>
        </w:rPr>
      </w:pPr>
    </w:p>
    <w:p w:rsidR="50D05E9E" w:rsidP="50D05E9E" w:rsidRDefault="50D05E9E" w14:paraId="23BA098F" w14:textId="0E280303">
      <w:pPr>
        <w:spacing w:before="120" w:after="120"/>
        <w:jc w:val="center"/>
        <w:rPr>
          <w:rFonts w:ascii="Arial" w:hAnsi="Arial" w:eastAsia="Arial" w:cs="Arial"/>
          <w:color w:val="0F4761" w:themeColor="accent1" w:themeShade="BF"/>
          <w:sz w:val="36"/>
          <w:szCs w:val="36"/>
        </w:rPr>
      </w:pPr>
    </w:p>
    <w:p w:rsidR="50D05E9E" w:rsidP="50D05E9E" w:rsidRDefault="50D05E9E" w14:paraId="48B19CDA" w14:textId="70732BA8">
      <w:pPr>
        <w:spacing w:before="120" w:after="120"/>
        <w:rPr>
          <w:rFonts w:ascii="Arial" w:hAnsi="Arial" w:eastAsia="Arial" w:cs="Arial"/>
          <w:color w:val="0F4761" w:themeColor="accent1" w:themeShade="BF"/>
          <w:sz w:val="36"/>
          <w:szCs w:val="36"/>
        </w:rPr>
      </w:pPr>
    </w:p>
    <w:p w:rsidR="50D05E9E" w:rsidP="50D05E9E" w:rsidRDefault="50D05E9E" w14:paraId="6D7FCDA5" w14:textId="09AADD5D">
      <w:pPr>
        <w:spacing w:before="120" w:after="120"/>
        <w:rPr>
          <w:rFonts w:ascii="Arial" w:hAnsi="Arial" w:eastAsia="Arial" w:cs="Arial"/>
          <w:color w:val="0F4761" w:themeColor="accent1" w:themeShade="BF"/>
          <w:sz w:val="36"/>
          <w:szCs w:val="36"/>
        </w:rPr>
      </w:pPr>
    </w:p>
    <w:p w:rsidR="50D05E9E" w:rsidP="50D05E9E" w:rsidRDefault="50D05E9E" w14:paraId="5CD8E5FF" w14:textId="1514F04C">
      <w:pPr>
        <w:spacing w:before="120" w:after="120"/>
        <w:rPr>
          <w:rFonts w:ascii="Arial" w:hAnsi="Arial" w:eastAsia="Arial" w:cs="Arial"/>
          <w:color w:val="0F4761" w:themeColor="accent1" w:themeShade="BF"/>
          <w:sz w:val="36"/>
          <w:szCs w:val="36"/>
        </w:rPr>
      </w:pPr>
    </w:p>
    <w:p w:rsidR="50D05E9E" w:rsidP="50D05E9E" w:rsidRDefault="50D05E9E" w14:paraId="1DAD6C31" w14:textId="389A5540">
      <w:pPr>
        <w:spacing w:before="120" w:after="120"/>
        <w:rPr>
          <w:rFonts w:ascii="Arial" w:hAnsi="Arial" w:eastAsia="Arial" w:cs="Arial"/>
          <w:color w:val="0F4761" w:themeColor="accent1" w:themeShade="BF"/>
          <w:sz w:val="36"/>
          <w:szCs w:val="36"/>
        </w:rPr>
      </w:pPr>
    </w:p>
    <w:p w:rsidR="50D05E9E" w:rsidP="50D05E9E" w:rsidRDefault="50D05E9E" w14:paraId="4034C4B7" w14:textId="170C9227">
      <w:pPr>
        <w:spacing w:before="120" w:after="120"/>
        <w:rPr>
          <w:rFonts w:ascii="Arial" w:hAnsi="Arial" w:eastAsia="Arial" w:cs="Arial"/>
          <w:color w:val="0F4761" w:themeColor="accent1" w:themeShade="BF"/>
          <w:sz w:val="36"/>
          <w:szCs w:val="36"/>
        </w:rPr>
      </w:pPr>
    </w:p>
    <w:p w:rsidR="50D05E9E" w:rsidP="50D05E9E" w:rsidRDefault="50D05E9E" w14:paraId="5CB5A343" w14:textId="4C99ABAD">
      <w:pPr>
        <w:spacing w:before="120" w:after="120"/>
        <w:rPr>
          <w:rFonts w:ascii="Arial" w:hAnsi="Arial" w:eastAsia="Arial" w:cs="Arial"/>
          <w:color w:val="0F4761" w:themeColor="accent1" w:themeShade="BF"/>
          <w:sz w:val="36"/>
          <w:szCs w:val="36"/>
        </w:rPr>
      </w:pPr>
    </w:p>
    <w:p w:rsidR="50D05E9E" w:rsidP="50D05E9E" w:rsidRDefault="50D05E9E" w14:paraId="7BF2FDD8" w14:textId="67426E86">
      <w:pPr>
        <w:spacing w:before="120" w:after="120"/>
        <w:rPr>
          <w:rFonts w:ascii="Arial" w:hAnsi="Arial" w:eastAsia="Arial" w:cs="Arial"/>
          <w:color w:val="0F4761" w:themeColor="accent1" w:themeShade="BF"/>
          <w:sz w:val="36"/>
          <w:szCs w:val="36"/>
        </w:rPr>
      </w:pPr>
    </w:p>
    <w:p w:rsidR="50D05E9E" w:rsidP="50D05E9E" w:rsidRDefault="50D05E9E" w14:paraId="011F38F8" w14:textId="2FCEFDE1">
      <w:pPr>
        <w:spacing w:before="120" w:after="120"/>
        <w:rPr>
          <w:rFonts w:ascii="Arial" w:hAnsi="Arial" w:eastAsia="Arial" w:cs="Arial"/>
          <w:color w:val="0F4761" w:themeColor="accent1" w:themeShade="BF"/>
          <w:sz w:val="36"/>
          <w:szCs w:val="36"/>
        </w:rPr>
      </w:pPr>
    </w:p>
    <w:p w:rsidR="50D05E9E" w:rsidP="145AC16E" w:rsidRDefault="50D05E9E" w14:paraId="7F776B4F" w14:textId="23797711">
      <w:pPr>
        <w:spacing w:before="120" w:after="120"/>
        <w:rPr>
          <w:rFonts w:ascii="Arial" w:hAnsi="Arial" w:eastAsia="Arial" w:cs="Arial"/>
          <w:color w:val="0F4761" w:themeColor="accent1" w:themeShade="BF"/>
          <w:sz w:val="36"/>
          <w:szCs w:val="36"/>
        </w:rPr>
      </w:pPr>
    </w:p>
    <w:p w:rsidR="4DD9F442" w:rsidP="3A68F3DD" w:rsidRDefault="4DD9F442" w14:paraId="690A8781" w14:textId="6A21177C">
      <w:pPr>
        <w:pStyle w:val="Heading2"/>
        <w:spacing w:before="120" w:after="120" w:line="360" w:lineRule="auto"/>
        <w:rPr>
          <w:rFonts w:ascii="Arial" w:hAnsi="Arial" w:eastAsia="Arial" w:cs="Arial"/>
          <w:b w:val="1"/>
          <w:bCs w:val="1"/>
          <w:sz w:val="28"/>
          <w:szCs w:val="28"/>
        </w:rPr>
      </w:pPr>
      <w:bookmarkStart w:name="_Toc166539262" w:id="1917445781"/>
      <w:r w:rsidRPr="3A68F3DD" w:rsidR="4DD9F442">
        <w:rPr>
          <w:rFonts w:ascii="Arial" w:hAnsi="Arial" w:eastAsia="Arial" w:cs="Arial"/>
          <w:b w:val="1"/>
          <w:bCs w:val="1"/>
          <w:sz w:val="28"/>
          <w:szCs w:val="28"/>
        </w:rPr>
        <w:t>Executive Summary</w:t>
      </w:r>
      <w:bookmarkEnd w:id="1917445781"/>
    </w:p>
    <w:p w:rsidR="4DD9F442" w:rsidP="3A68F3DD" w:rsidRDefault="4DD9F442" w14:paraId="360E8DD8" w14:textId="0FC15E7F">
      <w:pPr>
        <w:pStyle w:val="Normal"/>
        <w:spacing w:before="240" w:after="240" w:line="360" w:lineRule="auto"/>
      </w:pPr>
      <w:r w:rsidRPr="3A68F3DD" w:rsidR="4DD9F442">
        <w:rPr>
          <w:rFonts w:ascii="Arial" w:hAnsi="Arial" w:eastAsia="Arial" w:cs="Arial"/>
        </w:rPr>
        <w:t xml:space="preserve">This report evaluates Tesla, Inc.’s strategic position within the United States electric vehicle (EV) market from the perspective of a strategic management consultant. The analysis applies established strategic frameworks, including PESTEL, VRIO, SWOT, Porter’s Five Forces, </w:t>
      </w:r>
      <w:r w:rsidRPr="3A68F3DD" w:rsidR="4DD9F442">
        <w:rPr>
          <w:rFonts w:ascii="Arial" w:hAnsi="Arial" w:eastAsia="Arial" w:cs="Arial"/>
        </w:rPr>
        <w:t>Ansoff</w:t>
      </w:r>
      <w:r w:rsidRPr="3A68F3DD" w:rsidR="4DD9F442">
        <w:rPr>
          <w:rFonts w:ascii="Arial" w:hAnsi="Arial" w:eastAsia="Arial" w:cs="Arial"/>
        </w:rPr>
        <w:t>’s Matrix, Corporate Social Responsibility (CSR), and the Balanced Scorecard, to evaluate Tesla’s current competitive position and future strategic direction</w:t>
      </w:r>
      <w:r w:rsidR="49FC106F">
        <w:rPr/>
        <w:t xml:space="preserve"> </w:t>
      </w:r>
      <w:r w:rsidR="78B3DEAF">
        <w:rPr/>
        <w:t xml:space="preserve">(Hako, 1972; </w:t>
      </w:r>
      <w:r w:rsidR="49FC106F">
        <w:rPr/>
        <w:t>Richard et al., 2009)</w:t>
      </w:r>
      <w:r w:rsidRPr="3A68F3DD" w:rsidR="4DD9F442">
        <w:rPr>
          <w:rFonts w:ascii="Arial" w:hAnsi="Arial" w:eastAsia="Arial" w:cs="Arial"/>
        </w:rPr>
        <w:t>.</w:t>
      </w:r>
    </w:p>
    <w:p w:rsidR="4DD9F442" w:rsidP="3A68F3DD" w:rsidRDefault="4DD9F442" w14:paraId="18A1F476" w14:textId="4C853A5E">
      <w:pPr>
        <w:pStyle w:val="Normal"/>
        <w:spacing w:before="240" w:after="240" w:line="360" w:lineRule="auto"/>
      </w:pPr>
      <w:r w:rsidRPr="3A68F3DD" w:rsidR="4DD9F442">
        <w:rPr>
          <w:rFonts w:ascii="Arial" w:hAnsi="Arial" w:eastAsia="Arial" w:cs="Arial"/>
        </w:rPr>
        <w:t xml:space="preserve">The findings </w:t>
      </w:r>
      <w:r w:rsidRPr="3A68F3DD" w:rsidR="4DD9F442">
        <w:rPr>
          <w:rFonts w:ascii="Arial" w:hAnsi="Arial" w:eastAsia="Arial" w:cs="Arial"/>
        </w:rPr>
        <w:t>indicate</w:t>
      </w:r>
      <w:r w:rsidRPr="3A68F3DD" w:rsidR="4DD9F442">
        <w:rPr>
          <w:rFonts w:ascii="Arial" w:hAnsi="Arial" w:eastAsia="Arial" w:cs="Arial"/>
        </w:rPr>
        <w:t xml:space="preserve"> that Tesla </w:t>
      </w:r>
      <w:r w:rsidRPr="3A68F3DD" w:rsidR="4DD9F442">
        <w:rPr>
          <w:rFonts w:ascii="Arial" w:hAnsi="Arial" w:eastAsia="Arial" w:cs="Arial"/>
        </w:rPr>
        <w:t>maintains</w:t>
      </w:r>
      <w:r w:rsidRPr="3A68F3DD" w:rsidR="4DD9F442">
        <w:rPr>
          <w:rFonts w:ascii="Arial" w:hAnsi="Arial" w:eastAsia="Arial" w:cs="Arial"/>
        </w:rPr>
        <w:t xml:space="preserve"> significant competitive advantages through technological innovation, brand equity, vertical integration, software capabilities, and its </w:t>
      </w:r>
      <w:r w:rsidRPr="3A68F3DD" w:rsidR="4DD9F442">
        <w:rPr>
          <w:rFonts w:ascii="Arial" w:hAnsi="Arial" w:eastAsia="Arial" w:cs="Arial"/>
        </w:rPr>
        <w:t>sustainable energy</w:t>
      </w:r>
      <w:r w:rsidRPr="3A68F3DD" w:rsidR="4DD9F442">
        <w:rPr>
          <w:rFonts w:ascii="Arial" w:hAnsi="Arial" w:eastAsia="Arial" w:cs="Arial"/>
        </w:rPr>
        <w:t xml:space="preserve"> ecosystem</w:t>
      </w:r>
      <w:r w:rsidRPr="3A68F3DD" w:rsidR="2C9BED48">
        <w:rPr>
          <w:rFonts w:ascii="Arial" w:hAnsi="Arial" w:eastAsia="Arial" w:cs="Arial"/>
        </w:rPr>
        <w:t xml:space="preserve"> </w:t>
      </w:r>
      <w:r w:rsidRPr="3A68F3DD" w:rsidR="2C9BED48">
        <w:rPr>
          <w:rFonts w:ascii="Arial" w:hAnsi="Arial" w:eastAsia="Arial" w:cs="Arial"/>
          <w:noProof w:val="0"/>
          <w:sz w:val="24"/>
          <w:szCs w:val="24"/>
          <w:lang w:val="en-US"/>
        </w:rPr>
        <w:t>(Alger</w:t>
      </w:r>
      <w:r w:rsidRPr="3A68F3DD" w:rsidR="2C9BED48">
        <w:rPr>
          <w:rFonts w:ascii="Arial" w:hAnsi="Arial" w:eastAsia="Arial" w:cs="Arial"/>
          <w:noProof w:val="0"/>
          <w:sz w:val="24"/>
          <w:szCs w:val="24"/>
          <w:lang w:val="en-US"/>
        </w:rPr>
        <w:t xml:space="preserve">, </w:t>
      </w:r>
      <w:r w:rsidRPr="3A68F3DD" w:rsidR="2C9BED48">
        <w:rPr>
          <w:rFonts w:ascii="Arial" w:hAnsi="Arial" w:eastAsia="Arial" w:cs="Arial"/>
          <w:noProof w:val="0"/>
          <w:sz w:val="24"/>
          <w:szCs w:val="24"/>
          <w:lang w:val="en-US"/>
        </w:rPr>
        <w:t>Velegol</w:t>
      </w:r>
      <w:r w:rsidRPr="3A68F3DD" w:rsidR="2C9BED48">
        <w:rPr>
          <w:rFonts w:ascii="Arial" w:hAnsi="Arial" w:eastAsia="Arial" w:cs="Arial"/>
          <w:noProof w:val="0"/>
          <w:sz w:val="24"/>
          <w:szCs w:val="24"/>
          <w:lang w:val="en-US"/>
        </w:rPr>
        <w:t xml:space="preserve"> and Shi, 2021)</w:t>
      </w:r>
      <w:r w:rsidRPr="3A68F3DD" w:rsidR="4DD9F442">
        <w:rPr>
          <w:rFonts w:ascii="Arial" w:hAnsi="Arial" w:eastAsia="Arial" w:cs="Arial"/>
        </w:rPr>
        <w:t xml:space="preserve">. However, increasing competition from </w:t>
      </w:r>
      <w:r w:rsidRPr="3A68F3DD" w:rsidR="4DD9F442">
        <w:rPr>
          <w:rFonts w:ascii="Arial" w:hAnsi="Arial" w:eastAsia="Arial" w:cs="Arial"/>
        </w:rPr>
        <w:t>established</w:t>
      </w:r>
      <w:r w:rsidRPr="3A68F3DD" w:rsidR="4DD9F442">
        <w:rPr>
          <w:rFonts w:ascii="Arial" w:hAnsi="Arial" w:eastAsia="Arial" w:cs="Arial"/>
        </w:rPr>
        <w:t xml:space="preserve"> automotive manufacturers and EV specialists, declining price differentiation, supply-chain vulnerabilities, regulatory uncertainty, and operational pressures threaten the sustainability of these advantages.</w:t>
      </w:r>
    </w:p>
    <w:p w:rsidR="4DD9F442" w:rsidP="3A68F3DD" w:rsidRDefault="4DD9F442" w14:paraId="29728BF7" w14:textId="552DC9D3">
      <w:pPr>
        <w:pStyle w:val="Normal"/>
        <w:spacing w:before="240" w:after="240" w:line="360" w:lineRule="auto"/>
      </w:pPr>
      <w:r w:rsidRPr="3A68F3DD" w:rsidR="64193022">
        <w:rPr>
          <w:rFonts w:ascii="Arial" w:hAnsi="Arial" w:eastAsia="Arial" w:cs="Arial"/>
        </w:rPr>
        <w:t>Huang, (</w:t>
      </w:r>
      <w:r w:rsidRPr="3A68F3DD" w:rsidR="64193022">
        <w:rPr>
          <w:rFonts w:ascii="Arial" w:hAnsi="Arial" w:eastAsia="Arial" w:cs="Arial"/>
        </w:rPr>
        <w:t>2023)</w:t>
      </w:r>
      <w:r w:rsidRPr="3A68F3DD" w:rsidR="4DD9F442">
        <w:rPr>
          <w:rFonts w:ascii="Arial" w:hAnsi="Arial" w:eastAsia="Arial" w:cs="Arial"/>
        </w:rPr>
        <w:t xml:space="preserve"> argues that Tesla should adopt a hybrid </w:t>
      </w:r>
      <w:r w:rsidRPr="3A68F3DD" w:rsidR="00076DEB">
        <w:rPr>
          <w:rFonts w:ascii="Arial" w:hAnsi="Arial" w:eastAsia="Arial" w:cs="Arial"/>
        </w:rPr>
        <w:t>differentiation and</w:t>
      </w:r>
      <w:r w:rsidRPr="3A68F3DD" w:rsidR="004C590A">
        <w:rPr>
          <w:rFonts w:ascii="Arial" w:hAnsi="Arial" w:eastAsia="Arial" w:cs="Arial"/>
        </w:rPr>
        <w:t xml:space="preserve"> </w:t>
      </w:r>
      <w:r w:rsidRPr="3A68F3DD" w:rsidR="00076DEB">
        <w:rPr>
          <w:rFonts w:ascii="Arial" w:hAnsi="Arial" w:eastAsia="Arial" w:cs="Arial"/>
        </w:rPr>
        <w:t>cost</w:t>
      </w:r>
      <w:r w:rsidRPr="3A68F3DD" w:rsidR="004C590A">
        <w:rPr>
          <w:rFonts w:ascii="Arial" w:hAnsi="Arial" w:eastAsia="Arial" w:cs="Arial"/>
        </w:rPr>
        <w:t xml:space="preserve"> </w:t>
      </w:r>
      <w:r w:rsidRPr="3A68F3DD" w:rsidR="00076DEB">
        <w:rPr>
          <w:rFonts w:ascii="Arial" w:hAnsi="Arial" w:eastAsia="Arial" w:cs="Arial"/>
        </w:rPr>
        <w:t>efficiency</w:t>
      </w:r>
      <w:r w:rsidRPr="3A68F3DD" w:rsidR="4DD9F442">
        <w:rPr>
          <w:rFonts w:ascii="Arial" w:hAnsi="Arial" w:eastAsia="Arial" w:cs="Arial"/>
        </w:rPr>
        <w:t xml:space="preserve"> strategy. This approach would allow Tesla to </w:t>
      </w:r>
      <w:r w:rsidRPr="3A68F3DD" w:rsidR="4DD9F442">
        <w:rPr>
          <w:rFonts w:ascii="Arial" w:hAnsi="Arial" w:eastAsia="Arial" w:cs="Arial"/>
        </w:rPr>
        <w:t>maintain</w:t>
      </w:r>
      <w:r w:rsidRPr="3A68F3DD" w:rsidR="4DD9F442">
        <w:rPr>
          <w:rFonts w:ascii="Arial" w:hAnsi="Arial" w:eastAsia="Arial" w:cs="Arial"/>
        </w:rPr>
        <w:t xml:space="preserve"> its technological leadership while improving affordability, operational scalability, and long-term profitability</w:t>
      </w:r>
      <w:r w:rsidRPr="3A68F3DD" w:rsidR="02DB8124">
        <w:rPr>
          <w:rFonts w:ascii="Arial" w:hAnsi="Arial" w:eastAsia="Arial" w:cs="Arial"/>
          <w:noProof w:val="0"/>
          <w:sz w:val="24"/>
          <w:szCs w:val="24"/>
          <w:lang w:val="en-US"/>
        </w:rPr>
        <w:t xml:space="preserve"> (Huang, 2023)</w:t>
      </w:r>
      <w:r w:rsidRPr="3A68F3DD" w:rsidR="4DD9F442">
        <w:rPr>
          <w:rFonts w:ascii="Arial" w:hAnsi="Arial" w:eastAsia="Arial" w:cs="Arial"/>
        </w:rPr>
        <w:t>. Strategic priorities should include developing lower-cost EV platforms, strengthening supply-chain resilience, expanding software-based revenue streams, and enhancing sustainability practices.</w:t>
      </w:r>
    </w:p>
    <w:p w:rsidR="4DD9F442" w:rsidP="145AC16E" w:rsidRDefault="4DD9F442" w14:paraId="7579E1D0" w14:textId="5BD1F321">
      <w:pPr>
        <w:spacing w:before="240" w:after="240" w:line="360" w:lineRule="auto"/>
      </w:pPr>
      <w:r w:rsidRPr="145AC16E">
        <w:rPr>
          <w:rFonts w:ascii="Arial" w:hAnsi="Arial" w:eastAsia="Arial" w:cs="Arial"/>
        </w:rPr>
        <w:t>Overall, Tesla’s future success depends on transitioning from an innovation-led EV disruptor into a resilient sustainable mobility ecosystem capable of delivering technological value, operational efficiency, and long-term stakeholder value.</w:t>
      </w:r>
    </w:p>
    <w:p w:rsidR="145AC16E" w:rsidP="145AC16E" w:rsidRDefault="145AC16E" w14:paraId="1EBFE888" w14:textId="3A864D20">
      <w:pPr>
        <w:spacing w:before="240" w:after="240" w:line="360" w:lineRule="auto"/>
        <w:rPr>
          <w:rFonts w:ascii="Arial" w:hAnsi="Arial" w:eastAsia="Arial" w:cs="Arial"/>
        </w:rPr>
      </w:pPr>
    </w:p>
    <w:p w:rsidR="145AC16E" w:rsidP="145AC16E" w:rsidRDefault="145AC16E" w14:paraId="488EC342" w14:textId="18A4FC1E">
      <w:pPr>
        <w:spacing w:before="240" w:after="240" w:line="360" w:lineRule="auto"/>
        <w:rPr>
          <w:rFonts w:ascii="Arial" w:hAnsi="Arial" w:eastAsia="Arial" w:cs="Arial"/>
        </w:rPr>
      </w:pPr>
    </w:p>
    <w:p w:rsidR="145AC16E" w:rsidP="145AC16E" w:rsidRDefault="145AC16E" w14:paraId="34FDFCB2" w14:textId="09AEC0B6">
      <w:pPr>
        <w:spacing w:before="240" w:after="240" w:line="360" w:lineRule="auto"/>
        <w:rPr>
          <w:rFonts w:ascii="Arial" w:hAnsi="Arial" w:eastAsia="Arial" w:cs="Arial"/>
        </w:rPr>
      </w:pPr>
    </w:p>
    <w:p w:rsidR="145AC16E" w:rsidP="145AC16E" w:rsidRDefault="145AC16E" w14:paraId="78D4350B" w14:textId="587FAB45">
      <w:pPr>
        <w:spacing w:before="240" w:after="240" w:line="360" w:lineRule="auto"/>
        <w:rPr>
          <w:rFonts w:ascii="Arial" w:hAnsi="Arial" w:eastAsia="Arial" w:cs="Arial"/>
        </w:rPr>
      </w:pPr>
    </w:p>
    <w:sdt>
      <w:sdtPr>
        <w:id w:val="1579057397"/>
        <w:docPartObj>
          <w:docPartGallery w:val="Table of Contents"/>
          <w:docPartUnique/>
        </w:docPartObj>
      </w:sdtPr>
      <w:sdtContent>
        <w:p w:rsidR="3A68F3DD" w:rsidP="3A68F3DD" w:rsidRDefault="3A68F3DD" w14:paraId="43BBA1A8" w14:textId="529E6E17">
          <w:pPr>
            <w:pStyle w:val="TOC3"/>
            <w:tabs>
              <w:tab w:val="right" w:leader="dot" w:pos="9360"/>
            </w:tabs>
            <w:bidi w:val="0"/>
            <w:rPr>
              <w:rStyle w:val="Hyperlink"/>
            </w:rPr>
          </w:pPr>
          <w:r>
            <w:fldChar w:fldCharType="begin"/>
          </w:r>
          <w:r>
            <w:instrText xml:space="preserve">TOC \o \z \u \h</w:instrText>
          </w:r>
          <w:r>
            <w:fldChar w:fldCharType="separate"/>
          </w:r>
          <w:hyperlink w:anchor="_Toc286503948">
            <w:r w:rsidRPr="3A68F3DD" w:rsidR="3A68F3DD">
              <w:rPr>
                <w:rStyle w:val="Hyperlink"/>
              </w:rPr>
              <w:t>Title: Strategic Management</w:t>
            </w:r>
            <w:r>
              <w:tab/>
            </w:r>
            <w:r>
              <w:fldChar w:fldCharType="begin"/>
            </w:r>
            <w:r>
              <w:instrText xml:space="preserve">PAGEREF _Toc286503948 \h</w:instrText>
            </w:r>
            <w:r>
              <w:fldChar w:fldCharType="separate"/>
            </w:r>
            <w:r w:rsidRPr="3A68F3DD" w:rsidR="3A68F3DD">
              <w:rPr>
                <w:rStyle w:val="Hyperlink"/>
              </w:rPr>
              <w:t>1</w:t>
            </w:r>
            <w:r>
              <w:fldChar w:fldCharType="end"/>
            </w:r>
          </w:hyperlink>
        </w:p>
        <w:p w:rsidR="3A68F3DD" w:rsidP="3A68F3DD" w:rsidRDefault="3A68F3DD" w14:paraId="4BD7030B" w14:textId="3198DAA4">
          <w:pPr>
            <w:pStyle w:val="TOC2"/>
            <w:tabs>
              <w:tab w:val="right" w:leader="dot" w:pos="9360"/>
            </w:tabs>
            <w:bidi w:val="0"/>
            <w:rPr>
              <w:rStyle w:val="Hyperlink"/>
            </w:rPr>
          </w:pPr>
          <w:hyperlink w:anchor="_Toc166539262">
            <w:r w:rsidRPr="3A68F3DD" w:rsidR="3A68F3DD">
              <w:rPr>
                <w:rStyle w:val="Hyperlink"/>
              </w:rPr>
              <w:t>Executive Summary</w:t>
            </w:r>
            <w:r>
              <w:tab/>
            </w:r>
            <w:r>
              <w:fldChar w:fldCharType="begin"/>
            </w:r>
            <w:r>
              <w:instrText xml:space="preserve">PAGEREF _Toc166539262 \h</w:instrText>
            </w:r>
            <w:r>
              <w:fldChar w:fldCharType="separate"/>
            </w:r>
            <w:r w:rsidRPr="3A68F3DD" w:rsidR="3A68F3DD">
              <w:rPr>
                <w:rStyle w:val="Hyperlink"/>
              </w:rPr>
              <w:t>3</w:t>
            </w:r>
            <w:r>
              <w:fldChar w:fldCharType="end"/>
            </w:r>
          </w:hyperlink>
        </w:p>
        <w:p w:rsidR="3A68F3DD" w:rsidP="3A68F3DD" w:rsidRDefault="3A68F3DD" w14:paraId="7C593EAD" w14:textId="7B444579">
          <w:pPr>
            <w:pStyle w:val="TOC2"/>
            <w:tabs>
              <w:tab w:val="right" w:leader="dot" w:pos="9360"/>
            </w:tabs>
            <w:bidi w:val="0"/>
            <w:rPr>
              <w:rStyle w:val="Hyperlink"/>
            </w:rPr>
          </w:pPr>
          <w:hyperlink w:anchor="_Toc1293440227">
            <w:r w:rsidRPr="3A68F3DD" w:rsidR="3A68F3DD">
              <w:rPr>
                <w:rStyle w:val="Hyperlink"/>
              </w:rPr>
              <w:t>Introduction</w:t>
            </w:r>
            <w:r>
              <w:tab/>
            </w:r>
            <w:r>
              <w:fldChar w:fldCharType="begin"/>
            </w:r>
            <w:r>
              <w:instrText xml:space="preserve">PAGEREF _Toc1293440227 \h</w:instrText>
            </w:r>
            <w:r>
              <w:fldChar w:fldCharType="separate"/>
            </w:r>
            <w:r w:rsidRPr="3A68F3DD" w:rsidR="3A68F3DD">
              <w:rPr>
                <w:rStyle w:val="Hyperlink"/>
              </w:rPr>
              <w:t>4</w:t>
            </w:r>
            <w:r>
              <w:fldChar w:fldCharType="end"/>
            </w:r>
          </w:hyperlink>
        </w:p>
        <w:p w:rsidR="3A68F3DD" w:rsidP="3A68F3DD" w:rsidRDefault="3A68F3DD" w14:paraId="17317CC8" w14:textId="4BF85712">
          <w:pPr>
            <w:pStyle w:val="TOC2"/>
            <w:tabs>
              <w:tab w:val="right" w:leader="dot" w:pos="9360"/>
            </w:tabs>
            <w:bidi w:val="0"/>
            <w:rPr>
              <w:rStyle w:val="Hyperlink"/>
            </w:rPr>
          </w:pPr>
          <w:hyperlink w:anchor="_Toc1524337801">
            <w:r w:rsidRPr="3A68F3DD" w:rsidR="3A68F3DD">
              <w:rPr>
                <w:rStyle w:val="Hyperlink"/>
              </w:rPr>
              <w:t>1. Organisational Context and Overview</w:t>
            </w:r>
            <w:r>
              <w:tab/>
            </w:r>
            <w:r>
              <w:fldChar w:fldCharType="begin"/>
            </w:r>
            <w:r>
              <w:instrText xml:space="preserve">PAGEREF _Toc1524337801 \h</w:instrText>
            </w:r>
            <w:r>
              <w:fldChar w:fldCharType="separate"/>
            </w:r>
            <w:r w:rsidRPr="3A68F3DD" w:rsidR="3A68F3DD">
              <w:rPr>
                <w:rStyle w:val="Hyperlink"/>
              </w:rPr>
              <w:t>5</w:t>
            </w:r>
            <w:r>
              <w:fldChar w:fldCharType="end"/>
            </w:r>
          </w:hyperlink>
        </w:p>
        <w:p w:rsidR="3A68F3DD" w:rsidP="3A68F3DD" w:rsidRDefault="3A68F3DD" w14:paraId="7647E2A1" w14:textId="2F9BE587">
          <w:pPr>
            <w:pStyle w:val="TOC2"/>
            <w:tabs>
              <w:tab w:val="right" w:leader="dot" w:pos="9360"/>
            </w:tabs>
            <w:bidi w:val="0"/>
            <w:rPr>
              <w:rStyle w:val="Hyperlink"/>
            </w:rPr>
          </w:pPr>
          <w:hyperlink w:anchor="_Toc2040180117">
            <w:r w:rsidRPr="3A68F3DD" w:rsidR="3A68F3DD">
              <w:rPr>
                <w:rStyle w:val="Hyperlink"/>
              </w:rPr>
              <w:t>2. External and Internal Analysis</w:t>
            </w:r>
            <w:r>
              <w:tab/>
            </w:r>
            <w:r>
              <w:fldChar w:fldCharType="begin"/>
            </w:r>
            <w:r>
              <w:instrText xml:space="preserve">PAGEREF _Toc2040180117 \h</w:instrText>
            </w:r>
            <w:r>
              <w:fldChar w:fldCharType="separate"/>
            </w:r>
            <w:r w:rsidRPr="3A68F3DD" w:rsidR="3A68F3DD">
              <w:rPr>
                <w:rStyle w:val="Hyperlink"/>
              </w:rPr>
              <w:t>7</w:t>
            </w:r>
            <w:r>
              <w:fldChar w:fldCharType="end"/>
            </w:r>
          </w:hyperlink>
        </w:p>
        <w:p w:rsidR="3A68F3DD" w:rsidP="3A68F3DD" w:rsidRDefault="3A68F3DD" w14:paraId="3A6D389D" w14:textId="77B27AFC">
          <w:pPr>
            <w:pStyle w:val="TOC2"/>
            <w:tabs>
              <w:tab w:val="right" w:leader="dot" w:pos="9360"/>
            </w:tabs>
            <w:bidi w:val="0"/>
            <w:rPr>
              <w:rStyle w:val="Hyperlink"/>
            </w:rPr>
          </w:pPr>
          <w:hyperlink w:anchor="_Toc963530330">
            <w:r w:rsidRPr="3A68F3DD" w:rsidR="3A68F3DD">
              <w:rPr>
                <w:rStyle w:val="Hyperlink"/>
              </w:rPr>
              <w:t>3. Comprehensive and Holistic View of Tesla</w:t>
            </w:r>
            <w:r>
              <w:tab/>
            </w:r>
            <w:r>
              <w:fldChar w:fldCharType="begin"/>
            </w:r>
            <w:r>
              <w:instrText xml:space="preserve">PAGEREF _Toc963530330 \h</w:instrText>
            </w:r>
            <w:r>
              <w:fldChar w:fldCharType="separate"/>
            </w:r>
            <w:r w:rsidRPr="3A68F3DD" w:rsidR="3A68F3DD">
              <w:rPr>
                <w:rStyle w:val="Hyperlink"/>
              </w:rPr>
              <w:t>12</w:t>
            </w:r>
            <w:r>
              <w:fldChar w:fldCharType="end"/>
            </w:r>
          </w:hyperlink>
        </w:p>
        <w:p w:rsidR="3A68F3DD" w:rsidP="3A68F3DD" w:rsidRDefault="3A68F3DD" w14:paraId="2E917360" w14:textId="723798C4">
          <w:pPr>
            <w:pStyle w:val="TOC2"/>
            <w:tabs>
              <w:tab w:val="right" w:leader="dot" w:pos="9360"/>
            </w:tabs>
            <w:bidi w:val="0"/>
            <w:rPr>
              <w:rStyle w:val="Hyperlink"/>
            </w:rPr>
          </w:pPr>
          <w:hyperlink w:anchor="_Toc1185241313">
            <w:r w:rsidRPr="3A68F3DD" w:rsidR="3A68F3DD">
              <w:rPr>
                <w:rStyle w:val="Hyperlink"/>
              </w:rPr>
              <w:t>4. Strategic Choices and Implementation</w:t>
            </w:r>
            <w:r>
              <w:tab/>
            </w:r>
            <w:r>
              <w:fldChar w:fldCharType="begin"/>
            </w:r>
            <w:r>
              <w:instrText xml:space="preserve">PAGEREF _Toc1185241313 \h</w:instrText>
            </w:r>
            <w:r>
              <w:fldChar w:fldCharType="separate"/>
            </w:r>
            <w:r w:rsidRPr="3A68F3DD" w:rsidR="3A68F3DD">
              <w:rPr>
                <w:rStyle w:val="Hyperlink"/>
              </w:rPr>
              <w:t>16</w:t>
            </w:r>
            <w:r>
              <w:fldChar w:fldCharType="end"/>
            </w:r>
          </w:hyperlink>
        </w:p>
        <w:p w:rsidR="3A68F3DD" w:rsidP="3A68F3DD" w:rsidRDefault="3A68F3DD" w14:paraId="26C818AB" w14:textId="6C2BCD88">
          <w:pPr>
            <w:pStyle w:val="TOC2"/>
            <w:tabs>
              <w:tab w:val="right" w:leader="dot" w:pos="9360"/>
            </w:tabs>
            <w:bidi w:val="0"/>
            <w:rPr>
              <w:rStyle w:val="Hyperlink"/>
            </w:rPr>
          </w:pPr>
          <w:hyperlink w:anchor="_Toc186753355">
            <w:r w:rsidRPr="3A68F3DD" w:rsidR="3A68F3DD">
              <w:rPr>
                <w:rStyle w:val="Hyperlink"/>
              </w:rPr>
              <w:t>6. Reflective Account Using Gibbs’ Reflective Cycle</w:t>
            </w:r>
            <w:r>
              <w:tab/>
            </w:r>
            <w:r>
              <w:fldChar w:fldCharType="begin"/>
            </w:r>
            <w:r>
              <w:instrText xml:space="preserve">PAGEREF _Toc186753355 \h</w:instrText>
            </w:r>
            <w:r>
              <w:fldChar w:fldCharType="separate"/>
            </w:r>
            <w:r w:rsidRPr="3A68F3DD" w:rsidR="3A68F3DD">
              <w:rPr>
                <w:rStyle w:val="Hyperlink"/>
              </w:rPr>
              <w:t>22</w:t>
            </w:r>
            <w:r>
              <w:fldChar w:fldCharType="end"/>
            </w:r>
          </w:hyperlink>
        </w:p>
        <w:p w:rsidR="3A68F3DD" w:rsidP="3A68F3DD" w:rsidRDefault="3A68F3DD" w14:paraId="2300EDAF" w14:textId="4DD45CAC">
          <w:pPr>
            <w:pStyle w:val="TOC2"/>
            <w:tabs>
              <w:tab w:val="right" w:leader="dot" w:pos="9360"/>
            </w:tabs>
            <w:bidi w:val="0"/>
            <w:rPr>
              <w:rStyle w:val="Hyperlink"/>
            </w:rPr>
          </w:pPr>
          <w:hyperlink w:anchor="_Toc1790588896">
            <w:r w:rsidRPr="3A68F3DD" w:rsidR="3A68F3DD">
              <w:rPr>
                <w:rStyle w:val="Hyperlink"/>
              </w:rPr>
              <w:t>6. Reference</w:t>
            </w:r>
            <w:r>
              <w:tab/>
            </w:r>
            <w:r>
              <w:fldChar w:fldCharType="begin"/>
            </w:r>
            <w:r>
              <w:instrText xml:space="preserve">PAGEREF _Toc1790588896 \h</w:instrText>
            </w:r>
            <w:r>
              <w:fldChar w:fldCharType="separate"/>
            </w:r>
            <w:r w:rsidRPr="3A68F3DD" w:rsidR="3A68F3DD">
              <w:rPr>
                <w:rStyle w:val="Hyperlink"/>
              </w:rPr>
              <w:t>26</w:t>
            </w:r>
            <w:r>
              <w:fldChar w:fldCharType="end"/>
            </w:r>
          </w:hyperlink>
        </w:p>
        <w:p w:rsidR="3A68F3DD" w:rsidP="3A68F3DD" w:rsidRDefault="3A68F3DD" w14:paraId="427B897B" w14:textId="5095D613">
          <w:pPr>
            <w:pStyle w:val="TOC2"/>
            <w:tabs>
              <w:tab w:val="right" w:leader="dot" w:pos="9360"/>
            </w:tabs>
            <w:bidi w:val="0"/>
            <w:rPr>
              <w:rStyle w:val="Hyperlink"/>
            </w:rPr>
          </w:pPr>
          <w:hyperlink w:anchor="_Toc1457788251">
            <w:r w:rsidRPr="3A68F3DD" w:rsidR="3A68F3DD">
              <w:rPr>
                <w:rStyle w:val="Hyperlink"/>
              </w:rPr>
              <w:t>Appendix A – Strategic Analysis</w:t>
            </w:r>
            <w:r>
              <w:tab/>
            </w:r>
            <w:r>
              <w:fldChar w:fldCharType="begin"/>
            </w:r>
            <w:r>
              <w:instrText xml:space="preserve">PAGEREF _Toc1457788251 \h</w:instrText>
            </w:r>
            <w:r>
              <w:fldChar w:fldCharType="separate"/>
            </w:r>
            <w:r w:rsidRPr="3A68F3DD" w:rsidR="3A68F3DD">
              <w:rPr>
                <w:rStyle w:val="Hyperlink"/>
              </w:rPr>
              <w:t>31</w:t>
            </w:r>
            <w:r>
              <w:fldChar w:fldCharType="end"/>
            </w:r>
          </w:hyperlink>
        </w:p>
        <w:p w:rsidR="3A68F3DD" w:rsidP="3A68F3DD" w:rsidRDefault="3A68F3DD" w14:paraId="06F9BF52" w14:textId="254E69C7">
          <w:pPr>
            <w:pStyle w:val="TOC2"/>
            <w:tabs>
              <w:tab w:val="right" w:leader="dot" w:pos="9360"/>
            </w:tabs>
            <w:bidi w:val="0"/>
            <w:rPr>
              <w:rStyle w:val="Hyperlink"/>
            </w:rPr>
          </w:pPr>
          <w:hyperlink w:anchor="_Toc944385414">
            <w:r w:rsidRPr="3A68F3DD" w:rsidR="3A68F3DD">
              <w:rPr>
                <w:rStyle w:val="Hyperlink"/>
              </w:rPr>
              <w:t>Figure A1: VRIO framework</w:t>
            </w:r>
            <w:r>
              <w:tab/>
            </w:r>
            <w:r>
              <w:fldChar w:fldCharType="begin"/>
            </w:r>
            <w:r>
              <w:instrText xml:space="preserve">PAGEREF _Toc944385414 \h</w:instrText>
            </w:r>
            <w:r>
              <w:fldChar w:fldCharType="separate"/>
            </w:r>
            <w:r w:rsidRPr="3A68F3DD" w:rsidR="3A68F3DD">
              <w:rPr>
                <w:rStyle w:val="Hyperlink"/>
              </w:rPr>
              <w:t>31</w:t>
            </w:r>
            <w:r>
              <w:fldChar w:fldCharType="end"/>
            </w:r>
          </w:hyperlink>
        </w:p>
        <w:p w:rsidR="3A68F3DD" w:rsidP="3A68F3DD" w:rsidRDefault="3A68F3DD" w14:paraId="5D6792B5" w14:textId="001923BA">
          <w:pPr>
            <w:pStyle w:val="TOC2"/>
            <w:tabs>
              <w:tab w:val="right" w:leader="dot" w:pos="9360"/>
            </w:tabs>
            <w:bidi w:val="0"/>
            <w:rPr>
              <w:rStyle w:val="Hyperlink"/>
            </w:rPr>
          </w:pPr>
          <w:hyperlink w:anchor="_Toc880287326">
            <w:r w:rsidRPr="3A68F3DD" w:rsidR="3A68F3DD">
              <w:rPr>
                <w:rStyle w:val="Hyperlink"/>
              </w:rPr>
              <w:t>Figure A2: SWOT analysis</w:t>
            </w:r>
            <w:r>
              <w:tab/>
            </w:r>
            <w:r>
              <w:fldChar w:fldCharType="begin"/>
            </w:r>
            <w:r>
              <w:instrText xml:space="preserve">PAGEREF _Toc880287326 \h</w:instrText>
            </w:r>
            <w:r>
              <w:fldChar w:fldCharType="separate"/>
            </w:r>
            <w:r w:rsidRPr="3A68F3DD" w:rsidR="3A68F3DD">
              <w:rPr>
                <w:rStyle w:val="Hyperlink"/>
              </w:rPr>
              <w:t>32</w:t>
            </w:r>
            <w:r>
              <w:fldChar w:fldCharType="end"/>
            </w:r>
          </w:hyperlink>
        </w:p>
        <w:p w:rsidR="3A68F3DD" w:rsidP="3A68F3DD" w:rsidRDefault="3A68F3DD" w14:paraId="4AEB94D2" w14:textId="694C086F">
          <w:pPr>
            <w:pStyle w:val="TOC2"/>
            <w:tabs>
              <w:tab w:val="right" w:leader="dot" w:pos="9360"/>
            </w:tabs>
            <w:bidi w:val="0"/>
            <w:rPr>
              <w:rStyle w:val="Hyperlink"/>
            </w:rPr>
          </w:pPr>
          <w:hyperlink w:anchor="_Toc1104716426">
            <w:r w:rsidRPr="3A68F3DD" w:rsidR="3A68F3DD">
              <w:rPr>
                <w:rStyle w:val="Hyperlink"/>
              </w:rPr>
              <w:t>Appendix B – Balanced Scorecard</w:t>
            </w:r>
            <w:r>
              <w:tab/>
            </w:r>
            <w:r>
              <w:fldChar w:fldCharType="begin"/>
            </w:r>
            <w:r>
              <w:instrText xml:space="preserve">PAGEREF _Toc1104716426 \h</w:instrText>
            </w:r>
            <w:r>
              <w:fldChar w:fldCharType="separate"/>
            </w:r>
            <w:r w:rsidRPr="3A68F3DD" w:rsidR="3A68F3DD">
              <w:rPr>
                <w:rStyle w:val="Hyperlink"/>
              </w:rPr>
              <w:t>33</w:t>
            </w:r>
            <w:r>
              <w:fldChar w:fldCharType="end"/>
            </w:r>
          </w:hyperlink>
        </w:p>
        <w:p w:rsidR="3A68F3DD" w:rsidP="3A68F3DD" w:rsidRDefault="3A68F3DD" w14:paraId="71995A9A" w14:textId="4D2431F4">
          <w:pPr>
            <w:pStyle w:val="TOC2"/>
            <w:tabs>
              <w:tab w:val="right" w:leader="dot" w:pos="9360"/>
            </w:tabs>
            <w:bidi w:val="0"/>
            <w:rPr>
              <w:rStyle w:val="Hyperlink"/>
            </w:rPr>
          </w:pPr>
          <w:hyperlink w:anchor="_Toc1118580973">
            <w:r w:rsidRPr="3A68F3DD" w:rsidR="3A68F3DD">
              <w:rPr>
                <w:rStyle w:val="Hyperlink"/>
              </w:rPr>
              <w:t>Figure B1: Financial Perspective</w:t>
            </w:r>
            <w:r>
              <w:tab/>
            </w:r>
            <w:r>
              <w:fldChar w:fldCharType="begin"/>
            </w:r>
            <w:r>
              <w:instrText xml:space="preserve">PAGEREF _Toc1118580973 \h</w:instrText>
            </w:r>
            <w:r>
              <w:fldChar w:fldCharType="separate"/>
            </w:r>
            <w:r w:rsidRPr="3A68F3DD" w:rsidR="3A68F3DD">
              <w:rPr>
                <w:rStyle w:val="Hyperlink"/>
              </w:rPr>
              <w:t>33</w:t>
            </w:r>
            <w:r>
              <w:fldChar w:fldCharType="end"/>
            </w:r>
          </w:hyperlink>
        </w:p>
        <w:p w:rsidR="3A68F3DD" w:rsidP="3A68F3DD" w:rsidRDefault="3A68F3DD" w14:paraId="7F3EFFA9" w14:textId="26A7023D">
          <w:pPr>
            <w:pStyle w:val="TOC2"/>
            <w:tabs>
              <w:tab w:val="right" w:leader="dot" w:pos="9360"/>
            </w:tabs>
            <w:bidi w:val="0"/>
            <w:rPr>
              <w:rStyle w:val="Hyperlink"/>
            </w:rPr>
          </w:pPr>
          <w:hyperlink w:anchor="_Toc656404738">
            <w:r w:rsidRPr="3A68F3DD" w:rsidR="3A68F3DD">
              <w:rPr>
                <w:rStyle w:val="Hyperlink"/>
              </w:rPr>
              <w:t>Figure B2: Customer Perspective</w:t>
            </w:r>
            <w:r>
              <w:tab/>
            </w:r>
            <w:r>
              <w:fldChar w:fldCharType="begin"/>
            </w:r>
            <w:r>
              <w:instrText xml:space="preserve">PAGEREF _Toc656404738 \h</w:instrText>
            </w:r>
            <w:r>
              <w:fldChar w:fldCharType="separate"/>
            </w:r>
            <w:r w:rsidRPr="3A68F3DD" w:rsidR="3A68F3DD">
              <w:rPr>
                <w:rStyle w:val="Hyperlink"/>
              </w:rPr>
              <w:t>33</w:t>
            </w:r>
            <w:r>
              <w:fldChar w:fldCharType="end"/>
            </w:r>
          </w:hyperlink>
        </w:p>
        <w:p w:rsidR="3A68F3DD" w:rsidP="3A68F3DD" w:rsidRDefault="3A68F3DD" w14:paraId="37828CB9" w14:textId="34C65F4E">
          <w:pPr>
            <w:pStyle w:val="TOC2"/>
            <w:tabs>
              <w:tab w:val="right" w:leader="dot" w:pos="9360"/>
            </w:tabs>
            <w:bidi w:val="0"/>
            <w:rPr>
              <w:rStyle w:val="Hyperlink"/>
            </w:rPr>
          </w:pPr>
          <w:hyperlink w:anchor="_Toc914907666">
            <w:r w:rsidRPr="3A68F3DD" w:rsidR="3A68F3DD">
              <w:rPr>
                <w:rStyle w:val="Hyperlink"/>
              </w:rPr>
              <w:t>Figure B3: Internal Business Processes</w:t>
            </w:r>
            <w:r>
              <w:tab/>
            </w:r>
            <w:r>
              <w:fldChar w:fldCharType="begin"/>
            </w:r>
            <w:r>
              <w:instrText xml:space="preserve">PAGEREF _Toc914907666 \h</w:instrText>
            </w:r>
            <w:r>
              <w:fldChar w:fldCharType="separate"/>
            </w:r>
            <w:r w:rsidRPr="3A68F3DD" w:rsidR="3A68F3DD">
              <w:rPr>
                <w:rStyle w:val="Hyperlink"/>
              </w:rPr>
              <w:t>34</w:t>
            </w:r>
            <w:r>
              <w:fldChar w:fldCharType="end"/>
            </w:r>
          </w:hyperlink>
        </w:p>
        <w:p w:rsidR="3A68F3DD" w:rsidP="3A68F3DD" w:rsidRDefault="3A68F3DD" w14:paraId="049399A1" w14:textId="1AFBBACB">
          <w:pPr>
            <w:pStyle w:val="TOC2"/>
            <w:tabs>
              <w:tab w:val="right" w:leader="dot" w:pos="9360"/>
            </w:tabs>
            <w:bidi w:val="0"/>
            <w:rPr>
              <w:rStyle w:val="Hyperlink"/>
            </w:rPr>
          </w:pPr>
          <w:hyperlink w:anchor="_Toc1443264469">
            <w:r w:rsidRPr="3A68F3DD" w:rsidR="3A68F3DD">
              <w:rPr>
                <w:rStyle w:val="Hyperlink"/>
              </w:rPr>
              <w:t>Figure B4: Learning and Growth</w:t>
            </w:r>
            <w:r>
              <w:tab/>
            </w:r>
            <w:r>
              <w:fldChar w:fldCharType="begin"/>
            </w:r>
            <w:r>
              <w:instrText xml:space="preserve">PAGEREF _Toc1443264469 \h</w:instrText>
            </w:r>
            <w:r>
              <w:fldChar w:fldCharType="separate"/>
            </w:r>
            <w:r w:rsidRPr="3A68F3DD" w:rsidR="3A68F3DD">
              <w:rPr>
                <w:rStyle w:val="Hyperlink"/>
              </w:rPr>
              <w:t>34</w:t>
            </w:r>
            <w:r>
              <w:fldChar w:fldCharType="end"/>
            </w:r>
          </w:hyperlink>
        </w:p>
        <w:p w:rsidR="3A68F3DD" w:rsidRDefault="3A68F3DD" w14:paraId="5D77D0F7" w14:textId="17236280">
          <w:r>
            <w:fldChar w:fldCharType="end"/>
          </w:r>
        </w:p>
      </w:sdtContent>
    </w:sdt>
    <w:p w:rsidR="145AC16E" w:rsidP="145AC16E" w:rsidRDefault="145AC16E" w14:paraId="29614FE2" w14:textId="0CA66977">
      <w:pPr>
        <w:spacing w:before="240" w:after="240" w:line="360" w:lineRule="auto"/>
        <w:rPr>
          <w:rFonts w:ascii="Arial" w:hAnsi="Arial" w:eastAsia="Arial" w:cs="Arial"/>
        </w:rPr>
      </w:pPr>
    </w:p>
    <w:p w:rsidR="145AC16E" w:rsidP="145AC16E" w:rsidRDefault="145AC16E" w14:paraId="5297D5BE" w14:textId="60F198CC">
      <w:pPr>
        <w:spacing w:before="240" w:after="240" w:line="360" w:lineRule="auto"/>
        <w:rPr>
          <w:rFonts w:ascii="Arial" w:hAnsi="Arial" w:eastAsia="Arial" w:cs="Arial"/>
        </w:rPr>
      </w:pPr>
    </w:p>
    <w:p w:rsidR="145AC16E" w:rsidP="145AC16E" w:rsidRDefault="145AC16E" w14:paraId="01E23278" w14:textId="76B92E70">
      <w:pPr>
        <w:spacing w:before="240" w:after="240" w:line="360" w:lineRule="auto"/>
        <w:rPr>
          <w:rFonts w:ascii="Arial" w:hAnsi="Arial" w:eastAsia="Arial" w:cs="Arial"/>
        </w:rPr>
      </w:pPr>
    </w:p>
    <w:p w:rsidRPr="00341D1A" w:rsidR="145AC16E" w:rsidP="00CF3812" w:rsidRDefault="145AC16E" w14:paraId="174C8E19" w14:textId="0F1F3F0A">
      <w:pPr>
        <w:spacing w:before="240" w:after="240" w:line="360" w:lineRule="auto"/>
        <w:jc w:val="both"/>
        <w:rPr>
          <w:rFonts w:eastAsia="Arial"/>
        </w:rPr>
      </w:pPr>
    </w:p>
    <w:p w:rsidR="32F4A1E1" w:rsidP="32F4A1E1" w:rsidRDefault="32F4A1E1" w14:paraId="0181846E" w14:textId="2FB92705">
      <w:pPr>
        <w:spacing w:before="240" w:after="240" w:line="360" w:lineRule="auto"/>
        <w:jc w:val="both"/>
        <w:rPr>
          <w:rFonts w:eastAsia="Arial"/>
        </w:rPr>
      </w:pPr>
    </w:p>
    <w:p w:rsidR="0B097D0E" w:rsidP="0B097D0E" w:rsidRDefault="0B097D0E" w14:paraId="663E2134" w14:textId="2129FB8A">
      <w:pPr>
        <w:spacing w:before="240" w:after="240" w:line="360" w:lineRule="auto"/>
        <w:jc w:val="both"/>
        <w:rPr>
          <w:rFonts w:eastAsia="Arial"/>
        </w:rPr>
      </w:pPr>
    </w:p>
    <w:p w:rsidR="0B097D0E" w:rsidP="0B097D0E" w:rsidRDefault="0B097D0E" w14:paraId="6A0C7FBC" w14:textId="45F7860F">
      <w:pPr>
        <w:spacing w:before="240" w:after="240" w:line="360" w:lineRule="auto"/>
        <w:jc w:val="both"/>
        <w:rPr>
          <w:rFonts w:eastAsia="Arial"/>
        </w:rPr>
      </w:pPr>
    </w:p>
    <w:p w:rsidR="0B097D0E" w:rsidP="0B097D0E" w:rsidRDefault="0B097D0E" w14:paraId="415F01B4" w14:textId="56016C13">
      <w:pPr>
        <w:spacing w:before="240" w:after="240" w:line="360" w:lineRule="auto"/>
        <w:jc w:val="both"/>
        <w:rPr>
          <w:rFonts w:eastAsia="Arial"/>
        </w:rPr>
      </w:pPr>
    </w:p>
    <w:p w:rsidRPr="00743BE9" w:rsidR="4DD9F442" w:rsidP="3A68F3DD" w:rsidRDefault="4DD9F442" w14:paraId="64BD469B" w14:textId="11095E79">
      <w:pPr>
        <w:pStyle w:val="Heading2"/>
        <w:spacing w:before="240" w:after="240" w:line="360" w:lineRule="auto"/>
        <w:jc w:val="both"/>
        <w:rPr>
          <w:rFonts w:ascii="Arial" w:hAnsi="Arial" w:eastAsia="ＭＳ 明朝" w:cs="Arial" w:asciiTheme="minorAscii" w:hAnsiTheme="minorAscii" w:eastAsiaTheme="minorEastAsia" w:cstheme="minorBidi"/>
          <w:sz w:val="28"/>
          <w:szCs w:val="28"/>
        </w:rPr>
      </w:pPr>
      <w:bookmarkStart w:name="_Toc1293440227" w:id="375016633"/>
      <w:r w:rsidRPr="3A68F3DD" w:rsidR="4DD9F442">
        <w:rPr>
          <w:rFonts w:ascii="Arial" w:hAnsi="Arial" w:eastAsia="ＭＳ 明朝" w:cs="Arial" w:asciiTheme="minorAscii" w:hAnsiTheme="minorAscii" w:eastAsiaTheme="minorEastAsia" w:cstheme="minorBidi"/>
          <w:sz w:val="28"/>
          <w:szCs w:val="28"/>
        </w:rPr>
        <w:t>Introduction</w:t>
      </w:r>
      <w:bookmarkEnd w:id="375016633"/>
    </w:p>
    <w:p w:rsidRPr="00743BE9" w:rsidR="4DD9F442" w:rsidP="00B6310C" w:rsidRDefault="4DD9F442" w14:paraId="1DCE7B3C" w14:textId="00E5BDFC">
      <w:pPr>
        <w:spacing w:before="240" w:after="240" w:line="360" w:lineRule="auto"/>
        <w:jc w:val="both"/>
      </w:pPr>
      <w:r w:rsidR="4DD9F442">
        <w:rPr/>
        <w:t xml:space="preserve">In an increasingly competitive and uncertain global business environment, </w:t>
      </w:r>
      <w:r w:rsidR="4DD9F442">
        <w:rPr/>
        <w:t>organisations</w:t>
      </w:r>
      <w:r w:rsidR="4DD9F442">
        <w:rPr/>
        <w:t xml:space="preserve"> must continuously evaluate their strategic position to </w:t>
      </w:r>
      <w:r w:rsidR="4DD9F442">
        <w:rPr/>
        <w:t>maintain</w:t>
      </w:r>
      <w:r w:rsidR="4DD9F442">
        <w:rPr/>
        <w:t xml:space="preserve"> competitive advantage and achieve sustainable growth</w:t>
      </w:r>
      <w:r w:rsidR="3A24D122">
        <w:rPr/>
        <w:t xml:space="preserve"> (Liv, 2013)</w:t>
      </w:r>
      <w:r w:rsidR="4DD9F442">
        <w:rPr/>
        <w:t xml:space="preserve">. Strategic management provides a structured approach for understanding how external environmental conditions, internal capabilities, </w:t>
      </w:r>
      <w:r w:rsidR="007A019A">
        <w:rPr/>
        <w:t xml:space="preserve">and </w:t>
      </w:r>
      <w:r w:rsidR="007A019A">
        <w:rPr/>
        <w:t>choices</w:t>
      </w:r>
      <w:r w:rsidR="4DD9F442">
        <w:rPr/>
        <w:t xml:space="preserve"> influence </w:t>
      </w:r>
      <w:r w:rsidR="4DD9F442">
        <w:rPr/>
        <w:t>organisational</w:t>
      </w:r>
      <w:r w:rsidR="4DD9F442">
        <w:rPr/>
        <w:t xml:space="preserve"> performance </w:t>
      </w:r>
      <w:r w:rsidR="64F26507">
        <w:rPr/>
        <w:t>(Whittington et al., 2017).</w:t>
      </w:r>
    </w:p>
    <w:p w:rsidRPr="00743BE9" w:rsidR="4DD9F442" w:rsidP="3A68F3DD" w:rsidRDefault="4DD9F442" w14:paraId="243C9439" w14:textId="012CAB6F">
      <w:pPr>
        <w:pStyle w:val="Normal"/>
        <w:spacing w:before="240" w:after="240" w:line="360" w:lineRule="auto"/>
        <w:jc w:val="both"/>
        <w:rPr>
          <w:rFonts w:ascii="Arial" w:hAnsi="Arial" w:eastAsia="Arial" w:cs="Arial"/>
        </w:rPr>
      </w:pPr>
      <w:r w:rsidRPr="3A68F3DD" w:rsidR="4DD9F442">
        <w:rPr>
          <w:rFonts w:ascii="Arial" w:hAnsi="Arial" w:eastAsia="Arial" w:cs="Arial"/>
        </w:rPr>
        <w:t xml:space="preserve">This report adopts the role of a strategic management consultant to critically evaluate Tesla, Inc.’s strategic position within the United States EV market. Tesla has transformed the automotive sector through technological innovation, vertical integration, </w:t>
      </w:r>
      <w:r w:rsidRPr="3A68F3DD" w:rsidR="4DD9F442">
        <w:rPr>
          <w:rFonts w:ascii="Arial" w:hAnsi="Arial" w:eastAsia="Arial" w:cs="Arial"/>
        </w:rPr>
        <w:t>direct</w:t>
      </w:r>
      <w:r w:rsidRPr="3A68F3DD" w:rsidR="77DEDF8E">
        <w:rPr>
          <w:rFonts w:ascii="Arial" w:hAnsi="Arial" w:eastAsia="Arial" w:cs="Arial"/>
        </w:rPr>
        <w:t xml:space="preserve"> </w:t>
      </w:r>
      <w:r w:rsidRPr="3A68F3DD" w:rsidR="4DD9F442">
        <w:rPr>
          <w:rFonts w:ascii="Arial" w:hAnsi="Arial" w:eastAsia="Arial" w:cs="Arial"/>
        </w:rPr>
        <w:t>to</w:t>
      </w:r>
      <w:r w:rsidRPr="3A68F3DD" w:rsidR="77DEDF8E">
        <w:rPr>
          <w:rFonts w:ascii="Arial" w:hAnsi="Arial" w:eastAsia="Arial" w:cs="Arial"/>
        </w:rPr>
        <w:t xml:space="preserve"> </w:t>
      </w:r>
      <w:r w:rsidRPr="3A68F3DD" w:rsidR="4DD9F442">
        <w:rPr>
          <w:rFonts w:ascii="Arial" w:hAnsi="Arial" w:eastAsia="Arial" w:cs="Arial"/>
        </w:rPr>
        <w:t>consumer distribution, and sustainability-focused positioning</w:t>
      </w:r>
      <w:r w:rsidRPr="3A68F3DD" w:rsidR="10EFA4DB">
        <w:rPr>
          <w:rFonts w:ascii="Arial" w:hAnsi="Arial" w:eastAsia="Arial" w:cs="Arial"/>
        </w:rPr>
        <w:t xml:space="preserve"> </w:t>
      </w:r>
      <w:r w:rsidRPr="3A68F3DD" w:rsidR="10EFA4DB">
        <w:rPr>
          <w:rFonts w:ascii="Arial" w:hAnsi="Arial" w:eastAsia="Arial" w:cs="Arial"/>
          <w:noProof w:val="0"/>
          <w:sz w:val="24"/>
          <w:szCs w:val="24"/>
          <w:lang w:val="en-US"/>
        </w:rPr>
        <w:t>(</w:t>
      </w:r>
      <w:r w:rsidRPr="3A68F3DD" w:rsidR="10EFA4DB">
        <w:rPr>
          <w:rFonts w:ascii="Arial" w:hAnsi="Arial" w:eastAsia="Arial" w:cs="Arial"/>
          <w:noProof w:val="0"/>
          <w:sz w:val="24"/>
          <w:szCs w:val="24"/>
          <w:lang w:val="en-US"/>
        </w:rPr>
        <w:t>Foundora.Co</w:t>
      </w:r>
      <w:r w:rsidRPr="3A68F3DD" w:rsidR="10EFA4DB">
        <w:rPr>
          <w:rFonts w:ascii="Arial" w:hAnsi="Arial" w:eastAsia="Arial" w:cs="Arial"/>
          <w:noProof w:val="0"/>
          <w:sz w:val="24"/>
          <w:szCs w:val="24"/>
          <w:lang w:val="en-US"/>
        </w:rPr>
        <w:t>, 2025).</w:t>
      </w:r>
      <w:r w:rsidRPr="3A68F3DD" w:rsidR="4DD9F442">
        <w:rPr>
          <w:rFonts w:ascii="Arial" w:hAnsi="Arial" w:eastAsia="Arial" w:cs="Arial"/>
        </w:rPr>
        <w:t xml:space="preserve"> However, increasing competitive rivalry, affordability pressures, supply-chain challenges, and regulatory uncertainty create significant strategic challenges.</w:t>
      </w:r>
    </w:p>
    <w:p w:rsidRPr="00743BE9" w:rsidR="4DD9F442" w:rsidP="3A68F3DD" w:rsidRDefault="4DD9F442" w14:paraId="7758A2AB" w14:textId="51D4AA50">
      <w:pPr>
        <w:pStyle w:val="Normal"/>
        <w:spacing w:before="240" w:after="240" w:line="360" w:lineRule="auto"/>
        <w:jc w:val="both"/>
      </w:pPr>
      <w:r w:rsidR="4DD9F442">
        <w:rPr/>
        <w:t xml:space="preserve">The report examines Tesla’s strategic environment using </w:t>
      </w:r>
      <w:r w:rsidR="4DD9F442">
        <w:rPr/>
        <w:t>PESTEL</w:t>
      </w:r>
      <w:r w:rsidR="4DD9F442">
        <w:rPr/>
        <w:t xml:space="preserve">, VRIO, and SWOT </w:t>
      </w:r>
      <w:r w:rsidR="428C0913">
        <w:rPr/>
        <w:t>analyses (</w:t>
      </w:r>
      <w:r w:rsidRPr="3A68F3DD" w:rsidR="42F84414">
        <w:rPr>
          <w:rFonts w:ascii="Arial" w:hAnsi="Arial" w:eastAsia="Arial" w:cs="Arial"/>
          <w:noProof w:val="0"/>
          <w:sz w:val="24"/>
          <w:szCs w:val="24"/>
          <w:lang w:val="en-US"/>
        </w:rPr>
        <w:t xml:space="preserve">CIPD, 2025; </w:t>
      </w:r>
      <w:r w:rsidRPr="3A68F3DD" w:rsidR="67D157CD">
        <w:rPr>
          <w:rFonts w:ascii="Arial" w:hAnsi="Arial" w:eastAsia="Arial" w:cs="Arial"/>
          <w:noProof w:val="0"/>
          <w:sz w:val="24"/>
          <w:szCs w:val="24"/>
          <w:lang w:val="en-US"/>
        </w:rPr>
        <w:t xml:space="preserve">Jurevicius, 2025; </w:t>
      </w:r>
      <w:r w:rsidRPr="3A68F3DD" w:rsidR="17F5C3AE">
        <w:rPr>
          <w:rFonts w:ascii="Arial" w:hAnsi="Arial" w:eastAsia="Arial" w:cs="Arial"/>
          <w:noProof w:val="0"/>
          <w:sz w:val="24"/>
          <w:szCs w:val="24"/>
          <w:lang w:val="en-US"/>
        </w:rPr>
        <w:t>Makos, 2022)</w:t>
      </w:r>
      <w:r w:rsidRPr="3A68F3DD" w:rsidR="15AEBB2D">
        <w:rPr>
          <w:rFonts w:ascii="Arial" w:hAnsi="Arial" w:eastAsia="Arial" w:cs="Arial"/>
          <w:noProof w:val="0"/>
          <w:sz w:val="24"/>
          <w:szCs w:val="24"/>
          <w:lang w:val="en-US"/>
        </w:rPr>
        <w:t>, and</w:t>
      </w:r>
      <w:r w:rsidR="00764E9A">
        <w:rPr/>
        <w:t xml:space="preserve"> then evaluates its CSR approach and operational performance using</w:t>
      </w:r>
      <w:r w:rsidR="4DD9F442">
        <w:rPr/>
        <w:t xml:space="preserve"> the Balanced</w:t>
      </w:r>
      <w:r w:rsidR="4DD9F442">
        <w:rPr/>
        <w:t xml:space="preserve"> Scorecard</w:t>
      </w:r>
      <w:r w:rsidR="4DD9F442">
        <w:rPr/>
        <w:t xml:space="preserve"> framework (Kaplan</w:t>
      </w:r>
      <w:r w:rsidR="60C26B9F">
        <w:rPr/>
        <w:t xml:space="preserve"> </w:t>
      </w:r>
      <w:r w:rsidR="2C3ED87D">
        <w:rPr/>
        <w:t>&amp; N</w:t>
      </w:r>
      <w:r w:rsidR="4DD9F442">
        <w:rPr/>
        <w:t>orton, 1992</w:t>
      </w:r>
      <w:r w:rsidR="4DD9F442">
        <w:rPr/>
        <w:t>). Based on this analysis, the report recommends a hybrid differentiation and cost-efficiency strategy to enable Tesla to preserve innovation leadership while improving scalability, accessibility, and long-term competitive resilience</w:t>
      </w:r>
      <w:r w:rsidR="0B4372BD">
        <w:rPr/>
        <w:t xml:space="preserve"> </w:t>
      </w:r>
      <w:r w:rsidRPr="3A68F3DD" w:rsidR="0B4372BD">
        <w:rPr>
          <w:rFonts w:ascii="Arial" w:hAnsi="Arial" w:eastAsia="Arial" w:cs="Arial"/>
          <w:noProof w:val="0"/>
          <w:sz w:val="24"/>
          <w:szCs w:val="24"/>
          <w:lang w:val="en-US"/>
        </w:rPr>
        <w:t>(Miao, 2025).</w:t>
      </w:r>
    </w:p>
    <w:p w:rsidRPr="00743BE9" w:rsidR="4DD9F442" w:rsidP="3A68F3DD" w:rsidRDefault="4DD9F442" w14:paraId="347737DA" w14:textId="4298B959">
      <w:pPr>
        <w:pStyle w:val="Heading2"/>
        <w:spacing w:line="360" w:lineRule="auto"/>
        <w:jc w:val="both"/>
        <w:rPr>
          <w:rFonts w:ascii="Arial" w:hAnsi="Arial" w:eastAsia="ＭＳ 明朝" w:cs="Arial" w:asciiTheme="minorAscii" w:hAnsiTheme="minorAscii" w:eastAsiaTheme="minorEastAsia" w:cstheme="minorBidi"/>
          <w:b w:val="1"/>
          <w:bCs w:val="1"/>
          <w:sz w:val="24"/>
          <w:szCs w:val="24"/>
        </w:rPr>
      </w:pPr>
      <w:bookmarkStart w:name="_Toc1524337801" w:id="412639215"/>
      <w:r w:rsidRPr="3A68F3DD" w:rsidR="4DD9F442">
        <w:rPr>
          <w:rFonts w:ascii="Arial" w:hAnsi="Arial" w:eastAsia="ＭＳ 明朝" w:cs="Arial" w:asciiTheme="minorAscii" w:hAnsiTheme="minorAscii" w:eastAsiaTheme="minorEastAsia" w:cstheme="minorBidi"/>
          <w:b w:val="1"/>
          <w:bCs w:val="1"/>
          <w:sz w:val="24"/>
          <w:szCs w:val="24"/>
        </w:rPr>
        <w:t xml:space="preserve">1. </w:t>
      </w:r>
      <w:r w:rsidRPr="3A68F3DD" w:rsidR="4DD9F442">
        <w:rPr>
          <w:rFonts w:ascii="Arial" w:hAnsi="Arial" w:eastAsia="ＭＳ 明朝" w:cs="Arial" w:asciiTheme="minorAscii" w:hAnsiTheme="minorAscii" w:eastAsiaTheme="minorEastAsia" w:cstheme="minorBidi"/>
          <w:b w:val="1"/>
          <w:bCs w:val="1"/>
          <w:sz w:val="24"/>
          <w:szCs w:val="24"/>
        </w:rPr>
        <w:t>Organisational</w:t>
      </w:r>
      <w:r w:rsidRPr="3A68F3DD" w:rsidR="4DD9F442">
        <w:rPr>
          <w:rFonts w:ascii="Arial" w:hAnsi="Arial" w:eastAsia="ＭＳ 明朝" w:cs="Arial" w:asciiTheme="minorAscii" w:hAnsiTheme="minorAscii" w:eastAsiaTheme="minorEastAsia" w:cstheme="minorBidi"/>
          <w:b w:val="1"/>
          <w:bCs w:val="1"/>
          <w:sz w:val="24"/>
          <w:szCs w:val="24"/>
        </w:rPr>
        <w:t xml:space="preserve"> Context and Overview</w:t>
      </w:r>
      <w:bookmarkEnd w:id="412639215"/>
    </w:p>
    <w:p w:rsidRPr="00743BE9" w:rsidR="4DD9F442" w:rsidP="3A68F3DD" w:rsidRDefault="4DD9F442" w14:paraId="44ACB7FC" w14:textId="5AB04C91">
      <w:pPr>
        <w:pStyle w:val="Normal"/>
        <w:rPr>
          <w:rFonts w:ascii="Arial" w:hAnsi="Arial" w:eastAsia="ＭＳ 明朝" w:cs="Arial" w:asciiTheme="minorAscii" w:hAnsiTheme="minorAscii" w:eastAsiaTheme="minorEastAsia" w:cstheme="minorBidi"/>
          <w:b w:val="1"/>
          <w:bCs w:val="1"/>
          <w:sz w:val="24"/>
          <w:szCs w:val="24"/>
        </w:rPr>
      </w:pPr>
      <w:r w:rsidRPr="3A68F3DD" w:rsidR="4DD9F442">
        <w:rPr>
          <w:b w:val="1"/>
          <w:bCs w:val="1"/>
        </w:rPr>
        <w:t>1.1 Company Background</w:t>
      </w:r>
    </w:p>
    <w:p w:rsidRPr="00743BE9" w:rsidR="4DD9F442" w:rsidP="3A68F3DD" w:rsidRDefault="4DD9F442" w14:paraId="30F994FF" w14:textId="48F22900">
      <w:pPr>
        <w:pStyle w:val="Normal"/>
        <w:spacing w:before="240" w:after="240" w:line="360" w:lineRule="auto"/>
        <w:jc w:val="both"/>
      </w:pPr>
      <w:r w:rsidR="4DD9F442">
        <w:rPr/>
        <w:t xml:space="preserve">Tesla, Inc. is a US-based multinational </w:t>
      </w:r>
      <w:r w:rsidR="4DD9F442">
        <w:rPr/>
        <w:t>organisation</w:t>
      </w:r>
      <w:r w:rsidR="4DD9F442">
        <w:rPr/>
        <w:t xml:space="preserve"> </w:t>
      </w:r>
      <w:r w:rsidR="4DD9F442">
        <w:rPr/>
        <w:t>operating</w:t>
      </w:r>
      <w:r w:rsidR="4DD9F442">
        <w:rPr/>
        <w:t xml:space="preserve"> within the electric vehicle (EV), battery storage, renewable energy, and artificial intelligence sectors. Established in 2003 by Martin Eberhard and Marc Tarpenning, Tesla was created with the strategic ambition of accelerating the transition towards </w:t>
      </w:r>
      <w:r w:rsidR="4DD9F442">
        <w:rPr/>
        <w:t>sustainable energy</w:t>
      </w:r>
      <w:r w:rsidR="003679FE">
        <w:rPr/>
        <w:t xml:space="preserve"> </w:t>
      </w:r>
      <w:r w:rsidRPr="3A68F3DD" w:rsidR="3336633A">
        <w:rPr>
          <w:rFonts w:ascii="Arial" w:hAnsi="Arial" w:eastAsia="Arial" w:cs="Arial"/>
          <w:noProof w:val="0"/>
          <w:sz w:val="24"/>
          <w:szCs w:val="24"/>
          <w:lang w:val="en-US"/>
        </w:rPr>
        <w:t>(Alger</w:t>
      </w:r>
      <w:r w:rsidRPr="3A68F3DD" w:rsidR="3336633A">
        <w:rPr>
          <w:rFonts w:ascii="Arial" w:hAnsi="Arial" w:eastAsia="Arial" w:cs="Arial"/>
          <w:noProof w:val="0"/>
          <w:sz w:val="24"/>
          <w:szCs w:val="24"/>
          <w:lang w:val="en-US"/>
        </w:rPr>
        <w:t xml:space="preserve">, </w:t>
      </w:r>
      <w:r w:rsidRPr="3A68F3DD" w:rsidR="3336633A">
        <w:rPr>
          <w:rFonts w:ascii="Arial" w:hAnsi="Arial" w:eastAsia="Arial" w:cs="Arial"/>
          <w:noProof w:val="0"/>
          <w:sz w:val="24"/>
          <w:szCs w:val="24"/>
          <w:lang w:val="en-US"/>
        </w:rPr>
        <w:t>Velegol</w:t>
      </w:r>
      <w:r w:rsidRPr="3A68F3DD" w:rsidR="3336633A">
        <w:rPr>
          <w:rFonts w:ascii="Arial" w:hAnsi="Arial" w:eastAsia="Arial" w:cs="Arial"/>
          <w:noProof w:val="0"/>
          <w:sz w:val="24"/>
          <w:szCs w:val="24"/>
          <w:lang w:val="en-US"/>
        </w:rPr>
        <w:t xml:space="preserve"> and Shi, 2021; </w:t>
      </w:r>
      <w:r w:rsidR="008E3EBC">
        <w:rPr/>
        <w:t>Tasla</w:t>
      </w:r>
      <w:r w:rsidR="00C9787F">
        <w:rPr/>
        <w:t>,</w:t>
      </w:r>
      <w:r w:rsidR="008E3EBC">
        <w:rPr/>
        <w:t xml:space="preserve"> 2024</w:t>
      </w:r>
      <w:r w:rsidR="008E0188">
        <w:rPr/>
        <w:t>)</w:t>
      </w:r>
      <w:r w:rsidR="4DD9F442">
        <w:rPr/>
        <w:t xml:space="preserve">. Following Elon Musk’s investment and leadership involvement from 2004 onwards, Tesla </w:t>
      </w:r>
      <w:r w:rsidR="4DD9F442">
        <w:rPr/>
        <w:t>developed from a niche electric sports car manufacturer into one of the world’s most influential automotive technology companies (Tesla, 2024).</w:t>
      </w:r>
    </w:p>
    <w:p w:rsidRPr="00743BE9" w:rsidR="4DD9F442" w:rsidP="00B6310C" w:rsidRDefault="4DD9F442" w14:paraId="5C6D69DC" w14:textId="47484E9B">
      <w:pPr>
        <w:spacing w:before="240" w:after="240" w:line="360" w:lineRule="auto"/>
        <w:jc w:val="both"/>
      </w:pPr>
      <w:r w:rsidR="4DD9F442">
        <w:rPr/>
        <w:t xml:space="preserve">Tesla’s strategic evolution </w:t>
      </w:r>
      <w:r w:rsidR="009A4275">
        <w:rPr/>
        <w:t>aligns with Christensen’s (1997) theory of disruptive innovation, in which</w:t>
      </w:r>
      <w:r w:rsidR="4DD9F442">
        <w:rPr/>
        <w:t xml:space="preserve"> </w:t>
      </w:r>
      <w:r w:rsidR="4DD9F442">
        <w:rPr/>
        <w:t>organisations</w:t>
      </w:r>
      <w:r w:rsidR="4DD9F442">
        <w:rPr/>
        <w:t xml:space="preserve"> challenge established industries through technological advancement and alternative business models</w:t>
      </w:r>
      <w:r w:rsidR="7501BD6D">
        <w:rPr/>
        <w:t xml:space="preserve"> (Miao, 2025).</w:t>
      </w:r>
      <w:r w:rsidR="4DD9F442">
        <w:rPr/>
        <w:t xml:space="preserve"> Initially competing within the premium automotive segment through</w:t>
      </w:r>
      <w:r w:rsidR="00BF2FFE">
        <w:rPr/>
        <w:t xml:space="preserve"> the</w:t>
      </w:r>
      <w:r w:rsidR="4DD9F442">
        <w:rPr/>
        <w:t xml:space="preserve"> </w:t>
      </w:r>
      <w:r w:rsidR="00AF6D65">
        <w:rPr/>
        <w:t>Roadster</w:t>
      </w:r>
      <w:r w:rsidR="00BF2FFE">
        <w:rPr/>
        <w:t>,</w:t>
      </w:r>
      <w:r w:rsidR="4DD9F442">
        <w:rPr/>
        <w:t xml:space="preserve"> and Model S, Tesla expanded towards broader market adoption through the Model 3 and Model Y</w:t>
      </w:r>
      <w:r w:rsidR="00BF2FFE">
        <w:rPr/>
        <w:t xml:space="preserve"> </w:t>
      </w:r>
      <w:r w:rsidR="41DAD9D6">
        <w:rPr/>
        <w:t xml:space="preserve">(Tesla, 2024). </w:t>
      </w:r>
      <w:r w:rsidR="4DD9F442">
        <w:rPr/>
        <w:t xml:space="preserve">This transition </w:t>
      </w:r>
      <w:r w:rsidR="4DD9F442">
        <w:rPr/>
        <w:t>represents</w:t>
      </w:r>
      <w:r w:rsidR="4DD9F442">
        <w:rPr/>
        <w:t xml:space="preserve"> an application of </w:t>
      </w:r>
      <w:r w:rsidR="4DD9F442">
        <w:rPr/>
        <w:t>Ansoff</w:t>
      </w:r>
      <w:r w:rsidR="4DD9F442">
        <w:rPr/>
        <w:t xml:space="preserve">’s (1957) market penetration strategy, enabling Tesla to increase EV adoption; however, it has also created strategic tensions between </w:t>
      </w:r>
      <w:r w:rsidR="4DD9F442">
        <w:rPr/>
        <w:t>maintaining</w:t>
      </w:r>
      <w:r w:rsidR="4DD9F442">
        <w:rPr/>
        <w:t xml:space="preserve"> premium brand positioning, achieving affordability, and protecting profitability</w:t>
      </w:r>
      <w:r w:rsidR="009B70F7">
        <w:rPr/>
        <w:t xml:space="preserve"> </w:t>
      </w:r>
      <w:r w:rsidR="24E0780B">
        <w:rPr/>
        <w:t>(Hako, 1972; Richard et al., 2009).</w:t>
      </w:r>
    </w:p>
    <w:p w:rsidRPr="00743BE9" w:rsidR="4DD9F442" w:rsidP="3A68F3DD" w:rsidRDefault="005463DF" w14:paraId="5940B6D5" w14:textId="7775DDBD">
      <w:pPr>
        <w:pStyle w:val="Normal"/>
        <w:spacing w:before="240" w:after="240" w:line="360" w:lineRule="auto"/>
        <w:jc w:val="both"/>
      </w:pPr>
      <w:r w:rsidR="005463DF">
        <w:rPr/>
        <w:t xml:space="preserve">Tesla's </w:t>
      </w:r>
      <w:r w:rsidR="005463DF">
        <w:rPr/>
        <w:t>previous</w:t>
      </w:r>
      <w:r w:rsidR="005463DF">
        <w:rPr/>
        <w:t xml:space="preserve"> </w:t>
      </w:r>
      <w:r w:rsidR="005463DF">
        <w:rPr/>
        <w:t>mission</w:t>
      </w:r>
      <w:r w:rsidR="005463DF">
        <w:rPr/>
        <w:t xml:space="preserve"> was “to accelerate the world's transition to sustainable energy</w:t>
      </w:r>
      <w:r w:rsidRPr="3A68F3DD" w:rsidR="001A135F">
        <w:rPr>
          <w:lang w:val="en-GB"/>
        </w:rPr>
        <w:t xml:space="preserve">” </w:t>
      </w:r>
      <w:r w:rsidRPr="3A68F3DD" w:rsidR="6CC7FDE5">
        <w:rPr>
          <w:lang w:val="en-GB"/>
        </w:rPr>
        <w:t xml:space="preserve">(Alger, </w:t>
      </w:r>
      <w:r w:rsidRPr="3A68F3DD" w:rsidR="6CC7FDE5">
        <w:rPr>
          <w:lang w:val="en-GB"/>
        </w:rPr>
        <w:t>Velegol</w:t>
      </w:r>
      <w:r w:rsidRPr="3A68F3DD" w:rsidR="6CC7FDE5">
        <w:rPr>
          <w:lang w:val="en-GB"/>
        </w:rPr>
        <w:t xml:space="preserve"> and Shi, 2021; </w:t>
      </w:r>
      <w:r w:rsidRPr="3A68F3DD" w:rsidR="6CC7FDE5">
        <w:rPr>
          <w:lang w:val="en-GB"/>
        </w:rPr>
        <w:t>Tasla</w:t>
      </w:r>
      <w:r w:rsidRPr="3A68F3DD" w:rsidR="6CC7FDE5">
        <w:rPr>
          <w:lang w:val="en-GB"/>
        </w:rPr>
        <w:t>, 2024)</w:t>
      </w:r>
      <w:r w:rsidR="005463DF">
        <w:rPr/>
        <w:t>.</w:t>
      </w:r>
      <w:r w:rsidR="008F2624">
        <w:rPr/>
        <w:t xml:space="preserve"> </w:t>
      </w:r>
      <w:r w:rsidRPr="3A68F3DD" w:rsidR="005463DF">
        <w:rPr>
          <w:lang w:val="en-GB"/>
        </w:rPr>
        <w:t>But</w:t>
      </w:r>
      <w:r w:rsidRPr="3A68F3DD" w:rsidR="001A135F">
        <w:rPr>
          <w:lang w:val="en-GB"/>
        </w:rPr>
        <w:t xml:space="preserve"> the company has since revised its </w:t>
      </w:r>
      <w:r w:rsidRPr="3A68F3DD" w:rsidR="001A135F">
        <w:rPr>
          <w:lang w:val="en-GB"/>
        </w:rPr>
        <w:t>mission</w:t>
      </w:r>
      <w:r w:rsidRPr="3A68F3DD" w:rsidR="001A135F">
        <w:rPr>
          <w:lang w:val="en-GB"/>
        </w:rPr>
        <w:t xml:space="preserve"> to “build a world of amazing abundance,” signalling a broader vision that encompasses sustainable energy, artificial intelligence, automation, and robotics</w:t>
      </w:r>
      <w:r w:rsidRPr="3A68F3DD" w:rsidR="00991036">
        <w:rPr>
          <w:lang w:val="en-GB"/>
        </w:rPr>
        <w:t xml:space="preserve"> </w:t>
      </w:r>
      <w:r w:rsidRPr="3A68F3DD" w:rsidR="000F1813">
        <w:rPr>
          <w:lang w:val="en-GB"/>
        </w:rPr>
        <w:t>(</w:t>
      </w:r>
      <w:r w:rsidRPr="3A68F3DD" w:rsidR="52A72553">
        <w:rPr>
          <w:rFonts w:ascii="Arial" w:hAnsi="Arial" w:eastAsia="Arial" w:cs="Arial"/>
          <w:noProof w:val="0"/>
          <w:sz w:val="24"/>
          <w:szCs w:val="24"/>
          <w:lang w:val="en-US"/>
        </w:rPr>
        <w:t>WRI 2020;</w:t>
      </w:r>
      <w:r w:rsidRPr="3A68F3DD" w:rsidR="52A72553">
        <w:rPr>
          <w:lang w:val="en-GB"/>
        </w:rPr>
        <w:t xml:space="preserve"> </w:t>
      </w:r>
      <w:r w:rsidRPr="3A68F3DD" w:rsidR="000F1813">
        <w:rPr>
          <w:lang w:val="en-GB"/>
        </w:rPr>
        <w:t>Tesla</w:t>
      </w:r>
      <w:r w:rsidRPr="3A68F3DD" w:rsidR="00412739">
        <w:rPr>
          <w:lang w:val="en-GB"/>
        </w:rPr>
        <w:t>, 2026)</w:t>
      </w:r>
      <w:r w:rsidRPr="3A68F3DD" w:rsidR="001A135F">
        <w:rPr>
          <w:lang w:val="en-GB"/>
        </w:rPr>
        <w:t>.</w:t>
      </w:r>
      <w:r w:rsidR="0099508D">
        <w:rPr/>
        <w:t xml:space="preserve"> P</w:t>
      </w:r>
      <w:r w:rsidR="4DD9F442">
        <w:rPr/>
        <w:t xml:space="preserve">rovides strategic alignment between environmental </w:t>
      </w:r>
      <w:r w:rsidR="4DD9F442">
        <w:rPr/>
        <w:t>objectives</w:t>
      </w:r>
      <w:r w:rsidR="4DD9F442">
        <w:rPr/>
        <w:t xml:space="preserve"> and business growth. </w:t>
      </w:r>
      <w:r w:rsidR="004F1284">
        <w:rPr/>
        <w:t xml:space="preserve">From a stakeholder </w:t>
      </w:r>
      <w:r w:rsidR="6D56F514">
        <w:rPr/>
        <w:t>perspective,</w:t>
      </w:r>
      <w:r w:rsidR="004F1284">
        <w:rPr/>
        <w:t xml:space="preserve"> </w:t>
      </w:r>
      <w:r w:rsidR="7BC15754">
        <w:rPr/>
        <w:t>(</w:t>
      </w:r>
      <w:r w:rsidR="004F1284">
        <w:rPr/>
        <w:t>Freeman, 1984</w:t>
      </w:r>
      <w:r w:rsidR="63FBFCDF">
        <w:rPr/>
        <w:t>; Freeman and Phillips, 2002</w:t>
      </w:r>
      <w:r w:rsidR="004F1284">
        <w:rPr/>
        <w:t xml:space="preserve">), Tesla seeks to create value beyond shareholders by contributing to </w:t>
      </w:r>
      <w:r w:rsidR="54EFC14D">
        <w:rPr/>
        <w:t>climate</w:t>
      </w:r>
      <w:r w:rsidR="4DD9F442">
        <w:rPr/>
        <w:t xml:space="preserve"> transition and sustainable transportation. Nevertheless, critical evaluation highlights ongoing challenges relating to battery mineral sourcing, supply-chain transparency, and manufacturing sustainability</w:t>
      </w:r>
      <w:r w:rsidR="00B90837">
        <w:rPr/>
        <w:t xml:space="preserve"> </w:t>
      </w:r>
      <w:r w:rsidR="572211EE">
        <w:rPr/>
        <w:t>(Freeman and Phillips, 2002)</w:t>
      </w:r>
    </w:p>
    <w:p w:rsidRPr="00743BE9" w:rsidR="4DD9F442" w:rsidP="3A68F3DD" w:rsidRDefault="4DD9F442" w14:paraId="4B394EC4" w14:textId="695F0E2C">
      <w:pPr>
        <w:pStyle w:val="Normal"/>
        <w:spacing w:before="240" w:after="240" w:line="360" w:lineRule="auto"/>
        <w:jc w:val="both"/>
      </w:pPr>
      <w:r w:rsidR="4DD9F442">
        <w:rPr/>
        <w:t xml:space="preserve">A key source of Tesla’s competitive advantage is its vertically integrated business model, which combines vehicle development, battery technology, software systems, manufacturing, charging infrastructure, and direct customer sales. </w:t>
      </w:r>
      <w:r w:rsidR="4DD9F442">
        <w:rPr/>
        <w:t>Porter</w:t>
      </w:r>
      <w:r w:rsidR="4DD9F442">
        <w:rPr/>
        <w:t>’s (1985) value chain framework suggests that integration can strengthen competitive advantage by improving control over innovation, quality, and operational efficiency</w:t>
      </w:r>
      <w:r w:rsidRPr="3A68F3DD" w:rsidR="7CC6C4C5">
        <w:rPr>
          <w:rFonts w:ascii="Arial" w:hAnsi="Arial" w:eastAsia="Arial" w:cs="Arial"/>
          <w:noProof w:val="0"/>
          <w:sz w:val="24"/>
          <w:szCs w:val="24"/>
          <w:lang w:val="en-US"/>
        </w:rPr>
        <w:t xml:space="preserve"> (Gratton, 2025)</w:t>
      </w:r>
      <w:r w:rsidR="4DD9F442">
        <w:rPr/>
        <w:t xml:space="preserve">. Tesla’s Supercharger network, over-the-air software updates, and vehicle data capabilities differentiate the </w:t>
      </w:r>
      <w:r w:rsidR="4DD9F442">
        <w:rPr/>
        <w:t>organisation</w:t>
      </w:r>
      <w:r w:rsidR="4DD9F442">
        <w:rPr/>
        <w:t xml:space="preserve"> from many traditional automotive manufacturers</w:t>
      </w:r>
      <w:r w:rsidR="4D6A5F50">
        <w:rPr/>
        <w:t>.</w:t>
      </w:r>
    </w:p>
    <w:p w:rsidRPr="00743BE9" w:rsidR="4DD9F442" w:rsidP="00B6310C" w:rsidRDefault="4DD9F442" w14:paraId="218CE1FA" w14:textId="6F49FA62">
      <w:pPr>
        <w:spacing w:before="240" w:after="240" w:line="360" w:lineRule="auto"/>
        <w:jc w:val="both"/>
      </w:pPr>
      <w:r w:rsidR="4DD9F442">
        <w:rPr/>
        <w:t xml:space="preserve">However, vertical integration also creates strategic vulnerabilities. High capital requirements, manufacturing complexity, and dependence on critical raw materials </w:t>
      </w:r>
      <w:r w:rsidR="4DD9F442">
        <w:rPr/>
        <w:t>increase operational risk</w:t>
      </w:r>
      <w:r w:rsidR="08CB22A9">
        <w:rPr/>
        <w:t>.</w:t>
      </w:r>
      <w:r w:rsidR="4DD9F442">
        <w:rPr/>
        <w:t xml:space="preserve"> Therefore, Tesla’s future competitiveness depends not only on innovation but also on its ability to improve efficiency, scalability, and </w:t>
      </w:r>
      <w:r w:rsidR="004F1284">
        <w:rPr/>
        <w:t>supply chain resilience (Hitt, Ireland,</w:t>
      </w:r>
      <w:r w:rsidR="4DD9F442">
        <w:rPr/>
        <w:t xml:space="preserve"> and </w:t>
      </w:r>
      <w:r w:rsidR="4DD9F442">
        <w:rPr/>
        <w:t>Hoskisson</w:t>
      </w:r>
      <w:r w:rsidR="4DD9F442">
        <w:rPr/>
        <w:t>, 2019).</w:t>
      </w:r>
    </w:p>
    <w:p w:rsidRPr="00743BE9" w:rsidR="4DD9F442" w:rsidP="00B6310C" w:rsidRDefault="4DD9F442" w14:paraId="02B9C11E" w14:textId="5DF601C0">
      <w:pPr>
        <w:spacing w:before="240" w:after="240" w:line="360" w:lineRule="auto"/>
        <w:jc w:val="both"/>
      </w:pPr>
      <w:r w:rsidR="4DD9F442">
        <w:rPr/>
        <w:t xml:space="preserve">This report focuses specifically on Tesla’s electric vehicle operations within the United States market. This focus is strategically justified because the US </w:t>
      </w:r>
      <w:r w:rsidR="4DD9F442">
        <w:rPr/>
        <w:t>remains</w:t>
      </w:r>
      <w:r w:rsidR="4DD9F442">
        <w:rPr/>
        <w:t xml:space="preserve"> a critical market due to Tesla’s manufacturing presence, regulatory influence, and competitive importance</w:t>
      </w:r>
      <w:r w:rsidR="4DD9F442">
        <w:rPr/>
        <w:t>. Government initiatives, including the Inflation Reduction Act (IRA), have supported EV adoption through consumer incentives and clean energy investment. However, reliance on government support also creates strategic exposure, as changes in political priorities may influence consumer demand and market conditions</w:t>
      </w:r>
      <w:r w:rsidR="25B8B01F">
        <w:rPr/>
        <w:t>.</w:t>
      </w:r>
    </w:p>
    <w:p w:rsidRPr="00743BE9" w:rsidR="4DD9F442" w:rsidP="3A68F3DD" w:rsidRDefault="4DD9F442" w14:paraId="29B66557" w14:textId="0765FCF9">
      <w:pPr>
        <w:pStyle w:val="Normal"/>
        <w:spacing w:before="240" w:after="240" w:line="360" w:lineRule="auto"/>
        <w:jc w:val="both"/>
      </w:pPr>
      <w:r w:rsidR="4DD9F442">
        <w:rPr/>
        <w:t xml:space="preserve">The US EV industry is </w:t>
      </w:r>
      <w:r w:rsidR="4DD9F442">
        <w:rPr/>
        <w:t>characterised</w:t>
      </w:r>
      <w:r w:rsidR="4DD9F442">
        <w:rPr/>
        <w:t xml:space="preserve"> by increasing competition from established manufacturers such as Ford and General Motors, </w:t>
      </w:r>
      <w:r w:rsidR="00066B83">
        <w:rPr/>
        <w:t xml:space="preserve">as well as EV-focused </w:t>
      </w:r>
      <w:r w:rsidR="00066B83">
        <w:rPr/>
        <w:t>organisations</w:t>
      </w:r>
      <w:r w:rsidR="00066B83">
        <w:rPr/>
        <w:t xml:space="preserve"> such as</w:t>
      </w:r>
      <w:r w:rsidR="4DD9F442">
        <w:rPr/>
        <w:t xml:space="preserve"> Rivian and </w:t>
      </w:r>
      <w:r w:rsidR="4DD9F442">
        <w:rPr/>
        <w:t>BYD</w:t>
      </w:r>
      <w:r w:rsidRPr="3A68F3DD" w:rsidR="6575BECB">
        <w:rPr>
          <w:rFonts w:ascii="Arial" w:hAnsi="Arial" w:eastAsia="Arial" w:cs="Arial"/>
          <w:noProof w:val="0"/>
          <w:sz w:val="24"/>
          <w:szCs w:val="24"/>
          <w:lang w:val="en-US"/>
        </w:rPr>
        <w:t xml:space="preserve"> </w:t>
      </w:r>
      <w:r w:rsidRPr="3A68F3DD" w:rsidR="4F71E55E">
        <w:rPr>
          <w:rFonts w:ascii="Arial" w:hAnsi="Arial" w:eastAsia="Arial" w:cs="Arial"/>
          <w:noProof w:val="0"/>
          <w:sz w:val="24"/>
          <w:szCs w:val="24"/>
          <w:lang w:val="en-US"/>
        </w:rPr>
        <w:t>(IEA, 2024; Ramos and Ruiz-Gálvez, 2024)</w:t>
      </w:r>
      <w:r w:rsidR="4DD9F442">
        <w:rPr/>
        <w:t xml:space="preserve">. </w:t>
      </w:r>
      <w:r w:rsidR="4DD9F442">
        <w:rPr/>
        <w:t>Porter</w:t>
      </w:r>
      <w:r w:rsidR="4DD9F442">
        <w:rPr/>
        <w:t xml:space="preserve">’s (2008) competitive forces framework suggests that intensifying rivalry reduces </w:t>
      </w:r>
      <w:r w:rsidR="00066B83">
        <w:rPr/>
        <w:t xml:space="preserve">firms' ability </w:t>
      </w:r>
      <w:r w:rsidR="4DD9F442">
        <w:rPr/>
        <w:t xml:space="preserve">to rely solely </w:t>
      </w:r>
      <w:r w:rsidR="4DD9F442">
        <w:rPr/>
        <w:t>on hist</w:t>
      </w:r>
      <w:r w:rsidR="4DD9F442">
        <w:rPr/>
        <w:t>orical advantages</w:t>
      </w:r>
      <w:r w:rsidRPr="3A68F3DD" w:rsidR="292DBE65">
        <w:rPr>
          <w:rFonts w:ascii="Arial" w:hAnsi="Arial" w:eastAsia="Arial" w:cs="Arial"/>
          <w:noProof w:val="0"/>
          <w:sz w:val="24"/>
          <w:szCs w:val="24"/>
          <w:lang w:val="en-US"/>
        </w:rPr>
        <w:t xml:space="preserve"> (Gratton, 2025)</w:t>
      </w:r>
      <w:r w:rsidR="4DD9F442">
        <w:rPr/>
        <w:t xml:space="preserve">. Although Tesla </w:t>
      </w:r>
      <w:r w:rsidR="4DD9F442">
        <w:rPr/>
        <w:t>retains</w:t>
      </w:r>
      <w:r w:rsidR="4DD9F442">
        <w:rPr/>
        <w:t xml:space="preserve"> significant strengths through technological capability, brand reputation, charging infrastructure, and software integration, the resource-based view (Barney, 1991) suggests that these resources must remain valuable, rare, difficult to imitate, and effectively managed.</w:t>
      </w:r>
    </w:p>
    <w:p w:rsidRPr="00743BE9" w:rsidR="145AC16E" w:rsidP="3A68F3DD" w:rsidRDefault="4DD9F442" w14:paraId="3583C8BD" w14:textId="5487E7DD">
      <w:pPr>
        <w:pStyle w:val="Normal"/>
        <w:spacing w:before="240" w:after="240" w:line="360" w:lineRule="auto"/>
        <w:jc w:val="both"/>
      </w:pPr>
      <w:r w:rsidR="4DD9F442">
        <w:rPr/>
        <w:t>Therefore, while Tesla currently maintains a strong competitive position, its long-term success depends on transitioning from a technology-driven EV manufacturer into an integrated sustainable mobility ecosystem that combines innovation, operational excellence, and stakeholder value creation</w:t>
      </w:r>
      <w:r w:rsidR="3674381E">
        <w:rPr/>
        <w:t xml:space="preserve"> according to </w:t>
      </w:r>
      <w:r w:rsidRPr="3A68F3DD" w:rsidR="3674381E">
        <w:rPr>
          <w:rFonts w:ascii="Arial" w:hAnsi="Arial" w:eastAsia="Arial" w:cs="Arial"/>
          <w:noProof w:val="0"/>
          <w:sz w:val="24"/>
          <w:szCs w:val="24"/>
          <w:lang w:val="en-US"/>
        </w:rPr>
        <w:t>(Inside tesla’s blueprint: Strategy, sustainability, and competitive edge, 2025).</w:t>
      </w:r>
    </w:p>
    <w:p w:rsidRPr="00743BE9" w:rsidR="1872BD6A" w:rsidP="3A68F3DD" w:rsidRDefault="1872BD6A" w14:paraId="52B10E85" w14:textId="20D1DE9F">
      <w:pPr>
        <w:pStyle w:val="Heading2"/>
        <w:spacing w:line="360" w:lineRule="auto"/>
        <w:jc w:val="both"/>
        <w:rPr>
          <w:rFonts w:ascii="Arial" w:hAnsi="Arial" w:eastAsia="ＭＳ 明朝" w:cs="Arial" w:asciiTheme="minorAscii" w:hAnsiTheme="minorAscii" w:eastAsiaTheme="minorEastAsia" w:cstheme="minorBidi"/>
          <w:b w:val="1"/>
          <w:bCs w:val="1"/>
          <w:sz w:val="28"/>
          <w:szCs w:val="28"/>
        </w:rPr>
      </w:pPr>
      <w:bookmarkStart w:name="_Toc2040180117" w:id="1754187235"/>
      <w:r w:rsidRPr="3A68F3DD" w:rsidR="1872BD6A">
        <w:rPr>
          <w:rFonts w:ascii="Arial" w:hAnsi="Arial" w:eastAsia="ＭＳ 明朝" w:cs="Arial" w:asciiTheme="minorAscii" w:hAnsiTheme="minorAscii" w:eastAsiaTheme="minorEastAsia" w:cstheme="minorBidi"/>
          <w:b w:val="1"/>
          <w:bCs w:val="1"/>
          <w:sz w:val="28"/>
          <w:szCs w:val="28"/>
        </w:rPr>
        <w:t>2. External and Internal Analysis</w:t>
      </w:r>
      <w:bookmarkEnd w:id="1754187235"/>
    </w:p>
    <w:p w:rsidR="241E16BE" w:rsidP="76FC9D08" w:rsidRDefault="241E16BE" w14:paraId="3D82B5AF" w14:textId="6DB3969C">
      <w:pPr>
        <w:spacing w:before="240" w:after="240" w:line="360" w:lineRule="auto"/>
        <w:jc w:val="both"/>
      </w:pPr>
      <w:r w:rsidR="241E16BE">
        <w:rPr/>
        <w:t xml:space="preserve">Strategic success depends on an </w:t>
      </w:r>
      <w:r w:rsidR="241E16BE">
        <w:rPr/>
        <w:t>organisation's</w:t>
      </w:r>
      <w:r w:rsidR="241E16BE">
        <w:rPr/>
        <w:t xml:space="preserve"> ability to align internal capabilities with external environmental conditions. </w:t>
      </w:r>
      <w:r w:rsidR="5C71E5B9">
        <w:rPr/>
        <w:t>Whittington et al. (</w:t>
      </w:r>
      <w:r w:rsidR="5C71E5B9">
        <w:rPr/>
        <w:t>2017)</w:t>
      </w:r>
      <w:r w:rsidR="241E16BE">
        <w:rPr/>
        <w:t xml:space="preserve"> argue that sustainable competitive advantage requires </w:t>
      </w:r>
      <w:r w:rsidR="241E16BE">
        <w:rPr/>
        <w:t>organisations</w:t>
      </w:r>
      <w:r w:rsidR="241E16BE">
        <w:rPr/>
        <w:t xml:space="preserve"> to understand how macro-environmental forces influence strategic decision-making. For Tesla, </w:t>
      </w:r>
      <w:r w:rsidR="241E16BE">
        <w:rPr/>
        <w:t>operating</w:t>
      </w:r>
      <w:r w:rsidR="241E16BE">
        <w:rPr/>
        <w:t xml:space="preserve"> in the </w:t>
      </w:r>
      <w:r w:rsidR="241E16BE">
        <w:rPr/>
        <w:t xml:space="preserve">highly competitive United States electric vehicle (EV) market, external analysis is particularly important due to rapid technological innovation, evolving regulation, increasing </w:t>
      </w:r>
      <w:r w:rsidR="241E16BE">
        <w:rPr/>
        <w:t>competition</w:t>
      </w:r>
      <w:r w:rsidR="241E16BE">
        <w:rPr/>
        <w:t xml:space="preserve"> and changing stakeholder expectations. The PESTEL framework is applied to </w:t>
      </w:r>
      <w:r w:rsidR="241E16BE">
        <w:rPr/>
        <w:t>identify</w:t>
      </w:r>
      <w:r w:rsidR="241E16BE">
        <w:rPr/>
        <w:t xml:space="preserve"> the principal opportunities and threats shaping Tesla's strategic position (see Appendix A, Figure A1).</w:t>
      </w:r>
    </w:p>
    <w:p w:rsidRPr="00743BE9" w:rsidR="1872BD6A" w:rsidP="3A68F3DD" w:rsidRDefault="1872BD6A" w14:paraId="27883474" w14:textId="76D3E4EB">
      <w:pPr>
        <w:pStyle w:val="Normal"/>
        <w:rPr>
          <w:rFonts w:ascii="Arial" w:hAnsi="Arial" w:eastAsia="ＭＳ 明朝" w:cs="Arial" w:asciiTheme="minorAscii" w:hAnsiTheme="minorAscii" w:eastAsiaTheme="minorEastAsia" w:cstheme="minorBidi"/>
          <w:b w:val="1"/>
          <w:bCs w:val="1"/>
          <w:sz w:val="24"/>
          <w:szCs w:val="24"/>
        </w:rPr>
      </w:pPr>
      <w:r w:rsidRPr="3A68F3DD" w:rsidR="1872BD6A">
        <w:rPr>
          <w:b w:val="1"/>
          <w:bCs w:val="1"/>
        </w:rPr>
        <w:t>2.1 External Analysis: PESTEL Framework</w:t>
      </w:r>
    </w:p>
    <w:p w:rsidRPr="00743BE9" w:rsidR="1872BD6A" w:rsidP="3A68F3DD" w:rsidRDefault="1872BD6A" w14:paraId="140D032E" w14:textId="2308B92A">
      <w:pPr>
        <w:pStyle w:val="Normal"/>
        <w:spacing w:line="360" w:lineRule="auto"/>
        <w:jc w:val="both"/>
      </w:pPr>
      <w:r w:rsidR="1872BD6A">
        <w:rPr/>
        <w:t xml:space="preserve">The PESTEL framework evaluates political, economic, social, technological, environmental, and legal factors influencing </w:t>
      </w:r>
      <w:r w:rsidR="1872BD6A">
        <w:rPr/>
        <w:t>organisational</w:t>
      </w:r>
      <w:r w:rsidR="1872BD6A">
        <w:rPr/>
        <w:t xml:space="preserve"> strategy</w:t>
      </w:r>
      <w:r w:rsidRPr="3A68F3DD" w:rsidR="60FC43DD">
        <w:rPr>
          <w:rFonts w:ascii="Arial" w:hAnsi="Arial" w:eastAsia="Arial" w:cs="Arial"/>
          <w:noProof w:val="0"/>
          <w:sz w:val="24"/>
          <w:szCs w:val="24"/>
          <w:lang w:val="en-US"/>
        </w:rPr>
        <w:t xml:space="preserve"> (Makos, 2022)</w:t>
      </w:r>
      <w:r w:rsidRPr="3A68F3DD" w:rsidR="5DCAC3B4">
        <w:rPr>
          <w:rFonts w:ascii="Arial" w:hAnsi="Arial" w:eastAsia="Arial" w:cs="Arial"/>
          <w:noProof w:val="0"/>
          <w:sz w:val="24"/>
          <w:szCs w:val="24"/>
          <w:lang w:val="en-US"/>
        </w:rPr>
        <w:t>.</w:t>
      </w:r>
      <w:r w:rsidR="1872BD6A">
        <w:rPr/>
        <w:t xml:space="preserve"> According to </w:t>
      </w:r>
      <w:r w:rsidR="53B945ED">
        <w:rPr/>
        <w:t>(Whittington et al., 2017)</w:t>
      </w:r>
      <w:r w:rsidR="1872BD6A">
        <w:rPr/>
        <w:t xml:space="preserve">, macro-environmental analysis enables </w:t>
      </w:r>
      <w:r w:rsidR="1872BD6A">
        <w:rPr/>
        <w:t>organisations</w:t>
      </w:r>
      <w:r w:rsidR="1872BD6A">
        <w:rPr/>
        <w:t xml:space="preserve"> to </w:t>
      </w:r>
      <w:r w:rsidR="1872BD6A">
        <w:rPr/>
        <w:t>identify</w:t>
      </w:r>
      <w:r w:rsidR="1872BD6A">
        <w:rPr/>
        <w:t xml:space="preserve"> emerging opportunities and threats that may affect long-term competitiveness. For Tesla, external factors are particularly significant because the EV industry is shaped by government policy, technological disruption, sustainability expectations, and changing consumer </w:t>
      </w:r>
      <w:r w:rsidR="1872BD6A">
        <w:rPr/>
        <w:t>behaviour</w:t>
      </w:r>
      <w:r w:rsidR="19157E63">
        <w:rPr/>
        <w:t xml:space="preserve"> </w:t>
      </w:r>
      <w:r w:rsidR="4B8A6836">
        <w:rPr/>
        <w:t>(</w:t>
      </w:r>
      <w:r w:rsidRPr="3A68F3DD" w:rsidR="19157E63">
        <w:rPr>
          <w:rFonts w:ascii="Arial" w:hAnsi="Arial" w:eastAsia="Arial" w:cs="Arial"/>
          <w:color w:val="000000" w:themeColor="text1" w:themeTint="FF" w:themeShade="FF"/>
        </w:rPr>
        <w:t xml:space="preserve">Alger </w:t>
      </w:r>
      <w:r w:rsidR="5E8863EF">
        <w:rPr/>
        <w:t>et al.</w:t>
      </w:r>
      <w:r w:rsidRPr="3A68F3DD" w:rsidR="5E8863EF">
        <w:rPr>
          <w:rFonts w:ascii="Arial" w:hAnsi="Arial" w:eastAsia="Arial" w:cs="Arial"/>
          <w:color w:val="000000" w:themeColor="text1" w:themeTint="FF" w:themeShade="FF"/>
        </w:rPr>
        <w:t xml:space="preserve"> </w:t>
      </w:r>
      <w:r w:rsidRPr="3A68F3DD" w:rsidR="19157E63">
        <w:rPr>
          <w:rFonts w:ascii="Arial" w:hAnsi="Arial" w:eastAsia="Arial" w:cs="Arial"/>
          <w:color w:val="000000" w:themeColor="text1" w:themeTint="FF" w:themeShade="FF"/>
        </w:rPr>
        <w:t>2021)</w:t>
      </w:r>
      <w:r w:rsidR="1872BD6A">
        <w:rPr/>
        <w:t>.</w:t>
      </w:r>
    </w:p>
    <w:p w:rsidRPr="00743BE9" w:rsidR="1872BD6A" w:rsidP="3A68F3DD" w:rsidRDefault="1872BD6A" w14:paraId="495B0E9B" w14:textId="54F348ED">
      <w:pPr>
        <w:pStyle w:val="Normal"/>
        <w:rPr>
          <w:rFonts w:ascii="Arial" w:hAnsi="Arial" w:eastAsia="ＭＳ 明朝" w:cs="Arial" w:asciiTheme="minorAscii" w:hAnsiTheme="minorAscii" w:eastAsiaTheme="minorEastAsia" w:cstheme="minorBidi"/>
          <w:b w:val="1"/>
          <w:bCs w:val="1"/>
          <w:sz w:val="24"/>
          <w:szCs w:val="24"/>
        </w:rPr>
      </w:pPr>
      <w:r w:rsidRPr="3A68F3DD" w:rsidR="1872BD6A">
        <w:rPr>
          <w:b w:val="1"/>
          <w:bCs w:val="1"/>
        </w:rPr>
        <w:t>Political Factors</w:t>
      </w:r>
    </w:p>
    <w:p w:rsidR="5D700EF8" w:rsidP="5014BC66" w:rsidRDefault="0B1AE30A" w14:paraId="2BA563DE" w14:textId="458439EB">
      <w:pPr>
        <w:spacing w:before="240" w:after="240" w:line="360" w:lineRule="auto"/>
        <w:jc w:val="both"/>
      </w:pPr>
      <w:r w:rsidR="0B1AE30A">
        <w:rPr/>
        <w:t xml:space="preserve">Government policy </w:t>
      </w:r>
      <w:r w:rsidR="0B1AE30A">
        <w:rPr/>
        <w:t>remains</w:t>
      </w:r>
      <w:r w:rsidR="0B1AE30A">
        <w:rPr/>
        <w:t xml:space="preserve"> both a major opportunity and strategic risk</w:t>
      </w:r>
      <w:r w:rsidR="0B1AE30A">
        <w:rPr/>
        <w:t xml:space="preserve">. The Inflation Reduction Act (IRA) has accelerated EV adoption through tax incentives and investment in domestic </w:t>
      </w:r>
      <w:r w:rsidR="0B1AE30A">
        <w:rPr/>
        <w:t>battery</w:t>
      </w:r>
      <w:r w:rsidR="0B1AE30A">
        <w:rPr/>
        <w:t xml:space="preserve"> production and charging infrastructure, supporting Tesla's market growth </w:t>
      </w:r>
      <w:r w:rsidR="037BB779">
        <w:rPr/>
        <w:t>(G.J. Offer et al., 2011)</w:t>
      </w:r>
      <w:r w:rsidR="0B1AE30A">
        <w:rPr/>
        <w:t xml:space="preserve">. However, reliance on government incentives exposes Tesla to policy uncertainty, while geopolitical tensions affecting critical minerals such as lithium, </w:t>
      </w:r>
      <w:r w:rsidR="0B1AE30A">
        <w:rPr/>
        <w:t>nickel</w:t>
      </w:r>
      <w:r w:rsidR="0B1AE30A">
        <w:rPr/>
        <w:t xml:space="preserve"> and cobalt increase supply-chain vulnerability </w:t>
      </w:r>
      <w:r w:rsidR="66B0DB83">
        <w:rPr/>
        <w:t>(</w:t>
      </w:r>
      <w:r w:rsidRPr="3A68F3DD" w:rsidR="66B0DB83">
        <w:rPr>
          <w:rFonts w:ascii="Arial" w:hAnsi="Arial" w:eastAsia="Arial" w:cs="Arial"/>
        </w:rPr>
        <w:t>Eckhouse 2025</w:t>
      </w:r>
      <w:r w:rsidRPr="3A68F3DD" w:rsidR="22BF3B75">
        <w:rPr>
          <w:rFonts w:ascii="Arial" w:hAnsi="Arial" w:eastAsia="Arial" w:cs="Arial"/>
        </w:rPr>
        <w:t>; Marzouk 2025</w:t>
      </w:r>
      <w:r w:rsidRPr="3A68F3DD" w:rsidR="22BF3B75">
        <w:rPr>
          <w:rFonts w:ascii="Arial" w:hAnsi="Arial" w:eastAsia="Arial" w:cs="Arial"/>
        </w:rPr>
        <w:t>).</w:t>
      </w:r>
      <w:r w:rsidR="0B1AE30A">
        <w:rPr/>
        <w:t xml:space="preserve"> </w:t>
      </w:r>
      <w:r w:rsidR="0B1AE30A">
        <w:rPr/>
        <w:t xml:space="preserve">Consequently, Tesla must strengthen domestic sourcing, improve manufacturing </w:t>
      </w:r>
      <w:r w:rsidR="0B1AE30A">
        <w:rPr/>
        <w:t>efficiency</w:t>
      </w:r>
      <w:r w:rsidR="0B1AE30A">
        <w:rPr/>
        <w:t xml:space="preserve"> and diversify revenue through energy storage and software services to reduce dependence on external policy support </w:t>
      </w:r>
      <w:r w:rsidR="679605D0">
        <w:rPr/>
        <w:t>(Gratton, 2025</w:t>
      </w:r>
      <w:r w:rsidR="0B1AE30A">
        <w:rPr/>
        <w:t>).</w:t>
      </w:r>
    </w:p>
    <w:p w:rsidRPr="00743BE9" w:rsidR="1872BD6A" w:rsidP="3A68F3DD" w:rsidRDefault="1872BD6A" w14:paraId="101F3352" w14:textId="2CFE7E0C">
      <w:pPr>
        <w:pStyle w:val="Normal"/>
        <w:rPr>
          <w:rFonts w:ascii="Arial" w:hAnsi="Arial" w:eastAsia="ＭＳ 明朝" w:cs="Arial" w:asciiTheme="minorAscii" w:hAnsiTheme="minorAscii" w:eastAsiaTheme="minorEastAsia" w:cstheme="minorBidi"/>
          <w:b w:val="1"/>
          <w:bCs w:val="1"/>
          <w:sz w:val="24"/>
          <w:szCs w:val="24"/>
        </w:rPr>
      </w:pPr>
      <w:r w:rsidRPr="3A68F3DD" w:rsidR="1872BD6A">
        <w:rPr>
          <w:b w:val="1"/>
          <w:bCs w:val="1"/>
        </w:rPr>
        <w:t>Economic Factors</w:t>
      </w:r>
    </w:p>
    <w:p w:rsidR="0A0E3443" w:rsidP="3A68F3DD" w:rsidRDefault="0A0E3443" w14:paraId="1CA88291" w14:textId="51D01F95">
      <w:pPr>
        <w:pStyle w:val="Normal"/>
        <w:spacing w:line="360" w:lineRule="auto"/>
        <w:jc w:val="both"/>
        <w:rPr>
          <w:rFonts w:ascii="Arial" w:hAnsi="Arial" w:eastAsia="Arial" w:cs="Arial"/>
        </w:rPr>
      </w:pPr>
      <w:r w:rsidRPr="3A68F3DD" w:rsidR="0A0E3443">
        <w:rPr>
          <w:rFonts w:ascii="Arial" w:hAnsi="Arial" w:eastAsia="Arial" w:cs="Arial"/>
        </w:rPr>
        <w:t>Macroeconomic conditions directly influence consumer affordability, demand</w:t>
      </w:r>
      <w:r w:rsidRPr="3A68F3DD" w:rsidR="3DD89852">
        <w:rPr>
          <w:rFonts w:ascii="Arial" w:hAnsi="Arial" w:eastAsia="Arial" w:cs="Arial"/>
        </w:rPr>
        <w:t>,</w:t>
      </w:r>
      <w:r w:rsidRPr="3A68F3DD" w:rsidR="0A0E3443">
        <w:rPr>
          <w:rFonts w:ascii="Arial" w:hAnsi="Arial" w:eastAsia="Arial" w:cs="Arial"/>
        </w:rPr>
        <w:t xml:space="preserve"> and profitability within the EV market</w:t>
      </w:r>
      <w:r w:rsidRPr="3A68F3DD" w:rsidR="180B25D0">
        <w:rPr>
          <w:rFonts w:ascii="Arial" w:hAnsi="Arial" w:eastAsia="Arial" w:cs="Arial"/>
        </w:rPr>
        <w:t>.</w:t>
      </w:r>
      <w:r w:rsidRPr="3A68F3DD" w:rsidR="0A0E3443">
        <w:rPr>
          <w:rFonts w:ascii="Arial" w:hAnsi="Arial" w:eastAsia="Arial" w:cs="Arial"/>
        </w:rPr>
        <w:t xml:space="preserve"> Rising inflation, higher interest rates</w:t>
      </w:r>
      <w:r w:rsidRPr="3A68F3DD" w:rsidR="3A0556BC">
        <w:rPr>
          <w:rFonts w:ascii="Arial" w:hAnsi="Arial" w:eastAsia="Arial" w:cs="Arial"/>
        </w:rPr>
        <w:t>,</w:t>
      </w:r>
      <w:r w:rsidRPr="3A68F3DD" w:rsidR="0A0E3443">
        <w:rPr>
          <w:rFonts w:ascii="Arial" w:hAnsi="Arial" w:eastAsia="Arial" w:cs="Arial"/>
        </w:rPr>
        <w:t xml:space="preserve"> and increased financing costs have reduced demand for premium electric vehicles, intensifying competitive pressures. In response, Tesla implemented a series of vehicle price reductions throughout </w:t>
      </w:r>
      <w:r w:rsidRPr="3A68F3DD" w:rsidR="0A0E3443">
        <w:rPr>
          <w:rFonts w:ascii="Arial" w:hAnsi="Arial" w:eastAsia="Arial" w:cs="Arial"/>
        </w:rPr>
        <w:t>2023</w:t>
      </w:r>
      <w:r w:rsidRPr="3A68F3DD" w:rsidR="0A0E3443">
        <w:rPr>
          <w:rFonts w:ascii="Arial" w:hAnsi="Arial" w:eastAsia="Arial" w:cs="Arial"/>
        </w:rPr>
        <w:t xml:space="preserve">, with further targeted adjustments during </w:t>
      </w:r>
      <w:r w:rsidRPr="3A68F3DD" w:rsidR="0A0E3443">
        <w:rPr>
          <w:rFonts w:ascii="Arial" w:hAnsi="Arial" w:eastAsia="Arial" w:cs="Arial"/>
        </w:rPr>
        <w:t>2024</w:t>
      </w:r>
      <w:r w:rsidRPr="3A68F3DD" w:rsidR="0A0E3443">
        <w:rPr>
          <w:rFonts w:ascii="Arial" w:hAnsi="Arial" w:eastAsia="Arial" w:cs="Arial"/>
        </w:rPr>
        <w:t xml:space="preserve"> to </w:t>
      </w:r>
      <w:r w:rsidRPr="3A68F3DD" w:rsidR="0A0E3443">
        <w:rPr>
          <w:rFonts w:ascii="Arial" w:hAnsi="Arial" w:eastAsia="Arial" w:cs="Arial"/>
        </w:rPr>
        <w:t>maintain</w:t>
      </w:r>
      <w:r w:rsidRPr="3A68F3DD" w:rsidR="0A0E3443">
        <w:rPr>
          <w:rFonts w:ascii="Arial" w:hAnsi="Arial" w:eastAsia="Arial" w:cs="Arial"/>
        </w:rPr>
        <w:t xml:space="preserve"> </w:t>
      </w:r>
      <w:r w:rsidRPr="3A68F3DD" w:rsidR="0A0E3443">
        <w:rPr>
          <w:rFonts w:ascii="Arial" w:hAnsi="Arial" w:eastAsia="Arial" w:cs="Arial"/>
        </w:rPr>
        <w:t xml:space="preserve">sales volumes and defend market share (Tesla, </w:t>
      </w:r>
      <w:r w:rsidRPr="3A68F3DD" w:rsidR="0A0E3443">
        <w:rPr>
          <w:rFonts w:ascii="Arial" w:hAnsi="Arial" w:eastAsia="Arial" w:cs="Arial"/>
        </w:rPr>
        <w:t>2024</w:t>
      </w:r>
      <w:r w:rsidRPr="3A68F3DD" w:rsidR="0A0E3443">
        <w:rPr>
          <w:rFonts w:ascii="Arial" w:hAnsi="Arial" w:eastAsia="Arial" w:cs="Arial"/>
        </w:rPr>
        <w:t xml:space="preserve">). While this strategy aligns with </w:t>
      </w:r>
      <w:r w:rsidRPr="3A68F3DD" w:rsidR="0A0E3443">
        <w:rPr>
          <w:rFonts w:ascii="Arial" w:hAnsi="Arial" w:eastAsia="Arial" w:cs="Arial"/>
        </w:rPr>
        <w:t>Ansoff</w:t>
      </w:r>
      <w:r w:rsidRPr="3A68F3DD" w:rsidR="0A0E3443">
        <w:rPr>
          <w:rFonts w:ascii="Arial" w:hAnsi="Arial" w:eastAsia="Arial" w:cs="Arial"/>
        </w:rPr>
        <w:t>'s (1957) market penetration</w:t>
      </w:r>
      <w:r w:rsidRPr="3A68F3DD" w:rsidR="0A0E3443">
        <w:rPr>
          <w:rFonts w:ascii="Arial" w:hAnsi="Arial" w:eastAsia="Arial" w:cs="Arial"/>
        </w:rPr>
        <w:t xml:space="preserve"> approach by improving affordability and expanding customer access, it has also compressed profit margins and risked weakening Tesla's premium brand positioning</w:t>
      </w:r>
      <w:r w:rsidR="3B582191">
        <w:rPr/>
        <w:t xml:space="preserve"> </w:t>
      </w:r>
      <w:r w:rsidR="70116AE6">
        <w:rPr/>
        <w:t>(Hako, 1972; Richard et al., 2009).</w:t>
      </w:r>
      <w:r w:rsidRPr="3A68F3DD" w:rsidR="0A0E3443">
        <w:rPr>
          <w:rFonts w:ascii="Arial" w:hAnsi="Arial" w:eastAsia="Arial" w:cs="Arial"/>
        </w:rPr>
        <w:t xml:space="preserve"> Nevertheless, declining battery costs and continued manufacturing innovation present opportunities to improve affordability through greater production efficiency and economies of scale rather than relying on sustained price competition (</w:t>
      </w:r>
      <w:r w:rsidRPr="3A68F3DD" w:rsidR="0A0E3443">
        <w:rPr>
          <w:rFonts w:ascii="Arial" w:hAnsi="Arial" w:eastAsia="Arial" w:cs="Arial"/>
        </w:rPr>
        <w:t>IEA, 2024).</w:t>
      </w:r>
      <w:r w:rsidRPr="3A68F3DD" w:rsidR="0A0E3443">
        <w:rPr>
          <w:rFonts w:ascii="Arial" w:hAnsi="Arial" w:eastAsia="Arial" w:cs="Arial"/>
        </w:rPr>
        <w:t xml:space="preserve"> Consequently, Tesla's long-term strategic challenge is to balance market growth with profitability while preserving its differentiation advantage through innovation rather than price </w:t>
      </w:r>
      <w:r w:rsidRPr="3A68F3DD" w:rsidR="0A0E3443">
        <w:rPr>
          <w:rFonts w:ascii="Arial" w:hAnsi="Arial" w:eastAsia="Arial" w:cs="Arial"/>
        </w:rPr>
        <w:t>alone</w:t>
      </w:r>
      <w:r w:rsidRPr="3A68F3DD" w:rsidR="5B493B70">
        <w:rPr>
          <w:rFonts w:ascii="Arial" w:hAnsi="Arial" w:eastAsia="Arial" w:cs="Arial"/>
        </w:rPr>
        <w:t>.</w:t>
      </w:r>
    </w:p>
    <w:p w:rsidRPr="00743BE9" w:rsidR="1872BD6A" w:rsidP="3A68F3DD" w:rsidRDefault="1872BD6A" w14:paraId="5AC9A9A1" w14:textId="495855FF">
      <w:pPr>
        <w:pStyle w:val="Normal"/>
        <w:rPr>
          <w:rFonts w:ascii="Arial" w:hAnsi="Arial" w:eastAsia="ＭＳ 明朝" w:cs="Arial" w:asciiTheme="minorAscii" w:hAnsiTheme="minorAscii" w:eastAsiaTheme="minorEastAsia" w:cstheme="minorBidi"/>
          <w:b w:val="1"/>
          <w:bCs w:val="1"/>
          <w:sz w:val="24"/>
          <w:szCs w:val="24"/>
        </w:rPr>
      </w:pPr>
      <w:r w:rsidRPr="3A68F3DD" w:rsidR="1872BD6A">
        <w:rPr>
          <w:b w:val="1"/>
          <w:bCs w:val="1"/>
        </w:rPr>
        <w:t>Social Factors</w:t>
      </w:r>
    </w:p>
    <w:p w:rsidR="1B0E48B5" w:rsidP="3DB62EE1" w:rsidRDefault="1B0E48B5" w14:paraId="3C6B6DB0" w14:textId="5AFEDEB7">
      <w:pPr>
        <w:spacing w:line="360" w:lineRule="auto"/>
        <w:jc w:val="both"/>
      </w:pPr>
      <w:r w:rsidR="1B0E48B5">
        <w:rPr/>
        <w:t xml:space="preserve">Growing environmental awareness continues to support demand for electric vehicles, reinforcing Tesla's reputation for innovation and sustainability. However, consumer expectations now extend beyond technological leadership to include affordability, reliability, customer </w:t>
      </w:r>
      <w:r w:rsidR="1B0E48B5">
        <w:rPr/>
        <w:t>service</w:t>
      </w:r>
      <w:r w:rsidR="1B0E48B5">
        <w:rPr/>
        <w:t xml:space="preserve"> and responsible corporate </w:t>
      </w:r>
      <w:r w:rsidR="1B0E48B5">
        <w:rPr/>
        <w:t>behaviour</w:t>
      </w:r>
      <w:r w:rsidR="1B0E48B5">
        <w:rPr/>
        <w:t>. At the same time, competitors such as BYD, Ford and General Motors are expanding their EV portfolios, reducing Tesla's differentiation advantage</w:t>
      </w:r>
      <w:r w:rsidR="00337581">
        <w:rPr/>
        <w:t xml:space="preserve"> </w:t>
      </w:r>
      <w:r w:rsidR="4B990B23">
        <w:rPr/>
        <w:t>(Ramos and Ruiz-Gálvez, 2024).</w:t>
      </w:r>
      <w:r w:rsidR="1B0E48B5">
        <w:rPr/>
        <w:t xml:space="preserve"> Maintaining stakeholder confidence therefore requires stronger governance, workforce </w:t>
      </w:r>
      <w:r w:rsidR="1B0E48B5">
        <w:rPr/>
        <w:t>engagement</w:t>
      </w:r>
      <w:r w:rsidR="1B0E48B5">
        <w:rPr/>
        <w:t xml:space="preserve"> and customer experience alongside continued product innovation </w:t>
      </w:r>
      <w:r w:rsidR="172C5E6C">
        <w:rPr/>
        <w:t>(</w:t>
      </w:r>
      <w:r w:rsidR="172C5E6C">
        <w:rPr/>
        <w:t>Freeman</w:t>
      </w:r>
      <w:r w:rsidR="172C5E6C">
        <w:rPr/>
        <w:t xml:space="preserve"> and Phillips, 2002).</w:t>
      </w:r>
    </w:p>
    <w:p w:rsidRPr="00743BE9" w:rsidR="1872BD6A" w:rsidP="3A68F3DD" w:rsidRDefault="1872BD6A" w14:paraId="2A7B33F1" w14:textId="5FB558E3">
      <w:pPr>
        <w:pStyle w:val="Normal"/>
        <w:rPr>
          <w:rFonts w:ascii="Arial" w:hAnsi="Arial" w:eastAsia="ＭＳ 明朝" w:cs="Arial" w:asciiTheme="minorAscii" w:hAnsiTheme="minorAscii" w:eastAsiaTheme="minorEastAsia" w:cstheme="minorBidi"/>
          <w:b w:val="1"/>
          <w:bCs w:val="1"/>
          <w:sz w:val="24"/>
          <w:szCs w:val="24"/>
        </w:rPr>
      </w:pPr>
      <w:r w:rsidRPr="3A68F3DD" w:rsidR="1872BD6A">
        <w:rPr>
          <w:b w:val="1"/>
          <w:bCs w:val="1"/>
        </w:rPr>
        <w:t>Technological Factors</w:t>
      </w:r>
    </w:p>
    <w:p w:rsidR="22D484F6" w:rsidP="2A3128CB" w:rsidRDefault="22D484F6" w14:paraId="15800B81" w14:textId="06756BC7">
      <w:pPr>
        <w:spacing w:line="360" w:lineRule="auto"/>
        <w:jc w:val="both"/>
      </w:pPr>
      <w:r w:rsidR="22D484F6">
        <w:rPr/>
        <w:t xml:space="preserve">Technology </w:t>
      </w:r>
      <w:r w:rsidR="22D484F6">
        <w:rPr/>
        <w:t>remains</w:t>
      </w:r>
      <w:r w:rsidR="22D484F6">
        <w:rPr/>
        <w:t xml:space="preserve"> Tesla's principal competitive advantage through its capabilities in </w:t>
      </w:r>
      <w:r w:rsidR="22D484F6">
        <w:rPr/>
        <w:t>battery</w:t>
      </w:r>
      <w:r w:rsidR="22D484F6">
        <w:rPr/>
        <w:t xml:space="preserve"> development, artificial intelligence, autonomous </w:t>
      </w:r>
      <w:r w:rsidR="22D484F6">
        <w:rPr/>
        <w:t>driving</w:t>
      </w:r>
      <w:r w:rsidR="22D484F6">
        <w:rPr/>
        <w:t xml:space="preserve"> and software integration. Teece (2018) argues that </w:t>
      </w:r>
      <w:r w:rsidR="22D484F6">
        <w:rPr/>
        <w:t>organisations</w:t>
      </w:r>
      <w:r w:rsidR="22D484F6">
        <w:rPr/>
        <w:t xml:space="preserve"> must continually renew capabilities to sustain competitive advantage in rapidly changing markets. Tesla's extensive vehicle data and over-the-air software updates create ongoing customer value and support future autonomous mobility services</w:t>
      </w:r>
      <w:r w:rsidR="00006EAD">
        <w:rPr/>
        <w:t xml:space="preserve"> </w:t>
      </w:r>
      <w:r w:rsidR="3881B261">
        <w:rPr/>
        <w:t>(G.J. Offer et al., 2011)</w:t>
      </w:r>
      <w:r w:rsidR="22D484F6">
        <w:rPr/>
        <w:t xml:space="preserve">. Nevertheless, increasing investment by competitors in EV platforms, </w:t>
      </w:r>
      <w:r w:rsidR="22D484F6">
        <w:rPr/>
        <w:t>battery</w:t>
      </w:r>
      <w:r w:rsidR="22D484F6">
        <w:rPr/>
        <w:t xml:space="preserve"> </w:t>
      </w:r>
      <w:r w:rsidR="22D484F6">
        <w:rPr/>
        <w:t>technology</w:t>
      </w:r>
      <w:r w:rsidR="22D484F6">
        <w:rPr/>
        <w:t xml:space="preserve"> and connected vehicles means Tesla's technological leadership is becoming increasingly contestable, requiring continuous innovation to </w:t>
      </w:r>
      <w:r w:rsidR="22D484F6">
        <w:rPr/>
        <w:t>maintain</w:t>
      </w:r>
      <w:r w:rsidR="22D484F6">
        <w:rPr/>
        <w:t xml:space="preserve"> differentiation.</w:t>
      </w:r>
    </w:p>
    <w:p w:rsidRPr="00743BE9" w:rsidR="1872BD6A" w:rsidP="3A68F3DD" w:rsidRDefault="1872BD6A" w14:paraId="1DA21A0B" w14:textId="6C492F96">
      <w:pPr>
        <w:pStyle w:val="Normal"/>
        <w:rPr>
          <w:rFonts w:ascii="Arial" w:hAnsi="Arial" w:eastAsia="ＭＳ 明朝" w:cs="Arial" w:asciiTheme="minorAscii" w:hAnsiTheme="minorAscii" w:eastAsiaTheme="minorEastAsia" w:cstheme="minorBidi"/>
          <w:b w:val="1"/>
          <w:bCs w:val="1"/>
          <w:sz w:val="24"/>
          <w:szCs w:val="24"/>
        </w:rPr>
      </w:pPr>
      <w:r w:rsidRPr="3A68F3DD" w:rsidR="1872BD6A">
        <w:rPr>
          <w:b w:val="1"/>
          <w:bCs w:val="1"/>
        </w:rPr>
        <w:t>Environmental Factors</w:t>
      </w:r>
    </w:p>
    <w:p w:rsidR="6A58ACF2" w:rsidP="0EC923D3" w:rsidRDefault="6A58ACF2" w14:paraId="014634BA" w14:textId="2A2EC149">
      <w:pPr>
        <w:spacing w:line="360" w:lineRule="auto"/>
        <w:jc w:val="both"/>
      </w:pPr>
      <w:r w:rsidR="6A58ACF2">
        <w:rPr/>
        <w:t>Environmental sustainability underpins Tesla's business model and competitive positioning. Its electric vehicles and renewable</w:t>
      </w:r>
      <w:r w:rsidR="6A58ACF2">
        <w:rPr/>
        <w:t xml:space="preserve"> energy </w:t>
      </w:r>
      <w:r w:rsidR="6A58ACF2">
        <w:rPr/>
        <w:t xml:space="preserve">solutions contribute to global </w:t>
      </w:r>
      <w:r w:rsidR="6A58ACF2">
        <w:rPr/>
        <w:t>decarbonisation</w:t>
      </w:r>
      <w:r w:rsidR="6A58ACF2">
        <w:rPr/>
        <w:t xml:space="preserve"> </w:t>
      </w:r>
      <w:r w:rsidR="6A58ACF2">
        <w:rPr/>
        <w:t>objectives</w:t>
      </w:r>
      <w:r w:rsidR="6A58ACF2">
        <w:rPr/>
        <w:t xml:space="preserve"> and strengthen its sustainability-based differentiation strategy </w:t>
      </w:r>
      <w:r w:rsidR="1FE6DF3E">
        <w:rPr/>
        <w:t>(</w:t>
      </w:r>
      <w:r w:rsidRPr="3A68F3DD" w:rsidR="1FE6DF3E">
        <w:rPr>
          <w:rFonts w:ascii="Arial" w:hAnsi="Arial" w:eastAsia="Arial" w:cs="Arial"/>
          <w:color w:val="000000" w:themeColor="text1" w:themeTint="FF" w:themeShade="FF"/>
        </w:rPr>
        <w:t xml:space="preserve">Alger </w:t>
      </w:r>
      <w:r w:rsidR="1FE6DF3E">
        <w:rPr/>
        <w:t>et al</w:t>
      </w:r>
      <w:r w:rsidRPr="3A68F3DD" w:rsidR="006B2B82">
        <w:rPr>
          <w:rFonts w:ascii="Arial" w:hAnsi="Arial" w:eastAsia="Arial" w:cs="Arial"/>
          <w:color w:val="000000" w:themeColor="text1" w:themeTint="FF" w:themeShade="FF"/>
        </w:rPr>
        <w:t>;</w:t>
      </w:r>
      <w:r w:rsidRPr="3A68F3DD" w:rsidR="1FE6DF3E">
        <w:rPr>
          <w:rFonts w:ascii="Arial" w:hAnsi="Arial" w:eastAsia="Arial" w:cs="Arial"/>
          <w:color w:val="000000" w:themeColor="text1" w:themeTint="FF" w:themeShade="FF"/>
        </w:rPr>
        <w:t xml:space="preserve"> </w:t>
      </w:r>
      <w:r w:rsidRPr="3A68F3DD" w:rsidR="006B2B82">
        <w:rPr>
          <w:rFonts w:ascii="Arial" w:hAnsi="Arial" w:eastAsia="Arial" w:cs="Arial"/>
          <w:color w:val="000000" w:themeColor="text1" w:themeTint="FF" w:themeShade="FF"/>
        </w:rPr>
        <w:t>2021</w:t>
      </w:r>
      <w:r w:rsidRPr="3A68F3DD" w:rsidR="4E723CC4">
        <w:rPr>
          <w:rFonts w:ascii="Arial" w:hAnsi="Arial" w:eastAsia="Arial" w:cs="Arial"/>
          <w:color w:val="000000" w:themeColor="text1" w:themeTint="FF" w:themeShade="FF"/>
        </w:rPr>
        <w:t>;</w:t>
      </w:r>
      <w:r w:rsidRPr="3A68F3DD" w:rsidR="5C4CF483">
        <w:rPr>
          <w:rFonts w:ascii="Arial" w:hAnsi="Arial" w:eastAsia="Arial" w:cs="Arial"/>
          <w:color w:val="000000" w:themeColor="text1" w:themeTint="FF" w:themeShade="FF"/>
        </w:rPr>
        <w:t xml:space="preserve"> </w:t>
      </w:r>
      <w:r w:rsidRPr="3A68F3DD" w:rsidR="3422A6B0">
        <w:rPr>
          <w:rFonts w:ascii="Arial" w:hAnsi="Arial" w:eastAsia="Arial" w:cs="Arial"/>
          <w:color w:val="000000" w:themeColor="text1" w:themeTint="FF" w:themeShade="FF"/>
        </w:rPr>
        <w:t xml:space="preserve">Eckhouse, 2025; </w:t>
      </w:r>
      <w:r w:rsidR="6A58ACF2">
        <w:rPr/>
        <w:t xml:space="preserve">WRI, </w:t>
      </w:r>
      <w:r w:rsidR="6A58ACF2">
        <w:rPr/>
        <w:t>202</w:t>
      </w:r>
      <w:r w:rsidR="4BC2ADF0">
        <w:rPr/>
        <w:t>0</w:t>
      </w:r>
      <w:r w:rsidR="6A58ACF2">
        <w:rPr/>
        <w:t xml:space="preserve">). However, battery production </w:t>
      </w:r>
      <w:r w:rsidR="6A58ACF2">
        <w:rPr/>
        <w:t>remains</w:t>
      </w:r>
      <w:r w:rsidR="6A58ACF2">
        <w:rPr/>
        <w:t xml:space="preserve"> dependent on minerals associated with environmental degradation and ethical sourcing concerns </w:t>
      </w:r>
      <w:r w:rsidR="57EA68CA">
        <w:rPr/>
        <w:t>(</w:t>
      </w:r>
      <w:r w:rsidRPr="3A68F3DD" w:rsidR="57EA68CA">
        <w:rPr>
          <w:rFonts w:ascii="Arial" w:hAnsi="Arial" w:eastAsia="Arial" w:cs="Arial"/>
        </w:rPr>
        <w:t>Eckhouse 2025</w:t>
      </w:r>
      <w:r w:rsidRPr="3A68F3DD" w:rsidR="57EA68CA">
        <w:rPr>
          <w:rFonts w:ascii="Arial" w:hAnsi="Arial" w:eastAsia="Arial" w:cs="Arial"/>
        </w:rPr>
        <w:t>)</w:t>
      </w:r>
      <w:r w:rsidR="6A58ACF2">
        <w:rPr/>
        <w:t>.</w:t>
      </w:r>
      <w:r w:rsidR="6A58ACF2">
        <w:rPr/>
        <w:t xml:space="preserve"> To </w:t>
      </w:r>
      <w:r w:rsidR="6A58ACF2">
        <w:rPr/>
        <w:t>maintain</w:t>
      </w:r>
      <w:r w:rsidR="6A58ACF2">
        <w:rPr/>
        <w:t xml:space="preserve"> credibility, Tesla must strengthen battery recycling, circular economy </w:t>
      </w:r>
      <w:r w:rsidR="6A58ACF2">
        <w:rPr/>
        <w:t>initiatives</w:t>
      </w:r>
      <w:r w:rsidR="6A58ACF2">
        <w:rPr/>
        <w:t xml:space="preserve"> and supply-chain transparency, ensuring sustainability extends across the entire product lifecycle rather than focusing solely on vehicle emissions.</w:t>
      </w:r>
    </w:p>
    <w:p w:rsidRPr="00743BE9" w:rsidR="1872BD6A" w:rsidP="3A68F3DD" w:rsidRDefault="1872BD6A" w14:paraId="1703E4C6" w14:textId="7E33B61B">
      <w:pPr>
        <w:pStyle w:val="Normal"/>
        <w:rPr>
          <w:rFonts w:ascii="Arial" w:hAnsi="Arial" w:eastAsia="ＭＳ 明朝" w:cs="Arial" w:asciiTheme="minorAscii" w:hAnsiTheme="minorAscii" w:eastAsiaTheme="minorEastAsia" w:cstheme="minorBidi"/>
          <w:b w:val="1"/>
          <w:bCs w:val="1"/>
          <w:sz w:val="24"/>
          <w:szCs w:val="24"/>
        </w:rPr>
      </w:pPr>
      <w:r w:rsidRPr="3A68F3DD" w:rsidR="1872BD6A">
        <w:rPr>
          <w:b w:val="1"/>
          <w:bCs w:val="1"/>
        </w:rPr>
        <w:t>Legal Factors</w:t>
      </w:r>
    </w:p>
    <w:p w:rsidR="6A906CC3" w:rsidP="22940A58" w:rsidRDefault="6A906CC3" w14:paraId="5661B981" w14:textId="406EB606">
      <w:pPr>
        <w:spacing w:before="240" w:after="240" w:line="360" w:lineRule="auto"/>
        <w:jc w:val="both"/>
      </w:pPr>
      <w:r w:rsidRPr="3A68F3DD" w:rsidR="6A906CC3">
        <w:rPr>
          <w:lang w:val="en-GB"/>
        </w:rPr>
        <w:t xml:space="preserve">The automotive industry is subject to increasingly stringent regulation relating to vehicle safety, autonomous driving, </w:t>
      </w:r>
      <w:r w:rsidRPr="3A68F3DD" w:rsidR="6A906CC3">
        <w:rPr>
          <w:lang w:val="en-GB"/>
        </w:rPr>
        <w:t>emissions</w:t>
      </w:r>
      <w:r w:rsidRPr="3A68F3DD" w:rsidR="6A906CC3">
        <w:rPr>
          <w:lang w:val="en-GB"/>
        </w:rPr>
        <w:t xml:space="preserve"> and data protection</w:t>
      </w:r>
      <w:r w:rsidRPr="3A68F3DD" w:rsidR="00AD337D">
        <w:rPr>
          <w:lang w:val="en-GB"/>
        </w:rPr>
        <w:t xml:space="preserve"> </w:t>
      </w:r>
      <w:r w:rsidRPr="3A68F3DD" w:rsidR="0B325037">
        <w:rPr>
          <w:lang w:val="en-GB"/>
        </w:rPr>
        <w:t>(Staff Writer, 2025).</w:t>
      </w:r>
      <w:r w:rsidRPr="3A68F3DD" w:rsidR="6A906CC3">
        <w:rPr>
          <w:lang w:val="en-GB"/>
        </w:rPr>
        <w:t xml:space="preserve"> Tesla's Autopilot and Full Self-Driving technologies face ongoing regulatory scrutiny, </w:t>
      </w:r>
      <w:r w:rsidRPr="3A68F3DD" w:rsidR="00503E63">
        <w:rPr>
          <w:lang w:val="en-GB"/>
        </w:rPr>
        <w:t>potentially delaying</w:t>
      </w:r>
      <w:r w:rsidRPr="3A68F3DD" w:rsidR="6A906CC3">
        <w:rPr>
          <w:lang w:val="en-GB"/>
        </w:rPr>
        <w:t xml:space="preserve"> commercial deployment and increasing compliance costs. Integrating regulatory compliance into product development will therefore be essential if Tesla is to convert technological innovation into sustainable commercial advantage</w:t>
      </w:r>
      <w:r w:rsidRPr="3A68F3DD" w:rsidR="00AD337D">
        <w:rPr>
          <w:lang w:val="en-GB"/>
        </w:rPr>
        <w:t xml:space="preserve"> </w:t>
      </w:r>
      <w:r w:rsidRPr="3A68F3DD" w:rsidR="32378999">
        <w:rPr>
          <w:lang w:val="en-GB"/>
        </w:rPr>
        <w:t>(Staff Writer, 2025).</w:t>
      </w:r>
    </w:p>
    <w:p w:rsidR="466B3B2D" w:rsidP="22940A58" w:rsidRDefault="6A906CC3" w14:paraId="18BD77DB" w14:textId="371AEB88">
      <w:pPr>
        <w:spacing w:before="240" w:after="240" w:line="360" w:lineRule="auto"/>
        <w:jc w:val="both"/>
        <w:rPr>
          <w:lang w:val="en-GB"/>
        </w:rPr>
      </w:pPr>
      <w:r w:rsidRPr="3A68F3DD" w:rsidR="6A906CC3">
        <w:rPr>
          <w:lang w:val="en-GB"/>
        </w:rPr>
        <w:t xml:space="preserve">Overall, the PESTEL analysis </w:t>
      </w:r>
      <w:r w:rsidRPr="3A68F3DD" w:rsidR="6A906CC3">
        <w:rPr>
          <w:lang w:val="en-GB"/>
        </w:rPr>
        <w:t>demonstrates</w:t>
      </w:r>
      <w:r w:rsidRPr="3A68F3DD" w:rsidR="6A906CC3">
        <w:rPr>
          <w:lang w:val="en-GB"/>
        </w:rPr>
        <w:t xml:space="preserve"> that Tesla </w:t>
      </w:r>
      <w:r w:rsidRPr="3A68F3DD" w:rsidR="6A906CC3">
        <w:rPr>
          <w:lang w:val="en-GB"/>
        </w:rPr>
        <w:t>operates</w:t>
      </w:r>
      <w:r w:rsidRPr="3A68F3DD" w:rsidR="6A906CC3">
        <w:rPr>
          <w:lang w:val="en-GB"/>
        </w:rPr>
        <w:t xml:space="preserve"> within a highly dynamic environment characterised by significant growth opportunities alongside substantial strategic risks</w:t>
      </w:r>
      <w:r w:rsidRPr="3A68F3DD" w:rsidR="00503E63">
        <w:rPr>
          <w:lang w:val="en-GB"/>
        </w:rPr>
        <w:t xml:space="preserve"> </w:t>
      </w:r>
      <w:r w:rsidRPr="3A68F3DD" w:rsidR="3713C56E">
        <w:rPr>
          <w:lang w:val="en-GB"/>
        </w:rPr>
        <w:t>(Makos, 2022)</w:t>
      </w:r>
      <w:r w:rsidRPr="3A68F3DD" w:rsidR="6A906CC3">
        <w:rPr>
          <w:lang w:val="en-GB"/>
        </w:rPr>
        <w:t>. Government support for electrification, technological innovation and increasing environmental awareness continue to support market expansion, while intensifying competition, policy uncertainty, suppl</w:t>
      </w:r>
      <w:r w:rsidRPr="3A68F3DD" w:rsidR="6A906CC3">
        <w:rPr>
          <w:lang w:val="en-GB"/>
        </w:rPr>
        <w:t xml:space="preserve">y-chain </w:t>
      </w:r>
      <w:r w:rsidRPr="3A68F3DD" w:rsidR="6A906CC3">
        <w:rPr>
          <w:lang w:val="en-GB"/>
        </w:rPr>
        <w:t>de</w:t>
      </w:r>
      <w:r w:rsidRPr="3A68F3DD" w:rsidR="6A906CC3">
        <w:rPr>
          <w:lang w:val="en-GB"/>
        </w:rPr>
        <w:t>pendence</w:t>
      </w:r>
      <w:r w:rsidRPr="3A68F3DD" w:rsidR="6A906CC3">
        <w:rPr>
          <w:lang w:val="en-GB"/>
        </w:rPr>
        <w:t xml:space="preserve"> and regulatory scrutiny threaten long-term competitiveness</w:t>
      </w:r>
      <w:r w:rsidRPr="3A68F3DD" w:rsidR="002066B4">
        <w:rPr>
          <w:lang w:val="en-GB"/>
        </w:rPr>
        <w:t xml:space="preserve"> </w:t>
      </w:r>
      <w:r w:rsidRPr="3A68F3DD" w:rsidR="7CB2A00E">
        <w:rPr>
          <w:lang w:val="en-GB"/>
        </w:rPr>
        <w:t>(</w:t>
      </w:r>
      <w:r w:rsidRPr="3A68F3DD" w:rsidR="42C02725">
        <w:rPr>
          <w:lang w:val="en-GB"/>
        </w:rPr>
        <w:t xml:space="preserve">CIPD, 2025; </w:t>
      </w:r>
      <w:r w:rsidRPr="3A68F3DD" w:rsidR="7CB2A00E">
        <w:rPr>
          <w:lang w:val="en-GB"/>
        </w:rPr>
        <w:t>Makos, 2022).</w:t>
      </w:r>
      <w:r w:rsidRPr="3A68F3DD" w:rsidR="6A906CC3">
        <w:rPr>
          <w:lang w:val="en-GB"/>
        </w:rPr>
        <w:t xml:space="preserve"> These findings pro</w:t>
      </w:r>
      <w:r w:rsidRPr="3A68F3DD" w:rsidR="6A906CC3">
        <w:rPr>
          <w:lang w:val="en-GB"/>
        </w:rPr>
        <w:t>vide the f</w:t>
      </w:r>
      <w:r w:rsidRPr="3A68F3DD" w:rsidR="6A906CC3">
        <w:rPr>
          <w:lang w:val="en-GB"/>
        </w:rPr>
        <w:t xml:space="preserve">oundation for the </w:t>
      </w:r>
      <w:r w:rsidRPr="3A68F3DD" w:rsidR="6A906CC3">
        <w:rPr>
          <w:lang w:val="en-GB"/>
        </w:rPr>
        <w:t>subsequent</w:t>
      </w:r>
      <w:r w:rsidRPr="3A68F3DD" w:rsidR="6A906CC3">
        <w:rPr>
          <w:lang w:val="en-GB"/>
        </w:rPr>
        <w:t xml:space="preserve"> VRIO and SWOT analyses, which assess whether Tesla's internal resources and capabilities are sufficient to exploit external opportunities while mitigating</w:t>
      </w:r>
      <w:r w:rsidRPr="3A68F3DD" w:rsidR="6A906CC3">
        <w:rPr>
          <w:lang w:val="en-GB"/>
        </w:rPr>
        <w:t xml:space="preserve"> emergi</w:t>
      </w:r>
      <w:r w:rsidRPr="3A68F3DD" w:rsidR="6A906CC3">
        <w:rPr>
          <w:lang w:val="en-GB"/>
        </w:rPr>
        <w:t xml:space="preserve">ng threats </w:t>
      </w:r>
      <w:r w:rsidRPr="3A68F3DD" w:rsidR="2B54BE34">
        <w:rPr>
          <w:lang w:val="en-GB"/>
        </w:rPr>
        <w:t>(Whittington et al., 2017)</w:t>
      </w:r>
      <w:r w:rsidRPr="3A68F3DD" w:rsidR="6A906CC3">
        <w:rPr>
          <w:lang w:val="en-GB"/>
        </w:rPr>
        <w:t>.</w:t>
      </w:r>
    </w:p>
    <w:p w:rsidRPr="00743BE9" w:rsidR="145AC16E" w:rsidP="00B6310C" w:rsidRDefault="145AC16E" w14:paraId="70D7E7B1" w14:textId="20953764">
      <w:pPr>
        <w:spacing w:line="360" w:lineRule="auto"/>
        <w:jc w:val="both"/>
        <w:rPr>
          <w:color w:val="FF0000"/>
          <w:lang w:val="en-GB"/>
        </w:rPr>
      </w:pPr>
    </w:p>
    <w:p w:rsidRPr="00743BE9" w:rsidR="0BE23FB5" w:rsidP="3A68F3DD" w:rsidRDefault="0BE23FB5" w14:paraId="72E1E95A" w14:textId="32A7117D">
      <w:pPr>
        <w:pStyle w:val="Normal"/>
        <w:rPr>
          <w:rFonts w:ascii="Arial" w:hAnsi="Arial" w:eastAsia="ＭＳ 明朝" w:cs="Arial" w:asciiTheme="minorAscii" w:hAnsiTheme="minorAscii" w:eastAsiaTheme="minorEastAsia" w:cstheme="minorBidi"/>
          <w:b w:val="1"/>
          <w:bCs w:val="1"/>
          <w:sz w:val="24"/>
          <w:szCs w:val="24"/>
        </w:rPr>
      </w:pPr>
      <w:r w:rsidRPr="3A68F3DD" w:rsidR="0BE23FB5">
        <w:rPr>
          <w:b w:val="1"/>
          <w:bCs w:val="1"/>
        </w:rPr>
        <w:t>2.2 Internal Analysis: VRIO Framework</w:t>
      </w:r>
    </w:p>
    <w:p w:rsidRPr="00743BE9" w:rsidR="0BE23FB5" w:rsidP="00B6310C" w:rsidRDefault="0BE23FB5" w14:paraId="64D57FBC" w14:textId="2DA9DF46">
      <w:pPr>
        <w:spacing w:line="360" w:lineRule="auto"/>
        <w:jc w:val="both"/>
      </w:pPr>
      <w:r w:rsidRPr="0F196A1B">
        <w:t xml:space="preserve">The VRIO framework evaluates whether </w:t>
      </w:r>
      <w:proofErr w:type="spellStart"/>
      <w:r w:rsidRPr="0F196A1B">
        <w:t>organisational</w:t>
      </w:r>
      <w:proofErr w:type="spellEnd"/>
      <w:r w:rsidRPr="0F196A1B">
        <w:t xml:space="preserve"> resources can generate sustainable competitive advantage by assessing whether they are Valuable, Rare, difficult to Imitate, and </w:t>
      </w:r>
      <w:proofErr w:type="spellStart"/>
      <w:r w:rsidRPr="0F196A1B">
        <w:t>Organised</w:t>
      </w:r>
      <w:proofErr w:type="spellEnd"/>
      <w:r w:rsidRPr="0F196A1B">
        <w:t xml:space="preserve"> effectively (Barney, 1991).</w:t>
      </w:r>
    </w:p>
    <w:p w:rsidR="2E36453F" w:rsidP="3A68F3DD" w:rsidRDefault="2E36453F" w14:paraId="34EF505F" w14:textId="36521176">
      <w:pPr>
        <w:pStyle w:val="Normal"/>
        <w:spacing w:line="360" w:lineRule="auto"/>
        <w:jc w:val="both"/>
      </w:pPr>
      <w:r w:rsidR="2E36453F">
        <w:rPr/>
        <w:t xml:space="preserve">The VRIO analysis (Appendix A, Figure A1) </w:t>
      </w:r>
      <w:r w:rsidR="2E36453F">
        <w:rPr/>
        <w:t>demonstrates</w:t>
      </w:r>
      <w:r w:rsidR="2E36453F">
        <w:rPr/>
        <w:t xml:space="preserve"> that Tesla </w:t>
      </w:r>
      <w:r w:rsidR="2E36453F">
        <w:rPr/>
        <w:t>possesses</w:t>
      </w:r>
      <w:r w:rsidR="2E36453F">
        <w:rPr/>
        <w:t xml:space="preserve"> several valuable resources. Brand reputation creates customer loyalty but is becoming less rare as competitors strengthen their sustainability positioning, resulting in only a temporary competitive advantage. In contrast, Tesla's Supercharger network </w:t>
      </w:r>
      <w:r w:rsidR="2E36453F">
        <w:rPr/>
        <w:t>remains</w:t>
      </w:r>
      <w:r w:rsidR="2E36453F">
        <w:rPr/>
        <w:t xml:space="preserve"> valuable, rare, difficult to imitate and effectively </w:t>
      </w:r>
      <w:r w:rsidR="2E36453F">
        <w:rPr/>
        <w:t>organised</w:t>
      </w:r>
      <w:r w:rsidR="2E36453F">
        <w:rPr/>
        <w:t xml:space="preserve">, providing a </w:t>
      </w:r>
      <w:r w:rsidR="2E36453F">
        <w:rPr/>
        <w:t>sustained competitive advantage</w:t>
      </w:r>
      <w:r w:rsidR="3B59F2EB">
        <w:rPr/>
        <w:t xml:space="preserve"> </w:t>
      </w:r>
      <w:r w:rsidRPr="3A68F3DD" w:rsidR="3B59F2EB">
        <w:rPr>
          <w:rFonts w:ascii="Arial" w:hAnsi="Arial" w:eastAsia="Arial" w:cs="Arial"/>
          <w:noProof w:val="0"/>
          <w:sz w:val="24"/>
          <w:szCs w:val="24"/>
          <w:lang w:val="en-US"/>
        </w:rPr>
        <w:t>(Barney, 1991)</w:t>
      </w:r>
      <w:r w:rsidR="2E36453F">
        <w:rPr/>
        <w:t>. Vertical integration and battery technology continue to support competitive advantage, although increasing industry investment suggests these resources may become less rare over time (Barney, 1991).</w:t>
      </w:r>
    </w:p>
    <w:p w:rsidRPr="00743BE9" w:rsidR="675BE644" w:rsidP="00B6310C" w:rsidRDefault="675BE644" w14:paraId="35C3DE86" w14:textId="19E9F07B">
      <w:pPr>
        <w:spacing w:line="360" w:lineRule="auto"/>
        <w:jc w:val="both"/>
      </w:pPr>
      <w:r w:rsidR="675BE644">
        <w:rPr/>
        <w:t>Tesla’s brand equity is one of its strongest resources. The company has successfully associated EV ownership with innovation, sustainability, and technological leadership. However, as EV adoption becomes mainstream, brand differentiation may weaken as competitors develop comparable sustainability narratives</w:t>
      </w:r>
      <w:r w:rsidR="00B64EE9">
        <w:rPr/>
        <w:t xml:space="preserve"> </w:t>
      </w:r>
      <w:r w:rsidR="2AA9B749">
        <w:rPr/>
        <w:t>(Almansour, 2022).</w:t>
      </w:r>
    </w:p>
    <w:p w:rsidRPr="00743BE9" w:rsidR="675BE644" w:rsidP="3A68F3DD" w:rsidRDefault="675BE644" w14:paraId="429EF3A6" w14:textId="75A1C2B3">
      <w:pPr>
        <w:pStyle w:val="Normal"/>
        <w:spacing w:line="360" w:lineRule="auto"/>
        <w:jc w:val="both"/>
      </w:pPr>
      <w:r w:rsidR="675BE644">
        <w:rPr/>
        <w:t xml:space="preserve">Tesla’s Supercharger network </w:t>
      </w:r>
      <w:r w:rsidR="675BE644">
        <w:rPr/>
        <w:t>represents</w:t>
      </w:r>
      <w:r w:rsidR="675BE644">
        <w:rPr/>
        <w:t xml:space="preserve"> a stronger source of advantage because it creates ecosystem value and improves customer convenience. Unlike traditional manufacturers that depend heavily on external charging networks, Tesla </w:t>
      </w:r>
      <w:r w:rsidR="675BE644">
        <w:rPr/>
        <w:t>maintains</w:t>
      </w:r>
      <w:r w:rsidR="675BE644">
        <w:rPr/>
        <w:t xml:space="preserve"> greater control over charging accessibility and customer experience</w:t>
      </w:r>
      <w:r w:rsidR="3354E7A5">
        <w:rPr/>
        <w:t xml:space="preserve"> (Hassan, 2025).</w:t>
      </w:r>
      <w:r w:rsidR="002C0668">
        <w:rPr/>
        <w:t xml:space="preserve"> </w:t>
      </w:r>
      <w:r w:rsidR="675BE644">
        <w:rPr/>
        <w:t xml:space="preserve"> However, competitors</w:t>
      </w:r>
      <w:r w:rsidR="00765AE4">
        <w:rPr/>
        <w:t xml:space="preserve"> </w:t>
      </w:r>
      <w:r w:rsidR="4071CBAE">
        <w:rPr/>
        <w:t>s</w:t>
      </w:r>
      <w:r w:rsidRPr="3A68F3DD" w:rsidR="00765AE4">
        <w:rPr>
          <w:color w:val="auto"/>
        </w:rPr>
        <w:t>uch as</w:t>
      </w:r>
      <w:r w:rsidRPr="3A68F3DD" w:rsidR="6CD724BA">
        <w:rPr>
          <w:color w:val="auto"/>
        </w:rPr>
        <w:t xml:space="preserve"> BYD, Ford, General Motors, and Volkswagen </w:t>
      </w:r>
      <w:r w:rsidR="675BE644">
        <w:rPr/>
        <w:t>are increasingly adopting similar charging approaches, reducing long-term uniqueness</w:t>
      </w:r>
      <w:r w:rsidR="064DCE9E">
        <w:rPr/>
        <w:t xml:space="preserve"> </w:t>
      </w:r>
      <w:r w:rsidRPr="3A68F3DD" w:rsidR="064DCE9E">
        <w:rPr>
          <w:rFonts w:ascii="Arial" w:hAnsi="Arial" w:eastAsia="Arial" w:cs="Arial"/>
          <w:noProof w:val="0"/>
          <w:sz w:val="24"/>
          <w:szCs w:val="24"/>
          <w:lang w:val="en-US"/>
        </w:rPr>
        <w:t xml:space="preserve">(Mohan, </w:t>
      </w:r>
      <w:r w:rsidRPr="3A68F3DD" w:rsidR="5AB4C961">
        <w:rPr>
          <w:rFonts w:ascii="Arial" w:hAnsi="Arial" w:eastAsia="Arial" w:cs="Arial"/>
          <w:noProof w:val="0"/>
          <w:sz w:val="24"/>
          <w:szCs w:val="24"/>
          <w:lang w:val="en-US"/>
        </w:rPr>
        <w:t>et, al.</w:t>
      </w:r>
      <w:r w:rsidRPr="3A68F3DD" w:rsidR="064DCE9E">
        <w:rPr>
          <w:rFonts w:ascii="Arial" w:hAnsi="Arial" w:eastAsia="Arial" w:cs="Arial"/>
          <w:noProof w:val="0"/>
          <w:sz w:val="24"/>
          <w:szCs w:val="24"/>
          <w:lang w:val="en-US"/>
        </w:rPr>
        <w:t xml:space="preserve"> 2026)</w:t>
      </w:r>
      <w:r w:rsidR="675BE644">
        <w:rPr/>
        <w:t>.</w:t>
      </w:r>
    </w:p>
    <w:p w:rsidRPr="00743BE9" w:rsidR="675BE644" w:rsidP="00B6310C" w:rsidRDefault="675BE644" w14:paraId="785C9BB7" w14:textId="5D37D72F">
      <w:pPr>
        <w:spacing w:line="360" w:lineRule="auto"/>
        <w:jc w:val="both"/>
      </w:pPr>
      <w:r w:rsidR="675BE644">
        <w:rPr/>
        <w:t xml:space="preserve">Tesla’s software capability and vehicle data </w:t>
      </w:r>
      <w:r w:rsidR="675BE644">
        <w:rPr/>
        <w:t>represent</w:t>
      </w:r>
      <w:r w:rsidR="675BE644">
        <w:rPr/>
        <w:t xml:space="preserve"> significant future opportunities. The accumulation of driving data supports </w:t>
      </w:r>
      <w:r w:rsidR="00CE441D">
        <w:rPr/>
        <w:t>the development of artificial intelligence and improvements in autonomous driving</w:t>
      </w:r>
      <w:r w:rsidR="675BE644">
        <w:rPr/>
        <w:t xml:space="preserve">. Nevertheless, these advantages require </w:t>
      </w:r>
      <w:r w:rsidR="00DA087D">
        <w:rPr/>
        <w:t>ongoing investment, as</w:t>
      </w:r>
      <w:r w:rsidR="675BE644">
        <w:rPr/>
        <w:t xml:space="preserve"> competitors with significant financial resources can replicate technological capabilities over</w:t>
      </w:r>
      <w:r w:rsidR="503F2E91">
        <w:rPr/>
        <w:t xml:space="preserve"> </w:t>
      </w:r>
      <w:r w:rsidR="503F2E91">
        <w:rPr/>
        <w:t>time</w:t>
      </w:r>
      <w:r w:rsidR="675BE644">
        <w:rPr/>
        <w:t>.</w:t>
      </w:r>
    </w:p>
    <w:p w:rsidRPr="00743BE9" w:rsidR="675BE644" w:rsidP="00B6310C" w:rsidRDefault="675BE644" w14:paraId="2DC5CC03" w14:textId="6949FD00">
      <w:pPr>
        <w:spacing w:line="360" w:lineRule="auto"/>
        <w:jc w:val="both"/>
      </w:pPr>
      <w:r w:rsidR="675BE644">
        <w:rPr/>
        <w:t xml:space="preserve">Overall, </w:t>
      </w:r>
      <w:r w:rsidR="00D02E17">
        <w:rPr/>
        <w:t xml:space="preserve">the VRIO analysis suggests that Tesla </w:t>
      </w:r>
      <w:r w:rsidR="00D02E17">
        <w:rPr/>
        <w:t>possesses</w:t>
      </w:r>
      <w:r w:rsidR="00D02E17">
        <w:rPr/>
        <w:t xml:space="preserve"> valuable strategic resources; however, many of its </w:t>
      </w:r>
      <w:r w:rsidR="675BE644">
        <w:rPr/>
        <w:t xml:space="preserve">advantages are becoming increasingly contestable. Therefore, </w:t>
      </w:r>
      <w:r w:rsidR="675BE644">
        <w:rPr/>
        <w:t>Tesla cannot rely solely on historical innovation leadership and must continue developing dynamic capabilities that allow adaptation and renewal</w:t>
      </w:r>
      <w:r w:rsidR="675BE644">
        <w:rPr/>
        <w:t>.</w:t>
      </w:r>
    </w:p>
    <w:p w:rsidRPr="00743BE9" w:rsidR="675BE644" w:rsidP="3A68F3DD" w:rsidRDefault="675BE644" w14:paraId="2C83D357" w14:textId="037F2544">
      <w:pPr>
        <w:pStyle w:val="Normal"/>
        <w:rPr>
          <w:rFonts w:ascii="Arial" w:hAnsi="Arial" w:eastAsia="ＭＳ 明朝" w:cs="Arial" w:asciiTheme="minorAscii" w:hAnsiTheme="minorAscii" w:eastAsiaTheme="minorEastAsia" w:cstheme="minorBidi"/>
          <w:b w:val="1"/>
          <w:bCs w:val="1"/>
          <w:sz w:val="24"/>
          <w:szCs w:val="24"/>
        </w:rPr>
      </w:pPr>
      <w:r w:rsidRPr="3A68F3DD" w:rsidR="675BE644">
        <w:rPr>
          <w:b w:val="1"/>
          <w:bCs w:val="1"/>
        </w:rPr>
        <w:t>2.3 SWOT Analysis</w:t>
      </w:r>
    </w:p>
    <w:p w:rsidRPr="00743BE9" w:rsidR="675BE644" w:rsidP="00B6310C" w:rsidRDefault="675BE644" w14:paraId="2AEC2DB5" w14:textId="3A35F00F">
      <w:pPr>
        <w:spacing w:line="360" w:lineRule="auto"/>
        <w:jc w:val="both"/>
      </w:pPr>
      <w:r w:rsidRPr="04B108C9">
        <w:t>The SWOT analysis integrates the external opportunities and threats identified through PESTEL with the internal strengths and weaknesses identified through VRIO.</w:t>
      </w:r>
    </w:p>
    <w:p w:rsidRPr="00743BE9" w:rsidR="00D14403" w:rsidP="3A68F3DD" w:rsidRDefault="1811C8F3" w14:paraId="351D7C6C" w14:textId="0BAB51C4">
      <w:pPr>
        <w:pStyle w:val="Normal"/>
        <w:spacing w:line="360" w:lineRule="auto"/>
        <w:jc w:val="both"/>
        <w:rPr>
          <w:color w:val="FF0000"/>
        </w:rPr>
      </w:pPr>
      <w:r w:rsidR="1811C8F3">
        <w:rPr/>
        <w:t xml:space="preserve">The </w:t>
      </w:r>
      <w:r w:rsidR="1811C8F3">
        <w:rPr/>
        <w:t>SWOT</w:t>
      </w:r>
      <w:r w:rsidR="1811C8F3">
        <w:rPr/>
        <w:t xml:space="preserve"> analysis </w:t>
      </w:r>
      <w:r w:rsidR="1811C8F3">
        <w:rPr/>
        <w:t>identifies</w:t>
      </w:r>
      <w:r w:rsidR="1811C8F3">
        <w:rPr/>
        <w:t xml:space="preserve"> technological capability, ecosystem </w:t>
      </w:r>
      <w:r w:rsidR="1811C8F3">
        <w:rPr/>
        <w:t>integration</w:t>
      </w:r>
      <w:r w:rsidR="1811C8F3">
        <w:rPr/>
        <w:t xml:space="preserve"> and brand reputation as Tesla's principal strengths</w:t>
      </w:r>
      <w:r w:rsidRPr="3A68F3DD" w:rsidR="5B13BC6C">
        <w:rPr>
          <w:rFonts w:ascii="Arial" w:hAnsi="Arial" w:eastAsia="Arial" w:cs="Arial"/>
          <w:noProof w:val="0"/>
          <w:sz w:val="24"/>
          <w:szCs w:val="24"/>
          <w:lang w:val="en-US"/>
        </w:rPr>
        <w:t xml:space="preserve"> (CIPD, 2025)</w:t>
      </w:r>
      <w:r w:rsidR="1811C8F3">
        <w:rPr/>
        <w:t>, while manufacturing complexity and supply-chain dependency remain significant weaknesses. These internal factors align closely with external opportunities in sustainable mobility but also expose Tesla to increasing competitive rivalry and regulatory uncertainty (see Appendix A, Figure A2).</w:t>
      </w:r>
      <w:r w:rsidR="00967C3B">
        <w:rPr/>
        <w:t xml:space="preserve"> </w:t>
      </w:r>
    </w:p>
    <w:p w:rsidRPr="00743BE9" w:rsidR="50D05E9E" w:rsidP="3A68F3DD" w:rsidRDefault="00222213" w14:paraId="06EE98AC" w14:textId="589ECD59">
      <w:pPr>
        <w:pStyle w:val="Normal"/>
        <w:suppressLineNumbers w:val="0"/>
        <w:bidi w:val="0"/>
        <w:spacing w:before="0" w:beforeAutospacing="off" w:after="160" w:afterAutospacing="off" w:line="360" w:lineRule="auto"/>
        <w:ind w:left="0" w:right="0"/>
        <w:jc w:val="both"/>
      </w:pPr>
      <w:r w:rsidR="00222213">
        <w:rPr/>
        <w:t>Overall, the PESTEL, VRIO and SWOT analyses (see Appendix A, Figures A1–A2) demonstrate that Tesla operates in a highly dynamic environment in which competitive advantage depends upon effectively aligning internal capabilities with external opportunities while mitigating strategic risks</w:t>
      </w:r>
      <w:r w:rsidRPr="3A68F3DD" w:rsidR="0F51171B">
        <w:rPr>
          <w:lang w:val="en-GB"/>
        </w:rPr>
        <w:t xml:space="preserve"> (CIPD, 2025; </w:t>
      </w:r>
      <w:r w:rsidRPr="3A68F3DD" w:rsidR="07EDC142">
        <w:rPr>
          <w:rFonts w:ascii="Arial" w:hAnsi="Arial" w:eastAsia="Arial" w:cs="Arial"/>
          <w:noProof w:val="0"/>
          <w:sz w:val="24"/>
          <w:szCs w:val="24"/>
          <w:lang w:val="en-US"/>
        </w:rPr>
        <w:t xml:space="preserve">Jurevicius, 2025; </w:t>
      </w:r>
      <w:r w:rsidRPr="3A68F3DD" w:rsidR="0F51171B">
        <w:rPr>
          <w:lang w:val="en-GB"/>
        </w:rPr>
        <w:t>Makos, 2022</w:t>
      </w:r>
      <w:r w:rsidRPr="3A68F3DD" w:rsidR="42FBCCDC">
        <w:rPr>
          <w:lang w:val="en-GB"/>
        </w:rPr>
        <w:t>; Whittington et al., 2017).</w:t>
      </w:r>
    </w:p>
    <w:p w:rsidRPr="00743BE9" w:rsidR="1D787A5F" w:rsidP="3A68F3DD" w:rsidRDefault="1D787A5F" w14:paraId="129A9840" w14:textId="40993461">
      <w:pPr>
        <w:pStyle w:val="Normal"/>
        <w:rPr>
          <w:rFonts w:ascii="Arial" w:hAnsi="Arial" w:eastAsia="ＭＳ 明朝" w:cs="Arial" w:asciiTheme="minorAscii" w:hAnsiTheme="minorAscii" w:eastAsiaTheme="minorEastAsia" w:cstheme="minorBidi"/>
          <w:b w:val="1"/>
          <w:bCs w:val="1"/>
          <w:sz w:val="24"/>
          <w:szCs w:val="24"/>
        </w:rPr>
      </w:pPr>
      <w:r w:rsidRPr="3A68F3DD" w:rsidR="1D787A5F">
        <w:rPr>
          <w:b w:val="1"/>
          <w:bCs w:val="1"/>
        </w:rPr>
        <w:t>SWOT Conclusion</w:t>
      </w:r>
    </w:p>
    <w:p w:rsidRPr="00743BE9" w:rsidR="1A8E24CB" w:rsidP="3A68F3DD" w:rsidRDefault="1A8E24CB" w14:paraId="487366F6" w14:textId="3FE0066A">
      <w:pPr>
        <w:pStyle w:val="Normal"/>
        <w:spacing w:before="240" w:after="240" w:line="360" w:lineRule="auto"/>
        <w:jc w:val="both"/>
      </w:pPr>
      <w:r w:rsidR="1A8E24CB">
        <w:rPr/>
        <w:t xml:space="preserve">The SWOT analysis </w:t>
      </w:r>
      <w:r w:rsidR="1A8E24CB">
        <w:rPr/>
        <w:t>demonstrates</w:t>
      </w:r>
      <w:r w:rsidR="1A8E24CB">
        <w:rPr/>
        <w:t xml:space="preserve"> that Tesla </w:t>
      </w:r>
      <w:r w:rsidR="1A8E24CB">
        <w:rPr/>
        <w:t>remains</w:t>
      </w:r>
      <w:r w:rsidR="1A8E24CB">
        <w:rPr/>
        <w:t xml:space="preserve"> strategically well-positioned but faces increasing pressure from market maturity, competitive convergence, and changing stakeholder expectations</w:t>
      </w:r>
      <w:r w:rsidRPr="3A68F3DD" w:rsidR="1F0238D8">
        <w:rPr>
          <w:rFonts w:ascii="Arial" w:hAnsi="Arial" w:eastAsia="Arial" w:cs="Arial"/>
          <w:noProof w:val="0"/>
          <w:sz w:val="24"/>
          <w:szCs w:val="24"/>
          <w:lang w:val="en-US"/>
        </w:rPr>
        <w:t xml:space="preserve"> (CIPD, 2025)</w:t>
      </w:r>
      <w:r w:rsidR="1A8E24CB">
        <w:rPr/>
        <w:t xml:space="preserve">. Tesla’s strengths in technological innovation, brand reputation, ecosystem integration, and sustainability positioning provide </w:t>
      </w:r>
      <w:r w:rsidR="1A8E24CB">
        <w:rPr/>
        <w:t>a strong foundation</w:t>
      </w:r>
      <w:r w:rsidR="1A8E24CB">
        <w:rPr/>
        <w:t xml:space="preserve"> for future growth. However, these advantages are becoming increasingly vulnerable as competitors develop similar </w:t>
      </w:r>
      <w:r w:rsidR="1A8E24CB">
        <w:rPr/>
        <w:t xml:space="preserve">electric vehicle </w:t>
      </w:r>
      <w:r w:rsidR="1A8E24CB">
        <w:rPr/>
        <w:t>capabilities, while challenges relating to affordability, supply-chain resilience, governance, and regulatory uncertainty require strategic attention</w:t>
      </w:r>
      <w:r w:rsidR="003B6681">
        <w:rPr/>
        <w:t xml:space="preserve"> </w:t>
      </w:r>
      <w:r w:rsidR="36114534">
        <w:rPr/>
        <w:t>(Li, 2024).</w:t>
      </w:r>
    </w:p>
    <w:p w:rsidRPr="00743BE9" w:rsidR="3EFD7191" w:rsidP="3A68F3DD" w:rsidRDefault="1A8E24CB" w14:paraId="3E6F3A32" w14:textId="1E3CC7CD">
      <w:pPr>
        <w:pStyle w:val="Normal"/>
        <w:spacing w:before="240" w:after="240" w:line="360" w:lineRule="auto"/>
        <w:jc w:val="both"/>
      </w:pPr>
      <w:r w:rsidR="1A8E24CB">
        <w:rPr/>
        <w:t xml:space="preserve">From a strategic consultancy perspective, Tesla’s central challenge is balancing its historical differentiation advantage with the need to improve operational efficiency, accessibility, and long-term resilience. The </w:t>
      </w:r>
      <w:r w:rsidR="1A8E24CB">
        <w:rPr/>
        <w:t>organisation</w:t>
      </w:r>
      <w:r w:rsidR="1A8E24CB">
        <w:rPr/>
        <w:t xml:space="preserve"> must </w:t>
      </w:r>
      <w:r w:rsidR="1A8E24CB">
        <w:rPr/>
        <w:t>leverage</w:t>
      </w:r>
      <w:r w:rsidR="1A8E24CB">
        <w:rPr/>
        <w:t xml:space="preserve"> its internal capabilities to respond effectively to external pressures while ensuring that innovation translates into sustainable financial and stakeholder value. Therefore, the following </w:t>
      </w:r>
      <w:r w:rsidR="1A8E24CB">
        <w:rPr/>
        <w:t xml:space="preserve">section extends this analysis by examining Tesla’s broader </w:t>
      </w:r>
      <w:r w:rsidR="1A8E24CB">
        <w:rPr/>
        <w:t>organisational</w:t>
      </w:r>
      <w:r w:rsidR="1A8E24CB">
        <w:rPr/>
        <w:t xml:space="preserve"> performance through CSR and the Balanced</w:t>
      </w:r>
      <w:r w:rsidR="1A8E24CB">
        <w:rPr/>
        <w:t xml:space="preserve"> Scorecard</w:t>
      </w:r>
      <w:r w:rsidR="1A8E24CB">
        <w:rPr/>
        <w:t xml:space="preserve"> framework</w:t>
      </w:r>
      <w:r w:rsidR="54AA13BD">
        <w:rPr/>
        <w:t xml:space="preserve"> (Hegazy, Hegazy and Eldeeb, 2022)</w:t>
      </w:r>
      <w:r w:rsidR="1A8E24CB">
        <w:rPr/>
        <w:t xml:space="preserve">, evaluating whether Tesla’s current strategy is effectively aligned with its business </w:t>
      </w:r>
      <w:r w:rsidR="1A8E24CB">
        <w:rPr/>
        <w:t>objectives</w:t>
      </w:r>
      <w:r w:rsidR="1A8E24CB">
        <w:rPr/>
        <w:t xml:space="preserve"> and stakeholder expectations</w:t>
      </w:r>
      <w:r w:rsidRPr="3A68F3DD" w:rsidR="1359704E">
        <w:rPr>
          <w:rFonts w:ascii="Arial" w:hAnsi="Arial" w:eastAsia="Arial" w:cs="Arial"/>
          <w:noProof w:val="0"/>
          <w:sz w:val="24"/>
          <w:szCs w:val="24"/>
          <w:lang w:val="en-US"/>
        </w:rPr>
        <w:t xml:space="preserve"> </w:t>
      </w:r>
      <w:r w:rsidRPr="3A68F3DD" w:rsidR="3D2A49E8">
        <w:rPr>
          <w:rFonts w:ascii="Arial" w:hAnsi="Arial" w:eastAsia="Arial" w:cs="Arial"/>
          <w:noProof w:val="0"/>
          <w:sz w:val="24"/>
          <w:szCs w:val="24"/>
          <w:lang w:val="en-US"/>
        </w:rPr>
        <w:t xml:space="preserve">(Chua, 2025; </w:t>
      </w:r>
      <w:r w:rsidRPr="3A68F3DD" w:rsidR="1359704E">
        <w:rPr>
          <w:rFonts w:ascii="Arial" w:hAnsi="Arial" w:eastAsia="Arial" w:cs="Arial"/>
          <w:noProof w:val="0"/>
          <w:sz w:val="24"/>
          <w:szCs w:val="24"/>
          <w:lang w:val="en-US"/>
        </w:rPr>
        <w:t>Liu and Zhou, 2025).</w:t>
      </w:r>
      <w:r w:rsidR="1A8E24CB">
        <w:rPr/>
        <w:t xml:space="preserve"> </w:t>
      </w:r>
    </w:p>
    <w:p w:rsidRPr="00743BE9" w:rsidR="12314E54" w:rsidP="3A68F3DD" w:rsidRDefault="12314E54" w14:paraId="32ECA144" w14:textId="7C425316">
      <w:pPr>
        <w:pStyle w:val="Heading2"/>
        <w:spacing w:line="360" w:lineRule="auto"/>
        <w:rPr>
          <w:rFonts w:ascii="Arial" w:hAnsi="Arial" w:eastAsia="ＭＳ 明朝" w:cs="Arial" w:asciiTheme="minorAscii" w:hAnsiTheme="minorAscii" w:eastAsiaTheme="minorEastAsia" w:cstheme="minorBidi"/>
          <w:b w:val="1"/>
          <w:bCs w:val="1"/>
          <w:sz w:val="28"/>
          <w:szCs w:val="28"/>
        </w:rPr>
      </w:pPr>
      <w:bookmarkStart w:name="_Toc963530330" w:id="1382166364"/>
      <w:r w:rsidRPr="3A68F3DD" w:rsidR="12314E54">
        <w:rPr>
          <w:rFonts w:ascii="Arial" w:hAnsi="Arial" w:eastAsia="ＭＳ 明朝" w:cs="Arial" w:asciiTheme="minorAscii" w:hAnsiTheme="minorAscii" w:eastAsiaTheme="minorEastAsia" w:cstheme="minorBidi"/>
          <w:b w:val="1"/>
          <w:bCs w:val="1"/>
          <w:sz w:val="28"/>
          <w:szCs w:val="28"/>
        </w:rPr>
        <w:t>3. Comprehensive and Holistic View of Tesla</w:t>
      </w:r>
      <w:bookmarkEnd w:id="1382166364"/>
    </w:p>
    <w:p w:rsidRPr="00743BE9" w:rsidR="12314E54" w:rsidP="3A68F3DD" w:rsidRDefault="12314E54" w14:paraId="7F5B0A6C" w14:textId="7973ACAE">
      <w:pPr>
        <w:pStyle w:val="Normal"/>
        <w:rPr>
          <w:rFonts w:ascii="Arial" w:hAnsi="Arial" w:eastAsia="ＭＳ 明朝" w:cs="Arial" w:asciiTheme="minorAscii" w:hAnsiTheme="minorAscii" w:eastAsiaTheme="minorEastAsia" w:cstheme="minorBidi"/>
          <w:b w:val="1"/>
          <w:bCs w:val="1"/>
          <w:sz w:val="24"/>
          <w:szCs w:val="24"/>
        </w:rPr>
      </w:pPr>
      <w:r w:rsidRPr="3A68F3DD" w:rsidR="12314E54">
        <w:rPr>
          <w:b w:val="1"/>
          <w:bCs w:val="1"/>
        </w:rPr>
        <w:t>3.1 Corporate Social Responsibility (CSR)</w:t>
      </w:r>
    </w:p>
    <w:p w:rsidR="29722441" w:rsidP="3A68F3DD" w:rsidRDefault="29722441" w14:paraId="6C89CFFE" w14:textId="7BADB46F">
      <w:pPr>
        <w:pStyle w:val="Normal"/>
        <w:suppressLineNumbers w:val="0"/>
        <w:bidi w:val="0"/>
        <w:spacing w:before="240" w:beforeAutospacing="off" w:after="240" w:afterAutospacing="off" w:line="360" w:lineRule="auto"/>
        <w:ind w:left="0" w:right="0"/>
        <w:jc w:val="both"/>
        <w:rPr>
          <w:color w:val="FF0000"/>
        </w:rPr>
      </w:pPr>
      <w:r w:rsidR="29722441">
        <w:rPr/>
        <w:t xml:space="preserve">Building on the strategic issues </w:t>
      </w:r>
      <w:r w:rsidR="29722441">
        <w:rPr/>
        <w:t>identified</w:t>
      </w:r>
      <w:r w:rsidR="29722441">
        <w:rPr/>
        <w:t xml:space="preserve"> through the PESTEL, VRIO and SWOT analyses (see Appendix A), this section evaluates whether Tesla’s Corporate Social Responsibility (CSR) strategy is effectively aligned with its long-term business </w:t>
      </w:r>
      <w:r w:rsidR="29722441">
        <w:rPr/>
        <w:t>objectives</w:t>
      </w:r>
      <w:r w:rsidR="29722441">
        <w:rPr/>
        <w:t xml:space="preserve"> and competitive strategy</w:t>
      </w:r>
      <w:r w:rsidR="601175F0">
        <w:rPr/>
        <w:t xml:space="preserve"> </w:t>
      </w:r>
      <w:r w:rsidR="14F0FC07">
        <w:rPr/>
        <w:t>(</w:t>
      </w:r>
      <w:r w:rsidR="14F0FC07">
        <w:rPr/>
        <w:t>Satriyo</w:t>
      </w:r>
      <w:r w:rsidR="14F0FC07">
        <w:rPr/>
        <w:t xml:space="preserve"> &amp; </w:t>
      </w:r>
      <w:r w:rsidR="14F0FC07">
        <w:rPr/>
        <w:t>Putro</w:t>
      </w:r>
      <w:r w:rsidR="14F0FC07">
        <w:rPr/>
        <w:t>, 2025).</w:t>
      </w:r>
      <w:r w:rsidR="29722441">
        <w:rPr/>
        <w:t xml:space="preserve"> CSR involves integrating ethical, </w:t>
      </w:r>
      <w:bookmarkStart w:name="_Int_FonePQqg" w:id="2133321554"/>
      <w:r w:rsidR="29722441">
        <w:rPr/>
        <w:t>social</w:t>
      </w:r>
      <w:bookmarkEnd w:id="2133321554"/>
      <w:r w:rsidR="29722441">
        <w:rPr/>
        <w:t xml:space="preserve"> and environmental considerations into </w:t>
      </w:r>
      <w:r w:rsidR="29722441">
        <w:rPr/>
        <w:t>organisational</w:t>
      </w:r>
      <w:r w:rsidR="29722441">
        <w:rPr/>
        <w:t xml:space="preserve"> decision-making to create value for both stakeholders and shareholders (Carroll, 1991</w:t>
      </w:r>
      <w:r w:rsidR="6A9E3A09">
        <w:rPr/>
        <w:t>;</w:t>
      </w:r>
      <w:r w:rsidRPr="3A68F3DD" w:rsidR="6A9E3A09">
        <w:rPr>
          <w:rFonts w:ascii="Arial" w:hAnsi="Arial" w:eastAsia="Arial" w:cs="Arial"/>
          <w:noProof w:val="0"/>
          <w:sz w:val="24"/>
          <w:szCs w:val="24"/>
          <w:lang w:val="en-US"/>
        </w:rPr>
        <w:t xml:space="preserve"> Chua, 2025; Liu and Zhou, 2025)</w:t>
      </w:r>
      <w:r w:rsidR="29722441">
        <w:rPr/>
        <w:t xml:space="preserve">). Within strategic management, CSR has developed from a voluntary responsibility into a strategic capability that can strengthen competitive advantage, stakeholder </w:t>
      </w:r>
      <w:r w:rsidR="29722441">
        <w:rPr/>
        <w:t>trust</w:t>
      </w:r>
      <w:r w:rsidR="29722441">
        <w:rPr/>
        <w:t xml:space="preserve"> and sustainable performance, particularly in industries influenced by sustainability expectations and regulatory pressures</w:t>
      </w:r>
      <w:r w:rsidRPr="3A68F3DD" w:rsidR="018E6B19">
        <w:rPr>
          <w:rFonts w:ascii="Arial" w:hAnsi="Arial" w:eastAsia="Arial" w:cs="Arial"/>
          <w:noProof w:val="0"/>
          <w:sz w:val="24"/>
          <w:szCs w:val="24"/>
          <w:lang w:val="en-US"/>
        </w:rPr>
        <w:t xml:space="preserve"> (Chua, 2025; Liu and Zhou, 2025</w:t>
      </w:r>
      <w:r w:rsidRPr="3A68F3DD" w:rsidR="15299420">
        <w:rPr>
          <w:rFonts w:ascii="Arial" w:hAnsi="Arial" w:eastAsia="Arial" w:cs="Arial"/>
          <w:noProof w:val="0"/>
          <w:sz w:val="24"/>
          <w:szCs w:val="24"/>
          <w:lang w:val="en-US"/>
        </w:rPr>
        <w:t>, Whittington et al., 2017</w:t>
      </w:r>
      <w:r w:rsidRPr="3A68F3DD" w:rsidR="018E6B19">
        <w:rPr>
          <w:rFonts w:ascii="Arial" w:hAnsi="Arial" w:eastAsia="Arial" w:cs="Arial"/>
          <w:noProof w:val="0"/>
          <w:sz w:val="24"/>
          <w:szCs w:val="24"/>
          <w:lang w:val="en-US"/>
        </w:rPr>
        <w:t>)</w:t>
      </w:r>
      <w:r w:rsidR="29722441">
        <w:rPr/>
        <w:t xml:space="preserve"> </w:t>
      </w:r>
    </w:p>
    <w:p w:rsidR="29722441" w:rsidP="3A68F3DD" w:rsidRDefault="29722441" w14:paraId="4577233A" w14:textId="13F6CFB3">
      <w:pPr>
        <w:pStyle w:val="Normal"/>
        <w:spacing w:before="240" w:after="240" w:line="360" w:lineRule="auto"/>
        <w:jc w:val="both"/>
      </w:pPr>
      <w:r w:rsidR="29722441">
        <w:rPr/>
        <w:t xml:space="preserve">For Tesla, CSR is embedded within its strategic purpose and business model. The </w:t>
      </w:r>
      <w:r w:rsidR="29722441">
        <w:rPr/>
        <w:t>organisation’s</w:t>
      </w:r>
      <w:r w:rsidR="29722441">
        <w:rPr/>
        <w:t xml:space="preserve"> </w:t>
      </w:r>
      <w:r w:rsidR="29722441">
        <w:rPr/>
        <w:t>previous</w:t>
      </w:r>
      <w:r w:rsidR="29722441">
        <w:rPr/>
        <w:t xml:space="preserve"> mission, “to accelerate the world’s transition to sustainable energy,” aligned sustainability with electric vehicle adoption, renewable </w:t>
      </w:r>
      <w:r w:rsidR="29722441">
        <w:rPr/>
        <w:t>energy</w:t>
      </w:r>
      <w:r w:rsidR="29722441">
        <w:rPr/>
        <w:t xml:space="preserve"> and clean technology development</w:t>
      </w:r>
      <w:r w:rsidR="2ED6571E">
        <w:rPr/>
        <w:t xml:space="preserve"> (Eckhouse, 2025</w:t>
      </w:r>
      <w:r w:rsidR="3830EE3E">
        <w:rPr/>
        <w:t>;</w:t>
      </w:r>
      <w:r w:rsidR="62EE085D">
        <w:rPr/>
        <w:t xml:space="preserve"> Li, 2024;</w:t>
      </w:r>
      <w:r w:rsidRPr="3A68F3DD" w:rsidR="3830EE3E">
        <w:rPr>
          <w:rFonts w:ascii="Arial" w:hAnsi="Arial" w:eastAsia="Arial" w:cs="Arial"/>
          <w:noProof w:val="0"/>
          <w:sz w:val="24"/>
          <w:szCs w:val="24"/>
          <w:lang w:val="en-US"/>
        </w:rPr>
        <w:t xml:space="preserve"> Steiber, 2017; Tesla, 2</w:t>
      </w:r>
      <w:r w:rsidRPr="3A68F3DD" w:rsidR="603FAB64">
        <w:rPr>
          <w:rFonts w:ascii="Arial" w:hAnsi="Arial" w:eastAsia="Arial" w:cs="Arial"/>
          <w:noProof w:val="0"/>
          <w:sz w:val="24"/>
          <w:szCs w:val="24"/>
          <w:lang w:val="en-US"/>
        </w:rPr>
        <w:t>026</w:t>
      </w:r>
      <w:r w:rsidR="2ED6571E">
        <w:rPr/>
        <w:t>)</w:t>
      </w:r>
      <w:r w:rsidR="2BCFD8D6">
        <w:rPr/>
        <w:t>.</w:t>
      </w:r>
      <w:r w:rsidR="29722441">
        <w:rPr/>
        <w:t xml:space="preserve"> Tesla’s current mission, “to build a world of amazing abundance,” reflects a broader focus incorporating artificial intelligence, robotics, </w:t>
      </w:r>
      <w:r w:rsidR="29722441">
        <w:rPr/>
        <w:t>automation</w:t>
      </w:r>
      <w:r w:rsidR="29722441">
        <w:rPr/>
        <w:t xml:space="preserve"> and sustainable technologies (Tesla, 2026). This </w:t>
      </w:r>
      <w:r w:rsidR="29722441">
        <w:rPr/>
        <w:t>demonstrates</w:t>
      </w:r>
      <w:r w:rsidR="29722441">
        <w:rPr/>
        <w:t xml:space="preserve"> Tesla’s attempt to integrate environmental responsibility with</w:t>
      </w:r>
      <w:r w:rsidR="7532DED3">
        <w:rPr/>
        <w:t xml:space="preserve"> </w:t>
      </w:r>
      <w:r w:rsidR="29722441">
        <w:rPr/>
        <w:t>technological innovation and future growth opportunities</w:t>
      </w:r>
      <w:r w:rsidRPr="3A68F3DD" w:rsidR="481E005A">
        <w:rPr>
          <w:rFonts w:ascii="Arial" w:hAnsi="Arial" w:eastAsia="Arial" w:cs="Arial"/>
          <w:noProof w:val="0"/>
          <w:sz w:val="24"/>
          <w:szCs w:val="24"/>
          <w:lang w:val="en-US"/>
        </w:rPr>
        <w:t xml:space="preserve"> (Barney, 1991).</w:t>
      </w:r>
      <w:r w:rsidR="49FB9F7B">
        <w:rPr/>
        <w:t xml:space="preserve"> </w:t>
      </w:r>
    </w:p>
    <w:p w:rsidR="29722441" w:rsidP="3A68F3DD" w:rsidRDefault="29722441" w14:paraId="12B30FC4" w14:textId="1791983F">
      <w:pPr>
        <w:pStyle w:val="Normal"/>
        <w:spacing w:before="240" w:after="240" w:line="360" w:lineRule="auto"/>
        <w:jc w:val="both"/>
      </w:pPr>
      <w:r w:rsidR="29722441">
        <w:rPr/>
        <w:t xml:space="preserve">Tesla’s strongest CSR contribution is its environmental strategy through electric vehicles, renewable energy solutions, battery </w:t>
      </w:r>
      <w:r w:rsidR="29722441">
        <w:rPr/>
        <w:t>storage</w:t>
      </w:r>
      <w:r w:rsidR="29722441">
        <w:rPr/>
        <w:t xml:space="preserve"> and charging infrastructure</w:t>
      </w:r>
      <w:r w:rsidR="788802ED">
        <w:rPr/>
        <w:t xml:space="preserve"> </w:t>
      </w:r>
      <w:r w:rsidR="63F2A981">
        <w:rPr/>
        <w:t>(Chua, 2025; Liu and Zhou, 2025)</w:t>
      </w:r>
      <w:r w:rsidR="29722441">
        <w:rPr/>
        <w:t xml:space="preserve">. By reducing dependence on internal combustion engines, Tesla supports global </w:t>
      </w:r>
      <w:r w:rsidR="29722441">
        <w:rPr/>
        <w:t>decarbonisation</w:t>
      </w:r>
      <w:r w:rsidR="29722441">
        <w:rPr/>
        <w:t xml:space="preserve"> </w:t>
      </w:r>
      <w:r w:rsidR="29722441">
        <w:rPr/>
        <w:t>objectives</w:t>
      </w:r>
      <w:r w:rsidR="29722441">
        <w:rPr/>
        <w:t xml:space="preserve"> while strengthening its differentiation strategy</w:t>
      </w:r>
      <w:r w:rsidR="29722441">
        <w:rPr/>
        <w:t xml:space="preserve">. Porter (1985) argues that </w:t>
      </w:r>
      <w:r w:rsidR="29722441">
        <w:rPr/>
        <w:t xml:space="preserve">competitive advantage can be achieved through differentiation by creating unique value for customers. Tesla’s combination of sustainability and innovation has enhanced brand reputation, attracted environmentally conscious </w:t>
      </w:r>
      <w:r w:rsidR="29722441">
        <w:rPr/>
        <w:t>consumers</w:t>
      </w:r>
      <w:r w:rsidR="29722441">
        <w:rPr/>
        <w:t xml:space="preserve"> and supported continued investment in technology development</w:t>
      </w:r>
      <w:r w:rsidR="29722441">
        <w:rPr/>
        <w:t>.</w:t>
      </w:r>
    </w:p>
    <w:p w:rsidR="29722441" w:rsidP="3A68F3DD" w:rsidRDefault="29722441" w14:paraId="0CCF461B" w14:textId="2892BEAB">
      <w:pPr>
        <w:pStyle w:val="Normal"/>
        <w:spacing w:before="240" w:after="240" w:line="360" w:lineRule="auto"/>
        <w:jc w:val="both"/>
      </w:pPr>
      <w:r w:rsidR="29722441">
        <w:rPr/>
        <w:t xml:space="preserve">However, critical evaluation highlights a sustainability paradox. Although Tesla’s products contribute to lower operational emissions, </w:t>
      </w:r>
      <w:r w:rsidR="29722441">
        <w:rPr/>
        <w:t>battery</w:t>
      </w:r>
      <w:r w:rsidR="29722441">
        <w:rPr/>
        <w:t xml:space="preserve"> production creates environmental and ethical </w:t>
      </w:r>
      <w:r w:rsidR="29722441">
        <w:rPr/>
        <w:t>challenges</w:t>
      </w:r>
      <w:r w:rsidR="30BCB7FE">
        <w:rPr/>
        <w:t xml:space="preserve"> </w:t>
      </w:r>
      <w:r w:rsidR="3F06F064">
        <w:rPr/>
        <w:t>(G.J. Offer et al., 2011)</w:t>
      </w:r>
      <w:r w:rsidR="29722441">
        <w:rPr/>
        <w:t xml:space="preserve">. The extraction of lithium, </w:t>
      </w:r>
      <w:r w:rsidR="29722441">
        <w:rPr/>
        <w:t>nickel</w:t>
      </w:r>
      <w:r w:rsidR="29722441">
        <w:rPr/>
        <w:t xml:space="preserve"> and cobalt creates concerns relating to resource dependency, environmental </w:t>
      </w:r>
      <w:r w:rsidR="29722441">
        <w:rPr/>
        <w:t>degradation</w:t>
      </w:r>
      <w:r w:rsidR="29722441">
        <w:rPr/>
        <w:t xml:space="preserve"> and </w:t>
      </w:r>
      <w:r w:rsidR="29722441">
        <w:rPr/>
        <w:t>labour</w:t>
      </w:r>
      <w:r w:rsidR="29722441">
        <w:rPr/>
        <w:t xml:space="preserve"> conditions within global supply chains</w:t>
      </w:r>
      <w:r w:rsidR="55FAD2D3">
        <w:rPr/>
        <w:t xml:space="preserve"> </w:t>
      </w:r>
      <w:r w:rsidRPr="3A68F3DD" w:rsidR="55FAD2D3">
        <w:rPr>
          <w:rFonts w:ascii="Arial" w:hAnsi="Arial" w:eastAsia="Arial" w:cs="Arial"/>
          <w:noProof w:val="0"/>
          <w:sz w:val="24"/>
          <w:szCs w:val="24"/>
          <w:lang w:val="en-US"/>
        </w:rPr>
        <w:t>(Chua, 2025; Eckhouse, 2025; Liu and Zhou, 2025)</w:t>
      </w:r>
      <w:r w:rsidRPr="3A68F3DD" w:rsidR="20AA6BC7">
        <w:rPr>
          <w:rFonts w:ascii="Arial" w:hAnsi="Arial" w:eastAsia="Arial" w:cs="Arial"/>
          <w:noProof w:val="0"/>
          <w:sz w:val="24"/>
          <w:szCs w:val="24"/>
          <w:lang w:val="en-US"/>
        </w:rPr>
        <w:t>.</w:t>
      </w:r>
      <w:r w:rsidR="29722441">
        <w:rPr/>
        <w:t xml:space="preserve"> Therefore, Tesla’s CSR performance should be assessed across the entire product lifecycle, including responsible sourcing, manufacturing </w:t>
      </w:r>
      <w:r w:rsidR="29722441">
        <w:rPr/>
        <w:t>impacts</w:t>
      </w:r>
      <w:r w:rsidR="29722441">
        <w:rPr/>
        <w:t xml:space="preserve"> and </w:t>
      </w:r>
      <w:r w:rsidR="29722441">
        <w:rPr/>
        <w:t>battery</w:t>
      </w:r>
      <w:r w:rsidR="29722441">
        <w:rPr/>
        <w:t xml:space="preserve"> recycling. Strengthening circular economy practices and supply-chain transparency would improve ESG performance and reduce reputational </w:t>
      </w:r>
      <w:r w:rsidR="29722441">
        <w:rPr/>
        <w:t>risk</w:t>
      </w:r>
      <w:r w:rsidR="29722441">
        <w:rPr/>
        <w:t>.</w:t>
      </w:r>
    </w:p>
    <w:p w:rsidR="29722441" w:rsidP="3A68F3DD" w:rsidRDefault="29722441" w14:paraId="321791CD" w14:textId="552AB254">
      <w:pPr>
        <w:pStyle w:val="Normal"/>
        <w:spacing w:before="240" w:after="240" w:line="360" w:lineRule="auto"/>
        <w:jc w:val="both"/>
      </w:pPr>
      <w:r w:rsidR="29722441">
        <w:rPr/>
        <w:t xml:space="preserve">Tesla’s integrated ecosystem also supports its CSR </w:t>
      </w:r>
      <w:r w:rsidR="29722441">
        <w:rPr/>
        <w:t>objectives</w:t>
      </w:r>
      <w:r w:rsidR="29722441">
        <w:rPr/>
        <w:t xml:space="preserve"> by providing customers with a broader transition towards </w:t>
      </w:r>
      <w:r w:rsidR="29722441">
        <w:rPr/>
        <w:t>sustainable energy</w:t>
      </w:r>
      <w:r w:rsidR="29722441">
        <w:rPr/>
        <w:t xml:space="preserve"> through electric vehicles</w:t>
      </w:r>
      <w:r w:rsidR="7E6F6AA9">
        <w:rPr/>
        <w:t xml:space="preserve"> (Alger, Velegol and Shi, 2021; Tasla, 2024)</w:t>
      </w:r>
      <w:r w:rsidR="29722441">
        <w:rPr/>
        <w:t xml:space="preserve">, charging infrastructure, renewable energy </w:t>
      </w:r>
      <w:r w:rsidR="29722441">
        <w:rPr/>
        <w:t>generation</w:t>
      </w:r>
      <w:r w:rsidR="29722441">
        <w:rPr/>
        <w:t xml:space="preserve"> and battery storage</w:t>
      </w:r>
      <w:r w:rsidR="234EF2EE">
        <w:rPr/>
        <w:t xml:space="preserve"> </w:t>
      </w:r>
      <w:r w:rsidR="636FB4B9">
        <w:rPr/>
        <w:t>(Eckhouse, 2025; Steiber, 2017; Tesla, 2026)</w:t>
      </w:r>
      <w:r w:rsidR="234EF2EE">
        <w:rPr/>
        <w:t>.</w:t>
      </w:r>
      <w:r w:rsidR="29722441">
        <w:rPr/>
        <w:t xml:space="preserve"> This ecosystem creates </w:t>
      </w:r>
      <w:r w:rsidR="29722441">
        <w:rPr/>
        <w:t>additional</w:t>
      </w:r>
      <w:r w:rsidR="29722441">
        <w:rPr/>
        <w:t xml:space="preserve"> growth opportunities while reinforcing Tesla’s strategic positioning. However, significant investment in innovation, artificial intelligence and energy solutions requires substantial financial resources and may create short-term pressure on profitability, requiring careful balance between long-term strategic </w:t>
      </w:r>
      <w:r w:rsidR="29722441">
        <w:rPr/>
        <w:t>objectives</w:t>
      </w:r>
      <w:r w:rsidR="29722441">
        <w:rPr/>
        <w:t xml:space="preserve"> and investor expectations</w:t>
      </w:r>
      <w:r w:rsidR="6F8944A9">
        <w:rPr/>
        <w:t xml:space="preserve"> </w:t>
      </w:r>
      <w:r w:rsidR="106D9A2A">
        <w:rPr/>
        <w:t>(Tesla, 2026).</w:t>
      </w:r>
    </w:p>
    <w:p w:rsidR="29722441" w:rsidP="3A68F3DD" w:rsidRDefault="29722441" w14:paraId="4F6B244F" w14:textId="38FA3C04">
      <w:pPr>
        <w:pStyle w:val="Normal"/>
        <w:spacing w:before="240" w:after="240" w:line="360" w:lineRule="auto"/>
        <w:jc w:val="both"/>
      </w:pPr>
      <w:r w:rsidR="29722441">
        <w:rPr/>
        <w:t xml:space="preserve">From a stakeholder perspective, </w:t>
      </w:r>
      <w:r w:rsidR="29722441">
        <w:rPr/>
        <w:t>Freeman</w:t>
      </w:r>
      <w:r w:rsidR="29722441">
        <w:rPr/>
        <w:t xml:space="preserve">’s (1984) stakeholder theory highlights the importance of balancing the interests of customers, employees, investors, </w:t>
      </w:r>
      <w:r w:rsidR="29722441">
        <w:rPr/>
        <w:t>suppliers</w:t>
      </w:r>
      <w:r w:rsidR="29722441">
        <w:rPr/>
        <w:t xml:space="preserve"> and communities. Tesla generates stakeholder value through technological innovation, sustainable infrastructure investment, and employment creation</w:t>
      </w:r>
      <w:r w:rsidR="63F41F80">
        <w:rPr/>
        <w:t xml:space="preserve"> </w:t>
      </w:r>
      <w:r w:rsidR="1921B1B3">
        <w:rPr/>
        <w:t>(Freeman and Phillips, 2002)</w:t>
      </w:r>
      <w:r w:rsidR="29722441">
        <w:rPr/>
        <w:t xml:space="preserve">. Nevertheless, concerns </w:t>
      </w:r>
      <w:r w:rsidR="29722441">
        <w:rPr/>
        <w:t>regarding</w:t>
      </w:r>
      <w:r w:rsidR="29722441">
        <w:rPr/>
        <w:t xml:space="preserve"> workplace culture, employee relations, leadership concentration, and governance practices may negatively influence stakeholder confidence.</w:t>
      </w:r>
    </w:p>
    <w:p w:rsidR="29722441" w:rsidP="6453F8CD" w:rsidRDefault="29722441" w14:paraId="11D16EDA" w14:textId="0D564207">
      <w:pPr>
        <w:spacing w:before="240" w:after="240" w:line="360" w:lineRule="auto"/>
        <w:jc w:val="both"/>
      </w:pPr>
      <w:r w:rsidR="29722441">
        <w:rPr/>
        <w:t xml:space="preserve">Applying Carroll’s (1991) </w:t>
      </w:r>
      <w:r w:rsidR="29722441">
        <w:rPr/>
        <w:t>CSR</w:t>
      </w:r>
      <w:r w:rsidR="29722441">
        <w:rPr/>
        <w:t xml:space="preserve"> Pyramid, Tesla </w:t>
      </w:r>
      <w:r w:rsidR="29722441">
        <w:rPr/>
        <w:t>demonstrates</w:t>
      </w:r>
      <w:r w:rsidR="29722441">
        <w:rPr/>
        <w:t xml:space="preserve"> strong economic responsibility through innovation, profitability and value creation, alongside legal </w:t>
      </w:r>
      <w:r w:rsidR="29722441">
        <w:rPr/>
        <w:t xml:space="preserve">responsibility through compliance with automotive and environmental regulations. However, ethical responsibilities require further improvement, particularly </w:t>
      </w:r>
      <w:r w:rsidR="29722441">
        <w:rPr/>
        <w:t>regarding</w:t>
      </w:r>
      <w:r w:rsidR="29722441">
        <w:rPr/>
        <w:t xml:space="preserve"> supply-chain accountability, workforce engagement, and governance transparency</w:t>
      </w:r>
      <w:r w:rsidR="29722441">
        <w:rPr/>
        <w:t>.</w:t>
      </w:r>
    </w:p>
    <w:p w:rsidR="6CFCCF78" w:rsidP="3A68F3DD" w:rsidRDefault="29722441" w14:paraId="6A5DFD15" w14:textId="6AE7F7DA">
      <w:pPr>
        <w:pStyle w:val="Normal"/>
        <w:spacing w:before="240" w:after="240" w:line="360" w:lineRule="auto"/>
        <w:jc w:val="both"/>
      </w:pPr>
      <w:r w:rsidR="29722441">
        <w:rPr/>
        <w:t xml:space="preserve">Overall, Tesla’s </w:t>
      </w:r>
      <w:r w:rsidR="29722441">
        <w:rPr/>
        <w:t>CSR</w:t>
      </w:r>
      <w:r w:rsidR="29722441">
        <w:rPr/>
        <w:t xml:space="preserve"> strategy </w:t>
      </w:r>
      <w:r w:rsidR="29722441">
        <w:rPr/>
        <w:t>represents</w:t>
      </w:r>
      <w:r w:rsidR="29722441">
        <w:rPr/>
        <w:t xml:space="preserve"> both a competitive advantage and an ongoing strategic challenge</w:t>
      </w:r>
      <w:r w:rsidR="29722441">
        <w:rPr/>
        <w:t xml:space="preserve">. Sustainability </w:t>
      </w:r>
      <w:r w:rsidR="29722441">
        <w:rPr/>
        <w:t>remains</w:t>
      </w:r>
      <w:r w:rsidR="29722441">
        <w:rPr/>
        <w:t xml:space="preserve"> central to Tesla’s differentiation; however, long-term legitimacy depends on ensuring that stated </w:t>
      </w:r>
      <w:r w:rsidR="29722441">
        <w:rPr/>
        <w:t>CSR</w:t>
      </w:r>
      <w:r w:rsidR="29722441">
        <w:rPr/>
        <w:t xml:space="preserve"> commitments are consistently reflected in operational practices</w:t>
      </w:r>
      <w:r w:rsidR="16F6F177">
        <w:rPr/>
        <w:t xml:space="preserve"> </w:t>
      </w:r>
      <w:r w:rsidR="16F6F177">
        <w:rPr/>
        <w:t>(Steiber, 2017; Tesla, 2026)</w:t>
      </w:r>
      <w:r w:rsidR="29722441">
        <w:rPr/>
        <w:t xml:space="preserve">. Therefore, </w:t>
      </w:r>
      <w:r w:rsidR="29722441">
        <w:rPr/>
        <w:t>CSR</w:t>
      </w:r>
      <w:r w:rsidR="29722441">
        <w:rPr/>
        <w:t xml:space="preserve"> should be considered a strategic capability that strengthens resilience, stakeholder trust, and sustainable competitive advantage rather than simply a reputational initiative.</w:t>
      </w:r>
    </w:p>
    <w:p w:rsidRPr="00743BE9" w:rsidR="1322FA5D" w:rsidP="3A68F3DD" w:rsidRDefault="1322FA5D" w14:paraId="4E6BB058" w14:textId="5C29A86F">
      <w:pPr>
        <w:pStyle w:val="Normal"/>
        <w:rPr>
          <w:rFonts w:ascii="Arial" w:hAnsi="Arial" w:eastAsia="ＭＳ 明朝" w:cs="Arial" w:asciiTheme="minorAscii" w:hAnsiTheme="minorAscii" w:eastAsiaTheme="minorEastAsia" w:cstheme="minorBidi"/>
          <w:b w:val="1"/>
          <w:bCs w:val="1"/>
          <w:sz w:val="24"/>
          <w:szCs w:val="24"/>
        </w:rPr>
      </w:pPr>
      <w:r w:rsidRPr="3A68F3DD" w:rsidR="1322FA5D">
        <w:rPr>
          <w:b w:val="1"/>
          <w:bCs w:val="1"/>
        </w:rPr>
        <w:t>3.2 Balanced Scorecard Analysis</w:t>
      </w:r>
    </w:p>
    <w:p w:rsidR="518C49AE" w:rsidP="3A68F3DD" w:rsidRDefault="1E92C5D7" w14:paraId="44BF53AA" w14:textId="49E6C358">
      <w:pPr>
        <w:pStyle w:val="Normal"/>
        <w:spacing w:before="240" w:after="240" w:line="360" w:lineRule="auto"/>
        <w:jc w:val="both"/>
      </w:pPr>
      <w:r w:rsidR="1E92C5D7">
        <w:rPr/>
        <w:t xml:space="preserve">Kaplan and Norton's (1992) Balanced Scorecard translates </w:t>
      </w:r>
      <w:r w:rsidR="1E92C5D7">
        <w:rPr/>
        <w:t>organisational</w:t>
      </w:r>
      <w:r w:rsidR="1E92C5D7">
        <w:rPr/>
        <w:t xml:space="preserve"> strategy into measurable </w:t>
      </w:r>
      <w:r w:rsidR="1E92C5D7">
        <w:rPr/>
        <w:t>objectives</w:t>
      </w:r>
      <w:r w:rsidR="1E92C5D7">
        <w:rPr/>
        <w:t xml:space="preserve"> across four interrelated perspectives: financial, customer, internal business processes, and learning and growth. Building on the findings of the PESTEL, </w:t>
      </w:r>
      <w:r w:rsidR="1E92C5D7">
        <w:rPr/>
        <w:t>VRIO</w:t>
      </w:r>
      <w:r w:rsidR="1E92C5D7">
        <w:rPr/>
        <w:t xml:space="preserve">, </w:t>
      </w:r>
      <w:r w:rsidR="1E92C5D7">
        <w:rPr/>
        <w:t>SWOT</w:t>
      </w:r>
      <w:r w:rsidR="1E92C5D7">
        <w:rPr/>
        <w:t xml:space="preserve"> and CSR analyses, the Balanced Scorecard evaluates whether Tesla's strategic </w:t>
      </w:r>
      <w:r w:rsidR="1E92C5D7">
        <w:rPr/>
        <w:t>objectives</w:t>
      </w:r>
      <w:r w:rsidR="1E92C5D7">
        <w:rPr/>
        <w:t xml:space="preserve"> are aligned with its mission, competitive priorities</w:t>
      </w:r>
      <w:r w:rsidR="5D3BA9E1">
        <w:rPr/>
        <w:t>,</w:t>
      </w:r>
      <w:r w:rsidR="1E92C5D7">
        <w:rPr/>
        <w:t xml:space="preserve"> and long-term business goals</w:t>
      </w:r>
      <w:r w:rsidR="4BF9FBD6">
        <w:rPr/>
        <w:t xml:space="preserve"> (CIPD, 2025; (Jurevicius, 2025; Makos, 2022).</w:t>
      </w:r>
      <w:r w:rsidR="1E92C5D7">
        <w:rPr/>
        <w:t xml:space="preserve"> The proposed Balanced Scorecard, including </w:t>
      </w:r>
      <w:r w:rsidR="1E92C5D7">
        <w:rPr/>
        <w:t>objectives</w:t>
      </w:r>
      <w:r w:rsidR="1E92C5D7">
        <w:rPr/>
        <w:t>, key performance indicators (KPIs), targets and strategic initiatives, is presented in Appendix B (Figures B1–B4).</w:t>
      </w:r>
    </w:p>
    <w:p w:rsidRPr="00743BE9" w:rsidR="1322FA5D" w:rsidP="3A68F3DD" w:rsidRDefault="1322FA5D" w14:paraId="27E7E1CC" w14:textId="5A635AD6">
      <w:pPr>
        <w:pStyle w:val="Normal"/>
        <w:rPr>
          <w:rFonts w:ascii="Arial" w:hAnsi="Arial" w:eastAsia="ＭＳ 明朝" w:cs="Arial" w:asciiTheme="minorAscii" w:hAnsiTheme="minorAscii" w:eastAsiaTheme="minorEastAsia" w:cstheme="minorBidi"/>
          <w:b w:val="1"/>
          <w:bCs w:val="1"/>
          <w:sz w:val="24"/>
          <w:szCs w:val="24"/>
        </w:rPr>
      </w:pPr>
      <w:r w:rsidRPr="3A68F3DD" w:rsidR="1322FA5D">
        <w:rPr>
          <w:b w:val="1"/>
          <w:bCs w:val="1"/>
        </w:rPr>
        <w:t>Financial Perspective</w:t>
      </w:r>
    </w:p>
    <w:p w:rsidR="7B609F77" w:rsidP="299E8815" w:rsidRDefault="7B609F77" w14:paraId="54DDB45C" w14:textId="64141CBD">
      <w:pPr>
        <w:spacing w:line="360" w:lineRule="auto"/>
        <w:jc w:val="both"/>
      </w:pPr>
      <w:r w:rsidR="7B609F77">
        <w:rPr/>
        <w:t xml:space="preserve">From a financial perspective, Tesla must improve manufacturing efficiency while </w:t>
      </w:r>
      <w:r w:rsidR="7B609F77">
        <w:rPr/>
        <w:t>maintaining</w:t>
      </w:r>
      <w:r w:rsidR="7B609F77">
        <w:rPr/>
        <w:t xml:space="preserve"> profitability in an increasingly competitive EV market. As </w:t>
      </w:r>
      <w:r w:rsidR="7B609F77">
        <w:rPr/>
        <w:t>identified</w:t>
      </w:r>
      <w:r w:rsidR="7B609F77">
        <w:rPr/>
        <w:t xml:space="preserve"> in the PESTEL and SWOT analyses, recent price reductions and rising competitive pressure have compressed profit margins, making operational efficiency a strategic priority. Appendix B (Figure B1) </w:t>
      </w:r>
      <w:r w:rsidR="7B609F77">
        <w:rPr/>
        <w:t>demonstrates</w:t>
      </w:r>
      <w:r w:rsidR="7B609F77">
        <w:rPr/>
        <w:t xml:space="preserve"> that </w:t>
      </w:r>
      <w:r w:rsidR="7B609F77">
        <w:rPr/>
        <w:t>optimising</w:t>
      </w:r>
      <w:r w:rsidR="7B609F77">
        <w:rPr/>
        <w:t xml:space="preserve"> Gigafactory operations, strengthening supply-chain resilience</w:t>
      </w:r>
      <w:r w:rsidR="4368EA4C">
        <w:rPr/>
        <w:t>,</w:t>
      </w:r>
      <w:r w:rsidR="7B609F77">
        <w:rPr/>
        <w:t xml:space="preserve"> and increasing the use of recycled battery materials can reduce production costs while supporting sustainable growth. These initiatives align with Tesla's CSR strategy by improving both financial performance and </w:t>
      </w:r>
      <w:r w:rsidR="7B609F77">
        <w:rPr/>
        <w:t xml:space="preserve">environmental sustainability (Kaplan and Norton, 1992; </w:t>
      </w:r>
      <w:r w:rsidR="4F6E72CC">
        <w:rPr/>
        <w:t>Whittington et al., 2017).</w:t>
      </w:r>
    </w:p>
    <w:p w:rsidRPr="00743BE9" w:rsidR="30B17EEF" w:rsidP="3A68F3DD" w:rsidRDefault="30B17EEF" w14:paraId="72C13D56" w14:textId="5E103F75">
      <w:pPr>
        <w:pStyle w:val="Normal"/>
        <w:rPr>
          <w:rFonts w:ascii="Arial" w:hAnsi="Arial" w:eastAsia="ＭＳ 明朝" w:cs="Arial" w:asciiTheme="minorAscii" w:hAnsiTheme="minorAscii" w:eastAsiaTheme="minorEastAsia" w:cstheme="minorBidi"/>
          <w:b w:val="1"/>
          <w:bCs w:val="1"/>
          <w:sz w:val="24"/>
          <w:szCs w:val="24"/>
        </w:rPr>
      </w:pPr>
      <w:r w:rsidRPr="3A68F3DD" w:rsidR="30B17EEF">
        <w:rPr>
          <w:b w:val="1"/>
          <w:bCs w:val="1"/>
        </w:rPr>
        <w:t>Customer Perspective</w:t>
      </w:r>
    </w:p>
    <w:p w:rsidR="5CD9EF8B" w:rsidP="3A68F3DD" w:rsidRDefault="167D4DA4" w14:paraId="1A605B0F" w14:textId="4EAB88E9">
      <w:pPr>
        <w:pStyle w:val="Normal"/>
        <w:spacing w:before="240" w:after="240" w:line="360" w:lineRule="auto"/>
        <w:jc w:val="both"/>
      </w:pPr>
      <w:r w:rsidR="167D4DA4">
        <w:rPr/>
        <w:t xml:space="preserve">The customer perspective focuses on </w:t>
      </w:r>
      <w:r w:rsidR="167D4DA4">
        <w:rPr/>
        <w:t>maintaining</w:t>
      </w:r>
      <w:r w:rsidR="167D4DA4">
        <w:rPr/>
        <w:t xml:space="preserve"> Tesla's differentiation through superior customer value rather than competing primarily on price. As shown in Appendix B (Figure B2), continuous software innovation, improvements in customer service and expansion of the Supercharger network are intended to strengthen customer satisfaction, </w:t>
      </w:r>
      <w:r w:rsidR="167D4DA4">
        <w:rPr/>
        <w:t>loyalty</w:t>
      </w:r>
      <w:r w:rsidR="167D4DA4">
        <w:rPr/>
        <w:t xml:space="preserve"> and brand reputation</w:t>
      </w:r>
      <w:r w:rsidR="5A3329A3">
        <w:rPr/>
        <w:t xml:space="preserve"> (Gratton, 2025)</w:t>
      </w:r>
      <w:r w:rsidR="167D4DA4">
        <w:rPr/>
        <w:t xml:space="preserve">. These priorities directly address the growing competitive pressures </w:t>
      </w:r>
      <w:r w:rsidR="167D4DA4">
        <w:rPr/>
        <w:t>identified</w:t>
      </w:r>
      <w:r w:rsidR="167D4DA4">
        <w:rPr/>
        <w:t xml:space="preserve"> in the SWOT analysis and reinforce Tesla's ecosystem strategy by enhancing the overall ownership experience.</w:t>
      </w:r>
    </w:p>
    <w:p w:rsidRPr="00743BE9" w:rsidR="4DCC6A26" w:rsidP="3A68F3DD" w:rsidRDefault="4DCC6A26" w14:paraId="4173E87F" w14:textId="3F23CD7C">
      <w:pPr>
        <w:pStyle w:val="Normal"/>
        <w:rPr>
          <w:rFonts w:ascii="Arial" w:hAnsi="Arial" w:eastAsia="ＭＳ 明朝" w:cs="Arial" w:asciiTheme="minorAscii" w:hAnsiTheme="minorAscii" w:eastAsiaTheme="minorEastAsia" w:cstheme="minorBidi"/>
          <w:b w:val="1"/>
          <w:bCs w:val="1"/>
          <w:sz w:val="24"/>
          <w:szCs w:val="24"/>
        </w:rPr>
      </w:pPr>
      <w:r w:rsidRPr="3A68F3DD" w:rsidR="4DCC6A26">
        <w:rPr>
          <w:b w:val="1"/>
          <w:bCs w:val="1"/>
        </w:rPr>
        <w:t>Internal Business Process Perspective</w:t>
      </w:r>
    </w:p>
    <w:p w:rsidR="46EA93E3" w:rsidP="3A68F3DD" w:rsidRDefault="1F589926" w14:paraId="24F21572" w14:textId="1F79FB91">
      <w:pPr>
        <w:pStyle w:val="Normal"/>
        <w:spacing w:before="240" w:after="240" w:line="360" w:lineRule="auto"/>
        <w:jc w:val="both"/>
      </w:pPr>
      <w:r w:rsidR="1F589926">
        <w:rPr/>
        <w:t>The</w:t>
      </w:r>
      <w:r w:rsidR="7B4DA63A">
        <w:rPr/>
        <w:t xml:space="preserve"> internal business process perspective concentrates on improving operational efficiency and supply-chain resilience. Appendix B (Figure B3) highlights</w:t>
      </w:r>
      <w:r w:rsidR="7B4DA63A">
        <w:rPr/>
        <w:t xml:space="preserve"> initiatives</w:t>
      </w:r>
      <w:r w:rsidR="7B4DA63A">
        <w:rPr/>
        <w:t xml:space="preserve"> to enhance manufacturing performance, strengthen sustainable sourcing, and expand battery recycling</w:t>
      </w:r>
      <w:r w:rsidR="1548462F">
        <w:rPr/>
        <w:t xml:space="preserve"> (Tesla, 2026; Kaplan and Norton, 1992)</w:t>
      </w:r>
      <w:r w:rsidR="7B4DA63A">
        <w:rPr/>
        <w:t xml:space="preserve">. These </w:t>
      </w:r>
      <w:r w:rsidR="7B4DA63A">
        <w:rPr/>
        <w:t>objectives</w:t>
      </w:r>
      <w:r w:rsidR="7B4DA63A">
        <w:rPr/>
        <w:t xml:space="preserve"> respond directly to weaknesses </w:t>
      </w:r>
      <w:r w:rsidR="7B4DA63A">
        <w:rPr/>
        <w:t>identified</w:t>
      </w:r>
      <w:r w:rsidR="7B4DA63A">
        <w:rPr/>
        <w:t xml:space="preserve"> in the VRIO and SWOT analyses, particularly supply-chain </w:t>
      </w:r>
      <w:r w:rsidR="7B4DA63A">
        <w:rPr/>
        <w:t>dependency</w:t>
      </w:r>
      <w:r w:rsidR="7B4DA63A">
        <w:rPr/>
        <w:t xml:space="preserve"> and operational complexity, while supporting Tesla's broader environmental commitments and long-term competitiveness (Barney, 1991).</w:t>
      </w:r>
    </w:p>
    <w:p w:rsidRPr="00743BE9" w:rsidR="50469D88" w:rsidP="3A68F3DD" w:rsidRDefault="50469D88" w14:paraId="03ACC0BD" w14:textId="7430A86D">
      <w:pPr>
        <w:pStyle w:val="Normal"/>
        <w:rPr>
          <w:rFonts w:ascii="Arial" w:hAnsi="Arial" w:eastAsia="ＭＳ 明朝" w:cs="Arial" w:asciiTheme="minorAscii" w:hAnsiTheme="minorAscii" w:eastAsiaTheme="minorEastAsia" w:cstheme="minorBidi"/>
          <w:b w:val="1"/>
          <w:bCs w:val="1"/>
          <w:sz w:val="24"/>
          <w:szCs w:val="24"/>
        </w:rPr>
      </w:pPr>
      <w:r w:rsidRPr="3A68F3DD" w:rsidR="50469D88">
        <w:rPr>
          <w:b w:val="1"/>
          <w:bCs w:val="1"/>
        </w:rPr>
        <w:t>Learning and Growth Perspective</w:t>
      </w:r>
    </w:p>
    <w:p w:rsidR="1799B03E" w:rsidP="526CF987" w:rsidRDefault="1799B03E" w14:paraId="0202C76A" w14:textId="2F71EDB1">
      <w:pPr>
        <w:spacing w:before="240" w:after="240" w:line="360" w:lineRule="auto"/>
        <w:jc w:val="both"/>
      </w:pPr>
      <w:r w:rsidR="1799B03E">
        <w:rPr/>
        <w:t xml:space="preserve">The learning and growth perspective </w:t>
      </w:r>
      <w:r w:rsidR="1799B03E">
        <w:rPr/>
        <w:t>emphasises</w:t>
      </w:r>
      <w:r w:rsidR="1799B03E">
        <w:rPr/>
        <w:t xml:space="preserve"> Tesla's continued investment in innovation, employee </w:t>
      </w:r>
      <w:r w:rsidR="1799B03E">
        <w:rPr/>
        <w:t>capability</w:t>
      </w:r>
      <w:r w:rsidR="1799B03E">
        <w:rPr/>
        <w:t xml:space="preserve"> and </w:t>
      </w:r>
      <w:r w:rsidR="1799B03E">
        <w:rPr/>
        <w:t>organisational</w:t>
      </w:r>
      <w:r w:rsidR="1799B03E">
        <w:rPr/>
        <w:t xml:space="preserve"> governance. As illustrated in Appendix B (Figure B4), sustaining leadership in artificial intelligence, battery technology and autonomous driving requires ongoing investment in research and development alongside improvements in workforce engagement and governance. These initiatives support Tesla's revised mission of building "a world of amazing abundance" by ensuring that technological innovation is supported by </w:t>
      </w:r>
      <w:r w:rsidR="1799B03E">
        <w:rPr/>
        <w:t>organisational</w:t>
      </w:r>
      <w:r w:rsidR="1799B03E">
        <w:rPr/>
        <w:t xml:space="preserve"> capability and effective leadership (Tesla, 2026; Kaplan and Norton, 1992).</w:t>
      </w:r>
    </w:p>
    <w:p w:rsidR="1799B03E" w:rsidP="3A68F3DD" w:rsidRDefault="1799B03E" w14:paraId="5FAAF1A3" w14:textId="31645073">
      <w:pPr>
        <w:pStyle w:val="Normal"/>
        <w:rPr>
          <w:rFonts w:ascii="Arial" w:hAnsi="Arial" w:eastAsia="ＭＳ 明朝" w:cs="Arial" w:asciiTheme="minorAscii" w:hAnsiTheme="minorAscii" w:eastAsiaTheme="minorEastAsia" w:cstheme="minorBidi"/>
          <w:b w:val="1"/>
          <w:bCs w:val="1"/>
          <w:sz w:val="24"/>
          <w:szCs w:val="24"/>
        </w:rPr>
      </w:pPr>
      <w:r w:rsidRPr="3A68F3DD" w:rsidR="1799B03E">
        <w:rPr>
          <w:b w:val="1"/>
          <w:bCs w:val="1"/>
        </w:rPr>
        <w:t>Balanced Scorecard Conclusion</w:t>
      </w:r>
    </w:p>
    <w:p w:rsidR="38FD285A" w:rsidP="6A27654F" w:rsidRDefault="77A26168" w14:paraId="353D5953" w14:textId="1EE11AA0">
      <w:pPr>
        <w:spacing w:before="240" w:after="240" w:line="360" w:lineRule="auto"/>
        <w:jc w:val="both"/>
      </w:pPr>
      <w:r w:rsidRPr="0F196A1B">
        <w:t>Over</w:t>
      </w:r>
      <w:r w:rsidRPr="0F196A1B" w:rsidR="1799B03E">
        <w:t xml:space="preserve">all, the Balanced Scorecard demonstrates that Tesla's long-term success depends on balancing financial performance with customer value, operational excellence, and continuous </w:t>
      </w:r>
      <w:proofErr w:type="spellStart"/>
      <w:r w:rsidRPr="0F196A1B" w:rsidR="1799B03E">
        <w:t>organisational</w:t>
      </w:r>
      <w:proofErr w:type="spellEnd"/>
      <w:r w:rsidRPr="0F196A1B" w:rsidR="1799B03E">
        <w:t xml:space="preserve"> learning. Collectively, the four perspectives reinforce the findings of the CSR analysis by showing that sustainable competitive advantage depends not only on technological innovation but also on effective governance, resilient operations and stakeholder value creation. The Balanced Scorecard therefore provides a practical framework for translating Tesla's strategic objectives into measurable </w:t>
      </w:r>
      <w:proofErr w:type="spellStart"/>
      <w:r w:rsidRPr="0F196A1B" w:rsidR="1799B03E">
        <w:t>organisational</w:t>
      </w:r>
      <w:proofErr w:type="spellEnd"/>
      <w:r w:rsidRPr="0F196A1B" w:rsidR="1799B03E">
        <w:t xml:space="preserve"> performance.</w:t>
      </w:r>
    </w:p>
    <w:p w:rsidRPr="00743BE9" w:rsidR="1EB35E9B" w:rsidP="00B6310C" w:rsidRDefault="1EB35E9B" w14:paraId="3C7A79E2" w14:textId="1E9A29AB">
      <w:pPr>
        <w:spacing w:before="240" w:after="240" w:line="360" w:lineRule="auto"/>
        <w:jc w:val="both"/>
      </w:pPr>
    </w:p>
    <w:p w:rsidRPr="00743BE9" w:rsidR="14C16B7C" w:rsidP="3A68F3DD" w:rsidRDefault="14C16B7C" w14:paraId="287CDE74" w14:textId="40E0A01A">
      <w:pPr>
        <w:pStyle w:val="Heading2"/>
        <w:spacing w:line="360" w:lineRule="auto"/>
        <w:jc w:val="both"/>
        <w:rPr>
          <w:rFonts w:ascii="Arial" w:hAnsi="Arial" w:eastAsia="ＭＳ 明朝" w:cs="Arial" w:asciiTheme="minorAscii" w:hAnsiTheme="minorAscii" w:eastAsiaTheme="minorEastAsia" w:cstheme="minorBidi"/>
          <w:b w:val="1"/>
          <w:bCs w:val="1"/>
          <w:sz w:val="28"/>
          <w:szCs w:val="28"/>
        </w:rPr>
      </w:pPr>
      <w:bookmarkStart w:name="_Toc1185241313" w:id="1110125362"/>
      <w:r w:rsidRPr="3A68F3DD" w:rsidR="14C16B7C">
        <w:rPr>
          <w:rFonts w:ascii="Arial" w:hAnsi="Arial" w:eastAsia="ＭＳ 明朝" w:cs="Arial" w:asciiTheme="minorAscii" w:hAnsiTheme="minorAscii" w:eastAsiaTheme="minorEastAsia" w:cstheme="minorBidi"/>
          <w:b w:val="1"/>
          <w:bCs w:val="1"/>
          <w:sz w:val="28"/>
          <w:szCs w:val="28"/>
        </w:rPr>
        <w:t>4. Strategic Choices and Implementation</w:t>
      </w:r>
      <w:bookmarkEnd w:id="1110125362"/>
    </w:p>
    <w:p w:rsidRPr="00743BE9" w:rsidR="14C16B7C" w:rsidP="3A68F3DD" w:rsidRDefault="14C16B7C" w14:paraId="388E92AC" w14:textId="1C7E6E7E">
      <w:pPr>
        <w:pStyle w:val="Normal"/>
        <w:rPr>
          <w:rFonts w:ascii="Arial" w:hAnsi="Arial" w:eastAsia="ＭＳ 明朝" w:cs="Arial" w:asciiTheme="minorAscii" w:hAnsiTheme="minorAscii" w:eastAsiaTheme="minorEastAsia" w:cstheme="minorBidi"/>
          <w:b w:val="1"/>
          <w:bCs w:val="1"/>
          <w:sz w:val="24"/>
          <w:szCs w:val="24"/>
        </w:rPr>
      </w:pPr>
      <w:r w:rsidRPr="3A68F3DD" w:rsidR="14C16B7C">
        <w:rPr>
          <w:b w:val="1"/>
          <w:bCs w:val="1"/>
        </w:rPr>
        <w:t>4.1 Evaluation of Strategic Choices at Business Level</w:t>
      </w:r>
    </w:p>
    <w:p w:rsidRPr="00743BE9" w:rsidR="73F1CA6C" w:rsidP="3A68F3DD" w:rsidRDefault="73F1CA6C" w14:paraId="15B28C3C" w14:textId="20930D4B">
      <w:pPr>
        <w:pStyle w:val="Normal"/>
        <w:spacing w:before="240" w:after="240" w:line="360" w:lineRule="auto"/>
        <w:jc w:val="both"/>
      </w:pPr>
      <w:r w:rsidR="73F1CA6C">
        <w:rPr/>
        <w:t xml:space="preserve">Building on </w:t>
      </w:r>
      <w:r w:rsidR="3AA4F158">
        <w:rPr/>
        <w:t>external</w:t>
      </w:r>
      <w:r w:rsidR="73F1CA6C">
        <w:rPr/>
        <w:t xml:space="preserve">, internal, CSR, and Balanced Scorecard analysis, Tesla’s strategic challenge is to </w:t>
      </w:r>
      <w:r w:rsidR="73F1CA6C">
        <w:rPr/>
        <w:t>maintain</w:t>
      </w:r>
      <w:r w:rsidR="73F1CA6C">
        <w:rPr/>
        <w:t xml:space="preserve"> competitive advantage while responding to increasing industry pressures. The </w:t>
      </w:r>
      <w:r w:rsidR="73F1CA6C">
        <w:rPr/>
        <w:t>previous</w:t>
      </w:r>
      <w:r w:rsidR="73F1CA6C">
        <w:rPr/>
        <w:t xml:space="preserve"> sections </w:t>
      </w:r>
      <w:r w:rsidR="73F1CA6C">
        <w:rPr/>
        <w:t>identified</w:t>
      </w:r>
      <w:r w:rsidR="73F1CA6C">
        <w:rPr/>
        <w:t xml:space="preserve"> that Tesla’s differentiation strategy, based on technological innovation, sustainability, brand reputation, and ecosystem integration, has been central to its success within the United States EV market</w:t>
      </w:r>
      <w:r w:rsidR="757DC7C7">
        <w:rPr/>
        <w:t xml:space="preserve"> </w:t>
      </w:r>
      <w:r w:rsidRPr="3A68F3DD" w:rsidR="06FF2C41">
        <w:rPr>
          <w:rFonts w:ascii="Arial" w:hAnsi="Arial" w:eastAsia="Arial" w:cs="Arial"/>
          <w:noProof w:val="0"/>
          <w:sz w:val="24"/>
          <w:szCs w:val="24"/>
          <w:lang w:val="en-US"/>
        </w:rPr>
        <w:t>(Li, 2024)</w:t>
      </w:r>
      <w:r w:rsidR="73F1CA6C">
        <w:rPr/>
        <w:t xml:space="preserve">. However, the analysis also highlighted several strategic limitations, including premium pricing, manufacturing complexity, supply-chain dependency, increasing competitive rivalry, and growing stakeholder expectations </w:t>
      </w:r>
      <w:r w:rsidR="73F1CA6C">
        <w:rPr/>
        <w:t>regarding</w:t>
      </w:r>
      <w:r w:rsidR="73F1CA6C">
        <w:rPr/>
        <w:t xml:space="preserve"> responsible business practices.</w:t>
      </w:r>
    </w:p>
    <w:p w:rsidRPr="00743BE9" w:rsidR="73F1CA6C" w:rsidP="3A68F3DD" w:rsidRDefault="73F1CA6C" w14:paraId="0894B934" w14:textId="2FA8AA75">
      <w:pPr>
        <w:pStyle w:val="Normal"/>
        <w:spacing w:before="240" w:after="240" w:line="360" w:lineRule="auto"/>
        <w:jc w:val="both"/>
      </w:pPr>
      <w:r w:rsidR="73F1CA6C">
        <w:rPr/>
        <w:t xml:space="preserve">Strategic management requires </w:t>
      </w:r>
      <w:r w:rsidR="73F1CA6C">
        <w:rPr/>
        <w:t>organisations</w:t>
      </w:r>
      <w:r w:rsidR="73F1CA6C">
        <w:rPr/>
        <w:t xml:space="preserve"> to align internal capabilities with external environmental conditions to achieve sustainable competitive advantage </w:t>
      </w:r>
      <w:r w:rsidR="6D9754BB">
        <w:rPr/>
        <w:t>(Whittington et al., 2017)</w:t>
      </w:r>
      <w:r w:rsidR="73F1CA6C">
        <w:rPr/>
        <w:t xml:space="preserve">. Therefore, Tesla must evaluate alternative strategic options that allow the </w:t>
      </w:r>
      <w:r w:rsidR="73F1CA6C">
        <w:rPr/>
        <w:t>organisation</w:t>
      </w:r>
      <w:r w:rsidR="73F1CA6C">
        <w:rPr/>
        <w:t xml:space="preserve"> to protect its existing strengths while improving scalability, affordability, and long-term resilience</w:t>
      </w:r>
      <w:r w:rsidRPr="3A68F3DD" w:rsidR="59D1B7A2">
        <w:rPr>
          <w:rFonts w:ascii="Arial" w:hAnsi="Arial" w:eastAsia="Arial" w:cs="Arial"/>
          <w:noProof w:val="0"/>
          <w:sz w:val="24"/>
          <w:szCs w:val="24"/>
          <w:lang w:val="en-US"/>
        </w:rPr>
        <w:t xml:space="preserve"> (Tesla, 2023)</w:t>
      </w:r>
      <w:r w:rsidR="73F1CA6C">
        <w:rPr/>
        <w:t>.</w:t>
      </w:r>
    </w:p>
    <w:p w:rsidRPr="00743BE9" w:rsidR="73F1CA6C" w:rsidP="3A68F3DD" w:rsidRDefault="73F1CA6C" w14:paraId="3CA5F192" w14:textId="7077E9AC">
      <w:pPr>
        <w:pStyle w:val="Normal"/>
        <w:spacing w:before="240" w:after="240" w:line="360" w:lineRule="auto"/>
        <w:jc w:val="both"/>
      </w:pPr>
      <w:r w:rsidR="73F1CA6C">
        <w:rPr/>
        <w:t>Business</w:t>
      </w:r>
      <w:r w:rsidR="73F1CA6C">
        <w:rPr/>
        <w:t xml:space="preserve">-level strategy </w:t>
      </w:r>
      <w:r w:rsidR="73F1CA6C">
        <w:rPr/>
        <w:t>determines</w:t>
      </w:r>
      <w:r w:rsidR="73F1CA6C">
        <w:rPr/>
        <w:t xml:space="preserve"> how </w:t>
      </w:r>
      <w:r w:rsidR="73F1CA6C">
        <w:rPr/>
        <w:t>organisations</w:t>
      </w:r>
      <w:r w:rsidR="73F1CA6C">
        <w:rPr/>
        <w:t xml:space="preserve"> compete within an industry by creating and sustaining customer value. </w:t>
      </w:r>
      <w:r w:rsidR="73F1CA6C">
        <w:rPr/>
        <w:t>Porter</w:t>
      </w:r>
      <w:r w:rsidR="73F1CA6C">
        <w:rPr/>
        <w:t xml:space="preserve"> (1985) </w:t>
      </w:r>
      <w:r w:rsidR="73F1CA6C">
        <w:rPr/>
        <w:t>identifies</w:t>
      </w:r>
      <w:r w:rsidR="73F1CA6C">
        <w:rPr/>
        <w:t xml:space="preserve"> three </w:t>
      </w:r>
      <w:r w:rsidR="73F1CA6C">
        <w:rPr/>
        <w:t>generic strategies: cost leadership, differentiation, and focus. Tesla has historically pursued a differentiation strategy by competing through advanced battery technology, artificial intelligence, software integration, the Supercharger network, and a strong sustainability-focused brand identity</w:t>
      </w:r>
      <w:r w:rsidR="1B93D2E8">
        <w:rPr/>
        <w:t xml:space="preserve"> (Gratton, 2025)</w:t>
      </w:r>
      <w:r w:rsidR="73F1CA6C">
        <w:rPr/>
        <w:t xml:space="preserve">. This approach has enabled Tesla to </w:t>
      </w:r>
      <w:r w:rsidR="73F1CA6C">
        <w:rPr/>
        <w:t>establish</w:t>
      </w:r>
      <w:r w:rsidR="73F1CA6C">
        <w:rPr/>
        <w:t xml:space="preserve"> a distinctive market position by combining technological innovation with environmental value</w:t>
      </w:r>
      <w:r w:rsidRPr="3A68F3DD" w:rsidR="51BA2B0E">
        <w:rPr>
          <w:rFonts w:ascii="Arial" w:hAnsi="Arial" w:eastAsia="Arial" w:cs="Arial"/>
          <w:noProof w:val="0"/>
          <w:sz w:val="24"/>
          <w:szCs w:val="24"/>
          <w:lang w:val="en-US"/>
        </w:rPr>
        <w:t xml:space="preserve"> (Tesla, 2023</w:t>
      </w:r>
      <w:r w:rsidRPr="3A68F3DD" w:rsidR="354AA805">
        <w:rPr>
          <w:rFonts w:ascii="Arial" w:hAnsi="Arial" w:eastAsia="Arial" w:cs="Arial"/>
          <w:noProof w:val="0"/>
          <w:sz w:val="24"/>
          <w:szCs w:val="24"/>
          <w:lang w:val="en-US"/>
        </w:rPr>
        <w:t>; Wheeler, 2025</w:t>
      </w:r>
      <w:r w:rsidRPr="3A68F3DD" w:rsidR="51BA2B0E">
        <w:rPr>
          <w:rFonts w:ascii="Arial" w:hAnsi="Arial" w:eastAsia="Arial" w:cs="Arial"/>
          <w:noProof w:val="0"/>
          <w:sz w:val="24"/>
          <w:szCs w:val="24"/>
          <w:lang w:val="en-US"/>
        </w:rPr>
        <w:t>)</w:t>
      </w:r>
      <w:r w:rsidR="73F1CA6C">
        <w:rPr/>
        <w:t>.</w:t>
      </w:r>
    </w:p>
    <w:p w:rsidRPr="00743BE9" w:rsidR="73F1CA6C" w:rsidP="00B6310C" w:rsidRDefault="73F1CA6C" w14:paraId="39DBF4DD" w14:textId="5525BCB4">
      <w:pPr>
        <w:spacing w:before="240" w:after="240" w:line="360" w:lineRule="auto"/>
        <w:jc w:val="both"/>
      </w:pPr>
      <w:r w:rsidRPr="0F196A1B">
        <w:t xml:space="preserve">From a resource-based view (RBV), competitive advantage depends on resources and capabilities that are valuable, rare, difficult to imitate, and effectively </w:t>
      </w:r>
      <w:proofErr w:type="spellStart"/>
      <w:r w:rsidRPr="0F196A1B">
        <w:t>organised</w:t>
      </w:r>
      <w:proofErr w:type="spellEnd"/>
      <w:r w:rsidRPr="0F196A1B">
        <w:t xml:space="preserve"> (Barney, 1991). Tesla’s Supercharger network, vehicle data capabilities, software ecosystem, brand reputation, and manufacturing expertise represent strategic resources that have supported its growth. However, the VRIO analysis demonstrated that some of these advantages are becoming increasingly vulnerable as competitors develop similar EV capabilities. As Teece (2018) argues, </w:t>
      </w:r>
      <w:proofErr w:type="spellStart"/>
      <w:r w:rsidRPr="0F196A1B">
        <w:t>organisations</w:t>
      </w:r>
      <w:proofErr w:type="spellEnd"/>
      <w:r w:rsidRPr="0F196A1B">
        <w:t xml:space="preserve"> operating in rapidly changing industries require dynamic capabilities to continuously renew and adapt their resources.</w:t>
      </w:r>
    </w:p>
    <w:p w:rsidRPr="00743BE9" w:rsidR="73F1CA6C" w:rsidP="3A68F3DD" w:rsidRDefault="73F1CA6C" w14:paraId="76C4A52F" w14:textId="58D0E2C4">
      <w:pPr>
        <w:pStyle w:val="Normal"/>
        <w:spacing w:before="240" w:after="240" w:line="360" w:lineRule="auto"/>
        <w:jc w:val="both"/>
      </w:pPr>
      <w:r w:rsidR="73F1CA6C">
        <w:rPr/>
        <w:t>Maintaining</w:t>
      </w:r>
      <w:r w:rsidR="73F1CA6C">
        <w:rPr/>
        <w:t xml:space="preserve"> a pure differentiation strategy would allow Tesla to continue focusing on premium vehicles, autonomous driving technologies, and software-based services. This strategy supports brand equity and potentially higher margins because customers may perceive Tesla products as technologically superior (Keller, 2013). However, external analysis </w:t>
      </w:r>
      <w:r w:rsidR="73F1CA6C">
        <w:rPr/>
        <w:t>identified</w:t>
      </w:r>
      <w:r w:rsidR="73F1CA6C">
        <w:rPr/>
        <w:t xml:space="preserve"> increasing affordability pressures, inflation, higher interest rates, and intensified competition from </w:t>
      </w:r>
      <w:r w:rsidR="73F1CA6C">
        <w:rPr/>
        <w:t>organisations</w:t>
      </w:r>
      <w:r w:rsidR="73F1CA6C">
        <w:rPr/>
        <w:t xml:space="preserve"> such as BYD</w:t>
      </w:r>
      <w:r w:rsidR="73F1CA6C">
        <w:rPr/>
        <w:t>, Ford, General Motors, and Volkswagen</w:t>
      </w:r>
      <w:r w:rsidR="1F58B45E">
        <w:rPr/>
        <w:t xml:space="preserve"> </w:t>
      </w:r>
      <w:r w:rsidRPr="3A68F3DD" w:rsidR="339D7DB6">
        <w:rPr>
          <w:rFonts w:ascii="Arial" w:hAnsi="Arial" w:eastAsia="Arial" w:cs="Arial"/>
          <w:noProof w:val="0"/>
          <w:sz w:val="24"/>
          <w:szCs w:val="24"/>
          <w:lang w:val="en-US"/>
        </w:rPr>
        <w:t xml:space="preserve">(IEA, 2024; </w:t>
      </w:r>
      <w:r w:rsidR="2C2A3D63">
        <w:rPr/>
        <w:t>Ramos and Ruiz-Gálvez, 2024)</w:t>
      </w:r>
      <w:r w:rsidR="73F1CA6C">
        <w:rPr/>
        <w:t xml:space="preserve">. As EV adoption becomes more mainstream, customers increasingly evaluate vehicles based on </w:t>
      </w:r>
      <w:r w:rsidR="73F1CA6C">
        <w:rPr/>
        <w:t>price</w:t>
      </w:r>
      <w:r w:rsidR="73F1CA6C">
        <w:rPr/>
        <w:t>, reliability, charging availability, and practicality rather than innovation alone</w:t>
      </w:r>
      <w:r w:rsidR="2BEDB8EA">
        <w:rPr/>
        <w:t xml:space="preserve"> (Huang, 2023)</w:t>
      </w:r>
      <w:r w:rsidR="73F1CA6C">
        <w:rPr/>
        <w:t>.</w:t>
      </w:r>
    </w:p>
    <w:p w:rsidRPr="00743BE9" w:rsidR="73F1CA6C" w:rsidP="00B6310C" w:rsidRDefault="73F1CA6C" w14:paraId="0A610711" w14:textId="2B91009C">
      <w:pPr>
        <w:spacing w:before="240" w:after="240" w:line="360" w:lineRule="auto"/>
        <w:jc w:val="both"/>
      </w:pPr>
      <w:r w:rsidRPr="0F196A1B">
        <w:t xml:space="preserve">Alternatively, Tesla could pursue a cost leadership strategy by improving production efficiency, reducing manufacturing costs, and expanding accessibility to broader market segments. Porter (1985) suggests that cost leadership can create competitive advantage by allowing </w:t>
      </w:r>
      <w:proofErr w:type="spellStart"/>
      <w:r w:rsidRPr="0F196A1B">
        <w:t>organisations</w:t>
      </w:r>
      <w:proofErr w:type="spellEnd"/>
      <w:r w:rsidRPr="0F196A1B">
        <w:t xml:space="preserve"> to offer products at lower prices while maintaining profitability. Tesla’s Gigafactories, automation capabilities, battery expertise, and economies of scale provide a foundation for cost reduction. However, a complete transition towards cost </w:t>
      </w:r>
      <w:r w:rsidRPr="0F196A1B">
        <w:lastRenderedPageBreak/>
        <w:t xml:space="preserve">leadership could weaken Tesla’s differentiation advantage and potentially damage brand perception. Porter (1985) warns that </w:t>
      </w:r>
      <w:proofErr w:type="spellStart"/>
      <w:r w:rsidRPr="0F196A1B">
        <w:t>organisations</w:t>
      </w:r>
      <w:proofErr w:type="spellEnd"/>
      <w:r w:rsidRPr="0F196A1B">
        <w:t xml:space="preserve"> attempting to pursue incompatible strategies may become “stuck in the middle”, reducing their ability to compete effectively.</w:t>
      </w:r>
    </w:p>
    <w:p w:rsidRPr="00743BE9" w:rsidR="73F1CA6C" w:rsidP="00B6310C" w:rsidRDefault="73F1CA6C" w14:paraId="0C250A91" w14:textId="3AC625E5">
      <w:pPr>
        <w:spacing w:before="240" w:after="240" w:line="360" w:lineRule="auto"/>
        <w:jc w:val="both"/>
      </w:pPr>
      <w:r w:rsidR="73F1CA6C">
        <w:rPr/>
        <w:t>A further strategic option is diversification into complementary markets, including renewable energy storage, artificial intelligence, autonomous mobility, and software services</w:t>
      </w:r>
      <w:r w:rsidR="4E677873">
        <w:rPr/>
        <w:t xml:space="preserve"> (Eckhouse, 2025; Steiber, 2017; Tesla, 2026)</w:t>
      </w:r>
      <w:r w:rsidR="73F1CA6C">
        <w:rPr/>
        <w:t xml:space="preserve">. </w:t>
      </w:r>
      <w:r w:rsidR="73F1CA6C">
        <w:rPr/>
        <w:t>Ansoff</w:t>
      </w:r>
      <w:r w:rsidR="73F1CA6C">
        <w:rPr/>
        <w:t>’s</w:t>
      </w:r>
      <w:r w:rsidR="73F1CA6C">
        <w:rPr/>
        <w:t xml:space="preserve"> (1957) growth matrix suggests that diversification can provide opportunities for expansion by entering new markets with new products</w:t>
      </w:r>
      <w:r w:rsidR="7AD0B3C0">
        <w:rPr/>
        <w:t xml:space="preserve"> </w:t>
      </w:r>
      <w:r w:rsidR="3041FBC5">
        <w:rPr/>
        <w:t>(Hako, 1972; Richard et al., 2009).</w:t>
      </w:r>
      <w:r w:rsidR="73F1CA6C">
        <w:rPr/>
        <w:t xml:space="preserve"> This approach aligns with Tesla’s evolving mission to “build a world of amazing abundance” through sustainable technologies, AI, and automation (Tesla, 2026). However, diversification also creates strategic risks because new markets require significant investment, specialist capabilities, and regulatory approval </w:t>
      </w:r>
      <w:r w:rsidR="061C596C">
        <w:rPr/>
        <w:t>(Whittington et al., 2017).</w:t>
      </w:r>
    </w:p>
    <w:p w:rsidRPr="00743BE9" w:rsidR="73F1CA6C" w:rsidP="3A68F3DD" w:rsidRDefault="73F1CA6C" w14:paraId="783E69AF" w14:textId="4D631A20">
      <w:pPr>
        <w:pStyle w:val="Normal"/>
        <w:spacing w:before="240" w:after="240" w:line="360" w:lineRule="auto"/>
        <w:jc w:val="both"/>
      </w:pPr>
      <w:r w:rsidR="73F1CA6C">
        <w:rPr/>
        <w:t xml:space="preserve">Therefore, based on the findings from the external, internal, </w:t>
      </w:r>
      <w:r w:rsidR="73F1CA6C">
        <w:rPr/>
        <w:t>CSR</w:t>
      </w:r>
      <w:r w:rsidR="73F1CA6C">
        <w:rPr/>
        <w:t xml:space="preserve">, and Balanced Scorecard analyses, the most </w:t>
      </w:r>
      <w:r w:rsidR="73F1CA6C">
        <w:rPr/>
        <w:t>appropriate strategic</w:t>
      </w:r>
      <w:r w:rsidR="73F1CA6C">
        <w:rPr/>
        <w:t xml:space="preserve"> direction for Tesla is a hybrid strategy combining differentiation with selective cost leadership and ecosystem expansion. This approach enables Tesla to </w:t>
      </w:r>
      <w:r w:rsidR="73F1CA6C">
        <w:rPr/>
        <w:t>maintain</w:t>
      </w:r>
      <w:r w:rsidR="73F1CA6C">
        <w:rPr/>
        <w:t xml:space="preserve"> its innovation-based advantage while addressing weaknesses relating to affordability, operational efficiency, and market accessibility</w:t>
      </w:r>
      <w:r w:rsidR="79FB649E">
        <w:rPr/>
        <w:t xml:space="preserve"> (Steiber, 2017; Tesla, 2026</w:t>
      </w:r>
      <w:r w:rsidR="79FB649E">
        <w:rPr/>
        <w:t>).</w:t>
      </w:r>
    </w:p>
    <w:p w:rsidRPr="00743BE9" w:rsidR="14C16B7C" w:rsidP="3A68F3DD" w:rsidRDefault="14C16B7C" w14:paraId="55B853DA" w14:textId="506D63EC">
      <w:pPr>
        <w:pStyle w:val="Normal"/>
        <w:rPr>
          <w:rFonts w:ascii="Arial" w:hAnsi="Arial" w:eastAsia="ＭＳ 明朝" w:cs="Arial" w:asciiTheme="minorAscii" w:hAnsiTheme="minorAscii" w:eastAsiaTheme="minorEastAsia" w:cstheme="minorBidi"/>
          <w:b w:val="1"/>
          <w:bCs w:val="1"/>
          <w:sz w:val="24"/>
          <w:szCs w:val="24"/>
        </w:rPr>
      </w:pPr>
      <w:r w:rsidRPr="3A68F3DD" w:rsidR="14C16B7C">
        <w:rPr>
          <w:b w:val="1"/>
          <w:bCs w:val="1"/>
          <w:sz w:val="24"/>
          <w:szCs w:val="24"/>
        </w:rPr>
        <w:t>4.2 Recommended Strategy: Hybrid Differentiation with Selective Cost Leadership</w:t>
      </w:r>
    </w:p>
    <w:p w:rsidRPr="00743BE9" w:rsidR="73F1CA6C" w:rsidP="3A68F3DD" w:rsidRDefault="73F1CA6C" w14:paraId="0DFD498D" w14:textId="4A695110">
      <w:pPr>
        <w:pStyle w:val="Normal"/>
        <w:spacing w:before="240" w:after="240" w:line="360" w:lineRule="auto"/>
        <w:jc w:val="both"/>
      </w:pPr>
      <w:r w:rsidR="73F1CA6C">
        <w:rPr/>
        <w:t>From a strategic consultancy perspective, Tesla should adopt a hybrid differentiation strategy supported by selective cost leadership. This approach enables Tesla to preserve its technological and sustainability-based competitive advantage while improving affordability, operational efficiency, and long-term scalability</w:t>
      </w:r>
      <w:r w:rsidR="73F1CA6C">
        <w:rPr/>
        <w:t>.</w:t>
      </w:r>
    </w:p>
    <w:p w:rsidRPr="00743BE9" w:rsidR="73F1CA6C" w:rsidP="3A68F3DD" w:rsidRDefault="73F1CA6C" w14:paraId="48A85E65" w14:textId="723C2D8A">
      <w:pPr>
        <w:pStyle w:val="Normal"/>
        <w:spacing w:before="240" w:after="240" w:line="360" w:lineRule="auto"/>
        <w:jc w:val="both"/>
      </w:pPr>
      <w:r w:rsidR="73F1CA6C">
        <w:rPr/>
        <w:t xml:space="preserve">The recommendation aligns with </w:t>
      </w:r>
      <w:r w:rsidR="42857BDF">
        <w:rPr/>
        <w:t>Whittington et al</w:t>
      </w:r>
      <w:r w:rsidR="42857BDF">
        <w:rPr/>
        <w:t>., (</w:t>
      </w:r>
      <w:r w:rsidR="42857BDF">
        <w:rPr/>
        <w:t>2017</w:t>
      </w:r>
      <w:r w:rsidR="73F1CA6C">
        <w:rPr/>
        <w:t xml:space="preserve">) argument that </w:t>
      </w:r>
      <w:r w:rsidR="73F1CA6C">
        <w:rPr/>
        <w:t>organisations</w:t>
      </w:r>
      <w:r w:rsidR="73F1CA6C">
        <w:rPr/>
        <w:t xml:space="preserve"> </w:t>
      </w:r>
      <w:r w:rsidR="73F1CA6C">
        <w:rPr/>
        <w:t>operating</w:t>
      </w:r>
      <w:r w:rsidR="73F1CA6C">
        <w:rPr/>
        <w:t xml:space="preserve"> within uncertain and dynamic environments require strategic flexibility rather than relying on a single competitive approach. Tesla should continue investing in artificial intelligence, battery innovation</w:t>
      </w:r>
      <w:r w:rsidR="057F64C9">
        <w:rPr/>
        <w:t xml:space="preserve"> </w:t>
      </w:r>
      <w:r w:rsidRPr="3A68F3DD" w:rsidR="057F64C9">
        <w:rPr>
          <w:rFonts w:ascii="Arial" w:hAnsi="Arial" w:eastAsia="Arial" w:cs="Arial"/>
          <w:noProof w:val="0"/>
          <w:sz w:val="24"/>
          <w:szCs w:val="24"/>
          <w:lang w:val="en-US"/>
        </w:rPr>
        <w:t>(Wheeler, 2025)</w:t>
      </w:r>
      <w:r w:rsidR="73F1CA6C">
        <w:rPr/>
        <w:t>, autonomous driving, and software development while simultaneously improving manufacturing efficiency, supply-chain resilience, and cost management</w:t>
      </w:r>
      <w:r w:rsidR="73F1CA6C">
        <w:rPr/>
        <w:t>.</w:t>
      </w:r>
    </w:p>
    <w:p w:rsidRPr="00743BE9" w:rsidR="73F1CA6C" w:rsidP="00B6310C" w:rsidRDefault="73F1CA6C" w14:paraId="544D0DEB" w14:textId="389E124F">
      <w:pPr>
        <w:spacing w:before="240" w:after="240" w:line="360" w:lineRule="auto"/>
        <w:jc w:val="both"/>
      </w:pPr>
      <w:r w:rsidRPr="0F196A1B">
        <w:lastRenderedPageBreak/>
        <w:t xml:space="preserve">This strategy directly responds to issues identified throughout the report. The PESTEL analysis highlighted increasing competitive rivalry, regulatory uncertainty, and affordability pressures, while the VRIO analysis demonstrated that Tesla’s resources require continuous development to remain valuable. Therefore, Tesla should leverage its existing capabilities while strengthening areas where </w:t>
      </w:r>
      <w:r w:rsidRPr="0F196A1B" w:rsidR="0027777E">
        <w:t>it faces competitive vulnerability</w:t>
      </w:r>
      <w:r w:rsidRPr="0F196A1B">
        <w:t>.</w:t>
      </w:r>
    </w:p>
    <w:p w:rsidRPr="00743BE9" w:rsidR="73F1CA6C" w:rsidP="00B6310C" w:rsidRDefault="73F1CA6C" w14:paraId="520607D5" w14:textId="433672F1">
      <w:pPr>
        <w:spacing w:before="240" w:after="240" w:line="360" w:lineRule="auto"/>
        <w:jc w:val="both"/>
      </w:pPr>
      <w:r w:rsidR="73F1CA6C">
        <w:rPr/>
        <w:t xml:space="preserve">Tesla’s technological capabilities and sustainability positioning provide the foundation for continued differentiation. According to </w:t>
      </w:r>
      <w:r w:rsidR="73F1CA6C">
        <w:rPr/>
        <w:t>Porter</w:t>
      </w:r>
      <w:r w:rsidR="73F1CA6C">
        <w:rPr/>
        <w:t xml:space="preserve"> (1985), differentiation strategies are successful when </w:t>
      </w:r>
      <w:r w:rsidR="73F1CA6C">
        <w:rPr/>
        <w:t>organisations</w:t>
      </w:r>
      <w:r w:rsidR="73F1CA6C">
        <w:rPr/>
        <w:t xml:space="preserve"> create unique value that customers perceive as meaningful. Tesla’s integrated ecosystem, combining vehicles, charging infrastructure, renewable energy, and software services, creates a broader value proposition than traditional automotive manufacturers</w:t>
      </w:r>
      <w:r w:rsidR="185F51F8">
        <w:rPr/>
        <w:t xml:space="preserve"> (Gratton, 2025)</w:t>
      </w:r>
      <w:r w:rsidR="73F1CA6C">
        <w:rPr/>
        <w:t>.</w:t>
      </w:r>
    </w:p>
    <w:p w:rsidRPr="00743BE9" w:rsidR="73F1CA6C" w:rsidP="00B6310C" w:rsidRDefault="73F1CA6C" w14:paraId="6F37818E" w14:textId="1051B196">
      <w:pPr>
        <w:spacing w:before="240" w:after="240" w:line="360" w:lineRule="auto"/>
        <w:jc w:val="both"/>
      </w:pPr>
      <w:r w:rsidR="73F1CA6C">
        <w:rPr/>
        <w:t xml:space="preserve">However, Tesla should avoid relying excessively on price reductions </w:t>
      </w:r>
      <w:r w:rsidR="0027777E">
        <w:rPr/>
        <w:t>to increase</w:t>
      </w:r>
      <w:r w:rsidR="73F1CA6C">
        <w:rPr/>
        <w:t xml:space="preserve"> market share. Although price reductions may support short-term market penetration, they may also reduce profit margins and weaken premium brand positioning. Instead, affordability should be achieved through operational improvements, manufacturing</w:t>
      </w:r>
      <w:r w:rsidR="73F1CA6C">
        <w:rPr/>
        <w:t xml:space="preserve"> innovation</w:t>
      </w:r>
      <w:r w:rsidR="6F535D31">
        <w:rPr/>
        <w:t xml:space="preserve"> (Tesla, 2023; Wheeler, 2025)</w:t>
      </w:r>
      <w:r w:rsidR="73F1CA6C">
        <w:rPr/>
        <w:t>, battery cost reduction, and economies of scale.</w:t>
      </w:r>
    </w:p>
    <w:p w:rsidRPr="00743BE9" w:rsidR="73F1CA6C" w:rsidP="00B6310C" w:rsidRDefault="73F1CA6C" w14:paraId="1E5B05D1" w14:textId="34A5D444">
      <w:pPr>
        <w:spacing w:before="240" w:after="240" w:line="360" w:lineRule="auto"/>
        <w:jc w:val="both"/>
      </w:pPr>
      <w:r w:rsidRPr="0F196A1B">
        <w:t xml:space="preserve">Furthermore, expanding software services, energy storage solutions, and AI-driven technologies </w:t>
      </w:r>
      <w:r w:rsidRPr="0F196A1B" w:rsidR="0027777E">
        <w:t>support revenue diversification and reduce</w:t>
      </w:r>
      <w:r w:rsidRPr="0F196A1B">
        <w:t xml:space="preserve"> dependence on vehicle sales. This approach reflects the concept of ambidextrous </w:t>
      </w:r>
      <w:proofErr w:type="spellStart"/>
      <w:r w:rsidRPr="0F196A1B">
        <w:t>organisations</w:t>
      </w:r>
      <w:proofErr w:type="spellEnd"/>
      <w:r w:rsidRPr="0F196A1B">
        <w:t>, where firms simultaneously exploit existing capabilities while exploring new opportunities for future growth (O’Reilly and Tushman, 2013).</w:t>
      </w:r>
    </w:p>
    <w:p w:rsidRPr="00743BE9" w:rsidR="14C16B7C" w:rsidP="3A68F3DD" w:rsidRDefault="14C16B7C" w14:paraId="3F9D9E52" w14:textId="541BE711">
      <w:pPr>
        <w:pStyle w:val="Normal"/>
        <w:rPr>
          <w:rFonts w:ascii="Arial" w:hAnsi="Arial" w:eastAsia="ＭＳ 明朝" w:cs="Arial" w:asciiTheme="minorAscii" w:hAnsiTheme="minorAscii" w:eastAsiaTheme="minorEastAsia" w:cstheme="minorBidi"/>
          <w:b w:val="1"/>
          <w:bCs w:val="1"/>
          <w:sz w:val="24"/>
          <w:szCs w:val="24"/>
        </w:rPr>
      </w:pPr>
      <w:r w:rsidRPr="3A68F3DD" w:rsidR="14C16B7C">
        <w:rPr>
          <w:b w:val="1"/>
          <w:bCs w:val="1"/>
        </w:rPr>
        <w:t xml:space="preserve">4.3 Strategic Evaluation Using the </w:t>
      </w:r>
      <w:r w:rsidRPr="3A68F3DD" w:rsidR="14C16B7C">
        <w:rPr>
          <w:b w:val="1"/>
          <w:bCs w:val="1"/>
        </w:rPr>
        <w:t>SAFe</w:t>
      </w:r>
      <w:r w:rsidRPr="3A68F3DD" w:rsidR="14C16B7C">
        <w:rPr>
          <w:b w:val="1"/>
          <w:bCs w:val="1"/>
        </w:rPr>
        <w:t xml:space="preserve"> Framework</w:t>
      </w:r>
    </w:p>
    <w:p w:rsidRPr="00743BE9" w:rsidR="73F1CA6C" w:rsidP="00B6310C" w:rsidRDefault="73F1CA6C" w14:paraId="25E8009A" w14:textId="0F74CD8B">
      <w:pPr>
        <w:spacing w:before="240" w:after="240" w:line="360" w:lineRule="auto"/>
        <w:jc w:val="both"/>
      </w:pPr>
      <w:r w:rsidR="73F1CA6C">
        <w:rPr/>
        <w:t xml:space="preserve">The </w:t>
      </w:r>
      <w:r w:rsidR="73F1CA6C">
        <w:rPr/>
        <w:t>SAFe</w:t>
      </w:r>
      <w:r w:rsidR="73F1CA6C">
        <w:rPr/>
        <w:t xml:space="preserve"> framework evaluates strategic choices through suitability, acceptability, and feasibility, ensuring that strategic recommendations are aligned with </w:t>
      </w:r>
      <w:r w:rsidR="73F1CA6C">
        <w:rPr/>
        <w:t>organisational</w:t>
      </w:r>
      <w:r w:rsidR="73F1CA6C">
        <w:rPr/>
        <w:t xml:space="preserve"> capabilities and stakeholder expectations </w:t>
      </w:r>
      <w:r w:rsidR="1625DF2C">
        <w:rPr/>
        <w:t>(Whittington et al., 2017).</w:t>
      </w:r>
      <w:r w:rsidR="73F1CA6C">
        <w:rPr/>
        <w:t>.</w:t>
      </w:r>
    </w:p>
    <w:p w:rsidRPr="00743BE9" w:rsidR="73F1CA6C" w:rsidP="3A68F3DD" w:rsidRDefault="73F1CA6C" w14:paraId="3D316A27" w14:textId="4920168E">
      <w:pPr>
        <w:pStyle w:val="Normal"/>
        <w:rPr>
          <w:rFonts w:ascii="Arial" w:hAnsi="Arial" w:eastAsia="ＭＳ 明朝" w:cs="Arial" w:asciiTheme="minorAscii" w:hAnsiTheme="minorAscii" w:eastAsiaTheme="minorEastAsia" w:cstheme="minorBidi"/>
          <w:b w:val="1"/>
          <w:bCs w:val="1"/>
          <w:sz w:val="24"/>
          <w:szCs w:val="24"/>
        </w:rPr>
      </w:pPr>
      <w:r w:rsidRPr="3A68F3DD" w:rsidR="73F1CA6C">
        <w:rPr>
          <w:b w:val="1"/>
          <w:bCs w:val="1"/>
        </w:rPr>
        <w:t>Suitability</w:t>
      </w:r>
    </w:p>
    <w:p w:rsidRPr="00743BE9" w:rsidR="73F1CA6C" w:rsidP="00B6310C" w:rsidRDefault="73F1CA6C" w14:paraId="3C0154E4" w14:textId="4FF33A61">
      <w:pPr>
        <w:spacing w:before="240" w:after="240" w:line="360" w:lineRule="auto"/>
        <w:jc w:val="both"/>
      </w:pPr>
      <w:r w:rsidRPr="0F196A1B">
        <w:t xml:space="preserve">The hybrid differentiation strategy is suitable because it directly responds to the strategic issues identified throughout this report. It addresses competitive pressures identified through PESTEL analysis by improving affordability and operational efficiency while maintaining technological differentiation. It also aligns with Tesla’s VRIO resources by </w:t>
      </w:r>
      <w:proofErr w:type="spellStart"/>
      <w:r w:rsidRPr="0F196A1B">
        <w:t>utilising</w:t>
      </w:r>
      <w:proofErr w:type="spellEnd"/>
      <w:r w:rsidRPr="0F196A1B">
        <w:t xml:space="preserve"> its brand reputation, software capability, charging infrastructure, and innovation expertise.</w:t>
      </w:r>
    </w:p>
    <w:p w:rsidRPr="00743BE9" w:rsidR="73F1CA6C" w:rsidP="00B6310C" w:rsidRDefault="73F1CA6C" w14:paraId="75DCAB07" w14:textId="26457852">
      <w:pPr>
        <w:spacing w:before="240" w:after="240" w:line="360" w:lineRule="auto"/>
        <w:jc w:val="both"/>
      </w:pPr>
      <w:r w:rsidRPr="0F196A1B">
        <w:t xml:space="preserve">Furthermore, the strategy supports Tesla’s CSR objectives by encouraging sustainable production methods, responsible supply-chain management, and continued investment in renewable technologies. Porter and Kramer (2011) argue that </w:t>
      </w:r>
      <w:proofErr w:type="spellStart"/>
      <w:r w:rsidRPr="0F196A1B">
        <w:t>organisations</w:t>
      </w:r>
      <w:proofErr w:type="spellEnd"/>
      <w:r w:rsidRPr="0F196A1B">
        <w:t xml:space="preserve"> can create shared value when business strategies simultaneously generate economic benefits and address wider social challenges.</w:t>
      </w:r>
    </w:p>
    <w:p w:rsidRPr="00743BE9" w:rsidR="73F1CA6C" w:rsidP="3A68F3DD" w:rsidRDefault="73F1CA6C" w14:paraId="3716340C" w14:textId="527B3D7C">
      <w:pPr>
        <w:pStyle w:val="Normal"/>
        <w:rPr>
          <w:rFonts w:ascii="Arial" w:hAnsi="Arial" w:eastAsia="ＭＳ 明朝" w:cs="Arial" w:asciiTheme="minorAscii" w:hAnsiTheme="minorAscii" w:eastAsiaTheme="minorEastAsia" w:cstheme="minorBidi"/>
          <w:b w:val="1"/>
          <w:bCs w:val="1"/>
          <w:sz w:val="24"/>
          <w:szCs w:val="24"/>
        </w:rPr>
      </w:pPr>
      <w:r w:rsidRPr="3A68F3DD" w:rsidR="73F1CA6C">
        <w:rPr>
          <w:b w:val="1"/>
          <w:bCs w:val="1"/>
        </w:rPr>
        <w:t>Acceptability</w:t>
      </w:r>
    </w:p>
    <w:p w:rsidRPr="00743BE9" w:rsidR="73F1CA6C" w:rsidP="00B6310C" w:rsidRDefault="73F1CA6C" w14:paraId="082308C0" w14:textId="10068FF9">
      <w:pPr>
        <w:spacing w:before="240" w:after="240" w:line="360" w:lineRule="auto"/>
        <w:jc w:val="both"/>
      </w:pPr>
      <w:r w:rsidRPr="0F196A1B">
        <w:t xml:space="preserve">The recommended strategy provides potential benefits for multiple stakeholders. Investors may benefit from improved profitability, greater revenue diversification, and reduced dependence on vehicle sales. Customers benefit from increased EV accessibility while maintaining access to Tesla’s technological advantages. Employees and wider stakeholders may benefit from improved sustainability practices and </w:t>
      </w:r>
      <w:proofErr w:type="spellStart"/>
      <w:r w:rsidRPr="0F196A1B">
        <w:t>organisational</w:t>
      </w:r>
      <w:proofErr w:type="spellEnd"/>
      <w:r w:rsidRPr="0F196A1B">
        <w:t xml:space="preserve"> development.</w:t>
      </w:r>
    </w:p>
    <w:p w:rsidRPr="00743BE9" w:rsidR="73F1CA6C" w:rsidP="00B6310C" w:rsidRDefault="73F1CA6C" w14:paraId="3DD4F240" w14:textId="70B9C284">
      <w:pPr>
        <w:spacing w:before="240" w:after="240" w:line="360" w:lineRule="auto"/>
        <w:jc w:val="both"/>
      </w:pPr>
      <w:r w:rsidR="73F1CA6C">
        <w:rPr/>
        <w:t xml:space="preserve">However, strategic implementation also involves risks. Investment in autonomous driving, AI, and energy technologies requires significant financial resources and may not produce immediate returns. Additionally, reducing production costs must be carefully managed to avoid negatively affecting product quality, employee conditions, or customer trust. </w:t>
      </w:r>
      <w:r w:rsidR="73F1CA6C">
        <w:rPr/>
        <w:t>Freeman</w:t>
      </w:r>
      <w:r w:rsidR="73F1CA6C">
        <w:rPr/>
        <w:t xml:space="preserve">’s (1984) stakeholder theory highlights that successful </w:t>
      </w:r>
      <w:r w:rsidR="73F1CA6C">
        <w:rPr/>
        <w:t>organisations</w:t>
      </w:r>
      <w:r w:rsidR="73F1CA6C">
        <w:rPr/>
        <w:t xml:space="preserve"> must balance the interests of multiple stakeholder groups rather than focusing exclusively on shareholder returns</w:t>
      </w:r>
      <w:r w:rsidR="0A456437">
        <w:rPr/>
        <w:t xml:space="preserve"> (</w:t>
      </w:r>
      <w:r w:rsidR="0A456437">
        <w:rPr/>
        <w:t>Freeman</w:t>
      </w:r>
      <w:r w:rsidR="0A456437">
        <w:rPr/>
        <w:t>,2010)</w:t>
      </w:r>
      <w:r w:rsidR="73F1CA6C">
        <w:rPr/>
        <w:t>.</w:t>
      </w:r>
    </w:p>
    <w:p w:rsidRPr="00743BE9" w:rsidR="73F1CA6C" w:rsidP="3A68F3DD" w:rsidRDefault="73F1CA6C" w14:paraId="37F1A246" w14:textId="0F46561D">
      <w:pPr>
        <w:pStyle w:val="Normal"/>
        <w:rPr>
          <w:rFonts w:ascii="Arial" w:hAnsi="Arial" w:eastAsia="ＭＳ 明朝" w:cs="Arial" w:asciiTheme="minorAscii" w:hAnsiTheme="minorAscii" w:eastAsiaTheme="minorEastAsia" w:cstheme="minorBidi"/>
          <w:b w:val="1"/>
          <w:bCs w:val="1"/>
          <w:sz w:val="24"/>
          <w:szCs w:val="24"/>
        </w:rPr>
      </w:pPr>
      <w:r w:rsidRPr="3A68F3DD" w:rsidR="73F1CA6C">
        <w:rPr>
          <w:b w:val="1"/>
          <w:bCs w:val="1"/>
        </w:rPr>
        <w:t>Feasibility</w:t>
      </w:r>
    </w:p>
    <w:p w:rsidRPr="00743BE9" w:rsidR="73F1CA6C" w:rsidP="00B6310C" w:rsidRDefault="73F1CA6C" w14:paraId="13F79F87" w14:textId="1DAA7705">
      <w:pPr>
        <w:spacing w:before="240" w:after="240" w:line="360" w:lineRule="auto"/>
        <w:jc w:val="both"/>
      </w:pPr>
      <w:r w:rsidR="73F1CA6C">
        <w:rPr/>
        <w:t xml:space="preserve">The strategy is </w:t>
      </w:r>
      <w:r w:rsidR="73F1CA6C">
        <w:rPr/>
        <w:t>feasible</w:t>
      </w:r>
      <w:r w:rsidR="73F1CA6C">
        <w:rPr/>
        <w:t xml:space="preserve"> because Tesla </w:t>
      </w:r>
      <w:r w:rsidR="73F1CA6C">
        <w:rPr/>
        <w:t>possesses</w:t>
      </w:r>
      <w:r w:rsidR="73F1CA6C">
        <w:rPr/>
        <w:t xml:space="preserve"> significant </w:t>
      </w:r>
      <w:r w:rsidR="73F1CA6C">
        <w:rPr/>
        <w:t>organisational</w:t>
      </w:r>
      <w:r w:rsidR="73F1CA6C">
        <w:rPr/>
        <w:t xml:space="preserve"> resources, including manufacturing infrastructure, financial strength, technological </w:t>
      </w:r>
      <w:r w:rsidR="73F1CA6C">
        <w:rPr/>
        <w:t>expertise</w:t>
      </w:r>
      <w:r w:rsidR="73F1CA6C">
        <w:rPr/>
        <w:t xml:space="preserve">, and global brand recognition. These capabilities provide </w:t>
      </w:r>
      <w:r w:rsidR="73F1CA6C">
        <w:rPr/>
        <w:t>a strong foundation</w:t>
      </w:r>
      <w:r w:rsidR="73F1CA6C">
        <w:rPr/>
        <w:t xml:space="preserve"> for improving efficiency while continuing</w:t>
      </w:r>
      <w:r w:rsidR="73F1CA6C">
        <w:rPr/>
        <w:t xml:space="preserve"> innovation</w:t>
      </w:r>
      <w:r w:rsidR="0A1CA7FB">
        <w:rPr/>
        <w:t xml:space="preserve"> (Tesla, 2023; Wheeler, 2025)</w:t>
      </w:r>
      <w:r w:rsidR="73F1CA6C">
        <w:rPr/>
        <w:t>.</w:t>
      </w:r>
    </w:p>
    <w:p w:rsidRPr="00743BE9" w:rsidR="73F1CA6C" w:rsidP="00B6310C" w:rsidRDefault="73F1CA6C" w14:paraId="714D7959" w14:textId="7A10059D">
      <w:pPr>
        <w:spacing w:before="240" w:after="240" w:line="360" w:lineRule="auto"/>
        <w:jc w:val="both"/>
      </w:pPr>
      <w:r w:rsidRPr="0F196A1B">
        <w:t xml:space="preserve">Nevertheless, implementation requires Tesla to address weaknesses identified earlier in the report. Supply-chain risks, particularly dependence on lithium, nickel, and cobalt, require investment in supplier diversification, recycling capabilities, and responsible sourcing practices. Additionally, stronger governance structures, employee engagement, and sustainability reporting will support long-term </w:t>
      </w:r>
      <w:proofErr w:type="spellStart"/>
      <w:r w:rsidRPr="0F196A1B">
        <w:t>organisational</w:t>
      </w:r>
      <w:proofErr w:type="spellEnd"/>
      <w:r w:rsidRPr="0F196A1B">
        <w:t xml:space="preserve"> resilience (Carroll, 1991).</w:t>
      </w:r>
    </w:p>
    <w:p w:rsidRPr="00743BE9" w:rsidR="5C841BDB" w:rsidP="3A68F3DD" w:rsidRDefault="5C841BDB" w14:paraId="41E1C4A9" w14:textId="2F8580CA">
      <w:pPr>
        <w:pStyle w:val="Normal"/>
        <w:rPr>
          <w:rFonts w:ascii="Arial" w:hAnsi="Arial" w:eastAsia="ＭＳ 明朝" w:cs="Arial" w:asciiTheme="minorAscii" w:hAnsiTheme="minorAscii" w:eastAsiaTheme="minorEastAsia" w:cstheme="minorBidi"/>
          <w:b w:val="1"/>
          <w:bCs w:val="1"/>
          <w:sz w:val="24"/>
          <w:szCs w:val="24"/>
        </w:rPr>
      </w:pPr>
      <w:r w:rsidRPr="3A68F3DD" w:rsidR="4658286C">
        <w:rPr>
          <w:b w:val="1"/>
          <w:bCs w:val="1"/>
        </w:rPr>
        <w:t>5</w:t>
      </w:r>
      <w:r w:rsidRPr="3A68F3DD" w:rsidR="5C841BDB">
        <w:rPr>
          <w:b w:val="1"/>
          <w:bCs w:val="1"/>
        </w:rPr>
        <w:t>. Conclusion</w:t>
      </w:r>
    </w:p>
    <w:p w:rsidRPr="00743BE9" w:rsidR="73F1CA6C" w:rsidP="00B6310C" w:rsidRDefault="73F1CA6C" w14:paraId="3B3CCE79" w14:textId="6C5C49D8">
      <w:pPr>
        <w:spacing w:before="240" w:after="240" w:line="360" w:lineRule="auto"/>
        <w:jc w:val="both"/>
      </w:pPr>
      <w:r w:rsidR="73F1CA6C">
        <w:rPr/>
        <w:t xml:space="preserve">Implementation of the recommended strategy requires Tesla to balance innovation, affordability, profitability, and stakeholder responsibility. The </w:t>
      </w:r>
      <w:r w:rsidR="73F1CA6C">
        <w:rPr/>
        <w:t>organisation</w:t>
      </w:r>
      <w:r w:rsidR="73F1CA6C">
        <w:rPr/>
        <w:t xml:space="preserve"> must reduce costs through operational improvement rather than excessive price competition, strengthen supply-chain resilience through sustainable sourcing and recycling initiatives, and maintain differentiation by expanding beyond vehicle manufacturing into software, artificial intelligence, and renewable</w:t>
      </w:r>
      <w:r w:rsidR="73F1CA6C">
        <w:rPr/>
        <w:t xml:space="preserve"> energy </w:t>
      </w:r>
      <w:r w:rsidR="73F1CA6C">
        <w:rPr/>
        <w:t>solutions</w:t>
      </w:r>
      <w:r w:rsidR="168CEDC3">
        <w:rPr/>
        <w:t xml:space="preserve"> (Eckhouse, 2025; Steiber, 2017; Tesla, 2026)</w:t>
      </w:r>
      <w:r w:rsidR="73F1CA6C">
        <w:rPr/>
        <w:t>.</w:t>
      </w:r>
    </w:p>
    <w:p w:rsidRPr="00743BE9" w:rsidR="73F1CA6C" w:rsidP="00B6310C" w:rsidRDefault="73F1CA6C" w14:paraId="1D9F19F1" w14:textId="504E8150">
      <w:pPr>
        <w:spacing w:before="240" w:after="240" w:line="360" w:lineRule="auto"/>
        <w:jc w:val="both"/>
      </w:pPr>
      <w:r w:rsidR="73F1CA6C">
        <w:rPr/>
        <w:t>Overall, Tesla’s future success depends on transitioning from an</w:t>
      </w:r>
      <w:r w:rsidR="73F1CA6C">
        <w:rPr/>
        <w:t xml:space="preserve"> innovation</w:t>
      </w:r>
      <w:r w:rsidR="73F1CA6C">
        <w:rPr/>
        <w:t>-led EV manufacturer into a scalable sustainable mobility ecosystem</w:t>
      </w:r>
      <w:r w:rsidR="04FCEB87">
        <w:rPr/>
        <w:t xml:space="preserve"> (Tesla, 2023; Wheeler, 2025).</w:t>
      </w:r>
      <w:r w:rsidR="73F1CA6C">
        <w:rPr/>
        <w:t xml:space="preserve">. A hybrid differentiation strategy supported by selective cost leadership provides the most </w:t>
      </w:r>
      <w:r w:rsidR="73F1CA6C">
        <w:rPr/>
        <w:t>appropriate strategic</w:t>
      </w:r>
      <w:r w:rsidR="73F1CA6C">
        <w:rPr/>
        <w:t xml:space="preserve"> direction because it combines Tesla’s existing strengths with the capabilities </w:t>
      </w:r>
      <w:r w:rsidR="73F1CA6C">
        <w:rPr/>
        <w:t>required</w:t>
      </w:r>
      <w:r w:rsidR="73F1CA6C">
        <w:rPr/>
        <w:t xml:space="preserve"> to address future industry challenges. The </w:t>
      </w:r>
      <w:r w:rsidR="73F1CA6C">
        <w:rPr/>
        <w:t>SAFe</w:t>
      </w:r>
      <w:r w:rsidR="73F1CA6C">
        <w:rPr/>
        <w:t xml:space="preserve"> evaluation </w:t>
      </w:r>
      <w:r w:rsidR="73F1CA6C">
        <w:rPr/>
        <w:t>demonstrates</w:t>
      </w:r>
      <w:r w:rsidR="73F1CA6C">
        <w:rPr/>
        <w:t xml:space="preserve"> that the strategy is suitable for current market conditions, acceptable to key stakeholders, and </w:t>
      </w:r>
      <w:r w:rsidR="73F1CA6C">
        <w:rPr/>
        <w:t>feasible</w:t>
      </w:r>
      <w:r w:rsidR="73F1CA6C">
        <w:rPr/>
        <w:t xml:space="preserve"> based on Tesla’s resources and capabilities. However, achieving sustainable competitive advantage will depend on effective implementation, stronger governance, and continuous adaptation within an increasingly competitive EV industry.</w:t>
      </w:r>
    </w:p>
    <w:p w:rsidRPr="00743BE9" w:rsidR="1EB35E9B" w:rsidP="00B6310C" w:rsidRDefault="1EB35E9B" w14:paraId="761940CA" w14:textId="6771D52B">
      <w:pPr>
        <w:spacing w:line="360" w:lineRule="auto"/>
        <w:jc w:val="both"/>
      </w:pPr>
    </w:p>
    <w:p w:rsidR="719A5CB7" w:rsidP="3A68F3DD" w:rsidRDefault="719A5CB7" w14:paraId="0AAD09BF" w14:textId="576D8BBB">
      <w:pPr>
        <w:pStyle w:val="Heading2"/>
        <w:spacing w:line="360" w:lineRule="auto"/>
        <w:rPr>
          <w:rFonts w:ascii="Arial" w:hAnsi="Arial" w:eastAsia="ＭＳ 明朝" w:cs="Arial" w:asciiTheme="minorAscii" w:hAnsiTheme="minorAscii" w:eastAsiaTheme="minorEastAsia" w:cstheme="minorBidi"/>
          <w:b w:val="1"/>
          <w:bCs w:val="1"/>
          <w:sz w:val="28"/>
          <w:szCs w:val="28"/>
          <w:lang w:val="en-GB"/>
        </w:rPr>
      </w:pPr>
      <w:bookmarkStart w:name="_Toc186753355" w:id="1622548080"/>
      <w:r w:rsidRPr="3A68F3DD" w:rsidR="2090A6F6">
        <w:rPr>
          <w:rFonts w:ascii="Arial" w:hAnsi="Arial" w:eastAsia="ＭＳ 明朝" w:cs="Arial" w:asciiTheme="minorAscii" w:hAnsiTheme="minorAscii" w:eastAsiaTheme="minorEastAsia" w:cstheme="minorBidi"/>
          <w:b w:val="1"/>
          <w:bCs w:val="1"/>
          <w:sz w:val="28"/>
          <w:szCs w:val="28"/>
          <w:lang w:val="en-GB"/>
        </w:rPr>
        <w:t xml:space="preserve">6. </w:t>
      </w:r>
      <w:r w:rsidRPr="3A68F3DD" w:rsidR="719A5CB7">
        <w:rPr>
          <w:rFonts w:ascii="Arial" w:hAnsi="Arial" w:eastAsia="ＭＳ 明朝" w:cs="Arial" w:asciiTheme="minorAscii" w:hAnsiTheme="minorAscii" w:eastAsiaTheme="minorEastAsia" w:cstheme="minorBidi"/>
          <w:b w:val="1"/>
          <w:bCs w:val="1"/>
          <w:sz w:val="28"/>
          <w:szCs w:val="28"/>
          <w:lang w:val="en-GB"/>
        </w:rPr>
        <w:t>Reflective Account Using Gibbs’ Reflective Cycle</w:t>
      </w:r>
      <w:bookmarkEnd w:id="1622548080"/>
    </w:p>
    <w:p w:rsidR="719A5CB7" w:rsidP="3A68F3DD" w:rsidRDefault="719A5CB7" w14:paraId="2958769C" w14:textId="3DD75CB7">
      <w:pPr>
        <w:pStyle w:val="Normal"/>
        <w:rPr>
          <w:rFonts w:ascii="Arial" w:hAnsi="Arial" w:eastAsia="ＭＳ 明朝" w:cs="Arial" w:asciiTheme="minorAscii" w:hAnsiTheme="minorAscii" w:eastAsiaTheme="minorEastAsia" w:cstheme="minorBidi"/>
          <w:b w:val="1"/>
          <w:bCs w:val="1"/>
          <w:sz w:val="24"/>
          <w:szCs w:val="24"/>
          <w:lang w:val="en-GB"/>
        </w:rPr>
      </w:pPr>
      <w:r w:rsidRPr="3A68F3DD" w:rsidR="719A5CB7">
        <w:rPr>
          <w:b w:val="1"/>
          <w:bCs w:val="1"/>
          <w:lang w:val="en-GB"/>
        </w:rPr>
        <w:t>1. Description</w:t>
      </w:r>
    </w:p>
    <w:p w:rsidR="719A5CB7" w:rsidP="3A68F3DD" w:rsidRDefault="719A5CB7" w14:paraId="7E9E16B2" w14:textId="60D5D427">
      <w:pPr>
        <w:pStyle w:val="Normal"/>
        <w:spacing w:before="240" w:after="240" w:line="360" w:lineRule="auto"/>
        <w:jc w:val="both"/>
      </w:pPr>
      <w:r w:rsidRPr="3A68F3DD" w:rsidR="719A5CB7">
        <w:rPr>
          <w:lang w:val="en-GB"/>
        </w:rPr>
        <w:t>The process of researching, analysing, and preparing this strategic management report involved critically evaluating Tesla, Inc.’s strategic position within the United States EV market</w:t>
      </w:r>
      <w:r w:rsidRPr="3A68F3DD" w:rsidR="14DC726E">
        <w:rPr>
          <w:lang w:val="en-GB"/>
        </w:rPr>
        <w:t xml:space="preserve"> </w:t>
      </w:r>
      <w:r w:rsidR="14DC726E">
        <w:rPr/>
        <w:t>(Li, 2024;</w:t>
      </w:r>
      <w:r w:rsidRPr="3A68F3DD" w:rsidR="14DC726E">
        <w:rPr>
          <w:rFonts w:ascii="Arial" w:hAnsi="Arial" w:eastAsia="Arial" w:cs="Arial"/>
          <w:noProof w:val="0"/>
          <w:sz w:val="24"/>
          <w:szCs w:val="24"/>
          <w:lang w:val="en-US"/>
        </w:rPr>
        <w:t xml:space="preserve"> Steiber, 2017; Tesla, 2026</w:t>
      </w:r>
      <w:r w:rsidR="14DC726E">
        <w:rPr/>
        <w:t>)</w:t>
      </w:r>
      <w:r w:rsidRPr="3A68F3DD" w:rsidR="719A5CB7">
        <w:rPr>
          <w:lang w:val="en-GB"/>
        </w:rPr>
        <w:t xml:space="preserve">. The assignment required me to adopt the role of a strategic management consultant by applying academic frameworks to assess Tesla’s external environment, internal capabilities, strategic choices, and long-term competitive position. Frameworks including PESTEL, VRIO, SWOT, Balanced Scorecard, CSR theory, </w:t>
      </w:r>
      <w:r w:rsidRPr="3A68F3DD" w:rsidR="719A5CB7">
        <w:rPr>
          <w:lang w:val="en-GB"/>
        </w:rPr>
        <w:t>Ansoff</w:t>
      </w:r>
      <w:r w:rsidRPr="3A68F3DD" w:rsidR="719A5CB7">
        <w:rPr>
          <w:lang w:val="en-GB"/>
        </w:rPr>
        <w:t xml:space="preserve">’s Matrix, and the </w:t>
      </w:r>
      <w:r w:rsidRPr="3A68F3DD" w:rsidR="719A5CB7">
        <w:rPr>
          <w:lang w:val="en-GB"/>
        </w:rPr>
        <w:t>SAFe</w:t>
      </w:r>
      <w:r w:rsidRPr="3A68F3DD" w:rsidR="719A5CB7">
        <w:rPr>
          <w:lang w:val="en-GB"/>
        </w:rPr>
        <w:t xml:space="preserve"> framework supported the development of evidence-based recommendations</w:t>
      </w:r>
      <w:r w:rsidRPr="3A68F3DD" w:rsidR="10413490">
        <w:rPr>
          <w:lang w:val="en-GB"/>
        </w:rPr>
        <w:t xml:space="preserve"> </w:t>
      </w:r>
      <w:r w:rsidRPr="3A68F3DD" w:rsidR="259F3687">
        <w:rPr>
          <w:lang w:val="en-GB"/>
        </w:rPr>
        <w:t>(Hako, 1972; Richard et al., 2009).</w:t>
      </w:r>
    </w:p>
    <w:p w:rsidR="005A87AB" w:rsidP="2FD94E73" w:rsidRDefault="719A5CB7" w14:paraId="50303C79" w14:textId="6C5144A2">
      <w:pPr>
        <w:spacing w:before="240" w:after="240" w:line="360" w:lineRule="auto"/>
        <w:jc w:val="both"/>
        <w:rPr>
          <w:lang w:val="en-GB"/>
        </w:rPr>
      </w:pPr>
      <w:r w:rsidRPr="0F196A1B">
        <w:rPr>
          <w:lang w:val="en-GB"/>
        </w:rPr>
        <w:t>Initially, I considered analysing alternative organisations to improve originality. However, after reviewing available information, I selected Tesla due to the accessibility and quality of secondary data, including corporate reports, sustainability publications, government sources, industry research, and academic literature. Through this process, I recognised that originality at postgraduate level is not achieved through selecting an uncommon organisation but through demonstrating critical analysis, strategic judgement, and the ability to synthesise evidence from multiple perspectives.</w:t>
      </w:r>
    </w:p>
    <w:p w:rsidRPr="00743BE9" w:rsidR="000D3B2C" w:rsidP="3A68F3DD" w:rsidRDefault="000D3B2C" w14:paraId="37D917A1" w14:textId="5E517CAB">
      <w:pPr>
        <w:pStyle w:val="Normal"/>
        <w:rPr>
          <w:rFonts w:ascii="Arial" w:hAnsi="Arial" w:eastAsia="ＭＳ 明朝" w:cs="Arial" w:asciiTheme="minorAscii" w:hAnsiTheme="minorAscii" w:eastAsiaTheme="minorEastAsia" w:cstheme="minorBidi"/>
          <w:b w:val="1"/>
          <w:bCs w:val="1"/>
          <w:sz w:val="24"/>
          <w:szCs w:val="24"/>
          <w:lang w:val="en-GB"/>
        </w:rPr>
      </w:pPr>
      <w:r w:rsidRPr="3A68F3DD" w:rsidR="000D3B2C">
        <w:rPr>
          <w:b w:val="1"/>
          <w:bCs w:val="1"/>
          <w:lang w:val="en-GB"/>
        </w:rPr>
        <w:t>Feelings</w:t>
      </w:r>
    </w:p>
    <w:p w:rsidR="77ABB886" w:rsidP="2FD94E73" w:rsidRDefault="77ABB886" w14:paraId="06A9C436" w14:textId="75548F93">
      <w:pPr>
        <w:spacing w:before="240" w:after="240" w:line="360" w:lineRule="auto"/>
        <w:jc w:val="both"/>
        <w:rPr>
          <w:lang w:val="en-GB"/>
        </w:rPr>
      </w:pPr>
      <w:r w:rsidRPr="0F196A1B">
        <w:rPr>
          <w:lang w:val="en-GB"/>
        </w:rPr>
        <w:t>At the beginning of the assignment, I felt uncertain about selecting Tesla because it is a highly researched organisation. I was concerned that producing original insights would be challenging due to the extensive information already available. Furthermore, the volume of data initially appeared overwhelming, making it difficult to identify the most strategically relevant information.</w:t>
      </w:r>
    </w:p>
    <w:p w:rsidR="6B82FF33" w:rsidP="2FD94E73" w:rsidRDefault="77ABB886" w14:paraId="26C394EA" w14:textId="15A3CF14">
      <w:pPr>
        <w:spacing w:before="240" w:after="240" w:line="360" w:lineRule="auto"/>
        <w:jc w:val="both"/>
        <w:rPr>
          <w:lang w:val="en-GB"/>
        </w:rPr>
      </w:pPr>
      <w:r w:rsidRPr="0F196A1B">
        <w:rPr>
          <w:lang w:val="en-GB"/>
        </w:rPr>
        <w:t xml:space="preserve">As the module progressed, my confidence improved through lecturer feedback, classroom discussions, and practical activities. I developed a clearer understanding that strategic management requires more than describing organisational activities; it involves evaluating strategic effectiveness, identifying risks, and assessing whether competitive advantages can be sustained. Feedback from my lecturer encouraged me to move away </w:t>
      </w:r>
      <w:r w:rsidRPr="0F196A1B">
        <w:rPr>
          <w:lang w:val="en-GB"/>
        </w:rPr>
        <w:lastRenderedPageBreak/>
        <w:t>from descriptive analysis and focus more on critical evaluation, particularly regarding whether Tesla’s resources, capabilities, and strategies would remain valuable in a changing market.</w:t>
      </w:r>
    </w:p>
    <w:p w:rsidRPr="00743BE9" w:rsidR="000D3B2C" w:rsidP="3A68F3DD" w:rsidRDefault="000D3B2C" w14:paraId="05940222" w14:textId="45D4C1A8">
      <w:pPr>
        <w:pStyle w:val="Normal"/>
        <w:rPr>
          <w:rFonts w:ascii="Arial" w:hAnsi="Arial" w:eastAsia="ＭＳ 明朝" w:cs="Arial" w:asciiTheme="minorAscii" w:hAnsiTheme="minorAscii" w:eastAsiaTheme="minorEastAsia" w:cstheme="minorBidi"/>
          <w:b w:val="1"/>
          <w:bCs w:val="1"/>
          <w:sz w:val="24"/>
          <w:szCs w:val="24"/>
          <w:lang w:val="en-GB"/>
        </w:rPr>
      </w:pPr>
      <w:r w:rsidRPr="3A68F3DD" w:rsidR="000D3B2C">
        <w:rPr>
          <w:b w:val="1"/>
          <w:bCs w:val="1"/>
          <w:lang w:val="en-GB"/>
        </w:rPr>
        <w:t>Evaluation</w:t>
      </w:r>
    </w:p>
    <w:p w:rsidR="5B7F8577" w:rsidP="2FD94E73" w:rsidRDefault="5B7F8577" w14:paraId="75E5EFC7" w14:textId="084758B2">
      <w:pPr>
        <w:spacing w:before="240" w:after="240" w:line="360" w:lineRule="auto"/>
        <w:jc w:val="both"/>
        <w:rPr>
          <w:lang w:val="en-GB"/>
        </w:rPr>
      </w:pPr>
      <w:r w:rsidRPr="3A68F3DD" w:rsidR="5B7F8577">
        <w:rPr>
          <w:lang w:val="en-GB"/>
        </w:rPr>
        <w:t xml:space="preserve">A key strength of this assignment was the opportunity to integrate independent research with academic theory and continuous feedback. Throughout the process, I improved my ability to apply strategic frameworks analytically rather than simply presenting information. Initially, I viewed tools such as PESTEL and </w:t>
      </w:r>
      <w:r w:rsidRPr="3A68F3DD" w:rsidR="5B7F8577">
        <w:rPr>
          <w:lang w:val="en-GB"/>
        </w:rPr>
        <w:t>SWOT</w:t>
      </w:r>
      <w:r w:rsidRPr="3A68F3DD" w:rsidR="5B7F8577">
        <w:rPr>
          <w:lang w:val="en-GB"/>
        </w:rPr>
        <w:t xml:space="preserve"> </w:t>
      </w:r>
      <w:r w:rsidRPr="3A68F3DD" w:rsidR="5B7F8577">
        <w:rPr>
          <w:lang w:val="en-GB"/>
        </w:rPr>
        <w:t>mainly as</w:t>
      </w:r>
      <w:r w:rsidRPr="3A68F3DD" w:rsidR="5B7F8577">
        <w:rPr>
          <w:lang w:val="en-GB"/>
        </w:rPr>
        <w:t xml:space="preserve"> methods for organising data</w:t>
      </w:r>
      <w:r w:rsidRPr="3A68F3DD" w:rsidR="60304258">
        <w:rPr>
          <w:lang w:val="en-GB"/>
        </w:rPr>
        <w:t xml:space="preserve"> (CIPD, 2025)</w:t>
      </w:r>
      <w:r w:rsidRPr="3A68F3DD" w:rsidR="5B7F8577">
        <w:rPr>
          <w:lang w:val="en-GB"/>
        </w:rPr>
        <w:t xml:space="preserve">. However, I learned that their value lies in </w:t>
      </w:r>
      <w:r w:rsidRPr="3A68F3DD" w:rsidR="5B7F8577">
        <w:rPr>
          <w:lang w:val="en-GB"/>
        </w:rPr>
        <w:t>identifying</w:t>
      </w:r>
      <w:r w:rsidRPr="3A68F3DD" w:rsidR="5B7F8577">
        <w:rPr>
          <w:lang w:val="en-GB"/>
        </w:rPr>
        <w:t xml:space="preserve"> strategic implications and supporting evidence-based decision-making.</w:t>
      </w:r>
    </w:p>
    <w:p w:rsidR="5B7F8577" w:rsidP="3A68F3DD" w:rsidRDefault="5B7F8577" w14:paraId="7FE15304" w14:textId="53246C5E">
      <w:pPr>
        <w:pStyle w:val="Normal"/>
        <w:spacing w:before="240" w:after="240" w:line="360" w:lineRule="auto"/>
        <w:jc w:val="both"/>
        <w:rPr>
          <w:lang w:val="en-GB"/>
        </w:rPr>
      </w:pPr>
      <w:r w:rsidRPr="3A68F3DD" w:rsidR="5B7F8577">
        <w:rPr>
          <w:lang w:val="en-GB"/>
        </w:rPr>
        <w:t xml:space="preserve">For example, the VRIO analysis </w:t>
      </w:r>
      <w:r w:rsidRPr="3A68F3DD" w:rsidR="5B7F8577">
        <w:rPr>
          <w:lang w:val="en-GB"/>
        </w:rPr>
        <w:t>demonstrated</w:t>
      </w:r>
      <w:r w:rsidRPr="3A68F3DD" w:rsidR="5B7F8577">
        <w:rPr>
          <w:lang w:val="en-GB"/>
        </w:rPr>
        <w:t xml:space="preserve"> that Tesla </w:t>
      </w:r>
      <w:r w:rsidRPr="3A68F3DD" w:rsidR="5B7F8577">
        <w:rPr>
          <w:lang w:val="en-GB"/>
        </w:rPr>
        <w:t>possesses</w:t>
      </w:r>
      <w:r w:rsidRPr="3A68F3DD" w:rsidR="5B7F8577">
        <w:rPr>
          <w:lang w:val="en-GB"/>
        </w:rPr>
        <w:t xml:space="preserve"> valuable resources, including technological capability, brand reputation, and ecosystem integration. However, further evaluation highlighted that these advantages may become increasingly contestable as competitors invest in EV technology, artificial intelligence, and software development. Similarly, my understanding of </w:t>
      </w:r>
      <w:r w:rsidRPr="3A68F3DD" w:rsidR="5B7F8577">
        <w:rPr>
          <w:lang w:val="en-GB"/>
        </w:rPr>
        <w:t>CSR</w:t>
      </w:r>
      <w:r w:rsidRPr="3A68F3DD" w:rsidR="5B7F8577">
        <w:rPr>
          <w:lang w:val="en-GB"/>
        </w:rPr>
        <w:t xml:space="preserve"> developed from viewing sustainability primarily as an environmental issue to recognising the importance of stakeholder management, governance, ethical supply chains, and ESG performance in </w:t>
      </w:r>
      <w:r w:rsidRPr="3A68F3DD" w:rsidR="5B7F8577">
        <w:rPr>
          <w:lang w:val="en-GB"/>
        </w:rPr>
        <w:t>maintaining</w:t>
      </w:r>
      <w:r w:rsidRPr="3A68F3DD" w:rsidR="5B7F8577">
        <w:rPr>
          <w:lang w:val="en-GB"/>
        </w:rPr>
        <w:t xml:space="preserve"> long-term competitive advantage</w:t>
      </w:r>
      <w:r w:rsidRPr="3A68F3DD" w:rsidR="11464908">
        <w:rPr>
          <w:lang w:val="en-GB"/>
        </w:rPr>
        <w:t xml:space="preserve"> </w:t>
      </w:r>
      <w:r w:rsidRPr="3A68F3DD" w:rsidR="4E5D712C">
        <w:rPr>
          <w:rFonts w:ascii="Arial" w:hAnsi="Arial" w:eastAsia="Arial" w:cs="Arial"/>
          <w:noProof w:val="0"/>
          <w:sz w:val="24"/>
          <w:szCs w:val="24"/>
          <w:lang w:val="en-GB"/>
        </w:rPr>
        <w:t>(</w:t>
      </w:r>
      <w:r w:rsidR="0ECC4BE0">
        <w:rPr/>
        <w:t xml:space="preserve">Steiber, 2017; Tesla, 2026; </w:t>
      </w:r>
      <w:r w:rsidRPr="3A68F3DD" w:rsidR="4E5D712C">
        <w:rPr>
          <w:rFonts w:ascii="Arial" w:hAnsi="Arial" w:eastAsia="Arial" w:cs="Arial"/>
          <w:noProof w:val="0"/>
          <w:sz w:val="24"/>
          <w:szCs w:val="24"/>
          <w:lang w:val="en-GB"/>
        </w:rPr>
        <w:t>Tesla, 2023)</w:t>
      </w:r>
      <w:r w:rsidRPr="3A68F3DD" w:rsidR="5B7F8577">
        <w:rPr>
          <w:lang w:val="en-GB"/>
        </w:rPr>
        <w:t>.</w:t>
      </w:r>
    </w:p>
    <w:p w:rsidR="48BA83CB" w:rsidP="2FD94E73" w:rsidRDefault="5B7F8577" w14:paraId="54A254C0" w14:textId="2F0F7D28">
      <w:pPr>
        <w:spacing w:before="240" w:after="240" w:line="360" w:lineRule="auto"/>
        <w:jc w:val="both"/>
        <w:rPr>
          <w:lang w:val="en-GB"/>
        </w:rPr>
      </w:pPr>
      <w:r w:rsidRPr="0F196A1B">
        <w:rPr>
          <w:lang w:val="en-GB"/>
        </w:rPr>
        <w:t>The feedback received throughout the module also improved the structure and coherence of the report. I learned to create stronger links between analytical frameworks, ensuring that the external analysis informed the internal evaluation and that both supported the final strategic recommendations. This strengthened the consultancy approach of the report by ensuring conclusions were based on evidence rather than assumptions.</w:t>
      </w:r>
    </w:p>
    <w:p w:rsidRPr="00743BE9" w:rsidR="000D3B2C" w:rsidP="3A68F3DD" w:rsidRDefault="000D3B2C" w14:paraId="0A6B8010" w14:textId="16916CBE">
      <w:pPr>
        <w:pStyle w:val="Normal"/>
        <w:rPr>
          <w:rFonts w:ascii="Arial" w:hAnsi="Arial" w:eastAsia="ＭＳ 明朝" w:cs="Arial" w:asciiTheme="minorAscii" w:hAnsiTheme="minorAscii" w:eastAsiaTheme="minorEastAsia" w:cstheme="minorBidi"/>
          <w:b w:val="1"/>
          <w:bCs w:val="1"/>
          <w:sz w:val="24"/>
          <w:szCs w:val="24"/>
          <w:lang w:val="en-GB"/>
        </w:rPr>
      </w:pPr>
      <w:r w:rsidRPr="3A68F3DD" w:rsidR="000D3B2C">
        <w:rPr>
          <w:b w:val="1"/>
          <w:bCs w:val="1"/>
          <w:lang w:val="en-GB"/>
        </w:rPr>
        <w:t>Analysis</w:t>
      </w:r>
    </w:p>
    <w:p w:rsidR="51356C18" w:rsidP="2FD94E73" w:rsidRDefault="51356C18" w14:paraId="6D44CFDF" w14:textId="4C9F587E">
      <w:pPr>
        <w:spacing w:before="240" w:after="240" w:line="360" w:lineRule="auto"/>
        <w:jc w:val="both"/>
        <w:rPr>
          <w:lang w:val="en-GB"/>
        </w:rPr>
      </w:pPr>
      <w:r w:rsidRPr="0F196A1B">
        <w:rPr>
          <w:lang w:val="en-GB"/>
        </w:rPr>
        <w:t>Completing this assignment enhanced my understanding of strategic management as an integrated decision-making process rather than a collection of separate analytical models. I learned that frameworks provide structure, but effective strategic management requires interpretation, judgement, and consideration of organisational context.</w:t>
      </w:r>
    </w:p>
    <w:p w:rsidR="51356C18" w:rsidP="2FD94E73" w:rsidRDefault="51356C18" w14:paraId="1FE59638" w14:textId="1ACFEDBB">
      <w:pPr>
        <w:spacing w:before="240" w:after="240" w:line="360" w:lineRule="auto"/>
        <w:jc w:val="both"/>
        <w:rPr>
          <w:lang w:val="en-GB"/>
        </w:rPr>
      </w:pPr>
      <w:r w:rsidRPr="0F196A1B">
        <w:rPr>
          <w:lang w:val="en-GB"/>
        </w:rPr>
        <w:lastRenderedPageBreak/>
        <w:t>The combination of research, feedback, and classroom learning strengthened my ability to evaluate how external pressures, such as regulation, technological disruption, sustainability expectations, and competitive rivalry, interact with internal resources to influence organisational performance. A significant learning outcome was developing a consultancy mindset by analysing Tesla from the perspective of senior decision-makers who must balance innovation, profitability, stakeholder expectations, and long-term sustainability.</w:t>
      </w:r>
    </w:p>
    <w:p w:rsidR="457CADE7" w:rsidP="2FD94E73" w:rsidRDefault="51356C18" w14:paraId="1E73012F" w14:textId="776F8560">
      <w:pPr>
        <w:spacing w:before="240" w:after="240" w:line="360" w:lineRule="auto"/>
        <w:jc w:val="both"/>
        <w:rPr>
          <w:lang w:val="en-GB"/>
        </w:rPr>
      </w:pPr>
      <w:r w:rsidRPr="0F196A1B">
        <w:rPr>
          <w:lang w:val="en-GB"/>
        </w:rPr>
        <w:t>This approach improved my ability to develop realistic recommendations by considering implementation challenges rather than focusing only on strategic opportunities. I also developed transferable skills in synthesising complex information, evaluating competing priorities, and communicating evidence-based recommendations, which are valuable for future leadership and management roles.</w:t>
      </w:r>
    </w:p>
    <w:p w:rsidR="49514558" w:rsidP="3A68F3DD" w:rsidRDefault="49514558" w14:paraId="75BD99AC" w14:textId="7A2CDF29">
      <w:pPr>
        <w:pStyle w:val="Normal"/>
        <w:rPr>
          <w:rFonts w:ascii="Arial" w:hAnsi="Arial" w:eastAsia="ＭＳ 明朝" w:cs="Arial" w:asciiTheme="minorAscii" w:hAnsiTheme="minorAscii" w:eastAsiaTheme="minorEastAsia" w:cstheme="minorBidi"/>
          <w:b w:val="1"/>
          <w:bCs w:val="1"/>
          <w:sz w:val="24"/>
          <w:szCs w:val="24"/>
          <w:lang w:val="en-GB"/>
        </w:rPr>
      </w:pPr>
      <w:r w:rsidRPr="3A68F3DD" w:rsidR="49514558">
        <w:rPr>
          <w:b w:val="1"/>
          <w:bCs w:val="1"/>
          <w:lang w:val="en-GB"/>
        </w:rPr>
        <w:t>Conclusion and Action Plan</w:t>
      </w:r>
    </w:p>
    <w:p w:rsidR="49514558" w:rsidP="2FD94E73" w:rsidRDefault="49514558" w14:paraId="6E4F7A57" w14:textId="12E0EA3D">
      <w:pPr>
        <w:spacing w:before="240" w:after="240" w:line="360" w:lineRule="auto"/>
        <w:jc w:val="both"/>
        <w:rPr>
          <w:lang w:val="en-GB"/>
        </w:rPr>
      </w:pPr>
      <w:r w:rsidRPr="0F196A1B">
        <w:rPr>
          <w:lang w:val="en-GB"/>
        </w:rPr>
        <w:t>Overall, this assignment strengthened my ability to conduct independent strategic analysis by combining academic theory with real-world business evidence. I developed a more critical understanding that competitive advantage is dynamic and requires continuous reinforcement through innovation, operational efficiency, effective governance, and strategic adaptation.</w:t>
      </w:r>
    </w:p>
    <w:p w:rsidR="49514558" w:rsidP="2FD94E73" w:rsidRDefault="49514558" w14:paraId="4DE30F1D" w14:textId="5F1721B5">
      <w:pPr>
        <w:spacing w:before="240" w:after="240" w:line="360" w:lineRule="auto"/>
        <w:jc w:val="both"/>
        <w:rPr>
          <w:lang w:val="en-GB"/>
        </w:rPr>
      </w:pPr>
      <w:r w:rsidRPr="0F196A1B">
        <w:rPr>
          <w:lang w:val="en-GB"/>
        </w:rPr>
        <w:t>For future assignments and professional development, I intend to strengthen my research approach by increasing the use of peer-reviewed academic literature alongside corporate and industry sources. I also aim to incorporate greater quantitative analysis, particularly financial and operational measures, to support strategic recommendations with measurable evidence.</w:t>
      </w:r>
    </w:p>
    <w:p w:rsidR="49514558" w:rsidP="2FD94E73" w:rsidRDefault="49514558" w14:paraId="07DAE0E2" w14:textId="0F388222">
      <w:pPr>
        <w:spacing w:before="240" w:after="240" w:line="360" w:lineRule="auto"/>
        <w:jc w:val="both"/>
        <w:rPr>
          <w:lang w:val="en-GB"/>
        </w:rPr>
      </w:pPr>
      <w:r w:rsidRPr="0F196A1B">
        <w:rPr>
          <w:lang w:val="en-GB"/>
        </w:rPr>
        <w:t>Additionally, I will continue developing my critical evaluation skills by recognising the limitations of strategic frameworks and adapting them appropriately to different organisational contexts. From a professional perspective, I will continue building the consultancy mindset developed through this module by improving my ability to assess evidence, balance stakeholder interests, and recommend practical solutions.</w:t>
      </w:r>
    </w:p>
    <w:p w:rsidR="7413D2C1" w:rsidP="2FD94E73" w:rsidRDefault="49514558" w14:paraId="2FB07B4C" w14:textId="5397CC37">
      <w:pPr>
        <w:spacing w:before="240" w:after="240" w:line="360" w:lineRule="auto"/>
        <w:jc w:val="both"/>
        <w:rPr>
          <w:lang w:val="en-GB"/>
        </w:rPr>
      </w:pPr>
      <w:r w:rsidRPr="0F196A1B">
        <w:rPr>
          <w:lang w:val="en-GB"/>
        </w:rPr>
        <w:lastRenderedPageBreak/>
        <w:t>Overall, this reflective process has demonstrated that effective strategic management requires continuous learning, critical judgement, evidence-based decision-making, and the ability to translate theoretical concepts into practical organisational strategies.</w:t>
      </w:r>
    </w:p>
    <w:p w:rsidRPr="00743BE9" w:rsidR="145AC16E" w:rsidP="00B6310C" w:rsidRDefault="145AC16E" w14:paraId="3AE17C11" w14:textId="7B381489">
      <w:pPr>
        <w:spacing w:line="360" w:lineRule="auto"/>
      </w:pPr>
    </w:p>
    <w:p w:rsidRPr="00743BE9" w:rsidR="145AC16E" w:rsidP="00B6310C" w:rsidRDefault="145AC16E" w14:paraId="5117544A" w14:textId="3BB5CD7A">
      <w:pPr>
        <w:spacing w:line="360" w:lineRule="auto"/>
      </w:pPr>
    </w:p>
    <w:p w:rsidR="3A68F3DD" w:rsidP="3A68F3DD" w:rsidRDefault="3A68F3DD" w14:paraId="62D2CB60" w14:textId="3E299FFC">
      <w:pPr>
        <w:pStyle w:val="Normal"/>
        <w:spacing w:line="360" w:lineRule="auto"/>
      </w:pPr>
    </w:p>
    <w:p w:rsidR="3A68F3DD" w:rsidP="3A68F3DD" w:rsidRDefault="3A68F3DD" w14:paraId="39A09A85" w14:textId="431B6889">
      <w:pPr>
        <w:pStyle w:val="Normal"/>
        <w:spacing w:line="360" w:lineRule="auto"/>
      </w:pPr>
    </w:p>
    <w:p w:rsidR="3A68F3DD" w:rsidP="3A68F3DD" w:rsidRDefault="3A68F3DD" w14:paraId="4FBDD5D2" w14:textId="45CA1F0C">
      <w:pPr>
        <w:pStyle w:val="Normal"/>
        <w:spacing w:line="360" w:lineRule="auto"/>
      </w:pPr>
    </w:p>
    <w:p w:rsidR="3A68F3DD" w:rsidP="3A68F3DD" w:rsidRDefault="3A68F3DD" w14:paraId="5340DADF" w14:textId="7D7C04F1">
      <w:pPr>
        <w:pStyle w:val="Normal"/>
        <w:spacing w:line="360" w:lineRule="auto"/>
      </w:pPr>
    </w:p>
    <w:p w:rsidR="3A68F3DD" w:rsidP="3A68F3DD" w:rsidRDefault="3A68F3DD" w14:paraId="3F8FF3B2" w14:textId="3C1850C0">
      <w:pPr>
        <w:pStyle w:val="Normal"/>
        <w:spacing w:line="360" w:lineRule="auto"/>
      </w:pPr>
    </w:p>
    <w:p w:rsidR="3A68F3DD" w:rsidP="3A68F3DD" w:rsidRDefault="3A68F3DD" w14:paraId="57F0A3B4" w14:textId="2FA4D9D3">
      <w:pPr>
        <w:pStyle w:val="Normal"/>
        <w:spacing w:line="360" w:lineRule="auto"/>
      </w:pPr>
    </w:p>
    <w:p w:rsidR="3A68F3DD" w:rsidP="3A68F3DD" w:rsidRDefault="3A68F3DD" w14:paraId="1B9D2B64" w14:textId="68235ECF">
      <w:pPr>
        <w:pStyle w:val="Normal"/>
        <w:spacing w:line="360" w:lineRule="auto"/>
      </w:pPr>
    </w:p>
    <w:p w:rsidR="3A68F3DD" w:rsidP="3A68F3DD" w:rsidRDefault="3A68F3DD" w14:paraId="6D3C6175" w14:textId="3DA42147">
      <w:pPr>
        <w:pStyle w:val="Normal"/>
        <w:spacing w:line="360" w:lineRule="auto"/>
      </w:pPr>
    </w:p>
    <w:p w:rsidR="3A68F3DD" w:rsidP="3A68F3DD" w:rsidRDefault="3A68F3DD" w14:paraId="21BD4C04" w14:textId="2A26F7A6">
      <w:pPr>
        <w:pStyle w:val="Normal"/>
        <w:spacing w:line="360" w:lineRule="auto"/>
      </w:pPr>
    </w:p>
    <w:p w:rsidR="3A68F3DD" w:rsidP="3A68F3DD" w:rsidRDefault="3A68F3DD" w14:paraId="3BD8D70D" w14:textId="2B0E91BD">
      <w:pPr>
        <w:pStyle w:val="Normal"/>
        <w:spacing w:line="360" w:lineRule="auto"/>
      </w:pPr>
    </w:p>
    <w:p w:rsidR="3A68F3DD" w:rsidP="3A68F3DD" w:rsidRDefault="3A68F3DD" w14:paraId="2029871E" w14:textId="3CCEBDD4">
      <w:pPr>
        <w:pStyle w:val="Normal"/>
        <w:spacing w:line="360" w:lineRule="auto"/>
      </w:pPr>
    </w:p>
    <w:p w:rsidR="3A68F3DD" w:rsidP="3A68F3DD" w:rsidRDefault="3A68F3DD" w14:paraId="6769AD55" w14:textId="46A357DA">
      <w:pPr>
        <w:pStyle w:val="Normal"/>
        <w:spacing w:line="360" w:lineRule="auto"/>
      </w:pPr>
    </w:p>
    <w:p w:rsidR="3A68F3DD" w:rsidP="3A68F3DD" w:rsidRDefault="3A68F3DD" w14:paraId="1ABBFDCD" w14:textId="0CFBC36D">
      <w:pPr>
        <w:pStyle w:val="Normal"/>
        <w:spacing w:line="360" w:lineRule="auto"/>
      </w:pPr>
    </w:p>
    <w:p w:rsidRPr="00743BE9" w:rsidR="50D05E9E" w:rsidP="3A68F3DD" w:rsidRDefault="407B257D" w14:paraId="7B3CA3C8" w14:textId="4E099819">
      <w:pPr>
        <w:pStyle w:val="Heading2"/>
        <w:spacing w:line="360" w:lineRule="auto"/>
        <w:rPr>
          <w:rFonts w:ascii="Arial" w:hAnsi="Arial" w:eastAsia="Arial" w:cs="Arial" w:asciiTheme="minorAscii" w:hAnsiTheme="minorAscii" w:eastAsiaTheme="minorAscii" w:cstheme="minorAscii"/>
          <w:b w:val="1"/>
          <w:bCs w:val="1"/>
          <w:sz w:val="28"/>
          <w:szCs w:val="28"/>
        </w:rPr>
      </w:pPr>
      <w:bookmarkStart w:name="_Toc1790588896" w:id="839230527"/>
      <w:r w:rsidRPr="3A68F3DD" w:rsidR="476BEF37">
        <w:rPr>
          <w:rFonts w:ascii="Arial" w:hAnsi="Arial" w:eastAsia="Arial" w:cs="Arial" w:asciiTheme="minorAscii" w:hAnsiTheme="minorAscii" w:eastAsiaTheme="minorAscii" w:cstheme="minorAscii"/>
          <w:b w:val="1"/>
          <w:bCs w:val="1"/>
          <w:sz w:val="28"/>
          <w:szCs w:val="28"/>
        </w:rPr>
        <w:t xml:space="preserve">6. </w:t>
      </w:r>
      <w:r w:rsidRPr="3A68F3DD" w:rsidR="407B257D">
        <w:rPr>
          <w:rFonts w:ascii="Arial" w:hAnsi="Arial" w:eastAsia="Arial" w:cs="Arial" w:asciiTheme="minorAscii" w:hAnsiTheme="minorAscii" w:eastAsiaTheme="minorAscii" w:cstheme="minorAscii"/>
          <w:b w:val="1"/>
          <w:bCs w:val="1"/>
          <w:sz w:val="28"/>
          <w:szCs w:val="28"/>
        </w:rPr>
        <w:t>Reference</w:t>
      </w:r>
      <w:bookmarkEnd w:id="839230527"/>
    </w:p>
    <w:p w:rsidR="700C68DF" w:rsidP="700C68DF" w:rsidRDefault="700C68DF" w14:paraId="346BE712" w14:textId="7F83C5A3">
      <w:pPr>
        <w:spacing w:after="0"/>
      </w:pPr>
    </w:p>
    <w:p w:rsidR="3D1CC0A4" w:rsidP="3A68F3DD" w:rsidRDefault="3D1CC0A4" w14:paraId="0BF858B2" w14:textId="040A89A4">
      <w:pPr>
        <w:spacing w:before="0" w:beforeAutospacing="off" w:after="240" w:afterAutospacing="off" w:line="360" w:lineRule="auto"/>
      </w:pPr>
      <w:r w:rsidRPr="3A68F3DD" w:rsidR="18DE9132">
        <w:rPr>
          <w:rFonts w:ascii="Arial" w:hAnsi="Arial" w:eastAsia="Arial" w:cs="Arial"/>
          <w:noProof w:val="0"/>
          <w:sz w:val="24"/>
          <w:szCs w:val="24"/>
          <w:lang w:val="en-US"/>
        </w:rPr>
        <w:t xml:space="preserve">Alger, M., </w:t>
      </w:r>
      <w:r w:rsidRPr="3A68F3DD" w:rsidR="18DE9132">
        <w:rPr>
          <w:rFonts w:ascii="Arial" w:hAnsi="Arial" w:eastAsia="Arial" w:cs="Arial"/>
          <w:noProof w:val="0"/>
          <w:sz w:val="24"/>
          <w:szCs w:val="24"/>
          <w:lang w:val="en-US"/>
        </w:rPr>
        <w:t>Velegol</w:t>
      </w:r>
      <w:r w:rsidRPr="3A68F3DD" w:rsidR="18DE9132">
        <w:rPr>
          <w:rFonts w:ascii="Arial" w:hAnsi="Arial" w:eastAsia="Arial" w:cs="Arial"/>
          <w:noProof w:val="0"/>
          <w:sz w:val="24"/>
          <w:szCs w:val="24"/>
          <w:lang w:val="en-US"/>
        </w:rPr>
        <w:t xml:space="preserve">, D. and Shi, R. (2021). Sustainable energy corps: Building a global collaboration to accelerate transition to a low carbon world. </w:t>
      </w:r>
      <w:r w:rsidRPr="3A68F3DD" w:rsidR="18DE9132">
        <w:rPr>
          <w:rFonts w:ascii="Arial" w:hAnsi="Arial" w:eastAsia="Arial" w:cs="Arial"/>
          <w:i w:val="1"/>
          <w:iCs w:val="1"/>
          <w:noProof w:val="0"/>
          <w:sz w:val="24"/>
          <w:szCs w:val="24"/>
          <w:lang w:val="en-US"/>
        </w:rPr>
        <w:t xml:space="preserve">Chemical Engineering Science: </w:t>
      </w:r>
      <w:r w:rsidRPr="3A68F3DD" w:rsidR="25656AB6">
        <w:rPr>
          <w:rFonts w:ascii="Arial" w:hAnsi="Arial" w:eastAsia="Arial" w:cs="Arial"/>
          <w:i w:val="1"/>
          <w:iCs w:val="1"/>
          <w:noProof w:val="0"/>
          <w:sz w:val="24"/>
          <w:szCs w:val="24"/>
          <w:lang w:val="en-US"/>
        </w:rPr>
        <w:t>X, 10</w:t>
      </w:r>
      <w:r w:rsidRPr="3A68F3DD" w:rsidR="18DE9132">
        <w:rPr>
          <w:rFonts w:ascii="Arial" w:hAnsi="Arial" w:eastAsia="Arial" w:cs="Arial"/>
          <w:noProof w:val="0"/>
          <w:sz w:val="24"/>
          <w:szCs w:val="24"/>
          <w:lang w:val="en-US"/>
        </w:rPr>
        <w:t xml:space="preserve">(100099), p.100099. </w:t>
      </w:r>
      <w:r>
        <w:fldChar w:fldCharType="begin"/>
      </w:r>
      <w:r>
        <w:instrText xml:space="preserve">HYPERLINK "https://doi:10.1016/j.cesx.2021.100099" </w:instrText>
      </w:r>
      <w:r>
        <w:fldChar w:fldCharType="separate"/>
      </w:r>
      <w:r w:rsidRPr="3A68F3DD" w:rsidR="733415E6">
        <w:rPr>
          <w:rStyle w:val="Hyperlink"/>
          <w:noProof w:val="0"/>
          <w:lang w:val="en-US"/>
        </w:rPr>
        <w:t>https://</w:t>
      </w:r>
      <w:r w:rsidRPr="3A68F3DD" w:rsidR="18DE9132">
        <w:rPr>
          <w:rStyle w:val="Hyperlink"/>
          <w:noProof w:val="0"/>
          <w:lang w:val="en-US"/>
        </w:rPr>
        <w:t>doi:10.1016/j.cesx.2021.100099</w:t>
      </w:r>
      <w:r>
        <w:fldChar w:fldCharType="end"/>
      </w:r>
      <w:r w:rsidRPr="3A68F3DD" w:rsidR="18DE9132">
        <w:rPr>
          <w:rFonts w:ascii="Arial" w:hAnsi="Arial" w:eastAsia="Arial" w:cs="Arial"/>
          <w:noProof w:val="0"/>
          <w:sz w:val="24"/>
          <w:szCs w:val="24"/>
          <w:lang w:val="en-US"/>
        </w:rPr>
        <w:t>.</w:t>
      </w:r>
      <w:r w:rsidRPr="3A68F3DD" w:rsidR="3A4A42E2">
        <w:rPr>
          <w:rFonts w:ascii="Arial" w:hAnsi="Arial" w:eastAsia="Arial" w:cs="Arial"/>
          <w:noProof w:val="0"/>
          <w:sz w:val="24"/>
          <w:szCs w:val="24"/>
          <w:lang w:val="en-US"/>
        </w:rPr>
        <w:t xml:space="preserve"> </w:t>
      </w:r>
    </w:p>
    <w:p w:rsidR="3D1CC0A4" w:rsidP="3A68F3DD" w:rsidRDefault="3D1CC0A4" w14:paraId="68B2443E" w14:textId="29F91282">
      <w:pPr>
        <w:spacing w:before="0" w:beforeAutospacing="off" w:after="240" w:afterAutospacing="off" w:line="360" w:lineRule="auto"/>
      </w:pPr>
      <w:r w:rsidRPr="3A68F3DD" w:rsidR="18DE9132">
        <w:rPr>
          <w:rFonts w:ascii="Arial" w:hAnsi="Arial" w:eastAsia="Arial" w:cs="Arial"/>
          <w:noProof w:val="0"/>
          <w:sz w:val="24"/>
          <w:szCs w:val="24"/>
          <w:lang w:val="en-US"/>
        </w:rPr>
        <w:t>Almansour, M. (2022). Electric vehicles (EV) and sustainability: Consumer response to twin transition, the role of e-</w:t>
      </w:r>
      <w:r w:rsidRPr="3A68F3DD" w:rsidR="18DE9132">
        <w:rPr>
          <w:rFonts w:ascii="Arial" w:hAnsi="Arial" w:eastAsia="Arial" w:cs="Arial"/>
          <w:noProof w:val="0"/>
          <w:sz w:val="24"/>
          <w:szCs w:val="24"/>
          <w:lang w:val="en-US"/>
        </w:rPr>
        <w:t>businesses</w:t>
      </w:r>
      <w:r w:rsidRPr="3A68F3DD" w:rsidR="18DE9132">
        <w:rPr>
          <w:rFonts w:ascii="Arial" w:hAnsi="Arial" w:eastAsia="Arial" w:cs="Arial"/>
          <w:noProof w:val="0"/>
          <w:sz w:val="24"/>
          <w:szCs w:val="24"/>
          <w:lang w:val="en-US"/>
        </w:rPr>
        <w:t xml:space="preserve"> and digital marketing. </w:t>
      </w:r>
      <w:r w:rsidRPr="3A68F3DD" w:rsidR="18DE9132">
        <w:rPr>
          <w:rFonts w:ascii="Arial" w:hAnsi="Arial" w:eastAsia="Arial" w:cs="Arial"/>
          <w:i w:val="1"/>
          <w:iCs w:val="1"/>
          <w:noProof w:val="0"/>
          <w:sz w:val="24"/>
          <w:szCs w:val="24"/>
          <w:lang w:val="en-US"/>
        </w:rPr>
        <w:t>Technology in society</w:t>
      </w:r>
      <w:r w:rsidRPr="3A68F3DD" w:rsidR="18DE9132">
        <w:rPr>
          <w:rFonts w:ascii="Arial" w:hAnsi="Arial" w:eastAsia="Arial" w:cs="Arial"/>
          <w:noProof w:val="0"/>
          <w:sz w:val="24"/>
          <w:szCs w:val="24"/>
          <w:lang w:val="en-US"/>
        </w:rPr>
        <w:t xml:space="preserve">,  71, p.102135. </w:t>
      </w:r>
      <w:r>
        <w:fldChar w:fldCharType="begin"/>
      </w:r>
      <w:r>
        <w:instrText xml:space="preserve">HYPERLINK "https://doi:10.1016/j.techsoc.2022.102135" </w:instrText>
      </w:r>
      <w:r>
        <w:fldChar w:fldCharType="separate"/>
      </w:r>
      <w:r w:rsidRPr="3A68F3DD" w:rsidR="2E3885F9">
        <w:rPr>
          <w:rStyle w:val="Hyperlink"/>
          <w:noProof w:val="0"/>
          <w:lang w:val="en-US"/>
        </w:rPr>
        <w:t>https://</w:t>
      </w:r>
      <w:r w:rsidRPr="3A68F3DD" w:rsidR="18DE9132">
        <w:rPr>
          <w:rStyle w:val="Hyperlink"/>
          <w:noProof w:val="0"/>
          <w:lang w:val="en-US"/>
        </w:rPr>
        <w:t>doi:10.1016/j.techsoc.2022.102135</w:t>
      </w:r>
      <w:r>
        <w:fldChar w:fldCharType="end"/>
      </w:r>
      <w:r w:rsidRPr="3A68F3DD" w:rsidR="18DE9132">
        <w:rPr>
          <w:rFonts w:ascii="Arial" w:hAnsi="Arial" w:eastAsia="Arial" w:cs="Arial"/>
          <w:noProof w:val="0"/>
          <w:sz w:val="24"/>
          <w:szCs w:val="24"/>
          <w:lang w:val="en-US"/>
        </w:rPr>
        <w:t>.</w:t>
      </w:r>
      <w:r w:rsidRPr="3A68F3DD" w:rsidR="5A8841BB">
        <w:rPr>
          <w:rFonts w:ascii="Arial" w:hAnsi="Arial" w:eastAsia="Arial" w:cs="Arial"/>
          <w:noProof w:val="0"/>
          <w:sz w:val="24"/>
          <w:szCs w:val="24"/>
          <w:lang w:val="en-US"/>
        </w:rPr>
        <w:t xml:space="preserve"> </w:t>
      </w:r>
    </w:p>
    <w:p w:rsidR="3D1CC0A4" w:rsidP="3A68F3DD" w:rsidRDefault="3D1CC0A4" w14:paraId="4D147C25" w14:textId="1DEBE686">
      <w:pPr>
        <w:spacing w:before="0" w:beforeAutospacing="off" w:after="240" w:afterAutospacing="off" w:line="360" w:lineRule="auto"/>
      </w:pPr>
      <w:r w:rsidRPr="3A68F3DD" w:rsidR="18DE9132">
        <w:rPr>
          <w:rFonts w:ascii="Arial" w:hAnsi="Arial" w:eastAsia="Arial" w:cs="Arial"/>
          <w:noProof w:val="0"/>
          <w:sz w:val="24"/>
          <w:szCs w:val="24"/>
          <w:lang w:val="en-US"/>
        </w:rPr>
        <w:t xml:space="preserve">Barney, J. (1991). Firm Resources and Sustained Competitive Advantage. </w:t>
      </w:r>
      <w:r w:rsidRPr="3A68F3DD" w:rsidR="18DE9132">
        <w:rPr>
          <w:rFonts w:ascii="Arial" w:hAnsi="Arial" w:eastAsia="Arial" w:cs="Arial"/>
          <w:i w:val="1"/>
          <w:iCs w:val="1"/>
          <w:noProof w:val="0"/>
          <w:sz w:val="24"/>
          <w:szCs w:val="24"/>
          <w:lang w:val="en-US"/>
        </w:rPr>
        <w:t>Journal of Management</w:t>
      </w:r>
      <w:r w:rsidRPr="3A68F3DD" w:rsidR="18DE9132">
        <w:rPr>
          <w:rFonts w:ascii="Arial" w:hAnsi="Arial" w:eastAsia="Arial" w:cs="Arial"/>
          <w:noProof w:val="0"/>
          <w:sz w:val="24"/>
          <w:szCs w:val="24"/>
          <w:lang w:val="en-US"/>
        </w:rPr>
        <w:t xml:space="preserve">, 17(1), pp.99–120. </w:t>
      </w:r>
      <w:r>
        <w:fldChar w:fldCharType="begin"/>
      </w:r>
      <w:r>
        <w:instrText xml:space="preserve">HYPERLINK "https://doi:10.1177/014920639101700108" </w:instrText>
      </w:r>
      <w:r>
        <w:fldChar w:fldCharType="separate"/>
      </w:r>
      <w:r w:rsidRPr="3A68F3DD" w:rsidR="27A01816">
        <w:rPr>
          <w:rStyle w:val="Hyperlink"/>
          <w:noProof w:val="0"/>
          <w:lang w:val="en-US"/>
        </w:rPr>
        <w:t>https://</w:t>
      </w:r>
      <w:r w:rsidRPr="3A68F3DD" w:rsidR="18DE9132">
        <w:rPr>
          <w:rStyle w:val="Hyperlink"/>
          <w:noProof w:val="0"/>
          <w:lang w:val="en-US"/>
        </w:rPr>
        <w:t>doi:10.1177/014920639101700108</w:t>
      </w:r>
      <w:r>
        <w:fldChar w:fldCharType="end"/>
      </w:r>
      <w:r w:rsidRPr="3A68F3DD" w:rsidR="18DE9132">
        <w:rPr>
          <w:rFonts w:ascii="Arial" w:hAnsi="Arial" w:eastAsia="Arial" w:cs="Arial"/>
          <w:noProof w:val="0"/>
          <w:sz w:val="24"/>
          <w:szCs w:val="24"/>
          <w:lang w:val="en-US"/>
        </w:rPr>
        <w:t>.</w:t>
      </w:r>
      <w:r w:rsidRPr="3A68F3DD" w:rsidR="0A03753A">
        <w:rPr>
          <w:rFonts w:ascii="Arial" w:hAnsi="Arial" w:eastAsia="Arial" w:cs="Arial"/>
          <w:noProof w:val="0"/>
          <w:sz w:val="24"/>
          <w:szCs w:val="24"/>
          <w:lang w:val="en-US"/>
        </w:rPr>
        <w:t xml:space="preserve"> </w:t>
      </w:r>
    </w:p>
    <w:p w:rsidR="3D1CC0A4" w:rsidP="3A68F3DD" w:rsidRDefault="3D1CC0A4" w14:paraId="60EDB091" w14:textId="58D0F8DB">
      <w:pPr>
        <w:spacing w:before="0" w:beforeAutospacing="off" w:after="240" w:afterAutospacing="off" w:line="360" w:lineRule="auto"/>
      </w:pPr>
      <w:r w:rsidRPr="3A68F3DD" w:rsidR="18DE9132">
        <w:rPr>
          <w:rFonts w:ascii="Arial" w:hAnsi="Arial" w:eastAsia="Arial" w:cs="Arial"/>
          <w:noProof w:val="0"/>
          <w:sz w:val="24"/>
          <w:szCs w:val="24"/>
          <w:lang w:val="en-US"/>
        </w:rPr>
        <w:t xml:space="preserve">Carroll, A.B. (1991). The pyramid of corporate social responsibility: Toward the moral management of organizational stakeholders. </w:t>
      </w:r>
      <w:r w:rsidRPr="3A68F3DD" w:rsidR="18DE9132">
        <w:rPr>
          <w:rFonts w:ascii="Arial" w:hAnsi="Arial" w:eastAsia="Arial" w:cs="Arial"/>
          <w:i w:val="1"/>
          <w:iCs w:val="1"/>
          <w:noProof w:val="0"/>
          <w:sz w:val="24"/>
          <w:szCs w:val="24"/>
          <w:lang w:val="en-US"/>
        </w:rPr>
        <w:t xml:space="preserve">Business </w:t>
      </w:r>
      <w:r w:rsidRPr="3A68F3DD" w:rsidR="18DE9132">
        <w:rPr>
          <w:rFonts w:ascii="Arial" w:hAnsi="Arial" w:eastAsia="Arial" w:cs="Arial"/>
          <w:i w:val="1"/>
          <w:iCs w:val="1"/>
          <w:noProof w:val="0"/>
          <w:sz w:val="24"/>
          <w:szCs w:val="24"/>
          <w:lang w:val="en-US"/>
        </w:rPr>
        <w:t>horizons</w:t>
      </w:r>
      <w:r w:rsidRPr="3A68F3DD" w:rsidR="18DE9132">
        <w:rPr>
          <w:rFonts w:ascii="Arial" w:hAnsi="Arial" w:eastAsia="Arial" w:cs="Arial"/>
          <w:noProof w:val="0"/>
          <w:sz w:val="24"/>
          <w:szCs w:val="24"/>
          <w:lang w:val="en-US"/>
        </w:rPr>
        <w:t xml:space="preserve">, 34(4), pp.39–48. </w:t>
      </w:r>
      <w:hyperlink r:id="Rdf98e98c8a174e15">
        <w:r w:rsidRPr="3A68F3DD" w:rsidR="18DE9132">
          <w:rPr>
            <w:rStyle w:val="Hyperlink"/>
            <w:noProof w:val="0"/>
            <w:lang w:val="en-US"/>
          </w:rPr>
          <w:t>https://doi.org/10.1016/0007-6813(91)90005-G</w:t>
        </w:r>
      </w:hyperlink>
      <w:r w:rsidRPr="3A68F3DD" w:rsidR="18DE9132">
        <w:rPr>
          <w:rFonts w:ascii="Arial" w:hAnsi="Arial" w:eastAsia="Arial" w:cs="Arial"/>
          <w:noProof w:val="0"/>
          <w:sz w:val="24"/>
          <w:szCs w:val="24"/>
          <w:lang w:val="en-US"/>
        </w:rPr>
        <w:t>.</w:t>
      </w:r>
      <w:r w:rsidRPr="3A68F3DD" w:rsidR="737347CA">
        <w:rPr>
          <w:rFonts w:ascii="Arial" w:hAnsi="Arial" w:eastAsia="Arial" w:cs="Arial"/>
          <w:noProof w:val="0"/>
          <w:sz w:val="24"/>
          <w:szCs w:val="24"/>
          <w:lang w:val="en-US"/>
        </w:rPr>
        <w:t xml:space="preserve"> </w:t>
      </w:r>
    </w:p>
    <w:p w:rsidR="3D1CC0A4" w:rsidP="3A68F3DD" w:rsidRDefault="3D1CC0A4" w14:paraId="4207D7FE" w14:textId="2AB72CA2">
      <w:pPr>
        <w:spacing w:before="0" w:beforeAutospacing="off" w:after="240" w:afterAutospacing="off" w:line="360" w:lineRule="auto"/>
      </w:pPr>
      <w:r w:rsidRPr="3A68F3DD" w:rsidR="18DE9132">
        <w:rPr>
          <w:rFonts w:ascii="Arial" w:hAnsi="Arial" w:eastAsia="Arial" w:cs="Arial"/>
          <w:noProof w:val="0"/>
          <w:sz w:val="24"/>
          <w:szCs w:val="24"/>
          <w:lang w:val="en-US"/>
        </w:rPr>
        <w:t xml:space="preserve">Christopher, P. (2026). </w:t>
      </w:r>
      <w:r w:rsidRPr="3A68F3DD" w:rsidR="18DE9132">
        <w:rPr>
          <w:rFonts w:ascii="Arial" w:hAnsi="Arial" w:eastAsia="Arial" w:cs="Arial"/>
          <w:i w:val="1"/>
          <w:iCs w:val="1"/>
          <w:noProof w:val="0"/>
          <w:sz w:val="24"/>
          <w:szCs w:val="24"/>
          <w:lang w:val="en-US"/>
        </w:rPr>
        <w:t>Shibboleth Authentication Request</w:t>
      </w:r>
      <w:r w:rsidRPr="3A68F3DD" w:rsidR="18DE9132">
        <w:rPr>
          <w:rFonts w:ascii="Arial" w:hAnsi="Arial" w:eastAsia="Arial" w:cs="Arial"/>
          <w:noProof w:val="0"/>
          <w:sz w:val="24"/>
          <w:szCs w:val="24"/>
          <w:lang w:val="en-US"/>
        </w:rPr>
        <w:t xml:space="preserve">. Oclc.org. Available at: </w:t>
      </w:r>
      <w:hyperlink r:id="R9ac35819ef034847">
        <w:r w:rsidRPr="3A68F3DD" w:rsidR="18DE9132">
          <w:rPr>
            <w:rStyle w:val="Hyperlink"/>
            <w:noProof w:val="0"/>
            <w:lang w:val="en-US"/>
          </w:rPr>
          <w:t>https://www-proquest-com.uwtsd.idm.oclc.org/scholarly-journals/leadership-development-applied-comparison-gibbs/docview/2093309202/se-2?accountid=130472</w:t>
        </w:r>
      </w:hyperlink>
      <w:r w:rsidRPr="3A68F3DD" w:rsidR="18DE9132">
        <w:rPr>
          <w:rFonts w:ascii="Arial" w:hAnsi="Arial" w:eastAsia="Arial" w:cs="Arial"/>
          <w:noProof w:val="0"/>
          <w:sz w:val="24"/>
          <w:szCs w:val="24"/>
          <w:lang w:val="en-US"/>
        </w:rPr>
        <w:t xml:space="preserve"> </w:t>
      </w:r>
      <w:r w:rsidRPr="3A68F3DD" w:rsidR="7A4B8198">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16 July 2026</w:t>
      </w:r>
      <w:r w:rsidRPr="3A68F3DD" w:rsidR="4D601FD3">
        <w:rPr>
          <w:rFonts w:ascii="Arial" w:hAnsi="Arial" w:eastAsia="Arial" w:cs="Arial"/>
          <w:noProof w:val="0"/>
          <w:sz w:val="24"/>
          <w:szCs w:val="24"/>
          <w:lang w:val="en-US"/>
        </w:rPr>
        <w:t>).</w:t>
      </w:r>
    </w:p>
    <w:p w:rsidR="3D1CC0A4" w:rsidP="3A68F3DD" w:rsidRDefault="3D1CC0A4" w14:paraId="0192B57B" w14:textId="565BBBC3">
      <w:pPr>
        <w:spacing w:before="0" w:beforeAutospacing="off" w:after="240" w:afterAutospacing="off" w:line="360" w:lineRule="auto"/>
      </w:pPr>
      <w:r w:rsidRPr="3A68F3DD" w:rsidR="18DE9132">
        <w:rPr>
          <w:rFonts w:ascii="Arial" w:hAnsi="Arial" w:eastAsia="Arial" w:cs="Arial"/>
          <w:noProof w:val="0"/>
          <w:sz w:val="24"/>
          <w:szCs w:val="24"/>
          <w:lang w:val="en-US"/>
        </w:rPr>
        <w:t xml:space="preserve">Chua, K.P. (2025). Integrating sustainable innovation into corporate strategy. </w:t>
      </w:r>
      <w:r w:rsidRPr="3A68F3DD" w:rsidR="18DE9132">
        <w:rPr>
          <w:rFonts w:ascii="Arial" w:hAnsi="Arial" w:eastAsia="Arial" w:cs="Arial"/>
          <w:i w:val="1"/>
          <w:iCs w:val="1"/>
          <w:noProof w:val="0"/>
          <w:sz w:val="24"/>
          <w:szCs w:val="24"/>
          <w:lang w:val="en-US"/>
        </w:rPr>
        <w:t xml:space="preserve">International </w:t>
      </w:r>
      <w:r w:rsidRPr="3A68F3DD" w:rsidR="18DE9132">
        <w:rPr>
          <w:rFonts w:ascii="Arial" w:hAnsi="Arial" w:eastAsia="Arial" w:cs="Arial"/>
          <w:i w:val="1"/>
          <w:iCs w:val="1"/>
          <w:noProof w:val="0"/>
          <w:sz w:val="24"/>
          <w:szCs w:val="24"/>
          <w:lang w:val="en-US"/>
        </w:rPr>
        <w:t>journal</w:t>
      </w:r>
      <w:r w:rsidRPr="3A68F3DD" w:rsidR="18DE9132">
        <w:rPr>
          <w:rFonts w:ascii="Arial" w:hAnsi="Arial" w:eastAsia="Arial" w:cs="Arial"/>
          <w:i w:val="1"/>
          <w:iCs w:val="1"/>
          <w:noProof w:val="0"/>
          <w:sz w:val="24"/>
          <w:szCs w:val="24"/>
          <w:lang w:val="en-US"/>
        </w:rPr>
        <w:t xml:space="preserve"> of </w:t>
      </w:r>
      <w:r w:rsidRPr="3A68F3DD" w:rsidR="18DE9132">
        <w:rPr>
          <w:rFonts w:ascii="Arial" w:hAnsi="Arial" w:eastAsia="Arial" w:cs="Arial"/>
          <w:i w:val="1"/>
          <w:iCs w:val="1"/>
          <w:noProof w:val="0"/>
          <w:sz w:val="24"/>
          <w:szCs w:val="24"/>
          <w:lang w:val="en-US"/>
        </w:rPr>
        <w:t>Public</w:t>
      </w:r>
      <w:r w:rsidRPr="3A68F3DD" w:rsidR="18DE9132">
        <w:rPr>
          <w:rFonts w:ascii="Arial" w:hAnsi="Arial" w:eastAsia="Arial" w:cs="Arial"/>
          <w:i w:val="1"/>
          <w:iCs w:val="1"/>
          <w:noProof w:val="0"/>
          <w:sz w:val="24"/>
          <w:szCs w:val="24"/>
          <w:lang w:val="en-US"/>
        </w:rPr>
        <w:t xml:space="preserve"> </w:t>
      </w:r>
      <w:r w:rsidRPr="3A68F3DD" w:rsidR="18DE9132">
        <w:rPr>
          <w:rFonts w:ascii="Arial" w:hAnsi="Arial" w:eastAsia="Arial" w:cs="Arial"/>
          <w:i w:val="1"/>
          <w:iCs w:val="1"/>
          <w:noProof w:val="0"/>
          <w:sz w:val="24"/>
          <w:szCs w:val="24"/>
          <w:lang w:val="en-US"/>
        </w:rPr>
        <w:t>administration management</w:t>
      </w:r>
      <w:r w:rsidRPr="3A68F3DD" w:rsidR="18DE9132">
        <w:rPr>
          <w:rFonts w:ascii="Arial" w:hAnsi="Arial" w:eastAsia="Arial" w:cs="Arial"/>
          <w:i w:val="1"/>
          <w:iCs w:val="1"/>
          <w:noProof w:val="0"/>
          <w:sz w:val="24"/>
          <w:szCs w:val="24"/>
          <w:lang w:val="en-US"/>
        </w:rPr>
        <w:t xml:space="preserve"> and </w:t>
      </w:r>
      <w:r w:rsidRPr="3A68F3DD" w:rsidR="18DE9132">
        <w:rPr>
          <w:rFonts w:ascii="Arial" w:hAnsi="Arial" w:eastAsia="Arial" w:cs="Arial"/>
          <w:i w:val="1"/>
          <w:iCs w:val="1"/>
          <w:noProof w:val="0"/>
          <w:sz w:val="24"/>
          <w:szCs w:val="24"/>
          <w:lang w:val="en-US"/>
        </w:rPr>
        <w:t>economic development</w:t>
      </w:r>
      <w:r w:rsidRPr="3A68F3DD" w:rsidR="18DE9132">
        <w:rPr>
          <w:rFonts w:ascii="Arial" w:hAnsi="Arial" w:eastAsia="Arial" w:cs="Arial"/>
          <w:noProof w:val="0"/>
          <w:sz w:val="24"/>
          <w:szCs w:val="24"/>
          <w:lang w:val="en-US"/>
        </w:rPr>
        <w:t xml:space="preserve">,  9(2). </w:t>
      </w:r>
      <w:r>
        <w:fldChar w:fldCharType="begin"/>
      </w:r>
      <w:r>
        <w:instrText xml:space="preserve">HYPERLINK "https://doi:10.60026/ijpamed.v9i2.203" </w:instrText>
      </w:r>
      <w:r>
        <w:fldChar w:fldCharType="separate"/>
      </w:r>
      <w:r w:rsidRPr="3A68F3DD" w:rsidR="4F6CAEAA">
        <w:rPr>
          <w:rStyle w:val="Hyperlink"/>
          <w:noProof w:val="0"/>
          <w:lang w:val="en-US"/>
        </w:rPr>
        <w:t>https://</w:t>
      </w:r>
      <w:r w:rsidRPr="3A68F3DD" w:rsidR="18DE9132">
        <w:rPr>
          <w:rStyle w:val="Hyperlink"/>
          <w:noProof w:val="0"/>
          <w:lang w:val="en-US"/>
        </w:rPr>
        <w:t>doi:10.60026/ijpamed.v9i2.203</w:t>
      </w:r>
      <w:r>
        <w:fldChar w:fldCharType="end"/>
      </w:r>
      <w:r w:rsidRPr="3A68F3DD" w:rsidR="18DE9132">
        <w:rPr>
          <w:rFonts w:ascii="Arial" w:hAnsi="Arial" w:eastAsia="Arial" w:cs="Arial"/>
          <w:noProof w:val="0"/>
          <w:sz w:val="24"/>
          <w:szCs w:val="24"/>
          <w:lang w:val="en-US"/>
        </w:rPr>
        <w:t>.</w:t>
      </w:r>
      <w:r w:rsidRPr="3A68F3DD" w:rsidR="5BE92322">
        <w:rPr>
          <w:rFonts w:ascii="Arial" w:hAnsi="Arial" w:eastAsia="Arial" w:cs="Arial"/>
          <w:noProof w:val="0"/>
          <w:sz w:val="24"/>
          <w:szCs w:val="24"/>
          <w:lang w:val="en-US"/>
        </w:rPr>
        <w:t xml:space="preserve"> </w:t>
      </w:r>
    </w:p>
    <w:p w:rsidR="3D1CC0A4" w:rsidP="3A68F3DD" w:rsidRDefault="3D1CC0A4" w14:paraId="4D03163B" w14:textId="39264DD5">
      <w:pPr>
        <w:spacing w:before="0" w:beforeAutospacing="off" w:after="240" w:afterAutospacing="off" w:line="360" w:lineRule="auto"/>
        <w:rPr>
          <w:rFonts w:ascii="Arial" w:hAnsi="Arial" w:eastAsia="Arial" w:cs="Arial"/>
          <w:noProof w:val="0"/>
          <w:sz w:val="24"/>
          <w:szCs w:val="24"/>
          <w:lang w:val="en-US"/>
        </w:rPr>
      </w:pPr>
      <w:r w:rsidRPr="3A68F3DD" w:rsidR="18DE9132">
        <w:rPr>
          <w:rFonts w:ascii="Arial" w:hAnsi="Arial" w:eastAsia="Arial" w:cs="Arial"/>
          <w:noProof w:val="0"/>
          <w:sz w:val="24"/>
          <w:szCs w:val="24"/>
          <w:lang w:val="en-US"/>
        </w:rPr>
        <w:t xml:space="preserve">CIPD (2025). </w:t>
      </w:r>
      <w:r w:rsidRPr="3A68F3DD" w:rsidR="18DE9132">
        <w:rPr>
          <w:rFonts w:ascii="Arial" w:hAnsi="Arial" w:eastAsia="Arial" w:cs="Arial"/>
          <w:i w:val="1"/>
          <w:iCs w:val="1"/>
          <w:noProof w:val="0"/>
          <w:sz w:val="24"/>
          <w:szCs w:val="24"/>
          <w:lang w:val="en-US"/>
        </w:rPr>
        <w:t>SWOT analysis</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CIPD</w:t>
      </w:r>
      <w:r w:rsidRPr="3A68F3DD" w:rsidR="18DE9132">
        <w:rPr>
          <w:rFonts w:ascii="Arial" w:hAnsi="Arial" w:eastAsia="Arial" w:cs="Arial"/>
          <w:noProof w:val="0"/>
          <w:sz w:val="24"/>
          <w:szCs w:val="24"/>
          <w:lang w:val="en-US"/>
        </w:rPr>
        <w:t xml:space="preserve">. Available at: </w:t>
      </w:r>
      <w:hyperlink r:id="R80ab269582c44328">
        <w:r w:rsidRPr="3A68F3DD" w:rsidR="18DE9132">
          <w:rPr>
            <w:rStyle w:val="Hyperlink"/>
            <w:noProof w:val="0"/>
            <w:lang w:val="en-US"/>
          </w:rPr>
          <w:t>https://www.cipd.org/uk/knowledge/factsheets/swot-analysis-factsheet/</w:t>
        </w:r>
      </w:hyperlink>
      <w:r w:rsidRPr="3A68F3DD" w:rsidR="18DE9132">
        <w:rPr>
          <w:rFonts w:ascii="Arial" w:hAnsi="Arial" w:eastAsia="Arial" w:cs="Arial"/>
          <w:noProof w:val="0"/>
          <w:sz w:val="24"/>
          <w:szCs w:val="24"/>
          <w:lang w:val="en-US"/>
        </w:rPr>
        <w:t xml:space="preserve"> </w:t>
      </w:r>
      <w:r w:rsidRPr="3A68F3DD" w:rsidR="525A56A0">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3DF057CD">
        <w:rPr>
          <w:rFonts w:ascii="Arial" w:hAnsi="Arial" w:eastAsia="Arial" w:cs="Arial"/>
          <w:noProof w:val="0"/>
          <w:sz w:val="24"/>
          <w:szCs w:val="24"/>
          <w:lang w:val="en-US"/>
        </w:rPr>
        <w:t>).</w:t>
      </w:r>
    </w:p>
    <w:p w:rsidR="3D1CC0A4" w:rsidP="3A68F3DD" w:rsidRDefault="3D1CC0A4" w14:paraId="1EB896B9" w14:textId="3038C9B2">
      <w:pPr>
        <w:spacing w:before="0" w:beforeAutospacing="off" w:after="240" w:afterAutospacing="off" w:line="360" w:lineRule="auto"/>
      </w:pPr>
      <w:r w:rsidRPr="3A68F3DD" w:rsidR="18DE9132">
        <w:rPr>
          <w:rFonts w:ascii="Arial" w:hAnsi="Arial" w:eastAsia="Arial" w:cs="Arial"/>
          <w:noProof w:val="0"/>
          <w:sz w:val="24"/>
          <w:szCs w:val="24"/>
          <w:lang w:val="en-US"/>
        </w:rPr>
        <w:t xml:space="preserve">Eckhouse, G. (2025). Performing energy: The International Energy Agency and the conflicting imaginaries of capitalist energy transition. </w:t>
      </w:r>
      <w:r w:rsidRPr="3A68F3DD" w:rsidR="18DE9132">
        <w:rPr>
          <w:rFonts w:ascii="Arial" w:hAnsi="Arial" w:eastAsia="Arial" w:cs="Arial"/>
          <w:i w:val="1"/>
          <w:iCs w:val="1"/>
          <w:noProof w:val="0"/>
          <w:sz w:val="24"/>
          <w:szCs w:val="24"/>
          <w:lang w:val="en-US"/>
        </w:rPr>
        <w:t>New Political Economy</w:t>
      </w:r>
      <w:r w:rsidRPr="3A68F3DD" w:rsidR="18DE9132">
        <w:rPr>
          <w:rFonts w:ascii="Arial" w:hAnsi="Arial" w:eastAsia="Arial" w:cs="Arial"/>
          <w:noProof w:val="0"/>
          <w:sz w:val="24"/>
          <w:szCs w:val="24"/>
          <w:lang w:val="en-US"/>
        </w:rPr>
        <w:t>, 30(5), pp</w:t>
      </w:r>
      <w:r w:rsidRPr="3A68F3DD" w:rsidR="18DE9132">
        <w:rPr>
          <w:rFonts w:ascii="Arial" w:hAnsi="Arial" w:eastAsia="Arial" w:cs="Arial"/>
          <w:noProof w:val="0"/>
          <w:sz w:val="24"/>
          <w:szCs w:val="24"/>
          <w:lang w:val="en-US"/>
        </w:rPr>
        <w:t>.741</w:t>
      </w:r>
      <w:r w:rsidRPr="3A68F3DD" w:rsidR="18DE9132">
        <w:rPr>
          <w:rFonts w:ascii="Arial" w:hAnsi="Arial" w:eastAsia="Arial" w:cs="Arial"/>
          <w:noProof w:val="0"/>
          <w:sz w:val="24"/>
          <w:szCs w:val="24"/>
          <w:lang w:val="en-US"/>
        </w:rPr>
        <w:t xml:space="preserve">–754. </w:t>
      </w:r>
      <w:r>
        <w:fldChar w:fldCharType="begin"/>
      </w:r>
      <w:r>
        <w:instrText xml:space="preserve">HYPERLINK "https://doi:10.1080/13563467.2025.2497763" </w:instrText>
      </w:r>
      <w:r>
        <w:fldChar w:fldCharType="separate"/>
      </w:r>
      <w:r w:rsidRPr="3A68F3DD" w:rsidR="14ACD35E">
        <w:rPr>
          <w:rStyle w:val="Hyperlink"/>
          <w:noProof w:val="0"/>
          <w:lang w:val="en-US"/>
        </w:rPr>
        <w:t>https://</w:t>
      </w:r>
      <w:r w:rsidRPr="3A68F3DD" w:rsidR="18DE9132">
        <w:rPr>
          <w:rStyle w:val="Hyperlink"/>
          <w:noProof w:val="0"/>
          <w:lang w:val="en-US"/>
        </w:rPr>
        <w:t>doi:10.1080/13563467.2025.2497763</w:t>
      </w:r>
      <w:r>
        <w:fldChar w:fldCharType="end"/>
      </w:r>
      <w:r w:rsidRPr="3A68F3DD" w:rsidR="18DE9132">
        <w:rPr>
          <w:rFonts w:ascii="Arial" w:hAnsi="Arial" w:eastAsia="Arial" w:cs="Arial"/>
          <w:noProof w:val="0"/>
          <w:sz w:val="24"/>
          <w:szCs w:val="24"/>
          <w:lang w:val="en-US"/>
        </w:rPr>
        <w:t>.</w:t>
      </w:r>
      <w:r w:rsidRPr="3A68F3DD" w:rsidR="6FC14399">
        <w:rPr>
          <w:rFonts w:ascii="Arial" w:hAnsi="Arial" w:eastAsia="Arial" w:cs="Arial"/>
          <w:noProof w:val="0"/>
          <w:sz w:val="24"/>
          <w:szCs w:val="24"/>
          <w:lang w:val="en-US"/>
        </w:rPr>
        <w:t xml:space="preserve"> </w:t>
      </w:r>
    </w:p>
    <w:p w:rsidR="3D1CC0A4" w:rsidP="3A68F3DD" w:rsidRDefault="3D1CC0A4" w14:paraId="1B275702" w14:textId="4B01A47A">
      <w:pPr>
        <w:spacing w:before="0" w:beforeAutospacing="off" w:after="240" w:afterAutospacing="off" w:line="360" w:lineRule="auto"/>
      </w:pPr>
      <w:r w:rsidRPr="3A68F3DD" w:rsidR="18DE9132">
        <w:rPr>
          <w:rFonts w:ascii="Arial" w:hAnsi="Arial" w:eastAsia="Arial" w:cs="Arial"/>
          <w:noProof w:val="0"/>
          <w:sz w:val="24"/>
          <w:szCs w:val="24"/>
          <w:lang w:val="en-US"/>
        </w:rPr>
        <w:t>Foundora.Co</w:t>
      </w:r>
      <w:r w:rsidRPr="3A68F3DD" w:rsidR="18DE9132">
        <w:rPr>
          <w:rFonts w:ascii="Arial" w:hAnsi="Arial" w:eastAsia="Arial" w:cs="Arial"/>
          <w:noProof w:val="0"/>
          <w:sz w:val="24"/>
          <w:szCs w:val="24"/>
          <w:lang w:val="en-US"/>
        </w:rPr>
        <w:t xml:space="preserve"> (2025). </w:t>
      </w:r>
      <w:r w:rsidRPr="3A68F3DD" w:rsidR="18DE9132">
        <w:rPr>
          <w:rFonts w:ascii="Arial" w:hAnsi="Arial" w:eastAsia="Arial" w:cs="Arial"/>
          <w:i w:val="1"/>
          <w:iCs w:val="1"/>
          <w:noProof w:val="0"/>
          <w:sz w:val="24"/>
          <w:szCs w:val="24"/>
          <w:lang w:val="en-US"/>
        </w:rPr>
        <w:t>How tesla redefined the automotive industry</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Substack.com</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noProof w:val="0"/>
          <w:sz w:val="24"/>
          <w:szCs w:val="24"/>
          <w:lang w:val="en-US"/>
        </w:rPr>
        <w:t>Foundora</w:t>
      </w:r>
      <w:r w:rsidRPr="3A68F3DD" w:rsidR="18DE9132">
        <w:rPr>
          <w:rFonts w:ascii="Arial" w:hAnsi="Arial" w:eastAsia="Arial" w:cs="Arial"/>
          <w:noProof w:val="0"/>
          <w:sz w:val="24"/>
          <w:szCs w:val="24"/>
          <w:lang w:val="en-US"/>
        </w:rPr>
        <w:t xml:space="preserve">. Available at: </w:t>
      </w:r>
      <w:hyperlink r:id="Re891843206444ea2">
        <w:r w:rsidRPr="3A68F3DD" w:rsidR="18DE9132">
          <w:rPr>
            <w:rStyle w:val="Hyperlink"/>
            <w:noProof w:val="0"/>
            <w:lang w:val="en-US"/>
          </w:rPr>
          <w:t>https://foundora.substack.com/p/how-tesla-redefined-the-automotive</w:t>
        </w:r>
      </w:hyperlink>
      <w:r w:rsidRPr="3A68F3DD" w:rsidR="18DE9132">
        <w:rPr>
          <w:rFonts w:ascii="Arial" w:hAnsi="Arial" w:eastAsia="Arial" w:cs="Arial"/>
          <w:noProof w:val="0"/>
          <w:sz w:val="24"/>
          <w:szCs w:val="24"/>
          <w:lang w:val="en-US"/>
        </w:rPr>
        <w:t xml:space="preserve"> </w:t>
      </w:r>
      <w:r w:rsidRPr="3A68F3DD" w:rsidR="064F56BC">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3A63CC5F">
        <w:rPr>
          <w:rFonts w:ascii="Arial" w:hAnsi="Arial" w:eastAsia="Arial" w:cs="Arial"/>
          <w:noProof w:val="0"/>
          <w:sz w:val="24"/>
          <w:szCs w:val="24"/>
          <w:lang w:val="en-US"/>
        </w:rPr>
        <w:t>).</w:t>
      </w:r>
    </w:p>
    <w:p w:rsidR="3D1CC0A4" w:rsidP="3A68F3DD" w:rsidRDefault="3D1CC0A4" w14:paraId="5497E14C" w14:textId="52F403D5">
      <w:pPr>
        <w:spacing w:before="0" w:beforeAutospacing="off" w:after="240" w:afterAutospacing="off" w:line="360" w:lineRule="auto"/>
      </w:pPr>
      <w:r w:rsidRPr="3A68F3DD" w:rsidR="18DE9132">
        <w:rPr>
          <w:rFonts w:ascii="Arial" w:hAnsi="Arial" w:eastAsia="Arial" w:cs="Arial"/>
          <w:noProof w:val="0"/>
          <w:sz w:val="24"/>
          <w:szCs w:val="24"/>
          <w:lang w:val="en-US"/>
        </w:rPr>
        <w:t xml:space="preserve">Freeman, R.E. (2010). </w:t>
      </w:r>
      <w:r w:rsidRPr="3A68F3DD" w:rsidR="18DE9132">
        <w:rPr>
          <w:rFonts w:ascii="Arial" w:hAnsi="Arial" w:eastAsia="Arial" w:cs="Arial"/>
          <w:i w:val="1"/>
          <w:iCs w:val="1"/>
          <w:noProof w:val="0"/>
          <w:sz w:val="24"/>
          <w:szCs w:val="24"/>
          <w:lang w:val="en-US"/>
        </w:rPr>
        <w:t>Strategic Management: A Stakeholder Approach</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Google Books</w:t>
      </w:r>
      <w:r w:rsidRPr="3A68F3DD" w:rsidR="18DE9132">
        <w:rPr>
          <w:rFonts w:ascii="Arial" w:hAnsi="Arial" w:eastAsia="Arial" w:cs="Arial"/>
          <w:noProof w:val="0"/>
          <w:sz w:val="24"/>
          <w:szCs w:val="24"/>
          <w:lang w:val="en-US"/>
        </w:rPr>
        <w:t xml:space="preserve">. Cambridge University Press. Available at: </w:t>
      </w:r>
      <w:hyperlink r:id="Ra1841d645f894b21">
        <w:r w:rsidRPr="3A68F3DD" w:rsidR="18DE9132">
          <w:rPr>
            <w:rStyle w:val="Hyperlink"/>
            <w:noProof w:val="0"/>
            <w:lang w:val="en-US"/>
          </w:rPr>
          <w:t>https://www.google.co.uk/books/edition/Strategic_Management/NpmA_qEiOpkC?hl=en&amp;gbpv=1&amp;dq=Freeman</w:t>
        </w:r>
      </w:hyperlink>
      <w:r w:rsidRPr="3A68F3DD" w:rsidR="18DE9132">
        <w:rPr>
          <w:rFonts w:ascii="Arial" w:hAnsi="Arial" w:eastAsia="Arial" w:cs="Arial"/>
          <w:noProof w:val="0"/>
          <w:sz w:val="24"/>
          <w:szCs w:val="24"/>
          <w:lang w:val="en-US"/>
        </w:rPr>
        <w:t xml:space="preserve"> </w:t>
      </w:r>
      <w:r w:rsidRPr="3A68F3DD" w:rsidR="7EA76E8D">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16 July 2026</w:t>
      </w:r>
      <w:r w:rsidRPr="3A68F3DD" w:rsidR="53D8D2C9">
        <w:rPr>
          <w:rFonts w:ascii="Arial" w:hAnsi="Arial" w:eastAsia="Arial" w:cs="Arial"/>
          <w:noProof w:val="0"/>
          <w:sz w:val="24"/>
          <w:szCs w:val="24"/>
          <w:lang w:val="en-US"/>
        </w:rPr>
        <w:t>).</w:t>
      </w:r>
    </w:p>
    <w:p w:rsidR="3D1CC0A4" w:rsidP="3A68F3DD" w:rsidRDefault="3D1CC0A4" w14:paraId="2F379407" w14:textId="173D05AE">
      <w:pPr>
        <w:spacing w:before="0" w:beforeAutospacing="off" w:after="240" w:afterAutospacing="off" w:line="360" w:lineRule="auto"/>
      </w:pPr>
      <w:r w:rsidRPr="3A68F3DD" w:rsidR="18DE9132">
        <w:rPr>
          <w:rFonts w:ascii="Arial" w:hAnsi="Arial" w:eastAsia="Arial" w:cs="Arial"/>
          <w:noProof w:val="0"/>
          <w:sz w:val="24"/>
          <w:szCs w:val="24"/>
          <w:lang w:val="en-US"/>
        </w:rPr>
        <w:t xml:space="preserve">Freeman, R.E. and Phillips, R.A. (2002). Stakeholder theory: A libertarian defense. </w:t>
      </w:r>
      <w:r w:rsidRPr="3A68F3DD" w:rsidR="18DE9132">
        <w:rPr>
          <w:rFonts w:ascii="Arial" w:hAnsi="Arial" w:eastAsia="Arial" w:cs="Arial"/>
          <w:i w:val="1"/>
          <w:iCs w:val="1"/>
          <w:noProof w:val="0"/>
          <w:sz w:val="24"/>
          <w:szCs w:val="24"/>
          <w:lang w:val="en-US"/>
        </w:rPr>
        <w:t xml:space="preserve">Business ethics </w:t>
      </w:r>
      <w:r w:rsidRPr="3A68F3DD" w:rsidR="18DE9132">
        <w:rPr>
          <w:rFonts w:ascii="Arial" w:hAnsi="Arial" w:eastAsia="Arial" w:cs="Arial"/>
          <w:i w:val="1"/>
          <w:iCs w:val="1"/>
          <w:noProof w:val="0"/>
          <w:sz w:val="24"/>
          <w:szCs w:val="24"/>
          <w:lang w:val="en-US"/>
        </w:rPr>
        <w:t>quarterly</w:t>
      </w:r>
      <w:r w:rsidRPr="3A68F3DD" w:rsidR="18DE9132">
        <w:rPr>
          <w:rFonts w:ascii="Arial" w:hAnsi="Arial" w:eastAsia="Arial" w:cs="Arial"/>
          <w:noProof w:val="0"/>
          <w:sz w:val="24"/>
          <w:szCs w:val="24"/>
          <w:lang w:val="en-US"/>
        </w:rPr>
        <w:t>, 12(3), pp</w:t>
      </w:r>
      <w:r w:rsidRPr="3A68F3DD" w:rsidR="18DE9132">
        <w:rPr>
          <w:rFonts w:ascii="Arial" w:hAnsi="Arial" w:eastAsia="Arial" w:cs="Arial"/>
          <w:noProof w:val="0"/>
          <w:sz w:val="24"/>
          <w:szCs w:val="24"/>
          <w:lang w:val="en-US"/>
        </w:rPr>
        <w:t>.331</w:t>
      </w:r>
      <w:r w:rsidRPr="3A68F3DD" w:rsidR="18DE9132">
        <w:rPr>
          <w:rFonts w:ascii="Arial" w:hAnsi="Arial" w:eastAsia="Arial" w:cs="Arial"/>
          <w:noProof w:val="0"/>
          <w:sz w:val="24"/>
          <w:szCs w:val="24"/>
          <w:lang w:val="en-US"/>
        </w:rPr>
        <w:t xml:space="preserve">–349. </w:t>
      </w:r>
      <w:r>
        <w:fldChar w:fldCharType="begin"/>
      </w:r>
      <w:r>
        <w:instrText xml:space="preserve">HYPERLINK "https://doi:10.2307/3858020" </w:instrText>
      </w:r>
      <w:r>
        <w:fldChar w:fldCharType="separate"/>
      </w:r>
      <w:r w:rsidRPr="3A68F3DD" w:rsidR="173733F2">
        <w:rPr>
          <w:rStyle w:val="Hyperlink"/>
          <w:noProof w:val="0"/>
          <w:lang w:val="en-US"/>
        </w:rPr>
        <w:t>https://</w:t>
      </w:r>
      <w:r w:rsidRPr="3A68F3DD" w:rsidR="18DE9132">
        <w:rPr>
          <w:rStyle w:val="Hyperlink"/>
          <w:noProof w:val="0"/>
          <w:lang w:val="en-US"/>
        </w:rPr>
        <w:t>doi:10.2307/3858020</w:t>
      </w:r>
      <w:r>
        <w:fldChar w:fldCharType="end"/>
      </w:r>
      <w:r w:rsidRPr="3A68F3DD" w:rsidR="18DE9132">
        <w:rPr>
          <w:rFonts w:ascii="Arial" w:hAnsi="Arial" w:eastAsia="Arial" w:cs="Arial"/>
          <w:noProof w:val="0"/>
          <w:sz w:val="24"/>
          <w:szCs w:val="24"/>
          <w:lang w:val="en-US"/>
        </w:rPr>
        <w:t>.</w:t>
      </w:r>
      <w:r w:rsidRPr="3A68F3DD" w:rsidR="2FABA867">
        <w:rPr>
          <w:rFonts w:ascii="Arial" w:hAnsi="Arial" w:eastAsia="Arial" w:cs="Arial"/>
          <w:noProof w:val="0"/>
          <w:sz w:val="24"/>
          <w:szCs w:val="24"/>
          <w:lang w:val="en-US"/>
        </w:rPr>
        <w:t xml:space="preserve"> </w:t>
      </w:r>
    </w:p>
    <w:p w:rsidR="3D1CC0A4" w:rsidP="3A68F3DD" w:rsidRDefault="3D1CC0A4" w14:paraId="4A233094" w14:textId="733AA390">
      <w:pPr>
        <w:spacing w:before="0" w:beforeAutospacing="off" w:after="240" w:afterAutospacing="off" w:line="360" w:lineRule="auto"/>
      </w:pPr>
      <w:r w:rsidRPr="3A68F3DD" w:rsidR="18DE9132">
        <w:rPr>
          <w:rFonts w:ascii="Arial" w:hAnsi="Arial" w:eastAsia="Arial" w:cs="Arial"/>
          <w:noProof w:val="0"/>
          <w:sz w:val="24"/>
          <w:szCs w:val="24"/>
          <w:lang w:val="en-US"/>
        </w:rPr>
        <w:t xml:space="preserve">G.J. Offer, Contestabile, M., D.A. Howey, Clague, R. and N.P. Brandon (2011). Techno-economic and </w:t>
      </w:r>
      <w:r w:rsidRPr="3A68F3DD" w:rsidR="18DE9132">
        <w:rPr>
          <w:rFonts w:ascii="Arial" w:hAnsi="Arial" w:eastAsia="Arial" w:cs="Arial"/>
          <w:noProof w:val="0"/>
          <w:sz w:val="24"/>
          <w:szCs w:val="24"/>
          <w:lang w:val="en-US"/>
        </w:rPr>
        <w:t>behavioural</w:t>
      </w:r>
      <w:r w:rsidRPr="3A68F3DD" w:rsidR="18DE9132">
        <w:rPr>
          <w:rFonts w:ascii="Arial" w:hAnsi="Arial" w:eastAsia="Arial" w:cs="Arial"/>
          <w:noProof w:val="0"/>
          <w:sz w:val="24"/>
          <w:szCs w:val="24"/>
          <w:lang w:val="en-US"/>
        </w:rPr>
        <w:t xml:space="preserve"> analysis of battery electric, hydrogen fuel </w:t>
      </w:r>
      <w:r w:rsidRPr="3A68F3DD" w:rsidR="18DE9132">
        <w:rPr>
          <w:rFonts w:ascii="Arial" w:hAnsi="Arial" w:eastAsia="Arial" w:cs="Arial"/>
          <w:noProof w:val="0"/>
          <w:sz w:val="24"/>
          <w:szCs w:val="24"/>
          <w:lang w:val="en-US"/>
        </w:rPr>
        <w:t>cell</w:t>
      </w:r>
      <w:r w:rsidRPr="3A68F3DD" w:rsidR="18DE9132">
        <w:rPr>
          <w:rFonts w:ascii="Arial" w:hAnsi="Arial" w:eastAsia="Arial" w:cs="Arial"/>
          <w:noProof w:val="0"/>
          <w:sz w:val="24"/>
          <w:szCs w:val="24"/>
          <w:lang w:val="en-US"/>
        </w:rPr>
        <w:t xml:space="preserve"> and hybrid vehicles in a future sustainable road transport system in the UK. </w:t>
      </w:r>
      <w:r w:rsidRPr="3A68F3DD" w:rsidR="18DE9132">
        <w:rPr>
          <w:rFonts w:ascii="Arial" w:hAnsi="Arial" w:eastAsia="Arial" w:cs="Arial"/>
          <w:i w:val="1"/>
          <w:iCs w:val="1"/>
          <w:noProof w:val="0"/>
          <w:sz w:val="24"/>
          <w:szCs w:val="24"/>
          <w:lang w:val="en-US"/>
        </w:rPr>
        <w:t xml:space="preserve">Energy </w:t>
      </w:r>
      <w:r w:rsidRPr="3A68F3DD" w:rsidR="18DE9132">
        <w:rPr>
          <w:rFonts w:ascii="Arial" w:hAnsi="Arial" w:eastAsia="Arial" w:cs="Arial"/>
          <w:i w:val="1"/>
          <w:iCs w:val="1"/>
          <w:noProof w:val="0"/>
          <w:sz w:val="24"/>
          <w:szCs w:val="24"/>
          <w:lang w:val="en-US"/>
        </w:rPr>
        <w:t>policy</w:t>
      </w:r>
      <w:r w:rsidRPr="3A68F3DD" w:rsidR="18DE9132">
        <w:rPr>
          <w:rFonts w:ascii="Arial" w:hAnsi="Arial" w:eastAsia="Arial" w:cs="Arial"/>
          <w:noProof w:val="0"/>
          <w:sz w:val="24"/>
          <w:szCs w:val="24"/>
          <w:lang w:val="en-US"/>
        </w:rPr>
        <w:t xml:space="preserve">, 39(4), pp.1939–1950. </w:t>
      </w:r>
      <w:r>
        <w:fldChar w:fldCharType="begin"/>
      </w:r>
      <w:r>
        <w:instrText xml:space="preserve">HYPERLINK "https://doi:10.1016/j.enpol.2011.01.006" </w:instrText>
      </w:r>
      <w:r>
        <w:fldChar w:fldCharType="separate"/>
      </w:r>
      <w:r w:rsidRPr="3A68F3DD" w:rsidR="190BD8EA">
        <w:rPr>
          <w:rStyle w:val="Hyperlink"/>
          <w:noProof w:val="0"/>
          <w:lang w:val="en-US"/>
        </w:rPr>
        <w:t>https://</w:t>
      </w:r>
      <w:r w:rsidRPr="3A68F3DD" w:rsidR="18DE9132">
        <w:rPr>
          <w:rStyle w:val="Hyperlink"/>
          <w:noProof w:val="0"/>
          <w:lang w:val="en-US"/>
        </w:rPr>
        <w:t>doi:10.1016/j.enpol.2011.01.006</w:t>
      </w:r>
      <w:r>
        <w:fldChar w:fldCharType="end"/>
      </w:r>
      <w:r w:rsidRPr="3A68F3DD" w:rsidR="18DE9132">
        <w:rPr>
          <w:rFonts w:ascii="Arial" w:hAnsi="Arial" w:eastAsia="Arial" w:cs="Arial"/>
          <w:noProof w:val="0"/>
          <w:sz w:val="24"/>
          <w:szCs w:val="24"/>
          <w:lang w:val="en-US"/>
        </w:rPr>
        <w:t>.</w:t>
      </w:r>
      <w:r w:rsidRPr="3A68F3DD" w:rsidR="59286FA1">
        <w:rPr>
          <w:rFonts w:ascii="Arial" w:hAnsi="Arial" w:eastAsia="Arial" w:cs="Arial"/>
          <w:noProof w:val="0"/>
          <w:sz w:val="24"/>
          <w:szCs w:val="24"/>
          <w:lang w:val="en-US"/>
        </w:rPr>
        <w:t xml:space="preserve"> </w:t>
      </w:r>
    </w:p>
    <w:p w:rsidR="3D1CC0A4" w:rsidP="3A68F3DD" w:rsidRDefault="3D1CC0A4" w14:paraId="39FC2EB3" w14:textId="2642BB78">
      <w:pPr>
        <w:spacing w:before="0" w:beforeAutospacing="off" w:after="240" w:afterAutospacing="off" w:line="360" w:lineRule="auto"/>
      </w:pPr>
      <w:r w:rsidRPr="3A68F3DD" w:rsidR="18DE9132">
        <w:rPr>
          <w:rFonts w:ascii="Arial" w:hAnsi="Arial" w:eastAsia="Arial" w:cs="Arial"/>
          <w:noProof w:val="0"/>
          <w:sz w:val="24"/>
          <w:szCs w:val="24"/>
          <w:lang w:val="en-US"/>
        </w:rPr>
        <w:t xml:space="preserve">Gratton, P. (2025). </w:t>
      </w:r>
      <w:r w:rsidRPr="3A68F3DD" w:rsidR="18DE9132">
        <w:rPr>
          <w:rFonts w:ascii="Arial" w:hAnsi="Arial" w:eastAsia="Arial" w:cs="Arial"/>
          <w:i w:val="1"/>
          <w:iCs w:val="1"/>
          <w:noProof w:val="0"/>
          <w:sz w:val="24"/>
          <w:szCs w:val="24"/>
          <w:lang w:val="en-US"/>
        </w:rPr>
        <w:t xml:space="preserve">Porter’s five forces </w:t>
      </w:r>
      <w:r w:rsidRPr="3A68F3DD" w:rsidR="18DE9132">
        <w:rPr>
          <w:rFonts w:ascii="Arial" w:hAnsi="Arial" w:eastAsia="Arial" w:cs="Arial"/>
          <w:i w:val="1"/>
          <w:iCs w:val="1"/>
          <w:noProof w:val="0"/>
          <w:sz w:val="24"/>
          <w:szCs w:val="24"/>
          <w:lang w:val="en-US"/>
        </w:rPr>
        <w:t>explained and</w:t>
      </w:r>
      <w:r w:rsidRPr="3A68F3DD" w:rsidR="18DE9132">
        <w:rPr>
          <w:rFonts w:ascii="Arial" w:hAnsi="Arial" w:eastAsia="Arial" w:cs="Arial"/>
          <w:i w:val="1"/>
          <w:iCs w:val="1"/>
          <w:noProof w:val="0"/>
          <w:sz w:val="24"/>
          <w:szCs w:val="24"/>
          <w:lang w:val="en-US"/>
        </w:rPr>
        <w:t xml:space="preserve"> how to use the model</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Investopedia</w:t>
      </w:r>
      <w:r w:rsidRPr="3A68F3DD" w:rsidR="18DE9132">
        <w:rPr>
          <w:rFonts w:ascii="Arial" w:hAnsi="Arial" w:eastAsia="Arial" w:cs="Arial"/>
          <w:noProof w:val="0"/>
          <w:sz w:val="24"/>
          <w:szCs w:val="24"/>
          <w:lang w:val="en-US"/>
        </w:rPr>
        <w:t xml:space="preserve">. Available at: </w:t>
      </w:r>
      <w:hyperlink r:id="Re046e8abe7784c71">
        <w:r w:rsidRPr="3A68F3DD" w:rsidR="18DE9132">
          <w:rPr>
            <w:rStyle w:val="Hyperlink"/>
            <w:noProof w:val="0"/>
            <w:lang w:val="en-US"/>
          </w:rPr>
          <w:t>https://www.investopedia.com/terms/p/porter.asp</w:t>
        </w:r>
      </w:hyperlink>
      <w:r w:rsidRPr="3A68F3DD" w:rsidR="18DE9132">
        <w:rPr>
          <w:rFonts w:ascii="Arial" w:hAnsi="Arial" w:eastAsia="Arial" w:cs="Arial"/>
          <w:noProof w:val="0"/>
          <w:sz w:val="24"/>
          <w:szCs w:val="24"/>
          <w:lang w:val="en-US"/>
        </w:rPr>
        <w:t xml:space="preserve"> </w:t>
      </w:r>
      <w:r w:rsidRPr="3A68F3DD" w:rsidR="35D72757">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0E7BBE43">
        <w:rPr>
          <w:rFonts w:ascii="Arial" w:hAnsi="Arial" w:eastAsia="Arial" w:cs="Arial"/>
          <w:noProof w:val="0"/>
          <w:sz w:val="24"/>
          <w:szCs w:val="24"/>
          <w:lang w:val="en-US"/>
        </w:rPr>
        <w:t>)</w:t>
      </w:r>
    </w:p>
    <w:p w:rsidR="3D1CC0A4" w:rsidP="3A68F3DD" w:rsidRDefault="3D1CC0A4" w14:paraId="7D336310" w14:textId="4437E9A2">
      <w:pPr>
        <w:spacing w:before="0" w:beforeAutospacing="off" w:after="240" w:afterAutospacing="off" w:line="360" w:lineRule="auto"/>
      </w:pPr>
      <w:r w:rsidRPr="3A68F3DD" w:rsidR="18DE9132">
        <w:rPr>
          <w:rFonts w:ascii="Arial" w:hAnsi="Arial" w:eastAsia="Arial" w:cs="Arial"/>
          <w:noProof w:val="0"/>
          <w:sz w:val="24"/>
          <w:szCs w:val="24"/>
          <w:lang w:val="en-US"/>
        </w:rPr>
        <w:t xml:space="preserve">Greene, J. (2024). </w:t>
      </w:r>
      <w:r w:rsidRPr="3A68F3DD" w:rsidR="18DE9132">
        <w:rPr>
          <w:rFonts w:ascii="Arial" w:hAnsi="Arial" w:eastAsia="Arial" w:cs="Arial"/>
          <w:i w:val="1"/>
          <w:iCs w:val="1"/>
          <w:noProof w:val="0"/>
          <w:sz w:val="24"/>
          <w:szCs w:val="24"/>
          <w:lang w:val="en-US"/>
        </w:rPr>
        <w:t>Hofstede’s cultural dimensions theory | EBSCO</w:t>
      </w:r>
      <w:r w:rsidRPr="3A68F3DD" w:rsidR="18DE9132">
        <w:rPr>
          <w:rFonts w:ascii="Arial" w:hAnsi="Arial" w:eastAsia="Arial" w:cs="Arial"/>
          <w:noProof w:val="0"/>
          <w:sz w:val="24"/>
          <w:szCs w:val="24"/>
          <w:lang w:val="en-US"/>
        </w:rPr>
        <w:t xml:space="preserve">.  EBSCO Information Services, Inc. | </w:t>
      </w:r>
      <w:hyperlink r:id="R90ed406f60db4f94">
        <w:r w:rsidRPr="3A68F3DD" w:rsidR="18DE9132">
          <w:rPr>
            <w:rStyle w:val="Hyperlink"/>
            <w:noProof w:val="0"/>
            <w:lang w:val="en-US"/>
          </w:rPr>
          <w:t>www.ebsco.com</w:t>
        </w:r>
      </w:hyperlink>
      <w:r w:rsidRPr="3A68F3DD" w:rsidR="18DE9132">
        <w:rPr>
          <w:rFonts w:ascii="Arial" w:hAnsi="Arial" w:eastAsia="Arial" w:cs="Arial"/>
          <w:noProof w:val="0"/>
          <w:sz w:val="24"/>
          <w:szCs w:val="24"/>
          <w:lang w:val="en-US"/>
        </w:rPr>
        <w:t xml:space="preserve">. Available at: </w:t>
      </w:r>
      <w:hyperlink r:id="Re6f5e32912dc4470">
        <w:r w:rsidRPr="3A68F3DD" w:rsidR="18DE9132">
          <w:rPr>
            <w:rStyle w:val="Hyperlink"/>
            <w:noProof w:val="0"/>
            <w:lang w:val="en-US"/>
          </w:rPr>
          <w:t>https://www.ebsco.com/research-starters/business-and-management/hofstedes-cultural-dimensions-theory</w:t>
        </w:r>
      </w:hyperlink>
      <w:r w:rsidRPr="3A68F3DD" w:rsidR="18DE9132">
        <w:rPr>
          <w:rFonts w:ascii="Arial" w:hAnsi="Arial" w:eastAsia="Arial" w:cs="Arial"/>
          <w:noProof w:val="0"/>
          <w:sz w:val="24"/>
          <w:szCs w:val="24"/>
          <w:lang w:val="en-US"/>
        </w:rPr>
        <w:t xml:space="preserve"> </w:t>
      </w:r>
      <w:r w:rsidRPr="3A68F3DD" w:rsidR="08029100">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19 July 2026</w:t>
      </w:r>
      <w:r w:rsidRPr="3A68F3DD" w:rsidR="7199A5EA">
        <w:rPr>
          <w:rFonts w:ascii="Arial" w:hAnsi="Arial" w:eastAsia="Arial" w:cs="Arial"/>
          <w:noProof w:val="0"/>
          <w:sz w:val="24"/>
          <w:szCs w:val="24"/>
          <w:lang w:val="en-US"/>
        </w:rPr>
        <w:t>).</w:t>
      </w:r>
    </w:p>
    <w:p w:rsidR="3D1CC0A4" w:rsidP="3A68F3DD" w:rsidRDefault="3D1CC0A4" w14:paraId="7877EDD7" w14:textId="1BB6CCE5">
      <w:pPr>
        <w:spacing w:before="0" w:beforeAutospacing="off" w:after="240" w:afterAutospacing="off" w:line="360" w:lineRule="auto"/>
      </w:pPr>
      <w:r w:rsidRPr="3A68F3DD" w:rsidR="18DE9132">
        <w:rPr>
          <w:rFonts w:ascii="Arial" w:hAnsi="Arial" w:eastAsia="Arial" w:cs="Arial"/>
          <w:noProof w:val="0"/>
          <w:sz w:val="24"/>
          <w:szCs w:val="24"/>
          <w:lang w:val="en-US"/>
        </w:rPr>
        <w:t xml:space="preserve">Hako, B. (1972). Strategies for diversification. </w:t>
      </w:r>
      <w:r w:rsidRPr="3A68F3DD" w:rsidR="18DE9132">
        <w:rPr>
          <w:rFonts w:ascii="Arial" w:hAnsi="Arial" w:eastAsia="Arial" w:cs="Arial"/>
          <w:i w:val="1"/>
          <w:iCs w:val="1"/>
          <w:noProof w:val="0"/>
          <w:sz w:val="24"/>
          <w:szCs w:val="24"/>
          <w:lang w:val="en-US"/>
        </w:rPr>
        <w:t>Long Range Planning</w:t>
      </w:r>
      <w:r w:rsidRPr="3A68F3DD" w:rsidR="18DE9132">
        <w:rPr>
          <w:rFonts w:ascii="Arial" w:hAnsi="Arial" w:eastAsia="Arial" w:cs="Arial"/>
          <w:noProof w:val="0"/>
          <w:sz w:val="24"/>
          <w:szCs w:val="24"/>
          <w:lang w:val="en-US"/>
        </w:rPr>
        <w:t>, 5(2), pp</w:t>
      </w:r>
      <w:r w:rsidRPr="3A68F3DD" w:rsidR="18DE9132">
        <w:rPr>
          <w:rFonts w:ascii="Arial" w:hAnsi="Arial" w:eastAsia="Arial" w:cs="Arial"/>
          <w:noProof w:val="0"/>
          <w:sz w:val="24"/>
          <w:szCs w:val="24"/>
          <w:lang w:val="en-US"/>
        </w:rPr>
        <w:t>.65</w:t>
      </w:r>
      <w:r w:rsidRPr="3A68F3DD" w:rsidR="18DE9132">
        <w:rPr>
          <w:rFonts w:ascii="Arial" w:hAnsi="Arial" w:eastAsia="Arial" w:cs="Arial"/>
          <w:noProof w:val="0"/>
          <w:sz w:val="24"/>
          <w:szCs w:val="24"/>
          <w:lang w:val="en-US"/>
        </w:rPr>
        <w:t>–69.</w:t>
      </w:r>
      <w:r w:rsidRPr="3A68F3DD" w:rsidR="0E830A0C">
        <w:rPr>
          <w:rFonts w:ascii="Arial" w:hAnsi="Arial" w:eastAsia="Arial" w:cs="Arial"/>
          <w:noProof w:val="0"/>
          <w:sz w:val="24"/>
          <w:szCs w:val="24"/>
          <w:lang w:val="en-US"/>
        </w:rPr>
        <w:t xml:space="preserve"> </w:t>
      </w:r>
      <w:r>
        <w:fldChar w:fldCharType="begin"/>
      </w:r>
      <w:r>
        <w:instrText xml:space="preserve">HYPERLINK "https://doi:10.1016/0024-6301(72)90048-9" </w:instrText>
      </w:r>
      <w:r>
        <w:fldChar w:fldCharType="separate"/>
      </w:r>
      <w:r w:rsidRPr="3A68F3DD" w:rsidR="228794F0">
        <w:rPr>
          <w:rStyle w:val="Hyperlink"/>
          <w:noProof w:val="0"/>
          <w:lang w:val="en-US"/>
        </w:rPr>
        <w:t>https:</w:t>
      </w:r>
      <w:r w:rsidRPr="3A68F3DD" w:rsidR="752EFA16">
        <w:rPr>
          <w:rStyle w:val="Hyperlink"/>
          <w:noProof w:val="0"/>
          <w:lang w:val="en-US"/>
        </w:rPr>
        <w:t>//</w:t>
      </w:r>
      <w:r w:rsidRPr="3A68F3DD" w:rsidR="18DE9132">
        <w:rPr>
          <w:rStyle w:val="Hyperlink"/>
          <w:noProof w:val="0"/>
          <w:lang w:val="en-US"/>
        </w:rPr>
        <w:t>doi:10.1016/0024-6301(72)90048-9</w:t>
      </w:r>
      <w:r>
        <w:fldChar w:fldCharType="end"/>
      </w:r>
      <w:r w:rsidRPr="3A68F3DD" w:rsidR="18DE9132">
        <w:rPr>
          <w:rFonts w:ascii="Arial" w:hAnsi="Arial" w:eastAsia="Arial" w:cs="Arial"/>
          <w:noProof w:val="0"/>
          <w:sz w:val="24"/>
          <w:szCs w:val="24"/>
          <w:lang w:val="en-US"/>
        </w:rPr>
        <w:t>.</w:t>
      </w:r>
      <w:r w:rsidRPr="3A68F3DD" w:rsidR="3A0C1C44">
        <w:rPr>
          <w:rFonts w:ascii="Arial" w:hAnsi="Arial" w:eastAsia="Arial" w:cs="Arial"/>
          <w:noProof w:val="0"/>
          <w:sz w:val="24"/>
          <w:szCs w:val="24"/>
          <w:lang w:val="en-US"/>
        </w:rPr>
        <w:t xml:space="preserve"> </w:t>
      </w:r>
      <w:r w:rsidRPr="3A68F3DD" w:rsidR="30923FC8">
        <w:rPr>
          <w:rFonts w:ascii="Arial" w:hAnsi="Arial" w:eastAsia="Arial" w:cs="Arial"/>
          <w:noProof w:val="0"/>
          <w:sz w:val="24"/>
          <w:szCs w:val="24"/>
          <w:lang w:val="en-US"/>
        </w:rPr>
        <w:t xml:space="preserve"> </w:t>
      </w:r>
    </w:p>
    <w:p w:rsidR="3D1CC0A4" w:rsidP="3A68F3DD" w:rsidRDefault="3D1CC0A4" w14:paraId="4DFF82E1" w14:textId="761D6A3B">
      <w:pPr>
        <w:spacing w:before="0" w:beforeAutospacing="off" w:after="240" w:afterAutospacing="off" w:line="360" w:lineRule="auto"/>
      </w:pPr>
      <w:r w:rsidRPr="3A68F3DD" w:rsidR="18DE9132">
        <w:rPr>
          <w:rFonts w:ascii="Arial" w:hAnsi="Arial" w:eastAsia="Arial" w:cs="Arial"/>
          <w:noProof w:val="0"/>
          <w:sz w:val="24"/>
          <w:szCs w:val="24"/>
          <w:lang w:val="en-US"/>
        </w:rPr>
        <w:t xml:space="preserve">Hassan, S.H. (2025). </w:t>
      </w:r>
      <w:r w:rsidRPr="3A68F3DD" w:rsidR="18DE9132">
        <w:rPr>
          <w:rFonts w:ascii="Arial" w:hAnsi="Arial" w:eastAsia="Arial" w:cs="Arial"/>
          <w:i w:val="1"/>
          <w:iCs w:val="1"/>
          <w:noProof w:val="0"/>
          <w:sz w:val="24"/>
          <w:szCs w:val="24"/>
          <w:lang w:val="en-US"/>
        </w:rPr>
        <w:t>Key takeaways extreme concentration: Just two countries (USA and China) account for 63% of all tesla superchargers globally, with the top 10 markets holding 86% of the network. Infrastructure first strategy works: Tesla’s supercharger network delivered 4.</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Linkedin.com</w:t>
      </w:r>
      <w:r w:rsidRPr="3A68F3DD" w:rsidR="18DE9132">
        <w:rPr>
          <w:rFonts w:ascii="Arial" w:hAnsi="Arial" w:eastAsia="Arial" w:cs="Arial"/>
          <w:noProof w:val="0"/>
          <w:sz w:val="24"/>
          <w:szCs w:val="24"/>
          <w:lang w:val="en-US"/>
        </w:rPr>
        <w:t xml:space="preserve">. Available at: </w:t>
      </w:r>
      <w:hyperlink r:id="R9b82b868519f421f">
        <w:r w:rsidRPr="3A68F3DD" w:rsidR="18DE9132">
          <w:rPr>
            <w:rStyle w:val="Hyperlink"/>
            <w:noProof w:val="0"/>
            <w:lang w:val="en-US"/>
          </w:rPr>
          <w:t>https://www.linkedin.com/pulse/teslas-global-supercharger-network-74000-chargers-across-hassan-6kywe/</w:t>
        </w:r>
      </w:hyperlink>
      <w:r w:rsidRPr="3A68F3DD" w:rsidR="18DE9132">
        <w:rPr>
          <w:rFonts w:ascii="Arial" w:hAnsi="Arial" w:eastAsia="Arial" w:cs="Arial"/>
          <w:noProof w:val="0"/>
          <w:sz w:val="24"/>
          <w:szCs w:val="24"/>
          <w:lang w:val="en-US"/>
        </w:rPr>
        <w:t xml:space="preserve"> </w:t>
      </w:r>
      <w:r w:rsidRPr="3A68F3DD" w:rsidR="79B00FBE">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198D42AF">
        <w:rPr>
          <w:rFonts w:ascii="Arial" w:hAnsi="Arial" w:eastAsia="Arial" w:cs="Arial"/>
          <w:noProof w:val="0"/>
          <w:sz w:val="24"/>
          <w:szCs w:val="24"/>
          <w:lang w:val="en-US"/>
        </w:rPr>
        <w:t>)</w:t>
      </w:r>
    </w:p>
    <w:p w:rsidR="3D1CC0A4" w:rsidP="3A68F3DD" w:rsidRDefault="3D1CC0A4" w14:paraId="633858AB" w14:textId="0AB56067">
      <w:pPr>
        <w:spacing w:before="0" w:beforeAutospacing="off" w:after="240" w:afterAutospacing="off" w:line="360" w:lineRule="auto"/>
      </w:pPr>
      <w:r w:rsidRPr="3A68F3DD" w:rsidR="18DE9132">
        <w:rPr>
          <w:rFonts w:ascii="Arial" w:hAnsi="Arial" w:eastAsia="Arial" w:cs="Arial"/>
          <w:noProof w:val="0"/>
          <w:sz w:val="24"/>
          <w:szCs w:val="24"/>
          <w:lang w:val="en-US"/>
        </w:rPr>
        <w:t xml:space="preserve">Hegazy, M., Hegazy, </w:t>
      </w:r>
      <w:r w:rsidRPr="3A68F3DD" w:rsidR="18DE9132">
        <w:rPr>
          <w:rFonts w:ascii="Arial" w:hAnsi="Arial" w:eastAsia="Arial" w:cs="Arial"/>
          <w:noProof w:val="0"/>
          <w:sz w:val="24"/>
          <w:szCs w:val="24"/>
          <w:lang w:val="en-US"/>
        </w:rPr>
        <w:t>K.</w:t>
      </w:r>
      <w:r w:rsidRPr="3A68F3DD" w:rsidR="18DE9132">
        <w:rPr>
          <w:rFonts w:ascii="Arial" w:hAnsi="Arial" w:eastAsia="Arial" w:cs="Arial"/>
          <w:noProof w:val="0"/>
          <w:sz w:val="24"/>
          <w:szCs w:val="24"/>
          <w:lang w:val="en-US"/>
        </w:rPr>
        <w:t xml:space="preserve"> and</w:t>
      </w:r>
      <w:r w:rsidRPr="3A68F3DD" w:rsidR="18DE9132">
        <w:rPr>
          <w:rFonts w:ascii="Arial" w:hAnsi="Arial" w:eastAsia="Arial" w:cs="Arial"/>
          <w:noProof w:val="0"/>
          <w:sz w:val="24"/>
          <w:szCs w:val="24"/>
          <w:lang w:val="en-US"/>
        </w:rPr>
        <w:t xml:space="preserve"> Eldeeb, M. (2022). The balanced scorecard: Measures that drive performance evaluation in Auditing firms. </w:t>
      </w:r>
      <w:r w:rsidRPr="3A68F3DD" w:rsidR="18DE9132">
        <w:rPr>
          <w:rFonts w:ascii="Arial" w:hAnsi="Arial" w:eastAsia="Arial" w:cs="Arial"/>
          <w:i w:val="1"/>
          <w:iCs w:val="1"/>
          <w:noProof w:val="0"/>
          <w:sz w:val="24"/>
          <w:szCs w:val="24"/>
          <w:lang w:val="en-US"/>
        </w:rPr>
        <w:t xml:space="preserve">Journal of Accounting, </w:t>
      </w:r>
      <w:r w:rsidRPr="3A68F3DD" w:rsidR="18DE9132">
        <w:rPr>
          <w:rFonts w:ascii="Arial" w:hAnsi="Arial" w:eastAsia="Arial" w:cs="Arial"/>
          <w:i w:val="1"/>
          <w:iCs w:val="1"/>
          <w:noProof w:val="0"/>
          <w:sz w:val="24"/>
          <w:szCs w:val="24"/>
          <w:lang w:val="en-US"/>
        </w:rPr>
        <w:t>auditing</w:t>
      </w:r>
      <w:r w:rsidRPr="3A68F3DD" w:rsidR="18DE9132">
        <w:rPr>
          <w:rFonts w:ascii="Arial" w:hAnsi="Arial" w:eastAsia="Arial" w:cs="Arial"/>
          <w:i w:val="1"/>
          <w:iCs w:val="1"/>
          <w:noProof w:val="0"/>
          <w:sz w:val="24"/>
          <w:szCs w:val="24"/>
          <w:lang w:val="en-US"/>
        </w:rPr>
        <w:t xml:space="preserve"> &amp; </w:t>
      </w:r>
      <w:r w:rsidRPr="3A68F3DD" w:rsidR="18DE9132">
        <w:rPr>
          <w:rFonts w:ascii="Arial" w:hAnsi="Arial" w:eastAsia="Arial" w:cs="Arial"/>
          <w:i w:val="1"/>
          <w:iCs w:val="1"/>
          <w:noProof w:val="0"/>
          <w:sz w:val="24"/>
          <w:szCs w:val="24"/>
          <w:lang w:val="en-US"/>
        </w:rPr>
        <w:t>finance</w:t>
      </w:r>
      <w:r w:rsidRPr="3A68F3DD" w:rsidR="18DE9132">
        <w:rPr>
          <w:rFonts w:ascii="Arial" w:hAnsi="Arial" w:eastAsia="Arial" w:cs="Arial"/>
          <w:noProof w:val="0"/>
          <w:sz w:val="24"/>
          <w:szCs w:val="24"/>
          <w:lang w:val="en-US"/>
        </w:rPr>
        <w:t>, 37(4), pp</w:t>
      </w:r>
      <w:r w:rsidRPr="3A68F3DD" w:rsidR="18DE9132">
        <w:rPr>
          <w:rFonts w:ascii="Arial" w:hAnsi="Arial" w:eastAsia="Arial" w:cs="Arial"/>
          <w:noProof w:val="0"/>
          <w:sz w:val="24"/>
          <w:szCs w:val="24"/>
          <w:lang w:val="en-US"/>
        </w:rPr>
        <w:t>.902</w:t>
      </w:r>
      <w:r w:rsidRPr="3A68F3DD" w:rsidR="18DE9132">
        <w:rPr>
          <w:rFonts w:ascii="Arial" w:hAnsi="Arial" w:eastAsia="Arial" w:cs="Arial"/>
          <w:noProof w:val="0"/>
          <w:sz w:val="24"/>
          <w:szCs w:val="24"/>
          <w:lang w:val="en-US"/>
        </w:rPr>
        <w:t xml:space="preserve">–927. </w:t>
      </w:r>
      <w:r>
        <w:fldChar w:fldCharType="begin"/>
      </w:r>
      <w:r>
        <w:instrText xml:space="preserve">HYPERLINK "https://doi:10.1177/0148558x20962915" </w:instrText>
      </w:r>
      <w:r>
        <w:fldChar w:fldCharType="separate"/>
      </w:r>
      <w:r w:rsidRPr="3A68F3DD" w:rsidR="181166B7">
        <w:rPr>
          <w:rStyle w:val="Hyperlink"/>
          <w:noProof w:val="0"/>
          <w:lang w:val="en-US"/>
        </w:rPr>
        <w:t>https://</w:t>
      </w:r>
      <w:r w:rsidRPr="3A68F3DD" w:rsidR="18DE9132">
        <w:rPr>
          <w:rStyle w:val="Hyperlink"/>
          <w:noProof w:val="0"/>
          <w:lang w:val="en-US"/>
        </w:rPr>
        <w:t>doi:10.1177/0148558x20962915</w:t>
      </w:r>
      <w:r>
        <w:fldChar w:fldCharType="end"/>
      </w:r>
      <w:r w:rsidRPr="3A68F3DD" w:rsidR="18DE9132">
        <w:rPr>
          <w:rFonts w:ascii="Arial" w:hAnsi="Arial" w:eastAsia="Arial" w:cs="Arial"/>
          <w:noProof w:val="0"/>
          <w:sz w:val="24"/>
          <w:szCs w:val="24"/>
          <w:lang w:val="en-US"/>
        </w:rPr>
        <w:t>.</w:t>
      </w:r>
      <w:r w:rsidRPr="3A68F3DD" w:rsidR="6716DD69">
        <w:rPr>
          <w:rFonts w:ascii="Arial" w:hAnsi="Arial" w:eastAsia="Arial" w:cs="Arial"/>
          <w:noProof w:val="0"/>
          <w:sz w:val="24"/>
          <w:szCs w:val="24"/>
          <w:lang w:val="en-US"/>
        </w:rPr>
        <w:t xml:space="preserve"> </w:t>
      </w:r>
    </w:p>
    <w:p w:rsidR="3D1CC0A4" w:rsidP="3A68F3DD" w:rsidRDefault="3D1CC0A4" w14:paraId="46B9776B" w14:textId="0C3AC728">
      <w:pPr>
        <w:spacing w:before="0" w:beforeAutospacing="off" w:after="240" w:afterAutospacing="off" w:line="360" w:lineRule="auto"/>
        <w:rPr>
          <w:rFonts w:ascii="Arial" w:hAnsi="Arial" w:eastAsia="Arial" w:cs="Arial"/>
          <w:noProof w:val="0"/>
          <w:sz w:val="24"/>
          <w:szCs w:val="24"/>
          <w:lang w:val="en-US"/>
        </w:rPr>
      </w:pPr>
      <w:r w:rsidRPr="3A68F3DD" w:rsidR="18DE9132">
        <w:rPr>
          <w:rFonts w:ascii="Arial" w:hAnsi="Arial" w:eastAsia="Arial" w:cs="Arial"/>
          <w:noProof w:val="0"/>
          <w:sz w:val="24"/>
          <w:szCs w:val="24"/>
          <w:lang w:val="en-US"/>
        </w:rPr>
        <w:t xml:space="preserve">Huang, W. (2023). Understanding tesla’s financial strength: Analysis of Financial reports and DuPont analysis. </w:t>
      </w:r>
      <w:r w:rsidRPr="3A68F3DD" w:rsidR="18DE9132">
        <w:rPr>
          <w:rFonts w:ascii="Arial" w:hAnsi="Arial" w:eastAsia="Arial" w:cs="Arial"/>
          <w:i w:val="1"/>
          <w:iCs w:val="1"/>
          <w:noProof w:val="0"/>
          <w:sz w:val="24"/>
          <w:szCs w:val="24"/>
          <w:lang w:val="en-US"/>
        </w:rPr>
        <w:t xml:space="preserve">Highlights in business, </w:t>
      </w:r>
      <w:r w:rsidRPr="3A68F3DD" w:rsidR="18DE9132">
        <w:rPr>
          <w:rFonts w:ascii="Arial" w:hAnsi="Arial" w:eastAsia="Arial" w:cs="Arial"/>
          <w:i w:val="1"/>
          <w:iCs w:val="1"/>
          <w:noProof w:val="0"/>
          <w:sz w:val="24"/>
          <w:szCs w:val="24"/>
          <w:lang w:val="en-US"/>
        </w:rPr>
        <w:t>economics</w:t>
      </w:r>
      <w:r w:rsidRPr="3A68F3DD" w:rsidR="18DE9132">
        <w:rPr>
          <w:rFonts w:ascii="Arial" w:hAnsi="Arial" w:eastAsia="Arial" w:cs="Arial"/>
          <w:i w:val="1"/>
          <w:iCs w:val="1"/>
          <w:noProof w:val="0"/>
          <w:sz w:val="24"/>
          <w:szCs w:val="24"/>
          <w:lang w:val="en-US"/>
        </w:rPr>
        <w:t xml:space="preserve"> and management</w:t>
      </w:r>
      <w:r w:rsidRPr="3A68F3DD" w:rsidR="18DE9132">
        <w:rPr>
          <w:rFonts w:ascii="Arial" w:hAnsi="Arial" w:eastAsia="Arial" w:cs="Arial"/>
          <w:noProof w:val="0"/>
          <w:sz w:val="24"/>
          <w:szCs w:val="24"/>
          <w:lang w:val="en-US"/>
        </w:rPr>
        <w:t>, 6(1), pp.250–261.</w:t>
      </w:r>
      <w:r w:rsidRPr="3A68F3DD" w:rsidR="64C7883A">
        <w:rPr>
          <w:rFonts w:ascii="Arial" w:hAnsi="Arial" w:eastAsia="Arial" w:cs="Arial"/>
          <w:noProof w:val="0"/>
          <w:sz w:val="24"/>
          <w:szCs w:val="24"/>
          <w:lang w:val="en-US"/>
        </w:rPr>
        <w:t xml:space="preserve"> </w:t>
      </w:r>
      <w:r>
        <w:fldChar w:fldCharType="begin"/>
      </w:r>
      <w:r>
        <w:instrText xml:space="preserve">HYPERLINK "https://doi:10.54097/hbem.v6i.6325" </w:instrText>
      </w:r>
      <w:r>
        <w:fldChar w:fldCharType="separate"/>
      </w:r>
      <w:r w:rsidRPr="3A68F3DD" w:rsidR="391EE2E5">
        <w:rPr>
          <w:rStyle w:val="Hyperlink"/>
          <w:noProof w:val="0"/>
          <w:lang w:val="en-US"/>
        </w:rPr>
        <w:t>https://</w:t>
      </w:r>
      <w:r w:rsidRPr="3A68F3DD" w:rsidR="18DE9132">
        <w:rPr>
          <w:rStyle w:val="Hyperlink"/>
          <w:noProof w:val="0"/>
          <w:lang w:val="en-US"/>
        </w:rPr>
        <w:t>doi:10.54097/hbem.v6i.6325</w:t>
      </w:r>
      <w:r>
        <w:fldChar w:fldCharType="end"/>
      </w:r>
      <w:r w:rsidRPr="3A68F3DD" w:rsidR="18DE9132">
        <w:rPr>
          <w:rFonts w:ascii="Arial" w:hAnsi="Arial" w:eastAsia="Arial" w:cs="Arial"/>
          <w:noProof w:val="0"/>
          <w:sz w:val="24"/>
          <w:szCs w:val="24"/>
          <w:lang w:val="en-US"/>
        </w:rPr>
        <w:t>.</w:t>
      </w:r>
      <w:r w:rsidRPr="3A68F3DD" w:rsidR="61CEB397">
        <w:rPr>
          <w:rFonts w:ascii="Arial" w:hAnsi="Arial" w:eastAsia="Arial" w:cs="Arial"/>
          <w:noProof w:val="0"/>
          <w:sz w:val="24"/>
          <w:szCs w:val="24"/>
          <w:lang w:val="en-US"/>
        </w:rPr>
        <w:t xml:space="preserve"> </w:t>
      </w:r>
    </w:p>
    <w:p w:rsidR="3D1CC0A4" w:rsidP="3A68F3DD" w:rsidRDefault="3D1CC0A4" w14:paraId="1E4CCC60" w14:textId="62C48B16">
      <w:pPr>
        <w:spacing w:before="0" w:beforeAutospacing="off" w:after="240" w:afterAutospacing="off" w:line="360" w:lineRule="auto"/>
      </w:pPr>
      <w:r w:rsidRPr="3A68F3DD" w:rsidR="18DE9132">
        <w:rPr>
          <w:rFonts w:ascii="Arial" w:hAnsi="Arial" w:eastAsia="Arial" w:cs="Arial"/>
          <w:noProof w:val="0"/>
          <w:sz w:val="24"/>
          <w:szCs w:val="24"/>
          <w:lang w:val="en-US"/>
        </w:rPr>
        <w:t xml:space="preserve">IEA (2024). </w:t>
      </w:r>
      <w:r w:rsidRPr="3A68F3DD" w:rsidR="18DE9132">
        <w:rPr>
          <w:rFonts w:ascii="Arial" w:hAnsi="Arial" w:eastAsia="Arial" w:cs="Arial"/>
          <w:i w:val="1"/>
          <w:iCs w:val="1"/>
          <w:noProof w:val="0"/>
          <w:sz w:val="24"/>
          <w:szCs w:val="24"/>
          <w:lang w:val="en-US"/>
        </w:rPr>
        <w:t>Trends in the electric vehicle industry</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IEA</w:t>
      </w:r>
      <w:r w:rsidRPr="3A68F3DD" w:rsidR="18DE9132">
        <w:rPr>
          <w:rFonts w:ascii="Arial" w:hAnsi="Arial" w:eastAsia="Arial" w:cs="Arial"/>
          <w:noProof w:val="0"/>
          <w:sz w:val="24"/>
          <w:szCs w:val="24"/>
          <w:lang w:val="en-US"/>
        </w:rPr>
        <w:t xml:space="preserve">. Available at: </w:t>
      </w:r>
      <w:hyperlink r:id="R771bbfbc76034d18">
        <w:r w:rsidRPr="3A68F3DD" w:rsidR="18DE9132">
          <w:rPr>
            <w:rStyle w:val="Hyperlink"/>
            <w:noProof w:val="0"/>
            <w:lang w:val="en-US"/>
          </w:rPr>
          <w:t>https://www.iea.org/reports/global-ev-outlook-2024/trends-in-the-electric-vehicle-industry</w:t>
        </w:r>
      </w:hyperlink>
      <w:r w:rsidRPr="3A68F3DD" w:rsidR="18DE9132">
        <w:rPr>
          <w:rFonts w:ascii="Arial" w:hAnsi="Arial" w:eastAsia="Arial" w:cs="Arial"/>
          <w:noProof w:val="0"/>
          <w:sz w:val="24"/>
          <w:szCs w:val="24"/>
          <w:lang w:val="en-US"/>
        </w:rPr>
        <w:t xml:space="preserve"> </w:t>
      </w:r>
      <w:r w:rsidRPr="3A68F3DD" w:rsidR="4AF9662B">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013D9478">
        <w:rPr>
          <w:rFonts w:ascii="Arial" w:hAnsi="Arial" w:eastAsia="Arial" w:cs="Arial"/>
          <w:noProof w:val="0"/>
          <w:sz w:val="24"/>
          <w:szCs w:val="24"/>
          <w:lang w:val="en-US"/>
        </w:rPr>
        <w:t>)</w:t>
      </w:r>
    </w:p>
    <w:p w:rsidR="3D1CC0A4" w:rsidP="3A68F3DD" w:rsidRDefault="3D1CC0A4" w14:paraId="56B779BE" w14:textId="560A552B">
      <w:pPr>
        <w:spacing w:before="0" w:beforeAutospacing="off" w:after="240" w:afterAutospacing="off" w:line="360" w:lineRule="auto"/>
      </w:pPr>
      <w:r w:rsidRPr="3A68F3DD" w:rsidR="18DE9132">
        <w:rPr>
          <w:rFonts w:ascii="Arial" w:hAnsi="Arial" w:eastAsia="Arial" w:cs="Arial"/>
          <w:noProof w:val="0"/>
          <w:sz w:val="24"/>
          <w:szCs w:val="24"/>
          <w:lang w:val="en-US"/>
        </w:rPr>
        <w:t xml:space="preserve">Inside tesla’s blueprint: Strategy, sustainability, and competitive edge. (2025). </w:t>
      </w:r>
      <w:r w:rsidRPr="3A68F3DD" w:rsidR="18DE9132">
        <w:rPr>
          <w:rFonts w:ascii="Arial" w:hAnsi="Arial" w:eastAsia="Arial" w:cs="Arial"/>
          <w:i w:val="1"/>
          <w:iCs w:val="1"/>
          <w:noProof w:val="0"/>
          <w:sz w:val="24"/>
          <w:szCs w:val="24"/>
          <w:lang w:val="en-US"/>
        </w:rPr>
        <w:t>Thestrategyinstitute.org</w:t>
      </w:r>
      <w:r w:rsidRPr="3A68F3DD" w:rsidR="18DE9132">
        <w:rPr>
          <w:rFonts w:ascii="Arial" w:hAnsi="Arial" w:eastAsia="Arial" w:cs="Arial"/>
          <w:noProof w:val="0"/>
          <w:sz w:val="24"/>
          <w:szCs w:val="24"/>
          <w:lang w:val="en-US"/>
        </w:rPr>
        <w:t xml:space="preserve">. Available at: </w:t>
      </w:r>
      <w:hyperlink r:id="Rbb92dd72d08c484e">
        <w:r w:rsidRPr="3A68F3DD" w:rsidR="18DE9132">
          <w:rPr>
            <w:rStyle w:val="Hyperlink"/>
            <w:noProof w:val="0"/>
            <w:lang w:val="en-US"/>
          </w:rPr>
          <w:t>https://www.thestrategyinstitute.org/insights/inside-teslas-blueprint-strategy-sustainability-and-competitive-edge</w:t>
        </w:r>
      </w:hyperlink>
      <w:r w:rsidRPr="3A68F3DD" w:rsidR="18DE9132">
        <w:rPr>
          <w:rFonts w:ascii="Arial" w:hAnsi="Arial" w:eastAsia="Arial" w:cs="Arial"/>
          <w:noProof w:val="0"/>
          <w:sz w:val="24"/>
          <w:szCs w:val="24"/>
          <w:lang w:val="en-US"/>
        </w:rPr>
        <w:t xml:space="preserve"> </w:t>
      </w:r>
      <w:r w:rsidRPr="3A68F3DD" w:rsidR="5463BEE0">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1157D119">
        <w:rPr>
          <w:rFonts w:ascii="Arial" w:hAnsi="Arial" w:eastAsia="Arial" w:cs="Arial"/>
          <w:noProof w:val="0"/>
          <w:sz w:val="24"/>
          <w:szCs w:val="24"/>
          <w:lang w:val="en-US"/>
        </w:rPr>
        <w:t>).</w:t>
      </w:r>
    </w:p>
    <w:p w:rsidR="3D1CC0A4" w:rsidP="3A68F3DD" w:rsidRDefault="3D1CC0A4" w14:paraId="21A76887" w14:textId="10DA916C">
      <w:pPr>
        <w:spacing w:before="0" w:beforeAutospacing="off" w:after="240" w:afterAutospacing="off" w:line="360" w:lineRule="auto"/>
      </w:pPr>
      <w:r w:rsidRPr="3A68F3DD" w:rsidR="18DE9132">
        <w:rPr>
          <w:rFonts w:ascii="Arial" w:hAnsi="Arial" w:eastAsia="Arial" w:cs="Arial"/>
          <w:noProof w:val="0"/>
          <w:sz w:val="24"/>
          <w:szCs w:val="24"/>
          <w:lang w:val="en-US"/>
        </w:rPr>
        <w:t xml:space="preserve">Jason, </w:t>
      </w:r>
      <w:r w:rsidRPr="3A68F3DD" w:rsidR="18DE9132">
        <w:rPr>
          <w:rFonts w:ascii="Arial" w:hAnsi="Arial" w:eastAsia="Arial" w:cs="Arial"/>
          <w:noProof w:val="0"/>
          <w:sz w:val="24"/>
          <w:szCs w:val="24"/>
          <w:lang w:val="en-US"/>
        </w:rPr>
        <w:t>C.</w:t>
      </w:r>
      <w:r w:rsidRPr="3A68F3DD" w:rsidR="18DE9132">
        <w:rPr>
          <w:rFonts w:ascii="Arial" w:hAnsi="Arial" w:eastAsia="Arial" w:cs="Arial"/>
          <w:noProof w:val="0"/>
          <w:sz w:val="24"/>
          <w:szCs w:val="24"/>
          <w:lang w:val="en-US"/>
        </w:rPr>
        <w:t xml:space="preserve"> and Gerald, W. (2026). </w:t>
      </w:r>
      <w:r w:rsidRPr="3A68F3DD" w:rsidR="18DE9132">
        <w:rPr>
          <w:rFonts w:ascii="Arial" w:hAnsi="Arial" w:eastAsia="Arial" w:cs="Arial"/>
          <w:i w:val="1"/>
          <w:iCs w:val="1"/>
          <w:noProof w:val="0"/>
          <w:sz w:val="24"/>
          <w:szCs w:val="24"/>
          <w:lang w:val="en-US"/>
        </w:rPr>
        <w:t>Redirecting</w:t>
      </w:r>
      <w:r w:rsidRPr="3A68F3DD" w:rsidR="18DE9132">
        <w:rPr>
          <w:rFonts w:ascii="Arial" w:hAnsi="Arial" w:eastAsia="Arial" w:cs="Arial"/>
          <w:noProof w:val="0"/>
          <w:sz w:val="24"/>
          <w:szCs w:val="24"/>
          <w:lang w:val="en-US"/>
        </w:rPr>
        <w:t xml:space="preserve">. Proquest.com. Available at: </w:t>
      </w:r>
      <w:hyperlink r:id="R8019b87a8ca945fb">
        <w:r w:rsidRPr="3A68F3DD" w:rsidR="18DE9132">
          <w:rPr>
            <w:rStyle w:val="Hyperlink"/>
            <w:noProof w:val="0"/>
            <w:lang w:val="en-US"/>
          </w:rPr>
          <w:t>https://www.proquest.com/scholarly-journals/learning-doing-exploration-experience-critical/docview/212171407/se-2?accountid=130472</w:t>
        </w:r>
      </w:hyperlink>
      <w:r w:rsidRPr="3A68F3DD" w:rsidR="18DE9132">
        <w:rPr>
          <w:rFonts w:ascii="Arial" w:hAnsi="Arial" w:eastAsia="Arial" w:cs="Arial"/>
          <w:noProof w:val="0"/>
          <w:sz w:val="24"/>
          <w:szCs w:val="24"/>
          <w:lang w:val="en-US"/>
        </w:rPr>
        <w:t xml:space="preserve"> </w:t>
      </w:r>
      <w:r w:rsidRPr="3A68F3DD" w:rsidR="32BACB07">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16 July 2026</w:t>
      </w:r>
      <w:r w:rsidRPr="3A68F3DD" w:rsidR="1D913DED">
        <w:rPr>
          <w:rFonts w:ascii="Arial" w:hAnsi="Arial" w:eastAsia="Arial" w:cs="Arial"/>
          <w:noProof w:val="0"/>
          <w:sz w:val="24"/>
          <w:szCs w:val="24"/>
          <w:lang w:val="en-US"/>
        </w:rPr>
        <w:t>).</w:t>
      </w:r>
    </w:p>
    <w:p w:rsidR="3D1CC0A4" w:rsidP="3A68F3DD" w:rsidRDefault="3D1CC0A4" w14:paraId="2FD1156A" w14:textId="30F32CF9">
      <w:pPr>
        <w:spacing w:before="0" w:beforeAutospacing="off" w:after="240" w:afterAutospacing="off" w:line="360" w:lineRule="auto"/>
      </w:pPr>
      <w:r w:rsidRPr="3A68F3DD" w:rsidR="18DE9132">
        <w:rPr>
          <w:rFonts w:ascii="Arial" w:hAnsi="Arial" w:eastAsia="Arial" w:cs="Arial"/>
          <w:noProof w:val="0"/>
          <w:sz w:val="24"/>
          <w:szCs w:val="24"/>
          <w:lang w:val="en-US"/>
        </w:rPr>
        <w:t xml:space="preserve">Jurevicius, O. (2025). </w:t>
      </w:r>
      <w:r w:rsidRPr="3A68F3DD" w:rsidR="18DE9132">
        <w:rPr>
          <w:rFonts w:ascii="Arial" w:hAnsi="Arial" w:eastAsia="Arial" w:cs="Arial"/>
          <w:i w:val="1"/>
          <w:iCs w:val="1"/>
          <w:noProof w:val="0"/>
          <w:sz w:val="24"/>
          <w:szCs w:val="24"/>
          <w:lang w:val="en-US"/>
        </w:rPr>
        <w:t>VRIO framework explained</w:t>
      </w:r>
      <w:r w:rsidRPr="3A68F3DD" w:rsidR="18DE9132">
        <w:rPr>
          <w:rFonts w:ascii="Arial" w:hAnsi="Arial" w:eastAsia="Arial" w:cs="Arial"/>
          <w:noProof w:val="0"/>
          <w:sz w:val="24"/>
          <w:szCs w:val="24"/>
          <w:lang w:val="en-US"/>
        </w:rPr>
        <w:t>.</w:t>
      </w:r>
      <w:r w:rsidRPr="3A68F3DD" w:rsidR="7646CA1D">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Strategic Management Insight</w:t>
      </w:r>
      <w:r w:rsidRPr="3A68F3DD" w:rsidR="18DE9132">
        <w:rPr>
          <w:rFonts w:ascii="Arial" w:hAnsi="Arial" w:eastAsia="Arial" w:cs="Arial"/>
          <w:noProof w:val="0"/>
          <w:sz w:val="24"/>
          <w:szCs w:val="24"/>
          <w:lang w:val="en-US"/>
        </w:rPr>
        <w:t xml:space="preserve">. Available at: </w:t>
      </w:r>
      <w:hyperlink r:id="R8097ccc7bbb649ab">
        <w:r w:rsidRPr="3A68F3DD" w:rsidR="18DE9132">
          <w:rPr>
            <w:rStyle w:val="Hyperlink"/>
            <w:noProof w:val="0"/>
            <w:lang w:val="en-US"/>
          </w:rPr>
          <w:t>https://strategicmanagementinsight.com/tools/vrio/</w:t>
        </w:r>
      </w:hyperlink>
      <w:r w:rsidRPr="3A68F3DD" w:rsidR="18DE9132">
        <w:rPr>
          <w:rFonts w:ascii="Arial" w:hAnsi="Arial" w:eastAsia="Arial" w:cs="Arial"/>
          <w:noProof w:val="0"/>
          <w:sz w:val="24"/>
          <w:szCs w:val="24"/>
          <w:lang w:val="en-US"/>
        </w:rPr>
        <w:t xml:space="preserve"> </w:t>
      </w:r>
      <w:r w:rsidRPr="3A68F3DD" w:rsidR="130D4C63">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65534975">
        <w:rPr>
          <w:rFonts w:ascii="Arial" w:hAnsi="Arial" w:eastAsia="Arial" w:cs="Arial"/>
          <w:noProof w:val="0"/>
          <w:sz w:val="24"/>
          <w:szCs w:val="24"/>
          <w:lang w:val="en-US"/>
        </w:rPr>
        <w:t>).</w:t>
      </w:r>
    </w:p>
    <w:p w:rsidR="3D1CC0A4" w:rsidP="3A68F3DD" w:rsidRDefault="3D1CC0A4" w14:paraId="0A522C17" w14:textId="39562485">
      <w:pPr>
        <w:spacing w:before="0" w:beforeAutospacing="off" w:after="240" w:afterAutospacing="off" w:line="360" w:lineRule="auto"/>
      </w:pPr>
      <w:r w:rsidRPr="3A68F3DD" w:rsidR="18DE9132">
        <w:rPr>
          <w:rFonts w:ascii="Arial" w:hAnsi="Arial" w:eastAsia="Arial" w:cs="Arial"/>
          <w:noProof w:val="0"/>
          <w:sz w:val="24"/>
          <w:szCs w:val="24"/>
          <w:lang w:val="en-US"/>
        </w:rPr>
        <w:t xml:space="preserve">Kaplan, R.S. and Norton, D.P. (1992). </w:t>
      </w:r>
      <w:r w:rsidRPr="3A68F3DD" w:rsidR="18DE9132">
        <w:rPr>
          <w:rFonts w:ascii="Arial" w:hAnsi="Arial" w:eastAsia="Arial" w:cs="Arial"/>
          <w:i w:val="1"/>
          <w:iCs w:val="1"/>
          <w:noProof w:val="0"/>
          <w:sz w:val="24"/>
          <w:szCs w:val="24"/>
          <w:lang w:val="en-US"/>
        </w:rPr>
        <w:t>The balanced scorecard—measures that drive performance</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Harvard Business Review</w:t>
      </w:r>
      <w:r w:rsidRPr="3A68F3DD" w:rsidR="18DE9132">
        <w:rPr>
          <w:rFonts w:ascii="Arial" w:hAnsi="Arial" w:eastAsia="Arial" w:cs="Arial"/>
          <w:noProof w:val="0"/>
          <w:sz w:val="24"/>
          <w:szCs w:val="24"/>
          <w:lang w:val="en-US"/>
        </w:rPr>
        <w:t xml:space="preserve">. Available at: </w:t>
      </w:r>
      <w:hyperlink r:id="Rdd0953056f9444f1">
        <w:r w:rsidRPr="3A68F3DD" w:rsidR="18DE9132">
          <w:rPr>
            <w:rStyle w:val="Hyperlink"/>
            <w:noProof w:val="0"/>
            <w:lang w:val="en-US"/>
          </w:rPr>
          <w:t>https://hbr.org/1992/01/the-balanced-scorecard-measures-that-drive-performance-2</w:t>
        </w:r>
      </w:hyperlink>
      <w:r w:rsidRPr="3A68F3DD" w:rsidR="18DE9132">
        <w:rPr>
          <w:rFonts w:ascii="Arial" w:hAnsi="Arial" w:eastAsia="Arial" w:cs="Arial"/>
          <w:noProof w:val="0"/>
          <w:sz w:val="24"/>
          <w:szCs w:val="24"/>
          <w:lang w:val="en-US"/>
        </w:rPr>
        <w:t xml:space="preserve"> </w:t>
      </w:r>
      <w:r w:rsidRPr="3A68F3DD" w:rsidR="0BDA9C39">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1D8A397B">
        <w:rPr>
          <w:rFonts w:ascii="Arial" w:hAnsi="Arial" w:eastAsia="Arial" w:cs="Arial"/>
          <w:noProof w:val="0"/>
          <w:sz w:val="24"/>
          <w:szCs w:val="24"/>
          <w:lang w:val="en-US"/>
        </w:rPr>
        <w:t>).</w:t>
      </w:r>
    </w:p>
    <w:p w:rsidR="3D1CC0A4" w:rsidP="3A68F3DD" w:rsidRDefault="3D1CC0A4" w14:paraId="4AD02F77" w14:textId="5FF3A692">
      <w:pPr>
        <w:spacing w:before="0" w:beforeAutospacing="off" w:after="240" w:afterAutospacing="off" w:line="360" w:lineRule="auto"/>
      </w:pPr>
      <w:r w:rsidRPr="3A68F3DD" w:rsidR="18DE9132">
        <w:rPr>
          <w:rFonts w:ascii="Arial" w:hAnsi="Arial" w:eastAsia="Arial" w:cs="Arial"/>
          <w:noProof w:val="0"/>
          <w:sz w:val="24"/>
          <w:szCs w:val="24"/>
          <w:lang w:val="en-US"/>
        </w:rPr>
        <w:t xml:space="preserve">Kirkman, B.L., Lowe, K.B. and Gibson, C.B. (2006). A Quarter Century of Culture’s Consequences: A Review of Empirical Research Incorporating Hofstede’s Cultural Values Framework. </w:t>
      </w:r>
      <w:r w:rsidRPr="3A68F3DD" w:rsidR="18DE9132">
        <w:rPr>
          <w:rFonts w:ascii="Arial" w:hAnsi="Arial" w:eastAsia="Arial" w:cs="Arial"/>
          <w:i w:val="1"/>
          <w:iCs w:val="1"/>
          <w:noProof w:val="0"/>
          <w:sz w:val="24"/>
          <w:szCs w:val="24"/>
          <w:lang w:val="en-US"/>
        </w:rPr>
        <w:t>Journal of International Business Studies</w:t>
      </w:r>
      <w:r w:rsidRPr="3A68F3DD" w:rsidR="18DE9132">
        <w:rPr>
          <w:rFonts w:ascii="Arial" w:hAnsi="Arial" w:eastAsia="Arial" w:cs="Arial"/>
          <w:noProof w:val="0"/>
          <w:sz w:val="24"/>
          <w:szCs w:val="24"/>
          <w:lang w:val="en-US"/>
        </w:rPr>
        <w:t xml:space="preserve">, 37(3), pp.285–320. </w:t>
      </w:r>
      <w:r>
        <w:fldChar w:fldCharType="begin"/>
      </w:r>
      <w:r>
        <w:instrText xml:space="preserve">HYPERLINK "https://doi:10.1057/palgrave.jibs.8400202" </w:instrText>
      </w:r>
      <w:r>
        <w:fldChar w:fldCharType="separate"/>
      </w:r>
      <w:r w:rsidRPr="3A68F3DD" w:rsidR="01A45300">
        <w:rPr>
          <w:rStyle w:val="Hyperlink"/>
          <w:noProof w:val="0"/>
          <w:lang w:val="en-US"/>
        </w:rPr>
        <w:t>https://</w:t>
      </w:r>
      <w:r w:rsidRPr="3A68F3DD" w:rsidR="18DE9132">
        <w:rPr>
          <w:rStyle w:val="Hyperlink"/>
          <w:noProof w:val="0"/>
          <w:lang w:val="en-US"/>
        </w:rPr>
        <w:t>doi:10.1057/palgrave.jibs.8400202</w:t>
      </w:r>
      <w:r>
        <w:fldChar w:fldCharType="end"/>
      </w:r>
      <w:r w:rsidRPr="3A68F3DD" w:rsidR="18DE9132">
        <w:rPr>
          <w:rFonts w:ascii="Arial" w:hAnsi="Arial" w:eastAsia="Arial" w:cs="Arial"/>
          <w:noProof w:val="0"/>
          <w:sz w:val="24"/>
          <w:szCs w:val="24"/>
          <w:lang w:val="en-US"/>
        </w:rPr>
        <w:t>.</w:t>
      </w:r>
      <w:r w:rsidRPr="3A68F3DD" w:rsidR="192EB70A">
        <w:rPr>
          <w:rFonts w:ascii="Arial" w:hAnsi="Arial" w:eastAsia="Arial" w:cs="Arial"/>
          <w:noProof w:val="0"/>
          <w:sz w:val="24"/>
          <w:szCs w:val="24"/>
          <w:lang w:val="en-US"/>
        </w:rPr>
        <w:t xml:space="preserve"> </w:t>
      </w:r>
    </w:p>
    <w:p w:rsidR="3D1CC0A4" w:rsidP="3A68F3DD" w:rsidRDefault="3D1CC0A4" w14:paraId="4E862685" w14:textId="35B26D6E">
      <w:pPr>
        <w:spacing w:before="0" w:beforeAutospacing="off" w:after="240" w:afterAutospacing="off" w:line="360" w:lineRule="auto"/>
      </w:pPr>
      <w:r w:rsidRPr="3A68F3DD" w:rsidR="18DE9132">
        <w:rPr>
          <w:rFonts w:ascii="Arial" w:hAnsi="Arial" w:eastAsia="Arial" w:cs="Arial"/>
          <w:noProof w:val="0"/>
          <w:sz w:val="24"/>
          <w:szCs w:val="24"/>
          <w:lang w:val="en-US"/>
        </w:rPr>
        <w:t xml:space="preserve">Li, Z. (2024). A Review of the Current Status of Global Electric Vehicle Charging Infrastructure Development. </w:t>
      </w:r>
      <w:r w:rsidRPr="3A68F3DD" w:rsidR="18DE9132">
        <w:rPr>
          <w:rFonts w:ascii="Arial" w:hAnsi="Arial" w:eastAsia="Arial" w:cs="Arial"/>
          <w:i w:val="1"/>
          <w:iCs w:val="1"/>
          <w:noProof w:val="0"/>
          <w:sz w:val="24"/>
          <w:szCs w:val="24"/>
          <w:lang w:val="en-US"/>
        </w:rPr>
        <w:t xml:space="preserve">International Journal of Global Economics and </w:t>
      </w:r>
      <w:r w:rsidRPr="3A68F3DD" w:rsidR="11058EB1">
        <w:rPr>
          <w:rFonts w:ascii="Arial" w:hAnsi="Arial" w:eastAsia="Arial" w:cs="Arial"/>
          <w:i w:val="1"/>
          <w:iCs w:val="1"/>
          <w:noProof w:val="0"/>
          <w:sz w:val="24"/>
          <w:szCs w:val="24"/>
          <w:lang w:val="en-US"/>
        </w:rPr>
        <w:t>Management, 3</w:t>
      </w:r>
      <w:r w:rsidRPr="3A68F3DD" w:rsidR="18DE9132">
        <w:rPr>
          <w:rFonts w:ascii="Arial" w:hAnsi="Arial" w:eastAsia="Arial" w:cs="Arial"/>
          <w:noProof w:val="0"/>
          <w:sz w:val="24"/>
          <w:szCs w:val="24"/>
          <w:lang w:val="en-US"/>
        </w:rPr>
        <w:t>(3), pp</w:t>
      </w:r>
      <w:r w:rsidRPr="3A68F3DD" w:rsidR="0A84419B">
        <w:rPr>
          <w:rFonts w:ascii="Arial" w:hAnsi="Arial" w:eastAsia="Arial" w:cs="Arial"/>
          <w:noProof w:val="0"/>
          <w:sz w:val="24"/>
          <w:szCs w:val="24"/>
          <w:lang w:val="en-US"/>
        </w:rPr>
        <w:t>. 123</w:t>
      </w:r>
      <w:r w:rsidRPr="3A68F3DD" w:rsidR="18DE9132">
        <w:rPr>
          <w:rFonts w:ascii="Arial" w:hAnsi="Arial" w:eastAsia="Arial" w:cs="Arial"/>
          <w:noProof w:val="0"/>
          <w:sz w:val="24"/>
          <w:szCs w:val="24"/>
          <w:lang w:val="en-US"/>
        </w:rPr>
        <w:t xml:space="preserve">–134. </w:t>
      </w:r>
      <w:r>
        <w:fldChar w:fldCharType="begin"/>
      </w:r>
      <w:r>
        <w:instrText xml:space="preserve">HYPERLINK "https://doi:10.62051/ijgem.v3n3.15" </w:instrText>
      </w:r>
      <w:r>
        <w:fldChar w:fldCharType="separate"/>
      </w:r>
      <w:r w:rsidRPr="3A68F3DD" w:rsidR="69C90C2C">
        <w:rPr>
          <w:rStyle w:val="Hyperlink"/>
          <w:noProof w:val="0"/>
          <w:lang w:val="en-US"/>
        </w:rPr>
        <w:t>https://</w:t>
      </w:r>
      <w:r w:rsidRPr="3A68F3DD" w:rsidR="18DE9132">
        <w:rPr>
          <w:rStyle w:val="Hyperlink"/>
          <w:noProof w:val="0"/>
          <w:lang w:val="en-US"/>
        </w:rPr>
        <w:t>doi:10.62051/ijgem.v3n3.15</w:t>
      </w:r>
      <w:r>
        <w:fldChar w:fldCharType="end"/>
      </w:r>
      <w:r w:rsidRPr="3A68F3DD" w:rsidR="18DE9132">
        <w:rPr>
          <w:rFonts w:ascii="Arial" w:hAnsi="Arial" w:eastAsia="Arial" w:cs="Arial"/>
          <w:noProof w:val="0"/>
          <w:sz w:val="24"/>
          <w:szCs w:val="24"/>
          <w:lang w:val="en-US"/>
        </w:rPr>
        <w:t>.</w:t>
      </w:r>
      <w:r w:rsidRPr="3A68F3DD" w:rsidR="19188E7B">
        <w:rPr>
          <w:rFonts w:ascii="Arial" w:hAnsi="Arial" w:eastAsia="Arial" w:cs="Arial"/>
          <w:noProof w:val="0"/>
          <w:sz w:val="24"/>
          <w:szCs w:val="24"/>
          <w:lang w:val="en-US"/>
        </w:rPr>
        <w:t xml:space="preserve"> </w:t>
      </w:r>
    </w:p>
    <w:p w:rsidR="3D1CC0A4" w:rsidP="3A68F3DD" w:rsidRDefault="3D1CC0A4" w14:paraId="6C8957C4" w14:textId="1CB8C92C">
      <w:pPr>
        <w:spacing w:before="0" w:beforeAutospacing="off" w:after="240" w:afterAutospacing="off" w:line="360" w:lineRule="auto"/>
      </w:pPr>
      <w:r w:rsidRPr="3A68F3DD" w:rsidR="18DE9132">
        <w:rPr>
          <w:rFonts w:ascii="Arial" w:hAnsi="Arial" w:eastAsia="Arial" w:cs="Arial"/>
          <w:noProof w:val="0"/>
          <w:sz w:val="24"/>
          <w:szCs w:val="24"/>
          <w:lang w:val="en-US"/>
        </w:rPr>
        <w:t xml:space="preserve">Liu, </w:t>
      </w:r>
      <w:r w:rsidRPr="3A68F3DD" w:rsidR="18DE9132">
        <w:rPr>
          <w:rFonts w:ascii="Arial" w:hAnsi="Arial" w:eastAsia="Arial" w:cs="Arial"/>
          <w:noProof w:val="0"/>
          <w:sz w:val="24"/>
          <w:szCs w:val="24"/>
          <w:lang w:val="en-US"/>
        </w:rPr>
        <w:t>X.</w:t>
      </w:r>
      <w:r w:rsidRPr="3A68F3DD" w:rsidR="18DE9132">
        <w:rPr>
          <w:rFonts w:ascii="Arial" w:hAnsi="Arial" w:eastAsia="Arial" w:cs="Arial"/>
          <w:noProof w:val="0"/>
          <w:sz w:val="24"/>
          <w:szCs w:val="24"/>
          <w:lang w:val="en-US"/>
        </w:rPr>
        <w:t xml:space="preserve"> and Zhou, Y. (2025). The impact of Strategic corporate social responsibility on organizational Resilience—An exploratory case study based on tesla. </w:t>
      </w:r>
      <w:r w:rsidRPr="3A68F3DD" w:rsidR="18DE9132">
        <w:rPr>
          <w:rFonts w:ascii="Arial" w:hAnsi="Arial" w:eastAsia="Arial" w:cs="Arial"/>
          <w:i w:val="1"/>
          <w:iCs w:val="1"/>
          <w:noProof w:val="0"/>
          <w:sz w:val="24"/>
          <w:szCs w:val="24"/>
          <w:lang w:val="en-US"/>
        </w:rPr>
        <w:t xml:space="preserve">Administrative </w:t>
      </w:r>
      <w:r w:rsidRPr="3A68F3DD" w:rsidR="18DE9132">
        <w:rPr>
          <w:rFonts w:ascii="Arial" w:hAnsi="Arial" w:eastAsia="Arial" w:cs="Arial"/>
          <w:i w:val="1"/>
          <w:iCs w:val="1"/>
          <w:noProof w:val="0"/>
          <w:sz w:val="24"/>
          <w:szCs w:val="24"/>
          <w:lang w:val="en-US"/>
        </w:rPr>
        <w:t>sciences</w:t>
      </w:r>
      <w:r w:rsidRPr="3A68F3DD" w:rsidR="18DE9132">
        <w:rPr>
          <w:rFonts w:ascii="Arial" w:hAnsi="Arial" w:eastAsia="Arial" w:cs="Arial"/>
          <w:noProof w:val="0"/>
          <w:sz w:val="24"/>
          <w:szCs w:val="24"/>
          <w:lang w:val="en-US"/>
        </w:rPr>
        <w:t xml:space="preserve">, 15(6), pp.212–212. </w:t>
      </w:r>
      <w:r>
        <w:fldChar w:fldCharType="begin"/>
      </w:r>
      <w:r>
        <w:instrText xml:space="preserve">HYPERLINK "https://doi:10.3390/admsci15060212" </w:instrText>
      </w:r>
      <w:r>
        <w:fldChar w:fldCharType="separate"/>
      </w:r>
      <w:r w:rsidRPr="3A68F3DD" w:rsidR="0F136314">
        <w:rPr>
          <w:rStyle w:val="Hyperlink"/>
          <w:noProof w:val="0"/>
          <w:lang w:val="en-US"/>
        </w:rPr>
        <w:t>https://</w:t>
      </w:r>
      <w:r w:rsidRPr="3A68F3DD" w:rsidR="18DE9132">
        <w:rPr>
          <w:rStyle w:val="Hyperlink"/>
          <w:noProof w:val="0"/>
          <w:lang w:val="en-US"/>
        </w:rPr>
        <w:t>doi:10.3390/admsci15060212</w:t>
      </w:r>
      <w:r>
        <w:fldChar w:fldCharType="end"/>
      </w:r>
      <w:r w:rsidRPr="3A68F3DD" w:rsidR="18DE9132">
        <w:rPr>
          <w:rFonts w:ascii="Arial" w:hAnsi="Arial" w:eastAsia="Arial" w:cs="Arial"/>
          <w:noProof w:val="0"/>
          <w:sz w:val="24"/>
          <w:szCs w:val="24"/>
          <w:lang w:val="en-US"/>
        </w:rPr>
        <w:t>.</w:t>
      </w:r>
      <w:r w:rsidRPr="3A68F3DD" w:rsidR="40D86EAE">
        <w:rPr>
          <w:rFonts w:ascii="Arial" w:hAnsi="Arial" w:eastAsia="Arial" w:cs="Arial"/>
          <w:noProof w:val="0"/>
          <w:sz w:val="24"/>
          <w:szCs w:val="24"/>
          <w:lang w:val="en-US"/>
        </w:rPr>
        <w:t xml:space="preserve"> </w:t>
      </w:r>
    </w:p>
    <w:p w:rsidR="3D1CC0A4" w:rsidP="3A68F3DD" w:rsidRDefault="3D1CC0A4" w14:paraId="1D8290B2" w14:textId="6984F1F9">
      <w:pPr>
        <w:spacing w:before="0" w:beforeAutospacing="off" w:after="240" w:afterAutospacing="off" w:line="360" w:lineRule="auto"/>
      </w:pPr>
      <w:r w:rsidRPr="3A68F3DD" w:rsidR="18DE9132">
        <w:rPr>
          <w:rFonts w:ascii="Arial" w:hAnsi="Arial" w:eastAsia="Arial" w:cs="Arial"/>
          <w:noProof w:val="0"/>
          <w:sz w:val="24"/>
          <w:szCs w:val="24"/>
          <w:lang w:val="en-US"/>
        </w:rPr>
        <w:t xml:space="preserve">Liu, Y. (2013). Sustainable competitive advantage in turbulent business environments. </w:t>
      </w:r>
      <w:r w:rsidRPr="3A68F3DD" w:rsidR="18DE9132">
        <w:rPr>
          <w:rFonts w:ascii="Arial" w:hAnsi="Arial" w:eastAsia="Arial" w:cs="Arial"/>
          <w:i w:val="1"/>
          <w:iCs w:val="1"/>
          <w:noProof w:val="0"/>
          <w:sz w:val="24"/>
          <w:szCs w:val="24"/>
          <w:lang w:val="en-US"/>
        </w:rPr>
        <w:t xml:space="preserve">International </w:t>
      </w:r>
      <w:r w:rsidRPr="3A68F3DD" w:rsidR="18DE9132">
        <w:rPr>
          <w:rFonts w:ascii="Arial" w:hAnsi="Arial" w:eastAsia="Arial" w:cs="Arial"/>
          <w:i w:val="1"/>
          <w:iCs w:val="1"/>
          <w:noProof w:val="0"/>
          <w:sz w:val="24"/>
          <w:szCs w:val="24"/>
          <w:lang w:val="en-US"/>
        </w:rPr>
        <w:t>journal</w:t>
      </w:r>
      <w:r w:rsidRPr="3A68F3DD" w:rsidR="18DE9132">
        <w:rPr>
          <w:rFonts w:ascii="Arial" w:hAnsi="Arial" w:eastAsia="Arial" w:cs="Arial"/>
          <w:i w:val="1"/>
          <w:iCs w:val="1"/>
          <w:noProof w:val="0"/>
          <w:sz w:val="24"/>
          <w:szCs w:val="24"/>
          <w:lang w:val="en-US"/>
        </w:rPr>
        <w:t xml:space="preserve"> of Production </w:t>
      </w:r>
      <w:r w:rsidRPr="3A68F3DD" w:rsidR="18DE9132">
        <w:rPr>
          <w:rFonts w:ascii="Arial" w:hAnsi="Arial" w:eastAsia="Arial" w:cs="Arial"/>
          <w:i w:val="1"/>
          <w:iCs w:val="1"/>
          <w:noProof w:val="0"/>
          <w:sz w:val="24"/>
          <w:szCs w:val="24"/>
          <w:lang w:val="en-US"/>
        </w:rPr>
        <w:t>research</w:t>
      </w:r>
      <w:r w:rsidRPr="3A68F3DD" w:rsidR="18DE9132">
        <w:rPr>
          <w:rFonts w:ascii="Arial" w:hAnsi="Arial" w:eastAsia="Arial" w:cs="Arial"/>
          <w:noProof w:val="0"/>
          <w:sz w:val="24"/>
          <w:szCs w:val="24"/>
          <w:lang w:val="en-US"/>
        </w:rPr>
        <w:t xml:space="preserve">, 51(10), pp.2821–2841. </w:t>
      </w:r>
      <w:r>
        <w:fldChar w:fldCharType="begin"/>
      </w:r>
      <w:r>
        <w:instrText xml:space="preserve">HYPERLINK "https://doi:10.1080/00207543.2012.720392" </w:instrText>
      </w:r>
      <w:r>
        <w:fldChar w:fldCharType="separate"/>
      </w:r>
      <w:r w:rsidRPr="3A68F3DD" w:rsidR="0EFECEBB">
        <w:rPr>
          <w:rStyle w:val="Hyperlink"/>
          <w:noProof w:val="0"/>
          <w:lang w:val="en-US"/>
        </w:rPr>
        <w:t>https://</w:t>
      </w:r>
      <w:r w:rsidRPr="3A68F3DD" w:rsidR="18DE9132">
        <w:rPr>
          <w:rStyle w:val="Hyperlink"/>
          <w:noProof w:val="0"/>
          <w:lang w:val="en-US"/>
        </w:rPr>
        <w:t>doi:10.1080/00207543.2012.720392</w:t>
      </w:r>
      <w:r>
        <w:fldChar w:fldCharType="end"/>
      </w:r>
      <w:r w:rsidRPr="3A68F3DD" w:rsidR="18DE9132">
        <w:rPr>
          <w:rFonts w:ascii="Arial" w:hAnsi="Arial" w:eastAsia="Arial" w:cs="Arial"/>
          <w:noProof w:val="0"/>
          <w:sz w:val="24"/>
          <w:szCs w:val="24"/>
          <w:lang w:val="en-US"/>
        </w:rPr>
        <w:t>.</w:t>
      </w:r>
      <w:r w:rsidRPr="3A68F3DD" w:rsidR="3A266B16">
        <w:rPr>
          <w:rFonts w:ascii="Arial" w:hAnsi="Arial" w:eastAsia="Arial" w:cs="Arial"/>
          <w:noProof w:val="0"/>
          <w:sz w:val="24"/>
          <w:szCs w:val="24"/>
          <w:lang w:val="en-US"/>
        </w:rPr>
        <w:t xml:space="preserve"> </w:t>
      </w:r>
    </w:p>
    <w:p w:rsidR="3D1CC0A4" w:rsidP="3A68F3DD" w:rsidRDefault="3D1CC0A4" w14:paraId="58074C54" w14:textId="3DBFF7DF">
      <w:pPr>
        <w:spacing w:before="0" w:beforeAutospacing="off" w:after="240" w:afterAutospacing="off" w:line="360" w:lineRule="auto"/>
      </w:pPr>
      <w:r w:rsidRPr="3A68F3DD" w:rsidR="18DE9132">
        <w:rPr>
          <w:rFonts w:ascii="Arial" w:hAnsi="Arial" w:eastAsia="Arial" w:cs="Arial"/>
          <w:noProof w:val="0"/>
          <w:sz w:val="24"/>
          <w:szCs w:val="24"/>
          <w:lang w:val="en-US"/>
        </w:rPr>
        <w:t xml:space="preserve">Makos, J. (2022). </w:t>
      </w:r>
      <w:r w:rsidRPr="3A68F3DD" w:rsidR="18DE9132">
        <w:rPr>
          <w:rFonts w:ascii="Arial" w:hAnsi="Arial" w:eastAsia="Arial" w:cs="Arial"/>
          <w:i w:val="1"/>
          <w:iCs w:val="1"/>
          <w:noProof w:val="0"/>
          <w:sz w:val="24"/>
          <w:szCs w:val="24"/>
          <w:lang w:val="en-US"/>
        </w:rPr>
        <w:t>Pestel framework: The 6 factors of Pestel analysis</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PESTLE Analysis</w:t>
      </w:r>
      <w:r w:rsidRPr="3A68F3DD" w:rsidR="18DE9132">
        <w:rPr>
          <w:rFonts w:ascii="Arial" w:hAnsi="Arial" w:eastAsia="Arial" w:cs="Arial"/>
          <w:noProof w:val="0"/>
          <w:sz w:val="24"/>
          <w:szCs w:val="24"/>
          <w:lang w:val="en-US"/>
        </w:rPr>
        <w:t xml:space="preserve">. Available at: </w:t>
      </w:r>
      <w:hyperlink r:id="Ra76929522ce04172">
        <w:r w:rsidRPr="3A68F3DD" w:rsidR="18DE9132">
          <w:rPr>
            <w:rStyle w:val="Hyperlink"/>
            <w:noProof w:val="0"/>
            <w:lang w:val="en-US"/>
          </w:rPr>
          <w:t>https://pestleanalysis.com/pestel-framework/</w:t>
        </w:r>
      </w:hyperlink>
      <w:r w:rsidRPr="3A68F3DD" w:rsidR="18DE9132">
        <w:rPr>
          <w:rFonts w:ascii="Arial" w:hAnsi="Arial" w:eastAsia="Arial" w:cs="Arial"/>
          <w:noProof w:val="0"/>
          <w:sz w:val="24"/>
          <w:szCs w:val="24"/>
          <w:lang w:val="en-US"/>
        </w:rPr>
        <w:t xml:space="preserve"> </w:t>
      </w:r>
      <w:r w:rsidRPr="3A68F3DD" w:rsidR="231A714F">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6918A45F">
        <w:rPr>
          <w:rFonts w:ascii="Arial" w:hAnsi="Arial" w:eastAsia="Arial" w:cs="Arial"/>
          <w:noProof w:val="0"/>
          <w:sz w:val="24"/>
          <w:szCs w:val="24"/>
          <w:lang w:val="en-US"/>
        </w:rPr>
        <w:t>)</w:t>
      </w:r>
    </w:p>
    <w:p w:rsidR="3D1CC0A4" w:rsidP="3A68F3DD" w:rsidRDefault="3D1CC0A4" w14:paraId="41903F90" w14:textId="557B186E">
      <w:pPr>
        <w:spacing w:before="0" w:beforeAutospacing="off" w:after="240" w:afterAutospacing="off" w:line="360" w:lineRule="auto"/>
      </w:pPr>
      <w:r w:rsidRPr="3A68F3DD" w:rsidR="18DE9132">
        <w:rPr>
          <w:rFonts w:ascii="Arial" w:hAnsi="Arial" w:eastAsia="Arial" w:cs="Arial"/>
          <w:noProof w:val="0"/>
          <w:sz w:val="24"/>
          <w:szCs w:val="24"/>
          <w:lang w:val="en-US"/>
        </w:rPr>
        <w:t xml:space="preserve">Marzouk, O. (2025). </w:t>
      </w:r>
      <w:r w:rsidRPr="3A68F3DD" w:rsidR="18DE9132">
        <w:rPr>
          <w:rFonts w:ascii="Arial" w:hAnsi="Arial" w:eastAsia="Arial" w:cs="Arial"/>
          <w:i w:val="1"/>
          <w:iCs w:val="1"/>
          <w:noProof w:val="0"/>
          <w:sz w:val="24"/>
          <w:szCs w:val="24"/>
          <w:lang w:val="en-US"/>
        </w:rPr>
        <w:t>Cash Management - Pocket Notes</w:t>
      </w:r>
      <w:r w:rsidRPr="3A68F3DD" w:rsidR="18DE9132">
        <w:rPr>
          <w:rFonts w:ascii="Arial" w:hAnsi="Arial" w:eastAsia="Arial" w:cs="Arial"/>
          <w:noProof w:val="0"/>
          <w:sz w:val="24"/>
          <w:szCs w:val="24"/>
          <w:lang w:val="en-US"/>
        </w:rPr>
        <w:t xml:space="preserve">. [online] Browse SSRN’s Partners in Publishing. Available at: </w:t>
      </w:r>
      <w:hyperlink r:id="Rf72816a241354eaf">
        <w:r w:rsidRPr="3A68F3DD" w:rsidR="18DE9132">
          <w:rPr>
            <w:rStyle w:val="Hyperlink"/>
            <w:noProof w:val="0"/>
            <w:lang w:val="en-US"/>
          </w:rPr>
          <w:t>https://papers.ssrn.com/sol3/papers.cfm?abstract_id=5099325&amp;__cf_chl_tk=IjuYb.qqTo.qwWri33ldDY1jzpQJcVTyLGuX6cGc.zs-1784150235-1.0.1.1-z3rKg656MWaG84GoTy148qwer6xidm7zin167cHzMRw</w:t>
        </w:r>
      </w:hyperlink>
      <w:r w:rsidRPr="3A68F3DD" w:rsidR="18DE9132">
        <w:rPr>
          <w:rFonts w:ascii="Arial" w:hAnsi="Arial" w:eastAsia="Arial" w:cs="Arial"/>
          <w:noProof w:val="0"/>
          <w:sz w:val="24"/>
          <w:szCs w:val="24"/>
          <w:lang w:val="en-US"/>
        </w:rPr>
        <w:t xml:space="preserve"> </w:t>
      </w:r>
      <w:r w:rsidRPr="3A68F3DD" w:rsidR="239F20B1">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15 July 2026</w:t>
      </w:r>
      <w:r w:rsidRPr="3A68F3DD" w:rsidR="682B0D0A">
        <w:rPr>
          <w:rFonts w:ascii="Arial" w:hAnsi="Arial" w:eastAsia="Arial" w:cs="Arial"/>
          <w:noProof w:val="0"/>
          <w:sz w:val="24"/>
          <w:szCs w:val="24"/>
          <w:lang w:val="en-US"/>
        </w:rPr>
        <w:t>).</w:t>
      </w:r>
    </w:p>
    <w:p w:rsidR="3D1CC0A4" w:rsidP="3A68F3DD" w:rsidRDefault="3D1CC0A4" w14:paraId="71B929AB" w14:textId="72B3B0AB">
      <w:pPr>
        <w:spacing w:before="0" w:beforeAutospacing="off" w:after="240" w:afterAutospacing="off" w:line="360" w:lineRule="auto"/>
      </w:pPr>
      <w:r w:rsidRPr="3A68F3DD" w:rsidR="18DE9132">
        <w:rPr>
          <w:rFonts w:ascii="Arial" w:hAnsi="Arial" w:eastAsia="Arial" w:cs="Arial"/>
          <w:noProof w:val="0"/>
          <w:sz w:val="24"/>
          <w:szCs w:val="24"/>
          <w:lang w:val="en-US"/>
        </w:rPr>
        <w:t>Miao, D. (2025). Tesla’s innovation management strategy and market strategy optimization analysis</w:t>
      </w:r>
      <w:r w:rsidRPr="3A68F3DD" w:rsidR="18DE9132">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Scitepress</w:t>
      </w:r>
      <w:r w:rsidRPr="3A68F3DD" w:rsidR="18DE9132">
        <w:rPr>
          <w:rFonts w:ascii="Arial" w:hAnsi="Arial" w:eastAsia="Arial" w:cs="Arial"/>
          <w:noProof w:val="0"/>
          <w:sz w:val="24"/>
          <w:szCs w:val="24"/>
          <w:lang w:val="en-US"/>
        </w:rPr>
        <w:t xml:space="preserve">, [online] (ISBN: 978–989–758–778–8), pp.224–229. </w:t>
      </w:r>
      <w:r>
        <w:fldChar w:fldCharType="begin"/>
      </w:r>
      <w:r>
        <w:instrText xml:space="preserve">HYPERLINK "https://doi:10.5220/0013988900004916" </w:instrText>
      </w:r>
      <w:r>
        <w:fldChar w:fldCharType="separate"/>
      </w:r>
      <w:r w:rsidRPr="3A68F3DD" w:rsidR="4BB5D92D">
        <w:rPr>
          <w:rStyle w:val="Hyperlink"/>
          <w:noProof w:val="0"/>
          <w:lang w:val="en-US"/>
        </w:rPr>
        <w:t>https://</w:t>
      </w:r>
      <w:r w:rsidRPr="3A68F3DD" w:rsidR="18DE9132">
        <w:rPr>
          <w:rStyle w:val="Hyperlink"/>
          <w:noProof w:val="0"/>
          <w:lang w:val="en-US"/>
        </w:rPr>
        <w:t>doi:10.5220/0013988900004916</w:t>
      </w:r>
      <w:r>
        <w:fldChar w:fldCharType="end"/>
      </w:r>
      <w:r w:rsidRPr="3A68F3DD" w:rsidR="18DE9132">
        <w:rPr>
          <w:rFonts w:ascii="Arial" w:hAnsi="Arial" w:eastAsia="Arial" w:cs="Arial"/>
          <w:noProof w:val="0"/>
          <w:sz w:val="24"/>
          <w:szCs w:val="24"/>
          <w:lang w:val="en-US"/>
        </w:rPr>
        <w:t>.</w:t>
      </w:r>
      <w:r w:rsidRPr="3A68F3DD" w:rsidR="6B92CAD8">
        <w:rPr>
          <w:rFonts w:ascii="Arial" w:hAnsi="Arial" w:eastAsia="Arial" w:cs="Arial"/>
          <w:noProof w:val="0"/>
          <w:sz w:val="24"/>
          <w:szCs w:val="24"/>
          <w:lang w:val="en-US"/>
        </w:rPr>
        <w:t xml:space="preserve"> </w:t>
      </w:r>
    </w:p>
    <w:p w:rsidR="3D1CC0A4" w:rsidP="3A68F3DD" w:rsidRDefault="3D1CC0A4" w14:paraId="25652902" w14:textId="47CC376D">
      <w:pPr>
        <w:spacing w:before="0" w:beforeAutospacing="off" w:after="240" w:afterAutospacing="off" w:line="360" w:lineRule="auto"/>
      </w:pPr>
      <w:r w:rsidRPr="3A68F3DD" w:rsidR="18DE9132">
        <w:rPr>
          <w:rFonts w:ascii="Arial" w:hAnsi="Arial" w:eastAsia="Arial" w:cs="Arial"/>
          <w:noProof w:val="0"/>
          <w:sz w:val="24"/>
          <w:szCs w:val="24"/>
          <w:lang w:val="en-US"/>
        </w:rPr>
        <w:t xml:space="preserve">Mohan, A., Pal, </w:t>
      </w:r>
      <w:r w:rsidRPr="3A68F3DD" w:rsidR="18DE9132">
        <w:rPr>
          <w:rFonts w:ascii="Arial" w:hAnsi="Arial" w:eastAsia="Arial" w:cs="Arial"/>
          <w:noProof w:val="0"/>
          <w:sz w:val="24"/>
          <w:szCs w:val="24"/>
          <w:lang w:val="en-US"/>
        </w:rPr>
        <w:t>K.</w:t>
      </w:r>
      <w:r w:rsidRPr="3A68F3DD" w:rsidR="18DE9132">
        <w:rPr>
          <w:rFonts w:ascii="Arial" w:hAnsi="Arial" w:eastAsia="Arial" w:cs="Arial"/>
          <w:noProof w:val="0"/>
          <w:sz w:val="24"/>
          <w:szCs w:val="24"/>
          <w:lang w:val="en-US"/>
        </w:rPr>
        <w:t xml:space="preserve"> and</w:t>
      </w:r>
      <w:r w:rsidRPr="3A68F3DD" w:rsidR="18DE9132">
        <w:rPr>
          <w:rFonts w:ascii="Arial" w:hAnsi="Arial" w:eastAsia="Arial" w:cs="Arial"/>
          <w:noProof w:val="0"/>
          <w:sz w:val="24"/>
          <w:szCs w:val="24"/>
          <w:lang w:val="en-US"/>
        </w:rPr>
        <w:t xml:space="preserve"> Meena, H.K. (2026). Comprehensive review of electric vehicle charging infrastructure: Technologies, standards, and smart energy management. </w:t>
      </w:r>
      <w:r w:rsidRPr="3A68F3DD" w:rsidR="18DE9132">
        <w:rPr>
          <w:rFonts w:ascii="Arial" w:hAnsi="Arial" w:eastAsia="Arial" w:cs="Arial"/>
          <w:i w:val="1"/>
          <w:iCs w:val="1"/>
          <w:noProof w:val="0"/>
          <w:sz w:val="24"/>
          <w:szCs w:val="24"/>
          <w:lang w:val="en-US"/>
        </w:rPr>
        <w:t>Future batteries</w:t>
      </w:r>
      <w:r w:rsidRPr="3A68F3DD" w:rsidR="18DE9132">
        <w:rPr>
          <w:rFonts w:ascii="Arial" w:hAnsi="Arial" w:eastAsia="Arial" w:cs="Arial"/>
          <w:noProof w:val="0"/>
          <w:sz w:val="24"/>
          <w:szCs w:val="24"/>
          <w:lang w:val="en-US"/>
        </w:rPr>
        <w:t xml:space="preserve">, 10, p.100177. </w:t>
      </w:r>
      <w:r>
        <w:fldChar w:fldCharType="begin"/>
      </w:r>
      <w:r>
        <w:instrText xml:space="preserve">HYPERLINK "https://doi:10.1016/j.fub.2026.100177" </w:instrText>
      </w:r>
      <w:r>
        <w:fldChar w:fldCharType="separate"/>
      </w:r>
      <w:r w:rsidRPr="3A68F3DD" w:rsidR="7E143EFF">
        <w:rPr>
          <w:rStyle w:val="Hyperlink"/>
          <w:noProof w:val="0"/>
          <w:lang w:val="en-US"/>
        </w:rPr>
        <w:t>https://</w:t>
      </w:r>
      <w:r w:rsidRPr="3A68F3DD" w:rsidR="18DE9132">
        <w:rPr>
          <w:rStyle w:val="Hyperlink"/>
          <w:noProof w:val="0"/>
          <w:lang w:val="en-US"/>
        </w:rPr>
        <w:t>doi:10.1016/j.fub.2026.100177</w:t>
      </w:r>
      <w:r>
        <w:fldChar w:fldCharType="end"/>
      </w:r>
      <w:r w:rsidRPr="3A68F3DD" w:rsidR="18DE9132">
        <w:rPr>
          <w:rFonts w:ascii="Arial" w:hAnsi="Arial" w:eastAsia="Arial" w:cs="Arial"/>
          <w:noProof w:val="0"/>
          <w:sz w:val="24"/>
          <w:szCs w:val="24"/>
          <w:lang w:val="en-US"/>
        </w:rPr>
        <w:t>.</w:t>
      </w:r>
      <w:r w:rsidRPr="3A68F3DD" w:rsidR="086163B4">
        <w:rPr>
          <w:rFonts w:ascii="Arial" w:hAnsi="Arial" w:eastAsia="Arial" w:cs="Arial"/>
          <w:noProof w:val="0"/>
          <w:sz w:val="24"/>
          <w:szCs w:val="24"/>
          <w:lang w:val="en-US"/>
        </w:rPr>
        <w:t xml:space="preserve"> </w:t>
      </w:r>
    </w:p>
    <w:p w:rsidR="3D1CC0A4" w:rsidP="3A68F3DD" w:rsidRDefault="3D1CC0A4" w14:paraId="4EAF56E1" w14:textId="500A1BDF">
      <w:pPr>
        <w:spacing w:before="0" w:beforeAutospacing="off" w:after="240" w:afterAutospacing="off" w:line="360" w:lineRule="auto"/>
        <w:rPr>
          <w:rFonts w:ascii="Arial" w:hAnsi="Arial" w:eastAsia="Arial" w:cs="Arial"/>
          <w:noProof w:val="0"/>
          <w:sz w:val="24"/>
          <w:szCs w:val="24"/>
          <w:lang w:val="en-US"/>
        </w:rPr>
      </w:pPr>
      <w:r w:rsidRPr="3A68F3DD" w:rsidR="18DE9132">
        <w:rPr>
          <w:rFonts w:ascii="Arial" w:hAnsi="Arial" w:eastAsia="Arial" w:cs="Arial"/>
          <w:noProof w:val="0"/>
          <w:sz w:val="24"/>
          <w:szCs w:val="24"/>
          <w:lang w:val="en-US"/>
        </w:rPr>
        <w:t xml:space="preserve">Ramos, M.R. and Ruiz-Gálvez, M.E. (2024). The transformation of the automotive industry toward electrification and its impact on global value chains: Inter-plant competition, employment, and supply chains. </w:t>
      </w:r>
      <w:r w:rsidRPr="3A68F3DD" w:rsidR="18DE9132">
        <w:rPr>
          <w:rFonts w:ascii="Arial" w:hAnsi="Arial" w:eastAsia="Arial" w:cs="Arial"/>
          <w:i w:val="1"/>
          <w:iCs w:val="1"/>
          <w:noProof w:val="0"/>
          <w:sz w:val="24"/>
          <w:szCs w:val="24"/>
          <w:lang w:val="en-US"/>
        </w:rPr>
        <w:t>European research on management and business economics</w:t>
      </w:r>
      <w:r w:rsidRPr="3A68F3DD" w:rsidR="18DE9132">
        <w:rPr>
          <w:rFonts w:ascii="Arial" w:hAnsi="Arial" w:eastAsia="Arial" w:cs="Arial"/>
          <w:noProof w:val="0"/>
          <w:sz w:val="24"/>
          <w:szCs w:val="24"/>
          <w:lang w:val="en-US"/>
        </w:rPr>
        <w:t xml:space="preserve">, 30(1), p.100242. </w:t>
      </w:r>
      <w:hyperlink r:id="R7e44012597ea43ba">
        <w:r w:rsidRPr="3A68F3DD" w:rsidR="18DE9132">
          <w:rPr>
            <w:rStyle w:val="Hyperlink"/>
            <w:noProof w:val="0"/>
            <w:lang w:val="en-US"/>
          </w:rPr>
          <w:t>https://doi.org/10.1016/j.iedeen.2024.100242</w:t>
        </w:r>
      </w:hyperlink>
      <w:r w:rsidRPr="3A68F3DD" w:rsidR="18DE9132">
        <w:rPr>
          <w:rFonts w:ascii="Arial" w:hAnsi="Arial" w:eastAsia="Arial" w:cs="Arial"/>
          <w:noProof w:val="0"/>
          <w:sz w:val="24"/>
          <w:szCs w:val="24"/>
          <w:lang w:val="en-US"/>
        </w:rPr>
        <w:t>.</w:t>
      </w:r>
      <w:r w:rsidRPr="3A68F3DD" w:rsidR="3E11D9B2">
        <w:rPr>
          <w:rFonts w:ascii="Arial" w:hAnsi="Arial" w:eastAsia="Arial" w:cs="Arial"/>
          <w:noProof w:val="0"/>
          <w:sz w:val="24"/>
          <w:szCs w:val="24"/>
          <w:lang w:val="en-US"/>
        </w:rPr>
        <w:t xml:space="preserve"> </w:t>
      </w:r>
    </w:p>
    <w:p w:rsidR="3D1CC0A4" w:rsidP="3A68F3DD" w:rsidRDefault="3D1CC0A4" w14:paraId="16067CAD" w14:textId="66F58A59">
      <w:pPr>
        <w:spacing w:before="0" w:beforeAutospacing="off" w:after="240" w:afterAutospacing="off" w:line="360" w:lineRule="auto"/>
      </w:pPr>
      <w:r w:rsidRPr="3A68F3DD" w:rsidR="18DE9132">
        <w:rPr>
          <w:rFonts w:ascii="Arial" w:hAnsi="Arial" w:eastAsia="Arial" w:cs="Arial"/>
          <w:noProof w:val="0"/>
          <w:sz w:val="24"/>
          <w:szCs w:val="24"/>
          <w:lang w:val="en-US"/>
        </w:rPr>
        <w:t xml:space="preserve">Richard, P.J., Devinney, T.M., Yip, G.S. and Johnson, G. (2009). Measuring organizational performance: Towards methodological best practice. </w:t>
      </w:r>
      <w:r w:rsidRPr="3A68F3DD" w:rsidR="18DE9132">
        <w:rPr>
          <w:rFonts w:ascii="Arial" w:hAnsi="Arial" w:eastAsia="Arial" w:cs="Arial"/>
          <w:i w:val="1"/>
          <w:iCs w:val="1"/>
          <w:noProof w:val="0"/>
          <w:sz w:val="24"/>
          <w:szCs w:val="24"/>
          <w:lang w:val="en-US"/>
        </w:rPr>
        <w:t>Journal of Management</w:t>
      </w:r>
      <w:r w:rsidRPr="3A68F3DD" w:rsidR="18DE9132">
        <w:rPr>
          <w:rFonts w:ascii="Arial" w:hAnsi="Arial" w:eastAsia="Arial" w:cs="Arial"/>
          <w:noProof w:val="0"/>
          <w:sz w:val="24"/>
          <w:szCs w:val="24"/>
          <w:lang w:val="en-US"/>
        </w:rPr>
        <w:t>, 35(3), pp</w:t>
      </w:r>
      <w:r w:rsidRPr="3A68F3DD" w:rsidR="18DE9132">
        <w:rPr>
          <w:rFonts w:ascii="Arial" w:hAnsi="Arial" w:eastAsia="Arial" w:cs="Arial"/>
          <w:noProof w:val="0"/>
          <w:sz w:val="24"/>
          <w:szCs w:val="24"/>
          <w:lang w:val="en-US"/>
        </w:rPr>
        <w:t>.718</w:t>
      </w:r>
      <w:r w:rsidRPr="3A68F3DD" w:rsidR="18DE9132">
        <w:rPr>
          <w:rFonts w:ascii="Arial" w:hAnsi="Arial" w:eastAsia="Arial" w:cs="Arial"/>
          <w:noProof w:val="0"/>
          <w:sz w:val="24"/>
          <w:szCs w:val="24"/>
          <w:lang w:val="en-US"/>
        </w:rPr>
        <w:t xml:space="preserve">–804. </w:t>
      </w:r>
      <w:r>
        <w:fldChar w:fldCharType="begin"/>
      </w:r>
      <w:r>
        <w:instrText xml:space="preserve">HYPERLINK "https://doi:10.1177/0149206308330560" </w:instrText>
      </w:r>
      <w:r>
        <w:fldChar w:fldCharType="separate"/>
      </w:r>
      <w:r w:rsidRPr="3A68F3DD" w:rsidR="36BFC31D">
        <w:rPr>
          <w:rStyle w:val="Hyperlink"/>
          <w:noProof w:val="0"/>
          <w:lang w:val="en-US"/>
        </w:rPr>
        <w:t>https://</w:t>
      </w:r>
      <w:r w:rsidRPr="3A68F3DD" w:rsidR="18DE9132">
        <w:rPr>
          <w:rStyle w:val="Hyperlink"/>
          <w:noProof w:val="0"/>
          <w:lang w:val="en-US"/>
        </w:rPr>
        <w:t>doi:10.1177/0149206308330560</w:t>
      </w:r>
      <w:r>
        <w:fldChar w:fldCharType="end"/>
      </w:r>
      <w:r w:rsidRPr="3A68F3DD" w:rsidR="18DE9132">
        <w:rPr>
          <w:rFonts w:ascii="Arial" w:hAnsi="Arial" w:eastAsia="Arial" w:cs="Arial"/>
          <w:noProof w:val="0"/>
          <w:sz w:val="24"/>
          <w:szCs w:val="24"/>
          <w:lang w:val="en-US"/>
        </w:rPr>
        <w:t>.</w:t>
      </w:r>
      <w:r w:rsidRPr="3A68F3DD" w:rsidR="121A7749">
        <w:rPr>
          <w:rFonts w:ascii="Arial" w:hAnsi="Arial" w:eastAsia="Arial" w:cs="Arial"/>
          <w:noProof w:val="0"/>
          <w:sz w:val="24"/>
          <w:szCs w:val="24"/>
          <w:lang w:val="en-US"/>
        </w:rPr>
        <w:t xml:space="preserve"> </w:t>
      </w:r>
    </w:p>
    <w:p w:rsidR="3D1CC0A4" w:rsidP="3A68F3DD" w:rsidRDefault="3D1CC0A4" w14:paraId="30E98A42" w14:textId="068B70D4">
      <w:pPr>
        <w:spacing w:before="0" w:beforeAutospacing="off" w:after="240" w:afterAutospacing="off" w:line="360" w:lineRule="auto"/>
      </w:pPr>
      <w:r w:rsidRPr="3A68F3DD" w:rsidR="18DE9132">
        <w:rPr>
          <w:rFonts w:ascii="Arial" w:hAnsi="Arial" w:eastAsia="Arial" w:cs="Arial"/>
          <w:noProof w:val="0"/>
          <w:sz w:val="24"/>
          <w:szCs w:val="24"/>
          <w:lang w:val="en-US"/>
        </w:rPr>
        <w:t>Satriyo</w:t>
      </w:r>
      <w:r w:rsidRPr="3A68F3DD" w:rsidR="18DE9132">
        <w:rPr>
          <w:rFonts w:ascii="Arial" w:hAnsi="Arial" w:eastAsia="Arial" w:cs="Arial"/>
          <w:noProof w:val="0"/>
          <w:sz w:val="24"/>
          <w:szCs w:val="24"/>
          <w:lang w:val="en-US"/>
        </w:rPr>
        <w:t xml:space="preserve">, D.B. and </w:t>
      </w:r>
      <w:r w:rsidRPr="3A68F3DD" w:rsidR="18DE9132">
        <w:rPr>
          <w:rFonts w:ascii="Arial" w:hAnsi="Arial" w:eastAsia="Arial" w:cs="Arial"/>
          <w:noProof w:val="0"/>
          <w:sz w:val="24"/>
          <w:szCs w:val="24"/>
          <w:lang w:val="en-US"/>
        </w:rPr>
        <w:t>Putro</w:t>
      </w:r>
      <w:r w:rsidRPr="3A68F3DD" w:rsidR="18DE9132">
        <w:rPr>
          <w:rFonts w:ascii="Arial" w:hAnsi="Arial" w:eastAsia="Arial" w:cs="Arial"/>
          <w:noProof w:val="0"/>
          <w:sz w:val="24"/>
          <w:szCs w:val="24"/>
          <w:lang w:val="en-US"/>
        </w:rPr>
        <w:t xml:space="preserve">, U.S. (2025). Developing strategy for Electrical &amp; </w:t>
      </w:r>
      <w:r w:rsidRPr="3A68F3DD" w:rsidR="18DE9132">
        <w:rPr>
          <w:rFonts w:ascii="Arial" w:hAnsi="Arial" w:eastAsia="Arial" w:cs="Arial"/>
          <w:noProof w:val="0"/>
          <w:sz w:val="24"/>
          <w:szCs w:val="24"/>
          <w:lang w:val="en-US"/>
        </w:rPr>
        <w:t>automation system integrator</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noProof w:val="0"/>
          <w:sz w:val="24"/>
          <w:szCs w:val="24"/>
          <w:lang w:val="en-US"/>
        </w:rPr>
        <w:t>company</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noProof w:val="0"/>
          <w:sz w:val="24"/>
          <w:szCs w:val="24"/>
          <w:lang w:val="en-US"/>
        </w:rPr>
        <w:t>for facing</w:t>
      </w:r>
      <w:r w:rsidRPr="3A68F3DD" w:rsidR="18DE9132">
        <w:rPr>
          <w:rFonts w:ascii="Arial" w:hAnsi="Arial" w:eastAsia="Arial" w:cs="Arial"/>
          <w:noProof w:val="0"/>
          <w:sz w:val="24"/>
          <w:szCs w:val="24"/>
          <w:lang w:val="en-US"/>
        </w:rPr>
        <w:t xml:space="preserve"> future business uncertainty. </w:t>
      </w:r>
      <w:r w:rsidRPr="3A68F3DD" w:rsidR="18DE9132">
        <w:rPr>
          <w:rFonts w:ascii="Arial" w:hAnsi="Arial" w:eastAsia="Arial" w:cs="Arial"/>
          <w:i w:val="1"/>
          <w:iCs w:val="1"/>
          <w:noProof w:val="0"/>
          <w:sz w:val="24"/>
          <w:szCs w:val="24"/>
          <w:lang w:val="en-US"/>
        </w:rPr>
        <w:t>Jurnal</w:t>
      </w:r>
      <w:r w:rsidRPr="3A68F3DD" w:rsidR="18DE9132">
        <w:rPr>
          <w:rFonts w:ascii="Arial" w:hAnsi="Arial" w:eastAsia="Arial" w:cs="Arial"/>
          <w:i w:val="1"/>
          <w:iCs w:val="1"/>
          <w:noProof w:val="0"/>
          <w:sz w:val="24"/>
          <w:szCs w:val="24"/>
          <w:lang w:val="en-US"/>
        </w:rPr>
        <w:t xml:space="preserve"> </w:t>
      </w:r>
      <w:r w:rsidRPr="3A68F3DD" w:rsidR="18DE9132">
        <w:rPr>
          <w:rFonts w:ascii="Arial" w:hAnsi="Arial" w:eastAsia="Arial" w:cs="Arial"/>
          <w:i w:val="1"/>
          <w:iCs w:val="1"/>
          <w:noProof w:val="0"/>
          <w:sz w:val="24"/>
          <w:szCs w:val="24"/>
          <w:lang w:val="en-US"/>
        </w:rPr>
        <w:t>ilmiah</w:t>
      </w:r>
      <w:r w:rsidRPr="3A68F3DD" w:rsidR="18DE9132">
        <w:rPr>
          <w:rFonts w:ascii="Arial" w:hAnsi="Arial" w:eastAsia="Arial" w:cs="Arial"/>
          <w:i w:val="1"/>
          <w:iCs w:val="1"/>
          <w:noProof w:val="0"/>
          <w:sz w:val="24"/>
          <w:szCs w:val="24"/>
          <w:lang w:val="en-US"/>
        </w:rPr>
        <w:t xml:space="preserve"> </w:t>
      </w:r>
      <w:r w:rsidRPr="3A68F3DD" w:rsidR="18DE9132">
        <w:rPr>
          <w:rFonts w:ascii="Arial" w:hAnsi="Arial" w:eastAsia="Arial" w:cs="Arial"/>
          <w:i w:val="1"/>
          <w:iCs w:val="1"/>
          <w:noProof w:val="0"/>
          <w:sz w:val="24"/>
          <w:szCs w:val="24"/>
          <w:lang w:val="en-US"/>
        </w:rPr>
        <w:t>manajemen</w:t>
      </w:r>
      <w:r w:rsidRPr="3A68F3DD" w:rsidR="18DE9132">
        <w:rPr>
          <w:rFonts w:ascii="Arial" w:hAnsi="Arial" w:eastAsia="Arial" w:cs="Arial"/>
          <w:i w:val="1"/>
          <w:iCs w:val="1"/>
          <w:noProof w:val="0"/>
          <w:sz w:val="24"/>
          <w:szCs w:val="24"/>
          <w:lang w:val="en-US"/>
        </w:rPr>
        <w:t xml:space="preserve">, </w:t>
      </w:r>
      <w:r w:rsidRPr="3A68F3DD" w:rsidR="18DE9132">
        <w:rPr>
          <w:rFonts w:ascii="Arial" w:hAnsi="Arial" w:eastAsia="Arial" w:cs="Arial"/>
          <w:i w:val="1"/>
          <w:iCs w:val="1"/>
          <w:noProof w:val="0"/>
          <w:sz w:val="24"/>
          <w:szCs w:val="24"/>
          <w:lang w:val="en-US"/>
        </w:rPr>
        <w:t>ekonomi</w:t>
      </w:r>
      <w:r w:rsidRPr="3A68F3DD" w:rsidR="18DE9132">
        <w:rPr>
          <w:rFonts w:ascii="Arial" w:hAnsi="Arial" w:eastAsia="Arial" w:cs="Arial"/>
          <w:i w:val="1"/>
          <w:iCs w:val="1"/>
          <w:noProof w:val="0"/>
          <w:sz w:val="24"/>
          <w:szCs w:val="24"/>
          <w:lang w:val="en-US"/>
        </w:rPr>
        <w:t xml:space="preserve">, &amp; </w:t>
      </w:r>
      <w:r w:rsidRPr="3A68F3DD" w:rsidR="18DE9132">
        <w:rPr>
          <w:rFonts w:ascii="Arial" w:hAnsi="Arial" w:eastAsia="Arial" w:cs="Arial"/>
          <w:i w:val="1"/>
          <w:iCs w:val="1"/>
          <w:noProof w:val="0"/>
          <w:sz w:val="24"/>
          <w:szCs w:val="24"/>
          <w:lang w:val="en-US"/>
        </w:rPr>
        <w:t>akuntansi</w:t>
      </w:r>
      <w:r w:rsidRPr="3A68F3DD" w:rsidR="18DE9132">
        <w:rPr>
          <w:rFonts w:ascii="Arial" w:hAnsi="Arial" w:eastAsia="Arial" w:cs="Arial"/>
          <w:i w:val="1"/>
          <w:iCs w:val="1"/>
          <w:noProof w:val="0"/>
          <w:sz w:val="24"/>
          <w:szCs w:val="24"/>
          <w:lang w:val="en-US"/>
        </w:rPr>
        <w:t xml:space="preserve"> (MEA</w:t>
      </w:r>
      <w:r w:rsidRPr="3A68F3DD" w:rsidR="18DE9132">
        <w:rPr>
          <w:rFonts w:ascii="Arial" w:hAnsi="Arial" w:eastAsia="Arial" w:cs="Arial"/>
          <w:i w:val="1"/>
          <w:iCs w:val="1"/>
          <w:noProof w:val="0"/>
          <w:sz w:val="24"/>
          <w:szCs w:val="24"/>
          <w:lang w:val="en-US"/>
        </w:rPr>
        <w:t>)</w:t>
      </w:r>
      <w:r w:rsidRPr="3A68F3DD" w:rsidR="18DE9132">
        <w:rPr>
          <w:rFonts w:ascii="Arial" w:hAnsi="Arial" w:eastAsia="Arial" w:cs="Arial"/>
          <w:noProof w:val="0"/>
          <w:sz w:val="24"/>
          <w:szCs w:val="24"/>
          <w:lang w:val="en-US"/>
        </w:rPr>
        <w:t>,  9</w:t>
      </w:r>
      <w:r w:rsidRPr="3A68F3DD" w:rsidR="18DE9132">
        <w:rPr>
          <w:rFonts w:ascii="Arial" w:hAnsi="Arial" w:eastAsia="Arial" w:cs="Arial"/>
          <w:noProof w:val="0"/>
          <w:sz w:val="24"/>
          <w:szCs w:val="24"/>
          <w:lang w:val="en-US"/>
        </w:rPr>
        <w:t xml:space="preserve">(3), pp.1065–1088. </w:t>
      </w:r>
      <w:r>
        <w:fldChar w:fldCharType="begin"/>
      </w:r>
      <w:r>
        <w:instrText xml:space="preserve">HYPERLINK "https://doi:10.31955/mea.v9i3.6376" </w:instrText>
      </w:r>
      <w:r>
        <w:fldChar w:fldCharType="separate"/>
      </w:r>
      <w:r w:rsidRPr="3A68F3DD" w:rsidR="00DB301F">
        <w:rPr>
          <w:rStyle w:val="Hyperlink"/>
          <w:noProof w:val="0"/>
          <w:lang w:val="en-US"/>
        </w:rPr>
        <w:t>https://</w:t>
      </w:r>
      <w:r w:rsidRPr="3A68F3DD" w:rsidR="18DE9132">
        <w:rPr>
          <w:rStyle w:val="Hyperlink"/>
          <w:noProof w:val="0"/>
          <w:lang w:val="en-US"/>
        </w:rPr>
        <w:t>doi:10.31955/mea.v9i3.6376</w:t>
      </w:r>
      <w:r>
        <w:fldChar w:fldCharType="end"/>
      </w:r>
      <w:r w:rsidRPr="3A68F3DD" w:rsidR="18DE9132">
        <w:rPr>
          <w:rFonts w:ascii="Arial" w:hAnsi="Arial" w:eastAsia="Arial" w:cs="Arial"/>
          <w:noProof w:val="0"/>
          <w:sz w:val="24"/>
          <w:szCs w:val="24"/>
          <w:lang w:val="en-US"/>
        </w:rPr>
        <w:t>.</w:t>
      </w:r>
      <w:r w:rsidRPr="3A68F3DD" w:rsidR="33650F07">
        <w:rPr>
          <w:rFonts w:ascii="Arial" w:hAnsi="Arial" w:eastAsia="Arial" w:cs="Arial"/>
          <w:noProof w:val="0"/>
          <w:sz w:val="24"/>
          <w:szCs w:val="24"/>
          <w:lang w:val="en-US"/>
        </w:rPr>
        <w:t xml:space="preserve"> </w:t>
      </w:r>
    </w:p>
    <w:p w:rsidR="3D1CC0A4" w:rsidP="3A68F3DD" w:rsidRDefault="3D1CC0A4" w14:paraId="4AC0FB01" w14:textId="1AD2EF65">
      <w:pPr>
        <w:spacing w:before="0" w:beforeAutospacing="off" w:after="240" w:afterAutospacing="off" w:line="360" w:lineRule="auto"/>
      </w:pPr>
      <w:r w:rsidRPr="3A68F3DD" w:rsidR="18DE9132">
        <w:rPr>
          <w:rFonts w:ascii="Arial" w:hAnsi="Arial" w:eastAsia="Arial" w:cs="Arial"/>
          <w:noProof w:val="0"/>
          <w:sz w:val="24"/>
          <w:szCs w:val="24"/>
          <w:lang w:val="en-US"/>
        </w:rPr>
        <w:t xml:space="preserve">Steiber, A. (2017). Management characteristics of Top innovators in </w:t>
      </w:r>
      <w:r w:rsidRPr="3A68F3DD" w:rsidR="18DE9132">
        <w:rPr>
          <w:rFonts w:ascii="Arial" w:hAnsi="Arial" w:eastAsia="Arial" w:cs="Arial"/>
          <w:noProof w:val="0"/>
          <w:sz w:val="24"/>
          <w:szCs w:val="24"/>
          <w:lang w:val="en-US"/>
        </w:rPr>
        <w:t>Silicon valley</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Management in the digital age</w:t>
      </w:r>
      <w:r w:rsidRPr="3A68F3DD" w:rsidR="18DE9132">
        <w:rPr>
          <w:rFonts w:ascii="Arial" w:hAnsi="Arial" w:eastAsia="Arial" w:cs="Arial"/>
          <w:noProof w:val="0"/>
          <w:sz w:val="24"/>
          <w:szCs w:val="24"/>
          <w:lang w:val="en-US"/>
        </w:rPr>
        <w:t>, (ISBN 978</w:t>
      </w:r>
      <w:r w:rsidRPr="3A68F3DD" w:rsidR="18DE9132">
        <w:rPr>
          <w:rFonts w:ascii="Arial" w:hAnsi="Arial" w:eastAsia="Arial" w:cs="Arial"/>
          <w:noProof w:val="0"/>
          <w:sz w:val="24"/>
          <w:szCs w:val="24"/>
          <w:lang w:val="en-US"/>
        </w:rPr>
        <w:t>–3-</w:t>
      </w:r>
      <w:r w:rsidRPr="3A68F3DD" w:rsidR="18DE9132">
        <w:rPr>
          <w:rFonts w:ascii="Arial" w:hAnsi="Arial" w:eastAsia="Arial" w:cs="Arial"/>
          <w:noProof w:val="0"/>
          <w:sz w:val="24"/>
          <w:szCs w:val="24"/>
          <w:lang w:val="en-US"/>
        </w:rPr>
        <w:t>319–67488–9), pp</w:t>
      </w:r>
      <w:r w:rsidRPr="3A68F3DD" w:rsidR="18DE9132">
        <w:rPr>
          <w:rFonts w:ascii="Arial" w:hAnsi="Arial" w:eastAsia="Arial" w:cs="Arial"/>
          <w:noProof w:val="0"/>
          <w:sz w:val="24"/>
          <w:szCs w:val="24"/>
          <w:lang w:val="en-US"/>
        </w:rPr>
        <w:t>.23</w:t>
      </w:r>
      <w:r w:rsidRPr="3A68F3DD" w:rsidR="18DE9132">
        <w:rPr>
          <w:rFonts w:ascii="Arial" w:hAnsi="Arial" w:eastAsia="Arial" w:cs="Arial"/>
          <w:noProof w:val="0"/>
          <w:sz w:val="24"/>
          <w:szCs w:val="24"/>
          <w:lang w:val="en-US"/>
        </w:rPr>
        <w:t xml:space="preserve">–43. </w:t>
      </w:r>
      <w:r>
        <w:fldChar w:fldCharType="begin"/>
      </w:r>
      <w:r>
        <w:instrText xml:space="preserve">HYPERLINK "https://doi:10.1007/978-3-319-67489-6_4" </w:instrText>
      </w:r>
      <w:r>
        <w:fldChar w:fldCharType="separate"/>
      </w:r>
      <w:r w:rsidRPr="3A68F3DD" w:rsidR="101A5338">
        <w:rPr>
          <w:rStyle w:val="Hyperlink"/>
          <w:noProof w:val="0"/>
          <w:lang w:val="en-US"/>
        </w:rPr>
        <w:t>https://</w:t>
      </w:r>
      <w:r w:rsidRPr="3A68F3DD" w:rsidR="18DE9132">
        <w:rPr>
          <w:rStyle w:val="Hyperlink"/>
          <w:noProof w:val="0"/>
          <w:lang w:val="en-US"/>
        </w:rPr>
        <w:t>doi:10.1007/978-3-319-67489-6_4</w:t>
      </w:r>
      <w:r>
        <w:fldChar w:fldCharType="end"/>
      </w:r>
      <w:r w:rsidRPr="3A68F3DD" w:rsidR="18DE9132">
        <w:rPr>
          <w:rFonts w:ascii="Arial" w:hAnsi="Arial" w:eastAsia="Arial" w:cs="Arial"/>
          <w:noProof w:val="0"/>
          <w:sz w:val="24"/>
          <w:szCs w:val="24"/>
          <w:lang w:val="en-US"/>
        </w:rPr>
        <w:t>.</w:t>
      </w:r>
      <w:r w:rsidRPr="3A68F3DD" w:rsidR="54A491B4">
        <w:rPr>
          <w:rFonts w:ascii="Arial" w:hAnsi="Arial" w:eastAsia="Arial" w:cs="Arial"/>
          <w:noProof w:val="0"/>
          <w:sz w:val="24"/>
          <w:szCs w:val="24"/>
          <w:lang w:val="en-US"/>
        </w:rPr>
        <w:t xml:space="preserve"> </w:t>
      </w:r>
    </w:p>
    <w:p w:rsidR="3D1CC0A4" w:rsidP="3A68F3DD" w:rsidRDefault="3D1CC0A4" w14:paraId="20F37CE9" w14:textId="0F562BAB">
      <w:pPr>
        <w:spacing w:before="0" w:beforeAutospacing="off" w:after="240" w:afterAutospacing="off" w:line="360" w:lineRule="auto"/>
        <w:rPr>
          <w:rFonts w:ascii="Arial" w:hAnsi="Arial" w:eastAsia="Arial" w:cs="Arial"/>
          <w:noProof w:val="0"/>
          <w:sz w:val="24"/>
          <w:szCs w:val="24"/>
          <w:lang w:val="en-US"/>
        </w:rPr>
      </w:pPr>
      <w:r w:rsidRPr="3A68F3DD" w:rsidR="18DE9132">
        <w:rPr>
          <w:rFonts w:ascii="Arial" w:hAnsi="Arial" w:eastAsia="Arial" w:cs="Arial"/>
          <w:noProof w:val="0"/>
          <w:sz w:val="24"/>
          <w:szCs w:val="24"/>
          <w:lang w:val="en-US"/>
        </w:rPr>
        <w:t xml:space="preserve">Tesla (2023). </w:t>
      </w:r>
      <w:r w:rsidRPr="3A68F3DD" w:rsidR="18DE9132">
        <w:rPr>
          <w:rFonts w:ascii="Arial" w:hAnsi="Arial" w:eastAsia="Arial" w:cs="Arial"/>
          <w:i w:val="1"/>
          <w:iCs w:val="1"/>
          <w:noProof w:val="0"/>
          <w:sz w:val="24"/>
          <w:szCs w:val="24"/>
          <w:lang w:val="en-US"/>
        </w:rPr>
        <w:t>Impact Report 2023</w:t>
      </w:r>
      <w:r w:rsidRPr="3A68F3DD" w:rsidR="18DE9132">
        <w:rPr>
          <w:rFonts w:ascii="Arial" w:hAnsi="Arial" w:eastAsia="Arial" w:cs="Arial"/>
          <w:noProof w:val="0"/>
          <w:sz w:val="24"/>
          <w:szCs w:val="24"/>
          <w:lang w:val="en-US"/>
        </w:rPr>
        <w:t>.</w:t>
      </w:r>
      <w:r w:rsidRPr="3A68F3DD" w:rsidR="3C98C0AA">
        <w:rPr>
          <w:rFonts w:ascii="Arial" w:hAnsi="Arial" w:eastAsia="Arial" w:cs="Arial"/>
          <w:noProof w:val="0"/>
          <w:sz w:val="24"/>
          <w:szCs w:val="24"/>
          <w:lang w:val="en-US"/>
        </w:rPr>
        <w:t xml:space="preserve"> </w:t>
      </w:r>
      <w:r w:rsidRPr="3A68F3DD" w:rsidR="18DE9132">
        <w:rPr>
          <w:rFonts w:ascii="Arial" w:hAnsi="Arial" w:eastAsia="Arial" w:cs="Arial"/>
          <w:noProof w:val="0"/>
          <w:sz w:val="24"/>
          <w:szCs w:val="24"/>
          <w:lang w:val="en-US"/>
        </w:rPr>
        <w:t xml:space="preserve">Tesla. Available at: </w:t>
      </w:r>
      <w:hyperlink r:id="R080b3271db6445a7">
        <w:r w:rsidRPr="3A68F3DD" w:rsidR="18DE9132">
          <w:rPr>
            <w:rStyle w:val="Hyperlink"/>
            <w:noProof w:val="0"/>
            <w:lang w:val="en-US"/>
          </w:rPr>
          <w:t>https://www.tesla.com/en_gb/impact</w:t>
        </w:r>
      </w:hyperlink>
      <w:r w:rsidRPr="3A68F3DD" w:rsidR="18DE9132">
        <w:rPr>
          <w:rFonts w:ascii="Arial" w:hAnsi="Arial" w:eastAsia="Arial" w:cs="Arial"/>
          <w:noProof w:val="0"/>
          <w:sz w:val="24"/>
          <w:szCs w:val="24"/>
          <w:lang w:val="en-US"/>
        </w:rPr>
        <w:t xml:space="preserve"> </w:t>
      </w:r>
    </w:p>
    <w:p w:rsidR="3D1CC0A4" w:rsidP="3A68F3DD" w:rsidRDefault="3D1CC0A4" w14:paraId="690DDDDB" w14:textId="7892906D">
      <w:pPr>
        <w:spacing w:before="0" w:beforeAutospacing="off" w:after="240" w:afterAutospacing="off" w:line="360" w:lineRule="auto"/>
      </w:pPr>
      <w:r w:rsidRPr="3A68F3DD" w:rsidR="18DE9132">
        <w:rPr>
          <w:rFonts w:ascii="Arial" w:hAnsi="Arial" w:eastAsia="Arial" w:cs="Arial"/>
          <w:noProof w:val="0"/>
          <w:sz w:val="24"/>
          <w:szCs w:val="24"/>
          <w:lang w:val="en-US"/>
        </w:rPr>
        <w:t xml:space="preserve">Tesla (2025). </w:t>
      </w:r>
      <w:r w:rsidRPr="3A68F3DD" w:rsidR="18DE9132">
        <w:rPr>
          <w:rFonts w:ascii="Arial" w:hAnsi="Arial" w:eastAsia="Arial" w:cs="Arial"/>
          <w:i w:val="1"/>
          <w:iCs w:val="1"/>
          <w:noProof w:val="0"/>
          <w:sz w:val="24"/>
          <w:szCs w:val="24"/>
          <w:lang w:val="en-US"/>
        </w:rPr>
        <w:t>Electric Cars, Solar Panels &amp; Clean Energy Storage | Tesla</w:t>
      </w:r>
      <w:r w:rsidRPr="3A68F3DD" w:rsidR="18DE9132">
        <w:rPr>
          <w:rFonts w:ascii="Arial" w:hAnsi="Arial" w:eastAsia="Arial" w:cs="Arial"/>
          <w:noProof w:val="0"/>
          <w:sz w:val="24"/>
          <w:szCs w:val="24"/>
          <w:lang w:val="en-US"/>
        </w:rPr>
        <w:t xml:space="preserve">. Tesla.com. Available at: </w:t>
      </w:r>
      <w:hyperlink r:id="R800698eae2a44386">
        <w:r w:rsidRPr="3A68F3DD" w:rsidR="18DE9132">
          <w:rPr>
            <w:rStyle w:val="Hyperlink"/>
            <w:noProof w:val="0"/>
            <w:lang w:val="en-US"/>
          </w:rPr>
          <w:t>https://www.tesla.com/en_gb</w:t>
        </w:r>
      </w:hyperlink>
      <w:r w:rsidRPr="3A68F3DD" w:rsidR="18DE9132">
        <w:rPr>
          <w:rFonts w:ascii="Arial" w:hAnsi="Arial" w:eastAsia="Arial" w:cs="Arial"/>
          <w:noProof w:val="0"/>
          <w:sz w:val="24"/>
          <w:szCs w:val="24"/>
          <w:lang w:val="en-US"/>
        </w:rPr>
        <w:t xml:space="preserve"> </w:t>
      </w:r>
      <w:r w:rsidRPr="3A68F3DD" w:rsidR="273F2E5F">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15 July 2026</w:t>
      </w:r>
      <w:r w:rsidRPr="3A68F3DD" w:rsidR="58FCA613">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w:t>
      </w:r>
    </w:p>
    <w:p w:rsidR="3D1CC0A4" w:rsidP="3A68F3DD" w:rsidRDefault="3D1CC0A4" w14:paraId="61866952" w14:textId="678C1CD5">
      <w:pPr>
        <w:spacing w:before="0" w:beforeAutospacing="off" w:after="240" w:afterAutospacing="off" w:line="360" w:lineRule="auto"/>
      </w:pPr>
      <w:r w:rsidRPr="3A68F3DD" w:rsidR="18DE9132">
        <w:rPr>
          <w:rFonts w:ascii="Arial" w:hAnsi="Arial" w:eastAsia="Arial" w:cs="Arial"/>
          <w:noProof w:val="0"/>
          <w:sz w:val="24"/>
          <w:szCs w:val="24"/>
          <w:lang w:val="en-US"/>
        </w:rPr>
        <w:t xml:space="preserve">Wheeler, K. (2025). </w:t>
      </w:r>
      <w:r w:rsidRPr="3A68F3DD" w:rsidR="18DE9132">
        <w:rPr>
          <w:rFonts w:ascii="Arial" w:hAnsi="Arial" w:eastAsia="Arial" w:cs="Arial"/>
          <w:i w:val="1"/>
          <w:iCs w:val="1"/>
          <w:noProof w:val="0"/>
          <w:sz w:val="24"/>
          <w:szCs w:val="24"/>
          <w:lang w:val="en-US"/>
        </w:rPr>
        <w:t>Tesla’s AI vision: From EVs to Autonomous machines</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i w:val="1"/>
          <w:iCs w:val="1"/>
          <w:noProof w:val="0"/>
          <w:sz w:val="24"/>
          <w:szCs w:val="24"/>
          <w:lang w:val="en-US"/>
        </w:rPr>
        <w:t>Aimagazine.com</w:t>
      </w:r>
      <w:r w:rsidRPr="3A68F3DD" w:rsidR="18DE9132">
        <w:rPr>
          <w:rFonts w:ascii="Arial" w:hAnsi="Arial" w:eastAsia="Arial" w:cs="Arial"/>
          <w:noProof w:val="0"/>
          <w:sz w:val="24"/>
          <w:szCs w:val="24"/>
          <w:lang w:val="en-US"/>
        </w:rPr>
        <w:t xml:space="preserve">. </w:t>
      </w:r>
      <w:r w:rsidRPr="3A68F3DD" w:rsidR="18DE9132">
        <w:rPr>
          <w:rFonts w:ascii="Arial" w:hAnsi="Arial" w:eastAsia="Arial" w:cs="Arial"/>
          <w:noProof w:val="0"/>
          <w:sz w:val="24"/>
          <w:szCs w:val="24"/>
          <w:lang w:val="en-US"/>
        </w:rPr>
        <w:t>Bizclik</w:t>
      </w:r>
      <w:r w:rsidRPr="3A68F3DD" w:rsidR="18DE9132">
        <w:rPr>
          <w:rFonts w:ascii="Arial" w:hAnsi="Arial" w:eastAsia="Arial" w:cs="Arial"/>
          <w:noProof w:val="0"/>
          <w:sz w:val="24"/>
          <w:szCs w:val="24"/>
          <w:lang w:val="en-US"/>
        </w:rPr>
        <w:t xml:space="preserve"> Media Ltd. Available at: </w:t>
      </w:r>
      <w:hyperlink r:id="R93f43fed1c7f4c23">
        <w:r w:rsidRPr="3A68F3DD" w:rsidR="18DE9132">
          <w:rPr>
            <w:rStyle w:val="Hyperlink"/>
            <w:noProof w:val="0"/>
            <w:lang w:val="en-US"/>
          </w:rPr>
          <w:t>https://aimagazine.com/news/extended-impact-report-how-sustainable-is-teslas-business</w:t>
        </w:r>
      </w:hyperlink>
      <w:r w:rsidRPr="3A68F3DD" w:rsidR="18DE9132">
        <w:rPr>
          <w:rFonts w:ascii="Arial" w:hAnsi="Arial" w:eastAsia="Arial" w:cs="Arial"/>
          <w:noProof w:val="0"/>
          <w:sz w:val="24"/>
          <w:szCs w:val="24"/>
          <w:lang w:val="en-US"/>
        </w:rPr>
        <w:t xml:space="preserve"> </w:t>
      </w:r>
      <w:r w:rsidRPr="3A68F3DD" w:rsidR="64CFDEC8">
        <w:rPr>
          <w:rFonts w:ascii="Arial" w:hAnsi="Arial" w:eastAsia="Arial" w:cs="Arial"/>
          <w:noProof w:val="0"/>
          <w:sz w:val="24"/>
          <w:szCs w:val="24"/>
          <w:lang w:val="en-US"/>
        </w:rPr>
        <w:t>(</w:t>
      </w:r>
      <w:r w:rsidRPr="3A68F3DD" w:rsidR="18DE9132">
        <w:rPr>
          <w:rFonts w:ascii="Arial" w:hAnsi="Arial" w:eastAsia="Arial" w:cs="Arial"/>
          <w:noProof w:val="0"/>
          <w:sz w:val="24"/>
          <w:szCs w:val="24"/>
          <w:lang w:val="en-US"/>
        </w:rPr>
        <w:t>Accessed 21 July 2026</w:t>
      </w:r>
      <w:r w:rsidRPr="3A68F3DD" w:rsidR="3F1FD44B">
        <w:rPr>
          <w:rFonts w:ascii="Arial" w:hAnsi="Arial" w:eastAsia="Arial" w:cs="Arial"/>
          <w:noProof w:val="0"/>
          <w:sz w:val="24"/>
          <w:szCs w:val="24"/>
          <w:lang w:val="en-US"/>
        </w:rPr>
        <w:t>)</w:t>
      </w:r>
      <w:r w:rsidRPr="3A68F3DD" w:rsidR="1FB4D6B3">
        <w:rPr>
          <w:rFonts w:ascii="Arial" w:hAnsi="Arial" w:eastAsia="Arial" w:cs="Arial"/>
          <w:noProof w:val="0"/>
          <w:sz w:val="24"/>
          <w:szCs w:val="24"/>
          <w:lang w:val="en-US"/>
        </w:rPr>
        <w:t>.</w:t>
      </w:r>
    </w:p>
    <w:p w:rsidR="3D1CC0A4" w:rsidP="3A68F3DD" w:rsidRDefault="3D1CC0A4" w14:paraId="5D4039C2" w14:textId="01CE40B8">
      <w:pPr>
        <w:pStyle w:val="Normal"/>
        <w:spacing w:before="0" w:beforeAutospacing="off" w:after="240" w:afterAutospacing="off" w:line="360" w:lineRule="auto"/>
      </w:pPr>
      <w:r w:rsidRPr="3A68F3DD" w:rsidR="18DE9132">
        <w:rPr>
          <w:rFonts w:ascii="Arial" w:hAnsi="Arial" w:eastAsia="Arial" w:cs="Arial"/>
          <w:noProof w:val="0"/>
          <w:sz w:val="24"/>
          <w:szCs w:val="24"/>
          <w:lang w:val="en-US"/>
        </w:rPr>
        <w:t xml:space="preserve">Whittington, R., Scholes, K., Angwin, D., Regner, P. and Johnson, G. (2017). </w:t>
      </w:r>
      <w:r w:rsidRPr="3A68F3DD" w:rsidR="18DE9132">
        <w:rPr>
          <w:rFonts w:ascii="Arial" w:hAnsi="Arial" w:eastAsia="Arial" w:cs="Arial"/>
          <w:i w:val="1"/>
          <w:iCs w:val="1"/>
          <w:noProof w:val="0"/>
          <w:sz w:val="24"/>
          <w:szCs w:val="24"/>
          <w:lang w:val="en-US"/>
        </w:rPr>
        <w:t>Exploring strategy: Text and cases</w:t>
      </w:r>
      <w:r w:rsidRPr="3A68F3DD" w:rsidR="18DE9132">
        <w:rPr>
          <w:rFonts w:ascii="Arial" w:hAnsi="Arial" w:eastAsia="Arial" w:cs="Arial"/>
          <w:noProof w:val="0"/>
          <w:sz w:val="24"/>
          <w:szCs w:val="24"/>
          <w:lang w:val="en-US"/>
        </w:rPr>
        <w:t>. 11th ed. Harlow, England: Pearson.</w:t>
      </w:r>
      <w:r w:rsidRPr="3A68F3DD" w:rsidR="7C21EA1F">
        <w:rPr>
          <w:rFonts w:ascii="Arial" w:hAnsi="Arial" w:eastAsia="Arial" w:cs="Arial"/>
          <w:noProof w:val="0"/>
          <w:sz w:val="24"/>
          <w:szCs w:val="24"/>
          <w:lang w:val="en-US"/>
        </w:rPr>
        <w:t xml:space="preserve"> </w:t>
      </w:r>
      <w:r w:rsidRPr="3A68F3DD" w:rsidR="37AD4A7E">
        <w:rPr>
          <w:rFonts w:ascii="Arial" w:hAnsi="Arial" w:eastAsia="Arial" w:cs="Arial"/>
          <w:noProof w:val="0"/>
          <w:sz w:val="24"/>
          <w:szCs w:val="24"/>
          <w:lang w:val="en-US"/>
        </w:rPr>
        <w:t>(Accessed 15 July 2026).</w:t>
      </w:r>
    </w:p>
    <w:p w:rsidR="3D1CC0A4" w:rsidP="3A68F3DD" w:rsidRDefault="3D1CC0A4" w14:paraId="7738B56E" w14:textId="3C526934">
      <w:pPr>
        <w:pStyle w:val="Normal"/>
        <w:suppressLineNumbers w:val="0"/>
        <w:bidi w:val="0"/>
        <w:spacing w:before="0" w:beforeAutospacing="off" w:after="240" w:afterAutospacing="off" w:line="360" w:lineRule="auto"/>
        <w:ind w:left="0" w:right="0"/>
        <w:jc w:val="left"/>
      </w:pPr>
      <w:r w:rsidRPr="3A68F3DD" w:rsidR="18DE9132">
        <w:rPr>
          <w:rFonts w:ascii="Arial" w:hAnsi="Arial" w:eastAsia="Arial" w:cs="Arial"/>
          <w:noProof w:val="0"/>
          <w:sz w:val="24"/>
          <w:szCs w:val="24"/>
          <w:lang w:val="en-US"/>
        </w:rPr>
        <w:t xml:space="preserve">WRI (2020). </w:t>
      </w:r>
      <w:r w:rsidRPr="3A68F3DD" w:rsidR="18DE9132">
        <w:rPr>
          <w:rFonts w:ascii="Arial" w:hAnsi="Arial" w:eastAsia="Arial" w:cs="Arial"/>
          <w:i w:val="1"/>
          <w:iCs w:val="1"/>
          <w:noProof w:val="0"/>
          <w:sz w:val="24"/>
          <w:szCs w:val="24"/>
          <w:lang w:val="en-US"/>
        </w:rPr>
        <w:t>World Resources Institute | Making Big Ideas Happen</w:t>
      </w:r>
      <w:r w:rsidRPr="3A68F3DD" w:rsidR="18DE9132">
        <w:rPr>
          <w:rFonts w:ascii="Arial" w:hAnsi="Arial" w:eastAsia="Arial" w:cs="Arial"/>
          <w:noProof w:val="0"/>
          <w:sz w:val="24"/>
          <w:szCs w:val="24"/>
          <w:lang w:val="en-US"/>
        </w:rPr>
        <w:t xml:space="preserve">.  Wri.org. Available at: </w:t>
      </w:r>
      <w:hyperlink r:id="Rc845914df27e4a92">
        <w:r w:rsidRPr="3A68F3DD" w:rsidR="18DE9132">
          <w:rPr>
            <w:rStyle w:val="Hyperlink"/>
            <w:noProof w:val="0"/>
            <w:lang w:val="en-US"/>
          </w:rPr>
          <w:t>https://www.wri.org/</w:t>
        </w:r>
      </w:hyperlink>
      <w:r w:rsidRPr="3A68F3DD" w:rsidR="18DE9132">
        <w:rPr>
          <w:rFonts w:ascii="Arial" w:hAnsi="Arial" w:eastAsia="Arial" w:cs="Arial"/>
          <w:noProof w:val="0"/>
          <w:sz w:val="24"/>
          <w:szCs w:val="24"/>
          <w:lang w:val="en-US"/>
        </w:rPr>
        <w:t xml:space="preserve"> </w:t>
      </w:r>
      <w:r w:rsidRPr="3A68F3DD" w:rsidR="19670EF7">
        <w:rPr>
          <w:rFonts w:ascii="Arial" w:hAnsi="Arial" w:eastAsia="Arial" w:cs="Arial"/>
          <w:noProof w:val="0"/>
          <w:sz w:val="24"/>
          <w:szCs w:val="24"/>
          <w:lang w:val="en-US"/>
        </w:rPr>
        <w:t>(Accessed 15 July 2026).</w:t>
      </w:r>
    </w:p>
    <w:p w:rsidR="3D1CC0A4" w:rsidP="3D1CC0A4" w:rsidRDefault="3D1CC0A4" w14:paraId="611C08F2" w14:textId="0CD41867">
      <w:pPr>
        <w:spacing w:after="240" w:line="360" w:lineRule="auto"/>
        <w:rPr>
          <w:rFonts w:ascii="Arial" w:hAnsi="Arial" w:eastAsia="Arial" w:cs="Arial"/>
        </w:rPr>
      </w:pPr>
    </w:p>
    <w:p w:rsidRPr="00743BE9" w:rsidR="006F4A95" w:rsidP="0CE960CC" w:rsidRDefault="006F4A95" w14:paraId="034E68FE" w14:textId="4B5A81A9">
      <w:pPr>
        <w:spacing w:after="240" w:line="360" w:lineRule="auto"/>
        <w:rPr>
          <w:rFonts w:ascii="Arial" w:hAnsi="Arial" w:eastAsia="Arial" w:cs="Arial"/>
        </w:rPr>
      </w:pPr>
    </w:p>
    <w:p w:rsidRPr="00743BE9" w:rsidR="006F4A95" w:rsidP="00B6310C" w:rsidRDefault="006F4A95" w14:paraId="0F7F3B46" w14:textId="411A6DFA">
      <w:pPr>
        <w:spacing w:line="360" w:lineRule="auto"/>
      </w:pPr>
    </w:p>
    <w:p w:rsidRPr="00743BE9" w:rsidR="006F4A95" w:rsidP="00B6310C" w:rsidRDefault="006F4A95" w14:paraId="04D0FAB2" w14:textId="77777777">
      <w:pPr>
        <w:spacing w:line="360" w:lineRule="auto"/>
      </w:pPr>
    </w:p>
    <w:p w:rsidRPr="00743BE9" w:rsidR="006F4A95" w:rsidP="00B6310C" w:rsidRDefault="006F4A95" w14:paraId="6506F67C" w14:textId="77777777">
      <w:pPr>
        <w:spacing w:line="360" w:lineRule="auto"/>
      </w:pPr>
    </w:p>
    <w:p w:rsidRPr="00743BE9" w:rsidR="004202D4" w:rsidP="00B6310C" w:rsidRDefault="004202D4" w14:paraId="73666834" w14:textId="77777777">
      <w:pPr>
        <w:spacing w:line="360" w:lineRule="auto"/>
        <w:rPr>
          <w:rFonts w:cstheme="minorHAnsi"/>
        </w:rPr>
      </w:pPr>
    </w:p>
    <w:p w:rsidRPr="00743BE9" w:rsidR="001727D3" w:rsidP="3A68F3DD" w:rsidRDefault="00BF2325" w14:paraId="628ABCA8" w14:textId="2AF84F6E">
      <w:pPr>
        <w:pStyle w:val="Heading2"/>
        <w:spacing w:line="360" w:lineRule="auto"/>
        <w:rPr>
          <w:rFonts w:ascii="Arial" w:hAnsi="Arial" w:cs="Arial" w:asciiTheme="minorAscii" w:hAnsiTheme="minorAscii" w:cstheme="minorBidi"/>
          <w:sz w:val="24"/>
          <w:szCs w:val="24"/>
        </w:rPr>
      </w:pPr>
      <w:bookmarkStart w:name="_Toc1457788251" w:id="1132984486"/>
      <w:r w:rsidRPr="3A68F3DD" w:rsidR="00BF2325">
        <w:rPr>
          <w:rFonts w:ascii="Arial" w:hAnsi="Arial" w:cs="Arial" w:asciiTheme="minorAscii" w:hAnsiTheme="minorAscii" w:cstheme="minorBidi"/>
          <w:sz w:val="24"/>
          <w:szCs w:val="24"/>
          <w:lang w:val="en-GB"/>
        </w:rPr>
        <w:t>Appendi</w:t>
      </w:r>
      <w:r w:rsidRPr="3A68F3DD" w:rsidR="001727D3">
        <w:rPr>
          <w:rFonts w:ascii="Arial" w:hAnsi="Arial" w:cs="Arial" w:asciiTheme="minorAscii" w:hAnsiTheme="minorAscii" w:cstheme="minorBidi"/>
          <w:sz w:val="24"/>
          <w:szCs w:val="24"/>
          <w:lang w:val="en-GB"/>
        </w:rPr>
        <w:t>x</w:t>
      </w:r>
      <w:r w:rsidRPr="3A68F3DD" w:rsidR="00754B81">
        <w:rPr>
          <w:rFonts w:ascii="Arial" w:hAnsi="Arial" w:cs="Arial" w:asciiTheme="minorAscii" w:hAnsiTheme="minorAscii" w:cstheme="minorBidi"/>
          <w:sz w:val="24"/>
          <w:szCs w:val="24"/>
          <w:lang w:val="en-GB"/>
        </w:rPr>
        <w:t xml:space="preserve"> </w:t>
      </w:r>
      <w:r w:rsidRPr="3A68F3DD" w:rsidR="008524F6">
        <w:rPr>
          <w:rFonts w:ascii="Arial" w:hAnsi="Arial" w:cs="Arial" w:asciiTheme="minorAscii" w:hAnsiTheme="minorAscii" w:cstheme="minorBidi"/>
          <w:sz w:val="24"/>
          <w:szCs w:val="24"/>
        </w:rPr>
        <w:t>A – Strategic Analysis</w:t>
      </w:r>
      <w:bookmarkEnd w:id="1132984486"/>
    </w:p>
    <w:p w:rsidRPr="00743BE9" w:rsidR="000F1385" w:rsidP="3A68F3DD" w:rsidRDefault="000F1385" w14:paraId="27A7862A" w14:textId="63AAAC82">
      <w:pPr>
        <w:pStyle w:val="Heading2"/>
        <w:spacing w:line="360" w:lineRule="auto"/>
        <w:jc w:val="both"/>
        <w:rPr>
          <w:rFonts w:ascii="Arial" w:hAnsi="Arial" w:eastAsia="ＭＳ 明朝" w:cs="Arial" w:asciiTheme="minorAscii" w:hAnsiTheme="minorAscii" w:eastAsiaTheme="minorEastAsia" w:cstheme="minorBidi"/>
          <w:sz w:val="24"/>
          <w:szCs w:val="24"/>
        </w:rPr>
      </w:pPr>
      <w:bookmarkStart w:name="_Toc944385414" w:id="298203777"/>
      <w:r w:rsidRPr="3A68F3DD" w:rsidR="000F1385">
        <w:rPr>
          <w:rFonts w:ascii="Arial" w:hAnsi="Arial" w:eastAsia="ＭＳ 明朝" w:cs="Arial" w:asciiTheme="minorAscii" w:hAnsiTheme="minorAscii" w:eastAsiaTheme="minorEastAsia" w:cstheme="minorBidi"/>
          <w:sz w:val="24"/>
          <w:szCs w:val="24"/>
        </w:rPr>
        <w:t xml:space="preserve">Figure </w:t>
      </w:r>
      <w:r w:rsidRPr="3A68F3DD" w:rsidR="00343071">
        <w:rPr>
          <w:rFonts w:ascii="Arial" w:hAnsi="Arial" w:eastAsia="ＭＳ 明朝" w:cs="Arial" w:asciiTheme="minorAscii" w:hAnsiTheme="minorAscii" w:eastAsiaTheme="minorEastAsia" w:cstheme="minorBidi"/>
          <w:sz w:val="24"/>
          <w:szCs w:val="24"/>
        </w:rPr>
        <w:t>A</w:t>
      </w:r>
      <w:r w:rsidRPr="3A68F3DD" w:rsidR="000F1385">
        <w:rPr>
          <w:rFonts w:ascii="Arial" w:hAnsi="Arial" w:eastAsia="ＭＳ 明朝" w:cs="Arial" w:asciiTheme="minorAscii" w:hAnsiTheme="minorAscii" w:eastAsiaTheme="minorEastAsia" w:cstheme="minorBidi"/>
          <w:sz w:val="24"/>
          <w:szCs w:val="24"/>
        </w:rPr>
        <w:t>1: VRIO framework</w:t>
      </w:r>
      <w:bookmarkEnd w:id="298203777"/>
    </w:p>
    <w:tbl>
      <w:tblPr>
        <w:tblStyle w:val="TableGrid"/>
        <w:tblW w:w="0" w:type="auto"/>
        <w:tblLook w:val="06A0" w:firstRow="1" w:lastRow="0" w:firstColumn="1" w:lastColumn="0" w:noHBand="1" w:noVBand="1"/>
      </w:tblPr>
      <w:tblGrid>
        <w:gridCol w:w="2364"/>
        <w:gridCol w:w="1234"/>
        <w:gridCol w:w="1297"/>
        <w:gridCol w:w="1510"/>
        <w:gridCol w:w="1446"/>
        <w:gridCol w:w="1499"/>
      </w:tblGrid>
      <w:tr w:rsidRPr="00743BE9" w:rsidR="000F1385" w:rsidTr="0022592C" w14:paraId="0776BF8B" w14:textId="77777777">
        <w:trPr>
          <w:trHeight w:val="300"/>
        </w:trPr>
        <w:tc>
          <w:tcPr>
            <w:tcW w:w="1560" w:type="dxa"/>
          </w:tcPr>
          <w:p w:rsidRPr="00743BE9" w:rsidR="000F1385" w:rsidP="00B6310C" w:rsidRDefault="000F1385" w14:paraId="60D2D172" w14:textId="77777777">
            <w:pPr>
              <w:spacing w:line="360" w:lineRule="auto"/>
              <w:jc w:val="both"/>
              <w:rPr>
                <w:rFonts w:eastAsia="Arial" w:cstheme="minorHAnsi"/>
              </w:rPr>
            </w:pPr>
            <w:r w:rsidRPr="00743BE9">
              <w:rPr>
                <w:rFonts w:eastAsia="Arial" w:cstheme="minorHAnsi"/>
              </w:rPr>
              <w:t>Tesla Resource/Capability</w:t>
            </w:r>
          </w:p>
        </w:tc>
        <w:tc>
          <w:tcPr>
            <w:tcW w:w="1560" w:type="dxa"/>
          </w:tcPr>
          <w:p w:rsidRPr="00743BE9" w:rsidR="000F1385" w:rsidP="00B6310C" w:rsidRDefault="000F1385" w14:paraId="12B9FA9A" w14:textId="77777777">
            <w:pPr>
              <w:spacing w:line="360" w:lineRule="auto"/>
              <w:jc w:val="both"/>
              <w:rPr>
                <w:rFonts w:eastAsia="Arial" w:cstheme="minorHAnsi"/>
              </w:rPr>
            </w:pPr>
            <w:r w:rsidRPr="00743BE9">
              <w:rPr>
                <w:rFonts w:eastAsia="Arial" w:cstheme="minorHAnsi"/>
              </w:rPr>
              <w:t>Valuable</w:t>
            </w:r>
          </w:p>
        </w:tc>
        <w:tc>
          <w:tcPr>
            <w:tcW w:w="1560" w:type="dxa"/>
          </w:tcPr>
          <w:tbl>
            <w:tblPr>
              <w:tblW w:w="0" w:type="auto"/>
              <w:tblLook w:val="06A0" w:firstRow="1" w:lastRow="0" w:firstColumn="1" w:lastColumn="0" w:noHBand="1" w:noVBand="1"/>
            </w:tblPr>
            <w:tblGrid>
              <w:gridCol w:w="1081"/>
            </w:tblGrid>
            <w:tr w:rsidRPr="00743BE9" w:rsidR="000F1385" w:rsidTr="0022592C" w14:paraId="5042FEA0" w14:textId="77777777">
              <w:trPr>
                <w:trHeight w:val="300"/>
              </w:trPr>
              <w:tc>
                <w:tcPr>
                  <w:tcW w:w="1275" w:type="dxa"/>
                  <w:vAlign w:val="center"/>
                </w:tcPr>
                <w:p w:rsidRPr="00743BE9" w:rsidR="000F1385" w:rsidP="00B6310C" w:rsidRDefault="000F1385" w14:paraId="03CFA6EA" w14:textId="77777777">
                  <w:pPr>
                    <w:spacing w:line="360" w:lineRule="auto"/>
                    <w:jc w:val="both"/>
                    <w:rPr>
                      <w:rFonts w:cstheme="minorHAnsi"/>
                    </w:rPr>
                  </w:pPr>
                  <w:r w:rsidRPr="00743BE9">
                    <w:rPr>
                      <w:rFonts w:cstheme="minorHAnsi"/>
                    </w:rPr>
                    <w:t>Rare</w:t>
                  </w:r>
                </w:p>
              </w:tc>
            </w:tr>
          </w:tbl>
          <w:p w:rsidRPr="00743BE9" w:rsidR="000F1385" w:rsidP="00B6310C" w:rsidRDefault="000F1385" w14:paraId="352F32FE" w14:textId="77777777">
            <w:pPr>
              <w:spacing w:line="360" w:lineRule="auto"/>
              <w:jc w:val="both"/>
              <w:rPr>
                <w:rFonts w:eastAsia="Arial" w:cstheme="minorHAnsi"/>
              </w:rPr>
            </w:pPr>
          </w:p>
        </w:tc>
        <w:tc>
          <w:tcPr>
            <w:tcW w:w="1560" w:type="dxa"/>
          </w:tcPr>
          <w:p w:rsidRPr="00743BE9" w:rsidR="000F1385" w:rsidP="00B6310C" w:rsidRDefault="000F1385" w14:paraId="6EC3FF34" w14:textId="77777777">
            <w:pPr>
              <w:spacing w:line="360" w:lineRule="auto"/>
              <w:jc w:val="both"/>
              <w:rPr>
                <w:rFonts w:eastAsia="Arial" w:cstheme="minorHAnsi"/>
              </w:rPr>
            </w:pPr>
            <w:r w:rsidRPr="00743BE9">
              <w:rPr>
                <w:rFonts w:eastAsia="Arial" w:cstheme="minorHAnsi"/>
              </w:rPr>
              <w:t>Difficult to Imitate</w:t>
            </w:r>
          </w:p>
        </w:tc>
        <w:tc>
          <w:tcPr>
            <w:tcW w:w="1560" w:type="dxa"/>
          </w:tcPr>
          <w:p w:rsidRPr="00743BE9" w:rsidR="000F1385" w:rsidP="00B6310C" w:rsidRDefault="000F1385" w14:paraId="70227249" w14:textId="77777777">
            <w:pPr>
              <w:spacing w:line="360" w:lineRule="auto"/>
              <w:jc w:val="both"/>
              <w:rPr>
                <w:rFonts w:eastAsia="Arial" w:cstheme="minorHAnsi"/>
              </w:rPr>
            </w:pPr>
            <w:proofErr w:type="spellStart"/>
            <w:r w:rsidRPr="00743BE9">
              <w:rPr>
                <w:rFonts w:eastAsia="Arial" w:cstheme="minorHAnsi"/>
              </w:rPr>
              <w:t>Organised</w:t>
            </w:r>
            <w:proofErr w:type="spellEnd"/>
          </w:p>
        </w:tc>
        <w:tc>
          <w:tcPr>
            <w:tcW w:w="1560" w:type="dxa"/>
          </w:tcPr>
          <w:p w:rsidRPr="00743BE9" w:rsidR="000F1385" w:rsidP="00B6310C" w:rsidRDefault="000F1385" w14:paraId="74875938" w14:textId="77777777">
            <w:pPr>
              <w:spacing w:line="360" w:lineRule="auto"/>
              <w:jc w:val="both"/>
              <w:rPr>
                <w:rFonts w:eastAsia="Arial" w:cstheme="minorHAnsi"/>
              </w:rPr>
            </w:pPr>
            <w:r w:rsidRPr="00743BE9">
              <w:rPr>
                <w:rFonts w:eastAsia="Arial" w:cstheme="minorHAnsi"/>
              </w:rPr>
              <w:t>Strategic Outcome</w:t>
            </w:r>
          </w:p>
        </w:tc>
      </w:tr>
      <w:tr w:rsidRPr="00743BE9" w:rsidR="000F1385" w:rsidTr="0022592C" w14:paraId="4C7862D5" w14:textId="77777777">
        <w:trPr>
          <w:trHeight w:val="300"/>
        </w:trPr>
        <w:tc>
          <w:tcPr>
            <w:tcW w:w="1560" w:type="dxa"/>
          </w:tcPr>
          <w:p w:rsidRPr="00743BE9" w:rsidR="000F1385" w:rsidP="00B6310C" w:rsidRDefault="000F1385" w14:paraId="719EF742" w14:textId="77777777">
            <w:pPr>
              <w:spacing w:line="360" w:lineRule="auto"/>
              <w:jc w:val="both"/>
              <w:rPr>
                <w:rFonts w:cstheme="minorHAnsi"/>
              </w:rPr>
            </w:pPr>
            <w:r w:rsidRPr="00743BE9">
              <w:rPr>
                <w:rFonts w:eastAsia="Arial" w:cstheme="minorHAnsi"/>
              </w:rPr>
              <w:t>Brand reputation and innovation identity</w:t>
            </w:r>
          </w:p>
        </w:tc>
        <w:tc>
          <w:tcPr>
            <w:tcW w:w="1560" w:type="dxa"/>
          </w:tcPr>
          <w:p w:rsidRPr="00743BE9" w:rsidR="000F1385" w:rsidP="00B6310C" w:rsidRDefault="000F1385" w14:paraId="7A808EEB"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30F7B599" w14:textId="77777777">
            <w:pPr>
              <w:spacing w:line="360" w:lineRule="auto"/>
              <w:jc w:val="both"/>
              <w:rPr>
                <w:rFonts w:cstheme="minorHAnsi"/>
              </w:rPr>
            </w:pPr>
            <w:r w:rsidRPr="00743BE9">
              <w:rPr>
                <w:rFonts w:eastAsia="Arial" w:cstheme="minorHAnsi"/>
              </w:rPr>
              <w:t>Moderate</w:t>
            </w:r>
          </w:p>
        </w:tc>
        <w:tc>
          <w:tcPr>
            <w:tcW w:w="1560" w:type="dxa"/>
          </w:tcPr>
          <w:p w:rsidRPr="00743BE9" w:rsidR="000F1385" w:rsidP="00B6310C" w:rsidRDefault="000F1385" w14:paraId="29FE7B89" w14:textId="77777777">
            <w:pPr>
              <w:spacing w:line="360" w:lineRule="auto"/>
              <w:jc w:val="both"/>
              <w:rPr>
                <w:rFonts w:cstheme="minorHAnsi"/>
              </w:rPr>
            </w:pPr>
            <w:r w:rsidRPr="00743BE9">
              <w:rPr>
                <w:rFonts w:eastAsia="Arial" w:cstheme="minorHAnsi"/>
              </w:rPr>
              <w:t>Moderate</w:t>
            </w:r>
          </w:p>
        </w:tc>
        <w:tc>
          <w:tcPr>
            <w:tcW w:w="1560" w:type="dxa"/>
          </w:tcPr>
          <w:p w:rsidRPr="00743BE9" w:rsidR="000F1385" w:rsidP="00B6310C" w:rsidRDefault="000F1385" w14:paraId="22D5FF27"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06AA407B" w14:textId="77777777">
            <w:pPr>
              <w:spacing w:line="360" w:lineRule="auto"/>
              <w:jc w:val="both"/>
              <w:rPr>
                <w:rFonts w:cstheme="minorHAnsi"/>
              </w:rPr>
            </w:pPr>
            <w:r w:rsidRPr="00743BE9">
              <w:rPr>
                <w:rFonts w:eastAsia="Arial" w:cstheme="minorHAnsi"/>
              </w:rPr>
              <w:t>Temporary advantage</w:t>
            </w:r>
          </w:p>
        </w:tc>
      </w:tr>
      <w:tr w:rsidRPr="00743BE9" w:rsidR="000F1385" w:rsidTr="0022592C" w14:paraId="0F2AD5F3" w14:textId="77777777">
        <w:trPr>
          <w:trHeight w:val="300"/>
        </w:trPr>
        <w:tc>
          <w:tcPr>
            <w:tcW w:w="1560" w:type="dxa"/>
          </w:tcPr>
          <w:p w:rsidRPr="00743BE9" w:rsidR="000F1385" w:rsidP="00B6310C" w:rsidRDefault="000F1385" w14:paraId="41746F67" w14:textId="77777777">
            <w:pPr>
              <w:spacing w:line="360" w:lineRule="auto"/>
              <w:jc w:val="both"/>
              <w:rPr>
                <w:rFonts w:cstheme="minorHAnsi"/>
              </w:rPr>
            </w:pPr>
            <w:r w:rsidRPr="00743BE9">
              <w:rPr>
                <w:rFonts w:eastAsia="Arial" w:cstheme="minorHAnsi"/>
              </w:rPr>
              <w:t>Battery technology capability</w:t>
            </w:r>
          </w:p>
        </w:tc>
        <w:tc>
          <w:tcPr>
            <w:tcW w:w="1560" w:type="dxa"/>
          </w:tcPr>
          <w:p w:rsidRPr="00743BE9" w:rsidR="000F1385" w:rsidP="00B6310C" w:rsidRDefault="000F1385" w14:paraId="2AE29D15"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52B1003A"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6B62837D" w14:textId="77777777">
            <w:pPr>
              <w:spacing w:line="360" w:lineRule="auto"/>
              <w:jc w:val="both"/>
              <w:rPr>
                <w:rFonts w:cstheme="minorHAnsi"/>
              </w:rPr>
            </w:pPr>
            <w:r w:rsidRPr="00743BE9">
              <w:rPr>
                <w:rFonts w:eastAsia="Arial" w:cstheme="minorHAnsi"/>
              </w:rPr>
              <w:t>Increasingly difficult</w:t>
            </w:r>
          </w:p>
        </w:tc>
        <w:tc>
          <w:tcPr>
            <w:tcW w:w="1560" w:type="dxa"/>
          </w:tcPr>
          <w:p w:rsidRPr="00743BE9" w:rsidR="000F1385" w:rsidP="00B6310C" w:rsidRDefault="000F1385" w14:paraId="3D5B4B1F"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725DAFB6" w14:textId="77777777">
            <w:pPr>
              <w:spacing w:line="360" w:lineRule="auto"/>
              <w:jc w:val="both"/>
              <w:rPr>
                <w:rFonts w:cstheme="minorHAnsi"/>
              </w:rPr>
            </w:pPr>
            <w:r w:rsidRPr="00743BE9">
              <w:rPr>
                <w:rFonts w:eastAsia="Arial" w:cstheme="minorHAnsi"/>
              </w:rPr>
              <w:t>Potential advantage</w:t>
            </w:r>
          </w:p>
        </w:tc>
      </w:tr>
      <w:tr w:rsidRPr="00743BE9" w:rsidR="000F1385" w:rsidTr="0022592C" w14:paraId="6E2E18A3" w14:textId="77777777">
        <w:trPr>
          <w:trHeight w:val="300"/>
        </w:trPr>
        <w:tc>
          <w:tcPr>
            <w:tcW w:w="1560" w:type="dxa"/>
          </w:tcPr>
          <w:p w:rsidRPr="00743BE9" w:rsidR="000F1385" w:rsidP="00B6310C" w:rsidRDefault="000F1385" w14:paraId="795E966D" w14:textId="77777777">
            <w:pPr>
              <w:spacing w:line="360" w:lineRule="auto"/>
              <w:jc w:val="both"/>
              <w:rPr>
                <w:rFonts w:cstheme="minorHAnsi"/>
              </w:rPr>
            </w:pPr>
            <w:r w:rsidRPr="00743BE9">
              <w:rPr>
                <w:rFonts w:eastAsia="Arial" w:cstheme="minorHAnsi"/>
              </w:rPr>
              <w:t>Supercharger network</w:t>
            </w:r>
          </w:p>
        </w:tc>
        <w:tc>
          <w:tcPr>
            <w:tcW w:w="1560" w:type="dxa"/>
          </w:tcPr>
          <w:p w:rsidRPr="00743BE9" w:rsidR="000F1385" w:rsidP="00B6310C" w:rsidRDefault="000F1385" w14:paraId="3CBDDAEB"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5A844502"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1F583D30"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17301DA7"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2BEE4086" w14:textId="77777777">
            <w:pPr>
              <w:spacing w:line="360" w:lineRule="auto"/>
              <w:jc w:val="both"/>
              <w:rPr>
                <w:rFonts w:cstheme="minorHAnsi"/>
              </w:rPr>
            </w:pPr>
            <w:r w:rsidRPr="00743BE9">
              <w:rPr>
                <w:rFonts w:eastAsia="Arial" w:cstheme="minorHAnsi"/>
              </w:rPr>
              <w:t>Sustained advantage</w:t>
            </w:r>
          </w:p>
        </w:tc>
      </w:tr>
      <w:tr w:rsidRPr="00743BE9" w:rsidR="000F1385" w:rsidTr="0022592C" w14:paraId="306D84A8" w14:textId="77777777">
        <w:trPr>
          <w:trHeight w:val="300"/>
        </w:trPr>
        <w:tc>
          <w:tcPr>
            <w:tcW w:w="1560" w:type="dxa"/>
          </w:tcPr>
          <w:p w:rsidRPr="00743BE9" w:rsidR="000F1385" w:rsidP="00B6310C" w:rsidRDefault="000F1385" w14:paraId="79741BC0" w14:textId="77777777">
            <w:pPr>
              <w:spacing w:line="360" w:lineRule="auto"/>
              <w:jc w:val="both"/>
              <w:rPr>
                <w:rFonts w:cstheme="minorHAnsi"/>
              </w:rPr>
            </w:pPr>
            <w:r w:rsidRPr="00743BE9">
              <w:rPr>
                <w:rFonts w:eastAsia="Arial" w:cstheme="minorHAnsi"/>
              </w:rPr>
              <w:t>Vertical integration</w:t>
            </w:r>
          </w:p>
        </w:tc>
        <w:tc>
          <w:tcPr>
            <w:tcW w:w="1560" w:type="dxa"/>
          </w:tcPr>
          <w:p w:rsidRPr="00743BE9" w:rsidR="000F1385" w:rsidP="00B6310C" w:rsidRDefault="000F1385" w14:paraId="76597C5F"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620550CE"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00F9D844"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0BEA4BA0" w14:textId="77777777">
            <w:pPr>
              <w:spacing w:line="360" w:lineRule="auto"/>
              <w:jc w:val="both"/>
              <w:rPr>
                <w:rFonts w:cstheme="minorHAnsi"/>
              </w:rPr>
            </w:pPr>
            <w:r w:rsidRPr="00743BE9">
              <w:rPr>
                <w:rFonts w:eastAsia="Arial" w:cstheme="minorHAnsi"/>
              </w:rPr>
              <w:t>Developing</w:t>
            </w:r>
          </w:p>
        </w:tc>
        <w:tc>
          <w:tcPr>
            <w:tcW w:w="1560" w:type="dxa"/>
          </w:tcPr>
          <w:p w:rsidRPr="00743BE9" w:rsidR="000F1385" w:rsidP="00B6310C" w:rsidRDefault="000F1385" w14:paraId="3663DEF7" w14:textId="77777777">
            <w:pPr>
              <w:spacing w:line="360" w:lineRule="auto"/>
              <w:jc w:val="both"/>
              <w:rPr>
                <w:rFonts w:cstheme="minorHAnsi"/>
              </w:rPr>
            </w:pPr>
            <w:r w:rsidRPr="00743BE9">
              <w:rPr>
                <w:rFonts w:eastAsia="Arial" w:cstheme="minorHAnsi"/>
              </w:rPr>
              <w:t>Potential sustained advantage</w:t>
            </w:r>
          </w:p>
        </w:tc>
      </w:tr>
      <w:tr w:rsidRPr="00743BE9" w:rsidR="000F1385" w:rsidTr="0022592C" w14:paraId="164C1944" w14:textId="77777777">
        <w:trPr>
          <w:trHeight w:val="300"/>
        </w:trPr>
        <w:tc>
          <w:tcPr>
            <w:tcW w:w="1560" w:type="dxa"/>
          </w:tcPr>
          <w:p w:rsidRPr="00743BE9" w:rsidR="000F1385" w:rsidP="00B6310C" w:rsidRDefault="000F1385" w14:paraId="7486F7CC" w14:textId="77777777">
            <w:pPr>
              <w:spacing w:line="360" w:lineRule="auto"/>
              <w:jc w:val="both"/>
              <w:rPr>
                <w:rFonts w:cstheme="minorHAnsi"/>
              </w:rPr>
            </w:pPr>
            <w:r w:rsidRPr="00743BE9">
              <w:rPr>
                <w:rFonts w:eastAsia="Arial" w:cstheme="minorHAnsi"/>
              </w:rPr>
              <w:t>Vertical integration</w:t>
            </w:r>
          </w:p>
        </w:tc>
        <w:tc>
          <w:tcPr>
            <w:tcW w:w="1560" w:type="dxa"/>
          </w:tcPr>
          <w:p w:rsidRPr="00743BE9" w:rsidR="000F1385" w:rsidP="00B6310C" w:rsidRDefault="000F1385" w14:paraId="78DD33FC"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59203385" w14:textId="77777777">
            <w:pPr>
              <w:spacing w:line="360" w:lineRule="auto"/>
              <w:jc w:val="both"/>
              <w:rPr>
                <w:rFonts w:cstheme="minorHAnsi"/>
              </w:rPr>
            </w:pPr>
            <w:r w:rsidRPr="00743BE9">
              <w:rPr>
                <w:rFonts w:eastAsia="Arial" w:cstheme="minorHAnsi"/>
              </w:rPr>
              <w:t>Moderate</w:t>
            </w:r>
          </w:p>
        </w:tc>
        <w:tc>
          <w:tcPr>
            <w:tcW w:w="1560" w:type="dxa"/>
          </w:tcPr>
          <w:p w:rsidRPr="00743BE9" w:rsidR="000F1385" w:rsidP="00B6310C" w:rsidRDefault="000F1385" w14:paraId="43656197" w14:textId="77777777">
            <w:pPr>
              <w:spacing w:line="360" w:lineRule="auto"/>
              <w:jc w:val="both"/>
              <w:rPr>
                <w:rFonts w:cstheme="minorHAnsi"/>
              </w:rPr>
            </w:pPr>
            <w:r w:rsidRPr="00743BE9">
              <w:rPr>
                <w:rFonts w:eastAsia="Arial" w:cstheme="minorHAnsi"/>
              </w:rPr>
              <w:t>Moderate</w:t>
            </w:r>
          </w:p>
        </w:tc>
        <w:tc>
          <w:tcPr>
            <w:tcW w:w="1560" w:type="dxa"/>
          </w:tcPr>
          <w:p w:rsidRPr="00743BE9" w:rsidR="000F1385" w:rsidP="00B6310C" w:rsidRDefault="000F1385" w14:paraId="235DA364" w14:textId="77777777">
            <w:pPr>
              <w:spacing w:line="360" w:lineRule="auto"/>
              <w:jc w:val="both"/>
              <w:rPr>
                <w:rFonts w:cstheme="minorHAnsi"/>
              </w:rPr>
            </w:pPr>
            <w:r w:rsidRPr="00743BE9">
              <w:rPr>
                <w:rFonts w:eastAsia="Arial" w:cstheme="minorHAnsi"/>
              </w:rPr>
              <w:t>Yes</w:t>
            </w:r>
          </w:p>
        </w:tc>
        <w:tc>
          <w:tcPr>
            <w:tcW w:w="1560" w:type="dxa"/>
          </w:tcPr>
          <w:p w:rsidRPr="00743BE9" w:rsidR="000F1385" w:rsidP="00B6310C" w:rsidRDefault="000F1385" w14:paraId="5A51FC62" w14:textId="77777777">
            <w:pPr>
              <w:spacing w:line="360" w:lineRule="auto"/>
              <w:jc w:val="both"/>
              <w:rPr>
                <w:rFonts w:cstheme="minorHAnsi"/>
              </w:rPr>
            </w:pPr>
            <w:r w:rsidRPr="00743BE9">
              <w:rPr>
                <w:rFonts w:eastAsia="Arial" w:cstheme="minorHAnsi"/>
              </w:rPr>
              <w:t>Competitive advantage</w:t>
            </w:r>
          </w:p>
        </w:tc>
      </w:tr>
    </w:tbl>
    <w:p w:rsidRPr="00743BE9" w:rsidR="00CD6323" w:rsidP="00B6310C" w:rsidRDefault="00CD6323" w14:paraId="17113FDB" w14:textId="77777777">
      <w:pPr>
        <w:pStyle w:val="Heading2"/>
        <w:spacing w:line="360" w:lineRule="auto"/>
        <w:jc w:val="both"/>
        <w:rPr>
          <w:rFonts w:asciiTheme="minorHAnsi" w:hAnsiTheme="minorHAnsi" w:eastAsiaTheme="minorEastAsia" w:cstheme="minorHAnsi"/>
          <w:sz w:val="24"/>
          <w:szCs w:val="24"/>
        </w:rPr>
      </w:pPr>
    </w:p>
    <w:p w:rsidRPr="00743BE9" w:rsidR="006303D6" w:rsidP="3A68F3DD" w:rsidRDefault="006303D6" w14:paraId="3D34597B" w14:textId="25A8D6C3">
      <w:pPr>
        <w:pStyle w:val="Heading2"/>
        <w:spacing w:line="360" w:lineRule="auto"/>
        <w:jc w:val="both"/>
        <w:rPr>
          <w:rFonts w:ascii="Arial" w:hAnsi="Arial" w:eastAsia="ＭＳ 明朝" w:cs="Arial" w:asciiTheme="minorAscii" w:hAnsiTheme="minorAscii" w:eastAsiaTheme="minorEastAsia" w:cstheme="minorBidi"/>
          <w:sz w:val="24"/>
          <w:szCs w:val="24"/>
        </w:rPr>
      </w:pPr>
      <w:bookmarkStart w:name="_Toc880287326" w:id="1669144394"/>
      <w:r w:rsidRPr="3A68F3DD" w:rsidR="006303D6">
        <w:rPr>
          <w:rFonts w:ascii="Arial" w:hAnsi="Arial" w:eastAsia="ＭＳ 明朝" w:cs="Arial" w:asciiTheme="minorAscii" w:hAnsiTheme="minorAscii" w:eastAsiaTheme="minorEastAsia" w:cstheme="minorBidi"/>
          <w:sz w:val="24"/>
          <w:szCs w:val="24"/>
        </w:rPr>
        <w:t xml:space="preserve">Figure </w:t>
      </w:r>
      <w:r w:rsidRPr="3A68F3DD" w:rsidR="00343071">
        <w:rPr>
          <w:rFonts w:ascii="Arial" w:hAnsi="Arial" w:eastAsia="ＭＳ 明朝" w:cs="Arial" w:asciiTheme="minorAscii" w:hAnsiTheme="minorAscii" w:eastAsiaTheme="minorEastAsia" w:cstheme="minorBidi"/>
          <w:sz w:val="24"/>
          <w:szCs w:val="24"/>
        </w:rPr>
        <w:t>A</w:t>
      </w:r>
      <w:r w:rsidRPr="3A68F3DD" w:rsidR="006303D6">
        <w:rPr>
          <w:rFonts w:ascii="Arial" w:hAnsi="Arial" w:eastAsia="ＭＳ 明朝" w:cs="Arial" w:asciiTheme="minorAscii" w:hAnsiTheme="minorAscii" w:eastAsiaTheme="minorEastAsia" w:cstheme="minorBidi"/>
          <w:sz w:val="24"/>
          <w:szCs w:val="24"/>
        </w:rPr>
        <w:t>2: SWOT analysis</w:t>
      </w:r>
      <w:bookmarkEnd w:id="1669144394"/>
    </w:p>
    <w:tbl>
      <w:tblPr>
        <w:tblStyle w:val="TableGrid"/>
        <w:tblW w:w="0" w:type="auto"/>
        <w:tblLook w:val="06A0" w:firstRow="1" w:lastRow="0" w:firstColumn="1" w:lastColumn="0" w:noHBand="1" w:noVBand="1"/>
      </w:tblPr>
      <w:tblGrid>
        <w:gridCol w:w="4675"/>
        <w:gridCol w:w="4675"/>
      </w:tblGrid>
      <w:tr w:rsidRPr="00743BE9" w:rsidR="006303D6" w:rsidTr="0022592C" w14:paraId="4A9F8D1F" w14:textId="77777777">
        <w:trPr>
          <w:trHeight w:val="300"/>
        </w:trPr>
        <w:tc>
          <w:tcPr>
            <w:tcW w:w="4680" w:type="dxa"/>
          </w:tcPr>
          <w:p w:rsidRPr="00743BE9" w:rsidR="006303D6" w:rsidP="00B6310C" w:rsidRDefault="006303D6" w14:paraId="1C59A877" w14:textId="77777777">
            <w:pPr>
              <w:spacing w:line="360" w:lineRule="auto"/>
              <w:jc w:val="both"/>
              <w:rPr>
                <w:rFonts w:eastAsia="Arial" w:cstheme="minorHAnsi"/>
                <w:color w:val="00B050"/>
              </w:rPr>
            </w:pPr>
            <w:r w:rsidRPr="00743BE9">
              <w:rPr>
                <w:rFonts w:eastAsia="Arial" w:cstheme="minorHAnsi"/>
                <w:color w:val="00B050"/>
              </w:rPr>
              <w:t>Strengths</w:t>
            </w:r>
          </w:p>
        </w:tc>
        <w:tc>
          <w:tcPr>
            <w:tcW w:w="4680" w:type="dxa"/>
          </w:tcPr>
          <w:p w:rsidRPr="00743BE9" w:rsidR="006303D6" w:rsidP="00B6310C" w:rsidRDefault="006303D6" w14:paraId="36A09C79" w14:textId="77777777">
            <w:pPr>
              <w:spacing w:line="360" w:lineRule="auto"/>
              <w:jc w:val="both"/>
              <w:rPr>
                <w:rFonts w:eastAsia="Arial" w:cstheme="minorHAnsi"/>
                <w:color w:val="7030A0"/>
              </w:rPr>
            </w:pPr>
            <w:r w:rsidRPr="00743BE9">
              <w:rPr>
                <w:rFonts w:eastAsia="Arial" w:cstheme="minorHAnsi"/>
                <w:color w:val="7030A0"/>
              </w:rPr>
              <w:t>Weaknesses</w:t>
            </w:r>
          </w:p>
        </w:tc>
      </w:tr>
      <w:tr w:rsidRPr="00743BE9" w:rsidR="006303D6" w:rsidTr="0022592C" w14:paraId="4D675A66" w14:textId="77777777">
        <w:trPr>
          <w:trHeight w:val="300"/>
        </w:trPr>
        <w:tc>
          <w:tcPr>
            <w:tcW w:w="4680" w:type="dxa"/>
          </w:tcPr>
          <w:p w:rsidRPr="00743BE9" w:rsidR="006303D6" w:rsidP="00B6310C" w:rsidRDefault="006303D6" w14:paraId="65F5BCD2" w14:textId="77777777">
            <w:pPr>
              <w:spacing w:line="360" w:lineRule="auto"/>
              <w:jc w:val="both"/>
              <w:rPr>
                <w:rFonts w:cstheme="minorHAnsi"/>
              </w:rPr>
            </w:pPr>
            <w:r w:rsidRPr="00743BE9">
              <w:rPr>
                <w:rFonts w:eastAsia="Arial" w:cstheme="minorHAnsi"/>
              </w:rPr>
              <w:t>Strong global brand associated with innovation and sustainability</w:t>
            </w:r>
          </w:p>
        </w:tc>
        <w:tc>
          <w:tcPr>
            <w:tcW w:w="4680" w:type="dxa"/>
          </w:tcPr>
          <w:p w:rsidRPr="00743BE9" w:rsidR="006303D6" w:rsidP="00B6310C" w:rsidRDefault="006303D6" w14:paraId="1F59A6F9" w14:textId="77777777">
            <w:pPr>
              <w:spacing w:line="360" w:lineRule="auto"/>
              <w:jc w:val="both"/>
              <w:rPr>
                <w:rFonts w:cstheme="minorHAnsi"/>
              </w:rPr>
            </w:pPr>
            <w:r w:rsidRPr="00743BE9">
              <w:rPr>
                <w:rFonts w:eastAsia="Arial" w:cstheme="minorHAnsi"/>
              </w:rPr>
              <w:t>Premium pricing limits accessibility within mass-market segments</w:t>
            </w:r>
          </w:p>
        </w:tc>
      </w:tr>
      <w:tr w:rsidRPr="00743BE9" w:rsidR="006303D6" w:rsidTr="0022592C" w14:paraId="41E0F42E" w14:textId="77777777">
        <w:trPr>
          <w:trHeight w:val="300"/>
        </w:trPr>
        <w:tc>
          <w:tcPr>
            <w:tcW w:w="4680" w:type="dxa"/>
          </w:tcPr>
          <w:p w:rsidRPr="00743BE9" w:rsidR="006303D6" w:rsidP="00B6310C" w:rsidRDefault="006303D6" w14:paraId="1103E0E3" w14:textId="77777777">
            <w:pPr>
              <w:spacing w:line="360" w:lineRule="auto"/>
              <w:jc w:val="both"/>
              <w:rPr>
                <w:rFonts w:cstheme="minorHAnsi"/>
              </w:rPr>
            </w:pPr>
            <w:r w:rsidRPr="00743BE9">
              <w:rPr>
                <w:rFonts w:eastAsia="Arial" w:cstheme="minorHAnsi"/>
              </w:rPr>
              <w:t>Advanced battery, software, and autonomous technology capabilities</w:t>
            </w:r>
          </w:p>
        </w:tc>
        <w:tc>
          <w:tcPr>
            <w:tcW w:w="4680" w:type="dxa"/>
          </w:tcPr>
          <w:p w:rsidRPr="00743BE9" w:rsidR="006303D6" w:rsidP="00B6310C" w:rsidRDefault="006303D6" w14:paraId="5CD7122B" w14:textId="77777777">
            <w:pPr>
              <w:spacing w:line="360" w:lineRule="auto"/>
              <w:jc w:val="both"/>
              <w:rPr>
                <w:rFonts w:cstheme="minorHAnsi"/>
              </w:rPr>
            </w:pPr>
            <w:r w:rsidRPr="00743BE9">
              <w:rPr>
                <w:rFonts w:eastAsia="Arial" w:cstheme="minorHAnsi"/>
              </w:rPr>
              <w:t>Manufacturing complexity and operational efficiency challenges</w:t>
            </w:r>
          </w:p>
        </w:tc>
      </w:tr>
      <w:tr w:rsidRPr="00743BE9" w:rsidR="006303D6" w:rsidTr="0022592C" w14:paraId="06D00A1E" w14:textId="77777777">
        <w:trPr>
          <w:trHeight w:val="300"/>
        </w:trPr>
        <w:tc>
          <w:tcPr>
            <w:tcW w:w="4680" w:type="dxa"/>
          </w:tcPr>
          <w:p w:rsidRPr="00743BE9" w:rsidR="006303D6" w:rsidP="00B6310C" w:rsidRDefault="006303D6" w14:paraId="6E046C83" w14:textId="77777777">
            <w:pPr>
              <w:spacing w:line="360" w:lineRule="auto"/>
              <w:jc w:val="both"/>
              <w:rPr>
                <w:rFonts w:cstheme="minorHAnsi"/>
              </w:rPr>
            </w:pPr>
            <w:r w:rsidRPr="00743BE9">
              <w:rPr>
                <w:rFonts w:eastAsia="Arial" w:cstheme="minorHAnsi"/>
              </w:rPr>
              <w:t>Extensive Supercharger network supporting customer experience</w:t>
            </w:r>
          </w:p>
        </w:tc>
        <w:tc>
          <w:tcPr>
            <w:tcW w:w="4680" w:type="dxa"/>
          </w:tcPr>
          <w:p w:rsidRPr="00743BE9" w:rsidR="006303D6" w:rsidP="00B6310C" w:rsidRDefault="006303D6" w14:paraId="3AC3DBB2" w14:textId="77777777">
            <w:pPr>
              <w:spacing w:line="360" w:lineRule="auto"/>
              <w:jc w:val="both"/>
              <w:rPr>
                <w:rFonts w:cstheme="minorHAnsi"/>
              </w:rPr>
            </w:pPr>
            <w:r w:rsidRPr="00743BE9">
              <w:rPr>
                <w:rFonts w:eastAsia="Arial" w:cstheme="minorHAnsi"/>
              </w:rPr>
              <w:t>Dependence on critical mineral supply chains</w:t>
            </w:r>
          </w:p>
        </w:tc>
      </w:tr>
      <w:tr w:rsidRPr="00743BE9" w:rsidR="006303D6" w:rsidTr="0022592C" w14:paraId="590DD05F" w14:textId="77777777">
        <w:trPr>
          <w:trHeight w:val="300"/>
        </w:trPr>
        <w:tc>
          <w:tcPr>
            <w:tcW w:w="4680" w:type="dxa"/>
          </w:tcPr>
          <w:p w:rsidRPr="00743BE9" w:rsidR="006303D6" w:rsidP="00B6310C" w:rsidRDefault="006303D6" w14:paraId="7620DB31" w14:textId="77777777">
            <w:pPr>
              <w:spacing w:line="360" w:lineRule="auto"/>
              <w:jc w:val="both"/>
              <w:rPr>
                <w:rFonts w:cstheme="minorHAnsi"/>
              </w:rPr>
            </w:pPr>
            <w:r w:rsidRPr="00743BE9">
              <w:rPr>
                <w:rFonts w:eastAsia="Arial" w:cstheme="minorHAnsi"/>
              </w:rPr>
              <w:t>Integrated EV ecosystem combining hardware and software</w:t>
            </w:r>
          </w:p>
        </w:tc>
        <w:tc>
          <w:tcPr>
            <w:tcW w:w="4680" w:type="dxa"/>
          </w:tcPr>
          <w:p w:rsidRPr="00743BE9" w:rsidR="006303D6" w:rsidP="00B6310C" w:rsidRDefault="006303D6" w14:paraId="6585CCC7" w14:textId="77777777">
            <w:pPr>
              <w:spacing w:line="360" w:lineRule="auto"/>
              <w:jc w:val="both"/>
              <w:rPr>
                <w:rFonts w:cstheme="minorHAnsi"/>
              </w:rPr>
            </w:pPr>
            <w:r w:rsidRPr="00743BE9">
              <w:rPr>
                <w:rFonts w:eastAsia="Arial" w:cstheme="minorHAnsi"/>
              </w:rPr>
              <w:t>Governance risks associated with leadership concentration</w:t>
            </w:r>
          </w:p>
        </w:tc>
      </w:tr>
      <w:tr w:rsidRPr="00743BE9" w:rsidR="006303D6" w:rsidTr="0022592C" w14:paraId="4E9D2A92" w14:textId="77777777">
        <w:trPr>
          <w:trHeight w:val="300"/>
        </w:trPr>
        <w:tc>
          <w:tcPr>
            <w:tcW w:w="4680" w:type="dxa"/>
          </w:tcPr>
          <w:p w:rsidRPr="00743BE9" w:rsidR="006303D6" w:rsidP="00B6310C" w:rsidRDefault="006303D6" w14:paraId="01FFC3CD" w14:textId="77777777">
            <w:pPr>
              <w:spacing w:line="360" w:lineRule="auto"/>
              <w:jc w:val="both"/>
              <w:rPr>
                <w:rFonts w:cstheme="minorHAnsi"/>
              </w:rPr>
            </w:pPr>
            <w:r w:rsidRPr="00743BE9">
              <w:rPr>
                <w:rFonts w:eastAsia="Arial" w:cstheme="minorHAnsi"/>
              </w:rPr>
              <w:t>Strong R&amp;D capability and vehicle data advantage</w:t>
            </w:r>
          </w:p>
        </w:tc>
        <w:tc>
          <w:tcPr>
            <w:tcW w:w="4680" w:type="dxa"/>
          </w:tcPr>
          <w:p w:rsidRPr="00743BE9" w:rsidR="006303D6" w:rsidP="00B6310C" w:rsidRDefault="006303D6" w14:paraId="4C07498B" w14:textId="77777777">
            <w:pPr>
              <w:spacing w:line="360" w:lineRule="auto"/>
              <w:jc w:val="both"/>
              <w:rPr>
                <w:rFonts w:cstheme="minorHAnsi"/>
              </w:rPr>
            </w:pPr>
            <w:r w:rsidRPr="00743BE9">
              <w:rPr>
                <w:rFonts w:eastAsia="Arial" w:cstheme="minorHAnsi"/>
              </w:rPr>
              <w:t>Exposure to regulatory uncertainty surrounding autonomous technology</w:t>
            </w:r>
          </w:p>
        </w:tc>
      </w:tr>
      <w:tr w:rsidRPr="00743BE9" w:rsidR="006303D6" w:rsidTr="0022592C" w14:paraId="43CCC111" w14:textId="77777777">
        <w:trPr>
          <w:trHeight w:val="300"/>
        </w:trPr>
        <w:tc>
          <w:tcPr>
            <w:tcW w:w="4680" w:type="dxa"/>
          </w:tcPr>
          <w:p w:rsidRPr="00743BE9" w:rsidR="006303D6" w:rsidP="00B6310C" w:rsidRDefault="006303D6" w14:paraId="7E77020B" w14:textId="77777777">
            <w:pPr>
              <w:spacing w:line="360" w:lineRule="auto"/>
              <w:jc w:val="both"/>
              <w:rPr>
                <w:rFonts w:eastAsia="Arial" w:cstheme="minorHAnsi"/>
                <w:color w:val="4C94D8" w:themeColor="text2" w:themeTint="80"/>
              </w:rPr>
            </w:pPr>
            <w:r w:rsidRPr="00743BE9">
              <w:rPr>
                <w:rFonts w:eastAsia="Arial" w:cstheme="minorHAnsi"/>
                <w:color w:val="4C94D8" w:themeColor="text2" w:themeTint="80"/>
              </w:rPr>
              <w:t>Opportunities</w:t>
            </w:r>
          </w:p>
        </w:tc>
        <w:tc>
          <w:tcPr>
            <w:tcW w:w="4680" w:type="dxa"/>
          </w:tcPr>
          <w:p w:rsidRPr="00743BE9" w:rsidR="006303D6" w:rsidP="00B6310C" w:rsidRDefault="006303D6" w14:paraId="36966C7D" w14:textId="77777777">
            <w:pPr>
              <w:spacing w:line="360" w:lineRule="auto"/>
              <w:jc w:val="both"/>
              <w:rPr>
                <w:rFonts w:eastAsia="Arial" w:cstheme="minorHAnsi"/>
                <w:color w:val="FFC000"/>
              </w:rPr>
            </w:pPr>
            <w:r w:rsidRPr="00743BE9">
              <w:rPr>
                <w:rFonts w:eastAsia="Arial" w:cstheme="minorHAnsi"/>
                <w:color w:val="FFC000"/>
              </w:rPr>
              <w:t>Threats</w:t>
            </w:r>
          </w:p>
        </w:tc>
      </w:tr>
      <w:tr w:rsidRPr="00743BE9" w:rsidR="006303D6" w:rsidTr="0022592C" w14:paraId="5C03A60D" w14:textId="77777777">
        <w:trPr>
          <w:trHeight w:val="300"/>
        </w:trPr>
        <w:tc>
          <w:tcPr>
            <w:tcW w:w="4680" w:type="dxa"/>
          </w:tcPr>
          <w:p w:rsidRPr="00743BE9" w:rsidR="006303D6" w:rsidP="00B6310C" w:rsidRDefault="006303D6" w14:paraId="211771DC" w14:textId="77777777">
            <w:pPr>
              <w:spacing w:line="360" w:lineRule="auto"/>
              <w:jc w:val="both"/>
              <w:rPr>
                <w:rFonts w:cstheme="minorHAnsi"/>
              </w:rPr>
            </w:pPr>
            <w:r w:rsidRPr="00743BE9">
              <w:rPr>
                <w:rFonts w:eastAsia="Arial" w:cstheme="minorHAnsi"/>
              </w:rPr>
              <w:t>Continued growth of the US EV market supported by environmental policy and incentives</w:t>
            </w:r>
          </w:p>
        </w:tc>
        <w:tc>
          <w:tcPr>
            <w:tcW w:w="4680" w:type="dxa"/>
          </w:tcPr>
          <w:p w:rsidRPr="00743BE9" w:rsidR="006303D6" w:rsidP="00B6310C" w:rsidRDefault="006303D6" w14:paraId="1B77BFBE" w14:textId="77777777">
            <w:pPr>
              <w:spacing w:line="360" w:lineRule="auto"/>
              <w:jc w:val="both"/>
              <w:rPr>
                <w:rFonts w:cstheme="minorHAnsi"/>
              </w:rPr>
            </w:pPr>
            <w:r w:rsidRPr="00743BE9">
              <w:rPr>
                <w:rFonts w:eastAsia="Arial" w:cstheme="minorHAnsi"/>
              </w:rPr>
              <w:t>Increasing competition from Ford, General Motors, BYD, and Rivian</w:t>
            </w:r>
          </w:p>
        </w:tc>
      </w:tr>
      <w:tr w:rsidRPr="00743BE9" w:rsidR="006303D6" w:rsidTr="0022592C" w14:paraId="11955623" w14:textId="77777777">
        <w:trPr>
          <w:trHeight w:val="300"/>
        </w:trPr>
        <w:tc>
          <w:tcPr>
            <w:tcW w:w="4680" w:type="dxa"/>
          </w:tcPr>
          <w:p w:rsidRPr="00743BE9" w:rsidR="006303D6" w:rsidP="00B6310C" w:rsidRDefault="006303D6" w14:paraId="13062C3F" w14:textId="77777777">
            <w:pPr>
              <w:spacing w:line="360" w:lineRule="auto"/>
              <w:jc w:val="both"/>
              <w:rPr>
                <w:rFonts w:cstheme="minorHAnsi"/>
              </w:rPr>
            </w:pPr>
            <w:r w:rsidRPr="00743BE9">
              <w:rPr>
                <w:rFonts w:eastAsia="Arial" w:cstheme="minorHAnsi"/>
              </w:rPr>
              <w:t>Expansion into affordable EV segments through market penetration strategies</w:t>
            </w:r>
          </w:p>
        </w:tc>
        <w:tc>
          <w:tcPr>
            <w:tcW w:w="4680" w:type="dxa"/>
          </w:tcPr>
          <w:p w:rsidRPr="00743BE9" w:rsidR="006303D6" w:rsidP="00B6310C" w:rsidRDefault="006303D6" w14:paraId="6EDC3976" w14:textId="77777777">
            <w:pPr>
              <w:spacing w:line="360" w:lineRule="auto"/>
              <w:jc w:val="both"/>
              <w:rPr>
                <w:rFonts w:cstheme="minorHAnsi"/>
              </w:rPr>
            </w:pPr>
            <w:r w:rsidRPr="00743BE9">
              <w:rPr>
                <w:rFonts w:eastAsia="Arial" w:cstheme="minorHAnsi"/>
              </w:rPr>
              <w:t>Economic pressures from inflation and higher interest rates</w:t>
            </w:r>
          </w:p>
        </w:tc>
      </w:tr>
      <w:tr w:rsidRPr="00743BE9" w:rsidR="006303D6" w:rsidTr="0022592C" w14:paraId="3FF06421" w14:textId="77777777">
        <w:trPr>
          <w:trHeight w:val="300"/>
        </w:trPr>
        <w:tc>
          <w:tcPr>
            <w:tcW w:w="4680" w:type="dxa"/>
          </w:tcPr>
          <w:p w:rsidRPr="00743BE9" w:rsidR="006303D6" w:rsidP="00B6310C" w:rsidRDefault="006303D6" w14:paraId="29163058" w14:textId="77777777">
            <w:pPr>
              <w:spacing w:line="360" w:lineRule="auto"/>
              <w:jc w:val="both"/>
              <w:rPr>
                <w:rFonts w:cstheme="minorHAnsi"/>
              </w:rPr>
            </w:pPr>
            <w:r w:rsidRPr="00743BE9">
              <w:rPr>
                <w:rFonts w:eastAsia="Arial" w:cstheme="minorHAnsi"/>
              </w:rPr>
              <w:t>Growth opportunities in autonomous mobility and AI-driven transport services</w:t>
            </w:r>
          </w:p>
        </w:tc>
        <w:tc>
          <w:tcPr>
            <w:tcW w:w="4680" w:type="dxa"/>
          </w:tcPr>
          <w:p w:rsidRPr="00743BE9" w:rsidR="006303D6" w:rsidP="00B6310C" w:rsidRDefault="006303D6" w14:paraId="53495937" w14:textId="77777777">
            <w:pPr>
              <w:spacing w:line="360" w:lineRule="auto"/>
              <w:jc w:val="both"/>
              <w:rPr>
                <w:rFonts w:cstheme="minorHAnsi"/>
              </w:rPr>
            </w:pPr>
            <w:r w:rsidRPr="00743BE9">
              <w:rPr>
                <w:rFonts w:eastAsia="Arial" w:cstheme="minorHAnsi"/>
              </w:rPr>
              <w:t>Reduction of EV incentives creating demand uncertainty</w:t>
            </w:r>
          </w:p>
        </w:tc>
      </w:tr>
      <w:tr w:rsidRPr="00743BE9" w:rsidR="006303D6" w:rsidTr="0022592C" w14:paraId="7565142E" w14:textId="77777777">
        <w:trPr>
          <w:trHeight w:val="300"/>
        </w:trPr>
        <w:tc>
          <w:tcPr>
            <w:tcW w:w="4680" w:type="dxa"/>
          </w:tcPr>
          <w:p w:rsidRPr="00743BE9" w:rsidR="006303D6" w:rsidP="00B6310C" w:rsidRDefault="006303D6" w14:paraId="043E14F7" w14:textId="77777777">
            <w:pPr>
              <w:spacing w:line="360" w:lineRule="auto"/>
              <w:jc w:val="both"/>
              <w:rPr>
                <w:rFonts w:cstheme="minorHAnsi"/>
              </w:rPr>
            </w:pPr>
            <w:r w:rsidRPr="00743BE9">
              <w:rPr>
                <w:rFonts w:eastAsia="Arial" w:cstheme="minorHAnsi"/>
              </w:rPr>
              <w:t>Expansion of energy storage and renewable energy solutions</w:t>
            </w:r>
          </w:p>
        </w:tc>
        <w:tc>
          <w:tcPr>
            <w:tcW w:w="4680" w:type="dxa"/>
          </w:tcPr>
          <w:p w:rsidRPr="00743BE9" w:rsidR="006303D6" w:rsidP="00B6310C" w:rsidRDefault="006303D6" w14:paraId="5CB70C70" w14:textId="77777777">
            <w:pPr>
              <w:spacing w:line="360" w:lineRule="auto"/>
              <w:jc w:val="both"/>
              <w:rPr>
                <w:rFonts w:cstheme="minorHAnsi"/>
              </w:rPr>
            </w:pPr>
            <w:r w:rsidRPr="00743BE9">
              <w:rPr>
                <w:rFonts w:eastAsia="Arial" w:cstheme="minorHAnsi"/>
              </w:rPr>
              <w:t>Supply-chain disruption affecting battery materials</w:t>
            </w:r>
          </w:p>
        </w:tc>
      </w:tr>
      <w:tr w:rsidRPr="00743BE9" w:rsidR="006303D6" w:rsidTr="0022592C" w14:paraId="5E6E16B5" w14:textId="77777777">
        <w:trPr>
          <w:trHeight w:val="300"/>
        </w:trPr>
        <w:tc>
          <w:tcPr>
            <w:tcW w:w="4680" w:type="dxa"/>
          </w:tcPr>
          <w:p w:rsidRPr="00743BE9" w:rsidR="006303D6" w:rsidP="00B6310C" w:rsidRDefault="006303D6" w14:paraId="41C40D57" w14:textId="77777777">
            <w:pPr>
              <w:spacing w:line="360" w:lineRule="auto"/>
              <w:jc w:val="both"/>
              <w:rPr>
                <w:rFonts w:cstheme="minorHAnsi"/>
              </w:rPr>
            </w:pPr>
            <w:r w:rsidRPr="00743BE9">
              <w:rPr>
                <w:rFonts w:eastAsia="Arial" w:cstheme="minorHAnsi"/>
              </w:rPr>
              <w:t>Development of battery recycling and sustainable supply chains</w:t>
            </w:r>
          </w:p>
        </w:tc>
        <w:tc>
          <w:tcPr>
            <w:tcW w:w="4680" w:type="dxa"/>
          </w:tcPr>
          <w:p w:rsidRPr="00743BE9" w:rsidR="006303D6" w:rsidP="00B6310C" w:rsidRDefault="006303D6" w14:paraId="19409A59" w14:textId="77777777">
            <w:pPr>
              <w:spacing w:line="360" w:lineRule="auto"/>
              <w:jc w:val="both"/>
              <w:rPr>
                <w:rFonts w:cstheme="minorHAnsi"/>
              </w:rPr>
            </w:pPr>
            <w:r w:rsidRPr="00743BE9">
              <w:rPr>
                <w:rFonts w:eastAsia="Arial" w:cstheme="minorHAnsi"/>
              </w:rPr>
              <w:t>Increasing regulatory scrutiny of autonomous systems</w:t>
            </w:r>
          </w:p>
        </w:tc>
      </w:tr>
    </w:tbl>
    <w:p w:rsidRPr="00743BE9" w:rsidR="006303D6" w:rsidP="00B6310C" w:rsidRDefault="006303D6" w14:paraId="1EB1ED49" w14:textId="77777777">
      <w:pPr>
        <w:spacing w:line="360" w:lineRule="auto"/>
        <w:jc w:val="both"/>
        <w:rPr>
          <w:rFonts w:cstheme="minorHAnsi"/>
        </w:rPr>
      </w:pPr>
    </w:p>
    <w:p w:rsidRPr="00743BE9" w:rsidR="00EF3E8D" w:rsidP="00B6310C" w:rsidRDefault="00EF3E8D" w14:paraId="11D1EFB7" w14:textId="77777777">
      <w:pPr>
        <w:spacing w:line="360" w:lineRule="auto"/>
        <w:rPr>
          <w:rFonts w:cstheme="minorHAnsi"/>
          <w:lang w:val="en-GB"/>
        </w:rPr>
      </w:pPr>
    </w:p>
    <w:p w:rsidRPr="00743BE9" w:rsidR="00E25C0D" w:rsidP="3A68F3DD" w:rsidRDefault="00E25C0D" w14:paraId="7089DBEC" w14:textId="77777777">
      <w:pPr>
        <w:pStyle w:val="Heading2"/>
        <w:spacing w:line="360" w:lineRule="auto"/>
        <w:rPr>
          <w:rFonts w:ascii="Arial" w:hAnsi="Arial" w:cs="Arial" w:asciiTheme="minorAscii" w:hAnsiTheme="minorAscii" w:cstheme="minorBidi"/>
          <w:sz w:val="24"/>
          <w:szCs w:val="24"/>
        </w:rPr>
      </w:pPr>
      <w:bookmarkStart w:name="_Toc1104716426" w:id="963913291"/>
      <w:r w:rsidRPr="3A68F3DD" w:rsidR="00E25C0D">
        <w:rPr>
          <w:rFonts w:ascii="Arial" w:hAnsi="Arial" w:cs="Arial" w:asciiTheme="minorAscii" w:hAnsiTheme="minorAscii" w:cstheme="minorBidi"/>
          <w:sz w:val="24"/>
          <w:szCs w:val="24"/>
        </w:rPr>
        <w:t>Appendix B – Balanced Scorecard</w:t>
      </w:r>
      <w:bookmarkEnd w:id="963913291"/>
    </w:p>
    <w:p w:rsidRPr="00743BE9" w:rsidR="00B8682D" w:rsidP="3A68F3DD" w:rsidRDefault="00E25C0D" w14:paraId="7D9A565C" w14:textId="21910F78">
      <w:pPr>
        <w:pStyle w:val="Heading2"/>
        <w:spacing w:line="360" w:lineRule="auto"/>
        <w:rPr>
          <w:rFonts w:ascii="Arial" w:hAnsi="Arial" w:eastAsia="ＭＳ 明朝" w:cs="Arial" w:asciiTheme="minorAscii" w:hAnsiTheme="minorAscii" w:eastAsiaTheme="minorEastAsia" w:cstheme="minorBidi"/>
          <w:sz w:val="24"/>
          <w:szCs w:val="24"/>
        </w:rPr>
      </w:pPr>
      <w:bookmarkStart w:name="_Toc1118580973" w:id="1652940843"/>
      <w:r w:rsidRPr="3A68F3DD" w:rsidR="00E25C0D">
        <w:rPr>
          <w:rFonts w:ascii="Arial" w:hAnsi="Arial" w:cs="Arial" w:asciiTheme="minorAscii" w:hAnsiTheme="minorAscii" w:cstheme="minorBidi"/>
          <w:sz w:val="24"/>
          <w:szCs w:val="24"/>
        </w:rPr>
        <w:t>Figure B1: Financial Perspective</w:t>
      </w:r>
      <w:bookmarkEnd w:id="1652940843"/>
      <w:r w:rsidRPr="3A68F3DD" w:rsidR="00E25C0D">
        <w:rPr>
          <w:rFonts w:ascii="Arial" w:hAnsi="Arial" w:cs="Arial" w:asciiTheme="minorAscii" w:hAnsiTheme="minorAscii" w:cstheme="minorBidi"/>
          <w:sz w:val="24"/>
          <w:szCs w:val="24"/>
        </w:rPr>
        <w:t xml:space="preserve"> </w:t>
      </w:r>
    </w:p>
    <w:tbl>
      <w:tblPr>
        <w:tblStyle w:val="TableGrid"/>
        <w:tblW w:w="0" w:type="auto"/>
        <w:tblLook w:val="06A0" w:firstRow="1" w:lastRow="0" w:firstColumn="1" w:lastColumn="0" w:noHBand="1" w:noVBand="1"/>
      </w:tblPr>
      <w:tblGrid>
        <w:gridCol w:w="2338"/>
        <w:gridCol w:w="2338"/>
        <w:gridCol w:w="2337"/>
        <w:gridCol w:w="2337"/>
      </w:tblGrid>
      <w:tr w:rsidRPr="00743BE9" w:rsidR="00B8682D" w:rsidTr="0022592C" w14:paraId="7733EFBB" w14:textId="77777777">
        <w:trPr>
          <w:trHeight w:val="300"/>
        </w:trPr>
        <w:tc>
          <w:tcPr>
            <w:tcW w:w="2338" w:type="dxa"/>
          </w:tcPr>
          <w:p w:rsidRPr="00743BE9" w:rsidR="00B8682D" w:rsidP="00B6310C" w:rsidRDefault="00B8682D" w14:paraId="24F00E5F" w14:textId="77777777">
            <w:pPr>
              <w:spacing w:line="360" w:lineRule="auto"/>
              <w:jc w:val="both"/>
              <w:rPr>
                <w:rFonts w:cstheme="minorHAnsi"/>
              </w:rPr>
            </w:pPr>
            <w:r w:rsidRPr="00743BE9">
              <w:rPr>
                <w:rFonts w:eastAsia="Arial" w:cstheme="minorHAnsi"/>
              </w:rPr>
              <w:t>Objective</w:t>
            </w:r>
          </w:p>
        </w:tc>
        <w:tc>
          <w:tcPr>
            <w:tcW w:w="2338" w:type="dxa"/>
          </w:tcPr>
          <w:p w:rsidRPr="00743BE9" w:rsidR="00B8682D" w:rsidP="00B6310C" w:rsidRDefault="00B8682D" w14:paraId="28640B3C" w14:textId="77777777">
            <w:pPr>
              <w:spacing w:line="360" w:lineRule="auto"/>
              <w:jc w:val="both"/>
              <w:rPr>
                <w:rFonts w:cstheme="minorHAnsi"/>
              </w:rPr>
            </w:pPr>
            <w:r w:rsidRPr="00743BE9">
              <w:rPr>
                <w:rFonts w:cstheme="minorHAnsi"/>
              </w:rPr>
              <w:t>KPI</w:t>
            </w:r>
          </w:p>
        </w:tc>
        <w:tc>
          <w:tcPr>
            <w:tcW w:w="2337" w:type="dxa"/>
          </w:tcPr>
          <w:p w:rsidRPr="00743BE9" w:rsidR="00B8682D" w:rsidP="00B6310C" w:rsidRDefault="00B8682D" w14:paraId="210FC388" w14:textId="77777777">
            <w:pPr>
              <w:spacing w:line="360" w:lineRule="auto"/>
              <w:jc w:val="both"/>
              <w:rPr>
                <w:rFonts w:cstheme="minorHAnsi"/>
              </w:rPr>
            </w:pPr>
            <w:r w:rsidRPr="00743BE9">
              <w:rPr>
                <w:rFonts w:cstheme="minorHAnsi"/>
              </w:rPr>
              <w:t>Target</w:t>
            </w:r>
          </w:p>
        </w:tc>
        <w:tc>
          <w:tcPr>
            <w:tcW w:w="2337" w:type="dxa"/>
          </w:tcPr>
          <w:p w:rsidRPr="00743BE9" w:rsidR="00B8682D" w:rsidP="00B6310C" w:rsidRDefault="00B8682D" w14:paraId="74CCFDDD" w14:textId="77777777">
            <w:pPr>
              <w:spacing w:line="360" w:lineRule="auto"/>
              <w:jc w:val="both"/>
              <w:rPr>
                <w:rFonts w:cstheme="minorHAnsi"/>
              </w:rPr>
            </w:pPr>
            <w:r w:rsidRPr="00743BE9">
              <w:rPr>
                <w:rFonts w:eastAsia="Arial" w:cstheme="minorHAnsi"/>
              </w:rPr>
              <w:t>Strategic Initiative</w:t>
            </w:r>
          </w:p>
        </w:tc>
      </w:tr>
      <w:tr w:rsidRPr="00743BE9" w:rsidR="00B8682D" w:rsidTr="0022592C" w14:paraId="2BE9D554" w14:textId="77777777">
        <w:trPr>
          <w:trHeight w:val="300"/>
        </w:trPr>
        <w:tc>
          <w:tcPr>
            <w:tcW w:w="2338" w:type="dxa"/>
          </w:tcPr>
          <w:p w:rsidRPr="00743BE9" w:rsidR="00B8682D" w:rsidP="00B6310C" w:rsidRDefault="00B8682D" w14:paraId="1E80E13B" w14:textId="77777777">
            <w:pPr>
              <w:spacing w:line="360" w:lineRule="auto"/>
              <w:jc w:val="both"/>
              <w:rPr>
                <w:rFonts w:cstheme="minorHAnsi"/>
              </w:rPr>
            </w:pPr>
            <w:r w:rsidRPr="00743BE9">
              <w:rPr>
                <w:rFonts w:eastAsia="Arial" w:cstheme="minorHAnsi"/>
              </w:rPr>
              <w:t xml:space="preserve">Improve profitability </w:t>
            </w:r>
          </w:p>
        </w:tc>
        <w:tc>
          <w:tcPr>
            <w:tcW w:w="2338" w:type="dxa"/>
          </w:tcPr>
          <w:p w:rsidRPr="00743BE9" w:rsidR="00B8682D" w:rsidP="00B6310C" w:rsidRDefault="00B8682D" w14:paraId="514D577E" w14:textId="77777777">
            <w:pPr>
              <w:spacing w:line="360" w:lineRule="auto"/>
              <w:jc w:val="both"/>
              <w:rPr>
                <w:rFonts w:cstheme="minorHAnsi"/>
              </w:rPr>
            </w:pPr>
            <w:r w:rsidRPr="00743BE9">
              <w:rPr>
                <w:rFonts w:eastAsia="Arial" w:cstheme="minorHAnsi"/>
              </w:rPr>
              <w:t>Gross margin, EBIT performance</w:t>
            </w:r>
          </w:p>
        </w:tc>
        <w:tc>
          <w:tcPr>
            <w:tcW w:w="2337" w:type="dxa"/>
          </w:tcPr>
          <w:p w:rsidRPr="00743BE9" w:rsidR="00B8682D" w:rsidP="00B6310C" w:rsidRDefault="00B8682D" w14:paraId="1F226C6B" w14:textId="77777777">
            <w:pPr>
              <w:spacing w:line="360" w:lineRule="auto"/>
              <w:jc w:val="both"/>
              <w:rPr>
                <w:rFonts w:cstheme="minorHAnsi"/>
              </w:rPr>
            </w:pPr>
            <w:r w:rsidRPr="00743BE9">
              <w:rPr>
                <w:rFonts w:eastAsia="Arial" w:cstheme="minorHAnsi"/>
              </w:rPr>
              <w:t>Maintain sustainable margins</w:t>
            </w:r>
          </w:p>
        </w:tc>
        <w:tc>
          <w:tcPr>
            <w:tcW w:w="2337" w:type="dxa"/>
          </w:tcPr>
          <w:p w:rsidRPr="00743BE9" w:rsidR="00B8682D" w:rsidP="00B6310C" w:rsidRDefault="00B8682D" w14:paraId="06A61114" w14:textId="77777777">
            <w:pPr>
              <w:spacing w:line="360" w:lineRule="auto"/>
              <w:jc w:val="both"/>
              <w:rPr>
                <w:rFonts w:cstheme="minorHAnsi"/>
              </w:rPr>
            </w:pPr>
            <w:r w:rsidRPr="00743BE9">
              <w:rPr>
                <w:rFonts w:eastAsia="Arial" w:cstheme="minorHAnsi"/>
              </w:rPr>
              <w:t>Increase manufacturing efficiency</w:t>
            </w:r>
          </w:p>
        </w:tc>
      </w:tr>
      <w:tr w:rsidRPr="00743BE9" w:rsidR="00B8682D" w:rsidTr="0022592C" w14:paraId="46CD4BE8" w14:textId="77777777">
        <w:trPr>
          <w:trHeight w:val="300"/>
        </w:trPr>
        <w:tc>
          <w:tcPr>
            <w:tcW w:w="2338" w:type="dxa"/>
          </w:tcPr>
          <w:p w:rsidRPr="00743BE9" w:rsidR="00B8682D" w:rsidP="00B6310C" w:rsidRDefault="00B8682D" w14:paraId="44A9BFAC" w14:textId="77777777">
            <w:pPr>
              <w:spacing w:line="360" w:lineRule="auto"/>
              <w:jc w:val="both"/>
              <w:rPr>
                <w:rFonts w:cstheme="minorHAnsi"/>
              </w:rPr>
            </w:pPr>
            <w:r w:rsidRPr="00743BE9">
              <w:rPr>
                <w:rFonts w:eastAsia="Arial" w:cstheme="minorHAnsi"/>
              </w:rPr>
              <w:t>Reduce production costs</w:t>
            </w:r>
          </w:p>
        </w:tc>
        <w:tc>
          <w:tcPr>
            <w:tcW w:w="2338" w:type="dxa"/>
          </w:tcPr>
          <w:p w:rsidRPr="00743BE9" w:rsidR="00B8682D" w:rsidP="00B6310C" w:rsidRDefault="00B8682D" w14:paraId="3F2B0040" w14:textId="77777777">
            <w:pPr>
              <w:spacing w:line="360" w:lineRule="auto"/>
              <w:jc w:val="both"/>
              <w:rPr>
                <w:rFonts w:cstheme="minorHAnsi"/>
              </w:rPr>
            </w:pPr>
            <w:r w:rsidRPr="00743BE9">
              <w:rPr>
                <w:rFonts w:eastAsia="Arial" w:cstheme="minorHAnsi"/>
              </w:rPr>
              <w:t>Cost per vehicle and production cycle time</w:t>
            </w:r>
          </w:p>
        </w:tc>
        <w:tc>
          <w:tcPr>
            <w:tcW w:w="2337" w:type="dxa"/>
          </w:tcPr>
          <w:p w:rsidRPr="00743BE9" w:rsidR="00B8682D" w:rsidP="00B6310C" w:rsidRDefault="00B8682D" w14:paraId="6FB57E20" w14:textId="77777777">
            <w:pPr>
              <w:spacing w:line="360" w:lineRule="auto"/>
              <w:jc w:val="both"/>
              <w:rPr>
                <w:rFonts w:cstheme="minorHAnsi"/>
              </w:rPr>
            </w:pPr>
            <w:r w:rsidRPr="00743BE9">
              <w:rPr>
                <w:rFonts w:eastAsia="Arial" w:cstheme="minorHAnsi"/>
              </w:rPr>
              <w:t>Reduce operational inefficiencies</w:t>
            </w:r>
          </w:p>
        </w:tc>
        <w:tc>
          <w:tcPr>
            <w:tcW w:w="2337" w:type="dxa"/>
          </w:tcPr>
          <w:p w:rsidRPr="00743BE9" w:rsidR="00B8682D" w:rsidP="00B6310C" w:rsidRDefault="00B8682D" w14:paraId="20B47A87" w14:textId="77777777">
            <w:pPr>
              <w:spacing w:line="360" w:lineRule="auto"/>
              <w:jc w:val="both"/>
              <w:rPr>
                <w:rFonts w:cstheme="minorHAnsi"/>
              </w:rPr>
            </w:pPr>
            <w:proofErr w:type="spellStart"/>
            <w:r w:rsidRPr="00743BE9">
              <w:rPr>
                <w:rFonts w:eastAsia="Arial" w:cstheme="minorHAnsi"/>
              </w:rPr>
              <w:t>Optimise</w:t>
            </w:r>
            <w:proofErr w:type="spellEnd"/>
            <w:r w:rsidRPr="00743BE9">
              <w:rPr>
                <w:rFonts w:eastAsia="Arial" w:cstheme="minorHAnsi"/>
              </w:rPr>
              <w:t xml:space="preserve"> Gigafactory operations</w:t>
            </w:r>
          </w:p>
        </w:tc>
      </w:tr>
      <w:tr w:rsidRPr="00743BE9" w:rsidR="00B8682D" w:rsidTr="0022592C" w14:paraId="40E015FD" w14:textId="77777777">
        <w:trPr>
          <w:trHeight w:val="300"/>
        </w:trPr>
        <w:tc>
          <w:tcPr>
            <w:tcW w:w="2338" w:type="dxa"/>
          </w:tcPr>
          <w:p w:rsidRPr="00743BE9" w:rsidR="00B8682D" w:rsidP="00B6310C" w:rsidRDefault="00B8682D" w14:paraId="4CE5EC55" w14:textId="77777777">
            <w:pPr>
              <w:spacing w:line="360" w:lineRule="auto"/>
              <w:jc w:val="both"/>
              <w:rPr>
                <w:rFonts w:cstheme="minorHAnsi"/>
              </w:rPr>
            </w:pPr>
            <w:r w:rsidRPr="00743BE9">
              <w:rPr>
                <w:rFonts w:eastAsia="Arial" w:cstheme="minorHAnsi"/>
              </w:rPr>
              <w:t>Strengthen financial resilience</w:t>
            </w:r>
          </w:p>
        </w:tc>
        <w:tc>
          <w:tcPr>
            <w:tcW w:w="2338" w:type="dxa"/>
          </w:tcPr>
          <w:p w:rsidRPr="00743BE9" w:rsidR="00B8682D" w:rsidP="00B6310C" w:rsidRDefault="00B8682D" w14:paraId="2BA845AF" w14:textId="77777777">
            <w:pPr>
              <w:spacing w:line="360" w:lineRule="auto"/>
              <w:jc w:val="both"/>
              <w:rPr>
                <w:rFonts w:cstheme="minorHAnsi"/>
              </w:rPr>
            </w:pPr>
            <w:r w:rsidRPr="00743BE9">
              <w:rPr>
                <w:rFonts w:eastAsia="Arial" w:cstheme="minorHAnsi"/>
              </w:rPr>
              <w:t>Revenue diversification</w:t>
            </w:r>
          </w:p>
        </w:tc>
        <w:tc>
          <w:tcPr>
            <w:tcW w:w="2337" w:type="dxa"/>
          </w:tcPr>
          <w:p w:rsidRPr="00743BE9" w:rsidR="00B8682D" w:rsidP="00B6310C" w:rsidRDefault="00B8682D" w14:paraId="71860504" w14:textId="77777777">
            <w:pPr>
              <w:spacing w:line="360" w:lineRule="auto"/>
              <w:jc w:val="both"/>
              <w:rPr>
                <w:rFonts w:cstheme="minorHAnsi"/>
              </w:rPr>
            </w:pPr>
            <w:r w:rsidRPr="00743BE9">
              <w:rPr>
                <w:rFonts w:eastAsia="Arial" w:cstheme="minorHAnsi"/>
              </w:rPr>
              <w:t>Increase non-vehicle revenue streams</w:t>
            </w:r>
          </w:p>
        </w:tc>
        <w:tc>
          <w:tcPr>
            <w:tcW w:w="2337" w:type="dxa"/>
          </w:tcPr>
          <w:p w:rsidRPr="00743BE9" w:rsidR="00B8682D" w:rsidP="00B6310C" w:rsidRDefault="00B8682D" w14:paraId="3D7B5E5E" w14:textId="77777777">
            <w:pPr>
              <w:spacing w:line="360" w:lineRule="auto"/>
              <w:jc w:val="both"/>
              <w:rPr>
                <w:rFonts w:cstheme="minorHAnsi"/>
              </w:rPr>
            </w:pPr>
            <w:r w:rsidRPr="00743BE9">
              <w:rPr>
                <w:rFonts w:eastAsia="Arial" w:cstheme="minorHAnsi"/>
              </w:rPr>
              <w:t>Expand energy storage and software services</w:t>
            </w:r>
          </w:p>
        </w:tc>
      </w:tr>
    </w:tbl>
    <w:p w:rsidRPr="00743BE9" w:rsidR="00E25C0D" w:rsidP="3A68F3DD" w:rsidRDefault="00B8682D" w14:paraId="73C6D422" w14:textId="0BCCB3F0">
      <w:pPr>
        <w:spacing w:line="360" w:lineRule="auto"/>
        <w:jc w:val="both"/>
        <w:rPr>
          <w:rFonts w:eastAsia="Arial" w:cs="Arial" w:cstheme="minorAscii"/>
          <w:color w:val="FF0000"/>
        </w:rPr>
      </w:pPr>
      <w:r w:rsidRPr="3A68F3DD" w:rsidR="00B8682D">
        <w:rPr>
          <w:rFonts w:eastAsia="Arial" w:cs="Arial" w:cstheme="minorAscii"/>
        </w:rPr>
        <w:t xml:space="preserve">These </w:t>
      </w:r>
      <w:r w:rsidRPr="3A68F3DD" w:rsidR="00B8682D">
        <w:rPr>
          <w:rFonts w:eastAsia="Arial" w:cs="Arial" w:cstheme="minorAscii"/>
        </w:rPr>
        <w:t>objectives</w:t>
      </w:r>
      <w:r w:rsidRPr="3A68F3DD" w:rsidR="00B8682D">
        <w:rPr>
          <w:rFonts w:eastAsia="Arial" w:cs="Arial" w:cstheme="minorAscii"/>
        </w:rPr>
        <w:t xml:space="preserve"> address Tesla’s strategic challenge of balancing affordability with profitability </w:t>
      </w:r>
    </w:p>
    <w:p w:rsidRPr="00743BE9" w:rsidR="000578DE" w:rsidP="3A68F3DD" w:rsidRDefault="00E25C0D" w14:paraId="378DA720" w14:textId="07E240DC">
      <w:pPr>
        <w:pStyle w:val="Heading2"/>
        <w:spacing w:line="360" w:lineRule="auto"/>
        <w:rPr>
          <w:rFonts w:ascii="Arial" w:hAnsi="Arial" w:cs="Arial" w:asciiTheme="minorAscii" w:hAnsiTheme="minorAscii" w:cstheme="minorBidi"/>
          <w:sz w:val="24"/>
          <w:szCs w:val="24"/>
          <w:lang w:val="en-GB"/>
        </w:rPr>
      </w:pPr>
      <w:bookmarkStart w:name="_Toc656404738" w:id="1586282027"/>
      <w:r w:rsidRPr="3A68F3DD" w:rsidR="00E25C0D">
        <w:rPr>
          <w:rFonts w:ascii="Arial" w:hAnsi="Arial" w:cs="Arial" w:asciiTheme="minorAscii" w:hAnsiTheme="minorAscii" w:cstheme="minorBidi"/>
          <w:sz w:val="24"/>
          <w:szCs w:val="24"/>
          <w:lang w:val="en-GB"/>
        </w:rPr>
        <w:t>Figure B2: Customer Perspective</w:t>
      </w:r>
      <w:bookmarkEnd w:id="1586282027"/>
    </w:p>
    <w:tbl>
      <w:tblPr>
        <w:tblStyle w:val="TableGrid"/>
        <w:tblW w:w="0" w:type="auto"/>
        <w:tblLook w:val="06A0" w:firstRow="1" w:lastRow="0" w:firstColumn="1" w:lastColumn="0" w:noHBand="1" w:noVBand="1"/>
      </w:tblPr>
      <w:tblGrid>
        <w:gridCol w:w="2338"/>
        <w:gridCol w:w="2338"/>
        <w:gridCol w:w="2337"/>
        <w:gridCol w:w="2337"/>
      </w:tblGrid>
      <w:tr w:rsidRPr="00743BE9" w:rsidR="000578DE" w:rsidTr="0022592C" w14:paraId="70A63D56" w14:textId="77777777">
        <w:trPr>
          <w:trHeight w:val="300"/>
        </w:trPr>
        <w:tc>
          <w:tcPr>
            <w:tcW w:w="2338" w:type="dxa"/>
          </w:tcPr>
          <w:p w:rsidRPr="00743BE9" w:rsidR="000578DE" w:rsidP="00B6310C" w:rsidRDefault="000578DE" w14:paraId="50513DE2" w14:textId="77777777">
            <w:pPr>
              <w:spacing w:line="360" w:lineRule="auto"/>
              <w:jc w:val="both"/>
              <w:rPr>
                <w:rFonts w:cstheme="minorHAnsi"/>
              </w:rPr>
            </w:pPr>
            <w:r w:rsidRPr="00743BE9">
              <w:rPr>
                <w:rFonts w:eastAsia="Arial" w:cstheme="minorHAnsi"/>
              </w:rPr>
              <w:t>Objective</w:t>
            </w:r>
          </w:p>
        </w:tc>
        <w:tc>
          <w:tcPr>
            <w:tcW w:w="2338" w:type="dxa"/>
          </w:tcPr>
          <w:p w:rsidRPr="00743BE9" w:rsidR="000578DE" w:rsidP="00B6310C" w:rsidRDefault="000578DE" w14:paraId="57BFD6F9" w14:textId="77777777">
            <w:pPr>
              <w:spacing w:line="360" w:lineRule="auto"/>
              <w:jc w:val="both"/>
              <w:rPr>
                <w:rFonts w:cstheme="minorHAnsi"/>
              </w:rPr>
            </w:pPr>
            <w:r w:rsidRPr="00743BE9">
              <w:rPr>
                <w:rFonts w:cstheme="minorHAnsi"/>
              </w:rPr>
              <w:t>KPI</w:t>
            </w:r>
          </w:p>
        </w:tc>
        <w:tc>
          <w:tcPr>
            <w:tcW w:w="2337" w:type="dxa"/>
          </w:tcPr>
          <w:p w:rsidRPr="00743BE9" w:rsidR="000578DE" w:rsidP="00B6310C" w:rsidRDefault="000578DE" w14:paraId="75A7006C" w14:textId="77777777">
            <w:pPr>
              <w:spacing w:line="360" w:lineRule="auto"/>
              <w:jc w:val="both"/>
              <w:rPr>
                <w:rFonts w:cstheme="minorHAnsi"/>
              </w:rPr>
            </w:pPr>
            <w:r w:rsidRPr="00743BE9">
              <w:rPr>
                <w:rFonts w:cstheme="minorHAnsi"/>
              </w:rPr>
              <w:t>Target</w:t>
            </w:r>
          </w:p>
        </w:tc>
        <w:tc>
          <w:tcPr>
            <w:tcW w:w="2337" w:type="dxa"/>
          </w:tcPr>
          <w:p w:rsidRPr="00743BE9" w:rsidR="000578DE" w:rsidP="00B6310C" w:rsidRDefault="000578DE" w14:paraId="22C813A4" w14:textId="77777777">
            <w:pPr>
              <w:spacing w:line="360" w:lineRule="auto"/>
              <w:jc w:val="both"/>
              <w:rPr>
                <w:rFonts w:cstheme="minorHAnsi"/>
              </w:rPr>
            </w:pPr>
            <w:r w:rsidRPr="00743BE9">
              <w:rPr>
                <w:rFonts w:eastAsia="Arial" w:cstheme="minorHAnsi"/>
              </w:rPr>
              <w:t>Strategic Initiative</w:t>
            </w:r>
          </w:p>
        </w:tc>
      </w:tr>
      <w:tr w:rsidRPr="00743BE9" w:rsidR="000578DE" w:rsidTr="0022592C" w14:paraId="44A69107" w14:textId="77777777">
        <w:trPr>
          <w:trHeight w:val="300"/>
        </w:trPr>
        <w:tc>
          <w:tcPr>
            <w:tcW w:w="2338" w:type="dxa"/>
          </w:tcPr>
          <w:p w:rsidRPr="00743BE9" w:rsidR="000578DE" w:rsidP="00B6310C" w:rsidRDefault="000578DE" w14:paraId="348C0660" w14:textId="77777777">
            <w:pPr>
              <w:spacing w:line="360" w:lineRule="auto"/>
              <w:jc w:val="both"/>
              <w:rPr>
                <w:rFonts w:cstheme="minorHAnsi"/>
              </w:rPr>
            </w:pPr>
            <w:r w:rsidRPr="00743BE9">
              <w:rPr>
                <w:rFonts w:eastAsia="Arial" w:cstheme="minorHAnsi"/>
              </w:rPr>
              <w:t>Improve customer satisfaction</w:t>
            </w:r>
          </w:p>
        </w:tc>
        <w:tc>
          <w:tcPr>
            <w:tcW w:w="2338" w:type="dxa"/>
          </w:tcPr>
          <w:p w:rsidRPr="00743BE9" w:rsidR="000578DE" w:rsidP="00B6310C" w:rsidRDefault="000578DE" w14:paraId="7ADD6DB5" w14:textId="77777777">
            <w:pPr>
              <w:spacing w:line="360" w:lineRule="auto"/>
              <w:jc w:val="both"/>
              <w:rPr>
                <w:rFonts w:cstheme="minorHAnsi"/>
              </w:rPr>
            </w:pPr>
            <w:r w:rsidRPr="00743BE9">
              <w:rPr>
                <w:rFonts w:eastAsia="Arial" w:cstheme="minorHAnsi"/>
              </w:rPr>
              <w:t>Customer satisfaction ratings</w:t>
            </w:r>
          </w:p>
        </w:tc>
        <w:tc>
          <w:tcPr>
            <w:tcW w:w="2337" w:type="dxa"/>
          </w:tcPr>
          <w:p w:rsidRPr="00743BE9" w:rsidR="000578DE" w:rsidP="00B6310C" w:rsidRDefault="000578DE" w14:paraId="1BC6BAFB" w14:textId="77777777">
            <w:pPr>
              <w:spacing w:line="360" w:lineRule="auto"/>
              <w:jc w:val="both"/>
              <w:rPr>
                <w:rFonts w:cstheme="minorHAnsi"/>
              </w:rPr>
            </w:pPr>
            <w:r w:rsidRPr="00743BE9">
              <w:rPr>
                <w:rFonts w:eastAsia="Arial" w:cstheme="minorHAnsi"/>
              </w:rPr>
              <w:t>Increase customer loyalty</w:t>
            </w:r>
          </w:p>
        </w:tc>
        <w:tc>
          <w:tcPr>
            <w:tcW w:w="2337" w:type="dxa"/>
          </w:tcPr>
          <w:p w:rsidRPr="00743BE9" w:rsidR="000578DE" w:rsidP="00B6310C" w:rsidRDefault="000578DE" w14:paraId="31FFFD56" w14:textId="77777777">
            <w:pPr>
              <w:spacing w:line="360" w:lineRule="auto"/>
              <w:jc w:val="both"/>
              <w:rPr>
                <w:rFonts w:cstheme="minorHAnsi"/>
              </w:rPr>
            </w:pPr>
            <w:r w:rsidRPr="00743BE9">
              <w:rPr>
                <w:rFonts w:eastAsia="Arial" w:cstheme="minorHAnsi"/>
              </w:rPr>
              <w:t>Enhance service experience</w:t>
            </w:r>
          </w:p>
        </w:tc>
      </w:tr>
      <w:tr w:rsidRPr="00743BE9" w:rsidR="000578DE" w:rsidTr="0022592C" w14:paraId="0CA1B1BD" w14:textId="77777777">
        <w:trPr>
          <w:trHeight w:val="300"/>
        </w:trPr>
        <w:tc>
          <w:tcPr>
            <w:tcW w:w="2338" w:type="dxa"/>
          </w:tcPr>
          <w:p w:rsidRPr="00743BE9" w:rsidR="000578DE" w:rsidP="00B6310C" w:rsidRDefault="000578DE" w14:paraId="451689A4" w14:textId="77777777">
            <w:pPr>
              <w:spacing w:line="360" w:lineRule="auto"/>
              <w:jc w:val="both"/>
              <w:rPr>
                <w:rFonts w:cstheme="minorHAnsi"/>
              </w:rPr>
            </w:pPr>
            <w:r w:rsidRPr="00743BE9">
              <w:rPr>
                <w:rFonts w:eastAsia="Arial" w:cstheme="minorHAnsi"/>
              </w:rPr>
              <w:t>Increase market accessibility</w:t>
            </w:r>
          </w:p>
        </w:tc>
        <w:tc>
          <w:tcPr>
            <w:tcW w:w="2338" w:type="dxa"/>
          </w:tcPr>
          <w:p w:rsidRPr="00743BE9" w:rsidR="000578DE" w:rsidP="00B6310C" w:rsidRDefault="000578DE" w14:paraId="0CAB3917" w14:textId="77777777">
            <w:pPr>
              <w:spacing w:line="360" w:lineRule="auto"/>
              <w:jc w:val="both"/>
              <w:rPr>
                <w:rFonts w:cstheme="minorHAnsi"/>
              </w:rPr>
            </w:pPr>
            <w:r w:rsidRPr="00743BE9">
              <w:rPr>
                <w:rFonts w:eastAsia="Arial" w:cstheme="minorHAnsi"/>
              </w:rPr>
              <w:t>EV adoption and market share</w:t>
            </w:r>
          </w:p>
        </w:tc>
        <w:tc>
          <w:tcPr>
            <w:tcW w:w="2337" w:type="dxa"/>
          </w:tcPr>
          <w:p w:rsidRPr="00743BE9" w:rsidR="000578DE" w:rsidP="00B6310C" w:rsidRDefault="000578DE" w14:paraId="1FB9D909" w14:textId="77777777">
            <w:pPr>
              <w:spacing w:line="360" w:lineRule="auto"/>
              <w:jc w:val="both"/>
              <w:rPr>
                <w:rFonts w:cstheme="minorHAnsi"/>
              </w:rPr>
            </w:pPr>
            <w:r w:rsidRPr="00743BE9">
              <w:rPr>
                <w:rFonts w:eastAsia="Arial" w:cstheme="minorHAnsi"/>
              </w:rPr>
              <w:t>Expand customer base</w:t>
            </w:r>
          </w:p>
        </w:tc>
        <w:tc>
          <w:tcPr>
            <w:tcW w:w="2337" w:type="dxa"/>
          </w:tcPr>
          <w:p w:rsidRPr="00743BE9" w:rsidR="000578DE" w:rsidP="00B6310C" w:rsidRDefault="000578DE" w14:paraId="37C7F228" w14:textId="77777777">
            <w:pPr>
              <w:spacing w:line="360" w:lineRule="auto"/>
              <w:jc w:val="both"/>
              <w:rPr>
                <w:rFonts w:cstheme="minorHAnsi"/>
              </w:rPr>
            </w:pPr>
            <w:r w:rsidRPr="00743BE9">
              <w:rPr>
                <w:rFonts w:eastAsia="Arial" w:cstheme="minorHAnsi"/>
              </w:rPr>
              <w:t>Develop affordable EV solutions</w:t>
            </w:r>
          </w:p>
        </w:tc>
      </w:tr>
      <w:tr w:rsidRPr="00743BE9" w:rsidR="000578DE" w:rsidTr="0022592C" w14:paraId="4CC46577" w14:textId="77777777">
        <w:trPr>
          <w:trHeight w:val="300"/>
        </w:trPr>
        <w:tc>
          <w:tcPr>
            <w:tcW w:w="2338" w:type="dxa"/>
          </w:tcPr>
          <w:p w:rsidRPr="00743BE9" w:rsidR="000578DE" w:rsidP="00B6310C" w:rsidRDefault="000578DE" w14:paraId="322C64E5" w14:textId="77777777">
            <w:pPr>
              <w:spacing w:line="360" w:lineRule="auto"/>
              <w:jc w:val="both"/>
              <w:rPr>
                <w:rFonts w:cstheme="minorHAnsi"/>
              </w:rPr>
            </w:pPr>
            <w:r w:rsidRPr="00743BE9">
              <w:rPr>
                <w:rFonts w:eastAsia="Arial" w:cstheme="minorHAnsi"/>
              </w:rPr>
              <w:t>Strengthen brand value</w:t>
            </w:r>
          </w:p>
        </w:tc>
        <w:tc>
          <w:tcPr>
            <w:tcW w:w="2338" w:type="dxa"/>
          </w:tcPr>
          <w:p w:rsidRPr="00743BE9" w:rsidR="000578DE" w:rsidP="00B6310C" w:rsidRDefault="000578DE" w14:paraId="6C2778BC" w14:textId="77777777">
            <w:pPr>
              <w:spacing w:line="360" w:lineRule="auto"/>
              <w:jc w:val="both"/>
              <w:rPr>
                <w:rFonts w:cstheme="minorHAnsi"/>
              </w:rPr>
            </w:pPr>
            <w:r w:rsidRPr="00743BE9">
              <w:rPr>
                <w:rFonts w:eastAsia="Arial" w:cstheme="minorHAnsi"/>
              </w:rPr>
              <w:t>Brand reputation measures</w:t>
            </w:r>
          </w:p>
        </w:tc>
        <w:tc>
          <w:tcPr>
            <w:tcW w:w="2337" w:type="dxa"/>
          </w:tcPr>
          <w:p w:rsidRPr="00743BE9" w:rsidR="000578DE" w:rsidP="00B6310C" w:rsidRDefault="000578DE" w14:paraId="414FB271" w14:textId="77777777">
            <w:pPr>
              <w:spacing w:line="360" w:lineRule="auto"/>
              <w:jc w:val="both"/>
              <w:rPr>
                <w:rFonts w:cstheme="minorHAnsi"/>
              </w:rPr>
            </w:pPr>
            <w:r w:rsidRPr="00743BE9">
              <w:rPr>
                <w:rFonts w:eastAsia="Arial" w:cstheme="minorHAnsi"/>
              </w:rPr>
              <w:t>Maintain innovation leadership</w:t>
            </w:r>
          </w:p>
        </w:tc>
        <w:tc>
          <w:tcPr>
            <w:tcW w:w="2337" w:type="dxa"/>
          </w:tcPr>
          <w:p w:rsidRPr="00743BE9" w:rsidR="000578DE" w:rsidP="00B6310C" w:rsidRDefault="000578DE" w14:paraId="297D737E" w14:textId="77777777">
            <w:pPr>
              <w:spacing w:line="360" w:lineRule="auto"/>
              <w:jc w:val="both"/>
              <w:rPr>
                <w:rFonts w:cstheme="minorHAnsi"/>
              </w:rPr>
            </w:pPr>
            <w:r w:rsidRPr="00743BE9">
              <w:rPr>
                <w:rFonts w:eastAsia="Arial" w:cstheme="minorHAnsi"/>
              </w:rPr>
              <w:t>Continue sustainable technology development</w:t>
            </w:r>
          </w:p>
        </w:tc>
      </w:tr>
    </w:tbl>
    <w:p w:rsidRPr="00743BE9" w:rsidR="00E25C0D" w:rsidP="3A68F3DD" w:rsidRDefault="000578DE" w14:paraId="2DC50FAB" w14:textId="69BCFF5D">
      <w:pPr>
        <w:spacing w:line="360" w:lineRule="auto"/>
        <w:jc w:val="both"/>
        <w:rPr>
          <w:rFonts w:cs="Arial" w:cstheme="minorAscii"/>
        </w:rPr>
      </w:pPr>
      <w:r w:rsidRPr="3A68F3DD" w:rsidR="000578DE">
        <w:rPr>
          <w:rFonts w:eastAsia="Arial" w:cs="Arial" w:cstheme="minorAscii"/>
        </w:rPr>
        <w:t xml:space="preserve">Tesla’s ability to </w:t>
      </w:r>
      <w:r w:rsidRPr="3A68F3DD" w:rsidR="000578DE">
        <w:rPr>
          <w:rFonts w:eastAsia="Arial" w:cs="Arial" w:cstheme="minorAscii"/>
        </w:rPr>
        <w:t>maintain</w:t>
      </w:r>
      <w:r w:rsidRPr="3A68F3DD" w:rsidR="000578DE">
        <w:rPr>
          <w:rFonts w:eastAsia="Arial" w:cs="Arial" w:cstheme="minorAscii"/>
        </w:rPr>
        <w:t xml:space="preserve"> customer value will depend on balancing technological differentiation with affordability</w:t>
      </w:r>
    </w:p>
    <w:p w:rsidRPr="00743BE9" w:rsidR="00F66874" w:rsidP="3A68F3DD" w:rsidRDefault="00E25C0D" w14:paraId="55D6D97B" w14:textId="45C792DF">
      <w:pPr>
        <w:pStyle w:val="Heading2"/>
        <w:spacing w:line="360" w:lineRule="auto"/>
        <w:rPr>
          <w:rFonts w:ascii="Arial" w:hAnsi="Arial" w:cs="Arial" w:asciiTheme="minorAscii" w:hAnsiTheme="minorAscii" w:cstheme="minorBidi"/>
          <w:sz w:val="24"/>
          <w:szCs w:val="24"/>
          <w:lang w:val="en-GB"/>
        </w:rPr>
      </w:pPr>
      <w:bookmarkStart w:name="_Toc914907666" w:id="1131470261"/>
      <w:r w:rsidRPr="3A68F3DD" w:rsidR="00E25C0D">
        <w:rPr>
          <w:rFonts w:ascii="Arial" w:hAnsi="Arial" w:cs="Arial" w:asciiTheme="minorAscii" w:hAnsiTheme="minorAscii" w:cstheme="minorBidi"/>
          <w:sz w:val="24"/>
          <w:szCs w:val="24"/>
          <w:lang w:val="en-GB"/>
        </w:rPr>
        <w:t>Figure B3: Internal Business Processes</w:t>
      </w:r>
      <w:bookmarkEnd w:id="1131470261"/>
    </w:p>
    <w:tbl>
      <w:tblPr>
        <w:tblStyle w:val="TableGrid"/>
        <w:tblW w:w="0" w:type="auto"/>
        <w:tblLook w:val="06A0" w:firstRow="1" w:lastRow="0" w:firstColumn="1" w:lastColumn="0" w:noHBand="1" w:noVBand="1"/>
      </w:tblPr>
      <w:tblGrid>
        <w:gridCol w:w="2338"/>
        <w:gridCol w:w="2338"/>
        <w:gridCol w:w="2337"/>
        <w:gridCol w:w="2337"/>
      </w:tblGrid>
      <w:tr w:rsidRPr="00743BE9" w:rsidR="00F66874" w:rsidTr="0022592C" w14:paraId="3688783C" w14:textId="77777777">
        <w:trPr>
          <w:trHeight w:val="300"/>
        </w:trPr>
        <w:tc>
          <w:tcPr>
            <w:tcW w:w="2340" w:type="dxa"/>
          </w:tcPr>
          <w:p w:rsidRPr="00743BE9" w:rsidR="00F66874" w:rsidP="00B6310C" w:rsidRDefault="00F66874" w14:paraId="2E622850" w14:textId="77777777">
            <w:pPr>
              <w:spacing w:line="360" w:lineRule="auto"/>
              <w:rPr>
                <w:rFonts w:cstheme="minorHAnsi"/>
              </w:rPr>
            </w:pPr>
            <w:r w:rsidRPr="00743BE9">
              <w:rPr>
                <w:rFonts w:eastAsia="Arial" w:cstheme="minorHAnsi"/>
              </w:rPr>
              <w:t>Objective</w:t>
            </w:r>
          </w:p>
        </w:tc>
        <w:tc>
          <w:tcPr>
            <w:tcW w:w="2340" w:type="dxa"/>
          </w:tcPr>
          <w:p w:rsidRPr="00743BE9" w:rsidR="00F66874" w:rsidP="00B6310C" w:rsidRDefault="00F66874" w14:paraId="06B15CBC" w14:textId="77777777">
            <w:pPr>
              <w:spacing w:line="360" w:lineRule="auto"/>
              <w:rPr>
                <w:rFonts w:cstheme="minorHAnsi"/>
              </w:rPr>
            </w:pPr>
            <w:r w:rsidRPr="00743BE9">
              <w:rPr>
                <w:rFonts w:eastAsia="Arial" w:cstheme="minorHAnsi"/>
              </w:rPr>
              <w:t>KPI</w:t>
            </w:r>
          </w:p>
        </w:tc>
        <w:tc>
          <w:tcPr>
            <w:tcW w:w="2340" w:type="dxa"/>
          </w:tcPr>
          <w:p w:rsidRPr="00743BE9" w:rsidR="00F66874" w:rsidP="00B6310C" w:rsidRDefault="00F66874" w14:paraId="5D3F3957" w14:textId="77777777">
            <w:pPr>
              <w:spacing w:line="360" w:lineRule="auto"/>
              <w:rPr>
                <w:rFonts w:cstheme="minorHAnsi"/>
              </w:rPr>
            </w:pPr>
            <w:r w:rsidRPr="00743BE9">
              <w:rPr>
                <w:rFonts w:eastAsia="Arial" w:cstheme="minorHAnsi"/>
              </w:rPr>
              <w:t>Target</w:t>
            </w:r>
          </w:p>
        </w:tc>
        <w:tc>
          <w:tcPr>
            <w:tcW w:w="2340" w:type="dxa"/>
          </w:tcPr>
          <w:p w:rsidRPr="00743BE9" w:rsidR="00F66874" w:rsidP="00B6310C" w:rsidRDefault="00F66874" w14:paraId="5D879C6A" w14:textId="77777777">
            <w:pPr>
              <w:spacing w:line="360" w:lineRule="auto"/>
              <w:rPr>
                <w:rFonts w:cstheme="minorHAnsi"/>
              </w:rPr>
            </w:pPr>
            <w:r w:rsidRPr="00743BE9">
              <w:rPr>
                <w:rFonts w:eastAsia="Arial" w:cstheme="minorHAnsi"/>
              </w:rPr>
              <w:t>Strategic Initiative</w:t>
            </w:r>
          </w:p>
        </w:tc>
      </w:tr>
      <w:tr w:rsidRPr="00743BE9" w:rsidR="00F66874" w:rsidTr="0022592C" w14:paraId="00735392" w14:textId="77777777">
        <w:trPr>
          <w:trHeight w:val="300"/>
        </w:trPr>
        <w:tc>
          <w:tcPr>
            <w:tcW w:w="2340" w:type="dxa"/>
          </w:tcPr>
          <w:p w:rsidRPr="00743BE9" w:rsidR="00F66874" w:rsidP="00B6310C" w:rsidRDefault="00F66874" w14:paraId="2C795497" w14:textId="77777777">
            <w:pPr>
              <w:spacing w:line="360" w:lineRule="auto"/>
              <w:rPr>
                <w:rFonts w:cstheme="minorHAnsi"/>
              </w:rPr>
            </w:pPr>
            <w:r w:rsidRPr="00743BE9">
              <w:rPr>
                <w:rFonts w:eastAsia="Arial" w:cstheme="minorHAnsi"/>
              </w:rPr>
              <w:lastRenderedPageBreak/>
              <w:t>Improve manufacturing efficiency</w:t>
            </w:r>
          </w:p>
        </w:tc>
        <w:tc>
          <w:tcPr>
            <w:tcW w:w="2340" w:type="dxa"/>
          </w:tcPr>
          <w:p w:rsidRPr="00743BE9" w:rsidR="00F66874" w:rsidP="00B6310C" w:rsidRDefault="00F66874" w14:paraId="45AEE093" w14:textId="77777777">
            <w:pPr>
              <w:spacing w:line="360" w:lineRule="auto"/>
              <w:rPr>
                <w:rFonts w:cstheme="minorHAnsi"/>
              </w:rPr>
            </w:pPr>
            <w:r w:rsidRPr="00743BE9">
              <w:rPr>
                <w:rFonts w:eastAsia="Arial" w:cstheme="minorHAnsi"/>
              </w:rPr>
              <w:t>Production cost and cycle time</w:t>
            </w:r>
          </w:p>
        </w:tc>
        <w:tc>
          <w:tcPr>
            <w:tcW w:w="2340" w:type="dxa"/>
          </w:tcPr>
          <w:p w:rsidRPr="00743BE9" w:rsidR="00F66874" w:rsidP="00B6310C" w:rsidRDefault="00F66874" w14:paraId="60EA3853" w14:textId="77777777">
            <w:pPr>
              <w:spacing w:line="360" w:lineRule="auto"/>
              <w:rPr>
                <w:rFonts w:cstheme="minorHAnsi"/>
              </w:rPr>
            </w:pPr>
            <w:r w:rsidRPr="00743BE9">
              <w:rPr>
                <w:rFonts w:eastAsia="Arial" w:cstheme="minorHAnsi"/>
              </w:rPr>
              <w:t>Reduce inefficiencies</w:t>
            </w:r>
          </w:p>
        </w:tc>
        <w:tc>
          <w:tcPr>
            <w:tcW w:w="2340" w:type="dxa"/>
          </w:tcPr>
          <w:p w:rsidRPr="00743BE9" w:rsidR="00F66874" w:rsidP="00B6310C" w:rsidRDefault="00F66874" w14:paraId="147FA897" w14:textId="77777777">
            <w:pPr>
              <w:spacing w:line="360" w:lineRule="auto"/>
              <w:rPr>
                <w:rFonts w:cstheme="minorHAnsi"/>
              </w:rPr>
            </w:pPr>
            <w:proofErr w:type="spellStart"/>
            <w:r w:rsidRPr="00743BE9">
              <w:rPr>
                <w:rFonts w:eastAsia="Arial" w:cstheme="minorHAnsi"/>
              </w:rPr>
              <w:t>Optimise</w:t>
            </w:r>
            <w:proofErr w:type="spellEnd"/>
            <w:r w:rsidRPr="00743BE9">
              <w:rPr>
                <w:rFonts w:eastAsia="Arial" w:cstheme="minorHAnsi"/>
              </w:rPr>
              <w:t xml:space="preserve"> Gigafactory processes</w:t>
            </w:r>
          </w:p>
        </w:tc>
      </w:tr>
      <w:tr w:rsidRPr="00743BE9" w:rsidR="00F66874" w:rsidTr="0022592C" w14:paraId="2815A7E9" w14:textId="77777777">
        <w:trPr>
          <w:trHeight w:val="300"/>
        </w:trPr>
        <w:tc>
          <w:tcPr>
            <w:tcW w:w="2340" w:type="dxa"/>
          </w:tcPr>
          <w:p w:rsidRPr="00743BE9" w:rsidR="00F66874" w:rsidP="00B6310C" w:rsidRDefault="00F66874" w14:paraId="6359A9AE" w14:textId="77777777">
            <w:pPr>
              <w:spacing w:line="360" w:lineRule="auto"/>
              <w:rPr>
                <w:rFonts w:cstheme="minorHAnsi"/>
              </w:rPr>
            </w:pPr>
            <w:r w:rsidRPr="00743BE9">
              <w:rPr>
                <w:rFonts w:eastAsia="Arial" w:cstheme="minorHAnsi"/>
              </w:rPr>
              <w:t>Strengthen supply-chain sustainability</w:t>
            </w:r>
          </w:p>
        </w:tc>
        <w:tc>
          <w:tcPr>
            <w:tcW w:w="2340" w:type="dxa"/>
          </w:tcPr>
          <w:p w:rsidRPr="00743BE9" w:rsidR="00F66874" w:rsidP="00B6310C" w:rsidRDefault="00F66874" w14:paraId="01CF6769" w14:textId="77777777">
            <w:pPr>
              <w:spacing w:line="360" w:lineRule="auto"/>
              <w:rPr>
                <w:rFonts w:cstheme="minorHAnsi"/>
              </w:rPr>
            </w:pPr>
            <w:r w:rsidRPr="00743BE9">
              <w:rPr>
                <w:rFonts w:eastAsia="Arial" w:cstheme="minorHAnsi"/>
              </w:rPr>
              <w:t>Supplier diversification and recycled materials</w:t>
            </w:r>
          </w:p>
        </w:tc>
        <w:tc>
          <w:tcPr>
            <w:tcW w:w="2340" w:type="dxa"/>
          </w:tcPr>
          <w:p w:rsidRPr="00743BE9" w:rsidR="00F66874" w:rsidP="00B6310C" w:rsidRDefault="00F66874" w14:paraId="0CBED501" w14:textId="77777777">
            <w:pPr>
              <w:spacing w:line="360" w:lineRule="auto"/>
              <w:rPr>
                <w:rFonts w:cstheme="minorHAnsi"/>
              </w:rPr>
            </w:pPr>
            <w:r w:rsidRPr="00743BE9">
              <w:rPr>
                <w:rFonts w:eastAsia="Arial" w:cstheme="minorHAnsi"/>
              </w:rPr>
              <w:t>Increase responsible sourcing</w:t>
            </w:r>
          </w:p>
        </w:tc>
        <w:tc>
          <w:tcPr>
            <w:tcW w:w="2340" w:type="dxa"/>
          </w:tcPr>
          <w:p w:rsidRPr="00743BE9" w:rsidR="00F66874" w:rsidP="00B6310C" w:rsidRDefault="00F66874" w14:paraId="0FFE4123" w14:textId="77777777">
            <w:pPr>
              <w:spacing w:line="360" w:lineRule="auto"/>
              <w:rPr>
                <w:rFonts w:cstheme="minorHAnsi"/>
              </w:rPr>
            </w:pPr>
            <w:r w:rsidRPr="00743BE9">
              <w:rPr>
                <w:rFonts w:eastAsia="Arial" w:cstheme="minorHAnsi"/>
              </w:rPr>
              <w:t>Develop battery recycling partnerships</w:t>
            </w:r>
          </w:p>
        </w:tc>
      </w:tr>
      <w:tr w:rsidRPr="00743BE9" w:rsidR="00F66874" w:rsidTr="0022592C" w14:paraId="673DDE1B" w14:textId="77777777">
        <w:trPr>
          <w:trHeight w:val="300"/>
        </w:trPr>
        <w:tc>
          <w:tcPr>
            <w:tcW w:w="2340" w:type="dxa"/>
          </w:tcPr>
          <w:p w:rsidRPr="00743BE9" w:rsidR="00F66874" w:rsidP="00B6310C" w:rsidRDefault="00F66874" w14:paraId="61D755D2" w14:textId="77777777">
            <w:pPr>
              <w:spacing w:line="360" w:lineRule="auto"/>
              <w:rPr>
                <w:rFonts w:cstheme="minorHAnsi"/>
              </w:rPr>
            </w:pPr>
            <w:r w:rsidRPr="00743BE9">
              <w:rPr>
                <w:rFonts w:eastAsia="Arial" w:cstheme="minorHAnsi"/>
              </w:rPr>
              <w:t>Improve ESG performance</w:t>
            </w:r>
          </w:p>
        </w:tc>
        <w:tc>
          <w:tcPr>
            <w:tcW w:w="2340" w:type="dxa"/>
          </w:tcPr>
          <w:p w:rsidRPr="00743BE9" w:rsidR="00F66874" w:rsidP="00B6310C" w:rsidRDefault="00F66874" w14:paraId="1D043604" w14:textId="77777777">
            <w:pPr>
              <w:spacing w:line="360" w:lineRule="auto"/>
              <w:rPr>
                <w:rFonts w:cstheme="minorHAnsi"/>
              </w:rPr>
            </w:pPr>
            <w:r w:rsidRPr="00743BE9">
              <w:rPr>
                <w:rFonts w:eastAsia="Arial" w:cstheme="minorHAnsi"/>
              </w:rPr>
              <w:t>Carbon reduction and renewable energy usage</w:t>
            </w:r>
          </w:p>
        </w:tc>
        <w:tc>
          <w:tcPr>
            <w:tcW w:w="2340" w:type="dxa"/>
          </w:tcPr>
          <w:p w:rsidRPr="00743BE9" w:rsidR="00F66874" w:rsidP="00B6310C" w:rsidRDefault="00F66874" w14:paraId="4598F5A5" w14:textId="77777777">
            <w:pPr>
              <w:spacing w:line="360" w:lineRule="auto"/>
              <w:rPr>
                <w:rFonts w:cstheme="minorHAnsi"/>
              </w:rPr>
            </w:pPr>
            <w:r w:rsidRPr="00743BE9">
              <w:rPr>
                <w:rFonts w:eastAsia="Arial" w:cstheme="minorHAnsi"/>
              </w:rPr>
              <w:t>Increase sustainability outcomes</w:t>
            </w:r>
          </w:p>
        </w:tc>
        <w:tc>
          <w:tcPr>
            <w:tcW w:w="2340" w:type="dxa"/>
          </w:tcPr>
          <w:p w:rsidRPr="00743BE9" w:rsidR="00F66874" w:rsidP="00B6310C" w:rsidRDefault="00F66874" w14:paraId="18148BA4" w14:textId="77777777">
            <w:pPr>
              <w:spacing w:line="360" w:lineRule="auto"/>
              <w:rPr>
                <w:rFonts w:cstheme="minorHAnsi"/>
              </w:rPr>
            </w:pPr>
            <w:r w:rsidRPr="00743BE9">
              <w:rPr>
                <w:rFonts w:eastAsia="Arial" w:cstheme="minorHAnsi"/>
              </w:rPr>
              <w:t>Expand clean energy integration</w:t>
            </w:r>
          </w:p>
        </w:tc>
      </w:tr>
    </w:tbl>
    <w:p w:rsidRPr="00743BE9" w:rsidR="00E25C0D" w:rsidP="3A68F3DD" w:rsidRDefault="00F66874" w14:paraId="7BF6DB93" w14:textId="383D1878">
      <w:pPr>
        <w:spacing w:before="240" w:after="240" w:line="360" w:lineRule="auto"/>
        <w:jc w:val="both"/>
        <w:rPr>
          <w:rFonts w:eastAsia="Arial" w:cs="Arial" w:cstheme="minorAscii"/>
          <w:color w:val="EE0000"/>
        </w:rPr>
      </w:pPr>
      <w:r w:rsidRPr="3A68F3DD" w:rsidR="00F66874">
        <w:rPr>
          <w:rFonts w:eastAsia="Arial" w:cs="Arial" w:cstheme="minorAscii"/>
        </w:rPr>
        <w:t xml:space="preserve">These initiatives directly address weaknesses </w:t>
      </w:r>
      <w:r w:rsidRPr="3A68F3DD" w:rsidR="00F66874">
        <w:rPr>
          <w:rFonts w:eastAsia="Arial" w:cs="Arial" w:cstheme="minorAscii"/>
        </w:rPr>
        <w:t>identified</w:t>
      </w:r>
      <w:r w:rsidRPr="3A68F3DD" w:rsidR="00F66874">
        <w:rPr>
          <w:rFonts w:eastAsia="Arial" w:cs="Arial" w:cstheme="minorAscii"/>
        </w:rPr>
        <w:t xml:space="preserve"> through the SWOT analysis, particularly manufacturing complexity and supply-chain dependency </w:t>
      </w:r>
    </w:p>
    <w:p w:rsidRPr="00743BE9" w:rsidR="00470BA0" w:rsidP="3A68F3DD" w:rsidRDefault="00E25C0D" w14:paraId="70EF3066" w14:textId="69A5F30C">
      <w:pPr>
        <w:pStyle w:val="Heading2"/>
        <w:spacing w:line="360" w:lineRule="auto"/>
        <w:rPr>
          <w:rFonts w:ascii="Arial" w:hAnsi="Arial" w:cs="Arial" w:asciiTheme="minorAscii" w:hAnsiTheme="minorAscii" w:cstheme="minorBidi"/>
          <w:sz w:val="24"/>
          <w:szCs w:val="24"/>
          <w:lang w:val="en-GB"/>
        </w:rPr>
      </w:pPr>
      <w:bookmarkStart w:name="_Toc1443264469" w:id="1817067141"/>
      <w:r w:rsidRPr="3A68F3DD" w:rsidR="00E25C0D">
        <w:rPr>
          <w:rFonts w:ascii="Arial" w:hAnsi="Arial" w:cs="Arial" w:asciiTheme="minorAscii" w:hAnsiTheme="minorAscii" w:cstheme="minorBidi"/>
          <w:sz w:val="24"/>
          <w:szCs w:val="24"/>
          <w:lang w:val="en-GB"/>
        </w:rPr>
        <w:t>Figure B4: Learning and Growth</w:t>
      </w:r>
      <w:bookmarkEnd w:id="1817067141"/>
    </w:p>
    <w:tbl>
      <w:tblPr>
        <w:tblStyle w:val="TableGrid"/>
        <w:tblW w:w="0" w:type="auto"/>
        <w:tblLook w:val="06A0" w:firstRow="1" w:lastRow="0" w:firstColumn="1" w:lastColumn="0" w:noHBand="1" w:noVBand="1"/>
      </w:tblPr>
      <w:tblGrid>
        <w:gridCol w:w="2338"/>
        <w:gridCol w:w="2337"/>
        <w:gridCol w:w="2337"/>
        <w:gridCol w:w="2338"/>
      </w:tblGrid>
      <w:tr w:rsidRPr="00743BE9" w:rsidR="00470BA0" w:rsidTr="0022592C" w14:paraId="32C2EC1B" w14:textId="77777777">
        <w:trPr>
          <w:trHeight w:val="300"/>
        </w:trPr>
        <w:tc>
          <w:tcPr>
            <w:tcW w:w="2340" w:type="dxa"/>
          </w:tcPr>
          <w:p w:rsidRPr="00743BE9" w:rsidR="00470BA0" w:rsidP="00B6310C" w:rsidRDefault="00470BA0" w14:paraId="2320ACE5" w14:textId="77777777">
            <w:pPr>
              <w:spacing w:line="360" w:lineRule="auto"/>
              <w:rPr>
                <w:rFonts w:cstheme="minorHAnsi"/>
              </w:rPr>
            </w:pPr>
            <w:r w:rsidRPr="00743BE9">
              <w:rPr>
                <w:rFonts w:eastAsia="Arial" w:cstheme="minorHAnsi"/>
              </w:rPr>
              <w:t>Objective</w:t>
            </w:r>
          </w:p>
        </w:tc>
        <w:tc>
          <w:tcPr>
            <w:tcW w:w="2340" w:type="dxa"/>
          </w:tcPr>
          <w:p w:rsidRPr="00743BE9" w:rsidR="00470BA0" w:rsidP="00B6310C" w:rsidRDefault="00470BA0" w14:paraId="3795A023" w14:textId="77777777">
            <w:pPr>
              <w:spacing w:line="360" w:lineRule="auto"/>
              <w:rPr>
                <w:rFonts w:cstheme="minorHAnsi"/>
              </w:rPr>
            </w:pPr>
            <w:r w:rsidRPr="00743BE9">
              <w:rPr>
                <w:rFonts w:eastAsia="Arial" w:cstheme="minorHAnsi"/>
              </w:rPr>
              <w:t>KPI</w:t>
            </w:r>
          </w:p>
        </w:tc>
        <w:tc>
          <w:tcPr>
            <w:tcW w:w="2340" w:type="dxa"/>
          </w:tcPr>
          <w:p w:rsidRPr="00743BE9" w:rsidR="00470BA0" w:rsidP="00B6310C" w:rsidRDefault="00470BA0" w14:paraId="022D3B7B" w14:textId="77777777">
            <w:pPr>
              <w:spacing w:line="360" w:lineRule="auto"/>
              <w:rPr>
                <w:rFonts w:cstheme="minorHAnsi"/>
              </w:rPr>
            </w:pPr>
            <w:r w:rsidRPr="00743BE9">
              <w:rPr>
                <w:rFonts w:eastAsia="Arial" w:cstheme="minorHAnsi"/>
              </w:rPr>
              <w:t>Target</w:t>
            </w:r>
          </w:p>
        </w:tc>
        <w:tc>
          <w:tcPr>
            <w:tcW w:w="2340" w:type="dxa"/>
          </w:tcPr>
          <w:p w:rsidRPr="00743BE9" w:rsidR="00470BA0" w:rsidP="00B6310C" w:rsidRDefault="00470BA0" w14:paraId="1C4F8C37" w14:textId="77777777">
            <w:pPr>
              <w:spacing w:line="360" w:lineRule="auto"/>
              <w:rPr>
                <w:rFonts w:cstheme="minorHAnsi"/>
              </w:rPr>
            </w:pPr>
            <w:r w:rsidRPr="00743BE9">
              <w:rPr>
                <w:rFonts w:eastAsia="Arial" w:cstheme="minorHAnsi"/>
              </w:rPr>
              <w:t>Strategic Initiative</w:t>
            </w:r>
          </w:p>
        </w:tc>
      </w:tr>
      <w:tr w:rsidRPr="00743BE9" w:rsidR="00470BA0" w:rsidTr="0022592C" w14:paraId="51A5AB3A" w14:textId="77777777">
        <w:trPr>
          <w:trHeight w:val="300"/>
        </w:trPr>
        <w:tc>
          <w:tcPr>
            <w:tcW w:w="2340" w:type="dxa"/>
          </w:tcPr>
          <w:p w:rsidRPr="00743BE9" w:rsidR="00470BA0" w:rsidP="00B6310C" w:rsidRDefault="00470BA0" w14:paraId="7AE89548" w14:textId="77777777">
            <w:pPr>
              <w:spacing w:line="360" w:lineRule="auto"/>
              <w:rPr>
                <w:rFonts w:cstheme="minorHAnsi"/>
              </w:rPr>
            </w:pPr>
            <w:r w:rsidRPr="00743BE9">
              <w:rPr>
                <w:rFonts w:eastAsia="Arial" w:cstheme="minorHAnsi"/>
              </w:rPr>
              <w:t>Maintain technological leadership</w:t>
            </w:r>
          </w:p>
        </w:tc>
        <w:tc>
          <w:tcPr>
            <w:tcW w:w="2340" w:type="dxa"/>
          </w:tcPr>
          <w:p w:rsidRPr="00743BE9" w:rsidR="00470BA0" w:rsidP="00B6310C" w:rsidRDefault="00470BA0" w14:paraId="47B3E451" w14:textId="77777777">
            <w:pPr>
              <w:spacing w:line="360" w:lineRule="auto"/>
              <w:rPr>
                <w:rFonts w:cstheme="minorHAnsi"/>
              </w:rPr>
            </w:pPr>
            <w:r w:rsidRPr="00743BE9">
              <w:rPr>
                <w:rFonts w:eastAsia="Arial" w:cstheme="minorHAnsi"/>
              </w:rPr>
              <w:t>R&amp;D investment and patents</w:t>
            </w:r>
          </w:p>
        </w:tc>
        <w:tc>
          <w:tcPr>
            <w:tcW w:w="2340" w:type="dxa"/>
          </w:tcPr>
          <w:p w:rsidRPr="00743BE9" w:rsidR="00470BA0" w:rsidP="00B6310C" w:rsidRDefault="00470BA0" w14:paraId="5B4AC653" w14:textId="77777777">
            <w:pPr>
              <w:spacing w:line="360" w:lineRule="auto"/>
              <w:rPr>
                <w:rFonts w:cstheme="minorHAnsi"/>
              </w:rPr>
            </w:pPr>
            <w:r w:rsidRPr="00743BE9">
              <w:rPr>
                <w:rFonts w:eastAsia="Arial" w:cstheme="minorHAnsi"/>
              </w:rPr>
              <w:t>Sustain investment in AI, batteries and software</w:t>
            </w:r>
          </w:p>
        </w:tc>
        <w:tc>
          <w:tcPr>
            <w:tcW w:w="2340" w:type="dxa"/>
          </w:tcPr>
          <w:p w:rsidRPr="00743BE9" w:rsidR="00470BA0" w:rsidP="00B6310C" w:rsidRDefault="00470BA0" w14:paraId="5EA74241" w14:textId="77777777">
            <w:pPr>
              <w:spacing w:line="360" w:lineRule="auto"/>
              <w:rPr>
                <w:rFonts w:cstheme="minorHAnsi"/>
              </w:rPr>
            </w:pPr>
            <w:r w:rsidRPr="00743BE9">
              <w:rPr>
                <w:rFonts w:eastAsia="Arial" w:cstheme="minorHAnsi"/>
              </w:rPr>
              <w:t>Expand innovation capability</w:t>
            </w:r>
          </w:p>
        </w:tc>
      </w:tr>
      <w:tr w:rsidRPr="00743BE9" w:rsidR="00470BA0" w:rsidTr="0022592C" w14:paraId="24B6B536" w14:textId="77777777">
        <w:trPr>
          <w:trHeight w:val="300"/>
        </w:trPr>
        <w:tc>
          <w:tcPr>
            <w:tcW w:w="2340" w:type="dxa"/>
          </w:tcPr>
          <w:p w:rsidRPr="00743BE9" w:rsidR="00470BA0" w:rsidP="00B6310C" w:rsidRDefault="00470BA0" w14:paraId="5BA6B453" w14:textId="77777777">
            <w:pPr>
              <w:spacing w:line="360" w:lineRule="auto"/>
              <w:rPr>
                <w:rFonts w:cstheme="minorHAnsi"/>
              </w:rPr>
            </w:pPr>
            <w:r w:rsidRPr="00743BE9">
              <w:rPr>
                <w:rFonts w:eastAsia="Arial" w:cstheme="minorHAnsi"/>
              </w:rPr>
              <w:t>Develop employee capability</w:t>
            </w:r>
          </w:p>
        </w:tc>
        <w:tc>
          <w:tcPr>
            <w:tcW w:w="2340" w:type="dxa"/>
          </w:tcPr>
          <w:p w:rsidRPr="00743BE9" w:rsidR="00470BA0" w:rsidP="00B6310C" w:rsidRDefault="00470BA0" w14:paraId="2560AF58" w14:textId="77777777">
            <w:pPr>
              <w:spacing w:line="360" w:lineRule="auto"/>
              <w:rPr>
                <w:rFonts w:cstheme="minorHAnsi"/>
              </w:rPr>
            </w:pPr>
            <w:r w:rsidRPr="00743BE9">
              <w:rPr>
                <w:rFonts w:eastAsia="Arial" w:cstheme="minorHAnsi"/>
              </w:rPr>
              <w:t>Training and retention rates</w:t>
            </w:r>
          </w:p>
        </w:tc>
        <w:tc>
          <w:tcPr>
            <w:tcW w:w="2340" w:type="dxa"/>
          </w:tcPr>
          <w:p w:rsidRPr="00743BE9" w:rsidR="00470BA0" w:rsidP="00B6310C" w:rsidRDefault="00470BA0" w14:paraId="0933789F" w14:textId="77777777">
            <w:pPr>
              <w:spacing w:line="360" w:lineRule="auto"/>
              <w:rPr>
                <w:rFonts w:cstheme="minorHAnsi"/>
              </w:rPr>
            </w:pPr>
            <w:r w:rsidRPr="00743BE9">
              <w:rPr>
                <w:rFonts w:eastAsia="Arial" w:cstheme="minorHAnsi"/>
              </w:rPr>
              <w:t>Improve workforce engagement</w:t>
            </w:r>
          </w:p>
        </w:tc>
        <w:tc>
          <w:tcPr>
            <w:tcW w:w="2340" w:type="dxa"/>
          </w:tcPr>
          <w:p w:rsidRPr="00743BE9" w:rsidR="00470BA0" w:rsidP="00B6310C" w:rsidRDefault="00470BA0" w14:paraId="16A72157" w14:textId="77777777">
            <w:pPr>
              <w:spacing w:line="360" w:lineRule="auto"/>
              <w:rPr>
                <w:rFonts w:cstheme="minorHAnsi"/>
              </w:rPr>
            </w:pPr>
            <w:r w:rsidRPr="00743BE9">
              <w:rPr>
                <w:rFonts w:eastAsia="Arial" w:cstheme="minorHAnsi"/>
              </w:rPr>
              <w:t xml:space="preserve">Introduce development </w:t>
            </w:r>
            <w:proofErr w:type="spellStart"/>
            <w:r w:rsidRPr="00743BE9">
              <w:rPr>
                <w:rFonts w:eastAsia="Arial" w:cstheme="minorHAnsi"/>
              </w:rPr>
              <w:t>programmes</w:t>
            </w:r>
            <w:proofErr w:type="spellEnd"/>
          </w:p>
        </w:tc>
      </w:tr>
      <w:tr w:rsidRPr="00743BE9" w:rsidR="00470BA0" w:rsidTr="0022592C" w14:paraId="787CA986" w14:textId="77777777">
        <w:trPr>
          <w:trHeight w:val="300"/>
        </w:trPr>
        <w:tc>
          <w:tcPr>
            <w:tcW w:w="2340" w:type="dxa"/>
          </w:tcPr>
          <w:p w:rsidRPr="00743BE9" w:rsidR="00470BA0" w:rsidP="00B6310C" w:rsidRDefault="00470BA0" w14:paraId="1052B1B6" w14:textId="77777777">
            <w:pPr>
              <w:spacing w:line="360" w:lineRule="auto"/>
              <w:rPr>
                <w:rFonts w:cstheme="minorHAnsi"/>
              </w:rPr>
            </w:pPr>
            <w:r w:rsidRPr="00743BE9">
              <w:rPr>
                <w:rFonts w:eastAsia="Arial" w:cstheme="minorHAnsi"/>
              </w:rPr>
              <w:t>Strengthen governance</w:t>
            </w:r>
          </w:p>
        </w:tc>
        <w:tc>
          <w:tcPr>
            <w:tcW w:w="2340" w:type="dxa"/>
          </w:tcPr>
          <w:p w:rsidRPr="00743BE9" w:rsidR="00470BA0" w:rsidP="00B6310C" w:rsidRDefault="00470BA0" w14:paraId="4F784578" w14:textId="77777777">
            <w:pPr>
              <w:spacing w:line="360" w:lineRule="auto"/>
              <w:rPr>
                <w:rFonts w:cstheme="minorHAnsi"/>
              </w:rPr>
            </w:pPr>
            <w:r w:rsidRPr="00743BE9">
              <w:rPr>
                <w:rFonts w:eastAsia="Arial" w:cstheme="minorHAnsi"/>
              </w:rPr>
              <w:t>ESG reporting and board effectiveness</w:t>
            </w:r>
          </w:p>
        </w:tc>
        <w:tc>
          <w:tcPr>
            <w:tcW w:w="2340" w:type="dxa"/>
          </w:tcPr>
          <w:p w:rsidRPr="00743BE9" w:rsidR="00470BA0" w:rsidP="00B6310C" w:rsidRDefault="00470BA0" w14:paraId="540DE8D4" w14:textId="77777777">
            <w:pPr>
              <w:spacing w:line="360" w:lineRule="auto"/>
              <w:rPr>
                <w:rFonts w:cstheme="minorHAnsi"/>
              </w:rPr>
            </w:pPr>
            <w:r w:rsidRPr="00743BE9">
              <w:rPr>
                <w:rFonts w:eastAsia="Arial" w:cstheme="minorHAnsi"/>
              </w:rPr>
              <w:t>Improve transparency</w:t>
            </w:r>
          </w:p>
        </w:tc>
        <w:tc>
          <w:tcPr>
            <w:tcW w:w="2340" w:type="dxa"/>
          </w:tcPr>
          <w:p w:rsidRPr="00743BE9" w:rsidR="00470BA0" w:rsidP="00B6310C" w:rsidRDefault="00470BA0" w14:paraId="34A9FDDC" w14:textId="77777777">
            <w:pPr>
              <w:spacing w:line="360" w:lineRule="auto"/>
              <w:rPr>
                <w:rFonts w:cstheme="minorHAnsi"/>
              </w:rPr>
            </w:pPr>
            <w:r w:rsidRPr="00743BE9">
              <w:rPr>
                <w:rFonts w:eastAsia="Arial" w:cstheme="minorHAnsi"/>
              </w:rPr>
              <w:t>Enhance stakeholder accountability</w:t>
            </w:r>
          </w:p>
        </w:tc>
      </w:tr>
    </w:tbl>
    <w:p w:rsidRPr="00743BE9" w:rsidR="00470BA0" w:rsidP="3A68F3DD" w:rsidRDefault="00470BA0" w14:paraId="61807A41" w14:textId="4B0E9D0E">
      <w:pPr>
        <w:spacing w:before="240" w:after="240" w:line="360" w:lineRule="auto"/>
        <w:jc w:val="both"/>
        <w:rPr>
          <w:rFonts w:eastAsia="Arial" w:cs="Arial" w:cstheme="minorAscii"/>
          <w:color w:val="EE0000"/>
        </w:rPr>
      </w:pPr>
    </w:p>
    <w:p w:rsidRPr="00743BE9" w:rsidR="00470BA0" w:rsidP="00B6310C" w:rsidRDefault="00470BA0" w14:paraId="29BA738A" w14:textId="77777777">
      <w:pPr>
        <w:spacing w:line="360" w:lineRule="auto"/>
        <w:rPr>
          <w:lang w:val="en-GB"/>
        </w:rPr>
      </w:pPr>
    </w:p>
    <w:p w:rsidRPr="000D6755" w:rsidR="00C5033C" w:rsidP="000D6755" w:rsidRDefault="00C5033C" w14:paraId="61EB1BA3" w14:textId="7F74538B"/>
    <w:sectPr w:rsidRPr="000D6755" w:rsidR="00C5033C">
      <w:headerReference w:type="default" r:id="rId26"/>
      <w:footerReference w:type="default" r:id="rId2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63FC4" w:rsidRDefault="00963FC4" w14:paraId="1EDAC15F" w14:textId="77777777">
      <w:pPr>
        <w:spacing w:after="0" w:line="240" w:lineRule="auto"/>
      </w:pPr>
      <w:r>
        <w:separator/>
      </w:r>
    </w:p>
  </w:endnote>
  <w:endnote w:type="continuationSeparator" w:id="0">
    <w:p w:rsidR="00963FC4" w:rsidRDefault="00963FC4" w14:paraId="2EFBB4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CD2970" w:rsidTr="145AC16E" w14:paraId="709DA3A2" w14:textId="77777777">
      <w:trPr>
        <w:trHeight w:val="300"/>
      </w:trPr>
      <w:tc>
        <w:tcPr>
          <w:tcW w:w="3120" w:type="dxa"/>
        </w:tcPr>
        <w:p w:rsidR="1CCD2970" w:rsidP="1CCD2970" w:rsidRDefault="1CCD2970" w14:paraId="0E31DDBB" w14:textId="645E5BAA">
          <w:pPr>
            <w:pStyle w:val="Header"/>
            <w:ind w:left="-115"/>
          </w:pPr>
        </w:p>
      </w:tc>
      <w:tc>
        <w:tcPr>
          <w:tcW w:w="3120" w:type="dxa"/>
        </w:tcPr>
        <w:p w:rsidR="1CCD2970" w:rsidP="1CCD2970" w:rsidRDefault="1CCD2970" w14:paraId="41D2C7D6" w14:textId="0FF85626">
          <w:pPr>
            <w:pStyle w:val="Header"/>
            <w:jc w:val="center"/>
          </w:pPr>
          <w:r>
            <w:fldChar w:fldCharType="begin"/>
          </w:r>
          <w:r>
            <w:instrText>PAGE</w:instrText>
          </w:r>
          <w:r>
            <w:fldChar w:fldCharType="separate"/>
          </w:r>
          <w:r w:rsidR="004C05FB">
            <w:rPr>
              <w:noProof/>
            </w:rPr>
            <w:t>1</w:t>
          </w:r>
          <w:r>
            <w:fldChar w:fldCharType="end"/>
          </w:r>
        </w:p>
      </w:tc>
      <w:tc>
        <w:tcPr>
          <w:tcW w:w="3120" w:type="dxa"/>
        </w:tcPr>
        <w:p w:rsidR="1CCD2970" w:rsidP="1CCD2970" w:rsidRDefault="1CCD2970" w14:paraId="022C7DC8" w14:textId="6CF8F37E">
          <w:pPr>
            <w:pStyle w:val="Header"/>
            <w:ind w:right="-115"/>
            <w:jc w:val="right"/>
          </w:pPr>
        </w:p>
      </w:tc>
    </w:tr>
  </w:tbl>
  <w:p w:rsidR="1CCD2970" w:rsidP="1CCD2970" w:rsidRDefault="1CCD2970" w14:paraId="647EEB18" w14:textId="16008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63FC4" w:rsidRDefault="00963FC4" w14:paraId="09145574" w14:textId="77777777">
      <w:pPr>
        <w:spacing w:after="0" w:line="240" w:lineRule="auto"/>
      </w:pPr>
      <w:r>
        <w:separator/>
      </w:r>
    </w:p>
  </w:footnote>
  <w:footnote w:type="continuationSeparator" w:id="0">
    <w:p w:rsidR="00963FC4" w:rsidRDefault="00963FC4" w14:paraId="7B2CD9F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CCD2970" w:rsidTr="1CCD2970" w14:paraId="24B63AB3" w14:textId="77777777">
      <w:trPr>
        <w:trHeight w:val="300"/>
      </w:trPr>
      <w:tc>
        <w:tcPr>
          <w:tcW w:w="3120" w:type="dxa"/>
        </w:tcPr>
        <w:p w:rsidR="1CCD2970" w:rsidP="1CCD2970" w:rsidRDefault="1CCD2970" w14:paraId="43CC9DB1" w14:textId="567D3692">
          <w:pPr>
            <w:pStyle w:val="Header"/>
            <w:ind w:left="-115"/>
          </w:pPr>
        </w:p>
      </w:tc>
      <w:tc>
        <w:tcPr>
          <w:tcW w:w="3120" w:type="dxa"/>
        </w:tcPr>
        <w:p w:rsidR="1CCD2970" w:rsidP="1CCD2970" w:rsidRDefault="1CCD2970" w14:paraId="3A9E0628" w14:textId="5F890781">
          <w:pPr>
            <w:pStyle w:val="Header"/>
            <w:jc w:val="center"/>
          </w:pPr>
        </w:p>
      </w:tc>
      <w:tc>
        <w:tcPr>
          <w:tcW w:w="3120" w:type="dxa"/>
        </w:tcPr>
        <w:p w:rsidR="1CCD2970" w:rsidP="1CCD2970" w:rsidRDefault="1CCD2970" w14:paraId="58C102C7" w14:textId="387DA665">
          <w:pPr>
            <w:pStyle w:val="Header"/>
            <w:ind w:right="-115"/>
            <w:jc w:val="right"/>
          </w:pPr>
        </w:p>
      </w:tc>
    </w:tr>
  </w:tbl>
  <w:p w:rsidR="1CCD2970" w:rsidP="1CCD2970" w:rsidRDefault="1CCD2970" w14:paraId="347AEA91" w14:textId="79D14C4B">
    <w:pPr>
      <w:pStyle w:val="Header"/>
    </w:pPr>
  </w:p>
</w:hdr>
</file>

<file path=word/intelligence2.xml><?xml version="1.0" encoding="utf-8"?>
<int2:intelligence xmlns:int2="http://schemas.microsoft.com/office/intelligence/2020/intelligence" xmlns:oel="http://schemas.microsoft.com/office/2019/extlst">
  <int2:observations>
    <int2:textHash int2:hashCode="QnW3qX6rG4+TFN" int2:id="VZQWiTY0">
      <int2:state int2:type="spell" int2:value="Rejected"/>
    </int2:textHash>
    <int2:textHash int2:hashCode="fHn4+Ovy0KWqy5" int2:id="Th9AK3H8">
      <int2:state int2:type="spell" int2:value="Rejected"/>
    </int2:textHash>
    <int2:textHash int2:hashCode="BOfsvBQ4F9uylB" int2:id="49PHg6zf">
      <int2:state int2:type="spell" int2:value="Rejected"/>
    </int2:textHash>
    <int2:textHash int2:hashCode="P1t9DnuMzsiEcY" int2:id="5jEBHxXn">
      <int2:state int2:type="spell" int2:value="Rejected"/>
    </int2:textHash>
    <int2:textHash int2:hashCode="kv4UVae7TQCfC0" int2:id="A1GqrVwB">
      <int2:state int2:type="spell" int2:value="Rejected"/>
    </int2:textHash>
    <int2:textHash int2:hashCode="JgtY6hJIkityHB" int2:id="AnNlJhk3">
      <int2:state int2:type="spell" int2:value="Rejected"/>
    </int2:textHash>
    <int2:textHash int2:hashCode="m/C6mGJeQTWOW1" int2:id="FjG9a4kB">
      <int2:state int2:type="spell" int2:value="Rejected"/>
    </int2:textHash>
    <int2:textHash int2:hashCode="v3jXqOAVqWKVSe" int2:id="akolJKj3">
      <int2:state int2:type="spell" int2:value="Rejected"/>
    </int2:textHash>
    <int2:textHash int2:hashCode="kByidkXaRxGvMx" int2:id="c2D6uquv">
      <int2:state int2:type="spell" int2:value="Rejected"/>
    </int2:textHash>
    <int2:textHash int2:hashCode="zqhYDntAHb/qEo" int2:id="diYlDIan">
      <int2:state int2:type="spell" int2:value="Rejected"/>
    </int2:textHash>
    <int2:textHash int2:hashCode="iFtd4iWzab16nd" int2:id="hbeVXZpj">
      <int2:state int2:type="spell" int2:value="Rejected"/>
    </int2:textHash>
    <int2:textHash int2:hashCode="rft8Ihc0iIQZYN" int2:id="obAwnjjv">
      <int2:state int2:type="spell" int2:value="Rejected"/>
    </int2:textHash>
    <int2:textHash int2:hashCode="yLGa3PbIwIauAZ" int2:id="vdRwXmJn">
      <int2:state int2:type="spell" int2:value="Rejected"/>
    </int2:textHash>
    <int2:bookmark int2:bookmarkName="_Int_FonePQqg" int2:invalidationBookmarkName="" int2:hashCode="Db5SnE362ZZmeB" int2:id="xcsnVBw6">
      <int2:state int2:type="gram" int2:value="Rejected"/>
    </int2:bookmark>
    <int2:bookmark int2:bookmarkName="_Int_2dvZSzpQ" int2:invalidationBookmarkName="" int2:hashCode="IhycvyrCjWOC1Q" int2:id="4eAam3qM">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98776"/>
    <w:multiLevelType w:val="hybridMultilevel"/>
    <w:tmpl w:val="8DFEAB02"/>
    <w:lvl w:ilvl="0" w:tplc="D86E72FE">
      <w:start w:val="1"/>
      <w:numFmt w:val="bullet"/>
      <w:lvlText w:val=""/>
      <w:lvlJc w:val="left"/>
      <w:pPr>
        <w:ind w:left="720" w:hanging="360"/>
      </w:pPr>
      <w:rPr>
        <w:rFonts w:hint="default" w:ascii="Symbol" w:hAnsi="Symbol"/>
      </w:rPr>
    </w:lvl>
    <w:lvl w:ilvl="1" w:tplc="F2CE4802">
      <w:start w:val="1"/>
      <w:numFmt w:val="bullet"/>
      <w:lvlText w:val="o"/>
      <w:lvlJc w:val="left"/>
      <w:pPr>
        <w:ind w:left="1440" w:hanging="360"/>
      </w:pPr>
      <w:rPr>
        <w:rFonts w:hint="default" w:ascii="Courier New" w:hAnsi="Courier New"/>
      </w:rPr>
    </w:lvl>
    <w:lvl w:ilvl="2" w:tplc="C436C94E">
      <w:start w:val="1"/>
      <w:numFmt w:val="bullet"/>
      <w:lvlText w:val=""/>
      <w:lvlJc w:val="left"/>
      <w:pPr>
        <w:ind w:left="2160" w:hanging="360"/>
      </w:pPr>
      <w:rPr>
        <w:rFonts w:hint="default" w:ascii="Wingdings" w:hAnsi="Wingdings"/>
      </w:rPr>
    </w:lvl>
    <w:lvl w:ilvl="3" w:tplc="4AD8B3AC">
      <w:start w:val="1"/>
      <w:numFmt w:val="bullet"/>
      <w:lvlText w:val=""/>
      <w:lvlJc w:val="left"/>
      <w:pPr>
        <w:ind w:left="2880" w:hanging="360"/>
      </w:pPr>
      <w:rPr>
        <w:rFonts w:hint="default" w:ascii="Symbol" w:hAnsi="Symbol"/>
      </w:rPr>
    </w:lvl>
    <w:lvl w:ilvl="4" w:tplc="5A8AE4AA">
      <w:start w:val="1"/>
      <w:numFmt w:val="bullet"/>
      <w:lvlText w:val="o"/>
      <w:lvlJc w:val="left"/>
      <w:pPr>
        <w:ind w:left="3600" w:hanging="360"/>
      </w:pPr>
      <w:rPr>
        <w:rFonts w:hint="default" w:ascii="Courier New" w:hAnsi="Courier New"/>
      </w:rPr>
    </w:lvl>
    <w:lvl w:ilvl="5" w:tplc="D226B510">
      <w:start w:val="1"/>
      <w:numFmt w:val="bullet"/>
      <w:lvlText w:val=""/>
      <w:lvlJc w:val="left"/>
      <w:pPr>
        <w:ind w:left="4320" w:hanging="360"/>
      </w:pPr>
      <w:rPr>
        <w:rFonts w:hint="default" w:ascii="Wingdings" w:hAnsi="Wingdings"/>
      </w:rPr>
    </w:lvl>
    <w:lvl w:ilvl="6" w:tplc="93A82034">
      <w:start w:val="1"/>
      <w:numFmt w:val="bullet"/>
      <w:lvlText w:val=""/>
      <w:lvlJc w:val="left"/>
      <w:pPr>
        <w:ind w:left="5040" w:hanging="360"/>
      </w:pPr>
      <w:rPr>
        <w:rFonts w:hint="default" w:ascii="Symbol" w:hAnsi="Symbol"/>
      </w:rPr>
    </w:lvl>
    <w:lvl w:ilvl="7" w:tplc="EDE4CDBE">
      <w:start w:val="1"/>
      <w:numFmt w:val="bullet"/>
      <w:lvlText w:val="o"/>
      <w:lvlJc w:val="left"/>
      <w:pPr>
        <w:ind w:left="5760" w:hanging="360"/>
      </w:pPr>
      <w:rPr>
        <w:rFonts w:hint="default" w:ascii="Courier New" w:hAnsi="Courier New"/>
      </w:rPr>
    </w:lvl>
    <w:lvl w:ilvl="8" w:tplc="6BAC1E02">
      <w:start w:val="1"/>
      <w:numFmt w:val="bullet"/>
      <w:lvlText w:val=""/>
      <w:lvlJc w:val="left"/>
      <w:pPr>
        <w:ind w:left="6480" w:hanging="360"/>
      </w:pPr>
      <w:rPr>
        <w:rFonts w:hint="default" w:ascii="Wingdings" w:hAnsi="Wingdings"/>
      </w:rPr>
    </w:lvl>
  </w:abstractNum>
  <w:abstractNum w:abstractNumId="1" w15:restartNumberingAfterBreak="0">
    <w:nsid w:val="1653B365"/>
    <w:multiLevelType w:val="hybridMultilevel"/>
    <w:tmpl w:val="FFFFFFFF"/>
    <w:lvl w:ilvl="0" w:tplc="1B9A552E">
      <w:start w:val="1"/>
      <w:numFmt w:val="bullet"/>
      <w:lvlText w:val=""/>
      <w:lvlJc w:val="left"/>
      <w:pPr>
        <w:ind w:left="720" w:hanging="360"/>
      </w:pPr>
      <w:rPr>
        <w:rFonts w:hint="default" w:ascii="Symbol" w:hAnsi="Symbol"/>
      </w:rPr>
    </w:lvl>
    <w:lvl w:ilvl="1" w:tplc="504E4AEA">
      <w:start w:val="1"/>
      <w:numFmt w:val="bullet"/>
      <w:lvlText w:val="o"/>
      <w:lvlJc w:val="left"/>
      <w:pPr>
        <w:ind w:left="1440" w:hanging="360"/>
      </w:pPr>
      <w:rPr>
        <w:rFonts w:hint="default" w:ascii="Courier New" w:hAnsi="Courier New"/>
      </w:rPr>
    </w:lvl>
    <w:lvl w:ilvl="2" w:tplc="5514416E">
      <w:start w:val="1"/>
      <w:numFmt w:val="bullet"/>
      <w:lvlText w:val=""/>
      <w:lvlJc w:val="left"/>
      <w:pPr>
        <w:ind w:left="2160" w:hanging="360"/>
      </w:pPr>
      <w:rPr>
        <w:rFonts w:hint="default" w:ascii="Wingdings" w:hAnsi="Wingdings"/>
      </w:rPr>
    </w:lvl>
    <w:lvl w:ilvl="3" w:tplc="9B3256CE">
      <w:start w:val="1"/>
      <w:numFmt w:val="bullet"/>
      <w:lvlText w:val=""/>
      <w:lvlJc w:val="left"/>
      <w:pPr>
        <w:ind w:left="2880" w:hanging="360"/>
      </w:pPr>
      <w:rPr>
        <w:rFonts w:hint="default" w:ascii="Symbol" w:hAnsi="Symbol"/>
      </w:rPr>
    </w:lvl>
    <w:lvl w:ilvl="4" w:tplc="98B0FC20">
      <w:start w:val="1"/>
      <w:numFmt w:val="bullet"/>
      <w:lvlText w:val="o"/>
      <w:lvlJc w:val="left"/>
      <w:pPr>
        <w:ind w:left="3600" w:hanging="360"/>
      </w:pPr>
      <w:rPr>
        <w:rFonts w:hint="default" w:ascii="Courier New" w:hAnsi="Courier New"/>
      </w:rPr>
    </w:lvl>
    <w:lvl w:ilvl="5" w:tplc="0B88BDBC">
      <w:start w:val="1"/>
      <w:numFmt w:val="bullet"/>
      <w:lvlText w:val=""/>
      <w:lvlJc w:val="left"/>
      <w:pPr>
        <w:ind w:left="4320" w:hanging="360"/>
      </w:pPr>
      <w:rPr>
        <w:rFonts w:hint="default" w:ascii="Wingdings" w:hAnsi="Wingdings"/>
      </w:rPr>
    </w:lvl>
    <w:lvl w:ilvl="6" w:tplc="80A0EA02">
      <w:start w:val="1"/>
      <w:numFmt w:val="bullet"/>
      <w:lvlText w:val=""/>
      <w:lvlJc w:val="left"/>
      <w:pPr>
        <w:ind w:left="5040" w:hanging="360"/>
      </w:pPr>
      <w:rPr>
        <w:rFonts w:hint="default" w:ascii="Symbol" w:hAnsi="Symbol"/>
      </w:rPr>
    </w:lvl>
    <w:lvl w:ilvl="7" w:tplc="EE8E6888">
      <w:start w:val="1"/>
      <w:numFmt w:val="bullet"/>
      <w:lvlText w:val="o"/>
      <w:lvlJc w:val="left"/>
      <w:pPr>
        <w:ind w:left="5760" w:hanging="360"/>
      </w:pPr>
      <w:rPr>
        <w:rFonts w:hint="default" w:ascii="Courier New" w:hAnsi="Courier New"/>
      </w:rPr>
    </w:lvl>
    <w:lvl w:ilvl="8" w:tplc="8328314C">
      <w:start w:val="1"/>
      <w:numFmt w:val="bullet"/>
      <w:lvlText w:val=""/>
      <w:lvlJc w:val="left"/>
      <w:pPr>
        <w:ind w:left="6480" w:hanging="360"/>
      </w:pPr>
      <w:rPr>
        <w:rFonts w:hint="default" w:ascii="Wingdings" w:hAnsi="Wingdings"/>
      </w:rPr>
    </w:lvl>
  </w:abstractNum>
  <w:abstractNum w:abstractNumId="2" w15:restartNumberingAfterBreak="0">
    <w:nsid w:val="1923877A"/>
    <w:multiLevelType w:val="hybridMultilevel"/>
    <w:tmpl w:val="EFAC1A5E"/>
    <w:lvl w:ilvl="0" w:tplc="08E0C8FC">
      <w:start w:val="1"/>
      <w:numFmt w:val="bullet"/>
      <w:lvlText w:val=""/>
      <w:lvlJc w:val="left"/>
      <w:pPr>
        <w:ind w:left="720" w:hanging="360"/>
      </w:pPr>
      <w:rPr>
        <w:rFonts w:hint="default" w:ascii="Symbol" w:hAnsi="Symbol"/>
      </w:rPr>
    </w:lvl>
    <w:lvl w:ilvl="1" w:tplc="E1749C6A">
      <w:start w:val="1"/>
      <w:numFmt w:val="bullet"/>
      <w:lvlText w:val="o"/>
      <w:lvlJc w:val="left"/>
      <w:pPr>
        <w:ind w:left="1440" w:hanging="360"/>
      </w:pPr>
      <w:rPr>
        <w:rFonts w:hint="default" w:ascii="Courier New" w:hAnsi="Courier New"/>
      </w:rPr>
    </w:lvl>
    <w:lvl w:ilvl="2" w:tplc="15C6C3D4">
      <w:start w:val="1"/>
      <w:numFmt w:val="bullet"/>
      <w:lvlText w:val=""/>
      <w:lvlJc w:val="left"/>
      <w:pPr>
        <w:ind w:left="2160" w:hanging="360"/>
      </w:pPr>
      <w:rPr>
        <w:rFonts w:hint="default" w:ascii="Wingdings" w:hAnsi="Wingdings"/>
      </w:rPr>
    </w:lvl>
    <w:lvl w:ilvl="3" w:tplc="0EB6B63E">
      <w:start w:val="1"/>
      <w:numFmt w:val="bullet"/>
      <w:lvlText w:val=""/>
      <w:lvlJc w:val="left"/>
      <w:pPr>
        <w:ind w:left="2880" w:hanging="360"/>
      </w:pPr>
      <w:rPr>
        <w:rFonts w:hint="default" w:ascii="Symbol" w:hAnsi="Symbol"/>
      </w:rPr>
    </w:lvl>
    <w:lvl w:ilvl="4" w:tplc="D6D65EC0">
      <w:start w:val="1"/>
      <w:numFmt w:val="bullet"/>
      <w:lvlText w:val="o"/>
      <w:lvlJc w:val="left"/>
      <w:pPr>
        <w:ind w:left="3600" w:hanging="360"/>
      </w:pPr>
      <w:rPr>
        <w:rFonts w:hint="default" w:ascii="Courier New" w:hAnsi="Courier New"/>
      </w:rPr>
    </w:lvl>
    <w:lvl w:ilvl="5" w:tplc="4E14D1B2">
      <w:start w:val="1"/>
      <w:numFmt w:val="bullet"/>
      <w:lvlText w:val=""/>
      <w:lvlJc w:val="left"/>
      <w:pPr>
        <w:ind w:left="4320" w:hanging="360"/>
      </w:pPr>
      <w:rPr>
        <w:rFonts w:hint="default" w:ascii="Wingdings" w:hAnsi="Wingdings"/>
      </w:rPr>
    </w:lvl>
    <w:lvl w:ilvl="6" w:tplc="299E0664">
      <w:start w:val="1"/>
      <w:numFmt w:val="bullet"/>
      <w:lvlText w:val=""/>
      <w:lvlJc w:val="left"/>
      <w:pPr>
        <w:ind w:left="5040" w:hanging="360"/>
      </w:pPr>
      <w:rPr>
        <w:rFonts w:hint="default" w:ascii="Symbol" w:hAnsi="Symbol"/>
      </w:rPr>
    </w:lvl>
    <w:lvl w:ilvl="7" w:tplc="77521230">
      <w:start w:val="1"/>
      <w:numFmt w:val="bullet"/>
      <w:lvlText w:val="o"/>
      <w:lvlJc w:val="left"/>
      <w:pPr>
        <w:ind w:left="5760" w:hanging="360"/>
      </w:pPr>
      <w:rPr>
        <w:rFonts w:hint="default" w:ascii="Courier New" w:hAnsi="Courier New"/>
      </w:rPr>
    </w:lvl>
    <w:lvl w:ilvl="8" w:tplc="3CEEEE8A">
      <w:start w:val="1"/>
      <w:numFmt w:val="bullet"/>
      <w:lvlText w:val=""/>
      <w:lvlJc w:val="left"/>
      <w:pPr>
        <w:ind w:left="6480" w:hanging="360"/>
      </w:pPr>
      <w:rPr>
        <w:rFonts w:hint="default" w:ascii="Wingdings" w:hAnsi="Wingdings"/>
      </w:rPr>
    </w:lvl>
  </w:abstractNum>
  <w:abstractNum w:abstractNumId="3" w15:restartNumberingAfterBreak="0">
    <w:nsid w:val="1CBD3957"/>
    <w:multiLevelType w:val="hybridMultilevel"/>
    <w:tmpl w:val="DAC200DE"/>
    <w:lvl w:ilvl="0" w:tplc="C684577E">
      <w:start w:val="1"/>
      <w:numFmt w:val="bullet"/>
      <w:lvlText w:val=""/>
      <w:lvlJc w:val="left"/>
      <w:pPr>
        <w:ind w:left="720" w:hanging="360"/>
      </w:pPr>
      <w:rPr>
        <w:rFonts w:hint="default" w:ascii="Symbol" w:hAnsi="Symbol"/>
      </w:rPr>
    </w:lvl>
    <w:lvl w:ilvl="1" w:tplc="FF1432F4">
      <w:start w:val="1"/>
      <w:numFmt w:val="bullet"/>
      <w:lvlText w:val="o"/>
      <w:lvlJc w:val="left"/>
      <w:pPr>
        <w:ind w:left="1440" w:hanging="360"/>
      </w:pPr>
      <w:rPr>
        <w:rFonts w:hint="default" w:ascii="Courier New" w:hAnsi="Courier New"/>
      </w:rPr>
    </w:lvl>
    <w:lvl w:ilvl="2" w:tplc="0AF6D0E6">
      <w:start w:val="1"/>
      <w:numFmt w:val="bullet"/>
      <w:lvlText w:val=""/>
      <w:lvlJc w:val="left"/>
      <w:pPr>
        <w:ind w:left="2160" w:hanging="360"/>
      </w:pPr>
      <w:rPr>
        <w:rFonts w:hint="default" w:ascii="Wingdings" w:hAnsi="Wingdings"/>
      </w:rPr>
    </w:lvl>
    <w:lvl w:ilvl="3" w:tplc="A1CECCA6">
      <w:start w:val="1"/>
      <w:numFmt w:val="bullet"/>
      <w:lvlText w:val=""/>
      <w:lvlJc w:val="left"/>
      <w:pPr>
        <w:ind w:left="2880" w:hanging="360"/>
      </w:pPr>
      <w:rPr>
        <w:rFonts w:hint="default" w:ascii="Symbol" w:hAnsi="Symbol"/>
      </w:rPr>
    </w:lvl>
    <w:lvl w:ilvl="4" w:tplc="92ECD470">
      <w:start w:val="1"/>
      <w:numFmt w:val="bullet"/>
      <w:lvlText w:val="o"/>
      <w:lvlJc w:val="left"/>
      <w:pPr>
        <w:ind w:left="3600" w:hanging="360"/>
      </w:pPr>
      <w:rPr>
        <w:rFonts w:hint="default" w:ascii="Courier New" w:hAnsi="Courier New"/>
      </w:rPr>
    </w:lvl>
    <w:lvl w:ilvl="5" w:tplc="845054A4">
      <w:start w:val="1"/>
      <w:numFmt w:val="bullet"/>
      <w:lvlText w:val=""/>
      <w:lvlJc w:val="left"/>
      <w:pPr>
        <w:ind w:left="4320" w:hanging="360"/>
      </w:pPr>
      <w:rPr>
        <w:rFonts w:hint="default" w:ascii="Wingdings" w:hAnsi="Wingdings"/>
      </w:rPr>
    </w:lvl>
    <w:lvl w:ilvl="6" w:tplc="B270F1DA">
      <w:start w:val="1"/>
      <w:numFmt w:val="bullet"/>
      <w:lvlText w:val=""/>
      <w:lvlJc w:val="left"/>
      <w:pPr>
        <w:ind w:left="5040" w:hanging="360"/>
      </w:pPr>
      <w:rPr>
        <w:rFonts w:hint="default" w:ascii="Symbol" w:hAnsi="Symbol"/>
      </w:rPr>
    </w:lvl>
    <w:lvl w:ilvl="7" w:tplc="E5C8E934">
      <w:start w:val="1"/>
      <w:numFmt w:val="bullet"/>
      <w:lvlText w:val="o"/>
      <w:lvlJc w:val="left"/>
      <w:pPr>
        <w:ind w:left="5760" w:hanging="360"/>
      </w:pPr>
      <w:rPr>
        <w:rFonts w:hint="default" w:ascii="Courier New" w:hAnsi="Courier New"/>
      </w:rPr>
    </w:lvl>
    <w:lvl w:ilvl="8" w:tplc="247CF89C">
      <w:start w:val="1"/>
      <w:numFmt w:val="bullet"/>
      <w:lvlText w:val=""/>
      <w:lvlJc w:val="left"/>
      <w:pPr>
        <w:ind w:left="6480" w:hanging="360"/>
      </w:pPr>
      <w:rPr>
        <w:rFonts w:hint="default" w:ascii="Wingdings" w:hAnsi="Wingdings"/>
      </w:rPr>
    </w:lvl>
  </w:abstractNum>
  <w:abstractNum w:abstractNumId="4" w15:restartNumberingAfterBreak="0">
    <w:nsid w:val="20FC2295"/>
    <w:multiLevelType w:val="multilevel"/>
    <w:tmpl w:val="B34C1D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42D6E11"/>
    <w:multiLevelType w:val="hybridMultilevel"/>
    <w:tmpl w:val="E4E00560"/>
    <w:lvl w:ilvl="0" w:tplc="A7E200B8">
      <w:start w:val="1"/>
      <w:numFmt w:val="bullet"/>
      <w:lvlText w:val=""/>
      <w:lvlJc w:val="left"/>
      <w:pPr>
        <w:ind w:left="720" w:hanging="360"/>
      </w:pPr>
      <w:rPr>
        <w:rFonts w:hint="default" w:ascii="Symbol" w:hAnsi="Symbol"/>
      </w:rPr>
    </w:lvl>
    <w:lvl w:ilvl="1" w:tplc="E3F4B29A">
      <w:start w:val="1"/>
      <w:numFmt w:val="bullet"/>
      <w:lvlText w:val="o"/>
      <w:lvlJc w:val="left"/>
      <w:pPr>
        <w:ind w:left="1440" w:hanging="360"/>
      </w:pPr>
      <w:rPr>
        <w:rFonts w:hint="default" w:ascii="Courier New" w:hAnsi="Courier New"/>
      </w:rPr>
    </w:lvl>
    <w:lvl w:ilvl="2" w:tplc="6E44A822">
      <w:start w:val="1"/>
      <w:numFmt w:val="bullet"/>
      <w:lvlText w:val=""/>
      <w:lvlJc w:val="left"/>
      <w:pPr>
        <w:ind w:left="2160" w:hanging="360"/>
      </w:pPr>
      <w:rPr>
        <w:rFonts w:hint="default" w:ascii="Wingdings" w:hAnsi="Wingdings"/>
      </w:rPr>
    </w:lvl>
    <w:lvl w:ilvl="3" w:tplc="C57E2AC2">
      <w:start w:val="1"/>
      <w:numFmt w:val="bullet"/>
      <w:lvlText w:val=""/>
      <w:lvlJc w:val="left"/>
      <w:pPr>
        <w:ind w:left="2880" w:hanging="360"/>
      </w:pPr>
      <w:rPr>
        <w:rFonts w:hint="default" w:ascii="Symbol" w:hAnsi="Symbol"/>
      </w:rPr>
    </w:lvl>
    <w:lvl w:ilvl="4" w:tplc="CD4A0482">
      <w:start w:val="1"/>
      <w:numFmt w:val="bullet"/>
      <w:lvlText w:val="o"/>
      <w:lvlJc w:val="left"/>
      <w:pPr>
        <w:ind w:left="3600" w:hanging="360"/>
      </w:pPr>
      <w:rPr>
        <w:rFonts w:hint="default" w:ascii="Courier New" w:hAnsi="Courier New"/>
      </w:rPr>
    </w:lvl>
    <w:lvl w:ilvl="5" w:tplc="467EC72C">
      <w:start w:val="1"/>
      <w:numFmt w:val="bullet"/>
      <w:lvlText w:val=""/>
      <w:lvlJc w:val="left"/>
      <w:pPr>
        <w:ind w:left="4320" w:hanging="360"/>
      </w:pPr>
      <w:rPr>
        <w:rFonts w:hint="default" w:ascii="Wingdings" w:hAnsi="Wingdings"/>
      </w:rPr>
    </w:lvl>
    <w:lvl w:ilvl="6" w:tplc="8F844132">
      <w:start w:val="1"/>
      <w:numFmt w:val="bullet"/>
      <w:lvlText w:val=""/>
      <w:lvlJc w:val="left"/>
      <w:pPr>
        <w:ind w:left="5040" w:hanging="360"/>
      </w:pPr>
      <w:rPr>
        <w:rFonts w:hint="default" w:ascii="Symbol" w:hAnsi="Symbol"/>
      </w:rPr>
    </w:lvl>
    <w:lvl w:ilvl="7" w:tplc="A380FBB8">
      <w:start w:val="1"/>
      <w:numFmt w:val="bullet"/>
      <w:lvlText w:val="o"/>
      <w:lvlJc w:val="left"/>
      <w:pPr>
        <w:ind w:left="5760" w:hanging="360"/>
      </w:pPr>
      <w:rPr>
        <w:rFonts w:hint="default" w:ascii="Courier New" w:hAnsi="Courier New"/>
      </w:rPr>
    </w:lvl>
    <w:lvl w:ilvl="8" w:tplc="44943BD0">
      <w:start w:val="1"/>
      <w:numFmt w:val="bullet"/>
      <w:lvlText w:val=""/>
      <w:lvlJc w:val="left"/>
      <w:pPr>
        <w:ind w:left="6480" w:hanging="360"/>
      </w:pPr>
      <w:rPr>
        <w:rFonts w:hint="default" w:ascii="Wingdings" w:hAnsi="Wingdings"/>
      </w:rPr>
    </w:lvl>
  </w:abstractNum>
  <w:abstractNum w:abstractNumId="6" w15:restartNumberingAfterBreak="0">
    <w:nsid w:val="26DAFA1F"/>
    <w:multiLevelType w:val="hybridMultilevel"/>
    <w:tmpl w:val="4E4C42C8"/>
    <w:lvl w:ilvl="0" w:tplc="7DEADB5E">
      <w:start w:val="1"/>
      <w:numFmt w:val="bullet"/>
      <w:lvlText w:val=""/>
      <w:lvlJc w:val="left"/>
      <w:pPr>
        <w:ind w:left="720" w:hanging="360"/>
      </w:pPr>
      <w:rPr>
        <w:rFonts w:hint="default" w:ascii="Symbol" w:hAnsi="Symbol"/>
      </w:rPr>
    </w:lvl>
    <w:lvl w:ilvl="1" w:tplc="64A0C278">
      <w:start w:val="1"/>
      <w:numFmt w:val="bullet"/>
      <w:lvlText w:val="o"/>
      <w:lvlJc w:val="left"/>
      <w:pPr>
        <w:ind w:left="1440" w:hanging="360"/>
      </w:pPr>
      <w:rPr>
        <w:rFonts w:hint="default" w:ascii="Courier New" w:hAnsi="Courier New"/>
      </w:rPr>
    </w:lvl>
    <w:lvl w:ilvl="2" w:tplc="23781B9E">
      <w:start w:val="1"/>
      <w:numFmt w:val="bullet"/>
      <w:lvlText w:val=""/>
      <w:lvlJc w:val="left"/>
      <w:pPr>
        <w:ind w:left="2160" w:hanging="360"/>
      </w:pPr>
      <w:rPr>
        <w:rFonts w:hint="default" w:ascii="Wingdings" w:hAnsi="Wingdings"/>
      </w:rPr>
    </w:lvl>
    <w:lvl w:ilvl="3" w:tplc="E126F39C">
      <w:start w:val="1"/>
      <w:numFmt w:val="bullet"/>
      <w:lvlText w:val=""/>
      <w:lvlJc w:val="left"/>
      <w:pPr>
        <w:ind w:left="2880" w:hanging="360"/>
      </w:pPr>
      <w:rPr>
        <w:rFonts w:hint="default" w:ascii="Symbol" w:hAnsi="Symbol"/>
      </w:rPr>
    </w:lvl>
    <w:lvl w:ilvl="4" w:tplc="2E468654">
      <w:start w:val="1"/>
      <w:numFmt w:val="bullet"/>
      <w:lvlText w:val="o"/>
      <w:lvlJc w:val="left"/>
      <w:pPr>
        <w:ind w:left="3600" w:hanging="360"/>
      </w:pPr>
      <w:rPr>
        <w:rFonts w:hint="default" w:ascii="Courier New" w:hAnsi="Courier New"/>
      </w:rPr>
    </w:lvl>
    <w:lvl w:ilvl="5" w:tplc="CBE6BA90">
      <w:start w:val="1"/>
      <w:numFmt w:val="bullet"/>
      <w:lvlText w:val=""/>
      <w:lvlJc w:val="left"/>
      <w:pPr>
        <w:ind w:left="4320" w:hanging="360"/>
      </w:pPr>
      <w:rPr>
        <w:rFonts w:hint="default" w:ascii="Wingdings" w:hAnsi="Wingdings"/>
      </w:rPr>
    </w:lvl>
    <w:lvl w:ilvl="6" w:tplc="CDF260FE">
      <w:start w:val="1"/>
      <w:numFmt w:val="bullet"/>
      <w:lvlText w:val=""/>
      <w:lvlJc w:val="left"/>
      <w:pPr>
        <w:ind w:left="5040" w:hanging="360"/>
      </w:pPr>
      <w:rPr>
        <w:rFonts w:hint="default" w:ascii="Symbol" w:hAnsi="Symbol"/>
      </w:rPr>
    </w:lvl>
    <w:lvl w:ilvl="7" w:tplc="546628DC">
      <w:start w:val="1"/>
      <w:numFmt w:val="bullet"/>
      <w:lvlText w:val="o"/>
      <w:lvlJc w:val="left"/>
      <w:pPr>
        <w:ind w:left="5760" w:hanging="360"/>
      </w:pPr>
      <w:rPr>
        <w:rFonts w:hint="default" w:ascii="Courier New" w:hAnsi="Courier New"/>
      </w:rPr>
    </w:lvl>
    <w:lvl w:ilvl="8" w:tplc="CD220F88">
      <w:start w:val="1"/>
      <w:numFmt w:val="bullet"/>
      <w:lvlText w:val=""/>
      <w:lvlJc w:val="left"/>
      <w:pPr>
        <w:ind w:left="6480" w:hanging="360"/>
      </w:pPr>
      <w:rPr>
        <w:rFonts w:hint="default" w:ascii="Wingdings" w:hAnsi="Wingdings"/>
      </w:rPr>
    </w:lvl>
  </w:abstractNum>
  <w:abstractNum w:abstractNumId="7" w15:restartNumberingAfterBreak="0">
    <w:nsid w:val="2E07E405"/>
    <w:multiLevelType w:val="hybridMultilevel"/>
    <w:tmpl w:val="19DC4C0C"/>
    <w:lvl w:ilvl="0" w:tplc="D0EA59C6">
      <w:start w:val="1"/>
      <w:numFmt w:val="bullet"/>
      <w:lvlText w:val=""/>
      <w:lvlJc w:val="left"/>
      <w:pPr>
        <w:ind w:left="720" w:hanging="360"/>
      </w:pPr>
      <w:rPr>
        <w:rFonts w:hint="default" w:ascii="Symbol" w:hAnsi="Symbol"/>
      </w:rPr>
    </w:lvl>
    <w:lvl w:ilvl="1" w:tplc="62D03D5A">
      <w:start w:val="1"/>
      <w:numFmt w:val="bullet"/>
      <w:lvlText w:val="o"/>
      <w:lvlJc w:val="left"/>
      <w:pPr>
        <w:ind w:left="1440" w:hanging="360"/>
      </w:pPr>
      <w:rPr>
        <w:rFonts w:hint="default" w:ascii="Courier New" w:hAnsi="Courier New"/>
      </w:rPr>
    </w:lvl>
    <w:lvl w:ilvl="2" w:tplc="17D223C6">
      <w:start w:val="1"/>
      <w:numFmt w:val="bullet"/>
      <w:lvlText w:val=""/>
      <w:lvlJc w:val="left"/>
      <w:pPr>
        <w:ind w:left="2160" w:hanging="360"/>
      </w:pPr>
      <w:rPr>
        <w:rFonts w:hint="default" w:ascii="Wingdings" w:hAnsi="Wingdings"/>
      </w:rPr>
    </w:lvl>
    <w:lvl w:ilvl="3" w:tplc="EB4AFE8A">
      <w:start w:val="1"/>
      <w:numFmt w:val="bullet"/>
      <w:lvlText w:val=""/>
      <w:lvlJc w:val="left"/>
      <w:pPr>
        <w:ind w:left="2880" w:hanging="360"/>
      </w:pPr>
      <w:rPr>
        <w:rFonts w:hint="default" w:ascii="Symbol" w:hAnsi="Symbol"/>
      </w:rPr>
    </w:lvl>
    <w:lvl w:ilvl="4" w:tplc="93CA4D96">
      <w:start w:val="1"/>
      <w:numFmt w:val="bullet"/>
      <w:lvlText w:val="o"/>
      <w:lvlJc w:val="left"/>
      <w:pPr>
        <w:ind w:left="3600" w:hanging="360"/>
      </w:pPr>
      <w:rPr>
        <w:rFonts w:hint="default" w:ascii="Courier New" w:hAnsi="Courier New"/>
      </w:rPr>
    </w:lvl>
    <w:lvl w:ilvl="5" w:tplc="D2549EE8">
      <w:start w:val="1"/>
      <w:numFmt w:val="bullet"/>
      <w:lvlText w:val=""/>
      <w:lvlJc w:val="left"/>
      <w:pPr>
        <w:ind w:left="4320" w:hanging="360"/>
      </w:pPr>
      <w:rPr>
        <w:rFonts w:hint="default" w:ascii="Wingdings" w:hAnsi="Wingdings"/>
      </w:rPr>
    </w:lvl>
    <w:lvl w:ilvl="6" w:tplc="D9C4D53C">
      <w:start w:val="1"/>
      <w:numFmt w:val="bullet"/>
      <w:lvlText w:val=""/>
      <w:lvlJc w:val="left"/>
      <w:pPr>
        <w:ind w:left="5040" w:hanging="360"/>
      </w:pPr>
      <w:rPr>
        <w:rFonts w:hint="default" w:ascii="Symbol" w:hAnsi="Symbol"/>
      </w:rPr>
    </w:lvl>
    <w:lvl w:ilvl="7" w:tplc="0B4825C8">
      <w:start w:val="1"/>
      <w:numFmt w:val="bullet"/>
      <w:lvlText w:val="o"/>
      <w:lvlJc w:val="left"/>
      <w:pPr>
        <w:ind w:left="5760" w:hanging="360"/>
      </w:pPr>
      <w:rPr>
        <w:rFonts w:hint="default" w:ascii="Courier New" w:hAnsi="Courier New"/>
      </w:rPr>
    </w:lvl>
    <w:lvl w:ilvl="8" w:tplc="C548F1FA">
      <w:start w:val="1"/>
      <w:numFmt w:val="bullet"/>
      <w:lvlText w:val=""/>
      <w:lvlJc w:val="left"/>
      <w:pPr>
        <w:ind w:left="6480" w:hanging="360"/>
      </w:pPr>
      <w:rPr>
        <w:rFonts w:hint="default" w:ascii="Wingdings" w:hAnsi="Wingdings"/>
      </w:rPr>
    </w:lvl>
  </w:abstractNum>
  <w:abstractNum w:abstractNumId="8" w15:restartNumberingAfterBreak="0">
    <w:nsid w:val="433ACFA8"/>
    <w:multiLevelType w:val="hybridMultilevel"/>
    <w:tmpl w:val="17D6CF66"/>
    <w:lvl w:ilvl="0" w:tplc="FE06D98E">
      <w:start w:val="1"/>
      <w:numFmt w:val="bullet"/>
      <w:lvlText w:val=""/>
      <w:lvlJc w:val="left"/>
      <w:pPr>
        <w:ind w:left="720" w:hanging="360"/>
      </w:pPr>
      <w:rPr>
        <w:rFonts w:hint="default" w:ascii="Symbol" w:hAnsi="Symbol"/>
      </w:rPr>
    </w:lvl>
    <w:lvl w:ilvl="1" w:tplc="BF2C897A">
      <w:start w:val="1"/>
      <w:numFmt w:val="bullet"/>
      <w:lvlText w:val="o"/>
      <w:lvlJc w:val="left"/>
      <w:pPr>
        <w:ind w:left="1440" w:hanging="360"/>
      </w:pPr>
      <w:rPr>
        <w:rFonts w:hint="default" w:ascii="Courier New" w:hAnsi="Courier New"/>
      </w:rPr>
    </w:lvl>
    <w:lvl w:ilvl="2" w:tplc="79681FD0">
      <w:start w:val="1"/>
      <w:numFmt w:val="bullet"/>
      <w:lvlText w:val=""/>
      <w:lvlJc w:val="left"/>
      <w:pPr>
        <w:ind w:left="2160" w:hanging="360"/>
      </w:pPr>
      <w:rPr>
        <w:rFonts w:hint="default" w:ascii="Wingdings" w:hAnsi="Wingdings"/>
      </w:rPr>
    </w:lvl>
    <w:lvl w:ilvl="3" w:tplc="B5E6C756">
      <w:start w:val="1"/>
      <w:numFmt w:val="bullet"/>
      <w:lvlText w:val=""/>
      <w:lvlJc w:val="left"/>
      <w:pPr>
        <w:ind w:left="2880" w:hanging="360"/>
      </w:pPr>
      <w:rPr>
        <w:rFonts w:hint="default" w:ascii="Symbol" w:hAnsi="Symbol"/>
      </w:rPr>
    </w:lvl>
    <w:lvl w:ilvl="4" w:tplc="C0307616">
      <w:start w:val="1"/>
      <w:numFmt w:val="bullet"/>
      <w:lvlText w:val="o"/>
      <w:lvlJc w:val="left"/>
      <w:pPr>
        <w:ind w:left="3600" w:hanging="360"/>
      </w:pPr>
      <w:rPr>
        <w:rFonts w:hint="default" w:ascii="Courier New" w:hAnsi="Courier New"/>
      </w:rPr>
    </w:lvl>
    <w:lvl w:ilvl="5" w:tplc="A6AA407A">
      <w:start w:val="1"/>
      <w:numFmt w:val="bullet"/>
      <w:lvlText w:val=""/>
      <w:lvlJc w:val="left"/>
      <w:pPr>
        <w:ind w:left="4320" w:hanging="360"/>
      </w:pPr>
      <w:rPr>
        <w:rFonts w:hint="default" w:ascii="Wingdings" w:hAnsi="Wingdings"/>
      </w:rPr>
    </w:lvl>
    <w:lvl w:ilvl="6" w:tplc="FD985028">
      <w:start w:val="1"/>
      <w:numFmt w:val="bullet"/>
      <w:lvlText w:val=""/>
      <w:lvlJc w:val="left"/>
      <w:pPr>
        <w:ind w:left="5040" w:hanging="360"/>
      </w:pPr>
      <w:rPr>
        <w:rFonts w:hint="default" w:ascii="Symbol" w:hAnsi="Symbol"/>
      </w:rPr>
    </w:lvl>
    <w:lvl w:ilvl="7" w:tplc="A15E138C">
      <w:start w:val="1"/>
      <w:numFmt w:val="bullet"/>
      <w:lvlText w:val="o"/>
      <w:lvlJc w:val="left"/>
      <w:pPr>
        <w:ind w:left="5760" w:hanging="360"/>
      </w:pPr>
      <w:rPr>
        <w:rFonts w:hint="default" w:ascii="Courier New" w:hAnsi="Courier New"/>
      </w:rPr>
    </w:lvl>
    <w:lvl w:ilvl="8" w:tplc="34E4616E">
      <w:start w:val="1"/>
      <w:numFmt w:val="bullet"/>
      <w:lvlText w:val=""/>
      <w:lvlJc w:val="left"/>
      <w:pPr>
        <w:ind w:left="6480" w:hanging="360"/>
      </w:pPr>
      <w:rPr>
        <w:rFonts w:hint="default" w:ascii="Wingdings" w:hAnsi="Wingdings"/>
      </w:rPr>
    </w:lvl>
  </w:abstractNum>
  <w:abstractNum w:abstractNumId="9" w15:restartNumberingAfterBreak="0">
    <w:nsid w:val="467C88A9"/>
    <w:multiLevelType w:val="hybridMultilevel"/>
    <w:tmpl w:val="5238B0BC"/>
    <w:lvl w:ilvl="0" w:tplc="CA84CEA2">
      <w:start w:val="1"/>
      <w:numFmt w:val="bullet"/>
      <w:lvlText w:val=""/>
      <w:lvlJc w:val="left"/>
      <w:pPr>
        <w:ind w:left="720" w:hanging="360"/>
      </w:pPr>
      <w:rPr>
        <w:rFonts w:hint="default" w:ascii="Symbol" w:hAnsi="Symbol"/>
      </w:rPr>
    </w:lvl>
    <w:lvl w:ilvl="1" w:tplc="9BA0C19A">
      <w:start w:val="1"/>
      <w:numFmt w:val="bullet"/>
      <w:lvlText w:val="o"/>
      <w:lvlJc w:val="left"/>
      <w:pPr>
        <w:ind w:left="1440" w:hanging="360"/>
      </w:pPr>
      <w:rPr>
        <w:rFonts w:hint="default" w:ascii="Courier New" w:hAnsi="Courier New"/>
      </w:rPr>
    </w:lvl>
    <w:lvl w:ilvl="2" w:tplc="E67CAAD6">
      <w:start w:val="1"/>
      <w:numFmt w:val="bullet"/>
      <w:lvlText w:val=""/>
      <w:lvlJc w:val="left"/>
      <w:pPr>
        <w:ind w:left="2160" w:hanging="360"/>
      </w:pPr>
      <w:rPr>
        <w:rFonts w:hint="default" w:ascii="Wingdings" w:hAnsi="Wingdings"/>
      </w:rPr>
    </w:lvl>
    <w:lvl w:ilvl="3" w:tplc="4A4011BE">
      <w:start w:val="1"/>
      <w:numFmt w:val="bullet"/>
      <w:lvlText w:val=""/>
      <w:lvlJc w:val="left"/>
      <w:pPr>
        <w:ind w:left="2880" w:hanging="360"/>
      </w:pPr>
      <w:rPr>
        <w:rFonts w:hint="default" w:ascii="Symbol" w:hAnsi="Symbol"/>
      </w:rPr>
    </w:lvl>
    <w:lvl w:ilvl="4" w:tplc="F2AEA9DE">
      <w:start w:val="1"/>
      <w:numFmt w:val="bullet"/>
      <w:lvlText w:val="o"/>
      <w:lvlJc w:val="left"/>
      <w:pPr>
        <w:ind w:left="3600" w:hanging="360"/>
      </w:pPr>
      <w:rPr>
        <w:rFonts w:hint="default" w:ascii="Courier New" w:hAnsi="Courier New"/>
      </w:rPr>
    </w:lvl>
    <w:lvl w:ilvl="5" w:tplc="1916CE40">
      <w:start w:val="1"/>
      <w:numFmt w:val="bullet"/>
      <w:lvlText w:val=""/>
      <w:lvlJc w:val="left"/>
      <w:pPr>
        <w:ind w:left="4320" w:hanging="360"/>
      </w:pPr>
      <w:rPr>
        <w:rFonts w:hint="default" w:ascii="Wingdings" w:hAnsi="Wingdings"/>
      </w:rPr>
    </w:lvl>
    <w:lvl w:ilvl="6" w:tplc="2CDA330C">
      <w:start w:val="1"/>
      <w:numFmt w:val="bullet"/>
      <w:lvlText w:val=""/>
      <w:lvlJc w:val="left"/>
      <w:pPr>
        <w:ind w:left="5040" w:hanging="360"/>
      </w:pPr>
      <w:rPr>
        <w:rFonts w:hint="default" w:ascii="Symbol" w:hAnsi="Symbol"/>
      </w:rPr>
    </w:lvl>
    <w:lvl w:ilvl="7" w:tplc="A964F6EE">
      <w:start w:val="1"/>
      <w:numFmt w:val="bullet"/>
      <w:lvlText w:val="o"/>
      <w:lvlJc w:val="left"/>
      <w:pPr>
        <w:ind w:left="5760" w:hanging="360"/>
      </w:pPr>
      <w:rPr>
        <w:rFonts w:hint="default" w:ascii="Courier New" w:hAnsi="Courier New"/>
      </w:rPr>
    </w:lvl>
    <w:lvl w:ilvl="8" w:tplc="A3F21BAE">
      <w:start w:val="1"/>
      <w:numFmt w:val="bullet"/>
      <w:lvlText w:val=""/>
      <w:lvlJc w:val="left"/>
      <w:pPr>
        <w:ind w:left="6480" w:hanging="360"/>
      </w:pPr>
      <w:rPr>
        <w:rFonts w:hint="default" w:ascii="Wingdings" w:hAnsi="Wingdings"/>
      </w:rPr>
    </w:lvl>
  </w:abstractNum>
  <w:abstractNum w:abstractNumId="10" w15:restartNumberingAfterBreak="0">
    <w:nsid w:val="506636D7"/>
    <w:multiLevelType w:val="hybridMultilevel"/>
    <w:tmpl w:val="686429D2"/>
    <w:lvl w:ilvl="0" w:tplc="CA5A909A">
      <w:start w:val="1"/>
      <w:numFmt w:val="bullet"/>
      <w:lvlText w:val=""/>
      <w:lvlJc w:val="left"/>
      <w:pPr>
        <w:ind w:left="720" w:hanging="360"/>
      </w:pPr>
      <w:rPr>
        <w:rFonts w:hint="default" w:ascii="Symbol" w:hAnsi="Symbol"/>
      </w:rPr>
    </w:lvl>
    <w:lvl w:ilvl="1" w:tplc="CFCC68FA">
      <w:start w:val="1"/>
      <w:numFmt w:val="bullet"/>
      <w:lvlText w:val="o"/>
      <w:lvlJc w:val="left"/>
      <w:pPr>
        <w:ind w:left="1440" w:hanging="360"/>
      </w:pPr>
      <w:rPr>
        <w:rFonts w:hint="default" w:ascii="Courier New" w:hAnsi="Courier New"/>
      </w:rPr>
    </w:lvl>
    <w:lvl w:ilvl="2" w:tplc="D8527F7C">
      <w:start w:val="1"/>
      <w:numFmt w:val="bullet"/>
      <w:lvlText w:val=""/>
      <w:lvlJc w:val="left"/>
      <w:pPr>
        <w:ind w:left="2160" w:hanging="360"/>
      </w:pPr>
      <w:rPr>
        <w:rFonts w:hint="default" w:ascii="Wingdings" w:hAnsi="Wingdings"/>
      </w:rPr>
    </w:lvl>
    <w:lvl w:ilvl="3" w:tplc="5F3C08EC">
      <w:start w:val="1"/>
      <w:numFmt w:val="bullet"/>
      <w:lvlText w:val=""/>
      <w:lvlJc w:val="left"/>
      <w:pPr>
        <w:ind w:left="2880" w:hanging="360"/>
      </w:pPr>
      <w:rPr>
        <w:rFonts w:hint="default" w:ascii="Symbol" w:hAnsi="Symbol"/>
      </w:rPr>
    </w:lvl>
    <w:lvl w:ilvl="4" w:tplc="A114E628">
      <w:start w:val="1"/>
      <w:numFmt w:val="bullet"/>
      <w:lvlText w:val="o"/>
      <w:lvlJc w:val="left"/>
      <w:pPr>
        <w:ind w:left="3600" w:hanging="360"/>
      </w:pPr>
      <w:rPr>
        <w:rFonts w:hint="default" w:ascii="Courier New" w:hAnsi="Courier New"/>
      </w:rPr>
    </w:lvl>
    <w:lvl w:ilvl="5" w:tplc="52B67612">
      <w:start w:val="1"/>
      <w:numFmt w:val="bullet"/>
      <w:lvlText w:val=""/>
      <w:lvlJc w:val="left"/>
      <w:pPr>
        <w:ind w:left="4320" w:hanging="360"/>
      </w:pPr>
      <w:rPr>
        <w:rFonts w:hint="default" w:ascii="Wingdings" w:hAnsi="Wingdings"/>
      </w:rPr>
    </w:lvl>
    <w:lvl w:ilvl="6" w:tplc="FEB865A2">
      <w:start w:val="1"/>
      <w:numFmt w:val="bullet"/>
      <w:lvlText w:val=""/>
      <w:lvlJc w:val="left"/>
      <w:pPr>
        <w:ind w:left="5040" w:hanging="360"/>
      </w:pPr>
      <w:rPr>
        <w:rFonts w:hint="default" w:ascii="Symbol" w:hAnsi="Symbol"/>
      </w:rPr>
    </w:lvl>
    <w:lvl w:ilvl="7" w:tplc="5B789C62">
      <w:start w:val="1"/>
      <w:numFmt w:val="bullet"/>
      <w:lvlText w:val="o"/>
      <w:lvlJc w:val="left"/>
      <w:pPr>
        <w:ind w:left="5760" w:hanging="360"/>
      </w:pPr>
      <w:rPr>
        <w:rFonts w:hint="default" w:ascii="Courier New" w:hAnsi="Courier New"/>
      </w:rPr>
    </w:lvl>
    <w:lvl w:ilvl="8" w:tplc="C3AE99B6">
      <w:start w:val="1"/>
      <w:numFmt w:val="bullet"/>
      <w:lvlText w:val=""/>
      <w:lvlJc w:val="left"/>
      <w:pPr>
        <w:ind w:left="6480" w:hanging="360"/>
      </w:pPr>
      <w:rPr>
        <w:rFonts w:hint="default" w:ascii="Wingdings" w:hAnsi="Wingdings"/>
      </w:rPr>
    </w:lvl>
  </w:abstractNum>
  <w:abstractNum w:abstractNumId="11" w15:restartNumberingAfterBreak="0">
    <w:nsid w:val="556F6A2A"/>
    <w:multiLevelType w:val="hybridMultilevel"/>
    <w:tmpl w:val="41386154"/>
    <w:lvl w:ilvl="0" w:tplc="2E6411A4">
      <w:start w:val="1"/>
      <w:numFmt w:val="bullet"/>
      <w:lvlText w:val=""/>
      <w:lvlJc w:val="left"/>
      <w:pPr>
        <w:ind w:left="720" w:hanging="360"/>
      </w:pPr>
      <w:rPr>
        <w:rFonts w:hint="default" w:ascii="Symbol" w:hAnsi="Symbol"/>
      </w:rPr>
    </w:lvl>
    <w:lvl w:ilvl="1" w:tplc="25BAD2BE">
      <w:start w:val="1"/>
      <w:numFmt w:val="bullet"/>
      <w:lvlText w:val="o"/>
      <w:lvlJc w:val="left"/>
      <w:pPr>
        <w:ind w:left="1440" w:hanging="360"/>
      </w:pPr>
      <w:rPr>
        <w:rFonts w:hint="default" w:ascii="Courier New" w:hAnsi="Courier New"/>
      </w:rPr>
    </w:lvl>
    <w:lvl w:ilvl="2" w:tplc="642AFBCA">
      <w:start w:val="1"/>
      <w:numFmt w:val="bullet"/>
      <w:lvlText w:val=""/>
      <w:lvlJc w:val="left"/>
      <w:pPr>
        <w:ind w:left="2160" w:hanging="360"/>
      </w:pPr>
      <w:rPr>
        <w:rFonts w:hint="default" w:ascii="Wingdings" w:hAnsi="Wingdings"/>
      </w:rPr>
    </w:lvl>
    <w:lvl w:ilvl="3" w:tplc="233892B8">
      <w:start w:val="1"/>
      <w:numFmt w:val="bullet"/>
      <w:lvlText w:val=""/>
      <w:lvlJc w:val="left"/>
      <w:pPr>
        <w:ind w:left="2880" w:hanging="360"/>
      </w:pPr>
      <w:rPr>
        <w:rFonts w:hint="default" w:ascii="Symbol" w:hAnsi="Symbol"/>
      </w:rPr>
    </w:lvl>
    <w:lvl w:ilvl="4" w:tplc="152A3058">
      <w:start w:val="1"/>
      <w:numFmt w:val="bullet"/>
      <w:lvlText w:val="o"/>
      <w:lvlJc w:val="left"/>
      <w:pPr>
        <w:ind w:left="3600" w:hanging="360"/>
      </w:pPr>
      <w:rPr>
        <w:rFonts w:hint="default" w:ascii="Courier New" w:hAnsi="Courier New"/>
      </w:rPr>
    </w:lvl>
    <w:lvl w:ilvl="5" w:tplc="2D4AD57A">
      <w:start w:val="1"/>
      <w:numFmt w:val="bullet"/>
      <w:lvlText w:val=""/>
      <w:lvlJc w:val="left"/>
      <w:pPr>
        <w:ind w:left="4320" w:hanging="360"/>
      </w:pPr>
      <w:rPr>
        <w:rFonts w:hint="default" w:ascii="Wingdings" w:hAnsi="Wingdings"/>
      </w:rPr>
    </w:lvl>
    <w:lvl w:ilvl="6" w:tplc="5E985738">
      <w:start w:val="1"/>
      <w:numFmt w:val="bullet"/>
      <w:lvlText w:val=""/>
      <w:lvlJc w:val="left"/>
      <w:pPr>
        <w:ind w:left="5040" w:hanging="360"/>
      </w:pPr>
      <w:rPr>
        <w:rFonts w:hint="default" w:ascii="Symbol" w:hAnsi="Symbol"/>
      </w:rPr>
    </w:lvl>
    <w:lvl w:ilvl="7" w:tplc="611019B8">
      <w:start w:val="1"/>
      <w:numFmt w:val="bullet"/>
      <w:lvlText w:val="o"/>
      <w:lvlJc w:val="left"/>
      <w:pPr>
        <w:ind w:left="5760" w:hanging="360"/>
      </w:pPr>
      <w:rPr>
        <w:rFonts w:hint="default" w:ascii="Courier New" w:hAnsi="Courier New"/>
      </w:rPr>
    </w:lvl>
    <w:lvl w:ilvl="8" w:tplc="08003404">
      <w:start w:val="1"/>
      <w:numFmt w:val="bullet"/>
      <w:lvlText w:val=""/>
      <w:lvlJc w:val="left"/>
      <w:pPr>
        <w:ind w:left="6480" w:hanging="360"/>
      </w:pPr>
      <w:rPr>
        <w:rFonts w:hint="default" w:ascii="Wingdings" w:hAnsi="Wingdings"/>
      </w:rPr>
    </w:lvl>
  </w:abstractNum>
  <w:abstractNum w:abstractNumId="12" w15:restartNumberingAfterBreak="0">
    <w:nsid w:val="577D255B"/>
    <w:multiLevelType w:val="hybridMultilevel"/>
    <w:tmpl w:val="46A2399E"/>
    <w:lvl w:ilvl="0" w:tplc="BEC64E10">
      <w:start w:val="1"/>
      <w:numFmt w:val="bullet"/>
      <w:lvlText w:val=""/>
      <w:lvlJc w:val="left"/>
      <w:pPr>
        <w:ind w:left="720" w:hanging="360"/>
      </w:pPr>
      <w:rPr>
        <w:rFonts w:hint="default" w:ascii="Symbol" w:hAnsi="Symbol"/>
      </w:rPr>
    </w:lvl>
    <w:lvl w:ilvl="1" w:tplc="11DEE2D4">
      <w:start w:val="1"/>
      <w:numFmt w:val="bullet"/>
      <w:lvlText w:val="o"/>
      <w:lvlJc w:val="left"/>
      <w:pPr>
        <w:ind w:left="1440" w:hanging="360"/>
      </w:pPr>
      <w:rPr>
        <w:rFonts w:hint="default" w:ascii="Courier New" w:hAnsi="Courier New"/>
      </w:rPr>
    </w:lvl>
    <w:lvl w:ilvl="2" w:tplc="855815F0">
      <w:start w:val="1"/>
      <w:numFmt w:val="bullet"/>
      <w:lvlText w:val=""/>
      <w:lvlJc w:val="left"/>
      <w:pPr>
        <w:ind w:left="2160" w:hanging="360"/>
      </w:pPr>
      <w:rPr>
        <w:rFonts w:hint="default" w:ascii="Wingdings" w:hAnsi="Wingdings"/>
      </w:rPr>
    </w:lvl>
    <w:lvl w:ilvl="3" w:tplc="0C265406">
      <w:start w:val="1"/>
      <w:numFmt w:val="bullet"/>
      <w:lvlText w:val=""/>
      <w:lvlJc w:val="left"/>
      <w:pPr>
        <w:ind w:left="2880" w:hanging="360"/>
      </w:pPr>
      <w:rPr>
        <w:rFonts w:hint="default" w:ascii="Symbol" w:hAnsi="Symbol"/>
      </w:rPr>
    </w:lvl>
    <w:lvl w:ilvl="4" w:tplc="FBE64230">
      <w:start w:val="1"/>
      <w:numFmt w:val="bullet"/>
      <w:lvlText w:val="o"/>
      <w:lvlJc w:val="left"/>
      <w:pPr>
        <w:ind w:left="3600" w:hanging="360"/>
      </w:pPr>
      <w:rPr>
        <w:rFonts w:hint="default" w:ascii="Courier New" w:hAnsi="Courier New"/>
      </w:rPr>
    </w:lvl>
    <w:lvl w:ilvl="5" w:tplc="97C2523E">
      <w:start w:val="1"/>
      <w:numFmt w:val="bullet"/>
      <w:lvlText w:val=""/>
      <w:lvlJc w:val="left"/>
      <w:pPr>
        <w:ind w:left="4320" w:hanging="360"/>
      </w:pPr>
      <w:rPr>
        <w:rFonts w:hint="default" w:ascii="Wingdings" w:hAnsi="Wingdings"/>
      </w:rPr>
    </w:lvl>
    <w:lvl w:ilvl="6" w:tplc="90186FC2">
      <w:start w:val="1"/>
      <w:numFmt w:val="bullet"/>
      <w:lvlText w:val=""/>
      <w:lvlJc w:val="left"/>
      <w:pPr>
        <w:ind w:left="5040" w:hanging="360"/>
      </w:pPr>
      <w:rPr>
        <w:rFonts w:hint="default" w:ascii="Symbol" w:hAnsi="Symbol"/>
      </w:rPr>
    </w:lvl>
    <w:lvl w:ilvl="7" w:tplc="D47ADA5C">
      <w:start w:val="1"/>
      <w:numFmt w:val="bullet"/>
      <w:lvlText w:val="o"/>
      <w:lvlJc w:val="left"/>
      <w:pPr>
        <w:ind w:left="5760" w:hanging="360"/>
      </w:pPr>
      <w:rPr>
        <w:rFonts w:hint="default" w:ascii="Courier New" w:hAnsi="Courier New"/>
      </w:rPr>
    </w:lvl>
    <w:lvl w:ilvl="8" w:tplc="A1943A26">
      <w:start w:val="1"/>
      <w:numFmt w:val="bullet"/>
      <w:lvlText w:val=""/>
      <w:lvlJc w:val="left"/>
      <w:pPr>
        <w:ind w:left="6480" w:hanging="360"/>
      </w:pPr>
      <w:rPr>
        <w:rFonts w:hint="default" w:ascii="Wingdings" w:hAnsi="Wingdings"/>
      </w:rPr>
    </w:lvl>
  </w:abstractNum>
  <w:abstractNum w:abstractNumId="13" w15:restartNumberingAfterBreak="0">
    <w:nsid w:val="589193D0"/>
    <w:multiLevelType w:val="hybridMultilevel"/>
    <w:tmpl w:val="00A2B7A8"/>
    <w:lvl w:ilvl="0" w:tplc="3CC01CAA">
      <w:start w:val="1"/>
      <w:numFmt w:val="bullet"/>
      <w:lvlText w:val=""/>
      <w:lvlJc w:val="left"/>
      <w:pPr>
        <w:ind w:left="720" w:hanging="360"/>
      </w:pPr>
      <w:rPr>
        <w:rFonts w:hint="default" w:ascii="Symbol" w:hAnsi="Symbol"/>
      </w:rPr>
    </w:lvl>
    <w:lvl w:ilvl="1" w:tplc="0A6AED44">
      <w:start w:val="1"/>
      <w:numFmt w:val="bullet"/>
      <w:lvlText w:val="o"/>
      <w:lvlJc w:val="left"/>
      <w:pPr>
        <w:ind w:left="1440" w:hanging="360"/>
      </w:pPr>
      <w:rPr>
        <w:rFonts w:hint="default" w:ascii="Courier New" w:hAnsi="Courier New"/>
      </w:rPr>
    </w:lvl>
    <w:lvl w:ilvl="2" w:tplc="EA9AA0F2">
      <w:start w:val="1"/>
      <w:numFmt w:val="bullet"/>
      <w:lvlText w:val=""/>
      <w:lvlJc w:val="left"/>
      <w:pPr>
        <w:ind w:left="2160" w:hanging="360"/>
      </w:pPr>
      <w:rPr>
        <w:rFonts w:hint="default" w:ascii="Wingdings" w:hAnsi="Wingdings"/>
      </w:rPr>
    </w:lvl>
    <w:lvl w:ilvl="3" w:tplc="F7C258FA">
      <w:start w:val="1"/>
      <w:numFmt w:val="bullet"/>
      <w:lvlText w:val=""/>
      <w:lvlJc w:val="left"/>
      <w:pPr>
        <w:ind w:left="2880" w:hanging="360"/>
      </w:pPr>
      <w:rPr>
        <w:rFonts w:hint="default" w:ascii="Symbol" w:hAnsi="Symbol"/>
      </w:rPr>
    </w:lvl>
    <w:lvl w:ilvl="4" w:tplc="EFA2AC3C">
      <w:start w:val="1"/>
      <w:numFmt w:val="bullet"/>
      <w:lvlText w:val="o"/>
      <w:lvlJc w:val="left"/>
      <w:pPr>
        <w:ind w:left="3600" w:hanging="360"/>
      </w:pPr>
      <w:rPr>
        <w:rFonts w:hint="default" w:ascii="Courier New" w:hAnsi="Courier New"/>
      </w:rPr>
    </w:lvl>
    <w:lvl w:ilvl="5" w:tplc="F09E7936">
      <w:start w:val="1"/>
      <w:numFmt w:val="bullet"/>
      <w:lvlText w:val=""/>
      <w:lvlJc w:val="left"/>
      <w:pPr>
        <w:ind w:left="4320" w:hanging="360"/>
      </w:pPr>
      <w:rPr>
        <w:rFonts w:hint="default" w:ascii="Wingdings" w:hAnsi="Wingdings"/>
      </w:rPr>
    </w:lvl>
    <w:lvl w:ilvl="6" w:tplc="76DAFF2A">
      <w:start w:val="1"/>
      <w:numFmt w:val="bullet"/>
      <w:lvlText w:val=""/>
      <w:lvlJc w:val="left"/>
      <w:pPr>
        <w:ind w:left="5040" w:hanging="360"/>
      </w:pPr>
      <w:rPr>
        <w:rFonts w:hint="default" w:ascii="Symbol" w:hAnsi="Symbol"/>
      </w:rPr>
    </w:lvl>
    <w:lvl w:ilvl="7" w:tplc="9FD093D2">
      <w:start w:val="1"/>
      <w:numFmt w:val="bullet"/>
      <w:lvlText w:val="o"/>
      <w:lvlJc w:val="left"/>
      <w:pPr>
        <w:ind w:left="5760" w:hanging="360"/>
      </w:pPr>
      <w:rPr>
        <w:rFonts w:hint="default" w:ascii="Courier New" w:hAnsi="Courier New"/>
      </w:rPr>
    </w:lvl>
    <w:lvl w:ilvl="8" w:tplc="49E8DCFA">
      <w:start w:val="1"/>
      <w:numFmt w:val="bullet"/>
      <w:lvlText w:val=""/>
      <w:lvlJc w:val="left"/>
      <w:pPr>
        <w:ind w:left="6480" w:hanging="360"/>
      </w:pPr>
      <w:rPr>
        <w:rFonts w:hint="default" w:ascii="Wingdings" w:hAnsi="Wingdings"/>
      </w:rPr>
    </w:lvl>
  </w:abstractNum>
  <w:abstractNum w:abstractNumId="14" w15:restartNumberingAfterBreak="0">
    <w:nsid w:val="667993CC"/>
    <w:multiLevelType w:val="hybridMultilevel"/>
    <w:tmpl w:val="1B726E1E"/>
    <w:lvl w:ilvl="0" w:tplc="09763290">
      <w:start w:val="1"/>
      <w:numFmt w:val="bullet"/>
      <w:lvlText w:val=""/>
      <w:lvlJc w:val="left"/>
      <w:pPr>
        <w:ind w:left="720" w:hanging="360"/>
      </w:pPr>
      <w:rPr>
        <w:rFonts w:hint="default" w:ascii="Symbol" w:hAnsi="Symbol"/>
      </w:rPr>
    </w:lvl>
    <w:lvl w:ilvl="1" w:tplc="1D78D51C">
      <w:start w:val="1"/>
      <w:numFmt w:val="bullet"/>
      <w:lvlText w:val="o"/>
      <w:lvlJc w:val="left"/>
      <w:pPr>
        <w:ind w:left="1440" w:hanging="360"/>
      </w:pPr>
      <w:rPr>
        <w:rFonts w:hint="default" w:ascii="Courier New" w:hAnsi="Courier New"/>
      </w:rPr>
    </w:lvl>
    <w:lvl w:ilvl="2" w:tplc="5274AA1A">
      <w:start w:val="1"/>
      <w:numFmt w:val="bullet"/>
      <w:lvlText w:val=""/>
      <w:lvlJc w:val="left"/>
      <w:pPr>
        <w:ind w:left="2160" w:hanging="360"/>
      </w:pPr>
      <w:rPr>
        <w:rFonts w:hint="default" w:ascii="Wingdings" w:hAnsi="Wingdings"/>
      </w:rPr>
    </w:lvl>
    <w:lvl w:ilvl="3" w:tplc="2042C622">
      <w:start w:val="1"/>
      <w:numFmt w:val="bullet"/>
      <w:lvlText w:val=""/>
      <w:lvlJc w:val="left"/>
      <w:pPr>
        <w:ind w:left="2880" w:hanging="360"/>
      </w:pPr>
      <w:rPr>
        <w:rFonts w:hint="default" w:ascii="Symbol" w:hAnsi="Symbol"/>
      </w:rPr>
    </w:lvl>
    <w:lvl w:ilvl="4" w:tplc="AB1E405E">
      <w:start w:val="1"/>
      <w:numFmt w:val="bullet"/>
      <w:lvlText w:val="o"/>
      <w:lvlJc w:val="left"/>
      <w:pPr>
        <w:ind w:left="3600" w:hanging="360"/>
      </w:pPr>
      <w:rPr>
        <w:rFonts w:hint="default" w:ascii="Courier New" w:hAnsi="Courier New"/>
      </w:rPr>
    </w:lvl>
    <w:lvl w:ilvl="5" w:tplc="B87636BC">
      <w:start w:val="1"/>
      <w:numFmt w:val="bullet"/>
      <w:lvlText w:val=""/>
      <w:lvlJc w:val="left"/>
      <w:pPr>
        <w:ind w:left="4320" w:hanging="360"/>
      </w:pPr>
      <w:rPr>
        <w:rFonts w:hint="default" w:ascii="Wingdings" w:hAnsi="Wingdings"/>
      </w:rPr>
    </w:lvl>
    <w:lvl w:ilvl="6" w:tplc="1A92BBDA">
      <w:start w:val="1"/>
      <w:numFmt w:val="bullet"/>
      <w:lvlText w:val=""/>
      <w:lvlJc w:val="left"/>
      <w:pPr>
        <w:ind w:left="5040" w:hanging="360"/>
      </w:pPr>
      <w:rPr>
        <w:rFonts w:hint="default" w:ascii="Symbol" w:hAnsi="Symbol"/>
      </w:rPr>
    </w:lvl>
    <w:lvl w:ilvl="7" w:tplc="1DFEDD22">
      <w:start w:val="1"/>
      <w:numFmt w:val="bullet"/>
      <w:lvlText w:val="o"/>
      <w:lvlJc w:val="left"/>
      <w:pPr>
        <w:ind w:left="5760" w:hanging="360"/>
      </w:pPr>
      <w:rPr>
        <w:rFonts w:hint="default" w:ascii="Courier New" w:hAnsi="Courier New"/>
      </w:rPr>
    </w:lvl>
    <w:lvl w:ilvl="8" w:tplc="166805A8">
      <w:start w:val="1"/>
      <w:numFmt w:val="bullet"/>
      <w:lvlText w:val=""/>
      <w:lvlJc w:val="left"/>
      <w:pPr>
        <w:ind w:left="6480" w:hanging="360"/>
      </w:pPr>
      <w:rPr>
        <w:rFonts w:hint="default" w:ascii="Wingdings" w:hAnsi="Wingdings"/>
      </w:rPr>
    </w:lvl>
  </w:abstractNum>
  <w:abstractNum w:abstractNumId="15" w15:restartNumberingAfterBreak="0">
    <w:nsid w:val="6B4B4FCF"/>
    <w:multiLevelType w:val="hybridMultilevel"/>
    <w:tmpl w:val="D1A434F4"/>
    <w:lvl w:ilvl="0" w:tplc="F83CC732">
      <w:start w:val="1"/>
      <w:numFmt w:val="bullet"/>
      <w:lvlText w:val=""/>
      <w:lvlJc w:val="left"/>
      <w:pPr>
        <w:ind w:left="720" w:hanging="360"/>
      </w:pPr>
      <w:rPr>
        <w:rFonts w:hint="default" w:ascii="Symbol" w:hAnsi="Symbol"/>
      </w:rPr>
    </w:lvl>
    <w:lvl w:ilvl="1" w:tplc="644628BC">
      <w:start w:val="1"/>
      <w:numFmt w:val="bullet"/>
      <w:lvlText w:val="o"/>
      <w:lvlJc w:val="left"/>
      <w:pPr>
        <w:ind w:left="1440" w:hanging="360"/>
      </w:pPr>
      <w:rPr>
        <w:rFonts w:hint="default" w:ascii="Courier New" w:hAnsi="Courier New"/>
      </w:rPr>
    </w:lvl>
    <w:lvl w:ilvl="2" w:tplc="21D2E5C4">
      <w:start w:val="1"/>
      <w:numFmt w:val="bullet"/>
      <w:lvlText w:val=""/>
      <w:lvlJc w:val="left"/>
      <w:pPr>
        <w:ind w:left="2160" w:hanging="360"/>
      </w:pPr>
      <w:rPr>
        <w:rFonts w:hint="default" w:ascii="Wingdings" w:hAnsi="Wingdings"/>
      </w:rPr>
    </w:lvl>
    <w:lvl w:ilvl="3" w:tplc="19D69436">
      <w:start w:val="1"/>
      <w:numFmt w:val="bullet"/>
      <w:lvlText w:val=""/>
      <w:lvlJc w:val="left"/>
      <w:pPr>
        <w:ind w:left="2880" w:hanging="360"/>
      </w:pPr>
      <w:rPr>
        <w:rFonts w:hint="default" w:ascii="Symbol" w:hAnsi="Symbol"/>
      </w:rPr>
    </w:lvl>
    <w:lvl w:ilvl="4" w:tplc="4D3AFE7E">
      <w:start w:val="1"/>
      <w:numFmt w:val="bullet"/>
      <w:lvlText w:val="o"/>
      <w:lvlJc w:val="left"/>
      <w:pPr>
        <w:ind w:left="3600" w:hanging="360"/>
      </w:pPr>
      <w:rPr>
        <w:rFonts w:hint="default" w:ascii="Courier New" w:hAnsi="Courier New"/>
      </w:rPr>
    </w:lvl>
    <w:lvl w:ilvl="5" w:tplc="EF94BCE8">
      <w:start w:val="1"/>
      <w:numFmt w:val="bullet"/>
      <w:lvlText w:val=""/>
      <w:lvlJc w:val="left"/>
      <w:pPr>
        <w:ind w:left="4320" w:hanging="360"/>
      </w:pPr>
      <w:rPr>
        <w:rFonts w:hint="default" w:ascii="Wingdings" w:hAnsi="Wingdings"/>
      </w:rPr>
    </w:lvl>
    <w:lvl w:ilvl="6" w:tplc="B296963A">
      <w:start w:val="1"/>
      <w:numFmt w:val="bullet"/>
      <w:lvlText w:val=""/>
      <w:lvlJc w:val="left"/>
      <w:pPr>
        <w:ind w:left="5040" w:hanging="360"/>
      </w:pPr>
      <w:rPr>
        <w:rFonts w:hint="default" w:ascii="Symbol" w:hAnsi="Symbol"/>
      </w:rPr>
    </w:lvl>
    <w:lvl w:ilvl="7" w:tplc="C400E37C">
      <w:start w:val="1"/>
      <w:numFmt w:val="bullet"/>
      <w:lvlText w:val="o"/>
      <w:lvlJc w:val="left"/>
      <w:pPr>
        <w:ind w:left="5760" w:hanging="360"/>
      </w:pPr>
      <w:rPr>
        <w:rFonts w:hint="default" w:ascii="Courier New" w:hAnsi="Courier New"/>
      </w:rPr>
    </w:lvl>
    <w:lvl w:ilvl="8" w:tplc="B54CD616">
      <w:start w:val="1"/>
      <w:numFmt w:val="bullet"/>
      <w:lvlText w:val=""/>
      <w:lvlJc w:val="left"/>
      <w:pPr>
        <w:ind w:left="6480" w:hanging="360"/>
      </w:pPr>
      <w:rPr>
        <w:rFonts w:hint="default" w:ascii="Wingdings" w:hAnsi="Wingdings"/>
      </w:rPr>
    </w:lvl>
  </w:abstractNum>
  <w:abstractNum w:abstractNumId="16" w15:restartNumberingAfterBreak="0">
    <w:nsid w:val="6E527EEE"/>
    <w:multiLevelType w:val="hybridMultilevel"/>
    <w:tmpl w:val="841484E4"/>
    <w:lvl w:ilvl="0" w:tplc="A6407B1E">
      <w:start w:val="1"/>
      <w:numFmt w:val="bullet"/>
      <w:lvlText w:val=""/>
      <w:lvlJc w:val="left"/>
      <w:pPr>
        <w:ind w:left="720" w:hanging="360"/>
      </w:pPr>
      <w:rPr>
        <w:rFonts w:hint="default" w:ascii="Symbol" w:hAnsi="Symbol"/>
      </w:rPr>
    </w:lvl>
    <w:lvl w:ilvl="1" w:tplc="9990CB5E">
      <w:start w:val="1"/>
      <w:numFmt w:val="bullet"/>
      <w:lvlText w:val="o"/>
      <w:lvlJc w:val="left"/>
      <w:pPr>
        <w:ind w:left="1440" w:hanging="360"/>
      </w:pPr>
      <w:rPr>
        <w:rFonts w:hint="default" w:ascii="Courier New" w:hAnsi="Courier New"/>
      </w:rPr>
    </w:lvl>
    <w:lvl w:ilvl="2" w:tplc="88B62FF4">
      <w:start w:val="1"/>
      <w:numFmt w:val="bullet"/>
      <w:lvlText w:val=""/>
      <w:lvlJc w:val="left"/>
      <w:pPr>
        <w:ind w:left="2160" w:hanging="360"/>
      </w:pPr>
      <w:rPr>
        <w:rFonts w:hint="default" w:ascii="Wingdings" w:hAnsi="Wingdings"/>
      </w:rPr>
    </w:lvl>
    <w:lvl w:ilvl="3" w:tplc="153A9984">
      <w:start w:val="1"/>
      <w:numFmt w:val="bullet"/>
      <w:lvlText w:val=""/>
      <w:lvlJc w:val="left"/>
      <w:pPr>
        <w:ind w:left="2880" w:hanging="360"/>
      </w:pPr>
      <w:rPr>
        <w:rFonts w:hint="default" w:ascii="Symbol" w:hAnsi="Symbol"/>
      </w:rPr>
    </w:lvl>
    <w:lvl w:ilvl="4" w:tplc="D5BE5566">
      <w:start w:val="1"/>
      <w:numFmt w:val="bullet"/>
      <w:lvlText w:val="o"/>
      <w:lvlJc w:val="left"/>
      <w:pPr>
        <w:ind w:left="3600" w:hanging="360"/>
      </w:pPr>
      <w:rPr>
        <w:rFonts w:hint="default" w:ascii="Courier New" w:hAnsi="Courier New"/>
      </w:rPr>
    </w:lvl>
    <w:lvl w:ilvl="5" w:tplc="B344E802">
      <w:start w:val="1"/>
      <w:numFmt w:val="bullet"/>
      <w:lvlText w:val=""/>
      <w:lvlJc w:val="left"/>
      <w:pPr>
        <w:ind w:left="4320" w:hanging="360"/>
      </w:pPr>
      <w:rPr>
        <w:rFonts w:hint="default" w:ascii="Wingdings" w:hAnsi="Wingdings"/>
      </w:rPr>
    </w:lvl>
    <w:lvl w:ilvl="6" w:tplc="3C08556C">
      <w:start w:val="1"/>
      <w:numFmt w:val="bullet"/>
      <w:lvlText w:val=""/>
      <w:lvlJc w:val="left"/>
      <w:pPr>
        <w:ind w:left="5040" w:hanging="360"/>
      </w:pPr>
      <w:rPr>
        <w:rFonts w:hint="default" w:ascii="Symbol" w:hAnsi="Symbol"/>
      </w:rPr>
    </w:lvl>
    <w:lvl w:ilvl="7" w:tplc="7CF097A4">
      <w:start w:val="1"/>
      <w:numFmt w:val="bullet"/>
      <w:lvlText w:val="o"/>
      <w:lvlJc w:val="left"/>
      <w:pPr>
        <w:ind w:left="5760" w:hanging="360"/>
      </w:pPr>
      <w:rPr>
        <w:rFonts w:hint="default" w:ascii="Courier New" w:hAnsi="Courier New"/>
      </w:rPr>
    </w:lvl>
    <w:lvl w:ilvl="8" w:tplc="FBACA34A">
      <w:start w:val="1"/>
      <w:numFmt w:val="bullet"/>
      <w:lvlText w:val=""/>
      <w:lvlJc w:val="left"/>
      <w:pPr>
        <w:ind w:left="6480" w:hanging="360"/>
      </w:pPr>
      <w:rPr>
        <w:rFonts w:hint="default" w:ascii="Wingdings" w:hAnsi="Wingdings"/>
      </w:rPr>
    </w:lvl>
  </w:abstractNum>
  <w:abstractNum w:abstractNumId="17" w15:restartNumberingAfterBreak="0">
    <w:nsid w:val="7601C88A"/>
    <w:multiLevelType w:val="hybridMultilevel"/>
    <w:tmpl w:val="0A1AC576"/>
    <w:lvl w:ilvl="0" w:tplc="D48A2F5C">
      <w:start w:val="1"/>
      <w:numFmt w:val="bullet"/>
      <w:lvlText w:val=""/>
      <w:lvlJc w:val="left"/>
      <w:pPr>
        <w:ind w:left="720" w:hanging="360"/>
      </w:pPr>
      <w:rPr>
        <w:rFonts w:hint="default" w:ascii="Symbol" w:hAnsi="Symbol"/>
      </w:rPr>
    </w:lvl>
    <w:lvl w:ilvl="1" w:tplc="52EEC3B0">
      <w:start w:val="1"/>
      <w:numFmt w:val="bullet"/>
      <w:lvlText w:val="o"/>
      <w:lvlJc w:val="left"/>
      <w:pPr>
        <w:ind w:left="1440" w:hanging="360"/>
      </w:pPr>
      <w:rPr>
        <w:rFonts w:hint="default" w:ascii="Courier New" w:hAnsi="Courier New"/>
      </w:rPr>
    </w:lvl>
    <w:lvl w:ilvl="2" w:tplc="EEDAB878">
      <w:start w:val="1"/>
      <w:numFmt w:val="bullet"/>
      <w:lvlText w:val=""/>
      <w:lvlJc w:val="left"/>
      <w:pPr>
        <w:ind w:left="2160" w:hanging="360"/>
      </w:pPr>
      <w:rPr>
        <w:rFonts w:hint="default" w:ascii="Wingdings" w:hAnsi="Wingdings"/>
      </w:rPr>
    </w:lvl>
    <w:lvl w:ilvl="3" w:tplc="46349152">
      <w:start w:val="1"/>
      <w:numFmt w:val="bullet"/>
      <w:lvlText w:val=""/>
      <w:lvlJc w:val="left"/>
      <w:pPr>
        <w:ind w:left="2880" w:hanging="360"/>
      </w:pPr>
      <w:rPr>
        <w:rFonts w:hint="default" w:ascii="Symbol" w:hAnsi="Symbol"/>
      </w:rPr>
    </w:lvl>
    <w:lvl w:ilvl="4" w:tplc="7A20C506">
      <w:start w:val="1"/>
      <w:numFmt w:val="bullet"/>
      <w:lvlText w:val="o"/>
      <w:lvlJc w:val="left"/>
      <w:pPr>
        <w:ind w:left="3600" w:hanging="360"/>
      </w:pPr>
      <w:rPr>
        <w:rFonts w:hint="default" w:ascii="Courier New" w:hAnsi="Courier New"/>
      </w:rPr>
    </w:lvl>
    <w:lvl w:ilvl="5" w:tplc="29E6D00E">
      <w:start w:val="1"/>
      <w:numFmt w:val="bullet"/>
      <w:lvlText w:val=""/>
      <w:lvlJc w:val="left"/>
      <w:pPr>
        <w:ind w:left="4320" w:hanging="360"/>
      </w:pPr>
      <w:rPr>
        <w:rFonts w:hint="default" w:ascii="Wingdings" w:hAnsi="Wingdings"/>
      </w:rPr>
    </w:lvl>
    <w:lvl w:ilvl="6" w:tplc="4914F48E">
      <w:start w:val="1"/>
      <w:numFmt w:val="bullet"/>
      <w:lvlText w:val=""/>
      <w:lvlJc w:val="left"/>
      <w:pPr>
        <w:ind w:left="5040" w:hanging="360"/>
      </w:pPr>
      <w:rPr>
        <w:rFonts w:hint="default" w:ascii="Symbol" w:hAnsi="Symbol"/>
      </w:rPr>
    </w:lvl>
    <w:lvl w:ilvl="7" w:tplc="8E1C3E62">
      <w:start w:val="1"/>
      <w:numFmt w:val="bullet"/>
      <w:lvlText w:val="o"/>
      <w:lvlJc w:val="left"/>
      <w:pPr>
        <w:ind w:left="5760" w:hanging="360"/>
      </w:pPr>
      <w:rPr>
        <w:rFonts w:hint="default" w:ascii="Courier New" w:hAnsi="Courier New"/>
      </w:rPr>
    </w:lvl>
    <w:lvl w:ilvl="8" w:tplc="A9AE0A74">
      <w:start w:val="1"/>
      <w:numFmt w:val="bullet"/>
      <w:lvlText w:val=""/>
      <w:lvlJc w:val="left"/>
      <w:pPr>
        <w:ind w:left="6480" w:hanging="360"/>
      </w:pPr>
      <w:rPr>
        <w:rFonts w:hint="default" w:ascii="Wingdings" w:hAnsi="Wingdings"/>
      </w:rPr>
    </w:lvl>
  </w:abstractNum>
  <w:abstractNum w:abstractNumId="18" w15:restartNumberingAfterBreak="0">
    <w:nsid w:val="7A27776C"/>
    <w:multiLevelType w:val="hybridMultilevel"/>
    <w:tmpl w:val="A232E9F8"/>
    <w:lvl w:ilvl="0" w:tplc="91002EA6">
      <w:start w:val="1"/>
      <w:numFmt w:val="bullet"/>
      <w:lvlText w:val=""/>
      <w:lvlJc w:val="left"/>
      <w:pPr>
        <w:ind w:left="720" w:hanging="360"/>
      </w:pPr>
      <w:rPr>
        <w:rFonts w:hint="default" w:ascii="Symbol" w:hAnsi="Symbol"/>
      </w:rPr>
    </w:lvl>
    <w:lvl w:ilvl="1" w:tplc="20F6CD3E">
      <w:start w:val="1"/>
      <w:numFmt w:val="bullet"/>
      <w:lvlText w:val="o"/>
      <w:lvlJc w:val="left"/>
      <w:pPr>
        <w:ind w:left="1440" w:hanging="360"/>
      </w:pPr>
      <w:rPr>
        <w:rFonts w:hint="default" w:ascii="Courier New" w:hAnsi="Courier New"/>
      </w:rPr>
    </w:lvl>
    <w:lvl w:ilvl="2" w:tplc="5680FFCE">
      <w:start w:val="1"/>
      <w:numFmt w:val="bullet"/>
      <w:lvlText w:val=""/>
      <w:lvlJc w:val="left"/>
      <w:pPr>
        <w:ind w:left="2160" w:hanging="360"/>
      </w:pPr>
      <w:rPr>
        <w:rFonts w:hint="default" w:ascii="Wingdings" w:hAnsi="Wingdings"/>
      </w:rPr>
    </w:lvl>
    <w:lvl w:ilvl="3" w:tplc="1882A7F2">
      <w:start w:val="1"/>
      <w:numFmt w:val="bullet"/>
      <w:lvlText w:val=""/>
      <w:lvlJc w:val="left"/>
      <w:pPr>
        <w:ind w:left="2880" w:hanging="360"/>
      </w:pPr>
      <w:rPr>
        <w:rFonts w:hint="default" w:ascii="Symbol" w:hAnsi="Symbol"/>
      </w:rPr>
    </w:lvl>
    <w:lvl w:ilvl="4" w:tplc="88DE56E8">
      <w:start w:val="1"/>
      <w:numFmt w:val="bullet"/>
      <w:lvlText w:val="o"/>
      <w:lvlJc w:val="left"/>
      <w:pPr>
        <w:ind w:left="3600" w:hanging="360"/>
      </w:pPr>
      <w:rPr>
        <w:rFonts w:hint="default" w:ascii="Courier New" w:hAnsi="Courier New"/>
      </w:rPr>
    </w:lvl>
    <w:lvl w:ilvl="5" w:tplc="6C72DB62">
      <w:start w:val="1"/>
      <w:numFmt w:val="bullet"/>
      <w:lvlText w:val=""/>
      <w:lvlJc w:val="left"/>
      <w:pPr>
        <w:ind w:left="4320" w:hanging="360"/>
      </w:pPr>
      <w:rPr>
        <w:rFonts w:hint="default" w:ascii="Wingdings" w:hAnsi="Wingdings"/>
      </w:rPr>
    </w:lvl>
    <w:lvl w:ilvl="6" w:tplc="C6A8D446">
      <w:start w:val="1"/>
      <w:numFmt w:val="bullet"/>
      <w:lvlText w:val=""/>
      <w:lvlJc w:val="left"/>
      <w:pPr>
        <w:ind w:left="5040" w:hanging="360"/>
      </w:pPr>
      <w:rPr>
        <w:rFonts w:hint="default" w:ascii="Symbol" w:hAnsi="Symbol"/>
      </w:rPr>
    </w:lvl>
    <w:lvl w:ilvl="7" w:tplc="0BBA210E">
      <w:start w:val="1"/>
      <w:numFmt w:val="bullet"/>
      <w:lvlText w:val="o"/>
      <w:lvlJc w:val="left"/>
      <w:pPr>
        <w:ind w:left="5760" w:hanging="360"/>
      </w:pPr>
      <w:rPr>
        <w:rFonts w:hint="default" w:ascii="Courier New" w:hAnsi="Courier New"/>
      </w:rPr>
    </w:lvl>
    <w:lvl w:ilvl="8" w:tplc="91D2AF4C">
      <w:start w:val="1"/>
      <w:numFmt w:val="bullet"/>
      <w:lvlText w:val=""/>
      <w:lvlJc w:val="left"/>
      <w:pPr>
        <w:ind w:left="6480" w:hanging="360"/>
      </w:pPr>
      <w:rPr>
        <w:rFonts w:hint="default" w:ascii="Wingdings" w:hAnsi="Wingdings"/>
      </w:rPr>
    </w:lvl>
  </w:abstractNum>
  <w:abstractNum w:abstractNumId="19" w15:restartNumberingAfterBreak="0">
    <w:nsid w:val="7F2E5217"/>
    <w:multiLevelType w:val="multilevel"/>
    <w:tmpl w:val="E9A885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82669392">
    <w:abstractNumId w:val="16"/>
  </w:num>
  <w:num w:numId="2" w16cid:durableId="490755388">
    <w:abstractNumId w:val="10"/>
  </w:num>
  <w:num w:numId="3" w16cid:durableId="550314820">
    <w:abstractNumId w:val="2"/>
  </w:num>
  <w:num w:numId="4" w16cid:durableId="877397047">
    <w:abstractNumId w:val="0"/>
  </w:num>
  <w:num w:numId="5" w16cid:durableId="421069826">
    <w:abstractNumId w:val="9"/>
  </w:num>
  <w:num w:numId="6" w16cid:durableId="883250590">
    <w:abstractNumId w:val="7"/>
  </w:num>
  <w:num w:numId="7" w16cid:durableId="383337813">
    <w:abstractNumId w:val="14"/>
  </w:num>
  <w:num w:numId="8" w16cid:durableId="1846018230">
    <w:abstractNumId w:val="3"/>
  </w:num>
  <w:num w:numId="9" w16cid:durableId="176887192">
    <w:abstractNumId w:val="18"/>
  </w:num>
  <w:num w:numId="10" w16cid:durableId="1812752603">
    <w:abstractNumId w:val="8"/>
  </w:num>
  <w:num w:numId="11" w16cid:durableId="279650157">
    <w:abstractNumId w:val="17"/>
  </w:num>
  <w:num w:numId="12" w16cid:durableId="334578307">
    <w:abstractNumId w:val="5"/>
  </w:num>
  <w:num w:numId="13" w16cid:durableId="1638955606">
    <w:abstractNumId w:val="11"/>
  </w:num>
  <w:num w:numId="14" w16cid:durableId="1973243488">
    <w:abstractNumId w:val="6"/>
  </w:num>
  <w:num w:numId="15" w16cid:durableId="1865630173">
    <w:abstractNumId w:val="13"/>
  </w:num>
  <w:num w:numId="16" w16cid:durableId="1991207470">
    <w:abstractNumId w:val="12"/>
  </w:num>
  <w:num w:numId="17" w16cid:durableId="1922105482">
    <w:abstractNumId w:val="15"/>
  </w:num>
  <w:num w:numId="18" w16cid:durableId="1886217928">
    <w:abstractNumId w:val="1"/>
  </w:num>
  <w:num w:numId="19" w16cid:durableId="1936011884">
    <w:abstractNumId w:val="19"/>
  </w:num>
  <w:num w:numId="20" w16cid:durableId="1101006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BF681B"/>
    <w:rsid w:val="000041D1"/>
    <w:rsid w:val="00006EAD"/>
    <w:rsid w:val="00006EAF"/>
    <w:rsid w:val="00006F12"/>
    <w:rsid w:val="00010A8F"/>
    <w:rsid w:val="00011662"/>
    <w:rsid w:val="000130C6"/>
    <w:rsid w:val="000136C1"/>
    <w:rsid w:val="00015596"/>
    <w:rsid w:val="0002107B"/>
    <w:rsid w:val="00022856"/>
    <w:rsid w:val="000233C5"/>
    <w:rsid w:val="00023FAB"/>
    <w:rsid w:val="000321FB"/>
    <w:rsid w:val="000345C4"/>
    <w:rsid w:val="00034E93"/>
    <w:rsid w:val="000365B7"/>
    <w:rsid w:val="000378D0"/>
    <w:rsid w:val="00037AD8"/>
    <w:rsid w:val="0003DF8C"/>
    <w:rsid w:val="00040A8C"/>
    <w:rsid w:val="00041C43"/>
    <w:rsid w:val="00041D3E"/>
    <w:rsid w:val="00044538"/>
    <w:rsid w:val="00044688"/>
    <w:rsid w:val="00045379"/>
    <w:rsid w:val="000532A1"/>
    <w:rsid w:val="00053717"/>
    <w:rsid w:val="000550AB"/>
    <w:rsid w:val="000578DE"/>
    <w:rsid w:val="000619B8"/>
    <w:rsid w:val="00062F7A"/>
    <w:rsid w:val="00066B83"/>
    <w:rsid w:val="000707E1"/>
    <w:rsid w:val="00073447"/>
    <w:rsid w:val="00073D20"/>
    <w:rsid w:val="00075B85"/>
    <w:rsid w:val="00075E46"/>
    <w:rsid w:val="00076B23"/>
    <w:rsid w:val="00076DEB"/>
    <w:rsid w:val="000810B4"/>
    <w:rsid w:val="0008405A"/>
    <w:rsid w:val="0008628E"/>
    <w:rsid w:val="00086806"/>
    <w:rsid w:val="00087F95"/>
    <w:rsid w:val="000917D6"/>
    <w:rsid w:val="000917E3"/>
    <w:rsid w:val="00092713"/>
    <w:rsid w:val="00092B85"/>
    <w:rsid w:val="00093172"/>
    <w:rsid w:val="00093CD8"/>
    <w:rsid w:val="00095030"/>
    <w:rsid w:val="00095CC7"/>
    <w:rsid w:val="00097464"/>
    <w:rsid w:val="00097852"/>
    <w:rsid w:val="000A3546"/>
    <w:rsid w:val="000A6B84"/>
    <w:rsid w:val="000B0FCE"/>
    <w:rsid w:val="000B40D2"/>
    <w:rsid w:val="000B57A8"/>
    <w:rsid w:val="000B5D02"/>
    <w:rsid w:val="000B5DF1"/>
    <w:rsid w:val="000B7355"/>
    <w:rsid w:val="000C0216"/>
    <w:rsid w:val="000C4069"/>
    <w:rsid w:val="000C6725"/>
    <w:rsid w:val="000C6EF3"/>
    <w:rsid w:val="000D3B2C"/>
    <w:rsid w:val="000D4EF5"/>
    <w:rsid w:val="000D5C36"/>
    <w:rsid w:val="000D66A4"/>
    <w:rsid w:val="000D6755"/>
    <w:rsid w:val="000E3ABF"/>
    <w:rsid w:val="000E59E4"/>
    <w:rsid w:val="000E604D"/>
    <w:rsid w:val="000E6832"/>
    <w:rsid w:val="000E72AB"/>
    <w:rsid w:val="000F1385"/>
    <w:rsid w:val="000F1813"/>
    <w:rsid w:val="000F1A45"/>
    <w:rsid w:val="000F1AF2"/>
    <w:rsid w:val="000F4354"/>
    <w:rsid w:val="000F79A0"/>
    <w:rsid w:val="001021EE"/>
    <w:rsid w:val="00105FE9"/>
    <w:rsid w:val="00106DCE"/>
    <w:rsid w:val="0010728C"/>
    <w:rsid w:val="0011250F"/>
    <w:rsid w:val="0011713C"/>
    <w:rsid w:val="00117F0D"/>
    <w:rsid w:val="00122E93"/>
    <w:rsid w:val="00125578"/>
    <w:rsid w:val="00125C92"/>
    <w:rsid w:val="001322A4"/>
    <w:rsid w:val="0013467F"/>
    <w:rsid w:val="00137B46"/>
    <w:rsid w:val="00142B47"/>
    <w:rsid w:val="001448D9"/>
    <w:rsid w:val="001456DE"/>
    <w:rsid w:val="00150A2E"/>
    <w:rsid w:val="00150C80"/>
    <w:rsid w:val="00155EB1"/>
    <w:rsid w:val="001609ED"/>
    <w:rsid w:val="00170EF6"/>
    <w:rsid w:val="00171D09"/>
    <w:rsid w:val="00172224"/>
    <w:rsid w:val="001727D3"/>
    <w:rsid w:val="00181670"/>
    <w:rsid w:val="001817CF"/>
    <w:rsid w:val="00187A02"/>
    <w:rsid w:val="001940BB"/>
    <w:rsid w:val="0019682A"/>
    <w:rsid w:val="001A135F"/>
    <w:rsid w:val="001A545C"/>
    <w:rsid w:val="001B05BB"/>
    <w:rsid w:val="001B125F"/>
    <w:rsid w:val="001B16F2"/>
    <w:rsid w:val="001C0785"/>
    <w:rsid w:val="001C25F8"/>
    <w:rsid w:val="001C618B"/>
    <w:rsid w:val="001C70A1"/>
    <w:rsid w:val="001C7335"/>
    <w:rsid w:val="001C7717"/>
    <w:rsid w:val="001D025E"/>
    <w:rsid w:val="001D3DA4"/>
    <w:rsid w:val="001D7C9B"/>
    <w:rsid w:val="001E0175"/>
    <w:rsid w:val="001E39C5"/>
    <w:rsid w:val="001F0908"/>
    <w:rsid w:val="001F3870"/>
    <w:rsid w:val="001F3948"/>
    <w:rsid w:val="001F5832"/>
    <w:rsid w:val="0020015E"/>
    <w:rsid w:val="00200690"/>
    <w:rsid w:val="0020212D"/>
    <w:rsid w:val="00203F93"/>
    <w:rsid w:val="002066B4"/>
    <w:rsid w:val="002119A8"/>
    <w:rsid w:val="002154A1"/>
    <w:rsid w:val="00222213"/>
    <w:rsid w:val="002261A9"/>
    <w:rsid w:val="002308BD"/>
    <w:rsid w:val="0023173D"/>
    <w:rsid w:val="00237AF8"/>
    <w:rsid w:val="00240708"/>
    <w:rsid w:val="002425AE"/>
    <w:rsid w:val="00244478"/>
    <w:rsid w:val="00244DB0"/>
    <w:rsid w:val="002469F4"/>
    <w:rsid w:val="00251887"/>
    <w:rsid w:val="002522CB"/>
    <w:rsid w:val="002561AF"/>
    <w:rsid w:val="00270384"/>
    <w:rsid w:val="00270780"/>
    <w:rsid w:val="002715CC"/>
    <w:rsid w:val="00271B69"/>
    <w:rsid w:val="00271F02"/>
    <w:rsid w:val="0027381D"/>
    <w:rsid w:val="002769CF"/>
    <w:rsid w:val="0027777E"/>
    <w:rsid w:val="002809BE"/>
    <w:rsid w:val="002840F3"/>
    <w:rsid w:val="00287239"/>
    <w:rsid w:val="00287F69"/>
    <w:rsid w:val="0029110C"/>
    <w:rsid w:val="00291C8F"/>
    <w:rsid w:val="002A2FE5"/>
    <w:rsid w:val="002A37E8"/>
    <w:rsid w:val="002A3EE7"/>
    <w:rsid w:val="002B4028"/>
    <w:rsid w:val="002B701E"/>
    <w:rsid w:val="002B7106"/>
    <w:rsid w:val="002C0668"/>
    <w:rsid w:val="002C424F"/>
    <w:rsid w:val="002C7722"/>
    <w:rsid w:val="002C787D"/>
    <w:rsid w:val="002D0DD1"/>
    <w:rsid w:val="002D12BE"/>
    <w:rsid w:val="002D15A7"/>
    <w:rsid w:val="002D1686"/>
    <w:rsid w:val="002D2E0C"/>
    <w:rsid w:val="002D4422"/>
    <w:rsid w:val="002D48CE"/>
    <w:rsid w:val="002D497B"/>
    <w:rsid w:val="002D50B2"/>
    <w:rsid w:val="002D569A"/>
    <w:rsid w:val="002D5AEB"/>
    <w:rsid w:val="002E03CC"/>
    <w:rsid w:val="002E2738"/>
    <w:rsid w:val="002E28F5"/>
    <w:rsid w:val="002F45B7"/>
    <w:rsid w:val="002F569C"/>
    <w:rsid w:val="002F6932"/>
    <w:rsid w:val="00300DA2"/>
    <w:rsid w:val="00301FC7"/>
    <w:rsid w:val="00304764"/>
    <w:rsid w:val="00307245"/>
    <w:rsid w:val="003076C0"/>
    <w:rsid w:val="00307988"/>
    <w:rsid w:val="00311A43"/>
    <w:rsid w:val="00313B85"/>
    <w:rsid w:val="00317200"/>
    <w:rsid w:val="00323C0C"/>
    <w:rsid w:val="0032755C"/>
    <w:rsid w:val="00327FD9"/>
    <w:rsid w:val="00331163"/>
    <w:rsid w:val="00333EA6"/>
    <w:rsid w:val="003348C7"/>
    <w:rsid w:val="0033689D"/>
    <w:rsid w:val="00337581"/>
    <w:rsid w:val="00340EF1"/>
    <w:rsid w:val="00341D1A"/>
    <w:rsid w:val="00343071"/>
    <w:rsid w:val="00347910"/>
    <w:rsid w:val="00351204"/>
    <w:rsid w:val="00351C1F"/>
    <w:rsid w:val="0035286B"/>
    <w:rsid w:val="0035370C"/>
    <w:rsid w:val="0035393A"/>
    <w:rsid w:val="00353A6D"/>
    <w:rsid w:val="00353DB5"/>
    <w:rsid w:val="00355E03"/>
    <w:rsid w:val="0036124D"/>
    <w:rsid w:val="003612E6"/>
    <w:rsid w:val="00361A8C"/>
    <w:rsid w:val="00362EE2"/>
    <w:rsid w:val="003631C7"/>
    <w:rsid w:val="00363B8C"/>
    <w:rsid w:val="00365025"/>
    <w:rsid w:val="0036661C"/>
    <w:rsid w:val="0036697A"/>
    <w:rsid w:val="003679FE"/>
    <w:rsid w:val="003840B6"/>
    <w:rsid w:val="003878C3"/>
    <w:rsid w:val="0039099E"/>
    <w:rsid w:val="00397BEE"/>
    <w:rsid w:val="003A044D"/>
    <w:rsid w:val="003A1443"/>
    <w:rsid w:val="003A1491"/>
    <w:rsid w:val="003A23D5"/>
    <w:rsid w:val="003B15AE"/>
    <w:rsid w:val="003B291C"/>
    <w:rsid w:val="003B4C49"/>
    <w:rsid w:val="003B6681"/>
    <w:rsid w:val="003C2F1F"/>
    <w:rsid w:val="003D0D72"/>
    <w:rsid w:val="003D2D12"/>
    <w:rsid w:val="003D36BA"/>
    <w:rsid w:val="003D5805"/>
    <w:rsid w:val="003D6596"/>
    <w:rsid w:val="003E1E58"/>
    <w:rsid w:val="003E218F"/>
    <w:rsid w:val="003E2637"/>
    <w:rsid w:val="003F015D"/>
    <w:rsid w:val="003F148F"/>
    <w:rsid w:val="003F71F7"/>
    <w:rsid w:val="00400F6E"/>
    <w:rsid w:val="004032A7"/>
    <w:rsid w:val="00405494"/>
    <w:rsid w:val="00405B07"/>
    <w:rsid w:val="004070C5"/>
    <w:rsid w:val="0041082F"/>
    <w:rsid w:val="00412739"/>
    <w:rsid w:val="004139F7"/>
    <w:rsid w:val="00415D02"/>
    <w:rsid w:val="00416C5D"/>
    <w:rsid w:val="00417F60"/>
    <w:rsid w:val="004202D4"/>
    <w:rsid w:val="004237E3"/>
    <w:rsid w:val="00425CB4"/>
    <w:rsid w:val="00426B25"/>
    <w:rsid w:val="00426F02"/>
    <w:rsid w:val="00433F2D"/>
    <w:rsid w:val="00435827"/>
    <w:rsid w:val="00437A8A"/>
    <w:rsid w:val="00444C44"/>
    <w:rsid w:val="00451AF3"/>
    <w:rsid w:val="00452219"/>
    <w:rsid w:val="004532D0"/>
    <w:rsid w:val="0045359F"/>
    <w:rsid w:val="0046054B"/>
    <w:rsid w:val="004662C3"/>
    <w:rsid w:val="00470BA0"/>
    <w:rsid w:val="00471341"/>
    <w:rsid w:val="00475B30"/>
    <w:rsid w:val="00475B96"/>
    <w:rsid w:val="004760E2"/>
    <w:rsid w:val="00477286"/>
    <w:rsid w:val="004828DF"/>
    <w:rsid w:val="00483CD0"/>
    <w:rsid w:val="00485750"/>
    <w:rsid w:val="00486D26"/>
    <w:rsid w:val="00492557"/>
    <w:rsid w:val="00493452"/>
    <w:rsid w:val="004A09B2"/>
    <w:rsid w:val="004B0732"/>
    <w:rsid w:val="004B1199"/>
    <w:rsid w:val="004B19EE"/>
    <w:rsid w:val="004B2D5B"/>
    <w:rsid w:val="004B4F9A"/>
    <w:rsid w:val="004B642B"/>
    <w:rsid w:val="004C05FB"/>
    <w:rsid w:val="004C207A"/>
    <w:rsid w:val="004C3401"/>
    <w:rsid w:val="004C35EA"/>
    <w:rsid w:val="004C3F12"/>
    <w:rsid w:val="004C582C"/>
    <w:rsid w:val="004C590A"/>
    <w:rsid w:val="004D6A28"/>
    <w:rsid w:val="004D6F9F"/>
    <w:rsid w:val="004E5792"/>
    <w:rsid w:val="004F05A7"/>
    <w:rsid w:val="004F0DA5"/>
    <w:rsid w:val="004F1284"/>
    <w:rsid w:val="005013B9"/>
    <w:rsid w:val="00501E15"/>
    <w:rsid w:val="00503E63"/>
    <w:rsid w:val="00533385"/>
    <w:rsid w:val="00537128"/>
    <w:rsid w:val="00537164"/>
    <w:rsid w:val="00537E07"/>
    <w:rsid w:val="00540044"/>
    <w:rsid w:val="00541EC3"/>
    <w:rsid w:val="005463DF"/>
    <w:rsid w:val="00547957"/>
    <w:rsid w:val="00554628"/>
    <w:rsid w:val="00561660"/>
    <w:rsid w:val="00562621"/>
    <w:rsid w:val="005630BD"/>
    <w:rsid w:val="00565706"/>
    <w:rsid w:val="00566A5F"/>
    <w:rsid w:val="00572A58"/>
    <w:rsid w:val="00576C0B"/>
    <w:rsid w:val="005776D8"/>
    <w:rsid w:val="00583587"/>
    <w:rsid w:val="005854CE"/>
    <w:rsid w:val="00585ED6"/>
    <w:rsid w:val="005869A9"/>
    <w:rsid w:val="00593B54"/>
    <w:rsid w:val="00595165"/>
    <w:rsid w:val="005963EF"/>
    <w:rsid w:val="005A2C07"/>
    <w:rsid w:val="005A33E1"/>
    <w:rsid w:val="005A6170"/>
    <w:rsid w:val="005A87AB"/>
    <w:rsid w:val="005B0438"/>
    <w:rsid w:val="005B3457"/>
    <w:rsid w:val="005C081A"/>
    <w:rsid w:val="005C4463"/>
    <w:rsid w:val="005D03DC"/>
    <w:rsid w:val="005D65BB"/>
    <w:rsid w:val="005E2501"/>
    <w:rsid w:val="005F35CA"/>
    <w:rsid w:val="005F46CF"/>
    <w:rsid w:val="005F6262"/>
    <w:rsid w:val="00600D51"/>
    <w:rsid w:val="00601321"/>
    <w:rsid w:val="00604A32"/>
    <w:rsid w:val="00607019"/>
    <w:rsid w:val="00611B0C"/>
    <w:rsid w:val="00615170"/>
    <w:rsid w:val="006265C2"/>
    <w:rsid w:val="00626A59"/>
    <w:rsid w:val="006303D6"/>
    <w:rsid w:val="00631B65"/>
    <w:rsid w:val="00633D55"/>
    <w:rsid w:val="006349D4"/>
    <w:rsid w:val="006369AC"/>
    <w:rsid w:val="00642E2B"/>
    <w:rsid w:val="0064517F"/>
    <w:rsid w:val="00645BC1"/>
    <w:rsid w:val="00645F03"/>
    <w:rsid w:val="0065215E"/>
    <w:rsid w:val="00654A52"/>
    <w:rsid w:val="006550A6"/>
    <w:rsid w:val="0065713C"/>
    <w:rsid w:val="0066232B"/>
    <w:rsid w:val="006701D3"/>
    <w:rsid w:val="00671249"/>
    <w:rsid w:val="0067293A"/>
    <w:rsid w:val="00672BDE"/>
    <w:rsid w:val="00672ED9"/>
    <w:rsid w:val="006763AF"/>
    <w:rsid w:val="006829A4"/>
    <w:rsid w:val="006831A1"/>
    <w:rsid w:val="00683D8C"/>
    <w:rsid w:val="00684721"/>
    <w:rsid w:val="006872AD"/>
    <w:rsid w:val="00694B15"/>
    <w:rsid w:val="00695D04"/>
    <w:rsid w:val="006A0744"/>
    <w:rsid w:val="006A16BF"/>
    <w:rsid w:val="006A429F"/>
    <w:rsid w:val="006A46D4"/>
    <w:rsid w:val="006B0584"/>
    <w:rsid w:val="006B163B"/>
    <w:rsid w:val="006B2B82"/>
    <w:rsid w:val="006B464C"/>
    <w:rsid w:val="006B582C"/>
    <w:rsid w:val="006C1875"/>
    <w:rsid w:val="006C3E6D"/>
    <w:rsid w:val="006C700D"/>
    <w:rsid w:val="006C79D0"/>
    <w:rsid w:val="006D04C8"/>
    <w:rsid w:val="006D0AC8"/>
    <w:rsid w:val="006D27E4"/>
    <w:rsid w:val="006D33EF"/>
    <w:rsid w:val="006D3E83"/>
    <w:rsid w:val="006D6BB6"/>
    <w:rsid w:val="006D7B8F"/>
    <w:rsid w:val="006E0F27"/>
    <w:rsid w:val="006E2EDB"/>
    <w:rsid w:val="006E5E6D"/>
    <w:rsid w:val="006F368E"/>
    <w:rsid w:val="006F4269"/>
    <w:rsid w:val="006F4A95"/>
    <w:rsid w:val="00702932"/>
    <w:rsid w:val="0070432F"/>
    <w:rsid w:val="00705C86"/>
    <w:rsid w:val="0071076F"/>
    <w:rsid w:val="007138CD"/>
    <w:rsid w:val="007141D4"/>
    <w:rsid w:val="00716DE1"/>
    <w:rsid w:val="00717563"/>
    <w:rsid w:val="00722B77"/>
    <w:rsid w:val="00734654"/>
    <w:rsid w:val="007357A6"/>
    <w:rsid w:val="00736DBA"/>
    <w:rsid w:val="0073731B"/>
    <w:rsid w:val="00742810"/>
    <w:rsid w:val="00743AF7"/>
    <w:rsid w:val="00743BE9"/>
    <w:rsid w:val="007529F3"/>
    <w:rsid w:val="00754B81"/>
    <w:rsid w:val="00756034"/>
    <w:rsid w:val="00756D58"/>
    <w:rsid w:val="007602A7"/>
    <w:rsid w:val="00764E9A"/>
    <w:rsid w:val="00765AE4"/>
    <w:rsid w:val="00770F67"/>
    <w:rsid w:val="007717CF"/>
    <w:rsid w:val="00771871"/>
    <w:rsid w:val="00774B80"/>
    <w:rsid w:val="00774E16"/>
    <w:rsid w:val="00776E68"/>
    <w:rsid w:val="0078128F"/>
    <w:rsid w:val="00781510"/>
    <w:rsid w:val="00783CA9"/>
    <w:rsid w:val="00784D55"/>
    <w:rsid w:val="007858C5"/>
    <w:rsid w:val="00787D61"/>
    <w:rsid w:val="007926AB"/>
    <w:rsid w:val="00796F7C"/>
    <w:rsid w:val="00797C15"/>
    <w:rsid w:val="007A019A"/>
    <w:rsid w:val="007A3090"/>
    <w:rsid w:val="007B29B4"/>
    <w:rsid w:val="007B338C"/>
    <w:rsid w:val="007B5115"/>
    <w:rsid w:val="007B6C0E"/>
    <w:rsid w:val="007B708C"/>
    <w:rsid w:val="007B718C"/>
    <w:rsid w:val="007C4398"/>
    <w:rsid w:val="007D6028"/>
    <w:rsid w:val="007D6E6E"/>
    <w:rsid w:val="007DB6DF"/>
    <w:rsid w:val="007E435F"/>
    <w:rsid w:val="007E4691"/>
    <w:rsid w:val="007E56A1"/>
    <w:rsid w:val="007F00A2"/>
    <w:rsid w:val="007F0200"/>
    <w:rsid w:val="007F4511"/>
    <w:rsid w:val="007F7F7D"/>
    <w:rsid w:val="00800900"/>
    <w:rsid w:val="00800E1F"/>
    <w:rsid w:val="0080169B"/>
    <w:rsid w:val="00802774"/>
    <w:rsid w:val="00803284"/>
    <w:rsid w:val="0080356F"/>
    <w:rsid w:val="008044D3"/>
    <w:rsid w:val="00823439"/>
    <w:rsid w:val="008271C5"/>
    <w:rsid w:val="0082736D"/>
    <w:rsid w:val="0083244B"/>
    <w:rsid w:val="008419D7"/>
    <w:rsid w:val="00842BE7"/>
    <w:rsid w:val="0084442B"/>
    <w:rsid w:val="008463DB"/>
    <w:rsid w:val="0084791C"/>
    <w:rsid w:val="008505EE"/>
    <w:rsid w:val="008524F6"/>
    <w:rsid w:val="00853D7F"/>
    <w:rsid w:val="00854B8C"/>
    <w:rsid w:val="00857BC7"/>
    <w:rsid w:val="0086017E"/>
    <w:rsid w:val="00861E57"/>
    <w:rsid w:val="00864819"/>
    <w:rsid w:val="008707B9"/>
    <w:rsid w:val="00870FC0"/>
    <w:rsid w:val="00873158"/>
    <w:rsid w:val="0087502F"/>
    <w:rsid w:val="00876ADC"/>
    <w:rsid w:val="00886BCD"/>
    <w:rsid w:val="0088794F"/>
    <w:rsid w:val="00892188"/>
    <w:rsid w:val="008940B3"/>
    <w:rsid w:val="008A0722"/>
    <w:rsid w:val="008A4FF9"/>
    <w:rsid w:val="008A764B"/>
    <w:rsid w:val="008B282C"/>
    <w:rsid w:val="008B4AB5"/>
    <w:rsid w:val="008B4C69"/>
    <w:rsid w:val="008B6BC4"/>
    <w:rsid w:val="008C0DF3"/>
    <w:rsid w:val="008C5F4A"/>
    <w:rsid w:val="008C6752"/>
    <w:rsid w:val="008D168B"/>
    <w:rsid w:val="008D21CE"/>
    <w:rsid w:val="008D4C18"/>
    <w:rsid w:val="008D4E7E"/>
    <w:rsid w:val="008D5A93"/>
    <w:rsid w:val="008D68DD"/>
    <w:rsid w:val="008D77CA"/>
    <w:rsid w:val="008E0188"/>
    <w:rsid w:val="008E3EBC"/>
    <w:rsid w:val="008E42A2"/>
    <w:rsid w:val="008E4E4F"/>
    <w:rsid w:val="008E4F12"/>
    <w:rsid w:val="008F0300"/>
    <w:rsid w:val="008F06B1"/>
    <w:rsid w:val="008F2624"/>
    <w:rsid w:val="008F54AF"/>
    <w:rsid w:val="008F59C6"/>
    <w:rsid w:val="008F6A71"/>
    <w:rsid w:val="00912947"/>
    <w:rsid w:val="00915EFD"/>
    <w:rsid w:val="009223EE"/>
    <w:rsid w:val="00926987"/>
    <w:rsid w:val="009273CC"/>
    <w:rsid w:val="009305D2"/>
    <w:rsid w:val="0093327E"/>
    <w:rsid w:val="009340A7"/>
    <w:rsid w:val="009349D7"/>
    <w:rsid w:val="00937D9D"/>
    <w:rsid w:val="00943C5B"/>
    <w:rsid w:val="00945F13"/>
    <w:rsid w:val="0095609C"/>
    <w:rsid w:val="009576E7"/>
    <w:rsid w:val="00961D1C"/>
    <w:rsid w:val="00963FC4"/>
    <w:rsid w:val="00967C3B"/>
    <w:rsid w:val="00973542"/>
    <w:rsid w:val="00973A8C"/>
    <w:rsid w:val="00980B49"/>
    <w:rsid w:val="009900B5"/>
    <w:rsid w:val="0099091E"/>
    <w:rsid w:val="00991036"/>
    <w:rsid w:val="00992BB9"/>
    <w:rsid w:val="0099334B"/>
    <w:rsid w:val="0099407F"/>
    <w:rsid w:val="0099508D"/>
    <w:rsid w:val="009960C4"/>
    <w:rsid w:val="009A0A7F"/>
    <w:rsid w:val="009A1DF7"/>
    <w:rsid w:val="009A1F9A"/>
    <w:rsid w:val="009A4275"/>
    <w:rsid w:val="009A7D36"/>
    <w:rsid w:val="009B0222"/>
    <w:rsid w:val="009B3096"/>
    <w:rsid w:val="009B70F7"/>
    <w:rsid w:val="009C0CBD"/>
    <w:rsid w:val="009C2137"/>
    <w:rsid w:val="009C4966"/>
    <w:rsid w:val="009C4C07"/>
    <w:rsid w:val="009D120C"/>
    <w:rsid w:val="009D3A05"/>
    <w:rsid w:val="009D6B87"/>
    <w:rsid w:val="009D77BB"/>
    <w:rsid w:val="009E1745"/>
    <w:rsid w:val="009E2D6E"/>
    <w:rsid w:val="009E3503"/>
    <w:rsid w:val="009E41BA"/>
    <w:rsid w:val="009F24B9"/>
    <w:rsid w:val="009F3360"/>
    <w:rsid w:val="00A03C76"/>
    <w:rsid w:val="00A06D57"/>
    <w:rsid w:val="00A10DBF"/>
    <w:rsid w:val="00A1108E"/>
    <w:rsid w:val="00A11FC7"/>
    <w:rsid w:val="00A139E7"/>
    <w:rsid w:val="00A21D8F"/>
    <w:rsid w:val="00A25866"/>
    <w:rsid w:val="00A2617E"/>
    <w:rsid w:val="00A26371"/>
    <w:rsid w:val="00A2647C"/>
    <w:rsid w:val="00A3064A"/>
    <w:rsid w:val="00A30EE3"/>
    <w:rsid w:val="00A34542"/>
    <w:rsid w:val="00A37FE0"/>
    <w:rsid w:val="00A43164"/>
    <w:rsid w:val="00A44464"/>
    <w:rsid w:val="00A46193"/>
    <w:rsid w:val="00A47C5E"/>
    <w:rsid w:val="00A54A18"/>
    <w:rsid w:val="00A54EBC"/>
    <w:rsid w:val="00A55534"/>
    <w:rsid w:val="00A664AD"/>
    <w:rsid w:val="00A73CB2"/>
    <w:rsid w:val="00A80E19"/>
    <w:rsid w:val="00A8235B"/>
    <w:rsid w:val="00A83785"/>
    <w:rsid w:val="00A920FD"/>
    <w:rsid w:val="00A92332"/>
    <w:rsid w:val="00A938A4"/>
    <w:rsid w:val="00A953E3"/>
    <w:rsid w:val="00A961A2"/>
    <w:rsid w:val="00A97681"/>
    <w:rsid w:val="00AA35BB"/>
    <w:rsid w:val="00AA36C4"/>
    <w:rsid w:val="00AA46DE"/>
    <w:rsid w:val="00AB5CBF"/>
    <w:rsid w:val="00AC3EC4"/>
    <w:rsid w:val="00AD337D"/>
    <w:rsid w:val="00AD4531"/>
    <w:rsid w:val="00AE0551"/>
    <w:rsid w:val="00AE1438"/>
    <w:rsid w:val="00AE3B3D"/>
    <w:rsid w:val="00AF302C"/>
    <w:rsid w:val="00AF3555"/>
    <w:rsid w:val="00AF6327"/>
    <w:rsid w:val="00AF6D65"/>
    <w:rsid w:val="00B008C4"/>
    <w:rsid w:val="00B01ECD"/>
    <w:rsid w:val="00B02276"/>
    <w:rsid w:val="00B068A0"/>
    <w:rsid w:val="00B144B3"/>
    <w:rsid w:val="00B1500D"/>
    <w:rsid w:val="00B17C41"/>
    <w:rsid w:val="00B20033"/>
    <w:rsid w:val="00B20B23"/>
    <w:rsid w:val="00B21D73"/>
    <w:rsid w:val="00B24991"/>
    <w:rsid w:val="00B24FB4"/>
    <w:rsid w:val="00B25176"/>
    <w:rsid w:val="00B26166"/>
    <w:rsid w:val="00B2656F"/>
    <w:rsid w:val="00B26FC4"/>
    <w:rsid w:val="00B3483B"/>
    <w:rsid w:val="00B36065"/>
    <w:rsid w:val="00B37D20"/>
    <w:rsid w:val="00B37E21"/>
    <w:rsid w:val="00B44590"/>
    <w:rsid w:val="00B50FFC"/>
    <w:rsid w:val="00B520FA"/>
    <w:rsid w:val="00B53395"/>
    <w:rsid w:val="00B53812"/>
    <w:rsid w:val="00B53C28"/>
    <w:rsid w:val="00B604F6"/>
    <w:rsid w:val="00B62707"/>
    <w:rsid w:val="00B6310C"/>
    <w:rsid w:val="00B64EE9"/>
    <w:rsid w:val="00B724B7"/>
    <w:rsid w:val="00B74566"/>
    <w:rsid w:val="00B8006A"/>
    <w:rsid w:val="00B827BD"/>
    <w:rsid w:val="00B84F93"/>
    <w:rsid w:val="00B8682D"/>
    <w:rsid w:val="00B874B2"/>
    <w:rsid w:val="00B90837"/>
    <w:rsid w:val="00B912EC"/>
    <w:rsid w:val="00B956A1"/>
    <w:rsid w:val="00B963DA"/>
    <w:rsid w:val="00BA4E88"/>
    <w:rsid w:val="00BB132A"/>
    <w:rsid w:val="00BC0556"/>
    <w:rsid w:val="00BC2B42"/>
    <w:rsid w:val="00BC3BA9"/>
    <w:rsid w:val="00BC4AB9"/>
    <w:rsid w:val="00BC52D2"/>
    <w:rsid w:val="00BC533C"/>
    <w:rsid w:val="00BC7E3B"/>
    <w:rsid w:val="00BD164E"/>
    <w:rsid w:val="00BD1F1B"/>
    <w:rsid w:val="00BD5CAB"/>
    <w:rsid w:val="00BD6AE2"/>
    <w:rsid w:val="00BE0450"/>
    <w:rsid w:val="00BE2030"/>
    <w:rsid w:val="00BE2257"/>
    <w:rsid w:val="00BE6297"/>
    <w:rsid w:val="00BE6A32"/>
    <w:rsid w:val="00BF1256"/>
    <w:rsid w:val="00BF1C88"/>
    <w:rsid w:val="00BF2325"/>
    <w:rsid w:val="00BF2FFE"/>
    <w:rsid w:val="00C0327E"/>
    <w:rsid w:val="00C11E81"/>
    <w:rsid w:val="00C1371A"/>
    <w:rsid w:val="00C14CC8"/>
    <w:rsid w:val="00C22B8D"/>
    <w:rsid w:val="00C32100"/>
    <w:rsid w:val="00C326BD"/>
    <w:rsid w:val="00C34CE0"/>
    <w:rsid w:val="00C34DD6"/>
    <w:rsid w:val="00C36FE6"/>
    <w:rsid w:val="00C44915"/>
    <w:rsid w:val="00C45937"/>
    <w:rsid w:val="00C46BED"/>
    <w:rsid w:val="00C5033C"/>
    <w:rsid w:val="00C516DA"/>
    <w:rsid w:val="00C51B61"/>
    <w:rsid w:val="00C52AC1"/>
    <w:rsid w:val="00C61752"/>
    <w:rsid w:val="00C666F9"/>
    <w:rsid w:val="00C66C89"/>
    <w:rsid w:val="00C67BBA"/>
    <w:rsid w:val="00C70199"/>
    <w:rsid w:val="00C75320"/>
    <w:rsid w:val="00C75B58"/>
    <w:rsid w:val="00C75C52"/>
    <w:rsid w:val="00C7762E"/>
    <w:rsid w:val="00C77ED4"/>
    <w:rsid w:val="00C823A8"/>
    <w:rsid w:val="00C8242C"/>
    <w:rsid w:val="00C84741"/>
    <w:rsid w:val="00C8556C"/>
    <w:rsid w:val="00C954BE"/>
    <w:rsid w:val="00C96647"/>
    <w:rsid w:val="00C96F24"/>
    <w:rsid w:val="00C9787F"/>
    <w:rsid w:val="00CA6C94"/>
    <w:rsid w:val="00CB4B8E"/>
    <w:rsid w:val="00CB567B"/>
    <w:rsid w:val="00CB6D1D"/>
    <w:rsid w:val="00CC040B"/>
    <w:rsid w:val="00CC227C"/>
    <w:rsid w:val="00CC5550"/>
    <w:rsid w:val="00CD0CBE"/>
    <w:rsid w:val="00CD19C6"/>
    <w:rsid w:val="00CD44AA"/>
    <w:rsid w:val="00CD4CAD"/>
    <w:rsid w:val="00CD53AC"/>
    <w:rsid w:val="00CD6323"/>
    <w:rsid w:val="00CE00D7"/>
    <w:rsid w:val="00CE0B0C"/>
    <w:rsid w:val="00CE20B8"/>
    <w:rsid w:val="00CE441D"/>
    <w:rsid w:val="00CF210C"/>
    <w:rsid w:val="00CF23A9"/>
    <w:rsid w:val="00CF3812"/>
    <w:rsid w:val="00CF5EFB"/>
    <w:rsid w:val="00D00EB7"/>
    <w:rsid w:val="00D01A1F"/>
    <w:rsid w:val="00D028E2"/>
    <w:rsid w:val="00D02E17"/>
    <w:rsid w:val="00D04E37"/>
    <w:rsid w:val="00D07ECF"/>
    <w:rsid w:val="00D133F8"/>
    <w:rsid w:val="00D1369A"/>
    <w:rsid w:val="00D14104"/>
    <w:rsid w:val="00D14403"/>
    <w:rsid w:val="00D16E2E"/>
    <w:rsid w:val="00D22187"/>
    <w:rsid w:val="00D22A65"/>
    <w:rsid w:val="00D26A3D"/>
    <w:rsid w:val="00D313B2"/>
    <w:rsid w:val="00D327CC"/>
    <w:rsid w:val="00D37DCD"/>
    <w:rsid w:val="00D400A5"/>
    <w:rsid w:val="00D419B5"/>
    <w:rsid w:val="00D44C1E"/>
    <w:rsid w:val="00D519DA"/>
    <w:rsid w:val="00D52634"/>
    <w:rsid w:val="00D52F7C"/>
    <w:rsid w:val="00D630C4"/>
    <w:rsid w:val="00D707F2"/>
    <w:rsid w:val="00D70836"/>
    <w:rsid w:val="00D70F52"/>
    <w:rsid w:val="00D84DE2"/>
    <w:rsid w:val="00D86375"/>
    <w:rsid w:val="00D86B43"/>
    <w:rsid w:val="00D87B8B"/>
    <w:rsid w:val="00D92F5D"/>
    <w:rsid w:val="00D97C1D"/>
    <w:rsid w:val="00DA087D"/>
    <w:rsid w:val="00DA61E2"/>
    <w:rsid w:val="00DA62B7"/>
    <w:rsid w:val="00DA7343"/>
    <w:rsid w:val="00DB301F"/>
    <w:rsid w:val="00DC05E5"/>
    <w:rsid w:val="00DC3E85"/>
    <w:rsid w:val="00DC5243"/>
    <w:rsid w:val="00DC545B"/>
    <w:rsid w:val="00DC6CCF"/>
    <w:rsid w:val="00DD0567"/>
    <w:rsid w:val="00DD0815"/>
    <w:rsid w:val="00DD3C03"/>
    <w:rsid w:val="00DD4E81"/>
    <w:rsid w:val="00DD7FBE"/>
    <w:rsid w:val="00DF4544"/>
    <w:rsid w:val="00DF5887"/>
    <w:rsid w:val="00E01ABE"/>
    <w:rsid w:val="00E023E6"/>
    <w:rsid w:val="00E02C69"/>
    <w:rsid w:val="00E075A5"/>
    <w:rsid w:val="00E10A76"/>
    <w:rsid w:val="00E13B45"/>
    <w:rsid w:val="00E17817"/>
    <w:rsid w:val="00E20B89"/>
    <w:rsid w:val="00E21252"/>
    <w:rsid w:val="00E22FD4"/>
    <w:rsid w:val="00E23362"/>
    <w:rsid w:val="00E23431"/>
    <w:rsid w:val="00E25C0D"/>
    <w:rsid w:val="00E335FD"/>
    <w:rsid w:val="00E343FA"/>
    <w:rsid w:val="00E3580F"/>
    <w:rsid w:val="00E42E2F"/>
    <w:rsid w:val="00E4324C"/>
    <w:rsid w:val="00E45BBE"/>
    <w:rsid w:val="00E5157F"/>
    <w:rsid w:val="00E538A0"/>
    <w:rsid w:val="00E55853"/>
    <w:rsid w:val="00E576FD"/>
    <w:rsid w:val="00E60189"/>
    <w:rsid w:val="00E6052F"/>
    <w:rsid w:val="00E61680"/>
    <w:rsid w:val="00E637EE"/>
    <w:rsid w:val="00E6645F"/>
    <w:rsid w:val="00E67FCE"/>
    <w:rsid w:val="00E71AE6"/>
    <w:rsid w:val="00E73F90"/>
    <w:rsid w:val="00E748B3"/>
    <w:rsid w:val="00E750E4"/>
    <w:rsid w:val="00E859D7"/>
    <w:rsid w:val="00E86CD7"/>
    <w:rsid w:val="00E87006"/>
    <w:rsid w:val="00E92BA2"/>
    <w:rsid w:val="00EA7A99"/>
    <w:rsid w:val="00EB521F"/>
    <w:rsid w:val="00EB707D"/>
    <w:rsid w:val="00EC12AB"/>
    <w:rsid w:val="00EC69FE"/>
    <w:rsid w:val="00EC7DCD"/>
    <w:rsid w:val="00ED5867"/>
    <w:rsid w:val="00EE4E5D"/>
    <w:rsid w:val="00EE5953"/>
    <w:rsid w:val="00EE746B"/>
    <w:rsid w:val="00EF3E8D"/>
    <w:rsid w:val="00EF44B1"/>
    <w:rsid w:val="00EF5688"/>
    <w:rsid w:val="00EF62ED"/>
    <w:rsid w:val="00EF6566"/>
    <w:rsid w:val="00EF6593"/>
    <w:rsid w:val="00F02512"/>
    <w:rsid w:val="00F02B16"/>
    <w:rsid w:val="00F05853"/>
    <w:rsid w:val="00F06BF5"/>
    <w:rsid w:val="00F06E66"/>
    <w:rsid w:val="00F0933A"/>
    <w:rsid w:val="00F178DE"/>
    <w:rsid w:val="00F17A9A"/>
    <w:rsid w:val="00F22A03"/>
    <w:rsid w:val="00F258B3"/>
    <w:rsid w:val="00F33083"/>
    <w:rsid w:val="00F346DA"/>
    <w:rsid w:val="00F3D271"/>
    <w:rsid w:val="00F40C89"/>
    <w:rsid w:val="00F40D8C"/>
    <w:rsid w:val="00F410EA"/>
    <w:rsid w:val="00F435FD"/>
    <w:rsid w:val="00F440B8"/>
    <w:rsid w:val="00F44D85"/>
    <w:rsid w:val="00F456A9"/>
    <w:rsid w:val="00F52F10"/>
    <w:rsid w:val="00F56C53"/>
    <w:rsid w:val="00F61CD6"/>
    <w:rsid w:val="00F66874"/>
    <w:rsid w:val="00F67E50"/>
    <w:rsid w:val="00F7239B"/>
    <w:rsid w:val="00F810FB"/>
    <w:rsid w:val="00F81E08"/>
    <w:rsid w:val="00F8263A"/>
    <w:rsid w:val="00F84EC4"/>
    <w:rsid w:val="00F91456"/>
    <w:rsid w:val="00F91C55"/>
    <w:rsid w:val="00F930A1"/>
    <w:rsid w:val="00F947AA"/>
    <w:rsid w:val="00F949D5"/>
    <w:rsid w:val="00FA21B8"/>
    <w:rsid w:val="00FA37A1"/>
    <w:rsid w:val="00FA5F2E"/>
    <w:rsid w:val="00FA61CA"/>
    <w:rsid w:val="00FB0A09"/>
    <w:rsid w:val="00FB0DA8"/>
    <w:rsid w:val="00FB29EE"/>
    <w:rsid w:val="00FB6D9E"/>
    <w:rsid w:val="00FC27E8"/>
    <w:rsid w:val="00FD009C"/>
    <w:rsid w:val="00FD2891"/>
    <w:rsid w:val="00FD52A2"/>
    <w:rsid w:val="00FD5649"/>
    <w:rsid w:val="00FE482F"/>
    <w:rsid w:val="00FE4F88"/>
    <w:rsid w:val="00FE701A"/>
    <w:rsid w:val="00FF236C"/>
    <w:rsid w:val="00FF29F7"/>
    <w:rsid w:val="013629F1"/>
    <w:rsid w:val="013D9478"/>
    <w:rsid w:val="014BB4AF"/>
    <w:rsid w:val="015302C0"/>
    <w:rsid w:val="0154DBDA"/>
    <w:rsid w:val="016BC2EA"/>
    <w:rsid w:val="01861D07"/>
    <w:rsid w:val="018E6B19"/>
    <w:rsid w:val="01A45300"/>
    <w:rsid w:val="01A5DED6"/>
    <w:rsid w:val="01A86030"/>
    <w:rsid w:val="01AA9BF4"/>
    <w:rsid w:val="01B9F725"/>
    <w:rsid w:val="01F087D0"/>
    <w:rsid w:val="022B61D9"/>
    <w:rsid w:val="023794FD"/>
    <w:rsid w:val="0238FFDF"/>
    <w:rsid w:val="02406B61"/>
    <w:rsid w:val="028AFCA7"/>
    <w:rsid w:val="0294001A"/>
    <w:rsid w:val="02DB8124"/>
    <w:rsid w:val="0312A10C"/>
    <w:rsid w:val="0334F24D"/>
    <w:rsid w:val="0337F0F3"/>
    <w:rsid w:val="0341F88F"/>
    <w:rsid w:val="0349307D"/>
    <w:rsid w:val="036AD915"/>
    <w:rsid w:val="037080FB"/>
    <w:rsid w:val="037611C0"/>
    <w:rsid w:val="037BB779"/>
    <w:rsid w:val="03985A5A"/>
    <w:rsid w:val="03A9AF0F"/>
    <w:rsid w:val="03CB65E3"/>
    <w:rsid w:val="03F75D4B"/>
    <w:rsid w:val="0410056F"/>
    <w:rsid w:val="04153ADB"/>
    <w:rsid w:val="04491833"/>
    <w:rsid w:val="044BD1D2"/>
    <w:rsid w:val="045F5722"/>
    <w:rsid w:val="0475E820"/>
    <w:rsid w:val="04781FB2"/>
    <w:rsid w:val="04798B5D"/>
    <w:rsid w:val="04B108C9"/>
    <w:rsid w:val="04DE7DB6"/>
    <w:rsid w:val="04FCEB87"/>
    <w:rsid w:val="0513C12B"/>
    <w:rsid w:val="051B19B6"/>
    <w:rsid w:val="054D5245"/>
    <w:rsid w:val="057F64C9"/>
    <w:rsid w:val="05FFB66E"/>
    <w:rsid w:val="060BB901"/>
    <w:rsid w:val="061C596C"/>
    <w:rsid w:val="061CF3D0"/>
    <w:rsid w:val="06464BB2"/>
    <w:rsid w:val="064DCE9E"/>
    <w:rsid w:val="064F56BC"/>
    <w:rsid w:val="0652D62F"/>
    <w:rsid w:val="06782D47"/>
    <w:rsid w:val="068DE47B"/>
    <w:rsid w:val="06942326"/>
    <w:rsid w:val="06E1EB52"/>
    <w:rsid w:val="06F708EB"/>
    <w:rsid w:val="06FF2C41"/>
    <w:rsid w:val="072463A5"/>
    <w:rsid w:val="07285558"/>
    <w:rsid w:val="076A53FA"/>
    <w:rsid w:val="078B6E73"/>
    <w:rsid w:val="0790A35D"/>
    <w:rsid w:val="0790A4FB"/>
    <w:rsid w:val="07CF425D"/>
    <w:rsid w:val="07DB675E"/>
    <w:rsid w:val="07EDC142"/>
    <w:rsid w:val="08029100"/>
    <w:rsid w:val="081A3822"/>
    <w:rsid w:val="08473AEC"/>
    <w:rsid w:val="086163B4"/>
    <w:rsid w:val="0873B97A"/>
    <w:rsid w:val="087E3EB8"/>
    <w:rsid w:val="08C8A5A7"/>
    <w:rsid w:val="08CB22A9"/>
    <w:rsid w:val="08CB3ACA"/>
    <w:rsid w:val="08D34F28"/>
    <w:rsid w:val="09585A8D"/>
    <w:rsid w:val="09645641"/>
    <w:rsid w:val="09664869"/>
    <w:rsid w:val="096A7C80"/>
    <w:rsid w:val="09A1AEA3"/>
    <w:rsid w:val="09A46B29"/>
    <w:rsid w:val="09B7B254"/>
    <w:rsid w:val="09BCCA8D"/>
    <w:rsid w:val="09C669C1"/>
    <w:rsid w:val="09F89491"/>
    <w:rsid w:val="09FEC1F6"/>
    <w:rsid w:val="0A0359B9"/>
    <w:rsid w:val="0A0367C7"/>
    <w:rsid w:val="0A03753A"/>
    <w:rsid w:val="0A0A7CFC"/>
    <w:rsid w:val="0A0E3443"/>
    <w:rsid w:val="0A1CA7FB"/>
    <w:rsid w:val="0A456437"/>
    <w:rsid w:val="0A7B2EE0"/>
    <w:rsid w:val="0A84419B"/>
    <w:rsid w:val="0A8A5565"/>
    <w:rsid w:val="0A8B9D8B"/>
    <w:rsid w:val="0A8BDCCC"/>
    <w:rsid w:val="0AAE4C69"/>
    <w:rsid w:val="0AB7419A"/>
    <w:rsid w:val="0ABE0090"/>
    <w:rsid w:val="0AF01B1B"/>
    <w:rsid w:val="0B097D0E"/>
    <w:rsid w:val="0B0F3FFE"/>
    <w:rsid w:val="0B1AE30A"/>
    <w:rsid w:val="0B2FA0CC"/>
    <w:rsid w:val="0B325037"/>
    <w:rsid w:val="0B374B2A"/>
    <w:rsid w:val="0B4372BD"/>
    <w:rsid w:val="0B580E9B"/>
    <w:rsid w:val="0B5D1915"/>
    <w:rsid w:val="0BA01D27"/>
    <w:rsid w:val="0BA94CE6"/>
    <w:rsid w:val="0BDA9C39"/>
    <w:rsid w:val="0BE23FB5"/>
    <w:rsid w:val="0C16E204"/>
    <w:rsid w:val="0C21E6C9"/>
    <w:rsid w:val="0C34756A"/>
    <w:rsid w:val="0C4FE7FA"/>
    <w:rsid w:val="0C5443B1"/>
    <w:rsid w:val="0CC9D97F"/>
    <w:rsid w:val="0CE960CC"/>
    <w:rsid w:val="0D341C71"/>
    <w:rsid w:val="0D74EC69"/>
    <w:rsid w:val="0DCC0FB5"/>
    <w:rsid w:val="0DE0CBA2"/>
    <w:rsid w:val="0DFA8677"/>
    <w:rsid w:val="0E06110B"/>
    <w:rsid w:val="0E1EB454"/>
    <w:rsid w:val="0E2486BB"/>
    <w:rsid w:val="0E756350"/>
    <w:rsid w:val="0E7BBE43"/>
    <w:rsid w:val="0E830A0C"/>
    <w:rsid w:val="0EA8F1ED"/>
    <w:rsid w:val="0EB89F05"/>
    <w:rsid w:val="0EC923D3"/>
    <w:rsid w:val="0ECC4BE0"/>
    <w:rsid w:val="0ED36E15"/>
    <w:rsid w:val="0EF6B20C"/>
    <w:rsid w:val="0EFECEBB"/>
    <w:rsid w:val="0F0A6411"/>
    <w:rsid w:val="0F0B8633"/>
    <w:rsid w:val="0F136314"/>
    <w:rsid w:val="0F196A1B"/>
    <w:rsid w:val="0F332EC3"/>
    <w:rsid w:val="0F51171B"/>
    <w:rsid w:val="0F99D471"/>
    <w:rsid w:val="0FBE7E89"/>
    <w:rsid w:val="0FD86B7E"/>
    <w:rsid w:val="0FD907B1"/>
    <w:rsid w:val="0FE57DE2"/>
    <w:rsid w:val="101A5338"/>
    <w:rsid w:val="10285B53"/>
    <w:rsid w:val="10413490"/>
    <w:rsid w:val="105EFC4D"/>
    <w:rsid w:val="1063FA24"/>
    <w:rsid w:val="106D9A2A"/>
    <w:rsid w:val="1099E285"/>
    <w:rsid w:val="10E2E767"/>
    <w:rsid w:val="10EFA4DB"/>
    <w:rsid w:val="11058EB1"/>
    <w:rsid w:val="110753D9"/>
    <w:rsid w:val="11464908"/>
    <w:rsid w:val="114FEBA5"/>
    <w:rsid w:val="1150F588"/>
    <w:rsid w:val="1157D119"/>
    <w:rsid w:val="1179E618"/>
    <w:rsid w:val="117F8CC0"/>
    <w:rsid w:val="11962E2C"/>
    <w:rsid w:val="11AD1451"/>
    <w:rsid w:val="11C4C84D"/>
    <w:rsid w:val="11CE4878"/>
    <w:rsid w:val="11F839A7"/>
    <w:rsid w:val="120FB412"/>
    <w:rsid w:val="12172187"/>
    <w:rsid w:val="121A7749"/>
    <w:rsid w:val="12249CCD"/>
    <w:rsid w:val="122C5F3F"/>
    <w:rsid w:val="12314E54"/>
    <w:rsid w:val="1259A3A9"/>
    <w:rsid w:val="126737F3"/>
    <w:rsid w:val="126F8B8A"/>
    <w:rsid w:val="128AAD11"/>
    <w:rsid w:val="129CBE04"/>
    <w:rsid w:val="130B7198"/>
    <w:rsid w:val="130D4C63"/>
    <w:rsid w:val="131961D1"/>
    <w:rsid w:val="1322FA5D"/>
    <w:rsid w:val="132CFD9F"/>
    <w:rsid w:val="134DC385"/>
    <w:rsid w:val="1359704E"/>
    <w:rsid w:val="13773742"/>
    <w:rsid w:val="1391CDE8"/>
    <w:rsid w:val="13FC594C"/>
    <w:rsid w:val="1408CAE7"/>
    <w:rsid w:val="145A96AC"/>
    <w:rsid w:val="145AC16E"/>
    <w:rsid w:val="14672822"/>
    <w:rsid w:val="14ACD35E"/>
    <w:rsid w:val="14C16B7C"/>
    <w:rsid w:val="14DC726E"/>
    <w:rsid w:val="14F024F2"/>
    <w:rsid w:val="14F0FC07"/>
    <w:rsid w:val="150A08EC"/>
    <w:rsid w:val="150A0C3D"/>
    <w:rsid w:val="15299420"/>
    <w:rsid w:val="15440880"/>
    <w:rsid w:val="1548462F"/>
    <w:rsid w:val="15AEBB2D"/>
    <w:rsid w:val="15BFB781"/>
    <w:rsid w:val="15C9BA20"/>
    <w:rsid w:val="161E7C0A"/>
    <w:rsid w:val="1625DF2C"/>
    <w:rsid w:val="163829BF"/>
    <w:rsid w:val="167D4DA4"/>
    <w:rsid w:val="1681F96A"/>
    <w:rsid w:val="168CEDC3"/>
    <w:rsid w:val="1698EEBC"/>
    <w:rsid w:val="16D94B2C"/>
    <w:rsid w:val="16F48911"/>
    <w:rsid w:val="16F6F177"/>
    <w:rsid w:val="170C1422"/>
    <w:rsid w:val="172C5E6C"/>
    <w:rsid w:val="173733F2"/>
    <w:rsid w:val="173AFB68"/>
    <w:rsid w:val="174041D1"/>
    <w:rsid w:val="177FB1BF"/>
    <w:rsid w:val="1786A5A7"/>
    <w:rsid w:val="17997AEB"/>
    <w:rsid w:val="1799B03E"/>
    <w:rsid w:val="17AA9EEE"/>
    <w:rsid w:val="17C85F2B"/>
    <w:rsid w:val="17F14F7F"/>
    <w:rsid w:val="17F3F5DA"/>
    <w:rsid w:val="17F5C3AE"/>
    <w:rsid w:val="1802AD96"/>
    <w:rsid w:val="180B25D0"/>
    <w:rsid w:val="181166B7"/>
    <w:rsid w:val="1811C8F3"/>
    <w:rsid w:val="181A0A8E"/>
    <w:rsid w:val="182D3C89"/>
    <w:rsid w:val="182E6284"/>
    <w:rsid w:val="183CD914"/>
    <w:rsid w:val="1857A783"/>
    <w:rsid w:val="185F51F8"/>
    <w:rsid w:val="1872BD6A"/>
    <w:rsid w:val="187685C4"/>
    <w:rsid w:val="18DE9132"/>
    <w:rsid w:val="18F15D73"/>
    <w:rsid w:val="190BD8EA"/>
    <w:rsid w:val="19157E63"/>
    <w:rsid w:val="19188E7B"/>
    <w:rsid w:val="191A25AE"/>
    <w:rsid w:val="1921B1B3"/>
    <w:rsid w:val="192EB70A"/>
    <w:rsid w:val="192F13BC"/>
    <w:rsid w:val="19600698"/>
    <w:rsid w:val="19670EF7"/>
    <w:rsid w:val="19736C5C"/>
    <w:rsid w:val="197871EC"/>
    <w:rsid w:val="198D42AF"/>
    <w:rsid w:val="19926998"/>
    <w:rsid w:val="19D59507"/>
    <w:rsid w:val="19E136D3"/>
    <w:rsid w:val="1A33F8B0"/>
    <w:rsid w:val="1A6047BF"/>
    <w:rsid w:val="1A7BF24E"/>
    <w:rsid w:val="1A7D58CA"/>
    <w:rsid w:val="1A8E24CB"/>
    <w:rsid w:val="1A9E3D06"/>
    <w:rsid w:val="1AA52494"/>
    <w:rsid w:val="1ABD01CD"/>
    <w:rsid w:val="1B0E48B5"/>
    <w:rsid w:val="1B1A6DDB"/>
    <w:rsid w:val="1B3577BD"/>
    <w:rsid w:val="1B591D68"/>
    <w:rsid w:val="1B73C462"/>
    <w:rsid w:val="1B88D340"/>
    <w:rsid w:val="1B8EFC75"/>
    <w:rsid w:val="1B93D2E8"/>
    <w:rsid w:val="1B9B35D5"/>
    <w:rsid w:val="1BAB9562"/>
    <w:rsid w:val="1BCEBA2D"/>
    <w:rsid w:val="1BEAF23E"/>
    <w:rsid w:val="1C042D90"/>
    <w:rsid w:val="1C07AE5B"/>
    <w:rsid w:val="1C32FEB6"/>
    <w:rsid w:val="1C5A32AF"/>
    <w:rsid w:val="1C76532D"/>
    <w:rsid w:val="1C9A7E66"/>
    <w:rsid w:val="1CC403E2"/>
    <w:rsid w:val="1CCD2970"/>
    <w:rsid w:val="1CD88B07"/>
    <w:rsid w:val="1D15EAC7"/>
    <w:rsid w:val="1D34C170"/>
    <w:rsid w:val="1D3824E0"/>
    <w:rsid w:val="1D484B3E"/>
    <w:rsid w:val="1D48A14B"/>
    <w:rsid w:val="1D596DB2"/>
    <w:rsid w:val="1D59B5C6"/>
    <w:rsid w:val="1D5CF4B2"/>
    <w:rsid w:val="1D658A47"/>
    <w:rsid w:val="1D787A5F"/>
    <w:rsid w:val="1D8A397B"/>
    <w:rsid w:val="1D913DED"/>
    <w:rsid w:val="1DEDE70E"/>
    <w:rsid w:val="1E1538BA"/>
    <w:rsid w:val="1E22B3B7"/>
    <w:rsid w:val="1E278B03"/>
    <w:rsid w:val="1E34A938"/>
    <w:rsid w:val="1E5155D4"/>
    <w:rsid w:val="1E6FAFA1"/>
    <w:rsid w:val="1E90FC47"/>
    <w:rsid w:val="1E92C5D7"/>
    <w:rsid w:val="1EB35E9B"/>
    <w:rsid w:val="1EB3EEE3"/>
    <w:rsid w:val="1EC389A2"/>
    <w:rsid w:val="1EC8D47B"/>
    <w:rsid w:val="1EE0ADAF"/>
    <w:rsid w:val="1EEF9AF3"/>
    <w:rsid w:val="1EF17C0F"/>
    <w:rsid w:val="1F0238D8"/>
    <w:rsid w:val="1F05D0B6"/>
    <w:rsid w:val="1F232FF6"/>
    <w:rsid w:val="1F3E2C2A"/>
    <w:rsid w:val="1F589926"/>
    <w:rsid w:val="1F58B45E"/>
    <w:rsid w:val="1F68EBB0"/>
    <w:rsid w:val="1F8B8C34"/>
    <w:rsid w:val="1FA5D0DE"/>
    <w:rsid w:val="1FA8F351"/>
    <w:rsid w:val="1FB4D6B3"/>
    <w:rsid w:val="1FC356A2"/>
    <w:rsid w:val="1FC44FFD"/>
    <w:rsid w:val="1FE12000"/>
    <w:rsid w:val="1FE6DF3E"/>
    <w:rsid w:val="1FE98CC6"/>
    <w:rsid w:val="201019AC"/>
    <w:rsid w:val="2016A620"/>
    <w:rsid w:val="20185500"/>
    <w:rsid w:val="2021E52F"/>
    <w:rsid w:val="20406D96"/>
    <w:rsid w:val="20608183"/>
    <w:rsid w:val="2066490E"/>
    <w:rsid w:val="2090A6F6"/>
    <w:rsid w:val="20AA6BC7"/>
    <w:rsid w:val="20BF8192"/>
    <w:rsid w:val="20F32895"/>
    <w:rsid w:val="20F68048"/>
    <w:rsid w:val="2133B62B"/>
    <w:rsid w:val="2143E6E0"/>
    <w:rsid w:val="21529B99"/>
    <w:rsid w:val="2170A55D"/>
    <w:rsid w:val="2190E727"/>
    <w:rsid w:val="219FDC02"/>
    <w:rsid w:val="21A6391B"/>
    <w:rsid w:val="21EF542E"/>
    <w:rsid w:val="2207A720"/>
    <w:rsid w:val="22309EB3"/>
    <w:rsid w:val="223C5881"/>
    <w:rsid w:val="228794F0"/>
    <w:rsid w:val="22940A58"/>
    <w:rsid w:val="22BF3B75"/>
    <w:rsid w:val="22BF4EF4"/>
    <w:rsid w:val="22C3414C"/>
    <w:rsid w:val="22C4DA8B"/>
    <w:rsid w:val="22D484F6"/>
    <w:rsid w:val="22D7A25D"/>
    <w:rsid w:val="22F3D6B5"/>
    <w:rsid w:val="231A714F"/>
    <w:rsid w:val="234EF2EE"/>
    <w:rsid w:val="237301E2"/>
    <w:rsid w:val="2383548C"/>
    <w:rsid w:val="2384CEED"/>
    <w:rsid w:val="23900E2C"/>
    <w:rsid w:val="239F20B1"/>
    <w:rsid w:val="23A6177D"/>
    <w:rsid w:val="23C67517"/>
    <w:rsid w:val="23D995FE"/>
    <w:rsid w:val="23DE517D"/>
    <w:rsid w:val="23F40839"/>
    <w:rsid w:val="2410BC80"/>
    <w:rsid w:val="24127D40"/>
    <w:rsid w:val="2418841B"/>
    <w:rsid w:val="241E16BE"/>
    <w:rsid w:val="24461C6D"/>
    <w:rsid w:val="244DB49F"/>
    <w:rsid w:val="24857319"/>
    <w:rsid w:val="24881289"/>
    <w:rsid w:val="24925EDB"/>
    <w:rsid w:val="24A5C4EA"/>
    <w:rsid w:val="24BC223B"/>
    <w:rsid w:val="24DED956"/>
    <w:rsid w:val="24E0780B"/>
    <w:rsid w:val="2509CCE1"/>
    <w:rsid w:val="25656AB6"/>
    <w:rsid w:val="2569B451"/>
    <w:rsid w:val="258275D9"/>
    <w:rsid w:val="259F3687"/>
    <w:rsid w:val="25B8B01F"/>
    <w:rsid w:val="25E46F64"/>
    <w:rsid w:val="26273918"/>
    <w:rsid w:val="26420A97"/>
    <w:rsid w:val="26A63E95"/>
    <w:rsid w:val="26B2B496"/>
    <w:rsid w:val="26F82227"/>
    <w:rsid w:val="26FC88B5"/>
    <w:rsid w:val="2711E7CF"/>
    <w:rsid w:val="273F2E5F"/>
    <w:rsid w:val="27592D58"/>
    <w:rsid w:val="275A1D47"/>
    <w:rsid w:val="275BEA9E"/>
    <w:rsid w:val="27603463"/>
    <w:rsid w:val="2792D24B"/>
    <w:rsid w:val="27A01816"/>
    <w:rsid w:val="27C1632F"/>
    <w:rsid w:val="27E07D59"/>
    <w:rsid w:val="27E2DB39"/>
    <w:rsid w:val="28072509"/>
    <w:rsid w:val="281059DF"/>
    <w:rsid w:val="281A8B5C"/>
    <w:rsid w:val="28225CCA"/>
    <w:rsid w:val="287CA8E8"/>
    <w:rsid w:val="288C1E8D"/>
    <w:rsid w:val="28B024AB"/>
    <w:rsid w:val="28BC9FFC"/>
    <w:rsid w:val="28C23C88"/>
    <w:rsid w:val="28FCCD12"/>
    <w:rsid w:val="291976D1"/>
    <w:rsid w:val="292DBE65"/>
    <w:rsid w:val="293EDB30"/>
    <w:rsid w:val="294CE78B"/>
    <w:rsid w:val="29563FC7"/>
    <w:rsid w:val="29722441"/>
    <w:rsid w:val="299E8815"/>
    <w:rsid w:val="29A3FD13"/>
    <w:rsid w:val="29B80853"/>
    <w:rsid w:val="29F07EEF"/>
    <w:rsid w:val="2A266A8F"/>
    <w:rsid w:val="2A3128CB"/>
    <w:rsid w:val="2A3B97B5"/>
    <w:rsid w:val="2A3FE3B9"/>
    <w:rsid w:val="2A562F85"/>
    <w:rsid w:val="2A71812B"/>
    <w:rsid w:val="2A763DFA"/>
    <w:rsid w:val="2A9E8FC5"/>
    <w:rsid w:val="2AA9B749"/>
    <w:rsid w:val="2AD7255C"/>
    <w:rsid w:val="2B09F3DD"/>
    <w:rsid w:val="2B492A97"/>
    <w:rsid w:val="2B54BE34"/>
    <w:rsid w:val="2B8EE430"/>
    <w:rsid w:val="2BA04B95"/>
    <w:rsid w:val="2BC61DD3"/>
    <w:rsid w:val="2BCFD8D6"/>
    <w:rsid w:val="2BD38FA0"/>
    <w:rsid w:val="2BEDB8EA"/>
    <w:rsid w:val="2BFA9341"/>
    <w:rsid w:val="2C20CE81"/>
    <w:rsid w:val="2C2378FC"/>
    <w:rsid w:val="2C252409"/>
    <w:rsid w:val="2C2A3D63"/>
    <w:rsid w:val="2C3ED87D"/>
    <w:rsid w:val="2C6EBA7A"/>
    <w:rsid w:val="2C9BED48"/>
    <w:rsid w:val="2CBEBCF4"/>
    <w:rsid w:val="2CCB53D6"/>
    <w:rsid w:val="2D24B78B"/>
    <w:rsid w:val="2D45C80F"/>
    <w:rsid w:val="2D63E5DE"/>
    <w:rsid w:val="2D8D5C0C"/>
    <w:rsid w:val="2E36453F"/>
    <w:rsid w:val="2E3885F9"/>
    <w:rsid w:val="2E4F8D01"/>
    <w:rsid w:val="2E7CB3D6"/>
    <w:rsid w:val="2E915528"/>
    <w:rsid w:val="2EAB51AA"/>
    <w:rsid w:val="2ED6571E"/>
    <w:rsid w:val="2F00B4FD"/>
    <w:rsid w:val="2F0CDBEE"/>
    <w:rsid w:val="2F1A8A00"/>
    <w:rsid w:val="2F21C241"/>
    <w:rsid w:val="2F2982D1"/>
    <w:rsid w:val="2FABA867"/>
    <w:rsid w:val="2FAE6AA7"/>
    <w:rsid w:val="2FD94E73"/>
    <w:rsid w:val="2FE3EF84"/>
    <w:rsid w:val="2FF1BC95"/>
    <w:rsid w:val="3041FBC5"/>
    <w:rsid w:val="30923FC8"/>
    <w:rsid w:val="30B17EEF"/>
    <w:rsid w:val="30BCB7FE"/>
    <w:rsid w:val="30C00EF3"/>
    <w:rsid w:val="30C04698"/>
    <w:rsid w:val="30D13AAA"/>
    <w:rsid w:val="30D283DE"/>
    <w:rsid w:val="30E3A1E3"/>
    <w:rsid w:val="30EA38D0"/>
    <w:rsid w:val="315DC06A"/>
    <w:rsid w:val="315FDA5D"/>
    <w:rsid w:val="31630736"/>
    <w:rsid w:val="31649CFD"/>
    <w:rsid w:val="31653384"/>
    <w:rsid w:val="31663484"/>
    <w:rsid w:val="31ACA692"/>
    <w:rsid w:val="31E6CDC6"/>
    <w:rsid w:val="31F52B41"/>
    <w:rsid w:val="32023772"/>
    <w:rsid w:val="32378999"/>
    <w:rsid w:val="325B831E"/>
    <w:rsid w:val="32AF8069"/>
    <w:rsid w:val="32B6D2FF"/>
    <w:rsid w:val="32B9191E"/>
    <w:rsid w:val="32BACB07"/>
    <w:rsid w:val="32F4A1E1"/>
    <w:rsid w:val="330272F4"/>
    <w:rsid w:val="3312AC93"/>
    <w:rsid w:val="3336633A"/>
    <w:rsid w:val="333ADE36"/>
    <w:rsid w:val="334318A6"/>
    <w:rsid w:val="334ED243"/>
    <w:rsid w:val="3354E7A5"/>
    <w:rsid w:val="33650F07"/>
    <w:rsid w:val="3370D9C8"/>
    <w:rsid w:val="33981792"/>
    <w:rsid w:val="339D7DB6"/>
    <w:rsid w:val="33A706BC"/>
    <w:rsid w:val="33D0AC95"/>
    <w:rsid w:val="33D38534"/>
    <w:rsid w:val="33E359A3"/>
    <w:rsid w:val="33F59566"/>
    <w:rsid w:val="33FF2BF8"/>
    <w:rsid w:val="34031711"/>
    <w:rsid w:val="3422A6B0"/>
    <w:rsid w:val="3445EDD7"/>
    <w:rsid w:val="34700E87"/>
    <w:rsid w:val="3480B808"/>
    <w:rsid w:val="34869A05"/>
    <w:rsid w:val="349C04D9"/>
    <w:rsid w:val="34B325E6"/>
    <w:rsid w:val="34F0DC03"/>
    <w:rsid w:val="34FD7F76"/>
    <w:rsid w:val="35258238"/>
    <w:rsid w:val="352D8ABC"/>
    <w:rsid w:val="354AA805"/>
    <w:rsid w:val="3568C5C3"/>
    <w:rsid w:val="3569220E"/>
    <w:rsid w:val="356DEDFE"/>
    <w:rsid w:val="35808C4B"/>
    <w:rsid w:val="35C48496"/>
    <w:rsid w:val="35D72757"/>
    <w:rsid w:val="35DC2A60"/>
    <w:rsid w:val="36114534"/>
    <w:rsid w:val="3616B24D"/>
    <w:rsid w:val="363A3777"/>
    <w:rsid w:val="3674381E"/>
    <w:rsid w:val="36A4E87D"/>
    <w:rsid w:val="36BD76F9"/>
    <w:rsid w:val="36BFC31D"/>
    <w:rsid w:val="36E47A2A"/>
    <w:rsid w:val="36E54A19"/>
    <w:rsid w:val="36EB4846"/>
    <w:rsid w:val="36F2D971"/>
    <w:rsid w:val="3713C56E"/>
    <w:rsid w:val="3740375F"/>
    <w:rsid w:val="375F6CA9"/>
    <w:rsid w:val="375FA384"/>
    <w:rsid w:val="37990729"/>
    <w:rsid w:val="37A582C1"/>
    <w:rsid w:val="37AD4A7E"/>
    <w:rsid w:val="37B79567"/>
    <w:rsid w:val="37EA9785"/>
    <w:rsid w:val="37F670ED"/>
    <w:rsid w:val="37F7EE4C"/>
    <w:rsid w:val="381ECA65"/>
    <w:rsid w:val="38271E1B"/>
    <w:rsid w:val="3830EE3E"/>
    <w:rsid w:val="3841E291"/>
    <w:rsid w:val="38674883"/>
    <w:rsid w:val="3881B261"/>
    <w:rsid w:val="38A8F4DA"/>
    <w:rsid w:val="38FD285A"/>
    <w:rsid w:val="391EE2E5"/>
    <w:rsid w:val="3940E700"/>
    <w:rsid w:val="39475469"/>
    <w:rsid w:val="397339AD"/>
    <w:rsid w:val="399C3523"/>
    <w:rsid w:val="39AA5713"/>
    <w:rsid w:val="39CA5C1D"/>
    <w:rsid w:val="39D664F7"/>
    <w:rsid w:val="3A0556BC"/>
    <w:rsid w:val="3A0C1C44"/>
    <w:rsid w:val="3A1D915C"/>
    <w:rsid w:val="3A1E72F8"/>
    <w:rsid w:val="3A21F921"/>
    <w:rsid w:val="3A24D122"/>
    <w:rsid w:val="3A266B16"/>
    <w:rsid w:val="3A4A42E2"/>
    <w:rsid w:val="3A4A8C8F"/>
    <w:rsid w:val="3A4C6969"/>
    <w:rsid w:val="3A63CC5F"/>
    <w:rsid w:val="3A68F3DD"/>
    <w:rsid w:val="3A7A531D"/>
    <w:rsid w:val="3A92D173"/>
    <w:rsid w:val="3A93779E"/>
    <w:rsid w:val="3AA4F158"/>
    <w:rsid w:val="3AA91E1F"/>
    <w:rsid w:val="3ABCA682"/>
    <w:rsid w:val="3AF68D1B"/>
    <w:rsid w:val="3AFFE4AA"/>
    <w:rsid w:val="3B1F0970"/>
    <w:rsid w:val="3B582191"/>
    <w:rsid w:val="3B59F2EB"/>
    <w:rsid w:val="3B85D1C4"/>
    <w:rsid w:val="3BA4B294"/>
    <w:rsid w:val="3BB613C4"/>
    <w:rsid w:val="3BBC579A"/>
    <w:rsid w:val="3BC461D9"/>
    <w:rsid w:val="3BD3FEA9"/>
    <w:rsid w:val="3BDF3C9A"/>
    <w:rsid w:val="3C06430C"/>
    <w:rsid w:val="3C0F9BA1"/>
    <w:rsid w:val="3C310E1A"/>
    <w:rsid w:val="3C3312C9"/>
    <w:rsid w:val="3C98C0AA"/>
    <w:rsid w:val="3CB2E770"/>
    <w:rsid w:val="3CBA28D4"/>
    <w:rsid w:val="3CF2F944"/>
    <w:rsid w:val="3CFAC7DD"/>
    <w:rsid w:val="3D1CC0A4"/>
    <w:rsid w:val="3D2A49E8"/>
    <w:rsid w:val="3D35FE39"/>
    <w:rsid w:val="3D428C69"/>
    <w:rsid w:val="3D6EF30F"/>
    <w:rsid w:val="3DB62EE1"/>
    <w:rsid w:val="3DD89852"/>
    <w:rsid w:val="3DDD06B8"/>
    <w:rsid w:val="3DEB4078"/>
    <w:rsid w:val="3DED11B7"/>
    <w:rsid w:val="3DF057CD"/>
    <w:rsid w:val="3E057F6E"/>
    <w:rsid w:val="3E11D9B2"/>
    <w:rsid w:val="3E32162D"/>
    <w:rsid w:val="3E6A9947"/>
    <w:rsid w:val="3E80BC2E"/>
    <w:rsid w:val="3EE1FF5C"/>
    <w:rsid w:val="3EFD7191"/>
    <w:rsid w:val="3F06F064"/>
    <w:rsid w:val="3F1FD44B"/>
    <w:rsid w:val="3F2AA5D3"/>
    <w:rsid w:val="3F618963"/>
    <w:rsid w:val="3F90F19B"/>
    <w:rsid w:val="3F92BAC9"/>
    <w:rsid w:val="3FA22529"/>
    <w:rsid w:val="3FD9B771"/>
    <w:rsid w:val="3FDE1A4D"/>
    <w:rsid w:val="3FEB7E29"/>
    <w:rsid w:val="3FF2DEAF"/>
    <w:rsid w:val="3FFB812A"/>
    <w:rsid w:val="40159691"/>
    <w:rsid w:val="401ED37B"/>
    <w:rsid w:val="4071CBAE"/>
    <w:rsid w:val="407B257D"/>
    <w:rsid w:val="408DE3BC"/>
    <w:rsid w:val="409FC47A"/>
    <w:rsid w:val="40BA6643"/>
    <w:rsid w:val="40D4B492"/>
    <w:rsid w:val="40D86EAE"/>
    <w:rsid w:val="41A76140"/>
    <w:rsid w:val="41DAD9D6"/>
    <w:rsid w:val="41DC2A2D"/>
    <w:rsid w:val="41E8DD3C"/>
    <w:rsid w:val="4202C765"/>
    <w:rsid w:val="42064653"/>
    <w:rsid w:val="422D6C07"/>
    <w:rsid w:val="425164BB"/>
    <w:rsid w:val="425E8C1E"/>
    <w:rsid w:val="426026F4"/>
    <w:rsid w:val="42857BDF"/>
    <w:rsid w:val="428C0913"/>
    <w:rsid w:val="42B1C96A"/>
    <w:rsid w:val="42C02725"/>
    <w:rsid w:val="42D89D1A"/>
    <w:rsid w:val="42F84414"/>
    <w:rsid w:val="42FBCCDC"/>
    <w:rsid w:val="430A5729"/>
    <w:rsid w:val="43572856"/>
    <w:rsid w:val="435C2BB9"/>
    <w:rsid w:val="4368EA4C"/>
    <w:rsid w:val="438BAD76"/>
    <w:rsid w:val="43A9DBE7"/>
    <w:rsid w:val="43DDBAAD"/>
    <w:rsid w:val="440CC87A"/>
    <w:rsid w:val="4428F35A"/>
    <w:rsid w:val="446481C9"/>
    <w:rsid w:val="44ACD0A4"/>
    <w:rsid w:val="44CCA898"/>
    <w:rsid w:val="44D95157"/>
    <w:rsid w:val="451EC7CB"/>
    <w:rsid w:val="452BEE89"/>
    <w:rsid w:val="454795AE"/>
    <w:rsid w:val="455B32B0"/>
    <w:rsid w:val="455C4867"/>
    <w:rsid w:val="4575B16A"/>
    <w:rsid w:val="4579C62B"/>
    <w:rsid w:val="457CADE7"/>
    <w:rsid w:val="4593714B"/>
    <w:rsid w:val="45AA1F45"/>
    <w:rsid w:val="45EEEECD"/>
    <w:rsid w:val="45FF2CA4"/>
    <w:rsid w:val="461D65FB"/>
    <w:rsid w:val="4648908B"/>
    <w:rsid w:val="465339CA"/>
    <w:rsid w:val="4658286C"/>
    <w:rsid w:val="466B3B2D"/>
    <w:rsid w:val="4671D768"/>
    <w:rsid w:val="469CC605"/>
    <w:rsid w:val="46B0AA54"/>
    <w:rsid w:val="46C207F2"/>
    <w:rsid w:val="46D51679"/>
    <w:rsid w:val="46DD9A36"/>
    <w:rsid w:val="46EA93E3"/>
    <w:rsid w:val="472B44DC"/>
    <w:rsid w:val="4735667C"/>
    <w:rsid w:val="4763F932"/>
    <w:rsid w:val="476880FC"/>
    <w:rsid w:val="476BEF37"/>
    <w:rsid w:val="4772BD5B"/>
    <w:rsid w:val="4772D877"/>
    <w:rsid w:val="477A7DB6"/>
    <w:rsid w:val="478BE62D"/>
    <w:rsid w:val="478D2025"/>
    <w:rsid w:val="47A04D20"/>
    <w:rsid w:val="47CB4E8F"/>
    <w:rsid w:val="47D5BA28"/>
    <w:rsid w:val="47DC71A1"/>
    <w:rsid w:val="47EED65E"/>
    <w:rsid w:val="48021E0E"/>
    <w:rsid w:val="4806DDCF"/>
    <w:rsid w:val="481E005A"/>
    <w:rsid w:val="482AB3E4"/>
    <w:rsid w:val="483ED016"/>
    <w:rsid w:val="486B1740"/>
    <w:rsid w:val="4875D338"/>
    <w:rsid w:val="48788E57"/>
    <w:rsid w:val="48818CD8"/>
    <w:rsid w:val="489A0115"/>
    <w:rsid w:val="48AAA7B7"/>
    <w:rsid w:val="48BA83CB"/>
    <w:rsid w:val="48C2EFB7"/>
    <w:rsid w:val="48CBBDB7"/>
    <w:rsid w:val="48DE5DA3"/>
    <w:rsid w:val="493E29C1"/>
    <w:rsid w:val="494263AA"/>
    <w:rsid w:val="49514558"/>
    <w:rsid w:val="49671C6C"/>
    <w:rsid w:val="4984C8F0"/>
    <w:rsid w:val="499E0FB3"/>
    <w:rsid w:val="49B2F691"/>
    <w:rsid w:val="49B7BD1B"/>
    <w:rsid w:val="49C411BE"/>
    <w:rsid w:val="49F1C608"/>
    <w:rsid w:val="49FB9F7B"/>
    <w:rsid w:val="49FC106F"/>
    <w:rsid w:val="4A1D725D"/>
    <w:rsid w:val="4ACAB928"/>
    <w:rsid w:val="4AE04FA5"/>
    <w:rsid w:val="4AF9662B"/>
    <w:rsid w:val="4B1AC366"/>
    <w:rsid w:val="4B4EC526"/>
    <w:rsid w:val="4B8A6836"/>
    <w:rsid w:val="4B990B23"/>
    <w:rsid w:val="4BABE174"/>
    <w:rsid w:val="4BB5D92D"/>
    <w:rsid w:val="4BC19D0B"/>
    <w:rsid w:val="4BC2ADF0"/>
    <w:rsid w:val="4BF9FBD6"/>
    <w:rsid w:val="4BFD20EB"/>
    <w:rsid w:val="4C1C6360"/>
    <w:rsid w:val="4C23A237"/>
    <w:rsid w:val="4C3EE8E4"/>
    <w:rsid w:val="4C497277"/>
    <w:rsid w:val="4C61D2A1"/>
    <w:rsid w:val="4C8C0B16"/>
    <w:rsid w:val="4C92486A"/>
    <w:rsid w:val="4CA1068E"/>
    <w:rsid w:val="4CBEFC60"/>
    <w:rsid w:val="4CCE0EB3"/>
    <w:rsid w:val="4D0C66EC"/>
    <w:rsid w:val="4D117231"/>
    <w:rsid w:val="4D25C639"/>
    <w:rsid w:val="4D303979"/>
    <w:rsid w:val="4D477F84"/>
    <w:rsid w:val="4D601FD3"/>
    <w:rsid w:val="4D672728"/>
    <w:rsid w:val="4D6A5F50"/>
    <w:rsid w:val="4DB9E5DF"/>
    <w:rsid w:val="4DCC6A26"/>
    <w:rsid w:val="4DD016A7"/>
    <w:rsid w:val="4DD2AD74"/>
    <w:rsid w:val="4DD3986A"/>
    <w:rsid w:val="4DD9F442"/>
    <w:rsid w:val="4DF28511"/>
    <w:rsid w:val="4E02B4B6"/>
    <w:rsid w:val="4E0A4B6B"/>
    <w:rsid w:val="4E3D6F8D"/>
    <w:rsid w:val="4E44F679"/>
    <w:rsid w:val="4E5D712C"/>
    <w:rsid w:val="4E677873"/>
    <w:rsid w:val="4E723CC4"/>
    <w:rsid w:val="4E7B84D8"/>
    <w:rsid w:val="4EBB3D0D"/>
    <w:rsid w:val="4EC4A6F2"/>
    <w:rsid w:val="4EFC3EB2"/>
    <w:rsid w:val="4F0BA611"/>
    <w:rsid w:val="4F1C4714"/>
    <w:rsid w:val="4F544FC6"/>
    <w:rsid w:val="4F572ABB"/>
    <w:rsid w:val="4F6CAEAA"/>
    <w:rsid w:val="4F6E72CC"/>
    <w:rsid w:val="4F71E55E"/>
    <w:rsid w:val="4F8C8340"/>
    <w:rsid w:val="4F909645"/>
    <w:rsid w:val="4FCA9CF4"/>
    <w:rsid w:val="4FD38CFD"/>
    <w:rsid w:val="4FFD586F"/>
    <w:rsid w:val="5014BC66"/>
    <w:rsid w:val="50339745"/>
    <w:rsid w:val="503981A5"/>
    <w:rsid w:val="503F2E91"/>
    <w:rsid w:val="50469D88"/>
    <w:rsid w:val="506C37F6"/>
    <w:rsid w:val="50A4A276"/>
    <w:rsid w:val="50CD73F3"/>
    <w:rsid w:val="50D05E9E"/>
    <w:rsid w:val="50E7242F"/>
    <w:rsid w:val="51298529"/>
    <w:rsid w:val="51356C18"/>
    <w:rsid w:val="518C49AE"/>
    <w:rsid w:val="5193990C"/>
    <w:rsid w:val="51BA2B0E"/>
    <w:rsid w:val="51E3C0BD"/>
    <w:rsid w:val="5215B635"/>
    <w:rsid w:val="5258A2AE"/>
    <w:rsid w:val="525A56A0"/>
    <w:rsid w:val="5264B790"/>
    <w:rsid w:val="52688896"/>
    <w:rsid w:val="526CF987"/>
    <w:rsid w:val="528733C7"/>
    <w:rsid w:val="52A72553"/>
    <w:rsid w:val="52B7A685"/>
    <w:rsid w:val="52BF681B"/>
    <w:rsid w:val="52D39A31"/>
    <w:rsid w:val="5315E60C"/>
    <w:rsid w:val="531E64D7"/>
    <w:rsid w:val="532D5FDF"/>
    <w:rsid w:val="5331C8DE"/>
    <w:rsid w:val="533649CC"/>
    <w:rsid w:val="533EB415"/>
    <w:rsid w:val="53477DF0"/>
    <w:rsid w:val="5348345B"/>
    <w:rsid w:val="53A7CB5F"/>
    <w:rsid w:val="53B35DAD"/>
    <w:rsid w:val="53B945ED"/>
    <w:rsid w:val="53CA081F"/>
    <w:rsid w:val="53D8D2C9"/>
    <w:rsid w:val="53E7B648"/>
    <w:rsid w:val="5405241B"/>
    <w:rsid w:val="540D6652"/>
    <w:rsid w:val="544B4FF8"/>
    <w:rsid w:val="5463BEE0"/>
    <w:rsid w:val="5468EDB1"/>
    <w:rsid w:val="546D2001"/>
    <w:rsid w:val="546F8A89"/>
    <w:rsid w:val="547CD14D"/>
    <w:rsid w:val="5499E12E"/>
    <w:rsid w:val="54A491B4"/>
    <w:rsid w:val="54AA13BD"/>
    <w:rsid w:val="54DAF07F"/>
    <w:rsid w:val="54ED21A6"/>
    <w:rsid w:val="54EFC14D"/>
    <w:rsid w:val="54F82BAC"/>
    <w:rsid w:val="5513E309"/>
    <w:rsid w:val="558AFBE3"/>
    <w:rsid w:val="55B9BD60"/>
    <w:rsid w:val="55BD0FBC"/>
    <w:rsid w:val="55CB87A5"/>
    <w:rsid w:val="55D876ED"/>
    <w:rsid w:val="55F2F515"/>
    <w:rsid w:val="55FAD2D3"/>
    <w:rsid w:val="5627F9BF"/>
    <w:rsid w:val="562D851A"/>
    <w:rsid w:val="5642DE03"/>
    <w:rsid w:val="56479CBB"/>
    <w:rsid w:val="565C352B"/>
    <w:rsid w:val="569EBCC4"/>
    <w:rsid w:val="569EEA30"/>
    <w:rsid w:val="56C553BD"/>
    <w:rsid w:val="56D1E8F7"/>
    <w:rsid w:val="56D55AB4"/>
    <w:rsid w:val="57146270"/>
    <w:rsid w:val="572211EE"/>
    <w:rsid w:val="5727C08F"/>
    <w:rsid w:val="573E543E"/>
    <w:rsid w:val="5741A821"/>
    <w:rsid w:val="5764AF10"/>
    <w:rsid w:val="57658973"/>
    <w:rsid w:val="57CF59E0"/>
    <w:rsid w:val="57EA68CA"/>
    <w:rsid w:val="57FF65C5"/>
    <w:rsid w:val="582B45D6"/>
    <w:rsid w:val="582E74CB"/>
    <w:rsid w:val="5872851B"/>
    <w:rsid w:val="5873B565"/>
    <w:rsid w:val="58811CE1"/>
    <w:rsid w:val="588239A8"/>
    <w:rsid w:val="5893A0FE"/>
    <w:rsid w:val="5898976E"/>
    <w:rsid w:val="58D89656"/>
    <w:rsid w:val="58FCA613"/>
    <w:rsid w:val="590976D6"/>
    <w:rsid w:val="59286FA1"/>
    <w:rsid w:val="59416513"/>
    <w:rsid w:val="59521369"/>
    <w:rsid w:val="5960412C"/>
    <w:rsid w:val="59888A47"/>
    <w:rsid w:val="59917691"/>
    <w:rsid w:val="59D1B7A2"/>
    <w:rsid w:val="59DD2288"/>
    <w:rsid w:val="5A098175"/>
    <w:rsid w:val="5A111037"/>
    <w:rsid w:val="5A16B393"/>
    <w:rsid w:val="5A2567FE"/>
    <w:rsid w:val="5A3329A3"/>
    <w:rsid w:val="5A423FC3"/>
    <w:rsid w:val="5A758B36"/>
    <w:rsid w:val="5A765BF1"/>
    <w:rsid w:val="5A8841BB"/>
    <w:rsid w:val="5A8EBF6B"/>
    <w:rsid w:val="5AB4C961"/>
    <w:rsid w:val="5AC83C8C"/>
    <w:rsid w:val="5AD884EB"/>
    <w:rsid w:val="5B0B506F"/>
    <w:rsid w:val="5B13BC6C"/>
    <w:rsid w:val="5B493B70"/>
    <w:rsid w:val="5B58A76E"/>
    <w:rsid w:val="5B5C5641"/>
    <w:rsid w:val="5B5FD9F6"/>
    <w:rsid w:val="5B6F4C40"/>
    <w:rsid w:val="5B7F8577"/>
    <w:rsid w:val="5BB52619"/>
    <w:rsid w:val="5BC30823"/>
    <w:rsid w:val="5BC30E6D"/>
    <w:rsid w:val="5BCB20D7"/>
    <w:rsid w:val="5BE92322"/>
    <w:rsid w:val="5C19216D"/>
    <w:rsid w:val="5C3139F6"/>
    <w:rsid w:val="5C4CF483"/>
    <w:rsid w:val="5C6C080D"/>
    <w:rsid w:val="5C71E5B9"/>
    <w:rsid w:val="5C841BDB"/>
    <w:rsid w:val="5C884169"/>
    <w:rsid w:val="5CD0B212"/>
    <w:rsid w:val="5CD9EF8B"/>
    <w:rsid w:val="5CDC46DC"/>
    <w:rsid w:val="5D0FD952"/>
    <w:rsid w:val="5D3BA9E1"/>
    <w:rsid w:val="5D3DC88F"/>
    <w:rsid w:val="5D700EF8"/>
    <w:rsid w:val="5D7BA6DC"/>
    <w:rsid w:val="5DCAC3B4"/>
    <w:rsid w:val="5E21952C"/>
    <w:rsid w:val="5E28A305"/>
    <w:rsid w:val="5E5AECD1"/>
    <w:rsid w:val="5E8863EF"/>
    <w:rsid w:val="5E9399C4"/>
    <w:rsid w:val="5ED883A2"/>
    <w:rsid w:val="5F495F27"/>
    <w:rsid w:val="5F907634"/>
    <w:rsid w:val="5F928587"/>
    <w:rsid w:val="5F947845"/>
    <w:rsid w:val="5FB419F4"/>
    <w:rsid w:val="5FB4C852"/>
    <w:rsid w:val="5FF28FF6"/>
    <w:rsid w:val="600B1CBC"/>
    <w:rsid w:val="601175F0"/>
    <w:rsid w:val="60141DE8"/>
    <w:rsid w:val="602510C2"/>
    <w:rsid w:val="60304258"/>
    <w:rsid w:val="603CFBEB"/>
    <w:rsid w:val="603F2155"/>
    <w:rsid w:val="603FAB64"/>
    <w:rsid w:val="604E1BB3"/>
    <w:rsid w:val="605054FD"/>
    <w:rsid w:val="605FD9DA"/>
    <w:rsid w:val="60821A2D"/>
    <w:rsid w:val="60C26B9F"/>
    <w:rsid w:val="60CCDC1B"/>
    <w:rsid w:val="60FC43DD"/>
    <w:rsid w:val="610627F6"/>
    <w:rsid w:val="610ADEB3"/>
    <w:rsid w:val="614061F2"/>
    <w:rsid w:val="6192A829"/>
    <w:rsid w:val="61C68309"/>
    <w:rsid w:val="61CEB397"/>
    <w:rsid w:val="61DCDF0F"/>
    <w:rsid w:val="622BB891"/>
    <w:rsid w:val="624FC659"/>
    <w:rsid w:val="62D0395B"/>
    <w:rsid w:val="62D90D3E"/>
    <w:rsid w:val="62EE085D"/>
    <w:rsid w:val="62FA81B3"/>
    <w:rsid w:val="630C518E"/>
    <w:rsid w:val="636FB4B9"/>
    <w:rsid w:val="63A1D203"/>
    <w:rsid w:val="63CEF3E3"/>
    <w:rsid w:val="63D50CE4"/>
    <w:rsid w:val="63E82FFE"/>
    <w:rsid w:val="63F2A981"/>
    <w:rsid w:val="63F41F80"/>
    <w:rsid w:val="63F63065"/>
    <w:rsid w:val="63FBFCDF"/>
    <w:rsid w:val="64193022"/>
    <w:rsid w:val="644A3C24"/>
    <w:rsid w:val="6453F8CD"/>
    <w:rsid w:val="646E5DB3"/>
    <w:rsid w:val="649B9237"/>
    <w:rsid w:val="64C7883A"/>
    <w:rsid w:val="64CC0CAB"/>
    <w:rsid w:val="64CFDEC8"/>
    <w:rsid w:val="64E5849E"/>
    <w:rsid w:val="64F26507"/>
    <w:rsid w:val="64FDC2D1"/>
    <w:rsid w:val="6538EFF1"/>
    <w:rsid w:val="6547E665"/>
    <w:rsid w:val="65534975"/>
    <w:rsid w:val="6575BECB"/>
    <w:rsid w:val="6591F41C"/>
    <w:rsid w:val="65E70095"/>
    <w:rsid w:val="6606BE3B"/>
    <w:rsid w:val="6614D825"/>
    <w:rsid w:val="663CEF2D"/>
    <w:rsid w:val="664568FE"/>
    <w:rsid w:val="6652D506"/>
    <w:rsid w:val="66735E34"/>
    <w:rsid w:val="667E3610"/>
    <w:rsid w:val="669C44E1"/>
    <w:rsid w:val="66B0DB83"/>
    <w:rsid w:val="66C56D04"/>
    <w:rsid w:val="66EF514C"/>
    <w:rsid w:val="6716DD69"/>
    <w:rsid w:val="671711F3"/>
    <w:rsid w:val="67190FE2"/>
    <w:rsid w:val="672343F5"/>
    <w:rsid w:val="67395638"/>
    <w:rsid w:val="675BE644"/>
    <w:rsid w:val="679605D0"/>
    <w:rsid w:val="679F61CC"/>
    <w:rsid w:val="67A33AF8"/>
    <w:rsid w:val="67BB11B6"/>
    <w:rsid w:val="67C9EC12"/>
    <w:rsid w:val="67D157CD"/>
    <w:rsid w:val="67D6583E"/>
    <w:rsid w:val="67EEA333"/>
    <w:rsid w:val="680FB47D"/>
    <w:rsid w:val="68139248"/>
    <w:rsid w:val="6827E808"/>
    <w:rsid w:val="682B0D0A"/>
    <w:rsid w:val="6851675E"/>
    <w:rsid w:val="68606C0D"/>
    <w:rsid w:val="68963197"/>
    <w:rsid w:val="68A0243C"/>
    <w:rsid w:val="68B46E81"/>
    <w:rsid w:val="68B6D040"/>
    <w:rsid w:val="68CA3C02"/>
    <w:rsid w:val="68EAE534"/>
    <w:rsid w:val="68F77A56"/>
    <w:rsid w:val="6903B10E"/>
    <w:rsid w:val="6906A103"/>
    <w:rsid w:val="690F3DE3"/>
    <w:rsid w:val="6918A45F"/>
    <w:rsid w:val="693D4D05"/>
    <w:rsid w:val="694E1744"/>
    <w:rsid w:val="69748A5B"/>
    <w:rsid w:val="69800C94"/>
    <w:rsid w:val="699BC92F"/>
    <w:rsid w:val="69BC0773"/>
    <w:rsid w:val="69C90C2C"/>
    <w:rsid w:val="69FCB99D"/>
    <w:rsid w:val="6A1EBCD6"/>
    <w:rsid w:val="6A27654F"/>
    <w:rsid w:val="6A297E6E"/>
    <w:rsid w:val="6A58ACF2"/>
    <w:rsid w:val="6A7BBD5F"/>
    <w:rsid w:val="6A899243"/>
    <w:rsid w:val="6A906CC3"/>
    <w:rsid w:val="6A906E04"/>
    <w:rsid w:val="6A9199F6"/>
    <w:rsid w:val="6A9E3A09"/>
    <w:rsid w:val="6AA4BE5F"/>
    <w:rsid w:val="6AD5ABED"/>
    <w:rsid w:val="6AE5B585"/>
    <w:rsid w:val="6AF02E2D"/>
    <w:rsid w:val="6AF567D4"/>
    <w:rsid w:val="6B2251AC"/>
    <w:rsid w:val="6B82FF33"/>
    <w:rsid w:val="6B92CAD8"/>
    <w:rsid w:val="6BB4788F"/>
    <w:rsid w:val="6BC9A479"/>
    <w:rsid w:val="6BE97E44"/>
    <w:rsid w:val="6BF55B6B"/>
    <w:rsid w:val="6BFD92D0"/>
    <w:rsid w:val="6BFEF5F4"/>
    <w:rsid w:val="6C04FF0A"/>
    <w:rsid w:val="6C30E754"/>
    <w:rsid w:val="6C37268D"/>
    <w:rsid w:val="6C92AB68"/>
    <w:rsid w:val="6C9AF22C"/>
    <w:rsid w:val="6CC7FDE5"/>
    <w:rsid w:val="6CD6CE25"/>
    <w:rsid w:val="6CD724BA"/>
    <w:rsid w:val="6CE69765"/>
    <w:rsid w:val="6CEEAD1B"/>
    <w:rsid w:val="6CFCCF78"/>
    <w:rsid w:val="6D11D8CF"/>
    <w:rsid w:val="6D4E0C69"/>
    <w:rsid w:val="6D56F514"/>
    <w:rsid w:val="6D6D7247"/>
    <w:rsid w:val="6D9754BB"/>
    <w:rsid w:val="6D98DEDF"/>
    <w:rsid w:val="6DBF79CE"/>
    <w:rsid w:val="6DC96868"/>
    <w:rsid w:val="6DCC6C59"/>
    <w:rsid w:val="6DEDCF95"/>
    <w:rsid w:val="6E05D5F0"/>
    <w:rsid w:val="6E1C7C70"/>
    <w:rsid w:val="6E867170"/>
    <w:rsid w:val="6EA8D836"/>
    <w:rsid w:val="6EC45668"/>
    <w:rsid w:val="6EF4586D"/>
    <w:rsid w:val="6F19B49B"/>
    <w:rsid w:val="6F29CF8E"/>
    <w:rsid w:val="6F535D31"/>
    <w:rsid w:val="6F563728"/>
    <w:rsid w:val="6F78E019"/>
    <w:rsid w:val="6F8944A9"/>
    <w:rsid w:val="6F8AD778"/>
    <w:rsid w:val="6F90C3B2"/>
    <w:rsid w:val="6FC14399"/>
    <w:rsid w:val="6FC2C6AD"/>
    <w:rsid w:val="6FC368C8"/>
    <w:rsid w:val="700C68DF"/>
    <w:rsid w:val="70116AE6"/>
    <w:rsid w:val="7023AAB5"/>
    <w:rsid w:val="703940FB"/>
    <w:rsid w:val="709E3A68"/>
    <w:rsid w:val="70AEDF58"/>
    <w:rsid w:val="70E2E58B"/>
    <w:rsid w:val="71498263"/>
    <w:rsid w:val="716BC046"/>
    <w:rsid w:val="7193106E"/>
    <w:rsid w:val="7199A5EA"/>
    <w:rsid w:val="719A5CB7"/>
    <w:rsid w:val="71B18183"/>
    <w:rsid w:val="71FD0BBE"/>
    <w:rsid w:val="72022ACD"/>
    <w:rsid w:val="722E4E30"/>
    <w:rsid w:val="723F6A68"/>
    <w:rsid w:val="725DA78C"/>
    <w:rsid w:val="7276CBAC"/>
    <w:rsid w:val="72B8AA6F"/>
    <w:rsid w:val="72DF587F"/>
    <w:rsid w:val="72EAC55B"/>
    <w:rsid w:val="7303679E"/>
    <w:rsid w:val="733415E6"/>
    <w:rsid w:val="733F6079"/>
    <w:rsid w:val="737347CA"/>
    <w:rsid w:val="739244EE"/>
    <w:rsid w:val="73927A81"/>
    <w:rsid w:val="73B4F907"/>
    <w:rsid w:val="73F1CA6C"/>
    <w:rsid w:val="7406A4A7"/>
    <w:rsid w:val="74137AC2"/>
    <w:rsid w:val="7413D2C1"/>
    <w:rsid w:val="741D4661"/>
    <w:rsid w:val="74450D53"/>
    <w:rsid w:val="74669D9B"/>
    <w:rsid w:val="7488C3BA"/>
    <w:rsid w:val="74890050"/>
    <w:rsid w:val="7491245C"/>
    <w:rsid w:val="74C4A260"/>
    <w:rsid w:val="74C9571D"/>
    <w:rsid w:val="74DFC1D7"/>
    <w:rsid w:val="74EB4800"/>
    <w:rsid w:val="7501BD6D"/>
    <w:rsid w:val="75023EF7"/>
    <w:rsid w:val="752E2680"/>
    <w:rsid w:val="752EFA16"/>
    <w:rsid w:val="7532DED3"/>
    <w:rsid w:val="756A5A66"/>
    <w:rsid w:val="757DC7C7"/>
    <w:rsid w:val="7595E22E"/>
    <w:rsid w:val="75A30531"/>
    <w:rsid w:val="75AD9457"/>
    <w:rsid w:val="75B71D58"/>
    <w:rsid w:val="75C9B2A5"/>
    <w:rsid w:val="75F93728"/>
    <w:rsid w:val="76126E60"/>
    <w:rsid w:val="7646CA1D"/>
    <w:rsid w:val="768DFDE9"/>
    <w:rsid w:val="76A0D585"/>
    <w:rsid w:val="76B6106A"/>
    <w:rsid w:val="76FC9D08"/>
    <w:rsid w:val="76FE7F3E"/>
    <w:rsid w:val="775D0E9B"/>
    <w:rsid w:val="7780586B"/>
    <w:rsid w:val="77808ABE"/>
    <w:rsid w:val="77A26168"/>
    <w:rsid w:val="77ABB886"/>
    <w:rsid w:val="77DEDF8E"/>
    <w:rsid w:val="77E2061C"/>
    <w:rsid w:val="77F30450"/>
    <w:rsid w:val="77F46F9C"/>
    <w:rsid w:val="783AB8CC"/>
    <w:rsid w:val="785E0121"/>
    <w:rsid w:val="787C7896"/>
    <w:rsid w:val="788802ED"/>
    <w:rsid w:val="78B3DEAF"/>
    <w:rsid w:val="78CC062E"/>
    <w:rsid w:val="78D39684"/>
    <w:rsid w:val="78ECDD33"/>
    <w:rsid w:val="79173D3D"/>
    <w:rsid w:val="79368710"/>
    <w:rsid w:val="7973CCD5"/>
    <w:rsid w:val="7974C500"/>
    <w:rsid w:val="79828524"/>
    <w:rsid w:val="79A1803B"/>
    <w:rsid w:val="79B00FBE"/>
    <w:rsid w:val="79D2ED80"/>
    <w:rsid w:val="79DC00C4"/>
    <w:rsid w:val="79E890D7"/>
    <w:rsid w:val="79EC2549"/>
    <w:rsid w:val="79FB649E"/>
    <w:rsid w:val="7A0535CC"/>
    <w:rsid w:val="7A07D54D"/>
    <w:rsid w:val="7A081368"/>
    <w:rsid w:val="7A39E405"/>
    <w:rsid w:val="7A4B8198"/>
    <w:rsid w:val="7A92088B"/>
    <w:rsid w:val="7AB2B5EA"/>
    <w:rsid w:val="7AD0B3C0"/>
    <w:rsid w:val="7AF84743"/>
    <w:rsid w:val="7B4DA63A"/>
    <w:rsid w:val="7B4DE186"/>
    <w:rsid w:val="7B5FDD4B"/>
    <w:rsid w:val="7B609F77"/>
    <w:rsid w:val="7B60A02E"/>
    <w:rsid w:val="7B66856F"/>
    <w:rsid w:val="7B66E6AA"/>
    <w:rsid w:val="7B7948E6"/>
    <w:rsid w:val="7B8BF2A1"/>
    <w:rsid w:val="7B9F67ED"/>
    <w:rsid w:val="7BA136D4"/>
    <w:rsid w:val="7BC15754"/>
    <w:rsid w:val="7C004E2E"/>
    <w:rsid w:val="7C02B0A7"/>
    <w:rsid w:val="7C0DCD99"/>
    <w:rsid w:val="7C11710B"/>
    <w:rsid w:val="7C21EA1F"/>
    <w:rsid w:val="7C2354BE"/>
    <w:rsid w:val="7C2A6AEA"/>
    <w:rsid w:val="7C2EA95F"/>
    <w:rsid w:val="7C919BAC"/>
    <w:rsid w:val="7CA1DB7E"/>
    <w:rsid w:val="7CB2A00E"/>
    <w:rsid w:val="7CC6C4C5"/>
    <w:rsid w:val="7D0D7D98"/>
    <w:rsid w:val="7D1D7F74"/>
    <w:rsid w:val="7D942C9E"/>
    <w:rsid w:val="7D976CFF"/>
    <w:rsid w:val="7DABA7B0"/>
    <w:rsid w:val="7DB50CA9"/>
    <w:rsid w:val="7DBF6CD4"/>
    <w:rsid w:val="7DD8189C"/>
    <w:rsid w:val="7DDDCC87"/>
    <w:rsid w:val="7DE153D7"/>
    <w:rsid w:val="7DE40931"/>
    <w:rsid w:val="7DE53B4F"/>
    <w:rsid w:val="7DE9A7F4"/>
    <w:rsid w:val="7E143EFF"/>
    <w:rsid w:val="7E2AEE35"/>
    <w:rsid w:val="7E47450C"/>
    <w:rsid w:val="7E6F6AA9"/>
    <w:rsid w:val="7E80FE35"/>
    <w:rsid w:val="7EA76E8D"/>
    <w:rsid w:val="7F136DEC"/>
    <w:rsid w:val="7F18A27C"/>
    <w:rsid w:val="7F884A58"/>
    <w:rsid w:val="7F891CA3"/>
    <w:rsid w:val="7FEA459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8B1A"/>
  <w15:chartTrackingRefBased/>
  <w15:docId w15:val="{80D42E1F-04FF-487B-9C23-C21166660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1CCD297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1CCD297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1CCD29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0033689D"/>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CCD2970"/>
    <w:pPr>
      <w:ind w:left="720"/>
      <w:contextualSpacing/>
    </w:pPr>
  </w:style>
  <w:style w:type="paragraph" w:styleId="Header">
    <w:name w:val="header"/>
    <w:basedOn w:val="Normal"/>
    <w:uiPriority w:val="99"/>
    <w:unhideWhenUsed/>
    <w:rsid w:val="1CCD2970"/>
    <w:pPr>
      <w:tabs>
        <w:tab w:val="center" w:pos="4680"/>
        <w:tab w:val="right" w:pos="9360"/>
      </w:tabs>
      <w:spacing w:after="0" w:line="240" w:lineRule="auto"/>
    </w:pPr>
  </w:style>
  <w:style w:type="paragraph" w:styleId="Footer">
    <w:name w:val="footer"/>
    <w:basedOn w:val="Normal"/>
    <w:uiPriority w:val="99"/>
    <w:unhideWhenUsed/>
    <w:rsid w:val="1CCD2970"/>
    <w:pPr>
      <w:tabs>
        <w:tab w:val="center" w:pos="4680"/>
        <w:tab w:val="right" w:pos="9360"/>
      </w:tabs>
      <w:spacing w:after="0" w:line="240" w:lineRule="auto"/>
    </w:pPr>
  </w:style>
  <w:style w:type="character" w:styleId="Hyperlink">
    <w:name w:val="Hyperlink"/>
    <w:basedOn w:val="DefaultParagraphFont"/>
    <w:uiPriority w:val="99"/>
    <w:unhideWhenUsed/>
    <w:rsid w:val="1CCD2970"/>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2">
    <w:name w:val="toc 2"/>
    <w:basedOn w:val="Normal"/>
    <w:next w:val="Normal"/>
    <w:uiPriority w:val="39"/>
    <w:unhideWhenUsed/>
    <w:rsid w:val="50D05E9E"/>
    <w:pPr>
      <w:spacing w:after="100"/>
      <w:ind w:left="220"/>
    </w:pPr>
  </w:style>
  <w:style w:type="paragraph" w:styleId="TOC3">
    <w:name w:val="toc 3"/>
    <w:basedOn w:val="Normal"/>
    <w:next w:val="Normal"/>
    <w:uiPriority w:val="39"/>
    <w:unhideWhenUsed/>
    <w:rsid w:val="50D05E9E"/>
    <w:pPr>
      <w:spacing w:after="100"/>
      <w:ind w:left="440"/>
    </w:pPr>
  </w:style>
  <w:style w:type="paragraph" w:styleId="TOC1">
    <w:name w:val="toc 1"/>
    <w:basedOn w:val="Normal"/>
    <w:next w:val="Normal"/>
    <w:uiPriority w:val="39"/>
    <w:unhideWhenUsed/>
    <w:rsid w:val="50D05E9E"/>
    <w:pPr>
      <w:spacing w:after="100"/>
    </w:pPr>
  </w:style>
  <w:style w:type="character" w:styleId="Heading2Char" w:customStyle="1">
    <w:name w:val="Heading 2 Char"/>
    <w:basedOn w:val="DefaultParagraphFont"/>
    <w:link w:val="Heading2"/>
    <w:uiPriority w:val="9"/>
    <w:rsid w:val="50D05E9E"/>
    <w:rPr>
      <w:rFonts w:asciiTheme="majorHAnsi" w:hAnsiTheme="majorHAnsi" w:eastAsiaTheme="majorEastAsia" w:cstheme="majorBidi"/>
      <w:color w:val="0F4761" w:themeColor="accent1" w:themeShade="BF"/>
      <w:sz w:val="32"/>
      <w:szCs w:val="32"/>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1.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28" /><Relationship Type="http://schemas.openxmlformats.org/officeDocument/2006/relationships/settings" Target="settings.xml" Id="rId4" /><Relationship Type="http://schemas.openxmlformats.org/officeDocument/2006/relationships/image" Target="media/image2.jpg" Id="rId9" /><Relationship Type="http://schemas.openxmlformats.org/officeDocument/2006/relationships/footer" Target="footer1.xml" Id="rId27" /><Relationship Type="http://schemas.microsoft.com/office/2020/10/relationships/intelligence" Target="intelligence2.xml" Id="rId30" /><Relationship Type="http://schemas.openxmlformats.org/officeDocument/2006/relationships/hyperlink" Target="https://doi.org/10.1016/0007-6813(91)90005-G" TargetMode="External" Id="Rdf98e98c8a174e15" /><Relationship Type="http://schemas.openxmlformats.org/officeDocument/2006/relationships/hyperlink" Target="https://www-proquest-com.uwtsd.idm.oclc.org/scholarly-journals/leadership-development-applied-comparison-gibbs/docview/2093309202/se-2?accountid=130472" TargetMode="External" Id="R9ac35819ef034847" /><Relationship Type="http://schemas.openxmlformats.org/officeDocument/2006/relationships/hyperlink" Target="https://www.cipd.org/uk/knowledge/factsheets/swot-analysis-factsheet/" TargetMode="External" Id="R80ab269582c44328" /><Relationship Type="http://schemas.openxmlformats.org/officeDocument/2006/relationships/hyperlink" Target="https://foundora.substack.com/p/how-tesla-redefined-the-automotive" TargetMode="External" Id="Re891843206444ea2" /><Relationship Type="http://schemas.openxmlformats.org/officeDocument/2006/relationships/hyperlink" Target="https://www.google.co.uk/books/edition/Strategic_Management/NpmA_qEiOpkC?hl=en&amp;gbpv=1&amp;dq=Freeman" TargetMode="External" Id="Ra1841d645f894b21" /><Relationship Type="http://schemas.openxmlformats.org/officeDocument/2006/relationships/hyperlink" Target="https://www.investopedia.com/terms/p/porter.asp" TargetMode="External" Id="Re046e8abe7784c71" /><Relationship Type="http://schemas.openxmlformats.org/officeDocument/2006/relationships/hyperlink" Target="https://www.ebsco.com" TargetMode="External" Id="R90ed406f60db4f94" /><Relationship Type="http://schemas.openxmlformats.org/officeDocument/2006/relationships/hyperlink" Target="https://www.ebsco.com/research-starters/business-and-management/hofstedes-cultural-dimensions-theory" TargetMode="External" Id="Re6f5e32912dc4470" /><Relationship Type="http://schemas.openxmlformats.org/officeDocument/2006/relationships/hyperlink" Target="https://www.linkedin.com/pulse/teslas-global-supercharger-network-74000-chargers-across-hassan-6kywe/" TargetMode="External" Id="R9b82b868519f421f" /><Relationship Type="http://schemas.openxmlformats.org/officeDocument/2006/relationships/hyperlink" Target="https://www.iea.org/reports/global-ev-outlook-2024/trends-in-the-electric-vehicle-industry" TargetMode="External" Id="R771bbfbc76034d18" /><Relationship Type="http://schemas.openxmlformats.org/officeDocument/2006/relationships/hyperlink" Target="https://www.thestrategyinstitute.org/insights/inside-teslas-blueprint-strategy-sustainability-and-competitive-edge" TargetMode="External" Id="Rbb92dd72d08c484e" /><Relationship Type="http://schemas.openxmlformats.org/officeDocument/2006/relationships/hyperlink" Target="https://www.proquest.com/scholarly-journals/learning-doing-exploration-experience-critical/docview/212171407/se-2?accountid=130472" TargetMode="External" Id="R8019b87a8ca945fb" /><Relationship Type="http://schemas.openxmlformats.org/officeDocument/2006/relationships/hyperlink" Target="https://strategicmanagementinsight.com/tools/vrio/" TargetMode="External" Id="R8097ccc7bbb649ab" /><Relationship Type="http://schemas.openxmlformats.org/officeDocument/2006/relationships/hyperlink" Target="https://hbr.org/1992/01/the-balanced-scorecard-measures-that-drive-performance-2" TargetMode="External" Id="Rdd0953056f9444f1" /><Relationship Type="http://schemas.openxmlformats.org/officeDocument/2006/relationships/hyperlink" Target="https://pestleanalysis.com/pestel-framework/" TargetMode="External" Id="Ra76929522ce04172" /><Relationship Type="http://schemas.openxmlformats.org/officeDocument/2006/relationships/hyperlink" Target="https://papers.ssrn.com/sol3/papers.cfm?abstract_id=5099325&amp;__cf_chl_tk=IjuYb.qqTo.qwWri33ldDY1jzpQJcVTyLGuX6cGc.zs-1784150235-1.0.1.1-z3rKg656MWaG84GoTy148qwer6xidm7zin167cHzMRw" TargetMode="External" Id="Rf72816a241354eaf" /><Relationship Type="http://schemas.openxmlformats.org/officeDocument/2006/relationships/hyperlink" Target="https://doi.org/10.1016/j.iedeen.2024.100242" TargetMode="External" Id="R7e44012597ea43ba" /><Relationship Type="http://schemas.openxmlformats.org/officeDocument/2006/relationships/hyperlink" Target="https://www.tesla.com/en_gb/impact" TargetMode="External" Id="R080b3271db6445a7" /><Relationship Type="http://schemas.openxmlformats.org/officeDocument/2006/relationships/hyperlink" Target="https://www.tesla.com/en_gb" TargetMode="External" Id="R800698eae2a44386" /><Relationship Type="http://schemas.openxmlformats.org/officeDocument/2006/relationships/hyperlink" Target="https://aimagazine.com/news/extended-impact-report-how-sustainable-is-teslas-business" TargetMode="External" Id="R93f43fed1c7f4c23" /><Relationship Type="http://schemas.openxmlformats.org/officeDocument/2006/relationships/hyperlink" Target="https://www.wri.org/" TargetMode="External" Id="Rc845914df27e4a9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FC7F9-E9D6-4502-A3CB-77DCAC292A2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Blake (2208796)</dc:creator>
  <keywords/>
  <dc:description/>
  <lastModifiedBy>Alicia Blake (2208796)</lastModifiedBy>
  <revision>427</revision>
  <dcterms:created xsi:type="dcterms:W3CDTF">2026-06-22T05:13:00.0000000Z</dcterms:created>
  <dcterms:modified xsi:type="dcterms:W3CDTF">2026-07-21T22:39:51.6101614Z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260a7c13-2ae3-4867-aae2-8048fffbd21d</vt:lpwstr>
  </property>
</Properties>
</file>