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8AA2DA" w14:textId="77777777" w:rsidR="003F7457" w:rsidRDefault="003F7457" w:rsidP="003F7457">
      <w:pPr>
        <w:jc w:val="center"/>
      </w:pPr>
    </w:p>
    <w:p w14:paraId="1F03DABC" w14:textId="77777777" w:rsidR="003F7457" w:rsidRDefault="003F7457" w:rsidP="003F7457">
      <w:pPr>
        <w:jc w:val="center"/>
      </w:pPr>
    </w:p>
    <w:p w14:paraId="62074B3F" w14:textId="77777777" w:rsidR="003F7457" w:rsidRDefault="003F7457" w:rsidP="003F7457">
      <w:pPr>
        <w:jc w:val="center"/>
      </w:pPr>
    </w:p>
    <w:p w14:paraId="135E9354" w14:textId="77777777" w:rsidR="003F7457" w:rsidRDefault="003F7457" w:rsidP="003F7457">
      <w:pPr>
        <w:jc w:val="center"/>
      </w:pPr>
    </w:p>
    <w:p w14:paraId="68E9D2FA" w14:textId="77777777" w:rsidR="003F7457" w:rsidRPr="003F7457" w:rsidRDefault="003F7457" w:rsidP="003F7457">
      <w:pPr>
        <w:jc w:val="center"/>
        <w:rPr>
          <w:rFonts w:ascii="Arial" w:hAnsi="Arial" w:cs="Arial"/>
          <w:sz w:val="24"/>
          <w:szCs w:val="24"/>
        </w:rPr>
      </w:pPr>
    </w:p>
    <w:p w14:paraId="71261A93" w14:textId="2E46B065" w:rsidR="00811192" w:rsidRPr="003F7457" w:rsidRDefault="00C73F73" w:rsidP="003F7457">
      <w:pPr>
        <w:jc w:val="center"/>
        <w:rPr>
          <w:rFonts w:ascii="Arial" w:hAnsi="Arial" w:cs="Arial"/>
          <w:sz w:val="24"/>
          <w:szCs w:val="24"/>
        </w:rPr>
      </w:pPr>
      <w:r w:rsidRPr="003F7457">
        <w:rPr>
          <w:rFonts w:ascii="Arial" w:hAnsi="Arial" w:cs="Arial"/>
          <w:sz w:val="24"/>
          <w:szCs w:val="24"/>
        </w:rPr>
        <w:t>2205176</w:t>
      </w:r>
      <w:r w:rsidR="00C27510" w:rsidRPr="003F7457">
        <w:rPr>
          <w:rFonts w:ascii="Arial" w:hAnsi="Arial" w:cs="Arial"/>
          <w:sz w:val="24"/>
          <w:szCs w:val="24"/>
        </w:rPr>
        <w:br/>
      </w:r>
      <w:r w:rsidR="00D258AB" w:rsidRPr="003F7457">
        <w:rPr>
          <w:rFonts w:ascii="Arial" w:hAnsi="Arial" w:cs="Arial"/>
          <w:sz w:val="24"/>
          <w:szCs w:val="24"/>
        </w:rPr>
        <w:t>ECG</w:t>
      </w:r>
      <w:r w:rsidR="00C45B33" w:rsidRPr="003F7457">
        <w:rPr>
          <w:rFonts w:ascii="Arial" w:hAnsi="Arial" w:cs="Arial"/>
          <w:sz w:val="24"/>
          <w:szCs w:val="24"/>
        </w:rPr>
        <w:t>E4005P</w:t>
      </w:r>
      <w:r w:rsidR="00C45B33" w:rsidRPr="003F7457">
        <w:rPr>
          <w:rFonts w:ascii="Arial" w:hAnsi="Arial" w:cs="Arial"/>
          <w:sz w:val="24"/>
          <w:szCs w:val="24"/>
        </w:rPr>
        <w:br/>
        <w:t>Learning in the Digital Era</w:t>
      </w:r>
    </w:p>
    <w:p w14:paraId="7D6F93DA" w14:textId="77777777" w:rsidR="00F5486B" w:rsidRDefault="00F5486B" w:rsidP="00A8088F">
      <w:r>
        <w:br/>
      </w:r>
      <w:r>
        <w:br/>
      </w:r>
    </w:p>
    <w:p w14:paraId="4B256594" w14:textId="77777777" w:rsidR="00F5486B" w:rsidRDefault="00F5486B">
      <w:r>
        <w:br w:type="page"/>
      </w:r>
    </w:p>
    <w:p w14:paraId="46433F10" w14:textId="77777777" w:rsidR="0009606A" w:rsidRPr="0009606A" w:rsidRDefault="0009606A" w:rsidP="0009606A">
      <w:pPr>
        <w:rPr>
          <w:rFonts w:ascii="Arial" w:hAnsi="Arial" w:cs="Arial"/>
          <w:sz w:val="24"/>
          <w:szCs w:val="24"/>
        </w:rPr>
      </w:pPr>
      <w:r w:rsidRPr="0009606A">
        <w:rPr>
          <w:rFonts w:ascii="Arial" w:hAnsi="Arial" w:cs="Arial"/>
          <w:sz w:val="24"/>
          <w:szCs w:val="24"/>
        </w:rPr>
        <w:lastRenderedPageBreak/>
        <w:t>According to Norodahl and Johannesson (2013), recent curriculum guidelines suggest that children who interact in an outdoor environment are not only provided with exercise and the benefits of a healthy lifestyle as the is also an imperative tool in providing the children with an opportunity to experience, learn about and appreciate the natural world. In Iceland in particular, children aged one to six, in primary schools benefit from outdoor experience every day, therefore extending their knowledge of the outdoor world and being active participants in their learning. However, children aged six to sixteen only experience the outdoors at break time, when they are able to meet up with friends, but no active environmental learning takes place.</w:t>
      </w:r>
    </w:p>
    <w:p w14:paraId="1CD72EF1" w14:textId="77777777" w:rsidR="0009606A" w:rsidRPr="0009606A" w:rsidRDefault="0009606A" w:rsidP="0009606A">
      <w:pPr>
        <w:rPr>
          <w:rFonts w:ascii="Arial" w:hAnsi="Arial" w:cs="Arial"/>
          <w:sz w:val="24"/>
          <w:szCs w:val="24"/>
        </w:rPr>
      </w:pPr>
      <w:r w:rsidRPr="0009606A">
        <w:rPr>
          <w:rFonts w:ascii="Arial" w:hAnsi="Arial" w:cs="Arial"/>
          <w:sz w:val="24"/>
          <w:szCs w:val="24"/>
        </w:rPr>
        <w:t>Although not much is known about how teachers encourage outdoor learning, children’s experiences may depend on what school they attend and on how the school / teacher decides to implement the curriculum and consequently, make the learning more interesting and relevant. Oladottir (2008), states that 70% of schools in Reykjavik, the capital of Iceland, utilise outdoor learning considerably more than previously and because of this focus on providing children with more outdoor experience, signs are beginning to show that there is an increased improvement overall in the children’s attitude to learning.</w:t>
      </w:r>
    </w:p>
    <w:p w14:paraId="06309D22" w14:textId="77777777" w:rsidR="0009606A" w:rsidRPr="0009606A" w:rsidRDefault="0009606A" w:rsidP="0009606A">
      <w:pPr>
        <w:rPr>
          <w:rFonts w:ascii="Arial" w:hAnsi="Arial" w:cs="Arial"/>
          <w:sz w:val="24"/>
          <w:szCs w:val="24"/>
        </w:rPr>
      </w:pPr>
    </w:p>
    <w:p w14:paraId="1208E311" w14:textId="77777777" w:rsidR="0009606A" w:rsidRPr="0009606A" w:rsidRDefault="0009606A" w:rsidP="0009606A">
      <w:pPr>
        <w:rPr>
          <w:rFonts w:ascii="Arial" w:hAnsi="Arial" w:cs="Arial"/>
          <w:sz w:val="24"/>
          <w:szCs w:val="24"/>
        </w:rPr>
      </w:pPr>
    </w:p>
    <w:p w14:paraId="3175CC5F" w14:textId="77777777" w:rsidR="0009606A" w:rsidRDefault="0009606A">
      <w:pPr>
        <w:rPr>
          <w:rFonts w:ascii="Arial" w:hAnsi="Arial" w:cs="Arial"/>
          <w:sz w:val="24"/>
          <w:szCs w:val="24"/>
        </w:rPr>
      </w:pPr>
      <w:r>
        <w:rPr>
          <w:rFonts w:ascii="Arial" w:hAnsi="Arial" w:cs="Arial"/>
          <w:sz w:val="24"/>
          <w:szCs w:val="24"/>
        </w:rPr>
        <w:br w:type="page"/>
      </w:r>
    </w:p>
    <w:p w14:paraId="79FBC21D" w14:textId="38305691" w:rsidR="0009606A" w:rsidRPr="0009606A" w:rsidRDefault="0009606A" w:rsidP="0009606A">
      <w:pPr>
        <w:rPr>
          <w:rFonts w:ascii="Arial" w:hAnsi="Arial" w:cs="Arial"/>
          <w:sz w:val="24"/>
          <w:szCs w:val="24"/>
        </w:rPr>
      </w:pPr>
      <w:r w:rsidRPr="0009606A">
        <w:rPr>
          <w:rFonts w:ascii="Arial" w:hAnsi="Arial" w:cs="Arial"/>
          <w:sz w:val="24"/>
          <w:szCs w:val="24"/>
        </w:rPr>
        <w:lastRenderedPageBreak/>
        <w:t xml:space="preserve">It has been stated by the Forest School Network (2006) that forest school activities are advantageous to people of all ages, contributing and enhancing a person’s confidence and self-esteem. O’Brien and Murray (2006) suggest that parents are becoming increasingly worried that their children are not getting the emotional and environmental benefit of woodland and outdoor areas. This is because parents realise that today’s society has changed and there are more challenges regarding health and safety issues, to be confronted. </w:t>
      </w:r>
    </w:p>
    <w:p w14:paraId="4A52C28D" w14:textId="77777777" w:rsidR="0009606A" w:rsidRPr="0009606A" w:rsidRDefault="0009606A" w:rsidP="0009606A">
      <w:pPr>
        <w:rPr>
          <w:rFonts w:ascii="Arial" w:hAnsi="Arial" w:cs="Arial"/>
          <w:sz w:val="24"/>
          <w:szCs w:val="24"/>
        </w:rPr>
      </w:pPr>
      <w:r w:rsidRPr="0009606A">
        <w:rPr>
          <w:rFonts w:ascii="Arial" w:hAnsi="Arial" w:cs="Arial"/>
          <w:sz w:val="24"/>
          <w:szCs w:val="24"/>
        </w:rPr>
        <w:t>Furthermore, research suggests (Ward Thompson et al. 2004) that if children fail to experience outdoor, woodland environments and the experiences they offer, they also lose out on the physical and emotional benefits of nature, which contribute to positive well-being. Research also indicates that children who do not experience outdoor activities when young, are less likely to understand and appreciate the benefits of the outdoors in later life. Today there are many indoor activities on offer that children may participate in and there is concern that indoor activities can inhibit a child’s desire to partake in opportunities offered by the great outdoors.</w:t>
      </w:r>
    </w:p>
    <w:p w14:paraId="1FC3D045" w14:textId="63FE8A57" w:rsidR="00F5486B" w:rsidRDefault="0009606A" w:rsidP="0009606A">
      <w:pPr>
        <w:rPr>
          <w:rFonts w:ascii="Arial" w:hAnsi="Arial" w:cs="Arial"/>
          <w:sz w:val="24"/>
          <w:szCs w:val="24"/>
        </w:rPr>
      </w:pPr>
      <w:r w:rsidRPr="0009606A">
        <w:rPr>
          <w:rFonts w:ascii="Arial" w:hAnsi="Arial" w:cs="Arial"/>
          <w:sz w:val="24"/>
          <w:szCs w:val="24"/>
        </w:rPr>
        <w:t>The Welsh Assembly Government (2009) states that all teachers are encouraged to undertake forest school training, particularly at Foundation Phase level and beyond, as outdoor learning has been proved to initiate curiosity and therefore stimulate and enhance a child’s learning.</w:t>
      </w:r>
    </w:p>
    <w:p w14:paraId="0208CBFA" w14:textId="77777777" w:rsidR="00750065" w:rsidRDefault="00750065" w:rsidP="00750065">
      <w:pPr>
        <w:rPr>
          <w:rFonts w:ascii="Arial" w:hAnsi="Arial" w:cs="Arial"/>
          <w:sz w:val="24"/>
          <w:szCs w:val="24"/>
        </w:rPr>
      </w:pPr>
    </w:p>
    <w:p w14:paraId="7814F425" w14:textId="77777777" w:rsidR="00750065" w:rsidRDefault="00750065" w:rsidP="00750065">
      <w:pPr>
        <w:rPr>
          <w:rFonts w:ascii="Arial" w:hAnsi="Arial" w:cs="Arial"/>
          <w:sz w:val="24"/>
          <w:szCs w:val="24"/>
        </w:rPr>
      </w:pPr>
    </w:p>
    <w:p w14:paraId="7E85F9D3" w14:textId="77777777" w:rsidR="00750065" w:rsidRDefault="00750065" w:rsidP="00750065">
      <w:pPr>
        <w:rPr>
          <w:rFonts w:ascii="Arial" w:hAnsi="Arial" w:cs="Arial"/>
          <w:sz w:val="24"/>
          <w:szCs w:val="24"/>
        </w:rPr>
      </w:pPr>
    </w:p>
    <w:p w14:paraId="20F0A97A" w14:textId="77777777" w:rsidR="00750065" w:rsidRDefault="00750065" w:rsidP="00750065">
      <w:pPr>
        <w:rPr>
          <w:rFonts w:ascii="Arial" w:hAnsi="Arial" w:cs="Arial"/>
          <w:sz w:val="24"/>
          <w:szCs w:val="24"/>
        </w:rPr>
      </w:pPr>
    </w:p>
    <w:p w14:paraId="32DD9BF3" w14:textId="77777777" w:rsidR="00750065" w:rsidRDefault="00750065" w:rsidP="00750065">
      <w:pPr>
        <w:rPr>
          <w:rFonts w:ascii="Arial" w:hAnsi="Arial" w:cs="Arial"/>
          <w:sz w:val="24"/>
          <w:szCs w:val="24"/>
        </w:rPr>
      </w:pPr>
    </w:p>
    <w:p w14:paraId="7BECFE09" w14:textId="77777777" w:rsidR="00750065" w:rsidRPr="00750065" w:rsidRDefault="00750065" w:rsidP="00750065">
      <w:pPr>
        <w:rPr>
          <w:rFonts w:ascii="Arial" w:hAnsi="Arial" w:cs="Arial"/>
          <w:sz w:val="24"/>
          <w:szCs w:val="24"/>
          <w:u w:val="single"/>
        </w:rPr>
      </w:pPr>
    </w:p>
    <w:p w14:paraId="67F3CF41" w14:textId="7AB48F5E" w:rsidR="00750065" w:rsidRPr="00750065" w:rsidRDefault="00750065" w:rsidP="00750065">
      <w:pPr>
        <w:rPr>
          <w:rFonts w:ascii="Arial" w:hAnsi="Arial" w:cs="Arial"/>
          <w:sz w:val="24"/>
          <w:szCs w:val="24"/>
          <w:u w:val="single"/>
        </w:rPr>
      </w:pPr>
      <w:r w:rsidRPr="00750065">
        <w:rPr>
          <w:rFonts w:ascii="Arial" w:hAnsi="Arial" w:cs="Arial"/>
          <w:sz w:val="24"/>
          <w:szCs w:val="24"/>
          <w:u w:val="single"/>
        </w:rPr>
        <w:t xml:space="preserve">Reference List: </w:t>
      </w:r>
    </w:p>
    <w:p w14:paraId="0F62F0BE" w14:textId="77777777" w:rsidR="00750065" w:rsidRPr="00750065" w:rsidRDefault="00750065" w:rsidP="00750065">
      <w:pPr>
        <w:rPr>
          <w:rFonts w:ascii="Arial" w:hAnsi="Arial" w:cs="Arial"/>
          <w:sz w:val="24"/>
          <w:szCs w:val="24"/>
        </w:rPr>
      </w:pPr>
      <w:r w:rsidRPr="00750065">
        <w:rPr>
          <w:rFonts w:ascii="Arial" w:hAnsi="Arial" w:cs="Arial"/>
          <w:sz w:val="24"/>
          <w:szCs w:val="24"/>
        </w:rPr>
        <w:t>O'Brien, E and Murray, R (2006), A marvellous opportunity for children to learn: A participatory evaluation of Forest School in England and Wales, Farnham: Forest Research</w:t>
      </w:r>
    </w:p>
    <w:p w14:paraId="61BA73BA" w14:textId="77777777" w:rsidR="00750065" w:rsidRPr="00750065" w:rsidRDefault="00750065" w:rsidP="00750065">
      <w:pPr>
        <w:rPr>
          <w:rFonts w:ascii="Arial" w:hAnsi="Arial" w:cs="Arial"/>
          <w:sz w:val="24"/>
          <w:szCs w:val="24"/>
        </w:rPr>
      </w:pPr>
      <w:r w:rsidRPr="00750065">
        <w:rPr>
          <w:rFonts w:ascii="Arial" w:hAnsi="Arial" w:cs="Arial"/>
          <w:sz w:val="24"/>
          <w:szCs w:val="24"/>
        </w:rPr>
        <w:t xml:space="preserve">Ward Thompson, C. et al. (2004) Open space and social inclusion: Local woodland use in central Scotland. Edinburgh: Report to the Forestry Commission. </w:t>
      </w:r>
    </w:p>
    <w:p w14:paraId="7FA2E68C" w14:textId="3C0E833E" w:rsidR="00750065" w:rsidRPr="00750065" w:rsidRDefault="00750065" w:rsidP="00750065">
      <w:pPr>
        <w:rPr>
          <w:rFonts w:ascii="Arial" w:hAnsi="Arial" w:cs="Arial"/>
          <w:sz w:val="24"/>
          <w:szCs w:val="24"/>
        </w:rPr>
      </w:pPr>
      <w:r w:rsidRPr="00750065">
        <w:rPr>
          <w:rFonts w:ascii="Arial" w:hAnsi="Arial" w:cs="Arial"/>
          <w:sz w:val="24"/>
          <w:szCs w:val="24"/>
        </w:rPr>
        <w:t>Welsh Assembly Government. (2009) Outdoor Learning Handbook. Cardiff: WAG.</w:t>
      </w:r>
    </w:p>
    <w:p w14:paraId="13CDAA35" w14:textId="77777777" w:rsidR="00750065" w:rsidRDefault="00750065">
      <w:r>
        <w:br w:type="page"/>
      </w:r>
    </w:p>
    <w:p w14:paraId="79B05F7A" w14:textId="7F4DA017" w:rsidR="000408F4" w:rsidRDefault="00764978" w:rsidP="00FF3BDB">
      <w:pPr>
        <w:rPr>
          <w:rFonts w:ascii="Arial" w:hAnsi="Arial" w:cs="Arial"/>
          <w:sz w:val="24"/>
          <w:szCs w:val="24"/>
        </w:rPr>
      </w:pPr>
      <w:hyperlink r:id="rId4" w:history="1">
        <w:r w:rsidRPr="007B1066">
          <w:rPr>
            <w:rStyle w:val="Hyperlink"/>
            <w:rFonts w:ascii="Arial" w:hAnsi="Arial" w:cs="Arial"/>
            <w:sz w:val="24"/>
            <w:szCs w:val="24"/>
          </w:rPr>
          <w:t>https://www.blogger.com/b</w:t>
        </w:r>
        <w:r w:rsidRPr="007B1066">
          <w:rPr>
            <w:rStyle w:val="Hyperlink"/>
            <w:rFonts w:ascii="Arial" w:hAnsi="Arial" w:cs="Arial"/>
            <w:sz w:val="24"/>
            <w:szCs w:val="24"/>
          </w:rPr>
          <w:t>l</w:t>
        </w:r>
        <w:r w:rsidRPr="007B1066">
          <w:rPr>
            <w:rStyle w:val="Hyperlink"/>
            <w:rFonts w:ascii="Arial" w:hAnsi="Arial" w:cs="Arial"/>
            <w:sz w:val="24"/>
            <w:szCs w:val="24"/>
          </w:rPr>
          <w:t>og/posts/7741482636167833872</w:t>
        </w:r>
      </w:hyperlink>
      <w:r>
        <w:rPr>
          <w:rFonts w:ascii="Arial" w:hAnsi="Arial" w:cs="Arial"/>
          <w:sz w:val="24"/>
          <w:szCs w:val="24"/>
        </w:rPr>
        <w:t xml:space="preserve"> </w:t>
      </w:r>
    </w:p>
    <w:p w14:paraId="60039255" w14:textId="77777777" w:rsidR="000408F4" w:rsidRDefault="000408F4">
      <w:pPr>
        <w:rPr>
          <w:rFonts w:ascii="Arial" w:hAnsi="Arial" w:cs="Arial"/>
          <w:sz w:val="24"/>
          <w:szCs w:val="24"/>
        </w:rPr>
      </w:pPr>
      <w:r>
        <w:rPr>
          <w:rFonts w:ascii="Arial" w:hAnsi="Arial" w:cs="Arial"/>
          <w:sz w:val="24"/>
          <w:szCs w:val="24"/>
        </w:rPr>
        <w:br w:type="page"/>
      </w:r>
    </w:p>
    <w:p w14:paraId="5260A869" w14:textId="77777777" w:rsidR="00AA462B" w:rsidRPr="00AA462B" w:rsidRDefault="00AA462B" w:rsidP="00AA462B">
      <w:pPr>
        <w:rPr>
          <w:rFonts w:ascii="Arial" w:hAnsi="Arial" w:cs="Arial"/>
          <w:sz w:val="24"/>
          <w:szCs w:val="24"/>
        </w:rPr>
      </w:pPr>
      <w:r w:rsidRPr="00AA462B">
        <w:rPr>
          <w:rFonts w:ascii="Arial" w:hAnsi="Arial" w:cs="Arial"/>
          <w:sz w:val="24"/>
          <w:szCs w:val="24"/>
        </w:rPr>
        <w:lastRenderedPageBreak/>
        <w:t>This is a critical response to the article “Schooled to Fail? The Underachievement Debate in Wales” by Smith (2005). The article highlights the ¬¬¬underachievement of students in schools, in particular schools in Wales. This has been an ongoing debate since the early 1980s where according to Reynolds and Murgatroyd (1981, in Smith, 2005, p.84) pupils in Wales have been ‘schooled to fail’. The debate was started as a national debate in the UK as it could be identified that the UK was falling behind its global competitors. The debate was then raised within each of the four nations, which led to the educational standards being scrutinised within each nation.</w:t>
      </w:r>
    </w:p>
    <w:p w14:paraId="6129B4FC" w14:textId="77777777" w:rsidR="00AA462B" w:rsidRPr="00AA462B" w:rsidRDefault="00AA462B" w:rsidP="00AA462B">
      <w:pPr>
        <w:rPr>
          <w:rFonts w:ascii="Arial" w:hAnsi="Arial" w:cs="Arial"/>
          <w:sz w:val="24"/>
          <w:szCs w:val="24"/>
        </w:rPr>
      </w:pPr>
      <w:r w:rsidRPr="00AA462B">
        <w:rPr>
          <w:rFonts w:ascii="Arial" w:hAnsi="Arial" w:cs="Arial"/>
          <w:sz w:val="24"/>
          <w:szCs w:val="24"/>
        </w:rPr>
        <w:t>The aim of the text is to raise the level of debate on the underachievement in education in general and the intention is to focus on finding differing levels of solutions and strategies relevant to the individual learner and individual learning establishment. The author is also constantly emphasising the point that underachievement is complicated to define and measure.</w:t>
      </w:r>
    </w:p>
    <w:p w14:paraId="18111685" w14:textId="77777777" w:rsidR="00AA462B" w:rsidRPr="00AA462B" w:rsidRDefault="00AA462B" w:rsidP="00AA462B">
      <w:pPr>
        <w:rPr>
          <w:rFonts w:ascii="Arial" w:hAnsi="Arial" w:cs="Arial"/>
          <w:sz w:val="24"/>
          <w:szCs w:val="24"/>
        </w:rPr>
      </w:pPr>
      <w:r w:rsidRPr="00AA462B">
        <w:rPr>
          <w:rFonts w:ascii="Arial" w:hAnsi="Arial" w:cs="Arial"/>
          <w:sz w:val="24"/>
          <w:szCs w:val="24"/>
        </w:rPr>
        <w:t>One of the key arguments may be that the author is using the article to make the reader think about and question the issue of underachievement in schools, a topic which seems to be high on the agenda of all educational establishments. Throughout the text the author’s intent is to make the reader question the differing complex ways of tackling underachievement as is illustrated by Smith (2005) in the statement “the dichotomous approach of labelling one group of students or one nation’s school system as ‘underachieving’ relative to another is neither straightforward nor accurate”. The author emphasises in the final sentence of the article that different ways are needed to limit the disparity in achievement.</w:t>
      </w:r>
    </w:p>
    <w:p w14:paraId="6299A02A" w14:textId="77777777" w:rsidR="00AA462B" w:rsidRPr="00AA462B" w:rsidRDefault="00AA462B" w:rsidP="00AA462B">
      <w:pPr>
        <w:rPr>
          <w:rFonts w:ascii="Arial" w:hAnsi="Arial" w:cs="Arial"/>
          <w:sz w:val="24"/>
          <w:szCs w:val="24"/>
        </w:rPr>
      </w:pPr>
      <w:r w:rsidRPr="00AA462B">
        <w:rPr>
          <w:rFonts w:ascii="Arial" w:hAnsi="Arial" w:cs="Arial"/>
          <w:sz w:val="24"/>
          <w:szCs w:val="24"/>
        </w:rPr>
        <w:t>The structure of the article was easy to follow. Use and length of the paragraphs enabled the flow of the development of the subject matter, whilst enabling the reader to follow the points raised, systematically. Statistics in the body of the article, were included in the relevant position within the article, as reference was made to the graphs in the previous paragraph and discussion on the graph was made in the following paragraph. However, some statistics within the article were somewhat confusing, for example, Table 7.6, which uses a complicated system of displaying information as illustrated by the legend, but does not state what kind of school is referred to from the North East region. Smith (2005) compares Wales with the North East of England as it is most similar in aspects of economic attributes as listed in Tables 7.1 to 7.4. However, the statistics in the appendices indicate that schools in Wales are performing better than the schools in the North East which suggests that Smith’s (2005) comparison is incorrect. Throughout the article the author states that underachievement in educational establishments is a major concern but the evidence suggests that the achievement of pupils in Wales is on a par with pupils nationwide.</w:t>
      </w:r>
    </w:p>
    <w:p w14:paraId="3AA25FC6" w14:textId="77777777" w:rsidR="00AA462B" w:rsidRPr="00AA462B" w:rsidRDefault="00AA462B" w:rsidP="00AA462B">
      <w:pPr>
        <w:rPr>
          <w:rFonts w:ascii="Arial" w:hAnsi="Arial" w:cs="Arial"/>
          <w:sz w:val="24"/>
          <w:szCs w:val="24"/>
        </w:rPr>
      </w:pPr>
      <w:r w:rsidRPr="00AA462B">
        <w:rPr>
          <w:rFonts w:ascii="Arial" w:hAnsi="Arial" w:cs="Arial"/>
          <w:sz w:val="24"/>
          <w:szCs w:val="24"/>
        </w:rPr>
        <w:t xml:space="preserve">Smith (2005) uses a formal academic tone throughout the article which is easy to read. Accuracy is demonstrated by the use of relevant references and a large reference list which suggests that extensive research was completed to obtain the information included in the article. The writing style suits a varied audience which would include stakeholders in educational establishments for example, </w:t>
      </w:r>
      <w:r w:rsidRPr="00AA462B">
        <w:rPr>
          <w:rFonts w:ascii="Arial" w:hAnsi="Arial" w:cs="Arial"/>
          <w:sz w:val="24"/>
          <w:szCs w:val="24"/>
        </w:rPr>
        <w:lastRenderedPageBreak/>
        <w:t>headteachers, teachers, Governing Bodies and even some parents. The subject matter is one which would be a topic of debate in general, within Wales.</w:t>
      </w:r>
    </w:p>
    <w:p w14:paraId="0240F3B8" w14:textId="77777777" w:rsidR="00AA462B" w:rsidRPr="00AA462B" w:rsidRDefault="00AA462B" w:rsidP="00AA462B">
      <w:pPr>
        <w:rPr>
          <w:rFonts w:ascii="Arial" w:hAnsi="Arial" w:cs="Arial"/>
          <w:sz w:val="24"/>
          <w:szCs w:val="24"/>
        </w:rPr>
      </w:pPr>
      <w:r w:rsidRPr="00AA462B">
        <w:rPr>
          <w:rFonts w:ascii="Arial" w:hAnsi="Arial" w:cs="Arial"/>
          <w:sz w:val="24"/>
          <w:szCs w:val="24"/>
        </w:rPr>
        <w:t>The author uses persuasive language throughout the article suggesting an inclination to further stimulate the debate. Examples of this are “on the one hand”, “it would seem reasonable that”, “if it is agreed” and “it might seem reasonable to argue”. These phrases suggest that the author is inviting the reader to consider the subject matter of underachievement, in greater depth.Throughout the article the author uses objective language to reinforce the debate, this is indicated by the constant references to other people’s work.</w:t>
      </w:r>
    </w:p>
    <w:p w14:paraId="10D28395" w14:textId="77777777" w:rsidR="00AA462B" w:rsidRPr="00AA462B" w:rsidRDefault="00AA462B" w:rsidP="00AA462B">
      <w:pPr>
        <w:rPr>
          <w:rFonts w:ascii="Arial" w:hAnsi="Arial" w:cs="Arial"/>
          <w:sz w:val="24"/>
          <w:szCs w:val="24"/>
        </w:rPr>
      </w:pPr>
      <w:r w:rsidRPr="00AA462B">
        <w:rPr>
          <w:rFonts w:ascii="Arial" w:hAnsi="Arial" w:cs="Arial"/>
          <w:sz w:val="24"/>
          <w:szCs w:val="24"/>
        </w:rPr>
        <w:t>If a hypothesis is a starting point for further investigation based on limited evidence, then the article can be deemed as such, however, there is also a clear problem presented, which is underachievement within schools. Whilst on the one hand the author claims that there is need to raise academic achievement to compete in the global market and it is stated that Wales needs to act quickly to upskill its workforce in order to attract foreign investors, the underachievement debate needs to be more clearly understood and addressed. In contradiction, the author refudiates the idea that there are fundamental issues within education in Wales, as comparison of the Welsh performance to its closest English region, the North East, indicates that the performance of pupils in Wales is superior to that of pupils in England.</w:t>
      </w:r>
    </w:p>
    <w:p w14:paraId="770EA546" w14:textId="77777777" w:rsidR="00AA462B" w:rsidRPr="00AA462B" w:rsidRDefault="00AA462B" w:rsidP="00AA462B">
      <w:pPr>
        <w:rPr>
          <w:rFonts w:ascii="Arial" w:hAnsi="Arial" w:cs="Arial"/>
          <w:sz w:val="24"/>
          <w:szCs w:val="24"/>
        </w:rPr>
      </w:pPr>
      <w:r w:rsidRPr="00AA462B">
        <w:rPr>
          <w:rFonts w:ascii="Arial" w:hAnsi="Arial" w:cs="Arial"/>
          <w:sz w:val="24"/>
          <w:szCs w:val="24"/>
        </w:rPr>
        <w:t>The text relies heavily on an extensive list of references indicating that the author has thoroughly researched the subject and refers to personally published materials written prior to this article, indicating a sound knowledge and particular interest in, underachievement. The extensive referencing and personal involvement suggest validity and reliability of the evidence which is effective in supporting the debate. Bloom (2003) suggests that the education system in Wales is moving away from that in England, with a less intrusive inspection system, absence of league tables and doing away with national testing for seven-year-olds, all helping to make the system in Wales more learner appropriate. The author concludes that on a positive note, examination results in Wales are improving and also suggests that perhaps pupils in Wales are “no longer being schooled to fail”. Throughout the article these conclusions are justified.</w:t>
      </w:r>
    </w:p>
    <w:p w14:paraId="07E75D7A" w14:textId="77777777" w:rsidR="00AA462B" w:rsidRPr="00AA462B" w:rsidRDefault="00AA462B" w:rsidP="00AA462B">
      <w:pPr>
        <w:rPr>
          <w:rFonts w:ascii="Arial" w:hAnsi="Arial" w:cs="Arial"/>
          <w:sz w:val="24"/>
          <w:szCs w:val="24"/>
        </w:rPr>
      </w:pPr>
      <w:r w:rsidRPr="00AA462B">
        <w:rPr>
          <w:rFonts w:ascii="Arial" w:hAnsi="Arial" w:cs="Arial"/>
          <w:sz w:val="24"/>
          <w:szCs w:val="24"/>
        </w:rPr>
        <w:t xml:space="preserve">In conclusion, the text was found to be relevant in today’s educational climate although it was first published in 2005. One recommendation could be an addition of up-to-date statistics which would further enhance the debate and inform present day thinking. Perhaps comparisons with educational systems in similar economic and population size, would also be beneficial to the debate. Underachievement is an ongoing challenge for which strategies and solutions must be continually improved. These challenges will be met head on to improve education in Wales, to enable pupils to take their place in an ever-changing economic world. It is an appropriate academic article as it has stimulated a high level of debate on an ever-present subject. </w:t>
      </w:r>
    </w:p>
    <w:p w14:paraId="2F50B8A6" w14:textId="77777777" w:rsidR="00AA462B" w:rsidRDefault="00AA462B" w:rsidP="00AA462B">
      <w:pPr>
        <w:rPr>
          <w:rFonts w:ascii="Arial" w:hAnsi="Arial" w:cs="Arial"/>
          <w:sz w:val="24"/>
          <w:szCs w:val="24"/>
        </w:rPr>
      </w:pPr>
    </w:p>
    <w:p w14:paraId="2695A5E4" w14:textId="77777777" w:rsidR="00AA462B" w:rsidRDefault="00AA462B" w:rsidP="00AA462B">
      <w:pPr>
        <w:rPr>
          <w:rFonts w:ascii="Arial" w:hAnsi="Arial" w:cs="Arial"/>
          <w:sz w:val="24"/>
          <w:szCs w:val="24"/>
        </w:rPr>
      </w:pPr>
    </w:p>
    <w:p w14:paraId="572B1267" w14:textId="77777777" w:rsidR="00AA462B" w:rsidRPr="00AA462B" w:rsidRDefault="00AA462B" w:rsidP="00AA462B">
      <w:pPr>
        <w:rPr>
          <w:rFonts w:ascii="Arial" w:hAnsi="Arial" w:cs="Arial"/>
          <w:sz w:val="24"/>
          <w:szCs w:val="24"/>
          <w:u w:val="single"/>
        </w:rPr>
      </w:pPr>
    </w:p>
    <w:p w14:paraId="46C8924B" w14:textId="77777777" w:rsidR="00AA462B" w:rsidRPr="00AA462B" w:rsidRDefault="00AA462B" w:rsidP="00AA462B">
      <w:pPr>
        <w:rPr>
          <w:rFonts w:ascii="Arial" w:hAnsi="Arial" w:cs="Arial"/>
          <w:sz w:val="24"/>
          <w:szCs w:val="24"/>
          <w:u w:val="single"/>
        </w:rPr>
      </w:pPr>
      <w:r w:rsidRPr="00AA462B">
        <w:rPr>
          <w:rFonts w:ascii="Arial" w:hAnsi="Arial" w:cs="Arial"/>
          <w:sz w:val="24"/>
          <w:szCs w:val="24"/>
          <w:u w:val="single"/>
        </w:rPr>
        <w:t>Reference List</w:t>
      </w:r>
    </w:p>
    <w:p w14:paraId="17A126DB" w14:textId="6AE93094" w:rsidR="00AA462B" w:rsidRPr="00AA462B" w:rsidRDefault="00AA462B" w:rsidP="00AA462B">
      <w:pPr>
        <w:rPr>
          <w:rFonts w:ascii="Arial" w:hAnsi="Arial" w:cs="Arial"/>
          <w:sz w:val="24"/>
          <w:szCs w:val="24"/>
        </w:rPr>
      </w:pPr>
      <w:r w:rsidRPr="00AA462B">
        <w:rPr>
          <w:rFonts w:ascii="Arial" w:hAnsi="Arial" w:cs="Arial"/>
          <w:sz w:val="24"/>
          <w:szCs w:val="24"/>
        </w:rPr>
        <w:t xml:space="preserve">Bloom, A. (2003). ‘A distinctive Welsh accent’, Tes Magazine, </w:t>
      </w:r>
      <w:hyperlink r:id="rId5" w:history="1">
        <w:r w:rsidR="007E39F6" w:rsidRPr="007B1066">
          <w:rPr>
            <w:rStyle w:val="Hyperlink"/>
            <w:rFonts w:ascii="Arial" w:hAnsi="Arial" w:cs="Arial"/>
            <w:sz w:val="24"/>
            <w:szCs w:val="24"/>
          </w:rPr>
          <w:t>https://www.tes.com/magazine/archive/distinctive-welsh-accent</w:t>
        </w:r>
      </w:hyperlink>
      <w:r w:rsidR="007E39F6">
        <w:rPr>
          <w:rFonts w:ascii="Arial" w:hAnsi="Arial" w:cs="Arial"/>
          <w:sz w:val="24"/>
          <w:szCs w:val="24"/>
        </w:rPr>
        <w:t xml:space="preserve"> </w:t>
      </w:r>
      <w:r w:rsidRPr="00AA462B">
        <w:rPr>
          <w:rFonts w:ascii="Arial" w:hAnsi="Arial" w:cs="Arial"/>
          <w:sz w:val="24"/>
          <w:szCs w:val="24"/>
        </w:rPr>
        <w:t>(Accessed: 29/10/22)</w:t>
      </w:r>
    </w:p>
    <w:p w14:paraId="1C5C70B5" w14:textId="77777777" w:rsidR="00AA462B" w:rsidRPr="00AA462B" w:rsidRDefault="00AA462B" w:rsidP="00AA462B">
      <w:pPr>
        <w:rPr>
          <w:rFonts w:ascii="Arial" w:hAnsi="Arial" w:cs="Arial"/>
          <w:sz w:val="24"/>
          <w:szCs w:val="24"/>
        </w:rPr>
      </w:pPr>
      <w:r w:rsidRPr="00AA462B">
        <w:rPr>
          <w:rFonts w:ascii="Arial" w:hAnsi="Arial" w:cs="Arial"/>
          <w:sz w:val="24"/>
          <w:szCs w:val="24"/>
        </w:rPr>
        <w:t>Smith. E. (2005) ‘Schooled to fail? The underachievement debate in Wales’, The Welsh journal of education, 13(2), pp.84-102</w:t>
      </w:r>
    </w:p>
    <w:p w14:paraId="215C9EBB" w14:textId="77777777" w:rsidR="00AA462B" w:rsidRPr="00AA462B" w:rsidRDefault="00AA462B" w:rsidP="00AA462B">
      <w:pPr>
        <w:rPr>
          <w:rFonts w:ascii="Arial" w:hAnsi="Arial" w:cs="Arial"/>
          <w:sz w:val="24"/>
          <w:szCs w:val="24"/>
        </w:rPr>
      </w:pPr>
    </w:p>
    <w:p w14:paraId="794230A4" w14:textId="77777777" w:rsidR="00AA462B" w:rsidRPr="00AA462B" w:rsidRDefault="00AA462B" w:rsidP="00AA462B">
      <w:pPr>
        <w:rPr>
          <w:rFonts w:ascii="Arial" w:hAnsi="Arial" w:cs="Arial"/>
          <w:sz w:val="24"/>
          <w:szCs w:val="24"/>
        </w:rPr>
      </w:pPr>
    </w:p>
    <w:p w14:paraId="3EA29C29" w14:textId="77777777" w:rsidR="00AF3E5E" w:rsidRPr="00FF3BDB" w:rsidRDefault="00AF3E5E" w:rsidP="00FF3BDB">
      <w:pPr>
        <w:rPr>
          <w:rFonts w:ascii="Arial" w:hAnsi="Arial" w:cs="Arial"/>
          <w:sz w:val="24"/>
          <w:szCs w:val="24"/>
        </w:rPr>
      </w:pPr>
    </w:p>
    <w:sectPr w:rsidR="00AF3E5E" w:rsidRPr="00FF3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8EF"/>
    <w:rsid w:val="000408F4"/>
    <w:rsid w:val="0009606A"/>
    <w:rsid w:val="003050CA"/>
    <w:rsid w:val="00311698"/>
    <w:rsid w:val="003F7457"/>
    <w:rsid w:val="004B38EF"/>
    <w:rsid w:val="00750065"/>
    <w:rsid w:val="00764978"/>
    <w:rsid w:val="007E39F6"/>
    <w:rsid w:val="00811192"/>
    <w:rsid w:val="00A8088F"/>
    <w:rsid w:val="00AA462B"/>
    <w:rsid w:val="00AF3E5E"/>
    <w:rsid w:val="00C27510"/>
    <w:rsid w:val="00C45B33"/>
    <w:rsid w:val="00C73F73"/>
    <w:rsid w:val="00D258AB"/>
    <w:rsid w:val="00D26663"/>
    <w:rsid w:val="00F5486B"/>
    <w:rsid w:val="00FF3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002FF"/>
  <w15:chartTrackingRefBased/>
  <w15:docId w15:val="{2C894DD0-7D67-4147-9456-4A9D7E71A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978"/>
    <w:rPr>
      <w:color w:val="0563C1" w:themeColor="hyperlink"/>
      <w:u w:val="single"/>
    </w:rPr>
  </w:style>
  <w:style w:type="character" w:styleId="UnresolvedMention">
    <w:name w:val="Unresolved Mention"/>
    <w:basedOn w:val="DefaultParagraphFont"/>
    <w:uiPriority w:val="99"/>
    <w:semiHidden/>
    <w:unhideWhenUsed/>
    <w:rsid w:val="00764978"/>
    <w:rPr>
      <w:color w:val="605E5C"/>
      <w:shd w:val="clear" w:color="auto" w:fill="E1DFDD"/>
    </w:rPr>
  </w:style>
  <w:style w:type="character" w:styleId="FollowedHyperlink">
    <w:name w:val="FollowedHyperlink"/>
    <w:basedOn w:val="DefaultParagraphFont"/>
    <w:uiPriority w:val="99"/>
    <w:semiHidden/>
    <w:unhideWhenUsed/>
    <w:rsid w:val="007649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tes.com/magazine/archive/distinctive-welsh-accent" TargetMode="External"/><Relationship Id="rId4" Type="http://schemas.openxmlformats.org/officeDocument/2006/relationships/hyperlink" Target="https://www.blogger.com/blog/posts/77414826361678338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1549</Words>
  <Characters>8835</Characters>
  <Application>Microsoft Office Word</Application>
  <DocSecurity>0</DocSecurity>
  <Lines>73</Lines>
  <Paragraphs>20</Paragraphs>
  <ScaleCrop>false</ScaleCrop>
  <Company/>
  <LinksUpToDate>false</LinksUpToDate>
  <CharactersWithSpaces>10364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Morgan</dc:creator>
  <cp:keywords/>
  <dc:description/>
  <cp:lastModifiedBy>Dewi Morgan</cp:lastModifiedBy>
  <cp:revision>20</cp:revision>
  <dcterms:created xsi:type="dcterms:W3CDTF">2022-10-27T09:46:00Z</dcterms:created>
  <dcterms:modified xsi:type="dcterms:W3CDTF">2022-10-31T21:55:00Z</dcterms:modified>
</cp:coreProperties>
</file>