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jpeg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28967F" w14:textId="77777777" w:rsidR="00C723B3" w:rsidRDefault="001B0467">
      <w:pPr>
        <w:pStyle w:val="Title"/>
      </w:pPr>
      <w:r>
        <w:t>BMHP5021 – Protecting and Supporting Families in Health and Care</w:t>
      </w:r>
    </w:p>
    <w:p w14:paraId="542277A7" w14:textId="77777777" w:rsidR="00C723B3" w:rsidRDefault="001B0467">
      <w:r>
        <w:t>Panel Discussion Evidence – Child A Bradford CSPR</w:t>
      </w:r>
    </w:p>
    <w:p w14:paraId="495522B3" w14:textId="77777777" w:rsidR="00C723B3" w:rsidRDefault="00C723B3"/>
    <w:p w14:paraId="62210F7B" w14:textId="77777777" w:rsidR="00C723B3" w:rsidRDefault="001B0467">
      <w:r>
        <w:t>Student Name: Venice Woodhouse</w:t>
      </w:r>
    </w:p>
    <w:p w14:paraId="295BD573" w14:textId="77777777" w:rsidR="00C723B3" w:rsidRDefault="001B0467">
      <w:r>
        <w:t>Role in Panel: School Safeguarding Lead</w:t>
      </w:r>
    </w:p>
    <w:p w14:paraId="1A71D542" w14:textId="6B1E3295" w:rsidR="00C723B3" w:rsidRDefault="001B0467">
      <w:r>
        <w:t>Student ID</w:t>
      </w:r>
      <w:r w:rsidR="002E6850">
        <w:t xml:space="preserve">: </w:t>
      </w:r>
      <w:r w:rsidR="003A40D4">
        <w:t>2411</w:t>
      </w:r>
      <w:r w:rsidR="002E6850">
        <w:t>223</w:t>
      </w:r>
    </w:p>
    <w:p w14:paraId="1C0EFB61" w14:textId="5FEDC6A6" w:rsidR="00C723B3" w:rsidRDefault="001B0467">
      <w:r>
        <w:t xml:space="preserve">Submission Date: </w:t>
      </w:r>
      <w:r w:rsidR="002E6850">
        <w:t>19/03/2026</w:t>
      </w:r>
    </w:p>
    <w:p w14:paraId="05CE66C6" w14:textId="77777777" w:rsidR="00C723B3" w:rsidRDefault="00C723B3"/>
    <w:p w14:paraId="5A4965B0" w14:textId="1DD41F74" w:rsidR="00C723B3" w:rsidRDefault="002E6850">
      <w:r>
        <w:t xml:space="preserve">I have the </w:t>
      </w:r>
      <w:r w:rsidR="001B0467">
        <w:t xml:space="preserve">reference evidence used to support the panel discussion for the role of School Safeguarding Lead during the analysis of the Child A Bradford Child Safeguarding Practice </w:t>
      </w:r>
      <w:r w:rsidR="00192A69">
        <w:t xml:space="preserve">below </w:t>
      </w:r>
    </w:p>
    <w:p w14:paraId="4CCEEDC6" w14:textId="77777777" w:rsidR="00C723B3" w:rsidRDefault="001B0467">
      <w:r>
        <w:br w:type="page"/>
      </w:r>
    </w:p>
    <w:p w14:paraId="3984A0CB" w14:textId="140F9208" w:rsidR="00C723B3" w:rsidRDefault="001B0467">
      <w:pPr>
        <w:pStyle w:val="Heading1"/>
      </w:pPr>
      <w:r>
        <w:lastRenderedPageBreak/>
        <w:t xml:space="preserve">References </w:t>
      </w:r>
    </w:p>
    <w:p w14:paraId="710EDDEF" w14:textId="555644E6" w:rsidR="002B346C" w:rsidRDefault="002B346C">
      <w:pPr>
        <w:pStyle w:val="s4"/>
        <w:spacing w:before="0" w:beforeAutospacing="0" w:after="150" w:afterAutospacing="0"/>
        <w:divId w:val="1031999182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 xml:space="preserve">Brandon, M., </w:t>
      </w:r>
      <w:proofErr w:type="spellStart"/>
      <w:r>
        <w:rPr>
          <w:rFonts w:ascii="-webkit-standard" w:hAnsi="-webkit-standard"/>
          <w:color w:val="000000"/>
          <w:sz w:val="27"/>
          <w:szCs w:val="27"/>
        </w:rPr>
        <w:t>Sidebotham</w:t>
      </w:r>
      <w:proofErr w:type="spellEnd"/>
      <w:r>
        <w:rPr>
          <w:rFonts w:ascii="-webkit-standard" w:hAnsi="-webkit-standard"/>
          <w:color w:val="000000"/>
          <w:sz w:val="27"/>
          <w:szCs w:val="27"/>
        </w:rPr>
        <w:t xml:space="preserve">, P., Bailey, S., </w:t>
      </w:r>
      <w:proofErr w:type="spellStart"/>
      <w:r>
        <w:rPr>
          <w:rFonts w:ascii="-webkit-standard" w:hAnsi="-webkit-standard"/>
          <w:color w:val="000000"/>
          <w:sz w:val="27"/>
          <w:szCs w:val="27"/>
        </w:rPr>
        <w:t>Belderson</w:t>
      </w:r>
      <w:proofErr w:type="spellEnd"/>
      <w:r>
        <w:rPr>
          <w:rFonts w:ascii="-webkit-standard" w:hAnsi="-webkit-standard"/>
          <w:color w:val="000000"/>
          <w:sz w:val="27"/>
          <w:szCs w:val="27"/>
        </w:rPr>
        <w:t xml:space="preserve">, P. and Hawley, C. (2020) Complexity and challenge: A triennial analysis of serious case reviews 2014–2017. London: Department for Education. Available at: </w:t>
      </w:r>
      <w:r w:rsidR="00A71B1C" w:rsidRPr="00A71B1C">
        <w:rPr>
          <w:rFonts w:ascii="-webkit-standard" w:hAnsi="-webkit-standard"/>
          <w:color w:val="000000"/>
          <w:sz w:val="27"/>
          <w:szCs w:val="27"/>
        </w:rPr>
        <w:t>https://www.gov.uk/government/publications/analysis-of-serious-case-reviews-2011-to-2014</w:t>
      </w:r>
      <w:r>
        <w:rPr>
          <w:rFonts w:ascii="-webkit-standard" w:hAnsi="-webkit-standard"/>
          <w:color w:val="000000"/>
          <w:sz w:val="27"/>
          <w:szCs w:val="27"/>
        </w:rPr>
        <w:t xml:space="preserve"> (Accessed: 8 March 2026).</w:t>
      </w:r>
    </w:p>
    <w:p w14:paraId="62650100" w14:textId="77777777" w:rsidR="002B346C" w:rsidRDefault="002B346C">
      <w:pPr>
        <w:pStyle w:val="s4"/>
        <w:spacing w:before="0" w:beforeAutospacing="0" w:after="150" w:afterAutospacing="0"/>
        <w:divId w:val="1031999182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Department for Education (2023) Keeping children safe in education. London: DfE. Available at: https://www.gov.uk/government/publications/keeping-children-safe-in-education--2 (Accessed: 8 March 2026).</w:t>
      </w:r>
    </w:p>
    <w:p w14:paraId="57E43B7C" w14:textId="77777777" w:rsidR="002B346C" w:rsidRDefault="002B346C">
      <w:pPr>
        <w:pStyle w:val="s4"/>
        <w:spacing w:before="0" w:beforeAutospacing="0" w:after="150" w:afterAutospacing="0"/>
        <w:divId w:val="1031999182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HM Government (2018) Working together to safeguard children: A guide to inter-agency working to safeguard and promote the welfare of children. London: HM Government. Available at: https://www.gov.uk/government/publications/working-together-to-safeguard-children--2 (Accessed: 8 March 2026).</w:t>
      </w:r>
    </w:p>
    <w:p w14:paraId="69CADFC2" w14:textId="77777777" w:rsidR="002B346C" w:rsidRDefault="002B346C">
      <w:pPr>
        <w:pStyle w:val="s4"/>
        <w:spacing w:before="0" w:beforeAutospacing="0" w:after="150" w:afterAutospacing="0"/>
        <w:divId w:val="1031999182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Munro, E. (2011) The Munro review of child protection: Final report. London: Department for Education. Available at: https://www.gov.uk/government/publications/munro-review-of-child-protection-final-report-a-child-centred-system (Accessed: 8 March 2026).</w:t>
      </w:r>
    </w:p>
    <w:p w14:paraId="26F6FBE8" w14:textId="06DD51B8" w:rsidR="002B346C" w:rsidRDefault="002B346C">
      <w:pPr>
        <w:pStyle w:val="s4"/>
        <w:spacing w:before="0" w:beforeAutospacing="0" w:after="150" w:afterAutospacing="0"/>
        <w:divId w:val="1031999182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 xml:space="preserve">NSPCC (2023) Child neglect: Learning from case reviews. London: NSPCC. Available at: </w:t>
      </w:r>
      <w:r w:rsidR="00B43EAE" w:rsidRPr="00B43EAE">
        <w:rPr>
          <w:rFonts w:ascii="-webkit-standard" w:hAnsi="-webkit-standard"/>
          <w:color w:val="000000"/>
          <w:sz w:val="27"/>
          <w:szCs w:val="27"/>
        </w:rPr>
        <w:t>https://learning.nspcc.org.uk/research-resources/learning-from-case-reviews/neglect?</w:t>
      </w:r>
      <w:r>
        <w:rPr>
          <w:rFonts w:ascii="-webkit-standard" w:hAnsi="-webkit-standard"/>
          <w:color w:val="000000"/>
          <w:sz w:val="27"/>
          <w:szCs w:val="27"/>
        </w:rPr>
        <w:t xml:space="preserve"> (Accessed: 8 March 2026).</w:t>
      </w:r>
    </w:p>
    <w:p w14:paraId="6C2AB25E" w14:textId="73BE4639" w:rsidR="002B346C" w:rsidRDefault="002B346C">
      <w:pPr>
        <w:pStyle w:val="s4"/>
        <w:spacing w:before="0" w:beforeAutospacing="0" w:after="150" w:afterAutospacing="0"/>
        <w:divId w:val="1031999182"/>
        <w:rPr>
          <w:rFonts w:ascii="-webkit-standard" w:hAnsi="-webkit-standard"/>
          <w:color w:val="000000"/>
          <w:sz w:val="27"/>
          <w:szCs w:val="27"/>
        </w:rPr>
      </w:pPr>
      <w:proofErr w:type="spellStart"/>
      <w:r>
        <w:rPr>
          <w:rFonts w:ascii="-webkit-standard" w:hAnsi="-webkit-standard"/>
          <w:color w:val="000000"/>
          <w:sz w:val="27"/>
          <w:szCs w:val="27"/>
        </w:rPr>
        <w:t>Sidebotham</w:t>
      </w:r>
      <w:proofErr w:type="spellEnd"/>
      <w:r>
        <w:rPr>
          <w:rFonts w:ascii="-webkit-standard" w:hAnsi="-webkit-standard"/>
          <w:color w:val="000000"/>
          <w:sz w:val="27"/>
          <w:szCs w:val="27"/>
        </w:rPr>
        <w:t xml:space="preserve">, P., Brandon, M., Bailey, S., </w:t>
      </w:r>
      <w:proofErr w:type="spellStart"/>
      <w:r>
        <w:rPr>
          <w:rFonts w:ascii="-webkit-standard" w:hAnsi="-webkit-standard"/>
          <w:color w:val="000000"/>
          <w:sz w:val="27"/>
          <w:szCs w:val="27"/>
        </w:rPr>
        <w:t>Belderson</w:t>
      </w:r>
      <w:proofErr w:type="spellEnd"/>
      <w:r>
        <w:rPr>
          <w:rFonts w:ascii="-webkit-standard" w:hAnsi="-webkit-standard"/>
          <w:color w:val="000000"/>
          <w:sz w:val="27"/>
          <w:szCs w:val="27"/>
        </w:rPr>
        <w:t xml:space="preserve">, P., Hawley, C., Ellis, C. and </w:t>
      </w:r>
      <w:proofErr w:type="spellStart"/>
      <w:r>
        <w:rPr>
          <w:rFonts w:ascii="-webkit-standard" w:hAnsi="-webkit-standard"/>
          <w:color w:val="000000"/>
          <w:sz w:val="27"/>
          <w:szCs w:val="27"/>
        </w:rPr>
        <w:t>Megson</w:t>
      </w:r>
      <w:proofErr w:type="spellEnd"/>
      <w:r>
        <w:rPr>
          <w:rFonts w:ascii="-webkit-standard" w:hAnsi="-webkit-standard"/>
          <w:color w:val="000000"/>
          <w:sz w:val="27"/>
          <w:szCs w:val="27"/>
        </w:rPr>
        <w:t xml:space="preserve">, M. (2016) Pathways to harm, pathways to protection: A triennial analysis of serious case reviews 2011–2014. London: Department for Education. Available at: </w:t>
      </w:r>
      <w:r w:rsidR="00230D2C" w:rsidRPr="00230D2C">
        <w:rPr>
          <w:rFonts w:ascii="-webkit-standard" w:hAnsi="-webkit-standard"/>
          <w:color w:val="000000"/>
          <w:sz w:val="27"/>
          <w:szCs w:val="27"/>
        </w:rPr>
        <w:t>https://www.gov.uk/government/publications/analysis-of-serious-case-reviews-2011-to-2014?</w:t>
      </w:r>
      <w:r>
        <w:rPr>
          <w:rFonts w:ascii="-webkit-standard" w:hAnsi="-webkit-standard"/>
          <w:color w:val="000000"/>
          <w:sz w:val="27"/>
          <w:szCs w:val="27"/>
        </w:rPr>
        <w:t xml:space="preserve"> (Accessed: 8 March 2026).</w:t>
      </w:r>
    </w:p>
    <w:p w14:paraId="3D09BE1A" w14:textId="77777777" w:rsidR="002B346C" w:rsidRDefault="002B346C">
      <w:pPr>
        <w:pStyle w:val="s4"/>
        <w:spacing w:before="0" w:beforeAutospacing="0" w:after="150" w:afterAutospacing="0"/>
        <w:divId w:val="1031999182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UK Government (1989) Children Act 1989. London: HMSO. Available at: https://www.legislation.gov.uk/ukpga/1989/41/contents (Accessed: 8 March 2026).</w:t>
      </w:r>
    </w:p>
    <w:p w14:paraId="39CED253" w14:textId="77777777" w:rsidR="002B346C" w:rsidRDefault="002B346C">
      <w:pPr>
        <w:pStyle w:val="s4"/>
        <w:spacing w:before="0" w:beforeAutospacing="0" w:after="150" w:afterAutospacing="0"/>
        <w:divId w:val="1031999182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UK Government (2004) Children Act 2004. London: HMSO. Available at: https://www.legislation.gov.uk/ukpga/2004/31/contents (Accessed: 8 March 2026).</w:t>
      </w:r>
    </w:p>
    <w:p w14:paraId="5E230F4B" w14:textId="5A93BEE3" w:rsidR="00C723B3" w:rsidRDefault="00C723B3" w:rsidP="002B346C"/>
    <w:sectPr w:rsidR="00C723B3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-webkit-standard">
    <w:altName w:val="Cambria"/>
    <w:panose1 w:val="020B0604020202020204"/>
    <w:charset w:val="00"/>
    <w:family w:val="roman"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576549898">
    <w:abstractNumId w:val="8"/>
  </w:num>
  <w:num w:numId="2" w16cid:durableId="369843953">
    <w:abstractNumId w:val="6"/>
  </w:num>
  <w:num w:numId="3" w16cid:durableId="893659969">
    <w:abstractNumId w:val="5"/>
  </w:num>
  <w:num w:numId="4" w16cid:durableId="84814640">
    <w:abstractNumId w:val="4"/>
  </w:num>
  <w:num w:numId="5" w16cid:durableId="1927377294">
    <w:abstractNumId w:val="7"/>
  </w:num>
  <w:num w:numId="6" w16cid:durableId="234320059">
    <w:abstractNumId w:val="3"/>
  </w:num>
  <w:num w:numId="7" w16cid:durableId="2084183230">
    <w:abstractNumId w:val="2"/>
  </w:num>
  <w:num w:numId="8" w16cid:durableId="121772166">
    <w:abstractNumId w:val="1"/>
  </w:num>
  <w:num w:numId="9" w16cid:durableId="21070050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83"/>
  <w:proofState w:spelling="clean"/>
  <w:revisionView w:inkAnnotations="0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192A69"/>
    <w:rsid w:val="001B0467"/>
    <w:rsid w:val="00230D2C"/>
    <w:rsid w:val="0029639D"/>
    <w:rsid w:val="002B346C"/>
    <w:rsid w:val="002E6850"/>
    <w:rsid w:val="00326F90"/>
    <w:rsid w:val="003A40D4"/>
    <w:rsid w:val="00A71B1C"/>
    <w:rsid w:val="00AA1D8D"/>
    <w:rsid w:val="00B43EAE"/>
    <w:rsid w:val="00B47730"/>
    <w:rsid w:val="00B75110"/>
    <w:rsid w:val="00C723B3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EC61A51"/>
  <w14:defaultImageDpi w14:val="300"/>
  <w15:docId w15:val="{B1835C5B-268A-F847-82F0-D57662A99F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paragraph" w:customStyle="1" w:styleId="s4">
    <w:name w:val="s4"/>
    <w:basedOn w:val="Normal"/>
    <w:rsid w:val="002B346C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31999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352</Words>
  <Characters>2010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2358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Toniece Lee</cp:lastModifiedBy>
  <cp:revision>9</cp:revision>
  <dcterms:created xsi:type="dcterms:W3CDTF">2013-12-23T23:15:00Z</dcterms:created>
  <dcterms:modified xsi:type="dcterms:W3CDTF">2026-03-19T23:03:00Z</dcterms:modified>
  <cp:category/>
</cp:coreProperties>
</file>