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2E820A" w14:textId="73F82BEE" w:rsidR="008501DE" w:rsidRPr="008501DE" w:rsidRDefault="008501DE" w:rsidP="008501DE">
      <w:pPr>
        <w:jc w:val="center"/>
        <w:rPr>
          <w:rFonts w:ascii="Arial" w:hAnsi="Arial" w:cs="Arial"/>
        </w:rPr>
      </w:pPr>
      <w:r w:rsidRPr="008501DE">
        <w:rPr>
          <w:rFonts w:ascii="Arial" w:hAnsi="Arial" w:cs="Arial"/>
          <w:lang w:val="en-US"/>
        </w:rPr>
        <w:t>Report Title</w:t>
      </w:r>
      <w:r>
        <w:rPr>
          <w:rFonts w:ascii="Arial" w:hAnsi="Arial" w:cs="Arial"/>
          <w:lang w:val="en-US"/>
        </w:rPr>
        <w:t>:</w:t>
      </w:r>
      <w:r w:rsidRPr="008501DE">
        <w:rPr>
          <w:rFonts w:ascii="Arial" w:hAnsi="Arial" w:cs="Arial"/>
          <w:lang w:val="en-US"/>
        </w:rPr>
        <w:t xml:space="preserve"> Level</w:t>
      </w:r>
      <w:r w:rsidRPr="008501DE">
        <w:rPr>
          <w:rFonts w:ascii="Arial" w:hAnsi="Arial" w:cs="Arial"/>
          <w:lang w:val="en-US"/>
        </w:rPr>
        <w:t xml:space="preserve"> 5 Principles of Health and Social Care Practice module</w:t>
      </w:r>
    </w:p>
    <w:p w14:paraId="087EB766" w14:textId="2C802811" w:rsidR="008501DE" w:rsidRPr="008501DE" w:rsidRDefault="008501DE" w:rsidP="008501DE">
      <w:pPr>
        <w:jc w:val="center"/>
        <w:rPr>
          <w:rFonts w:ascii="Arial" w:hAnsi="Arial" w:cs="Arial"/>
          <w:lang w:val="en-US"/>
        </w:rPr>
      </w:pPr>
      <w:r>
        <w:rPr>
          <w:rFonts w:ascii="Arial" w:hAnsi="Arial" w:cs="Arial"/>
          <w:lang w:val="en-US"/>
        </w:rPr>
        <w:t>Name: Hinna Hussain</w:t>
      </w:r>
    </w:p>
    <w:p w14:paraId="3C3F7CD8" w14:textId="273E2A34" w:rsidR="008501DE" w:rsidRPr="008501DE" w:rsidRDefault="008501DE" w:rsidP="008501DE">
      <w:pPr>
        <w:jc w:val="center"/>
        <w:rPr>
          <w:rFonts w:ascii="Arial" w:hAnsi="Arial" w:cs="Arial"/>
          <w:lang w:val="en-US"/>
        </w:rPr>
      </w:pPr>
      <w:r w:rsidRPr="008501DE">
        <w:rPr>
          <w:rFonts w:ascii="Arial" w:hAnsi="Arial" w:cs="Arial"/>
          <w:lang w:val="en-US"/>
        </w:rPr>
        <w:t xml:space="preserve">Student ID </w:t>
      </w:r>
      <w:r w:rsidRPr="008501DE">
        <w:rPr>
          <w:rFonts w:ascii="Arial" w:hAnsi="Arial" w:cs="Arial"/>
          <w:lang w:val="en-US"/>
        </w:rPr>
        <w:t>Number: 2419356</w:t>
      </w:r>
    </w:p>
    <w:p w14:paraId="6AA541AF" w14:textId="12BA49F7" w:rsidR="008501DE" w:rsidRPr="008501DE" w:rsidRDefault="008501DE" w:rsidP="008501DE">
      <w:pPr>
        <w:jc w:val="center"/>
        <w:rPr>
          <w:rFonts w:ascii="Arial" w:hAnsi="Arial" w:cs="Arial"/>
          <w:lang w:val="en-US"/>
        </w:rPr>
      </w:pPr>
      <w:r w:rsidRPr="008501DE">
        <w:rPr>
          <w:rFonts w:ascii="Arial" w:hAnsi="Arial" w:cs="Arial"/>
          <w:lang w:val="en-US"/>
        </w:rPr>
        <w:t>Module Code</w:t>
      </w:r>
      <w:r>
        <w:rPr>
          <w:rFonts w:ascii="Arial" w:hAnsi="Arial" w:cs="Arial"/>
          <w:lang w:val="en-US"/>
        </w:rPr>
        <w:t xml:space="preserve">: </w:t>
      </w:r>
      <w:r w:rsidRPr="008501DE">
        <w:rPr>
          <w:rFonts w:ascii="Arial" w:hAnsi="Arial" w:cs="Arial"/>
          <w:lang w:val="en-US"/>
        </w:rPr>
        <w:t>BMHP5016</w:t>
      </w:r>
    </w:p>
    <w:p w14:paraId="60D5C0E5" w14:textId="136D6CC9" w:rsidR="008501DE" w:rsidRPr="008501DE" w:rsidRDefault="008501DE" w:rsidP="008501DE">
      <w:pPr>
        <w:jc w:val="center"/>
        <w:rPr>
          <w:rFonts w:ascii="Arial" w:hAnsi="Arial" w:cs="Arial"/>
          <w:lang w:val="en-US"/>
        </w:rPr>
      </w:pPr>
      <w:r w:rsidRPr="008501DE">
        <w:rPr>
          <w:rFonts w:ascii="Arial" w:hAnsi="Arial" w:cs="Arial"/>
          <w:lang w:val="en-US"/>
        </w:rPr>
        <w:t>Assignment Title</w:t>
      </w:r>
      <w:r>
        <w:rPr>
          <w:rFonts w:ascii="Arial" w:hAnsi="Arial" w:cs="Arial"/>
          <w:lang w:val="en-US"/>
        </w:rPr>
        <w:t>:</w:t>
      </w:r>
      <w:r w:rsidRPr="008501DE">
        <w:rPr>
          <w:rFonts w:ascii="Arial" w:hAnsi="Arial" w:cs="Arial"/>
          <w:lang w:val="en-US"/>
        </w:rPr>
        <w:t xml:space="preserve"> Person</w:t>
      </w:r>
      <w:r w:rsidRPr="008501DE">
        <w:rPr>
          <w:rFonts w:ascii="Arial" w:hAnsi="Arial" w:cs="Arial"/>
          <w:lang w:val="en-US"/>
        </w:rPr>
        <w:t>-Centered Care and Partnership Working in Health and Social Care Practice</w:t>
      </w:r>
    </w:p>
    <w:p w14:paraId="4B3465B1" w14:textId="77777777" w:rsidR="00C16B17" w:rsidRPr="00C16B17" w:rsidRDefault="00C16B17" w:rsidP="00C16B17">
      <w:pPr>
        <w:rPr>
          <w:rFonts w:ascii="Arial" w:hAnsi="Arial" w:cs="Arial"/>
          <w:b/>
          <w:bCs/>
          <w:lang w:val="en-US"/>
        </w:rPr>
      </w:pPr>
    </w:p>
    <w:p w14:paraId="672BFA0C" w14:textId="77777777" w:rsidR="00C16B17" w:rsidRPr="00C16B17" w:rsidRDefault="00C16B17" w:rsidP="00C16B17">
      <w:pPr>
        <w:rPr>
          <w:rFonts w:ascii="Arial" w:hAnsi="Arial" w:cs="Arial"/>
          <w:b/>
          <w:bCs/>
          <w:lang w:val="en-US"/>
        </w:rPr>
      </w:pPr>
    </w:p>
    <w:p w14:paraId="207F3083" w14:textId="77777777" w:rsidR="00C16B17" w:rsidRPr="00C16B17" w:rsidRDefault="00C16B17" w:rsidP="00C16B17">
      <w:pPr>
        <w:rPr>
          <w:rFonts w:ascii="Arial" w:hAnsi="Arial" w:cs="Arial"/>
          <w:b/>
          <w:bCs/>
          <w:lang w:val="en-US"/>
        </w:rPr>
      </w:pPr>
    </w:p>
    <w:p w14:paraId="0105DD52" w14:textId="77777777" w:rsidR="00C16B17" w:rsidRPr="00C16B17" w:rsidRDefault="00C16B17" w:rsidP="00C16B17">
      <w:pPr>
        <w:rPr>
          <w:rFonts w:ascii="Arial" w:hAnsi="Arial" w:cs="Arial"/>
          <w:b/>
          <w:bCs/>
          <w:lang w:val="en-US"/>
        </w:rPr>
      </w:pPr>
    </w:p>
    <w:p w14:paraId="2C995A98" w14:textId="77777777" w:rsidR="00C16B17" w:rsidRPr="00C16B17" w:rsidRDefault="00C16B17" w:rsidP="00C16B17">
      <w:pPr>
        <w:rPr>
          <w:rFonts w:ascii="Arial" w:hAnsi="Arial" w:cs="Arial"/>
          <w:b/>
          <w:bCs/>
          <w:lang w:val="en-US"/>
        </w:rPr>
      </w:pPr>
    </w:p>
    <w:p w14:paraId="2172C720" w14:textId="77777777" w:rsidR="00C16B17" w:rsidRPr="00C16B17" w:rsidRDefault="00C16B17" w:rsidP="00C16B17">
      <w:pPr>
        <w:rPr>
          <w:rFonts w:ascii="Arial" w:hAnsi="Arial" w:cs="Arial"/>
          <w:b/>
          <w:bCs/>
          <w:lang w:val="en-US"/>
        </w:rPr>
      </w:pPr>
    </w:p>
    <w:p w14:paraId="04E43B60" w14:textId="77777777" w:rsidR="00C16B17" w:rsidRPr="00C16B17" w:rsidRDefault="00C16B17" w:rsidP="00C16B17">
      <w:pPr>
        <w:rPr>
          <w:rFonts w:ascii="Arial" w:hAnsi="Arial" w:cs="Arial"/>
          <w:b/>
          <w:bCs/>
          <w:lang w:val="en-US"/>
        </w:rPr>
      </w:pPr>
    </w:p>
    <w:p w14:paraId="56948CBE" w14:textId="77777777" w:rsidR="00C16B17" w:rsidRPr="00C16B17" w:rsidRDefault="00C16B17" w:rsidP="00C16B17">
      <w:pPr>
        <w:rPr>
          <w:rFonts w:ascii="Arial" w:hAnsi="Arial" w:cs="Arial"/>
          <w:b/>
          <w:bCs/>
          <w:lang w:val="en-US"/>
        </w:rPr>
      </w:pPr>
    </w:p>
    <w:p w14:paraId="3857438F" w14:textId="77777777" w:rsidR="00C16B17" w:rsidRPr="00C16B17" w:rsidRDefault="00C16B17" w:rsidP="00C16B17">
      <w:pPr>
        <w:rPr>
          <w:rFonts w:ascii="Arial" w:hAnsi="Arial" w:cs="Arial"/>
          <w:b/>
          <w:bCs/>
          <w:lang w:val="en-US"/>
        </w:rPr>
      </w:pPr>
    </w:p>
    <w:p w14:paraId="2FC523DB" w14:textId="77777777" w:rsidR="00C16B17" w:rsidRPr="00C16B17" w:rsidRDefault="00C16B17" w:rsidP="00C16B17">
      <w:pPr>
        <w:rPr>
          <w:rFonts w:ascii="Arial" w:hAnsi="Arial" w:cs="Arial"/>
          <w:b/>
          <w:bCs/>
          <w:lang w:val="en-US"/>
        </w:rPr>
      </w:pPr>
    </w:p>
    <w:p w14:paraId="673128B7" w14:textId="77777777" w:rsidR="00C16B17" w:rsidRPr="00C16B17" w:rsidRDefault="00C16B17" w:rsidP="00C16B17">
      <w:pPr>
        <w:rPr>
          <w:rFonts w:ascii="Arial" w:hAnsi="Arial" w:cs="Arial"/>
          <w:b/>
          <w:bCs/>
          <w:lang w:val="en-US"/>
        </w:rPr>
      </w:pPr>
    </w:p>
    <w:p w14:paraId="1C3BE615" w14:textId="77777777" w:rsidR="00C16B17" w:rsidRPr="00C16B17" w:rsidRDefault="00C16B17" w:rsidP="00C16B17">
      <w:pPr>
        <w:rPr>
          <w:rFonts w:ascii="Arial" w:hAnsi="Arial" w:cs="Arial"/>
          <w:b/>
          <w:bCs/>
          <w:lang w:val="en-US"/>
        </w:rPr>
      </w:pPr>
    </w:p>
    <w:p w14:paraId="4AF1E50B" w14:textId="77777777" w:rsidR="00C16B17" w:rsidRPr="00C16B17" w:rsidRDefault="00C16B17" w:rsidP="00C16B17">
      <w:pPr>
        <w:rPr>
          <w:rFonts w:ascii="Arial" w:hAnsi="Arial" w:cs="Arial"/>
          <w:b/>
          <w:bCs/>
          <w:lang w:val="en-US"/>
        </w:rPr>
      </w:pPr>
    </w:p>
    <w:p w14:paraId="62792EAF" w14:textId="77777777" w:rsidR="00C16B17" w:rsidRPr="00C16B17" w:rsidRDefault="00C16B17" w:rsidP="00C16B17">
      <w:pPr>
        <w:rPr>
          <w:rFonts w:ascii="Arial" w:hAnsi="Arial" w:cs="Arial"/>
          <w:b/>
          <w:bCs/>
          <w:lang w:val="en-US"/>
        </w:rPr>
      </w:pPr>
    </w:p>
    <w:p w14:paraId="5A508F32" w14:textId="77777777" w:rsidR="00C16B17" w:rsidRPr="00C16B17" w:rsidRDefault="00C16B17" w:rsidP="00C16B17">
      <w:pPr>
        <w:rPr>
          <w:rFonts w:ascii="Arial" w:hAnsi="Arial" w:cs="Arial"/>
          <w:b/>
          <w:bCs/>
          <w:lang w:val="en-US"/>
        </w:rPr>
      </w:pPr>
    </w:p>
    <w:p w14:paraId="3709582C" w14:textId="77777777" w:rsidR="00C16B17" w:rsidRDefault="00C16B17" w:rsidP="00C16B17">
      <w:pPr>
        <w:rPr>
          <w:rFonts w:ascii="Arial" w:hAnsi="Arial" w:cs="Arial"/>
          <w:b/>
          <w:bCs/>
          <w:lang w:val="en-US"/>
        </w:rPr>
      </w:pPr>
    </w:p>
    <w:p w14:paraId="761D862A" w14:textId="77777777" w:rsidR="008501DE" w:rsidRDefault="008501DE" w:rsidP="00C16B17">
      <w:pPr>
        <w:rPr>
          <w:rFonts w:ascii="Arial" w:hAnsi="Arial" w:cs="Arial"/>
          <w:b/>
          <w:bCs/>
          <w:lang w:val="en-US"/>
        </w:rPr>
      </w:pPr>
    </w:p>
    <w:p w14:paraId="4DE99D72" w14:textId="77777777" w:rsidR="008501DE" w:rsidRDefault="008501DE" w:rsidP="00C16B17">
      <w:pPr>
        <w:rPr>
          <w:rFonts w:ascii="Arial" w:hAnsi="Arial" w:cs="Arial"/>
          <w:b/>
          <w:bCs/>
          <w:lang w:val="en-US"/>
        </w:rPr>
      </w:pPr>
    </w:p>
    <w:p w14:paraId="303E3658" w14:textId="77777777" w:rsidR="008501DE" w:rsidRDefault="008501DE" w:rsidP="00C16B17">
      <w:pPr>
        <w:rPr>
          <w:rFonts w:ascii="Arial" w:hAnsi="Arial" w:cs="Arial"/>
          <w:b/>
          <w:bCs/>
          <w:lang w:val="en-US"/>
        </w:rPr>
      </w:pPr>
    </w:p>
    <w:p w14:paraId="6931E76E" w14:textId="77777777" w:rsidR="008501DE" w:rsidRDefault="008501DE" w:rsidP="00C16B17">
      <w:pPr>
        <w:rPr>
          <w:rFonts w:ascii="Arial" w:hAnsi="Arial" w:cs="Arial"/>
          <w:b/>
          <w:bCs/>
          <w:lang w:val="en-US"/>
        </w:rPr>
      </w:pPr>
    </w:p>
    <w:p w14:paraId="1BA8C1ED" w14:textId="77777777" w:rsidR="008501DE" w:rsidRDefault="008501DE" w:rsidP="00C16B17">
      <w:pPr>
        <w:rPr>
          <w:rFonts w:ascii="Arial" w:hAnsi="Arial" w:cs="Arial"/>
          <w:b/>
          <w:bCs/>
          <w:lang w:val="en-US"/>
        </w:rPr>
      </w:pPr>
    </w:p>
    <w:p w14:paraId="742316A9" w14:textId="77777777" w:rsidR="008501DE" w:rsidRDefault="008501DE" w:rsidP="00C16B17">
      <w:pPr>
        <w:rPr>
          <w:rFonts w:ascii="Arial" w:hAnsi="Arial" w:cs="Arial"/>
          <w:b/>
          <w:bCs/>
          <w:lang w:val="en-US"/>
        </w:rPr>
      </w:pPr>
    </w:p>
    <w:p w14:paraId="2A744DD6" w14:textId="77777777" w:rsidR="008501DE" w:rsidRDefault="008501DE" w:rsidP="00C16B17">
      <w:pPr>
        <w:rPr>
          <w:rFonts w:ascii="Arial" w:hAnsi="Arial" w:cs="Arial"/>
          <w:b/>
          <w:bCs/>
          <w:lang w:val="en-US"/>
        </w:rPr>
      </w:pPr>
    </w:p>
    <w:p w14:paraId="46059471" w14:textId="19A6AE2A" w:rsidR="00C16B17" w:rsidRDefault="00C16B17" w:rsidP="00C16B17">
      <w:pPr>
        <w:rPr>
          <w:rFonts w:ascii="Arial" w:hAnsi="Arial" w:cs="Arial"/>
        </w:rPr>
      </w:pPr>
      <w:r w:rsidRPr="00C16B17">
        <w:rPr>
          <w:rFonts w:ascii="Arial" w:hAnsi="Arial" w:cs="Arial"/>
          <w:b/>
          <w:bCs/>
          <w:lang w:val="en-US"/>
        </w:rPr>
        <w:lastRenderedPageBreak/>
        <w:t>Contents</w:t>
      </w:r>
      <w:r w:rsidRPr="00C16B17">
        <w:rPr>
          <w:rFonts w:ascii="Arial" w:hAnsi="Arial" w:cs="Arial"/>
        </w:rPr>
        <w:t> </w:t>
      </w:r>
    </w:p>
    <w:p w14:paraId="486951DB" w14:textId="3A8D9B57" w:rsidR="008501DE" w:rsidRDefault="008501DE" w:rsidP="00C16B17">
      <w:pPr>
        <w:rPr>
          <w:rFonts w:ascii="Arial" w:hAnsi="Arial" w:cs="Arial"/>
        </w:rPr>
      </w:pPr>
      <w:r>
        <w:rPr>
          <w:rFonts w:ascii="Arial" w:hAnsi="Arial" w:cs="Arial"/>
        </w:rPr>
        <w:t xml:space="preserve">Person </w:t>
      </w:r>
      <w:proofErr w:type="spellStart"/>
      <w:r>
        <w:rPr>
          <w:rFonts w:ascii="Arial" w:hAnsi="Arial" w:cs="Arial"/>
        </w:rPr>
        <w:t>centered</w:t>
      </w:r>
      <w:proofErr w:type="spellEnd"/>
      <w:r>
        <w:rPr>
          <w:rFonts w:ascii="Arial" w:hAnsi="Arial" w:cs="Arial"/>
        </w:rPr>
        <w:t xml:space="preserve"> care and partnership working in health and social care</w:t>
      </w:r>
      <w:r w:rsidR="009174CD">
        <w:rPr>
          <w:rFonts w:ascii="Arial" w:hAnsi="Arial" w:cs="Arial"/>
        </w:rPr>
        <w:t xml:space="preserve"> - 3</w:t>
      </w:r>
    </w:p>
    <w:p w14:paraId="537D8549" w14:textId="3235F20B" w:rsidR="008501DE" w:rsidRDefault="008501DE" w:rsidP="00C16B17">
      <w:pPr>
        <w:rPr>
          <w:rFonts w:ascii="Arial" w:hAnsi="Arial" w:cs="Arial"/>
        </w:rPr>
      </w:pPr>
      <w:r>
        <w:rPr>
          <w:rFonts w:ascii="Arial" w:hAnsi="Arial" w:cs="Arial"/>
        </w:rPr>
        <w:t>Introduction</w:t>
      </w:r>
      <w:r w:rsidR="009174CD">
        <w:rPr>
          <w:rFonts w:ascii="Arial" w:hAnsi="Arial" w:cs="Arial"/>
        </w:rPr>
        <w:t xml:space="preserve"> - 3</w:t>
      </w:r>
    </w:p>
    <w:p w14:paraId="3E8BC0BD" w14:textId="6BC71C47" w:rsidR="008501DE" w:rsidRDefault="008501DE" w:rsidP="00C16B17">
      <w:pPr>
        <w:rPr>
          <w:rFonts w:ascii="Arial" w:hAnsi="Arial" w:cs="Arial"/>
        </w:rPr>
      </w:pPr>
      <w:r>
        <w:rPr>
          <w:rFonts w:ascii="Arial" w:hAnsi="Arial" w:cs="Arial"/>
        </w:rPr>
        <w:t xml:space="preserve">Define person </w:t>
      </w:r>
      <w:proofErr w:type="spellStart"/>
      <w:r>
        <w:rPr>
          <w:rFonts w:ascii="Arial" w:hAnsi="Arial" w:cs="Arial"/>
        </w:rPr>
        <w:t>cent</w:t>
      </w:r>
      <w:r w:rsidR="009174CD">
        <w:rPr>
          <w:rFonts w:ascii="Arial" w:hAnsi="Arial" w:cs="Arial"/>
        </w:rPr>
        <w:t>e</w:t>
      </w:r>
      <w:r>
        <w:rPr>
          <w:rFonts w:ascii="Arial" w:hAnsi="Arial" w:cs="Arial"/>
        </w:rPr>
        <w:t>red</w:t>
      </w:r>
      <w:proofErr w:type="spellEnd"/>
      <w:r>
        <w:rPr>
          <w:rFonts w:ascii="Arial" w:hAnsi="Arial" w:cs="Arial"/>
        </w:rPr>
        <w:t xml:space="preserve"> care</w:t>
      </w:r>
      <w:r w:rsidR="009174CD">
        <w:rPr>
          <w:rFonts w:ascii="Arial" w:hAnsi="Arial" w:cs="Arial"/>
        </w:rPr>
        <w:t xml:space="preserve"> - 3</w:t>
      </w:r>
    </w:p>
    <w:p w14:paraId="59FD6F1D" w14:textId="6BEE8F6B" w:rsidR="008501DE" w:rsidRDefault="008501DE" w:rsidP="00C16B17">
      <w:pPr>
        <w:rPr>
          <w:rFonts w:ascii="Arial" w:hAnsi="Arial" w:cs="Arial"/>
        </w:rPr>
      </w:pPr>
      <w:r>
        <w:rPr>
          <w:rFonts w:ascii="Arial" w:hAnsi="Arial" w:cs="Arial"/>
        </w:rPr>
        <w:t>Theoretical foundations underpinning person centred care</w:t>
      </w:r>
      <w:r w:rsidR="009174CD">
        <w:rPr>
          <w:rFonts w:ascii="Arial" w:hAnsi="Arial" w:cs="Arial"/>
        </w:rPr>
        <w:t xml:space="preserve"> - 4</w:t>
      </w:r>
    </w:p>
    <w:p w14:paraId="6D02679F" w14:textId="1D362F78" w:rsidR="008501DE" w:rsidRDefault="008501DE" w:rsidP="00C16B17">
      <w:pPr>
        <w:rPr>
          <w:rFonts w:ascii="Arial" w:hAnsi="Arial" w:cs="Arial"/>
        </w:rPr>
      </w:pPr>
      <w:r>
        <w:rPr>
          <w:rFonts w:ascii="Arial" w:hAnsi="Arial" w:cs="Arial"/>
        </w:rPr>
        <w:t>Ethical considerations in health and social care</w:t>
      </w:r>
      <w:r w:rsidR="009174CD">
        <w:rPr>
          <w:rFonts w:ascii="Arial" w:hAnsi="Arial" w:cs="Arial"/>
        </w:rPr>
        <w:t xml:space="preserve"> - 5</w:t>
      </w:r>
    </w:p>
    <w:p w14:paraId="45D805BD" w14:textId="3DD8917B" w:rsidR="008501DE" w:rsidRDefault="008501DE" w:rsidP="00C16B17">
      <w:pPr>
        <w:rPr>
          <w:rFonts w:ascii="Arial" w:hAnsi="Arial" w:cs="Arial"/>
        </w:rPr>
      </w:pPr>
      <w:r>
        <w:rPr>
          <w:rFonts w:ascii="Arial" w:hAnsi="Arial" w:cs="Arial"/>
        </w:rPr>
        <w:t>Partnership in working in health and social care</w:t>
      </w:r>
      <w:r w:rsidR="009174CD">
        <w:rPr>
          <w:rFonts w:ascii="Arial" w:hAnsi="Arial" w:cs="Arial"/>
        </w:rPr>
        <w:t xml:space="preserve"> - 5</w:t>
      </w:r>
    </w:p>
    <w:p w14:paraId="3E799F41" w14:textId="3E04D93F" w:rsidR="008501DE" w:rsidRDefault="008501DE" w:rsidP="00C16B17">
      <w:pPr>
        <w:rPr>
          <w:rFonts w:ascii="Arial" w:hAnsi="Arial" w:cs="Arial"/>
        </w:rPr>
      </w:pPr>
      <w:r>
        <w:rPr>
          <w:rFonts w:ascii="Arial" w:hAnsi="Arial" w:cs="Arial"/>
        </w:rPr>
        <w:t>Recommendations for future development</w:t>
      </w:r>
      <w:r w:rsidR="009174CD">
        <w:rPr>
          <w:rFonts w:ascii="Arial" w:hAnsi="Arial" w:cs="Arial"/>
        </w:rPr>
        <w:t xml:space="preserve"> - 6</w:t>
      </w:r>
    </w:p>
    <w:p w14:paraId="779810B0" w14:textId="6D007D3A" w:rsidR="009174CD" w:rsidRDefault="008501DE" w:rsidP="00C16B17">
      <w:pPr>
        <w:rPr>
          <w:rFonts w:ascii="Arial" w:hAnsi="Arial" w:cs="Arial"/>
        </w:rPr>
      </w:pPr>
      <w:proofErr w:type="gramStart"/>
      <w:r>
        <w:rPr>
          <w:rFonts w:ascii="Arial" w:hAnsi="Arial" w:cs="Arial"/>
        </w:rPr>
        <w:t xml:space="preserve">Conclusion </w:t>
      </w:r>
      <w:r w:rsidR="009174CD">
        <w:rPr>
          <w:rFonts w:ascii="Arial" w:hAnsi="Arial" w:cs="Arial"/>
        </w:rPr>
        <w:t xml:space="preserve"> -</w:t>
      </w:r>
      <w:proofErr w:type="gramEnd"/>
      <w:r w:rsidR="009174CD">
        <w:rPr>
          <w:rFonts w:ascii="Arial" w:hAnsi="Arial" w:cs="Arial"/>
        </w:rPr>
        <w:t xml:space="preserve"> 7</w:t>
      </w:r>
    </w:p>
    <w:p w14:paraId="3080AEA2" w14:textId="4EEA1B82" w:rsidR="00C16B17" w:rsidRPr="00C16B17" w:rsidRDefault="009174CD" w:rsidP="00C16B17">
      <w:pPr>
        <w:rPr>
          <w:rFonts w:ascii="Arial" w:hAnsi="Arial" w:cs="Arial"/>
        </w:rPr>
      </w:pPr>
      <w:r>
        <w:rPr>
          <w:rFonts w:ascii="Arial" w:hAnsi="Arial" w:cs="Arial"/>
        </w:rPr>
        <w:br w:type="page"/>
      </w:r>
      <w:r w:rsidR="00C16B17" w:rsidRPr="00C16B17">
        <w:rPr>
          <w:rFonts w:ascii="Arial" w:hAnsi="Arial" w:cs="Arial"/>
          <w:b/>
          <w:bCs/>
          <w:lang w:val="en-US"/>
        </w:rPr>
        <w:lastRenderedPageBreak/>
        <w:t>Person-Centered Care and Partnership Working in Health and Social Care Practice</w:t>
      </w:r>
      <w:r w:rsidR="00C16B17" w:rsidRPr="00C16B17">
        <w:rPr>
          <w:rFonts w:ascii="Arial" w:hAnsi="Arial" w:cs="Arial"/>
          <w:b/>
          <w:bCs/>
        </w:rPr>
        <w:t> </w:t>
      </w:r>
    </w:p>
    <w:p w14:paraId="53B85A5C" w14:textId="77777777" w:rsidR="00C16B17" w:rsidRPr="00C16B17" w:rsidRDefault="00C16B17" w:rsidP="00C16B17">
      <w:pPr>
        <w:rPr>
          <w:rFonts w:ascii="Arial" w:hAnsi="Arial" w:cs="Arial"/>
          <w:b/>
          <w:bCs/>
        </w:rPr>
      </w:pPr>
      <w:r w:rsidRPr="00C16B17">
        <w:rPr>
          <w:rFonts w:ascii="Arial" w:hAnsi="Arial" w:cs="Arial"/>
          <w:b/>
          <w:bCs/>
          <w:lang w:val="en-US"/>
        </w:rPr>
        <w:t>Introduction</w:t>
      </w:r>
      <w:r w:rsidRPr="00C16B17">
        <w:rPr>
          <w:rFonts w:ascii="Arial" w:hAnsi="Arial" w:cs="Arial"/>
          <w:b/>
          <w:bCs/>
        </w:rPr>
        <w:t> </w:t>
      </w:r>
    </w:p>
    <w:p w14:paraId="626F6FA2" w14:textId="4C42E1D8" w:rsidR="00C16B17" w:rsidRPr="00C16B17" w:rsidRDefault="00C16B17" w:rsidP="00C16B17">
      <w:pPr>
        <w:rPr>
          <w:rFonts w:ascii="Arial" w:hAnsi="Arial" w:cs="Arial"/>
        </w:rPr>
      </w:pPr>
      <w:r w:rsidRPr="00C16B17">
        <w:rPr>
          <w:rFonts w:ascii="Arial" w:hAnsi="Arial" w:cs="Arial"/>
          <w:lang w:val="en-US"/>
        </w:rPr>
        <w:t xml:space="preserve">Person-centered care (PCC) and partnership working (PW) are core values in health and social care, which are becoming more frequently recognized as crucial elements in strengthening patient outcomes and improving overall quality of care. PCC focuses on the preferences, values, and needs of an individual, thus guaranteeing that the patients are engaged as active participants in their care (Coulter, 2011). Contrary to the conventional approaches that usually emphasize the provider-centric models of care, PCC is centered on individualized situations of every person, and care plans are designed to meet their personal needs. Partnership working, on the other hand, is a system of collaboration between different types of professionals, organizations, and services to provide </w:t>
      </w:r>
      <w:r w:rsidRPr="00C16B17">
        <w:rPr>
          <w:rFonts w:ascii="Arial" w:hAnsi="Arial" w:cs="Arial"/>
          <w:lang w:val="en-US"/>
        </w:rPr>
        <w:t>integrated</w:t>
      </w:r>
      <w:r w:rsidRPr="00C16B17">
        <w:rPr>
          <w:rFonts w:ascii="Arial" w:hAnsi="Arial" w:cs="Arial"/>
          <w:lang w:val="en-US"/>
        </w:rPr>
        <w:t xml:space="preserve"> care, specifically to patients with multi-dimensional and complex health and social needs (Reist et al., 2022). The successful combination of the two models is the key to giving </w:t>
      </w:r>
      <w:r w:rsidRPr="00C16B17">
        <w:rPr>
          <w:rFonts w:ascii="Arial" w:hAnsi="Arial" w:cs="Arial"/>
          <w:lang w:val="en-US"/>
        </w:rPr>
        <w:t>comprehensive</w:t>
      </w:r>
      <w:r w:rsidRPr="00C16B17">
        <w:rPr>
          <w:rFonts w:ascii="Arial" w:hAnsi="Arial" w:cs="Arial"/>
          <w:lang w:val="en-US"/>
        </w:rPr>
        <w:t> and long-term care that is sensitive to the emerging needs of a patient. The purpose of this report is to provide a critical analysis of the role of PCC and PW in the health and social care systems. It will discuss the theoretical framework of these models, discuss the ethical implications of their application, and address how they apply to real-world situations. The report will also examine the issues experienced in trying to apply these models and policy and legislative frameworks that facilitate or impede their success in practice.</w:t>
      </w:r>
      <w:r w:rsidRPr="00C16B17">
        <w:rPr>
          <w:rFonts w:ascii="Arial" w:hAnsi="Arial" w:cs="Arial"/>
        </w:rPr>
        <w:t> </w:t>
      </w:r>
    </w:p>
    <w:p w14:paraId="681A8F7D" w14:textId="77777777" w:rsidR="00C16B17" w:rsidRPr="00C16B17" w:rsidRDefault="00C16B17" w:rsidP="00C16B17">
      <w:pPr>
        <w:rPr>
          <w:rFonts w:ascii="Arial" w:hAnsi="Arial" w:cs="Arial"/>
          <w:b/>
          <w:bCs/>
        </w:rPr>
      </w:pPr>
      <w:r w:rsidRPr="00C16B17">
        <w:rPr>
          <w:rFonts w:ascii="Arial" w:hAnsi="Arial" w:cs="Arial"/>
          <w:b/>
          <w:bCs/>
          <w:lang w:val="en-US"/>
        </w:rPr>
        <w:t>Define Person-Centered Care (PCC)</w:t>
      </w:r>
      <w:r w:rsidRPr="00C16B17">
        <w:rPr>
          <w:rFonts w:ascii="Arial" w:hAnsi="Arial" w:cs="Arial"/>
          <w:b/>
          <w:bCs/>
        </w:rPr>
        <w:t> </w:t>
      </w:r>
    </w:p>
    <w:p w14:paraId="5DFF8EFE" w14:textId="77777777" w:rsidR="00C16B17" w:rsidRPr="00C16B17" w:rsidRDefault="00C16B17" w:rsidP="00C16B17">
      <w:pPr>
        <w:rPr>
          <w:rFonts w:ascii="Arial" w:hAnsi="Arial" w:cs="Arial"/>
        </w:rPr>
      </w:pPr>
      <w:r w:rsidRPr="00C16B17">
        <w:rPr>
          <w:rFonts w:ascii="Arial" w:hAnsi="Arial" w:cs="Arial"/>
          <w:lang w:val="en-US"/>
        </w:rPr>
        <w:t>Person-centered care (PCC) is an integrated healthcare methodology that involves the individual as the central component in the decision-making process. It underlines the necessity to comprehend the specifics of the situation of every patient and their personal values, preferences, and experiences. PCC considers the patient a partner in his or her treatment and not a passive receiver of care. This model presupposes that healthcare specialists should address patients in an open and empathetic manner to empower them to make informed choices about their treatment options (Grover et al., 2022, p. 1679). The philosophy behind PCC is to not only make sure that care provided is clinically appropriate, but also that care is personalized to address the holistic needs of the patient.</w:t>
      </w:r>
      <w:r w:rsidRPr="00C16B17">
        <w:rPr>
          <w:rFonts w:ascii="Arial" w:hAnsi="Arial" w:cs="Arial"/>
        </w:rPr>
        <w:t> </w:t>
      </w:r>
    </w:p>
    <w:p w14:paraId="301D8549" w14:textId="77777777" w:rsidR="00C16B17" w:rsidRPr="00C16B17" w:rsidRDefault="00C16B17" w:rsidP="00C16B17">
      <w:pPr>
        <w:rPr>
          <w:rFonts w:ascii="Arial" w:hAnsi="Arial" w:cs="Arial"/>
        </w:rPr>
      </w:pPr>
      <w:r w:rsidRPr="00C16B17">
        <w:rPr>
          <w:rFonts w:ascii="Arial" w:hAnsi="Arial" w:cs="Arial"/>
          <w:lang w:val="en-US"/>
        </w:rPr>
        <w:t>The advantages of person-centered care are many and extensive. First, it enhances patient satisfaction as individuals feel valued and respected because they </w:t>
      </w:r>
      <w:proofErr w:type="gramStart"/>
      <w:r w:rsidRPr="00C16B17">
        <w:rPr>
          <w:rFonts w:ascii="Arial" w:hAnsi="Arial" w:cs="Arial"/>
          <w:lang w:val="en-US"/>
        </w:rPr>
        <w:t>are able to</w:t>
      </w:r>
      <w:proofErr w:type="gramEnd"/>
      <w:r w:rsidRPr="00C16B17">
        <w:rPr>
          <w:rFonts w:ascii="Arial" w:hAnsi="Arial" w:cs="Arial"/>
          <w:lang w:val="en-US"/>
        </w:rPr>
        <w:t xml:space="preserve"> participate in decision-making regarding their care. Research has demonstrated that patients engaged in their care plan have an improved level of satisfaction and a positive health outcome (Chen et al., 2024, p. 1). Moreover, PCC results in the improvement of health management, especially among people living with chronic conditions. Allowing patients to participate actively in their care can help </w:t>
      </w:r>
      <w:r w:rsidRPr="00C16B17">
        <w:rPr>
          <w:rFonts w:ascii="Arial" w:hAnsi="Arial" w:cs="Arial"/>
          <w:lang w:val="en-US"/>
        </w:rPr>
        <w:lastRenderedPageBreak/>
        <w:t>them become more likely to adhere to prescribed treatment plans and comply with care, which would lead to better long-term health outcomes.</w:t>
      </w:r>
      <w:r w:rsidRPr="00C16B17">
        <w:rPr>
          <w:rFonts w:ascii="Arial" w:hAnsi="Arial" w:cs="Arial"/>
        </w:rPr>
        <w:t> </w:t>
      </w:r>
    </w:p>
    <w:p w14:paraId="778F0148" w14:textId="77777777" w:rsidR="00C16B17" w:rsidRPr="00C16B17" w:rsidRDefault="00C16B17" w:rsidP="00C16B17">
      <w:pPr>
        <w:rPr>
          <w:rFonts w:ascii="Arial" w:hAnsi="Arial" w:cs="Arial"/>
        </w:rPr>
      </w:pPr>
      <w:r w:rsidRPr="00C16B17">
        <w:rPr>
          <w:rFonts w:ascii="Arial" w:hAnsi="Arial" w:cs="Arial"/>
          <w:lang w:val="en-US"/>
        </w:rPr>
        <w:t xml:space="preserve">Nevertheless, the application of PCC has its constraints, which exist especially in units with fewer resources. Lack of appropriate training, a shortage of staff, and the inability to realize the effects of any organizational issues, including time constraints, frequently make healthcare professionals incapable of applying PCC practices to their fullest potential (Grover et al., 2022, p. 1688). Healthcare personnel working in busy healthcare facilities, especially in the acute or emergency care setting, may not have time and resources to engage patients meaningfully </w:t>
      </w:r>
      <w:proofErr w:type="gramStart"/>
      <w:r w:rsidRPr="00C16B17">
        <w:rPr>
          <w:rFonts w:ascii="Arial" w:hAnsi="Arial" w:cs="Arial"/>
          <w:lang w:val="en-US"/>
        </w:rPr>
        <w:t>on</w:t>
      </w:r>
      <w:proofErr w:type="gramEnd"/>
      <w:r w:rsidRPr="00C16B17">
        <w:rPr>
          <w:rFonts w:ascii="Arial" w:hAnsi="Arial" w:cs="Arial"/>
          <w:lang w:val="en-US"/>
        </w:rPr>
        <w:t xml:space="preserve"> their care preferences. However, when it is implemented appropriately, the PCC leads to improved patient interaction, clinical and patient outcomes, and experiences.</w:t>
      </w:r>
      <w:r w:rsidRPr="00C16B17">
        <w:rPr>
          <w:rFonts w:ascii="Arial" w:hAnsi="Arial" w:cs="Arial"/>
        </w:rPr>
        <w:t> </w:t>
      </w:r>
    </w:p>
    <w:p w14:paraId="44311719" w14:textId="77777777" w:rsidR="00C16B17" w:rsidRPr="00C16B17" w:rsidRDefault="00C16B17" w:rsidP="00C16B17">
      <w:pPr>
        <w:rPr>
          <w:rFonts w:ascii="Arial" w:hAnsi="Arial" w:cs="Arial"/>
          <w:b/>
          <w:bCs/>
        </w:rPr>
      </w:pPr>
      <w:r w:rsidRPr="00C16B17">
        <w:rPr>
          <w:rFonts w:ascii="Arial" w:hAnsi="Arial" w:cs="Arial"/>
          <w:b/>
          <w:bCs/>
          <w:lang w:val="en-US"/>
        </w:rPr>
        <w:t>Theoretical Foundations Underpinning Person-Centered Care</w:t>
      </w:r>
      <w:r w:rsidRPr="00C16B17">
        <w:rPr>
          <w:rFonts w:ascii="Arial" w:hAnsi="Arial" w:cs="Arial"/>
          <w:b/>
          <w:bCs/>
        </w:rPr>
        <w:t> </w:t>
      </w:r>
    </w:p>
    <w:p w14:paraId="2A50024F" w14:textId="77777777" w:rsidR="00C16B17" w:rsidRPr="00C16B17" w:rsidRDefault="00C16B17" w:rsidP="00C16B17">
      <w:pPr>
        <w:rPr>
          <w:rFonts w:ascii="Arial" w:hAnsi="Arial" w:cs="Arial"/>
        </w:rPr>
      </w:pPr>
      <w:r w:rsidRPr="00C16B17">
        <w:rPr>
          <w:rFonts w:ascii="Arial" w:hAnsi="Arial" w:cs="Arial"/>
          <w:lang w:val="en-US"/>
        </w:rPr>
        <w:t>Person-centered care (PCC) is underpinned by numerous theoretical frameworks that give healthcare professionals effective means of learning the unique needs of patients and guiding them in offering care. Among the most effective theories in this sphere is the Hierarchy of Needs by Maslow, which provides an effective system of prioritizing the requirements in care depending on the immediate needs of a patient. According to the model by Maslow, human needs are ordered in a pyramid, with physiological needs being the first, then safety, love and belonging, esteem, and finally self-actualization (Boston-Leary et al., 2024, p. 55). The theory by Maslow, in the context of PCC, assists healthcare practitioners in choosing the most pressing patient needs first, so that primary physical and emotional needs are satisfied first before attending to other higher needs such as personal development or self-image. To take a simple case, a patient who has just undergone surgery might need to address initial pain treatment, nutrition, and emotional encouragement before they can think of rehabilitation, or some future long-term approach, such as getting back to work. The Maslow hierarchy also helps healthcare workers to meet patients at the stage of need and design care to first deal with urgent issues (Niemela and Kim, 2023, p. 4154). The model is especially useful in the treatment of chronic diseases, where the needs of patients change over time and demand a more flexible and adaptable approach to care.</w:t>
      </w:r>
      <w:r w:rsidRPr="00C16B17">
        <w:rPr>
          <w:rFonts w:ascii="Arial" w:hAnsi="Arial" w:cs="Arial"/>
        </w:rPr>
        <w:t> </w:t>
      </w:r>
    </w:p>
    <w:p w14:paraId="5A755D93" w14:textId="1AB5D6DC" w:rsidR="00C16B17" w:rsidRPr="00C16B17" w:rsidRDefault="00C16B17" w:rsidP="00C16B17">
      <w:pPr>
        <w:rPr>
          <w:rFonts w:ascii="Arial" w:hAnsi="Arial" w:cs="Arial"/>
        </w:rPr>
      </w:pPr>
      <w:r w:rsidRPr="00C16B17">
        <w:rPr>
          <w:rFonts w:ascii="Arial" w:hAnsi="Arial" w:cs="Arial"/>
          <w:lang w:val="en-US"/>
        </w:rPr>
        <w:t>In addition to the theory proposed by Maslow, the social model of disability plays a significant role in PCC. This model focuses more on the social situation that impedes full membership of a person to </w:t>
      </w:r>
      <w:r w:rsidRPr="00C16B17">
        <w:rPr>
          <w:rFonts w:ascii="Arial" w:hAnsi="Arial" w:cs="Arial"/>
          <w:lang w:val="en-US"/>
        </w:rPr>
        <w:t>society</w:t>
      </w:r>
      <w:r w:rsidRPr="00C16B17">
        <w:rPr>
          <w:rFonts w:ascii="Arial" w:hAnsi="Arial" w:cs="Arial"/>
          <w:lang w:val="en-US"/>
        </w:rPr>
        <w:t xml:space="preserve"> rather than the medical condition. The social model underlines that disability is not simply about physical disability but that it is also a product of social, economic, and environmental factors. Through the identification and elimination of these barriers, healthcare experts would achieve the capacity to offer more comprehensive care to their patients and enable patients to assume control of their health choices (Scope, 2020). In PCC, this </w:t>
      </w:r>
      <w:proofErr w:type="gramStart"/>
      <w:r w:rsidRPr="00C16B17">
        <w:rPr>
          <w:rFonts w:ascii="Arial" w:hAnsi="Arial" w:cs="Arial"/>
          <w:lang w:val="en-US"/>
        </w:rPr>
        <w:t>translates to taking</w:t>
      </w:r>
      <w:proofErr w:type="gramEnd"/>
      <w:r w:rsidRPr="00C16B17">
        <w:rPr>
          <w:rFonts w:ascii="Arial" w:hAnsi="Arial" w:cs="Arial"/>
          <w:lang w:val="en-US"/>
        </w:rPr>
        <w:t xml:space="preserve"> into consideration the social determinants of health, which include access to accommodation, social support, and education, in addition to conventional medical </w:t>
      </w:r>
      <w:r w:rsidRPr="00C16B17">
        <w:rPr>
          <w:rFonts w:ascii="Arial" w:hAnsi="Arial" w:cs="Arial"/>
          <w:lang w:val="en-US"/>
        </w:rPr>
        <w:lastRenderedPageBreak/>
        <w:t>treatments. The social model promotes a more holistic perspective of health that is consistent with the beliefs of person-centered care (Gartner et al., 2022). Overall, these theoretical models contribute to the proper provision of PCC by keeping the care process both all-encompassing and individualized, catering to both the immediate needs of an individual and his or her social and psychological needs affecting the general welfare.</w:t>
      </w:r>
      <w:r w:rsidRPr="00C16B17">
        <w:rPr>
          <w:rFonts w:ascii="Arial" w:hAnsi="Arial" w:cs="Arial"/>
        </w:rPr>
        <w:t> </w:t>
      </w:r>
    </w:p>
    <w:p w14:paraId="6393B82D" w14:textId="77777777" w:rsidR="00C16B17" w:rsidRPr="00C16B17" w:rsidRDefault="00C16B17" w:rsidP="00C16B17">
      <w:pPr>
        <w:rPr>
          <w:rFonts w:ascii="Arial" w:hAnsi="Arial" w:cs="Arial"/>
          <w:b/>
          <w:bCs/>
        </w:rPr>
      </w:pPr>
      <w:r w:rsidRPr="00C16B17">
        <w:rPr>
          <w:rFonts w:ascii="Arial" w:hAnsi="Arial" w:cs="Arial"/>
          <w:b/>
          <w:bCs/>
          <w:lang w:val="en-US"/>
        </w:rPr>
        <w:t>Ethical Considerations in Health and Social Care</w:t>
      </w:r>
      <w:r w:rsidRPr="00C16B17">
        <w:rPr>
          <w:rFonts w:ascii="Arial" w:hAnsi="Arial" w:cs="Arial"/>
          <w:b/>
          <w:bCs/>
        </w:rPr>
        <w:t> </w:t>
      </w:r>
    </w:p>
    <w:p w14:paraId="350D8624" w14:textId="77777777" w:rsidR="00C16B17" w:rsidRPr="00C16B17" w:rsidRDefault="00C16B17" w:rsidP="00C16B17">
      <w:pPr>
        <w:rPr>
          <w:rFonts w:ascii="Arial" w:hAnsi="Arial" w:cs="Arial"/>
        </w:rPr>
      </w:pPr>
      <w:r w:rsidRPr="00C16B17">
        <w:rPr>
          <w:rFonts w:ascii="Arial" w:hAnsi="Arial" w:cs="Arial"/>
          <w:lang w:val="en-US"/>
        </w:rPr>
        <w:t>Person-centered care (PCC) employs ethical principles that are vital to both ensuring the care is effective and, at the same time, respecting the rights and dignity of the individual. The most significant ethical principles in healthcare facilitating the decision-making of healthcare professionals to make ethical decisions in the best interests of the patient without infringing on their values and preferences are autonomy, beneficence, non-maleficence, and justice (Olson and Burns, 2023). PCC is largely based on autonomy that recognizes the right of the patient to make informed choices regarding their care. The autonomy aspect entails giving patients the information they need to make a choice about the type of care they want and aligns their preference with the care plan (James et al., 2023, p. 65). Nonetheless, in some scenarios, autonomy proves to be difficult when the patient cannot make informed decisions when injured or due to cognitive issues. In these situations, medical practitioners need to strike a balance between the principle of autonomy and beneficence, which relates to acting to the best interest of the patient.</w:t>
      </w:r>
      <w:r w:rsidRPr="00C16B17">
        <w:rPr>
          <w:rFonts w:ascii="Arial" w:hAnsi="Arial" w:cs="Arial"/>
        </w:rPr>
        <w:t> </w:t>
      </w:r>
    </w:p>
    <w:p w14:paraId="62DFED37" w14:textId="77777777" w:rsidR="00C16B17" w:rsidRPr="00C16B17" w:rsidRDefault="00C16B17" w:rsidP="00C16B17">
      <w:pPr>
        <w:rPr>
          <w:rFonts w:ascii="Arial" w:hAnsi="Arial" w:cs="Arial"/>
        </w:rPr>
      </w:pPr>
      <w:r w:rsidRPr="00C16B17">
        <w:rPr>
          <w:rFonts w:ascii="Arial" w:hAnsi="Arial" w:cs="Arial"/>
          <w:lang w:val="en-US"/>
        </w:rPr>
        <w:t>Beneficence entails ensuring the well-being of the patient by providing care that is useful, and non-maleficence entails preventing harm expressed by the professionals in healthcare (Giuffrida and Davila, 2024, p. 35). These two principles interact to ensure that treatments and interventions that arise in PCC minimize unwarranted harm to the patient and maximize beneficial results for the patient. Moreover, justice also guarantees that fairness and equity in the delivery of care are upheld. This principle is especially applicable to PCC because it is a tool to provide all patients, irrespective of their experiences and condition, with care that is individualized and tailored to their needs, without discrimination or prejudice (Grover et al., 2022, p. 1680). To ethically make the decision in PCC, healthcare professionals </w:t>
      </w:r>
      <w:proofErr w:type="gramStart"/>
      <w:r w:rsidRPr="00C16B17">
        <w:rPr>
          <w:rFonts w:ascii="Arial" w:hAnsi="Arial" w:cs="Arial"/>
          <w:lang w:val="en-US"/>
        </w:rPr>
        <w:t>have to</w:t>
      </w:r>
      <w:proofErr w:type="gramEnd"/>
      <w:r w:rsidRPr="00C16B17">
        <w:rPr>
          <w:rFonts w:ascii="Arial" w:hAnsi="Arial" w:cs="Arial"/>
          <w:lang w:val="en-US"/>
        </w:rPr>
        <w:t> exercise great caution when balancing these principles </w:t>
      </w:r>
      <w:proofErr w:type="gramStart"/>
      <w:r w:rsidRPr="00C16B17">
        <w:rPr>
          <w:rFonts w:ascii="Arial" w:hAnsi="Arial" w:cs="Arial"/>
          <w:lang w:val="en-US"/>
        </w:rPr>
        <w:t>in order to</w:t>
      </w:r>
      <w:proofErr w:type="gramEnd"/>
      <w:r w:rsidRPr="00C16B17">
        <w:rPr>
          <w:rFonts w:ascii="Arial" w:hAnsi="Arial" w:cs="Arial"/>
          <w:lang w:val="en-US"/>
        </w:rPr>
        <w:t> make sure care can be effective and respectful towards the rights of the individual.</w:t>
      </w:r>
      <w:r w:rsidRPr="00C16B17">
        <w:rPr>
          <w:rFonts w:ascii="Arial" w:hAnsi="Arial" w:cs="Arial"/>
        </w:rPr>
        <w:t> </w:t>
      </w:r>
    </w:p>
    <w:p w14:paraId="439C4487" w14:textId="77777777" w:rsidR="00C16B17" w:rsidRPr="00C16B17" w:rsidRDefault="00C16B17" w:rsidP="00C16B17">
      <w:pPr>
        <w:rPr>
          <w:rFonts w:ascii="Arial" w:hAnsi="Arial" w:cs="Arial"/>
          <w:b/>
          <w:bCs/>
        </w:rPr>
      </w:pPr>
      <w:r w:rsidRPr="00C16B17">
        <w:rPr>
          <w:rFonts w:ascii="Arial" w:hAnsi="Arial" w:cs="Arial"/>
          <w:b/>
          <w:bCs/>
          <w:lang w:val="en-US"/>
        </w:rPr>
        <w:t>Partnership Working in Health and Social Care</w:t>
      </w:r>
      <w:r w:rsidRPr="00C16B17">
        <w:rPr>
          <w:rFonts w:ascii="Arial" w:hAnsi="Arial" w:cs="Arial"/>
          <w:b/>
          <w:bCs/>
        </w:rPr>
        <w:t> </w:t>
      </w:r>
    </w:p>
    <w:p w14:paraId="5CFDB7F2" w14:textId="77777777" w:rsidR="00C16B17" w:rsidRPr="00C16B17" w:rsidRDefault="00C16B17" w:rsidP="00C16B17">
      <w:pPr>
        <w:rPr>
          <w:rFonts w:ascii="Arial" w:hAnsi="Arial" w:cs="Arial"/>
        </w:rPr>
      </w:pPr>
      <w:r w:rsidRPr="00C16B17">
        <w:rPr>
          <w:rFonts w:ascii="Arial" w:hAnsi="Arial" w:cs="Arial"/>
          <w:lang w:val="en-US"/>
        </w:rPr>
        <w:t xml:space="preserve">Partnership working is a cross-collaborative method of care that entails the cooperation of two or more professionals and organizations to deliver synchronized services to a patient. Partnership working (PW) is especially relevant in health and social care and a focus of individuals with complex needs, including elderly patients with long-term conditions, patients with mental health issues, or patients who need medical and social assistance. According to Barr et al. (2024, p. 974), partnership working can result in a positive care coordination process, positive patient outcomes, </w:t>
      </w:r>
      <w:r w:rsidRPr="00C16B17">
        <w:rPr>
          <w:rFonts w:ascii="Arial" w:hAnsi="Arial" w:cs="Arial"/>
          <w:lang w:val="en-US"/>
        </w:rPr>
        <w:lastRenderedPageBreak/>
        <w:t>and efficient resource utilization (Department for Education, 2018). This collaboration enables the professionals to exchange information with each other, eliminate service overlaps, and make sure every area of the patient is taken care of.</w:t>
      </w:r>
      <w:r w:rsidRPr="00C16B17">
        <w:rPr>
          <w:rFonts w:ascii="Arial" w:hAnsi="Arial" w:cs="Arial"/>
        </w:rPr>
        <w:t> </w:t>
      </w:r>
    </w:p>
    <w:p w14:paraId="0C86B501" w14:textId="77777777" w:rsidR="00C16B17" w:rsidRPr="00C16B17" w:rsidRDefault="00C16B17" w:rsidP="00C16B17">
      <w:pPr>
        <w:rPr>
          <w:rFonts w:ascii="Arial" w:hAnsi="Arial" w:cs="Arial"/>
        </w:rPr>
      </w:pPr>
      <w:r w:rsidRPr="00C16B17">
        <w:rPr>
          <w:rFonts w:ascii="Arial" w:hAnsi="Arial" w:cs="Arial"/>
          <w:lang w:val="en-US"/>
        </w:rPr>
        <w:t>The primary advantage of partnership working is that it provides continuity of care, particularly in individuals with persistent or chronic conditions. For example, hospital and community nurses, social workers, and family members collaborate to make sure that the patient will not have any challenges when getting released from the hospital and that their needs will be addressed in the community (</w:t>
      </w:r>
      <w:proofErr w:type="spellStart"/>
      <w:r w:rsidRPr="00C16B17">
        <w:rPr>
          <w:rFonts w:ascii="Arial" w:hAnsi="Arial" w:cs="Arial"/>
          <w:lang w:val="en-US"/>
        </w:rPr>
        <w:t>Wodchis</w:t>
      </w:r>
      <w:proofErr w:type="spellEnd"/>
      <w:r w:rsidRPr="00C16B17">
        <w:rPr>
          <w:rFonts w:ascii="Arial" w:hAnsi="Arial" w:cs="Arial"/>
          <w:lang w:val="en-US"/>
        </w:rPr>
        <w:t xml:space="preserve"> et al., 2015, p. 1). This strategy minimizes the chances of hospital </w:t>
      </w:r>
      <w:proofErr w:type="gramStart"/>
      <w:r w:rsidRPr="00C16B17">
        <w:rPr>
          <w:rFonts w:ascii="Arial" w:hAnsi="Arial" w:cs="Arial"/>
          <w:lang w:val="en-US"/>
        </w:rPr>
        <w:t>readmissions</w:t>
      </w:r>
      <w:proofErr w:type="gramEnd"/>
      <w:r w:rsidRPr="00C16B17">
        <w:rPr>
          <w:rFonts w:ascii="Arial" w:hAnsi="Arial" w:cs="Arial"/>
          <w:lang w:val="en-US"/>
        </w:rPr>
        <w:t xml:space="preserve"> as well as enhances health outcomes because of the continuous care, which is individual-centered.</w:t>
      </w:r>
      <w:r w:rsidRPr="00C16B17">
        <w:rPr>
          <w:rFonts w:ascii="Arial" w:hAnsi="Arial" w:cs="Arial"/>
        </w:rPr>
        <w:t> </w:t>
      </w:r>
    </w:p>
    <w:p w14:paraId="26DAA508" w14:textId="08AA4E0B" w:rsidR="00C16B17" w:rsidRPr="00C16B17" w:rsidRDefault="00C16B17" w:rsidP="00C16B17">
      <w:pPr>
        <w:rPr>
          <w:rFonts w:ascii="Arial" w:hAnsi="Arial" w:cs="Arial"/>
        </w:rPr>
      </w:pPr>
      <w:r w:rsidRPr="00C16B17">
        <w:rPr>
          <w:rFonts w:ascii="Arial" w:hAnsi="Arial" w:cs="Arial"/>
          <w:lang w:val="en-US"/>
        </w:rPr>
        <w:t>However, partnership </w:t>
      </w:r>
      <w:r w:rsidRPr="00C16B17">
        <w:rPr>
          <w:rFonts w:ascii="Arial" w:hAnsi="Arial" w:cs="Arial"/>
          <w:lang w:val="en-US"/>
        </w:rPr>
        <w:t>work</w:t>
      </w:r>
      <w:r w:rsidRPr="00C16B17">
        <w:rPr>
          <w:rFonts w:ascii="Arial" w:hAnsi="Arial" w:cs="Arial"/>
          <w:lang w:val="en-US"/>
        </w:rPr>
        <w:t xml:space="preserve"> has its challenges as well. Communication barriers, divergent professional priorities, and </w:t>
      </w:r>
      <w:proofErr w:type="gramStart"/>
      <w:r w:rsidRPr="00C16B17">
        <w:rPr>
          <w:rFonts w:ascii="Arial" w:hAnsi="Arial" w:cs="Arial"/>
          <w:lang w:val="en-US"/>
        </w:rPr>
        <w:t>siloing</w:t>
      </w:r>
      <w:proofErr w:type="gramEnd"/>
      <w:r w:rsidRPr="00C16B17">
        <w:rPr>
          <w:rFonts w:ascii="Arial" w:hAnsi="Arial" w:cs="Arial"/>
          <w:lang w:val="en-US"/>
        </w:rPr>
        <w:t xml:space="preserve"> in an organization could disrupt efficient collaboration. Khatri et al. (2023, p. 750) </w:t>
      </w:r>
      <w:r w:rsidRPr="00C16B17">
        <w:rPr>
          <w:rFonts w:ascii="Arial" w:hAnsi="Arial" w:cs="Arial"/>
          <w:lang w:val="en-US"/>
        </w:rPr>
        <w:t>argues</w:t>
      </w:r>
      <w:r w:rsidRPr="00C16B17">
        <w:rPr>
          <w:rFonts w:ascii="Arial" w:hAnsi="Arial" w:cs="Arial"/>
          <w:lang w:val="en-US"/>
        </w:rPr>
        <w:t xml:space="preserve"> that healthcare professionals are often isolated, and coordinating the care becomes difficult. These barriers can lead to fragmented care because the patients will receive fragmented services or because the services offered are conflicting. Healthcare systems must focus on improving communication, creating shared objectives, and fostering a culture of cooperation between professionals </w:t>
      </w:r>
      <w:proofErr w:type="gramStart"/>
      <w:r w:rsidRPr="00C16B17">
        <w:rPr>
          <w:rFonts w:ascii="Arial" w:hAnsi="Arial" w:cs="Arial"/>
          <w:lang w:val="en-US"/>
        </w:rPr>
        <w:t>in order to</w:t>
      </w:r>
      <w:proofErr w:type="gramEnd"/>
      <w:r w:rsidRPr="00C16B17">
        <w:rPr>
          <w:rFonts w:ascii="Arial" w:hAnsi="Arial" w:cs="Arial"/>
          <w:lang w:val="en-US"/>
        </w:rPr>
        <w:t> overcome these problems.</w:t>
      </w:r>
      <w:r w:rsidRPr="00C16B17">
        <w:rPr>
          <w:rFonts w:ascii="Arial" w:hAnsi="Arial" w:cs="Arial"/>
        </w:rPr>
        <w:t> </w:t>
      </w:r>
    </w:p>
    <w:p w14:paraId="2CF9EA31" w14:textId="77777777" w:rsidR="00C16B17" w:rsidRPr="00C16B17" w:rsidRDefault="00C16B17" w:rsidP="00C16B17">
      <w:pPr>
        <w:rPr>
          <w:rFonts w:ascii="Arial" w:hAnsi="Arial" w:cs="Arial"/>
          <w:b/>
          <w:bCs/>
        </w:rPr>
      </w:pPr>
      <w:r w:rsidRPr="00C16B17">
        <w:rPr>
          <w:rFonts w:ascii="Arial" w:hAnsi="Arial" w:cs="Arial"/>
          <w:b/>
          <w:bCs/>
          <w:lang w:val="en-US"/>
        </w:rPr>
        <w:t>Recommendations for Future Development</w:t>
      </w:r>
      <w:r w:rsidRPr="00C16B17">
        <w:rPr>
          <w:rFonts w:ascii="Arial" w:hAnsi="Arial" w:cs="Arial"/>
          <w:b/>
          <w:bCs/>
        </w:rPr>
        <w:t> </w:t>
      </w:r>
    </w:p>
    <w:p w14:paraId="0A9A1BD1" w14:textId="77777777" w:rsidR="00C16B17" w:rsidRPr="00C16B17" w:rsidRDefault="00C16B17" w:rsidP="00C16B17">
      <w:pPr>
        <w:rPr>
          <w:rFonts w:ascii="Arial" w:hAnsi="Arial" w:cs="Arial"/>
        </w:rPr>
      </w:pPr>
      <w:proofErr w:type="gramStart"/>
      <w:r w:rsidRPr="00C16B17">
        <w:rPr>
          <w:rFonts w:ascii="Arial" w:hAnsi="Arial" w:cs="Arial"/>
          <w:lang w:val="en-US"/>
        </w:rPr>
        <w:t>In order to</w:t>
      </w:r>
      <w:proofErr w:type="gramEnd"/>
      <w:r w:rsidRPr="00C16B17">
        <w:rPr>
          <w:rFonts w:ascii="Arial" w:hAnsi="Arial" w:cs="Arial"/>
          <w:lang w:val="en-US"/>
        </w:rPr>
        <w:t> make the application of person-centered care (PCC) and partnership working (PW) more effective, there are certain recommendations that can be given. First, healthcare professional training and education need to be improved. The emphasis of training programs should be put on enhancing communication skills, cultural competence, and knowledge of the ethical frameworks behind PCC (Nuechterlein et al., 2024, p. 1157). This will make healthcare workers better prepared to approach patients more personally and provide more personal care (Chen et al., 2024, p. 1). Moreover, the policy must be improved to make integrated care easier. Despite the success of the Health and Care Act (2022), it requires further investments in community-based services and prevention care. The policies need to improve the integration of services in the three areas of health, social care, and community to provide more comprehensive care (</w:t>
      </w:r>
      <w:proofErr w:type="spellStart"/>
      <w:r w:rsidRPr="00C16B17">
        <w:rPr>
          <w:rFonts w:ascii="Arial" w:hAnsi="Arial" w:cs="Arial"/>
          <w:lang w:val="en-US"/>
        </w:rPr>
        <w:t>Wodchis</w:t>
      </w:r>
      <w:proofErr w:type="spellEnd"/>
      <w:r w:rsidRPr="00C16B17">
        <w:rPr>
          <w:rFonts w:ascii="Arial" w:hAnsi="Arial" w:cs="Arial"/>
          <w:lang w:val="en-US"/>
        </w:rPr>
        <w:t> et al., 2015, p. 1). Besides this, PCC and PW need to be improved through exploiting technology. Electronic health records, telemedicine, and remote monitoring systems can be put in place to enhance communication and coordination among healthcare providers in a manner that would enhance the sharing of patient information effectively. By allowing patients access to their health data and allowing them to make informed decisions about the care they get, patients can also be empowered with such technologies.</w:t>
      </w:r>
      <w:r w:rsidRPr="00C16B17">
        <w:rPr>
          <w:rFonts w:ascii="Arial" w:hAnsi="Arial" w:cs="Arial"/>
        </w:rPr>
        <w:t> </w:t>
      </w:r>
    </w:p>
    <w:p w14:paraId="199B2674" w14:textId="77777777" w:rsidR="00C16B17" w:rsidRDefault="00C16B17" w:rsidP="00C16B17">
      <w:pPr>
        <w:rPr>
          <w:rFonts w:ascii="Arial" w:hAnsi="Arial" w:cs="Arial"/>
          <w:b/>
          <w:bCs/>
          <w:lang w:val="en-US"/>
        </w:rPr>
      </w:pPr>
    </w:p>
    <w:p w14:paraId="5529D560" w14:textId="7C887270" w:rsidR="00C16B17" w:rsidRPr="00C16B17" w:rsidRDefault="00C16B17" w:rsidP="00C16B17">
      <w:pPr>
        <w:rPr>
          <w:rFonts w:ascii="Arial" w:hAnsi="Arial" w:cs="Arial"/>
          <w:b/>
          <w:bCs/>
        </w:rPr>
      </w:pPr>
      <w:r w:rsidRPr="00C16B17">
        <w:rPr>
          <w:rFonts w:ascii="Arial" w:hAnsi="Arial" w:cs="Arial"/>
          <w:b/>
          <w:bCs/>
          <w:lang w:val="en-US"/>
        </w:rPr>
        <w:lastRenderedPageBreak/>
        <w:t>Conclusion</w:t>
      </w:r>
      <w:r w:rsidRPr="00C16B17">
        <w:rPr>
          <w:rFonts w:ascii="Arial" w:hAnsi="Arial" w:cs="Arial"/>
          <w:b/>
          <w:bCs/>
        </w:rPr>
        <w:t> </w:t>
      </w:r>
    </w:p>
    <w:p w14:paraId="40EBA369" w14:textId="77777777" w:rsidR="00C16B17" w:rsidRDefault="00C16B17" w:rsidP="00C16B17">
      <w:pPr>
        <w:rPr>
          <w:rFonts w:ascii="Arial" w:hAnsi="Arial" w:cs="Arial"/>
        </w:rPr>
      </w:pPr>
      <w:r w:rsidRPr="00C16B17">
        <w:rPr>
          <w:rFonts w:ascii="Arial" w:hAnsi="Arial" w:cs="Arial"/>
          <w:lang w:val="en-US"/>
        </w:rPr>
        <w:t>In general, partnership working (PW) and person-centered care (PCC) are core components of the quality of care that enable the needs, preferences, and rights of patients and facilitate cooperation among healthcare providers. PCC serves to ensure that individuals are treated with dignity and respect, but partnership working facilitates potential collaboration of any care across any boundary of sectors and professions. Ethical principles and applicable laws support the integration of these approaches and make the care effective, fair, and inclusive. With leadership, training, and well-laid-down policies that are conducive to the implementation of the integrated care systems, the difficulties encountered in the implementation of these models can be overcome. Adherence to these principles can enable health and social care systems to offer more holistic, responsive, and quality care, particularly to those with complex needs.</w:t>
      </w:r>
      <w:r w:rsidRPr="00C16B17">
        <w:rPr>
          <w:rFonts w:ascii="Arial" w:hAnsi="Arial" w:cs="Arial"/>
        </w:rPr>
        <w:t> </w:t>
      </w:r>
    </w:p>
    <w:p w14:paraId="31EE4013" w14:textId="77777777" w:rsidR="009174CD" w:rsidRDefault="009174CD" w:rsidP="00C16B17">
      <w:pPr>
        <w:rPr>
          <w:rFonts w:ascii="Arial" w:hAnsi="Arial" w:cs="Arial"/>
        </w:rPr>
      </w:pPr>
    </w:p>
    <w:p w14:paraId="1C79C1A1" w14:textId="77777777" w:rsidR="009174CD" w:rsidRDefault="009174CD" w:rsidP="00C16B17">
      <w:pPr>
        <w:rPr>
          <w:rFonts w:ascii="Arial" w:hAnsi="Arial" w:cs="Arial"/>
        </w:rPr>
      </w:pPr>
    </w:p>
    <w:p w14:paraId="0C61BEFA" w14:textId="77777777" w:rsidR="009174CD" w:rsidRDefault="009174CD" w:rsidP="009174CD">
      <w:pPr>
        <w:rPr>
          <w:rFonts w:ascii="Arial" w:hAnsi="Arial" w:cs="Arial"/>
          <w:b/>
          <w:bCs/>
          <w:lang w:val="en-US"/>
        </w:rPr>
      </w:pPr>
    </w:p>
    <w:p w14:paraId="134F5CC0" w14:textId="77777777" w:rsidR="009174CD" w:rsidRDefault="009174CD" w:rsidP="009174CD">
      <w:pPr>
        <w:rPr>
          <w:rFonts w:ascii="Arial" w:hAnsi="Arial" w:cs="Arial"/>
          <w:b/>
          <w:bCs/>
          <w:lang w:val="en-US"/>
        </w:rPr>
      </w:pPr>
    </w:p>
    <w:p w14:paraId="04C23A79" w14:textId="77777777" w:rsidR="009174CD" w:rsidRDefault="009174CD" w:rsidP="009174CD">
      <w:pPr>
        <w:rPr>
          <w:rFonts w:ascii="Arial" w:hAnsi="Arial" w:cs="Arial"/>
          <w:b/>
          <w:bCs/>
          <w:lang w:val="en-US"/>
        </w:rPr>
      </w:pPr>
    </w:p>
    <w:p w14:paraId="6DCDBB30" w14:textId="77777777" w:rsidR="009174CD" w:rsidRDefault="009174CD" w:rsidP="009174CD">
      <w:pPr>
        <w:rPr>
          <w:rFonts w:ascii="Arial" w:hAnsi="Arial" w:cs="Arial"/>
          <w:b/>
          <w:bCs/>
          <w:lang w:val="en-US"/>
        </w:rPr>
      </w:pPr>
    </w:p>
    <w:p w14:paraId="0BEE2CA5" w14:textId="77777777" w:rsidR="009174CD" w:rsidRDefault="009174CD" w:rsidP="009174CD">
      <w:pPr>
        <w:rPr>
          <w:rFonts w:ascii="Arial" w:hAnsi="Arial" w:cs="Arial"/>
          <w:b/>
          <w:bCs/>
          <w:lang w:val="en-US"/>
        </w:rPr>
      </w:pPr>
    </w:p>
    <w:p w14:paraId="0D602B0E" w14:textId="77777777" w:rsidR="009174CD" w:rsidRDefault="009174CD" w:rsidP="009174CD">
      <w:pPr>
        <w:rPr>
          <w:rFonts w:ascii="Arial" w:hAnsi="Arial" w:cs="Arial"/>
          <w:b/>
          <w:bCs/>
          <w:lang w:val="en-US"/>
        </w:rPr>
      </w:pPr>
    </w:p>
    <w:p w14:paraId="3A3300A5" w14:textId="77777777" w:rsidR="009174CD" w:rsidRDefault="009174CD" w:rsidP="009174CD">
      <w:pPr>
        <w:rPr>
          <w:rFonts w:ascii="Arial" w:hAnsi="Arial" w:cs="Arial"/>
          <w:b/>
          <w:bCs/>
          <w:lang w:val="en-US"/>
        </w:rPr>
      </w:pPr>
    </w:p>
    <w:p w14:paraId="638BDE63" w14:textId="77777777" w:rsidR="009174CD" w:rsidRDefault="009174CD" w:rsidP="009174CD">
      <w:pPr>
        <w:rPr>
          <w:rFonts w:ascii="Arial" w:hAnsi="Arial" w:cs="Arial"/>
          <w:b/>
          <w:bCs/>
          <w:lang w:val="en-US"/>
        </w:rPr>
      </w:pPr>
    </w:p>
    <w:p w14:paraId="22BCBA07" w14:textId="77777777" w:rsidR="009174CD" w:rsidRDefault="009174CD" w:rsidP="009174CD">
      <w:pPr>
        <w:rPr>
          <w:rFonts w:ascii="Arial" w:hAnsi="Arial" w:cs="Arial"/>
          <w:b/>
          <w:bCs/>
          <w:lang w:val="en-US"/>
        </w:rPr>
      </w:pPr>
    </w:p>
    <w:p w14:paraId="603F3F9C" w14:textId="77777777" w:rsidR="009174CD" w:rsidRDefault="009174CD" w:rsidP="009174CD">
      <w:pPr>
        <w:rPr>
          <w:rFonts w:ascii="Arial" w:hAnsi="Arial" w:cs="Arial"/>
          <w:b/>
          <w:bCs/>
          <w:lang w:val="en-US"/>
        </w:rPr>
      </w:pPr>
    </w:p>
    <w:p w14:paraId="1D83CB95" w14:textId="77777777" w:rsidR="009174CD" w:rsidRDefault="009174CD" w:rsidP="009174CD">
      <w:pPr>
        <w:rPr>
          <w:rFonts w:ascii="Arial" w:hAnsi="Arial" w:cs="Arial"/>
          <w:b/>
          <w:bCs/>
          <w:lang w:val="en-US"/>
        </w:rPr>
      </w:pPr>
    </w:p>
    <w:p w14:paraId="19047130" w14:textId="77777777" w:rsidR="009174CD" w:rsidRDefault="009174CD" w:rsidP="009174CD">
      <w:pPr>
        <w:rPr>
          <w:rFonts w:ascii="Arial" w:hAnsi="Arial" w:cs="Arial"/>
          <w:b/>
          <w:bCs/>
          <w:lang w:val="en-US"/>
        </w:rPr>
      </w:pPr>
    </w:p>
    <w:p w14:paraId="2419826B" w14:textId="77777777" w:rsidR="009174CD" w:rsidRDefault="009174CD" w:rsidP="009174CD">
      <w:pPr>
        <w:rPr>
          <w:rFonts w:ascii="Arial" w:hAnsi="Arial" w:cs="Arial"/>
          <w:b/>
          <w:bCs/>
          <w:lang w:val="en-US"/>
        </w:rPr>
      </w:pPr>
    </w:p>
    <w:p w14:paraId="65B26C23" w14:textId="77777777" w:rsidR="009174CD" w:rsidRDefault="009174CD" w:rsidP="009174CD">
      <w:pPr>
        <w:rPr>
          <w:rFonts w:ascii="Arial" w:hAnsi="Arial" w:cs="Arial"/>
          <w:b/>
          <w:bCs/>
          <w:lang w:val="en-US"/>
        </w:rPr>
      </w:pPr>
    </w:p>
    <w:p w14:paraId="49FD52E5" w14:textId="77777777" w:rsidR="009174CD" w:rsidRDefault="009174CD" w:rsidP="009174CD">
      <w:pPr>
        <w:rPr>
          <w:rFonts w:ascii="Arial" w:hAnsi="Arial" w:cs="Arial"/>
          <w:b/>
          <w:bCs/>
          <w:lang w:val="en-US"/>
        </w:rPr>
      </w:pPr>
    </w:p>
    <w:p w14:paraId="4738A31F" w14:textId="77777777" w:rsidR="009174CD" w:rsidRDefault="009174CD" w:rsidP="009174CD">
      <w:pPr>
        <w:rPr>
          <w:rFonts w:ascii="Arial" w:hAnsi="Arial" w:cs="Arial"/>
          <w:b/>
          <w:bCs/>
          <w:lang w:val="en-US"/>
        </w:rPr>
      </w:pPr>
    </w:p>
    <w:p w14:paraId="61C7389B" w14:textId="77777777" w:rsidR="009174CD" w:rsidRDefault="009174CD" w:rsidP="009174CD">
      <w:pPr>
        <w:rPr>
          <w:rFonts w:ascii="Arial" w:hAnsi="Arial" w:cs="Arial"/>
          <w:b/>
          <w:bCs/>
          <w:lang w:val="en-US"/>
        </w:rPr>
      </w:pPr>
    </w:p>
    <w:p w14:paraId="0417E69E" w14:textId="77777777" w:rsidR="009174CD" w:rsidRDefault="009174CD" w:rsidP="009174CD">
      <w:pPr>
        <w:rPr>
          <w:rFonts w:ascii="Arial" w:hAnsi="Arial" w:cs="Arial"/>
          <w:b/>
          <w:bCs/>
          <w:lang w:val="en-US"/>
        </w:rPr>
      </w:pPr>
    </w:p>
    <w:p w14:paraId="38132DE9" w14:textId="1F11AC9E" w:rsidR="009174CD" w:rsidRPr="009174CD" w:rsidRDefault="009174CD" w:rsidP="009174CD">
      <w:pPr>
        <w:rPr>
          <w:rFonts w:ascii="Arial" w:hAnsi="Arial" w:cs="Arial"/>
        </w:rPr>
      </w:pPr>
      <w:r w:rsidRPr="009174CD">
        <w:rPr>
          <w:rFonts w:ascii="Arial" w:hAnsi="Arial" w:cs="Arial"/>
          <w:b/>
          <w:bCs/>
          <w:lang w:val="en-US"/>
        </w:rPr>
        <w:lastRenderedPageBreak/>
        <w:t>Reference list</w:t>
      </w:r>
      <w:r w:rsidRPr="009174CD">
        <w:rPr>
          <w:rFonts w:ascii="Arial" w:hAnsi="Arial" w:cs="Arial"/>
        </w:rPr>
        <w:t> </w:t>
      </w:r>
    </w:p>
    <w:p w14:paraId="52D50D4C" w14:textId="7336E14C" w:rsidR="009174CD" w:rsidRPr="009174CD" w:rsidRDefault="009174CD" w:rsidP="009174CD">
      <w:pPr>
        <w:rPr>
          <w:rFonts w:ascii="Arial" w:hAnsi="Arial" w:cs="Arial"/>
        </w:rPr>
      </w:pPr>
      <w:r w:rsidRPr="009174CD">
        <w:rPr>
          <w:rFonts w:ascii="Arial" w:hAnsi="Arial" w:cs="Arial"/>
          <w:lang w:val="en-US"/>
        </w:rPr>
        <w:t>Barr, H., Anderson, E.S. and Hutchings, M. (2024). Understanding integrated care. </w:t>
      </w:r>
      <w:r w:rsidRPr="009174CD">
        <w:rPr>
          <w:rFonts w:ascii="Arial" w:hAnsi="Arial" w:cs="Arial"/>
          <w:i/>
          <w:iCs/>
          <w:lang w:val="en-US"/>
        </w:rPr>
        <w:t>Journal of Interprofessional Care</w:t>
      </w:r>
      <w:r w:rsidRPr="009174CD">
        <w:rPr>
          <w:rFonts w:ascii="Arial" w:hAnsi="Arial" w:cs="Arial"/>
          <w:lang w:val="en-US"/>
        </w:rPr>
        <w:t>, 38(6), pp.974–984. </w:t>
      </w:r>
      <w:hyperlink r:id="rId6" w:history="1">
        <w:r w:rsidRPr="00016290">
          <w:rPr>
            <w:rStyle w:val="Hyperlink"/>
            <w:rFonts w:ascii="Arial" w:hAnsi="Arial" w:cs="Arial"/>
            <w:lang w:val="en-US"/>
          </w:rPr>
          <w:t>https://www.tandfonline.com/doi/full/10.1080/13</w:t>
        </w:r>
        <w:r w:rsidRPr="00016290">
          <w:rPr>
            <w:rStyle w:val="Hyperlink"/>
            <w:rFonts w:ascii="Arial" w:hAnsi="Arial" w:cs="Arial"/>
            <w:lang w:val="en-US"/>
          </w:rPr>
          <w:t>5</w:t>
        </w:r>
        <w:r w:rsidRPr="00016290">
          <w:rPr>
            <w:rStyle w:val="Hyperlink"/>
            <w:rFonts w:ascii="Arial" w:hAnsi="Arial" w:cs="Arial"/>
            <w:lang w:val="en-US"/>
          </w:rPr>
          <w:t>61820.2024.2405550</w:t>
        </w:r>
      </w:hyperlink>
      <w:r>
        <w:rPr>
          <w:rFonts w:ascii="Arial" w:hAnsi="Arial" w:cs="Arial"/>
          <w:lang w:val="en-US"/>
        </w:rPr>
        <w:t xml:space="preserve"> </w:t>
      </w:r>
    </w:p>
    <w:p w14:paraId="526C0BA7" w14:textId="0DCB2B20" w:rsidR="009174CD" w:rsidRPr="009174CD" w:rsidRDefault="009174CD" w:rsidP="009174CD">
      <w:pPr>
        <w:rPr>
          <w:rFonts w:ascii="Arial" w:hAnsi="Arial" w:cs="Arial"/>
        </w:rPr>
      </w:pPr>
      <w:r w:rsidRPr="009174CD">
        <w:rPr>
          <w:rFonts w:ascii="Arial" w:hAnsi="Arial" w:cs="Arial"/>
          <w:lang w:val="en-US"/>
        </w:rPr>
        <w:t>Boston</w:t>
      </w:r>
      <w:r w:rsidRPr="009174CD">
        <w:rPr>
          <w:rFonts w:ascii="Cambria Math" w:hAnsi="Cambria Math" w:cs="Cambria Math"/>
          <w:lang w:val="en-US"/>
        </w:rPr>
        <w:t>‐</w:t>
      </w:r>
      <w:r w:rsidRPr="009174CD">
        <w:rPr>
          <w:rFonts w:ascii="Arial" w:hAnsi="Arial" w:cs="Arial"/>
          <w:lang w:val="en-US"/>
        </w:rPr>
        <w:t>Leary, K., Alexander, G.R. and Davis, S. (2024). Leveraging Maslow’s Hierarchy of Needs to Build Nursing’s More Inclusive Future. </w:t>
      </w:r>
      <w:r w:rsidRPr="009174CD">
        <w:rPr>
          <w:rFonts w:ascii="Arial" w:hAnsi="Arial" w:cs="Arial"/>
          <w:i/>
          <w:iCs/>
          <w:lang w:val="en-US"/>
        </w:rPr>
        <w:t>Nursing Administration Quarterly</w:t>
      </w:r>
      <w:r w:rsidRPr="009174CD">
        <w:rPr>
          <w:rFonts w:ascii="Arial" w:hAnsi="Arial" w:cs="Arial"/>
          <w:lang w:val="en-US"/>
        </w:rPr>
        <w:t>, 48(1), pp.55–64. </w:t>
      </w:r>
      <w:hyperlink r:id="rId7" w:history="1">
        <w:r w:rsidRPr="00016290">
          <w:rPr>
            <w:rStyle w:val="Hyperlink"/>
            <w:rFonts w:ascii="Arial" w:hAnsi="Arial" w:cs="Arial"/>
            <w:lang w:val="en-US"/>
          </w:rPr>
          <w:t>https://journals.lww.com/naqjournal/abstract/2024/01000/leveraging_maslow_s_hierarchy_of_needs_to_bu</w:t>
        </w:r>
        <w:r w:rsidRPr="00016290">
          <w:rPr>
            <w:rStyle w:val="Hyperlink"/>
            <w:rFonts w:ascii="Arial" w:hAnsi="Arial" w:cs="Arial"/>
            <w:lang w:val="en-US"/>
          </w:rPr>
          <w:t>i</w:t>
        </w:r>
        <w:r w:rsidRPr="00016290">
          <w:rPr>
            <w:rStyle w:val="Hyperlink"/>
            <w:rFonts w:ascii="Arial" w:hAnsi="Arial" w:cs="Arial"/>
            <w:lang w:val="en-US"/>
          </w:rPr>
          <w:t>ld.8.aspx</w:t>
        </w:r>
      </w:hyperlink>
      <w:r>
        <w:rPr>
          <w:rFonts w:ascii="Arial" w:hAnsi="Arial" w:cs="Arial"/>
          <w:lang w:val="en-US"/>
        </w:rPr>
        <w:t xml:space="preserve"> </w:t>
      </w:r>
    </w:p>
    <w:p w14:paraId="1607E6DA" w14:textId="22388AF6" w:rsidR="009174CD" w:rsidRPr="009174CD" w:rsidRDefault="009174CD" w:rsidP="009174CD">
      <w:pPr>
        <w:rPr>
          <w:rFonts w:ascii="Arial" w:hAnsi="Arial" w:cs="Arial"/>
        </w:rPr>
      </w:pPr>
      <w:r w:rsidRPr="009174CD">
        <w:rPr>
          <w:rFonts w:ascii="Arial" w:hAnsi="Arial" w:cs="Arial"/>
          <w:lang w:val="en-US"/>
        </w:rPr>
        <w:t>Chen, M., Guan, Q. and Zhuang, J. (2024). Patient-centered lean healthcare management from a humanistic perspective. </w:t>
      </w:r>
      <w:r w:rsidRPr="009174CD">
        <w:rPr>
          <w:rFonts w:ascii="Arial" w:hAnsi="Arial" w:cs="Arial"/>
          <w:i/>
          <w:iCs/>
          <w:lang w:val="en-US"/>
        </w:rPr>
        <w:t>BMC Health Services Research</w:t>
      </w:r>
      <w:r w:rsidRPr="009174CD">
        <w:rPr>
          <w:rFonts w:ascii="Arial" w:hAnsi="Arial" w:cs="Arial"/>
          <w:lang w:val="en-US"/>
        </w:rPr>
        <w:t>, 24(1), pp.1–15. </w:t>
      </w:r>
      <w:hyperlink r:id="rId8" w:history="1">
        <w:r w:rsidRPr="00016290">
          <w:rPr>
            <w:rStyle w:val="Hyperlink"/>
            <w:rFonts w:ascii="Arial" w:hAnsi="Arial" w:cs="Arial"/>
            <w:lang w:val="en-US"/>
          </w:rPr>
          <w:t>https://link.springer.com/article/10.1186/s12</w:t>
        </w:r>
        <w:r w:rsidRPr="00016290">
          <w:rPr>
            <w:rStyle w:val="Hyperlink"/>
            <w:rFonts w:ascii="Arial" w:hAnsi="Arial" w:cs="Arial"/>
            <w:lang w:val="en-US"/>
          </w:rPr>
          <w:t>9</w:t>
        </w:r>
        <w:r w:rsidRPr="00016290">
          <w:rPr>
            <w:rStyle w:val="Hyperlink"/>
            <w:rFonts w:ascii="Arial" w:hAnsi="Arial" w:cs="Arial"/>
            <w:lang w:val="en-US"/>
          </w:rPr>
          <w:t>13-024-11755-w</w:t>
        </w:r>
      </w:hyperlink>
      <w:r>
        <w:rPr>
          <w:rFonts w:ascii="Arial" w:hAnsi="Arial" w:cs="Arial"/>
          <w:lang w:val="en-US"/>
        </w:rPr>
        <w:t xml:space="preserve"> </w:t>
      </w:r>
    </w:p>
    <w:p w14:paraId="48300339" w14:textId="77777777" w:rsidR="009174CD" w:rsidRPr="009174CD" w:rsidRDefault="009174CD" w:rsidP="009174CD">
      <w:pPr>
        <w:rPr>
          <w:rFonts w:ascii="Arial" w:hAnsi="Arial" w:cs="Arial"/>
        </w:rPr>
      </w:pPr>
      <w:r w:rsidRPr="009174CD">
        <w:rPr>
          <w:rFonts w:ascii="Arial" w:hAnsi="Arial" w:cs="Arial"/>
          <w:lang w:val="en-US"/>
        </w:rPr>
        <w:t>Coulter, A. (2011). </w:t>
      </w:r>
      <w:r w:rsidRPr="009174CD">
        <w:rPr>
          <w:rFonts w:ascii="Arial" w:hAnsi="Arial" w:cs="Arial"/>
          <w:i/>
          <w:iCs/>
          <w:lang w:val="en-US"/>
        </w:rPr>
        <w:t>(PDF) Engaging Patients in Health Care</w:t>
      </w:r>
      <w:r w:rsidRPr="009174CD">
        <w:rPr>
          <w:rFonts w:ascii="Arial" w:hAnsi="Arial" w:cs="Arial"/>
          <w:lang w:val="en-US"/>
        </w:rPr>
        <w:t>. [online] ResearchGate. Available at:</w:t>
      </w:r>
      <w:hyperlink r:id="rId9" w:tgtFrame="_blank" w:history="1">
        <w:r w:rsidRPr="009174CD">
          <w:rPr>
            <w:rStyle w:val="Hyperlink"/>
            <w:rFonts w:ascii="Arial" w:hAnsi="Arial" w:cs="Arial"/>
            <w:lang w:val="en-US"/>
          </w:rPr>
          <w:t>https://www</w:t>
        </w:r>
        <w:r w:rsidRPr="009174CD">
          <w:rPr>
            <w:rStyle w:val="Hyperlink"/>
            <w:rFonts w:ascii="Arial" w:hAnsi="Arial" w:cs="Arial"/>
            <w:lang w:val="en-US"/>
          </w:rPr>
          <w:t>.</w:t>
        </w:r>
        <w:r w:rsidRPr="009174CD">
          <w:rPr>
            <w:rStyle w:val="Hyperlink"/>
            <w:rFonts w:ascii="Arial" w:hAnsi="Arial" w:cs="Arial"/>
            <w:lang w:val="en-US"/>
          </w:rPr>
          <w:t>researchgate.net/publication/230687397_Engaging_Patients_in_Health_Care</w:t>
        </w:r>
      </w:hyperlink>
      <w:r w:rsidRPr="009174CD">
        <w:rPr>
          <w:rFonts w:ascii="Arial" w:hAnsi="Arial" w:cs="Arial"/>
          <w:lang w:val="en-US"/>
        </w:rPr>
        <w:t>.</w:t>
      </w:r>
      <w:r w:rsidRPr="009174CD">
        <w:rPr>
          <w:rFonts w:ascii="Arial" w:hAnsi="Arial" w:cs="Arial"/>
        </w:rPr>
        <w:t> </w:t>
      </w:r>
    </w:p>
    <w:p w14:paraId="7E4EDD02" w14:textId="15B0B913" w:rsidR="009174CD" w:rsidRPr="009174CD" w:rsidRDefault="009174CD" w:rsidP="009174CD">
      <w:pPr>
        <w:rPr>
          <w:rFonts w:ascii="Arial" w:hAnsi="Arial" w:cs="Arial"/>
        </w:rPr>
      </w:pPr>
      <w:r w:rsidRPr="009174CD">
        <w:rPr>
          <w:rFonts w:ascii="Arial" w:hAnsi="Arial" w:cs="Arial"/>
          <w:lang w:val="en-US"/>
        </w:rPr>
        <w:t>Gartner, J.-B., </w:t>
      </w:r>
      <w:proofErr w:type="spellStart"/>
      <w:r w:rsidRPr="009174CD">
        <w:rPr>
          <w:rFonts w:ascii="Arial" w:hAnsi="Arial" w:cs="Arial"/>
          <w:lang w:val="en-US"/>
        </w:rPr>
        <w:t>Abasse</w:t>
      </w:r>
      <w:proofErr w:type="spellEnd"/>
      <w:r w:rsidRPr="009174CD">
        <w:rPr>
          <w:rFonts w:ascii="Arial" w:hAnsi="Arial" w:cs="Arial"/>
          <w:lang w:val="en-US"/>
        </w:rPr>
        <w:t>, K.S., Bergeron, F., Landa, P., Lemaire, C. and Côté, A. (2022). Definition and conceptualization of the patient-centered care pathway, a proposed integrative framework for consensus: a Concept analysis and systematic review. </w:t>
      </w:r>
      <w:r w:rsidRPr="009174CD">
        <w:rPr>
          <w:rFonts w:ascii="Arial" w:hAnsi="Arial" w:cs="Arial"/>
          <w:i/>
          <w:iCs/>
          <w:lang w:val="en-US"/>
        </w:rPr>
        <w:t>BMC Health Services Research</w:t>
      </w:r>
      <w:r w:rsidRPr="009174CD">
        <w:rPr>
          <w:rFonts w:ascii="Arial" w:hAnsi="Arial" w:cs="Arial"/>
          <w:lang w:val="en-US"/>
        </w:rPr>
        <w:t>, [online] 22(1). </w:t>
      </w:r>
      <w:hyperlink r:id="rId10" w:history="1">
        <w:r w:rsidR="00D43094" w:rsidRPr="00016290">
          <w:rPr>
            <w:rStyle w:val="Hyperlink"/>
            <w:rFonts w:ascii="Arial" w:hAnsi="Arial" w:cs="Arial"/>
            <w:lang w:val="en-US"/>
          </w:rPr>
          <w:t>https://link.springer.com</w:t>
        </w:r>
        <w:r w:rsidR="00D43094" w:rsidRPr="00016290">
          <w:rPr>
            <w:rStyle w:val="Hyperlink"/>
            <w:rFonts w:ascii="Arial" w:hAnsi="Arial" w:cs="Arial"/>
            <w:lang w:val="en-US"/>
          </w:rPr>
          <w:t>/</w:t>
        </w:r>
        <w:r w:rsidR="00D43094" w:rsidRPr="00016290">
          <w:rPr>
            <w:rStyle w:val="Hyperlink"/>
            <w:rFonts w:ascii="Arial" w:hAnsi="Arial" w:cs="Arial"/>
            <w:lang w:val="en-US"/>
          </w:rPr>
          <w:t>article/10.1186/s12913-022-07960-0</w:t>
        </w:r>
      </w:hyperlink>
      <w:r w:rsidR="00D43094">
        <w:rPr>
          <w:rFonts w:ascii="Arial" w:hAnsi="Arial" w:cs="Arial"/>
          <w:lang w:val="en-US"/>
        </w:rPr>
        <w:t xml:space="preserve"> </w:t>
      </w:r>
    </w:p>
    <w:p w14:paraId="32818825" w14:textId="0787AA02" w:rsidR="009174CD" w:rsidRPr="009174CD" w:rsidRDefault="009174CD" w:rsidP="009174CD">
      <w:pPr>
        <w:rPr>
          <w:rFonts w:ascii="Arial" w:hAnsi="Arial" w:cs="Arial"/>
        </w:rPr>
      </w:pPr>
      <w:r w:rsidRPr="009174CD">
        <w:rPr>
          <w:rFonts w:ascii="Arial" w:hAnsi="Arial" w:cs="Arial"/>
          <w:lang w:val="en-US"/>
        </w:rPr>
        <w:t>Giuffrida, P. and Davila, S. (2024). Addressing nursing shortages and patient safety using Maslow’s hierarchy of needs. </w:t>
      </w:r>
      <w:r w:rsidRPr="009174CD">
        <w:rPr>
          <w:rFonts w:ascii="Arial" w:hAnsi="Arial" w:cs="Arial"/>
          <w:i/>
          <w:iCs/>
          <w:lang w:val="en-US"/>
        </w:rPr>
        <w:t>Nursing2024</w:t>
      </w:r>
      <w:r w:rsidRPr="009174CD">
        <w:rPr>
          <w:rFonts w:ascii="Arial" w:hAnsi="Arial" w:cs="Arial"/>
          <w:lang w:val="en-US"/>
        </w:rPr>
        <w:t>, [online] 54(1), pp.35–40. </w:t>
      </w:r>
      <w:hyperlink r:id="rId11" w:history="1">
        <w:r w:rsidR="00D43094" w:rsidRPr="00016290">
          <w:rPr>
            <w:rStyle w:val="Hyperlink"/>
            <w:rFonts w:ascii="Arial" w:hAnsi="Arial" w:cs="Arial"/>
            <w:lang w:val="en-US"/>
          </w:rPr>
          <w:t>https://journals.lww.com/nursing/abstract</w:t>
        </w:r>
        <w:r w:rsidR="00D43094" w:rsidRPr="00016290">
          <w:rPr>
            <w:rStyle w:val="Hyperlink"/>
            <w:rFonts w:ascii="Arial" w:hAnsi="Arial" w:cs="Arial"/>
            <w:lang w:val="en-US"/>
          </w:rPr>
          <w:t>/</w:t>
        </w:r>
        <w:r w:rsidR="00D43094" w:rsidRPr="00016290">
          <w:rPr>
            <w:rStyle w:val="Hyperlink"/>
            <w:rFonts w:ascii="Arial" w:hAnsi="Arial" w:cs="Arial"/>
            <w:lang w:val="en-US"/>
          </w:rPr>
          <w:t>2024/01000/addressing_nursing_shortages_and_patient_safety.10.aspx</w:t>
        </w:r>
      </w:hyperlink>
      <w:r w:rsidR="00D43094">
        <w:rPr>
          <w:rFonts w:ascii="Arial" w:hAnsi="Arial" w:cs="Arial"/>
          <w:lang w:val="en-US"/>
        </w:rPr>
        <w:t xml:space="preserve"> </w:t>
      </w:r>
    </w:p>
    <w:p w14:paraId="2E50B501" w14:textId="5CD00206" w:rsidR="009174CD" w:rsidRPr="009174CD" w:rsidRDefault="009174CD" w:rsidP="009174CD">
      <w:pPr>
        <w:rPr>
          <w:rFonts w:ascii="Arial" w:hAnsi="Arial" w:cs="Arial"/>
        </w:rPr>
      </w:pPr>
      <w:r w:rsidRPr="009174CD">
        <w:rPr>
          <w:rFonts w:ascii="Arial" w:hAnsi="Arial" w:cs="Arial"/>
          <w:lang w:val="en-US"/>
        </w:rPr>
        <w:t>Grover, S., Fitzpatrick, A., Azim, F.T., Ariza-Vega, P., Bellwood, P., Burns, J., Burton, E., Fleig, L., Clemson, L., Hoppmann, C.A., Madden, K.M., Price, M., Langford, D. and Ashe, M.C. (2022). Defining and implementing patient-centered care: An umbrella review. </w:t>
      </w:r>
      <w:r w:rsidRPr="009174CD">
        <w:rPr>
          <w:rFonts w:ascii="Arial" w:hAnsi="Arial" w:cs="Arial"/>
          <w:i/>
          <w:iCs/>
          <w:lang w:val="en-US"/>
        </w:rPr>
        <w:t>Patient Education and Counseling</w:t>
      </w:r>
      <w:r w:rsidRPr="009174CD">
        <w:rPr>
          <w:rFonts w:ascii="Arial" w:hAnsi="Arial" w:cs="Arial"/>
          <w:lang w:val="en-US"/>
        </w:rPr>
        <w:t>, [online] 105(7), pp.1679–1688. </w:t>
      </w:r>
      <w:hyperlink r:id="rId12" w:history="1">
        <w:r w:rsidR="00D43094" w:rsidRPr="00016290">
          <w:rPr>
            <w:rStyle w:val="Hyperlink"/>
            <w:rFonts w:ascii="Arial" w:hAnsi="Arial" w:cs="Arial"/>
            <w:lang w:val="en-US"/>
          </w:rPr>
          <w:t>https://www.sci</w:t>
        </w:r>
        <w:r w:rsidR="00D43094" w:rsidRPr="00016290">
          <w:rPr>
            <w:rStyle w:val="Hyperlink"/>
            <w:rFonts w:ascii="Arial" w:hAnsi="Arial" w:cs="Arial"/>
            <w:lang w:val="en-US"/>
          </w:rPr>
          <w:t>e</w:t>
        </w:r>
        <w:r w:rsidR="00D43094" w:rsidRPr="00016290">
          <w:rPr>
            <w:rStyle w:val="Hyperlink"/>
            <w:rFonts w:ascii="Arial" w:hAnsi="Arial" w:cs="Arial"/>
            <w:lang w:val="en-US"/>
          </w:rPr>
          <w:t>ncedirect.com/science/article/abs/pii/S0738399121007254?via%3Dihub</w:t>
        </w:r>
      </w:hyperlink>
      <w:r w:rsidR="00D43094">
        <w:rPr>
          <w:rFonts w:ascii="Arial" w:hAnsi="Arial" w:cs="Arial"/>
          <w:lang w:val="en-US"/>
        </w:rPr>
        <w:t xml:space="preserve"> </w:t>
      </w:r>
    </w:p>
    <w:p w14:paraId="693CBEBA" w14:textId="55BF31B3" w:rsidR="009174CD" w:rsidRPr="009174CD" w:rsidRDefault="009174CD" w:rsidP="009174CD">
      <w:pPr>
        <w:rPr>
          <w:rFonts w:ascii="Arial" w:hAnsi="Arial" w:cs="Arial"/>
        </w:rPr>
      </w:pPr>
      <w:r w:rsidRPr="009174CD">
        <w:rPr>
          <w:rFonts w:ascii="Arial" w:hAnsi="Arial" w:cs="Arial"/>
          <w:lang w:val="en-US"/>
        </w:rPr>
        <w:t>Khatri, R., </w:t>
      </w:r>
      <w:proofErr w:type="spellStart"/>
      <w:r w:rsidRPr="009174CD">
        <w:rPr>
          <w:rFonts w:ascii="Arial" w:hAnsi="Arial" w:cs="Arial"/>
          <w:lang w:val="en-US"/>
        </w:rPr>
        <w:t>Endalamaw</w:t>
      </w:r>
      <w:proofErr w:type="spellEnd"/>
      <w:r w:rsidRPr="009174CD">
        <w:rPr>
          <w:rFonts w:ascii="Arial" w:hAnsi="Arial" w:cs="Arial"/>
          <w:lang w:val="en-US"/>
        </w:rPr>
        <w:t>, A., </w:t>
      </w:r>
      <w:proofErr w:type="spellStart"/>
      <w:r w:rsidRPr="009174CD">
        <w:rPr>
          <w:rFonts w:ascii="Arial" w:hAnsi="Arial" w:cs="Arial"/>
          <w:lang w:val="en-US"/>
        </w:rPr>
        <w:t>Erku</w:t>
      </w:r>
      <w:proofErr w:type="spellEnd"/>
      <w:r w:rsidRPr="009174CD">
        <w:rPr>
          <w:rFonts w:ascii="Arial" w:hAnsi="Arial" w:cs="Arial"/>
          <w:lang w:val="en-US"/>
        </w:rPr>
        <w:t>, D., </w:t>
      </w:r>
      <w:proofErr w:type="spellStart"/>
      <w:r w:rsidRPr="009174CD">
        <w:rPr>
          <w:rFonts w:ascii="Arial" w:hAnsi="Arial" w:cs="Arial"/>
          <w:lang w:val="en-US"/>
        </w:rPr>
        <w:t>Wolka</w:t>
      </w:r>
      <w:proofErr w:type="spellEnd"/>
      <w:r w:rsidRPr="009174CD">
        <w:rPr>
          <w:rFonts w:ascii="Arial" w:hAnsi="Arial" w:cs="Arial"/>
          <w:lang w:val="en-US"/>
        </w:rPr>
        <w:t>, E., Nigatu, F., Zewdie, A. and Assefa, Y. (2023). Continuity and care coordination of primary health care: A scoping review. </w:t>
      </w:r>
      <w:r w:rsidRPr="009174CD">
        <w:rPr>
          <w:rFonts w:ascii="Arial" w:hAnsi="Arial" w:cs="Arial"/>
          <w:i/>
          <w:iCs/>
          <w:lang w:val="en-US"/>
        </w:rPr>
        <w:t>BioMed Central Health Services Research</w:t>
      </w:r>
      <w:r w:rsidRPr="009174CD">
        <w:rPr>
          <w:rFonts w:ascii="Arial" w:hAnsi="Arial" w:cs="Arial"/>
          <w:lang w:val="en-US"/>
        </w:rPr>
        <w:t>, [online] 23(1), p.750. </w:t>
      </w:r>
      <w:hyperlink r:id="rId13" w:history="1">
        <w:r w:rsidR="00D43094" w:rsidRPr="00016290">
          <w:rPr>
            <w:rStyle w:val="Hyperlink"/>
            <w:rFonts w:ascii="Arial" w:hAnsi="Arial" w:cs="Arial"/>
            <w:lang w:val="en-US"/>
          </w:rPr>
          <w:t>https://lin</w:t>
        </w:r>
        <w:r w:rsidR="00D43094" w:rsidRPr="00016290">
          <w:rPr>
            <w:rStyle w:val="Hyperlink"/>
            <w:rFonts w:ascii="Arial" w:hAnsi="Arial" w:cs="Arial"/>
            <w:lang w:val="en-US"/>
          </w:rPr>
          <w:t>k</w:t>
        </w:r>
        <w:r w:rsidR="00D43094" w:rsidRPr="00016290">
          <w:rPr>
            <w:rStyle w:val="Hyperlink"/>
            <w:rFonts w:ascii="Arial" w:hAnsi="Arial" w:cs="Arial"/>
            <w:lang w:val="en-US"/>
          </w:rPr>
          <w:t>.springer.com/article/10.1186/s12913-023-09718-8</w:t>
        </w:r>
      </w:hyperlink>
      <w:r w:rsidR="00D43094">
        <w:rPr>
          <w:rFonts w:ascii="Arial" w:hAnsi="Arial" w:cs="Arial"/>
          <w:lang w:val="en-US"/>
        </w:rPr>
        <w:t xml:space="preserve"> </w:t>
      </w:r>
    </w:p>
    <w:p w14:paraId="5A6DDDD4" w14:textId="79B53E88" w:rsidR="009174CD" w:rsidRPr="009174CD" w:rsidRDefault="009174CD" w:rsidP="009174CD">
      <w:pPr>
        <w:rPr>
          <w:rFonts w:ascii="Arial" w:hAnsi="Arial" w:cs="Arial"/>
        </w:rPr>
      </w:pPr>
      <w:r w:rsidRPr="009174CD">
        <w:rPr>
          <w:rFonts w:ascii="Arial" w:hAnsi="Arial" w:cs="Arial"/>
          <w:lang w:val="en-US"/>
        </w:rPr>
        <w:t>Niemela, P. and Kim, S. (2023). Maslow’s Hierarchy of Needs. </w:t>
      </w:r>
      <w:r w:rsidRPr="009174CD">
        <w:rPr>
          <w:rFonts w:ascii="Arial" w:hAnsi="Arial" w:cs="Arial"/>
          <w:i/>
          <w:iCs/>
          <w:lang w:val="en-US"/>
        </w:rPr>
        <w:t>Springer eBooks</w:t>
      </w:r>
      <w:r w:rsidRPr="009174CD">
        <w:rPr>
          <w:rFonts w:ascii="Arial" w:hAnsi="Arial" w:cs="Arial"/>
          <w:lang w:val="en-US"/>
        </w:rPr>
        <w:t>, pp.4154–4157. </w:t>
      </w:r>
      <w:hyperlink r:id="rId14" w:history="1">
        <w:r w:rsidR="00D43094" w:rsidRPr="00016290">
          <w:rPr>
            <w:rStyle w:val="Hyperlink"/>
            <w:rFonts w:ascii="Arial" w:hAnsi="Arial" w:cs="Arial"/>
            <w:lang w:val="en-US"/>
          </w:rPr>
          <w:t>https</w:t>
        </w:r>
        <w:r w:rsidR="00D43094" w:rsidRPr="00016290">
          <w:rPr>
            <w:rStyle w:val="Hyperlink"/>
            <w:rFonts w:ascii="Arial" w:hAnsi="Arial" w:cs="Arial"/>
            <w:lang w:val="en-US"/>
          </w:rPr>
          <w:t>:</w:t>
        </w:r>
        <w:r w:rsidR="00D43094" w:rsidRPr="00016290">
          <w:rPr>
            <w:rStyle w:val="Hyperlink"/>
            <w:rFonts w:ascii="Arial" w:hAnsi="Arial" w:cs="Arial"/>
            <w:lang w:val="en-US"/>
          </w:rPr>
          <w:t>//link.springer.com/rwe/10.1007/978-3-031-17299-1_1737</w:t>
        </w:r>
      </w:hyperlink>
      <w:r w:rsidR="00D43094">
        <w:rPr>
          <w:rFonts w:ascii="Arial" w:hAnsi="Arial" w:cs="Arial"/>
          <w:lang w:val="en-US"/>
        </w:rPr>
        <w:t xml:space="preserve"> </w:t>
      </w:r>
    </w:p>
    <w:p w14:paraId="43E3FC4F" w14:textId="4CBAD3B9" w:rsidR="009174CD" w:rsidRPr="009174CD" w:rsidRDefault="009174CD" w:rsidP="009174CD">
      <w:pPr>
        <w:rPr>
          <w:rFonts w:ascii="Arial" w:hAnsi="Arial" w:cs="Arial"/>
        </w:rPr>
      </w:pPr>
      <w:r w:rsidRPr="009174CD">
        <w:rPr>
          <w:rFonts w:ascii="Arial" w:hAnsi="Arial" w:cs="Arial"/>
          <w:lang w:val="en-US"/>
        </w:rPr>
        <w:lastRenderedPageBreak/>
        <w:t>Nuechterlein, A., Olmos Pérez, A., Rossi, F., Swift, J., Townson, A. and Illes, J. (2024). Toward a person-centered ethics framework for autonomy in spinal cord injury research and rehabilitation. </w:t>
      </w:r>
      <w:r w:rsidRPr="009174CD">
        <w:rPr>
          <w:rFonts w:ascii="Arial" w:hAnsi="Arial" w:cs="Arial"/>
          <w:i/>
          <w:iCs/>
          <w:lang w:val="en-US"/>
        </w:rPr>
        <w:t>PM &amp; </w:t>
      </w:r>
      <w:proofErr w:type="gramStart"/>
      <w:r w:rsidRPr="009174CD">
        <w:rPr>
          <w:rFonts w:ascii="Arial" w:hAnsi="Arial" w:cs="Arial"/>
          <w:i/>
          <w:iCs/>
          <w:lang w:val="en-US"/>
        </w:rPr>
        <w:t>R :</w:t>
      </w:r>
      <w:proofErr w:type="gramEnd"/>
      <w:r w:rsidRPr="009174CD">
        <w:rPr>
          <w:rFonts w:ascii="Arial" w:hAnsi="Arial" w:cs="Arial"/>
          <w:i/>
          <w:iCs/>
          <w:lang w:val="en-US"/>
        </w:rPr>
        <w:t> the journal of injury, function, and rehabilitation</w:t>
      </w:r>
      <w:r w:rsidRPr="009174CD">
        <w:rPr>
          <w:rFonts w:ascii="Arial" w:hAnsi="Arial" w:cs="Arial"/>
          <w:lang w:val="en-US"/>
        </w:rPr>
        <w:t>, [online] 16(10), pp.1154–1161. </w:t>
      </w:r>
      <w:hyperlink r:id="rId15" w:history="1">
        <w:r w:rsidR="00D43094" w:rsidRPr="00016290">
          <w:rPr>
            <w:rStyle w:val="Hyperlink"/>
            <w:rFonts w:ascii="Arial" w:hAnsi="Arial" w:cs="Arial"/>
            <w:lang w:val="en-US"/>
          </w:rPr>
          <w:t>https://onlinelibrary.wiley.com/doi/10.1002</w:t>
        </w:r>
        <w:r w:rsidR="00D43094" w:rsidRPr="00016290">
          <w:rPr>
            <w:rStyle w:val="Hyperlink"/>
            <w:rFonts w:ascii="Arial" w:hAnsi="Arial" w:cs="Arial"/>
            <w:lang w:val="en-US"/>
          </w:rPr>
          <w:t>/</w:t>
        </w:r>
        <w:r w:rsidR="00D43094" w:rsidRPr="00016290">
          <w:rPr>
            <w:rStyle w:val="Hyperlink"/>
            <w:rFonts w:ascii="Arial" w:hAnsi="Arial" w:cs="Arial"/>
            <w:lang w:val="en-US"/>
          </w:rPr>
          <w:t>pmrj.13146</w:t>
        </w:r>
      </w:hyperlink>
      <w:r w:rsidR="00D43094">
        <w:rPr>
          <w:rFonts w:ascii="Arial" w:hAnsi="Arial" w:cs="Arial"/>
          <w:lang w:val="en-US"/>
        </w:rPr>
        <w:t xml:space="preserve"> </w:t>
      </w:r>
    </w:p>
    <w:p w14:paraId="1C534AED" w14:textId="3C68BBE2" w:rsidR="009174CD" w:rsidRPr="009174CD" w:rsidRDefault="009174CD" w:rsidP="009174CD">
      <w:pPr>
        <w:rPr>
          <w:rFonts w:ascii="Arial" w:hAnsi="Arial" w:cs="Arial"/>
        </w:rPr>
      </w:pPr>
      <w:r w:rsidRPr="009174CD">
        <w:rPr>
          <w:rFonts w:ascii="Arial" w:hAnsi="Arial" w:cs="Arial"/>
          <w:lang w:val="en-US"/>
        </w:rPr>
        <w:t>Olson, A.W. and Burns, A.L. (2023). From Patient-centered to Person-centered: The pharmacist’s role and value in community-integrated care transformation. </w:t>
      </w:r>
      <w:r w:rsidRPr="009174CD">
        <w:rPr>
          <w:rFonts w:ascii="Arial" w:hAnsi="Arial" w:cs="Arial"/>
          <w:i/>
          <w:iCs/>
          <w:lang w:val="en-US"/>
        </w:rPr>
        <w:t>Journal of the American Pharmacists Association</w:t>
      </w:r>
      <w:r w:rsidRPr="009174CD">
        <w:rPr>
          <w:rFonts w:ascii="Arial" w:hAnsi="Arial" w:cs="Arial"/>
          <w:lang w:val="en-US"/>
        </w:rPr>
        <w:t>, 63(3). </w:t>
      </w:r>
      <w:hyperlink r:id="rId16" w:history="1">
        <w:r w:rsidR="00C5332A" w:rsidRPr="00016290">
          <w:rPr>
            <w:rStyle w:val="Hyperlink"/>
            <w:rFonts w:ascii="Arial" w:hAnsi="Arial" w:cs="Arial"/>
            <w:lang w:val="en-US"/>
          </w:rPr>
          <w:t>https://www.japha.org/article/S1544-3191(23)00069-</w:t>
        </w:r>
        <w:r w:rsidR="00C5332A" w:rsidRPr="00016290">
          <w:rPr>
            <w:rStyle w:val="Hyperlink"/>
            <w:rFonts w:ascii="Arial" w:hAnsi="Arial" w:cs="Arial"/>
            <w:lang w:val="en-US"/>
          </w:rPr>
          <w:t>9</w:t>
        </w:r>
        <w:r w:rsidR="00C5332A" w:rsidRPr="00016290">
          <w:rPr>
            <w:rStyle w:val="Hyperlink"/>
            <w:rFonts w:ascii="Arial" w:hAnsi="Arial" w:cs="Arial"/>
            <w:lang w:val="en-US"/>
          </w:rPr>
          <w:t>/abstract</w:t>
        </w:r>
      </w:hyperlink>
      <w:r w:rsidR="00C5332A">
        <w:rPr>
          <w:rFonts w:ascii="Arial" w:hAnsi="Arial" w:cs="Arial"/>
          <w:lang w:val="en-US"/>
        </w:rPr>
        <w:t xml:space="preserve"> </w:t>
      </w:r>
    </w:p>
    <w:p w14:paraId="426E32F9" w14:textId="14452280" w:rsidR="009174CD" w:rsidRPr="009174CD" w:rsidRDefault="009174CD" w:rsidP="009174CD">
      <w:pPr>
        <w:rPr>
          <w:rFonts w:ascii="Arial" w:hAnsi="Arial" w:cs="Arial"/>
        </w:rPr>
      </w:pPr>
      <w:r w:rsidRPr="009174CD">
        <w:rPr>
          <w:rFonts w:ascii="Arial" w:hAnsi="Arial" w:cs="Arial"/>
          <w:lang w:val="en-US"/>
        </w:rPr>
        <w:t>Reist, C., Petiwala, I., Latimer, J., Raffaelli, S.B., Chiang, M., Eisenberg, D. and Campbell, S. (2022). Collaborative Mental Health care: a Narrative Review. </w:t>
      </w:r>
      <w:r w:rsidRPr="009174CD">
        <w:rPr>
          <w:rFonts w:ascii="Arial" w:hAnsi="Arial" w:cs="Arial"/>
          <w:i/>
          <w:iCs/>
          <w:lang w:val="en-US"/>
        </w:rPr>
        <w:t>Medicine</w:t>
      </w:r>
      <w:r w:rsidRPr="009174CD">
        <w:rPr>
          <w:rFonts w:ascii="Arial" w:hAnsi="Arial" w:cs="Arial"/>
          <w:lang w:val="en-US"/>
        </w:rPr>
        <w:t>, [online] 101(52).</w:t>
      </w:r>
      <w:r w:rsidR="00C5332A">
        <w:rPr>
          <w:rFonts w:ascii="Arial" w:hAnsi="Arial" w:cs="Arial"/>
          <w:lang w:val="en-US"/>
        </w:rPr>
        <w:t xml:space="preserve"> </w:t>
      </w:r>
      <w:hyperlink r:id="rId17" w:history="1">
        <w:r w:rsidR="00C5332A" w:rsidRPr="00016290">
          <w:rPr>
            <w:rStyle w:val="Hyperlink"/>
            <w:rFonts w:ascii="Arial" w:hAnsi="Arial" w:cs="Arial"/>
            <w:lang w:val="en-US"/>
          </w:rPr>
          <w:t>https://journals.lww.com/md-journal/fulltext/2022/123</w:t>
        </w:r>
        <w:r w:rsidR="00C5332A" w:rsidRPr="00016290">
          <w:rPr>
            <w:rStyle w:val="Hyperlink"/>
            <w:rFonts w:ascii="Arial" w:hAnsi="Arial" w:cs="Arial"/>
            <w:lang w:val="en-US"/>
          </w:rPr>
          <w:t>0</w:t>
        </w:r>
        <w:r w:rsidR="00C5332A" w:rsidRPr="00016290">
          <w:rPr>
            <w:rStyle w:val="Hyperlink"/>
            <w:rFonts w:ascii="Arial" w:hAnsi="Arial" w:cs="Arial"/>
            <w:lang w:val="en-US"/>
          </w:rPr>
          <w:t>0/collaborative_mental_health_care__a_narrative.21.aspx</w:t>
        </w:r>
      </w:hyperlink>
      <w:r w:rsidR="00C5332A">
        <w:rPr>
          <w:rFonts w:ascii="Arial" w:hAnsi="Arial" w:cs="Arial"/>
          <w:lang w:val="en-US"/>
        </w:rPr>
        <w:t xml:space="preserve"> </w:t>
      </w:r>
      <w:r w:rsidRPr="009174CD">
        <w:rPr>
          <w:rFonts w:ascii="Arial" w:hAnsi="Arial" w:cs="Arial"/>
          <w:lang w:val="en-US"/>
        </w:rPr>
        <w:t> </w:t>
      </w:r>
    </w:p>
    <w:p w14:paraId="18A6623C" w14:textId="0B74DCF2" w:rsidR="009174CD" w:rsidRPr="009174CD" w:rsidRDefault="009174CD" w:rsidP="009174CD">
      <w:pPr>
        <w:rPr>
          <w:rFonts w:ascii="Arial" w:hAnsi="Arial" w:cs="Arial"/>
        </w:rPr>
      </w:pPr>
      <w:r w:rsidRPr="009174CD">
        <w:rPr>
          <w:rFonts w:ascii="Arial" w:hAnsi="Arial" w:cs="Arial"/>
          <w:lang w:val="en-US"/>
        </w:rPr>
        <w:t>W. James Appleyard, Christodoulou, G.N. and León-Correa, F.J. (2023). Human Rights, Ethics and Values in Person Centered Medicine. </w:t>
      </w:r>
      <w:r w:rsidRPr="009174CD">
        <w:rPr>
          <w:rFonts w:ascii="Arial" w:hAnsi="Arial" w:cs="Arial"/>
          <w:i/>
          <w:iCs/>
          <w:lang w:val="en-US"/>
        </w:rPr>
        <w:t>Human Rights, Ethics and Values in Person Centered Medicine</w:t>
      </w:r>
      <w:r w:rsidRPr="009174CD">
        <w:rPr>
          <w:rFonts w:ascii="Arial" w:hAnsi="Arial" w:cs="Arial"/>
          <w:lang w:val="en-US"/>
        </w:rPr>
        <w:t>, pp.65–83. </w:t>
      </w:r>
      <w:hyperlink r:id="rId18" w:history="1">
        <w:r w:rsidR="00C5332A" w:rsidRPr="00016290">
          <w:rPr>
            <w:rStyle w:val="Hyperlink"/>
            <w:rFonts w:ascii="Arial" w:hAnsi="Arial" w:cs="Arial"/>
            <w:lang w:val="en-US"/>
          </w:rPr>
          <w:t>https://link.springer.com/chapter/10.1007/978-3-</w:t>
        </w:r>
        <w:r w:rsidR="00C5332A" w:rsidRPr="00016290">
          <w:rPr>
            <w:rStyle w:val="Hyperlink"/>
            <w:rFonts w:ascii="Arial" w:hAnsi="Arial" w:cs="Arial"/>
            <w:lang w:val="en-US"/>
          </w:rPr>
          <w:t>0</w:t>
        </w:r>
        <w:r w:rsidR="00C5332A" w:rsidRPr="00016290">
          <w:rPr>
            <w:rStyle w:val="Hyperlink"/>
            <w:rFonts w:ascii="Arial" w:hAnsi="Arial" w:cs="Arial"/>
            <w:lang w:val="en-US"/>
          </w:rPr>
          <w:t>31-17650-0_4</w:t>
        </w:r>
      </w:hyperlink>
      <w:r w:rsidR="00C5332A">
        <w:rPr>
          <w:rFonts w:ascii="Arial" w:hAnsi="Arial" w:cs="Arial"/>
          <w:lang w:val="en-US"/>
        </w:rPr>
        <w:t xml:space="preserve"> </w:t>
      </w:r>
    </w:p>
    <w:p w14:paraId="4213613A" w14:textId="5B46F541" w:rsidR="009174CD" w:rsidRPr="009174CD" w:rsidRDefault="009174CD" w:rsidP="009174CD">
      <w:pPr>
        <w:rPr>
          <w:rFonts w:ascii="Arial" w:hAnsi="Arial" w:cs="Arial"/>
        </w:rPr>
      </w:pPr>
      <w:proofErr w:type="spellStart"/>
      <w:r w:rsidRPr="009174CD">
        <w:rPr>
          <w:rFonts w:ascii="Arial" w:hAnsi="Arial" w:cs="Arial"/>
          <w:lang w:val="en-US"/>
        </w:rPr>
        <w:t>Wodchis</w:t>
      </w:r>
      <w:proofErr w:type="spellEnd"/>
      <w:r w:rsidRPr="009174CD">
        <w:rPr>
          <w:rFonts w:ascii="Arial" w:hAnsi="Arial" w:cs="Arial"/>
          <w:lang w:val="en-US"/>
        </w:rPr>
        <w:t>, W.P., Dixon, A., Anderson, G.M. and Goodwin, N. (2015). Integrating care for older people with complex needs: key insights and lessons from a seven-country cross-case analysis. </w:t>
      </w:r>
      <w:r w:rsidRPr="009174CD">
        <w:rPr>
          <w:rFonts w:ascii="Arial" w:hAnsi="Arial" w:cs="Arial"/>
          <w:i/>
          <w:iCs/>
          <w:lang w:val="en-US"/>
        </w:rPr>
        <w:t>International Journal of Integrated Care</w:t>
      </w:r>
      <w:r w:rsidRPr="009174CD">
        <w:rPr>
          <w:rFonts w:ascii="Arial" w:hAnsi="Arial" w:cs="Arial"/>
          <w:lang w:val="en-US"/>
        </w:rPr>
        <w:t>, [online] 15(6). </w:t>
      </w:r>
      <w:hyperlink r:id="rId19" w:history="1">
        <w:r w:rsidR="00C5332A" w:rsidRPr="00016290">
          <w:rPr>
            <w:rStyle w:val="Hyperlink"/>
            <w:rFonts w:ascii="Arial" w:hAnsi="Arial" w:cs="Arial"/>
            <w:lang w:val="en-US"/>
          </w:rPr>
          <w:t>https://ijic.org/articles/URN:NBN:NL:UI:10</w:t>
        </w:r>
        <w:r w:rsidR="00C5332A" w:rsidRPr="00016290">
          <w:rPr>
            <w:rStyle w:val="Hyperlink"/>
            <w:rFonts w:ascii="Arial" w:hAnsi="Arial" w:cs="Arial"/>
            <w:lang w:val="en-US"/>
          </w:rPr>
          <w:t>-</w:t>
        </w:r>
        <w:r w:rsidR="00C5332A" w:rsidRPr="00016290">
          <w:rPr>
            <w:rStyle w:val="Hyperlink"/>
            <w:rFonts w:ascii="Arial" w:hAnsi="Arial" w:cs="Arial"/>
            <w:lang w:val="en-US"/>
          </w:rPr>
          <w:t>1-114826</w:t>
        </w:r>
      </w:hyperlink>
      <w:r w:rsidR="00C5332A">
        <w:rPr>
          <w:rFonts w:ascii="Arial" w:hAnsi="Arial" w:cs="Arial"/>
          <w:lang w:val="en-US"/>
        </w:rPr>
        <w:t xml:space="preserve"> </w:t>
      </w:r>
    </w:p>
    <w:p w14:paraId="312D1509" w14:textId="77777777" w:rsidR="009174CD" w:rsidRPr="00C16B17" w:rsidRDefault="009174CD" w:rsidP="00C16B17">
      <w:pPr>
        <w:rPr>
          <w:rFonts w:ascii="Arial" w:hAnsi="Arial" w:cs="Arial"/>
        </w:rPr>
      </w:pPr>
    </w:p>
    <w:p w14:paraId="3047CE7B" w14:textId="77777777" w:rsidR="00C16B17" w:rsidRDefault="00C16B17"/>
    <w:sectPr w:rsidR="00C16B17">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0A8EE5" w14:textId="77777777" w:rsidR="00C83958" w:rsidRDefault="00C83958" w:rsidP="009174CD">
      <w:pPr>
        <w:spacing w:after="0" w:line="240" w:lineRule="auto"/>
      </w:pPr>
      <w:r>
        <w:separator/>
      </w:r>
    </w:p>
  </w:endnote>
  <w:endnote w:type="continuationSeparator" w:id="0">
    <w:p w14:paraId="035625B8" w14:textId="77777777" w:rsidR="00C83958" w:rsidRDefault="00C83958" w:rsidP="009174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91961701"/>
      <w:docPartObj>
        <w:docPartGallery w:val="Page Numbers (Bottom of Page)"/>
        <w:docPartUnique/>
      </w:docPartObj>
    </w:sdtPr>
    <w:sdtContent>
      <w:p w14:paraId="037C5392" w14:textId="0C4A5716" w:rsidR="009174CD" w:rsidRDefault="009174CD">
        <w:pPr>
          <w:pStyle w:val="Footer"/>
          <w:jc w:val="right"/>
        </w:pPr>
        <w:r>
          <w:fldChar w:fldCharType="begin"/>
        </w:r>
        <w:r>
          <w:instrText>PAGE   \* MERGEFORMAT</w:instrText>
        </w:r>
        <w:r>
          <w:fldChar w:fldCharType="separate"/>
        </w:r>
        <w:r>
          <w:t>2</w:t>
        </w:r>
        <w:r>
          <w:fldChar w:fldCharType="end"/>
        </w:r>
      </w:p>
    </w:sdtContent>
  </w:sdt>
  <w:p w14:paraId="13B9CFE2" w14:textId="77777777" w:rsidR="009174CD" w:rsidRDefault="009174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1517AD" w14:textId="77777777" w:rsidR="00C83958" w:rsidRDefault="00C83958" w:rsidP="009174CD">
      <w:pPr>
        <w:spacing w:after="0" w:line="240" w:lineRule="auto"/>
      </w:pPr>
      <w:r>
        <w:separator/>
      </w:r>
    </w:p>
  </w:footnote>
  <w:footnote w:type="continuationSeparator" w:id="0">
    <w:p w14:paraId="4756FAB6" w14:textId="77777777" w:rsidR="00C83958" w:rsidRDefault="00C83958" w:rsidP="009174C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6B17"/>
    <w:rsid w:val="008501DE"/>
    <w:rsid w:val="008D4207"/>
    <w:rsid w:val="009174CD"/>
    <w:rsid w:val="00C16B17"/>
    <w:rsid w:val="00C5332A"/>
    <w:rsid w:val="00C83958"/>
    <w:rsid w:val="00D430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6E15FC"/>
  <w15:chartTrackingRefBased/>
  <w15:docId w15:val="{387CB698-72B0-4B2E-91A3-BEE43EAEA3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6B1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16B1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16B1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16B1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16B1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16B1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16B1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16B1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16B1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6B1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16B1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16B1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16B1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16B1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16B1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16B1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16B1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16B17"/>
    <w:rPr>
      <w:rFonts w:eastAsiaTheme="majorEastAsia" w:cstheme="majorBidi"/>
      <w:color w:val="272727" w:themeColor="text1" w:themeTint="D8"/>
    </w:rPr>
  </w:style>
  <w:style w:type="paragraph" w:styleId="Title">
    <w:name w:val="Title"/>
    <w:basedOn w:val="Normal"/>
    <w:next w:val="Normal"/>
    <w:link w:val="TitleChar"/>
    <w:uiPriority w:val="10"/>
    <w:qFormat/>
    <w:rsid w:val="00C16B1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16B1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16B1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16B1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16B17"/>
    <w:pPr>
      <w:spacing w:before="160"/>
      <w:jc w:val="center"/>
    </w:pPr>
    <w:rPr>
      <w:i/>
      <w:iCs/>
      <w:color w:val="404040" w:themeColor="text1" w:themeTint="BF"/>
    </w:rPr>
  </w:style>
  <w:style w:type="character" w:customStyle="1" w:styleId="QuoteChar">
    <w:name w:val="Quote Char"/>
    <w:basedOn w:val="DefaultParagraphFont"/>
    <w:link w:val="Quote"/>
    <w:uiPriority w:val="29"/>
    <w:rsid w:val="00C16B17"/>
    <w:rPr>
      <w:i/>
      <w:iCs/>
      <w:color w:val="404040" w:themeColor="text1" w:themeTint="BF"/>
    </w:rPr>
  </w:style>
  <w:style w:type="paragraph" w:styleId="ListParagraph">
    <w:name w:val="List Paragraph"/>
    <w:basedOn w:val="Normal"/>
    <w:uiPriority w:val="34"/>
    <w:qFormat/>
    <w:rsid w:val="00C16B17"/>
    <w:pPr>
      <w:ind w:left="720"/>
      <w:contextualSpacing/>
    </w:pPr>
  </w:style>
  <w:style w:type="character" w:styleId="IntenseEmphasis">
    <w:name w:val="Intense Emphasis"/>
    <w:basedOn w:val="DefaultParagraphFont"/>
    <w:uiPriority w:val="21"/>
    <w:qFormat/>
    <w:rsid w:val="00C16B17"/>
    <w:rPr>
      <w:i/>
      <w:iCs/>
      <w:color w:val="0F4761" w:themeColor="accent1" w:themeShade="BF"/>
    </w:rPr>
  </w:style>
  <w:style w:type="paragraph" w:styleId="IntenseQuote">
    <w:name w:val="Intense Quote"/>
    <w:basedOn w:val="Normal"/>
    <w:next w:val="Normal"/>
    <w:link w:val="IntenseQuoteChar"/>
    <w:uiPriority w:val="30"/>
    <w:qFormat/>
    <w:rsid w:val="00C16B1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16B17"/>
    <w:rPr>
      <w:i/>
      <w:iCs/>
      <w:color w:val="0F4761" w:themeColor="accent1" w:themeShade="BF"/>
    </w:rPr>
  </w:style>
  <w:style w:type="character" w:styleId="IntenseReference">
    <w:name w:val="Intense Reference"/>
    <w:basedOn w:val="DefaultParagraphFont"/>
    <w:uiPriority w:val="32"/>
    <w:qFormat/>
    <w:rsid w:val="00C16B17"/>
    <w:rPr>
      <w:b/>
      <w:bCs/>
      <w:smallCaps/>
      <w:color w:val="0F4761" w:themeColor="accent1" w:themeShade="BF"/>
      <w:spacing w:val="5"/>
    </w:rPr>
  </w:style>
  <w:style w:type="paragraph" w:styleId="Header">
    <w:name w:val="header"/>
    <w:basedOn w:val="Normal"/>
    <w:link w:val="HeaderChar"/>
    <w:uiPriority w:val="99"/>
    <w:unhideWhenUsed/>
    <w:rsid w:val="009174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74CD"/>
  </w:style>
  <w:style w:type="paragraph" w:styleId="Footer">
    <w:name w:val="footer"/>
    <w:basedOn w:val="Normal"/>
    <w:link w:val="FooterChar"/>
    <w:uiPriority w:val="99"/>
    <w:unhideWhenUsed/>
    <w:rsid w:val="009174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74CD"/>
  </w:style>
  <w:style w:type="character" w:styleId="Hyperlink">
    <w:name w:val="Hyperlink"/>
    <w:basedOn w:val="DefaultParagraphFont"/>
    <w:uiPriority w:val="99"/>
    <w:unhideWhenUsed/>
    <w:rsid w:val="009174CD"/>
    <w:rPr>
      <w:color w:val="467886" w:themeColor="hyperlink"/>
      <w:u w:val="single"/>
    </w:rPr>
  </w:style>
  <w:style w:type="character" w:styleId="UnresolvedMention">
    <w:name w:val="Unresolved Mention"/>
    <w:basedOn w:val="DefaultParagraphFont"/>
    <w:uiPriority w:val="99"/>
    <w:semiHidden/>
    <w:unhideWhenUsed/>
    <w:rsid w:val="009174CD"/>
    <w:rPr>
      <w:color w:val="605E5C"/>
      <w:shd w:val="clear" w:color="auto" w:fill="E1DFDD"/>
    </w:rPr>
  </w:style>
  <w:style w:type="character" w:styleId="FollowedHyperlink">
    <w:name w:val="FollowedHyperlink"/>
    <w:basedOn w:val="DefaultParagraphFont"/>
    <w:uiPriority w:val="99"/>
    <w:semiHidden/>
    <w:unhideWhenUsed/>
    <w:rsid w:val="009174C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nk.springer.com/article/10.1186/s12913-024-11755-w" TargetMode="External"/><Relationship Id="rId13" Type="http://schemas.openxmlformats.org/officeDocument/2006/relationships/hyperlink" Target="https://link.springer.com/article/10.1186/s12913-023-09718-8" TargetMode="External"/><Relationship Id="rId18" Type="http://schemas.openxmlformats.org/officeDocument/2006/relationships/hyperlink" Target="https://link.springer.com/chapter/10.1007/978-3-031-17650-0_4"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journals.lww.com/naqjournal/abstract/2024/01000/leveraging_maslow_s_hierarchy_of_needs_to_build.8.aspx" TargetMode="External"/><Relationship Id="rId12" Type="http://schemas.openxmlformats.org/officeDocument/2006/relationships/hyperlink" Target="https://www.sciencedirect.com/science/article/abs/pii/S0738399121007254?via%3Dihub" TargetMode="External"/><Relationship Id="rId17" Type="http://schemas.openxmlformats.org/officeDocument/2006/relationships/hyperlink" Target="https://journals.lww.com/md-journal/fulltext/2022/12300/collaborative_mental_health_care__a_narrative.21.aspx" TargetMode="External"/><Relationship Id="rId2" Type="http://schemas.openxmlformats.org/officeDocument/2006/relationships/settings" Target="settings.xml"/><Relationship Id="rId16" Type="http://schemas.openxmlformats.org/officeDocument/2006/relationships/hyperlink" Target="https://www.japha.org/article/S1544-3191(23)00069-9/abstract" TargetMode="External"/><Relationship Id="rId20"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s://www.tandfonline.com/doi/full/10.1080/13561820.2024.2405550" TargetMode="External"/><Relationship Id="rId11" Type="http://schemas.openxmlformats.org/officeDocument/2006/relationships/hyperlink" Target="https://journals.lww.com/nursing/abstract/2024/01000/addressing_nursing_shortages_and_patient_safety.10.aspx" TargetMode="External"/><Relationship Id="rId5" Type="http://schemas.openxmlformats.org/officeDocument/2006/relationships/endnotes" Target="endnotes.xml"/><Relationship Id="rId15" Type="http://schemas.openxmlformats.org/officeDocument/2006/relationships/hyperlink" Target="https://onlinelibrary.wiley.com/doi/10.1002/pmrj.13146" TargetMode="External"/><Relationship Id="rId10" Type="http://schemas.openxmlformats.org/officeDocument/2006/relationships/hyperlink" Target="https://link.springer.com/article/10.1186/s12913-022-07960-0" TargetMode="External"/><Relationship Id="rId19" Type="http://schemas.openxmlformats.org/officeDocument/2006/relationships/hyperlink" Target="https://ijic.org/articles/URN:NBN:NL:UI:10-1-114826" TargetMode="External"/><Relationship Id="rId4" Type="http://schemas.openxmlformats.org/officeDocument/2006/relationships/footnotes" Target="footnotes.xml"/><Relationship Id="rId9" Type="http://schemas.openxmlformats.org/officeDocument/2006/relationships/hyperlink" Target="https://www.researchgate.net/publication/230687397_Engaging_Patients_in_Health_Care" TargetMode="External"/><Relationship Id="rId14" Type="http://schemas.openxmlformats.org/officeDocument/2006/relationships/hyperlink" Target="https://link.springer.com/rwe/10.1007/978-3-031-17299-1_1737"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48</TotalTime>
  <Pages>9</Pages>
  <Words>2875</Words>
  <Characters>16388</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hinna hussain</dc:creator>
  <cp:keywords/>
  <dc:description/>
  <cp:lastModifiedBy>hinna hussain</cp:lastModifiedBy>
  <cp:revision>1</cp:revision>
  <dcterms:created xsi:type="dcterms:W3CDTF">2026-03-28T21:40:00Z</dcterms:created>
  <dcterms:modified xsi:type="dcterms:W3CDTF">2026-03-28T22:28:00Z</dcterms:modified>
</cp:coreProperties>
</file>