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lang w:eastAsia="en-GB"/>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3B6FAE82" w:rsidR="00833470" w:rsidRDefault="002D4362" w:rsidP="002D4362">
      <w:pPr>
        <w:tabs>
          <w:tab w:val="left" w:pos="6540"/>
        </w:tabs>
        <w:spacing w:line="360" w:lineRule="auto"/>
        <w:jc w:val="center"/>
        <w:rPr>
          <w:rFonts w:ascii="Arial" w:hAnsi="Arial" w:cs="Arial"/>
          <w:sz w:val="28"/>
          <w:szCs w:val="28"/>
        </w:rPr>
      </w:pPr>
      <w:r w:rsidRPr="009F0690">
        <w:rPr>
          <w:rFonts w:ascii="Arial" w:hAnsi="Arial" w:cs="Arial"/>
          <w:b/>
          <w:sz w:val="40"/>
        </w:rPr>
        <w:t>Component 1:  Portfolio – Poster and Essay</w:t>
      </w:r>
    </w:p>
    <w:p w14:paraId="5818B88A" w14:textId="284D900D"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E101A9">
        <w:rPr>
          <w:rFonts w:ascii="Arial" w:hAnsi="Arial" w:cs="Arial"/>
          <w:sz w:val="28"/>
          <w:szCs w:val="28"/>
        </w:rPr>
        <w:t>Hamna Nasir</w:t>
      </w:r>
    </w:p>
    <w:p w14:paraId="27005EB9" w14:textId="4E569578"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E101A9">
        <w:rPr>
          <w:rFonts w:ascii="Arial" w:hAnsi="Arial" w:cs="Arial"/>
          <w:sz w:val="28"/>
          <w:szCs w:val="28"/>
          <w:lang w:val="nl-NL"/>
        </w:rPr>
        <w:t xml:space="preserve"> 2523960</w:t>
      </w:r>
    </w:p>
    <w:p w14:paraId="543E95E7" w14:textId="4335F34B" w:rsidR="00833470" w:rsidRPr="00C83A82" w:rsidRDefault="00833470" w:rsidP="002D4362">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2D4362" w:rsidRPr="009F0690">
        <w:rPr>
          <w:rFonts w:ascii="Arial" w:hAnsi="Arial" w:cs="Arial"/>
          <w:sz w:val="24"/>
        </w:rPr>
        <w:t>Introduction to Health and Social Care</w:t>
      </w:r>
    </w:p>
    <w:p w14:paraId="0009AFB0" w14:textId="459FA832"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2D4362">
        <w:rPr>
          <w:rFonts w:ascii="Arial" w:hAnsi="Arial" w:cs="Arial"/>
          <w:sz w:val="28"/>
          <w:szCs w:val="28"/>
        </w:rPr>
        <w:t xml:space="preserve"> </w:t>
      </w:r>
      <w:r w:rsidR="002D4362" w:rsidRPr="009F0690">
        <w:rPr>
          <w:rFonts w:ascii="Arial" w:hAnsi="Arial" w:cs="Arial"/>
          <w:sz w:val="24"/>
        </w:rPr>
        <w:t>LCHS4003</w:t>
      </w:r>
    </w:p>
    <w:p w14:paraId="7F80F8C5" w14:textId="0F24ABE0" w:rsidR="00E101A9" w:rsidRPr="0020413D" w:rsidRDefault="00833470" w:rsidP="00833470">
      <w:r w:rsidRPr="0020413D">
        <w:rPr>
          <w:rFonts w:ascii="Arial" w:hAnsi="Arial" w:cs="Arial"/>
          <w:b/>
          <w:bCs/>
          <w:sz w:val="28"/>
          <w:szCs w:val="28"/>
        </w:rPr>
        <w:t>Lecturer name</w:t>
      </w:r>
      <w:r w:rsidR="002D4362">
        <w:rPr>
          <w:rFonts w:ascii="Arial" w:hAnsi="Arial" w:cs="Arial"/>
          <w:b/>
          <w:bCs/>
          <w:sz w:val="28"/>
          <w:szCs w:val="28"/>
        </w:rPr>
        <w:t xml:space="preserve">: </w:t>
      </w:r>
      <w:r w:rsidRPr="0020413D">
        <w:t xml:space="preserve"> </w:t>
      </w:r>
      <w:proofErr w:type="gramStart"/>
      <w:r w:rsidR="00E101A9" w:rsidRPr="00E101A9">
        <w:rPr>
          <w:sz w:val="28"/>
          <w:szCs w:val="28"/>
        </w:rPr>
        <w:t>Jolly  Nwankwo</w:t>
      </w:r>
      <w:proofErr w:type="gramEnd"/>
      <w:r w:rsidR="00E101A9">
        <w:t xml:space="preserve"> </w:t>
      </w:r>
    </w:p>
    <w:bookmarkEnd w:id="0"/>
    <w:p w14:paraId="1CDB0585" w14:textId="77777777" w:rsidR="002D4362" w:rsidRPr="009F0690" w:rsidRDefault="002D4362" w:rsidP="002D4362">
      <w:pPr>
        <w:rPr>
          <w:rFonts w:ascii="Arial" w:hAnsi="Arial" w:cs="Arial"/>
          <w:sz w:val="24"/>
        </w:rPr>
      </w:pPr>
      <w:r w:rsidRPr="009F0690">
        <w:rPr>
          <w:rFonts w:ascii="Arial" w:hAnsi="Arial" w:cs="Arial"/>
          <w:b/>
          <w:sz w:val="24"/>
        </w:rPr>
        <w:t>Programme:</w:t>
      </w:r>
      <w:r w:rsidRPr="009F0690">
        <w:rPr>
          <w:rFonts w:ascii="Arial" w:hAnsi="Arial" w:cs="Arial"/>
          <w:sz w:val="24"/>
        </w:rPr>
        <w:t xml:space="preserve"> Certificate of Higher Education Skills for the Workplace (Health &amp; Social Care) </w:t>
      </w:r>
    </w:p>
    <w:p w14:paraId="0017DB41" w14:textId="77777777" w:rsidR="002D4362" w:rsidRDefault="002D4362" w:rsidP="00833470">
      <w:pPr>
        <w:rPr>
          <w:rFonts w:ascii="Arial" w:hAnsi="Arial" w:cs="Arial"/>
          <w:b/>
          <w:sz w:val="24"/>
        </w:rPr>
      </w:pPr>
    </w:p>
    <w:p w14:paraId="5C27DB5D" w14:textId="77777777" w:rsidR="002D4362" w:rsidRDefault="002D4362" w:rsidP="00833470">
      <w:pPr>
        <w:rPr>
          <w:rFonts w:ascii="Arial" w:hAnsi="Arial" w:cs="Arial"/>
          <w:b/>
          <w:sz w:val="24"/>
        </w:rPr>
      </w:pPr>
    </w:p>
    <w:p w14:paraId="1B875A1A" w14:textId="77777777" w:rsidR="002D4362" w:rsidRDefault="002D4362" w:rsidP="00833470">
      <w:pPr>
        <w:rPr>
          <w:rFonts w:ascii="Arial" w:hAnsi="Arial" w:cs="Arial"/>
          <w:b/>
          <w:sz w:val="24"/>
        </w:rPr>
      </w:pPr>
    </w:p>
    <w:p w14:paraId="171A8393" w14:textId="77777777" w:rsidR="002D4362" w:rsidRDefault="002D4362" w:rsidP="00833470">
      <w:pPr>
        <w:rPr>
          <w:rFonts w:ascii="Arial" w:hAnsi="Arial" w:cs="Arial"/>
          <w:b/>
          <w:sz w:val="24"/>
        </w:rPr>
      </w:pPr>
    </w:p>
    <w:p w14:paraId="10D36337" w14:textId="77777777" w:rsidR="002D4362" w:rsidRDefault="002D4362" w:rsidP="00833470">
      <w:pPr>
        <w:rPr>
          <w:rFonts w:ascii="Arial" w:hAnsi="Arial" w:cs="Arial"/>
          <w:b/>
          <w:sz w:val="24"/>
        </w:rPr>
      </w:pPr>
    </w:p>
    <w:p w14:paraId="342778CB" w14:textId="77777777" w:rsidR="002D4362" w:rsidRDefault="002D4362" w:rsidP="00833470">
      <w:pPr>
        <w:rPr>
          <w:rFonts w:ascii="Arial" w:hAnsi="Arial" w:cs="Arial"/>
          <w:b/>
          <w:sz w:val="24"/>
        </w:rPr>
      </w:pPr>
    </w:p>
    <w:p w14:paraId="02756EC6" w14:textId="77777777" w:rsidR="002D4362" w:rsidRDefault="002D4362" w:rsidP="00833470">
      <w:pPr>
        <w:rPr>
          <w:rFonts w:ascii="Arial" w:hAnsi="Arial" w:cs="Arial"/>
          <w:b/>
          <w:sz w:val="24"/>
        </w:rPr>
      </w:pPr>
    </w:p>
    <w:p w14:paraId="777FB762" w14:textId="77777777" w:rsidR="002D4362" w:rsidRDefault="002D4362" w:rsidP="00833470">
      <w:pPr>
        <w:rPr>
          <w:rFonts w:ascii="Arial" w:hAnsi="Arial" w:cs="Arial"/>
          <w:b/>
          <w:sz w:val="24"/>
        </w:rPr>
      </w:pPr>
    </w:p>
    <w:p w14:paraId="3331D9A4" w14:textId="77777777" w:rsidR="002D4362" w:rsidRDefault="002D4362" w:rsidP="00833470">
      <w:pPr>
        <w:rPr>
          <w:rFonts w:ascii="Arial" w:hAnsi="Arial" w:cs="Arial"/>
          <w:b/>
          <w:sz w:val="24"/>
        </w:rPr>
      </w:pPr>
    </w:p>
    <w:p w14:paraId="6A02AE26" w14:textId="77777777" w:rsidR="002D4362" w:rsidRDefault="002D4362" w:rsidP="00833470">
      <w:pPr>
        <w:rPr>
          <w:rFonts w:ascii="Arial" w:hAnsi="Arial" w:cs="Arial"/>
          <w:b/>
          <w:sz w:val="24"/>
        </w:rPr>
      </w:pPr>
    </w:p>
    <w:p w14:paraId="3B90178B" w14:textId="77777777" w:rsidR="002D4362" w:rsidRDefault="002D4362" w:rsidP="00833470">
      <w:pPr>
        <w:rPr>
          <w:rFonts w:ascii="Arial" w:hAnsi="Arial" w:cs="Arial"/>
          <w:b/>
          <w:sz w:val="24"/>
        </w:rPr>
      </w:pPr>
    </w:p>
    <w:p w14:paraId="432D4697" w14:textId="46868DC3" w:rsidR="002D4362" w:rsidRDefault="002D4362" w:rsidP="00833470">
      <w:pPr>
        <w:rPr>
          <w:rFonts w:ascii="Arial" w:hAnsi="Arial" w:cs="Arial"/>
          <w:b/>
          <w:sz w:val="24"/>
        </w:rPr>
      </w:pPr>
    </w:p>
    <w:p w14:paraId="32F95831" w14:textId="77777777" w:rsidR="002D4362" w:rsidRDefault="002D4362" w:rsidP="00833470">
      <w:pPr>
        <w:rPr>
          <w:rFonts w:ascii="Arial" w:hAnsi="Arial" w:cs="Arial"/>
          <w:b/>
          <w:sz w:val="24"/>
        </w:rPr>
      </w:pPr>
    </w:p>
    <w:p w14:paraId="1D97E669" w14:textId="77777777" w:rsidR="002D4362" w:rsidRDefault="002D4362" w:rsidP="00833470">
      <w:pPr>
        <w:rPr>
          <w:rFonts w:ascii="Arial" w:hAnsi="Arial" w:cs="Arial"/>
          <w:b/>
          <w:sz w:val="24"/>
        </w:rPr>
      </w:pPr>
    </w:p>
    <w:p w14:paraId="3BA4751C" w14:textId="37D0DFF3" w:rsidR="00833470" w:rsidRPr="004D35FC" w:rsidRDefault="00833470" w:rsidP="00833470">
      <w:pPr>
        <w:rPr>
          <w:rFonts w:ascii="Arial" w:hAnsi="Arial" w:cs="Arial"/>
          <w:b/>
          <w:bCs/>
          <w:sz w:val="28"/>
          <w:szCs w:val="28"/>
        </w:rPr>
      </w:pPr>
    </w:p>
    <w:sdt>
      <w:sdtPr>
        <w:rPr>
          <w:rFonts w:asciiTheme="minorHAnsi" w:eastAsiaTheme="minorEastAsia" w:hAnsiTheme="minorHAnsi" w:cstheme="minorBidi"/>
          <w:color w:val="auto"/>
          <w:sz w:val="22"/>
          <w:szCs w:val="22"/>
          <w:lang w:val="en-GB" w:eastAsia="zh-CN"/>
        </w:rPr>
        <w:id w:val="-690989839"/>
        <w:docPartObj>
          <w:docPartGallery w:val="Table of Contents"/>
          <w:docPartUnique/>
        </w:docPartObj>
      </w:sdtPr>
      <w:sdtEndPr>
        <w:rPr>
          <w:b/>
          <w:bCs/>
          <w:noProof/>
        </w:rPr>
      </w:sdtEndPr>
      <w:sdtContent>
        <w:p w14:paraId="5079E093" w14:textId="6E4E0B4C" w:rsidR="002D4362" w:rsidRPr="007D2ECE" w:rsidRDefault="002D4362" w:rsidP="002D4362">
          <w:pPr>
            <w:pStyle w:val="TOCHeading"/>
            <w:spacing w:line="360" w:lineRule="auto"/>
            <w:rPr>
              <w:rFonts w:ascii="Arial" w:hAnsi="Arial" w:cs="Arial"/>
              <w:b/>
              <w:color w:val="000000" w:themeColor="text1"/>
            </w:rPr>
          </w:pPr>
          <w:r w:rsidRPr="007D2ECE">
            <w:rPr>
              <w:rFonts w:ascii="Arial" w:hAnsi="Arial" w:cs="Arial"/>
              <w:b/>
              <w:color w:val="000000" w:themeColor="text1"/>
            </w:rPr>
            <w:t>Contents</w:t>
          </w:r>
        </w:p>
        <w:p w14:paraId="5A2AA7BA" w14:textId="015B8280" w:rsidR="0040375D" w:rsidRDefault="002D4362">
          <w:pPr>
            <w:pStyle w:val="TOC1"/>
            <w:tabs>
              <w:tab w:val="right" w:leader="dot" w:pos="9016"/>
            </w:tabs>
            <w:rPr>
              <w:noProof/>
              <w:lang w:eastAsia="en-GB"/>
            </w:rPr>
          </w:pPr>
          <w:r>
            <w:fldChar w:fldCharType="begin"/>
          </w:r>
          <w:r>
            <w:instrText xml:space="preserve"> TOC \o "1-3" \h \z \u </w:instrText>
          </w:r>
          <w:r>
            <w:fldChar w:fldCharType="separate"/>
          </w:r>
          <w:hyperlink w:anchor="_Toc234582821" w:history="1">
            <w:r w:rsidR="0040375D" w:rsidRPr="009F03AA">
              <w:rPr>
                <w:rStyle w:val="Hyperlink"/>
                <w:rFonts w:ascii="Arial" w:hAnsi="Arial" w:cs="Arial"/>
                <w:b/>
                <w:noProof/>
              </w:rPr>
              <w:t>Element 1: Poster</w:t>
            </w:r>
            <w:r w:rsidR="0040375D">
              <w:rPr>
                <w:noProof/>
                <w:webHidden/>
              </w:rPr>
              <w:tab/>
            </w:r>
            <w:r w:rsidR="0040375D">
              <w:rPr>
                <w:noProof/>
                <w:webHidden/>
              </w:rPr>
              <w:fldChar w:fldCharType="begin"/>
            </w:r>
            <w:r w:rsidR="0040375D">
              <w:rPr>
                <w:noProof/>
                <w:webHidden/>
              </w:rPr>
              <w:instrText xml:space="preserve"> PAGEREF _Toc234582821 \h </w:instrText>
            </w:r>
            <w:r w:rsidR="0040375D">
              <w:rPr>
                <w:noProof/>
                <w:webHidden/>
              </w:rPr>
            </w:r>
            <w:r w:rsidR="0040375D">
              <w:rPr>
                <w:noProof/>
                <w:webHidden/>
              </w:rPr>
              <w:fldChar w:fldCharType="separate"/>
            </w:r>
            <w:r w:rsidR="0040375D">
              <w:rPr>
                <w:noProof/>
                <w:webHidden/>
              </w:rPr>
              <w:t>3</w:t>
            </w:r>
            <w:r w:rsidR="0040375D">
              <w:rPr>
                <w:noProof/>
                <w:webHidden/>
              </w:rPr>
              <w:fldChar w:fldCharType="end"/>
            </w:r>
          </w:hyperlink>
        </w:p>
        <w:p w14:paraId="317160D0" w14:textId="42010BA2" w:rsidR="0040375D" w:rsidRDefault="0040375D">
          <w:pPr>
            <w:pStyle w:val="TOC1"/>
            <w:tabs>
              <w:tab w:val="right" w:leader="dot" w:pos="9016"/>
            </w:tabs>
            <w:rPr>
              <w:noProof/>
              <w:lang w:eastAsia="en-GB"/>
            </w:rPr>
          </w:pPr>
          <w:hyperlink w:anchor="_Toc234582822" w:history="1">
            <w:r w:rsidRPr="009F03AA">
              <w:rPr>
                <w:rStyle w:val="Hyperlink"/>
                <w:rFonts w:ascii="Arial" w:hAnsi="Arial" w:cs="Arial"/>
                <w:b/>
                <w:noProof/>
              </w:rPr>
              <w:t>Element 2: Essay</w:t>
            </w:r>
            <w:r>
              <w:rPr>
                <w:noProof/>
                <w:webHidden/>
              </w:rPr>
              <w:tab/>
            </w:r>
            <w:r>
              <w:rPr>
                <w:noProof/>
                <w:webHidden/>
              </w:rPr>
              <w:fldChar w:fldCharType="begin"/>
            </w:r>
            <w:r>
              <w:rPr>
                <w:noProof/>
                <w:webHidden/>
              </w:rPr>
              <w:instrText xml:space="preserve"> PAGEREF _Toc234582822 \h </w:instrText>
            </w:r>
            <w:r>
              <w:rPr>
                <w:noProof/>
                <w:webHidden/>
              </w:rPr>
            </w:r>
            <w:r>
              <w:rPr>
                <w:noProof/>
                <w:webHidden/>
              </w:rPr>
              <w:fldChar w:fldCharType="separate"/>
            </w:r>
            <w:r>
              <w:rPr>
                <w:noProof/>
                <w:webHidden/>
              </w:rPr>
              <w:t>4</w:t>
            </w:r>
            <w:r>
              <w:rPr>
                <w:noProof/>
                <w:webHidden/>
              </w:rPr>
              <w:fldChar w:fldCharType="end"/>
            </w:r>
          </w:hyperlink>
        </w:p>
        <w:p w14:paraId="659BE806" w14:textId="0604AA80" w:rsidR="0040375D" w:rsidRDefault="0040375D">
          <w:pPr>
            <w:pStyle w:val="TOC1"/>
            <w:tabs>
              <w:tab w:val="right" w:leader="dot" w:pos="9016"/>
            </w:tabs>
            <w:rPr>
              <w:noProof/>
              <w:lang w:eastAsia="en-GB"/>
            </w:rPr>
          </w:pPr>
          <w:hyperlink w:anchor="_Toc234582823" w:history="1">
            <w:r w:rsidRPr="009F03AA">
              <w:rPr>
                <w:rStyle w:val="Hyperlink"/>
                <w:rFonts w:ascii="Arial" w:hAnsi="Arial" w:cs="Arial"/>
                <w:b/>
                <w:noProof/>
              </w:rPr>
              <w:t>1. Introduction</w:t>
            </w:r>
            <w:r>
              <w:rPr>
                <w:noProof/>
                <w:webHidden/>
              </w:rPr>
              <w:tab/>
            </w:r>
            <w:r>
              <w:rPr>
                <w:noProof/>
                <w:webHidden/>
              </w:rPr>
              <w:fldChar w:fldCharType="begin"/>
            </w:r>
            <w:r>
              <w:rPr>
                <w:noProof/>
                <w:webHidden/>
              </w:rPr>
              <w:instrText xml:space="preserve"> PAGEREF _Toc234582823 \h </w:instrText>
            </w:r>
            <w:r>
              <w:rPr>
                <w:noProof/>
                <w:webHidden/>
              </w:rPr>
            </w:r>
            <w:r>
              <w:rPr>
                <w:noProof/>
                <w:webHidden/>
              </w:rPr>
              <w:fldChar w:fldCharType="separate"/>
            </w:r>
            <w:r>
              <w:rPr>
                <w:noProof/>
                <w:webHidden/>
              </w:rPr>
              <w:t>4</w:t>
            </w:r>
            <w:r>
              <w:rPr>
                <w:noProof/>
                <w:webHidden/>
              </w:rPr>
              <w:fldChar w:fldCharType="end"/>
            </w:r>
          </w:hyperlink>
        </w:p>
        <w:p w14:paraId="29210D91" w14:textId="109E2775" w:rsidR="0040375D" w:rsidRDefault="0040375D">
          <w:pPr>
            <w:pStyle w:val="TOC1"/>
            <w:tabs>
              <w:tab w:val="right" w:leader="dot" w:pos="9016"/>
            </w:tabs>
            <w:rPr>
              <w:noProof/>
              <w:lang w:eastAsia="en-GB"/>
            </w:rPr>
          </w:pPr>
          <w:hyperlink w:anchor="_Toc234582824" w:history="1">
            <w:r w:rsidRPr="009F03AA">
              <w:rPr>
                <w:rStyle w:val="Hyperlink"/>
                <w:rFonts w:ascii="Arial" w:hAnsi="Arial" w:cs="Arial"/>
                <w:b/>
                <w:noProof/>
              </w:rPr>
              <w:t>2. Origins and Historical Development</w:t>
            </w:r>
            <w:r>
              <w:rPr>
                <w:noProof/>
                <w:webHidden/>
              </w:rPr>
              <w:tab/>
            </w:r>
            <w:r>
              <w:rPr>
                <w:noProof/>
                <w:webHidden/>
              </w:rPr>
              <w:fldChar w:fldCharType="begin"/>
            </w:r>
            <w:r>
              <w:rPr>
                <w:noProof/>
                <w:webHidden/>
              </w:rPr>
              <w:instrText xml:space="preserve"> PAGEREF _Toc234582824 \h </w:instrText>
            </w:r>
            <w:r>
              <w:rPr>
                <w:noProof/>
                <w:webHidden/>
              </w:rPr>
            </w:r>
            <w:r>
              <w:rPr>
                <w:noProof/>
                <w:webHidden/>
              </w:rPr>
              <w:fldChar w:fldCharType="separate"/>
            </w:r>
            <w:r>
              <w:rPr>
                <w:noProof/>
                <w:webHidden/>
              </w:rPr>
              <w:t>4</w:t>
            </w:r>
            <w:r>
              <w:rPr>
                <w:noProof/>
                <w:webHidden/>
              </w:rPr>
              <w:fldChar w:fldCharType="end"/>
            </w:r>
          </w:hyperlink>
        </w:p>
        <w:p w14:paraId="74122FEA" w14:textId="05F2A72A" w:rsidR="0040375D" w:rsidRDefault="0040375D">
          <w:pPr>
            <w:pStyle w:val="TOC1"/>
            <w:tabs>
              <w:tab w:val="right" w:leader="dot" w:pos="9016"/>
            </w:tabs>
            <w:rPr>
              <w:noProof/>
              <w:lang w:eastAsia="en-GB"/>
            </w:rPr>
          </w:pPr>
          <w:hyperlink w:anchor="_Toc234582825" w:history="1">
            <w:r w:rsidRPr="009F03AA">
              <w:rPr>
                <w:rStyle w:val="Hyperlink"/>
                <w:rFonts w:ascii="Arial" w:hAnsi="Arial" w:cs="Arial"/>
                <w:b/>
                <w:noProof/>
              </w:rPr>
              <w:t>3. Current Functioning of Community Mental Health Services</w:t>
            </w:r>
            <w:r>
              <w:rPr>
                <w:noProof/>
                <w:webHidden/>
              </w:rPr>
              <w:tab/>
            </w:r>
            <w:r>
              <w:rPr>
                <w:noProof/>
                <w:webHidden/>
              </w:rPr>
              <w:fldChar w:fldCharType="begin"/>
            </w:r>
            <w:r>
              <w:rPr>
                <w:noProof/>
                <w:webHidden/>
              </w:rPr>
              <w:instrText xml:space="preserve"> PAGEREF _Toc234582825 \h </w:instrText>
            </w:r>
            <w:r>
              <w:rPr>
                <w:noProof/>
                <w:webHidden/>
              </w:rPr>
            </w:r>
            <w:r>
              <w:rPr>
                <w:noProof/>
                <w:webHidden/>
              </w:rPr>
              <w:fldChar w:fldCharType="separate"/>
            </w:r>
            <w:r>
              <w:rPr>
                <w:noProof/>
                <w:webHidden/>
              </w:rPr>
              <w:t>4</w:t>
            </w:r>
            <w:r>
              <w:rPr>
                <w:noProof/>
                <w:webHidden/>
              </w:rPr>
              <w:fldChar w:fldCharType="end"/>
            </w:r>
          </w:hyperlink>
        </w:p>
        <w:p w14:paraId="78C525B5" w14:textId="7C0D707E" w:rsidR="0040375D" w:rsidRDefault="0040375D">
          <w:pPr>
            <w:pStyle w:val="TOC1"/>
            <w:tabs>
              <w:tab w:val="right" w:leader="dot" w:pos="9016"/>
            </w:tabs>
            <w:rPr>
              <w:noProof/>
              <w:lang w:eastAsia="en-GB"/>
            </w:rPr>
          </w:pPr>
          <w:hyperlink w:anchor="_Toc234582826" w:history="1">
            <w:r w:rsidRPr="009F03AA">
              <w:rPr>
                <w:rStyle w:val="Hyperlink"/>
                <w:rFonts w:ascii="Arial" w:hAnsi="Arial" w:cs="Arial"/>
                <w:b/>
                <w:noProof/>
              </w:rPr>
              <w:t>4. Critical Evaluation of the Service</w:t>
            </w:r>
            <w:r>
              <w:rPr>
                <w:noProof/>
                <w:webHidden/>
              </w:rPr>
              <w:tab/>
            </w:r>
            <w:r>
              <w:rPr>
                <w:noProof/>
                <w:webHidden/>
              </w:rPr>
              <w:fldChar w:fldCharType="begin"/>
            </w:r>
            <w:r>
              <w:rPr>
                <w:noProof/>
                <w:webHidden/>
              </w:rPr>
              <w:instrText xml:space="preserve"> PAGEREF _Toc234582826 \h </w:instrText>
            </w:r>
            <w:r>
              <w:rPr>
                <w:noProof/>
                <w:webHidden/>
              </w:rPr>
            </w:r>
            <w:r>
              <w:rPr>
                <w:noProof/>
                <w:webHidden/>
              </w:rPr>
              <w:fldChar w:fldCharType="separate"/>
            </w:r>
            <w:r>
              <w:rPr>
                <w:noProof/>
                <w:webHidden/>
              </w:rPr>
              <w:t>5</w:t>
            </w:r>
            <w:r>
              <w:rPr>
                <w:noProof/>
                <w:webHidden/>
              </w:rPr>
              <w:fldChar w:fldCharType="end"/>
            </w:r>
          </w:hyperlink>
        </w:p>
        <w:p w14:paraId="3E447AC7" w14:textId="4B0EC0C9" w:rsidR="0040375D" w:rsidRDefault="0040375D">
          <w:pPr>
            <w:pStyle w:val="TOC1"/>
            <w:tabs>
              <w:tab w:val="right" w:leader="dot" w:pos="9016"/>
            </w:tabs>
            <w:rPr>
              <w:noProof/>
              <w:lang w:eastAsia="en-GB"/>
            </w:rPr>
          </w:pPr>
          <w:hyperlink w:anchor="_Toc234582827" w:history="1">
            <w:r w:rsidRPr="009F03AA">
              <w:rPr>
                <w:rStyle w:val="Hyperlink"/>
                <w:rFonts w:ascii="Arial" w:hAnsi="Arial" w:cs="Arial"/>
                <w:b/>
                <w:noProof/>
              </w:rPr>
              <w:t>5. Significance in Enhancing Quality of Life</w:t>
            </w:r>
            <w:r>
              <w:rPr>
                <w:noProof/>
                <w:webHidden/>
              </w:rPr>
              <w:tab/>
            </w:r>
            <w:r>
              <w:rPr>
                <w:noProof/>
                <w:webHidden/>
              </w:rPr>
              <w:fldChar w:fldCharType="begin"/>
            </w:r>
            <w:r>
              <w:rPr>
                <w:noProof/>
                <w:webHidden/>
              </w:rPr>
              <w:instrText xml:space="preserve"> PAGEREF _Toc234582827 \h </w:instrText>
            </w:r>
            <w:r>
              <w:rPr>
                <w:noProof/>
                <w:webHidden/>
              </w:rPr>
            </w:r>
            <w:r>
              <w:rPr>
                <w:noProof/>
                <w:webHidden/>
              </w:rPr>
              <w:fldChar w:fldCharType="separate"/>
            </w:r>
            <w:r>
              <w:rPr>
                <w:noProof/>
                <w:webHidden/>
              </w:rPr>
              <w:t>5</w:t>
            </w:r>
            <w:r>
              <w:rPr>
                <w:noProof/>
                <w:webHidden/>
              </w:rPr>
              <w:fldChar w:fldCharType="end"/>
            </w:r>
          </w:hyperlink>
        </w:p>
        <w:p w14:paraId="6426FF07" w14:textId="73BED684" w:rsidR="0040375D" w:rsidRDefault="0040375D">
          <w:pPr>
            <w:pStyle w:val="TOC1"/>
            <w:tabs>
              <w:tab w:val="right" w:leader="dot" w:pos="9016"/>
            </w:tabs>
            <w:rPr>
              <w:noProof/>
              <w:lang w:eastAsia="en-GB"/>
            </w:rPr>
          </w:pPr>
          <w:hyperlink w:anchor="_Toc234582828" w:history="1">
            <w:r w:rsidRPr="009F03AA">
              <w:rPr>
                <w:rStyle w:val="Hyperlink"/>
                <w:rFonts w:ascii="Arial" w:hAnsi="Arial" w:cs="Arial"/>
                <w:b/>
                <w:noProof/>
              </w:rPr>
              <w:t>6. Conclusion</w:t>
            </w:r>
            <w:r>
              <w:rPr>
                <w:noProof/>
                <w:webHidden/>
              </w:rPr>
              <w:tab/>
            </w:r>
            <w:r>
              <w:rPr>
                <w:noProof/>
                <w:webHidden/>
              </w:rPr>
              <w:fldChar w:fldCharType="begin"/>
            </w:r>
            <w:r>
              <w:rPr>
                <w:noProof/>
                <w:webHidden/>
              </w:rPr>
              <w:instrText xml:space="preserve"> PAGEREF _Toc234582828 \h </w:instrText>
            </w:r>
            <w:r>
              <w:rPr>
                <w:noProof/>
                <w:webHidden/>
              </w:rPr>
            </w:r>
            <w:r>
              <w:rPr>
                <w:noProof/>
                <w:webHidden/>
              </w:rPr>
              <w:fldChar w:fldCharType="separate"/>
            </w:r>
            <w:r>
              <w:rPr>
                <w:noProof/>
                <w:webHidden/>
              </w:rPr>
              <w:t>5</w:t>
            </w:r>
            <w:r>
              <w:rPr>
                <w:noProof/>
                <w:webHidden/>
              </w:rPr>
              <w:fldChar w:fldCharType="end"/>
            </w:r>
          </w:hyperlink>
        </w:p>
        <w:p w14:paraId="4712AE79" w14:textId="6210DFC9" w:rsidR="0040375D" w:rsidRDefault="0040375D">
          <w:pPr>
            <w:pStyle w:val="TOC1"/>
            <w:tabs>
              <w:tab w:val="right" w:leader="dot" w:pos="9016"/>
            </w:tabs>
            <w:rPr>
              <w:noProof/>
              <w:lang w:eastAsia="en-GB"/>
            </w:rPr>
          </w:pPr>
          <w:hyperlink w:anchor="_Toc234582829" w:history="1">
            <w:r w:rsidRPr="009F03AA">
              <w:rPr>
                <w:rStyle w:val="Hyperlink"/>
                <w:rFonts w:ascii="Arial" w:hAnsi="Arial" w:cs="Arial"/>
                <w:b/>
                <w:noProof/>
              </w:rPr>
              <w:t>References</w:t>
            </w:r>
            <w:r>
              <w:rPr>
                <w:noProof/>
                <w:webHidden/>
              </w:rPr>
              <w:tab/>
            </w:r>
            <w:r>
              <w:rPr>
                <w:noProof/>
                <w:webHidden/>
              </w:rPr>
              <w:fldChar w:fldCharType="begin"/>
            </w:r>
            <w:r>
              <w:rPr>
                <w:noProof/>
                <w:webHidden/>
              </w:rPr>
              <w:instrText xml:space="preserve"> PAGEREF _Toc234582829 \h </w:instrText>
            </w:r>
            <w:r>
              <w:rPr>
                <w:noProof/>
                <w:webHidden/>
              </w:rPr>
            </w:r>
            <w:r>
              <w:rPr>
                <w:noProof/>
                <w:webHidden/>
              </w:rPr>
              <w:fldChar w:fldCharType="separate"/>
            </w:r>
            <w:r>
              <w:rPr>
                <w:noProof/>
                <w:webHidden/>
              </w:rPr>
              <w:t>6</w:t>
            </w:r>
            <w:r>
              <w:rPr>
                <w:noProof/>
                <w:webHidden/>
              </w:rPr>
              <w:fldChar w:fldCharType="end"/>
            </w:r>
          </w:hyperlink>
        </w:p>
        <w:p w14:paraId="6EA94091" w14:textId="6D9A7941" w:rsidR="002D4362" w:rsidRDefault="002D4362">
          <w:r>
            <w:rPr>
              <w:b/>
              <w:bCs/>
              <w:noProof/>
            </w:rPr>
            <w:fldChar w:fldCharType="end"/>
          </w:r>
        </w:p>
      </w:sdtContent>
    </w:sdt>
    <w:p w14:paraId="2F2D77A8" w14:textId="580E7100" w:rsidR="00833470" w:rsidRDefault="00833470" w:rsidP="00833470"/>
    <w:p w14:paraId="3D11F573" w14:textId="75021E8E" w:rsidR="002D4362" w:rsidRDefault="002D4362" w:rsidP="00833470"/>
    <w:p w14:paraId="6D5B2F5C" w14:textId="5E34CD56" w:rsidR="002D4362" w:rsidRDefault="002D4362" w:rsidP="00833470"/>
    <w:p w14:paraId="2AB65242" w14:textId="2F7E64AD" w:rsidR="002D4362" w:rsidRDefault="002D4362" w:rsidP="00833470"/>
    <w:p w14:paraId="1EE90B41" w14:textId="6D617E3F" w:rsidR="002D4362" w:rsidRDefault="002D4362" w:rsidP="00833470"/>
    <w:p w14:paraId="50353B96" w14:textId="253BB758" w:rsidR="002D4362" w:rsidRDefault="002D4362" w:rsidP="00833470"/>
    <w:p w14:paraId="7EF57A3D" w14:textId="2A5F7D1C" w:rsidR="002D4362" w:rsidRDefault="002D4362" w:rsidP="00833470"/>
    <w:p w14:paraId="2C4F53E5" w14:textId="7A523EEC" w:rsidR="002D4362" w:rsidRDefault="002D4362" w:rsidP="00833470"/>
    <w:p w14:paraId="4044CF8E" w14:textId="2ADB631D" w:rsidR="002D4362" w:rsidRDefault="002D4362" w:rsidP="00833470"/>
    <w:p w14:paraId="3D7611EC" w14:textId="759A6206" w:rsidR="002D4362" w:rsidRDefault="002D4362" w:rsidP="00833470"/>
    <w:p w14:paraId="3EAF7179" w14:textId="6BA0FB02" w:rsidR="002D4362" w:rsidRDefault="002D4362" w:rsidP="00833470"/>
    <w:p w14:paraId="19CA6394" w14:textId="045AF551" w:rsidR="002D4362" w:rsidRDefault="002D4362" w:rsidP="00833470"/>
    <w:p w14:paraId="3081E205" w14:textId="01C89923" w:rsidR="002D4362" w:rsidRDefault="002D4362" w:rsidP="00833470"/>
    <w:p w14:paraId="07A7737D" w14:textId="3E06367D" w:rsidR="002D4362" w:rsidRDefault="002D4362" w:rsidP="00833470"/>
    <w:p w14:paraId="0F652D19" w14:textId="377FDE84" w:rsidR="002D4362" w:rsidRDefault="002D4362" w:rsidP="00833470"/>
    <w:p w14:paraId="3F883DE7" w14:textId="68BB997D" w:rsidR="002D4362" w:rsidRDefault="002D4362" w:rsidP="00833470"/>
    <w:p w14:paraId="343AE6AF" w14:textId="5056E98B" w:rsidR="002D4362" w:rsidRDefault="002D4362" w:rsidP="00833470">
      <w:pPr>
        <w:sectPr w:rsidR="002D4362" w:rsidSect="00925D5E">
          <w:headerReference w:type="default" r:id="rId9"/>
          <w:footerReference w:type="default" r:id="rId10"/>
          <w:pgSz w:w="11906" w:h="16838"/>
          <w:pgMar w:top="1440" w:right="1440" w:bottom="1440" w:left="1440" w:header="708" w:footer="708" w:gutter="0"/>
          <w:cols w:space="708"/>
          <w:docGrid w:linePitch="360"/>
        </w:sectPr>
      </w:pPr>
    </w:p>
    <w:p w14:paraId="5AFFC33B" w14:textId="2DA57614" w:rsidR="003A000F" w:rsidRPr="00952738" w:rsidRDefault="002D4362" w:rsidP="002D4362">
      <w:pPr>
        <w:pStyle w:val="Heading1"/>
        <w:spacing w:line="360" w:lineRule="auto"/>
        <w:jc w:val="both"/>
        <w:rPr>
          <w:rFonts w:ascii="Arial" w:hAnsi="Arial" w:cs="Arial"/>
          <w:b/>
          <w:color w:val="000000" w:themeColor="text1"/>
          <w:sz w:val="28"/>
        </w:rPr>
      </w:pPr>
      <w:bookmarkStart w:id="1" w:name="_Toc233484025"/>
      <w:bookmarkStart w:id="2" w:name="_Toc234582821"/>
      <w:r w:rsidRPr="00952738">
        <w:rPr>
          <w:rFonts w:ascii="Arial" w:hAnsi="Arial" w:cs="Arial"/>
          <w:b/>
          <w:color w:val="000000" w:themeColor="text1"/>
          <w:sz w:val="28"/>
        </w:rPr>
        <w:lastRenderedPageBreak/>
        <w:t>Element 1: Poster</w:t>
      </w:r>
      <w:bookmarkEnd w:id="1"/>
      <w:bookmarkEnd w:id="2"/>
    </w:p>
    <w:p w14:paraId="582EC01C" w14:textId="34B73A61" w:rsidR="002D4362" w:rsidRDefault="002D4362" w:rsidP="002D4362">
      <w:pPr>
        <w:jc w:val="center"/>
        <w:sectPr w:rsidR="002D4362" w:rsidSect="002D4362">
          <w:pgSz w:w="11906" w:h="16838"/>
          <w:pgMar w:top="1440" w:right="1440" w:bottom="1440" w:left="1440" w:header="708" w:footer="708" w:gutter="0"/>
          <w:cols w:space="708"/>
          <w:docGrid w:linePitch="360"/>
        </w:sectPr>
      </w:pPr>
      <w:r>
        <w:rPr>
          <w:noProof/>
          <w:lang w:eastAsia="en-GB"/>
        </w:rPr>
        <w:drawing>
          <wp:inline distT="0" distB="0" distL="0" distR="0" wp14:anchorId="744769D6" wp14:editId="26EB9FD7">
            <wp:extent cx="6165187" cy="817245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oster.png"/>
                    <pic:cNvPicPr/>
                  </pic:nvPicPr>
                  <pic:blipFill>
                    <a:blip r:embed="rId11">
                      <a:extLst>
                        <a:ext uri="{28A0092B-C50C-407E-A947-70E740481C1C}">
                          <a14:useLocalDpi xmlns:a14="http://schemas.microsoft.com/office/drawing/2010/main" val="0"/>
                        </a:ext>
                      </a:extLst>
                    </a:blip>
                    <a:stretch>
                      <a:fillRect/>
                    </a:stretch>
                  </pic:blipFill>
                  <pic:spPr>
                    <a:xfrm>
                      <a:off x="0" y="0"/>
                      <a:ext cx="6181751" cy="8194406"/>
                    </a:xfrm>
                    <a:prstGeom prst="rect">
                      <a:avLst/>
                    </a:prstGeom>
                  </pic:spPr>
                </pic:pic>
              </a:graphicData>
            </a:graphic>
          </wp:inline>
        </w:drawing>
      </w:r>
    </w:p>
    <w:p w14:paraId="2F039F1B" w14:textId="680BD783" w:rsidR="002D4362" w:rsidRPr="00FA1FAD" w:rsidRDefault="002D4362" w:rsidP="002D4362">
      <w:pPr>
        <w:pStyle w:val="Heading1"/>
        <w:spacing w:line="360" w:lineRule="auto"/>
        <w:rPr>
          <w:rFonts w:ascii="Arial" w:hAnsi="Arial" w:cs="Arial"/>
          <w:b/>
          <w:color w:val="000000" w:themeColor="text1"/>
          <w:sz w:val="24"/>
        </w:rPr>
      </w:pPr>
      <w:bookmarkStart w:id="3" w:name="_Toc233484026"/>
      <w:bookmarkStart w:id="4" w:name="_Toc234582822"/>
      <w:r w:rsidRPr="00FA1FAD">
        <w:rPr>
          <w:rFonts w:ascii="Arial" w:hAnsi="Arial" w:cs="Arial"/>
          <w:b/>
          <w:color w:val="000000" w:themeColor="text1"/>
          <w:sz w:val="28"/>
        </w:rPr>
        <w:lastRenderedPageBreak/>
        <w:t>Element 2: Essay</w:t>
      </w:r>
      <w:bookmarkEnd w:id="3"/>
      <w:bookmarkEnd w:id="4"/>
    </w:p>
    <w:p w14:paraId="38FB891B" w14:textId="77777777" w:rsidR="002D4362" w:rsidRDefault="002D4362" w:rsidP="002D4362">
      <w:pPr>
        <w:spacing w:line="360" w:lineRule="auto"/>
        <w:jc w:val="center"/>
        <w:rPr>
          <w:rFonts w:ascii="Arial" w:hAnsi="Arial" w:cs="Arial"/>
          <w:b/>
        </w:rPr>
      </w:pPr>
      <w:r w:rsidRPr="007407A4">
        <w:rPr>
          <w:rFonts w:ascii="Arial" w:hAnsi="Arial" w:cs="Arial"/>
          <w:b/>
        </w:rPr>
        <w:t>Community Mental Health Services: Historical Development, Current Functioning, and Significance</w:t>
      </w:r>
    </w:p>
    <w:p w14:paraId="24C7906D" w14:textId="77777777" w:rsidR="002D4362" w:rsidRPr="00011A2F" w:rsidRDefault="002D4362" w:rsidP="002D4362">
      <w:pPr>
        <w:pStyle w:val="Heading1"/>
        <w:spacing w:line="360" w:lineRule="auto"/>
        <w:jc w:val="both"/>
        <w:rPr>
          <w:rFonts w:ascii="Arial" w:hAnsi="Arial" w:cs="Arial"/>
          <w:b/>
          <w:color w:val="000000" w:themeColor="text1"/>
          <w:sz w:val="24"/>
          <w:szCs w:val="22"/>
        </w:rPr>
      </w:pPr>
      <w:bookmarkStart w:id="5" w:name="_Toc233484027"/>
      <w:bookmarkStart w:id="6" w:name="_Toc234582823"/>
      <w:r w:rsidRPr="00011A2F">
        <w:rPr>
          <w:rFonts w:ascii="Arial" w:hAnsi="Arial" w:cs="Arial"/>
          <w:b/>
          <w:color w:val="000000" w:themeColor="text1"/>
          <w:sz w:val="24"/>
          <w:szCs w:val="22"/>
        </w:rPr>
        <w:t>1. Introduction</w:t>
      </w:r>
      <w:bookmarkEnd w:id="5"/>
      <w:bookmarkEnd w:id="6"/>
    </w:p>
    <w:p w14:paraId="16FC613E" w14:textId="77777777" w:rsidR="002D4362" w:rsidRPr="00A245D4" w:rsidRDefault="002D4362" w:rsidP="002D4362">
      <w:pPr>
        <w:spacing w:line="360" w:lineRule="auto"/>
        <w:jc w:val="both"/>
        <w:rPr>
          <w:rFonts w:ascii="Arial" w:hAnsi="Arial" w:cs="Arial"/>
        </w:rPr>
      </w:pPr>
      <w:r w:rsidRPr="00A245D4">
        <w:rPr>
          <w:rFonts w:ascii="Arial" w:hAnsi="Arial" w:cs="Arial"/>
        </w:rPr>
        <w:t>Community mental health services offer assessment, treatment and support for people suffering from mental health issues in their local communities. These services allow people to receive treatment in their home and to continue to have their family and social relationships. They support recovery, independence and social inclusion by providing person-centred care from a multidisciplinary team. This essay will explore the evolution of community mental health services, discuss the role of community mental health services in the present day and consider how they can enhance the level of quality service users can receive</w:t>
      </w:r>
      <w:r>
        <w:rPr>
          <w:rFonts w:ascii="Arial" w:hAnsi="Arial" w:cs="Arial"/>
        </w:rPr>
        <w:t xml:space="preserve"> </w:t>
      </w:r>
      <w:r>
        <w:rPr>
          <w:rFonts w:ascii="Arial" w:hAnsi="Arial" w:cs="Arial"/>
        </w:rPr>
        <w:fldChar w:fldCharType="begin"/>
      </w:r>
      <w:r>
        <w:rPr>
          <w:rFonts w:ascii="Arial" w:hAnsi="Arial" w:cs="Arial"/>
        </w:rPr>
        <w:instrText xml:space="preserve"> ADDIN ZOTERO_ITEM CSL_CITATION {"citationID":"h0dCiUEq","properties":{"unsorted":false,"formattedCitation":"(Timmons et al., 2023)","plainCitation":"(Timmons et al., 2023)","noteIndex":0},"citationItems":[{"id":24027,"uris":["http://zotero.org/users/local/GWzaosOp/items/DRC4AAAJ"],"itemData":{"id":24027,"type":"article-journal","abstract":"Advances in computer science and data-analytic methods are driving a new era in mental health research and application. Artificial intelligence (AI) technologies hold the potential to enhance the assessment, diagnosis, and treatment of people experiencing mental health problems and to increase the reach and impact of mental health care. However, AI applications will not mitigate mental health disparities if they are built from historical data that reflect underlying social biases and inequities. AI models biased against sensitive classes could reinforce and even perpetuate existing inequities if these models create legacies that differentially impact who is diagnosed and treated, and how effectively. The current article reviews the health-equity implications of applying AI to mental health problems, outlines state-of-the-art methods for assessing and mitigating algorithmic bias, and presents a call to action to guide the development of fair-aware AI in psychological science.","container-title":"Perspectives on Psychological Science","DOI":"10.1177/17456916221134490","ISSN":"1745-6916, 1745-6924","issue":"5","journalAbbreviation":"Perspect Psychol Sci","language":"en","page":"1062-1096","source":"DOI.org (Crossref)","title":"A Call to Action on Assessing and Mitigating Bias in Artificial Intelligence Applications for Mental Health","volume":"18","author":[{"family":"Timmons","given":"Adela C."},{"family":"Duong","given":"Jacqueline B."},{"family":"Simo Fiallo","given":"Natalia"},{"family":"Lee","given":"Theodore"},{"family":"Vo","given":"Huong Phuc Quynh"},{"family":"Ahle","given":"Matthew W."},{"family":"Comer","given":"Jonathan S."},{"family":"Brewer","given":"LaPrincess C."},{"family":"Frazier","given":"Stacy L."},{"family":"Chaspari","given":"Theodora"}],"issued":{"date-parts":[["2023",9]]}}}],"schema":"https://github.com/citation-style-language/schema/raw/master/csl-citation.json"} </w:instrText>
      </w:r>
      <w:r>
        <w:rPr>
          <w:rFonts w:ascii="Arial" w:hAnsi="Arial" w:cs="Arial"/>
        </w:rPr>
        <w:fldChar w:fldCharType="separate"/>
      </w:r>
      <w:r w:rsidRPr="00D34BEB">
        <w:rPr>
          <w:rFonts w:ascii="Arial" w:hAnsi="Arial" w:cs="Arial"/>
        </w:rPr>
        <w:t>(Timmons et al., 2023)</w:t>
      </w:r>
      <w:r>
        <w:rPr>
          <w:rFonts w:ascii="Arial" w:hAnsi="Arial" w:cs="Arial"/>
        </w:rPr>
        <w:fldChar w:fldCharType="end"/>
      </w:r>
      <w:r w:rsidRPr="00A245D4">
        <w:rPr>
          <w:rFonts w:ascii="Arial" w:hAnsi="Arial" w:cs="Arial"/>
        </w:rPr>
        <w:t>.</w:t>
      </w:r>
    </w:p>
    <w:p w14:paraId="6B2B517A" w14:textId="77777777" w:rsidR="002D4362" w:rsidRPr="00011A2F" w:rsidRDefault="002D4362" w:rsidP="002D4362">
      <w:pPr>
        <w:pStyle w:val="Heading1"/>
        <w:spacing w:line="360" w:lineRule="auto"/>
        <w:jc w:val="both"/>
        <w:rPr>
          <w:rFonts w:ascii="Arial" w:hAnsi="Arial" w:cs="Arial"/>
          <w:b/>
          <w:color w:val="000000" w:themeColor="text1"/>
          <w:sz w:val="24"/>
          <w:szCs w:val="22"/>
        </w:rPr>
      </w:pPr>
      <w:bookmarkStart w:id="7" w:name="_Toc233484028"/>
      <w:bookmarkStart w:id="8" w:name="_Toc234582824"/>
      <w:r w:rsidRPr="00011A2F">
        <w:rPr>
          <w:rFonts w:ascii="Arial" w:hAnsi="Arial" w:cs="Arial"/>
          <w:b/>
          <w:color w:val="000000" w:themeColor="text1"/>
          <w:sz w:val="24"/>
          <w:szCs w:val="22"/>
        </w:rPr>
        <w:t>2. Origins and Historical Development</w:t>
      </w:r>
      <w:bookmarkEnd w:id="7"/>
      <w:bookmarkEnd w:id="8"/>
    </w:p>
    <w:p w14:paraId="77E199DF" w14:textId="77777777" w:rsidR="002D4362" w:rsidRPr="00A245D4" w:rsidRDefault="002D4362" w:rsidP="002D4362">
      <w:pPr>
        <w:spacing w:line="360" w:lineRule="auto"/>
        <w:jc w:val="both"/>
        <w:rPr>
          <w:rFonts w:ascii="Arial" w:hAnsi="Arial" w:cs="Arial"/>
        </w:rPr>
      </w:pPr>
      <w:r w:rsidRPr="00A245D4">
        <w:rPr>
          <w:rFonts w:ascii="Arial" w:hAnsi="Arial" w:cs="Arial"/>
        </w:rPr>
        <w:t>Community mental health services were established as a substitute to psychiatric hospital institutionalization in the 19th and early 20th centuries. These hospitals were supposed to provide treatment and protection, but many were overcrowded, and conditions and patient freedom were criticised</w:t>
      </w:r>
      <w:r>
        <w:rPr>
          <w:rFonts w:ascii="Arial" w:hAnsi="Arial" w:cs="Arial"/>
        </w:rPr>
        <w:t xml:space="preserve"> </w:t>
      </w:r>
      <w:r>
        <w:rPr>
          <w:rFonts w:ascii="Arial" w:hAnsi="Arial" w:cs="Arial"/>
        </w:rPr>
        <w:fldChar w:fldCharType="begin"/>
      </w:r>
      <w:r>
        <w:rPr>
          <w:rFonts w:ascii="Arial" w:hAnsi="Arial" w:cs="Arial"/>
        </w:rPr>
        <w:instrText xml:space="preserve"> ADDIN ZOTERO_ITEM CSL_CITATION {"citationID":"VVs6cbET","properties":{"unsorted":false,"formattedCitation":"(Jones, 2023)","plainCitation":"(Jones, 2023)","noteIndex":0},"citationItems":[{"id":24021,"uris":["http://zotero.org/users/local/GWzaosOp/items/F9Q7JKEM"],"itemData":{"id":24021,"type":"book","publisher":"Routledge","source":"Google Scholar","title":"A history of the mental health services","URL":"https://api.taylorfrancis.com/content/books/mono/download?identifierName=doi&amp;identifierValue=10.4324/9781003404514&amp;type=googlepdf","author":[{"family":"Jones","given":"Kathleen"}],"accessed":{"date-parts":[["2026",6,27]]},"issued":{"date-parts":[["2023"]]}}}],"schema":"https://github.com/citation-style-language/schema/raw/master/csl-citation.json"} </w:instrText>
      </w:r>
      <w:r>
        <w:rPr>
          <w:rFonts w:ascii="Arial" w:hAnsi="Arial" w:cs="Arial"/>
        </w:rPr>
        <w:fldChar w:fldCharType="separate"/>
      </w:r>
      <w:r w:rsidRPr="00D34BEB">
        <w:rPr>
          <w:rFonts w:ascii="Arial" w:hAnsi="Arial" w:cs="Arial"/>
        </w:rPr>
        <w:t>(Jones, 2023)</w:t>
      </w:r>
      <w:r>
        <w:rPr>
          <w:rFonts w:ascii="Arial" w:hAnsi="Arial" w:cs="Arial"/>
        </w:rPr>
        <w:fldChar w:fldCharType="end"/>
      </w:r>
      <w:r w:rsidRPr="00A245D4">
        <w:rPr>
          <w:rFonts w:ascii="Arial" w:hAnsi="Arial" w:cs="Arial"/>
        </w:rPr>
        <w:t xml:space="preserve">. As a result of improved psychiatric drugs and increasing understanding of patients' rights in the mid-20th century, the transition to community care was promoted. In the United Kingdom, the formation of the National Health Service (NHS) in 1948 brought greater access to health care services, and the Care in the Community policy of the 1980s and 1990s changed from long-term institutional care to local services. </w:t>
      </w:r>
    </w:p>
    <w:p w14:paraId="24D8F73A" w14:textId="77777777" w:rsidR="002D4362" w:rsidRPr="00011A2F" w:rsidRDefault="002D4362" w:rsidP="002D4362">
      <w:pPr>
        <w:pStyle w:val="Heading1"/>
        <w:spacing w:line="360" w:lineRule="auto"/>
        <w:jc w:val="both"/>
        <w:rPr>
          <w:rFonts w:ascii="Arial" w:hAnsi="Arial" w:cs="Arial"/>
          <w:b/>
          <w:color w:val="000000" w:themeColor="text1"/>
          <w:sz w:val="24"/>
          <w:szCs w:val="22"/>
        </w:rPr>
      </w:pPr>
      <w:bookmarkStart w:id="9" w:name="_Toc233484029"/>
      <w:bookmarkStart w:id="10" w:name="_Toc234582825"/>
      <w:r w:rsidRPr="00011A2F">
        <w:rPr>
          <w:rFonts w:ascii="Arial" w:hAnsi="Arial" w:cs="Arial"/>
          <w:b/>
          <w:color w:val="000000" w:themeColor="text1"/>
          <w:sz w:val="24"/>
          <w:szCs w:val="22"/>
        </w:rPr>
        <w:t>3. Current Functioning of Community Mental Health Services</w:t>
      </w:r>
      <w:bookmarkEnd w:id="9"/>
      <w:bookmarkEnd w:id="10"/>
    </w:p>
    <w:p w14:paraId="32911F3F" w14:textId="77777777" w:rsidR="002D4362" w:rsidRPr="00A245D4" w:rsidRDefault="002D4362" w:rsidP="002D4362">
      <w:pPr>
        <w:spacing w:line="360" w:lineRule="auto"/>
        <w:jc w:val="both"/>
        <w:rPr>
          <w:rFonts w:ascii="Arial" w:hAnsi="Arial" w:cs="Arial"/>
        </w:rPr>
      </w:pPr>
      <w:r w:rsidRPr="00A245D4">
        <w:rPr>
          <w:rFonts w:ascii="Arial" w:hAnsi="Arial" w:cs="Arial"/>
        </w:rPr>
        <w:t>In today's context the services provided by community mental health teams are multidisciplinary involving psychiatrists, psychologists, community psychiatric nurses, occupational therapists and social workers. These services are typically accessed via referral from general practitioners (GPs) or hospital or ED-based referral. After assessment, service users are offered individual care plans to address their needs</w:t>
      </w:r>
      <w:r>
        <w:rPr>
          <w:rFonts w:ascii="Arial" w:hAnsi="Arial" w:cs="Arial"/>
        </w:rPr>
        <w:t xml:space="preserve"> </w:t>
      </w:r>
      <w:r>
        <w:rPr>
          <w:rFonts w:ascii="Arial" w:hAnsi="Arial" w:cs="Arial"/>
        </w:rPr>
        <w:fldChar w:fldCharType="begin"/>
      </w:r>
      <w:r>
        <w:rPr>
          <w:rFonts w:ascii="Arial" w:hAnsi="Arial" w:cs="Arial"/>
        </w:rPr>
        <w:instrText xml:space="preserve"> ADDIN ZOTERO_ITEM CSL_CITATION {"citationID":"hVpQJt1M","properties":{"unsorted":false,"formattedCitation":"(Thakkar et al., 2024)","plainCitation":"(Thakkar et al., 2024)","noteIndex":0},"citationItems":[{"id":24029,"uris":["http://zotero.org/users/local/GWzaosOp/items/MQ85ISRH"],"itemData":{"id":24029,"type":"article-journal","container-title":"Frontiers in digital health","page":"1280235","publisher":"Frontiers","source":"Google Scholar","title":"Artificial intelligence in positive mental health: a narrative review","title-short":"Artificial intelligence in positive mental health","volume":"6","author":[{"family":"Thakkar","given":"Anoushka"},{"family":"Gupta","given":"Ankita"},{"family":"De Sousa","given":"Avinash"}],"issued":{"date-parts":[["2024"]]}}}],"schema":"https://github.com/citation-style-language/schema/raw/master/csl-citation.json"} </w:instrText>
      </w:r>
      <w:r>
        <w:rPr>
          <w:rFonts w:ascii="Arial" w:hAnsi="Arial" w:cs="Arial"/>
        </w:rPr>
        <w:fldChar w:fldCharType="separate"/>
      </w:r>
      <w:r w:rsidRPr="00D34BEB">
        <w:rPr>
          <w:rFonts w:ascii="Arial" w:hAnsi="Arial" w:cs="Arial"/>
        </w:rPr>
        <w:t>(Thakkar et al., 2024)</w:t>
      </w:r>
      <w:r>
        <w:rPr>
          <w:rFonts w:ascii="Arial" w:hAnsi="Arial" w:cs="Arial"/>
        </w:rPr>
        <w:fldChar w:fldCharType="end"/>
      </w:r>
      <w:r w:rsidRPr="00A245D4">
        <w:rPr>
          <w:rFonts w:ascii="Arial" w:hAnsi="Arial" w:cs="Arial"/>
        </w:rPr>
        <w:t>. Common services are psychiatric assessments, medication manag</w:t>
      </w:r>
      <w:r>
        <w:rPr>
          <w:rFonts w:ascii="Arial" w:hAnsi="Arial" w:cs="Arial"/>
        </w:rPr>
        <w:t xml:space="preserve">ement, psychological therapies </w:t>
      </w:r>
      <w:r w:rsidRPr="00A245D4">
        <w:rPr>
          <w:rFonts w:ascii="Arial" w:hAnsi="Arial" w:cs="Arial"/>
        </w:rPr>
        <w:t>including Cogn</w:t>
      </w:r>
      <w:r>
        <w:rPr>
          <w:rFonts w:ascii="Arial" w:hAnsi="Arial" w:cs="Arial"/>
        </w:rPr>
        <w:t>itive Behavioural Therapy [CBT]</w:t>
      </w:r>
      <w:r w:rsidRPr="00A245D4">
        <w:rPr>
          <w:rFonts w:ascii="Arial" w:hAnsi="Arial" w:cs="Arial"/>
        </w:rPr>
        <w:t>, crisis intervention, home visits, rehabilitation programmes and family support. Support from housing providers, social care agencies and voluntary organisations allows for professionals to meet medical and social requirements</w:t>
      </w:r>
      <w:r>
        <w:rPr>
          <w:rFonts w:ascii="Arial" w:hAnsi="Arial" w:cs="Arial"/>
        </w:rPr>
        <w:t xml:space="preserve"> </w:t>
      </w:r>
      <w:r>
        <w:rPr>
          <w:rFonts w:ascii="Arial" w:hAnsi="Arial" w:cs="Arial"/>
        </w:rPr>
        <w:fldChar w:fldCharType="begin"/>
      </w:r>
      <w:r>
        <w:rPr>
          <w:rFonts w:ascii="Arial" w:hAnsi="Arial" w:cs="Arial"/>
        </w:rPr>
        <w:instrText xml:space="preserve"> ADDIN ZOTERO_ITEM CSL_CITATION {"citationID":"xZRcyKQE","properties":{"unsorted":false,"formattedCitation":"(Marx et al., 2023)","plainCitation":"(Marx et al., 2023)","noteIndex":0},"citationItems":[{"id":24025,"uris":["http://zotero.org/users/local/GWzaosOp/items/M5MG4W8Z"],"itemData":{"id":24025,"type":"article-journal","container-title":"The World Journal of Biological Psychiatry","DOI":"10.1080/15622975.2022.2112074","ISSN":"1562-2975, 1814-1412","issue":"5","journalAbbreviation":"The World Journal of Biological Psychiatry","language":"en","page":"333-386","source":"DOI.org (Crossref)","title":"Clinical guidelines for the use of lifestyle-based mental health care in major depressive disorder: World Federation of Societies for Biological Psychiatry (WFSBP) and Australasian Society of Lifestyle Medicine (ASLM) taskforce","title-short":"Clinical guidelines for the use of lifestyle-based mental health care in major depressive disorder","volume":"24","author":[{"family":"Marx","given":"Wolfgang"},{"family":"Manger","given":"Sam H."},{"family":"Blencowe","given":"Mark"},{"family":"Murray","given":"Greg"},{"family":"Ho","given":"Fiona Yan-Yee"},{"family":"Lawn","given":"Sharon"},{"family":"Blumenthal","given":"James A."},{"family":"Schuch","given":"Felipe"},{"family":"Stubbs","given":"Brendon"},{"family":"Ruusunen","given":"Anu"},{"family":"Desyibelew","given":"Hanna Demelash"},{"family":"Dinan","given":"Timothy G."},{"family":"Jacka","given":"Felice"},{"family":"Ravindran","given":"Arun"},{"family":"Berk","given":"Michael"},{"family":"O’Neil","given":"Adrienne"}],"issued":{"date-parts":[["2023",5,28]]}}}],"schema":"https://github.com/citation-style-language/schema/raw/master/csl-citation.json"} </w:instrText>
      </w:r>
      <w:r>
        <w:rPr>
          <w:rFonts w:ascii="Arial" w:hAnsi="Arial" w:cs="Arial"/>
        </w:rPr>
        <w:fldChar w:fldCharType="separate"/>
      </w:r>
      <w:r w:rsidRPr="00D34BEB">
        <w:rPr>
          <w:rFonts w:ascii="Arial" w:hAnsi="Arial" w:cs="Arial"/>
        </w:rPr>
        <w:t>(Marx et al., 2023)</w:t>
      </w:r>
      <w:r>
        <w:rPr>
          <w:rFonts w:ascii="Arial" w:hAnsi="Arial" w:cs="Arial"/>
        </w:rPr>
        <w:fldChar w:fldCharType="end"/>
      </w:r>
      <w:r w:rsidRPr="00A245D4">
        <w:rPr>
          <w:rFonts w:ascii="Arial" w:hAnsi="Arial" w:cs="Arial"/>
        </w:rPr>
        <w:t xml:space="preserve">. </w:t>
      </w:r>
    </w:p>
    <w:p w14:paraId="0468900D" w14:textId="77777777" w:rsidR="002D4362" w:rsidRPr="00011A2F" w:rsidRDefault="002D4362" w:rsidP="002D4362">
      <w:pPr>
        <w:pStyle w:val="Heading1"/>
        <w:spacing w:line="360" w:lineRule="auto"/>
        <w:jc w:val="both"/>
        <w:rPr>
          <w:rFonts w:ascii="Arial" w:hAnsi="Arial" w:cs="Arial"/>
          <w:b/>
          <w:sz w:val="22"/>
          <w:szCs w:val="22"/>
        </w:rPr>
      </w:pPr>
      <w:bookmarkStart w:id="11" w:name="_Toc233484030"/>
      <w:bookmarkStart w:id="12" w:name="_Toc234582826"/>
      <w:r w:rsidRPr="00011A2F">
        <w:rPr>
          <w:rFonts w:ascii="Arial" w:hAnsi="Arial" w:cs="Arial"/>
          <w:b/>
          <w:color w:val="000000" w:themeColor="text1"/>
          <w:sz w:val="24"/>
          <w:szCs w:val="22"/>
        </w:rPr>
        <w:lastRenderedPageBreak/>
        <w:t>4. Critical Evaluation of the Service</w:t>
      </w:r>
      <w:bookmarkEnd w:id="11"/>
      <w:bookmarkEnd w:id="12"/>
    </w:p>
    <w:p w14:paraId="3A6B063C" w14:textId="77777777" w:rsidR="002D4362" w:rsidRPr="00A245D4" w:rsidRDefault="002D4362" w:rsidP="002D4362">
      <w:pPr>
        <w:spacing w:line="360" w:lineRule="auto"/>
        <w:jc w:val="both"/>
        <w:rPr>
          <w:rFonts w:ascii="Arial" w:hAnsi="Arial" w:cs="Arial"/>
        </w:rPr>
      </w:pPr>
      <w:r w:rsidRPr="00A245D4">
        <w:rPr>
          <w:rFonts w:ascii="Arial" w:hAnsi="Arial" w:cs="Arial"/>
        </w:rPr>
        <w:t>Community mental health services have revolutionized the care of mental health by helping to prevent hospital admissions and enable people to access mental health services in familiar surroundings. Early intervention, coordinated care, supports recovery, encourages independence, and keeps service users in education, employment and the community</w:t>
      </w:r>
      <w:r>
        <w:rPr>
          <w:rFonts w:ascii="Arial" w:hAnsi="Arial" w:cs="Arial"/>
        </w:rPr>
        <w:t xml:space="preserve"> </w:t>
      </w:r>
      <w:r>
        <w:rPr>
          <w:rFonts w:ascii="Arial" w:hAnsi="Arial" w:cs="Arial"/>
        </w:rPr>
        <w:fldChar w:fldCharType="begin"/>
      </w:r>
      <w:r>
        <w:rPr>
          <w:rFonts w:ascii="Arial" w:hAnsi="Arial" w:cs="Arial"/>
        </w:rPr>
        <w:instrText xml:space="preserve"> ADDIN ZOTERO_ITEM CSL_CITATION {"citationID":"xtjY6vEk","properties":{"unsorted":false,"formattedCitation":"(Marx et al., 2023)","plainCitation":"(Marx et al., 2023)","noteIndex":0},"citationItems":[{"id":24025,"uris":["http://zotero.org/users/local/GWzaosOp/items/M5MG4W8Z"],"itemData":{"id":24025,"type":"article-journal","container-title":"The World Journal of Biological Psychiatry","DOI":"10.1080/15622975.2022.2112074","ISSN":"1562-2975, 1814-1412","issue":"5","journalAbbreviation":"The World Journal of Biological Psychiatry","language":"en","page":"333-386","source":"DOI.org (Crossref)","title":"Clinical guidelines for the use of lifestyle-based mental health care in major depressive disorder: World Federation of Societies for Biological Psychiatry (WFSBP) and Australasian Society of Lifestyle Medicine (ASLM) taskforce","title-short":"Clinical guidelines for the use of lifestyle-based mental health care in major depressive disorder","volume":"24","author":[{"family":"Marx","given":"Wolfgang"},{"family":"Manger","given":"Sam H."},{"family":"Blencowe","given":"Mark"},{"family":"Murray","given":"Greg"},{"family":"Ho","given":"Fiona Yan-Yee"},{"family":"Lawn","given":"Sharon"},{"family":"Blumenthal","given":"James A."},{"family":"Schuch","given":"Felipe"},{"family":"Stubbs","given":"Brendon"},{"family":"Ruusunen","given":"Anu"},{"family":"Desyibelew","given":"Hanna Demelash"},{"family":"Dinan","given":"Timothy G."},{"family":"Jacka","given":"Felice"},{"family":"Ravindran","given":"Arun"},{"family":"Berk","given":"Michael"},{"family":"O’Neil","given":"Adrienne"}],"issued":{"date-parts":[["2023",5,28]]}}}],"schema":"https://github.com/citation-style-language/schema/raw/master/csl-citation.json"} </w:instrText>
      </w:r>
      <w:r>
        <w:rPr>
          <w:rFonts w:ascii="Arial" w:hAnsi="Arial" w:cs="Arial"/>
        </w:rPr>
        <w:fldChar w:fldCharType="separate"/>
      </w:r>
      <w:r w:rsidRPr="00D34BEB">
        <w:rPr>
          <w:rFonts w:ascii="Arial" w:hAnsi="Arial" w:cs="Arial"/>
        </w:rPr>
        <w:t>(Marx et al., 2023)</w:t>
      </w:r>
      <w:r>
        <w:rPr>
          <w:rFonts w:ascii="Arial" w:hAnsi="Arial" w:cs="Arial"/>
        </w:rPr>
        <w:fldChar w:fldCharType="end"/>
      </w:r>
      <w:r w:rsidRPr="00A245D4">
        <w:rPr>
          <w:rFonts w:ascii="Arial" w:hAnsi="Arial" w:cs="Arial"/>
        </w:rPr>
        <w:t xml:space="preserve">. There are however some difficulties with the service. The demand for mental health support has led to staffing deficits, delays, and access issues to specialist services. Many areas have </w:t>
      </w:r>
      <w:proofErr w:type="gramStart"/>
      <w:r w:rsidRPr="00A245D4">
        <w:rPr>
          <w:rFonts w:ascii="Arial" w:hAnsi="Arial" w:cs="Arial"/>
        </w:rPr>
        <w:t>limited service</w:t>
      </w:r>
      <w:proofErr w:type="gramEnd"/>
      <w:r w:rsidRPr="00A245D4">
        <w:rPr>
          <w:rFonts w:ascii="Arial" w:hAnsi="Arial" w:cs="Arial"/>
        </w:rPr>
        <w:t xml:space="preserve"> capacity due to funding pressures too. Stigma around mental illness is also a barrier for some people to accessing timely care, and this makes the service less effective. This will need more investment and more workers, and continued public awareness campaigns</w:t>
      </w:r>
      <w:r>
        <w:rPr>
          <w:rFonts w:ascii="Arial" w:hAnsi="Arial" w:cs="Arial"/>
        </w:rPr>
        <w:t xml:space="preserve"> </w:t>
      </w:r>
      <w:r>
        <w:rPr>
          <w:rFonts w:ascii="Arial" w:hAnsi="Arial" w:cs="Arial"/>
        </w:rPr>
        <w:fldChar w:fldCharType="begin"/>
      </w:r>
      <w:r>
        <w:rPr>
          <w:rFonts w:ascii="Arial" w:hAnsi="Arial" w:cs="Arial"/>
        </w:rPr>
        <w:instrText xml:space="preserve"> ADDIN ZOTERO_ITEM CSL_CITATION {"citationID":"k6kldYZZ","properties":{"unsorted":false,"formattedCitation":"(McGorry et al., 2022)","plainCitation":"(McGorry et al., 2022)","noteIndex":0},"citationItems":[{"id":24028,"uris":["http://zotero.org/users/local/GWzaosOp/items/3UEWA5IS"],"itemData":{"id":24028,"type":"article-journal","abstract":"Mental ill</w:instrText>
      </w:r>
      <w:r>
        <w:rPr>
          <w:rFonts w:ascii="Cambria Math" w:hAnsi="Cambria Math" w:cs="Cambria Math"/>
        </w:rPr>
        <w:instrText>‐</w:instrText>
      </w:r>
      <w:r>
        <w:rPr>
          <w:rFonts w:ascii="Arial" w:hAnsi="Arial" w:cs="Arial"/>
        </w:rPr>
        <w:instrText>health represents the main threat to the health, survival and future potential of young people around the world. There are indications that this is a rising tide of vulnerability and need for care, a trend that has been augmented by the COVID</w:instrText>
      </w:r>
      <w:r>
        <w:rPr>
          <w:rFonts w:ascii="Cambria Math" w:hAnsi="Cambria Math" w:cs="Cambria Math"/>
        </w:rPr>
        <w:instrText>‐</w:instrText>
      </w:r>
      <w:r>
        <w:rPr>
          <w:rFonts w:ascii="Arial" w:hAnsi="Arial" w:cs="Arial"/>
        </w:rPr>
        <w:instrText>19 pandemic. It represents a global public health crisis, which not only demands a deep and sophisticated understanding of possible targets for prevention, but also urgent reform and investment in the provision of developmentally appropriate clinical care. Despite having the greatest level of need, and potential to benefit, adolescents and emerging adults have the worst access to timely and quality mental health care. How is this global crisis to be addressed? Since the start of the century, a range of co</w:instrText>
      </w:r>
      <w:r>
        <w:rPr>
          <w:rFonts w:ascii="Cambria Math" w:hAnsi="Cambria Math" w:cs="Cambria Math"/>
        </w:rPr>
        <w:instrText>‐</w:instrText>
      </w:r>
      <w:r>
        <w:rPr>
          <w:rFonts w:ascii="Arial" w:hAnsi="Arial" w:cs="Arial"/>
        </w:rPr>
        <w:instrText>designed youth mental health strategies and innovations have emerged. These range from digital platforms, through to new models of primary care to new services for potentially severe mental illness, which must be locally adapted according to the availability of resources, workforce, cultural factors and health financing patterns. The fulcrum of this progress is the advent of broad</w:instrText>
      </w:r>
      <w:r>
        <w:rPr>
          <w:rFonts w:ascii="Cambria Math" w:hAnsi="Cambria Math" w:cs="Cambria Math"/>
        </w:rPr>
        <w:instrText>‐</w:instrText>
      </w:r>
      <w:r>
        <w:rPr>
          <w:rFonts w:ascii="Arial" w:hAnsi="Arial" w:cs="Arial"/>
        </w:rPr>
        <w:instrText>spectrum, integrated primary youth mental health care services. They represent a blueprint and beach</w:instrText>
      </w:r>
      <w:r>
        <w:rPr>
          <w:rFonts w:ascii="Cambria Math" w:hAnsi="Cambria Math" w:cs="Cambria Math"/>
        </w:rPr>
        <w:instrText>‐</w:instrText>
      </w:r>
      <w:r>
        <w:rPr>
          <w:rFonts w:ascii="Arial" w:hAnsi="Arial" w:cs="Arial"/>
        </w:rPr>
        <w:instrText>head for an overdue global system reform. While resources will vary across settings, the mental health needs of young people are largely universal, and underpin a set of fundamental principles and design features. These include establishing an accessible, “soft entry” youth primary care platform with digital support, where young people are valued and essential partners in the design, operation, management and evaluation of the service. Global progress achieved to date in implementing integrated youth mental health care has highlighted that these services are being accessed by young people with genuine and substantial mental health needs, that they are benefiting from them, and that both these young people and their families are highly satisfied with the services they receive. However, we are still at base camp and these primary care platforms need to be scaled up across the globe, complemented by prevention, digital platforms and, crucially, more specialized care for complex and persistent conditions, aligned to this transitional age range (from approximately 12 to 25 years). The rising tide of mental ill</w:instrText>
      </w:r>
      <w:r>
        <w:rPr>
          <w:rFonts w:ascii="Cambria Math" w:hAnsi="Cambria Math" w:cs="Cambria Math"/>
        </w:rPr>
        <w:instrText>‐</w:instrText>
      </w:r>
      <w:r>
        <w:rPr>
          <w:rFonts w:ascii="Arial" w:hAnsi="Arial" w:cs="Arial"/>
        </w:rPr>
        <w:instrText>health in young people globally demands that this focus be elevated to a top priority in global health.","container-title":"World Psychiatry","DOI":"10.1002/wps.20938","ISSN":"1723-8617, 2051-5545","issue":"1","journalAbbreviation":"World Psychiatry","language":"en","page":"61-76","source":"DOI.org (Crossref)","title":"Designing and scaling up integrated youth mental health care","volume":"21","author":[{"family":"McGorry","given":"Patrick D."},{"family":"Mei","given":"Cristina"},{"family":"Chanen","given":"Andrew"},{"family":"Hodges","given":"Craig"},{"family":"Alvarez</w:instrText>
      </w:r>
      <w:r>
        <w:rPr>
          <w:rFonts w:ascii="Cambria Math" w:hAnsi="Cambria Math" w:cs="Cambria Math"/>
        </w:rPr>
        <w:instrText>‐</w:instrText>
      </w:r>
      <w:r>
        <w:rPr>
          <w:rFonts w:ascii="Arial" w:hAnsi="Arial" w:cs="Arial"/>
        </w:rPr>
        <w:instrText xml:space="preserve">Jimenez","given":"Mario"},{"family":"Killackey","given":"Eóin"}],"issued":{"date-parts":[["2022",2]]}}}],"schema":"https://github.com/citation-style-language/schema/raw/master/csl-citation.json"} </w:instrText>
      </w:r>
      <w:r>
        <w:rPr>
          <w:rFonts w:ascii="Arial" w:hAnsi="Arial" w:cs="Arial"/>
        </w:rPr>
        <w:fldChar w:fldCharType="separate"/>
      </w:r>
      <w:r w:rsidRPr="00D34BEB">
        <w:rPr>
          <w:rFonts w:ascii="Arial" w:hAnsi="Arial" w:cs="Arial"/>
        </w:rPr>
        <w:t>(McGorry et al., 2022)</w:t>
      </w:r>
      <w:r>
        <w:rPr>
          <w:rFonts w:ascii="Arial" w:hAnsi="Arial" w:cs="Arial"/>
        </w:rPr>
        <w:fldChar w:fldCharType="end"/>
      </w:r>
      <w:r w:rsidRPr="00A245D4">
        <w:rPr>
          <w:rFonts w:ascii="Arial" w:hAnsi="Arial" w:cs="Arial"/>
        </w:rPr>
        <w:t>.</w:t>
      </w:r>
    </w:p>
    <w:p w14:paraId="36DAF886" w14:textId="77777777" w:rsidR="002D4362" w:rsidRPr="00011A2F" w:rsidRDefault="002D4362" w:rsidP="002D4362">
      <w:pPr>
        <w:pStyle w:val="Heading1"/>
        <w:spacing w:line="360" w:lineRule="auto"/>
        <w:jc w:val="both"/>
        <w:rPr>
          <w:rFonts w:ascii="Arial" w:hAnsi="Arial" w:cs="Arial"/>
          <w:b/>
          <w:sz w:val="22"/>
          <w:szCs w:val="22"/>
        </w:rPr>
      </w:pPr>
      <w:bookmarkStart w:id="13" w:name="_Toc233484031"/>
      <w:bookmarkStart w:id="14" w:name="_Toc234582827"/>
      <w:r w:rsidRPr="00011A2F">
        <w:rPr>
          <w:rFonts w:ascii="Arial" w:hAnsi="Arial" w:cs="Arial"/>
          <w:b/>
          <w:color w:val="000000" w:themeColor="text1"/>
          <w:sz w:val="24"/>
          <w:szCs w:val="22"/>
        </w:rPr>
        <w:t>5. Significance in Enhancing Quality of Life</w:t>
      </w:r>
      <w:bookmarkEnd w:id="13"/>
      <w:bookmarkEnd w:id="14"/>
    </w:p>
    <w:p w14:paraId="097D0686" w14:textId="77777777" w:rsidR="002D4362" w:rsidRPr="00A245D4" w:rsidRDefault="002D4362" w:rsidP="002D4362">
      <w:pPr>
        <w:spacing w:line="360" w:lineRule="auto"/>
        <w:jc w:val="both"/>
        <w:rPr>
          <w:rFonts w:ascii="Arial" w:hAnsi="Arial" w:cs="Arial"/>
        </w:rPr>
      </w:pPr>
      <w:r w:rsidRPr="00A245D4">
        <w:rPr>
          <w:rFonts w:ascii="Arial" w:hAnsi="Arial" w:cs="Arial"/>
        </w:rPr>
        <w:t>Community mental health services are vital to the quality of life of their service users. Treatment in the community means people can stay in touch with family and friends and, as far as possible, be able to go to school or work. Person centred care provides for active involvement in treatment decisions which enhances confidence and treatment outcomes. The multidisciplinary approach covers not only clinical needs, but also social issues like employment, living conditions and emotional wellbeing. Early identification and ongoing care minimize mental health crises, enhance long-term recovery and increase independence</w:t>
      </w:r>
      <w:r>
        <w:rPr>
          <w:rFonts w:ascii="Arial" w:hAnsi="Arial" w:cs="Arial"/>
        </w:rPr>
        <w:t xml:space="preserve"> </w:t>
      </w:r>
      <w:r>
        <w:rPr>
          <w:rFonts w:ascii="Arial" w:hAnsi="Arial" w:cs="Arial"/>
        </w:rPr>
        <w:fldChar w:fldCharType="begin"/>
      </w:r>
      <w:r>
        <w:rPr>
          <w:rFonts w:ascii="Arial" w:hAnsi="Arial" w:cs="Arial"/>
        </w:rPr>
        <w:instrText xml:space="preserve"> ADDIN ZOTERO_ITEM CSL_CITATION {"citationID":"ZETKUb2c","properties":{"unsorted":false,"formattedCitation":"(Reynolds et al., 2022)","plainCitation":"(Reynolds et al., 2022)","noteIndex":0},"citationItems":[{"id":24023,"uris":["http://zotero.org/users/local/GWzaosOp/items/N3DETN66"],"itemData":{"id":24023,"type":"article-journal","abstract":"The world's population is aging, bringing about an ever</w:instrText>
      </w:r>
      <w:r>
        <w:rPr>
          <w:rFonts w:ascii="Cambria Math" w:hAnsi="Cambria Math" w:cs="Cambria Math"/>
        </w:rPr>
        <w:instrText>‐</w:instrText>
      </w:r>
      <w:r>
        <w:rPr>
          <w:rFonts w:ascii="Arial" w:hAnsi="Arial" w:cs="Arial"/>
        </w:rPr>
        <w:instrText>greater burden of mental disorders in older adults. Given multimorbidities, the mental health care of these people and their family caregivers is labor</w:instrText>
      </w:r>
      <w:r>
        <w:rPr>
          <w:rFonts w:ascii="Cambria Math" w:hAnsi="Cambria Math" w:cs="Cambria Math"/>
        </w:rPr>
        <w:instrText>‐</w:instrText>
      </w:r>
      <w:r>
        <w:rPr>
          <w:rFonts w:ascii="Arial" w:hAnsi="Arial" w:cs="Arial"/>
        </w:rPr>
        <w:instrText>intensive. At the same time, ageism is a big problem for older people, with and without mental disorders. Positive elements of aging, such as resilience, wisdom and prosocial behaviors, need to be highlighted and promoted, both to combat stigma and to help protect and improve mental health in older adults. The positive psychiatry of aging is not an oxymoron, but a scientific construct strongly informed by research evidence. We champion a broader concept of geriatric psychiatry – one that encompasses health as well as illness. In the present paper, we address these issues in the context of four disorders that are the greatest source of years lived with disability: neurocognitive disorders, major depression, schizophrenia, and substance use disorders. We emphasize the need for implementation of multidisciplinary team care, with comprehensive assessment, clinical management, intensive outreach, and coordination of mental, physical and social health services. We also underscore the need for further research into moderators and mediators of treatment response variability. Because optimal care of older adults with mental disorders is both patient</w:instrText>
      </w:r>
      <w:r>
        <w:rPr>
          <w:rFonts w:ascii="Cambria Math" w:hAnsi="Cambria Math" w:cs="Cambria Math"/>
        </w:rPr>
        <w:instrText>‐</w:instrText>
      </w:r>
      <w:r>
        <w:rPr>
          <w:rFonts w:ascii="Arial" w:hAnsi="Arial" w:cs="Arial"/>
        </w:rPr>
        <w:instrText>focused and family</w:instrText>
      </w:r>
      <w:r>
        <w:rPr>
          <w:rFonts w:ascii="Cambria Math" w:hAnsi="Cambria Math" w:cs="Cambria Math"/>
        </w:rPr>
        <w:instrText>‐</w:instrText>
      </w:r>
      <w:r>
        <w:rPr>
          <w:rFonts w:ascii="Arial" w:hAnsi="Arial" w:cs="Arial"/>
        </w:rPr>
        <w:instrText>centered, we call for further research into enhancing the well</w:instrText>
      </w:r>
      <w:r>
        <w:rPr>
          <w:rFonts w:ascii="Cambria Math" w:hAnsi="Cambria Math" w:cs="Cambria Math"/>
        </w:rPr>
        <w:instrText>‐</w:instrText>
      </w:r>
      <w:r>
        <w:rPr>
          <w:rFonts w:ascii="Arial" w:hAnsi="Arial" w:cs="Arial"/>
        </w:rPr>
        <w:instrText>being of family caregivers. To optimize both the safety and efficacy of pharmacotherapy, further attention to metabolic, cardiovascular and neurological tolerability is much needed, together with further development and testing of medications that reduce the risk for suicide. At the same time, we also address positive aging and normal cognitive aging, both as an antidote to ageism and as a catalyst for change in the way we think about aging\n              per se\n              and late</w:instrText>
      </w:r>
      <w:r>
        <w:rPr>
          <w:rFonts w:ascii="Cambria Math" w:hAnsi="Cambria Math" w:cs="Cambria Math"/>
        </w:rPr>
        <w:instrText>‐</w:instrText>
      </w:r>
      <w:r>
        <w:rPr>
          <w:rFonts w:ascii="Arial" w:hAnsi="Arial" w:cs="Arial"/>
        </w:rPr>
        <w:instrText xml:space="preserve">life mental disorders more specifically. It is in this context that we provide directions for future clinical care and research.","container-title":"World Psychiatry","DOI":"10.1002/wps.20996","ISSN":"1723-8617, 2051-5545","issue":"3","journalAbbreviation":"World Psychiatry","language":"en","page":"336-363","source":"DOI.org (Crossref)","title":"Mental health care for older adults: recent advances and new directions in clinical practice and research","title-short":"Mental health care for older adults","volume":"21","author":[{"family":"Reynolds","given":"Charles F."},{"family":"Jeste","given":"Dilip V."},{"family":"Sachdev","given":"Perminder S."},{"family":"Blazer","given":"Dan G."}],"issued":{"date-parts":[["2022",10]]}}}],"schema":"https://github.com/citation-style-language/schema/raw/master/csl-citation.json"} </w:instrText>
      </w:r>
      <w:r>
        <w:rPr>
          <w:rFonts w:ascii="Arial" w:hAnsi="Arial" w:cs="Arial"/>
        </w:rPr>
        <w:fldChar w:fldCharType="separate"/>
      </w:r>
      <w:r w:rsidRPr="00D34BEB">
        <w:rPr>
          <w:rFonts w:ascii="Arial" w:hAnsi="Arial" w:cs="Arial"/>
        </w:rPr>
        <w:t>(Reynolds et al., 2022)</w:t>
      </w:r>
      <w:r>
        <w:rPr>
          <w:rFonts w:ascii="Arial" w:hAnsi="Arial" w:cs="Arial"/>
        </w:rPr>
        <w:fldChar w:fldCharType="end"/>
      </w:r>
      <w:r w:rsidRPr="00A245D4">
        <w:rPr>
          <w:rFonts w:ascii="Arial" w:hAnsi="Arial" w:cs="Arial"/>
        </w:rPr>
        <w:t xml:space="preserve">. </w:t>
      </w:r>
    </w:p>
    <w:p w14:paraId="1C6FEDFE" w14:textId="77777777" w:rsidR="002D4362" w:rsidRPr="00011A2F" w:rsidRDefault="002D4362" w:rsidP="002D4362">
      <w:pPr>
        <w:pStyle w:val="Heading1"/>
        <w:spacing w:line="360" w:lineRule="auto"/>
        <w:jc w:val="both"/>
        <w:rPr>
          <w:rFonts w:ascii="Arial" w:hAnsi="Arial" w:cs="Arial"/>
          <w:b/>
          <w:sz w:val="22"/>
          <w:szCs w:val="22"/>
        </w:rPr>
      </w:pPr>
      <w:bookmarkStart w:id="15" w:name="_Toc233484032"/>
      <w:bookmarkStart w:id="16" w:name="_Toc234582828"/>
      <w:r w:rsidRPr="00011A2F">
        <w:rPr>
          <w:rFonts w:ascii="Arial" w:hAnsi="Arial" w:cs="Arial"/>
          <w:b/>
          <w:color w:val="000000" w:themeColor="text1"/>
          <w:sz w:val="24"/>
          <w:szCs w:val="22"/>
        </w:rPr>
        <w:t>6. Conclusion</w:t>
      </w:r>
      <w:bookmarkEnd w:id="15"/>
      <w:bookmarkEnd w:id="16"/>
    </w:p>
    <w:p w14:paraId="0D09DC4E" w14:textId="77777777" w:rsidR="002D4362" w:rsidRDefault="002D4362" w:rsidP="002D4362">
      <w:pPr>
        <w:spacing w:line="360" w:lineRule="auto"/>
        <w:jc w:val="both"/>
        <w:rPr>
          <w:rFonts w:ascii="Arial" w:hAnsi="Arial" w:cs="Arial"/>
        </w:rPr>
      </w:pPr>
      <w:r w:rsidRPr="00A245D4">
        <w:rPr>
          <w:rFonts w:ascii="Arial" w:hAnsi="Arial" w:cs="Arial"/>
        </w:rPr>
        <w:t>Community mental health services have shifted from an institutional to a recovery model based in the community and focused on independence, dignity and social inclusion. While there are workforce shortages, growing demand, and stigma, these services are essential to supporting positive mental health outcomes and better quality of life for service users. They will continue to be effective in addressing future mental health needs through continued investment and integrated care</w:t>
      </w:r>
      <w:r>
        <w:rPr>
          <w:rFonts w:ascii="Arial" w:hAnsi="Arial" w:cs="Arial"/>
        </w:rPr>
        <w:t xml:space="preserve"> </w:t>
      </w:r>
      <w:r>
        <w:rPr>
          <w:rFonts w:ascii="Arial" w:hAnsi="Arial" w:cs="Arial"/>
        </w:rPr>
        <w:fldChar w:fldCharType="begin"/>
      </w:r>
      <w:r>
        <w:rPr>
          <w:rFonts w:ascii="Arial" w:hAnsi="Arial" w:cs="Arial"/>
        </w:rPr>
        <w:instrText xml:space="preserve"> ADDIN ZOTERO_ITEM CSL_CITATION {"citationID":"VTXUaN5T","properties":{"unsorted":false,"formattedCitation":"(McGorry et al., 2024)","plainCitation":"(McGorry et al., 2024)","noteIndex":0},"citationItems":[{"id":24030,"uris":["http://zotero.org/users/local/GWzaosOp/items/VVWE88Z3"],"itemData":{"id":24030,"type":"article-journal","container-title":"The Lancet Psychiatry","issue":"9","page":"731–774","publisher":"Elsevier","source":"Google Scholar","title":"The Lancet Psychiatry Commission on youth mental health","volume":"11","author":[{"family":"McGorry","given":"Patrick D."},{"family":"Mei","given":"Cristina"},{"family":"Dalal","given":"Naeem"},{"family":"Alvarez-Jimenez","given":"Mario"},{"family":"Blakemore","given":"Sarah-Jayne"},{"family":"Browne","given":"Vivienne"},{"family":"Dooley","given":"Barbara"},{"family":"Hickie","given":"Ian B."},{"family":"Jones","given":"Peter B."},{"family":"McDaid","given":"David"}],"issued":{"date-parts":[["2024"]]}}}],"schema":"https://github.com/citation-style-language/schema/raw/master/csl-citation.json"} </w:instrText>
      </w:r>
      <w:r>
        <w:rPr>
          <w:rFonts w:ascii="Arial" w:hAnsi="Arial" w:cs="Arial"/>
        </w:rPr>
        <w:fldChar w:fldCharType="separate"/>
      </w:r>
      <w:r w:rsidRPr="00D34BEB">
        <w:rPr>
          <w:rFonts w:ascii="Arial" w:hAnsi="Arial" w:cs="Arial"/>
        </w:rPr>
        <w:t>(McGorry et al., 2024)</w:t>
      </w:r>
      <w:r>
        <w:rPr>
          <w:rFonts w:ascii="Arial" w:hAnsi="Arial" w:cs="Arial"/>
        </w:rPr>
        <w:fldChar w:fldCharType="end"/>
      </w:r>
      <w:r w:rsidRPr="00A245D4">
        <w:rPr>
          <w:rFonts w:ascii="Arial" w:hAnsi="Arial" w:cs="Arial"/>
        </w:rPr>
        <w:t>.</w:t>
      </w:r>
    </w:p>
    <w:p w14:paraId="4E554432" w14:textId="77777777" w:rsidR="002D4362" w:rsidRDefault="002D4362" w:rsidP="002D4362">
      <w:pPr>
        <w:spacing w:line="360" w:lineRule="auto"/>
        <w:jc w:val="both"/>
        <w:rPr>
          <w:rFonts w:ascii="Arial" w:hAnsi="Arial" w:cs="Arial"/>
        </w:rPr>
      </w:pPr>
    </w:p>
    <w:p w14:paraId="38262448" w14:textId="77777777" w:rsidR="002D4362" w:rsidRDefault="002D4362" w:rsidP="002D4362">
      <w:pPr>
        <w:spacing w:line="360" w:lineRule="auto"/>
        <w:jc w:val="both"/>
        <w:rPr>
          <w:rFonts w:ascii="Arial" w:hAnsi="Arial" w:cs="Arial"/>
        </w:rPr>
      </w:pPr>
    </w:p>
    <w:p w14:paraId="2A4AAA23" w14:textId="77777777" w:rsidR="002D4362" w:rsidRDefault="002D4362" w:rsidP="002D4362">
      <w:pPr>
        <w:spacing w:line="360" w:lineRule="auto"/>
        <w:jc w:val="both"/>
        <w:rPr>
          <w:rFonts w:ascii="Arial" w:hAnsi="Arial" w:cs="Arial"/>
        </w:rPr>
      </w:pPr>
    </w:p>
    <w:p w14:paraId="0D6DBB3D" w14:textId="77777777" w:rsidR="002D4362" w:rsidRDefault="002D4362" w:rsidP="002D4362">
      <w:pPr>
        <w:spacing w:line="360" w:lineRule="auto"/>
        <w:jc w:val="both"/>
        <w:rPr>
          <w:rFonts w:ascii="Arial" w:hAnsi="Arial" w:cs="Arial"/>
        </w:rPr>
      </w:pPr>
    </w:p>
    <w:p w14:paraId="45B4C151" w14:textId="77777777" w:rsidR="002D4362" w:rsidRDefault="002D4362" w:rsidP="002D4362">
      <w:pPr>
        <w:spacing w:line="360" w:lineRule="auto"/>
        <w:jc w:val="both"/>
        <w:rPr>
          <w:rFonts w:ascii="Arial" w:hAnsi="Arial" w:cs="Arial"/>
        </w:rPr>
      </w:pPr>
    </w:p>
    <w:p w14:paraId="42691612" w14:textId="77777777" w:rsidR="002D4362" w:rsidRDefault="002D4362" w:rsidP="002D4362">
      <w:pPr>
        <w:spacing w:line="360" w:lineRule="auto"/>
        <w:jc w:val="both"/>
        <w:rPr>
          <w:rFonts w:ascii="Arial" w:hAnsi="Arial" w:cs="Arial"/>
        </w:rPr>
      </w:pPr>
    </w:p>
    <w:p w14:paraId="54807B9E" w14:textId="77777777" w:rsidR="002D4362" w:rsidRPr="00FA1FAD" w:rsidRDefault="002D4362" w:rsidP="002D4362">
      <w:pPr>
        <w:pStyle w:val="Heading1"/>
        <w:spacing w:line="360" w:lineRule="auto"/>
        <w:jc w:val="both"/>
        <w:rPr>
          <w:rFonts w:ascii="Arial" w:hAnsi="Arial" w:cs="Arial"/>
          <w:b/>
          <w:color w:val="000000" w:themeColor="text1"/>
          <w:sz w:val="28"/>
        </w:rPr>
      </w:pPr>
      <w:bookmarkStart w:id="17" w:name="_Toc233484033"/>
      <w:bookmarkStart w:id="18" w:name="_Toc234582829"/>
      <w:r w:rsidRPr="00FA1FAD">
        <w:rPr>
          <w:rFonts w:ascii="Arial" w:hAnsi="Arial" w:cs="Arial"/>
          <w:b/>
          <w:color w:val="000000" w:themeColor="text1"/>
          <w:sz w:val="28"/>
        </w:rPr>
        <w:lastRenderedPageBreak/>
        <w:t>References</w:t>
      </w:r>
      <w:bookmarkEnd w:id="17"/>
      <w:bookmarkEnd w:id="18"/>
      <w:r w:rsidRPr="00FA1FAD">
        <w:rPr>
          <w:rFonts w:ascii="Arial" w:hAnsi="Arial" w:cs="Arial"/>
          <w:b/>
          <w:color w:val="000000" w:themeColor="text1"/>
          <w:sz w:val="28"/>
        </w:rPr>
        <w:t xml:space="preserve"> </w:t>
      </w:r>
    </w:p>
    <w:p w14:paraId="60133663" w14:textId="77777777" w:rsidR="002D4362" w:rsidRPr="00D34BEB" w:rsidRDefault="002D4362" w:rsidP="002D4362">
      <w:pPr>
        <w:pStyle w:val="Bibliography"/>
        <w:spacing w:line="360" w:lineRule="auto"/>
        <w:jc w:val="both"/>
        <w:rPr>
          <w:rFonts w:ascii="Arial" w:hAnsi="Arial" w:cs="Arial"/>
        </w:rPr>
      </w:pPr>
      <w:r w:rsidRPr="00D34BEB">
        <w:rPr>
          <w:rFonts w:ascii="Arial" w:hAnsi="Arial" w:cs="Arial"/>
        </w:rPr>
        <w:fldChar w:fldCharType="begin"/>
      </w:r>
      <w:r w:rsidRPr="00D34BEB">
        <w:rPr>
          <w:rFonts w:ascii="Arial" w:hAnsi="Arial" w:cs="Arial"/>
        </w:rPr>
        <w:instrText xml:space="preserve"> ADDIN ZOTERO_BIBL {"uncited":[],"omitted":[],"custom":[]} CSL_BIBLIOGRAPHY </w:instrText>
      </w:r>
      <w:r w:rsidRPr="00D34BEB">
        <w:rPr>
          <w:rFonts w:ascii="Arial" w:hAnsi="Arial" w:cs="Arial"/>
        </w:rPr>
        <w:fldChar w:fldCharType="separate"/>
      </w:r>
      <w:r w:rsidRPr="00D34BEB">
        <w:rPr>
          <w:rFonts w:ascii="Arial" w:hAnsi="Arial" w:cs="Arial"/>
        </w:rPr>
        <w:t xml:space="preserve">Jones, K. (2023). </w:t>
      </w:r>
      <w:r w:rsidRPr="00D34BEB">
        <w:rPr>
          <w:rFonts w:ascii="Arial" w:hAnsi="Arial" w:cs="Arial"/>
          <w:i/>
          <w:iCs/>
        </w:rPr>
        <w:t>A history of the mental health services</w:t>
      </w:r>
      <w:r w:rsidRPr="00D34BEB">
        <w:rPr>
          <w:rFonts w:ascii="Arial" w:hAnsi="Arial" w:cs="Arial"/>
        </w:rPr>
        <w:t>. Routledge. https://api.taylorfrancis.com/content/books/mono/download?identifierName=doi&amp;identifierValue=10.4324/9781003404514&amp;type=googlepdf</w:t>
      </w:r>
    </w:p>
    <w:p w14:paraId="5C1A5392" w14:textId="77777777" w:rsidR="002D4362" w:rsidRPr="00D34BEB" w:rsidRDefault="002D4362" w:rsidP="002D4362">
      <w:pPr>
        <w:pStyle w:val="Bibliography"/>
        <w:spacing w:line="360" w:lineRule="auto"/>
        <w:jc w:val="both"/>
        <w:rPr>
          <w:rFonts w:ascii="Arial" w:hAnsi="Arial" w:cs="Arial"/>
        </w:rPr>
      </w:pPr>
      <w:r w:rsidRPr="00D34BEB">
        <w:rPr>
          <w:rFonts w:ascii="Arial" w:hAnsi="Arial" w:cs="Arial"/>
        </w:rPr>
        <w:t xml:space="preserve">Marx, W., Manger, S. H., Blencowe, M., Murray, G., Ho, F. Y.-Y., Lawn, S., Blumenthal, J. A., Schuch, F., Stubbs, B., Ruusunen, A., Desyibelew, H. D., Dinan, T. G., Jacka, F., Ravindran, A., Berk, M., &amp; O’Neil, A. (2023). Clinical guidelines for the use of lifestyle-based mental health care in major depressive disorder: World Federation of Societies for Biological Psychiatry (WFSBP) and Australasian Society of Lifestyle Medicine (ASLM) taskforce. </w:t>
      </w:r>
      <w:r w:rsidRPr="00D34BEB">
        <w:rPr>
          <w:rFonts w:ascii="Arial" w:hAnsi="Arial" w:cs="Arial"/>
          <w:i/>
          <w:iCs/>
        </w:rPr>
        <w:t>The World Journal of Biological Psychiatry</w:t>
      </w:r>
      <w:r w:rsidRPr="00D34BEB">
        <w:rPr>
          <w:rFonts w:ascii="Arial" w:hAnsi="Arial" w:cs="Arial"/>
        </w:rPr>
        <w:t xml:space="preserve">, </w:t>
      </w:r>
      <w:r w:rsidRPr="00D34BEB">
        <w:rPr>
          <w:rFonts w:ascii="Arial" w:hAnsi="Arial" w:cs="Arial"/>
          <w:i/>
          <w:iCs/>
        </w:rPr>
        <w:t>24</w:t>
      </w:r>
      <w:r w:rsidRPr="00D34BEB">
        <w:rPr>
          <w:rFonts w:ascii="Arial" w:hAnsi="Arial" w:cs="Arial"/>
        </w:rPr>
        <w:t>(5), 333–386. https://doi.org/10.1080/15622975.2022.2112074</w:t>
      </w:r>
    </w:p>
    <w:p w14:paraId="7904FF8C" w14:textId="77777777" w:rsidR="002D4362" w:rsidRPr="00D34BEB" w:rsidRDefault="002D4362" w:rsidP="002D4362">
      <w:pPr>
        <w:pStyle w:val="Bibliography"/>
        <w:spacing w:line="360" w:lineRule="auto"/>
        <w:jc w:val="both"/>
        <w:rPr>
          <w:rFonts w:ascii="Arial" w:hAnsi="Arial" w:cs="Arial"/>
        </w:rPr>
      </w:pPr>
      <w:r w:rsidRPr="00D34BEB">
        <w:rPr>
          <w:rFonts w:ascii="Arial" w:hAnsi="Arial" w:cs="Arial"/>
        </w:rPr>
        <w:t>McGorry, P. D., Mei, C., Chanen, A., Hodges, C., Alvarez</w:t>
      </w:r>
      <w:r w:rsidRPr="00D34BEB">
        <w:rPr>
          <w:rFonts w:ascii="Cambria Math" w:hAnsi="Cambria Math" w:cs="Cambria Math"/>
        </w:rPr>
        <w:t>‐</w:t>
      </w:r>
      <w:r w:rsidRPr="00D34BEB">
        <w:rPr>
          <w:rFonts w:ascii="Arial" w:hAnsi="Arial" w:cs="Arial"/>
        </w:rPr>
        <w:t xml:space="preserve">Jimenez, M., &amp; Killackey, E. (2022). Designing and scaling up integrated youth mental health care. </w:t>
      </w:r>
      <w:r w:rsidRPr="00D34BEB">
        <w:rPr>
          <w:rFonts w:ascii="Arial" w:hAnsi="Arial" w:cs="Arial"/>
          <w:i/>
          <w:iCs/>
        </w:rPr>
        <w:t>World Psychiatry</w:t>
      </w:r>
      <w:r w:rsidRPr="00D34BEB">
        <w:rPr>
          <w:rFonts w:ascii="Arial" w:hAnsi="Arial" w:cs="Arial"/>
        </w:rPr>
        <w:t xml:space="preserve">, </w:t>
      </w:r>
      <w:r w:rsidRPr="00D34BEB">
        <w:rPr>
          <w:rFonts w:ascii="Arial" w:hAnsi="Arial" w:cs="Arial"/>
          <w:i/>
          <w:iCs/>
        </w:rPr>
        <w:t>21</w:t>
      </w:r>
      <w:r w:rsidRPr="00D34BEB">
        <w:rPr>
          <w:rFonts w:ascii="Arial" w:hAnsi="Arial" w:cs="Arial"/>
        </w:rPr>
        <w:t>(1), 61–76. https://doi.org/10.1002/wps.20938</w:t>
      </w:r>
    </w:p>
    <w:p w14:paraId="4FCC9332" w14:textId="77777777" w:rsidR="002D4362" w:rsidRPr="00D34BEB" w:rsidRDefault="002D4362" w:rsidP="002D4362">
      <w:pPr>
        <w:pStyle w:val="Bibliography"/>
        <w:spacing w:line="360" w:lineRule="auto"/>
        <w:jc w:val="both"/>
        <w:rPr>
          <w:rFonts w:ascii="Arial" w:hAnsi="Arial" w:cs="Arial"/>
        </w:rPr>
      </w:pPr>
      <w:r w:rsidRPr="00D34BEB">
        <w:rPr>
          <w:rFonts w:ascii="Arial" w:hAnsi="Arial" w:cs="Arial"/>
        </w:rPr>
        <w:t xml:space="preserve">McGorry, P. D., Mei, C., Dalal, N., Alvarez-Jimenez, M., Blakemore, S.-J., Browne, V., Dooley, B., Hickie, I. B., Jones, P. B., &amp; McDaid, D. (2024). The Lancet Psychiatry Commission on youth mental health. </w:t>
      </w:r>
      <w:r w:rsidRPr="00D34BEB">
        <w:rPr>
          <w:rFonts w:ascii="Arial" w:hAnsi="Arial" w:cs="Arial"/>
          <w:i/>
          <w:iCs/>
        </w:rPr>
        <w:t>The Lancet Psychiatry</w:t>
      </w:r>
      <w:r w:rsidRPr="00D34BEB">
        <w:rPr>
          <w:rFonts w:ascii="Arial" w:hAnsi="Arial" w:cs="Arial"/>
        </w:rPr>
        <w:t xml:space="preserve">, </w:t>
      </w:r>
      <w:r w:rsidRPr="00D34BEB">
        <w:rPr>
          <w:rFonts w:ascii="Arial" w:hAnsi="Arial" w:cs="Arial"/>
          <w:i/>
          <w:iCs/>
        </w:rPr>
        <w:t>11</w:t>
      </w:r>
      <w:r w:rsidRPr="00D34BEB">
        <w:rPr>
          <w:rFonts w:ascii="Arial" w:hAnsi="Arial" w:cs="Arial"/>
        </w:rPr>
        <w:t>(9), 731–774.</w:t>
      </w:r>
    </w:p>
    <w:p w14:paraId="7637D062" w14:textId="77777777" w:rsidR="002D4362" w:rsidRPr="00D34BEB" w:rsidRDefault="002D4362" w:rsidP="002D4362">
      <w:pPr>
        <w:pStyle w:val="Bibliography"/>
        <w:spacing w:line="360" w:lineRule="auto"/>
        <w:jc w:val="both"/>
        <w:rPr>
          <w:rFonts w:ascii="Arial" w:hAnsi="Arial" w:cs="Arial"/>
        </w:rPr>
      </w:pPr>
      <w:r w:rsidRPr="00D34BEB">
        <w:rPr>
          <w:rFonts w:ascii="Arial" w:hAnsi="Arial" w:cs="Arial"/>
        </w:rPr>
        <w:t xml:space="preserve">Reynolds, C. F., Jeste, D. V., Sachdev, P. S., &amp; Blazer, D. G. (2022). Mental health care for older adults: Recent advances and new directions in clinical practice and research. </w:t>
      </w:r>
      <w:r w:rsidRPr="00D34BEB">
        <w:rPr>
          <w:rFonts w:ascii="Arial" w:hAnsi="Arial" w:cs="Arial"/>
          <w:i/>
          <w:iCs/>
        </w:rPr>
        <w:t>World Psychiatry</w:t>
      </w:r>
      <w:r w:rsidRPr="00D34BEB">
        <w:rPr>
          <w:rFonts w:ascii="Arial" w:hAnsi="Arial" w:cs="Arial"/>
        </w:rPr>
        <w:t xml:space="preserve">, </w:t>
      </w:r>
      <w:r w:rsidRPr="00D34BEB">
        <w:rPr>
          <w:rFonts w:ascii="Arial" w:hAnsi="Arial" w:cs="Arial"/>
          <w:i/>
          <w:iCs/>
        </w:rPr>
        <w:t>21</w:t>
      </w:r>
      <w:r w:rsidRPr="00D34BEB">
        <w:rPr>
          <w:rFonts w:ascii="Arial" w:hAnsi="Arial" w:cs="Arial"/>
        </w:rPr>
        <w:t>(3), 336–363. https://doi.org/10.1002/wps.20996</w:t>
      </w:r>
    </w:p>
    <w:p w14:paraId="56423D08" w14:textId="77777777" w:rsidR="002D4362" w:rsidRPr="00D34BEB" w:rsidRDefault="002D4362" w:rsidP="002D4362">
      <w:pPr>
        <w:pStyle w:val="Bibliography"/>
        <w:spacing w:line="360" w:lineRule="auto"/>
        <w:jc w:val="both"/>
        <w:rPr>
          <w:rFonts w:ascii="Arial" w:hAnsi="Arial" w:cs="Arial"/>
        </w:rPr>
      </w:pPr>
      <w:r w:rsidRPr="00D34BEB">
        <w:rPr>
          <w:rFonts w:ascii="Arial" w:hAnsi="Arial" w:cs="Arial"/>
        </w:rPr>
        <w:t xml:space="preserve">Thakkar, A., Gupta, A., &amp; De Sousa, A. (2024). Artificial intelligence in positive mental health: A narrative review. </w:t>
      </w:r>
      <w:r w:rsidRPr="00D34BEB">
        <w:rPr>
          <w:rFonts w:ascii="Arial" w:hAnsi="Arial" w:cs="Arial"/>
          <w:i/>
          <w:iCs/>
        </w:rPr>
        <w:t>Frontiers in Digital Health</w:t>
      </w:r>
      <w:r w:rsidRPr="00D34BEB">
        <w:rPr>
          <w:rFonts w:ascii="Arial" w:hAnsi="Arial" w:cs="Arial"/>
        </w:rPr>
        <w:t xml:space="preserve">, </w:t>
      </w:r>
      <w:r w:rsidRPr="00D34BEB">
        <w:rPr>
          <w:rFonts w:ascii="Arial" w:hAnsi="Arial" w:cs="Arial"/>
          <w:i/>
          <w:iCs/>
        </w:rPr>
        <w:t>6</w:t>
      </w:r>
      <w:r w:rsidRPr="00D34BEB">
        <w:rPr>
          <w:rFonts w:ascii="Arial" w:hAnsi="Arial" w:cs="Arial"/>
        </w:rPr>
        <w:t>, 1280235.</w:t>
      </w:r>
    </w:p>
    <w:p w14:paraId="462C3871" w14:textId="77777777" w:rsidR="002D4362" w:rsidRPr="00D34BEB" w:rsidRDefault="002D4362" w:rsidP="002D4362">
      <w:pPr>
        <w:pStyle w:val="Bibliography"/>
        <w:spacing w:line="360" w:lineRule="auto"/>
        <w:jc w:val="both"/>
        <w:rPr>
          <w:rFonts w:ascii="Arial" w:hAnsi="Arial" w:cs="Arial"/>
        </w:rPr>
      </w:pPr>
      <w:r w:rsidRPr="00D34BEB">
        <w:rPr>
          <w:rFonts w:ascii="Arial" w:hAnsi="Arial" w:cs="Arial"/>
        </w:rPr>
        <w:t xml:space="preserve">Timmons, A. C., Duong, J. B., Simo Fiallo, N., Lee, T., Vo, H. P. Q., Ahle, M. W., Comer, J. S., Brewer, L. C., Frazier, S. L., &amp; Chaspari, T. (2023). A Call to Action on Assessing and Mitigating Bias in Artificial Intelligence Applications for Mental Health. </w:t>
      </w:r>
      <w:r w:rsidRPr="00D34BEB">
        <w:rPr>
          <w:rFonts w:ascii="Arial" w:hAnsi="Arial" w:cs="Arial"/>
          <w:i/>
          <w:iCs/>
        </w:rPr>
        <w:t>Perspectives on Psychological Science</w:t>
      </w:r>
      <w:r w:rsidRPr="00D34BEB">
        <w:rPr>
          <w:rFonts w:ascii="Arial" w:hAnsi="Arial" w:cs="Arial"/>
        </w:rPr>
        <w:t xml:space="preserve">, </w:t>
      </w:r>
      <w:r w:rsidRPr="00D34BEB">
        <w:rPr>
          <w:rFonts w:ascii="Arial" w:hAnsi="Arial" w:cs="Arial"/>
          <w:i/>
          <w:iCs/>
        </w:rPr>
        <w:t>18</w:t>
      </w:r>
      <w:r w:rsidRPr="00D34BEB">
        <w:rPr>
          <w:rFonts w:ascii="Arial" w:hAnsi="Arial" w:cs="Arial"/>
        </w:rPr>
        <w:t>(5), 1062–1096. https://doi.org/10.1177/17456916221134490</w:t>
      </w:r>
    </w:p>
    <w:p w14:paraId="2F40F19D" w14:textId="143511D2" w:rsidR="002D4362" w:rsidRPr="00FA1FAD" w:rsidRDefault="002D4362" w:rsidP="00FA1FAD">
      <w:pPr>
        <w:spacing w:line="360" w:lineRule="auto"/>
        <w:jc w:val="both"/>
        <w:sectPr w:rsidR="002D4362" w:rsidRPr="00FA1FAD" w:rsidSect="003A000F">
          <w:pgSz w:w="11906" w:h="16838"/>
          <w:pgMar w:top="1440" w:right="1440" w:bottom="1440" w:left="1440" w:header="708" w:footer="708" w:gutter="0"/>
          <w:cols w:space="708"/>
          <w:docGrid w:linePitch="360"/>
        </w:sectPr>
      </w:pPr>
      <w:r w:rsidRPr="00D34BEB">
        <w:rPr>
          <w:rFonts w:ascii="Arial" w:hAnsi="Arial" w:cs="Arial"/>
        </w:rPr>
        <w:fldChar w:fldCharType="end"/>
      </w:r>
    </w:p>
    <w:p w14:paraId="27EBF8A3" w14:textId="77777777" w:rsidR="00EF3E35" w:rsidRDefault="00EF3E35"/>
    <w:p w14:paraId="150E9E72" w14:textId="77777777" w:rsidR="00EF3E35" w:rsidRDefault="00EF3E35"/>
    <w:p w14:paraId="14ED9CB8" w14:textId="77777777" w:rsidR="00EF3E35" w:rsidRDefault="00EF3E35"/>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A3D92A" w14:textId="77777777" w:rsidR="00A923F6" w:rsidRDefault="00A923F6" w:rsidP="00BE6BE0">
      <w:pPr>
        <w:spacing w:after="0" w:line="240" w:lineRule="auto"/>
      </w:pPr>
      <w:r>
        <w:separator/>
      </w:r>
    </w:p>
  </w:endnote>
  <w:endnote w:type="continuationSeparator" w:id="0">
    <w:p w14:paraId="2FC3D91D" w14:textId="77777777" w:rsidR="00A923F6" w:rsidRDefault="00A923F6"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26654125"/>
      <w:docPartObj>
        <w:docPartGallery w:val="Page Numbers (Bottom of Page)"/>
        <w:docPartUnique/>
      </w:docPartObj>
    </w:sdtPr>
    <w:sdtEndPr>
      <w:rPr>
        <w:rFonts w:ascii="Arial" w:hAnsi="Arial" w:cs="Arial"/>
        <w:b/>
        <w:noProof/>
        <w:color w:val="000000" w:themeColor="text1"/>
        <w:sz w:val="24"/>
      </w:rPr>
    </w:sdtEndPr>
    <w:sdtContent>
      <w:p w14:paraId="4E332468" w14:textId="6B4A4886" w:rsidR="00BD52D8" w:rsidRPr="00BD52D8" w:rsidRDefault="00BD52D8">
        <w:pPr>
          <w:pStyle w:val="Footer"/>
          <w:jc w:val="center"/>
          <w:rPr>
            <w:rFonts w:ascii="Arial" w:hAnsi="Arial" w:cs="Arial"/>
            <w:b/>
            <w:color w:val="000000" w:themeColor="text1"/>
            <w:sz w:val="24"/>
          </w:rPr>
        </w:pPr>
        <w:r w:rsidRPr="00BD52D8">
          <w:rPr>
            <w:rFonts w:ascii="Arial" w:hAnsi="Arial" w:cs="Arial"/>
            <w:b/>
            <w:color w:val="000000" w:themeColor="text1"/>
            <w:sz w:val="24"/>
          </w:rPr>
          <w:fldChar w:fldCharType="begin"/>
        </w:r>
        <w:r w:rsidRPr="00BD52D8">
          <w:rPr>
            <w:rFonts w:ascii="Arial" w:hAnsi="Arial" w:cs="Arial"/>
            <w:b/>
            <w:color w:val="000000" w:themeColor="text1"/>
            <w:sz w:val="24"/>
          </w:rPr>
          <w:instrText xml:space="preserve"> PAGE   \* MERGEFORMAT </w:instrText>
        </w:r>
        <w:r w:rsidRPr="00BD52D8">
          <w:rPr>
            <w:rFonts w:ascii="Arial" w:hAnsi="Arial" w:cs="Arial"/>
            <w:b/>
            <w:color w:val="000000" w:themeColor="text1"/>
            <w:sz w:val="24"/>
          </w:rPr>
          <w:fldChar w:fldCharType="separate"/>
        </w:r>
        <w:r w:rsidR="00DB7A95">
          <w:rPr>
            <w:rFonts w:ascii="Arial" w:hAnsi="Arial" w:cs="Arial"/>
            <w:b/>
            <w:noProof/>
            <w:color w:val="000000" w:themeColor="text1"/>
            <w:sz w:val="24"/>
          </w:rPr>
          <w:t>1</w:t>
        </w:r>
        <w:r w:rsidRPr="00BD52D8">
          <w:rPr>
            <w:rFonts w:ascii="Arial" w:hAnsi="Arial" w:cs="Arial"/>
            <w:b/>
            <w:noProof/>
            <w:color w:val="000000" w:themeColor="text1"/>
            <w:sz w:val="24"/>
          </w:rPr>
          <w:fldChar w:fldCharType="end"/>
        </w:r>
      </w:p>
    </w:sdtContent>
  </w:sdt>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A57114" w14:textId="77777777" w:rsidR="00A923F6" w:rsidRDefault="00A923F6" w:rsidP="00BE6BE0">
      <w:pPr>
        <w:spacing w:after="0" w:line="240" w:lineRule="auto"/>
      </w:pPr>
      <w:r>
        <w:separator/>
      </w:r>
    </w:p>
  </w:footnote>
  <w:footnote w:type="continuationSeparator" w:id="0">
    <w:p w14:paraId="0FC2E6D4" w14:textId="77777777" w:rsidR="00A923F6" w:rsidRDefault="00A923F6"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lang w:eastAsia="en-GB"/>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000F"/>
    <w:rsid w:val="00011A2F"/>
    <w:rsid w:val="000464A0"/>
    <w:rsid w:val="00056EB1"/>
    <w:rsid w:val="000D5B9E"/>
    <w:rsid w:val="00247572"/>
    <w:rsid w:val="002767BF"/>
    <w:rsid w:val="002D4362"/>
    <w:rsid w:val="003A000F"/>
    <w:rsid w:val="0040375D"/>
    <w:rsid w:val="006A6816"/>
    <w:rsid w:val="007D2ECE"/>
    <w:rsid w:val="00804A7F"/>
    <w:rsid w:val="00833470"/>
    <w:rsid w:val="00925D5E"/>
    <w:rsid w:val="00952738"/>
    <w:rsid w:val="009E257B"/>
    <w:rsid w:val="00A6165E"/>
    <w:rsid w:val="00A82690"/>
    <w:rsid w:val="00A923F6"/>
    <w:rsid w:val="00AC4832"/>
    <w:rsid w:val="00B642EF"/>
    <w:rsid w:val="00BD52D8"/>
    <w:rsid w:val="00BE6BE0"/>
    <w:rsid w:val="00C83A82"/>
    <w:rsid w:val="00DB7A95"/>
    <w:rsid w:val="00E101A9"/>
    <w:rsid w:val="00ED0D33"/>
    <w:rsid w:val="00EF3E35"/>
    <w:rsid w:val="00F36D02"/>
    <w:rsid w:val="00F64FBC"/>
    <w:rsid w:val="00FA1FA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43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character" w:customStyle="1" w:styleId="Heading1Char">
    <w:name w:val="Heading 1 Char"/>
    <w:basedOn w:val="DefaultParagraphFont"/>
    <w:link w:val="Heading1"/>
    <w:uiPriority w:val="9"/>
    <w:rsid w:val="002D436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D4362"/>
    <w:pPr>
      <w:outlineLvl w:val="9"/>
    </w:pPr>
    <w:rPr>
      <w:lang w:val="en-US" w:eastAsia="en-US"/>
    </w:rPr>
  </w:style>
  <w:style w:type="paragraph" w:styleId="Bibliography">
    <w:name w:val="Bibliography"/>
    <w:basedOn w:val="Normal"/>
    <w:next w:val="Normal"/>
    <w:uiPriority w:val="37"/>
    <w:semiHidden/>
    <w:unhideWhenUsed/>
    <w:rsid w:val="002D4362"/>
    <w:rPr>
      <w:rFonts w:eastAsiaTheme="minorHAnsi"/>
      <w:lang w:eastAsia="en-US"/>
    </w:rPr>
  </w:style>
  <w:style w:type="paragraph" w:styleId="TOC1">
    <w:name w:val="toc 1"/>
    <w:basedOn w:val="Normal"/>
    <w:next w:val="Normal"/>
    <w:autoRedefine/>
    <w:uiPriority w:val="39"/>
    <w:unhideWhenUsed/>
    <w:rsid w:val="007D2ECE"/>
    <w:pPr>
      <w:spacing w:after="100"/>
    </w:pPr>
  </w:style>
  <w:style w:type="character" w:styleId="Hyperlink">
    <w:name w:val="Hyperlink"/>
    <w:basedOn w:val="DefaultParagraphFont"/>
    <w:uiPriority w:val="99"/>
    <w:unhideWhenUsed/>
    <w:rsid w:val="007D2EC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EEFB001-5CD6-4F6D-BB4C-588283ACD1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7</Pages>
  <Words>3410</Words>
  <Characters>19441</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Hamna Nasir (2523960)</cp:lastModifiedBy>
  <cp:revision>12</cp:revision>
  <dcterms:created xsi:type="dcterms:W3CDTF">2023-07-06T11:47:00Z</dcterms:created>
  <dcterms:modified xsi:type="dcterms:W3CDTF">2026-07-15T09:18:00Z</dcterms:modified>
</cp:coreProperties>
</file>