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0E981" w14:textId="55A458BF" w:rsidR="00643B80" w:rsidRPr="00643B80" w:rsidRDefault="004F2DF8" w:rsidP="00643B80">
      <w:pPr>
        <w:rPr>
          <w:rFonts w:ascii="Avenir Light" w:hAnsi="Avenir Light"/>
          <w:color w:val="D1467A"/>
          <w:sz w:val="44"/>
        </w:rPr>
      </w:pPr>
      <w:r>
        <w:rPr>
          <w:rFonts w:ascii="Avenir Light" w:hAnsi="Avenir Light"/>
          <w:color w:val="D1467A"/>
          <w:sz w:val="44"/>
        </w:rPr>
        <w:t xml:space="preserve">3i’s template for identifying relevant </w:t>
      </w:r>
      <w:r w:rsidR="002B6B9B">
        <w:rPr>
          <w:rFonts w:ascii="Avenir Light" w:hAnsi="Avenir Light"/>
          <w:color w:val="D1467A"/>
          <w:sz w:val="44"/>
        </w:rPr>
        <w:t>groups</w:t>
      </w:r>
      <w:r w:rsidR="00781AED">
        <w:rPr>
          <w:rFonts w:ascii="Avenir Light" w:hAnsi="Avenir Light"/>
          <w:color w:val="D1467A"/>
          <w:sz w:val="44"/>
        </w:rPr>
        <w:t xml:space="preserve"> for engagement</w:t>
      </w:r>
    </w:p>
    <w:tbl>
      <w:tblPr>
        <w:tblpPr w:leftFromText="180" w:rightFromText="180" w:vertAnchor="text" w:horzAnchor="page" w:tblpX="1469" w:tblpY="841"/>
        <w:tblW w:w="13858"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CellMar>
          <w:top w:w="85" w:type="dxa"/>
          <w:left w:w="85" w:type="dxa"/>
          <w:right w:w="85" w:type="dxa"/>
        </w:tblCellMar>
        <w:tblLook w:val="04A0" w:firstRow="1" w:lastRow="0" w:firstColumn="1" w:lastColumn="0" w:noHBand="0" w:noVBand="1"/>
      </w:tblPr>
      <w:tblGrid>
        <w:gridCol w:w="1384"/>
        <w:gridCol w:w="1088"/>
        <w:gridCol w:w="4299"/>
        <w:gridCol w:w="2126"/>
        <w:gridCol w:w="4961"/>
      </w:tblGrid>
      <w:tr w:rsidR="00643B80" w:rsidRPr="009C6A0F" w14:paraId="298190D9" w14:textId="77777777" w:rsidTr="00783AE7">
        <w:trPr>
          <w:trHeight w:val="610"/>
        </w:trPr>
        <w:tc>
          <w:tcPr>
            <w:tcW w:w="1384" w:type="dxa"/>
            <w:shd w:val="clear" w:color="auto" w:fill="000000" w:themeFill="text1"/>
          </w:tcPr>
          <w:p w14:paraId="086AB8E2" w14:textId="69B236A4" w:rsidR="00643B80" w:rsidRPr="005133AE" w:rsidRDefault="00643B80" w:rsidP="00783AE7">
            <w:pPr>
              <w:spacing w:line="240" w:lineRule="auto"/>
              <w:jc w:val="center"/>
              <w:rPr>
                <w:rStyle w:val="Strong"/>
                <w:rFonts w:ascii="Avenir Medium" w:hAnsi="Avenir Medium" w:cs="Arial"/>
                <w:b w:val="0"/>
                <w:bCs w:val="0"/>
                <w:color w:val="FFFFFF" w:themeColor="background1"/>
                <w:sz w:val="20"/>
                <w:szCs w:val="20"/>
              </w:rPr>
            </w:pPr>
            <w:r w:rsidRPr="005133AE">
              <w:rPr>
                <w:rStyle w:val="Strong"/>
                <w:rFonts w:ascii="Avenir Medium" w:hAnsi="Avenir Medium" w:cs="Arial"/>
                <w:b w:val="0"/>
                <w:bCs w:val="0"/>
                <w:color w:val="FFFFFF" w:themeColor="background1"/>
                <w:sz w:val="20"/>
                <w:szCs w:val="20"/>
              </w:rPr>
              <w:t>Name of organi</w:t>
            </w:r>
            <w:r w:rsidR="003E3B77">
              <w:rPr>
                <w:rStyle w:val="Strong"/>
                <w:rFonts w:ascii="Avenir Medium" w:hAnsi="Avenir Medium" w:cs="Arial"/>
                <w:b w:val="0"/>
                <w:bCs w:val="0"/>
                <w:color w:val="FFFFFF" w:themeColor="background1"/>
                <w:sz w:val="20"/>
                <w:szCs w:val="20"/>
              </w:rPr>
              <w:t>s</w:t>
            </w:r>
            <w:r w:rsidRPr="005133AE">
              <w:rPr>
                <w:rStyle w:val="Strong"/>
                <w:rFonts w:ascii="Avenir Medium" w:hAnsi="Avenir Medium" w:cs="Arial"/>
                <w:b w:val="0"/>
                <w:bCs w:val="0"/>
                <w:color w:val="FFFFFF" w:themeColor="background1"/>
                <w:sz w:val="20"/>
                <w:szCs w:val="20"/>
              </w:rPr>
              <w:t>ation,  group or segment of the public</w:t>
            </w:r>
          </w:p>
        </w:tc>
        <w:tc>
          <w:tcPr>
            <w:tcW w:w="1088" w:type="dxa"/>
            <w:shd w:val="clear" w:color="auto" w:fill="000000" w:themeFill="text1"/>
          </w:tcPr>
          <w:p w14:paraId="0143605E" w14:textId="77777777" w:rsidR="00643B80" w:rsidRPr="005133AE" w:rsidRDefault="00643B80" w:rsidP="00783AE7">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Likely interest in your research</w:t>
            </w:r>
            <w:r w:rsidRPr="005133AE">
              <w:rPr>
                <w:rStyle w:val="Strong"/>
                <w:rFonts w:ascii="Avenir Medium" w:hAnsi="Avenir Medium" w:cs="Arial"/>
                <w:b w:val="0"/>
                <w:color w:val="FFFFFF" w:themeColor="background1"/>
                <w:sz w:val="20"/>
                <w:szCs w:val="20"/>
              </w:rPr>
              <w:br/>
            </w:r>
          </w:p>
          <w:p w14:paraId="10D49459" w14:textId="77777777" w:rsidR="00643B80" w:rsidRPr="005133AE" w:rsidRDefault="00643B80" w:rsidP="00783AE7">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H/M/L</w:t>
            </w:r>
          </w:p>
        </w:tc>
        <w:tc>
          <w:tcPr>
            <w:tcW w:w="4299" w:type="dxa"/>
            <w:shd w:val="clear" w:color="auto" w:fill="000000" w:themeFill="text1"/>
          </w:tcPr>
          <w:p w14:paraId="464BD587" w14:textId="30F08249" w:rsidR="00643B80" w:rsidRPr="005133AE" w:rsidRDefault="00643B80" w:rsidP="00783AE7">
            <w:pPr>
              <w:spacing w:line="240" w:lineRule="auto"/>
              <w:jc w:val="center"/>
              <w:rPr>
                <w:rStyle w:val="Strong"/>
                <w:rFonts w:ascii="Avenir Medium" w:hAnsi="Avenir Medium" w:cs="Arial"/>
                <w:b w:val="0"/>
                <w:bCs w:val="0"/>
                <w:color w:val="FFFFFF" w:themeColor="background1"/>
                <w:sz w:val="20"/>
                <w:szCs w:val="20"/>
              </w:rPr>
            </w:pPr>
            <w:r w:rsidRPr="66A375A9">
              <w:rPr>
                <w:rStyle w:val="Strong"/>
                <w:rFonts w:ascii="Avenir Medium" w:hAnsi="Avenir Medium" w:cs="Arial"/>
                <w:b w:val="0"/>
                <w:bCs w:val="0"/>
                <w:color w:val="FFFFFF" w:themeColor="background1"/>
                <w:sz w:val="20"/>
                <w:szCs w:val="20"/>
              </w:rPr>
              <w:t>What aspects of your research are they likely to be interested in (or why are they likely not interested)?</w:t>
            </w:r>
            <w:r w:rsidR="003E3B77">
              <w:rPr>
                <w:rStyle w:val="Strong"/>
                <w:rFonts w:ascii="Avenir Medium" w:hAnsi="Avenir Medium" w:cs="Arial"/>
                <w:b w:val="0"/>
                <w:bCs w:val="0"/>
                <w:color w:val="FFFFFF" w:themeColor="background1"/>
                <w:sz w:val="20"/>
                <w:szCs w:val="20"/>
              </w:rPr>
              <w:t xml:space="preserve"> Which parts of the group or organsation are likely to be most interested and why?</w:t>
            </w:r>
          </w:p>
        </w:tc>
        <w:tc>
          <w:tcPr>
            <w:tcW w:w="2126" w:type="dxa"/>
            <w:shd w:val="clear" w:color="auto" w:fill="000000" w:themeFill="text1"/>
          </w:tcPr>
          <w:p w14:paraId="664B6E0D" w14:textId="77777777" w:rsidR="00643B80" w:rsidRPr="005133AE" w:rsidRDefault="00643B80" w:rsidP="00783AE7">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What level of influence might they have on your capacity to generate impact (to facilitate or block) and/or what level of impact (positive or negative) might they derive from the research?</w:t>
            </w:r>
          </w:p>
          <w:p w14:paraId="76C9CE53" w14:textId="77777777" w:rsidR="00643B80" w:rsidRPr="005133AE" w:rsidRDefault="00643B80" w:rsidP="00783AE7">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H/M/L</w:t>
            </w:r>
          </w:p>
        </w:tc>
        <w:tc>
          <w:tcPr>
            <w:tcW w:w="4961" w:type="dxa"/>
            <w:shd w:val="clear" w:color="auto" w:fill="000000" w:themeFill="text1"/>
          </w:tcPr>
          <w:p w14:paraId="36FD2BAE" w14:textId="77777777" w:rsidR="00643B80" w:rsidRPr="005133AE" w:rsidRDefault="00643B80" w:rsidP="00783AE7">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Comments on level of influence (to facilitate or block impact) and/or likely impact (positive or negative) e.g. times or contexts in which they have more/less influence over the outcomes of your research, ways they might block or facilitate your research or impact, types of benefit they might derive from the research</w:t>
            </w:r>
          </w:p>
        </w:tc>
      </w:tr>
      <w:tr w:rsidR="004D2219" w:rsidRPr="004D2219" w14:paraId="1A445390" w14:textId="77777777" w:rsidTr="00783AE7">
        <w:trPr>
          <w:trHeight w:val="29"/>
        </w:trPr>
        <w:tc>
          <w:tcPr>
            <w:tcW w:w="1384" w:type="dxa"/>
            <w:shd w:val="clear" w:color="auto" w:fill="auto"/>
            <w:vAlign w:val="center"/>
          </w:tcPr>
          <w:p w14:paraId="6A9E981E" w14:textId="77777777" w:rsidR="00643B80" w:rsidRPr="004D2219" w:rsidRDefault="00643B80" w:rsidP="00783AE7">
            <w:pPr>
              <w:rPr>
                <w:rStyle w:val="Strong"/>
                <w:rFonts w:ascii="Arial" w:hAnsi="Arial" w:cs="Arial"/>
                <w:b w:val="0"/>
                <w:bCs w:val="0"/>
                <w:sz w:val="20"/>
                <w:szCs w:val="20"/>
              </w:rPr>
            </w:pPr>
            <w:r w:rsidRPr="004D2219">
              <w:rPr>
                <w:rStyle w:val="Strong"/>
                <w:rFonts w:ascii="Arial" w:hAnsi="Arial" w:cs="Arial"/>
                <w:b w:val="0"/>
                <w:bCs w:val="0"/>
                <w:sz w:val="20"/>
                <w:szCs w:val="20"/>
              </w:rPr>
              <w:t>Regional</w:t>
            </w:r>
          </w:p>
          <w:p w14:paraId="613E9515" w14:textId="471504C9" w:rsidR="00643B80" w:rsidRPr="004D2219" w:rsidRDefault="00643B80" w:rsidP="00783AE7">
            <w:pPr>
              <w:rPr>
                <w:rStyle w:val="Strong"/>
                <w:rFonts w:ascii="Arial" w:hAnsi="Arial" w:cs="Arial"/>
                <w:b w:val="0"/>
                <w:bCs w:val="0"/>
                <w:sz w:val="20"/>
                <w:szCs w:val="20"/>
              </w:rPr>
            </w:pPr>
          </w:p>
        </w:tc>
        <w:tc>
          <w:tcPr>
            <w:tcW w:w="1088" w:type="dxa"/>
            <w:shd w:val="clear" w:color="auto" w:fill="auto"/>
          </w:tcPr>
          <w:p w14:paraId="38EA2CD5" w14:textId="0C6560F3" w:rsidR="00643B80" w:rsidRPr="004D2219" w:rsidRDefault="00643B80" w:rsidP="00783AE7">
            <w:pPr>
              <w:rPr>
                <w:rFonts w:ascii="Arial" w:eastAsia="Arial" w:hAnsi="Arial" w:cs="Arial"/>
                <w:sz w:val="20"/>
                <w:szCs w:val="20"/>
              </w:rPr>
            </w:pPr>
            <w:r w:rsidRPr="004D2219">
              <w:rPr>
                <w:rStyle w:val="Strong"/>
                <w:rFonts w:ascii="Arial" w:hAnsi="Arial" w:cs="Arial"/>
                <w:b w:val="0"/>
                <w:bCs w:val="0"/>
                <w:sz w:val="20"/>
                <w:szCs w:val="20"/>
              </w:rPr>
              <w:t>M</w:t>
            </w:r>
            <w:r w:rsidRPr="004D2219">
              <w:rPr>
                <w:rFonts w:ascii="Arial" w:eastAsia="Cambria" w:hAnsi="Arial" w:cs="Arial"/>
                <w:sz w:val="20"/>
                <w:szCs w:val="20"/>
              </w:rPr>
              <w:t xml:space="preserve"> </w:t>
            </w:r>
          </w:p>
        </w:tc>
        <w:tc>
          <w:tcPr>
            <w:tcW w:w="4299" w:type="dxa"/>
            <w:shd w:val="clear" w:color="auto" w:fill="auto"/>
          </w:tcPr>
          <w:p w14:paraId="048AE30E" w14:textId="77777777" w:rsidR="00643B80" w:rsidRPr="004D2219" w:rsidRDefault="00643B80" w:rsidP="00643B80">
            <w:pPr>
              <w:rPr>
                <w:rStyle w:val="Strong"/>
                <w:rFonts w:ascii="Arial" w:hAnsi="Arial" w:cs="Arial"/>
                <w:b w:val="0"/>
                <w:bCs w:val="0"/>
                <w:sz w:val="20"/>
                <w:szCs w:val="20"/>
              </w:rPr>
            </w:pPr>
          </w:p>
        </w:tc>
        <w:tc>
          <w:tcPr>
            <w:tcW w:w="2126" w:type="dxa"/>
            <w:shd w:val="clear" w:color="auto" w:fill="auto"/>
          </w:tcPr>
          <w:p w14:paraId="1B33E88E" w14:textId="2844FA29" w:rsidR="00643B80" w:rsidRPr="004D2219" w:rsidRDefault="00643B80" w:rsidP="00783AE7">
            <w:pPr>
              <w:rPr>
                <w:rFonts w:ascii="Arial" w:eastAsia="Arial" w:hAnsi="Arial" w:cs="Arial"/>
                <w:sz w:val="20"/>
                <w:szCs w:val="20"/>
              </w:rPr>
            </w:pPr>
          </w:p>
        </w:tc>
        <w:tc>
          <w:tcPr>
            <w:tcW w:w="4961" w:type="dxa"/>
            <w:shd w:val="clear" w:color="auto" w:fill="auto"/>
          </w:tcPr>
          <w:p w14:paraId="47C98D73" w14:textId="77777777" w:rsidR="00643B80" w:rsidRPr="004D2219" w:rsidRDefault="00643B80" w:rsidP="00643B80">
            <w:pPr>
              <w:rPr>
                <w:rStyle w:val="Strong"/>
                <w:rFonts w:ascii="Arial" w:hAnsi="Arial" w:cs="Arial"/>
                <w:b w:val="0"/>
                <w:bCs w:val="0"/>
                <w:sz w:val="20"/>
                <w:szCs w:val="20"/>
              </w:rPr>
            </w:pPr>
          </w:p>
        </w:tc>
      </w:tr>
    </w:tbl>
    <w:p w14:paraId="39AB69DF" w14:textId="0764F4EE" w:rsidR="00643B80" w:rsidRPr="00643B80" w:rsidRDefault="00643B80">
      <w:pPr>
        <w:rPr>
          <w:rFonts w:ascii="Avenir Light" w:hAnsi="Avenir Light"/>
          <w:color w:val="D1467A"/>
          <w:sz w:val="44"/>
        </w:rPr>
      </w:pPr>
      <w:r>
        <w:rPr>
          <w:rFonts w:ascii="Avenir Light" w:hAnsi="Avenir Light"/>
          <w:color w:val="D1467A"/>
          <w:sz w:val="44"/>
        </w:rPr>
        <w:br w:type="column"/>
      </w:r>
      <w:r>
        <w:rPr>
          <w:rFonts w:ascii="Avenir Light" w:hAnsi="Avenir Light"/>
          <w:color w:val="D1467A"/>
          <w:sz w:val="44"/>
        </w:rPr>
        <w:lastRenderedPageBreak/>
        <w:t>Worked example</w:t>
      </w:r>
    </w:p>
    <w:tbl>
      <w:tblPr>
        <w:tblpPr w:leftFromText="180" w:rightFromText="180" w:vertAnchor="text" w:horzAnchor="page" w:tblpX="1469" w:tblpY="841"/>
        <w:tblW w:w="13858"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CellMar>
          <w:top w:w="85" w:type="dxa"/>
          <w:left w:w="85" w:type="dxa"/>
          <w:right w:w="85" w:type="dxa"/>
        </w:tblCellMar>
        <w:tblLook w:val="04A0" w:firstRow="1" w:lastRow="0" w:firstColumn="1" w:lastColumn="0" w:noHBand="0" w:noVBand="1"/>
      </w:tblPr>
      <w:tblGrid>
        <w:gridCol w:w="1384"/>
        <w:gridCol w:w="1088"/>
        <w:gridCol w:w="4299"/>
        <w:gridCol w:w="2126"/>
        <w:gridCol w:w="4961"/>
      </w:tblGrid>
      <w:tr w:rsidR="001538F1" w:rsidRPr="009C6A0F" w14:paraId="34E8B8D4" w14:textId="77777777" w:rsidTr="66A375A9">
        <w:trPr>
          <w:trHeight w:val="610"/>
        </w:trPr>
        <w:tc>
          <w:tcPr>
            <w:tcW w:w="1384" w:type="dxa"/>
            <w:shd w:val="clear" w:color="auto" w:fill="000000" w:themeFill="text1"/>
          </w:tcPr>
          <w:p w14:paraId="2F4E2F51" w14:textId="5568C4D5" w:rsidR="001538F1" w:rsidRPr="005133AE" w:rsidRDefault="001538F1" w:rsidP="005133AE">
            <w:pPr>
              <w:spacing w:line="240" w:lineRule="auto"/>
              <w:jc w:val="center"/>
              <w:rPr>
                <w:rStyle w:val="Strong"/>
                <w:rFonts w:ascii="Avenir Medium" w:hAnsi="Avenir Medium" w:cs="Arial"/>
                <w:b w:val="0"/>
                <w:bCs w:val="0"/>
                <w:color w:val="FFFFFF" w:themeColor="background1"/>
                <w:sz w:val="20"/>
                <w:szCs w:val="20"/>
              </w:rPr>
            </w:pPr>
            <w:bookmarkStart w:id="0" w:name="_Toc290903630"/>
            <w:r w:rsidRPr="005133AE">
              <w:rPr>
                <w:rStyle w:val="Strong"/>
                <w:rFonts w:ascii="Avenir Medium" w:hAnsi="Avenir Medium" w:cs="Arial"/>
                <w:b w:val="0"/>
                <w:bCs w:val="0"/>
                <w:color w:val="FFFFFF" w:themeColor="background1"/>
                <w:sz w:val="20"/>
                <w:szCs w:val="20"/>
              </w:rPr>
              <w:t>Name of organization,  group or segment of the public</w:t>
            </w:r>
          </w:p>
        </w:tc>
        <w:tc>
          <w:tcPr>
            <w:tcW w:w="1088" w:type="dxa"/>
            <w:shd w:val="clear" w:color="auto" w:fill="000000" w:themeFill="text1"/>
          </w:tcPr>
          <w:p w14:paraId="657A0C84" w14:textId="77777777" w:rsidR="001538F1" w:rsidRPr="005133AE" w:rsidRDefault="001538F1" w:rsidP="005133AE">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Likely interest in your research</w:t>
            </w:r>
            <w:r w:rsidRPr="005133AE">
              <w:rPr>
                <w:rStyle w:val="Strong"/>
                <w:rFonts w:ascii="Avenir Medium" w:hAnsi="Avenir Medium" w:cs="Arial"/>
                <w:b w:val="0"/>
                <w:color w:val="FFFFFF" w:themeColor="background1"/>
                <w:sz w:val="20"/>
                <w:szCs w:val="20"/>
              </w:rPr>
              <w:br/>
            </w:r>
          </w:p>
          <w:p w14:paraId="163F18D8" w14:textId="77777777" w:rsidR="001538F1" w:rsidRPr="005133AE" w:rsidRDefault="001538F1" w:rsidP="005133AE">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H/M/L</w:t>
            </w:r>
          </w:p>
        </w:tc>
        <w:tc>
          <w:tcPr>
            <w:tcW w:w="4299" w:type="dxa"/>
            <w:shd w:val="clear" w:color="auto" w:fill="000000" w:themeFill="text1"/>
          </w:tcPr>
          <w:p w14:paraId="0DA8D7BC" w14:textId="64218998" w:rsidR="001538F1" w:rsidRPr="005133AE" w:rsidRDefault="66A375A9" w:rsidP="66A375A9">
            <w:pPr>
              <w:spacing w:line="240" w:lineRule="auto"/>
              <w:jc w:val="center"/>
              <w:rPr>
                <w:rStyle w:val="Strong"/>
                <w:rFonts w:ascii="Avenir Medium" w:hAnsi="Avenir Medium" w:cs="Arial"/>
                <w:b w:val="0"/>
                <w:bCs w:val="0"/>
                <w:color w:val="FFFFFF" w:themeColor="background1"/>
                <w:sz w:val="20"/>
                <w:szCs w:val="20"/>
              </w:rPr>
            </w:pPr>
            <w:r w:rsidRPr="66A375A9">
              <w:rPr>
                <w:rStyle w:val="Strong"/>
                <w:rFonts w:ascii="Avenir Medium" w:hAnsi="Avenir Medium" w:cs="Arial"/>
                <w:b w:val="0"/>
                <w:bCs w:val="0"/>
                <w:color w:val="FFFFFF" w:themeColor="background1"/>
                <w:sz w:val="20"/>
                <w:szCs w:val="20"/>
              </w:rPr>
              <w:t>What aspects of your research are they likely to be interested in (or why are they likely not interested)?</w:t>
            </w:r>
          </w:p>
        </w:tc>
        <w:tc>
          <w:tcPr>
            <w:tcW w:w="2126" w:type="dxa"/>
            <w:shd w:val="clear" w:color="auto" w:fill="000000" w:themeFill="text1"/>
          </w:tcPr>
          <w:p w14:paraId="216902CB" w14:textId="4C08B31D" w:rsidR="001538F1" w:rsidRPr="005133AE" w:rsidRDefault="001538F1" w:rsidP="005133AE">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What level of influence might they have on your capacity to generate impact (to facilitate or block) and/or what level of impact (positive or negative) might they derive from the research?</w:t>
            </w:r>
          </w:p>
          <w:p w14:paraId="549CE1C3" w14:textId="77777777" w:rsidR="001538F1" w:rsidRPr="005133AE" w:rsidRDefault="001538F1" w:rsidP="005133AE">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H/M/L</w:t>
            </w:r>
          </w:p>
        </w:tc>
        <w:tc>
          <w:tcPr>
            <w:tcW w:w="4961" w:type="dxa"/>
            <w:shd w:val="clear" w:color="auto" w:fill="000000" w:themeFill="text1"/>
          </w:tcPr>
          <w:p w14:paraId="218DE2A3" w14:textId="15BF4191" w:rsidR="001538F1" w:rsidRPr="005133AE" w:rsidRDefault="001538F1" w:rsidP="005133AE">
            <w:pPr>
              <w:spacing w:line="240" w:lineRule="auto"/>
              <w:jc w:val="center"/>
              <w:rPr>
                <w:rStyle w:val="Strong"/>
                <w:rFonts w:ascii="Avenir Medium" w:hAnsi="Avenir Medium" w:cs="Arial"/>
                <w:b w:val="0"/>
                <w:color w:val="FFFFFF" w:themeColor="background1"/>
                <w:sz w:val="20"/>
                <w:szCs w:val="20"/>
              </w:rPr>
            </w:pPr>
            <w:r w:rsidRPr="005133AE">
              <w:rPr>
                <w:rStyle w:val="Strong"/>
                <w:rFonts w:ascii="Avenir Medium" w:hAnsi="Avenir Medium" w:cs="Arial"/>
                <w:b w:val="0"/>
                <w:color w:val="FFFFFF" w:themeColor="background1"/>
                <w:sz w:val="20"/>
                <w:szCs w:val="20"/>
              </w:rPr>
              <w:t>Comments on level of influence (to facilitate or block impact) and/or likely impact (positive or negative) e.g. times or contexts in which they have more/less influence over the outcomes of your research, ways they might block or facilitate your research or impact, types of benefit they might derive from the research</w:t>
            </w:r>
          </w:p>
        </w:tc>
      </w:tr>
      <w:tr w:rsidR="001538F1" w:rsidRPr="00643B80" w14:paraId="42C0B16B" w14:textId="77777777" w:rsidTr="66A375A9">
        <w:trPr>
          <w:trHeight w:val="29"/>
        </w:trPr>
        <w:tc>
          <w:tcPr>
            <w:tcW w:w="1384" w:type="dxa"/>
            <w:shd w:val="clear" w:color="auto" w:fill="auto"/>
            <w:vAlign w:val="center"/>
          </w:tcPr>
          <w:p w14:paraId="5F077D4C" w14:textId="0A7839E6" w:rsidR="001538F1" w:rsidRPr="00643B80" w:rsidRDefault="66A375A9" w:rsidP="009C6A0F">
            <w:pPr>
              <w:rPr>
                <w:rStyle w:val="Strong"/>
                <w:rFonts w:ascii="Arial" w:hAnsi="Arial" w:cs="Arial"/>
                <w:b w:val="0"/>
                <w:bCs w:val="0"/>
                <w:color w:val="FFFFFF" w:themeColor="background1"/>
                <w:sz w:val="20"/>
                <w:szCs w:val="20"/>
              </w:rPr>
            </w:pPr>
            <w:r w:rsidRPr="00643B80">
              <w:rPr>
                <w:rStyle w:val="Strong"/>
                <w:rFonts w:ascii="Arial" w:hAnsi="Arial" w:cs="Arial"/>
                <w:b w:val="0"/>
                <w:bCs w:val="0"/>
                <w:color w:val="FFFFFF" w:themeColor="background1"/>
                <w:sz w:val="20"/>
                <w:szCs w:val="20"/>
              </w:rPr>
              <w:t>Regional</w:t>
            </w:r>
          </w:p>
          <w:p w14:paraId="119F2D82" w14:textId="5CBC3EC7" w:rsidR="001538F1" w:rsidRPr="00643B80" w:rsidRDefault="66A375A9" w:rsidP="009C6A0F">
            <w:pPr>
              <w:rPr>
                <w:rStyle w:val="Strong"/>
                <w:rFonts w:ascii="Arial" w:hAnsi="Arial" w:cs="Arial"/>
                <w:b w:val="0"/>
                <w:bCs w:val="0"/>
                <w:sz w:val="20"/>
                <w:szCs w:val="20"/>
              </w:rPr>
            </w:pPr>
            <w:r w:rsidRPr="00643B80">
              <w:rPr>
                <w:rFonts w:ascii="Arial" w:eastAsia="Cambria" w:hAnsi="Arial" w:cs="Arial"/>
                <w:sz w:val="20"/>
                <w:szCs w:val="20"/>
              </w:rPr>
              <w:t>Regional Government</w:t>
            </w:r>
          </w:p>
        </w:tc>
        <w:tc>
          <w:tcPr>
            <w:tcW w:w="1088" w:type="dxa"/>
            <w:shd w:val="clear" w:color="auto" w:fill="auto"/>
          </w:tcPr>
          <w:p w14:paraId="22A19C4F" w14:textId="7C82090E" w:rsidR="001538F1" w:rsidRPr="00643B80" w:rsidRDefault="66A375A9" w:rsidP="66A375A9">
            <w:pPr>
              <w:rPr>
                <w:rFonts w:ascii="Arial" w:eastAsia="Arial" w:hAnsi="Arial" w:cs="Arial"/>
                <w:sz w:val="20"/>
                <w:szCs w:val="20"/>
              </w:rPr>
            </w:pPr>
            <w:r w:rsidRPr="00643B80">
              <w:rPr>
                <w:rStyle w:val="Strong"/>
                <w:rFonts w:ascii="Arial" w:hAnsi="Arial" w:cs="Arial"/>
                <w:b w:val="0"/>
                <w:bCs w:val="0"/>
                <w:color w:val="FFFFFF" w:themeColor="background1"/>
                <w:sz w:val="20"/>
                <w:szCs w:val="20"/>
              </w:rPr>
              <w:t>M</w:t>
            </w:r>
            <w:r w:rsidRPr="00643B80">
              <w:rPr>
                <w:rFonts w:ascii="Arial" w:eastAsia="Cambria" w:hAnsi="Arial" w:cs="Arial"/>
                <w:color w:val="000000" w:themeColor="text1"/>
                <w:sz w:val="20"/>
                <w:szCs w:val="20"/>
              </w:rPr>
              <w:t xml:space="preserve"> M</w:t>
            </w:r>
          </w:p>
        </w:tc>
        <w:tc>
          <w:tcPr>
            <w:tcW w:w="4299" w:type="dxa"/>
            <w:shd w:val="clear" w:color="auto" w:fill="auto"/>
          </w:tcPr>
          <w:p w14:paraId="36D0CF8B" w14:textId="32F9A671" w:rsidR="001538F1" w:rsidRPr="00643B80" w:rsidRDefault="66A375A9" w:rsidP="009C6A0F">
            <w:pPr>
              <w:rPr>
                <w:rFonts w:ascii="Arial" w:hAnsi="Arial" w:cs="Arial"/>
                <w:sz w:val="20"/>
                <w:szCs w:val="20"/>
              </w:rPr>
            </w:pPr>
            <w:r w:rsidRPr="00643B80">
              <w:rPr>
                <w:rFonts w:ascii="Arial" w:eastAsia="Cambria" w:hAnsi="Arial" w:cs="Arial"/>
                <w:sz w:val="20"/>
                <w:szCs w:val="20"/>
              </w:rPr>
              <w:t>Mainly interested in outcomes appearing to provide economic and health benefits to local population, as this would help their policy aims</w:t>
            </w:r>
          </w:p>
          <w:p w14:paraId="2CF65280" w14:textId="55129021" w:rsidR="001538F1" w:rsidRPr="00643B80" w:rsidRDefault="001538F1" w:rsidP="66A375A9">
            <w:pPr>
              <w:rPr>
                <w:rStyle w:val="Strong"/>
                <w:rFonts w:ascii="Arial" w:hAnsi="Arial" w:cs="Arial"/>
                <w:b w:val="0"/>
                <w:bCs w:val="0"/>
                <w:color w:val="FFFFFF" w:themeColor="background1"/>
                <w:sz w:val="20"/>
                <w:szCs w:val="20"/>
              </w:rPr>
            </w:pPr>
          </w:p>
        </w:tc>
        <w:tc>
          <w:tcPr>
            <w:tcW w:w="2126" w:type="dxa"/>
            <w:shd w:val="clear" w:color="auto" w:fill="auto"/>
          </w:tcPr>
          <w:p w14:paraId="334C14E9" w14:textId="3B8DDE8E" w:rsidR="001538F1" w:rsidRPr="00643B80" w:rsidRDefault="66A375A9" w:rsidP="66A375A9">
            <w:pPr>
              <w:rPr>
                <w:rFonts w:ascii="Arial" w:eastAsia="Arial" w:hAnsi="Arial" w:cs="Arial"/>
                <w:sz w:val="20"/>
                <w:szCs w:val="20"/>
              </w:rPr>
            </w:pPr>
            <w:r w:rsidRPr="00643B80">
              <w:rPr>
                <w:rFonts w:ascii="Arial" w:eastAsia="Arial" w:hAnsi="Arial" w:cs="Arial"/>
                <w:color w:val="000000" w:themeColor="text1"/>
                <w:sz w:val="20"/>
                <w:szCs w:val="20"/>
              </w:rPr>
              <w:t>L to block</w:t>
            </w:r>
          </w:p>
          <w:p w14:paraId="00C7BD23" w14:textId="5DC0B690" w:rsidR="001538F1" w:rsidRPr="00643B80" w:rsidRDefault="66A375A9" w:rsidP="66A375A9">
            <w:pPr>
              <w:rPr>
                <w:rFonts w:ascii="Arial" w:eastAsia="Arial" w:hAnsi="Arial" w:cs="Arial"/>
                <w:color w:val="000000" w:themeColor="text1"/>
                <w:sz w:val="20"/>
                <w:szCs w:val="20"/>
              </w:rPr>
            </w:pPr>
            <w:r w:rsidRPr="00643B80">
              <w:rPr>
                <w:rFonts w:ascii="Arial" w:eastAsia="Arial" w:hAnsi="Arial" w:cs="Arial"/>
                <w:color w:val="000000" w:themeColor="text1"/>
                <w:sz w:val="20"/>
                <w:szCs w:val="20"/>
              </w:rPr>
              <w:t>M level of impact may be derived.</w:t>
            </w:r>
          </w:p>
        </w:tc>
        <w:tc>
          <w:tcPr>
            <w:tcW w:w="4961" w:type="dxa"/>
            <w:shd w:val="clear" w:color="auto" w:fill="auto"/>
          </w:tcPr>
          <w:p w14:paraId="6F08944E" w14:textId="465BEB0E" w:rsidR="001538F1" w:rsidRPr="00643B80" w:rsidRDefault="66A375A9" w:rsidP="009C6A0F">
            <w:pPr>
              <w:rPr>
                <w:rFonts w:ascii="Arial" w:hAnsi="Arial" w:cs="Arial"/>
                <w:sz w:val="20"/>
                <w:szCs w:val="20"/>
              </w:rPr>
            </w:pPr>
            <w:r w:rsidRPr="00643B80">
              <w:rPr>
                <w:rFonts w:ascii="Arial" w:eastAsia="Cambria" w:hAnsi="Arial" w:cs="Arial"/>
                <w:sz w:val="20"/>
                <w:szCs w:val="20"/>
              </w:rPr>
              <w:t>Regional government don’t have a regulatory role in the project activities so can’t prevent it going ahead, but will be able to multiply impact across communities within the region if successful.</w:t>
            </w:r>
          </w:p>
          <w:p w14:paraId="09AFA9E1" w14:textId="379DB87A" w:rsidR="001538F1" w:rsidRPr="00643B80" w:rsidRDefault="001538F1" w:rsidP="66A375A9">
            <w:pPr>
              <w:rPr>
                <w:rStyle w:val="Strong"/>
                <w:rFonts w:ascii="Arial" w:hAnsi="Arial" w:cs="Arial"/>
                <w:b w:val="0"/>
                <w:bCs w:val="0"/>
                <w:color w:val="FFFFFF" w:themeColor="background1"/>
                <w:sz w:val="20"/>
                <w:szCs w:val="20"/>
              </w:rPr>
            </w:pPr>
          </w:p>
        </w:tc>
      </w:tr>
      <w:tr w:rsidR="66A375A9" w14:paraId="1B2D5760" w14:textId="77777777" w:rsidTr="66A375A9">
        <w:trPr>
          <w:trHeight w:val="29"/>
        </w:trPr>
        <w:tc>
          <w:tcPr>
            <w:tcW w:w="1384" w:type="dxa"/>
            <w:shd w:val="clear" w:color="auto" w:fill="auto"/>
            <w:vAlign w:val="center"/>
          </w:tcPr>
          <w:p w14:paraId="6CB097AA" w14:textId="15766B76" w:rsidR="66A375A9" w:rsidRDefault="66A375A9" w:rsidP="66A375A9">
            <w:pPr>
              <w:rPr>
                <w:rStyle w:val="Strong"/>
                <w:rFonts w:ascii="Arial" w:hAnsi="Arial" w:cs="Arial"/>
                <w:b w:val="0"/>
                <w:bCs w:val="0"/>
                <w:color w:val="FFFFFF" w:themeColor="background1"/>
                <w:sz w:val="20"/>
                <w:szCs w:val="20"/>
              </w:rPr>
            </w:pPr>
            <w:r w:rsidRPr="66A375A9">
              <w:rPr>
                <w:rStyle w:val="Strong"/>
                <w:rFonts w:ascii="Arial" w:hAnsi="Arial" w:cs="Arial"/>
                <w:b w:val="0"/>
                <w:bCs w:val="0"/>
                <w:sz w:val="20"/>
                <w:szCs w:val="20"/>
              </w:rPr>
              <w:t>Local NGO</w:t>
            </w:r>
          </w:p>
        </w:tc>
        <w:tc>
          <w:tcPr>
            <w:tcW w:w="1088" w:type="dxa"/>
            <w:shd w:val="clear" w:color="auto" w:fill="auto"/>
          </w:tcPr>
          <w:p w14:paraId="4726F5E2" w14:textId="0AFD0C8C"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t>M</w:t>
            </w:r>
          </w:p>
        </w:tc>
        <w:tc>
          <w:tcPr>
            <w:tcW w:w="4299" w:type="dxa"/>
            <w:shd w:val="clear" w:color="auto" w:fill="auto"/>
          </w:tcPr>
          <w:p w14:paraId="09CE95B4" w14:textId="16D3998D" w:rsidR="66A375A9" w:rsidRDefault="66A375A9" w:rsidP="66A375A9">
            <w:pPr>
              <w:rPr>
                <w:rStyle w:val="Strong"/>
                <w:rFonts w:ascii="Arial" w:hAnsi="Arial" w:cs="Arial"/>
                <w:b w:val="0"/>
                <w:bCs w:val="0"/>
                <w:color w:val="FFFFFF" w:themeColor="background1"/>
                <w:sz w:val="20"/>
                <w:szCs w:val="20"/>
              </w:rPr>
            </w:pPr>
            <w:r w:rsidRPr="66A375A9">
              <w:rPr>
                <w:rStyle w:val="Strong"/>
                <w:rFonts w:ascii="Arial" w:hAnsi="Arial" w:cs="Arial"/>
                <w:b w:val="0"/>
                <w:bCs w:val="0"/>
                <w:sz w:val="20"/>
                <w:szCs w:val="20"/>
              </w:rPr>
              <w:t xml:space="preserve">Interested in: Global relevance; Research Skills; Global/international reach and influence; Collections. </w:t>
            </w:r>
          </w:p>
          <w:p w14:paraId="601154B8" w14:textId="3FBBA98D"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t xml:space="preserve">Not interested in: Links to local communities/local </w:t>
            </w:r>
            <w:r w:rsidR="004F2DF8">
              <w:rPr>
                <w:rStyle w:val="Strong"/>
                <w:rFonts w:ascii="Arial" w:hAnsi="Arial" w:cs="Arial"/>
                <w:b w:val="0"/>
                <w:bCs w:val="0"/>
                <w:sz w:val="20"/>
                <w:szCs w:val="20"/>
              </w:rPr>
              <w:t>groups</w:t>
            </w:r>
            <w:r w:rsidRPr="66A375A9">
              <w:rPr>
                <w:rStyle w:val="Strong"/>
                <w:rFonts w:ascii="Arial" w:hAnsi="Arial" w:cs="Arial"/>
                <w:b w:val="0"/>
                <w:bCs w:val="0"/>
                <w:sz w:val="20"/>
                <w:szCs w:val="20"/>
              </w:rPr>
              <w:t>; Permissions; taxonomic IDs (country dependent)</w:t>
            </w:r>
          </w:p>
        </w:tc>
        <w:tc>
          <w:tcPr>
            <w:tcW w:w="2126" w:type="dxa"/>
            <w:shd w:val="clear" w:color="auto" w:fill="auto"/>
          </w:tcPr>
          <w:p w14:paraId="3E28B1D7" w14:textId="3AB00F94"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t>M/H depending on the project and call</w:t>
            </w:r>
          </w:p>
        </w:tc>
        <w:tc>
          <w:tcPr>
            <w:tcW w:w="4961" w:type="dxa"/>
            <w:shd w:val="clear" w:color="auto" w:fill="auto"/>
          </w:tcPr>
          <w:p w14:paraId="776D9A1A" w14:textId="405DA134" w:rsidR="66A375A9" w:rsidRDefault="66A375A9" w:rsidP="66A375A9">
            <w:pPr>
              <w:rPr>
                <w:rStyle w:val="Strong"/>
                <w:rFonts w:ascii="Arial" w:hAnsi="Arial" w:cs="Arial"/>
                <w:b w:val="0"/>
                <w:bCs w:val="0"/>
                <w:color w:val="FFFFFF" w:themeColor="background1"/>
                <w:sz w:val="20"/>
                <w:szCs w:val="20"/>
              </w:rPr>
            </w:pPr>
            <w:r w:rsidRPr="66A375A9">
              <w:rPr>
                <w:rStyle w:val="Strong"/>
                <w:rFonts w:ascii="Arial" w:hAnsi="Arial" w:cs="Arial"/>
                <w:b w:val="0"/>
                <w:bCs w:val="0"/>
                <w:sz w:val="20"/>
                <w:szCs w:val="20"/>
              </w:rPr>
              <w:t xml:space="preserve">Local NGOs typically have strong links to local communities and some to relevant regional government agencies. Similar to Regional Government, they won’t have the power to block projects from getting started but can be a key </w:t>
            </w:r>
            <w:r w:rsidR="004F2DF8">
              <w:rPr>
                <w:rStyle w:val="Strong"/>
                <w:rFonts w:ascii="Arial" w:hAnsi="Arial" w:cs="Arial"/>
                <w:b w:val="0"/>
                <w:bCs w:val="0"/>
                <w:sz w:val="20"/>
                <w:szCs w:val="20"/>
              </w:rPr>
              <w:t>group</w:t>
            </w:r>
            <w:r w:rsidRPr="66A375A9">
              <w:rPr>
                <w:rStyle w:val="Strong"/>
                <w:rFonts w:ascii="Arial" w:hAnsi="Arial" w:cs="Arial"/>
                <w:b w:val="0"/>
                <w:bCs w:val="0"/>
                <w:sz w:val="20"/>
                <w:szCs w:val="20"/>
              </w:rPr>
              <w:t xml:space="preserve"> to link the research to the impact on the ground. </w:t>
            </w:r>
          </w:p>
        </w:tc>
      </w:tr>
      <w:tr w:rsidR="66A375A9" w14:paraId="2B776A0B" w14:textId="77777777" w:rsidTr="66A375A9">
        <w:trPr>
          <w:trHeight w:val="29"/>
        </w:trPr>
        <w:tc>
          <w:tcPr>
            <w:tcW w:w="1384" w:type="dxa"/>
            <w:shd w:val="clear" w:color="auto" w:fill="auto"/>
            <w:vAlign w:val="center"/>
          </w:tcPr>
          <w:p w14:paraId="41F65F5B" w14:textId="10F4FB6C"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lastRenderedPageBreak/>
              <w:t>Smallholder farmers</w:t>
            </w:r>
          </w:p>
        </w:tc>
        <w:tc>
          <w:tcPr>
            <w:tcW w:w="1088" w:type="dxa"/>
            <w:shd w:val="clear" w:color="auto" w:fill="auto"/>
          </w:tcPr>
          <w:p w14:paraId="04D591DD" w14:textId="52CE535D" w:rsidR="66A375A9" w:rsidRDefault="66A375A9" w:rsidP="66A375A9">
            <w:r w:rsidRPr="66A375A9">
              <w:rPr>
                <w:rStyle w:val="Strong"/>
                <w:rFonts w:ascii="Arial" w:hAnsi="Arial" w:cs="Arial"/>
                <w:b w:val="0"/>
                <w:bCs w:val="0"/>
                <w:sz w:val="20"/>
                <w:szCs w:val="20"/>
              </w:rPr>
              <w:t>M</w:t>
            </w:r>
          </w:p>
        </w:tc>
        <w:tc>
          <w:tcPr>
            <w:tcW w:w="4299" w:type="dxa"/>
            <w:shd w:val="clear" w:color="auto" w:fill="auto"/>
          </w:tcPr>
          <w:p w14:paraId="22C798D0" w14:textId="300666E3"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t>Enhancement of livelihoods through maintenance of ecosystem services and development of value chains on select plants</w:t>
            </w:r>
          </w:p>
          <w:p w14:paraId="4596D6E2" w14:textId="31EEA110" w:rsidR="66A375A9" w:rsidRDefault="66A375A9" w:rsidP="66A375A9">
            <w:r w:rsidRPr="66A375A9">
              <w:rPr>
                <w:rStyle w:val="Strong"/>
                <w:rFonts w:ascii="Arial" w:hAnsi="Arial" w:cs="Arial"/>
                <w:b w:val="0"/>
                <w:bCs w:val="0"/>
                <w:sz w:val="20"/>
                <w:szCs w:val="20"/>
              </w:rPr>
              <w:t>(May not be interested if research is perceived to limit or change their use of natural resources)</w:t>
            </w:r>
          </w:p>
        </w:tc>
        <w:tc>
          <w:tcPr>
            <w:tcW w:w="2126" w:type="dxa"/>
            <w:shd w:val="clear" w:color="auto" w:fill="auto"/>
          </w:tcPr>
          <w:p w14:paraId="3175505A" w14:textId="6AA49E9D"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t>lnfluence – H</w:t>
            </w:r>
          </w:p>
          <w:p w14:paraId="4BD8FB96" w14:textId="325BF159"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t>Derived impact – potentially H</w:t>
            </w:r>
          </w:p>
          <w:p w14:paraId="4EEF9988" w14:textId="4D9AB1A5" w:rsidR="66A375A9" w:rsidRDefault="66A375A9" w:rsidP="66A375A9">
            <w:r w:rsidRPr="66A375A9">
              <w:rPr>
                <w:rStyle w:val="Strong"/>
                <w:rFonts w:ascii="Arial" w:hAnsi="Arial" w:cs="Arial"/>
                <w:b w:val="0"/>
                <w:bCs w:val="0"/>
                <w:color w:val="FFFFFF" w:themeColor="background1"/>
                <w:sz w:val="20"/>
                <w:szCs w:val="20"/>
              </w:rPr>
              <w:t>Derived impact - potentially C</w:t>
            </w:r>
          </w:p>
        </w:tc>
        <w:tc>
          <w:tcPr>
            <w:tcW w:w="4961" w:type="dxa"/>
            <w:shd w:val="clear" w:color="auto" w:fill="auto"/>
          </w:tcPr>
          <w:p w14:paraId="3C74F206" w14:textId="4704FF89" w:rsidR="66A375A9" w:rsidRDefault="66A375A9" w:rsidP="66A375A9">
            <w:pPr>
              <w:rPr>
                <w:rStyle w:val="Strong"/>
                <w:rFonts w:ascii="Arial" w:hAnsi="Arial" w:cs="Arial"/>
                <w:b w:val="0"/>
                <w:bCs w:val="0"/>
                <w:color w:val="FFFFFF" w:themeColor="background1"/>
                <w:sz w:val="20"/>
                <w:szCs w:val="20"/>
              </w:rPr>
            </w:pPr>
          </w:p>
        </w:tc>
      </w:tr>
      <w:tr w:rsidR="66A375A9" w14:paraId="44E547A6" w14:textId="77777777" w:rsidTr="66A375A9">
        <w:trPr>
          <w:trHeight w:val="29"/>
        </w:trPr>
        <w:tc>
          <w:tcPr>
            <w:tcW w:w="1384" w:type="dxa"/>
            <w:shd w:val="clear" w:color="auto" w:fill="auto"/>
            <w:vAlign w:val="center"/>
          </w:tcPr>
          <w:p w14:paraId="1131F317" w14:textId="0D8AE994" w:rsidR="66A375A9" w:rsidRDefault="66A375A9">
            <w:r w:rsidRPr="66A375A9">
              <w:rPr>
                <w:rFonts w:ascii="Arial" w:eastAsia="Arial" w:hAnsi="Arial" w:cs="Arial"/>
                <w:sz w:val="20"/>
                <w:szCs w:val="20"/>
              </w:rPr>
              <w:t xml:space="preserve">Food industry (farmers, distributors) </w:t>
            </w:r>
          </w:p>
          <w:p w14:paraId="697317F3" w14:textId="5445FC57" w:rsidR="66A375A9" w:rsidRDefault="66A375A9" w:rsidP="66A375A9">
            <w:r w:rsidRPr="66A375A9">
              <w:rPr>
                <w:rFonts w:ascii="Arial" w:eastAsia="Arial" w:hAnsi="Arial" w:cs="Arial"/>
                <w:sz w:val="20"/>
                <w:szCs w:val="20"/>
              </w:rPr>
              <w:t>NGOs acting in Food security</w:t>
            </w:r>
          </w:p>
        </w:tc>
        <w:tc>
          <w:tcPr>
            <w:tcW w:w="1088" w:type="dxa"/>
            <w:shd w:val="clear" w:color="auto" w:fill="auto"/>
          </w:tcPr>
          <w:p w14:paraId="62CDC2F6" w14:textId="283288D2"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t>M/H</w:t>
            </w:r>
          </w:p>
        </w:tc>
        <w:tc>
          <w:tcPr>
            <w:tcW w:w="4299" w:type="dxa"/>
            <w:shd w:val="clear" w:color="auto" w:fill="auto"/>
          </w:tcPr>
          <w:tbl>
            <w:tblPr>
              <w:tblW w:w="0" w:type="auto"/>
              <w:tblLayout w:type="fixed"/>
              <w:tblLook w:val="04A0" w:firstRow="1" w:lastRow="0" w:firstColumn="1" w:lastColumn="0" w:noHBand="0" w:noVBand="1"/>
            </w:tblPr>
            <w:tblGrid>
              <w:gridCol w:w="3915"/>
            </w:tblGrid>
            <w:tr w:rsidR="66A375A9" w14:paraId="4F3D7D78" w14:textId="77777777" w:rsidTr="66A375A9">
              <w:tc>
                <w:tcPr>
                  <w:tcW w:w="3915" w:type="dxa"/>
                </w:tcPr>
                <w:p w14:paraId="50ACB6D7" w14:textId="3AF46228" w:rsidR="66A375A9" w:rsidRDefault="66A375A9" w:rsidP="003179E9">
                  <w:pPr>
                    <w:framePr w:hSpace="180" w:wrap="around" w:vAnchor="text" w:hAnchor="page" w:x="1469" w:y="841"/>
                  </w:pPr>
                  <w:r w:rsidRPr="66A375A9">
                    <w:rPr>
                      <w:rFonts w:ascii="Arial" w:eastAsia="Arial" w:hAnsi="Arial" w:cs="Arial"/>
                      <w:sz w:val="20"/>
                      <w:szCs w:val="20"/>
                    </w:rPr>
                    <w:t xml:space="preserve">Interested in: new potential crops (commercially exploited or used locally by communities, as replacement for imported food) </w:t>
                  </w:r>
                </w:p>
                <w:p w14:paraId="0E4EDE60" w14:textId="64D27A73" w:rsidR="66A375A9" w:rsidRDefault="66A375A9" w:rsidP="003179E9">
                  <w:pPr>
                    <w:framePr w:hSpace="180" w:wrap="around" w:vAnchor="text" w:hAnchor="page" w:x="1469" w:y="841"/>
                  </w:pPr>
                  <w:r w:rsidRPr="66A375A9">
                    <w:rPr>
                      <w:rFonts w:ascii="Arial" w:eastAsia="Arial" w:hAnsi="Arial" w:cs="Arial"/>
                      <w:sz w:val="20"/>
                      <w:szCs w:val="20"/>
                    </w:rPr>
                    <w:t>Not interested in: evolutionary relationships between the species</w:t>
                  </w:r>
                </w:p>
              </w:tc>
            </w:tr>
          </w:tbl>
          <w:p w14:paraId="62330B07" w14:textId="6C94ED28" w:rsidR="66A375A9" w:rsidRDefault="66A375A9" w:rsidP="66A375A9">
            <w:pPr>
              <w:rPr>
                <w:rStyle w:val="Strong"/>
                <w:rFonts w:ascii="Arial" w:hAnsi="Arial" w:cs="Arial"/>
                <w:b w:val="0"/>
                <w:bCs w:val="0"/>
                <w:sz w:val="20"/>
                <w:szCs w:val="20"/>
              </w:rPr>
            </w:pPr>
          </w:p>
        </w:tc>
        <w:tc>
          <w:tcPr>
            <w:tcW w:w="2126" w:type="dxa"/>
            <w:shd w:val="clear" w:color="auto" w:fill="auto"/>
          </w:tcPr>
          <w:p w14:paraId="124A4DB1" w14:textId="15FAD76C" w:rsidR="66A375A9" w:rsidRDefault="66A375A9" w:rsidP="66A375A9">
            <w:pPr>
              <w:rPr>
                <w:rStyle w:val="Strong"/>
                <w:rFonts w:ascii="Arial" w:hAnsi="Arial" w:cs="Arial"/>
                <w:b w:val="0"/>
                <w:bCs w:val="0"/>
                <w:sz w:val="20"/>
                <w:szCs w:val="20"/>
              </w:rPr>
            </w:pPr>
            <w:r w:rsidRPr="66A375A9">
              <w:rPr>
                <w:rStyle w:val="Strong"/>
                <w:rFonts w:ascii="Arial" w:hAnsi="Arial" w:cs="Arial"/>
                <w:b w:val="0"/>
                <w:bCs w:val="0"/>
                <w:sz w:val="20"/>
                <w:szCs w:val="20"/>
              </w:rPr>
              <w:t>M/H</w:t>
            </w:r>
          </w:p>
        </w:tc>
        <w:tc>
          <w:tcPr>
            <w:tcW w:w="4961" w:type="dxa"/>
            <w:shd w:val="clear" w:color="auto" w:fill="auto"/>
          </w:tcPr>
          <w:p w14:paraId="1AB77261" w14:textId="74858EC9" w:rsidR="66A375A9" w:rsidRDefault="66A375A9" w:rsidP="66A375A9">
            <w:pPr>
              <w:spacing w:line="257" w:lineRule="auto"/>
            </w:pPr>
            <w:r w:rsidRPr="66A375A9">
              <w:rPr>
                <w:rStyle w:val="Strong"/>
                <w:rFonts w:ascii="Arial" w:hAnsi="Arial" w:cs="Arial"/>
                <w:b w:val="0"/>
                <w:bCs w:val="0"/>
                <w:color w:val="FFFFFF" w:themeColor="background1"/>
                <w:sz w:val="20"/>
                <w:szCs w:val="20"/>
              </w:rPr>
              <w:t xml:space="preserve">They </w:t>
            </w:r>
            <w:r w:rsidRPr="66A375A9">
              <w:rPr>
                <w:rFonts w:eastAsia="Calibri" w:cs="Calibri"/>
              </w:rPr>
              <w:t>They may put pressure on narrowing down the research to the few species that they specifically have an interest in, and not be supportive of a large scale study that I would like to develop.</w:t>
            </w:r>
          </w:p>
          <w:p w14:paraId="0ABC5FE5" w14:textId="605B3D34" w:rsidR="66A375A9" w:rsidRDefault="66A375A9" w:rsidP="66A375A9">
            <w:pPr>
              <w:rPr>
                <w:rStyle w:val="Strong"/>
                <w:rFonts w:ascii="Arial" w:hAnsi="Arial" w:cs="Arial"/>
                <w:b w:val="0"/>
                <w:bCs w:val="0"/>
                <w:color w:val="FFFFFF" w:themeColor="background1"/>
                <w:sz w:val="20"/>
                <w:szCs w:val="20"/>
              </w:rPr>
            </w:pPr>
          </w:p>
        </w:tc>
      </w:tr>
      <w:bookmarkEnd w:id="0"/>
    </w:tbl>
    <w:p w14:paraId="22FBDCDA" w14:textId="0D3024B1" w:rsidR="00F174BD" w:rsidRPr="00ED3DC8" w:rsidRDefault="00F174BD" w:rsidP="00444236">
      <w:pPr>
        <w:pStyle w:val="Heading2"/>
        <w:rPr>
          <w:rFonts w:ascii="Avenir Light" w:hAnsi="Avenir Light" w:cs="Arial"/>
          <w:b w:val="0"/>
          <w:color w:val="auto"/>
          <w:sz w:val="44"/>
          <w:szCs w:val="40"/>
        </w:rPr>
      </w:pPr>
    </w:p>
    <w:p w14:paraId="6C5B153B" w14:textId="793DACFD" w:rsidR="0091051F" w:rsidRPr="005133AE" w:rsidRDefault="00643B80" w:rsidP="0091051F">
      <w:pPr>
        <w:rPr>
          <w:rFonts w:ascii="Avenir Light" w:hAnsi="Avenir Light"/>
          <w:color w:val="D1467A"/>
          <w:sz w:val="44"/>
        </w:rPr>
      </w:pPr>
      <w:r>
        <w:rPr>
          <w:rFonts w:ascii="Avenir Light" w:hAnsi="Avenir Light"/>
          <w:color w:val="D1467A"/>
          <w:sz w:val="44"/>
        </w:rPr>
        <w:br w:type="column"/>
      </w:r>
      <w:r w:rsidR="0091051F" w:rsidRPr="005133AE">
        <w:rPr>
          <w:rFonts w:ascii="Avenir Light" w:hAnsi="Avenir Light"/>
          <w:color w:val="D1467A"/>
          <w:sz w:val="44"/>
        </w:rPr>
        <w:lastRenderedPageBreak/>
        <w:t>Fast Track Impact Planning Template</w:t>
      </w:r>
    </w:p>
    <w:p w14:paraId="7D4A7B54" w14:textId="77777777" w:rsidR="0091051F" w:rsidRPr="00EE4424" w:rsidRDefault="0091051F" w:rsidP="0091051F">
      <w:pPr>
        <w:rPr>
          <w:rFonts w:ascii="Arial" w:hAnsi="Arial"/>
          <w:sz w:val="28"/>
        </w:rPr>
      </w:pPr>
    </w:p>
    <w:tbl>
      <w:tblPr>
        <w:tblStyle w:val="TableGrid"/>
        <w:tblW w:w="15067" w:type="dxa"/>
        <w:tblInd w:w="-318"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6" w:space="0" w:color="000000" w:themeColor="text1"/>
          <w:insideV w:val="single" w:sz="6" w:space="0" w:color="000000" w:themeColor="text1"/>
        </w:tblBorders>
        <w:tblLayout w:type="fixed"/>
        <w:tblCellMar>
          <w:top w:w="85" w:type="dxa"/>
          <w:left w:w="85" w:type="dxa"/>
          <w:right w:w="85" w:type="dxa"/>
        </w:tblCellMar>
        <w:tblLook w:val="04A0" w:firstRow="1" w:lastRow="0" w:firstColumn="1" w:lastColumn="0" w:noHBand="0" w:noVBand="1"/>
      </w:tblPr>
      <w:tblGrid>
        <w:gridCol w:w="1560"/>
        <w:gridCol w:w="1560"/>
        <w:gridCol w:w="1701"/>
        <w:gridCol w:w="2126"/>
        <w:gridCol w:w="1417"/>
        <w:gridCol w:w="1418"/>
        <w:gridCol w:w="1559"/>
        <w:gridCol w:w="1418"/>
        <w:gridCol w:w="1275"/>
        <w:gridCol w:w="1033"/>
      </w:tblGrid>
      <w:tr w:rsidR="005133AE" w:rsidRPr="005133AE" w14:paraId="6BB0C3F2" w14:textId="77777777" w:rsidTr="00293E48">
        <w:tc>
          <w:tcPr>
            <w:tcW w:w="1560" w:type="dxa"/>
            <w:shd w:val="solid" w:color="000000" w:themeColor="text1" w:fill="auto"/>
          </w:tcPr>
          <w:p w14:paraId="2D6A524F"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eastAsia="ヒラギノ角ゴ Pro W3" w:hAnsi="Avenir Medium" w:cs="Arial"/>
                <w:bCs/>
                <w:color w:val="FFFFFF" w:themeColor="background1"/>
                <w:sz w:val="16"/>
                <w:szCs w:val="16"/>
                <w:lang w:val="x-none" w:eastAsia="x-none"/>
              </w:rPr>
              <w:t>Impact goal</w:t>
            </w:r>
          </w:p>
        </w:tc>
        <w:tc>
          <w:tcPr>
            <w:tcW w:w="1560" w:type="dxa"/>
            <w:shd w:val="solid" w:color="000000" w:themeColor="text1" w:fill="auto"/>
          </w:tcPr>
          <w:p w14:paraId="62E45FDD" w14:textId="7DF6C25D" w:rsidR="0091051F" w:rsidRPr="004F2DF8" w:rsidRDefault="004F2DF8" w:rsidP="005133AE">
            <w:pPr>
              <w:spacing w:after="0" w:line="240" w:lineRule="auto"/>
              <w:jc w:val="center"/>
              <w:rPr>
                <w:rFonts w:ascii="Avenir Medium" w:eastAsia="ヒラギノ角ゴ Pro W3" w:hAnsi="Avenir Medium" w:cs="Arial"/>
                <w:bCs/>
                <w:color w:val="FFFFFF" w:themeColor="background1"/>
                <w:sz w:val="16"/>
                <w:szCs w:val="16"/>
                <w:lang w:eastAsia="x-none"/>
              </w:rPr>
            </w:pPr>
            <w:r>
              <w:rPr>
                <w:rFonts w:ascii="Avenir Medium" w:eastAsia="ヒラギノ角ゴ Pro W3" w:hAnsi="Avenir Medium" w:cs="Arial"/>
                <w:bCs/>
                <w:color w:val="FFFFFF" w:themeColor="background1"/>
                <w:sz w:val="16"/>
                <w:szCs w:val="16"/>
                <w:lang w:eastAsia="x-none"/>
              </w:rPr>
              <w:t xml:space="preserve">Relevant </w:t>
            </w:r>
            <w:r w:rsidR="002B6B9B">
              <w:rPr>
                <w:rFonts w:ascii="Avenir Medium" w:eastAsia="ヒラギノ角ゴ Pro W3" w:hAnsi="Avenir Medium" w:cs="Arial"/>
                <w:bCs/>
                <w:color w:val="FFFFFF" w:themeColor="background1"/>
                <w:sz w:val="16"/>
                <w:szCs w:val="16"/>
                <w:lang w:eastAsia="x-none"/>
              </w:rPr>
              <w:t>groups</w:t>
            </w:r>
          </w:p>
        </w:tc>
        <w:tc>
          <w:tcPr>
            <w:tcW w:w="1701" w:type="dxa"/>
            <w:shd w:val="solid" w:color="000000" w:themeColor="text1" w:fill="auto"/>
          </w:tcPr>
          <w:p w14:paraId="6E3E7FD8"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eastAsia="ヒラギノ角ゴ Pro W3" w:hAnsi="Avenir Medium" w:cs="Arial"/>
                <w:bCs/>
                <w:color w:val="FFFFFF" w:themeColor="background1"/>
                <w:sz w:val="16"/>
                <w:szCs w:val="16"/>
                <w:lang w:val="x-none" w:eastAsia="x-none"/>
              </w:rPr>
              <w:t>Reasons for being interested in the project</w:t>
            </w:r>
          </w:p>
        </w:tc>
        <w:tc>
          <w:tcPr>
            <w:tcW w:w="2126" w:type="dxa"/>
            <w:shd w:val="solid" w:color="000000" w:themeColor="text1" w:fill="auto"/>
          </w:tcPr>
          <w:p w14:paraId="6EBB6426"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eastAsia="ヒラギノ角ゴ Pro W3" w:hAnsi="Avenir Medium" w:cs="Arial"/>
                <w:bCs/>
                <w:color w:val="FFFFFF" w:themeColor="background1"/>
                <w:sz w:val="16"/>
                <w:szCs w:val="16"/>
                <w:lang w:val="x-none" w:eastAsia="x-none"/>
              </w:rPr>
              <w:t>Activities to engage this target group</w:t>
            </w:r>
          </w:p>
        </w:tc>
        <w:tc>
          <w:tcPr>
            <w:tcW w:w="1417" w:type="dxa"/>
            <w:shd w:val="solid" w:color="000000" w:themeColor="text1" w:fill="auto"/>
          </w:tcPr>
          <w:p w14:paraId="25FDE830"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eastAsia="ヒラギノ角ゴ Pro W3" w:hAnsi="Avenir Medium" w:cs="Arial"/>
                <w:bCs/>
                <w:color w:val="FFFFFF" w:themeColor="background1"/>
                <w:sz w:val="16"/>
                <w:szCs w:val="16"/>
                <w:lang w:val="x-none" w:eastAsia="x-none"/>
              </w:rPr>
              <w:t>Indicators of successful engagement [and means of measurement]</w:t>
            </w:r>
          </w:p>
        </w:tc>
        <w:tc>
          <w:tcPr>
            <w:tcW w:w="1418" w:type="dxa"/>
            <w:shd w:val="solid" w:color="000000" w:themeColor="text1" w:fill="auto"/>
          </w:tcPr>
          <w:p w14:paraId="18C13FF3"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eastAsia="ヒラギノ角ゴ Pro W3" w:hAnsi="Avenir Medium" w:cs="Arial"/>
                <w:bCs/>
                <w:color w:val="FFFFFF" w:themeColor="background1"/>
                <w:sz w:val="16"/>
                <w:szCs w:val="16"/>
                <w:lang w:val="x-none" w:eastAsia="x-none"/>
              </w:rPr>
              <w:t>Indicators of progress towards impact [means of measurement]</w:t>
            </w:r>
          </w:p>
        </w:tc>
        <w:tc>
          <w:tcPr>
            <w:tcW w:w="1559" w:type="dxa"/>
            <w:shd w:val="solid" w:color="000000" w:themeColor="text1" w:fill="auto"/>
          </w:tcPr>
          <w:p w14:paraId="48BEFDD5"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hAnsi="Avenir Medium"/>
                <w:color w:val="FFFFFF" w:themeColor="background1"/>
                <w:sz w:val="16"/>
                <w:szCs w:val="16"/>
              </w:rPr>
              <w:t>Risks to activities [and mitigation]</w:t>
            </w:r>
          </w:p>
        </w:tc>
        <w:tc>
          <w:tcPr>
            <w:tcW w:w="1418" w:type="dxa"/>
            <w:shd w:val="solid" w:color="000000" w:themeColor="text1" w:fill="auto"/>
          </w:tcPr>
          <w:p w14:paraId="621CA2D4"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hAnsi="Avenir Medium"/>
                <w:color w:val="FFFFFF" w:themeColor="background1"/>
                <w:sz w:val="16"/>
                <w:szCs w:val="16"/>
              </w:rPr>
              <w:t>Risks to impact [and mitigation]</w:t>
            </w:r>
          </w:p>
        </w:tc>
        <w:tc>
          <w:tcPr>
            <w:tcW w:w="1275" w:type="dxa"/>
            <w:shd w:val="solid" w:color="000000" w:themeColor="text1" w:fill="auto"/>
          </w:tcPr>
          <w:p w14:paraId="7F9F7FAB"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eastAsia="ヒラギノ角ゴ Pro W3" w:hAnsi="Avenir Medium" w:cs="Arial"/>
                <w:bCs/>
                <w:color w:val="FFFFFF" w:themeColor="background1"/>
                <w:sz w:val="16"/>
                <w:szCs w:val="16"/>
                <w:lang w:val="x-none" w:eastAsia="x-none"/>
              </w:rPr>
              <w:t>Who is responsible and what resources are needed?</w:t>
            </w:r>
          </w:p>
        </w:tc>
        <w:tc>
          <w:tcPr>
            <w:tcW w:w="1033" w:type="dxa"/>
            <w:shd w:val="solid" w:color="000000" w:themeColor="text1" w:fill="auto"/>
          </w:tcPr>
          <w:p w14:paraId="24F1CF77" w14:textId="77777777" w:rsidR="0091051F" w:rsidRPr="005133AE" w:rsidRDefault="0091051F" w:rsidP="005133AE">
            <w:pPr>
              <w:spacing w:after="0" w:line="240" w:lineRule="auto"/>
              <w:jc w:val="center"/>
              <w:rPr>
                <w:rFonts w:ascii="Avenir Medium" w:eastAsia="ヒラギノ角ゴ Pro W3" w:hAnsi="Avenir Medium" w:cs="Arial"/>
                <w:bCs/>
                <w:color w:val="FFFFFF" w:themeColor="background1"/>
                <w:sz w:val="16"/>
                <w:szCs w:val="16"/>
                <w:lang w:val="x-none" w:eastAsia="x-none"/>
              </w:rPr>
            </w:pPr>
            <w:r w:rsidRPr="005133AE">
              <w:rPr>
                <w:rFonts w:ascii="Avenir Medium" w:eastAsia="ヒラギノ角ゴ Pro W3" w:hAnsi="Avenir Medium" w:cs="Arial"/>
                <w:bCs/>
                <w:color w:val="FFFFFF" w:themeColor="background1"/>
                <w:sz w:val="16"/>
                <w:szCs w:val="16"/>
                <w:lang w:val="x-none" w:eastAsia="x-none"/>
              </w:rPr>
              <w:t>Timing</w:t>
            </w:r>
          </w:p>
        </w:tc>
      </w:tr>
      <w:tr w:rsidR="0091051F" w:rsidRPr="00EE4424" w14:paraId="334ED5CF" w14:textId="77777777" w:rsidTr="00293E48">
        <w:tc>
          <w:tcPr>
            <w:tcW w:w="1560" w:type="dxa"/>
          </w:tcPr>
          <w:p w14:paraId="775A1232" w14:textId="77777777" w:rsidR="0091051F" w:rsidRDefault="0091051F" w:rsidP="00CD29FB">
            <w:pPr>
              <w:spacing w:after="0" w:line="240" w:lineRule="auto"/>
              <w:rPr>
                <w:rFonts w:ascii="Arial" w:eastAsia="ヒラギノ角ゴ Pro W3" w:hAnsi="Arial" w:cs="Arial"/>
                <w:b/>
                <w:bCs/>
                <w:sz w:val="18"/>
                <w:lang w:val="x-none" w:eastAsia="x-none"/>
              </w:rPr>
            </w:pPr>
          </w:p>
          <w:p w14:paraId="55790EF6" w14:textId="77777777" w:rsidR="0091051F" w:rsidRDefault="0091051F" w:rsidP="00CD29FB">
            <w:pPr>
              <w:spacing w:after="0" w:line="240" w:lineRule="auto"/>
              <w:rPr>
                <w:rFonts w:ascii="Arial" w:eastAsia="ヒラギノ角ゴ Pro W3" w:hAnsi="Arial" w:cs="Arial"/>
                <w:b/>
                <w:bCs/>
                <w:sz w:val="18"/>
                <w:lang w:val="x-none" w:eastAsia="x-none"/>
              </w:rPr>
            </w:pPr>
          </w:p>
          <w:p w14:paraId="203FC484" w14:textId="77777777" w:rsidR="0091051F" w:rsidRDefault="0091051F" w:rsidP="00CD29FB">
            <w:pPr>
              <w:spacing w:after="0" w:line="240" w:lineRule="auto"/>
              <w:rPr>
                <w:rFonts w:ascii="Arial" w:eastAsia="ヒラギノ角ゴ Pro W3" w:hAnsi="Arial" w:cs="Arial"/>
                <w:b/>
                <w:bCs/>
                <w:sz w:val="18"/>
                <w:lang w:val="x-none" w:eastAsia="x-none"/>
              </w:rPr>
            </w:pPr>
          </w:p>
          <w:p w14:paraId="4962CAED" w14:textId="77777777" w:rsidR="0091051F" w:rsidRDefault="0091051F" w:rsidP="00CD29FB">
            <w:pPr>
              <w:spacing w:after="0" w:line="240" w:lineRule="auto"/>
              <w:rPr>
                <w:rFonts w:ascii="Arial" w:eastAsia="ヒラギノ角ゴ Pro W3" w:hAnsi="Arial" w:cs="Arial"/>
                <w:b/>
                <w:bCs/>
                <w:sz w:val="18"/>
                <w:lang w:val="x-none" w:eastAsia="x-none"/>
              </w:rPr>
            </w:pPr>
          </w:p>
          <w:p w14:paraId="6E0FD12B" w14:textId="77777777" w:rsidR="0091051F" w:rsidRDefault="0091051F" w:rsidP="00CD29FB">
            <w:pPr>
              <w:spacing w:after="0" w:line="240" w:lineRule="auto"/>
              <w:rPr>
                <w:rFonts w:ascii="Arial" w:eastAsia="ヒラギノ角ゴ Pro W3" w:hAnsi="Arial" w:cs="Arial"/>
                <w:b/>
                <w:bCs/>
                <w:sz w:val="18"/>
                <w:lang w:val="x-none" w:eastAsia="x-none"/>
              </w:rPr>
            </w:pPr>
          </w:p>
          <w:p w14:paraId="6FD84E1D"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560" w:type="dxa"/>
          </w:tcPr>
          <w:p w14:paraId="5839932A"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701" w:type="dxa"/>
          </w:tcPr>
          <w:p w14:paraId="33CF8A00"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2126" w:type="dxa"/>
          </w:tcPr>
          <w:p w14:paraId="3BEDF060"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7" w:type="dxa"/>
          </w:tcPr>
          <w:p w14:paraId="322B6C91"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8" w:type="dxa"/>
          </w:tcPr>
          <w:p w14:paraId="46F0BA69"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559" w:type="dxa"/>
          </w:tcPr>
          <w:p w14:paraId="1C2C2FC7"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8" w:type="dxa"/>
          </w:tcPr>
          <w:p w14:paraId="6631B2C4"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275" w:type="dxa"/>
          </w:tcPr>
          <w:p w14:paraId="1BA4025D" w14:textId="77777777" w:rsidR="0091051F" w:rsidRDefault="0091051F" w:rsidP="00CD29FB">
            <w:pPr>
              <w:spacing w:after="0" w:line="240" w:lineRule="auto"/>
              <w:rPr>
                <w:rFonts w:ascii="Arial" w:eastAsia="ヒラギノ角ゴ Pro W3" w:hAnsi="Arial" w:cs="Arial"/>
                <w:b/>
                <w:bCs/>
                <w:sz w:val="18"/>
                <w:lang w:val="x-none" w:eastAsia="x-none"/>
              </w:rPr>
            </w:pPr>
          </w:p>
        </w:tc>
        <w:tc>
          <w:tcPr>
            <w:tcW w:w="1033" w:type="dxa"/>
          </w:tcPr>
          <w:p w14:paraId="7DFB789B"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r>
      <w:tr w:rsidR="0091051F" w:rsidRPr="00EE4424" w14:paraId="59F7C50D" w14:textId="77777777" w:rsidTr="00293E48">
        <w:tc>
          <w:tcPr>
            <w:tcW w:w="1560" w:type="dxa"/>
          </w:tcPr>
          <w:p w14:paraId="726D37A5" w14:textId="77777777" w:rsidR="0091051F" w:rsidRDefault="0091051F" w:rsidP="00CD29FB">
            <w:pPr>
              <w:spacing w:after="0" w:line="240" w:lineRule="auto"/>
              <w:rPr>
                <w:rFonts w:ascii="Arial" w:eastAsia="ヒラギノ角ゴ Pro W3" w:hAnsi="Arial" w:cs="Arial"/>
                <w:b/>
                <w:bCs/>
                <w:sz w:val="18"/>
                <w:lang w:val="x-none" w:eastAsia="x-none"/>
              </w:rPr>
            </w:pPr>
          </w:p>
          <w:p w14:paraId="62FC9FCA" w14:textId="77777777" w:rsidR="0091051F" w:rsidRDefault="0091051F" w:rsidP="00CD29FB">
            <w:pPr>
              <w:spacing w:after="0" w:line="240" w:lineRule="auto"/>
              <w:rPr>
                <w:rFonts w:ascii="Arial" w:eastAsia="ヒラギノ角ゴ Pro W3" w:hAnsi="Arial" w:cs="Arial"/>
                <w:b/>
                <w:bCs/>
                <w:sz w:val="18"/>
                <w:lang w:val="x-none" w:eastAsia="x-none"/>
              </w:rPr>
            </w:pPr>
          </w:p>
          <w:p w14:paraId="108AE320" w14:textId="77777777" w:rsidR="0091051F" w:rsidRDefault="0091051F" w:rsidP="00CD29FB">
            <w:pPr>
              <w:spacing w:after="0" w:line="240" w:lineRule="auto"/>
              <w:rPr>
                <w:rFonts w:ascii="Arial" w:eastAsia="ヒラギノ角ゴ Pro W3" w:hAnsi="Arial" w:cs="Arial"/>
                <w:b/>
                <w:bCs/>
                <w:sz w:val="18"/>
                <w:lang w:val="x-none" w:eastAsia="x-none"/>
              </w:rPr>
            </w:pPr>
          </w:p>
          <w:p w14:paraId="3B37F4D4" w14:textId="77777777" w:rsidR="0091051F" w:rsidRDefault="0091051F" w:rsidP="00CD29FB">
            <w:pPr>
              <w:spacing w:after="0" w:line="240" w:lineRule="auto"/>
              <w:rPr>
                <w:rFonts w:ascii="Arial" w:eastAsia="ヒラギノ角ゴ Pro W3" w:hAnsi="Arial" w:cs="Arial"/>
                <w:b/>
                <w:bCs/>
                <w:sz w:val="18"/>
                <w:lang w:val="x-none" w:eastAsia="x-none"/>
              </w:rPr>
            </w:pPr>
          </w:p>
          <w:p w14:paraId="6CB83750" w14:textId="77777777" w:rsidR="0091051F" w:rsidRDefault="0091051F" w:rsidP="00CD29FB">
            <w:pPr>
              <w:spacing w:after="0" w:line="240" w:lineRule="auto"/>
              <w:rPr>
                <w:rFonts w:ascii="Arial" w:eastAsia="ヒラギノ角ゴ Pro W3" w:hAnsi="Arial" w:cs="Arial"/>
                <w:b/>
                <w:bCs/>
                <w:sz w:val="18"/>
                <w:lang w:val="x-none" w:eastAsia="x-none"/>
              </w:rPr>
            </w:pPr>
          </w:p>
          <w:p w14:paraId="722EF125" w14:textId="77777777" w:rsidR="0091051F" w:rsidRDefault="0091051F" w:rsidP="00CD29FB">
            <w:pPr>
              <w:spacing w:after="0" w:line="240" w:lineRule="auto"/>
              <w:rPr>
                <w:rFonts w:ascii="Arial" w:eastAsia="ヒラギノ角ゴ Pro W3" w:hAnsi="Arial" w:cs="Arial"/>
                <w:b/>
                <w:bCs/>
                <w:sz w:val="18"/>
                <w:lang w:val="x-none" w:eastAsia="x-none"/>
              </w:rPr>
            </w:pPr>
          </w:p>
        </w:tc>
        <w:tc>
          <w:tcPr>
            <w:tcW w:w="1560" w:type="dxa"/>
          </w:tcPr>
          <w:p w14:paraId="0DE606AA"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701" w:type="dxa"/>
          </w:tcPr>
          <w:p w14:paraId="4C9A62BA"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2126" w:type="dxa"/>
          </w:tcPr>
          <w:p w14:paraId="59CA5189"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7" w:type="dxa"/>
          </w:tcPr>
          <w:p w14:paraId="41A6D80D"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8" w:type="dxa"/>
          </w:tcPr>
          <w:p w14:paraId="38BB380D"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559" w:type="dxa"/>
          </w:tcPr>
          <w:p w14:paraId="01620F96" w14:textId="3842C1B2"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8" w:type="dxa"/>
          </w:tcPr>
          <w:p w14:paraId="29FC9E32"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275" w:type="dxa"/>
          </w:tcPr>
          <w:p w14:paraId="5B4DC08D" w14:textId="77777777" w:rsidR="0091051F" w:rsidRDefault="0091051F" w:rsidP="00CD29FB">
            <w:pPr>
              <w:spacing w:after="0" w:line="240" w:lineRule="auto"/>
              <w:rPr>
                <w:rFonts w:ascii="Arial" w:eastAsia="ヒラギノ角ゴ Pro W3" w:hAnsi="Arial" w:cs="Arial"/>
                <w:b/>
                <w:bCs/>
                <w:sz w:val="18"/>
                <w:lang w:val="x-none" w:eastAsia="x-none"/>
              </w:rPr>
            </w:pPr>
          </w:p>
        </w:tc>
        <w:tc>
          <w:tcPr>
            <w:tcW w:w="1033" w:type="dxa"/>
          </w:tcPr>
          <w:p w14:paraId="50E0C524"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r>
      <w:tr w:rsidR="0091051F" w:rsidRPr="00EE4424" w14:paraId="2650B445" w14:textId="77777777" w:rsidTr="00293E48">
        <w:tc>
          <w:tcPr>
            <w:tcW w:w="1560" w:type="dxa"/>
          </w:tcPr>
          <w:p w14:paraId="114F6ECC" w14:textId="77777777" w:rsidR="0091051F" w:rsidRDefault="0091051F" w:rsidP="00CD29FB">
            <w:pPr>
              <w:spacing w:after="0" w:line="240" w:lineRule="auto"/>
              <w:rPr>
                <w:rFonts w:ascii="Arial" w:eastAsia="ヒラギノ角ゴ Pro W3" w:hAnsi="Arial" w:cs="Arial"/>
                <w:b/>
                <w:bCs/>
                <w:sz w:val="18"/>
                <w:lang w:val="x-none" w:eastAsia="x-none"/>
              </w:rPr>
            </w:pPr>
          </w:p>
          <w:p w14:paraId="2F5A513E" w14:textId="77777777" w:rsidR="0091051F" w:rsidRDefault="0091051F" w:rsidP="00CD29FB">
            <w:pPr>
              <w:spacing w:after="0" w:line="240" w:lineRule="auto"/>
              <w:rPr>
                <w:rFonts w:ascii="Arial" w:eastAsia="ヒラギノ角ゴ Pro W3" w:hAnsi="Arial" w:cs="Arial"/>
                <w:b/>
                <w:bCs/>
                <w:sz w:val="18"/>
                <w:lang w:val="x-none" w:eastAsia="x-none"/>
              </w:rPr>
            </w:pPr>
          </w:p>
          <w:p w14:paraId="36EB75CA" w14:textId="77777777" w:rsidR="0091051F" w:rsidRDefault="0091051F" w:rsidP="00CD29FB">
            <w:pPr>
              <w:spacing w:after="0" w:line="240" w:lineRule="auto"/>
              <w:rPr>
                <w:rFonts w:ascii="Arial" w:eastAsia="ヒラギノ角ゴ Pro W3" w:hAnsi="Arial" w:cs="Arial"/>
                <w:b/>
                <w:bCs/>
                <w:sz w:val="18"/>
                <w:lang w:val="x-none" w:eastAsia="x-none"/>
              </w:rPr>
            </w:pPr>
          </w:p>
          <w:p w14:paraId="02129E0E" w14:textId="77777777" w:rsidR="0091051F" w:rsidRDefault="0091051F" w:rsidP="00CD29FB">
            <w:pPr>
              <w:spacing w:after="0" w:line="240" w:lineRule="auto"/>
              <w:rPr>
                <w:rFonts w:ascii="Arial" w:eastAsia="ヒラギノ角ゴ Pro W3" w:hAnsi="Arial" w:cs="Arial"/>
                <w:b/>
                <w:bCs/>
                <w:sz w:val="18"/>
                <w:lang w:val="x-none" w:eastAsia="x-none"/>
              </w:rPr>
            </w:pPr>
          </w:p>
          <w:p w14:paraId="1F462022" w14:textId="77777777" w:rsidR="0091051F" w:rsidRDefault="0091051F" w:rsidP="00CD29FB">
            <w:pPr>
              <w:spacing w:after="0" w:line="240" w:lineRule="auto"/>
              <w:rPr>
                <w:rFonts w:ascii="Arial" w:eastAsia="ヒラギノ角ゴ Pro W3" w:hAnsi="Arial" w:cs="Arial"/>
                <w:b/>
                <w:bCs/>
                <w:sz w:val="18"/>
                <w:lang w:val="x-none" w:eastAsia="x-none"/>
              </w:rPr>
            </w:pPr>
          </w:p>
          <w:p w14:paraId="604B6FCD" w14:textId="77777777" w:rsidR="0091051F" w:rsidRDefault="0091051F" w:rsidP="00CD29FB">
            <w:pPr>
              <w:spacing w:after="0" w:line="240" w:lineRule="auto"/>
              <w:rPr>
                <w:rFonts w:ascii="Arial" w:eastAsia="ヒラギノ角ゴ Pro W3" w:hAnsi="Arial" w:cs="Arial"/>
                <w:b/>
                <w:bCs/>
                <w:sz w:val="18"/>
                <w:lang w:val="x-none" w:eastAsia="x-none"/>
              </w:rPr>
            </w:pPr>
          </w:p>
        </w:tc>
        <w:tc>
          <w:tcPr>
            <w:tcW w:w="1560" w:type="dxa"/>
          </w:tcPr>
          <w:p w14:paraId="490CE5D6"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701" w:type="dxa"/>
          </w:tcPr>
          <w:p w14:paraId="0EDA1ED5"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2126" w:type="dxa"/>
          </w:tcPr>
          <w:p w14:paraId="60DD8DEB"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7" w:type="dxa"/>
          </w:tcPr>
          <w:p w14:paraId="2E9A6795"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8" w:type="dxa"/>
          </w:tcPr>
          <w:p w14:paraId="74849897"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559" w:type="dxa"/>
          </w:tcPr>
          <w:p w14:paraId="1DDED46A"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418" w:type="dxa"/>
          </w:tcPr>
          <w:p w14:paraId="0887AE38"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c>
          <w:tcPr>
            <w:tcW w:w="1275" w:type="dxa"/>
          </w:tcPr>
          <w:p w14:paraId="5833474D" w14:textId="77777777" w:rsidR="0091051F" w:rsidRDefault="0091051F" w:rsidP="00CD29FB">
            <w:pPr>
              <w:spacing w:after="0" w:line="240" w:lineRule="auto"/>
              <w:rPr>
                <w:rFonts w:ascii="Arial" w:eastAsia="ヒラギノ角ゴ Pro W3" w:hAnsi="Arial" w:cs="Arial"/>
                <w:b/>
                <w:bCs/>
                <w:sz w:val="18"/>
                <w:lang w:val="x-none" w:eastAsia="x-none"/>
              </w:rPr>
            </w:pPr>
          </w:p>
        </w:tc>
        <w:tc>
          <w:tcPr>
            <w:tcW w:w="1033" w:type="dxa"/>
          </w:tcPr>
          <w:p w14:paraId="42432E36" w14:textId="77777777" w:rsidR="0091051F" w:rsidRPr="00EE4424" w:rsidRDefault="0091051F" w:rsidP="00CD29FB">
            <w:pPr>
              <w:spacing w:after="0" w:line="240" w:lineRule="auto"/>
              <w:rPr>
                <w:rFonts w:ascii="Arial" w:eastAsia="ヒラギノ角ゴ Pro W3" w:hAnsi="Arial" w:cs="Arial"/>
                <w:b/>
                <w:bCs/>
                <w:sz w:val="18"/>
                <w:lang w:val="x-none" w:eastAsia="x-none"/>
              </w:rPr>
            </w:pPr>
          </w:p>
        </w:tc>
      </w:tr>
    </w:tbl>
    <w:p w14:paraId="01208F11" w14:textId="77777777" w:rsidR="0091051F" w:rsidRDefault="0091051F" w:rsidP="0091051F"/>
    <w:p w14:paraId="591D240A" w14:textId="77777777" w:rsidR="0091051F" w:rsidRDefault="0091051F" w:rsidP="0091051F">
      <w:pPr>
        <w:spacing w:after="0" w:line="240" w:lineRule="auto"/>
      </w:pPr>
      <w:r>
        <w:br w:type="page"/>
      </w:r>
    </w:p>
    <w:p w14:paraId="4DFC7B8F" w14:textId="2FCB95E7" w:rsidR="0091051F" w:rsidRPr="00293E48" w:rsidRDefault="0091051F" w:rsidP="0091051F">
      <w:pPr>
        <w:rPr>
          <w:rFonts w:ascii="Avenir Medium" w:hAnsi="Avenir Medium"/>
          <w:sz w:val="28"/>
          <w:szCs w:val="28"/>
        </w:rPr>
      </w:pPr>
      <w:r w:rsidRPr="00293E48">
        <w:rPr>
          <w:rFonts w:ascii="Avenir Medium" w:hAnsi="Avenir Medium"/>
          <w:noProof/>
          <w:sz w:val="14"/>
          <w:szCs w:val="14"/>
        </w:rPr>
        <w:lastRenderedPageBreak/>
        <w:drawing>
          <wp:anchor distT="0" distB="0" distL="114300" distR="114300" simplePos="0" relativeHeight="251656192" behindDoc="0" locked="0" layoutInCell="1" allowOverlap="1" wp14:anchorId="04A7006F" wp14:editId="3263A6A1">
            <wp:simplePos x="0" y="0"/>
            <wp:positionH relativeFrom="margin">
              <wp:posOffset>7490460</wp:posOffset>
            </wp:positionH>
            <wp:positionV relativeFrom="margin">
              <wp:posOffset>-462882</wp:posOffset>
            </wp:positionV>
            <wp:extent cx="1826909" cy="673975"/>
            <wp:effectExtent l="0" t="0" r="190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png"/>
                    <pic:cNvPicPr/>
                  </pic:nvPicPr>
                  <pic:blipFill>
                    <a:blip r:embed="rId7">
                      <a:extLst>
                        <a:ext uri="{28A0092B-C50C-407E-A947-70E740481C1C}">
                          <a14:useLocalDpi xmlns:a14="http://schemas.microsoft.com/office/drawing/2010/main" val="0"/>
                        </a:ext>
                      </a:extLst>
                    </a:blip>
                    <a:stretch>
                      <a:fillRect/>
                    </a:stretch>
                  </pic:blipFill>
                  <pic:spPr>
                    <a:xfrm>
                      <a:off x="0" y="0"/>
                      <a:ext cx="1826909" cy="673975"/>
                    </a:xfrm>
                    <a:prstGeom prst="rect">
                      <a:avLst/>
                    </a:prstGeom>
                  </pic:spPr>
                </pic:pic>
              </a:graphicData>
            </a:graphic>
            <wp14:sizeRelH relativeFrom="margin">
              <wp14:pctWidth>0</wp14:pctWidth>
            </wp14:sizeRelH>
            <wp14:sizeRelV relativeFrom="margin">
              <wp14:pctHeight>0</wp14:pctHeight>
            </wp14:sizeRelV>
          </wp:anchor>
        </w:drawing>
      </w:r>
      <w:r w:rsidR="00643B80">
        <w:rPr>
          <w:rFonts w:ascii="Avenir Light" w:hAnsi="Avenir Light"/>
          <w:color w:val="D1467A"/>
          <w:sz w:val="44"/>
        </w:rPr>
        <w:t>Worked example</w:t>
      </w:r>
    </w:p>
    <w:p w14:paraId="6A1CFFC7" w14:textId="77777777" w:rsidR="0091051F" w:rsidRPr="00261ADC" w:rsidRDefault="0091051F" w:rsidP="0091051F">
      <w:pPr>
        <w:rPr>
          <w:rFonts w:ascii="Arial" w:hAnsi="Arial"/>
          <w:sz w:val="20"/>
        </w:rPr>
      </w:pPr>
      <w:r w:rsidRPr="00935576">
        <w:rPr>
          <w:rFonts w:ascii="Arial" w:hAnsi="Arial"/>
          <w:b/>
          <w:sz w:val="20"/>
        </w:rPr>
        <w:t>Overall impact goal:</w:t>
      </w:r>
      <w:r w:rsidRPr="00935576">
        <w:rPr>
          <w:rFonts w:ascii="Arial" w:hAnsi="Arial"/>
          <w:sz w:val="20"/>
        </w:rPr>
        <w:t xml:space="preserve"> to develop and use a food system model to evaluate and then propose a range of dairy farming interventions that can increase the resilience and sustainability of production in the face of difficult to predict interactions between environmental, social and market forces.</w:t>
      </w:r>
    </w:p>
    <w:tbl>
      <w:tblPr>
        <w:tblStyle w:val="TableGrid"/>
        <w:tblW w:w="15208" w:type="dxa"/>
        <w:tblInd w:w="-459" w:type="dxa"/>
        <w:tblLayout w:type="fixed"/>
        <w:tblLook w:val="04A0" w:firstRow="1" w:lastRow="0" w:firstColumn="1" w:lastColumn="0" w:noHBand="0" w:noVBand="1"/>
      </w:tblPr>
      <w:tblGrid>
        <w:gridCol w:w="1418"/>
        <w:gridCol w:w="1701"/>
        <w:gridCol w:w="1417"/>
        <w:gridCol w:w="2127"/>
        <w:gridCol w:w="1701"/>
        <w:gridCol w:w="1417"/>
        <w:gridCol w:w="1559"/>
        <w:gridCol w:w="1701"/>
        <w:gridCol w:w="1276"/>
        <w:gridCol w:w="891"/>
      </w:tblGrid>
      <w:tr w:rsidR="00293E48" w:rsidRPr="00293E48" w14:paraId="52CE9A82" w14:textId="77777777" w:rsidTr="00293E48">
        <w:tc>
          <w:tcPr>
            <w:tcW w:w="1418" w:type="dxa"/>
            <w:shd w:val="solid" w:color="auto" w:fill="auto"/>
          </w:tcPr>
          <w:p w14:paraId="758D6588"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en-US" w:eastAsia="x-none"/>
              </w:rPr>
            </w:pPr>
            <w:r w:rsidRPr="00293E48">
              <w:rPr>
                <w:rFonts w:ascii="Avenir" w:eastAsia="ヒラギノ角ゴ Pro W3" w:hAnsi="Avenir" w:cs="Arial"/>
                <w:bCs/>
                <w:color w:val="FFFFFF" w:themeColor="background1"/>
                <w:sz w:val="14"/>
                <w:szCs w:val="14"/>
                <w:lang w:val="x-none" w:eastAsia="x-none"/>
              </w:rPr>
              <w:t>Impact goal</w:t>
            </w:r>
            <w:r w:rsidRPr="00293E48">
              <w:rPr>
                <w:rFonts w:ascii="Avenir" w:eastAsia="ヒラギノ角ゴ Pro W3" w:hAnsi="Avenir" w:cs="Arial"/>
                <w:bCs/>
                <w:color w:val="FFFFFF" w:themeColor="background1"/>
                <w:sz w:val="14"/>
                <w:szCs w:val="14"/>
                <w:lang w:val="en-US" w:eastAsia="x-none"/>
              </w:rPr>
              <w:t>s</w:t>
            </w:r>
          </w:p>
        </w:tc>
        <w:tc>
          <w:tcPr>
            <w:tcW w:w="1701" w:type="dxa"/>
            <w:shd w:val="solid" w:color="auto" w:fill="auto"/>
          </w:tcPr>
          <w:p w14:paraId="4C7D165B" w14:textId="59D5B484" w:rsidR="0091051F" w:rsidRPr="004F2DF8" w:rsidRDefault="004F2DF8" w:rsidP="00CD29FB">
            <w:pPr>
              <w:spacing w:after="0" w:line="240" w:lineRule="auto"/>
              <w:rPr>
                <w:rFonts w:ascii="Avenir" w:eastAsia="ヒラギノ角ゴ Pro W3" w:hAnsi="Avenir" w:cs="Arial"/>
                <w:bCs/>
                <w:color w:val="FFFFFF" w:themeColor="background1"/>
                <w:sz w:val="14"/>
                <w:szCs w:val="14"/>
                <w:lang w:eastAsia="x-none"/>
              </w:rPr>
            </w:pPr>
            <w:r>
              <w:rPr>
                <w:rFonts w:ascii="Avenir" w:eastAsia="ヒラギノ角ゴ Pro W3" w:hAnsi="Avenir" w:cs="Arial"/>
                <w:bCs/>
                <w:color w:val="FFFFFF" w:themeColor="background1"/>
                <w:sz w:val="14"/>
                <w:szCs w:val="14"/>
                <w:lang w:eastAsia="x-none"/>
              </w:rPr>
              <w:t>Relevant parties</w:t>
            </w:r>
          </w:p>
        </w:tc>
        <w:tc>
          <w:tcPr>
            <w:tcW w:w="1417" w:type="dxa"/>
            <w:shd w:val="solid" w:color="auto" w:fill="auto"/>
          </w:tcPr>
          <w:p w14:paraId="75CF75F3"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x-none" w:eastAsia="x-none"/>
              </w:rPr>
            </w:pPr>
            <w:r w:rsidRPr="00293E48">
              <w:rPr>
                <w:rFonts w:ascii="Avenir" w:eastAsia="ヒラギノ角ゴ Pro W3" w:hAnsi="Avenir" w:cs="Arial"/>
                <w:bCs/>
                <w:color w:val="FFFFFF" w:themeColor="background1"/>
                <w:sz w:val="14"/>
                <w:szCs w:val="14"/>
                <w:lang w:val="x-none" w:eastAsia="x-none"/>
              </w:rPr>
              <w:t>Reasons for being interested in the project</w:t>
            </w:r>
          </w:p>
        </w:tc>
        <w:tc>
          <w:tcPr>
            <w:tcW w:w="2127" w:type="dxa"/>
            <w:shd w:val="solid" w:color="auto" w:fill="auto"/>
          </w:tcPr>
          <w:p w14:paraId="32ECE3C3"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x-none" w:eastAsia="x-none"/>
              </w:rPr>
            </w:pPr>
            <w:r w:rsidRPr="00293E48">
              <w:rPr>
                <w:rFonts w:ascii="Avenir" w:eastAsia="ヒラギノ角ゴ Pro W3" w:hAnsi="Avenir" w:cs="Arial"/>
                <w:bCs/>
                <w:color w:val="FFFFFF" w:themeColor="background1"/>
                <w:sz w:val="14"/>
                <w:szCs w:val="14"/>
                <w:lang w:val="x-none" w:eastAsia="x-none"/>
              </w:rPr>
              <w:t>Activities to engage this target group</w:t>
            </w:r>
          </w:p>
        </w:tc>
        <w:tc>
          <w:tcPr>
            <w:tcW w:w="1701" w:type="dxa"/>
            <w:shd w:val="solid" w:color="auto" w:fill="auto"/>
          </w:tcPr>
          <w:p w14:paraId="44EA8CAD"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x-none" w:eastAsia="x-none"/>
              </w:rPr>
            </w:pPr>
            <w:r w:rsidRPr="00293E48">
              <w:rPr>
                <w:rFonts w:ascii="Avenir" w:eastAsia="ヒラギノ角ゴ Pro W3" w:hAnsi="Avenir" w:cs="Arial"/>
                <w:bCs/>
                <w:color w:val="FFFFFF" w:themeColor="background1"/>
                <w:sz w:val="14"/>
                <w:szCs w:val="14"/>
                <w:lang w:val="x-none" w:eastAsia="x-none"/>
              </w:rPr>
              <w:t>Indicators of successful engagement [and means of measurement]</w:t>
            </w:r>
          </w:p>
        </w:tc>
        <w:tc>
          <w:tcPr>
            <w:tcW w:w="1417" w:type="dxa"/>
            <w:shd w:val="solid" w:color="auto" w:fill="auto"/>
          </w:tcPr>
          <w:p w14:paraId="7523A4B5"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x-none" w:eastAsia="x-none"/>
              </w:rPr>
            </w:pPr>
            <w:r w:rsidRPr="00293E48">
              <w:rPr>
                <w:rFonts w:ascii="Avenir" w:eastAsia="ヒラギノ角ゴ Pro W3" w:hAnsi="Avenir" w:cs="Arial"/>
                <w:bCs/>
                <w:color w:val="FFFFFF" w:themeColor="background1"/>
                <w:sz w:val="14"/>
                <w:szCs w:val="14"/>
                <w:lang w:val="x-none" w:eastAsia="x-none"/>
              </w:rPr>
              <w:t>Indicators of progress towards impact [means of measurement]</w:t>
            </w:r>
          </w:p>
        </w:tc>
        <w:tc>
          <w:tcPr>
            <w:tcW w:w="1559" w:type="dxa"/>
            <w:shd w:val="solid" w:color="auto" w:fill="auto"/>
          </w:tcPr>
          <w:p w14:paraId="7372A81D"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x-none" w:eastAsia="x-none"/>
              </w:rPr>
            </w:pPr>
            <w:r w:rsidRPr="00293E48">
              <w:rPr>
                <w:rFonts w:ascii="Avenir" w:hAnsi="Avenir"/>
                <w:color w:val="FFFFFF" w:themeColor="background1"/>
                <w:sz w:val="14"/>
                <w:szCs w:val="14"/>
              </w:rPr>
              <w:t>Risks to activities [and mitigation]</w:t>
            </w:r>
          </w:p>
        </w:tc>
        <w:tc>
          <w:tcPr>
            <w:tcW w:w="1701" w:type="dxa"/>
            <w:shd w:val="solid" w:color="auto" w:fill="auto"/>
          </w:tcPr>
          <w:p w14:paraId="10A86430"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x-none" w:eastAsia="x-none"/>
              </w:rPr>
            </w:pPr>
            <w:r w:rsidRPr="00293E48">
              <w:rPr>
                <w:rFonts w:ascii="Avenir" w:hAnsi="Avenir"/>
                <w:color w:val="FFFFFF" w:themeColor="background1"/>
                <w:sz w:val="14"/>
                <w:szCs w:val="14"/>
              </w:rPr>
              <w:t>Risks to impact [and mitigation]</w:t>
            </w:r>
          </w:p>
        </w:tc>
        <w:tc>
          <w:tcPr>
            <w:tcW w:w="1276" w:type="dxa"/>
            <w:shd w:val="solid" w:color="auto" w:fill="auto"/>
          </w:tcPr>
          <w:p w14:paraId="27183E76"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x-none" w:eastAsia="x-none"/>
              </w:rPr>
            </w:pPr>
            <w:r w:rsidRPr="00293E48">
              <w:rPr>
                <w:rFonts w:ascii="Avenir" w:eastAsia="ヒラギノ角ゴ Pro W3" w:hAnsi="Avenir" w:cs="Arial"/>
                <w:bCs/>
                <w:color w:val="FFFFFF" w:themeColor="background1"/>
                <w:sz w:val="14"/>
                <w:szCs w:val="14"/>
                <w:lang w:val="x-none" w:eastAsia="x-none"/>
              </w:rPr>
              <w:t>Who is responsible and what resources are needed?</w:t>
            </w:r>
          </w:p>
        </w:tc>
        <w:tc>
          <w:tcPr>
            <w:tcW w:w="891" w:type="dxa"/>
            <w:shd w:val="solid" w:color="auto" w:fill="auto"/>
          </w:tcPr>
          <w:p w14:paraId="6820F11B" w14:textId="77777777" w:rsidR="0091051F" w:rsidRPr="00293E48" w:rsidRDefault="0091051F" w:rsidP="00CD29FB">
            <w:pPr>
              <w:spacing w:after="0" w:line="240" w:lineRule="auto"/>
              <w:rPr>
                <w:rFonts w:ascii="Avenir" w:eastAsia="ヒラギノ角ゴ Pro W3" w:hAnsi="Avenir" w:cs="Arial"/>
                <w:bCs/>
                <w:color w:val="FFFFFF" w:themeColor="background1"/>
                <w:sz w:val="14"/>
                <w:szCs w:val="14"/>
                <w:lang w:val="x-none" w:eastAsia="x-none"/>
              </w:rPr>
            </w:pPr>
            <w:r w:rsidRPr="00293E48">
              <w:rPr>
                <w:rFonts w:ascii="Avenir" w:eastAsia="ヒラギノ角ゴ Pro W3" w:hAnsi="Avenir" w:cs="Arial"/>
                <w:bCs/>
                <w:color w:val="FFFFFF" w:themeColor="background1"/>
                <w:sz w:val="14"/>
                <w:szCs w:val="14"/>
                <w:lang w:val="x-none" w:eastAsia="x-none"/>
              </w:rPr>
              <w:t>Timing</w:t>
            </w:r>
          </w:p>
        </w:tc>
      </w:tr>
      <w:tr w:rsidR="0091051F" w:rsidRPr="00935576" w14:paraId="7354F82C" w14:textId="77777777" w:rsidTr="00CD29FB">
        <w:tc>
          <w:tcPr>
            <w:tcW w:w="1418" w:type="dxa"/>
            <w:vMerge w:val="restart"/>
          </w:tcPr>
          <w:p w14:paraId="5B0A572D"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r w:rsidRPr="00293E48">
              <w:rPr>
                <w:rFonts w:ascii="Avenir Book" w:eastAsia="ヒラギノ角ゴ Pro W3" w:hAnsi="Avenir Book" w:cs="Arial"/>
                <w:bCs/>
                <w:sz w:val="14"/>
                <w:szCs w:val="14"/>
                <w:lang w:eastAsia="x-none"/>
              </w:rPr>
              <w:t>Work with dairy farmers, the dairy industry and Government to develop scalable new pricing models based on Payments for Ecosystem Services (PES), inform the development of food, farming and environmental policy relating to PES, natural capital and adapting to environmental change, and support Government's role in providing early warning of major, notifiable or new and emerging animal diseases in the diary sector, in the context of the emerging post-Brexit agricultural policy regime in England and Scotland.</w:t>
            </w:r>
          </w:p>
          <w:p w14:paraId="36BF2D0B"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1701" w:type="dxa"/>
            <w:vMerge w:val="restart"/>
          </w:tcPr>
          <w:p w14:paraId="5F2FD4B6" w14:textId="7C8E6330"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 xml:space="preserve">Dairy industry </w:t>
            </w:r>
            <w:r w:rsidR="004F2DF8">
              <w:rPr>
                <w:rFonts w:ascii="Avenir Book" w:eastAsia="ヒラギノ角ゴ Pro W3" w:hAnsi="Avenir Book" w:cs="Arial"/>
                <w:bCs/>
                <w:sz w:val="14"/>
                <w:szCs w:val="14"/>
                <w:lang w:val="en-US" w:eastAsia="x-none"/>
              </w:rPr>
              <w:t>groups</w:t>
            </w:r>
            <w:r w:rsidRPr="00293E48">
              <w:rPr>
                <w:rFonts w:ascii="Avenir Book" w:eastAsia="ヒラギノ角ゴ Pro W3" w:hAnsi="Avenir Book" w:cs="Arial"/>
                <w:bCs/>
                <w:sz w:val="14"/>
                <w:szCs w:val="14"/>
                <w:lang w:val="en-US" w:eastAsia="x-none"/>
              </w:rPr>
              <w:t xml:space="preserve"> (as above)</w:t>
            </w:r>
          </w:p>
          <w:p w14:paraId="4900428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2A050AE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National government departments and agencies, local councils</w:t>
            </w:r>
          </w:p>
          <w:p w14:paraId="1E806CA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3FD42A1D"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49607B4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1565CCA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Ecosystem service beneficiaries including publics, Cumbrian utilities companies, Network Rail, supermarkets, Cumbrian food and drink manufacturers, insurers, local businesses</w:t>
            </w:r>
          </w:p>
          <w:p w14:paraId="7D68DA30"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3A87542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Intermediaries and networks including North Pennines AONB, Local Nature Partnership, Catchment Pioneer</w:t>
            </w:r>
          </w:p>
          <w:p w14:paraId="74B3570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1F1E3D4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Third sector organisations including Rivers Trusts, Game &amp; Wildlife Conservation Trust, Innovation in Agriculture, BITC</w:t>
            </w:r>
          </w:p>
          <w:p w14:paraId="662173F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2C6B3DF3"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N8 AgriFood, 3Keel, CISL</w:t>
            </w:r>
          </w:p>
        </w:tc>
        <w:tc>
          <w:tcPr>
            <w:tcW w:w="1417" w:type="dxa"/>
            <w:vMerge w:val="restart"/>
          </w:tcPr>
          <w:p w14:paraId="29345DFC"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Increased profitability and resilience to Brexit</w:t>
            </w:r>
          </w:p>
          <w:p w14:paraId="590643B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605FD183"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Meet objectives of 2011 NEWP, PES Action Plan and PES aspirations in 25 year plan</w:t>
            </w:r>
          </w:p>
          <w:p w14:paraId="56F5843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23DE85A8"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Opportunities to invest in natural capital to increase resilience to flood threats, climate change and demonstrate CSR</w:t>
            </w:r>
          </w:p>
          <w:p w14:paraId="2ABA36AE"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44D070F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0B8AF06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6C35612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Opportunities to leverage additional funding to meet operational objectives</w:t>
            </w:r>
          </w:p>
          <w:p w14:paraId="56DC144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54034AE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Intersections with a range of strategic objectives and initiatives in these organisations</w:t>
            </w:r>
          </w:p>
          <w:p w14:paraId="1D5D489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1EB6F6C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6C25873B"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Achieving impact from research</w:t>
            </w:r>
          </w:p>
        </w:tc>
        <w:tc>
          <w:tcPr>
            <w:tcW w:w="2127" w:type="dxa"/>
          </w:tcPr>
          <w:p w14:paraId="76C1CDF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Promote milk premium and related schemes to new entrants</w:t>
            </w:r>
          </w:p>
          <w:p w14:paraId="0406FCA9"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701" w:type="dxa"/>
          </w:tcPr>
          <w:p w14:paraId="1B178BFB"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Materials co-developed with Nestle/First Milk via their network [material available online]</w:t>
            </w:r>
          </w:p>
          <w:p w14:paraId="7161D29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tcPr>
          <w:p w14:paraId="50D8730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Significant numbers of new scheme entrants [Nestle scheme records]</w:t>
            </w:r>
          </w:p>
        </w:tc>
        <w:tc>
          <w:tcPr>
            <w:tcW w:w="1559" w:type="dxa"/>
          </w:tcPr>
          <w:p w14:paraId="1AC17F6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No new materials developed [3Keel to lead development]</w:t>
            </w:r>
          </w:p>
        </w:tc>
        <w:tc>
          <w:tcPr>
            <w:tcW w:w="1701" w:type="dxa"/>
          </w:tcPr>
          <w:p w14:paraId="0C4069AF"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No new scheme entrants [Nestle and First Milk to lead]</w:t>
            </w:r>
          </w:p>
          <w:p w14:paraId="1E230FF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276" w:type="dxa"/>
          </w:tcPr>
          <w:p w14:paraId="4227D20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Nestle, First Milk, 3Keel</w:t>
            </w:r>
          </w:p>
        </w:tc>
        <w:tc>
          <w:tcPr>
            <w:tcW w:w="891" w:type="dxa"/>
          </w:tcPr>
          <w:p w14:paraId="0CB0BD25"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Late 2018</w:t>
            </w:r>
          </w:p>
        </w:tc>
      </w:tr>
      <w:tr w:rsidR="0091051F" w:rsidRPr="00935576" w14:paraId="688A13A3" w14:textId="77777777" w:rsidTr="00CD29FB">
        <w:tc>
          <w:tcPr>
            <w:tcW w:w="1418" w:type="dxa"/>
            <w:vMerge/>
          </w:tcPr>
          <w:p w14:paraId="1DC1B7FB"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tcPr>
          <w:p w14:paraId="2BBBE5BC"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tcPr>
          <w:p w14:paraId="6269370F"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tcPr>
          <w:p w14:paraId="79722B83"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Seminars in Westminster (with Natural England) and Edinburgh, policy brief with NE and GFS projects</w:t>
            </w:r>
          </w:p>
        </w:tc>
        <w:tc>
          <w:tcPr>
            <w:tcW w:w="1701" w:type="dxa"/>
          </w:tcPr>
          <w:p w14:paraId="2BFC447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Attendance by identified priority teams, follow-up opportunities taken up relevant teams [event records]</w:t>
            </w:r>
          </w:p>
        </w:tc>
        <w:tc>
          <w:tcPr>
            <w:tcW w:w="1417" w:type="dxa"/>
          </w:tcPr>
          <w:p w14:paraId="07DB571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Integration of findings to post-Brexit agriculture policy [citations and testimonials]</w:t>
            </w:r>
          </w:p>
        </w:tc>
        <w:tc>
          <w:tcPr>
            <w:tcW w:w="1559" w:type="dxa"/>
          </w:tcPr>
          <w:p w14:paraId="04A88FE8"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Poor attendance [work with NE to target Defra teams, advisory board members for Scottish Government]</w:t>
            </w:r>
          </w:p>
        </w:tc>
        <w:tc>
          <w:tcPr>
            <w:tcW w:w="1701" w:type="dxa"/>
          </w:tcPr>
          <w:p w14:paraId="51A57180"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No Brexit or no policy influence [work with N8 AgriFood and GFS high level network]</w:t>
            </w:r>
          </w:p>
        </w:tc>
        <w:tc>
          <w:tcPr>
            <w:tcW w:w="1276" w:type="dxa"/>
          </w:tcPr>
          <w:p w14:paraId="53001A82"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Mark with N8 and GFS programme secretariat</w:t>
            </w:r>
          </w:p>
        </w:tc>
        <w:tc>
          <w:tcPr>
            <w:tcW w:w="891" w:type="dxa"/>
          </w:tcPr>
          <w:p w14:paraId="4605D35B"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November 2018 (London), 2019 (Scotland) then ongoing</w:t>
            </w:r>
          </w:p>
        </w:tc>
      </w:tr>
      <w:tr w:rsidR="0091051F" w:rsidRPr="00935576" w14:paraId="49EE3FCF" w14:textId="77777777" w:rsidTr="00CD29FB">
        <w:tc>
          <w:tcPr>
            <w:tcW w:w="1418" w:type="dxa"/>
            <w:vMerge/>
          </w:tcPr>
          <w:p w14:paraId="14203C4B"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tcPr>
          <w:p w14:paraId="33B5C830"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tcPr>
          <w:p w14:paraId="5FCDA317"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tcPr>
          <w:p w14:paraId="6EF6986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Investment brochure, website and PES registry promoted via stalls and presentations at key regional events</w:t>
            </w:r>
          </w:p>
        </w:tc>
        <w:tc>
          <w:tcPr>
            <w:tcW w:w="1701" w:type="dxa"/>
          </w:tcPr>
          <w:p w14:paraId="0541623E"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Brochure, website and registry launched, presentations delivered [Google analytics, event records]</w:t>
            </w:r>
          </w:p>
        </w:tc>
        <w:tc>
          <w:tcPr>
            <w:tcW w:w="1417" w:type="dxa"/>
          </w:tcPr>
          <w:p w14:paraId="3862884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Initial investment from new companies with interest in Cumbrian landscape [registry entries]</w:t>
            </w:r>
          </w:p>
        </w:tc>
        <w:tc>
          <w:tcPr>
            <w:tcW w:w="1559" w:type="dxa"/>
          </w:tcPr>
          <w:p w14:paraId="371264D5"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Major private investment from at least one new company or a number of smaller investments [registry entry]</w:t>
            </w:r>
          </w:p>
        </w:tc>
        <w:tc>
          <w:tcPr>
            <w:tcW w:w="1701" w:type="dxa"/>
          </w:tcPr>
          <w:p w14:paraId="57B307D5"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No new investment [work with Government and Nestle to create conditions necessary]</w:t>
            </w:r>
          </w:p>
        </w:tc>
        <w:tc>
          <w:tcPr>
            <w:tcW w:w="1276" w:type="dxa"/>
          </w:tcPr>
          <w:p w14:paraId="0A40690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Mark with Nestle, BITC, 3Keel, Wildlife Trusts and IUCN</w:t>
            </w:r>
          </w:p>
          <w:p w14:paraId="6409BB35"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891" w:type="dxa"/>
          </w:tcPr>
          <w:p w14:paraId="645FCAA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2021</w:t>
            </w:r>
          </w:p>
        </w:tc>
      </w:tr>
      <w:tr w:rsidR="0091051F" w:rsidRPr="00935576" w14:paraId="5AA2644A" w14:textId="77777777" w:rsidTr="00CD29FB">
        <w:tc>
          <w:tcPr>
            <w:tcW w:w="1418" w:type="dxa"/>
            <w:vMerge/>
          </w:tcPr>
          <w:p w14:paraId="5412CB8E"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tcPr>
          <w:p w14:paraId="7017DAE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tcPr>
          <w:p w14:paraId="5E34D0D7"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tcPr>
          <w:p w14:paraId="2B3C9F8C"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Co-development of activities above for beneficiaries</w:t>
            </w:r>
          </w:p>
        </w:tc>
        <w:tc>
          <w:tcPr>
            <w:tcW w:w="1701" w:type="dxa"/>
          </w:tcPr>
          <w:p w14:paraId="4FC196B9"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Evidence of intermediary buy-in to launched resources [attendance at presentations, newsletter list]</w:t>
            </w:r>
          </w:p>
        </w:tc>
        <w:tc>
          <w:tcPr>
            <w:tcW w:w="1417" w:type="dxa"/>
          </w:tcPr>
          <w:p w14:paraId="50C02161"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Additional funding for intermediary activities linked to PES funding [annual reports, testimonials]</w:t>
            </w:r>
          </w:p>
        </w:tc>
        <w:tc>
          <w:tcPr>
            <w:tcW w:w="1559" w:type="dxa"/>
          </w:tcPr>
          <w:p w14:paraId="75CD6ED6"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Limited buy-in [3Keel and BITC to lead via their networks]</w:t>
            </w:r>
          </w:p>
        </w:tc>
        <w:tc>
          <w:tcPr>
            <w:tcW w:w="1701" w:type="dxa"/>
          </w:tcPr>
          <w:p w14:paraId="6521F775"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As above</w:t>
            </w:r>
          </w:p>
          <w:p w14:paraId="631F3D1C"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1276" w:type="dxa"/>
          </w:tcPr>
          <w:p w14:paraId="407853CF"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As above</w:t>
            </w:r>
          </w:p>
        </w:tc>
        <w:tc>
          <w:tcPr>
            <w:tcW w:w="891" w:type="dxa"/>
          </w:tcPr>
          <w:p w14:paraId="6333F09B"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2021</w:t>
            </w:r>
          </w:p>
        </w:tc>
      </w:tr>
      <w:tr w:rsidR="0091051F" w:rsidRPr="00935576" w14:paraId="257683D3" w14:textId="77777777" w:rsidTr="00CD29FB">
        <w:tc>
          <w:tcPr>
            <w:tcW w:w="1418" w:type="dxa"/>
            <w:vMerge/>
          </w:tcPr>
          <w:p w14:paraId="22EE5FFF"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tcPr>
          <w:p w14:paraId="2DE58FCE"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tcPr>
          <w:p w14:paraId="5ACAA754"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tcPr>
          <w:p w14:paraId="2B822506" w14:textId="77777777" w:rsidR="0091051F" w:rsidRPr="00293E48" w:rsidRDefault="0091051F" w:rsidP="00293E48">
            <w:pPr>
              <w:spacing w:after="0" w:line="204" w:lineRule="auto"/>
              <w:rPr>
                <w:rFonts w:ascii="Avenir Book" w:eastAsia="ヒラギノ角ゴ Pro W3" w:hAnsi="Avenir Book" w:cs="Arial"/>
                <w:bCs/>
                <w:color w:val="000000" w:themeColor="text1"/>
                <w:sz w:val="14"/>
                <w:szCs w:val="14"/>
                <w:lang w:eastAsia="x-none"/>
              </w:rPr>
            </w:pPr>
            <w:r w:rsidRPr="00293E48">
              <w:rPr>
                <w:rFonts w:ascii="Avenir Book" w:eastAsia="ヒラギノ角ゴ Pro W3" w:hAnsi="Avenir Book" w:cs="Arial"/>
                <w:bCs/>
                <w:color w:val="000000" w:themeColor="text1"/>
                <w:sz w:val="14"/>
                <w:szCs w:val="14"/>
                <w:lang w:val="en-US" w:eastAsia="x-none"/>
              </w:rPr>
              <w:t xml:space="preserve">Input to relevant expert groups, consultations, select committees and boards, for example </w:t>
            </w:r>
            <w:r w:rsidRPr="00293E48">
              <w:rPr>
                <w:rFonts w:ascii="Avenir Book" w:eastAsia="ヒラギノ角ゴ Pro W3" w:hAnsi="Avenir Book" w:cs="Arial"/>
                <w:bCs/>
                <w:color w:val="000000" w:themeColor="text1"/>
                <w:sz w:val="14"/>
                <w:szCs w:val="14"/>
                <w:lang w:eastAsia="x-none"/>
              </w:rPr>
              <w:t>Defra’s Social Science Expert Group and Scottish Government's Strategic Research (RESAS) Programme Board</w:t>
            </w:r>
          </w:p>
        </w:tc>
        <w:tc>
          <w:tcPr>
            <w:tcW w:w="1701" w:type="dxa"/>
          </w:tcPr>
          <w:p w14:paraId="3AD3130C"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Written and/or oral evidence provided as opportunities arise [citations in relevant documents]</w:t>
            </w:r>
          </w:p>
        </w:tc>
        <w:tc>
          <w:tcPr>
            <w:tcW w:w="1417" w:type="dxa"/>
          </w:tcPr>
          <w:p w14:paraId="4E8E9238"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Integration of findings to post-Brexit agriculture policy [citations and testimonials]</w:t>
            </w:r>
          </w:p>
        </w:tc>
        <w:tc>
          <w:tcPr>
            <w:tcW w:w="1559" w:type="dxa"/>
          </w:tcPr>
          <w:p w14:paraId="4E8C4689"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Few relevant opportunities or insufficient time to engage with them [training and support for PDRAs to lead drafting of responses]</w:t>
            </w:r>
          </w:p>
        </w:tc>
        <w:tc>
          <w:tcPr>
            <w:tcW w:w="1701" w:type="dxa"/>
          </w:tcPr>
          <w:p w14:paraId="767AC797"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No Brexit or no policy influence [work with N8 AgriFood and GFS high level network]</w:t>
            </w:r>
          </w:p>
        </w:tc>
        <w:tc>
          <w:tcPr>
            <w:tcW w:w="1276" w:type="dxa"/>
          </w:tcPr>
          <w:p w14:paraId="5F47D32E"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Mark with relevant Co-Is</w:t>
            </w:r>
          </w:p>
        </w:tc>
        <w:tc>
          <w:tcPr>
            <w:tcW w:w="891" w:type="dxa"/>
          </w:tcPr>
          <w:p w14:paraId="617D782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Ongoing</w:t>
            </w:r>
          </w:p>
        </w:tc>
      </w:tr>
      <w:tr w:rsidR="0091051F" w:rsidRPr="00935576" w14:paraId="13BC1F78" w14:textId="77777777" w:rsidTr="00293E48">
        <w:tc>
          <w:tcPr>
            <w:tcW w:w="1418" w:type="dxa"/>
            <w:vMerge/>
            <w:tcBorders>
              <w:bottom w:val="single" w:sz="4" w:space="0" w:color="auto"/>
            </w:tcBorders>
          </w:tcPr>
          <w:p w14:paraId="4EABF677"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tcBorders>
              <w:bottom w:val="single" w:sz="4" w:space="0" w:color="auto"/>
            </w:tcBorders>
          </w:tcPr>
          <w:p w14:paraId="361B11A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tcBorders>
              <w:bottom w:val="single" w:sz="4" w:space="0" w:color="auto"/>
            </w:tcBorders>
          </w:tcPr>
          <w:p w14:paraId="47809552"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tcBorders>
              <w:bottom w:val="single" w:sz="4" w:space="0" w:color="auto"/>
            </w:tcBorders>
          </w:tcPr>
          <w:p w14:paraId="2AED5557" w14:textId="77777777" w:rsidR="0091051F" w:rsidRPr="00293E48" w:rsidRDefault="0091051F" w:rsidP="00293E48">
            <w:pPr>
              <w:spacing w:after="0" w:line="204" w:lineRule="auto"/>
              <w:rPr>
                <w:rFonts w:ascii="Avenir Book" w:eastAsia="ヒラギノ角ゴ Pro W3" w:hAnsi="Avenir Book" w:cs="Arial"/>
                <w:bCs/>
                <w:color w:val="FF0000"/>
                <w:sz w:val="14"/>
                <w:szCs w:val="14"/>
                <w:lang w:val="en-US" w:eastAsia="x-none"/>
              </w:rPr>
            </w:pPr>
            <w:r w:rsidRPr="00293E48">
              <w:rPr>
                <w:rFonts w:ascii="Avenir Book" w:eastAsia="ヒラギノ角ゴ Pro W3" w:hAnsi="Avenir Book" w:cs="Arial"/>
                <w:bCs/>
                <w:color w:val="000000" w:themeColor="text1"/>
                <w:sz w:val="14"/>
                <w:szCs w:val="14"/>
                <w:lang w:val="en-US" w:eastAsia="x-none"/>
              </w:rPr>
              <w:t>Engage with the Parliamentary Office of Science and Technology on POSTnote or policy brief on “Post-Brexit Resilience and Sustainability of UK Dairy Sector”</w:t>
            </w:r>
          </w:p>
        </w:tc>
        <w:tc>
          <w:tcPr>
            <w:tcW w:w="1701" w:type="dxa"/>
            <w:tcBorders>
              <w:bottom w:val="single" w:sz="4" w:space="0" w:color="auto"/>
            </w:tcBorders>
          </w:tcPr>
          <w:p w14:paraId="6DEFA95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Production of POSTnote or policy brief [new materials online including project findings]</w:t>
            </w:r>
          </w:p>
        </w:tc>
        <w:tc>
          <w:tcPr>
            <w:tcW w:w="1417" w:type="dxa"/>
            <w:tcBorders>
              <w:bottom w:val="single" w:sz="4" w:space="0" w:color="auto"/>
            </w:tcBorders>
          </w:tcPr>
          <w:p w14:paraId="1E3F89E7"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Integration of findings to post-Brexit agriculture policy [citations and testimonials]</w:t>
            </w:r>
          </w:p>
        </w:tc>
        <w:tc>
          <w:tcPr>
            <w:tcW w:w="1559" w:type="dxa"/>
            <w:tcBorders>
              <w:bottom w:val="single" w:sz="4" w:space="0" w:color="auto"/>
            </w:tcBorders>
          </w:tcPr>
          <w:p w14:paraId="069A37F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Lack of interest from POST [launch GFS branded policy brief at seminars in London and Edinburgh]</w:t>
            </w:r>
          </w:p>
        </w:tc>
        <w:tc>
          <w:tcPr>
            <w:tcW w:w="1701" w:type="dxa"/>
            <w:tcBorders>
              <w:bottom w:val="single" w:sz="4" w:space="0" w:color="auto"/>
            </w:tcBorders>
          </w:tcPr>
          <w:p w14:paraId="6561B86C"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No Brexit or no policy influence [work with N8 AgriFood and GFS high level network]</w:t>
            </w:r>
          </w:p>
        </w:tc>
        <w:tc>
          <w:tcPr>
            <w:tcW w:w="1276" w:type="dxa"/>
            <w:tcBorders>
              <w:bottom w:val="single" w:sz="4" w:space="0" w:color="auto"/>
            </w:tcBorders>
          </w:tcPr>
          <w:p w14:paraId="70ED0230"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Mark with relevant Co-Is</w:t>
            </w:r>
          </w:p>
        </w:tc>
        <w:tc>
          <w:tcPr>
            <w:tcW w:w="891" w:type="dxa"/>
            <w:tcBorders>
              <w:bottom w:val="single" w:sz="4" w:space="0" w:color="auto"/>
            </w:tcBorders>
          </w:tcPr>
          <w:p w14:paraId="4F79EE69"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2020-21</w:t>
            </w:r>
          </w:p>
        </w:tc>
      </w:tr>
      <w:tr w:rsidR="0091051F" w:rsidRPr="00935576" w14:paraId="2164D6CD" w14:textId="77777777" w:rsidTr="00293E48">
        <w:tc>
          <w:tcPr>
            <w:tcW w:w="1418" w:type="dxa"/>
            <w:vMerge w:val="restart"/>
            <w:shd w:val="clear" w:color="auto" w:fill="auto"/>
          </w:tcPr>
          <w:p w14:paraId="330FF298"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r w:rsidRPr="00293E48">
              <w:rPr>
                <w:rFonts w:ascii="Avenir Book" w:eastAsia="ヒラギノ角ゴ Pro W3" w:hAnsi="Avenir Book" w:cs="Arial"/>
                <w:bCs/>
                <w:sz w:val="14"/>
                <w:szCs w:val="14"/>
                <w:lang w:eastAsia="x-none"/>
              </w:rPr>
              <w:t>Engage with innovators and influencers from business, government and the third sector to support the transformation of ecosystem management within the dairy supply chain, in Cumbria, and across different commodities at a national and international scale.</w:t>
            </w:r>
          </w:p>
          <w:p w14:paraId="05DA8D4F"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val="restart"/>
            <w:shd w:val="clear" w:color="auto" w:fill="auto"/>
          </w:tcPr>
          <w:p w14:paraId="2C6BCC3E"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Dairy industry, farmers, third sector and government.</w:t>
            </w:r>
          </w:p>
          <w:p w14:paraId="3E87375F"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646410F9"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 xml:space="preserve">Wheat farmers and supply chain </w:t>
            </w:r>
          </w:p>
          <w:p w14:paraId="6DEC1C03"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15FB8D1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6E60515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001D7A55"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05EACEF2"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1C11D902"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73BEE153"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7CD71EA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Nestle’s international network</w:t>
            </w:r>
          </w:p>
          <w:p w14:paraId="63BEF74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302060B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652A253D"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1CE3852E"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5F78FE6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3FC42383"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6293229E"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41A3F2EC"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UNCCD, UNFAO, UNEP, CGIAR</w:t>
            </w:r>
          </w:p>
        </w:tc>
        <w:tc>
          <w:tcPr>
            <w:tcW w:w="1417" w:type="dxa"/>
            <w:vMerge w:val="restart"/>
            <w:shd w:val="clear" w:color="auto" w:fill="auto"/>
          </w:tcPr>
          <w:p w14:paraId="49AB1450"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lastRenderedPageBreak/>
              <w:t>Dairy, wheat and other agricultural sectors are interested in improved resilience and profitability in the face of uncertainties from climate change, Brexit and other drivers of change</w:t>
            </w:r>
          </w:p>
          <w:p w14:paraId="43370CF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31F939A5"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 xml:space="preserve">Mainstreaming insights from this research across the company that increase resilience, </w:t>
            </w:r>
            <w:r w:rsidRPr="00293E48">
              <w:rPr>
                <w:rFonts w:ascii="Avenir Book" w:eastAsia="ヒラギノ角ゴ Pro W3" w:hAnsi="Avenir Book" w:cs="Arial"/>
                <w:bCs/>
                <w:sz w:val="14"/>
                <w:szCs w:val="14"/>
                <w:lang w:val="en-US" w:eastAsia="x-none"/>
              </w:rPr>
              <w:lastRenderedPageBreak/>
              <w:t>sustainability and profitability</w:t>
            </w:r>
          </w:p>
          <w:p w14:paraId="41254795"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p w14:paraId="4E37F466"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Mainstreaming PES as an approach to increasing funding for environmental management and so improving the resilience and sustainability of agricultural systems around the world. Contribution to strategic objectives around PES, Sustainable Land Management, climate change adaptation and other priorities in the international land sector</w:t>
            </w:r>
          </w:p>
        </w:tc>
        <w:tc>
          <w:tcPr>
            <w:tcW w:w="2127" w:type="dxa"/>
            <w:tcBorders>
              <w:bottom w:val="single" w:sz="4" w:space="0" w:color="auto"/>
            </w:tcBorders>
            <w:shd w:val="clear" w:color="auto" w:fill="auto"/>
          </w:tcPr>
          <w:p w14:paraId="53A7BBA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lastRenderedPageBreak/>
              <w:t>Set up a website and Twitter account as part of a targeted social media strategy</w:t>
            </w:r>
          </w:p>
        </w:tc>
        <w:tc>
          <w:tcPr>
            <w:tcW w:w="1701" w:type="dxa"/>
            <w:tcBorders>
              <w:bottom w:val="single" w:sz="4" w:space="0" w:color="auto"/>
            </w:tcBorders>
            <w:shd w:val="clear" w:color="auto" w:fill="auto"/>
          </w:tcPr>
          <w:p w14:paraId="64D6E443"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Website and Twitter feed launched and growing [target 200 followers by year 2, &gt;1000 by end of project]</w:t>
            </w:r>
          </w:p>
        </w:tc>
        <w:tc>
          <w:tcPr>
            <w:tcW w:w="1417" w:type="dxa"/>
            <w:tcBorders>
              <w:bottom w:val="single" w:sz="4" w:space="0" w:color="auto"/>
            </w:tcBorders>
            <w:shd w:val="clear" w:color="auto" w:fill="auto"/>
          </w:tcPr>
          <w:p w14:paraId="22FFBC14"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Expressions of interest, collaboration and application of findings from international contacts [engagement and impact captured in Evernote impact tracking system]</w:t>
            </w:r>
          </w:p>
        </w:tc>
        <w:tc>
          <w:tcPr>
            <w:tcW w:w="1559" w:type="dxa"/>
            <w:tcBorders>
              <w:bottom w:val="single" w:sz="4" w:space="0" w:color="auto"/>
            </w:tcBorders>
            <w:shd w:val="clear" w:color="auto" w:fill="auto"/>
          </w:tcPr>
          <w:p w14:paraId="47DF07A8"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Limited online engagement [training for Jenny and support from Mark Reed who has &gt;60,000 followers across his accounts]</w:t>
            </w:r>
          </w:p>
        </w:tc>
        <w:tc>
          <w:tcPr>
            <w:tcW w:w="1701" w:type="dxa"/>
            <w:tcBorders>
              <w:bottom w:val="single" w:sz="4" w:space="0" w:color="auto"/>
            </w:tcBorders>
            <w:shd w:val="clear" w:color="auto" w:fill="auto"/>
          </w:tcPr>
          <w:p w14:paraId="5235A14E"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Limited online reach reduces likelihood of opportunities arising or opportunities are missed [training for Jenny who will pass all opportunities to Mark to follow up]</w:t>
            </w:r>
          </w:p>
        </w:tc>
        <w:tc>
          <w:tcPr>
            <w:tcW w:w="1276" w:type="dxa"/>
            <w:tcBorders>
              <w:bottom w:val="single" w:sz="4" w:space="0" w:color="auto"/>
            </w:tcBorders>
            <w:shd w:val="clear" w:color="auto" w:fill="auto"/>
          </w:tcPr>
          <w:p w14:paraId="6E7A0F0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Jenny with support from Mark</w:t>
            </w:r>
          </w:p>
        </w:tc>
        <w:tc>
          <w:tcPr>
            <w:tcW w:w="891" w:type="dxa"/>
            <w:tcBorders>
              <w:bottom w:val="single" w:sz="4" w:space="0" w:color="auto"/>
            </w:tcBorders>
            <w:shd w:val="clear" w:color="auto" w:fill="auto"/>
          </w:tcPr>
          <w:p w14:paraId="5B9FED70"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Website and Twitter launched March 2018, ongoing work</w:t>
            </w:r>
          </w:p>
        </w:tc>
      </w:tr>
      <w:tr w:rsidR="0091051F" w:rsidRPr="00935576" w14:paraId="40C5F9DE" w14:textId="77777777" w:rsidTr="00293E48">
        <w:tc>
          <w:tcPr>
            <w:tcW w:w="1418" w:type="dxa"/>
            <w:vMerge/>
            <w:shd w:val="clear" w:color="auto" w:fill="auto"/>
          </w:tcPr>
          <w:p w14:paraId="34914CA4"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shd w:val="clear" w:color="auto" w:fill="auto"/>
          </w:tcPr>
          <w:p w14:paraId="45360512"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shd w:val="clear" w:color="auto" w:fill="auto"/>
          </w:tcPr>
          <w:p w14:paraId="446D670B"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shd w:val="clear" w:color="auto" w:fill="auto"/>
          </w:tcPr>
          <w:p w14:paraId="3416F33A" w14:textId="62719453" w:rsidR="0091051F" w:rsidRPr="00293E48" w:rsidRDefault="0091051F" w:rsidP="00293E48">
            <w:pPr>
              <w:spacing w:after="0" w:line="204" w:lineRule="auto"/>
              <w:rPr>
                <w:rFonts w:ascii="Avenir Book" w:eastAsia="ヒラギノ角ゴ Pro W3" w:hAnsi="Avenir Book" w:cs="Arial"/>
                <w:bCs/>
                <w:sz w:val="14"/>
                <w:szCs w:val="14"/>
                <w:lang w:eastAsia="x-none"/>
              </w:rPr>
            </w:pPr>
            <w:r w:rsidRPr="00293E48">
              <w:rPr>
                <w:rFonts w:ascii="Avenir Book" w:eastAsia="ヒラギノ角ゴ Pro W3" w:hAnsi="Avenir Book" w:cs="Arial"/>
                <w:bCs/>
                <w:sz w:val="14"/>
                <w:szCs w:val="14"/>
                <w:lang w:val="en-US" w:eastAsia="x-none"/>
              </w:rPr>
              <w:t xml:space="preserve">Produce two short films targeting dairy </w:t>
            </w:r>
            <w:r w:rsidR="004F2DF8">
              <w:rPr>
                <w:rFonts w:ascii="Avenir Book" w:eastAsia="ヒラギノ角ゴ Pro W3" w:hAnsi="Avenir Book" w:cs="Arial"/>
                <w:bCs/>
                <w:sz w:val="14"/>
                <w:szCs w:val="14"/>
                <w:lang w:val="en-US" w:eastAsia="x-none"/>
              </w:rPr>
              <w:t>industry</w:t>
            </w:r>
            <w:r w:rsidRPr="00293E48">
              <w:rPr>
                <w:rFonts w:ascii="Avenir Book" w:eastAsia="ヒラギノ角ゴ Pro W3" w:hAnsi="Avenir Book" w:cs="Arial"/>
                <w:bCs/>
                <w:sz w:val="14"/>
                <w:szCs w:val="14"/>
                <w:lang w:val="en-US" w:eastAsia="x-none"/>
              </w:rPr>
              <w:t xml:space="preserve"> and the policy community: i) evidence-based scenario films depicting different dairy sector futures; ii) project overview film </w:t>
            </w:r>
            <w:r w:rsidRPr="00293E48">
              <w:rPr>
                <w:rFonts w:ascii="Avenir Book" w:eastAsia="ヒラギノ角ゴ Pro W3" w:hAnsi="Avenir Book" w:cs="Arial"/>
                <w:bCs/>
                <w:sz w:val="14"/>
                <w:szCs w:val="14"/>
                <w:lang w:eastAsia="x-none"/>
              </w:rPr>
              <w:t xml:space="preserve">with </w:t>
            </w:r>
            <w:r w:rsidRPr="00293E48">
              <w:rPr>
                <w:rFonts w:ascii="Avenir Book" w:eastAsia="ヒラギノ角ゴ Pro W3" w:hAnsi="Avenir Book" w:cs="Arial"/>
                <w:bCs/>
                <w:sz w:val="14"/>
                <w:szCs w:val="14"/>
                <w:lang w:eastAsia="x-none"/>
              </w:rPr>
              <w:lastRenderedPageBreak/>
              <w:t>recommendations to enhance the resilience and sustainability of UK and international dairy systems</w:t>
            </w:r>
          </w:p>
        </w:tc>
        <w:tc>
          <w:tcPr>
            <w:tcW w:w="1701" w:type="dxa"/>
            <w:shd w:val="clear" w:color="auto" w:fill="auto"/>
          </w:tcPr>
          <w:p w14:paraId="6F7DD6ED" w14:textId="23635C9F"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lastRenderedPageBreak/>
              <w:t xml:space="preserve">Films used to support Social Innovation Labs, qualitative interviews and events with </w:t>
            </w:r>
            <w:r w:rsidR="004F2DF8">
              <w:rPr>
                <w:rFonts w:ascii="Avenir Book" w:eastAsia="ヒラギノ角ゴ Pro W3" w:hAnsi="Avenir Book" w:cs="Arial"/>
                <w:bCs/>
                <w:sz w:val="14"/>
                <w:szCs w:val="14"/>
                <w:lang w:val="en-US" w:eastAsia="x-none"/>
              </w:rPr>
              <w:t>relevant groups</w:t>
            </w:r>
            <w:r w:rsidRPr="00293E48">
              <w:rPr>
                <w:rFonts w:ascii="Avenir Book" w:eastAsia="ヒラギノ角ゴ Pro W3" w:hAnsi="Avenir Book" w:cs="Arial"/>
                <w:bCs/>
                <w:sz w:val="14"/>
                <w:szCs w:val="14"/>
                <w:lang w:val="en-US" w:eastAsia="x-none"/>
              </w:rPr>
              <w:t xml:space="preserve"> [integration of films into successful events]</w:t>
            </w:r>
          </w:p>
        </w:tc>
        <w:tc>
          <w:tcPr>
            <w:tcW w:w="1417" w:type="dxa"/>
            <w:shd w:val="clear" w:color="auto" w:fill="auto"/>
          </w:tcPr>
          <w:p w14:paraId="49AB40A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See indicators for SILs and policy engagement</w:t>
            </w:r>
          </w:p>
        </w:tc>
        <w:tc>
          <w:tcPr>
            <w:tcW w:w="1559" w:type="dxa"/>
            <w:shd w:val="clear" w:color="auto" w:fill="auto"/>
          </w:tcPr>
          <w:p w14:paraId="49DC1890"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See risks for SILs and policy engagement activities</w:t>
            </w:r>
          </w:p>
        </w:tc>
        <w:tc>
          <w:tcPr>
            <w:tcW w:w="1701" w:type="dxa"/>
            <w:shd w:val="clear" w:color="auto" w:fill="auto"/>
          </w:tcPr>
          <w:p w14:paraId="1BA73A9C"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See risks for SILs and policy engagement activities</w:t>
            </w:r>
          </w:p>
        </w:tc>
        <w:tc>
          <w:tcPr>
            <w:tcW w:w="1276" w:type="dxa"/>
            <w:shd w:val="clear" w:color="auto" w:fill="auto"/>
          </w:tcPr>
          <w:p w14:paraId="79803488"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Jenny and Mark with BITC and 3Keel</w:t>
            </w:r>
          </w:p>
        </w:tc>
        <w:tc>
          <w:tcPr>
            <w:tcW w:w="891" w:type="dxa"/>
            <w:shd w:val="clear" w:color="auto" w:fill="auto"/>
          </w:tcPr>
          <w:p w14:paraId="466C38A5"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Early 2019</w:t>
            </w:r>
          </w:p>
        </w:tc>
      </w:tr>
      <w:tr w:rsidR="0091051F" w:rsidRPr="00935576" w14:paraId="019FF6E8" w14:textId="77777777" w:rsidTr="00293E48">
        <w:tc>
          <w:tcPr>
            <w:tcW w:w="1418" w:type="dxa"/>
            <w:vMerge/>
            <w:shd w:val="clear" w:color="auto" w:fill="auto"/>
          </w:tcPr>
          <w:p w14:paraId="060F9105"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shd w:val="clear" w:color="auto" w:fill="auto"/>
          </w:tcPr>
          <w:p w14:paraId="1E3B185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shd w:val="clear" w:color="auto" w:fill="auto"/>
          </w:tcPr>
          <w:p w14:paraId="5C21FCA0"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shd w:val="clear" w:color="auto" w:fill="auto"/>
          </w:tcPr>
          <w:p w14:paraId="1EE56E5A"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eastAsia="x-none"/>
              </w:rPr>
              <w:t xml:space="preserve">Produce </w:t>
            </w:r>
            <w:r w:rsidRPr="00293E48">
              <w:rPr>
                <w:rFonts w:ascii="Avenir Book" w:eastAsia="ヒラギノ角ゴ Pro W3" w:hAnsi="Avenir Book" w:cs="Arial"/>
                <w:bCs/>
                <w:sz w:val="14"/>
                <w:szCs w:val="14"/>
                <w:lang w:val="en-US" w:eastAsia="x-none"/>
              </w:rPr>
              <w:t>shorter edited versions of the films above for promotion to publics and other audiences via social media</w:t>
            </w:r>
          </w:p>
        </w:tc>
        <w:tc>
          <w:tcPr>
            <w:tcW w:w="1701" w:type="dxa"/>
            <w:shd w:val="clear" w:color="auto" w:fill="auto"/>
          </w:tcPr>
          <w:p w14:paraId="62C73F92"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Strong engagement with films online [&gt;100 views in first quarter, rising to &gt;1000 by end project]</w:t>
            </w:r>
          </w:p>
        </w:tc>
        <w:tc>
          <w:tcPr>
            <w:tcW w:w="1417" w:type="dxa"/>
            <w:shd w:val="clear" w:color="auto" w:fill="auto"/>
          </w:tcPr>
          <w:p w14:paraId="10DEABD1"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Expressions of interest, collaboration and application of findings from international contacts [engagement and impact captured in Evernote impact tracking system]</w:t>
            </w:r>
          </w:p>
        </w:tc>
        <w:tc>
          <w:tcPr>
            <w:tcW w:w="1559" w:type="dxa"/>
            <w:shd w:val="clear" w:color="auto" w:fill="auto"/>
          </w:tcPr>
          <w:p w14:paraId="49723A5B"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Limited online engagement [training for Jenny and support from Mark Reed who has &gt;60,000 followers across his accounts]</w:t>
            </w:r>
          </w:p>
        </w:tc>
        <w:tc>
          <w:tcPr>
            <w:tcW w:w="1701" w:type="dxa"/>
            <w:shd w:val="clear" w:color="auto" w:fill="auto"/>
          </w:tcPr>
          <w:p w14:paraId="3E358F33"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Limited online reach reduces likelihood of opportunities arising or opportunities are missed [training for Jenny who will pass all opportunities to Mark to follow up]</w:t>
            </w:r>
          </w:p>
        </w:tc>
        <w:tc>
          <w:tcPr>
            <w:tcW w:w="1276" w:type="dxa"/>
            <w:shd w:val="clear" w:color="auto" w:fill="auto"/>
          </w:tcPr>
          <w:p w14:paraId="27C35EB6"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Jenny with support from Mark</w:t>
            </w:r>
          </w:p>
        </w:tc>
        <w:tc>
          <w:tcPr>
            <w:tcW w:w="891" w:type="dxa"/>
            <w:shd w:val="clear" w:color="auto" w:fill="auto"/>
          </w:tcPr>
          <w:p w14:paraId="0D153507"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2019</w:t>
            </w:r>
          </w:p>
        </w:tc>
      </w:tr>
      <w:tr w:rsidR="0091051F" w:rsidRPr="00935576" w14:paraId="609FC437" w14:textId="77777777" w:rsidTr="00293E48">
        <w:tc>
          <w:tcPr>
            <w:tcW w:w="1418" w:type="dxa"/>
            <w:vMerge/>
            <w:shd w:val="clear" w:color="auto" w:fill="auto"/>
          </w:tcPr>
          <w:p w14:paraId="70CFDFF2"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shd w:val="clear" w:color="auto" w:fill="auto"/>
          </w:tcPr>
          <w:p w14:paraId="71CF338F"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shd w:val="clear" w:color="auto" w:fill="auto"/>
          </w:tcPr>
          <w:p w14:paraId="34F9E8DD"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shd w:val="clear" w:color="auto" w:fill="auto"/>
          </w:tcPr>
          <w:p w14:paraId="7267401F" w14:textId="500509B8"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 xml:space="preserve">Present research findings at </w:t>
            </w:r>
            <w:r w:rsidR="004F2DF8">
              <w:rPr>
                <w:rFonts w:ascii="Avenir Book" w:eastAsia="ヒラギノ角ゴ Pro W3" w:hAnsi="Avenir Book" w:cs="Arial"/>
                <w:bCs/>
                <w:sz w:val="14"/>
                <w:szCs w:val="14"/>
                <w:lang w:val="en-US" w:eastAsia="x-none"/>
              </w:rPr>
              <w:t>relevant</w:t>
            </w:r>
            <w:r w:rsidRPr="00293E48">
              <w:rPr>
                <w:rFonts w:ascii="Avenir Book" w:eastAsia="ヒラギノ角ゴ Pro W3" w:hAnsi="Avenir Book" w:cs="Arial"/>
                <w:bCs/>
                <w:sz w:val="14"/>
                <w:szCs w:val="14"/>
                <w:lang w:val="en-US" w:eastAsia="x-none"/>
              </w:rPr>
              <w:t xml:space="preserve"> events/conferences</w:t>
            </w:r>
          </w:p>
        </w:tc>
        <w:tc>
          <w:tcPr>
            <w:tcW w:w="1701" w:type="dxa"/>
            <w:shd w:val="clear" w:color="auto" w:fill="auto"/>
          </w:tcPr>
          <w:p w14:paraId="7E13DD4B"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Presentations at one or more event per year in last three years of project [slides]</w:t>
            </w:r>
          </w:p>
        </w:tc>
        <w:tc>
          <w:tcPr>
            <w:tcW w:w="1417" w:type="dxa"/>
            <w:shd w:val="clear" w:color="auto" w:fill="auto"/>
          </w:tcPr>
          <w:p w14:paraId="5B1D8626"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As above</w:t>
            </w:r>
          </w:p>
        </w:tc>
        <w:tc>
          <w:tcPr>
            <w:tcW w:w="1559" w:type="dxa"/>
            <w:shd w:val="clear" w:color="auto" w:fill="auto"/>
          </w:tcPr>
          <w:p w14:paraId="16B03C0B"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Limited engagement at or after events [careful selection of events in collaboration with non-academic partners]</w:t>
            </w:r>
          </w:p>
        </w:tc>
        <w:tc>
          <w:tcPr>
            <w:tcW w:w="1701" w:type="dxa"/>
            <w:shd w:val="clear" w:color="auto" w:fill="auto"/>
          </w:tcPr>
          <w:p w14:paraId="01FC3C7B"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Poor engagement limits opportunities or opportunities are missed [target more relevant events based on lessons learned]</w:t>
            </w:r>
          </w:p>
        </w:tc>
        <w:tc>
          <w:tcPr>
            <w:tcW w:w="1276" w:type="dxa"/>
            <w:shd w:val="clear" w:color="auto" w:fill="auto"/>
          </w:tcPr>
          <w:p w14:paraId="44A8DCED"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All Co-Is</w:t>
            </w:r>
          </w:p>
        </w:tc>
        <w:tc>
          <w:tcPr>
            <w:tcW w:w="891" w:type="dxa"/>
            <w:shd w:val="clear" w:color="auto" w:fill="auto"/>
          </w:tcPr>
          <w:p w14:paraId="1D304A5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2019-21</w:t>
            </w:r>
          </w:p>
        </w:tc>
      </w:tr>
      <w:tr w:rsidR="0091051F" w:rsidRPr="00935576" w14:paraId="3709F8A5" w14:textId="77777777" w:rsidTr="00293E48">
        <w:tc>
          <w:tcPr>
            <w:tcW w:w="1418" w:type="dxa"/>
            <w:vMerge/>
            <w:shd w:val="clear" w:color="auto" w:fill="auto"/>
          </w:tcPr>
          <w:p w14:paraId="6C37540F"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shd w:val="clear" w:color="auto" w:fill="auto"/>
          </w:tcPr>
          <w:p w14:paraId="21A0BABD"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shd w:val="clear" w:color="auto" w:fill="auto"/>
          </w:tcPr>
          <w:p w14:paraId="2E289EBB"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shd w:val="clear" w:color="auto" w:fill="auto"/>
          </w:tcPr>
          <w:p w14:paraId="675E3D01"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r w:rsidRPr="00293E48">
              <w:rPr>
                <w:rFonts w:ascii="Avenir Book" w:eastAsia="ヒラギノ角ゴ Pro W3" w:hAnsi="Avenir Book" w:cs="Arial"/>
                <w:bCs/>
                <w:sz w:val="14"/>
                <w:szCs w:val="14"/>
                <w:lang w:eastAsia="x-none"/>
              </w:rPr>
              <w:t xml:space="preserve">Work closely with the </w:t>
            </w:r>
            <w:r w:rsidRPr="00293E48">
              <w:rPr>
                <w:rFonts w:ascii="Avenir Book" w:eastAsia="ヒラギノ角ゴ Pro W3" w:hAnsi="Avenir Book" w:cs="Arial"/>
                <w:bCs/>
                <w:sz w:val="14"/>
                <w:szCs w:val="14"/>
                <w:lang w:val="en-US" w:eastAsia="x-none"/>
              </w:rPr>
              <w:t xml:space="preserve">Sustainable Intensification Platform, Centre for the Evaluation of Complexity Across Nexus &amp; </w:t>
            </w:r>
            <w:r w:rsidRPr="00293E48">
              <w:rPr>
                <w:rFonts w:ascii="Avenir Book" w:eastAsia="ヒラギノ角ゴ Pro W3" w:hAnsi="Avenir Book" w:cs="Arial"/>
                <w:bCs/>
                <w:sz w:val="14"/>
                <w:szCs w:val="14"/>
                <w:lang w:eastAsia="x-none"/>
              </w:rPr>
              <w:t xml:space="preserve">GFS projects in joint events/ briefings </w:t>
            </w:r>
          </w:p>
        </w:tc>
        <w:tc>
          <w:tcPr>
            <w:tcW w:w="1701" w:type="dxa"/>
            <w:shd w:val="clear" w:color="auto" w:fill="auto"/>
          </w:tcPr>
          <w:p w14:paraId="25573DBC"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Engagement in at least one joint event with CECAN and other GFS projects [event records]</w:t>
            </w:r>
          </w:p>
        </w:tc>
        <w:tc>
          <w:tcPr>
            <w:tcW w:w="1417" w:type="dxa"/>
            <w:shd w:val="clear" w:color="auto" w:fill="auto"/>
          </w:tcPr>
          <w:p w14:paraId="1EE81E2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As above</w:t>
            </w:r>
          </w:p>
        </w:tc>
        <w:tc>
          <w:tcPr>
            <w:tcW w:w="1559" w:type="dxa"/>
            <w:shd w:val="clear" w:color="auto" w:fill="auto"/>
          </w:tcPr>
          <w:p w14:paraId="49D8A0BE"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As above</w:t>
            </w:r>
          </w:p>
        </w:tc>
        <w:tc>
          <w:tcPr>
            <w:tcW w:w="1701" w:type="dxa"/>
            <w:shd w:val="clear" w:color="auto" w:fill="auto"/>
          </w:tcPr>
          <w:p w14:paraId="169B812D"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As above</w:t>
            </w:r>
          </w:p>
        </w:tc>
        <w:tc>
          <w:tcPr>
            <w:tcW w:w="1276" w:type="dxa"/>
            <w:shd w:val="clear" w:color="auto" w:fill="auto"/>
          </w:tcPr>
          <w:p w14:paraId="66B76141"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Jenny and Mark</w:t>
            </w:r>
          </w:p>
        </w:tc>
        <w:tc>
          <w:tcPr>
            <w:tcW w:w="891" w:type="dxa"/>
            <w:shd w:val="clear" w:color="auto" w:fill="auto"/>
          </w:tcPr>
          <w:p w14:paraId="241AE683"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r w:rsidRPr="00293E48">
              <w:rPr>
                <w:rFonts w:ascii="Avenir Book" w:eastAsia="ヒラギノ角ゴ Pro W3" w:hAnsi="Avenir Book" w:cs="Arial"/>
                <w:bCs/>
                <w:sz w:val="14"/>
                <w:szCs w:val="14"/>
                <w:lang w:val="en-US" w:eastAsia="x-none"/>
              </w:rPr>
              <w:t>Ongoing</w:t>
            </w:r>
          </w:p>
        </w:tc>
      </w:tr>
      <w:tr w:rsidR="0091051F" w:rsidRPr="00935576" w14:paraId="2C170663" w14:textId="77777777" w:rsidTr="00A52648">
        <w:trPr>
          <w:trHeight w:val="678"/>
        </w:trPr>
        <w:tc>
          <w:tcPr>
            <w:tcW w:w="1418" w:type="dxa"/>
            <w:vMerge/>
            <w:shd w:val="clear" w:color="auto" w:fill="auto"/>
          </w:tcPr>
          <w:p w14:paraId="1494AF9B"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p>
        </w:tc>
        <w:tc>
          <w:tcPr>
            <w:tcW w:w="1701" w:type="dxa"/>
            <w:vMerge/>
            <w:shd w:val="clear" w:color="auto" w:fill="auto"/>
          </w:tcPr>
          <w:p w14:paraId="272182BC" w14:textId="77777777" w:rsidR="0091051F" w:rsidRPr="00293E48" w:rsidRDefault="0091051F" w:rsidP="00293E48">
            <w:pPr>
              <w:spacing w:after="0" w:line="204" w:lineRule="auto"/>
              <w:rPr>
                <w:rFonts w:ascii="Avenir Book" w:eastAsia="ヒラギノ角ゴ Pro W3" w:hAnsi="Avenir Book" w:cs="Arial"/>
                <w:bCs/>
                <w:sz w:val="14"/>
                <w:szCs w:val="14"/>
                <w:lang w:val="en-US" w:eastAsia="x-none"/>
              </w:rPr>
            </w:pPr>
          </w:p>
        </w:tc>
        <w:tc>
          <w:tcPr>
            <w:tcW w:w="1417" w:type="dxa"/>
            <w:vMerge/>
            <w:shd w:val="clear" w:color="auto" w:fill="auto"/>
          </w:tcPr>
          <w:p w14:paraId="4BA12D54"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p>
        </w:tc>
        <w:tc>
          <w:tcPr>
            <w:tcW w:w="2127" w:type="dxa"/>
            <w:shd w:val="clear" w:color="auto" w:fill="auto"/>
          </w:tcPr>
          <w:p w14:paraId="0154D0DA" w14:textId="77777777" w:rsidR="0091051F" w:rsidRPr="00293E48" w:rsidRDefault="0091051F" w:rsidP="00293E48">
            <w:pPr>
              <w:spacing w:after="0" w:line="204" w:lineRule="auto"/>
              <w:rPr>
                <w:rFonts w:ascii="Avenir Book" w:eastAsia="ヒラギノ角ゴ Pro W3" w:hAnsi="Avenir Book" w:cs="Arial"/>
                <w:bCs/>
                <w:sz w:val="14"/>
                <w:szCs w:val="14"/>
                <w:lang w:eastAsia="x-none"/>
              </w:rPr>
            </w:pPr>
            <w:r w:rsidRPr="00293E48">
              <w:rPr>
                <w:rFonts w:ascii="Avenir Book" w:eastAsia="ヒラギノ角ゴ Pro W3" w:hAnsi="Avenir Book" w:cs="Arial"/>
                <w:bCs/>
                <w:color w:val="000000" w:themeColor="text1"/>
                <w:sz w:val="14"/>
                <w:szCs w:val="14"/>
                <w:lang w:val="en-US" w:eastAsia="x-none"/>
              </w:rPr>
              <w:t xml:space="preserve">Second BITC-led “Seeing is Believing” visits on behalf of Prince of Wales: </w:t>
            </w:r>
            <w:r w:rsidRPr="00293E48">
              <w:rPr>
                <w:rFonts w:ascii="Avenir Book" w:eastAsia="ヒラギノ角ゴ Pro W3" w:hAnsi="Avenir Book" w:cs="Arial"/>
                <w:bCs/>
                <w:color w:val="000000" w:themeColor="text1"/>
                <w:sz w:val="14"/>
                <w:szCs w:val="14"/>
                <w:lang w:eastAsia="x-none"/>
              </w:rPr>
              <w:t>for business with international supply chains</w:t>
            </w:r>
          </w:p>
        </w:tc>
        <w:tc>
          <w:tcPr>
            <w:tcW w:w="1701" w:type="dxa"/>
            <w:shd w:val="clear" w:color="auto" w:fill="auto"/>
          </w:tcPr>
          <w:p w14:paraId="2DDCECCD"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Events well attended by relevant people [event records]</w:t>
            </w:r>
          </w:p>
        </w:tc>
        <w:tc>
          <w:tcPr>
            <w:tcW w:w="1417" w:type="dxa"/>
            <w:shd w:val="clear" w:color="auto" w:fill="auto"/>
          </w:tcPr>
          <w:p w14:paraId="0F753165" w14:textId="0BD4FBD9" w:rsidR="0091051F" w:rsidRPr="00293E48" w:rsidRDefault="00A52648" w:rsidP="00293E48">
            <w:pPr>
              <w:spacing w:after="0" w:line="204" w:lineRule="auto"/>
              <w:rPr>
                <w:rFonts w:ascii="Avenir Book" w:eastAsia="ヒラギノ角ゴ Pro W3" w:hAnsi="Avenir Book" w:cs="Arial"/>
                <w:bCs/>
                <w:sz w:val="14"/>
                <w:szCs w:val="14"/>
                <w:lang w:val="x-none" w:eastAsia="x-none"/>
              </w:rPr>
            </w:pPr>
            <w:r>
              <w:rPr>
                <w:rFonts w:ascii="Avenir Book" w:eastAsia="ヒラギノ角ゴ Pro W3" w:hAnsi="Avenir Book" w:cs="Arial"/>
                <w:bCs/>
                <w:sz w:val="14"/>
                <w:szCs w:val="14"/>
                <w:lang w:val="en-US" w:eastAsia="x-none"/>
              </w:rPr>
              <w:t>A</w:t>
            </w:r>
            <w:r w:rsidR="0091051F" w:rsidRPr="00293E48">
              <w:rPr>
                <w:rFonts w:ascii="Avenir Book" w:eastAsia="ヒラギノ角ゴ Pro W3" w:hAnsi="Avenir Book" w:cs="Arial"/>
                <w:bCs/>
                <w:sz w:val="14"/>
                <w:szCs w:val="14"/>
                <w:lang w:val="en-US" w:eastAsia="x-none"/>
              </w:rPr>
              <w:t>wareness &amp; new practices [“postcard to your future self” and online survey after event, with follow-up after 6 months]</w:t>
            </w:r>
          </w:p>
        </w:tc>
        <w:tc>
          <w:tcPr>
            <w:tcW w:w="1559" w:type="dxa"/>
            <w:shd w:val="clear" w:color="auto" w:fill="auto"/>
          </w:tcPr>
          <w:p w14:paraId="1DF4A228"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 xml:space="preserve">Weak attendance [BITC has strong reputation and network, and has track record of strong attendance]  </w:t>
            </w:r>
          </w:p>
        </w:tc>
        <w:tc>
          <w:tcPr>
            <w:tcW w:w="1701" w:type="dxa"/>
            <w:shd w:val="clear" w:color="auto" w:fill="auto"/>
          </w:tcPr>
          <w:p w14:paraId="4CFDAC0A"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Ideas not adopted [understand why from survey responses and adapt to feedback]</w:t>
            </w:r>
          </w:p>
        </w:tc>
        <w:tc>
          <w:tcPr>
            <w:tcW w:w="1276" w:type="dxa"/>
            <w:shd w:val="clear" w:color="auto" w:fill="auto"/>
          </w:tcPr>
          <w:p w14:paraId="3ABDD31D"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Jenny and Mark, SurveyMonkey account</w:t>
            </w:r>
          </w:p>
        </w:tc>
        <w:tc>
          <w:tcPr>
            <w:tcW w:w="891" w:type="dxa"/>
            <w:shd w:val="clear" w:color="auto" w:fill="auto"/>
          </w:tcPr>
          <w:p w14:paraId="1F58C8AB" w14:textId="77777777" w:rsidR="0091051F" w:rsidRPr="00293E48" w:rsidRDefault="0091051F" w:rsidP="00293E48">
            <w:pPr>
              <w:spacing w:after="0" w:line="204" w:lineRule="auto"/>
              <w:rPr>
                <w:rFonts w:ascii="Avenir Book" w:eastAsia="ヒラギノ角ゴ Pro W3" w:hAnsi="Avenir Book" w:cs="Arial"/>
                <w:bCs/>
                <w:sz w:val="14"/>
                <w:szCs w:val="14"/>
                <w:lang w:val="x-none" w:eastAsia="x-none"/>
              </w:rPr>
            </w:pPr>
            <w:r w:rsidRPr="00293E48">
              <w:rPr>
                <w:rFonts w:ascii="Avenir Book" w:eastAsia="ヒラギノ角ゴ Pro W3" w:hAnsi="Avenir Book" w:cs="Arial"/>
                <w:bCs/>
                <w:sz w:val="14"/>
                <w:szCs w:val="14"/>
                <w:lang w:val="en-US" w:eastAsia="x-none"/>
              </w:rPr>
              <w:t>2021</w:t>
            </w:r>
          </w:p>
        </w:tc>
      </w:tr>
    </w:tbl>
    <w:p w14:paraId="4FB53AC2" w14:textId="5E44B4DC" w:rsidR="00C65A0D" w:rsidRPr="00444236" w:rsidRDefault="00C65A0D" w:rsidP="00A52648">
      <w:pPr>
        <w:pStyle w:val="NormalWeb"/>
        <w:spacing w:before="0" w:beforeAutospacing="0" w:after="0" w:afterAutospacing="0"/>
      </w:pPr>
    </w:p>
    <w:sectPr w:rsidR="00C65A0D" w:rsidRPr="00444236" w:rsidSect="00C66A09">
      <w:headerReference w:type="default" r:id="rId8"/>
      <w:pgSz w:w="16840" w:h="11900" w:orient="landscape"/>
      <w:pgMar w:top="1440" w:right="1440" w:bottom="1440" w:left="119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EB25C" w14:textId="77777777" w:rsidR="00414D90" w:rsidRDefault="00414D90" w:rsidP="00FB5991">
      <w:pPr>
        <w:spacing w:after="0" w:line="240" w:lineRule="auto"/>
      </w:pPr>
      <w:r>
        <w:separator/>
      </w:r>
    </w:p>
  </w:endnote>
  <w:endnote w:type="continuationSeparator" w:id="0">
    <w:p w14:paraId="6911F83E" w14:textId="77777777" w:rsidR="00414D90" w:rsidRDefault="00414D90" w:rsidP="00FB5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Grande">
    <w:charset w:val="00"/>
    <w:family w:val="swiss"/>
    <w:pitch w:val="variable"/>
    <w:sig w:usb0="E1000AEF" w:usb1="5000A1FF" w:usb2="00000000" w:usb3="00000000" w:csb0="000001BF" w:csb1="00000000"/>
  </w:font>
  <w:font w:name="Times">
    <w:panose1 w:val="02020603050405020304"/>
    <w:charset w:val="00"/>
    <w:family w:val="roman"/>
    <w:pitch w:val="variable"/>
    <w:sig w:usb0="E0002EFF" w:usb1="C000785B" w:usb2="00000009" w:usb3="00000000" w:csb0="000001FF" w:csb1="00000000"/>
  </w:font>
  <w:font w:name="Proxima Nova">
    <w:altName w:val="Yu Gothic"/>
    <w:panose1 w:val="00000000000000000000"/>
    <w:charset w:val="80"/>
    <w:family w:val="auto"/>
    <w:notTrueType/>
    <w:pitch w:val="variable"/>
    <w:sig w:usb0="20000287" w:usb1="08070001" w:usb2="00000010" w:usb3="00000000" w:csb0="0002019F" w:csb1="00000000"/>
  </w:font>
  <w:font w:name="Avenir Light">
    <w:altName w:val="Calibri"/>
    <w:charset w:val="4D"/>
    <w:family w:val="swiss"/>
    <w:pitch w:val="variable"/>
    <w:sig w:usb0="800000AF" w:usb1="5000204A" w:usb2="00000000" w:usb3="00000000" w:csb0="0000009B" w:csb1="00000000"/>
  </w:font>
  <w:font w:name="Avenir Medium">
    <w:altName w:val="Calibri"/>
    <w:charset w:val="00"/>
    <w:family w:val="auto"/>
    <w:pitch w:val="variable"/>
    <w:sig w:usb0="800000AF" w:usb1="5000204A" w:usb2="00000000" w:usb3="00000000" w:csb0="0000009B" w:csb1="00000000"/>
  </w:font>
  <w:font w:name="ヒラギノ角ゴ Pro W3">
    <w:charset w:val="4E"/>
    <w:family w:val="auto"/>
    <w:pitch w:val="variable"/>
    <w:sig w:usb0="E00002FF" w:usb1="7AC7FFFF" w:usb2="00000012" w:usb3="00000000" w:csb0="0002000D" w:csb1="00000000"/>
  </w:font>
  <w:font w:name="Avenir">
    <w:altName w:val="Calibri"/>
    <w:charset w:val="00"/>
    <w:family w:val="auto"/>
    <w:pitch w:val="variable"/>
    <w:sig w:usb0="800000AF" w:usb1="5000204A" w:usb2="00000000" w:usb3="00000000" w:csb0="0000009B" w:csb1="00000000"/>
  </w:font>
  <w:font w:name="Avenir Book">
    <w:altName w:val="Tw Cen MT"/>
    <w:charset w:val="00"/>
    <w:family w:val="auto"/>
    <w:pitch w:val="variable"/>
    <w:sig w:usb0="800000AF" w:usb1="5000204A" w:usb2="00000000" w:usb3="00000000" w:csb0="0000009B"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195B8" w14:textId="77777777" w:rsidR="00414D90" w:rsidRDefault="00414D90" w:rsidP="00FB5991">
      <w:pPr>
        <w:spacing w:after="0" w:line="240" w:lineRule="auto"/>
      </w:pPr>
      <w:r>
        <w:separator/>
      </w:r>
    </w:p>
  </w:footnote>
  <w:footnote w:type="continuationSeparator" w:id="0">
    <w:p w14:paraId="189FDDA7" w14:textId="77777777" w:rsidR="00414D90" w:rsidRDefault="00414D90" w:rsidP="00FB59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67A0C" w14:textId="77777777" w:rsidR="00CD29FB" w:rsidRDefault="00CD29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65469"/>
    <w:multiLevelType w:val="hybridMultilevel"/>
    <w:tmpl w:val="1DC0A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60FE5"/>
    <w:multiLevelType w:val="hybridMultilevel"/>
    <w:tmpl w:val="D9A636BA"/>
    <w:lvl w:ilvl="0" w:tplc="A2AAE000">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C13E12"/>
    <w:multiLevelType w:val="multilevel"/>
    <w:tmpl w:val="08922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384757">
    <w:abstractNumId w:val="0"/>
  </w:num>
  <w:num w:numId="2" w16cid:durableId="1910190680">
    <w:abstractNumId w:val="2"/>
  </w:num>
  <w:num w:numId="3" w16cid:durableId="4421154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ShadeFormData/>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567"/>
    <w:rsid w:val="00043B4E"/>
    <w:rsid w:val="000627F2"/>
    <w:rsid w:val="00091F7A"/>
    <w:rsid w:val="000D2264"/>
    <w:rsid w:val="0013455A"/>
    <w:rsid w:val="00142EA8"/>
    <w:rsid w:val="001538F1"/>
    <w:rsid w:val="0016725C"/>
    <w:rsid w:val="001A3AB4"/>
    <w:rsid w:val="001B4A4E"/>
    <w:rsid w:val="001C5B38"/>
    <w:rsid w:val="001E490F"/>
    <w:rsid w:val="0020468A"/>
    <w:rsid w:val="00235D8C"/>
    <w:rsid w:val="00293E48"/>
    <w:rsid w:val="002A57A1"/>
    <w:rsid w:val="002B0567"/>
    <w:rsid w:val="002B6B9B"/>
    <w:rsid w:val="003179E9"/>
    <w:rsid w:val="0034025E"/>
    <w:rsid w:val="00376FBA"/>
    <w:rsid w:val="003E3B77"/>
    <w:rsid w:val="003E7E54"/>
    <w:rsid w:val="00414D90"/>
    <w:rsid w:val="00444236"/>
    <w:rsid w:val="00473696"/>
    <w:rsid w:val="004D2219"/>
    <w:rsid w:val="004D7448"/>
    <w:rsid w:val="004F2DF8"/>
    <w:rsid w:val="004F5BC9"/>
    <w:rsid w:val="00511AA9"/>
    <w:rsid w:val="005133AE"/>
    <w:rsid w:val="005134DF"/>
    <w:rsid w:val="0053012E"/>
    <w:rsid w:val="00573DB8"/>
    <w:rsid w:val="00643B80"/>
    <w:rsid w:val="00735BDD"/>
    <w:rsid w:val="007363CF"/>
    <w:rsid w:val="00757FE0"/>
    <w:rsid w:val="00771290"/>
    <w:rsid w:val="00781AED"/>
    <w:rsid w:val="007D5157"/>
    <w:rsid w:val="00816835"/>
    <w:rsid w:val="00820C02"/>
    <w:rsid w:val="00831170"/>
    <w:rsid w:val="008454D9"/>
    <w:rsid w:val="008A7278"/>
    <w:rsid w:val="008D7C1F"/>
    <w:rsid w:val="008E7ECA"/>
    <w:rsid w:val="008F3B7F"/>
    <w:rsid w:val="008F5A52"/>
    <w:rsid w:val="0091051F"/>
    <w:rsid w:val="009612E9"/>
    <w:rsid w:val="009A0DDA"/>
    <w:rsid w:val="009C6A0F"/>
    <w:rsid w:val="00A52648"/>
    <w:rsid w:val="00AE73F4"/>
    <w:rsid w:val="00B23BEB"/>
    <w:rsid w:val="00B92B1A"/>
    <w:rsid w:val="00C002ED"/>
    <w:rsid w:val="00C65A0D"/>
    <w:rsid w:val="00C66A09"/>
    <w:rsid w:val="00C9593B"/>
    <w:rsid w:val="00CA54F8"/>
    <w:rsid w:val="00CD1972"/>
    <w:rsid w:val="00CD29FB"/>
    <w:rsid w:val="00D45F4E"/>
    <w:rsid w:val="00DF7786"/>
    <w:rsid w:val="00E02842"/>
    <w:rsid w:val="00E63AC7"/>
    <w:rsid w:val="00E93630"/>
    <w:rsid w:val="00ED3DC8"/>
    <w:rsid w:val="00F0616B"/>
    <w:rsid w:val="00F174BD"/>
    <w:rsid w:val="00F7449C"/>
    <w:rsid w:val="00FA6787"/>
    <w:rsid w:val="00FB5991"/>
    <w:rsid w:val="66A375A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663AB0"/>
  <w14:defaultImageDpi w14:val="300"/>
  <w15:docId w15:val="{3687F7FC-15F8-5443-846A-F2BEA1AE9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567"/>
    <w:pPr>
      <w:spacing w:after="200" w:line="276" w:lineRule="auto"/>
    </w:pPr>
    <w:rPr>
      <w:rFonts w:ascii="Calibri" w:eastAsia="Times New Roman" w:hAnsi="Calibri" w:cs="Times New Roman"/>
      <w:sz w:val="22"/>
      <w:szCs w:val="22"/>
    </w:rPr>
  </w:style>
  <w:style w:type="paragraph" w:styleId="Heading2">
    <w:name w:val="heading 2"/>
    <w:basedOn w:val="Normal"/>
    <w:next w:val="Normal"/>
    <w:link w:val="Heading2Char"/>
    <w:uiPriority w:val="99"/>
    <w:qFormat/>
    <w:rsid w:val="002B0567"/>
    <w:pPr>
      <w:keepNext/>
      <w:keepLines/>
      <w:spacing w:before="200" w:after="0"/>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2B0567"/>
    <w:rPr>
      <w:rFonts w:ascii="Cambria" w:eastAsia="Times New Roman" w:hAnsi="Cambria" w:cs="Times New Roman"/>
      <w:b/>
      <w:bCs/>
      <w:color w:val="4F81BD"/>
      <w:sz w:val="26"/>
      <w:szCs w:val="26"/>
      <w:lang w:val="x-none" w:eastAsia="x-none"/>
    </w:rPr>
  </w:style>
  <w:style w:type="character" w:styleId="Strong">
    <w:name w:val="Strong"/>
    <w:uiPriority w:val="22"/>
    <w:qFormat/>
    <w:rsid w:val="002B0567"/>
    <w:rPr>
      <w:rFonts w:cs="Times New Roman"/>
      <w:b/>
      <w:bCs/>
    </w:rPr>
  </w:style>
  <w:style w:type="paragraph" w:styleId="Title">
    <w:name w:val="Title"/>
    <w:basedOn w:val="Normal"/>
    <w:next w:val="Normal"/>
    <w:link w:val="TitleChar"/>
    <w:uiPriority w:val="10"/>
    <w:qFormat/>
    <w:rsid w:val="002B0567"/>
    <w:pPr>
      <w:pBdr>
        <w:bottom w:val="single" w:sz="8" w:space="16" w:color="4F81BD"/>
      </w:pBdr>
      <w:spacing w:after="300" w:line="240" w:lineRule="auto"/>
      <w:contextualSpacing/>
    </w:pPr>
    <w:rPr>
      <w:rFonts w:ascii="Cambria" w:hAnsi="Cambria"/>
      <w:color w:val="17365D"/>
      <w:spacing w:val="5"/>
      <w:kern w:val="28"/>
      <w:sz w:val="52"/>
      <w:szCs w:val="52"/>
      <w:lang w:val="x-none" w:eastAsia="x-none"/>
    </w:rPr>
  </w:style>
  <w:style w:type="character" w:customStyle="1" w:styleId="TitleChar">
    <w:name w:val="Title Char"/>
    <w:basedOn w:val="DefaultParagraphFont"/>
    <w:link w:val="Title"/>
    <w:uiPriority w:val="10"/>
    <w:rsid w:val="002B0567"/>
    <w:rPr>
      <w:rFonts w:ascii="Cambria" w:eastAsia="Times New Roman" w:hAnsi="Cambria" w:cs="Times New Roman"/>
      <w:color w:val="17365D"/>
      <w:spacing w:val="5"/>
      <w:kern w:val="28"/>
      <w:sz w:val="52"/>
      <w:szCs w:val="52"/>
      <w:lang w:val="x-none" w:eastAsia="x-none"/>
    </w:rPr>
  </w:style>
  <w:style w:type="paragraph" w:styleId="ListParagraph">
    <w:name w:val="List Paragraph"/>
    <w:basedOn w:val="Normal"/>
    <w:uiPriority w:val="99"/>
    <w:qFormat/>
    <w:rsid w:val="002B0567"/>
    <w:pPr>
      <w:ind w:left="720"/>
      <w:contextualSpacing/>
    </w:pPr>
  </w:style>
  <w:style w:type="paragraph" w:styleId="BalloonText">
    <w:name w:val="Balloon Text"/>
    <w:basedOn w:val="Normal"/>
    <w:link w:val="BalloonTextChar"/>
    <w:uiPriority w:val="99"/>
    <w:semiHidden/>
    <w:unhideWhenUsed/>
    <w:rsid w:val="00043B4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43B4E"/>
    <w:rPr>
      <w:rFonts w:ascii="Lucida Grande" w:eastAsia="Times New Roman" w:hAnsi="Lucida Grande" w:cs="Lucida Grande"/>
      <w:sz w:val="18"/>
      <w:szCs w:val="18"/>
    </w:rPr>
  </w:style>
  <w:style w:type="paragraph" w:styleId="Header">
    <w:name w:val="header"/>
    <w:basedOn w:val="Normal"/>
    <w:link w:val="HeaderChar"/>
    <w:uiPriority w:val="99"/>
    <w:unhideWhenUsed/>
    <w:rsid w:val="00FB5991"/>
    <w:pPr>
      <w:tabs>
        <w:tab w:val="center" w:pos="4320"/>
        <w:tab w:val="right" w:pos="8640"/>
      </w:tabs>
      <w:spacing w:after="0" w:line="240" w:lineRule="auto"/>
    </w:pPr>
  </w:style>
  <w:style w:type="character" w:customStyle="1" w:styleId="HeaderChar">
    <w:name w:val="Header Char"/>
    <w:basedOn w:val="DefaultParagraphFont"/>
    <w:link w:val="Header"/>
    <w:uiPriority w:val="99"/>
    <w:rsid w:val="00FB5991"/>
    <w:rPr>
      <w:rFonts w:ascii="Calibri" w:eastAsia="Times New Roman" w:hAnsi="Calibri" w:cs="Times New Roman"/>
      <w:sz w:val="22"/>
      <w:szCs w:val="22"/>
    </w:rPr>
  </w:style>
  <w:style w:type="paragraph" w:styleId="Footer">
    <w:name w:val="footer"/>
    <w:basedOn w:val="Normal"/>
    <w:link w:val="FooterChar"/>
    <w:uiPriority w:val="99"/>
    <w:unhideWhenUsed/>
    <w:rsid w:val="00FB5991"/>
    <w:pPr>
      <w:tabs>
        <w:tab w:val="center" w:pos="4320"/>
        <w:tab w:val="right" w:pos="8640"/>
      </w:tabs>
      <w:spacing w:after="0" w:line="240" w:lineRule="auto"/>
    </w:pPr>
  </w:style>
  <w:style w:type="character" w:customStyle="1" w:styleId="FooterChar">
    <w:name w:val="Footer Char"/>
    <w:basedOn w:val="DefaultParagraphFont"/>
    <w:link w:val="Footer"/>
    <w:uiPriority w:val="99"/>
    <w:rsid w:val="00FB5991"/>
    <w:rPr>
      <w:rFonts w:ascii="Calibri" w:eastAsia="Times New Roman" w:hAnsi="Calibri" w:cs="Times New Roman"/>
      <w:sz w:val="22"/>
      <w:szCs w:val="22"/>
    </w:rPr>
  </w:style>
  <w:style w:type="table" w:styleId="TableGrid">
    <w:name w:val="Table Grid"/>
    <w:basedOn w:val="TableNormal"/>
    <w:uiPriority w:val="59"/>
    <w:rsid w:val="0091051F"/>
    <w:rPr>
      <w:rFonts w:ascii="Calibri" w:eastAsia="Times New Roman" w:hAnsi="Calibri"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1051F"/>
    <w:pPr>
      <w:spacing w:before="100" w:beforeAutospacing="1" w:after="100" w:afterAutospacing="1" w:line="240" w:lineRule="auto"/>
    </w:pPr>
    <w:rPr>
      <w:rFonts w:ascii="Times" w:eastAsiaTheme="minorEastAsia" w:hAnsi="Times"/>
      <w:sz w:val="20"/>
      <w:szCs w:val="20"/>
      <w:lang w:val="en-GB"/>
    </w:rPr>
  </w:style>
  <w:style w:type="table" w:styleId="LightShading-Accent5">
    <w:name w:val="Light Shading Accent 5"/>
    <w:basedOn w:val="TableNormal"/>
    <w:uiPriority w:val="60"/>
    <w:rsid w:val="0091051F"/>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customStyle="1" w:styleId="Default">
    <w:name w:val="Default"/>
    <w:rsid w:val="0016725C"/>
    <w:pPr>
      <w:autoSpaceDE w:val="0"/>
      <w:autoSpaceDN w:val="0"/>
      <w:adjustRightInd w:val="0"/>
    </w:pPr>
    <w:rPr>
      <w:rFonts w:ascii="Proxima Nova" w:eastAsia="Proxima Nova" w:cs="Proxima Nova"/>
      <w:color w:val="000000"/>
    </w:rPr>
  </w:style>
  <w:style w:type="paragraph" w:customStyle="1" w:styleId="Pa0">
    <w:name w:val="Pa0"/>
    <w:basedOn w:val="Default"/>
    <w:next w:val="Default"/>
    <w:uiPriority w:val="99"/>
    <w:rsid w:val="0016725C"/>
    <w:pPr>
      <w:spacing w:line="241" w:lineRule="atLeast"/>
    </w:pPr>
    <w:rPr>
      <w:rFonts w:cstheme="minorBidi"/>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358841">
      <w:bodyDiv w:val="1"/>
      <w:marLeft w:val="0"/>
      <w:marRight w:val="0"/>
      <w:marTop w:val="0"/>
      <w:marBottom w:val="0"/>
      <w:divBdr>
        <w:top w:val="none" w:sz="0" w:space="0" w:color="auto"/>
        <w:left w:val="none" w:sz="0" w:space="0" w:color="auto"/>
        <w:bottom w:val="none" w:sz="0" w:space="0" w:color="auto"/>
        <w:right w:val="none" w:sz="0" w:space="0" w:color="auto"/>
      </w:divBdr>
    </w:div>
    <w:div w:id="526219609">
      <w:bodyDiv w:val="1"/>
      <w:marLeft w:val="0"/>
      <w:marRight w:val="0"/>
      <w:marTop w:val="0"/>
      <w:marBottom w:val="0"/>
      <w:divBdr>
        <w:top w:val="none" w:sz="0" w:space="0" w:color="auto"/>
        <w:left w:val="none" w:sz="0" w:space="0" w:color="auto"/>
        <w:bottom w:val="none" w:sz="0" w:space="0" w:color="auto"/>
        <w:right w:val="none" w:sz="0" w:space="0" w:color="auto"/>
      </w:divBdr>
    </w:div>
    <w:div w:id="8962351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1988</Words>
  <Characters>11332</Characters>
  <Application>Microsoft Office Word</Application>
  <DocSecurity>4</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Evely</dc:creator>
  <cp:keywords/>
  <dc:description/>
  <cp:lastModifiedBy>Caroline Jawad</cp:lastModifiedBy>
  <cp:revision>2</cp:revision>
  <cp:lastPrinted>2020-03-30T11:58:00Z</cp:lastPrinted>
  <dcterms:created xsi:type="dcterms:W3CDTF">2023-01-09T16:41:00Z</dcterms:created>
  <dcterms:modified xsi:type="dcterms:W3CDTF">2023-01-09T16:41:00Z</dcterms:modified>
</cp:coreProperties>
</file>