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14C" w:rsidRDefault="00666D26" w:rsidP="003E798B">
      <w:pPr>
        <w:spacing w:after="0"/>
        <w:jc w:val="center"/>
        <w:rPr>
          <w:sz w:val="32"/>
          <w:u w:val="single"/>
        </w:rPr>
      </w:pPr>
      <w:r w:rsidRPr="00666D26">
        <w:rPr>
          <w:sz w:val="32"/>
          <w:u w:val="single"/>
        </w:rPr>
        <w:t>Theory and Methodology for the Study of Classics (CLCL7005)</w:t>
      </w:r>
    </w:p>
    <w:p w:rsidR="003E798B" w:rsidRDefault="003E798B" w:rsidP="003E798B">
      <w:pPr>
        <w:spacing w:after="0"/>
        <w:jc w:val="center"/>
        <w:rPr>
          <w:sz w:val="32"/>
          <w:u w:val="single"/>
        </w:rPr>
      </w:pPr>
      <w:r>
        <w:rPr>
          <w:sz w:val="32"/>
          <w:u w:val="single"/>
        </w:rPr>
        <w:t>Abstract and Bibliography</w:t>
      </w:r>
    </w:p>
    <w:p w:rsidR="003E798B" w:rsidRDefault="003E798B" w:rsidP="003E798B">
      <w:pPr>
        <w:pStyle w:val="ListParagraph"/>
        <w:spacing w:after="0"/>
        <w:ind w:left="360"/>
        <w:rPr>
          <w:sz w:val="24"/>
        </w:rPr>
      </w:pPr>
    </w:p>
    <w:p w:rsidR="003E798B" w:rsidRPr="00BF7CD8" w:rsidRDefault="003E798B" w:rsidP="00BF7CD8">
      <w:pPr>
        <w:spacing w:after="0"/>
        <w:rPr>
          <w:b/>
          <w:sz w:val="24"/>
          <w:u w:val="single"/>
        </w:rPr>
      </w:pPr>
      <w:r w:rsidRPr="00BF7CD8">
        <w:rPr>
          <w:b/>
          <w:sz w:val="24"/>
          <w:u w:val="single"/>
        </w:rPr>
        <w:t>Abstract</w:t>
      </w:r>
    </w:p>
    <w:p w:rsidR="0045485C" w:rsidRPr="00202B18" w:rsidRDefault="0045485C" w:rsidP="00202B18">
      <w:pPr>
        <w:spacing w:after="0"/>
        <w:rPr>
          <w:sz w:val="24"/>
        </w:rPr>
      </w:pPr>
    </w:p>
    <w:p w:rsidR="0045485C" w:rsidRDefault="0004560E" w:rsidP="00202B18">
      <w:pPr>
        <w:spacing w:after="0" w:line="480" w:lineRule="auto"/>
        <w:rPr>
          <w:sz w:val="24"/>
        </w:rPr>
      </w:pPr>
      <w:r>
        <w:rPr>
          <w:sz w:val="24"/>
        </w:rPr>
        <w:t xml:space="preserve">The Peloponnesian War pitted two of the great powers in the classical Greek world against one another. </w:t>
      </w:r>
      <w:r w:rsidR="005C5C33">
        <w:rPr>
          <w:sz w:val="24"/>
        </w:rPr>
        <w:t xml:space="preserve">The city states of </w:t>
      </w:r>
      <w:r>
        <w:rPr>
          <w:sz w:val="24"/>
        </w:rPr>
        <w:t>Athens and Sparta were at the zenith of their power when the war began</w:t>
      </w:r>
      <w:r w:rsidR="00865F3F">
        <w:rPr>
          <w:sz w:val="24"/>
        </w:rPr>
        <w:t xml:space="preserve"> in 431 BCE</w:t>
      </w:r>
      <w:r w:rsidR="005C5C33">
        <w:rPr>
          <w:sz w:val="24"/>
        </w:rPr>
        <w:t>. Athens led the Delian League and Sparta, the Peloponnesian League,</w:t>
      </w:r>
      <w:r>
        <w:rPr>
          <w:sz w:val="24"/>
        </w:rPr>
        <w:t xml:space="preserve"> but by 401 BCE, when the war ended, both city states were exhausted and </w:t>
      </w:r>
      <w:r w:rsidR="00865F3F">
        <w:rPr>
          <w:sz w:val="24"/>
        </w:rPr>
        <w:t>far weake</w:t>
      </w:r>
      <w:r w:rsidR="005C5C33">
        <w:rPr>
          <w:sz w:val="24"/>
        </w:rPr>
        <w:t xml:space="preserve">r than they had been previously, ultimately paving the way for the Hellenic League, under the </w:t>
      </w:r>
      <w:r w:rsidR="00F17DF4">
        <w:rPr>
          <w:sz w:val="24"/>
        </w:rPr>
        <w:t xml:space="preserve">hegemonic rule of Macedonia. </w:t>
      </w:r>
      <w:r w:rsidR="00865F3F">
        <w:rPr>
          <w:sz w:val="24"/>
        </w:rPr>
        <w:t xml:space="preserve">The aim of this study is to discuss the events that led to the war and determine </w:t>
      </w:r>
      <w:r w:rsidR="007D0399">
        <w:rPr>
          <w:sz w:val="24"/>
        </w:rPr>
        <w:t xml:space="preserve">where </w:t>
      </w:r>
      <w:r w:rsidR="00865F3F">
        <w:rPr>
          <w:sz w:val="24"/>
        </w:rPr>
        <w:t>culpability</w:t>
      </w:r>
      <w:r w:rsidR="007D0399">
        <w:rPr>
          <w:sz w:val="24"/>
        </w:rPr>
        <w:t xml:space="preserve"> lies</w:t>
      </w:r>
      <w:r w:rsidR="00865F3F">
        <w:rPr>
          <w:sz w:val="24"/>
        </w:rPr>
        <w:t xml:space="preserve"> for the outbreak of the conflict</w:t>
      </w:r>
      <w:r w:rsidR="003A3522">
        <w:rPr>
          <w:sz w:val="24"/>
        </w:rPr>
        <w:t xml:space="preserve"> that ravaged the Greek world</w:t>
      </w:r>
      <w:r w:rsidR="00F17DF4">
        <w:rPr>
          <w:sz w:val="24"/>
        </w:rPr>
        <w:t xml:space="preserve"> at that time</w:t>
      </w:r>
      <w:r w:rsidR="003A3522">
        <w:rPr>
          <w:sz w:val="24"/>
        </w:rPr>
        <w:t>.</w:t>
      </w:r>
      <w:r w:rsidR="00865F3F">
        <w:rPr>
          <w:sz w:val="24"/>
        </w:rPr>
        <w:t xml:space="preserve"> To this end, the </w:t>
      </w:r>
      <w:r w:rsidR="0080573E">
        <w:rPr>
          <w:sz w:val="24"/>
        </w:rPr>
        <w:t xml:space="preserve">overarching </w:t>
      </w:r>
      <w:r w:rsidR="00865F3F">
        <w:rPr>
          <w:sz w:val="24"/>
        </w:rPr>
        <w:t xml:space="preserve">research question for this study is as follows: </w:t>
      </w:r>
      <w:r w:rsidR="00865F3F" w:rsidRPr="00865F3F">
        <w:rPr>
          <w:i/>
          <w:sz w:val="24"/>
        </w:rPr>
        <w:t>To what extent can Athenian imperialism be held responsible for the outbreak of the Peloponnesian War?</w:t>
      </w:r>
      <w:r w:rsidR="007054EE">
        <w:rPr>
          <w:sz w:val="24"/>
        </w:rPr>
        <w:t xml:space="preserve"> </w:t>
      </w:r>
      <w:r w:rsidR="005C5C33">
        <w:rPr>
          <w:sz w:val="24"/>
        </w:rPr>
        <w:t xml:space="preserve">Also, the nature of Athenian imperialism will be considered. Was this a desire to control the </w:t>
      </w:r>
      <w:r w:rsidR="00F17DF4">
        <w:rPr>
          <w:sz w:val="24"/>
        </w:rPr>
        <w:t>economies</w:t>
      </w:r>
      <w:r w:rsidR="005C5C33">
        <w:rPr>
          <w:sz w:val="24"/>
        </w:rPr>
        <w:t xml:space="preserve"> of allied (and rival) Greek city states</w:t>
      </w:r>
      <w:r w:rsidR="007E5E39">
        <w:rPr>
          <w:sz w:val="24"/>
        </w:rPr>
        <w:t xml:space="preserve"> for self-enrichment </w:t>
      </w:r>
      <w:r w:rsidR="005C5C33">
        <w:rPr>
          <w:sz w:val="24"/>
        </w:rPr>
        <w:t>or was it something more ideological than that? Was there an idea of Athenian cultural supremacy and</w:t>
      </w:r>
      <w:r w:rsidR="0089361B">
        <w:rPr>
          <w:sz w:val="24"/>
        </w:rPr>
        <w:t xml:space="preserve"> sense of</w:t>
      </w:r>
      <w:r w:rsidR="005C5C33">
        <w:rPr>
          <w:sz w:val="24"/>
        </w:rPr>
        <w:t xml:space="preserve"> entitlement after the Athenian success</w:t>
      </w:r>
      <w:r w:rsidR="007D0399">
        <w:rPr>
          <w:sz w:val="24"/>
        </w:rPr>
        <w:t>es</w:t>
      </w:r>
      <w:r w:rsidR="005C5C33">
        <w:rPr>
          <w:sz w:val="24"/>
        </w:rPr>
        <w:t xml:space="preserve"> in the Persian Wars? </w:t>
      </w:r>
      <w:r w:rsidR="009B3E8B">
        <w:rPr>
          <w:sz w:val="24"/>
        </w:rPr>
        <w:t>By conducting</w:t>
      </w:r>
      <w:r w:rsidR="00DB19A1" w:rsidRPr="007054EE">
        <w:rPr>
          <w:sz w:val="24"/>
        </w:rPr>
        <w:t xml:space="preserve"> analysis of</w:t>
      </w:r>
      <w:r w:rsidR="009B3E8B">
        <w:rPr>
          <w:sz w:val="24"/>
        </w:rPr>
        <w:t xml:space="preserve"> the</w:t>
      </w:r>
      <w:r w:rsidR="00DB19A1" w:rsidRPr="007054EE">
        <w:rPr>
          <w:sz w:val="24"/>
        </w:rPr>
        <w:t xml:space="preserve"> available primary source material</w:t>
      </w:r>
      <w:r w:rsidR="007054EE" w:rsidRPr="007054EE">
        <w:rPr>
          <w:sz w:val="24"/>
        </w:rPr>
        <w:t>, such as ‘</w:t>
      </w:r>
      <w:r w:rsidR="007054EE" w:rsidRPr="0089361B">
        <w:rPr>
          <w:i/>
          <w:sz w:val="24"/>
        </w:rPr>
        <w:t>The History of the Peloponnesian War’</w:t>
      </w:r>
      <w:r w:rsidR="007054EE" w:rsidRPr="007054EE">
        <w:rPr>
          <w:sz w:val="24"/>
        </w:rPr>
        <w:t xml:space="preserve"> by Thucydides and</w:t>
      </w:r>
      <w:r w:rsidR="009B3E8B" w:rsidRPr="009B3E8B">
        <w:rPr>
          <w:sz w:val="24"/>
        </w:rPr>
        <w:t xml:space="preserve"> </w:t>
      </w:r>
      <w:r w:rsidR="009B3E8B" w:rsidRPr="007054EE">
        <w:rPr>
          <w:sz w:val="24"/>
        </w:rPr>
        <w:t>Xenophon</w:t>
      </w:r>
      <w:r w:rsidR="009B3E8B">
        <w:rPr>
          <w:sz w:val="24"/>
        </w:rPr>
        <w:t>’s ‘</w:t>
      </w:r>
      <w:r w:rsidR="009B3E8B" w:rsidRPr="0089361B">
        <w:rPr>
          <w:i/>
          <w:sz w:val="24"/>
        </w:rPr>
        <w:t>Hellenica’</w:t>
      </w:r>
      <w:r w:rsidR="009B3E8B">
        <w:rPr>
          <w:sz w:val="24"/>
        </w:rPr>
        <w:t xml:space="preserve"> </w:t>
      </w:r>
      <w:r w:rsidR="005C5C33">
        <w:rPr>
          <w:sz w:val="24"/>
        </w:rPr>
        <w:t xml:space="preserve">as well as </w:t>
      </w:r>
      <w:r w:rsidR="00F17DF4">
        <w:rPr>
          <w:sz w:val="24"/>
        </w:rPr>
        <w:t xml:space="preserve">the extensive </w:t>
      </w:r>
      <w:r w:rsidR="00DB19A1" w:rsidRPr="007054EE">
        <w:rPr>
          <w:sz w:val="24"/>
        </w:rPr>
        <w:t>academic scholarship</w:t>
      </w:r>
      <w:r w:rsidR="005C5C33">
        <w:rPr>
          <w:sz w:val="24"/>
        </w:rPr>
        <w:t xml:space="preserve"> on the subject</w:t>
      </w:r>
      <w:r w:rsidR="00DB19A1" w:rsidRPr="007054EE">
        <w:rPr>
          <w:sz w:val="24"/>
        </w:rPr>
        <w:t xml:space="preserve">, I </w:t>
      </w:r>
      <w:r w:rsidR="00F17DF4">
        <w:rPr>
          <w:sz w:val="24"/>
        </w:rPr>
        <w:t>will</w:t>
      </w:r>
      <w:r w:rsidR="004022B2">
        <w:rPr>
          <w:sz w:val="24"/>
        </w:rPr>
        <w:t xml:space="preserve"> first attempt to create a reliable chronology of events that occurred </w:t>
      </w:r>
      <w:r w:rsidR="004022B2" w:rsidRPr="007054EE">
        <w:rPr>
          <w:sz w:val="24"/>
        </w:rPr>
        <w:t>in the Greek</w:t>
      </w:r>
      <w:r w:rsidR="004022B2">
        <w:rPr>
          <w:sz w:val="24"/>
        </w:rPr>
        <w:t xml:space="preserve"> </w:t>
      </w:r>
      <w:r w:rsidR="004022B2" w:rsidRPr="007054EE">
        <w:rPr>
          <w:sz w:val="24"/>
        </w:rPr>
        <w:t>world</w:t>
      </w:r>
      <w:r w:rsidR="009B3E8B">
        <w:rPr>
          <w:sz w:val="24"/>
        </w:rPr>
        <w:t xml:space="preserve"> and beyond</w:t>
      </w:r>
      <w:r w:rsidR="004022B2" w:rsidRPr="007054EE">
        <w:rPr>
          <w:sz w:val="24"/>
        </w:rPr>
        <w:t xml:space="preserve"> in the</w:t>
      </w:r>
      <w:r w:rsidR="009B3E8B">
        <w:rPr>
          <w:sz w:val="24"/>
        </w:rPr>
        <w:t xml:space="preserve"> early to mid</w:t>
      </w:r>
      <w:r w:rsidR="009B3E8B" w:rsidRPr="007054EE">
        <w:rPr>
          <w:sz w:val="24"/>
        </w:rPr>
        <w:t>-5</w:t>
      </w:r>
      <w:r w:rsidR="009B3E8B" w:rsidRPr="007054EE">
        <w:rPr>
          <w:sz w:val="24"/>
          <w:vertAlign w:val="superscript"/>
        </w:rPr>
        <w:t>th</w:t>
      </w:r>
      <w:r w:rsidR="004022B2" w:rsidRPr="007054EE">
        <w:rPr>
          <w:sz w:val="24"/>
        </w:rPr>
        <w:t xml:space="preserve"> Century BCE</w:t>
      </w:r>
      <w:r w:rsidR="004022B2">
        <w:rPr>
          <w:sz w:val="24"/>
        </w:rPr>
        <w:t>. Through</w:t>
      </w:r>
      <w:r w:rsidR="009B3E8B">
        <w:rPr>
          <w:sz w:val="24"/>
        </w:rPr>
        <w:t xml:space="preserve"> further</w:t>
      </w:r>
      <w:r w:rsidR="004022B2">
        <w:rPr>
          <w:sz w:val="24"/>
        </w:rPr>
        <w:t xml:space="preserve"> investigation</w:t>
      </w:r>
      <w:r w:rsidR="009B3E8B">
        <w:rPr>
          <w:sz w:val="24"/>
        </w:rPr>
        <w:t xml:space="preserve"> of </w:t>
      </w:r>
      <w:r w:rsidR="009B3E8B" w:rsidRPr="008F410F">
        <w:rPr>
          <w:sz w:val="24"/>
        </w:rPr>
        <w:t>source material</w:t>
      </w:r>
      <w:r w:rsidR="004022B2" w:rsidRPr="008F410F">
        <w:rPr>
          <w:sz w:val="24"/>
        </w:rPr>
        <w:t xml:space="preserve"> I will</w:t>
      </w:r>
      <w:r w:rsidR="009B3E8B" w:rsidRPr="008F410F">
        <w:rPr>
          <w:sz w:val="24"/>
        </w:rPr>
        <w:t xml:space="preserve"> attempt</w:t>
      </w:r>
      <w:r w:rsidR="004022B2" w:rsidRPr="008F410F">
        <w:rPr>
          <w:sz w:val="24"/>
        </w:rPr>
        <w:t xml:space="preserve"> </w:t>
      </w:r>
      <w:r w:rsidR="008F410F" w:rsidRPr="008F410F">
        <w:rPr>
          <w:sz w:val="24"/>
        </w:rPr>
        <w:t xml:space="preserve">to </w:t>
      </w:r>
      <w:r w:rsidR="004022B2" w:rsidRPr="008F410F">
        <w:rPr>
          <w:sz w:val="24"/>
        </w:rPr>
        <w:t>ascertain how</w:t>
      </w:r>
      <w:r w:rsidR="00DB19A1" w:rsidRPr="008F410F">
        <w:rPr>
          <w:sz w:val="24"/>
        </w:rPr>
        <w:t xml:space="preserve"> </w:t>
      </w:r>
      <w:r w:rsidR="004022B2" w:rsidRPr="008F410F">
        <w:rPr>
          <w:sz w:val="24"/>
        </w:rPr>
        <w:t>these events</w:t>
      </w:r>
      <w:r w:rsidR="007D0399">
        <w:rPr>
          <w:sz w:val="24"/>
        </w:rPr>
        <w:t xml:space="preserve"> were viewed by contemporaries, and also how causation could have played a role in the developing tensions in Greece at that time. An understanding of the events, their cause, effects and contemporary reception will provide the requisite level of context to then conclude to what extent the </w:t>
      </w:r>
      <w:r w:rsidR="00202B18">
        <w:rPr>
          <w:sz w:val="24"/>
        </w:rPr>
        <w:t>individual event or series of events</w:t>
      </w:r>
      <w:r w:rsidR="007D0399">
        <w:rPr>
          <w:sz w:val="24"/>
        </w:rPr>
        <w:t xml:space="preserve"> may</w:t>
      </w:r>
      <w:r w:rsidR="004022B2">
        <w:rPr>
          <w:sz w:val="24"/>
        </w:rPr>
        <w:t xml:space="preserve"> have </w:t>
      </w:r>
      <w:r w:rsidR="00585447" w:rsidRPr="007054EE">
        <w:rPr>
          <w:sz w:val="24"/>
        </w:rPr>
        <w:t xml:space="preserve">contributed to the </w:t>
      </w:r>
      <w:r w:rsidR="009B3E8B">
        <w:rPr>
          <w:sz w:val="24"/>
        </w:rPr>
        <w:t xml:space="preserve">outbreak </w:t>
      </w:r>
      <w:r w:rsidR="00585447" w:rsidRPr="007054EE">
        <w:rPr>
          <w:sz w:val="24"/>
        </w:rPr>
        <w:t>of the Peloponnesian War in</w:t>
      </w:r>
      <w:r w:rsidR="009B3E8B">
        <w:rPr>
          <w:sz w:val="24"/>
        </w:rPr>
        <w:t xml:space="preserve"> the year</w:t>
      </w:r>
      <w:r w:rsidR="00585447" w:rsidRPr="007054EE">
        <w:rPr>
          <w:sz w:val="24"/>
        </w:rPr>
        <w:t xml:space="preserve"> 431 BCE.</w:t>
      </w:r>
      <w:r w:rsidR="007D0399">
        <w:rPr>
          <w:sz w:val="24"/>
        </w:rPr>
        <w:t xml:space="preserve"> </w:t>
      </w:r>
      <w:r w:rsidR="00585447" w:rsidRPr="007054EE">
        <w:rPr>
          <w:sz w:val="24"/>
        </w:rPr>
        <w:t xml:space="preserve"> </w:t>
      </w:r>
      <w:r w:rsidR="007D0399">
        <w:rPr>
          <w:sz w:val="24"/>
        </w:rPr>
        <w:t>My research will outline the very complex diplomatic setting of 5</w:t>
      </w:r>
      <w:r w:rsidR="007D0399" w:rsidRPr="007D0399">
        <w:rPr>
          <w:sz w:val="24"/>
          <w:vertAlign w:val="superscript"/>
        </w:rPr>
        <w:t>th</w:t>
      </w:r>
      <w:r w:rsidR="007D0399">
        <w:rPr>
          <w:sz w:val="24"/>
        </w:rPr>
        <w:t xml:space="preserve"> Century BCE Greece</w:t>
      </w:r>
      <w:r w:rsidR="00202B18">
        <w:rPr>
          <w:sz w:val="24"/>
        </w:rPr>
        <w:t>, the alliances and nuanced relationships between the city states. Ultimately, m</w:t>
      </w:r>
      <w:r w:rsidR="00585447" w:rsidRPr="007054EE">
        <w:rPr>
          <w:sz w:val="24"/>
        </w:rPr>
        <w:t xml:space="preserve">y research will argue that neither party in this conflict were </w:t>
      </w:r>
      <w:r w:rsidR="00202B18">
        <w:rPr>
          <w:sz w:val="24"/>
        </w:rPr>
        <w:t xml:space="preserve">to blame entirely, neither were they </w:t>
      </w:r>
      <w:r w:rsidR="00585447" w:rsidRPr="007054EE">
        <w:rPr>
          <w:sz w:val="24"/>
        </w:rPr>
        <w:t>b</w:t>
      </w:r>
      <w:r w:rsidR="00202B18">
        <w:rPr>
          <w:sz w:val="24"/>
        </w:rPr>
        <w:t xml:space="preserve">lameless and that </w:t>
      </w:r>
      <w:r w:rsidR="004022B2">
        <w:rPr>
          <w:sz w:val="24"/>
        </w:rPr>
        <w:t>both the Athens</w:t>
      </w:r>
      <w:r w:rsidR="00585447" w:rsidRPr="007054EE">
        <w:rPr>
          <w:sz w:val="24"/>
        </w:rPr>
        <w:t xml:space="preserve"> and Sparta were motivated by self-interest</w:t>
      </w:r>
      <w:r w:rsidR="007054EE" w:rsidRPr="007054EE">
        <w:rPr>
          <w:sz w:val="24"/>
        </w:rPr>
        <w:t xml:space="preserve"> </w:t>
      </w:r>
      <w:r w:rsidR="007054EE" w:rsidRPr="007054EE">
        <w:rPr>
          <w:sz w:val="24"/>
        </w:rPr>
        <w:lastRenderedPageBreak/>
        <w:t xml:space="preserve">or </w:t>
      </w:r>
      <w:r w:rsidR="009B3E8B">
        <w:rPr>
          <w:sz w:val="24"/>
        </w:rPr>
        <w:t xml:space="preserve">at the very least a </w:t>
      </w:r>
      <w:r w:rsidR="007054EE" w:rsidRPr="007054EE">
        <w:rPr>
          <w:sz w:val="24"/>
        </w:rPr>
        <w:t>reaction to an opponent’s self-interest</w:t>
      </w:r>
      <w:r w:rsidR="009B3E8B">
        <w:rPr>
          <w:sz w:val="24"/>
        </w:rPr>
        <w:t>ed actions</w:t>
      </w:r>
      <w:r w:rsidR="007054EE" w:rsidRPr="007054EE">
        <w:rPr>
          <w:sz w:val="24"/>
        </w:rPr>
        <w:t xml:space="preserve"> and that the power that both city states </w:t>
      </w:r>
      <w:r w:rsidR="009B3E8B">
        <w:rPr>
          <w:sz w:val="24"/>
        </w:rPr>
        <w:t>possessed</w:t>
      </w:r>
      <w:r w:rsidR="00202B18">
        <w:rPr>
          <w:sz w:val="24"/>
        </w:rPr>
        <w:t xml:space="preserve"> in the 5</w:t>
      </w:r>
      <w:r w:rsidR="00202B18" w:rsidRPr="007D0399">
        <w:rPr>
          <w:sz w:val="24"/>
          <w:vertAlign w:val="superscript"/>
        </w:rPr>
        <w:t>th</w:t>
      </w:r>
      <w:r w:rsidR="00202B18">
        <w:rPr>
          <w:sz w:val="24"/>
        </w:rPr>
        <w:t xml:space="preserve"> Century</w:t>
      </w:r>
      <w:r w:rsidR="007054EE" w:rsidRPr="007054EE">
        <w:rPr>
          <w:sz w:val="24"/>
        </w:rPr>
        <w:t xml:space="preserve"> </w:t>
      </w:r>
      <w:r w:rsidR="0089361B">
        <w:rPr>
          <w:sz w:val="24"/>
        </w:rPr>
        <w:t xml:space="preserve">BCE </w:t>
      </w:r>
      <w:r w:rsidR="007054EE" w:rsidRPr="007054EE">
        <w:rPr>
          <w:sz w:val="24"/>
        </w:rPr>
        <w:t xml:space="preserve">ultimately led them </w:t>
      </w:r>
      <w:r w:rsidR="0089361B">
        <w:rPr>
          <w:sz w:val="24"/>
        </w:rPr>
        <w:t>to fall in</w:t>
      </w:r>
      <w:r w:rsidR="007054EE" w:rsidRPr="007054EE">
        <w:rPr>
          <w:sz w:val="24"/>
        </w:rPr>
        <w:t xml:space="preserve"> to what political scientist Graham Allison </w:t>
      </w:r>
      <w:r w:rsidR="0089361B">
        <w:rPr>
          <w:sz w:val="24"/>
        </w:rPr>
        <w:t>has coined</w:t>
      </w:r>
      <w:r w:rsidR="007054EE" w:rsidRPr="007054EE">
        <w:rPr>
          <w:sz w:val="24"/>
        </w:rPr>
        <w:t xml:space="preserve"> the </w:t>
      </w:r>
      <w:r w:rsidR="009B3E8B">
        <w:rPr>
          <w:sz w:val="24"/>
        </w:rPr>
        <w:t>‘</w:t>
      </w:r>
      <w:r w:rsidR="007054EE" w:rsidRPr="007054EE">
        <w:rPr>
          <w:sz w:val="24"/>
        </w:rPr>
        <w:t>Thucydides Trap</w:t>
      </w:r>
      <w:r w:rsidR="009B3E8B">
        <w:rPr>
          <w:sz w:val="24"/>
        </w:rPr>
        <w:t>’</w:t>
      </w:r>
      <w:r w:rsidR="007054EE" w:rsidRPr="007054EE">
        <w:rPr>
          <w:sz w:val="24"/>
        </w:rPr>
        <w:t>, named so after this</w:t>
      </w:r>
      <w:r w:rsidR="009B3E8B">
        <w:rPr>
          <w:sz w:val="24"/>
        </w:rPr>
        <w:t xml:space="preserve"> very situation. </w:t>
      </w:r>
    </w:p>
    <w:p w:rsidR="00202B18" w:rsidRDefault="00202B18" w:rsidP="00202B18">
      <w:pPr>
        <w:spacing w:after="0" w:line="480" w:lineRule="auto"/>
        <w:rPr>
          <w:sz w:val="24"/>
        </w:rPr>
      </w:pPr>
    </w:p>
    <w:p w:rsidR="00202B18" w:rsidRPr="007054EE" w:rsidRDefault="00B01CB2" w:rsidP="00B01CB2">
      <w:pPr>
        <w:spacing w:after="0" w:line="480" w:lineRule="auto"/>
        <w:jc w:val="center"/>
        <w:rPr>
          <w:sz w:val="24"/>
        </w:rPr>
      </w:pPr>
      <w:r>
        <w:rPr>
          <w:sz w:val="24"/>
        </w:rPr>
        <w:t>(</w:t>
      </w:r>
      <w:r w:rsidR="0089361B">
        <w:rPr>
          <w:sz w:val="24"/>
        </w:rPr>
        <w:t>442</w:t>
      </w:r>
      <w:r w:rsidR="00202B18">
        <w:rPr>
          <w:sz w:val="24"/>
        </w:rPr>
        <w:t xml:space="preserve"> words)</w:t>
      </w:r>
    </w:p>
    <w:p w:rsidR="00585447" w:rsidRPr="00585447" w:rsidRDefault="00585447" w:rsidP="00585447">
      <w:pPr>
        <w:pStyle w:val="ListParagraph"/>
        <w:spacing w:after="0"/>
        <w:ind w:left="360"/>
        <w:rPr>
          <w:sz w:val="24"/>
        </w:rPr>
      </w:pPr>
    </w:p>
    <w:p w:rsidR="0045485C" w:rsidRDefault="0045485C" w:rsidP="0045485C">
      <w:pPr>
        <w:spacing w:after="0"/>
        <w:rPr>
          <w:sz w:val="24"/>
        </w:rPr>
      </w:pPr>
    </w:p>
    <w:p w:rsidR="0045485C" w:rsidRPr="0045485C" w:rsidRDefault="0045485C" w:rsidP="0045485C">
      <w:pPr>
        <w:spacing w:after="0"/>
        <w:rPr>
          <w:sz w:val="24"/>
        </w:rPr>
      </w:pPr>
    </w:p>
    <w:p w:rsidR="00BF7CD8" w:rsidRDefault="00BF7CD8" w:rsidP="00BF7CD8">
      <w:pPr>
        <w:spacing w:after="0"/>
        <w:rPr>
          <w:sz w:val="24"/>
        </w:rPr>
      </w:pPr>
    </w:p>
    <w:p w:rsidR="00202B18" w:rsidRDefault="00202B18">
      <w:pPr>
        <w:rPr>
          <w:b/>
          <w:sz w:val="24"/>
          <w:u w:val="single"/>
        </w:rPr>
      </w:pPr>
      <w:r>
        <w:rPr>
          <w:b/>
          <w:sz w:val="24"/>
          <w:u w:val="single"/>
        </w:rPr>
        <w:br w:type="page"/>
      </w:r>
    </w:p>
    <w:p w:rsidR="00BF7CD8" w:rsidRPr="00B01CB2" w:rsidRDefault="00BF7CD8" w:rsidP="00B01CB2">
      <w:pPr>
        <w:spacing w:after="0"/>
        <w:jc w:val="center"/>
        <w:rPr>
          <w:b/>
          <w:sz w:val="28"/>
          <w:szCs w:val="24"/>
          <w:u w:val="single"/>
        </w:rPr>
      </w:pPr>
      <w:r w:rsidRPr="00B01CB2">
        <w:rPr>
          <w:b/>
          <w:sz w:val="28"/>
          <w:szCs w:val="24"/>
          <w:u w:val="single"/>
        </w:rPr>
        <w:t>Bibliography</w:t>
      </w:r>
    </w:p>
    <w:p w:rsidR="0027534A" w:rsidRPr="001A6524" w:rsidRDefault="0027534A" w:rsidP="006B5FBD">
      <w:pPr>
        <w:spacing w:after="0"/>
        <w:rPr>
          <w:sz w:val="24"/>
          <w:szCs w:val="24"/>
        </w:rPr>
      </w:pPr>
    </w:p>
    <w:p w:rsidR="006B5FBD" w:rsidRPr="001A6524" w:rsidRDefault="006B5FBD">
      <w:pPr>
        <w:rPr>
          <w:b/>
          <w:sz w:val="24"/>
          <w:szCs w:val="24"/>
          <w:u w:val="single"/>
        </w:rPr>
      </w:pPr>
      <w:r w:rsidRPr="001A6524">
        <w:rPr>
          <w:b/>
          <w:sz w:val="24"/>
          <w:szCs w:val="24"/>
          <w:u w:val="single"/>
        </w:rPr>
        <w:t>Primary Sources</w:t>
      </w:r>
    </w:p>
    <w:p w:rsidR="006B5FBD" w:rsidRPr="00D44040" w:rsidRDefault="00FC77B5" w:rsidP="001A6524">
      <w:pPr>
        <w:rPr>
          <w:rFonts w:cs="Arial"/>
          <w:color w:val="000000"/>
          <w:shd w:val="clear" w:color="auto" w:fill="FFFFFF"/>
        </w:rPr>
      </w:pPr>
      <w:proofErr w:type="spellStart"/>
      <w:proofErr w:type="gramStart"/>
      <w:r w:rsidRPr="00D44040">
        <w:rPr>
          <w:rFonts w:cs="Arial"/>
          <w:color w:val="000000"/>
          <w:shd w:val="clear" w:color="auto" w:fill="FFFFFF"/>
        </w:rPr>
        <w:t>Diodorus</w:t>
      </w:r>
      <w:proofErr w:type="spellEnd"/>
      <w:r w:rsidRPr="00D44040">
        <w:rPr>
          <w:rFonts w:cs="Arial"/>
          <w:color w:val="000000"/>
          <w:shd w:val="clear" w:color="auto" w:fill="FFFFFF"/>
        </w:rPr>
        <w:t xml:space="preserve"> </w:t>
      </w:r>
      <w:r w:rsidR="006B5FBD" w:rsidRPr="00D44040">
        <w:rPr>
          <w:rFonts w:cs="Arial"/>
          <w:color w:val="000000"/>
          <w:shd w:val="clear" w:color="auto" w:fill="FFFFFF"/>
        </w:rPr>
        <w:t>(1968).</w:t>
      </w:r>
      <w:proofErr w:type="gramEnd"/>
      <w:r w:rsidR="006B5FBD" w:rsidRPr="00D44040">
        <w:rPr>
          <w:rFonts w:cs="Arial"/>
          <w:color w:val="000000"/>
          <w:shd w:val="clear" w:color="auto" w:fill="FFFFFF"/>
        </w:rPr>
        <w:t> </w:t>
      </w:r>
      <w:proofErr w:type="gramStart"/>
      <w:r w:rsidRPr="00D44040">
        <w:rPr>
          <w:rFonts w:cs="Arial"/>
          <w:i/>
          <w:color w:val="000000"/>
          <w:shd w:val="clear" w:color="auto" w:fill="FFFFFF"/>
        </w:rPr>
        <w:t>B</w:t>
      </w:r>
      <w:r w:rsidR="006B5FBD" w:rsidRPr="00D44040">
        <w:rPr>
          <w:rFonts w:cs="Arial"/>
          <w:i/>
          <w:iCs/>
          <w:color w:val="000000"/>
          <w:shd w:val="clear" w:color="auto" w:fill="FFFFFF"/>
        </w:rPr>
        <w:t>ibliotheca historica</w:t>
      </w:r>
      <w:bookmarkStart w:id="0" w:name="_GoBack"/>
      <w:bookmarkEnd w:id="0"/>
      <w:r w:rsidR="006B5FBD" w:rsidRPr="00D44040">
        <w:rPr>
          <w:rFonts w:cs="Arial"/>
          <w:color w:val="000000"/>
          <w:shd w:val="clear" w:color="auto" w:fill="FFFFFF"/>
        </w:rPr>
        <w:t>.</w:t>
      </w:r>
      <w:proofErr w:type="gramEnd"/>
      <w:r w:rsidR="006B5FBD" w:rsidRPr="00D44040">
        <w:rPr>
          <w:rFonts w:cs="Arial"/>
          <w:color w:val="000000"/>
          <w:shd w:val="clear" w:color="auto" w:fill="FFFFFF"/>
        </w:rPr>
        <w:t xml:space="preserve"> </w:t>
      </w:r>
      <w:proofErr w:type="gramStart"/>
      <w:r w:rsidRPr="00D44040">
        <w:rPr>
          <w:rFonts w:cs="Arial"/>
          <w:color w:val="000000"/>
          <w:shd w:val="clear" w:color="auto" w:fill="FFFFFF"/>
        </w:rPr>
        <w:t xml:space="preserve">Translated by Skelton, J., Edwards, H. and Salter, F. </w:t>
      </w:r>
      <w:r w:rsidR="0089361B">
        <w:rPr>
          <w:rFonts w:cs="Arial"/>
          <w:color w:val="000000"/>
          <w:shd w:val="clear" w:color="auto" w:fill="FFFFFF"/>
        </w:rPr>
        <w:t>London: Oxford University Press</w:t>
      </w:r>
      <w:r w:rsidR="006B5FBD" w:rsidRPr="00D44040">
        <w:rPr>
          <w:rFonts w:cs="Arial"/>
          <w:color w:val="000000"/>
          <w:shd w:val="clear" w:color="auto" w:fill="FFFFFF"/>
        </w:rPr>
        <w:t>.</w:t>
      </w:r>
      <w:proofErr w:type="gramEnd"/>
    </w:p>
    <w:p w:rsidR="006B5FBD" w:rsidRPr="00D44040" w:rsidRDefault="006B5FBD" w:rsidP="001A6524">
      <w:pPr>
        <w:rPr>
          <w:rFonts w:cs="Arial"/>
          <w:color w:val="000000"/>
          <w:shd w:val="clear" w:color="auto" w:fill="FFFFFF"/>
        </w:rPr>
      </w:pPr>
      <w:proofErr w:type="gramStart"/>
      <w:r w:rsidRPr="00D44040">
        <w:rPr>
          <w:rFonts w:cs="Arial"/>
          <w:color w:val="000000"/>
          <w:shd w:val="clear" w:color="auto" w:fill="FFFFFF"/>
        </w:rPr>
        <w:t xml:space="preserve">Thucydides </w:t>
      </w:r>
      <w:r w:rsidR="00FC77B5" w:rsidRPr="00D44040">
        <w:rPr>
          <w:rFonts w:cs="Arial"/>
          <w:color w:val="000000"/>
          <w:shd w:val="clear" w:color="auto" w:fill="FFFFFF"/>
        </w:rPr>
        <w:t>(1919</w:t>
      </w:r>
      <w:r w:rsidRPr="00D44040">
        <w:rPr>
          <w:rFonts w:cs="Arial"/>
          <w:color w:val="000000"/>
          <w:shd w:val="clear" w:color="auto" w:fill="FFFFFF"/>
        </w:rPr>
        <w:t>).</w:t>
      </w:r>
      <w:proofErr w:type="gramEnd"/>
      <w:r w:rsidRPr="00D44040">
        <w:rPr>
          <w:rFonts w:cs="Arial"/>
          <w:color w:val="000000"/>
          <w:shd w:val="clear" w:color="auto" w:fill="FFFFFF"/>
        </w:rPr>
        <w:t> </w:t>
      </w:r>
      <w:proofErr w:type="gramStart"/>
      <w:r w:rsidRPr="00D44040">
        <w:rPr>
          <w:rFonts w:cs="Arial"/>
          <w:i/>
          <w:iCs/>
          <w:color w:val="000000"/>
          <w:shd w:val="clear" w:color="auto" w:fill="FFFFFF"/>
        </w:rPr>
        <w:t>History of the Peloponnesian war</w:t>
      </w:r>
      <w:r w:rsidRPr="00D44040">
        <w:rPr>
          <w:rFonts w:cs="Arial"/>
          <w:color w:val="000000"/>
          <w:shd w:val="clear" w:color="auto" w:fill="FFFFFF"/>
        </w:rPr>
        <w:t>.</w:t>
      </w:r>
      <w:proofErr w:type="gramEnd"/>
      <w:r w:rsidRPr="00D44040">
        <w:rPr>
          <w:rFonts w:cs="Arial"/>
          <w:color w:val="000000"/>
          <w:shd w:val="clear" w:color="auto" w:fill="FFFFFF"/>
        </w:rPr>
        <w:t xml:space="preserve"> </w:t>
      </w:r>
      <w:r w:rsidR="00FC77B5" w:rsidRPr="00D44040">
        <w:rPr>
          <w:rFonts w:cs="Arial"/>
          <w:color w:val="000000"/>
          <w:shd w:val="clear" w:color="auto" w:fill="FFFFFF"/>
        </w:rPr>
        <w:t xml:space="preserve">Translated by Smith, C. </w:t>
      </w:r>
      <w:r w:rsidRPr="00D44040">
        <w:rPr>
          <w:rFonts w:cs="Arial"/>
          <w:color w:val="000000"/>
          <w:shd w:val="clear" w:color="auto" w:fill="FFFFFF"/>
        </w:rPr>
        <w:t xml:space="preserve">Cambridge, </w:t>
      </w:r>
      <w:proofErr w:type="gramStart"/>
      <w:r w:rsidRPr="00D44040">
        <w:rPr>
          <w:rFonts w:cs="Arial"/>
          <w:color w:val="000000"/>
          <w:shd w:val="clear" w:color="auto" w:fill="FFFFFF"/>
        </w:rPr>
        <w:t>Massachusetts</w:t>
      </w:r>
      <w:proofErr w:type="gramEnd"/>
      <w:r w:rsidRPr="00D44040">
        <w:rPr>
          <w:rFonts w:cs="Arial"/>
          <w:color w:val="000000"/>
          <w:shd w:val="clear" w:color="auto" w:fill="FFFFFF"/>
        </w:rPr>
        <w:t>: Harvard University Press.</w:t>
      </w:r>
    </w:p>
    <w:p w:rsidR="006B5FBD" w:rsidRPr="00D44040" w:rsidRDefault="006B5FBD" w:rsidP="001A6524">
      <w:pPr>
        <w:rPr>
          <w:rStyle w:val="selectable"/>
          <w:rFonts w:cs="Arial"/>
          <w:color w:val="000000"/>
          <w:shd w:val="clear" w:color="auto" w:fill="FFFFFF"/>
        </w:rPr>
      </w:pPr>
      <w:proofErr w:type="spellStart"/>
      <w:proofErr w:type="gramStart"/>
      <w:r w:rsidRPr="00D44040">
        <w:rPr>
          <w:rStyle w:val="selectable"/>
          <w:rFonts w:cs="Arial"/>
          <w:color w:val="000000"/>
          <w:shd w:val="clear" w:color="auto" w:fill="FFFFFF"/>
        </w:rPr>
        <w:t>Xénophon</w:t>
      </w:r>
      <w:proofErr w:type="spellEnd"/>
      <w:r w:rsidRPr="00D44040">
        <w:rPr>
          <w:rStyle w:val="selectable"/>
          <w:rFonts w:cs="Arial"/>
          <w:color w:val="000000"/>
          <w:shd w:val="clear" w:color="auto" w:fill="FFFFFF"/>
        </w:rPr>
        <w:t xml:space="preserve"> (1961).</w:t>
      </w:r>
      <w:proofErr w:type="gramEnd"/>
      <w:r w:rsidRPr="00D44040">
        <w:rPr>
          <w:rStyle w:val="selectable"/>
          <w:rFonts w:cs="Arial"/>
          <w:color w:val="000000"/>
          <w:shd w:val="clear" w:color="auto" w:fill="FFFFFF"/>
        </w:rPr>
        <w:t> </w:t>
      </w:r>
      <w:proofErr w:type="gramStart"/>
      <w:r w:rsidRPr="00D44040">
        <w:rPr>
          <w:rStyle w:val="selectable"/>
          <w:rFonts w:cs="Arial"/>
          <w:i/>
          <w:iCs/>
          <w:color w:val="000000"/>
          <w:shd w:val="clear" w:color="auto" w:fill="FFFFFF"/>
        </w:rPr>
        <w:t>Hellenica</w:t>
      </w:r>
      <w:r w:rsidRPr="00D44040">
        <w:rPr>
          <w:rStyle w:val="selectable"/>
          <w:rFonts w:cs="Arial"/>
          <w:color w:val="000000"/>
          <w:shd w:val="clear" w:color="auto" w:fill="FFFFFF"/>
        </w:rPr>
        <w:t>.</w:t>
      </w:r>
      <w:proofErr w:type="gramEnd"/>
      <w:r w:rsidRPr="00D44040">
        <w:rPr>
          <w:rStyle w:val="selectable"/>
          <w:rFonts w:cs="Arial"/>
          <w:color w:val="000000"/>
          <w:shd w:val="clear" w:color="auto" w:fill="FFFFFF"/>
        </w:rPr>
        <w:t xml:space="preserve"> </w:t>
      </w:r>
      <w:proofErr w:type="gramStart"/>
      <w:r w:rsidR="00FC77B5" w:rsidRPr="00D44040">
        <w:rPr>
          <w:rStyle w:val="selectable"/>
          <w:rFonts w:cs="Arial"/>
          <w:color w:val="000000"/>
          <w:shd w:val="clear" w:color="auto" w:fill="FFFFFF"/>
        </w:rPr>
        <w:t xml:space="preserve">Translated by </w:t>
      </w:r>
      <w:proofErr w:type="spellStart"/>
      <w:r w:rsidR="00FC77B5" w:rsidRPr="00D44040">
        <w:rPr>
          <w:rStyle w:val="selectable"/>
          <w:rFonts w:cs="Arial"/>
          <w:color w:val="000000"/>
          <w:shd w:val="clear" w:color="auto" w:fill="FFFFFF"/>
        </w:rPr>
        <w:t>Brownson</w:t>
      </w:r>
      <w:proofErr w:type="spellEnd"/>
      <w:r w:rsidR="00FC77B5" w:rsidRPr="00D44040">
        <w:rPr>
          <w:rStyle w:val="selectable"/>
          <w:rFonts w:cs="Arial"/>
          <w:color w:val="000000"/>
          <w:shd w:val="clear" w:color="auto" w:fill="FFFFFF"/>
        </w:rPr>
        <w:t>.</w:t>
      </w:r>
      <w:proofErr w:type="gramEnd"/>
      <w:r w:rsidR="00FC77B5" w:rsidRPr="00D44040">
        <w:rPr>
          <w:rStyle w:val="selectable"/>
          <w:rFonts w:cs="Arial"/>
          <w:color w:val="000000"/>
          <w:shd w:val="clear" w:color="auto" w:fill="FFFFFF"/>
        </w:rPr>
        <w:t xml:space="preserve"> </w:t>
      </w:r>
      <w:r w:rsidRPr="00D44040">
        <w:rPr>
          <w:rStyle w:val="selectable"/>
          <w:rFonts w:cs="Arial"/>
          <w:color w:val="000000"/>
          <w:shd w:val="clear" w:color="auto" w:fill="FFFFFF"/>
        </w:rPr>
        <w:t xml:space="preserve">Cambridge, </w:t>
      </w:r>
      <w:r w:rsidR="0089361B" w:rsidRPr="00D44040">
        <w:rPr>
          <w:rFonts w:cs="Arial"/>
          <w:color w:val="000000"/>
          <w:shd w:val="clear" w:color="auto" w:fill="FFFFFF"/>
        </w:rPr>
        <w:t>Massachusetts</w:t>
      </w:r>
      <w:r w:rsidRPr="00D44040">
        <w:rPr>
          <w:rStyle w:val="selectable"/>
          <w:rFonts w:cs="Arial"/>
          <w:color w:val="000000"/>
          <w:shd w:val="clear" w:color="auto" w:fill="FFFFFF"/>
        </w:rPr>
        <w:t>: Harvard University Press.</w:t>
      </w:r>
    </w:p>
    <w:p w:rsidR="006B5FBD" w:rsidRPr="00D44040" w:rsidRDefault="006B5FBD">
      <w:pPr>
        <w:rPr>
          <w:b/>
          <w:sz w:val="24"/>
          <w:u w:val="single"/>
        </w:rPr>
      </w:pPr>
      <w:r w:rsidRPr="00D44040">
        <w:rPr>
          <w:rStyle w:val="selectable"/>
          <w:rFonts w:cs="Arial"/>
          <w:b/>
          <w:color w:val="000000"/>
          <w:sz w:val="24"/>
          <w:u w:val="single"/>
          <w:shd w:val="clear" w:color="auto" w:fill="FFFFFF"/>
        </w:rPr>
        <w:t>Secondary Sources</w:t>
      </w:r>
    </w:p>
    <w:p w:rsidR="00D44040" w:rsidRPr="00D44040" w:rsidRDefault="00D44040" w:rsidP="00FC77B5">
      <w:r w:rsidRPr="00D44040">
        <w:t xml:space="preserve">Abbot, E. (1891). </w:t>
      </w:r>
      <w:proofErr w:type="gramStart"/>
      <w:r w:rsidRPr="00D44040">
        <w:rPr>
          <w:i/>
        </w:rPr>
        <w:t>Pericles and the Golden Age of Athens</w:t>
      </w:r>
      <w:r w:rsidRPr="00D44040">
        <w:t>.</w:t>
      </w:r>
      <w:proofErr w:type="gramEnd"/>
      <w:r w:rsidRPr="00D44040">
        <w:t xml:space="preserve"> 1st </w:t>
      </w:r>
      <w:proofErr w:type="gramStart"/>
      <w:r w:rsidRPr="00D44040">
        <w:t>ed</w:t>
      </w:r>
      <w:proofErr w:type="gramEnd"/>
      <w:r w:rsidRPr="00D44040">
        <w:t>. New York: G. P. Putnam's sons.</w:t>
      </w:r>
    </w:p>
    <w:p w:rsidR="00FC77B5" w:rsidRPr="00D44040" w:rsidRDefault="00FC77B5" w:rsidP="00FC77B5">
      <w:proofErr w:type="gramStart"/>
      <w:r w:rsidRPr="00D44040">
        <w:t>Armstrongeconomics.com. (2019).</w:t>
      </w:r>
      <w:proofErr w:type="gramEnd"/>
      <w:r w:rsidRPr="00D44040">
        <w:t> </w:t>
      </w:r>
      <w:r w:rsidRPr="00D44040">
        <w:rPr>
          <w:i/>
        </w:rPr>
        <w:t>The EU Precedent also Lies in the Athenian Empire | Armstrong Economics</w:t>
      </w:r>
      <w:r w:rsidRPr="00D44040">
        <w:t>. [</w:t>
      </w:r>
      <w:proofErr w:type="gramStart"/>
      <w:r w:rsidRPr="00D44040">
        <w:t>online</w:t>
      </w:r>
      <w:proofErr w:type="gramEnd"/>
      <w:r w:rsidRPr="00D44040">
        <w:t xml:space="preserve">] Available at: </w:t>
      </w:r>
      <w:hyperlink r:id="rId9" w:history="1">
        <w:r w:rsidRPr="00D44040">
          <w:rPr>
            <w:rStyle w:val="Hyperlink"/>
          </w:rPr>
          <w:t>https://www.armstrongeconomics.com/international-news/europes-current-economy/the-eu-precedent-also-lies-in-the-athenian-empire</w:t>
        </w:r>
      </w:hyperlink>
      <w:r w:rsidRPr="00D44040">
        <w:t xml:space="preserve"> [Accessed 6 Mar. 2019]. </w:t>
      </w:r>
    </w:p>
    <w:p w:rsidR="006B5FBD" w:rsidRPr="00D44040" w:rsidRDefault="006B5FBD" w:rsidP="00FC77B5">
      <w:r w:rsidRPr="00D44040">
        <w:t>Boucher, D. (2009). </w:t>
      </w:r>
      <w:r w:rsidRPr="00D44040">
        <w:rPr>
          <w:i/>
        </w:rPr>
        <w:t>Political theories of international relations: From Thucydides to the Present</w:t>
      </w:r>
      <w:r w:rsidRPr="00D44040">
        <w:t>. Oxford: Oxford Univ. Press.</w:t>
      </w:r>
    </w:p>
    <w:p w:rsidR="008A3DEE" w:rsidRPr="00D44040" w:rsidRDefault="008A3DEE" w:rsidP="00FC77B5">
      <w:r w:rsidRPr="00D44040">
        <w:t xml:space="preserve">Dickins, G. (1911). </w:t>
      </w:r>
      <w:proofErr w:type="gramStart"/>
      <w:r w:rsidRPr="00D44040">
        <w:rPr>
          <w:i/>
        </w:rPr>
        <w:t>The True Cause of the Peloponnesian War</w:t>
      </w:r>
      <w:r w:rsidRPr="00D44040">
        <w:t>.</w:t>
      </w:r>
      <w:proofErr w:type="gramEnd"/>
      <w:r w:rsidRPr="00D44040">
        <w:t xml:space="preserve"> </w:t>
      </w:r>
      <w:proofErr w:type="gramStart"/>
      <w:r w:rsidRPr="00D44040">
        <w:t>The Classical Quarterly, [online] 5(04), p.238.</w:t>
      </w:r>
      <w:proofErr w:type="gramEnd"/>
      <w:r w:rsidRPr="00D44040">
        <w:t xml:space="preserve"> Available at: </w:t>
      </w:r>
      <w:hyperlink r:id="rId10" w:anchor="page_scan_tab_contents" w:history="1">
        <w:r w:rsidRPr="00D44040">
          <w:rPr>
            <w:rStyle w:val="Hyperlink"/>
          </w:rPr>
          <w:t>https://www.jstor.org/stable/636425?read-now=1&amp;seq=1#page_scan_tab_contents</w:t>
        </w:r>
      </w:hyperlink>
      <w:r w:rsidRPr="00D44040">
        <w:t xml:space="preserve">. </w:t>
      </w:r>
    </w:p>
    <w:p w:rsidR="006B5FBD" w:rsidRPr="00D44040" w:rsidRDefault="006B5FBD" w:rsidP="00FC77B5">
      <w:proofErr w:type="spellStart"/>
      <w:proofErr w:type="gramStart"/>
      <w:r w:rsidRPr="00D44040">
        <w:t>Diodorus</w:t>
      </w:r>
      <w:proofErr w:type="spellEnd"/>
      <w:r w:rsidRPr="00D44040">
        <w:t xml:space="preserve"> and Green, P. (2010).</w:t>
      </w:r>
      <w:proofErr w:type="gramEnd"/>
      <w:r w:rsidRPr="00D44040">
        <w:t> </w:t>
      </w:r>
      <w:r w:rsidRPr="00D44040">
        <w:rPr>
          <w:i/>
        </w:rPr>
        <w:t>The Persian wars to the fall of Athens</w:t>
      </w:r>
      <w:r w:rsidRPr="00D44040">
        <w:t>. Austin: University of Texas Press.</w:t>
      </w:r>
    </w:p>
    <w:p w:rsidR="008A3DEE" w:rsidRPr="00D44040" w:rsidRDefault="008A3DEE" w:rsidP="00FC77B5">
      <w:proofErr w:type="gramStart"/>
      <w:r w:rsidRPr="00D44040">
        <w:t>Duff, T. (1999).</w:t>
      </w:r>
      <w:proofErr w:type="gramEnd"/>
      <w:r w:rsidRPr="00D44040">
        <w:t xml:space="preserve"> </w:t>
      </w:r>
      <w:r w:rsidRPr="00D44040">
        <w:rPr>
          <w:i/>
        </w:rPr>
        <w:t xml:space="preserve">Review Article: The Accuracy of </w:t>
      </w:r>
      <w:proofErr w:type="spellStart"/>
      <w:r w:rsidRPr="00D44040">
        <w:rPr>
          <w:i/>
        </w:rPr>
        <w:t>Thoukydides</w:t>
      </w:r>
      <w:proofErr w:type="spellEnd"/>
      <w:r w:rsidRPr="00D44040">
        <w:t xml:space="preserve">. </w:t>
      </w:r>
      <w:proofErr w:type="gramStart"/>
      <w:r w:rsidRPr="00D44040">
        <w:t>The International History Review, [online] 21(3), pp.690-695.</w:t>
      </w:r>
      <w:proofErr w:type="gramEnd"/>
      <w:r w:rsidRPr="00D44040">
        <w:t xml:space="preserve"> Available at: </w:t>
      </w:r>
      <w:hyperlink r:id="rId11" w:history="1">
        <w:r w:rsidRPr="00D44040">
          <w:rPr>
            <w:rStyle w:val="Hyperlink"/>
          </w:rPr>
          <w:t>https://www.academia.edu/458266/The_Accuracy_of_Thucydides_review_article_</w:t>
        </w:r>
      </w:hyperlink>
      <w:r w:rsidRPr="00D44040">
        <w:t xml:space="preserve">. </w:t>
      </w:r>
    </w:p>
    <w:p w:rsidR="001A6524" w:rsidRPr="00D44040" w:rsidRDefault="001A6524" w:rsidP="00FC77B5">
      <w:proofErr w:type="gramStart"/>
      <w:r w:rsidRPr="00D44040">
        <w:t>Forde, S. (1986).</w:t>
      </w:r>
      <w:proofErr w:type="gramEnd"/>
      <w:r w:rsidRPr="00D44040">
        <w:t xml:space="preserve"> </w:t>
      </w:r>
      <w:proofErr w:type="gramStart"/>
      <w:r w:rsidRPr="00D44040">
        <w:rPr>
          <w:i/>
        </w:rPr>
        <w:t>Thucydides on the Causes of Athenian Imperialism.</w:t>
      </w:r>
      <w:proofErr w:type="gramEnd"/>
      <w:r w:rsidRPr="00D44040">
        <w:rPr>
          <w:i/>
        </w:rPr>
        <w:t> </w:t>
      </w:r>
      <w:proofErr w:type="gramStart"/>
      <w:r w:rsidRPr="00D44040">
        <w:rPr>
          <w:i/>
        </w:rPr>
        <w:t>American Political Science Review</w:t>
      </w:r>
      <w:r w:rsidR="00CC0E7E" w:rsidRPr="00D44040">
        <w:rPr>
          <w:i/>
        </w:rPr>
        <w:t>.</w:t>
      </w:r>
      <w:proofErr w:type="gramEnd"/>
      <w:r w:rsidRPr="00D44040">
        <w:t xml:space="preserve"> [</w:t>
      </w:r>
      <w:proofErr w:type="gramStart"/>
      <w:r w:rsidRPr="00D44040">
        <w:t>online</w:t>
      </w:r>
      <w:proofErr w:type="gramEnd"/>
      <w:r w:rsidRPr="00D44040">
        <w:t xml:space="preserve">] 80(02), pp.433-448. Available at: </w:t>
      </w:r>
      <w:hyperlink r:id="rId12" w:anchor="page_scan_tab_contents" w:history="1">
        <w:r w:rsidRPr="00D44040">
          <w:rPr>
            <w:rStyle w:val="Hyperlink"/>
          </w:rPr>
          <w:t>https://www.jstor.org/stable/1958267?seq=1#page_scan_tab_contents</w:t>
        </w:r>
      </w:hyperlink>
      <w:r w:rsidRPr="00D44040">
        <w:t xml:space="preserve">. </w:t>
      </w:r>
    </w:p>
    <w:p w:rsidR="00F6243F" w:rsidRPr="00D44040" w:rsidRDefault="00F6243F" w:rsidP="00FC77B5">
      <w:r w:rsidRPr="00D44040">
        <w:t xml:space="preserve">Humble, NM, </w:t>
      </w:r>
      <w:r w:rsidR="00CC0E7E" w:rsidRPr="00D44040">
        <w:t>(</w:t>
      </w:r>
      <w:r w:rsidRPr="00D44040">
        <w:t>1997</w:t>
      </w:r>
      <w:r w:rsidR="00CC0E7E" w:rsidRPr="00D44040">
        <w:t>)</w:t>
      </w:r>
      <w:r w:rsidRPr="00D44040">
        <w:t xml:space="preserve">. </w:t>
      </w:r>
      <w:r w:rsidRPr="00D44040">
        <w:rPr>
          <w:i/>
        </w:rPr>
        <w:t xml:space="preserve">Xenophon's View of Sparta: a study of the Anabasis, Hellenica and </w:t>
      </w:r>
      <w:proofErr w:type="spellStart"/>
      <w:r w:rsidRPr="00D44040">
        <w:rPr>
          <w:i/>
        </w:rPr>
        <w:t>Respublica</w:t>
      </w:r>
      <w:proofErr w:type="spellEnd"/>
      <w:r w:rsidRPr="00D44040">
        <w:rPr>
          <w:i/>
        </w:rPr>
        <w:t xml:space="preserve"> </w:t>
      </w:r>
      <w:proofErr w:type="spellStart"/>
      <w:r w:rsidRPr="00D44040">
        <w:rPr>
          <w:i/>
        </w:rPr>
        <w:t>Lacedaemoniorum</w:t>
      </w:r>
      <w:proofErr w:type="spellEnd"/>
      <w:r w:rsidRPr="00D44040">
        <w:t>. PhD. Hamilton, Ontario: McMaster University.</w:t>
      </w:r>
    </w:p>
    <w:p w:rsidR="006B5FBD" w:rsidRPr="00D44040" w:rsidRDefault="006B5FBD" w:rsidP="00FC77B5">
      <w:proofErr w:type="spellStart"/>
      <w:r w:rsidRPr="00D44040">
        <w:t>Hurwit</w:t>
      </w:r>
      <w:proofErr w:type="spellEnd"/>
      <w:r w:rsidRPr="00D44040">
        <w:t>, J. (2004). </w:t>
      </w:r>
      <w:proofErr w:type="gramStart"/>
      <w:r w:rsidRPr="00D44040">
        <w:rPr>
          <w:i/>
        </w:rPr>
        <w:t>The Acropolis in the age of Pericles</w:t>
      </w:r>
      <w:r w:rsidRPr="00D44040">
        <w:t>.</w:t>
      </w:r>
      <w:proofErr w:type="gramEnd"/>
      <w:r w:rsidRPr="00D44040">
        <w:t xml:space="preserve"> Cambridge, UK: Cambridge University Press.</w:t>
      </w:r>
    </w:p>
    <w:p w:rsidR="006B5FBD" w:rsidRPr="00D44040" w:rsidRDefault="006B5FBD" w:rsidP="00FC77B5">
      <w:proofErr w:type="spellStart"/>
      <w:r w:rsidRPr="00D44040">
        <w:t>Kagan</w:t>
      </w:r>
      <w:proofErr w:type="spellEnd"/>
      <w:r w:rsidRPr="00D44040">
        <w:t>, D. (2013). </w:t>
      </w:r>
      <w:proofErr w:type="gramStart"/>
      <w:r w:rsidRPr="00D44040">
        <w:rPr>
          <w:i/>
        </w:rPr>
        <w:t>The Outbreak of the Peloponnesian War</w:t>
      </w:r>
      <w:r w:rsidRPr="00D44040">
        <w:t>.</w:t>
      </w:r>
      <w:proofErr w:type="gramEnd"/>
      <w:r w:rsidRPr="00D44040">
        <w:t xml:space="preserve"> Ithaca: Cornell University Press.</w:t>
      </w:r>
    </w:p>
    <w:p w:rsidR="006B5FBD" w:rsidRPr="00D44040" w:rsidRDefault="006B5FBD" w:rsidP="00FC77B5">
      <w:proofErr w:type="spellStart"/>
      <w:r w:rsidRPr="00D44040">
        <w:t>Kagan</w:t>
      </w:r>
      <w:proofErr w:type="spellEnd"/>
      <w:r w:rsidRPr="00D44040">
        <w:t>, D. (2012). </w:t>
      </w:r>
      <w:proofErr w:type="gramStart"/>
      <w:r w:rsidRPr="00D44040">
        <w:rPr>
          <w:i/>
        </w:rPr>
        <w:t>New history of the Peloponnesian War</w:t>
      </w:r>
      <w:r w:rsidRPr="00D44040">
        <w:t>.</w:t>
      </w:r>
      <w:proofErr w:type="gramEnd"/>
      <w:r w:rsidRPr="00D44040">
        <w:t xml:space="preserve"> Ithaca, NY: Cornell University Press. </w:t>
      </w:r>
    </w:p>
    <w:p w:rsidR="008A3DEE" w:rsidRPr="00D44040" w:rsidRDefault="008A3DEE" w:rsidP="00FC77B5">
      <w:r w:rsidRPr="00D44040">
        <w:t xml:space="preserve">Kirby, J. (1983). </w:t>
      </w:r>
      <w:proofErr w:type="gramStart"/>
      <w:r w:rsidRPr="00D44040">
        <w:rPr>
          <w:i/>
        </w:rPr>
        <w:t>Narrative Structure and Technique in Thucydides VI-VII.</w:t>
      </w:r>
      <w:proofErr w:type="gramEnd"/>
      <w:r w:rsidRPr="00D44040">
        <w:rPr>
          <w:i/>
        </w:rPr>
        <w:t xml:space="preserve"> </w:t>
      </w:r>
      <w:proofErr w:type="gramStart"/>
      <w:r w:rsidRPr="00D44040">
        <w:rPr>
          <w:i/>
        </w:rPr>
        <w:t>Classical Antiquity</w:t>
      </w:r>
      <w:r w:rsidR="00CC0E7E" w:rsidRPr="00D44040">
        <w:rPr>
          <w:i/>
        </w:rPr>
        <w:t>.</w:t>
      </w:r>
      <w:proofErr w:type="gramEnd"/>
      <w:r w:rsidRPr="00D44040">
        <w:t xml:space="preserve"> [</w:t>
      </w:r>
      <w:proofErr w:type="gramStart"/>
      <w:r w:rsidRPr="00D44040">
        <w:t>online</w:t>
      </w:r>
      <w:proofErr w:type="gramEnd"/>
      <w:r w:rsidRPr="00D44040">
        <w:t xml:space="preserve">] 2(2), pp.183-211. Available at: </w:t>
      </w:r>
      <w:hyperlink r:id="rId13" w:anchor="page_scan_tab_contents" w:history="1">
        <w:r w:rsidRPr="00D44040">
          <w:rPr>
            <w:rStyle w:val="Hyperlink"/>
          </w:rPr>
          <w:t>https://www.jstor.org/stable/25010796?seq=1#page_scan_tab_contents</w:t>
        </w:r>
      </w:hyperlink>
      <w:r w:rsidRPr="00D44040">
        <w:t xml:space="preserve">. </w:t>
      </w:r>
    </w:p>
    <w:p w:rsidR="00F164FB" w:rsidRPr="00D44040" w:rsidRDefault="00F164FB" w:rsidP="00FC77B5">
      <w:proofErr w:type="spellStart"/>
      <w:r w:rsidRPr="00D44040">
        <w:t>Kubala</w:t>
      </w:r>
      <w:proofErr w:type="spellEnd"/>
      <w:r w:rsidRPr="00D44040">
        <w:t xml:space="preserve">, L, </w:t>
      </w:r>
      <w:r w:rsidR="00B01CB2">
        <w:t>(</w:t>
      </w:r>
      <w:r w:rsidRPr="00D44040">
        <w:t>2013</w:t>
      </w:r>
      <w:r w:rsidR="00B01CB2">
        <w:t>)</w:t>
      </w:r>
      <w:r w:rsidRPr="00D44040">
        <w:t xml:space="preserve">. </w:t>
      </w:r>
      <w:proofErr w:type="gramStart"/>
      <w:r w:rsidRPr="00D44040">
        <w:rPr>
          <w:i/>
        </w:rPr>
        <w:t>The distinctive features and main goals of Athenian imperialism in 5th century BC.</w:t>
      </w:r>
      <w:proofErr w:type="gramEnd"/>
      <w:r w:rsidRPr="00D44040">
        <w:t xml:space="preserve"> </w:t>
      </w:r>
      <w:proofErr w:type="spellStart"/>
      <w:r w:rsidRPr="00D44040">
        <w:t>Graeco</w:t>
      </w:r>
      <w:proofErr w:type="spellEnd"/>
      <w:r w:rsidRPr="00D44040">
        <w:t xml:space="preserve">-Latina </w:t>
      </w:r>
      <w:proofErr w:type="spellStart"/>
      <w:r w:rsidRPr="00D44040">
        <w:t>Brunensia</w:t>
      </w:r>
      <w:proofErr w:type="spellEnd"/>
      <w:r w:rsidRPr="00D44040">
        <w:t xml:space="preserve">, vol. 18, </w:t>
      </w:r>
      <w:proofErr w:type="spellStart"/>
      <w:r w:rsidRPr="00D44040">
        <w:t>iss</w:t>
      </w:r>
      <w:proofErr w:type="spellEnd"/>
      <w:r w:rsidRPr="00D44040">
        <w:t xml:space="preserve">. 1, pp. 131-148. Available at: </w:t>
      </w:r>
      <w:hyperlink r:id="rId14" w:history="1">
        <w:r w:rsidRPr="00D44040">
          <w:rPr>
            <w:rStyle w:val="Hyperlink"/>
          </w:rPr>
          <w:t>https://digilib.phil.muni.cz/handle/11222.digilib/127202</w:t>
        </w:r>
      </w:hyperlink>
      <w:r w:rsidRPr="00D44040">
        <w:t xml:space="preserve"> </w:t>
      </w:r>
    </w:p>
    <w:p w:rsidR="006B5FBD" w:rsidRPr="00D44040" w:rsidRDefault="006B5FBD" w:rsidP="00FC77B5">
      <w:proofErr w:type="spellStart"/>
      <w:proofErr w:type="gramStart"/>
      <w:r w:rsidRPr="00D44040">
        <w:t>Laistner</w:t>
      </w:r>
      <w:proofErr w:type="spellEnd"/>
      <w:r w:rsidRPr="00D44040">
        <w:t>, M. (1970).</w:t>
      </w:r>
      <w:proofErr w:type="gramEnd"/>
      <w:r w:rsidRPr="00D44040">
        <w:t> </w:t>
      </w:r>
      <w:r w:rsidRPr="00D44040">
        <w:rPr>
          <w:i/>
        </w:rPr>
        <w:t>A history of the Greek world from 479 to 323 B.C</w:t>
      </w:r>
      <w:r w:rsidRPr="00D44040">
        <w:t xml:space="preserve">. 2nd ed. London: Methuen. </w:t>
      </w:r>
    </w:p>
    <w:p w:rsidR="006B5FBD" w:rsidRPr="00D44040" w:rsidRDefault="006B5FBD" w:rsidP="00FC77B5">
      <w:proofErr w:type="spellStart"/>
      <w:proofErr w:type="gramStart"/>
      <w:r w:rsidRPr="00D44040">
        <w:t>Meiggs</w:t>
      </w:r>
      <w:proofErr w:type="spellEnd"/>
      <w:r w:rsidRPr="00D44040">
        <w:t>, R. (1943</w:t>
      </w:r>
      <w:r w:rsidRPr="00D44040">
        <w:rPr>
          <w:i/>
        </w:rPr>
        <w:t>) “The Growth of Athenian Imperialism,” The Journal of Hellenic Studies</w:t>
      </w:r>
      <w:r w:rsidRPr="00D44040">
        <w:t>.</w:t>
      </w:r>
      <w:proofErr w:type="gramEnd"/>
      <w:r w:rsidRPr="00D44040">
        <w:t xml:space="preserve"> Cambridge U</w:t>
      </w:r>
      <w:r w:rsidR="00F164FB" w:rsidRPr="00D44040">
        <w:t xml:space="preserve">niversity Press, 63, pp. 21–34. Available at: </w:t>
      </w:r>
      <w:hyperlink r:id="rId15" w:history="1">
        <w:r w:rsidR="00F164FB" w:rsidRPr="00D44040">
          <w:rPr>
            <w:rStyle w:val="Hyperlink"/>
          </w:rPr>
          <w:t>https://www.jstor.org/stable/627001</w:t>
        </w:r>
      </w:hyperlink>
      <w:r w:rsidR="00F164FB" w:rsidRPr="00D44040">
        <w:t xml:space="preserve"> </w:t>
      </w:r>
    </w:p>
    <w:p w:rsidR="00F164FB" w:rsidRPr="00D44040" w:rsidRDefault="00F164FB" w:rsidP="00FC77B5">
      <w:proofErr w:type="spellStart"/>
      <w:r w:rsidRPr="00D44040">
        <w:t>Podoksik</w:t>
      </w:r>
      <w:proofErr w:type="spellEnd"/>
      <w:r w:rsidRPr="00D44040">
        <w:t xml:space="preserve">, E, </w:t>
      </w:r>
      <w:r w:rsidR="00CC0E7E" w:rsidRPr="00D44040">
        <w:t>(</w:t>
      </w:r>
      <w:r w:rsidRPr="00D44040">
        <w:t>2005</w:t>
      </w:r>
      <w:r w:rsidR="00CC0E7E" w:rsidRPr="00D44040">
        <w:t>)</w:t>
      </w:r>
      <w:r w:rsidRPr="00D44040">
        <w:t xml:space="preserve">. </w:t>
      </w:r>
      <w:r w:rsidRPr="00D44040">
        <w:rPr>
          <w:i/>
        </w:rPr>
        <w:t>JUSTICE, POWER AND ATHENIAN IMPERIALISM: AN IDEOLOGICAL MOMENT IN THUCYDIDES' "HISTORY</w:t>
      </w:r>
      <w:r w:rsidR="00CC0E7E" w:rsidRPr="00D44040">
        <w:rPr>
          <w:i/>
        </w:rPr>
        <w:t>”</w:t>
      </w:r>
      <w:r w:rsidRPr="00D44040">
        <w:t xml:space="preserve">. History of Political Thought, Vol. 26, No. 1 (Spring 2005), pp. 21-42. Available at: </w:t>
      </w:r>
      <w:hyperlink r:id="rId16" w:history="1">
        <w:r w:rsidRPr="00D44040">
          <w:rPr>
            <w:rStyle w:val="Hyperlink"/>
          </w:rPr>
          <w:t>https://www.jstor.org/stable/26221725</w:t>
        </w:r>
      </w:hyperlink>
    </w:p>
    <w:p w:rsidR="00D44040" w:rsidRPr="00D44040" w:rsidRDefault="00D44040" w:rsidP="00FC77B5">
      <w:r w:rsidRPr="00D44040">
        <w:t xml:space="preserve">Pomeroy, S.B., Burstein, S.M., Roberts, J.T. (2012). </w:t>
      </w:r>
      <w:r w:rsidRPr="00D44040">
        <w:rPr>
          <w:i/>
        </w:rPr>
        <w:t>Ancient Greece: A Political, Social, and Cultural History</w:t>
      </w:r>
      <w:r w:rsidRPr="00D44040">
        <w:t>. 3rd ed. Oxford: Oxford University Press.</w:t>
      </w:r>
    </w:p>
    <w:p w:rsidR="00CC0E7E" w:rsidRPr="00D44040" w:rsidRDefault="00CC0E7E" w:rsidP="00FC77B5">
      <w:proofErr w:type="spellStart"/>
      <w:r w:rsidRPr="00D44040">
        <w:t>Pritchet</w:t>
      </w:r>
      <w:proofErr w:type="spellEnd"/>
      <w:r w:rsidRPr="00D44040">
        <w:t xml:space="preserve">, E, (2016). </w:t>
      </w:r>
      <w:proofErr w:type="gramStart"/>
      <w:r w:rsidRPr="00D44040">
        <w:rPr>
          <w:i/>
        </w:rPr>
        <w:t>Finding the Truth: An Examination into the Use of Rhetoric in Thucydides</w:t>
      </w:r>
      <w:r w:rsidRPr="00D44040">
        <w:t>.</w:t>
      </w:r>
      <w:proofErr w:type="gramEnd"/>
      <w:r w:rsidRPr="00D44040">
        <w:t xml:space="preserve"> </w:t>
      </w:r>
      <w:proofErr w:type="gramStart"/>
      <w:r w:rsidRPr="00D44040">
        <w:t>In Scholars Week.</w:t>
      </w:r>
      <w:proofErr w:type="gramEnd"/>
      <w:r w:rsidRPr="00D44040">
        <w:t xml:space="preserve"> Murray State University, April 19th 2016. Murray, Kentucky: Murray State's Digital Commons. pp. 1-12. </w:t>
      </w:r>
    </w:p>
    <w:p w:rsidR="00F67F1D" w:rsidRPr="00D44040" w:rsidRDefault="006B5FBD" w:rsidP="00FC77B5">
      <w:r w:rsidRPr="00D44040">
        <w:t>Strauss, B. (2011). </w:t>
      </w:r>
      <w:proofErr w:type="gramStart"/>
      <w:r w:rsidRPr="00D44040">
        <w:rPr>
          <w:i/>
        </w:rPr>
        <w:t>Fathers and sons in Athens</w:t>
      </w:r>
      <w:r w:rsidRPr="00D44040">
        <w:t>.</w:t>
      </w:r>
      <w:proofErr w:type="gramEnd"/>
      <w:r w:rsidRPr="00D44040">
        <w:t xml:space="preserve"> London: Routledge. </w:t>
      </w:r>
    </w:p>
    <w:p w:rsidR="00F164FB" w:rsidRPr="00D44040" w:rsidRDefault="00F164FB" w:rsidP="00F164FB">
      <w:r w:rsidRPr="00D44040">
        <w:t xml:space="preserve">Thucydides. </w:t>
      </w:r>
      <w:proofErr w:type="gramStart"/>
      <w:r w:rsidRPr="00D44040">
        <w:t>(2019). </w:t>
      </w:r>
      <w:r w:rsidRPr="00D44040">
        <w:rPr>
          <w:i/>
        </w:rPr>
        <w:t>Introduction to Thucydides, History of the Peloponnesian War</w:t>
      </w:r>
      <w:r w:rsidRPr="00D44040">
        <w:t>.</w:t>
      </w:r>
      <w:proofErr w:type="gramEnd"/>
      <w:r w:rsidRPr="00D44040">
        <w:t xml:space="preserve"> [</w:t>
      </w:r>
      <w:proofErr w:type="gramStart"/>
      <w:r w:rsidRPr="00D44040">
        <w:t>online</w:t>
      </w:r>
      <w:proofErr w:type="gramEnd"/>
      <w:r w:rsidRPr="00D44040">
        <w:t xml:space="preserve">] Available at: </w:t>
      </w:r>
      <w:hyperlink r:id="rId17" w:history="1">
        <w:r w:rsidRPr="00D44040">
          <w:rPr>
            <w:rStyle w:val="Hyperlink"/>
          </w:rPr>
          <w:t>https://thegreatthinkers.org/thucydides/introduction</w:t>
        </w:r>
      </w:hyperlink>
      <w:r w:rsidRPr="00D44040">
        <w:t xml:space="preserve">  [Accessed 6 Mar. 2019].</w:t>
      </w:r>
    </w:p>
    <w:p w:rsidR="00CC0E7E" w:rsidRPr="00D44040" w:rsidRDefault="006B5FBD" w:rsidP="00FC77B5">
      <w:proofErr w:type="spellStart"/>
      <w:r w:rsidRPr="00D44040">
        <w:t>Tritle</w:t>
      </w:r>
      <w:proofErr w:type="spellEnd"/>
      <w:r w:rsidRPr="00D44040">
        <w:t>, L. (2004). </w:t>
      </w:r>
      <w:proofErr w:type="gramStart"/>
      <w:r w:rsidRPr="00D44040">
        <w:rPr>
          <w:i/>
        </w:rPr>
        <w:t>The Peloponnesian War</w:t>
      </w:r>
      <w:r w:rsidRPr="00D44040">
        <w:t>.</w:t>
      </w:r>
      <w:proofErr w:type="gramEnd"/>
      <w:r w:rsidRPr="00D44040">
        <w:t xml:space="preserve"> Westport</w:t>
      </w:r>
      <w:r w:rsidRPr="00D44040">
        <w:rPr>
          <w:rStyle w:val="selectable"/>
        </w:rPr>
        <w:t>, Conn.: Greenwood Press.</w:t>
      </w:r>
      <w:r w:rsidRPr="00D44040">
        <w:t xml:space="preserve"> </w:t>
      </w:r>
    </w:p>
    <w:p w:rsidR="00B01CB2" w:rsidRPr="00D44040" w:rsidRDefault="00CC0E7E" w:rsidP="00B01CB2">
      <w:pPr>
        <w:rPr>
          <w:color w:val="FF0000"/>
          <w:sz w:val="24"/>
          <w:u w:val="single"/>
        </w:rPr>
      </w:pPr>
      <w:proofErr w:type="spellStart"/>
      <w:r w:rsidRPr="00D44040">
        <w:t>Watkiss</w:t>
      </w:r>
      <w:proofErr w:type="spellEnd"/>
      <w:r w:rsidRPr="00D44040">
        <w:t xml:space="preserve"> Lloyd, W. </w:t>
      </w:r>
      <w:r w:rsidR="00B01CB2">
        <w:t>(</w:t>
      </w:r>
      <w:r w:rsidRPr="00D44040">
        <w:t>1875</w:t>
      </w:r>
      <w:r w:rsidR="00B01CB2">
        <w:t>)</w:t>
      </w:r>
      <w:r w:rsidRPr="00D44040">
        <w:t xml:space="preserve">. </w:t>
      </w:r>
      <w:r w:rsidRPr="00D44040">
        <w:rPr>
          <w:i/>
        </w:rPr>
        <w:t>The Age of Pericles: A History of the Politics and Arts of Greece from the Persian to the Peloponnesian War</w:t>
      </w:r>
      <w:r w:rsidRPr="00D44040">
        <w:t>. 2nd ed. London: Macmillan and Company.</w:t>
      </w:r>
    </w:p>
    <w:sectPr w:rsidR="00B01CB2" w:rsidRPr="00D44040" w:rsidSect="00666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393" w:rsidRDefault="00241393" w:rsidP="0004560E">
      <w:pPr>
        <w:spacing w:after="0" w:line="240" w:lineRule="auto"/>
      </w:pPr>
      <w:r>
        <w:separator/>
      </w:r>
    </w:p>
  </w:endnote>
  <w:endnote w:type="continuationSeparator" w:id="0">
    <w:p w:rsidR="00241393" w:rsidRDefault="00241393" w:rsidP="00045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393" w:rsidRDefault="00241393" w:rsidP="0004560E">
      <w:pPr>
        <w:spacing w:after="0" w:line="240" w:lineRule="auto"/>
      </w:pPr>
      <w:r>
        <w:separator/>
      </w:r>
    </w:p>
  </w:footnote>
  <w:footnote w:type="continuationSeparator" w:id="0">
    <w:p w:rsidR="00241393" w:rsidRDefault="00241393" w:rsidP="00045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3E2C"/>
    <w:multiLevelType w:val="hybridMultilevel"/>
    <w:tmpl w:val="AE60129A"/>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
    <w:nsid w:val="0D1E5F0A"/>
    <w:multiLevelType w:val="hybridMultilevel"/>
    <w:tmpl w:val="E0827CB8"/>
    <w:lvl w:ilvl="0" w:tplc="44090003">
      <w:start w:val="1"/>
      <w:numFmt w:val="bullet"/>
      <w:lvlText w:val="o"/>
      <w:lvlJc w:val="left"/>
      <w:pPr>
        <w:ind w:left="720" w:hanging="360"/>
      </w:pPr>
      <w:rPr>
        <w:rFonts w:ascii="Courier New" w:hAnsi="Courier New" w:cs="Courier New"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nsid w:val="0E1916C1"/>
    <w:multiLevelType w:val="hybridMultilevel"/>
    <w:tmpl w:val="3AD45862"/>
    <w:lvl w:ilvl="0" w:tplc="44090001">
      <w:start w:val="1"/>
      <w:numFmt w:val="bullet"/>
      <w:lvlText w:val=""/>
      <w:lvlJc w:val="left"/>
      <w:pPr>
        <w:ind w:left="1080" w:hanging="360"/>
      </w:pPr>
      <w:rPr>
        <w:rFonts w:ascii="Symbol" w:hAnsi="Symbol" w:hint="default"/>
      </w:rPr>
    </w:lvl>
    <w:lvl w:ilvl="1" w:tplc="44090001">
      <w:start w:val="1"/>
      <w:numFmt w:val="bullet"/>
      <w:lvlText w:val=""/>
      <w:lvlJc w:val="left"/>
      <w:pPr>
        <w:ind w:left="1800" w:hanging="360"/>
      </w:pPr>
      <w:rPr>
        <w:rFonts w:ascii="Symbol" w:hAnsi="Symbol" w:hint="default"/>
      </w:rPr>
    </w:lvl>
    <w:lvl w:ilvl="2" w:tplc="44090005">
      <w:start w:val="1"/>
      <w:numFmt w:val="bullet"/>
      <w:lvlText w:val=""/>
      <w:lvlJc w:val="left"/>
      <w:pPr>
        <w:ind w:left="2520" w:hanging="360"/>
      </w:pPr>
      <w:rPr>
        <w:rFonts w:ascii="Wingdings" w:hAnsi="Wingdings" w:hint="default"/>
      </w:rPr>
    </w:lvl>
    <w:lvl w:ilvl="3" w:tplc="44090001" w:tentative="1">
      <w:start w:val="1"/>
      <w:numFmt w:val="bullet"/>
      <w:lvlText w:val=""/>
      <w:lvlJc w:val="left"/>
      <w:pPr>
        <w:ind w:left="3240" w:hanging="360"/>
      </w:pPr>
      <w:rPr>
        <w:rFonts w:ascii="Symbol" w:hAnsi="Symbol" w:hint="default"/>
      </w:rPr>
    </w:lvl>
    <w:lvl w:ilvl="4" w:tplc="44090003" w:tentative="1">
      <w:start w:val="1"/>
      <w:numFmt w:val="bullet"/>
      <w:lvlText w:val="o"/>
      <w:lvlJc w:val="left"/>
      <w:pPr>
        <w:ind w:left="3960" w:hanging="360"/>
      </w:pPr>
      <w:rPr>
        <w:rFonts w:ascii="Courier New" w:hAnsi="Courier New" w:cs="Courier New" w:hint="default"/>
      </w:rPr>
    </w:lvl>
    <w:lvl w:ilvl="5" w:tplc="44090005" w:tentative="1">
      <w:start w:val="1"/>
      <w:numFmt w:val="bullet"/>
      <w:lvlText w:val=""/>
      <w:lvlJc w:val="left"/>
      <w:pPr>
        <w:ind w:left="4680" w:hanging="360"/>
      </w:pPr>
      <w:rPr>
        <w:rFonts w:ascii="Wingdings" w:hAnsi="Wingdings" w:hint="default"/>
      </w:rPr>
    </w:lvl>
    <w:lvl w:ilvl="6" w:tplc="44090001" w:tentative="1">
      <w:start w:val="1"/>
      <w:numFmt w:val="bullet"/>
      <w:lvlText w:val=""/>
      <w:lvlJc w:val="left"/>
      <w:pPr>
        <w:ind w:left="5400" w:hanging="360"/>
      </w:pPr>
      <w:rPr>
        <w:rFonts w:ascii="Symbol" w:hAnsi="Symbol" w:hint="default"/>
      </w:rPr>
    </w:lvl>
    <w:lvl w:ilvl="7" w:tplc="44090003" w:tentative="1">
      <w:start w:val="1"/>
      <w:numFmt w:val="bullet"/>
      <w:lvlText w:val="o"/>
      <w:lvlJc w:val="left"/>
      <w:pPr>
        <w:ind w:left="6120" w:hanging="360"/>
      </w:pPr>
      <w:rPr>
        <w:rFonts w:ascii="Courier New" w:hAnsi="Courier New" w:cs="Courier New" w:hint="default"/>
      </w:rPr>
    </w:lvl>
    <w:lvl w:ilvl="8" w:tplc="44090005" w:tentative="1">
      <w:start w:val="1"/>
      <w:numFmt w:val="bullet"/>
      <w:lvlText w:val=""/>
      <w:lvlJc w:val="left"/>
      <w:pPr>
        <w:ind w:left="6840" w:hanging="360"/>
      </w:pPr>
      <w:rPr>
        <w:rFonts w:ascii="Wingdings" w:hAnsi="Wingdings" w:hint="default"/>
      </w:rPr>
    </w:lvl>
  </w:abstractNum>
  <w:abstractNum w:abstractNumId="3">
    <w:nsid w:val="111B6514"/>
    <w:multiLevelType w:val="hybridMultilevel"/>
    <w:tmpl w:val="4B8CBF74"/>
    <w:lvl w:ilvl="0" w:tplc="44090001">
      <w:start w:val="1"/>
      <w:numFmt w:val="bullet"/>
      <w:lvlText w:val=""/>
      <w:lvlJc w:val="left"/>
      <w:pPr>
        <w:ind w:left="720" w:hanging="360"/>
      </w:pPr>
      <w:rPr>
        <w:rFonts w:ascii="Symbol" w:hAnsi="Symbol" w:hint="default"/>
      </w:rPr>
    </w:lvl>
    <w:lvl w:ilvl="1" w:tplc="4409000F">
      <w:start w:val="1"/>
      <w:numFmt w:val="decimal"/>
      <w:lvlText w:val="%2."/>
      <w:lvlJc w:val="left"/>
      <w:pPr>
        <w:ind w:left="1440" w:hanging="360"/>
      </w:pPr>
      <w:rPr>
        <w:rFonts w:hint="default"/>
      </w:rPr>
    </w:lvl>
    <w:lvl w:ilvl="2" w:tplc="44090005">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nsid w:val="145D63D6"/>
    <w:multiLevelType w:val="hybridMultilevel"/>
    <w:tmpl w:val="8B8A9D68"/>
    <w:lvl w:ilvl="0" w:tplc="44090001">
      <w:start w:val="1"/>
      <w:numFmt w:val="bullet"/>
      <w:lvlText w:val=""/>
      <w:lvlJc w:val="left"/>
      <w:pPr>
        <w:ind w:left="360" w:hanging="360"/>
      </w:pPr>
      <w:rPr>
        <w:rFonts w:ascii="Symbol" w:hAnsi="Symbol" w:hint="default"/>
      </w:rPr>
    </w:lvl>
    <w:lvl w:ilvl="1" w:tplc="44090003">
      <w:start w:val="1"/>
      <w:numFmt w:val="bullet"/>
      <w:lvlText w:val="o"/>
      <w:lvlJc w:val="left"/>
      <w:pPr>
        <w:ind w:left="1080" w:hanging="360"/>
      </w:pPr>
      <w:rPr>
        <w:rFonts w:ascii="Courier New" w:hAnsi="Courier New" w:cs="Courier New" w:hint="default"/>
      </w:rPr>
    </w:lvl>
    <w:lvl w:ilvl="2" w:tplc="44090005">
      <w:start w:val="1"/>
      <w:numFmt w:val="bullet"/>
      <w:lvlText w:val=""/>
      <w:lvlJc w:val="left"/>
      <w:pPr>
        <w:ind w:left="1800" w:hanging="360"/>
      </w:pPr>
      <w:rPr>
        <w:rFonts w:ascii="Wingdings" w:hAnsi="Wingdings" w:hint="default"/>
      </w:rPr>
    </w:lvl>
    <w:lvl w:ilvl="3" w:tplc="4409000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5">
    <w:nsid w:val="18634156"/>
    <w:multiLevelType w:val="hybridMultilevel"/>
    <w:tmpl w:val="85EAFA68"/>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6">
    <w:nsid w:val="2538040A"/>
    <w:multiLevelType w:val="hybridMultilevel"/>
    <w:tmpl w:val="2A16E468"/>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7">
    <w:nsid w:val="3F4A4C88"/>
    <w:multiLevelType w:val="hybridMultilevel"/>
    <w:tmpl w:val="09566E90"/>
    <w:lvl w:ilvl="0" w:tplc="4409000F">
      <w:start w:val="1"/>
      <w:numFmt w:val="decimal"/>
      <w:lvlText w:val="%1."/>
      <w:lvlJc w:val="left"/>
      <w:pPr>
        <w:ind w:left="720" w:hanging="360"/>
      </w:pPr>
      <w:rPr>
        <w:rFonts w:hint="default"/>
      </w:rPr>
    </w:lvl>
    <w:lvl w:ilvl="1" w:tplc="44090001">
      <w:start w:val="1"/>
      <w:numFmt w:val="bullet"/>
      <w:lvlText w:val=""/>
      <w:lvlJc w:val="left"/>
      <w:pPr>
        <w:ind w:left="1440" w:hanging="360"/>
      </w:pPr>
      <w:rPr>
        <w:rFonts w:ascii="Symbol" w:hAnsi="Symbol" w:hint="default"/>
      </w:rPr>
    </w:lvl>
    <w:lvl w:ilvl="2" w:tplc="44090005">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nsid w:val="49557741"/>
    <w:multiLevelType w:val="hybridMultilevel"/>
    <w:tmpl w:val="8B0232C6"/>
    <w:lvl w:ilvl="0" w:tplc="4409000F">
      <w:start w:val="1"/>
      <w:numFmt w:val="decimal"/>
      <w:lvlText w:val="%1."/>
      <w:lvlJc w:val="left"/>
      <w:pPr>
        <w:ind w:left="360" w:hanging="360"/>
      </w:pPr>
      <w:rPr>
        <w:rFonts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9">
    <w:nsid w:val="560134A2"/>
    <w:multiLevelType w:val="hybridMultilevel"/>
    <w:tmpl w:val="EEAA76B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nsid w:val="59D349B1"/>
    <w:multiLevelType w:val="hybridMultilevel"/>
    <w:tmpl w:val="9C5E5394"/>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1">
    <w:nsid w:val="5FAA4E8B"/>
    <w:multiLevelType w:val="hybridMultilevel"/>
    <w:tmpl w:val="86FC16B2"/>
    <w:lvl w:ilvl="0" w:tplc="44090001">
      <w:start w:val="1"/>
      <w:numFmt w:val="bullet"/>
      <w:lvlText w:val=""/>
      <w:lvlJc w:val="left"/>
      <w:pPr>
        <w:ind w:left="360" w:hanging="360"/>
      </w:pPr>
      <w:rPr>
        <w:rFonts w:ascii="Symbol" w:hAnsi="Symbol" w:hint="default"/>
      </w:rPr>
    </w:lvl>
    <w:lvl w:ilvl="1" w:tplc="44090003">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2">
    <w:nsid w:val="61B242A5"/>
    <w:multiLevelType w:val="hybridMultilevel"/>
    <w:tmpl w:val="DE202D3A"/>
    <w:lvl w:ilvl="0" w:tplc="4409000F">
      <w:start w:val="1"/>
      <w:numFmt w:val="decimal"/>
      <w:lvlText w:val="%1."/>
      <w:lvlJc w:val="left"/>
      <w:pPr>
        <w:ind w:left="720" w:hanging="360"/>
      </w:pPr>
      <w:rPr>
        <w:rFont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nsid w:val="69BF24CA"/>
    <w:multiLevelType w:val="hybridMultilevel"/>
    <w:tmpl w:val="28F4A326"/>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4">
    <w:nsid w:val="7DEF1C57"/>
    <w:multiLevelType w:val="hybridMultilevel"/>
    <w:tmpl w:val="D4EABD9E"/>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5"/>
  </w:num>
  <w:num w:numId="4">
    <w:abstractNumId w:val="7"/>
  </w:num>
  <w:num w:numId="5">
    <w:abstractNumId w:val="2"/>
  </w:num>
  <w:num w:numId="6">
    <w:abstractNumId w:val="1"/>
  </w:num>
  <w:num w:numId="7">
    <w:abstractNumId w:val="4"/>
  </w:num>
  <w:num w:numId="8">
    <w:abstractNumId w:val="13"/>
  </w:num>
  <w:num w:numId="9">
    <w:abstractNumId w:val="11"/>
  </w:num>
  <w:num w:numId="10">
    <w:abstractNumId w:val="12"/>
  </w:num>
  <w:num w:numId="11">
    <w:abstractNumId w:val="0"/>
  </w:num>
  <w:num w:numId="12">
    <w:abstractNumId w:val="6"/>
  </w:num>
  <w:num w:numId="13">
    <w:abstractNumId w:val="10"/>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D26"/>
    <w:rsid w:val="00042850"/>
    <w:rsid w:val="00042C29"/>
    <w:rsid w:val="0004560E"/>
    <w:rsid w:val="0009514C"/>
    <w:rsid w:val="000A322E"/>
    <w:rsid w:val="00112757"/>
    <w:rsid w:val="00163A4B"/>
    <w:rsid w:val="001A6524"/>
    <w:rsid w:val="00202B18"/>
    <w:rsid w:val="00241393"/>
    <w:rsid w:val="0027534A"/>
    <w:rsid w:val="002927E4"/>
    <w:rsid w:val="002934BC"/>
    <w:rsid w:val="002B07CE"/>
    <w:rsid w:val="00313F73"/>
    <w:rsid w:val="0038180C"/>
    <w:rsid w:val="003A3522"/>
    <w:rsid w:val="003D6A25"/>
    <w:rsid w:val="003E798B"/>
    <w:rsid w:val="004022B2"/>
    <w:rsid w:val="0045485C"/>
    <w:rsid w:val="004B60A5"/>
    <w:rsid w:val="004D537E"/>
    <w:rsid w:val="004E5423"/>
    <w:rsid w:val="00583C57"/>
    <w:rsid w:val="00585447"/>
    <w:rsid w:val="005B6530"/>
    <w:rsid w:val="005C5C33"/>
    <w:rsid w:val="005D611C"/>
    <w:rsid w:val="00646E9D"/>
    <w:rsid w:val="00666D26"/>
    <w:rsid w:val="00695359"/>
    <w:rsid w:val="006B5FBD"/>
    <w:rsid w:val="007054EE"/>
    <w:rsid w:val="007C3BD2"/>
    <w:rsid w:val="007D0399"/>
    <w:rsid w:val="007E5E39"/>
    <w:rsid w:val="0080573E"/>
    <w:rsid w:val="00816B3D"/>
    <w:rsid w:val="008544DE"/>
    <w:rsid w:val="00864874"/>
    <w:rsid w:val="00865F3F"/>
    <w:rsid w:val="0089361B"/>
    <w:rsid w:val="008A3DEE"/>
    <w:rsid w:val="008C0FF0"/>
    <w:rsid w:val="008F1535"/>
    <w:rsid w:val="008F410F"/>
    <w:rsid w:val="00916465"/>
    <w:rsid w:val="0092000C"/>
    <w:rsid w:val="0092130A"/>
    <w:rsid w:val="009434C8"/>
    <w:rsid w:val="009B3E8B"/>
    <w:rsid w:val="009C0B26"/>
    <w:rsid w:val="009D566D"/>
    <w:rsid w:val="00A82CFD"/>
    <w:rsid w:val="00AA3CA6"/>
    <w:rsid w:val="00AC3AC9"/>
    <w:rsid w:val="00B01CB2"/>
    <w:rsid w:val="00BF7CD8"/>
    <w:rsid w:val="00C513C7"/>
    <w:rsid w:val="00C6105E"/>
    <w:rsid w:val="00C637DB"/>
    <w:rsid w:val="00CC0E7E"/>
    <w:rsid w:val="00D04991"/>
    <w:rsid w:val="00D44040"/>
    <w:rsid w:val="00DB19A1"/>
    <w:rsid w:val="00DB5E71"/>
    <w:rsid w:val="00E354DE"/>
    <w:rsid w:val="00E867BA"/>
    <w:rsid w:val="00F164FB"/>
    <w:rsid w:val="00F17DF4"/>
    <w:rsid w:val="00F6243F"/>
    <w:rsid w:val="00F67F1D"/>
    <w:rsid w:val="00FC77B5"/>
    <w:rsid w:val="00FD1742"/>
    <w:rsid w:val="00FD7CE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B5F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D26"/>
    <w:pPr>
      <w:ind w:left="720"/>
      <w:contextualSpacing/>
    </w:pPr>
  </w:style>
  <w:style w:type="character" w:styleId="Hyperlink">
    <w:name w:val="Hyperlink"/>
    <w:basedOn w:val="DefaultParagraphFont"/>
    <w:uiPriority w:val="99"/>
    <w:unhideWhenUsed/>
    <w:rsid w:val="00864874"/>
    <w:rPr>
      <w:color w:val="0000FF" w:themeColor="hyperlink"/>
      <w:u w:val="single"/>
    </w:rPr>
  </w:style>
  <w:style w:type="paragraph" w:styleId="Header">
    <w:name w:val="header"/>
    <w:basedOn w:val="Normal"/>
    <w:link w:val="HeaderChar"/>
    <w:uiPriority w:val="99"/>
    <w:unhideWhenUsed/>
    <w:rsid w:val="00045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60E"/>
  </w:style>
  <w:style w:type="paragraph" w:styleId="Footer">
    <w:name w:val="footer"/>
    <w:basedOn w:val="Normal"/>
    <w:link w:val="FooterChar"/>
    <w:uiPriority w:val="99"/>
    <w:unhideWhenUsed/>
    <w:rsid w:val="00045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60E"/>
  </w:style>
  <w:style w:type="character" w:customStyle="1" w:styleId="Heading1Char">
    <w:name w:val="Heading 1 Char"/>
    <w:basedOn w:val="DefaultParagraphFont"/>
    <w:link w:val="Heading1"/>
    <w:uiPriority w:val="9"/>
    <w:rsid w:val="006B5FBD"/>
    <w:rPr>
      <w:rFonts w:ascii="Times New Roman" w:eastAsia="Times New Roman" w:hAnsi="Times New Roman" w:cs="Times New Roman"/>
      <w:b/>
      <w:bCs/>
      <w:kern w:val="36"/>
      <w:sz w:val="48"/>
      <w:szCs w:val="48"/>
      <w:lang w:eastAsia="en-MY"/>
    </w:rPr>
  </w:style>
  <w:style w:type="character" w:customStyle="1" w:styleId="fn">
    <w:name w:val="fn"/>
    <w:basedOn w:val="DefaultParagraphFont"/>
    <w:rsid w:val="006B5FBD"/>
  </w:style>
  <w:style w:type="character" w:styleId="Strong">
    <w:name w:val="Strong"/>
    <w:basedOn w:val="DefaultParagraphFont"/>
    <w:uiPriority w:val="22"/>
    <w:qFormat/>
    <w:rsid w:val="006B5FBD"/>
    <w:rPr>
      <w:b/>
      <w:bCs/>
    </w:rPr>
  </w:style>
  <w:style w:type="character" w:customStyle="1" w:styleId="selectable">
    <w:name w:val="selectable"/>
    <w:basedOn w:val="DefaultParagraphFont"/>
    <w:rsid w:val="006B5FBD"/>
  </w:style>
  <w:style w:type="character" w:styleId="FollowedHyperlink">
    <w:name w:val="FollowedHyperlink"/>
    <w:basedOn w:val="DefaultParagraphFont"/>
    <w:uiPriority w:val="99"/>
    <w:semiHidden/>
    <w:unhideWhenUsed/>
    <w:rsid w:val="00F6243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M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B5F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D26"/>
    <w:pPr>
      <w:ind w:left="720"/>
      <w:contextualSpacing/>
    </w:pPr>
  </w:style>
  <w:style w:type="character" w:styleId="Hyperlink">
    <w:name w:val="Hyperlink"/>
    <w:basedOn w:val="DefaultParagraphFont"/>
    <w:uiPriority w:val="99"/>
    <w:unhideWhenUsed/>
    <w:rsid w:val="00864874"/>
    <w:rPr>
      <w:color w:val="0000FF" w:themeColor="hyperlink"/>
      <w:u w:val="single"/>
    </w:rPr>
  </w:style>
  <w:style w:type="paragraph" w:styleId="Header">
    <w:name w:val="header"/>
    <w:basedOn w:val="Normal"/>
    <w:link w:val="HeaderChar"/>
    <w:uiPriority w:val="99"/>
    <w:unhideWhenUsed/>
    <w:rsid w:val="00045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60E"/>
  </w:style>
  <w:style w:type="paragraph" w:styleId="Footer">
    <w:name w:val="footer"/>
    <w:basedOn w:val="Normal"/>
    <w:link w:val="FooterChar"/>
    <w:uiPriority w:val="99"/>
    <w:unhideWhenUsed/>
    <w:rsid w:val="00045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60E"/>
  </w:style>
  <w:style w:type="character" w:customStyle="1" w:styleId="Heading1Char">
    <w:name w:val="Heading 1 Char"/>
    <w:basedOn w:val="DefaultParagraphFont"/>
    <w:link w:val="Heading1"/>
    <w:uiPriority w:val="9"/>
    <w:rsid w:val="006B5FBD"/>
    <w:rPr>
      <w:rFonts w:ascii="Times New Roman" w:eastAsia="Times New Roman" w:hAnsi="Times New Roman" w:cs="Times New Roman"/>
      <w:b/>
      <w:bCs/>
      <w:kern w:val="36"/>
      <w:sz w:val="48"/>
      <w:szCs w:val="48"/>
      <w:lang w:eastAsia="en-MY"/>
    </w:rPr>
  </w:style>
  <w:style w:type="character" w:customStyle="1" w:styleId="fn">
    <w:name w:val="fn"/>
    <w:basedOn w:val="DefaultParagraphFont"/>
    <w:rsid w:val="006B5FBD"/>
  </w:style>
  <w:style w:type="character" w:styleId="Strong">
    <w:name w:val="Strong"/>
    <w:basedOn w:val="DefaultParagraphFont"/>
    <w:uiPriority w:val="22"/>
    <w:qFormat/>
    <w:rsid w:val="006B5FBD"/>
    <w:rPr>
      <w:b/>
      <w:bCs/>
    </w:rPr>
  </w:style>
  <w:style w:type="character" w:customStyle="1" w:styleId="selectable">
    <w:name w:val="selectable"/>
    <w:basedOn w:val="DefaultParagraphFont"/>
    <w:rsid w:val="006B5FBD"/>
  </w:style>
  <w:style w:type="character" w:styleId="FollowedHyperlink">
    <w:name w:val="FollowedHyperlink"/>
    <w:basedOn w:val="DefaultParagraphFont"/>
    <w:uiPriority w:val="99"/>
    <w:semiHidden/>
    <w:unhideWhenUsed/>
    <w:rsid w:val="00F624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7551">
      <w:bodyDiv w:val="1"/>
      <w:marLeft w:val="0"/>
      <w:marRight w:val="0"/>
      <w:marTop w:val="0"/>
      <w:marBottom w:val="0"/>
      <w:divBdr>
        <w:top w:val="none" w:sz="0" w:space="0" w:color="auto"/>
        <w:left w:val="none" w:sz="0" w:space="0" w:color="auto"/>
        <w:bottom w:val="none" w:sz="0" w:space="0" w:color="auto"/>
        <w:right w:val="none" w:sz="0" w:space="0" w:color="auto"/>
      </w:divBdr>
      <w:divsChild>
        <w:div w:id="405300958">
          <w:marLeft w:val="0"/>
          <w:marRight w:val="0"/>
          <w:marTop w:val="0"/>
          <w:marBottom w:val="0"/>
          <w:divBdr>
            <w:top w:val="none" w:sz="0" w:space="0" w:color="auto"/>
            <w:left w:val="none" w:sz="0" w:space="0" w:color="auto"/>
            <w:bottom w:val="none" w:sz="0" w:space="0" w:color="auto"/>
            <w:right w:val="none" w:sz="0" w:space="0" w:color="auto"/>
          </w:divBdr>
        </w:div>
      </w:divsChild>
    </w:div>
    <w:div w:id="141774098">
      <w:bodyDiv w:val="1"/>
      <w:marLeft w:val="0"/>
      <w:marRight w:val="0"/>
      <w:marTop w:val="0"/>
      <w:marBottom w:val="0"/>
      <w:divBdr>
        <w:top w:val="none" w:sz="0" w:space="0" w:color="auto"/>
        <w:left w:val="none" w:sz="0" w:space="0" w:color="auto"/>
        <w:bottom w:val="none" w:sz="0" w:space="0" w:color="auto"/>
        <w:right w:val="none" w:sz="0" w:space="0" w:color="auto"/>
      </w:divBdr>
    </w:div>
    <w:div w:id="210578568">
      <w:bodyDiv w:val="1"/>
      <w:marLeft w:val="0"/>
      <w:marRight w:val="0"/>
      <w:marTop w:val="0"/>
      <w:marBottom w:val="0"/>
      <w:divBdr>
        <w:top w:val="none" w:sz="0" w:space="0" w:color="auto"/>
        <w:left w:val="none" w:sz="0" w:space="0" w:color="auto"/>
        <w:bottom w:val="none" w:sz="0" w:space="0" w:color="auto"/>
        <w:right w:val="none" w:sz="0" w:space="0" w:color="auto"/>
      </w:divBdr>
      <w:divsChild>
        <w:div w:id="1801537735">
          <w:marLeft w:val="0"/>
          <w:marRight w:val="0"/>
          <w:marTop w:val="0"/>
          <w:marBottom w:val="300"/>
          <w:divBdr>
            <w:top w:val="none" w:sz="0" w:space="0" w:color="auto"/>
            <w:left w:val="none" w:sz="0" w:space="0" w:color="auto"/>
            <w:bottom w:val="none" w:sz="0" w:space="0" w:color="auto"/>
            <w:right w:val="none" w:sz="0" w:space="0" w:color="auto"/>
          </w:divBdr>
        </w:div>
      </w:divsChild>
    </w:div>
    <w:div w:id="226649834">
      <w:bodyDiv w:val="1"/>
      <w:marLeft w:val="0"/>
      <w:marRight w:val="0"/>
      <w:marTop w:val="0"/>
      <w:marBottom w:val="0"/>
      <w:divBdr>
        <w:top w:val="none" w:sz="0" w:space="0" w:color="auto"/>
        <w:left w:val="none" w:sz="0" w:space="0" w:color="auto"/>
        <w:bottom w:val="none" w:sz="0" w:space="0" w:color="auto"/>
        <w:right w:val="none" w:sz="0" w:space="0" w:color="auto"/>
      </w:divBdr>
    </w:div>
    <w:div w:id="232473365">
      <w:bodyDiv w:val="1"/>
      <w:marLeft w:val="0"/>
      <w:marRight w:val="0"/>
      <w:marTop w:val="0"/>
      <w:marBottom w:val="0"/>
      <w:divBdr>
        <w:top w:val="none" w:sz="0" w:space="0" w:color="auto"/>
        <w:left w:val="none" w:sz="0" w:space="0" w:color="auto"/>
        <w:bottom w:val="none" w:sz="0" w:space="0" w:color="auto"/>
        <w:right w:val="none" w:sz="0" w:space="0" w:color="auto"/>
      </w:divBdr>
    </w:div>
    <w:div w:id="260988393">
      <w:bodyDiv w:val="1"/>
      <w:marLeft w:val="0"/>
      <w:marRight w:val="0"/>
      <w:marTop w:val="0"/>
      <w:marBottom w:val="0"/>
      <w:divBdr>
        <w:top w:val="none" w:sz="0" w:space="0" w:color="auto"/>
        <w:left w:val="none" w:sz="0" w:space="0" w:color="auto"/>
        <w:bottom w:val="none" w:sz="0" w:space="0" w:color="auto"/>
        <w:right w:val="none" w:sz="0" w:space="0" w:color="auto"/>
      </w:divBdr>
      <w:divsChild>
        <w:div w:id="1597396848">
          <w:marLeft w:val="0"/>
          <w:marRight w:val="0"/>
          <w:marTop w:val="0"/>
          <w:marBottom w:val="0"/>
          <w:divBdr>
            <w:top w:val="none" w:sz="0" w:space="0" w:color="auto"/>
            <w:left w:val="none" w:sz="0" w:space="0" w:color="auto"/>
            <w:bottom w:val="none" w:sz="0" w:space="0" w:color="auto"/>
            <w:right w:val="none" w:sz="0" w:space="0" w:color="auto"/>
          </w:divBdr>
        </w:div>
        <w:div w:id="6255061">
          <w:marLeft w:val="0"/>
          <w:marRight w:val="0"/>
          <w:marTop w:val="0"/>
          <w:marBottom w:val="0"/>
          <w:divBdr>
            <w:top w:val="none" w:sz="0" w:space="0" w:color="auto"/>
            <w:left w:val="none" w:sz="0" w:space="0" w:color="auto"/>
            <w:bottom w:val="none" w:sz="0" w:space="0" w:color="auto"/>
            <w:right w:val="none" w:sz="0" w:space="0" w:color="auto"/>
          </w:divBdr>
        </w:div>
        <w:div w:id="625159696">
          <w:marLeft w:val="0"/>
          <w:marRight w:val="0"/>
          <w:marTop w:val="0"/>
          <w:marBottom w:val="0"/>
          <w:divBdr>
            <w:top w:val="none" w:sz="0" w:space="0" w:color="auto"/>
            <w:left w:val="none" w:sz="0" w:space="0" w:color="auto"/>
            <w:bottom w:val="none" w:sz="0" w:space="0" w:color="auto"/>
            <w:right w:val="none" w:sz="0" w:space="0" w:color="auto"/>
          </w:divBdr>
        </w:div>
        <w:div w:id="717820936">
          <w:marLeft w:val="0"/>
          <w:marRight w:val="0"/>
          <w:marTop w:val="0"/>
          <w:marBottom w:val="0"/>
          <w:divBdr>
            <w:top w:val="none" w:sz="0" w:space="0" w:color="auto"/>
            <w:left w:val="none" w:sz="0" w:space="0" w:color="auto"/>
            <w:bottom w:val="none" w:sz="0" w:space="0" w:color="auto"/>
            <w:right w:val="none" w:sz="0" w:space="0" w:color="auto"/>
          </w:divBdr>
        </w:div>
      </w:divsChild>
    </w:div>
    <w:div w:id="271480921">
      <w:bodyDiv w:val="1"/>
      <w:marLeft w:val="0"/>
      <w:marRight w:val="0"/>
      <w:marTop w:val="0"/>
      <w:marBottom w:val="0"/>
      <w:divBdr>
        <w:top w:val="none" w:sz="0" w:space="0" w:color="auto"/>
        <w:left w:val="none" w:sz="0" w:space="0" w:color="auto"/>
        <w:bottom w:val="none" w:sz="0" w:space="0" w:color="auto"/>
        <w:right w:val="none" w:sz="0" w:space="0" w:color="auto"/>
      </w:divBdr>
      <w:divsChild>
        <w:div w:id="1116019229">
          <w:marLeft w:val="0"/>
          <w:marRight w:val="0"/>
          <w:marTop w:val="0"/>
          <w:marBottom w:val="0"/>
          <w:divBdr>
            <w:top w:val="none" w:sz="0" w:space="0" w:color="auto"/>
            <w:left w:val="none" w:sz="0" w:space="0" w:color="auto"/>
            <w:bottom w:val="none" w:sz="0" w:space="0" w:color="auto"/>
            <w:right w:val="none" w:sz="0" w:space="0" w:color="auto"/>
          </w:divBdr>
        </w:div>
        <w:div w:id="1324817165">
          <w:marLeft w:val="0"/>
          <w:marRight w:val="0"/>
          <w:marTop w:val="0"/>
          <w:marBottom w:val="0"/>
          <w:divBdr>
            <w:top w:val="none" w:sz="0" w:space="0" w:color="auto"/>
            <w:left w:val="none" w:sz="0" w:space="0" w:color="auto"/>
            <w:bottom w:val="none" w:sz="0" w:space="0" w:color="auto"/>
            <w:right w:val="none" w:sz="0" w:space="0" w:color="auto"/>
          </w:divBdr>
        </w:div>
        <w:div w:id="1385135637">
          <w:marLeft w:val="0"/>
          <w:marRight w:val="0"/>
          <w:marTop w:val="0"/>
          <w:marBottom w:val="0"/>
          <w:divBdr>
            <w:top w:val="none" w:sz="0" w:space="0" w:color="auto"/>
            <w:left w:val="none" w:sz="0" w:space="0" w:color="auto"/>
            <w:bottom w:val="none" w:sz="0" w:space="0" w:color="auto"/>
            <w:right w:val="none" w:sz="0" w:space="0" w:color="auto"/>
          </w:divBdr>
        </w:div>
      </w:divsChild>
    </w:div>
    <w:div w:id="297884961">
      <w:bodyDiv w:val="1"/>
      <w:marLeft w:val="0"/>
      <w:marRight w:val="0"/>
      <w:marTop w:val="0"/>
      <w:marBottom w:val="0"/>
      <w:divBdr>
        <w:top w:val="none" w:sz="0" w:space="0" w:color="auto"/>
        <w:left w:val="none" w:sz="0" w:space="0" w:color="auto"/>
        <w:bottom w:val="none" w:sz="0" w:space="0" w:color="auto"/>
        <w:right w:val="none" w:sz="0" w:space="0" w:color="auto"/>
      </w:divBdr>
      <w:divsChild>
        <w:div w:id="763576980">
          <w:marLeft w:val="0"/>
          <w:marRight w:val="0"/>
          <w:marTop w:val="0"/>
          <w:marBottom w:val="0"/>
          <w:divBdr>
            <w:top w:val="none" w:sz="0" w:space="0" w:color="auto"/>
            <w:left w:val="none" w:sz="0" w:space="0" w:color="auto"/>
            <w:bottom w:val="none" w:sz="0" w:space="0" w:color="auto"/>
            <w:right w:val="none" w:sz="0" w:space="0" w:color="auto"/>
          </w:divBdr>
        </w:div>
        <w:div w:id="1449861242">
          <w:marLeft w:val="0"/>
          <w:marRight w:val="0"/>
          <w:marTop w:val="0"/>
          <w:marBottom w:val="0"/>
          <w:divBdr>
            <w:top w:val="none" w:sz="0" w:space="0" w:color="auto"/>
            <w:left w:val="none" w:sz="0" w:space="0" w:color="auto"/>
            <w:bottom w:val="none" w:sz="0" w:space="0" w:color="auto"/>
            <w:right w:val="none" w:sz="0" w:space="0" w:color="auto"/>
          </w:divBdr>
        </w:div>
        <w:div w:id="139543863">
          <w:marLeft w:val="0"/>
          <w:marRight w:val="0"/>
          <w:marTop w:val="0"/>
          <w:marBottom w:val="0"/>
          <w:divBdr>
            <w:top w:val="none" w:sz="0" w:space="0" w:color="auto"/>
            <w:left w:val="none" w:sz="0" w:space="0" w:color="auto"/>
            <w:bottom w:val="none" w:sz="0" w:space="0" w:color="auto"/>
            <w:right w:val="none" w:sz="0" w:space="0" w:color="auto"/>
          </w:divBdr>
        </w:div>
        <w:div w:id="1936402344">
          <w:marLeft w:val="0"/>
          <w:marRight w:val="0"/>
          <w:marTop w:val="0"/>
          <w:marBottom w:val="0"/>
          <w:divBdr>
            <w:top w:val="none" w:sz="0" w:space="0" w:color="auto"/>
            <w:left w:val="none" w:sz="0" w:space="0" w:color="auto"/>
            <w:bottom w:val="none" w:sz="0" w:space="0" w:color="auto"/>
            <w:right w:val="none" w:sz="0" w:space="0" w:color="auto"/>
          </w:divBdr>
        </w:div>
        <w:div w:id="2052072483">
          <w:marLeft w:val="0"/>
          <w:marRight w:val="0"/>
          <w:marTop w:val="0"/>
          <w:marBottom w:val="0"/>
          <w:divBdr>
            <w:top w:val="none" w:sz="0" w:space="0" w:color="auto"/>
            <w:left w:val="none" w:sz="0" w:space="0" w:color="auto"/>
            <w:bottom w:val="none" w:sz="0" w:space="0" w:color="auto"/>
            <w:right w:val="none" w:sz="0" w:space="0" w:color="auto"/>
          </w:divBdr>
        </w:div>
        <w:div w:id="1638801136">
          <w:marLeft w:val="0"/>
          <w:marRight w:val="0"/>
          <w:marTop w:val="0"/>
          <w:marBottom w:val="0"/>
          <w:divBdr>
            <w:top w:val="none" w:sz="0" w:space="0" w:color="auto"/>
            <w:left w:val="none" w:sz="0" w:space="0" w:color="auto"/>
            <w:bottom w:val="none" w:sz="0" w:space="0" w:color="auto"/>
            <w:right w:val="none" w:sz="0" w:space="0" w:color="auto"/>
          </w:divBdr>
        </w:div>
        <w:div w:id="1867525177">
          <w:marLeft w:val="0"/>
          <w:marRight w:val="0"/>
          <w:marTop w:val="0"/>
          <w:marBottom w:val="0"/>
          <w:divBdr>
            <w:top w:val="none" w:sz="0" w:space="0" w:color="auto"/>
            <w:left w:val="none" w:sz="0" w:space="0" w:color="auto"/>
            <w:bottom w:val="none" w:sz="0" w:space="0" w:color="auto"/>
            <w:right w:val="none" w:sz="0" w:space="0" w:color="auto"/>
          </w:divBdr>
        </w:div>
      </w:divsChild>
    </w:div>
    <w:div w:id="374502329">
      <w:bodyDiv w:val="1"/>
      <w:marLeft w:val="0"/>
      <w:marRight w:val="0"/>
      <w:marTop w:val="0"/>
      <w:marBottom w:val="0"/>
      <w:divBdr>
        <w:top w:val="none" w:sz="0" w:space="0" w:color="auto"/>
        <w:left w:val="none" w:sz="0" w:space="0" w:color="auto"/>
        <w:bottom w:val="none" w:sz="0" w:space="0" w:color="auto"/>
        <w:right w:val="none" w:sz="0" w:space="0" w:color="auto"/>
      </w:divBdr>
      <w:divsChild>
        <w:div w:id="99953164">
          <w:marLeft w:val="0"/>
          <w:marRight w:val="0"/>
          <w:marTop w:val="0"/>
          <w:marBottom w:val="0"/>
          <w:divBdr>
            <w:top w:val="none" w:sz="0" w:space="0" w:color="auto"/>
            <w:left w:val="none" w:sz="0" w:space="0" w:color="auto"/>
            <w:bottom w:val="none" w:sz="0" w:space="0" w:color="auto"/>
            <w:right w:val="none" w:sz="0" w:space="0" w:color="auto"/>
          </w:divBdr>
        </w:div>
      </w:divsChild>
    </w:div>
    <w:div w:id="385759764">
      <w:bodyDiv w:val="1"/>
      <w:marLeft w:val="0"/>
      <w:marRight w:val="0"/>
      <w:marTop w:val="0"/>
      <w:marBottom w:val="0"/>
      <w:divBdr>
        <w:top w:val="none" w:sz="0" w:space="0" w:color="auto"/>
        <w:left w:val="none" w:sz="0" w:space="0" w:color="auto"/>
        <w:bottom w:val="none" w:sz="0" w:space="0" w:color="auto"/>
        <w:right w:val="none" w:sz="0" w:space="0" w:color="auto"/>
      </w:divBdr>
    </w:div>
    <w:div w:id="423956306">
      <w:bodyDiv w:val="1"/>
      <w:marLeft w:val="0"/>
      <w:marRight w:val="0"/>
      <w:marTop w:val="0"/>
      <w:marBottom w:val="0"/>
      <w:divBdr>
        <w:top w:val="none" w:sz="0" w:space="0" w:color="auto"/>
        <w:left w:val="none" w:sz="0" w:space="0" w:color="auto"/>
        <w:bottom w:val="none" w:sz="0" w:space="0" w:color="auto"/>
        <w:right w:val="none" w:sz="0" w:space="0" w:color="auto"/>
      </w:divBdr>
    </w:div>
    <w:div w:id="462768832">
      <w:bodyDiv w:val="1"/>
      <w:marLeft w:val="0"/>
      <w:marRight w:val="0"/>
      <w:marTop w:val="0"/>
      <w:marBottom w:val="0"/>
      <w:divBdr>
        <w:top w:val="none" w:sz="0" w:space="0" w:color="auto"/>
        <w:left w:val="none" w:sz="0" w:space="0" w:color="auto"/>
        <w:bottom w:val="none" w:sz="0" w:space="0" w:color="auto"/>
        <w:right w:val="none" w:sz="0" w:space="0" w:color="auto"/>
      </w:divBdr>
    </w:div>
    <w:div w:id="597830720">
      <w:bodyDiv w:val="1"/>
      <w:marLeft w:val="0"/>
      <w:marRight w:val="0"/>
      <w:marTop w:val="0"/>
      <w:marBottom w:val="0"/>
      <w:divBdr>
        <w:top w:val="none" w:sz="0" w:space="0" w:color="auto"/>
        <w:left w:val="none" w:sz="0" w:space="0" w:color="auto"/>
        <w:bottom w:val="none" w:sz="0" w:space="0" w:color="auto"/>
        <w:right w:val="none" w:sz="0" w:space="0" w:color="auto"/>
      </w:divBdr>
    </w:div>
    <w:div w:id="674915135">
      <w:bodyDiv w:val="1"/>
      <w:marLeft w:val="0"/>
      <w:marRight w:val="0"/>
      <w:marTop w:val="0"/>
      <w:marBottom w:val="0"/>
      <w:divBdr>
        <w:top w:val="none" w:sz="0" w:space="0" w:color="auto"/>
        <w:left w:val="none" w:sz="0" w:space="0" w:color="auto"/>
        <w:bottom w:val="none" w:sz="0" w:space="0" w:color="auto"/>
        <w:right w:val="none" w:sz="0" w:space="0" w:color="auto"/>
      </w:divBdr>
    </w:div>
    <w:div w:id="719137091">
      <w:bodyDiv w:val="1"/>
      <w:marLeft w:val="0"/>
      <w:marRight w:val="0"/>
      <w:marTop w:val="0"/>
      <w:marBottom w:val="0"/>
      <w:divBdr>
        <w:top w:val="none" w:sz="0" w:space="0" w:color="auto"/>
        <w:left w:val="none" w:sz="0" w:space="0" w:color="auto"/>
        <w:bottom w:val="none" w:sz="0" w:space="0" w:color="auto"/>
        <w:right w:val="none" w:sz="0" w:space="0" w:color="auto"/>
      </w:divBdr>
    </w:div>
    <w:div w:id="799034237">
      <w:bodyDiv w:val="1"/>
      <w:marLeft w:val="0"/>
      <w:marRight w:val="0"/>
      <w:marTop w:val="0"/>
      <w:marBottom w:val="0"/>
      <w:divBdr>
        <w:top w:val="none" w:sz="0" w:space="0" w:color="auto"/>
        <w:left w:val="none" w:sz="0" w:space="0" w:color="auto"/>
        <w:bottom w:val="none" w:sz="0" w:space="0" w:color="auto"/>
        <w:right w:val="none" w:sz="0" w:space="0" w:color="auto"/>
      </w:divBdr>
    </w:div>
    <w:div w:id="870580932">
      <w:bodyDiv w:val="1"/>
      <w:marLeft w:val="0"/>
      <w:marRight w:val="0"/>
      <w:marTop w:val="0"/>
      <w:marBottom w:val="0"/>
      <w:divBdr>
        <w:top w:val="none" w:sz="0" w:space="0" w:color="auto"/>
        <w:left w:val="none" w:sz="0" w:space="0" w:color="auto"/>
        <w:bottom w:val="none" w:sz="0" w:space="0" w:color="auto"/>
        <w:right w:val="none" w:sz="0" w:space="0" w:color="auto"/>
      </w:divBdr>
      <w:divsChild>
        <w:div w:id="524712064">
          <w:marLeft w:val="0"/>
          <w:marRight w:val="0"/>
          <w:marTop w:val="0"/>
          <w:marBottom w:val="0"/>
          <w:divBdr>
            <w:top w:val="none" w:sz="0" w:space="0" w:color="auto"/>
            <w:left w:val="none" w:sz="0" w:space="0" w:color="auto"/>
            <w:bottom w:val="none" w:sz="0" w:space="0" w:color="auto"/>
            <w:right w:val="none" w:sz="0" w:space="0" w:color="auto"/>
          </w:divBdr>
        </w:div>
        <w:div w:id="68382039">
          <w:marLeft w:val="0"/>
          <w:marRight w:val="0"/>
          <w:marTop w:val="0"/>
          <w:marBottom w:val="0"/>
          <w:divBdr>
            <w:top w:val="none" w:sz="0" w:space="0" w:color="auto"/>
            <w:left w:val="none" w:sz="0" w:space="0" w:color="auto"/>
            <w:bottom w:val="none" w:sz="0" w:space="0" w:color="auto"/>
            <w:right w:val="none" w:sz="0" w:space="0" w:color="auto"/>
          </w:divBdr>
        </w:div>
        <w:div w:id="1130174921">
          <w:marLeft w:val="0"/>
          <w:marRight w:val="0"/>
          <w:marTop w:val="0"/>
          <w:marBottom w:val="0"/>
          <w:divBdr>
            <w:top w:val="none" w:sz="0" w:space="0" w:color="auto"/>
            <w:left w:val="none" w:sz="0" w:space="0" w:color="auto"/>
            <w:bottom w:val="none" w:sz="0" w:space="0" w:color="auto"/>
            <w:right w:val="none" w:sz="0" w:space="0" w:color="auto"/>
          </w:divBdr>
        </w:div>
      </w:divsChild>
    </w:div>
    <w:div w:id="912809931">
      <w:bodyDiv w:val="1"/>
      <w:marLeft w:val="0"/>
      <w:marRight w:val="0"/>
      <w:marTop w:val="0"/>
      <w:marBottom w:val="0"/>
      <w:divBdr>
        <w:top w:val="none" w:sz="0" w:space="0" w:color="auto"/>
        <w:left w:val="none" w:sz="0" w:space="0" w:color="auto"/>
        <w:bottom w:val="none" w:sz="0" w:space="0" w:color="auto"/>
        <w:right w:val="none" w:sz="0" w:space="0" w:color="auto"/>
      </w:divBdr>
      <w:divsChild>
        <w:div w:id="943611273">
          <w:marLeft w:val="0"/>
          <w:marRight w:val="0"/>
          <w:marTop w:val="0"/>
          <w:marBottom w:val="0"/>
          <w:divBdr>
            <w:top w:val="none" w:sz="0" w:space="0" w:color="auto"/>
            <w:left w:val="none" w:sz="0" w:space="0" w:color="auto"/>
            <w:bottom w:val="none" w:sz="0" w:space="0" w:color="auto"/>
            <w:right w:val="none" w:sz="0" w:space="0" w:color="auto"/>
          </w:divBdr>
        </w:div>
        <w:div w:id="1914049455">
          <w:marLeft w:val="0"/>
          <w:marRight w:val="0"/>
          <w:marTop w:val="0"/>
          <w:marBottom w:val="0"/>
          <w:divBdr>
            <w:top w:val="none" w:sz="0" w:space="0" w:color="auto"/>
            <w:left w:val="none" w:sz="0" w:space="0" w:color="auto"/>
            <w:bottom w:val="none" w:sz="0" w:space="0" w:color="auto"/>
            <w:right w:val="none" w:sz="0" w:space="0" w:color="auto"/>
          </w:divBdr>
        </w:div>
        <w:div w:id="513303220">
          <w:marLeft w:val="0"/>
          <w:marRight w:val="0"/>
          <w:marTop w:val="0"/>
          <w:marBottom w:val="0"/>
          <w:divBdr>
            <w:top w:val="none" w:sz="0" w:space="0" w:color="auto"/>
            <w:left w:val="none" w:sz="0" w:space="0" w:color="auto"/>
            <w:bottom w:val="none" w:sz="0" w:space="0" w:color="auto"/>
            <w:right w:val="none" w:sz="0" w:space="0" w:color="auto"/>
          </w:divBdr>
        </w:div>
        <w:div w:id="1275166188">
          <w:marLeft w:val="0"/>
          <w:marRight w:val="0"/>
          <w:marTop w:val="0"/>
          <w:marBottom w:val="0"/>
          <w:divBdr>
            <w:top w:val="none" w:sz="0" w:space="0" w:color="auto"/>
            <w:left w:val="none" w:sz="0" w:space="0" w:color="auto"/>
            <w:bottom w:val="none" w:sz="0" w:space="0" w:color="auto"/>
            <w:right w:val="none" w:sz="0" w:space="0" w:color="auto"/>
          </w:divBdr>
        </w:div>
        <w:div w:id="1844975109">
          <w:marLeft w:val="0"/>
          <w:marRight w:val="0"/>
          <w:marTop w:val="0"/>
          <w:marBottom w:val="0"/>
          <w:divBdr>
            <w:top w:val="none" w:sz="0" w:space="0" w:color="auto"/>
            <w:left w:val="none" w:sz="0" w:space="0" w:color="auto"/>
            <w:bottom w:val="none" w:sz="0" w:space="0" w:color="auto"/>
            <w:right w:val="none" w:sz="0" w:space="0" w:color="auto"/>
          </w:divBdr>
        </w:div>
        <w:div w:id="1471552005">
          <w:marLeft w:val="0"/>
          <w:marRight w:val="0"/>
          <w:marTop w:val="0"/>
          <w:marBottom w:val="0"/>
          <w:divBdr>
            <w:top w:val="none" w:sz="0" w:space="0" w:color="auto"/>
            <w:left w:val="none" w:sz="0" w:space="0" w:color="auto"/>
            <w:bottom w:val="none" w:sz="0" w:space="0" w:color="auto"/>
            <w:right w:val="none" w:sz="0" w:space="0" w:color="auto"/>
          </w:divBdr>
        </w:div>
      </w:divsChild>
    </w:div>
    <w:div w:id="1012413179">
      <w:bodyDiv w:val="1"/>
      <w:marLeft w:val="0"/>
      <w:marRight w:val="0"/>
      <w:marTop w:val="0"/>
      <w:marBottom w:val="0"/>
      <w:divBdr>
        <w:top w:val="none" w:sz="0" w:space="0" w:color="auto"/>
        <w:left w:val="none" w:sz="0" w:space="0" w:color="auto"/>
        <w:bottom w:val="none" w:sz="0" w:space="0" w:color="auto"/>
        <w:right w:val="none" w:sz="0" w:space="0" w:color="auto"/>
      </w:divBdr>
    </w:div>
    <w:div w:id="1031346795">
      <w:bodyDiv w:val="1"/>
      <w:marLeft w:val="0"/>
      <w:marRight w:val="0"/>
      <w:marTop w:val="0"/>
      <w:marBottom w:val="0"/>
      <w:divBdr>
        <w:top w:val="none" w:sz="0" w:space="0" w:color="auto"/>
        <w:left w:val="none" w:sz="0" w:space="0" w:color="auto"/>
        <w:bottom w:val="none" w:sz="0" w:space="0" w:color="auto"/>
        <w:right w:val="none" w:sz="0" w:space="0" w:color="auto"/>
      </w:divBdr>
    </w:div>
    <w:div w:id="1132093123">
      <w:bodyDiv w:val="1"/>
      <w:marLeft w:val="0"/>
      <w:marRight w:val="0"/>
      <w:marTop w:val="0"/>
      <w:marBottom w:val="0"/>
      <w:divBdr>
        <w:top w:val="none" w:sz="0" w:space="0" w:color="auto"/>
        <w:left w:val="none" w:sz="0" w:space="0" w:color="auto"/>
        <w:bottom w:val="none" w:sz="0" w:space="0" w:color="auto"/>
        <w:right w:val="none" w:sz="0" w:space="0" w:color="auto"/>
      </w:divBdr>
      <w:divsChild>
        <w:div w:id="592475189">
          <w:marLeft w:val="0"/>
          <w:marRight w:val="0"/>
          <w:marTop w:val="0"/>
          <w:marBottom w:val="0"/>
          <w:divBdr>
            <w:top w:val="none" w:sz="0" w:space="0" w:color="auto"/>
            <w:left w:val="none" w:sz="0" w:space="0" w:color="auto"/>
            <w:bottom w:val="none" w:sz="0" w:space="0" w:color="auto"/>
            <w:right w:val="none" w:sz="0" w:space="0" w:color="auto"/>
          </w:divBdr>
          <w:divsChild>
            <w:div w:id="507060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6226815">
      <w:bodyDiv w:val="1"/>
      <w:marLeft w:val="0"/>
      <w:marRight w:val="0"/>
      <w:marTop w:val="0"/>
      <w:marBottom w:val="0"/>
      <w:divBdr>
        <w:top w:val="none" w:sz="0" w:space="0" w:color="auto"/>
        <w:left w:val="none" w:sz="0" w:space="0" w:color="auto"/>
        <w:bottom w:val="none" w:sz="0" w:space="0" w:color="auto"/>
        <w:right w:val="none" w:sz="0" w:space="0" w:color="auto"/>
      </w:divBdr>
    </w:div>
    <w:div w:id="1417746334">
      <w:bodyDiv w:val="1"/>
      <w:marLeft w:val="0"/>
      <w:marRight w:val="0"/>
      <w:marTop w:val="0"/>
      <w:marBottom w:val="0"/>
      <w:divBdr>
        <w:top w:val="none" w:sz="0" w:space="0" w:color="auto"/>
        <w:left w:val="none" w:sz="0" w:space="0" w:color="auto"/>
        <w:bottom w:val="none" w:sz="0" w:space="0" w:color="auto"/>
        <w:right w:val="none" w:sz="0" w:space="0" w:color="auto"/>
      </w:divBdr>
    </w:div>
    <w:div w:id="1420759262">
      <w:bodyDiv w:val="1"/>
      <w:marLeft w:val="0"/>
      <w:marRight w:val="0"/>
      <w:marTop w:val="0"/>
      <w:marBottom w:val="0"/>
      <w:divBdr>
        <w:top w:val="none" w:sz="0" w:space="0" w:color="auto"/>
        <w:left w:val="none" w:sz="0" w:space="0" w:color="auto"/>
        <w:bottom w:val="none" w:sz="0" w:space="0" w:color="auto"/>
        <w:right w:val="none" w:sz="0" w:space="0" w:color="auto"/>
      </w:divBdr>
      <w:divsChild>
        <w:div w:id="1861700001">
          <w:marLeft w:val="0"/>
          <w:marRight w:val="0"/>
          <w:marTop w:val="0"/>
          <w:marBottom w:val="0"/>
          <w:divBdr>
            <w:top w:val="none" w:sz="0" w:space="0" w:color="auto"/>
            <w:left w:val="none" w:sz="0" w:space="0" w:color="auto"/>
            <w:bottom w:val="none" w:sz="0" w:space="0" w:color="auto"/>
            <w:right w:val="none" w:sz="0" w:space="0" w:color="auto"/>
          </w:divBdr>
          <w:divsChild>
            <w:div w:id="953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638030">
      <w:bodyDiv w:val="1"/>
      <w:marLeft w:val="0"/>
      <w:marRight w:val="0"/>
      <w:marTop w:val="0"/>
      <w:marBottom w:val="0"/>
      <w:divBdr>
        <w:top w:val="none" w:sz="0" w:space="0" w:color="auto"/>
        <w:left w:val="none" w:sz="0" w:space="0" w:color="auto"/>
        <w:bottom w:val="none" w:sz="0" w:space="0" w:color="auto"/>
        <w:right w:val="none" w:sz="0" w:space="0" w:color="auto"/>
      </w:divBdr>
      <w:divsChild>
        <w:div w:id="943532574">
          <w:marLeft w:val="0"/>
          <w:marRight w:val="0"/>
          <w:marTop w:val="0"/>
          <w:marBottom w:val="0"/>
          <w:divBdr>
            <w:top w:val="none" w:sz="0" w:space="0" w:color="auto"/>
            <w:left w:val="none" w:sz="0" w:space="0" w:color="auto"/>
            <w:bottom w:val="none" w:sz="0" w:space="0" w:color="auto"/>
            <w:right w:val="none" w:sz="0" w:space="0" w:color="auto"/>
          </w:divBdr>
          <w:divsChild>
            <w:div w:id="19301945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03703062">
      <w:bodyDiv w:val="1"/>
      <w:marLeft w:val="0"/>
      <w:marRight w:val="0"/>
      <w:marTop w:val="0"/>
      <w:marBottom w:val="0"/>
      <w:divBdr>
        <w:top w:val="none" w:sz="0" w:space="0" w:color="auto"/>
        <w:left w:val="none" w:sz="0" w:space="0" w:color="auto"/>
        <w:bottom w:val="none" w:sz="0" w:space="0" w:color="auto"/>
        <w:right w:val="none" w:sz="0" w:space="0" w:color="auto"/>
      </w:divBdr>
      <w:divsChild>
        <w:div w:id="1295520814">
          <w:marLeft w:val="0"/>
          <w:marRight w:val="0"/>
          <w:marTop w:val="0"/>
          <w:marBottom w:val="0"/>
          <w:divBdr>
            <w:top w:val="none" w:sz="0" w:space="0" w:color="auto"/>
            <w:left w:val="none" w:sz="0" w:space="0" w:color="auto"/>
            <w:bottom w:val="none" w:sz="0" w:space="0" w:color="auto"/>
            <w:right w:val="none" w:sz="0" w:space="0" w:color="auto"/>
          </w:divBdr>
          <w:divsChild>
            <w:div w:id="157233384">
              <w:marLeft w:val="0"/>
              <w:marRight w:val="0"/>
              <w:marTop w:val="0"/>
              <w:marBottom w:val="0"/>
              <w:divBdr>
                <w:top w:val="none" w:sz="0" w:space="0" w:color="auto"/>
                <w:left w:val="none" w:sz="0" w:space="0" w:color="auto"/>
                <w:bottom w:val="none" w:sz="0" w:space="0" w:color="auto"/>
                <w:right w:val="none" w:sz="0" w:space="0" w:color="auto"/>
              </w:divBdr>
              <w:divsChild>
                <w:div w:id="22145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650377">
          <w:marLeft w:val="0"/>
          <w:marRight w:val="0"/>
          <w:marTop w:val="0"/>
          <w:marBottom w:val="0"/>
          <w:divBdr>
            <w:top w:val="none" w:sz="0" w:space="0" w:color="auto"/>
            <w:left w:val="none" w:sz="0" w:space="0" w:color="auto"/>
            <w:bottom w:val="none" w:sz="0" w:space="0" w:color="auto"/>
            <w:right w:val="none" w:sz="0" w:space="0" w:color="auto"/>
          </w:divBdr>
          <w:divsChild>
            <w:div w:id="1520587827">
              <w:marLeft w:val="0"/>
              <w:marRight w:val="0"/>
              <w:marTop w:val="0"/>
              <w:marBottom w:val="0"/>
              <w:divBdr>
                <w:top w:val="none" w:sz="0" w:space="0" w:color="auto"/>
                <w:left w:val="none" w:sz="0" w:space="0" w:color="auto"/>
                <w:bottom w:val="none" w:sz="0" w:space="0" w:color="auto"/>
                <w:right w:val="none" w:sz="0" w:space="0" w:color="auto"/>
              </w:divBdr>
              <w:divsChild>
                <w:div w:id="976760730">
                  <w:marLeft w:val="0"/>
                  <w:marRight w:val="0"/>
                  <w:marTop w:val="0"/>
                  <w:marBottom w:val="0"/>
                  <w:divBdr>
                    <w:top w:val="none" w:sz="0" w:space="0" w:color="auto"/>
                    <w:left w:val="none" w:sz="0" w:space="0" w:color="auto"/>
                    <w:bottom w:val="none" w:sz="0" w:space="0" w:color="auto"/>
                    <w:right w:val="none" w:sz="0" w:space="0" w:color="auto"/>
                  </w:divBdr>
                </w:div>
                <w:div w:id="2002737314">
                  <w:marLeft w:val="0"/>
                  <w:marRight w:val="0"/>
                  <w:marTop w:val="0"/>
                  <w:marBottom w:val="0"/>
                  <w:divBdr>
                    <w:top w:val="none" w:sz="0" w:space="0" w:color="auto"/>
                    <w:left w:val="none" w:sz="0" w:space="0" w:color="auto"/>
                    <w:bottom w:val="none" w:sz="0" w:space="0" w:color="auto"/>
                    <w:right w:val="none" w:sz="0" w:space="0" w:color="auto"/>
                  </w:divBdr>
                  <w:divsChild>
                    <w:div w:id="125864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6873">
              <w:marLeft w:val="0"/>
              <w:marRight w:val="0"/>
              <w:marTop w:val="120"/>
              <w:marBottom w:val="0"/>
              <w:divBdr>
                <w:top w:val="none" w:sz="0" w:space="0" w:color="auto"/>
                <w:left w:val="none" w:sz="0" w:space="0" w:color="auto"/>
                <w:bottom w:val="none" w:sz="0" w:space="0" w:color="auto"/>
                <w:right w:val="none" w:sz="0" w:space="0" w:color="auto"/>
              </w:divBdr>
              <w:divsChild>
                <w:div w:id="142908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458531">
      <w:bodyDiv w:val="1"/>
      <w:marLeft w:val="0"/>
      <w:marRight w:val="0"/>
      <w:marTop w:val="0"/>
      <w:marBottom w:val="0"/>
      <w:divBdr>
        <w:top w:val="none" w:sz="0" w:space="0" w:color="auto"/>
        <w:left w:val="none" w:sz="0" w:space="0" w:color="auto"/>
        <w:bottom w:val="none" w:sz="0" w:space="0" w:color="auto"/>
        <w:right w:val="none" w:sz="0" w:space="0" w:color="auto"/>
      </w:divBdr>
    </w:div>
    <w:div w:id="1742557652">
      <w:bodyDiv w:val="1"/>
      <w:marLeft w:val="0"/>
      <w:marRight w:val="0"/>
      <w:marTop w:val="0"/>
      <w:marBottom w:val="0"/>
      <w:divBdr>
        <w:top w:val="none" w:sz="0" w:space="0" w:color="auto"/>
        <w:left w:val="none" w:sz="0" w:space="0" w:color="auto"/>
        <w:bottom w:val="none" w:sz="0" w:space="0" w:color="auto"/>
        <w:right w:val="none" w:sz="0" w:space="0" w:color="auto"/>
      </w:divBdr>
    </w:div>
    <w:div w:id="1778410100">
      <w:bodyDiv w:val="1"/>
      <w:marLeft w:val="0"/>
      <w:marRight w:val="0"/>
      <w:marTop w:val="0"/>
      <w:marBottom w:val="0"/>
      <w:divBdr>
        <w:top w:val="none" w:sz="0" w:space="0" w:color="auto"/>
        <w:left w:val="none" w:sz="0" w:space="0" w:color="auto"/>
        <w:bottom w:val="none" w:sz="0" w:space="0" w:color="auto"/>
        <w:right w:val="none" w:sz="0" w:space="0" w:color="auto"/>
      </w:divBdr>
      <w:divsChild>
        <w:div w:id="1373993091">
          <w:marLeft w:val="0"/>
          <w:marRight w:val="0"/>
          <w:marTop w:val="0"/>
          <w:marBottom w:val="0"/>
          <w:divBdr>
            <w:top w:val="single" w:sz="18" w:space="4" w:color="0072CF"/>
            <w:left w:val="single" w:sz="18" w:space="4" w:color="0072CF"/>
            <w:bottom w:val="single" w:sz="18" w:space="4" w:color="0072CF"/>
            <w:right w:val="single" w:sz="18" w:space="4" w:color="0072CF"/>
          </w:divBdr>
          <w:divsChild>
            <w:div w:id="175729850">
              <w:marLeft w:val="0"/>
              <w:marRight w:val="0"/>
              <w:marTop w:val="0"/>
              <w:marBottom w:val="0"/>
              <w:divBdr>
                <w:top w:val="none" w:sz="0" w:space="0" w:color="auto"/>
                <w:left w:val="none" w:sz="0" w:space="0" w:color="auto"/>
                <w:bottom w:val="none" w:sz="0" w:space="0" w:color="auto"/>
                <w:right w:val="none" w:sz="0" w:space="0" w:color="auto"/>
              </w:divBdr>
              <w:divsChild>
                <w:div w:id="83453737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817381452">
      <w:bodyDiv w:val="1"/>
      <w:marLeft w:val="0"/>
      <w:marRight w:val="0"/>
      <w:marTop w:val="0"/>
      <w:marBottom w:val="0"/>
      <w:divBdr>
        <w:top w:val="none" w:sz="0" w:space="0" w:color="auto"/>
        <w:left w:val="none" w:sz="0" w:space="0" w:color="auto"/>
        <w:bottom w:val="none" w:sz="0" w:space="0" w:color="auto"/>
        <w:right w:val="none" w:sz="0" w:space="0" w:color="auto"/>
      </w:divBdr>
      <w:divsChild>
        <w:div w:id="772240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stor.org/stable/25010796?seq=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jstor.org/stable/1958267?seq=1" TargetMode="External"/><Relationship Id="rId17" Type="http://schemas.openxmlformats.org/officeDocument/2006/relationships/hyperlink" Target="https://thegreatthinkers.org/thucydides/introduction" TargetMode="External"/><Relationship Id="rId2" Type="http://schemas.openxmlformats.org/officeDocument/2006/relationships/numbering" Target="numbering.xml"/><Relationship Id="rId16" Type="http://schemas.openxmlformats.org/officeDocument/2006/relationships/hyperlink" Target="https://www.jstor.org/stable/262217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ademia.edu/458266/The_Accuracy_of_Thucydides_review_article_" TargetMode="External"/><Relationship Id="rId5" Type="http://schemas.openxmlformats.org/officeDocument/2006/relationships/settings" Target="settings.xml"/><Relationship Id="rId15" Type="http://schemas.openxmlformats.org/officeDocument/2006/relationships/hyperlink" Target="https://www.jstor.org/stable/627001" TargetMode="External"/><Relationship Id="rId10" Type="http://schemas.openxmlformats.org/officeDocument/2006/relationships/hyperlink" Target="https://www.jstor.org/stable/636425?read-now=1&amp;seq=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armstrongeconomics.com/international-news/europes-current-economy/the-eu-precedent-also-lies-in-the-athenian-empire" TargetMode="External"/><Relationship Id="rId14" Type="http://schemas.openxmlformats.org/officeDocument/2006/relationships/hyperlink" Target="https://digilib.phil.muni.cz/handle/11222.digilib/127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9ACE1-4BF2-4108-A622-B41F70A95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1</Pages>
  <Words>1112</Words>
  <Characters>6343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Vickers</dc:creator>
  <cp:lastModifiedBy>Richard Vickers</cp:lastModifiedBy>
  <cp:revision>16</cp:revision>
  <dcterms:created xsi:type="dcterms:W3CDTF">2019-02-14T01:37:00Z</dcterms:created>
  <dcterms:modified xsi:type="dcterms:W3CDTF">2019-03-06T07:17:00Z</dcterms:modified>
</cp:coreProperties>
</file>