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B48BA" w14:textId="77777777" w:rsidR="007425EE" w:rsidRDefault="01C26A66" w:rsidP="007425EE">
      <w:r>
        <w:t xml:space="preserve">      </w:t>
      </w:r>
      <w:r w:rsidR="007425EE">
        <w:t xml:space="preserve">                                       Constitutional Reform Act 2005 </w:t>
      </w:r>
    </w:p>
    <w:p w14:paraId="4B31C3BD" w14:textId="77777777" w:rsidR="007425EE" w:rsidRDefault="007425EE" w:rsidP="007425EE">
      <w:r>
        <w:t xml:space="preserve"> </w:t>
      </w:r>
    </w:p>
    <w:p w14:paraId="4F2EFE07" w14:textId="77777777" w:rsidR="007425EE" w:rsidRDefault="007425EE" w:rsidP="007425EE">
      <w:r>
        <w:t xml:space="preserve"> </w:t>
      </w:r>
    </w:p>
    <w:p w14:paraId="58D4409D" w14:textId="77777777" w:rsidR="007425EE" w:rsidRDefault="007425EE" w:rsidP="007425EE">
      <w:r>
        <w:t xml:space="preserve">The discussion in this essay will be regarding The Constitutional Reform Act 2005 and how this is involved in the UK Constitution and the separation of power theory. The Constitutional Reform Act 2005 brought some changes to the UK’s constitution and the separation of powers theory, but this wasn’t the best decision as other people thought this might be, so the Act established the UK Supreme Court and removed the judicial functions of the House of Lords, it did not change the basic principles of the separation of powers. According to Dicey Judicial independence is traditionally portrayed as a key feature of England’s constitutional arrangements and as an essential feature of the rule of law; these institutions and structures, are one of the pillars on which they rest. Introducing the Constitutional Reform Act 2005 in that time the concept received statutory recognition in English law. The UK system still supports the combination of powers between the executive, legislative and judicial branches. With the Prime Minister, head of the executive and member of Parliament, the line between the executive and legislative branches becomes blurred. The Act did not introduce a written constitution or codify the separation of powers, relying on conventions and historical practices. The structure of the constitution of the UK remains evolutionary rather than revolutionary. The court's ability to overturn parliamentary legislation is limited due to the principle of parliamentary sovereignty. Constitutional Reform Act 2005 may do some changes, but it did not result in a big transformation of the UK constitution or the separation of powers theory. According to (Northern Ireland Act 2002) Along with other Constitutional principles is an absence of a written constitution that grants the independence of the judiciary, in a role that judges play in a constitution where Parliament is supreme and the satisfaction surrounding the concept itself acting as a protective barrier. Regarding the constitution, the explanation is not clear. </w:t>
      </w:r>
    </w:p>
    <w:p w14:paraId="61BF9A5B" w14:textId="77777777" w:rsidR="007425EE" w:rsidRDefault="007425EE" w:rsidP="007425EE">
      <w:r>
        <w:t xml:space="preserve">An essential set of principles and rules defined a constitution and is fundamental. It serves as the law defining the structure of the government, the distribution of powers between different branches, the right and responsibilities of citizens, and the relationship between the government and its people. In the United Kingdom, is based on a combination of status, conventions, and judicial decisions, making it unwritten but in other countries can be different and can take different forms, written and unwritten, flexible or rigid and a constitution can help to ensure the rule of law and to safeguard the rights and liberties of its citizens through a document which are principles and values that underpin the governance of a country. According to Lutz (2006), he defined a constitution as ‘’marries power with justice’’ upholds the rule of law and places limits on the arbitrariness of power, it makes the operation of power procedurally predictable. The Constitution in the UK is unique and is based on a combination of statutes, conventions, judicial decisions, and historical documents. There are some principles in the UK constitution and one of them is Parliamentary sovereignty which lay an important role in Parliament and is the supreme legal authority, and the law cannot be overruled or invalidated by other institutions that the parliament has got the supreme power to make, amend, or repeal any law. Rule of Law is another one of the principles that ensure that all persons even from the government respect the rule of law, and all proceedings must be fair and right. The separation of powers in the constitution of the UK is another key of the principles that do recognize the separation of powers between the executive, legislative and judicial but is not as strictly separated as in some other systems. Constitutional Conventions another principle playing a role in the functioning of the government, is followed by tradition and political necessity. Bicameral Legislature in this Principle include the House of Commons and the House of Lords which play in the roles of the legislative </w:t>
      </w:r>
      <w:r>
        <w:lastRenderedPageBreak/>
        <w:t>process. The judiciary is independent of the executive and legislative branches and ensures fairness and impartiality in legal proceedings. Individual Rights describe the laws and legal principles that protect individual rights and liberties.  According to Albert Wenn Dicey describes the Principles of Parliamentary in this way:  The Parliamentary is namely means neither more nor less following the principles of Parliamentary sovereignty. The right to make or unmake any law is under the English constitution further, in the legislation of Parliament no person is recognized by the law of England to have the right to override. Separation of Powers theory which is suggesting that governmental power should be divided among separate and independent branches to prevent abuse and tyranny. One of the branches is the executive is responsible for implementing and enforcing the law. Legislative responsible for making law. Judicial is responsible for interpreting and applying the laws. Montesquieu (1748) wrote the earliest statements regarding the separation of powers, and he is saying there is no liberty when the legislative and executive powers are united in the same person, or the same body of magistrates... if the power judging is not separated from the legislative and executive there is no liberty …. if the same man or the same body there would be an end to everything...were to exercise those three powers.</w:t>
      </w:r>
    </w:p>
    <w:p w14:paraId="0E916E4D" w14:textId="77777777" w:rsidR="007425EE" w:rsidRDefault="007425EE" w:rsidP="007425EE">
      <w:r>
        <w:t xml:space="preserve"> Government, Parliament, and Judiciary work together to ensure the functioning of the UK governance. Government is responsible for administering the country, the main role is to implement and enforce laws, formulate policies, manage public affairs, and make decisions for the administration of the country. Parliament is responsible for making laws and representing the people's interests and has got two houses: the House of Commons and the House of Lords. Parliament play an important role in controlling the government's actions, approving budgets, and discussing matters of national importance. The judiciary is responsible for interpreting and applying law, is making sure that the law is fairly and correctly applied. The judiciary is independent of Government and Parliament, it ensures that the actions are followed correctly while the country’s law and constitution, safeguard the rule of law and constitution. Safeguarding the rule of law and protecting individual rights. According to (Wade and Brandley 1993) By altering the rules of the composition Parliament may also bind its successors.   </w:t>
      </w:r>
    </w:p>
    <w:p w14:paraId="7C414042" w14:textId="77777777" w:rsidR="007425EE" w:rsidRDefault="007425EE" w:rsidP="007425EE">
      <w:r>
        <w:t xml:space="preserve">Constitutional Reform Act 2005, before the act has been introduced the rules were different, the magistrates were unpaid and largely lay volunteers with limited legal training and they were known as Justices of the Peace (JPs) in Crown Court judges were appointed by the Lord Chancellor without a formal appointments process. This system raised questions about the independence of the judiciary, as the Lord Chancellor held both political and judicial roles. While they were playing the role in the administration of justice at the local level, concerns were raised about the consistency and expertise of their decisions due to the lack of formal legal qualifications. After the Constitutional Reform Act 2005, The Act brought about significant changes to the Magistrate’s Court. It established the Judicial Appointments Commission, introducing a more structured and transparent process for appointing magistrates. This aimed to attract a wider pool of applicants, including legally qualified individuals, addressing concerns about expertise and consistency in the Court the Constitutional Reform Act 2005 addressed this issue by creating the Judicial Appointments Commission, which now oversees the appointment of judges in both the Magistrates Court and the Crown Court. This has helped strengthen the independence of the judiciary and promote a fair and transparent selection process. According to (Gee, Hazell, Mallesons, and O’Brien,2015) The conclusion during the changes of the Constitutional Reform Act 2005 is that judicial independence and judicial accountability have both got stronger, and the separation of power requires more engagement by the judiciary with the other branches of government. </w:t>
      </w:r>
    </w:p>
    <w:p w14:paraId="6E4B1E55" w14:textId="5A49BE16" w:rsidR="007425EE" w:rsidRDefault="007425EE" w:rsidP="007425EE">
      <w:r>
        <w:lastRenderedPageBreak/>
        <w:t xml:space="preserve"> The Constitution Reform Act 2005 make changes in the office of Lord Chancellor, the act creates the Supreme Court of the United Kingdom and eliminates the jurisdiction of the House of Lords. The Act enhance the independence, accountability, and transparency of the UK legal and juridical system. By establishing the UK Supreme Court and introducing reforms in the appointment of judges, the Act is an important step in the ongoing evolution of the UK’s constitutional proceedings.  The Lord Chancellor is responsible for the efficient functioning and independence of the courts. The Lord Chancellor has got the role of the head of the Judiciary, speaker of the House of Lords and Cabinet Minister. The Constitutional Reform Act 2005 started with some changes to the role of the Lord Chancellor, the Act changes the Lord Chancellor’s role by separating the judicial functioning from the position. According to (Constitutional Affairs, 2003) The Lord Chancellor had a unique and hybrid role before the introduction of the Constitutional Reform Act 2005. The responsibilities have been extended for a long time and is arguable that appear ‘’lots from the historical accidents as from strategic logic’’. The Supreme Court of the UK is the highest in the country and serves as the final court of appeal for civil and criminal cases. While the Constitutional Reform Act 2005 was a significant step in modernizing the UK (United Kingdom) legal and constitutional system there are discussions about further reforms that make changes in various challenges and enhance the effectiveness of the governance system. Some of the subjects include the Human Rights Act, Devolution and Constitutional Arrangements, House of Lords Reform, Electoral Reform, Codification of the Constitution, Judicial Review, and regional governance. The Constitutional Reform Act 2005 did make changes in the UK’s legal and constitutional system including the establishment of the Supreme Court and the redefinition of the Lord Chancellor ‘s role.  Some arguments discussed that the Act did not result as they hoped to the separations of powers theory, so they are thinking and remain in discussion about further reforms that may be needed to ensure a responsive governance system that aligns with the principles of the UK constitution. Professor Jaffe stated ‘’ a judiciary power is limited when it reminds itself of the Parliamentary supremacy and Parliamentary responsibility may lose the will to exercise’’ this ‘’ great historic function. </w:t>
      </w:r>
    </w:p>
    <w:p w14:paraId="52D7948B" w14:textId="77777777" w:rsidR="007425EE" w:rsidRDefault="007425EE" w:rsidP="007425EE">
      <w:r>
        <w:t xml:space="preserve"> </w:t>
      </w:r>
    </w:p>
    <w:p w14:paraId="336A8777" w14:textId="77777777" w:rsidR="007425EE" w:rsidRDefault="007425EE" w:rsidP="007425EE">
      <w:r>
        <w:t xml:space="preserve">Reference List: </w:t>
      </w:r>
    </w:p>
    <w:p w14:paraId="18DBBA72" w14:textId="77777777" w:rsidR="007425EE" w:rsidRDefault="007425EE" w:rsidP="007425EE">
      <w:r>
        <w:t xml:space="preserve"> </w:t>
      </w:r>
    </w:p>
    <w:p w14:paraId="408C7591" w14:textId="77777777" w:rsidR="007425EE" w:rsidRDefault="007425EE" w:rsidP="007425EE">
      <w:r>
        <w:t xml:space="preserve">Albert V. Dicey, Introduction to the Study of the Law of the Constitution (E.C.S. Wade ed., MacMillan 1959) </w:t>
      </w:r>
    </w:p>
    <w:p w14:paraId="67870075" w14:textId="77777777" w:rsidR="007425EE" w:rsidRDefault="007425EE" w:rsidP="007425EE">
      <w:r>
        <w:t xml:space="preserve"> Constitutional Affairs Select Committee, Judicial Appointments, and a Supreme Court (Court of final appeal, First rapport of session 2003-2004, 48-1, paragraph 10. </w:t>
      </w:r>
    </w:p>
    <w:p w14:paraId="7533D0A4" w14:textId="77777777" w:rsidR="00130BC4" w:rsidRDefault="007425EE" w:rsidP="007425EE">
      <w:r>
        <w:t xml:space="preserve"> Justice (Northern Ireland) Act 2002 </w:t>
      </w:r>
    </w:p>
    <w:p w14:paraId="6FF8AA3C" w14:textId="32BB221A" w:rsidR="007425EE" w:rsidRDefault="0072597A" w:rsidP="007425EE">
      <w:r>
        <w:t>G.</w:t>
      </w:r>
      <w:r w:rsidR="007425EE">
        <w:t xml:space="preserve"> Gee</w:t>
      </w:r>
      <w:r>
        <w:t>,</w:t>
      </w:r>
      <w:r w:rsidR="007425EE">
        <w:t xml:space="preserve"> R. Hazel, K. Mallesons, P. O’Brien, The politics of judicial Independence in the UK’s Changing Constitution (Cambridge University Press, 2015).</w:t>
      </w:r>
    </w:p>
    <w:p w14:paraId="31A7BE34" w14:textId="77777777" w:rsidR="007425EE" w:rsidRDefault="007425EE" w:rsidP="007425EE">
      <w:r>
        <w:t xml:space="preserve"> Louis L. Jaffee English and American Judges as Lawmakers (Clarendon Press, Oxford, 1969)19. </w:t>
      </w:r>
    </w:p>
    <w:p w14:paraId="0B3894DB" w14:textId="77777777" w:rsidR="007425EE" w:rsidRDefault="007425EE" w:rsidP="007425EE">
      <w:r>
        <w:t xml:space="preserve"> Lutz, Donald S., Principles of Constitutional Design (Cambridge: Cambridge University Press, 2006) </w:t>
      </w:r>
    </w:p>
    <w:p w14:paraId="14B33F5F" w14:textId="77777777" w:rsidR="007425EE" w:rsidRDefault="007425EE" w:rsidP="007425EE">
      <w:r>
        <w:t xml:space="preserve"> Montesquieu, 1748 Charles de second at Baron de. The Sprit of Laws (c.1748) </w:t>
      </w:r>
    </w:p>
    <w:p w14:paraId="74E334BA" w14:textId="3B92E0A0" w:rsidR="00776395" w:rsidRDefault="007425EE" w:rsidP="007425EE">
      <w:r>
        <w:t>Wade and Brandley 1993. Constitutional and Administrative Law 1993</w:t>
      </w:r>
    </w:p>
    <w:p w14:paraId="58AB2C97" w14:textId="4F5F49CB" w:rsidR="01C26A66" w:rsidRDefault="01C26A66" w:rsidP="7AEF9C9F"/>
    <w:sectPr w:rsidR="01C26A6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8B7BD4"/>
    <w:rsid w:val="00130BC4"/>
    <w:rsid w:val="001859AD"/>
    <w:rsid w:val="001B6B20"/>
    <w:rsid w:val="00264B01"/>
    <w:rsid w:val="0029626A"/>
    <w:rsid w:val="002E7D52"/>
    <w:rsid w:val="002F392D"/>
    <w:rsid w:val="003011A1"/>
    <w:rsid w:val="00321748"/>
    <w:rsid w:val="00397E99"/>
    <w:rsid w:val="003B45E5"/>
    <w:rsid w:val="003C1C42"/>
    <w:rsid w:val="003F4652"/>
    <w:rsid w:val="00490228"/>
    <w:rsid w:val="004D073B"/>
    <w:rsid w:val="004E1A25"/>
    <w:rsid w:val="00503678"/>
    <w:rsid w:val="0050607C"/>
    <w:rsid w:val="00513571"/>
    <w:rsid w:val="00545353"/>
    <w:rsid w:val="005521DA"/>
    <w:rsid w:val="005A06A6"/>
    <w:rsid w:val="005C57F8"/>
    <w:rsid w:val="005C59AD"/>
    <w:rsid w:val="006507EF"/>
    <w:rsid w:val="006B2EF8"/>
    <w:rsid w:val="006E35AD"/>
    <w:rsid w:val="006F722B"/>
    <w:rsid w:val="0072597A"/>
    <w:rsid w:val="007425EE"/>
    <w:rsid w:val="007435BA"/>
    <w:rsid w:val="007641EC"/>
    <w:rsid w:val="00772948"/>
    <w:rsid w:val="00776395"/>
    <w:rsid w:val="00792EC6"/>
    <w:rsid w:val="007E0F36"/>
    <w:rsid w:val="008015C1"/>
    <w:rsid w:val="008106F8"/>
    <w:rsid w:val="00844D2F"/>
    <w:rsid w:val="00864D82"/>
    <w:rsid w:val="008D2A1D"/>
    <w:rsid w:val="00936003"/>
    <w:rsid w:val="009B2455"/>
    <w:rsid w:val="009F9FA5"/>
    <w:rsid w:val="00A01238"/>
    <w:rsid w:val="00A55570"/>
    <w:rsid w:val="00A71DF1"/>
    <w:rsid w:val="00B23587"/>
    <w:rsid w:val="00B657DA"/>
    <w:rsid w:val="00B71967"/>
    <w:rsid w:val="00B76E63"/>
    <w:rsid w:val="00C222DC"/>
    <w:rsid w:val="00C310C1"/>
    <w:rsid w:val="00CE4C5D"/>
    <w:rsid w:val="00D55BA1"/>
    <w:rsid w:val="00E15964"/>
    <w:rsid w:val="00EECAD4"/>
    <w:rsid w:val="00F54906"/>
    <w:rsid w:val="00F6B85A"/>
    <w:rsid w:val="00F71DEF"/>
    <w:rsid w:val="00F9149D"/>
    <w:rsid w:val="013D8149"/>
    <w:rsid w:val="0160D570"/>
    <w:rsid w:val="0168FF64"/>
    <w:rsid w:val="01C26A66"/>
    <w:rsid w:val="0249B25C"/>
    <w:rsid w:val="02729565"/>
    <w:rsid w:val="028A9B35"/>
    <w:rsid w:val="0304CFC5"/>
    <w:rsid w:val="0343DD86"/>
    <w:rsid w:val="04266B96"/>
    <w:rsid w:val="04A0A026"/>
    <w:rsid w:val="04B0C9AE"/>
    <w:rsid w:val="052D77C9"/>
    <w:rsid w:val="058C680A"/>
    <w:rsid w:val="05FA1323"/>
    <w:rsid w:val="06458CFD"/>
    <w:rsid w:val="064C9A0F"/>
    <w:rsid w:val="06869334"/>
    <w:rsid w:val="06FC8C3C"/>
    <w:rsid w:val="076B7C88"/>
    <w:rsid w:val="07D016F4"/>
    <w:rsid w:val="07D840E8"/>
    <w:rsid w:val="07E07CEA"/>
    <w:rsid w:val="07E86A70"/>
    <w:rsid w:val="08BADB12"/>
    <w:rsid w:val="0901CA3F"/>
    <w:rsid w:val="09143BDF"/>
    <w:rsid w:val="09602220"/>
    <w:rsid w:val="097C4D4B"/>
    <w:rsid w:val="09843AD1"/>
    <w:rsid w:val="0A56AB73"/>
    <w:rsid w:val="0B0FE1AA"/>
    <w:rsid w:val="0BCA717C"/>
    <w:rsid w:val="0BE2524C"/>
    <w:rsid w:val="0BF27BD4"/>
    <w:rsid w:val="0C396B01"/>
    <w:rsid w:val="0CABB20B"/>
    <w:rsid w:val="0CD7E7C2"/>
    <w:rsid w:val="0D8E4C35"/>
    <w:rsid w:val="0DAF08E1"/>
    <w:rsid w:val="0E3F5878"/>
    <w:rsid w:val="0E57ABF4"/>
    <w:rsid w:val="0F710BC3"/>
    <w:rsid w:val="0FCFF45D"/>
    <w:rsid w:val="0FD29D7C"/>
    <w:rsid w:val="0FEB8ECF"/>
    <w:rsid w:val="10489684"/>
    <w:rsid w:val="117F232E"/>
    <w:rsid w:val="11875F30"/>
    <w:rsid w:val="122A241A"/>
    <w:rsid w:val="12598156"/>
    <w:rsid w:val="131AF38F"/>
    <w:rsid w:val="13232F91"/>
    <w:rsid w:val="13608C96"/>
    <w:rsid w:val="13845B0A"/>
    <w:rsid w:val="13AFB8B8"/>
    <w:rsid w:val="13F551B7"/>
    <w:rsid w:val="13F80F80"/>
    <w:rsid w:val="13F8F74B"/>
    <w:rsid w:val="148B7BD4"/>
    <w:rsid w:val="148B984D"/>
    <w:rsid w:val="14D1FBA7"/>
    <w:rsid w:val="14FA8899"/>
    <w:rsid w:val="15995E1A"/>
    <w:rsid w:val="15B37BE2"/>
    <w:rsid w:val="15D1A9B8"/>
    <w:rsid w:val="15F4B3C3"/>
    <w:rsid w:val="165AD053"/>
    <w:rsid w:val="1662BDD9"/>
    <w:rsid w:val="16A347F0"/>
    <w:rsid w:val="16AE451D"/>
    <w:rsid w:val="16AF2CE8"/>
    <w:rsid w:val="16E7597A"/>
    <w:rsid w:val="17352E7B"/>
    <w:rsid w:val="1741CDEA"/>
    <w:rsid w:val="1752151F"/>
    <w:rsid w:val="17EE64B2"/>
    <w:rsid w:val="17F6A0B4"/>
    <w:rsid w:val="17FE8E3A"/>
    <w:rsid w:val="188329DB"/>
    <w:rsid w:val="1887DF55"/>
    <w:rsid w:val="18A439FE"/>
    <w:rsid w:val="18AAE960"/>
    <w:rsid w:val="18C8C2DA"/>
    <w:rsid w:val="18D54B6B"/>
    <w:rsid w:val="19927115"/>
    <w:rsid w:val="199A5E9B"/>
    <w:rsid w:val="1A64933B"/>
    <w:rsid w:val="1B260574"/>
    <w:rsid w:val="1B2E4176"/>
    <w:rsid w:val="1B362EFC"/>
    <w:rsid w:val="1BBACA9D"/>
    <w:rsid w:val="1BF2FFC0"/>
    <w:rsid w:val="1BF87616"/>
    <w:rsid w:val="1C0882CC"/>
    <w:rsid w:val="1C26B691"/>
    <w:rsid w:val="1C57D70E"/>
    <w:rsid w:val="1CCA11D7"/>
    <w:rsid w:val="1D1D2970"/>
    <w:rsid w:val="1D569AFE"/>
    <w:rsid w:val="1D9C33FD"/>
    <w:rsid w:val="1DB3B792"/>
    <w:rsid w:val="1E960F5F"/>
    <w:rsid w:val="1F38045E"/>
    <w:rsid w:val="1F3BE1CF"/>
    <w:rsid w:val="1FF97697"/>
    <w:rsid w:val="2001B299"/>
    <w:rsid w:val="2069ED2F"/>
    <w:rsid w:val="20A4FD45"/>
    <w:rsid w:val="20B705DC"/>
    <w:rsid w:val="20BB6A42"/>
    <w:rsid w:val="219546F8"/>
    <w:rsid w:val="21A57080"/>
    <w:rsid w:val="21EB0EB0"/>
    <w:rsid w:val="21F37216"/>
    <w:rsid w:val="222A0C21"/>
    <w:rsid w:val="226FA520"/>
    <w:rsid w:val="232003CB"/>
    <w:rsid w:val="232022CC"/>
    <w:rsid w:val="2332BCFE"/>
    <w:rsid w:val="23C5DC82"/>
    <w:rsid w:val="23F16AED"/>
    <w:rsid w:val="245AE0F3"/>
    <w:rsid w:val="24AD2945"/>
    <w:rsid w:val="24C4BDC6"/>
    <w:rsid w:val="24CB5714"/>
    <w:rsid w:val="24CCE7BA"/>
    <w:rsid w:val="25E983EA"/>
    <w:rsid w:val="2668B81B"/>
    <w:rsid w:val="26945CB1"/>
    <w:rsid w:val="26D08393"/>
    <w:rsid w:val="26FF70A6"/>
    <w:rsid w:val="27111690"/>
    <w:rsid w:val="27431643"/>
    <w:rsid w:val="286BA6EC"/>
    <w:rsid w:val="28D38314"/>
    <w:rsid w:val="28DEE6A4"/>
    <w:rsid w:val="28F02B0E"/>
    <w:rsid w:val="29A058DD"/>
    <w:rsid w:val="2A08AC69"/>
    <w:rsid w:val="2A7AB705"/>
    <w:rsid w:val="2A8B1CFB"/>
    <w:rsid w:val="2B89B8B1"/>
    <w:rsid w:val="2C168766"/>
    <w:rsid w:val="2C1EB15A"/>
    <w:rsid w:val="2C515090"/>
    <w:rsid w:val="2D329962"/>
    <w:rsid w:val="2D7430EF"/>
    <w:rsid w:val="2D857529"/>
    <w:rsid w:val="2D860D68"/>
    <w:rsid w:val="2DAA6A41"/>
    <w:rsid w:val="2DB257C7"/>
    <w:rsid w:val="2DBA81BB"/>
    <w:rsid w:val="2E7BB786"/>
    <w:rsid w:val="2F2E3480"/>
    <w:rsid w:val="2F463AA2"/>
    <w:rsid w:val="30131DD4"/>
    <w:rsid w:val="303BAAC6"/>
    <w:rsid w:val="30802AE3"/>
    <w:rsid w:val="30E20B03"/>
    <w:rsid w:val="30EA3EF3"/>
    <w:rsid w:val="312CF895"/>
    <w:rsid w:val="31416C22"/>
    <w:rsid w:val="31A6E69E"/>
    <w:rsid w:val="31B35848"/>
    <w:rsid w:val="324EE514"/>
    <w:rsid w:val="32597E8B"/>
    <w:rsid w:val="327DDB64"/>
    <w:rsid w:val="3282F017"/>
    <w:rsid w:val="3285C8EA"/>
    <w:rsid w:val="32F1E063"/>
    <w:rsid w:val="341DDA07"/>
    <w:rsid w:val="3421994B"/>
    <w:rsid w:val="3429C33F"/>
    <w:rsid w:val="34A684B2"/>
    <w:rsid w:val="354B5F10"/>
    <w:rsid w:val="355C2FBF"/>
    <w:rsid w:val="357F890E"/>
    <w:rsid w:val="35911F4D"/>
    <w:rsid w:val="35A5A27E"/>
    <w:rsid w:val="372CEFAE"/>
    <w:rsid w:val="37593A0D"/>
    <w:rsid w:val="37796249"/>
    <w:rsid w:val="38C8C00F"/>
    <w:rsid w:val="38F50A6E"/>
    <w:rsid w:val="39057064"/>
    <w:rsid w:val="398A0C05"/>
    <w:rsid w:val="3A12EFEC"/>
    <w:rsid w:val="3A1ED033"/>
    <w:rsid w:val="3A2F97E6"/>
    <w:rsid w:val="3A649070"/>
    <w:rsid w:val="3A7A62AE"/>
    <w:rsid w:val="3A88ED49"/>
    <w:rsid w:val="3A90DACF"/>
    <w:rsid w:val="3B14813A"/>
    <w:rsid w:val="3B72FE20"/>
    <w:rsid w:val="3BBAA094"/>
    <w:rsid w:val="3BEBA259"/>
    <w:rsid w:val="3C24BDAA"/>
    <w:rsid w:val="3C34D524"/>
    <w:rsid w:val="3C3D1126"/>
    <w:rsid w:val="3CF8EF26"/>
    <w:rsid w:val="3D2B73F2"/>
    <w:rsid w:val="3D7ED096"/>
    <w:rsid w:val="3D8D2315"/>
    <w:rsid w:val="3DA41EB8"/>
    <w:rsid w:val="3DC87B91"/>
    <w:rsid w:val="3DD0A585"/>
    <w:rsid w:val="3E9C550F"/>
    <w:rsid w:val="3EB37C1D"/>
    <w:rsid w:val="3F644BF2"/>
    <w:rsid w:val="3F73762E"/>
    <w:rsid w:val="3F781698"/>
    <w:rsid w:val="3FB1265C"/>
    <w:rsid w:val="40119950"/>
    <w:rsid w:val="4080EC74"/>
    <w:rsid w:val="40A3F67F"/>
    <w:rsid w:val="41001C53"/>
    <w:rsid w:val="41177A96"/>
    <w:rsid w:val="41ACFA58"/>
    <w:rsid w:val="425238BD"/>
    <w:rsid w:val="4293FF2E"/>
    <w:rsid w:val="42989C17"/>
    <w:rsid w:val="42A416A8"/>
    <w:rsid w:val="42CE79DC"/>
    <w:rsid w:val="4307BE8D"/>
    <w:rsid w:val="4413603C"/>
    <w:rsid w:val="449EF854"/>
    <w:rsid w:val="44AEC9D1"/>
    <w:rsid w:val="45086E5A"/>
    <w:rsid w:val="4578E47B"/>
    <w:rsid w:val="45AF309D"/>
    <w:rsid w:val="45CB9FF0"/>
    <w:rsid w:val="46BC0CEB"/>
    <w:rsid w:val="47C21F73"/>
    <w:rsid w:val="48A38D4B"/>
    <w:rsid w:val="48C69756"/>
    <w:rsid w:val="490B2E38"/>
    <w:rsid w:val="498BA875"/>
    <w:rsid w:val="49CCA071"/>
    <w:rsid w:val="4A6F56AD"/>
    <w:rsid w:val="4AA6FE99"/>
    <w:rsid w:val="4AC3B049"/>
    <w:rsid w:val="4AC721E6"/>
    <w:rsid w:val="4AFC80C9"/>
    <w:rsid w:val="4C2AAA9B"/>
    <w:rsid w:val="4C3652BB"/>
    <w:rsid w:val="4C42CEFA"/>
    <w:rsid w:val="4C4AF8EE"/>
    <w:rsid w:val="4C5334F0"/>
    <w:rsid w:val="4C53EE12"/>
    <w:rsid w:val="4D258C4A"/>
    <w:rsid w:val="4D8D4C38"/>
    <w:rsid w:val="4DC41244"/>
    <w:rsid w:val="4DDE9F5B"/>
    <w:rsid w:val="4F8AD5B2"/>
    <w:rsid w:val="4FDBC1E7"/>
    <w:rsid w:val="5018BA7D"/>
    <w:rsid w:val="5126A613"/>
    <w:rsid w:val="513C14AA"/>
    <w:rsid w:val="515F37E8"/>
    <w:rsid w:val="517ED017"/>
    <w:rsid w:val="5291F784"/>
    <w:rsid w:val="52C27674"/>
    <w:rsid w:val="53224464"/>
    <w:rsid w:val="544DE0DF"/>
    <w:rsid w:val="545E46D5"/>
    <w:rsid w:val="5570BA13"/>
    <w:rsid w:val="55E9B140"/>
    <w:rsid w:val="55F1DB34"/>
    <w:rsid w:val="55FA1736"/>
    <w:rsid w:val="56410663"/>
    <w:rsid w:val="5641D699"/>
    <w:rsid w:val="5655A367"/>
    <w:rsid w:val="57073EF4"/>
    <w:rsid w:val="57DCD6C4"/>
    <w:rsid w:val="5826EFB0"/>
    <w:rsid w:val="583BBF5E"/>
    <w:rsid w:val="59215202"/>
    <w:rsid w:val="59297BF6"/>
    <w:rsid w:val="59D78FBF"/>
    <w:rsid w:val="59EC93C7"/>
    <w:rsid w:val="5AB623CF"/>
    <w:rsid w:val="5AC54C57"/>
    <w:rsid w:val="5B6ABBC6"/>
    <w:rsid w:val="5BA822EF"/>
    <w:rsid w:val="5C58F2C4"/>
    <w:rsid w:val="5D935AEA"/>
    <w:rsid w:val="5DD9BE44"/>
    <w:rsid w:val="5DDACB6E"/>
    <w:rsid w:val="5DF46E88"/>
    <w:rsid w:val="5DF4C325"/>
    <w:rsid w:val="5DFCED19"/>
    <w:rsid w:val="5E2C5DFD"/>
    <w:rsid w:val="5EC2949C"/>
    <w:rsid w:val="5F49E276"/>
    <w:rsid w:val="5F4F655D"/>
    <w:rsid w:val="5F98BD7A"/>
    <w:rsid w:val="60499087"/>
    <w:rsid w:val="608FF3E1"/>
    <w:rsid w:val="60E0D216"/>
    <w:rsid w:val="61348DDB"/>
    <w:rsid w:val="619C24F4"/>
    <w:rsid w:val="619CE167"/>
    <w:rsid w:val="61DDE177"/>
    <w:rsid w:val="6296501E"/>
    <w:rsid w:val="63C8077E"/>
    <w:rsid w:val="6407B983"/>
    <w:rsid w:val="640D1759"/>
    <w:rsid w:val="647B3D9A"/>
    <w:rsid w:val="64A72BDF"/>
    <w:rsid w:val="64D48229"/>
    <w:rsid w:val="65198E48"/>
    <w:rsid w:val="654EB6B9"/>
    <w:rsid w:val="65FC5F1B"/>
    <w:rsid w:val="6624EC0D"/>
    <w:rsid w:val="662671E2"/>
    <w:rsid w:val="6802BB58"/>
    <w:rsid w:val="6877025A"/>
    <w:rsid w:val="68B294B8"/>
    <w:rsid w:val="693F9FC0"/>
    <w:rsid w:val="695A6155"/>
    <w:rsid w:val="69EDB389"/>
    <w:rsid w:val="6A6A28E5"/>
    <w:rsid w:val="6AEBD617"/>
    <w:rsid w:val="6B04FE74"/>
    <w:rsid w:val="6B1CE414"/>
    <w:rsid w:val="6B43C3AD"/>
    <w:rsid w:val="6B57CD06"/>
    <w:rsid w:val="6C87A678"/>
    <w:rsid w:val="6DA10647"/>
    <w:rsid w:val="6DEBFDD8"/>
    <w:rsid w:val="6E2376D9"/>
    <w:rsid w:val="703FDD4D"/>
    <w:rsid w:val="70CFB2B8"/>
    <w:rsid w:val="710518A6"/>
    <w:rsid w:val="719AF90F"/>
    <w:rsid w:val="722D39C1"/>
    <w:rsid w:val="722D883D"/>
    <w:rsid w:val="7274776A"/>
    <w:rsid w:val="72914CD3"/>
    <w:rsid w:val="733F84EB"/>
    <w:rsid w:val="734A8218"/>
    <w:rsid w:val="74246E3F"/>
    <w:rsid w:val="755AB5F1"/>
    <w:rsid w:val="755CECFD"/>
    <w:rsid w:val="75AC182C"/>
    <w:rsid w:val="76019F80"/>
    <w:rsid w:val="761E22C8"/>
    <w:rsid w:val="761E477A"/>
    <w:rsid w:val="76779888"/>
    <w:rsid w:val="76B74A8D"/>
    <w:rsid w:val="772ACEA4"/>
    <w:rsid w:val="77DA51ED"/>
    <w:rsid w:val="78B7D51D"/>
    <w:rsid w:val="78E3B8EE"/>
    <w:rsid w:val="796D802A"/>
    <w:rsid w:val="79B9666B"/>
    <w:rsid w:val="79DB882D"/>
    <w:rsid w:val="7A389A22"/>
    <w:rsid w:val="7AEF9C9F"/>
    <w:rsid w:val="7B01F9E1"/>
    <w:rsid w:val="7B6E0ABA"/>
    <w:rsid w:val="7B8AB2B4"/>
    <w:rsid w:val="7BCC2E81"/>
    <w:rsid w:val="7BD46A83"/>
    <w:rsid w:val="7C958E40"/>
    <w:rsid w:val="7D703AE4"/>
    <w:rsid w:val="7DB72A11"/>
    <w:rsid w:val="7E185B5F"/>
    <w:rsid w:val="7E399AA3"/>
    <w:rsid w:val="7ECB2492"/>
    <w:rsid w:val="7ED9EB64"/>
    <w:rsid w:val="7F0BBCC9"/>
    <w:rsid w:val="7F0C0B45"/>
    <w:rsid w:val="7F52FA72"/>
    <w:rsid w:val="7F5AE7F8"/>
    <w:rsid w:val="7FD56B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B7BD4"/>
  <w15:chartTrackingRefBased/>
  <w15:docId w15:val="{036361B0-9146-4DA0-BA5B-21321AE3B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3</Pages>
  <Words>1762</Words>
  <Characters>10046</Characters>
  <Application>Microsoft Office Word</Application>
  <DocSecurity>0</DocSecurity>
  <Lines>83</Lines>
  <Paragraphs>23</Paragraphs>
  <ScaleCrop>false</ScaleCrop>
  <Company/>
  <LinksUpToDate>false</LinksUpToDate>
  <CharactersWithSpaces>11785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Spiridon (2243361)</dc:creator>
  <cp:keywords/>
  <dc:description/>
  <cp:lastModifiedBy>Andreea Spiridon</cp:lastModifiedBy>
  <cp:revision>58</cp:revision>
  <dcterms:created xsi:type="dcterms:W3CDTF">2023-07-28T17:45:00Z</dcterms:created>
  <dcterms:modified xsi:type="dcterms:W3CDTF">2023-08-02T18:47:00Z</dcterms:modified>
</cp:coreProperties>
</file>