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BC0BC5" w14:textId="77777777" w:rsidR="003758B4" w:rsidRPr="003758B4" w:rsidRDefault="003758B4" w:rsidP="003758B4">
      <w:pPr>
        <w:rPr>
          <w:b/>
          <w:bCs/>
          <w:u w:val="single"/>
        </w:rPr>
      </w:pPr>
    </w:p>
    <w:p w14:paraId="1D786C4B" w14:textId="28AEDA24" w:rsidR="003758B4" w:rsidRPr="003758B4" w:rsidRDefault="003758B4" w:rsidP="003758B4">
      <w:pPr>
        <w:jc w:val="center"/>
        <w:rPr>
          <w:b/>
          <w:bCs/>
          <w:u w:val="single"/>
        </w:rPr>
      </w:pPr>
      <w:r w:rsidRPr="003758B4">
        <w:rPr>
          <w:b/>
          <w:bCs/>
          <w:u w:val="single"/>
        </w:rPr>
        <w:t>ACADEMIC WRITING</w:t>
      </w:r>
    </w:p>
    <w:p w14:paraId="1FE32575" w14:textId="77777777" w:rsidR="003758B4" w:rsidRDefault="003758B4" w:rsidP="003758B4"/>
    <w:p w14:paraId="4D3C1572" w14:textId="77777777" w:rsidR="003758B4" w:rsidRDefault="003758B4" w:rsidP="003758B4"/>
    <w:p w14:paraId="32175EEC" w14:textId="43D811CE" w:rsidR="003758B4" w:rsidRPr="00075B60" w:rsidRDefault="003758B4" w:rsidP="00075B60">
      <w:r w:rsidRPr="00075B60">
        <w:t>Academic writing refers to the formal writing style used in educational institutions, primarily for journal articles and academic publications.</w:t>
      </w:r>
      <w:r w:rsidR="00075B60" w:rsidRPr="00075B60">
        <w:t xml:space="preserve"> </w:t>
      </w:r>
      <w:r w:rsidRPr="00075B60">
        <w:rPr>
          <w:color w:val="000000" w:themeColor="text1"/>
        </w:rPr>
        <w:t xml:space="preserve">Students can convey their ideas and understanding in a professional manner through academic writing- </w:t>
      </w:r>
      <w:hyperlink r:id="rId4" w:history="1">
        <w:r w:rsidRPr="00075B60">
          <w:rPr>
            <w:rStyle w:val="Hyperlink"/>
            <w:rFonts w:ascii="Arial" w:hAnsi="Arial" w:cs="Arial"/>
            <w:color w:val="000000" w:themeColor="text1"/>
            <w:sz w:val="20"/>
            <w:szCs w:val="20"/>
            <w:u w:val="none"/>
            <w:shd w:val="clear" w:color="auto" w:fill="FFFFFF"/>
          </w:rPr>
          <w:t>S Rankins-Robertson</w:t>
        </w:r>
      </w:hyperlink>
      <w:r w:rsidRPr="00075B60">
        <w:rPr>
          <w:rFonts w:ascii="Arial" w:hAnsi="Arial" w:cs="Arial"/>
          <w:color w:val="000000" w:themeColor="text1"/>
          <w:sz w:val="20"/>
          <w:szCs w:val="20"/>
          <w:shd w:val="clear" w:color="auto" w:fill="FFFFFF"/>
        </w:rPr>
        <w:t xml:space="preserve">, L Cahill, D </w:t>
      </w:r>
      <w:proofErr w:type="spellStart"/>
      <w:r w:rsidRPr="00075B60">
        <w:rPr>
          <w:rFonts w:ascii="Arial" w:hAnsi="Arial" w:cs="Arial"/>
          <w:color w:val="000000" w:themeColor="text1"/>
          <w:sz w:val="20"/>
          <w:szCs w:val="20"/>
          <w:shd w:val="clear" w:color="auto" w:fill="FFFFFF"/>
        </w:rPr>
        <w:t>Roen</w:t>
      </w:r>
      <w:proofErr w:type="spellEnd"/>
      <w:r w:rsidRPr="00075B60">
        <w:rPr>
          <w:rFonts w:ascii="Arial" w:hAnsi="Arial" w:cs="Arial"/>
          <w:color w:val="000000" w:themeColor="text1"/>
          <w:sz w:val="20"/>
          <w:szCs w:val="20"/>
          <w:shd w:val="clear" w:color="auto" w:fill="FFFFFF"/>
        </w:rPr>
        <w:t xml:space="preserve">, GR </w:t>
      </w:r>
      <w:proofErr w:type="spellStart"/>
      <w:r w:rsidRPr="00075B60">
        <w:rPr>
          <w:rFonts w:ascii="Arial" w:hAnsi="Arial" w:cs="Arial"/>
          <w:color w:val="000000" w:themeColor="text1"/>
          <w:sz w:val="20"/>
          <w:szCs w:val="20"/>
          <w:shd w:val="clear" w:color="auto" w:fill="FFFFFF"/>
        </w:rPr>
        <w:t>Glau</w:t>
      </w:r>
      <w:proofErr w:type="spellEnd"/>
      <w:r w:rsidRPr="00075B60">
        <w:rPr>
          <w:rFonts w:ascii="Arial" w:hAnsi="Arial" w:cs="Arial"/>
          <w:color w:val="000000" w:themeColor="text1"/>
          <w:sz w:val="20"/>
          <w:szCs w:val="20"/>
          <w:shd w:val="clear" w:color="auto" w:fill="FFFFFF"/>
        </w:rPr>
        <w:t> - Journal of Basic Writing, 2010 - JSTOR</w:t>
      </w:r>
    </w:p>
    <w:p w14:paraId="45A15675" w14:textId="77777777" w:rsidR="003758B4" w:rsidRPr="00075B60" w:rsidRDefault="003758B4" w:rsidP="003758B4"/>
    <w:p w14:paraId="597E8E5C" w14:textId="77777777" w:rsidR="003758B4" w:rsidRPr="00075B60" w:rsidRDefault="003758B4" w:rsidP="003758B4"/>
    <w:p w14:paraId="672840AD" w14:textId="77777777" w:rsidR="003758B4" w:rsidRPr="00075B60" w:rsidRDefault="003758B4" w:rsidP="003758B4">
      <w:pPr>
        <w:rPr>
          <w:rFonts w:ascii="Arial" w:hAnsi="Arial" w:cs="Arial"/>
          <w:color w:val="000000" w:themeColor="text1"/>
          <w:sz w:val="20"/>
          <w:szCs w:val="20"/>
          <w:shd w:val="clear" w:color="auto" w:fill="FFFFFF"/>
        </w:rPr>
      </w:pPr>
      <w:r w:rsidRPr="00075B60">
        <w:rPr>
          <w:color w:val="000000" w:themeColor="text1"/>
        </w:rPr>
        <w:t xml:space="preserve">When it comes to academic writing, students are unable to produce adequate work or material with only one heading or none at all. At some point, it may cause the reader's attention and focus to </w:t>
      </w:r>
      <w:proofErr w:type="spellStart"/>
      <w:r w:rsidRPr="00075B60">
        <w:rPr>
          <w:color w:val="000000" w:themeColor="text1"/>
        </w:rPr>
        <w:t>wain</w:t>
      </w:r>
      <w:proofErr w:type="spellEnd"/>
      <w:r w:rsidRPr="00075B60">
        <w:rPr>
          <w:color w:val="000000" w:themeColor="text1"/>
        </w:rPr>
        <w:t xml:space="preserve">. Therefore, it is necessary to explore any topics differently while highlighting them by using subheading and alternative titles. This will draw the reader in and make it easier for them to focus. Sections are used in this writing to manage the formal structure. The reader may quickly analyse and get the information they need in the writing by using the template for maintaining headings and subheadings. As a result, the writer needs the design in order to write about any problems in the text. - </w:t>
      </w:r>
      <w:r w:rsidRPr="00075B60">
        <w:rPr>
          <w:rFonts w:ascii="Arial" w:hAnsi="Arial" w:cs="Arial"/>
          <w:color w:val="000000" w:themeColor="text1"/>
          <w:sz w:val="20"/>
          <w:szCs w:val="20"/>
          <w:shd w:val="clear" w:color="auto" w:fill="FFFFFF"/>
        </w:rPr>
        <w:t xml:space="preserve">AM Johns - </w:t>
      </w:r>
      <w:proofErr w:type="spellStart"/>
      <w:r w:rsidRPr="00075B60">
        <w:rPr>
          <w:rFonts w:ascii="Arial" w:hAnsi="Arial" w:cs="Arial"/>
          <w:color w:val="000000" w:themeColor="text1"/>
          <w:sz w:val="20"/>
          <w:szCs w:val="20"/>
          <w:shd w:val="clear" w:color="auto" w:fill="FFFFFF"/>
        </w:rPr>
        <w:t>Tesol</w:t>
      </w:r>
      <w:proofErr w:type="spellEnd"/>
      <w:r w:rsidRPr="00075B60">
        <w:rPr>
          <w:rFonts w:ascii="Arial" w:hAnsi="Arial" w:cs="Arial"/>
          <w:color w:val="000000" w:themeColor="text1"/>
          <w:sz w:val="20"/>
          <w:szCs w:val="20"/>
          <w:shd w:val="clear" w:color="auto" w:fill="FFFFFF"/>
        </w:rPr>
        <w:t xml:space="preserve"> Quarterly, 1986 - Wiley Online Library</w:t>
      </w:r>
    </w:p>
    <w:p w14:paraId="0E462436" w14:textId="77777777" w:rsidR="003758B4" w:rsidRPr="00075B60" w:rsidRDefault="003758B4" w:rsidP="003758B4">
      <w:pPr>
        <w:rPr>
          <w:rFonts w:ascii="Arial" w:hAnsi="Arial" w:cs="Arial"/>
          <w:color w:val="000000" w:themeColor="text1"/>
          <w:sz w:val="20"/>
          <w:szCs w:val="20"/>
          <w:shd w:val="clear" w:color="auto" w:fill="FFFFFF"/>
        </w:rPr>
      </w:pPr>
    </w:p>
    <w:p w14:paraId="33E7ECA8" w14:textId="77777777" w:rsidR="003758B4" w:rsidRPr="00075B60" w:rsidRDefault="003758B4" w:rsidP="003758B4">
      <w:pPr>
        <w:rPr>
          <w:rFonts w:ascii="Arial" w:hAnsi="Arial" w:cs="Arial"/>
          <w:color w:val="000000" w:themeColor="text1"/>
          <w:sz w:val="20"/>
          <w:szCs w:val="20"/>
          <w:shd w:val="clear" w:color="auto" w:fill="FFFFFF"/>
        </w:rPr>
      </w:pPr>
      <w:r w:rsidRPr="00075B60">
        <w:rPr>
          <w:rFonts w:ascii="Arial" w:hAnsi="Arial" w:cs="Arial"/>
          <w:color w:val="000000" w:themeColor="text1"/>
          <w:sz w:val="20"/>
          <w:szCs w:val="20"/>
          <w:shd w:val="clear" w:color="auto" w:fill="FFFFFF"/>
        </w:rPr>
        <w:t xml:space="preserve">Why is academic writing important? </w:t>
      </w:r>
    </w:p>
    <w:p w14:paraId="636EB5FB" w14:textId="3C4CC1D7" w:rsidR="003758B4" w:rsidRPr="00075B60" w:rsidRDefault="003758B4" w:rsidP="003758B4">
      <w:pPr>
        <w:rPr>
          <w:rFonts w:ascii="Arial" w:hAnsi="Arial" w:cs="Arial"/>
          <w:color w:val="000000" w:themeColor="text1"/>
          <w:sz w:val="20"/>
          <w:szCs w:val="20"/>
          <w:shd w:val="clear" w:color="auto" w:fill="FFFFFF"/>
        </w:rPr>
      </w:pPr>
      <w:r w:rsidRPr="00075B60">
        <w:rPr>
          <w:color w:val="000000" w:themeColor="text1"/>
        </w:rPr>
        <w:t xml:space="preserve">The opinions of the faculty were investigated about academic writing and writing teaching. Ten qualitative interviews with business and engineering faculty members produced the data used in this article. Two perspectives on academic writing and writing training were discovered after the interview transcripts underwent inductive and recursive analysis. According to one theory, teaching writing would be most effective when done by teachers of writing and languages because academic writing mostly included imparting general writing abilities. The opposing viewpoint acknowledged the distinctive cognitive and communication processes involved in academic writing as well as the importance of both writing instructors and topic course instructors in the education of academic writing. Instructors of writing courses and those teaching content courses, however, had different roles to play. - </w:t>
      </w:r>
      <w:r w:rsidRPr="00075B60">
        <w:rPr>
          <w:rFonts w:ascii="Arial" w:hAnsi="Arial" w:cs="Arial"/>
          <w:color w:val="000000" w:themeColor="text1"/>
          <w:sz w:val="20"/>
          <w:szCs w:val="20"/>
          <w:shd w:val="clear" w:color="auto" w:fill="FFFFFF"/>
        </w:rPr>
        <w:t>W Zhu - Journal of second language Writing, 2004 – Elsevier</w:t>
      </w:r>
    </w:p>
    <w:p w14:paraId="4073C723" w14:textId="77777777" w:rsidR="003758B4" w:rsidRPr="00075B60" w:rsidRDefault="003758B4"/>
    <w:sectPr w:rsidR="003758B4" w:rsidRPr="00075B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doNotDisplayPageBoundaries/>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8B4"/>
    <w:rsid w:val="00075B60"/>
    <w:rsid w:val="003758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2D50B92F"/>
  <w15:chartTrackingRefBased/>
  <w15:docId w15:val="{15FDC45A-1EAE-5F43-BDDB-A45E7E982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8B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758B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scholar.google.com/citations?user=5RqisLUAAAAJ&amp;hl=en&amp;oi=s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319</Words>
  <Characters>1864</Characters>
  <Application>Microsoft Office Word</Application>
  <DocSecurity>0</DocSecurity>
  <Lines>38</Lines>
  <Paragraphs>16</Paragraphs>
  <ScaleCrop>false</ScaleCrop>
  <Company/>
  <LinksUpToDate>false</LinksUpToDate>
  <CharactersWithSpaces>2167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Rafid Hossain</dc:creator>
  <cp:keywords/>
  <dc:description/>
  <cp:lastModifiedBy>Rafid Hossain</cp:lastModifiedBy>
  <cp:revision>2</cp:revision>
  <dcterms:created xsi:type="dcterms:W3CDTF">2022-11-21T19:21:00Z</dcterms:created>
  <dcterms:modified xsi:type="dcterms:W3CDTF">2022-11-21T19:33:00Z</dcterms:modified>
</cp:coreProperties>
</file>