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E03B1B" w14:paraId="2C078E63" wp14:textId="70B7AB84">
      <w:pPr>
        <w:pStyle w:val="Normal"/>
        <w:rPr>
          <w:rFonts w:ascii="Calibri" w:hAnsi="Calibri" w:eastAsia="Calibri" w:cs="Calibri"/>
          <w:noProof w:val="0"/>
          <w:sz w:val="22"/>
          <w:szCs w:val="22"/>
          <w:lang w:val="en-US"/>
        </w:rPr>
      </w:pPr>
      <w:r w:rsidRPr="73E03B1B" w:rsidR="73E03B1B">
        <w:rPr>
          <w:rFonts w:ascii="Calibri" w:hAnsi="Calibri" w:eastAsia="Calibri" w:cs="Calibri"/>
          <w:noProof w:val="0"/>
          <w:sz w:val="22"/>
          <w:szCs w:val="22"/>
          <w:lang w:val="en-US"/>
        </w:rPr>
        <w:t xml:space="preserve">Although there has been a surge in interest in using evidence to make public policy, most of the research on the topic has failed to address the political nature of decision-making and how this effects how evidence is </w:t>
      </w:r>
      <w:r w:rsidRPr="73E03B1B" w:rsidR="73E03B1B">
        <w:rPr>
          <w:rFonts w:ascii="Calibri" w:hAnsi="Calibri" w:eastAsia="Calibri" w:cs="Calibri"/>
          <w:noProof w:val="0"/>
          <w:sz w:val="22"/>
          <w:szCs w:val="22"/>
          <w:lang w:val="en-US"/>
        </w:rPr>
        <w:t>utilized</w:t>
      </w:r>
      <w:r w:rsidRPr="73E03B1B" w:rsidR="73E03B1B">
        <w:rPr>
          <w:rFonts w:ascii="Calibri" w:hAnsi="Calibri" w:eastAsia="Calibri" w:cs="Calibri"/>
          <w:noProof w:val="0"/>
          <w:sz w:val="22"/>
          <w:szCs w:val="22"/>
          <w:lang w:val="en-US"/>
        </w:rPr>
        <w:t xml:space="preserve"> (or misused) in political areas. This book offers new insights into the nature of political prejudice when it comes to </w:t>
      </w:r>
      <w:r w:rsidRPr="73E03B1B" w:rsidR="73E03B1B">
        <w:rPr>
          <w:rFonts w:ascii="Calibri" w:hAnsi="Calibri" w:eastAsia="Calibri" w:cs="Calibri"/>
          <w:noProof w:val="0"/>
          <w:sz w:val="22"/>
          <w:szCs w:val="22"/>
          <w:lang w:val="en-US"/>
        </w:rPr>
        <w:t>evidence</w:t>
      </w:r>
      <w:r w:rsidRPr="73E03B1B" w:rsidR="73E03B1B">
        <w:rPr>
          <w:rFonts w:ascii="Calibri" w:hAnsi="Calibri" w:eastAsia="Calibri" w:cs="Calibri"/>
          <w:noProof w:val="0"/>
          <w:sz w:val="22"/>
          <w:szCs w:val="22"/>
          <w:lang w:val="en-US"/>
        </w:rPr>
        <w:t xml:space="preserve">, as well as a critical examination of what a "better" use of evidence would look like in government. Part I discusses the enormous potential for evidence to aid in the achievement of social goals, as well as the limitations posed by policymaking's political nature. It looks at evidence advocates' concerns that political motives are driving the misuse or manipulation of data. Some policy experts' concerns about how appeals to "evidence-based policy" can depoliticize political discussions, as well as evidence. Both concerns reflect prejudice: the first reflects technical bias, in which the use of evidence contradicts scientific best practices, and the second reflects issue bias, in which the use of evidence might focus political debates on certain issues or marginalize policy-relevant social concerns. Part II examines the origins and causes of both types of prejudice in relation to political interests and values, drawing on policy studies and cognitive psychology. It </w:t>
      </w:r>
      <w:r w:rsidRPr="73E03B1B" w:rsidR="73E03B1B">
        <w:rPr>
          <w:rFonts w:ascii="Calibri" w:hAnsi="Calibri" w:eastAsia="Calibri" w:cs="Calibri"/>
          <w:noProof w:val="0"/>
          <w:sz w:val="22"/>
          <w:szCs w:val="22"/>
          <w:lang w:val="en-US"/>
        </w:rPr>
        <w:t>demonstrates</w:t>
      </w:r>
      <w:r w:rsidRPr="73E03B1B" w:rsidR="73E03B1B">
        <w:rPr>
          <w:rFonts w:ascii="Calibri" w:hAnsi="Calibri" w:eastAsia="Calibri" w:cs="Calibri"/>
          <w:noProof w:val="0"/>
          <w:sz w:val="22"/>
          <w:szCs w:val="22"/>
          <w:lang w:val="en-US"/>
        </w:rPr>
        <w:t xml:space="preserve"> how, if we recognize their origins and expressions in policy settings, such biases are not only ubiquitous, but also considerably more predictable. Finally, in Part III, we will look at how to get around.</w:t>
      </w:r>
    </w:p>
    <w:p w:rsidR="73E03B1B" w:rsidP="73E03B1B" w:rsidRDefault="73E03B1B" w14:paraId="436B4919" w14:textId="1830B8D3">
      <w:pPr>
        <w:pStyle w:val="Normal"/>
        <w:rPr>
          <w:rFonts w:ascii="Calibri" w:hAnsi="Calibri" w:eastAsia="Calibri" w:cs="Calibri"/>
          <w:noProof w:val="0"/>
          <w:sz w:val="22"/>
          <w:szCs w:val="22"/>
          <w:lang w:val="en-US"/>
        </w:rPr>
      </w:pPr>
      <w:r w:rsidRPr="73E03B1B" w:rsidR="73E03B1B">
        <w:rPr>
          <w:rFonts w:ascii="Calibri" w:hAnsi="Calibri" w:eastAsia="Calibri" w:cs="Calibri"/>
          <w:noProof w:val="0"/>
          <w:sz w:val="22"/>
          <w:szCs w:val="22"/>
          <w:lang w:val="en-US"/>
        </w:rPr>
        <w:t xml:space="preserve">The critical incident approach, also known as the critical incident </w:t>
      </w:r>
      <w:r w:rsidRPr="73E03B1B" w:rsidR="73E03B1B">
        <w:rPr>
          <w:rFonts w:ascii="Calibri" w:hAnsi="Calibri" w:eastAsia="Calibri" w:cs="Calibri"/>
          <w:noProof w:val="0"/>
          <w:sz w:val="22"/>
          <w:szCs w:val="22"/>
          <w:lang w:val="en-US"/>
        </w:rPr>
        <w:t>methodology</w:t>
      </w:r>
      <w:r w:rsidRPr="73E03B1B" w:rsidR="73E03B1B">
        <w:rPr>
          <w:rFonts w:ascii="Calibri" w:hAnsi="Calibri" w:eastAsia="Calibri" w:cs="Calibri"/>
          <w:noProof w:val="0"/>
          <w:sz w:val="22"/>
          <w:szCs w:val="22"/>
          <w:lang w:val="en-US"/>
        </w:rPr>
        <w:t xml:space="preserve">, is a method for collecting, </w:t>
      </w:r>
      <w:r w:rsidRPr="73E03B1B" w:rsidR="73E03B1B">
        <w:rPr>
          <w:rFonts w:ascii="Calibri" w:hAnsi="Calibri" w:eastAsia="Calibri" w:cs="Calibri"/>
          <w:noProof w:val="0"/>
          <w:sz w:val="22"/>
          <w:szCs w:val="22"/>
          <w:lang w:val="en-US"/>
        </w:rPr>
        <w:t>observing</w:t>
      </w:r>
      <w:r w:rsidRPr="73E03B1B" w:rsidR="73E03B1B">
        <w:rPr>
          <w:rFonts w:ascii="Calibri" w:hAnsi="Calibri" w:eastAsia="Calibri" w:cs="Calibri"/>
          <w:noProof w:val="0"/>
          <w:sz w:val="22"/>
          <w:szCs w:val="22"/>
          <w:lang w:val="en-US"/>
        </w:rPr>
        <w:t xml:space="preserve">, and analyzing human behavior at specific situations where an employee or individual performs well and conditions where he could have performed better using a series of procedures. It is a handy tool for evaluating performance. The observer in the critical incident approach keeps a close check on critical human behavior, situations, and the abilities that an employee employs in the job. A complete critical incident report is provided by the management, which is then used to </w:t>
      </w:r>
      <w:r w:rsidRPr="73E03B1B" w:rsidR="73E03B1B">
        <w:rPr>
          <w:rFonts w:ascii="Calibri" w:hAnsi="Calibri" w:eastAsia="Calibri" w:cs="Calibri"/>
          <w:noProof w:val="0"/>
          <w:sz w:val="22"/>
          <w:szCs w:val="22"/>
          <w:lang w:val="en-US"/>
        </w:rPr>
        <w:t>establish</w:t>
      </w:r>
      <w:r w:rsidRPr="73E03B1B" w:rsidR="73E03B1B">
        <w:rPr>
          <w:rFonts w:ascii="Calibri" w:hAnsi="Calibri" w:eastAsia="Calibri" w:cs="Calibri"/>
          <w:noProof w:val="0"/>
          <w:sz w:val="22"/>
          <w:szCs w:val="22"/>
          <w:lang w:val="en-US"/>
        </w:rPr>
        <w:t xml:space="preserve"> psychological principles and solve practical difficulties. The critical incident approach is most suited and effective when the manager </w:t>
      </w:r>
      <w:r w:rsidRPr="73E03B1B" w:rsidR="73E03B1B">
        <w:rPr>
          <w:rFonts w:ascii="Calibri" w:hAnsi="Calibri" w:eastAsia="Calibri" w:cs="Calibri"/>
          <w:noProof w:val="0"/>
          <w:sz w:val="22"/>
          <w:szCs w:val="22"/>
          <w:lang w:val="en-US"/>
        </w:rPr>
        <w:t>observes</w:t>
      </w:r>
      <w:r w:rsidRPr="73E03B1B" w:rsidR="73E03B1B">
        <w:rPr>
          <w:rFonts w:ascii="Calibri" w:hAnsi="Calibri" w:eastAsia="Calibri" w:cs="Calibri"/>
          <w:noProof w:val="0"/>
          <w:sz w:val="22"/>
          <w:szCs w:val="22"/>
          <w:lang w:val="en-US"/>
        </w:rPr>
        <w:t xml:space="preserve"> and supervises personnel on a regular basis so that crucial events may be </w:t>
      </w:r>
      <w:r w:rsidRPr="73E03B1B" w:rsidR="73E03B1B">
        <w:rPr>
          <w:rFonts w:ascii="Calibri" w:hAnsi="Calibri" w:eastAsia="Calibri" w:cs="Calibri"/>
          <w:noProof w:val="0"/>
          <w:sz w:val="22"/>
          <w:szCs w:val="22"/>
          <w:lang w:val="en-US"/>
        </w:rPr>
        <w:t>monitored</w:t>
      </w:r>
      <w:r w:rsidRPr="73E03B1B" w:rsidR="73E03B1B">
        <w:rPr>
          <w:rFonts w:ascii="Calibri" w:hAnsi="Calibri" w:eastAsia="Calibri" w:cs="Calibri"/>
          <w:noProof w:val="0"/>
          <w:sz w:val="22"/>
          <w:szCs w:val="22"/>
          <w:lang w:val="en-US"/>
        </w:rPr>
        <w:t xml:space="preserve">. It is not so much a way to keep track of performance on an annual basis as it is for a situation where the manager and employee discuss performance on a regular basis. When comparing the pure narrative and the critical incident approach, one advantage of the critical incident method is that it includes capturing specific observable situations, </w:t>
      </w:r>
      <w:r w:rsidRPr="73E03B1B" w:rsidR="73E03B1B">
        <w:rPr>
          <w:rFonts w:ascii="Calibri" w:hAnsi="Calibri" w:eastAsia="Calibri" w:cs="Calibri"/>
          <w:noProof w:val="0"/>
          <w:sz w:val="22"/>
          <w:szCs w:val="22"/>
          <w:lang w:val="en-US"/>
        </w:rPr>
        <w:t>whereas</w:t>
      </w:r>
      <w:r w:rsidRPr="73E03B1B" w:rsidR="73E03B1B">
        <w:rPr>
          <w:rFonts w:ascii="Calibri" w:hAnsi="Calibri" w:eastAsia="Calibri" w:cs="Calibri"/>
          <w:noProof w:val="0"/>
          <w:sz w:val="22"/>
          <w:szCs w:val="22"/>
          <w:lang w:val="en-US"/>
        </w:rPr>
        <w:t xml:space="preserve"> narratives are more general. The more specific the information you provide to employees, the more probable it is that they will be able to use it to improve their performance. This strategy is better suited to continuing performance communication than a once-a-year performance review meeting unless there is regular monitoring and paperwork is kept up to date. Keep in mind that many occupations do not lend themselves to direct observation of occurrences, and that frequent managerial observation might make people feel "over-monitored" and mistrusted. Critical event reporting should be descriptive rather than evaluative. That is, you document what you hear or see, not your interpretation of events. Consider it like writing a news story—all </w:t>
      </w:r>
      <w:r w:rsidRPr="73E03B1B" w:rsidR="73E03B1B">
        <w:rPr>
          <w:rFonts w:ascii="Calibri" w:hAnsi="Calibri" w:eastAsia="Calibri" w:cs="Calibri"/>
          <w:noProof w:val="0"/>
          <w:sz w:val="22"/>
          <w:szCs w:val="22"/>
          <w:lang w:val="en-US"/>
        </w:rPr>
        <w:t>it is</w:t>
      </w:r>
      <w:r w:rsidRPr="73E03B1B" w:rsidR="73E03B1B">
        <w:rPr>
          <w:rFonts w:ascii="Calibri" w:hAnsi="Calibri" w:eastAsia="Calibri" w:cs="Calibri"/>
          <w:noProof w:val="0"/>
          <w:sz w:val="22"/>
          <w:szCs w:val="22"/>
          <w:lang w:val="en-US"/>
        </w:rPr>
        <w:t xml:space="preserve"> about who, what, when, where, and why. Face-to-face interactions with the employee are the best place to evaluate or appraise the worth of what you see. In an ideal situation, you would communicate what you </w:t>
      </w:r>
      <w:r w:rsidRPr="73E03B1B" w:rsidR="73E03B1B">
        <w:rPr>
          <w:rFonts w:ascii="Calibri" w:hAnsi="Calibri" w:eastAsia="Calibri" w:cs="Calibri"/>
          <w:noProof w:val="0"/>
          <w:sz w:val="22"/>
          <w:szCs w:val="22"/>
          <w:lang w:val="en-US"/>
        </w:rPr>
        <w:t>observed</w:t>
      </w:r>
      <w:r w:rsidRPr="73E03B1B" w:rsidR="73E03B1B">
        <w:rPr>
          <w:rFonts w:ascii="Calibri" w:hAnsi="Calibri" w:eastAsia="Calibri" w:cs="Calibri"/>
          <w:noProof w:val="0"/>
          <w:sz w:val="22"/>
          <w:szCs w:val="22"/>
          <w:lang w:val="en-US"/>
        </w:rPr>
        <w:t xml:space="preserve"> and encourage the employee to assess his or her conduct and diagnose the problem. </w:t>
      </w:r>
      <w:r w:rsidRPr="73E03B1B" w:rsidR="73E03B1B">
        <w:rPr>
          <w:rFonts w:ascii="Calibri" w:hAnsi="Calibri" w:eastAsia="Calibri" w:cs="Calibri"/>
          <w:noProof w:val="0"/>
          <w:sz w:val="22"/>
          <w:szCs w:val="22"/>
          <w:lang w:val="en-US"/>
        </w:rPr>
        <w:t>There is</w:t>
      </w:r>
      <w:r w:rsidRPr="73E03B1B" w:rsidR="73E03B1B">
        <w:rPr>
          <w:rFonts w:ascii="Calibri" w:hAnsi="Calibri" w:eastAsia="Calibri" w:cs="Calibri"/>
          <w:noProof w:val="0"/>
          <w:sz w:val="22"/>
          <w:szCs w:val="22"/>
          <w:lang w:val="en-US"/>
        </w:rPr>
        <w:t xml:space="preserve"> a propensity to just keep track of </w:t>
      </w:r>
      <w:r w:rsidRPr="73E03B1B" w:rsidR="73E03B1B">
        <w:rPr>
          <w:rFonts w:ascii="Calibri" w:hAnsi="Calibri" w:eastAsia="Calibri" w:cs="Calibri"/>
          <w:noProof w:val="0"/>
          <w:sz w:val="22"/>
          <w:szCs w:val="22"/>
          <w:lang w:val="en-US"/>
        </w:rPr>
        <w:t>terrible things</w:t>
      </w:r>
      <w:r w:rsidRPr="73E03B1B" w:rsidR="73E03B1B">
        <w:rPr>
          <w:rFonts w:ascii="Calibri" w:hAnsi="Calibri" w:eastAsia="Calibri" w:cs="Calibri"/>
          <w:noProof w:val="0"/>
          <w:sz w:val="22"/>
          <w:szCs w:val="22"/>
          <w:lang w:val="en-US"/>
        </w:rPr>
        <w:t xml:space="preserve">. Keep an eye out for </w:t>
      </w:r>
      <w:r w:rsidRPr="73E03B1B" w:rsidR="73E03B1B">
        <w:rPr>
          <w:rFonts w:ascii="Calibri" w:hAnsi="Calibri" w:eastAsia="Calibri" w:cs="Calibri"/>
          <w:noProof w:val="0"/>
          <w:sz w:val="22"/>
          <w:szCs w:val="22"/>
          <w:lang w:val="en-US"/>
        </w:rPr>
        <w:t>favorable</w:t>
      </w:r>
      <w:r w:rsidRPr="73E03B1B" w:rsidR="73E03B1B">
        <w:rPr>
          <w:rFonts w:ascii="Calibri" w:hAnsi="Calibri" w:eastAsia="Calibri" w:cs="Calibri"/>
          <w:noProof w:val="0"/>
          <w:sz w:val="22"/>
          <w:szCs w:val="22"/>
          <w:lang w:val="en-US"/>
        </w:rPr>
        <w:t xml:space="preserve"> occurrences and situations in which the employee has excelled. </w:t>
      </w:r>
    </w:p>
    <w:p w:rsidR="73E03B1B" w:rsidP="73E03B1B" w:rsidRDefault="73E03B1B" w14:paraId="77836083" w14:textId="7028AED8">
      <w:pPr>
        <w:pStyle w:val="Normal"/>
        <w:rPr>
          <w:rFonts w:ascii="Calibri" w:hAnsi="Calibri" w:eastAsia="Calibri" w:cs="Calibri"/>
          <w:noProof w:val="0"/>
          <w:sz w:val="22"/>
          <w:szCs w:val="22"/>
          <w:lang w:val="en-US"/>
        </w:rPr>
      </w:pPr>
      <w:r w:rsidRPr="73E03B1B" w:rsidR="73E03B1B">
        <w:rPr>
          <w:rFonts w:ascii="Calibri" w:hAnsi="Calibri" w:eastAsia="Calibri" w:cs="Calibri"/>
          <w:noProof w:val="0"/>
          <w:sz w:val="22"/>
          <w:szCs w:val="22"/>
          <w:lang w:val="en-US"/>
        </w:rPr>
        <w:t xml:space="preserve">The 18th of September 2012 is a date that will be remembered by people who work in law enforcement and other frontline services. Two PCs attended a burglary in progress that day, which is a common occurrence for officers across the country. It was not a typical job, though; Dale Cregan made a false call. Cregan was a heroin dealer who was wanted for the assassinations of Mark and David Short, as well as three others. PC Nicola Hughes and PC Fiona Bone responded to the call, and when they approached the front door of the house </w:t>
      </w:r>
      <w:r w:rsidRPr="73E03B1B" w:rsidR="73E03B1B">
        <w:rPr>
          <w:rFonts w:ascii="Calibri" w:hAnsi="Calibri" w:eastAsia="Calibri" w:cs="Calibri"/>
          <w:noProof w:val="0"/>
          <w:sz w:val="22"/>
          <w:szCs w:val="22"/>
          <w:lang w:val="en-US"/>
        </w:rPr>
        <w:t>indicated</w:t>
      </w:r>
      <w:r w:rsidRPr="73E03B1B" w:rsidR="73E03B1B">
        <w:rPr>
          <w:rFonts w:ascii="Calibri" w:hAnsi="Calibri" w:eastAsia="Calibri" w:cs="Calibri"/>
          <w:noProof w:val="0"/>
          <w:sz w:val="22"/>
          <w:szCs w:val="22"/>
          <w:lang w:val="en-US"/>
        </w:rPr>
        <w:t xml:space="preserve">, Cregan opened the door and began shooting them. As PC Hughes lay on the ground, he fired 32 rounds in 31 seconds and continued to shoot her in the head. As he continued to fire rounds at her, PC Bone managed to draw her taser. "I'm wanted by the police, I've just done two coppers," he said as he threw an M75 hand grenade at the officers before walking to a police station and declaring. Following the killings of Mark Short in May 2012 and his father David three months later, there was tension in the region, as well as fear that Cregan was still wanted by police. As a result, there will have been a community impact assessment as well as a threat assessment for officers responding to occurrences in the area. Senior officials scrutinize every decision made in the aftermath of all important situations. "Even now, I can't fathom what I could have done differently based on the knowledge we had at the time," said Chief Superintendent Nick Adderley of GMP after the murders of PCs Bone and Hughes. In this circumstance, though, there was nothing else he could have done. Cregan cruelly enticed two innocent police officers to their deaths, and PCs Bone and Hughes were on their way to certain death when they replied to the call because of the clever way he carried out his plot. Nothing could be done except dispatch armed police to every call for service, which would be neither proportionate nor justified. In anticipation of the "arm all our police" argument, </w:t>
      </w:r>
      <w:r w:rsidRPr="73E03B1B" w:rsidR="73E03B1B">
        <w:rPr>
          <w:rFonts w:ascii="Calibri" w:hAnsi="Calibri" w:eastAsia="Calibri" w:cs="Calibri"/>
          <w:noProof w:val="0"/>
          <w:sz w:val="22"/>
          <w:szCs w:val="22"/>
          <w:lang w:val="en-US"/>
        </w:rPr>
        <w:t>I'd</w:t>
      </w:r>
      <w:r w:rsidRPr="73E03B1B" w:rsidR="73E03B1B">
        <w:rPr>
          <w:rFonts w:ascii="Calibri" w:hAnsi="Calibri" w:eastAsia="Calibri" w:cs="Calibri"/>
          <w:noProof w:val="0"/>
          <w:sz w:val="22"/>
          <w:szCs w:val="22"/>
          <w:lang w:val="en-US"/>
        </w:rPr>
        <w:t xml:space="preserve"> like to draw your attention to the number of officers slain in the United States over the last 10 years, which has averaged 146 each year. Every time a police officer knocks on a door, they may be confronted with an unexpected situation. We rarely hear about the </w:t>
      </w:r>
      <w:r w:rsidRPr="73E03B1B" w:rsidR="73E03B1B">
        <w:rPr>
          <w:rFonts w:ascii="Calibri" w:hAnsi="Calibri" w:eastAsia="Calibri" w:cs="Calibri"/>
          <w:noProof w:val="0"/>
          <w:sz w:val="22"/>
          <w:szCs w:val="22"/>
          <w:lang w:val="en-US"/>
        </w:rPr>
        <w:t>numerous</w:t>
      </w:r>
      <w:r w:rsidRPr="73E03B1B" w:rsidR="73E03B1B">
        <w:rPr>
          <w:rFonts w:ascii="Calibri" w:hAnsi="Calibri" w:eastAsia="Calibri" w:cs="Calibri"/>
          <w:noProof w:val="0"/>
          <w:sz w:val="22"/>
          <w:szCs w:val="22"/>
          <w:lang w:val="en-US"/>
        </w:rPr>
        <w:t xml:space="preserve"> injuries that officers sustain </w:t>
      </w:r>
      <w:proofErr w:type="gramStart"/>
      <w:r w:rsidRPr="73E03B1B" w:rsidR="73E03B1B">
        <w:rPr>
          <w:rFonts w:ascii="Calibri" w:hAnsi="Calibri" w:eastAsia="Calibri" w:cs="Calibri"/>
          <w:noProof w:val="0"/>
          <w:sz w:val="22"/>
          <w:szCs w:val="22"/>
          <w:lang w:val="en-US"/>
        </w:rPr>
        <w:t>on a daily basis</w:t>
      </w:r>
      <w:proofErr w:type="gramEnd"/>
      <w:r w:rsidRPr="73E03B1B" w:rsidR="73E03B1B">
        <w:rPr>
          <w:rFonts w:ascii="Calibri" w:hAnsi="Calibri" w:eastAsia="Calibri" w:cs="Calibri"/>
          <w:noProof w:val="0"/>
          <w:sz w:val="22"/>
          <w:szCs w:val="22"/>
          <w:lang w:val="en-US"/>
        </w:rPr>
        <w:t xml:space="preserve"> while on duty.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v3jXqOAVqWKVSe" id="0BmwZuxg"/>
  </int:Manifest>
  <int:Observations>
    <int:Content id="0BmwZuxg">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B104D7"/>
    <w:rsid w:val="0529C68B"/>
    <w:rsid w:val="0B03C90F"/>
    <w:rsid w:val="0C9F9970"/>
    <w:rsid w:val="0C9F9970"/>
    <w:rsid w:val="0E3B69D1"/>
    <w:rsid w:val="1EFD6447"/>
    <w:rsid w:val="274C3E2B"/>
    <w:rsid w:val="2B5C1206"/>
    <w:rsid w:val="367B200F"/>
    <w:rsid w:val="3E49F1D9"/>
    <w:rsid w:val="3E49F1D9"/>
    <w:rsid w:val="49B104D7"/>
    <w:rsid w:val="640B1CC9"/>
    <w:rsid w:val="644AB6E3"/>
    <w:rsid w:val="644AB6E3"/>
    <w:rsid w:val="6458CA8C"/>
    <w:rsid w:val="68D9FB60"/>
    <w:rsid w:val="69C47007"/>
    <w:rsid w:val="73E03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104D7"/>
  <w15:chartTrackingRefBased/>
  <w15:docId w15:val="{99AF3BC3-2AB6-47C3-BEF7-CDE5813B95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953afdd25e5245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2022-03-04T19:24:56.2922964Z</dcterms:created>
  <dcterms:modified xsi:type="dcterms:W3CDTF">2022-03-04T19:54:42.1180924Z</dcterms:modified>
  <dc:creator>Patrick Grey (2104767)</dc:creator>
  <lastModifiedBy>Patrick Grey (2104767)</lastModifiedBy>
</coreProperties>
</file>