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FE281" w14:textId="6952EE36" w:rsidR="00645106" w:rsidRDefault="39AF0444" w:rsidP="4D2BD68D">
      <w:pPr>
        <w:spacing w:after="120" w:line="275" w:lineRule="auto"/>
      </w:pPr>
      <w:r>
        <w:t xml:space="preserve">                         </w:t>
      </w:r>
      <w:r w:rsidR="003C24BF">
        <w:t xml:space="preserve">  </w:t>
      </w:r>
      <w:r>
        <w:t xml:space="preserve">    </w:t>
      </w:r>
      <w:r>
        <w:rPr>
          <w:noProof/>
        </w:rPr>
        <w:drawing>
          <wp:inline distT="0" distB="0" distL="0" distR="0" wp14:anchorId="5409EF83" wp14:editId="604FD59A">
            <wp:extent cx="2268237" cy="1258457"/>
            <wp:effectExtent l="0" t="0" r="0" b="0"/>
            <wp:docPr id="12052643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264395" name="Picture 1205264395"/>
                    <pic:cNvPicPr/>
                  </pic:nvPicPr>
                  <pic:blipFill>
                    <a:blip r:embed="rId7">
                      <a:extLst>
                        <a:ext uri="{28A0092B-C50C-407E-A947-70E740481C1C}">
                          <a14:useLocalDpi xmlns:a14="http://schemas.microsoft.com/office/drawing/2010/main"/>
                        </a:ext>
                      </a:extLst>
                    </a:blip>
                    <a:stretch>
                      <a:fillRect/>
                    </a:stretch>
                  </pic:blipFill>
                  <pic:spPr>
                    <a:xfrm>
                      <a:off x="0" y="0"/>
                      <a:ext cx="2268237" cy="1258457"/>
                    </a:xfrm>
                    <a:prstGeom prst="rect">
                      <a:avLst/>
                    </a:prstGeom>
                  </pic:spPr>
                </pic:pic>
              </a:graphicData>
            </a:graphic>
          </wp:inline>
        </w:drawing>
      </w:r>
    </w:p>
    <w:p w14:paraId="34DDFED0" w14:textId="7D231C81" w:rsidR="00645106" w:rsidRDefault="00645106" w:rsidP="4D2BD68D"/>
    <w:p w14:paraId="64388DEC" w14:textId="7BF6B83F" w:rsidR="00645106" w:rsidRDefault="00645106" w:rsidP="4D2BD68D"/>
    <w:p w14:paraId="030F983F" w14:textId="1F635CD4" w:rsidR="00645106" w:rsidRDefault="00645106" w:rsidP="4D2BD68D"/>
    <w:p w14:paraId="5534A79D" w14:textId="5FD0D9AE" w:rsidR="00645106" w:rsidRDefault="00645106" w:rsidP="4D2BD68D"/>
    <w:p w14:paraId="7EFB3750" w14:textId="33FFA275" w:rsidR="00645106" w:rsidRDefault="00645106" w:rsidP="4D2BD68D"/>
    <w:p w14:paraId="22A08D41" w14:textId="7F09B970" w:rsidR="00645106" w:rsidRDefault="00645106" w:rsidP="4D2BD68D"/>
    <w:p w14:paraId="6D9CE294" w14:textId="134DFE22" w:rsidR="3F928F83" w:rsidRDefault="3F928F83" w:rsidP="4D2BD68D">
      <w:pPr>
        <w:pStyle w:val="Heading1"/>
        <w:rPr>
          <w:color w:val="000000" w:themeColor="text1"/>
          <w:sz w:val="28"/>
          <w:szCs w:val="28"/>
        </w:rPr>
      </w:pPr>
      <w:r w:rsidRPr="4D2BD68D">
        <w:rPr>
          <w:color w:val="000000" w:themeColor="text1"/>
          <w:sz w:val="28"/>
          <w:szCs w:val="28"/>
        </w:rPr>
        <w:t xml:space="preserve">                   </w:t>
      </w:r>
      <w:r w:rsidR="652AB541" w:rsidRPr="4D2BD68D">
        <w:rPr>
          <w:color w:val="000000" w:themeColor="text1"/>
          <w:sz w:val="28"/>
          <w:szCs w:val="28"/>
        </w:rPr>
        <w:t>BSC(HON) Health and Social Care</w:t>
      </w:r>
    </w:p>
    <w:p w14:paraId="24B966D7" w14:textId="4218C83F" w:rsidR="652AB541" w:rsidRDefault="652AB541" w:rsidP="4D2BD68D">
      <w:pPr>
        <w:pStyle w:val="Heading1"/>
        <w:rPr>
          <w:color w:val="000000" w:themeColor="text1"/>
          <w:sz w:val="28"/>
          <w:szCs w:val="28"/>
        </w:rPr>
      </w:pPr>
      <w:r w:rsidRPr="4D2BD68D">
        <w:rPr>
          <w:color w:val="000000" w:themeColor="text1"/>
          <w:sz w:val="28"/>
          <w:szCs w:val="28"/>
        </w:rPr>
        <w:t xml:space="preserve">           Changemakers – Creativity and Value Creation</w:t>
      </w:r>
    </w:p>
    <w:p w14:paraId="06B637B7" w14:textId="2347EA44" w:rsidR="4D2BD68D" w:rsidRDefault="4D2BD68D" w:rsidP="4D2BD68D">
      <w:pPr>
        <w:pBdr>
          <w:top w:val="nil"/>
          <w:left w:val="nil"/>
          <w:bottom w:val="nil"/>
          <w:right w:val="nil"/>
          <w:between w:val="nil"/>
        </w:pBdr>
        <w:spacing w:before="225" w:after="225"/>
        <w:rPr>
          <w:b/>
          <w:bCs/>
          <w:color w:val="000000" w:themeColor="text1"/>
          <w:sz w:val="28"/>
          <w:szCs w:val="28"/>
        </w:rPr>
      </w:pPr>
    </w:p>
    <w:p w14:paraId="05AD3944" w14:textId="0F512036" w:rsidR="652AB541" w:rsidRDefault="652AB541" w:rsidP="4D2BD68D">
      <w:pPr>
        <w:widowControl/>
        <w:spacing w:beforeAutospacing="1" w:afterAutospacing="1"/>
        <w:rPr>
          <w:color w:val="000000" w:themeColor="text1"/>
          <w:sz w:val="24"/>
          <w:szCs w:val="24"/>
        </w:rPr>
      </w:pPr>
      <w:r w:rsidRPr="4D2BD68D">
        <w:rPr>
          <w:rStyle w:val="Strong"/>
          <w:b w:val="0"/>
          <w:bCs w:val="0"/>
          <w:color w:val="000000" w:themeColor="text1"/>
          <w:sz w:val="24"/>
          <w:szCs w:val="24"/>
        </w:rPr>
        <w:t>Student Name:</w:t>
      </w:r>
      <w:r w:rsidRPr="4D2BD68D">
        <w:rPr>
          <w:color w:val="000000" w:themeColor="text1"/>
          <w:sz w:val="24"/>
          <w:szCs w:val="24"/>
        </w:rPr>
        <w:t xml:space="preserve"> Ferdoushi Rahman Monju</w:t>
      </w:r>
    </w:p>
    <w:p w14:paraId="701729FD" w14:textId="3EDF4025" w:rsidR="652AB541" w:rsidRDefault="652AB541" w:rsidP="4D2BD68D">
      <w:pPr>
        <w:widowControl/>
        <w:spacing w:beforeAutospacing="1" w:afterAutospacing="1"/>
        <w:rPr>
          <w:color w:val="000000" w:themeColor="text1"/>
          <w:sz w:val="24"/>
          <w:szCs w:val="24"/>
        </w:rPr>
      </w:pPr>
      <w:r w:rsidRPr="4D2BD68D">
        <w:rPr>
          <w:rStyle w:val="Strong"/>
          <w:b w:val="0"/>
          <w:bCs w:val="0"/>
          <w:color w:val="000000" w:themeColor="text1"/>
          <w:sz w:val="24"/>
          <w:szCs w:val="24"/>
        </w:rPr>
        <w:t>Student Number:</w:t>
      </w:r>
      <w:r w:rsidRPr="4D2BD68D">
        <w:rPr>
          <w:color w:val="000000" w:themeColor="text1"/>
          <w:sz w:val="24"/>
          <w:szCs w:val="24"/>
        </w:rPr>
        <w:t xml:space="preserve"> 2430137</w:t>
      </w:r>
    </w:p>
    <w:p w14:paraId="3C4D88B8" w14:textId="60B25361" w:rsidR="652AB541" w:rsidRDefault="652AB541" w:rsidP="4D2BD68D">
      <w:pPr>
        <w:widowControl/>
        <w:spacing w:beforeAutospacing="1" w:afterAutospacing="1"/>
        <w:rPr>
          <w:color w:val="000000" w:themeColor="text1"/>
          <w:sz w:val="24"/>
          <w:szCs w:val="24"/>
        </w:rPr>
      </w:pPr>
      <w:r w:rsidRPr="4D2BD68D">
        <w:rPr>
          <w:rStyle w:val="Strong"/>
          <w:b w:val="0"/>
          <w:bCs w:val="0"/>
          <w:color w:val="000000" w:themeColor="text1"/>
          <w:sz w:val="24"/>
          <w:szCs w:val="24"/>
        </w:rPr>
        <w:t>Module Code:</w:t>
      </w:r>
      <w:r w:rsidRPr="4D2BD68D">
        <w:rPr>
          <w:color w:val="000000" w:themeColor="text1"/>
          <w:sz w:val="24"/>
          <w:szCs w:val="24"/>
        </w:rPr>
        <w:t xml:space="preserve"> BMHP5014</w:t>
      </w:r>
    </w:p>
    <w:p w14:paraId="283C49CF" w14:textId="70AF2764" w:rsidR="652AB541" w:rsidRDefault="652AB541" w:rsidP="4D2BD68D">
      <w:pPr>
        <w:widowControl/>
        <w:spacing w:beforeAutospacing="1" w:afterAutospacing="1"/>
        <w:rPr>
          <w:color w:val="000000" w:themeColor="text1"/>
          <w:sz w:val="24"/>
          <w:szCs w:val="24"/>
        </w:rPr>
      </w:pPr>
      <w:r w:rsidRPr="4D2BD68D">
        <w:rPr>
          <w:rStyle w:val="Strong"/>
          <w:b w:val="0"/>
          <w:bCs w:val="0"/>
          <w:color w:val="000000" w:themeColor="text1"/>
          <w:sz w:val="24"/>
          <w:szCs w:val="24"/>
        </w:rPr>
        <w:t>Module Title:</w:t>
      </w:r>
      <w:r w:rsidRPr="4D2BD68D">
        <w:rPr>
          <w:color w:val="000000" w:themeColor="text1"/>
          <w:sz w:val="24"/>
          <w:szCs w:val="24"/>
        </w:rPr>
        <w:t xml:space="preserve"> Changemakers: Creativity and Value Creation</w:t>
      </w:r>
    </w:p>
    <w:p w14:paraId="7E4DE1F2" w14:textId="5D5B634F" w:rsidR="652AB541" w:rsidRDefault="652AB541" w:rsidP="4D2BD68D">
      <w:pPr>
        <w:widowControl/>
        <w:spacing w:beforeAutospacing="1" w:afterAutospacing="1"/>
        <w:rPr>
          <w:color w:val="000000" w:themeColor="text1"/>
          <w:sz w:val="24"/>
          <w:szCs w:val="24"/>
        </w:rPr>
      </w:pPr>
      <w:r w:rsidRPr="4D2BD68D">
        <w:rPr>
          <w:rStyle w:val="Strong"/>
          <w:b w:val="0"/>
          <w:bCs w:val="0"/>
          <w:color w:val="000000" w:themeColor="text1"/>
          <w:sz w:val="24"/>
          <w:szCs w:val="24"/>
        </w:rPr>
        <w:t>Lecturer</w:t>
      </w:r>
      <w:r w:rsidRPr="4D2BD68D">
        <w:rPr>
          <w:color w:val="000000" w:themeColor="text1"/>
          <w:sz w:val="24"/>
          <w:szCs w:val="24"/>
        </w:rPr>
        <w:t xml:space="preserve"> </w:t>
      </w:r>
      <w:r w:rsidRPr="4D2BD68D">
        <w:rPr>
          <w:rStyle w:val="Strong"/>
          <w:b w:val="0"/>
          <w:bCs w:val="0"/>
          <w:color w:val="000000" w:themeColor="text1"/>
          <w:sz w:val="24"/>
          <w:szCs w:val="24"/>
        </w:rPr>
        <w:t>Name: Dr Soban Sadiq</w:t>
      </w:r>
    </w:p>
    <w:p w14:paraId="17F7FC82" w14:textId="075CF5C7" w:rsidR="2D522BCB" w:rsidRDefault="272E1F69" w:rsidP="4D2BD68D">
      <w:pPr>
        <w:pStyle w:val="Heading2"/>
        <w:rPr>
          <w:b w:val="0"/>
          <w:bCs w:val="0"/>
          <w:color w:val="000000" w:themeColor="text1"/>
          <w:sz w:val="24"/>
          <w:szCs w:val="24"/>
        </w:rPr>
      </w:pPr>
      <w:r w:rsidRPr="16D54C8F">
        <w:rPr>
          <w:b w:val="0"/>
          <w:bCs w:val="0"/>
          <w:color w:val="000000" w:themeColor="text1"/>
          <w:sz w:val="24"/>
          <w:szCs w:val="24"/>
        </w:rPr>
        <w:t>Assignment: Component 2</w:t>
      </w:r>
      <w:r w:rsidR="21C029C0" w:rsidRPr="16D54C8F">
        <w:rPr>
          <w:b w:val="0"/>
          <w:bCs w:val="0"/>
          <w:color w:val="000000" w:themeColor="text1"/>
          <w:sz w:val="24"/>
          <w:szCs w:val="24"/>
        </w:rPr>
        <w:t xml:space="preserve"> (Report)</w:t>
      </w:r>
    </w:p>
    <w:p w14:paraId="53B31D89" w14:textId="5AA79ED7" w:rsidR="4D2BD68D" w:rsidRDefault="4D2BD68D" w:rsidP="4D2BD68D">
      <w:pPr>
        <w:rPr>
          <w:sz w:val="24"/>
          <w:szCs w:val="24"/>
        </w:rPr>
      </w:pPr>
    </w:p>
    <w:p w14:paraId="013FAC6B" w14:textId="2788CCF9" w:rsidR="00645106" w:rsidRDefault="00645106" w:rsidP="001E55B6">
      <w:pPr>
        <w:pStyle w:val="Heading1"/>
        <w:spacing w:before="0" w:after="120" w:line="275" w:lineRule="auto"/>
        <w:jc w:val="both"/>
        <w:rPr>
          <w:color w:val="1F1F1F"/>
          <w:sz w:val="24"/>
          <w:szCs w:val="24"/>
        </w:rPr>
      </w:pPr>
    </w:p>
    <w:p w14:paraId="09C87BDF" w14:textId="77777777" w:rsidR="00645106" w:rsidRDefault="00645106" w:rsidP="001E55B6">
      <w:pPr>
        <w:pStyle w:val="Heading1"/>
        <w:spacing w:before="0" w:after="120" w:line="275" w:lineRule="auto"/>
        <w:jc w:val="both"/>
        <w:rPr>
          <w:rFonts w:ascii="Times New Roman" w:eastAsia="Google Sans" w:hAnsi="Times New Roman" w:cs="Times New Roman"/>
          <w:color w:val="1F1F1F"/>
          <w:sz w:val="24"/>
          <w:szCs w:val="24"/>
        </w:rPr>
      </w:pPr>
    </w:p>
    <w:p w14:paraId="48B008FB" w14:textId="77777777" w:rsidR="00645106" w:rsidRDefault="00645106" w:rsidP="001E55B6">
      <w:pPr>
        <w:pStyle w:val="Heading1"/>
        <w:spacing w:before="0" w:after="120" w:line="275" w:lineRule="auto"/>
        <w:jc w:val="both"/>
        <w:rPr>
          <w:rFonts w:ascii="Times New Roman" w:eastAsia="Google Sans" w:hAnsi="Times New Roman" w:cs="Times New Roman"/>
          <w:color w:val="1F1F1F"/>
          <w:sz w:val="24"/>
          <w:szCs w:val="24"/>
        </w:rPr>
      </w:pPr>
    </w:p>
    <w:p w14:paraId="7C1F6458" w14:textId="77777777" w:rsidR="00645106" w:rsidRDefault="00645106" w:rsidP="001E55B6">
      <w:pPr>
        <w:pStyle w:val="Heading1"/>
        <w:spacing w:before="0" w:after="120" w:line="275" w:lineRule="auto"/>
        <w:jc w:val="both"/>
        <w:rPr>
          <w:rFonts w:ascii="Times New Roman" w:eastAsia="Google Sans" w:hAnsi="Times New Roman" w:cs="Times New Roman"/>
          <w:color w:val="1F1F1F"/>
          <w:sz w:val="24"/>
          <w:szCs w:val="24"/>
        </w:rPr>
      </w:pPr>
    </w:p>
    <w:p w14:paraId="00000001" w14:textId="1817A27D" w:rsidR="0079487D" w:rsidRPr="001E55B6" w:rsidRDefault="001E55B6" w:rsidP="00913A46">
      <w:pPr>
        <w:pStyle w:val="Heading1"/>
        <w:spacing w:before="0" w:after="120" w:line="275" w:lineRule="auto"/>
        <w:jc w:val="both"/>
      </w:pPr>
      <w:r>
        <w:rPr>
          <w:noProof/>
        </w:rPr>
        <w:lastRenderedPageBreak/>
        <w:drawing>
          <wp:inline distT="0" distB="0" distL="0" distR="0" wp14:anchorId="1CDD8DD9" wp14:editId="28D6DB30">
            <wp:extent cx="6057900" cy="8775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6058374" cy="8776386"/>
                    </a:xfrm>
                    <a:prstGeom prst="rect">
                      <a:avLst/>
                    </a:prstGeom>
                  </pic:spPr>
                </pic:pic>
              </a:graphicData>
            </a:graphic>
          </wp:inline>
        </w:drawing>
      </w:r>
      <w:r w:rsidR="2E6827F0" w:rsidRPr="4D2BD68D">
        <w:rPr>
          <w:color w:val="1F1F1F"/>
          <w:sz w:val="28"/>
          <w:szCs w:val="28"/>
        </w:rPr>
        <w:t xml:space="preserve">     </w:t>
      </w:r>
      <w:r w:rsidR="2E6827F0" w:rsidRPr="4D2BD68D">
        <w:rPr>
          <w:color w:val="1F1F1F"/>
          <w:sz w:val="28"/>
          <w:szCs w:val="28"/>
        </w:rPr>
        <w:lastRenderedPageBreak/>
        <w:t xml:space="preserve"> </w:t>
      </w:r>
      <w:r w:rsidR="00913A46">
        <w:rPr>
          <w:color w:val="1F1F1F"/>
          <w:sz w:val="28"/>
          <w:szCs w:val="28"/>
        </w:rPr>
        <w:t xml:space="preserve">                                        </w:t>
      </w:r>
      <w:r w:rsidRPr="4D2BD68D">
        <w:rPr>
          <w:color w:val="1F1F1F"/>
          <w:sz w:val="28"/>
          <w:szCs w:val="28"/>
        </w:rPr>
        <w:t>Written Pitch</w:t>
      </w:r>
    </w:p>
    <w:p w14:paraId="3CBDEFED" w14:textId="095E7525" w:rsidR="4D2BD68D" w:rsidRDefault="4D2BD68D" w:rsidP="4D2BD68D"/>
    <w:p w14:paraId="00000002" w14:textId="77777777"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b/>
          <w:color w:val="1F1F1F"/>
          <w:sz w:val="24"/>
          <w:szCs w:val="24"/>
        </w:rPr>
        <w:t>Title:</w:t>
      </w:r>
      <w:r w:rsidRPr="4D2BD68D">
        <w:rPr>
          <w:color w:val="1F1F1F"/>
          <w:sz w:val="24"/>
          <w:szCs w:val="24"/>
        </w:rPr>
        <w:t xml:space="preserve"> CarerRelay: A Digital Mental Wellbeing &amp; Peer-Support Ecosystem for Unpaid Carers</w:t>
      </w:r>
    </w:p>
    <w:p w14:paraId="00000003" w14:textId="77777777"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b/>
          <w:color w:val="1F1F1F"/>
          <w:sz w:val="24"/>
          <w:szCs w:val="24"/>
        </w:rPr>
        <w:t>Module:</w:t>
      </w:r>
      <w:r w:rsidRPr="4D2BD68D">
        <w:rPr>
          <w:color w:val="1F1F1F"/>
          <w:sz w:val="24"/>
          <w:szCs w:val="24"/>
        </w:rPr>
        <w:t xml:space="preserve"> Innovation and Enterprise in Health and Social Care (HSC5002)</w:t>
      </w:r>
    </w:p>
    <w:p w14:paraId="00000004" w14:textId="77777777"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b/>
          <w:color w:val="1F1F1F"/>
          <w:sz w:val="24"/>
          <w:szCs w:val="24"/>
        </w:rPr>
        <w:t>Target Audience:</w:t>
      </w:r>
      <w:r w:rsidRPr="4D2BD68D">
        <w:rPr>
          <w:color w:val="1F1F1F"/>
          <w:sz w:val="24"/>
          <w:szCs w:val="24"/>
        </w:rPr>
        <w:t xml:space="preserve"> NHS Integrated Care Board (ICB) Commissioners &amp; Social Care Strategy Leaders</w:t>
      </w:r>
    </w:p>
    <w:p w14:paraId="00000005" w14:textId="1186D4FA" w:rsidR="0079487D" w:rsidRPr="001E55B6" w:rsidRDefault="001E55B6" w:rsidP="001E55B6">
      <w:pPr>
        <w:pStyle w:val="Heading3"/>
        <w:spacing w:before="0" w:after="120" w:line="275" w:lineRule="auto"/>
        <w:jc w:val="both"/>
        <w:rPr>
          <w:color w:val="1F1F1F"/>
        </w:rPr>
      </w:pPr>
      <w:r w:rsidRPr="4D2BD68D">
        <w:rPr>
          <w:color w:val="1F1F1F"/>
        </w:rPr>
        <w:t>Introduction</w:t>
      </w:r>
    </w:p>
    <w:p w14:paraId="00000006" w14:textId="64342198"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Unpaid family carers form the essential backbone of health and social care provision across the United Kingdom</w:t>
      </w:r>
      <w:r w:rsidR="00913A46">
        <w:rPr>
          <w:color w:val="1F1F1F"/>
          <w:sz w:val="24"/>
          <w:szCs w:val="24"/>
        </w:rPr>
        <w:t>. Yet, their</w:t>
      </w:r>
      <w:r w:rsidRPr="4D2BD68D">
        <w:rPr>
          <w:color w:val="1F1F1F"/>
          <w:sz w:val="24"/>
          <w:szCs w:val="24"/>
        </w:rPr>
        <w:t xml:space="preserve"> critical contribution is frequently accompanied by severe psychological distress and social isolation (DHSC, 2021). This pitch presents CarerRelay, an innovative digital health platform designed to address the profound gap in timely, </w:t>
      </w:r>
      <w:proofErr w:type="spellStart"/>
      <w:r w:rsidR="00913A46">
        <w:rPr>
          <w:color w:val="1F1F1F"/>
          <w:sz w:val="24"/>
          <w:szCs w:val="24"/>
        </w:rPr>
        <w:t>specialised</w:t>
      </w:r>
      <w:proofErr w:type="spellEnd"/>
      <w:r w:rsidRPr="4D2BD68D">
        <w:rPr>
          <w:color w:val="1F1F1F"/>
          <w:sz w:val="24"/>
          <w:szCs w:val="24"/>
        </w:rPr>
        <w:t xml:space="preserve"> mental health support for informal caregivers. By combining context-aware peer matching with asynchronous cognitive </w:t>
      </w:r>
      <w:proofErr w:type="spellStart"/>
      <w:r w:rsidR="00913A46">
        <w:rPr>
          <w:color w:val="1F1F1F"/>
          <w:sz w:val="24"/>
          <w:szCs w:val="24"/>
        </w:rPr>
        <w:t>behavioural</w:t>
      </w:r>
      <w:proofErr w:type="spellEnd"/>
      <w:r w:rsidRPr="4D2BD68D">
        <w:rPr>
          <w:color w:val="1F1F1F"/>
          <w:sz w:val="24"/>
          <w:szCs w:val="24"/>
        </w:rPr>
        <w:t xml:space="preserve"> therapy (CBT) modules and automated clinical risk triage, CarerRelay intervenes before stress escalates into acute psychiatric breakdown. The initiative benefits informal carers across diverse settings, preserving their health, dignity, and autonomy while relieving systemic pressure on emergency healthcare services and institutional care placements (Carers UK, 2022).</w:t>
      </w:r>
    </w:p>
    <w:p w14:paraId="00000007" w14:textId="6D054FAB" w:rsidR="0079487D" w:rsidRPr="001E55B6" w:rsidRDefault="001E55B6" w:rsidP="001E55B6">
      <w:pPr>
        <w:pStyle w:val="Heading3"/>
        <w:spacing w:before="0" w:after="120" w:line="275" w:lineRule="auto"/>
        <w:jc w:val="both"/>
        <w:rPr>
          <w:color w:val="1F1F1F"/>
        </w:rPr>
      </w:pPr>
      <w:r w:rsidRPr="4D2BD68D">
        <w:rPr>
          <w:color w:val="1F1F1F"/>
        </w:rPr>
        <w:t>Background</w:t>
      </w:r>
    </w:p>
    <w:p w14:paraId="00000008" w14:textId="2D7146A4"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 xml:space="preserve">The UK health and social care sector faces unprecedented structural strain, </w:t>
      </w:r>
      <w:proofErr w:type="spellStart"/>
      <w:r w:rsidR="00913A46">
        <w:rPr>
          <w:color w:val="1F1F1F"/>
          <w:sz w:val="24"/>
          <w:szCs w:val="24"/>
        </w:rPr>
        <w:t>characterised</w:t>
      </w:r>
      <w:proofErr w:type="spellEnd"/>
      <w:r w:rsidRPr="4D2BD68D">
        <w:rPr>
          <w:color w:val="1F1F1F"/>
          <w:sz w:val="24"/>
          <w:szCs w:val="24"/>
        </w:rPr>
        <w:t xml:space="preserve"> by workforce shortages, expanding waiting lists, and an </w:t>
      </w:r>
      <w:r w:rsidR="00913A46">
        <w:rPr>
          <w:color w:val="1F1F1F"/>
          <w:sz w:val="24"/>
          <w:szCs w:val="24"/>
        </w:rPr>
        <w:t>ageing</w:t>
      </w:r>
      <w:r w:rsidRPr="4D2BD68D">
        <w:rPr>
          <w:color w:val="1F1F1F"/>
          <w:sz w:val="24"/>
          <w:szCs w:val="24"/>
        </w:rPr>
        <w:t xml:space="preserve"> population with complex long-term conditions (Health Foundation, 2023). Informal family caregivers cushion this system from collapse; landmark economic analyses demonstrate that unpaid carers save the UK economy an estimated £132 billion annually—a figure comparable to the entire operational budget of the NHS (Carers UK, 2022).</w:t>
      </w:r>
    </w:p>
    <w:p w14:paraId="2C8D03D2" w14:textId="31972596" w:rsidR="0079487D" w:rsidRPr="001E55B6" w:rsidRDefault="001E55B6" w:rsidP="001E55B6">
      <w:pPr>
        <w:pBdr>
          <w:top w:val="nil"/>
          <w:left w:val="nil"/>
          <w:bottom w:val="nil"/>
          <w:right w:val="nil"/>
          <w:between w:val="nil"/>
        </w:pBdr>
        <w:spacing w:after="187" w:line="275" w:lineRule="auto"/>
        <w:jc w:val="both"/>
      </w:pPr>
      <w:r w:rsidRPr="4D2BD68D">
        <w:rPr>
          <w:color w:val="1F1F1F"/>
          <w:sz w:val="24"/>
          <w:szCs w:val="24"/>
        </w:rPr>
        <w:t xml:space="preserve">However, this systemic reliance comes at a high human cost. Over 60% of informal carers report suffering from chronic anxiety, clinical depression, or physical burnout as a direct result of their caregiving responsibilities (Health Foundation, 2023). While the Care Act 2014 established a statutory duty for local authorities to evaluate and meet carers' support needs, administrative backlogs leave thousands waiting months for formal Carer's Assessments (DHSC, 2021). Furthermore, although the NHS Long Term Plan </w:t>
      </w:r>
      <w:proofErr w:type="spellStart"/>
      <w:r w:rsidR="00913A46">
        <w:rPr>
          <w:color w:val="1F1F1F"/>
          <w:sz w:val="24"/>
          <w:szCs w:val="24"/>
        </w:rPr>
        <w:t>prioritises</w:t>
      </w:r>
      <w:proofErr w:type="spellEnd"/>
      <w:r w:rsidRPr="4D2BD68D">
        <w:rPr>
          <w:color w:val="1F1F1F"/>
          <w:sz w:val="24"/>
          <w:szCs w:val="24"/>
        </w:rPr>
        <w:t xml:space="preserve"> early intervention and community-focused preventative care, accessible mental health support tailored specifically to caregiving pressures remains severely fragmented (NHS England, 2019). Unaddressed caregiver burnout triggers secondary health crises, resulting in emergency hospital visits for care recipients and</w:t>
      </w:r>
      <w:r w:rsidRPr="001E55B6">
        <w:rPr>
          <w:rFonts w:ascii="Times New Roman" w:eastAsia="Google Sans" w:hAnsi="Times New Roman" w:cs="Times New Roman"/>
          <w:color w:val="1F1F1F"/>
          <w:sz w:val="24"/>
          <w:szCs w:val="24"/>
        </w:rPr>
        <w:t xml:space="preserve"> </w:t>
      </w:r>
      <w:r w:rsidRPr="4D2BD68D">
        <w:rPr>
          <w:color w:val="1F1F1F"/>
          <w:sz w:val="24"/>
          <w:szCs w:val="24"/>
        </w:rPr>
        <w:t xml:space="preserve">premature residential placements. CarerRelay directly addresses this evidence-backed crisis by delivering </w:t>
      </w:r>
      <w:r w:rsidRPr="4D2BD68D">
        <w:rPr>
          <w:color w:val="1F1F1F"/>
          <w:sz w:val="24"/>
          <w:szCs w:val="24"/>
        </w:rPr>
        <w:lastRenderedPageBreak/>
        <w:t>immediate, community-anchored, and preventative support at the point of need.</w:t>
      </w:r>
    </w:p>
    <w:p w14:paraId="0000000A" w14:textId="5B40E6DF" w:rsidR="0079487D" w:rsidRPr="001E55B6" w:rsidRDefault="001E55B6" w:rsidP="4D2BD68D">
      <w:pPr>
        <w:pBdr>
          <w:top w:val="nil"/>
          <w:left w:val="nil"/>
          <w:bottom w:val="nil"/>
          <w:right w:val="nil"/>
          <w:between w:val="nil"/>
        </w:pBdr>
        <w:spacing w:after="187" w:line="275" w:lineRule="auto"/>
        <w:jc w:val="both"/>
        <w:rPr>
          <w:b/>
          <w:color w:val="1F1F1F"/>
          <w:sz w:val="28"/>
          <w:szCs w:val="28"/>
        </w:rPr>
      </w:pPr>
      <w:r w:rsidRPr="4D2BD68D">
        <w:rPr>
          <w:b/>
          <w:color w:val="1F1F1F"/>
          <w:sz w:val="28"/>
          <w:szCs w:val="28"/>
        </w:rPr>
        <w:t>Innovation Description</w:t>
      </w:r>
    </w:p>
    <w:p w14:paraId="0000000B" w14:textId="77777777"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CarerRelay is a dedicated digital health ecosystem operating across mobile and web interfaces to connect informal carers with structured psychological support and peer networks. What distinguishes CarerRelay from generic wellness applications is its context-aware algorithmic matching system and integrated clinical safety net.</w:t>
      </w:r>
    </w:p>
    <w:p w14:paraId="0000000C" w14:textId="2BFF5E70"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 xml:space="preserve">Rather than pairing users randomly, the platform </w:t>
      </w:r>
      <w:proofErr w:type="spellStart"/>
      <w:r w:rsidR="00913A46">
        <w:rPr>
          <w:color w:val="1F1F1F"/>
          <w:sz w:val="24"/>
          <w:szCs w:val="24"/>
        </w:rPr>
        <w:t>utilises</w:t>
      </w:r>
      <w:proofErr w:type="spellEnd"/>
      <w:r w:rsidR="00913A46">
        <w:rPr>
          <w:color w:val="1F1F1F"/>
          <w:sz w:val="24"/>
          <w:szCs w:val="24"/>
        </w:rPr>
        <w:t xml:space="preserve"> </w:t>
      </w:r>
      <w:proofErr w:type="spellStart"/>
      <w:r w:rsidR="00913A46">
        <w:rPr>
          <w:color w:val="1F1F1F"/>
          <w:sz w:val="24"/>
          <w:szCs w:val="24"/>
        </w:rPr>
        <w:t>anonymised</w:t>
      </w:r>
      <w:proofErr w:type="spellEnd"/>
      <w:r w:rsidRPr="4D2BD68D">
        <w:rPr>
          <w:color w:val="1F1F1F"/>
          <w:sz w:val="24"/>
          <w:szCs w:val="24"/>
        </w:rPr>
        <w:t xml:space="preserve"> criteria to connect carers based on specific lived realities—such as caring for a partner with young-onset dementia, supporting a child with severe physical disabilities, or managing end-of-life palliative care. This precise peer matching dismantles the intense isolation experienced by carers by establishing authentic, mutually supportive communities (Carers UK, 2022).</w:t>
      </w:r>
    </w:p>
    <w:p w14:paraId="0000000D" w14:textId="54835497"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 xml:space="preserve">In addition to peer connectivity, the platform offers self-paced, psychoeducational modules based on evidence-based Cognitive </w:t>
      </w:r>
      <w:proofErr w:type="spellStart"/>
      <w:r w:rsidR="00913A46">
        <w:rPr>
          <w:color w:val="1F1F1F"/>
          <w:sz w:val="24"/>
          <w:szCs w:val="24"/>
        </w:rPr>
        <w:t>Behavioural</w:t>
      </w:r>
      <w:proofErr w:type="spellEnd"/>
      <w:r w:rsidRPr="4D2BD68D">
        <w:rPr>
          <w:color w:val="1F1F1F"/>
          <w:sz w:val="24"/>
          <w:szCs w:val="24"/>
        </w:rPr>
        <w:t xml:space="preserve"> Therapy (CBT), tailored to common caregiving challenges such as anticipatory grief, sleep disturbance, and emotional fatigue. Crucially, the system incorporates continuous algorithmic monitoring for distress keywords and escalation markers. If a user demonstrates acute psychological distress, the platform automatically triggers clinical triage, connecting the user directly to supervised NHS mental health nurses or community link workers (NMC, 2018; NICE, 2021). This hybrid design combines peer empathy with rigorous clinical safety, offering an efficient, scalable, and secure support ecosystem.</w:t>
      </w:r>
    </w:p>
    <w:p w14:paraId="0000000E" w14:textId="63E5D792" w:rsidR="0079487D" w:rsidRPr="001E55B6" w:rsidRDefault="001E55B6" w:rsidP="001E55B6">
      <w:pPr>
        <w:pStyle w:val="Heading3"/>
        <w:spacing w:before="0" w:after="120" w:line="275" w:lineRule="auto"/>
        <w:jc w:val="both"/>
        <w:rPr>
          <w:color w:val="1F1F1F"/>
        </w:rPr>
      </w:pPr>
      <w:r w:rsidRPr="4D2BD68D">
        <w:rPr>
          <w:color w:val="1F1F1F"/>
        </w:rPr>
        <w:t>Impact on Health and Social Care</w:t>
      </w:r>
    </w:p>
    <w:p w14:paraId="0000000F" w14:textId="5CC72932"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 xml:space="preserve">CarerRelay delivers substantial multi-level benefits across the health and social care sector, directly advancing social equity and the common good. The concept of the common good dictates that societal structures must enable all individuals, particularly the most vulnerable, to flourish with dignity (DHSC, 2021). </w:t>
      </w:r>
      <w:proofErr w:type="spellStart"/>
      <w:r w:rsidRPr="4D2BD68D">
        <w:rPr>
          <w:color w:val="1F1F1F"/>
          <w:sz w:val="24"/>
          <w:szCs w:val="24"/>
        </w:rPr>
        <w:t>CarerRelay</w:t>
      </w:r>
      <w:proofErr w:type="spellEnd"/>
      <w:r w:rsidRPr="4D2BD68D">
        <w:rPr>
          <w:color w:val="1F1F1F"/>
          <w:sz w:val="24"/>
          <w:szCs w:val="24"/>
        </w:rPr>
        <w:t xml:space="preserve"> </w:t>
      </w:r>
      <w:proofErr w:type="spellStart"/>
      <w:r w:rsidR="00913A46">
        <w:rPr>
          <w:color w:val="1F1F1F"/>
          <w:sz w:val="24"/>
          <w:szCs w:val="24"/>
        </w:rPr>
        <w:t>operationalises</w:t>
      </w:r>
      <w:proofErr w:type="spellEnd"/>
      <w:r w:rsidRPr="4D2BD68D">
        <w:rPr>
          <w:color w:val="1F1F1F"/>
          <w:sz w:val="24"/>
          <w:szCs w:val="24"/>
        </w:rPr>
        <w:t xml:space="preserve"> this by offering targeted outreach to historically underserved demographics, including Black, Asian, and Minority Ethnic (BAME) carers, young adult carers, and economically disadvantaged families who frequently encounter cultural stigma or structural barriers when accessing traditional mental health services (Equality Act 2010).</w:t>
      </w:r>
    </w:p>
    <w:p w14:paraId="00000010" w14:textId="77777777"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From a service delivery perspective, early digital intervention mitigates stress-induced psychiatric and physical illness among carers. Keeping carers healthy enables them to continue supporting their loved ones safely within their homes. For NHS Integrated Care Systems (ICSs), this proactive approach serves as a powerful demand-management tool, significantly reducing non-elective emergency GP visits, crisis team interventions, and costly long-term care placements (NHS England, 2019).</w:t>
      </w:r>
    </w:p>
    <w:p w14:paraId="664CEF68" w14:textId="5D2313E0" w:rsidR="0079487D" w:rsidRPr="001E55B6" w:rsidRDefault="001E55B6" w:rsidP="001E55B6">
      <w:pPr>
        <w:pBdr>
          <w:top w:val="nil"/>
          <w:left w:val="nil"/>
          <w:bottom w:val="nil"/>
          <w:right w:val="nil"/>
          <w:between w:val="nil"/>
        </w:pBdr>
        <w:spacing w:after="187" w:line="275" w:lineRule="auto"/>
        <w:jc w:val="both"/>
      </w:pPr>
      <w:r w:rsidRPr="4D2BD68D">
        <w:rPr>
          <w:color w:val="1F1F1F"/>
          <w:sz w:val="24"/>
          <w:szCs w:val="24"/>
        </w:rPr>
        <w:t xml:space="preserve">Furthermore, the innovation empowers frontline professionals. District nurses, primary </w:t>
      </w:r>
      <w:r w:rsidRPr="4D2BD68D">
        <w:rPr>
          <w:color w:val="1F1F1F"/>
          <w:sz w:val="24"/>
          <w:szCs w:val="24"/>
        </w:rPr>
        <w:lastRenderedPageBreak/>
        <w:t xml:space="preserve">care staff, and social workers often </w:t>
      </w:r>
      <w:proofErr w:type="spellStart"/>
      <w:r w:rsidR="00913A46">
        <w:rPr>
          <w:color w:val="1F1F1F"/>
          <w:sz w:val="24"/>
          <w:szCs w:val="24"/>
        </w:rPr>
        <w:t>recognise</w:t>
      </w:r>
      <w:proofErr w:type="spellEnd"/>
      <w:r w:rsidRPr="4D2BD68D">
        <w:rPr>
          <w:color w:val="1F1F1F"/>
          <w:sz w:val="24"/>
          <w:szCs w:val="24"/>
        </w:rPr>
        <w:t xml:space="preserve"> severe caregiver strain during routine visits but lack immediate, non-pharmacological referral pathways. CarerRelay provides clinicians with a trusted, evidence-based social prescription option, fostering a more compassionate, interconnected, and sustainable health care ecosystem.</w:t>
      </w:r>
    </w:p>
    <w:p w14:paraId="00000012" w14:textId="222152F6" w:rsidR="0079487D" w:rsidRPr="001E55B6" w:rsidRDefault="001E55B6" w:rsidP="4D2BD68D">
      <w:pPr>
        <w:pBdr>
          <w:top w:val="nil"/>
          <w:left w:val="nil"/>
          <w:bottom w:val="nil"/>
          <w:right w:val="nil"/>
          <w:between w:val="nil"/>
        </w:pBdr>
        <w:spacing w:after="187" w:line="275" w:lineRule="auto"/>
        <w:jc w:val="both"/>
        <w:rPr>
          <w:b/>
          <w:color w:val="1F1F1F"/>
          <w:sz w:val="28"/>
          <w:szCs w:val="28"/>
        </w:rPr>
      </w:pPr>
      <w:r w:rsidRPr="4D2BD68D">
        <w:rPr>
          <w:b/>
          <w:color w:val="1F1F1F"/>
          <w:sz w:val="28"/>
          <w:szCs w:val="28"/>
        </w:rPr>
        <w:t>Public and Stakeholder Involvement</w:t>
      </w:r>
    </w:p>
    <w:p w14:paraId="00000013" w14:textId="5076DC46"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 xml:space="preserve">To guarantee high user engagement, ethical alignment, and cultural sensitivity, CarerRelay employs a rigorous co-production strategy throughout its lifecycle. From initial inception, unpaid carers, patient advocacy groups, and third-sector </w:t>
      </w:r>
      <w:proofErr w:type="spellStart"/>
      <w:r w:rsidR="00913A46">
        <w:rPr>
          <w:color w:val="1F1F1F"/>
          <w:sz w:val="24"/>
          <w:szCs w:val="24"/>
        </w:rPr>
        <w:t>organisations</w:t>
      </w:r>
      <w:proofErr w:type="spellEnd"/>
      <w:r w:rsidRPr="4D2BD68D">
        <w:rPr>
          <w:color w:val="1F1F1F"/>
          <w:sz w:val="24"/>
          <w:szCs w:val="24"/>
        </w:rPr>
        <w:t xml:space="preserve"> (such as Carers Trust and Mind) serve as active co-design partners. User-experience (UX) focus groups directly shape the application interface to ensure it is intuitive, accessible for older demographics, and compliant with Web Content Accessibility Guidelines (WCAG 2.1). Furthermore, lived-experience advisory panels meet quarterly to review educational content, moderate peer forums, and audit service delivery. By placing service users at the </w:t>
      </w:r>
      <w:proofErr w:type="spellStart"/>
      <w:r w:rsidR="00913A46">
        <w:rPr>
          <w:color w:val="1F1F1F"/>
          <w:sz w:val="24"/>
          <w:szCs w:val="24"/>
        </w:rPr>
        <w:t>centre</w:t>
      </w:r>
      <w:proofErr w:type="spellEnd"/>
      <w:r w:rsidRPr="4D2BD68D">
        <w:rPr>
          <w:color w:val="1F1F1F"/>
          <w:sz w:val="24"/>
          <w:szCs w:val="24"/>
        </w:rPr>
        <w:t xml:space="preserve"> of governance, </w:t>
      </w:r>
      <w:proofErr w:type="spellStart"/>
      <w:r w:rsidRPr="4D2BD68D">
        <w:rPr>
          <w:color w:val="1F1F1F"/>
          <w:sz w:val="24"/>
          <w:szCs w:val="24"/>
        </w:rPr>
        <w:t>CarerRelay</w:t>
      </w:r>
      <w:proofErr w:type="spellEnd"/>
      <w:r w:rsidRPr="4D2BD68D">
        <w:rPr>
          <w:color w:val="1F1F1F"/>
          <w:sz w:val="24"/>
          <w:szCs w:val="24"/>
        </w:rPr>
        <w:t xml:space="preserve"> fosters authentic community ownership, ensures long-term sustainability, and remains responsive to evolving caregiving needs.</w:t>
      </w:r>
    </w:p>
    <w:p w14:paraId="00000014" w14:textId="57F56578" w:rsidR="0079487D" w:rsidRPr="001E55B6" w:rsidRDefault="001E55B6" w:rsidP="001E55B6">
      <w:pPr>
        <w:pStyle w:val="Heading3"/>
        <w:spacing w:before="0" w:after="120" w:line="275" w:lineRule="auto"/>
        <w:jc w:val="both"/>
        <w:rPr>
          <w:color w:val="1F1F1F"/>
        </w:rPr>
      </w:pPr>
      <w:r w:rsidRPr="4D2BD68D">
        <w:rPr>
          <w:color w:val="1F1F1F"/>
        </w:rPr>
        <w:t>Policies, Services, and Professional Links</w:t>
      </w:r>
    </w:p>
    <w:p w14:paraId="00000015" w14:textId="4A34DE4B" w:rsidR="0079487D" w:rsidRPr="001E55B6" w:rsidRDefault="001E55B6" w:rsidP="001E55B6">
      <w:pPr>
        <w:pBdr>
          <w:top w:val="nil"/>
          <w:left w:val="nil"/>
          <w:bottom w:val="nil"/>
          <w:right w:val="nil"/>
          <w:between w:val="nil"/>
        </w:pBdr>
        <w:spacing w:after="187" w:line="275" w:lineRule="auto"/>
        <w:jc w:val="both"/>
        <w:rPr>
          <w:color w:val="1F1F1F"/>
          <w:sz w:val="24"/>
          <w:szCs w:val="24"/>
        </w:rPr>
      </w:pPr>
      <w:r w:rsidRPr="4D2BD68D">
        <w:rPr>
          <w:color w:val="1F1F1F"/>
          <w:sz w:val="24"/>
          <w:szCs w:val="24"/>
        </w:rPr>
        <w:t xml:space="preserve">CarerRelay is strategically aligned with UK statutory legislation, policy directives, and professional practice standards. The platform directly </w:t>
      </w:r>
      <w:r w:rsidR="00913A46">
        <w:rPr>
          <w:color w:val="1F1F1F"/>
          <w:sz w:val="24"/>
          <w:szCs w:val="24"/>
        </w:rPr>
        <w:t>fulfils</w:t>
      </w:r>
      <w:r w:rsidRPr="4D2BD68D">
        <w:rPr>
          <w:color w:val="1F1F1F"/>
          <w:sz w:val="24"/>
          <w:szCs w:val="24"/>
        </w:rPr>
        <w:t xml:space="preserve"> core obligations of the Care Act 2014 by promoting carer wellbeing and offering preventative support </w:t>
      </w:r>
      <w:r w:rsidR="00913A46">
        <w:rPr>
          <w:color w:val="1F1F1F"/>
          <w:sz w:val="24"/>
          <w:szCs w:val="24"/>
        </w:rPr>
        <w:t>before</w:t>
      </w:r>
      <w:r w:rsidRPr="4D2BD68D">
        <w:rPr>
          <w:color w:val="1F1F1F"/>
          <w:sz w:val="24"/>
          <w:szCs w:val="24"/>
        </w:rPr>
        <w:t xml:space="preserve"> acute crisis. It also adheres to the Equality Act 2010 by reducing health inequalities among protected demographic groups.</w:t>
      </w:r>
    </w:p>
    <w:p w14:paraId="4EEC8EB5" w14:textId="0BA3E12E" w:rsidR="0079487D" w:rsidRPr="001E55B6" w:rsidRDefault="00913A46" w:rsidP="001E55B6">
      <w:pPr>
        <w:pBdr>
          <w:top w:val="nil"/>
          <w:left w:val="nil"/>
          <w:bottom w:val="nil"/>
          <w:right w:val="nil"/>
          <w:between w:val="nil"/>
        </w:pBdr>
        <w:spacing w:after="187" w:line="275" w:lineRule="auto"/>
        <w:jc w:val="both"/>
      </w:pPr>
      <w:proofErr w:type="spellStart"/>
      <w:r>
        <w:rPr>
          <w:color w:val="1F1F1F"/>
          <w:sz w:val="24"/>
          <w:szCs w:val="24"/>
        </w:rPr>
        <w:t>Operationalising</w:t>
      </w:r>
      <w:proofErr w:type="spellEnd"/>
      <w:r w:rsidR="001E55B6" w:rsidRPr="4D2BD68D">
        <w:rPr>
          <w:color w:val="1F1F1F"/>
          <w:sz w:val="24"/>
          <w:szCs w:val="24"/>
        </w:rPr>
        <w:t xml:space="preserve"> social prescribing pathways, the app interfaces with primary care networks (PCNs), local authority social care departments, and voluntary sector providers. For registered healthcare professionals, including nurses governed by the Nursing and Midwifery Council (NMC, 2018) and social workers registered with Social Work England, CarerRelay provides an accredited digital tool that reinforces their ethical duty of care, holistic assessment practices, and safeguarding responsibilities.</w:t>
      </w:r>
    </w:p>
    <w:p w14:paraId="0694B4F9" w14:textId="76ADA253" w:rsidR="0079487D" w:rsidRPr="001E55B6"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54B2859B" w14:textId="6D7825E1" w:rsidR="0079487D" w:rsidRPr="001E55B6"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01DC8087" w14:textId="10534007" w:rsidR="0079487D" w:rsidRPr="001E55B6"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64AC4FF8" w14:textId="7A826082" w:rsidR="0079487D" w:rsidRPr="001E55B6"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03DCDBBB" w14:textId="3483E646" w:rsidR="0079487D" w:rsidRPr="001E55B6"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59064D62" w14:textId="72BF09C4" w:rsidR="0079487D" w:rsidRPr="001E55B6"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33780171" w14:textId="7E9D7504" w:rsidR="0079487D" w:rsidRDefault="0079487D"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21AFBD90" w14:textId="77777777" w:rsidR="00913A46" w:rsidRDefault="00913A46"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44B28444" w14:textId="77777777" w:rsidR="00913A46" w:rsidRPr="001E55B6" w:rsidRDefault="00913A46" w:rsidP="4D2BD68D">
      <w:pPr>
        <w:pBdr>
          <w:top w:val="nil"/>
          <w:left w:val="nil"/>
          <w:bottom w:val="nil"/>
          <w:right w:val="nil"/>
          <w:between w:val="nil"/>
        </w:pBdr>
        <w:spacing w:after="187" w:line="275" w:lineRule="auto"/>
        <w:jc w:val="both"/>
        <w:rPr>
          <w:rFonts w:ascii="Times New Roman" w:eastAsia="Google Sans" w:hAnsi="Times New Roman" w:cs="Times New Roman"/>
          <w:color w:val="1F1F1F"/>
          <w:sz w:val="24"/>
          <w:szCs w:val="24"/>
        </w:rPr>
      </w:pPr>
    </w:p>
    <w:p w14:paraId="00000017" w14:textId="24A22872" w:rsidR="0079487D" w:rsidRPr="001E55B6" w:rsidRDefault="001E55B6" w:rsidP="4D2BD68D">
      <w:pPr>
        <w:pBdr>
          <w:top w:val="nil"/>
          <w:left w:val="nil"/>
          <w:bottom w:val="nil"/>
          <w:right w:val="nil"/>
          <w:between w:val="nil"/>
        </w:pBdr>
        <w:spacing w:after="187" w:line="275" w:lineRule="auto"/>
        <w:jc w:val="both"/>
        <w:rPr>
          <w:b/>
          <w:color w:val="1F1F1F"/>
          <w:sz w:val="28"/>
          <w:szCs w:val="28"/>
        </w:rPr>
      </w:pPr>
      <w:r w:rsidRPr="001E55B6">
        <w:rPr>
          <w:rFonts w:ascii="Times New Roman" w:eastAsia="Google Sans" w:hAnsi="Times New Roman" w:cs="Times New Roman"/>
          <w:color w:val="1F1F1F"/>
          <w:sz w:val="24"/>
          <w:szCs w:val="24"/>
        </w:rPr>
        <w:t xml:space="preserve"> </w:t>
      </w:r>
      <w:r w:rsidRPr="4D2BD68D">
        <w:rPr>
          <w:b/>
          <w:color w:val="1F1F1F"/>
          <w:sz w:val="28"/>
          <w:szCs w:val="28"/>
        </w:rPr>
        <w:t>Conclusion</w:t>
      </w:r>
    </w:p>
    <w:p w14:paraId="00000018" w14:textId="6A86DAAE" w:rsidR="0079487D" w:rsidRPr="001E55B6" w:rsidRDefault="001E55B6" w:rsidP="001E55B6">
      <w:pPr>
        <w:pBdr>
          <w:top w:val="nil"/>
          <w:left w:val="nil"/>
          <w:bottom w:val="nil"/>
          <w:right w:val="nil"/>
          <w:between w:val="nil"/>
        </w:pBdr>
        <w:spacing w:after="187" w:line="275" w:lineRule="auto"/>
        <w:jc w:val="both"/>
      </w:pPr>
      <w:r w:rsidRPr="4D2BD68D">
        <w:rPr>
          <w:color w:val="1F1F1F"/>
          <w:sz w:val="24"/>
          <w:szCs w:val="24"/>
        </w:rPr>
        <w:t xml:space="preserve">CarerRelay represents a compassionate, technologically robust, and cost-effective solution to the growing UK caregiving crisis. By combining smart digital peer connectivity with clinical risk oversight, the platform addresses severe carer isolation and mental burnout before system failure occurs. Investing in CarerRelay protects the mental wellbeing of unpaid carers, </w:t>
      </w:r>
      <w:proofErr w:type="spellStart"/>
      <w:r w:rsidR="00913A46">
        <w:rPr>
          <w:color w:val="1F1F1F"/>
          <w:sz w:val="24"/>
          <w:szCs w:val="24"/>
        </w:rPr>
        <w:t>optimises</w:t>
      </w:r>
      <w:proofErr w:type="spellEnd"/>
      <w:r w:rsidRPr="4D2BD68D">
        <w:rPr>
          <w:color w:val="1F1F1F"/>
          <w:sz w:val="24"/>
          <w:szCs w:val="24"/>
        </w:rPr>
        <w:t xml:space="preserve"> health service capacity, upholds human dignity, and strengthens the collective resilience of our social care infrastructure (Carers UK, 2022; DHSC, 2021).</w:t>
      </w:r>
    </w:p>
    <w:p w14:paraId="147FC955" w14:textId="07E9EFAB" w:rsidR="4D2BD68D" w:rsidRDefault="4D2BD68D" w:rsidP="4D2BD68D">
      <w:pPr>
        <w:pBdr>
          <w:top w:val="nil"/>
          <w:left w:val="nil"/>
          <w:bottom w:val="nil"/>
          <w:right w:val="nil"/>
          <w:between w:val="nil"/>
        </w:pBdr>
        <w:spacing w:after="187" w:line="275" w:lineRule="auto"/>
        <w:jc w:val="both"/>
        <w:rPr>
          <w:color w:val="1F1F1F"/>
          <w:sz w:val="24"/>
          <w:szCs w:val="24"/>
        </w:rPr>
      </w:pPr>
    </w:p>
    <w:p w14:paraId="05E07AE1" w14:textId="73A6A126" w:rsidR="4D2BD68D" w:rsidRDefault="4D2BD68D" w:rsidP="4D2BD68D">
      <w:pPr>
        <w:pBdr>
          <w:top w:val="nil"/>
          <w:left w:val="nil"/>
          <w:bottom w:val="nil"/>
          <w:right w:val="nil"/>
          <w:between w:val="nil"/>
        </w:pBdr>
        <w:spacing w:after="187" w:line="275" w:lineRule="auto"/>
        <w:jc w:val="both"/>
        <w:rPr>
          <w:color w:val="1F1F1F"/>
          <w:sz w:val="24"/>
          <w:szCs w:val="24"/>
        </w:rPr>
      </w:pPr>
    </w:p>
    <w:p w14:paraId="67473C24" w14:textId="3ED694BD" w:rsidR="4D2BD68D" w:rsidRDefault="4D2BD68D" w:rsidP="4D2BD68D">
      <w:pPr>
        <w:pBdr>
          <w:top w:val="nil"/>
          <w:left w:val="nil"/>
          <w:bottom w:val="nil"/>
          <w:right w:val="nil"/>
          <w:between w:val="nil"/>
        </w:pBdr>
        <w:spacing w:after="187" w:line="275" w:lineRule="auto"/>
        <w:jc w:val="both"/>
        <w:rPr>
          <w:color w:val="1F1F1F"/>
          <w:sz w:val="24"/>
          <w:szCs w:val="24"/>
        </w:rPr>
      </w:pPr>
    </w:p>
    <w:p w14:paraId="63459B72" w14:textId="1F8097BD" w:rsidR="4D2BD68D" w:rsidRDefault="4D2BD68D" w:rsidP="4D2BD68D">
      <w:pPr>
        <w:pBdr>
          <w:top w:val="nil"/>
          <w:left w:val="nil"/>
          <w:bottom w:val="nil"/>
          <w:right w:val="nil"/>
          <w:between w:val="nil"/>
        </w:pBdr>
        <w:spacing w:after="187" w:line="275" w:lineRule="auto"/>
        <w:jc w:val="both"/>
        <w:rPr>
          <w:color w:val="1F1F1F"/>
          <w:sz w:val="24"/>
          <w:szCs w:val="24"/>
        </w:rPr>
      </w:pPr>
    </w:p>
    <w:p w14:paraId="0C430D8B" w14:textId="1C3E7A30" w:rsidR="4D2BD68D" w:rsidRDefault="4D2BD68D" w:rsidP="4D2BD68D">
      <w:pPr>
        <w:pBdr>
          <w:top w:val="nil"/>
          <w:left w:val="nil"/>
          <w:bottom w:val="nil"/>
          <w:right w:val="nil"/>
          <w:between w:val="nil"/>
        </w:pBdr>
        <w:spacing w:after="187" w:line="275" w:lineRule="auto"/>
        <w:jc w:val="both"/>
        <w:rPr>
          <w:color w:val="1F1F1F"/>
          <w:sz w:val="24"/>
          <w:szCs w:val="24"/>
        </w:rPr>
      </w:pPr>
    </w:p>
    <w:p w14:paraId="076798C4" w14:textId="0D1DDC22" w:rsidR="4D2BD68D" w:rsidRDefault="4D2BD68D" w:rsidP="4D2BD68D">
      <w:pPr>
        <w:pBdr>
          <w:top w:val="nil"/>
          <w:left w:val="nil"/>
          <w:bottom w:val="nil"/>
          <w:right w:val="nil"/>
          <w:between w:val="nil"/>
        </w:pBdr>
        <w:spacing w:after="187" w:line="275" w:lineRule="auto"/>
        <w:jc w:val="both"/>
        <w:rPr>
          <w:color w:val="1F1F1F"/>
          <w:sz w:val="24"/>
          <w:szCs w:val="24"/>
        </w:rPr>
      </w:pPr>
    </w:p>
    <w:p w14:paraId="6EC3519F" w14:textId="03BFF29D" w:rsidR="4D2BD68D" w:rsidRDefault="4D2BD68D" w:rsidP="4D2BD68D">
      <w:pPr>
        <w:pBdr>
          <w:top w:val="nil"/>
          <w:left w:val="nil"/>
          <w:bottom w:val="nil"/>
          <w:right w:val="nil"/>
          <w:between w:val="nil"/>
        </w:pBdr>
        <w:spacing w:after="187" w:line="275" w:lineRule="auto"/>
        <w:jc w:val="both"/>
        <w:rPr>
          <w:color w:val="1F1F1F"/>
          <w:sz w:val="24"/>
          <w:szCs w:val="24"/>
        </w:rPr>
      </w:pPr>
    </w:p>
    <w:p w14:paraId="3725D2B4" w14:textId="05253132" w:rsidR="4D2BD68D" w:rsidRDefault="4D2BD68D" w:rsidP="4D2BD68D">
      <w:pPr>
        <w:pBdr>
          <w:top w:val="nil"/>
          <w:left w:val="nil"/>
          <w:bottom w:val="nil"/>
          <w:right w:val="nil"/>
          <w:between w:val="nil"/>
        </w:pBdr>
        <w:spacing w:after="187" w:line="275" w:lineRule="auto"/>
        <w:jc w:val="both"/>
        <w:rPr>
          <w:color w:val="1F1F1F"/>
          <w:sz w:val="24"/>
          <w:szCs w:val="24"/>
        </w:rPr>
      </w:pPr>
    </w:p>
    <w:p w14:paraId="1C3995B8" w14:textId="20527349" w:rsidR="4D2BD68D" w:rsidRDefault="4D2BD68D" w:rsidP="4D2BD68D">
      <w:pPr>
        <w:pBdr>
          <w:top w:val="nil"/>
          <w:left w:val="nil"/>
          <w:bottom w:val="nil"/>
          <w:right w:val="nil"/>
          <w:between w:val="nil"/>
        </w:pBdr>
        <w:spacing w:after="187" w:line="275" w:lineRule="auto"/>
        <w:jc w:val="both"/>
        <w:rPr>
          <w:color w:val="1F1F1F"/>
          <w:sz w:val="24"/>
          <w:szCs w:val="24"/>
        </w:rPr>
      </w:pPr>
    </w:p>
    <w:p w14:paraId="773A3998" w14:textId="0030EB94" w:rsidR="4D2BD68D" w:rsidRDefault="4D2BD68D" w:rsidP="4D2BD68D">
      <w:pPr>
        <w:pBdr>
          <w:top w:val="nil"/>
          <w:left w:val="nil"/>
          <w:bottom w:val="nil"/>
          <w:right w:val="nil"/>
          <w:between w:val="nil"/>
        </w:pBdr>
        <w:spacing w:after="187" w:line="275" w:lineRule="auto"/>
        <w:jc w:val="both"/>
        <w:rPr>
          <w:color w:val="1F1F1F"/>
          <w:sz w:val="24"/>
          <w:szCs w:val="24"/>
        </w:rPr>
      </w:pPr>
    </w:p>
    <w:p w14:paraId="0D2A9481" w14:textId="3FCF6569" w:rsidR="4D2BD68D" w:rsidRDefault="4D2BD68D" w:rsidP="4D2BD68D">
      <w:pPr>
        <w:pBdr>
          <w:top w:val="nil"/>
          <w:left w:val="nil"/>
          <w:bottom w:val="nil"/>
          <w:right w:val="nil"/>
          <w:between w:val="nil"/>
        </w:pBdr>
        <w:spacing w:after="187" w:line="275" w:lineRule="auto"/>
        <w:jc w:val="both"/>
        <w:rPr>
          <w:color w:val="1F1F1F"/>
          <w:sz w:val="24"/>
          <w:szCs w:val="24"/>
        </w:rPr>
      </w:pPr>
    </w:p>
    <w:p w14:paraId="427AD6F7" w14:textId="22B59160" w:rsidR="4D2BD68D" w:rsidRDefault="4D2BD68D" w:rsidP="4D2BD68D">
      <w:pPr>
        <w:pBdr>
          <w:top w:val="nil"/>
          <w:left w:val="nil"/>
          <w:bottom w:val="nil"/>
          <w:right w:val="nil"/>
          <w:between w:val="nil"/>
        </w:pBdr>
        <w:spacing w:after="187" w:line="275" w:lineRule="auto"/>
        <w:jc w:val="both"/>
        <w:rPr>
          <w:color w:val="1F1F1F"/>
          <w:sz w:val="24"/>
          <w:szCs w:val="24"/>
        </w:rPr>
      </w:pPr>
    </w:p>
    <w:p w14:paraId="20B4681C" w14:textId="7BD867BA" w:rsidR="4D2BD68D" w:rsidRDefault="4D2BD68D" w:rsidP="4D2BD68D">
      <w:pPr>
        <w:pBdr>
          <w:top w:val="nil"/>
          <w:left w:val="nil"/>
          <w:bottom w:val="nil"/>
          <w:right w:val="nil"/>
          <w:between w:val="nil"/>
        </w:pBdr>
        <w:spacing w:after="187" w:line="275" w:lineRule="auto"/>
        <w:jc w:val="both"/>
        <w:rPr>
          <w:color w:val="1F1F1F"/>
          <w:sz w:val="24"/>
          <w:szCs w:val="24"/>
        </w:rPr>
      </w:pPr>
    </w:p>
    <w:p w14:paraId="61A62EB6"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1BF13C9E"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2C2575DE"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6B725A5F"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69198EE2"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450DC51A"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4B23A28B" w14:textId="77777777" w:rsidR="00913A46" w:rsidRDefault="00913A46" w:rsidP="4D2BD68D">
      <w:pPr>
        <w:pBdr>
          <w:top w:val="nil"/>
          <w:left w:val="nil"/>
          <w:bottom w:val="nil"/>
          <w:right w:val="nil"/>
          <w:between w:val="nil"/>
        </w:pBdr>
        <w:spacing w:after="187" w:line="275" w:lineRule="auto"/>
        <w:jc w:val="both"/>
        <w:rPr>
          <w:color w:val="1F1F1F"/>
          <w:sz w:val="24"/>
          <w:szCs w:val="24"/>
        </w:rPr>
      </w:pPr>
    </w:p>
    <w:p w14:paraId="00000019" w14:textId="77777777" w:rsidR="0079487D" w:rsidRPr="001E55B6" w:rsidRDefault="001E55B6" w:rsidP="001E55B6">
      <w:pPr>
        <w:pStyle w:val="Heading3"/>
        <w:spacing w:before="0" w:after="120" w:line="275" w:lineRule="auto"/>
        <w:jc w:val="both"/>
      </w:pPr>
      <w:r w:rsidRPr="4D2BD68D">
        <w:rPr>
          <w:color w:val="1F1F1F"/>
        </w:rPr>
        <w:t>References</w:t>
      </w:r>
    </w:p>
    <w:p w14:paraId="02D5A900" w14:textId="52C9390F" w:rsidR="4D2BD68D" w:rsidRDefault="4D2BD68D" w:rsidP="4D2BD68D"/>
    <w:p w14:paraId="0000001A" w14:textId="77777777"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Care Act 2014, c. 23. Available at: https://www.legislation.gov.uk/ukpga/2014/23/contents (Accessed: 31 July 2026).</w:t>
      </w:r>
    </w:p>
    <w:p w14:paraId="301B3F09" w14:textId="7E8756D9"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1B" w14:textId="62206120"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 xml:space="preserve">Carers UK (2022) </w:t>
      </w:r>
      <w:r w:rsidRPr="4D2BD68D">
        <w:rPr>
          <w:i/>
          <w:color w:val="1F1F1F"/>
          <w:sz w:val="24"/>
          <w:szCs w:val="24"/>
        </w:rPr>
        <w:t>Valuing Carers 2022: The rising value of unpaid care</w:t>
      </w:r>
      <w:r w:rsidRPr="4D2BD68D">
        <w:rPr>
          <w:color w:val="1F1F1F"/>
          <w:sz w:val="24"/>
          <w:szCs w:val="24"/>
        </w:rPr>
        <w:t>. London: Carers UK.</w:t>
      </w:r>
    </w:p>
    <w:p w14:paraId="26B9D066" w14:textId="26F3C590"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1C" w14:textId="77777777"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 xml:space="preserve">Department of Health and Social Care (DHSC) (2021) </w:t>
      </w:r>
      <w:r w:rsidRPr="4D2BD68D">
        <w:rPr>
          <w:i/>
          <w:color w:val="1F1F1F"/>
          <w:sz w:val="24"/>
          <w:szCs w:val="24"/>
        </w:rPr>
        <w:t>People at the Heart of Care: Adult social care reform white paper</w:t>
      </w:r>
      <w:r w:rsidRPr="4D2BD68D">
        <w:rPr>
          <w:color w:val="1F1F1F"/>
          <w:sz w:val="24"/>
          <w:szCs w:val="24"/>
        </w:rPr>
        <w:t>. London: HM Government.</w:t>
      </w:r>
    </w:p>
    <w:p w14:paraId="085BBFA9" w14:textId="5085EA59"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1D" w14:textId="77777777"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Equality Act 2010, c. 15. Available at: https://www.legislation.gov.uk/ukpga/2010/15/contents (Accessed: 31 July 2026).</w:t>
      </w:r>
    </w:p>
    <w:p w14:paraId="107E299B" w14:textId="0BC68D21"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1E" w14:textId="77777777"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 xml:space="preserve">Health Foundation (2023) </w:t>
      </w:r>
      <w:r w:rsidRPr="4D2BD68D">
        <w:rPr>
          <w:i/>
          <w:color w:val="1F1F1F"/>
          <w:sz w:val="24"/>
          <w:szCs w:val="24"/>
        </w:rPr>
        <w:t>Unpaid carers and mental health inequalities in the UK</w:t>
      </w:r>
      <w:r w:rsidRPr="4D2BD68D">
        <w:rPr>
          <w:color w:val="1F1F1F"/>
          <w:sz w:val="24"/>
          <w:szCs w:val="24"/>
        </w:rPr>
        <w:t>. London: The Health Foundation.</w:t>
      </w:r>
    </w:p>
    <w:p w14:paraId="37F5C47B" w14:textId="3C0DEE89"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1F" w14:textId="77777777"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 xml:space="preserve">National Institute for Health and Care Excellence (NICE) (2021) </w:t>
      </w:r>
      <w:r w:rsidRPr="4D2BD68D">
        <w:rPr>
          <w:i/>
          <w:color w:val="1F1F1F"/>
          <w:sz w:val="24"/>
          <w:szCs w:val="24"/>
        </w:rPr>
        <w:t>Evidence standards framework for digital health technologies</w:t>
      </w:r>
      <w:r w:rsidRPr="4D2BD68D">
        <w:rPr>
          <w:color w:val="1F1F1F"/>
          <w:sz w:val="24"/>
          <w:szCs w:val="24"/>
        </w:rPr>
        <w:t>. London: NICE.</w:t>
      </w:r>
    </w:p>
    <w:p w14:paraId="22DB9947" w14:textId="688E9E05"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20" w14:textId="77777777" w:rsidR="0079487D" w:rsidRPr="001E55B6" w:rsidRDefault="001E55B6" w:rsidP="001E55B6">
      <w:pPr>
        <w:pBdr>
          <w:top w:val="nil"/>
          <w:left w:val="nil"/>
          <w:bottom w:val="nil"/>
          <w:right w:val="nil"/>
          <w:between w:val="nil"/>
        </w:pBdr>
        <w:spacing w:line="275" w:lineRule="auto"/>
        <w:ind w:left="465"/>
        <w:jc w:val="both"/>
      </w:pPr>
      <w:r w:rsidRPr="4D2BD68D">
        <w:rPr>
          <w:color w:val="1F1F1F"/>
          <w:sz w:val="24"/>
          <w:szCs w:val="24"/>
        </w:rPr>
        <w:t xml:space="preserve">NHS England (2019) </w:t>
      </w:r>
      <w:r w:rsidRPr="4D2BD68D">
        <w:rPr>
          <w:i/>
          <w:color w:val="1F1F1F"/>
          <w:sz w:val="24"/>
          <w:szCs w:val="24"/>
        </w:rPr>
        <w:t>The NHS Long Term Plan</w:t>
      </w:r>
      <w:r w:rsidRPr="4D2BD68D">
        <w:rPr>
          <w:color w:val="1F1F1F"/>
          <w:sz w:val="24"/>
          <w:szCs w:val="24"/>
        </w:rPr>
        <w:t>. London: NHS England.</w:t>
      </w:r>
    </w:p>
    <w:p w14:paraId="6A168D68" w14:textId="65ED772E" w:rsidR="4D2BD68D" w:rsidRDefault="4D2BD68D" w:rsidP="4D2BD68D">
      <w:pPr>
        <w:pBdr>
          <w:top w:val="nil"/>
          <w:left w:val="nil"/>
          <w:bottom w:val="nil"/>
          <w:right w:val="nil"/>
          <w:between w:val="nil"/>
        </w:pBdr>
        <w:spacing w:line="275" w:lineRule="auto"/>
        <w:ind w:left="465"/>
        <w:jc w:val="both"/>
        <w:rPr>
          <w:color w:val="1F1F1F"/>
          <w:sz w:val="24"/>
          <w:szCs w:val="24"/>
        </w:rPr>
      </w:pPr>
    </w:p>
    <w:p w14:paraId="00000021" w14:textId="77777777" w:rsidR="0079487D" w:rsidRPr="001E55B6" w:rsidRDefault="001E55B6" w:rsidP="001E55B6">
      <w:pPr>
        <w:pBdr>
          <w:top w:val="nil"/>
          <w:left w:val="nil"/>
          <w:bottom w:val="nil"/>
          <w:right w:val="nil"/>
          <w:between w:val="nil"/>
        </w:pBdr>
        <w:spacing w:after="120" w:line="275" w:lineRule="auto"/>
        <w:ind w:left="465"/>
        <w:jc w:val="both"/>
        <w:rPr>
          <w:sz w:val="24"/>
          <w:szCs w:val="24"/>
        </w:rPr>
      </w:pPr>
      <w:r w:rsidRPr="4D2BD68D">
        <w:rPr>
          <w:color w:val="1F1F1F"/>
          <w:sz w:val="24"/>
          <w:szCs w:val="24"/>
        </w:rPr>
        <w:t xml:space="preserve">Nursing and Midwifery Council (NMC) (2018) </w:t>
      </w:r>
      <w:r w:rsidRPr="4D2BD68D">
        <w:rPr>
          <w:i/>
          <w:color w:val="1F1F1F"/>
          <w:sz w:val="24"/>
          <w:szCs w:val="24"/>
        </w:rPr>
        <w:t xml:space="preserve">The Code: Professional standards of practice and </w:t>
      </w:r>
      <w:proofErr w:type="spellStart"/>
      <w:r w:rsidRPr="4D2BD68D">
        <w:rPr>
          <w:i/>
          <w:color w:val="1F1F1F"/>
          <w:sz w:val="24"/>
          <w:szCs w:val="24"/>
        </w:rPr>
        <w:t>behaviour</w:t>
      </w:r>
      <w:proofErr w:type="spellEnd"/>
      <w:r w:rsidRPr="4D2BD68D">
        <w:rPr>
          <w:i/>
          <w:color w:val="1F1F1F"/>
          <w:sz w:val="24"/>
          <w:szCs w:val="24"/>
        </w:rPr>
        <w:t xml:space="preserve"> for nurses, midwives and nursing associates</w:t>
      </w:r>
      <w:r w:rsidRPr="4D2BD68D">
        <w:rPr>
          <w:color w:val="1F1F1F"/>
          <w:sz w:val="24"/>
          <w:szCs w:val="24"/>
        </w:rPr>
        <w:t>. London: NMC.</w:t>
      </w:r>
    </w:p>
    <w:sectPr w:rsidR="0079487D" w:rsidRPr="001E55B6">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17DBC" w14:textId="77777777" w:rsidR="001726FF" w:rsidRDefault="001726FF" w:rsidP="00913A46">
      <w:r>
        <w:separator/>
      </w:r>
    </w:p>
  </w:endnote>
  <w:endnote w:type="continuationSeparator" w:id="0">
    <w:p w14:paraId="59A07B2E" w14:textId="77777777" w:rsidR="001726FF" w:rsidRDefault="001726FF" w:rsidP="00913A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FEBE31FD-184C-4033-BFFC-6CD7C4376ACB}"/>
  </w:font>
  <w:font w:name="Google Sans">
    <w:charset w:val="00"/>
    <w:family w:val="auto"/>
    <w:pitch w:val="default"/>
    <w:embedRegular r:id="rId2" w:fontKey="{3C65B296-0947-4565-BEA1-F8661CE50791}"/>
    <w:embedBold r:id="rId3" w:fontKey="{0B906346-C89C-4438-86C5-7AD75E1626E2}"/>
  </w:font>
  <w:font w:name="Calibri">
    <w:panose1 w:val="020F0502020204030204"/>
    <w:charset w:val="00"/>
    <w:family w:val="swiss"/>
    <w:pitch w:val="variable"/>
    <w:sig w:usb0="E4002EFF" w:usb1="C200247B" w:usb2="00000009" w:usb3="00000000" w:csb0="000001FF" w:csb1="00000000"/>
    <w:embedRegular r:id="rId4" w:fontKey="{6211BBD1-EC3F-47C6-8B74-5B15D86241C8}"/>
  </w:font>
  <w:font w:name="Cambria">
    <w:panose1 w:val="02040503050406030204"/>
    <w:charset w:val="00"/>
    <w:family w:val="roman"/>
    <w:pitch w:val="variable"/>
    <w:sig w:usb0="E00006FF" w:usb1="420024FF" w:usb2="02000000" w:usb3="00000000" w:csb0="0000019F" w:csb1="00000000"/>
    <w:embedRegular r:id="rId5" w:fontKey="{80CA29D8-C4B2-42D0-94E7-48CC08B27F98}"/>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35B61" w14:textId="77777777" w:rsidR="001726FF" w:rsidRDefault="001726FF" w:rsidP="00913A46">
      <w:r>
        <w:separator/>
      </w:r>
    </w:p>
  </w:footnote>
  <w:footnote w:type="continuationSeparator" w:id="0">
    <w:p w14:paraId="14B9A198" w14:textId="77777777" w:rsidR="001726FF" w:rsidRDefault="001726FF" w:rsidP="00913A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52E78"/>
    <w:multiLevelType w:val="multilevel"/>
    <w:tmpl w:val="BB86A8A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1835606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87D"/>
    <w:rsid w:val="000D6676"/>
    <w:rsid w:val="001726FF"/>
    <w:rsid w:val="001E55B6"/>
    <w:rsid w:val="0030439E"/>
    <w:rsid w:val="003C24BF"/>
    <w:rsid w:val="005F6D0F"/>
    <w:rsid w:val="00613906"/>
    <w:rsid w:val="00645106"/>
    <w:rsid w:val="0079487D"/>
    <w:rsid w:val="007A7F64"/>
    <w:rsid w:val="00913A46"/>
    <w:rsid w:val="00AC65CE"/>
    <w:rsid w:val="00AF111F"/>
    <w:rsid w:val="00B61B83"/>
    <w:rsid w:val="00D51E66"/>
    <w:rsid w:val="00D90D46"/>
    <w:rsid w:val="00EA6029"/>
    <w:rsid w:val="00F71567"/>
    <w:rsid w:val="16D54C8F"/>
    <w:rsid w:val="1A091FE3"/>
    <w:rsid w:val="21C029C0"/>
    <w:rsid w:val="272E1F69"/>
    <w:rsid w:val="2D522BCB"/>
    <w:rsid w:val="2E6827F0"/>
    <w:rsid w:val="39AF0444"/>
    <w:rsid w:val="3F928F83"/>
    <w:rsid w:val="4D2BD68D"/>
    <w:rsid w:val="6244851C"/>
    <w:rsid w:val="652AB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8D491"/>
  <w15:docId w15:val="{530BBAA1-6108-48CB-9262-BA3E23F59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styleId="Strong">
    <w:name w:val="Strong"/>
    <w:basedOn w:val="DefaultParagraphFont"/>
    <w:uiPriority w:val="22"/>
    <w:qFormat/>
    <w:rsid w:val="000D6676"/>
    <w:rPr>
      <w:b/>
      <w:bCs/>
    </w:rPr>
  </w:style>
  <w:style w:type="paragraph" w:styleId="Header">
    <w:name w:val="header"/>
    <w:basedOn w:val="Normal"/>
    <w:link w:val="HeaderChar"/>
    <w:uiPriority w:val="99"/>
    <w:unhideWhenUsed/>
    <w:rsid w:val="00913A46"/>
    <w:pPr>
      <w:tabs>
        <w:tab w:val="center" w:pos="4513"/>
        <w:tab w:val="right" w:pos="9026"/>
      </w:tabs>
    </w:pPr>
  </w:style>
  <w:style w:type="character" w:customStyle="1" w:styleId="HeaderChar">
    <w:name w:val="Header Char"/>
    <w:basedOn w:val="DefaultParagraphFont"/>
    <w:link w:val="Header"/>
    <w:uiPriority w:val="99"/>
    <w:rsid w:val="00913A46"/>
  </w:style>
  <w:style w:type="paragraph" w:styleId="Footer">
    <w:name w:val="footer"/>
    <w:basedOn w:val="Normal"/>
    <w:link w:val="FooterChar"/>
    <w:uiPriority w:val="99"/>
    <w:unhideWhenUsed/>
    <w:rsid w:val="00913A46"/>
    <w:pPr>
      <w:tabs>
        <w:tab w:val="center" w:pos="4513"/>
        <w:tab w:val="right" w:pos="9026"/>
      </w:tabs>
    </w:pPr>
  </w:style>
  <w:style w:type="character" w:customStyle="1" w:styleId="FooterChar">
    <w:name w:val="Footer Char"/>
    <w:basedOn w:val="DefaultParagraphFont"/>
    <w:link w:val="Footer"/>
    <w:uiPriority w:val="99"/>
    <w:rsid w:val="00913A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1429</Words>
  <Characters>8148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Ferdoushi Rahman Monju (2430137)</cp:lastModifiedBy>
  <cp:revision>2</cp:revision>
  <dcterms:created xsi:type="dcterms:W3CDTF">2026-08-07T10:13:00Z</dcterms:created>
  <dcterms:modified xsi:type="dcterms:W3CDTF">2026-08-07T10:13:00Z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858867d7-3d39-42d1-ae80-03ff309294cb</vt:lpwstr>
  </property>
</Properties>
</file>