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555" w:rsidRDefault="009A2C6F" w:rsidP="00331D48">
      <w:pPr>
        <w:pStyle w:val="Heading1"/>
        <w:rPr>
          <w:rFonts w:ascii="Arial" w:hAnsi="Arial" w:cs="Arial"/>
          <w:b/>
          <w:color w:val="auto"/>
          <w:sz w:val="28"/>
          <w:szCs w:val="28"/>
        </w:rPr>
      </w:pPr>
      <w:r>
        <w:rPr>
          <w:noProof/>
        </w:rPr>
        <w:drawing>
          <wp:inline distT="0" distB="0" distL="0" distR="0" wp14:anchorId="10138E4A" wp14:editId="5946562B">
            <wp:extent cx="4737100" cy="2872720"/>
            <wp:effectExtent l="0" t="0" r="6350" b="4445"/>
            <wp:docPr id="7" name="Picture 7" descr="Home - CUC Board Vacan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me - CUC Board Vacanci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40251" cy="2874631"/>
                    </a:xfrm>
                    <a:prstGeom prst="rect">
                      <a:avLst/>
                    </a:prstGeom>
                    <a:noFill/>
                    <a:ln>
                      <a:noFill/>
                    </a:ln>
                  </pic:spPr>
                </pic:pic>
              </a:graphicData>
            </a:graphic>
          </wp:inline>
        </w:drawing>
      </w:r>
    </w:p>
    <w:p w:rsidR="009A2C6F" w:rsidRPr="009A2C6F" w:rsidRDefault="009A2C6F" w:rsidP="009A2C6F">
      <w:pPr>
        <w:jc w:val="center"/>
        <w:rPr>
          <w:rFonts w:ascii="Arial" w:eastAsia="Arial" w:hAnsi="Arial" w:cs="Arial"/>
          <w:lang w:val="en-GB" w:eastAsia="en-GB"/>
        </w:rPr>
      </w:pPr>
      <w:r w:rsidRPr="009A2C6F">
        <w:rPr>
          <w:rFonts w:ascii="Arial" w:eastAsia="Arial" w:hAnsi="Arial" w:cs="Arial"/>
          <w:b/>
          <w:bCs/>
          <w:sz w:val="32"/>
          <w:szCs w:val="32"/>
          <w:lang w:val="en-GB" w:eastAsia="en-GB"/>
        </w:rPr>
        <w:t>MARKETING ENVIRONMENT ANALYSIS</w:t>
      </w:r>
    </w:p>
    <w:p w:rsidR="009A2C6F" w:rsidRPr="009A2C6F" w:rsidRDefault="009A2C6F" w:rsidP="009A2C6F">
      <w:pPr>
        <w:spacing w:after="300"/>
        <w:jc w:val="center"/>
        <w:rPr>
          <w:rFonts w:ascii="Arial" w:eastAsia="Arial" w:hAnsi="Arial" w:cs="Arial"/>
          <w:lang w:val="en-GB" w:eastAsia="en-GB"/>
        </w:rPr>
      </w:pPr>
      <w:r w:rsidRPr="009A2C6F">
        <w:rPr>
          <w:rFonts w:ascii="Arial" w:eastAsia="Arial" w:hAnsi="Arial" w:cs="Arial"/>
          <w:b/>
          <w:bCs/>
          <w:sz w:val="28"/>
          <w:szCs w:val="28"/>
          <w:lang w:val="en-GB" w:eastAsia="en-GB"/>
        </w:rPr>
        <w:t>BHP GROUP'S TRANSITION TO A LOWER-CARBON PRODUCTS</w:t>
      </w:r>
    </w:p>
    <w:p w:rsidR="009A2C6F" w:rsidRPr="009A2C6F" w:rsidRDefault="009A2C6F" w:rsidP="009A2C6F">
      <w:pPr>
        <w:spacing w:after="0"/>
        <w:jc w:val="center"/>
        <w:rPr>
          <w:rFonts w:ascii="Arial" w:eastAsia="Arial" w:hAnsi="Arial" w:cs="Arial"/>
          <w:sz w:val="28"/>
          <w:szCs w:val="28"/>
          <w:lang w:val="en-GB" w:eastAsia="en-GB"/>
        </w:rPr>
      </w:pPr>
      <w:r w:rsidRPr="009A2C6F">
        <w:rPr>
          <w:rFonts w:ascii="Arial" w:eastAsia="Arial" w:hAnsi="Arial" w:cs="Arial"/>
          <w:sz w:val="28"/>
          <w:szCs w:val="28"/>
          <w:lang w:val="en-GB" w:eastAsia="en-GB"/>
        </w:rPr>
        <w:t>Student Name: Jawel Israel</w:t>
      </w:r>
    </w:p>
    <w:p w:rsidR="009A2C6F" w:rsidRPr="009A2C6F" w:rsidRDefault="009A2C6F" w:rsidP="009A2C6F">
      <w:pPr>
        <w:spacing w:after="0"/>
        <w:jc w:val="center"/>
        <w:rPr>
          <w:rFonts w:ascii="Arial" w:eastAsia="Arial" w:hAnsi="Arial" w:cs="Arial"/>
          <w:sz w:val="28"/>
          <w:szCs w:val="28"/>
          <w:lang w:val="en-GB" w:eastAsia="en-GB"/>
        </w:rPr>
      </w:pPr>
      <w:r w:rsidRPr="009A2C6F">
        <w:rPr>
          <w:rFonts w:ascii="Arial" w:eastAsia="Arial" w:hAnsi="Arial" w:cs="Arial"/>
          <w:sz w:val="28"/>
          <w:szCs w:val="28"/>
          <w:lang w:val="en-GB" w:eastAsia="en-GB"/>
        </w:rPr>
        <w:t>Student ID: 2246633</w:t>
      </w:r>
    </w:p>
    <w:p w:rsidR="009A2C6F" w:rsidRPr="009A2C6F" w:rsidRDefault="009A2C6F" w:rsidP="009A2C6F">
      <w:pPr>
        <w:jc w:val="center"/>
        <w:rPr>
          <w:rFonts w:ascii="Arial" w:eastAsia="Arial" w:hAnsi="Arial" w:cs="Arial"/>
          <w:lang w:val="en-GB" w:eastAsia="en-GB"/>
        </w:rPr>
      </w:pPr>
    </w:p>
    <w:p w:rsidR="009A2C6F" w:rsidRPr="009A2C6F" w:rsidRDefault="009A2C6F" w:rsidP="009A2C6F">
      <w:pPr>
        <w:jc w:val="center"/>
        <w:rPr>
          <w:rFonts w:ascii="Arial" w:eastAsia="Arial" w:hAnsi="Arial" w:cs="Arial"/>
          <w:b/>
          <w:sz w:val="28"/>
          <w:szCs w:val="28"/>
          <w:lang w:val="en-GB" w:eastAsia="en-GB"/>
        </w:rPr>
      </w:pPr>
      <w:r w:rsidRPr="009A2C6F">
        <w:rPr>
          <w:rFonts w:ascii="Arial" w:eastAsia="Arial" w:hAnsi="Arial" w:cs="Arial"/>
          <w:b/>
          <w:sz w:val="28"/>
          <w:szCs w:val="28"/>
          <w:lang w:val="en-GB" w:eastAsia="en-GB"/>
        </w:rPr>
        <w:t>Module: Marketing Management: LCLMB7024</w:t>
      </w:r>
    </w:p>
    <w:p w:rsidR="009A2C6F" w:rsidRPr="009A2C6F" w:rsidRDefault="009A2C6F" w:rsidP="009A2C6F">
      <w:pPr>
        <w:spacing w:after="0"/>
        <w:jc w:val="center"/>
        <w:rPr>
          <w:rFonts w:ascii="Arial" w:eastAsia="Arial" w:hAnsi="Arial" w:cs="Arial"/>
          <w:sz w:val="28"/>
          <w:szCs w:val="28"/>
          <w:lang w:val="en-GB" w:eastAsia="en-GB"/>
        </w:rPr>
      </w:pPr>
      <w:r w:rsidRPr="009A2C6F">
        <w:rPr>
          <w:rFonts w:ascii="Arial" w:eastAsia="Arial" w:hAnsi="Arial" w:cs="Arial"/>
          <w:sz w:val="28"/>
          <w:szCs w:val="28"/>
          <w:lang w:val="en-GB" w:eastAsia="en-GB"/>
        </w:rPr>
        <w:t>Date: 24th July 2026</w:t>
      </w:r>
    </w:p>
    <w:p w:rsidR="009A2C6F" w:rsidRPr="009A2C6F" w:rsidRDefault="009A2C6F" w:rsidP="009A2C6F">
      <w:pPr>
        <w:spacing w:after="0"/>
        <w:jc w:val="center"/>
        <w:rPr>
          <w:rFonts w:ascii="Arial" w:eastAsia="Arial" w:hAnsi="Arial" w:cs="Arial"/>
          <w:sz w:val="28"/>
          <w:szCs w:val="28"/>
          <w:lang w:val="en-GB" w:eastAsia="en-GB"/>
        </w:rPr>
      </w:pPr>
    </w:p>
    <w:p w:rsidR="009A2C6F" w:rsidRPr="009A2C6F" w:rsidRDefault="009A2C6F" w:rsidP="009A2C6F">
      <w:pPr>
        <w:spacing w:after="0"/>
        <w:jc w:val="center"/>
        <w:rPr>
          <w:rFonts w:ascii="Arial" w:eastAsia="Arial" w:hAnsi="Arial" w:cs="Arial"/>
          <w:sz w:val="28"/>
          <w:szCs w:val="28"/>
          <w:lang w:val="en-GB" w:eastAsia="en-GB"/>
        </w:rPr>
      </w:pPr>
      <w:r w:rsidRPr="009A2C6F">
        <w:rPr>
          <w:rFonts w:ascii="Arial" w:eastAsia="Arial" w:hAnsi="Arial" w:cs="Arial"/>
          <w:sz w:val="28"/>
          <w:szCs w:val="28"/>
          <w:lang w:val="en-GB" w:eastAsia="en-GB"/>
        </w:rPr>
        <w:t xml:space="preserve">Lecturer:  </w:t>
      </w:r>
      <w:proofErr w:type="spellStart"/>
      <w:r w:rsidRPr="009A2C6F">
        <w:rPr>
          <w:rFonts w:ascii="Arial" w:eastAsia="Arial" w:hAnsi="Arial" w:cs="Arial"/>
          <w:sz w:val="28"/>
          <w:szCs w:val="28"/>
          <w:lang w:val="en-GB" w:eastAsia="en-GB"/>
        </w:rPr>
        <w:t>Haoran</w:t>
      </w:r>
      <w:proofErr w:type="spellEnd"/>
      <w:r w:rsidRPr="009A2C6F">
        <w:rPr>
          <w:rFonts w:ascii="Arial" w:eastAsia="Arial" w:hAnsi="Arial" w:cs="Arial"/>
          <w:sz w:val="28"/>
          <w:szCs w:val="28"/>
          <w:lang w:val="en-GB" w:eastAsia="en-GB"/>
        </w:rPr>
        <w:t xml:space="preserve"> Liu</w:t>
      </w:r>
    </w:p>
    <w:p w:rsidR="009A2C6F" w:rsidRPr="009A2C6F" w:rsidRDefault="009A2C6F" w:rsidP="009A2C6F">
      <w:pPr>
        <w:spacing w:after="600"/>
        <w:jc w:val="center"/>
        <w:rPr>
          <w:rFonts w:ascii="Arial" w:eastAsia="Arial" w:hAnsi="Arial" w:cs="Arial"/>
          <w:lang w:val="en-GB" w:eastAsia="en-GB"/>
        </w:rPr>
      </w:pPr>
    </w:p>
    <w:p w:rsidR="009A2C6F" w:rsidRPr="009A2C6F" w:rsidRDefault="009A2C6F" w:rsidP="009A2C6F">
      <w:pPr>
        <w:spacing w:after="600"/>
        <w:jc w:val="center"/>
        <w:rPr>
          <w:rFonts w:ascii="Arial" w:eastAsia="Arial" w:hAnsi="Arial" w:cs="Arial"/>
          <w:b/>
          <w:lang w:val="en-GB" w:eastAsia="en-GB"/>
        </w:rPr>
      </w:pPr>
      <w:r w:rsidRPr="009A2C6F">
        <w:rPr>
          <w:rFonts w:ascii="Arial" w:eastAsia="Arial" w:hAnsi="Arial" w:cs="Arial"/>
          <w:b/>
          <w:lang w:val="en-GB" w:eastAsia="en-GB"/>
        </w:rPr>
        <w:t>2,500 word counts</w:t>
      </w:r>
    </w:p>
    <w:p w:rsidR="007E2DEB" w:rsidRDefault="007E2DEB" w:rsidP="007E2DEB">
      <w:pPr>
        <w:pStyle w:val="BodyText"/>
      </w:pPr>
    </w:p>
    <w:p w:rsidR="007E2DEB" w:rsidRDefault="007E2DEB" w:rsidP="007E2DEB">
      <w:pPr>
        <w:pStyle w:val="BodyText"/>
      </w:pPr>
    </w:p>
    <w:p w:rsidR="007E2DEB" w:rsidRDefault="007E2DEB" w:rsidP="007E2DEB">
      <w:pPr>
        <w:pStyle w:val="BodyText"/>
      </w:pPr>
    </w:p>
    <w:p w:rsidR="007E2DEB" w:rsidRDefault="007E2DEB" w:rsidP="007E2DEB">
      <w:pPr>
        <w:pStyle w:val="BodyText"/>
      </w:pPr>
    </w:p>
    <w:p w:rsidR="007E2DEB" w:rsidRPr="007E2DEB" w:rsidRDefault="007E2DEB" w:rsidP="007E2DEB">
      <w:pPr>
        <w:pStyle w:val="BodyText"/>
      </w:pPr>
    </w:p>
    <w:p w:rsidR="009A2C6F" w:rsidRDefault="009A2C6F" w:rsidP="009A2C6F">
      <w:pPr>
        <w:spacing w:before="360" w:after="240"/>
        <w:outlineLvl w:val="0"/>
        <w:rPr>
          <w:rFonts w:ascii="Arial" w:eastAsia="Arial" w:hAnsi="Arial" w:cs="Arial"/>
          <w:b/>
          <w:bCs/>
          <w:sz w:val="32"/>
          <w:szCs w:val="32"/>
          <w:lang w:val="en-GB" w:eastAsia="en-GB"/>
        </w:rPr>
      </w:pPr>
      <w:bookmarkStart w:id="0" w:name="_Toc235668218"/>
      <w:bookmarkStart w:id="1" w:name="_Toc235483088"/>
    </w:p>
    <w:p w:rsidR="009A2C6F" w:rsidRPr="009A2C6F" w:rsidRDefault="009A2C6F" w:rsidP="009A2C6F">
      <w:pPr>
        <w:spacing w:before="360" w:after="240"/>
        <w:outlineLvl w:val="0"/>
        <w:rPr>
          <w:rFonts w:ascii="Arial" w:eastAsia="Arial" w:hAnsi="Arial" w:cs="Arial"/>
          <w:b/>
          <w:bCs/>
          <w:sz w:val="32"/>
          <w:szCs w:val="32"/>
          <w:lang w:val="en-GB" w:eastAsia="en-GB"/>
        </w:rPr>
      </w:pPr>
      <w:r w:rsidRPr="009A2C6F">
        <w:rPr>
          <w:rFonts w:ascii="Arial" w:eastAsia="Arial" w:hAnsi="Arial" w:cs="Arial"/>
          <w:b/>
          <w:bCs/>
          <w:sz w:val="32"/>
          <w:szCs w:val="32"/>
          <w:lang w:val="en-GB" w:eastAsia="en-GB"/>
        </w:rPr>
        <w:lastRenderedPageBreak/>
        <w:t>Table of Contents</w:t>
      </w:r>
      <w:bookmarkEnd w:id="1"/>
    </w:p>
    <w:sdt>
      <w:sdtPr>
        <w:rPr>
          <w:rFonts w:ascii="Arial" w:eastAsia="Arial" w:hAnsi="Arial" w:cs="Arial"/>
          <w:lang w:val="en-GB" w:eastAsia="en-GB"/>
        </w:rPr>
        <w:alias w:val="Table of Contents"/>
        <w:id w:val="-1121762188"/>
      </w:sdtPr>
      <w:sdtContent>
        <w:p w:rsidR="009A2C6F" w:rsidRPr="009A2C6F" w:rsidRDefault="009A2C6F" w:rsidP="009A2C6F">
          <w:pPr>
            <w:tabs>
              <w:tab w:val="right" w:leader="dot" w:pos="9016"/>
            </w:tabs>
            <w:spacing w:after="100"/>
            <w:rPr>
              <w:rFonts w:eastAsiaTheme="minorEastAsia"/>
              <w:noProof/>
              <w:sz w:val="22"/>
              <w:szCs w:val="22"/>
              <w:lang w:val="en-GB" w:eastAsia="en-GB"/>
            </w:rPr>
          </w:pPr>
          <w:r w:rsidRPr="009A2C6F">
            <w:rPr>
              <w:rFonts w:ascii="Arial" w:eastAsia="Arial" w:hAnsi="Arial" w:cs="Arial"/>
              <w:lang w:val="en-GB" w:eastAsia="en-GB"/>
            </w:rPr>
            <w:fldChar w:fldCharType="begin"/>
          </w:r>
          <w:r w:rsidRPr="009A2C6F">
            <w:rPr>
              <w:rFonts w:ascii="Arial" w:eastAsia="Arial" w:hAnsi="Arial" w:cs="Arial"/>
              <w:lang w:val="en-GB" w:eastAsia="en-GB"/>
            </w:rPr>
            <w:instrText>TOC \h \o "1-2"</w:instrText>
          </w:r>
          <w:r w:rsidRPr="009A2C6F">
            <w:rPr>
              <w:rFonts w:ascii="Arial" w:eastAsia="Arial" w:hAnsi="Arial" w:cs="Arial"/>
              <w:lang w:val="en-GB" w:eastAsia="en-GB"/>
            </w:rPr>
            <w:fldChar w:fldCharType="separate"/>
          </w:r>
          <w:hyperlink w:anchor="_Toc235483088" w:history="1">
            <w:r w:rsidRPr="009A2C6F">
              <w:rPr>
                <w:rFonts w:ascii="Arial" w:eastAsia="Arial" w:hAnsi="Arial" w:cs="Arial"/>
                <w:noProof/>
                <w:u w:val="single"/>
                <w:lang w:val="en-GB" w:eastAsia="en-GB"/>
              </w:rPr>
              <w:t>Table of Contents</w:t>
            </w:r>
            <w:r w:rsidRPr="009A2C6F">
              <w:rPr>
                <w:rFonts w:ascii="Arial" w:eastAsia="Arial" w:hAnsi="Arial" w:cs="Arial"/>
                <w:noProof/>
                <w:lang w:val="en-GB" w:eastAsia="en-GB"/>
              </w:rPr>
              <w:tab/>
            </w:r>
            <w:r w:rsidRPr="009A2C6F">
              <w:rPr>
                <w:rFonts w:ascii="Arial" w:eastAsia="Arial" w:hAnsi="Arial" w:cs="Arial"/>
                <w:noProof/>
                <w:lang w:val="en-GB" w:eastAsia="en-GB"/>
              </w:rPr>
              <w:fldChar w:fldCharType="begin"/>
            </w:r>
            <w:r w:rsidRPr="009A2C6F">
              <w:rPr>
                <w:rFonts w:ascii="Arial" w:eastAsia="Arial" w:hAnsi="Arial" w:cs="Arial"/>
                <w:noProof/>
                <w:lang w:val="en-GB" w:eastAsia="en-GB"/>
              </w:rPr>
              <w:instrText xml:space="preserve"> PAGEREF _Toc235483088 \h </w:instrText>
            </w:r>
            <w:r w:rsidRPr="009A2C6F">
              <w:rPr>
                <w:rFonts w:ascii="Arial" w:eastAsia="Arial" w:hAnsi="Arial" w:cs="Arial"/>
                <w:noProof/>
                <w:lang w:val="en-GB" w:eastAsia="en-GB"/>
              </w:rPr>
            </w:r>
            <w:r w:rsidRPr="009A2C6F">
              <w:rPr>
                <w:rFonts w:ascii="Arial" w:eastAsia="Arial" w:hAnsi="Arial" w:cs="Arial"/>
                <w:noProof/>
                <w:lang w:val="en-GB" w:eastAsia="en-GB"/>
              </w:rPr>
              <w:fldChar w:fldCharType="separate"/>
            </w:r>
            <w:r w:rsidRPr="009A2C6F">
              <w:rPr>
                <w:rFonts w:ascii="Arial" w:eastAsia="Arial" w:hAnsi="Arial" w:cs="Arial"/>
                <w:noProof/>
                <w:lang w:val="en-GB" w:eastAsia="en-GB"/>
              </w:rPr>
              <w:t>2</w:t>
            </w:r>
            <w:r w:rsidRPr="009A2C6F">
              <w:rPr>
                <w:rFonts w:ascii="Arial" w:eastAsia="Arial" w:hAnsi="Arial" w:cs="Arial"/>
                <w:noProof/>
                <w:lang w:val="en-GB" w:eastAsia="en-GB"/>
              </w:rPr>
              <w:fldChar w:fldCharType="end"/>
            </w:r>
          </w:hyperlink>
        </w:p>
        <w:p w:rsidR="009A2C6F" w:rsidRPr="009A2C6F" w:rsidRDefault="009A2C6F" w:rsidP="009A2C6F">
          <w:pPr>
            <w:tabs>
              <w:tab w:val="right" w:leader="dot" w:pos="9016"/>
            </w:tabs>
            <w:spacing w:after="100"/>
            <w:rPr>
              <w:rFonts w:eastAsiaTheme="minorEastAsia"/>
              <w:noProof/>
              <w:sz w:val="22"/>
              <w:szCs w:val="22"/>
              <w:lang w:val="en-GB" w:eastAsia="en-GB"/>
            </w:rPr>
          </w:pPr>
          <w:hyperlink w:anchor="_Toc235483089" w:history="1">
            <w:r w:rsidRPr="009A2C6F">
              <w:rPr>
                <w:rFonts w:ascii="Arial" w:eastAsia="Arial" w:hAnsi="Arial" w:cs="Arial"/>
                <w:noProof/>
                <w:u w:val="single"/>
                <w:lang w:val="en-GB" w:eastAsia="en-GB"/>
              </w:rPr>
              <w:t>1. Task 1: Marketing Environment Analysis</w:t>
            </w:r>
            <w:r w:rsidRPr="009A2C6F">
              <w:rPr>
                <w:rFonts w:ascii="Arial" w:eastAsia="Arial" w:hAnsi="Arial" w:cs="Arial"/>
                <w:noProof/>
                <w:lang w:val="en-GB" w:eastAsia="en-GB"/>
              </w:rPr>
              <w:tab/>
            </w:r>
            <w:r w:rsidRPr="009A2C6F">
              <w:rPr>
                <w:rFonts w:ascii="Arial" w:eastAsia="Arial" w:hAnsi="Arial" w:cs="Arial"/>
                <w:noProof/>
                <w:lang w:val="en-GB" w:eastAsia="en-GB"/>
              </w:rPr>
              <w:fldChar w:fldCharType="begin"/>
            </w:r>
            <w:r w:rsidRPr="009A2C6F">
              <w:rPr>
                <w:rFonts w:ascii="Arial" w:eastAsia="Arial" w:hAnsi="Arial" w:cs="Arial"/>
                <w:noProof/>
                <w:lang w:val="en-GB" w:eastAsia="en-GB"/>
              </w:rPr>
              <w:instrText xml:space="preserve"> PAGEREF _Toc235483089 \h </w:instrText>
            </w:r>
            <w:r w:rsidRPr="009A2C6F">
              <w:rPr>
                <w:rFonts w:ascii="Arial" w:eastAsia="Arial" w:hAnsi="Arial" w:cs="Arial"/>
                <w:noProof/>
                <w:lang w:val="en-GB" w:eastAsia="en-GB"/>
              </w:rPr>
            </w:r>
            <w:r w:rsidRPr="009A2C6F">
              <w:rPr>
                <w:rFonts w:ascii="Arial" w:eastAsia="Arial" w:hAnsi="Arial" w:cs="Arial"/>
                <w:noProof/>
                <w:lang w:val="en-GB" w:eastAsia="en-GB"/>
              </w:rPr>
              <w:fldChar w:fldCharType="separate"/>
            </w:r>
            <w:r w:rsidRPr="009A2C6F">
              <w:rPr>
                <w:rFonts w:ascii="Arial" w:eastAsia="Arial" w:hAnsi="Arial" w:cs="Arial"/>
                <w:noProof/>
                <w:lang w:val="en-GB" w:eastAsia="en-GB"/>
              </w:rPr>
              <w:t>3</w:t>
            </w:r>
            <w:r w:rsidRPr="009A2C6F">
              <w:rPr>
                <w:rFonts w:ascii="Arial" w:eastAsia="Arial" w:hAnsi="Arial" w:cs="Arial"/>
                <w:noProof/>
                <w:lang w:val="en-GB" w:eastAsia="en-GB"/>
              </w:rPr>
              <w:fldChar w:fldCharType="end"/>
            </w:r>
          </w:hyperlink>
        </w:p>
        <w:p w:rsidR="009A2C6F" w:rsidRPr="009A2C6F" w:rsidRDefault="009A2C6F" w:rsidP="009A2C6F">
          <w:pPr>
            <w:tabs>
              <w:tab w:val="right" w:leader="dot" w:pos="9016"/>
            </w:tabs>
            <w:spacing w:after="100"/>
            <w:ind w:left="240"/>
            <w:rPr>
              <w:rFonts w:eastAsiaTheme="minorEastAsia"/>
              <w:noProof/>
              <w:sz w:val="22"/>
              <w:szCs w:val="22"/>
              <w:lang w:val="en-GB" w:eastAsia="en-GB"/>
            </w:rPr>
          </w:pPr>
          <w:hyperlink w:anchor="_Toc235483090" w:history="1">
            <w:r w:rsidRPr="009A2C6F">
              <w:rPr>
                <w:rFonts w:ascii="Arial" w:eastAsia="Arial" w:hAnsi="Arial" w:cs="Arial"/>
                <w:noProof/>
                <w:u w:val="single"/>
                <w:lang w:val="en-GB" w:eastAsia="en-GB"/>
              </w:rPr>
              <w:t>1.1 Company Selection and Context</w:t>
            </w:r>
            <w:r w:rsidRPr="009A2C6F">
              <w:rPr>
                <w:rFonts w:ascii="Arial" w:eastAsia="Arial" w:hAnsi="Arial" w:cs="Arial"/>
                <w:noProof/>
                <w:lang w:val="en-GB" w:eastAsia="en-GB"/>
              </w:rPr>
              <w:tab/>
            </w:r>
            <w:r w:rsidRPr="009A2C6F">
              <w:rPr>
                <w:rFonts w:ascii="Arial" w:eastAsia="Arial" w:hAnsi="Arial" w:cs="Arial"/>
                <w:noProof/>
                <w:lang w:val="en-GB" w:eastAsia="en-GB"/>
              </w:rPr>
              <w:fldChar w:fldCharType="begin"/>
            </w:r>
            <w:r w:rsidRPr="009A2C6F">
              <w:rPr>
                <w:rFonts w:ascii="Arial" w:eastAsia="Arial" w:hAnsi="Arial" w:cs="Arial"/>
                <w:noProof/>
                <w:lang w:val="en-GB" w:eastAsia="en-GB"/>
              </w:rPr>
              <w:instrText xml:space="preserve"> PAGEREF _Toc235483090 \h </w:instrText>
            </w:r>
            <w:r w:rsidRPr="009A2C6F">
              <w:rPr>
                <w:rFonts w:ascii="Arial" w:eastAsia="Arial" w:hAnsi="Arial" w:cs="Arial"/>
                <w:noProof/>
                <w:lang w:val="en-GB" w:eastAsia="en-GB"/>
              </w:rPr>
            </w:r>
            <w:r w:rsidRPr="009A2C6F">
              <w:rPr>
                <w:rFonts w:ascii="Arial" w:eastAsia="Arial" w:hAnsi="Arial" w:cs="Arial"/>
                <w:noProof/>
                <w:lang w:val="en-GB" w:eastAsia="en-GB"/>
              </w:rPr>
              <w:fldChar w:fldCharType="separate"/>
            </w:r>
            <w:r w:rsidRPr="009A2C6F">
              <w:rPr>
                <w:rFonts w:ascii="Arial" w:eastAsia="Arial" w:hAnsi="Arial" w:cs="Arial"/>
                <w:noProof/>
                <w:lang w:val="en-GB" w:eastAsia="en-GB"/>
              </w:rPr>
              <w:t>3</w:t>
            </w:r>
            <w:r w:rsidRPr="009A2C6F">
              <w:rPr>
                <w:rFonts w:ascii="Arial" w:eastAsia="Arial" w:hAnsi="Arial" w:cs="Arial"/>
                <w:noProof/>
                <w:lang w:val="en-GB" w:eastAsia="en-GB"/>
              </w:rPr>
              <w:fldChar w:fldCharType="end"/>
            </w:r>
          </w:hyperlink>
        </w:p>
        <w:p w:rsidR="009A2C6F" w:rsidRPr="009A2C6F" w:rsidRDefault="009A2C6F" w:rsidP="009A2C6F">
          <w:pPr>
            <w:tabs>
              <w:tab w:val="right" w:leader="dot" w:pos="9016"/>
            </w:tabs>
            <w:spacing w:after="100"/>
            <w:ind w:left="240"/>
            <w:rPr>
              <w:rFonts w:eastAsiaTheme="minorEastAsia"/>
              <w:noProof/>
              <w:sz w:val="22"/>
              <w:szCs w:val="22"/>
              <w:lang w:val="en-GB" w:eastAsia="en-GB"/>
            </w:rPr>
          </w:pPr>
          <w:hyperlink w:anchor="_Toc235483091" w:history="1">
            <w:r w:rsidRPr="009A2C6F">
              <w:rPr>
                <w:rFonts w:ascii="Arial" w:eastAsia="Arial" w:hAnsi="Arial" w:cs="Arial"/>
                <w:noProof/>
                <w:u w:val="single"/>
                <w:lang w:val="en-GB" w:eastAsia="en-GB"/>
              </w:rPr>
              <w:t>1.2 External Marketing Environment Actor 1: The Natural Environment</w:t>
            </w:r>
            <w:r w:rsidRPr="009A2C6F">
              <w:rPr>
                <w:rFonts w:ascii="Arial" w:eastAsia="Arial" w:hAnsi="Arial" w:cs="Arial"/>
                <w:noProof/>
                <w:lang w:val="en-GB" w:eastAsia="en-GB"/>
              </w:rPr>
              <w:tab/>
            </w:r>
            <w:r w:rsidRPr="009A2C6F">
              <w:rPr>
                <w:rFonts w:ascii="Arial" w:eastAsia="Arial" w:hAnsi="Arial" w:cs="Arial"/>
                <w:noProof/>
                <w:lang w:val="en-GB" w:eastAsia="en-GB"/>
              </w:rPr>
              <w:fldChar w:fldCharType="begin"/>
            </w:r>
            <w:r w:rsidRPr="009A2C6F">
              <w:rPr>
                <w:rFonts w:ascii="Arial" w:eastAsia="Arial" w:hAnsi="Arial" w:cs="Arial"/>
                <w:noProof/>
                <w:lang w:val="en-GB" w:eastAsia="en-GB"/>
              </w:rPr>
              <w:instrText xml:space="preserve"> PAGEREF _Toc235483091 \h </w:instrText>
            </w:r>
            <w:r w:rsidRPr="009A2C6F">
              <w:rPr>
                <w:rFonts w:ascii="Arial" w:eastAsia="Arial" w:hAnsi="Arial" w:cs="Arial"/>
                <w:noProof/>
                <w:lang w:val="en-GB" w:eastAsia="en-GB"/>
              </w:rPr>
            </w:r>
            <w:r w:rsidRPr="009A2C6F">
              <w:rPr>
                <w:rFonts w:ascii="Arial" w:eastAsia="Arial" w:hAnsi="Arial" w:cs="Arial"/>
                <w:noProof/>
                <w:lang w:val="en-GB" w:eastAsia="en-GB"/>
              </w:rPr>
              <w:fldChar w:fldCharType="separate"/>
            </w:r>
            <w:r w:rsidRPr="009A2C6F">
              <w:rPr>
                <w:rFonts w:ascii="Arial" w:eastAsia="Arial" w:hAnsi="Arial" w:cs="Arial"/>
                <w:noProof/>
                <w:lang w:val="en-GB" w:eastAsia="en-GB"/>
              </w:rPr>
              <w:t>4</w:t>
            </w:r>
            <w:r w:rsidRPr="009A2C6F">
              <w:rPr>
                <w:rFonts w:ascii="Arial" w:eastAsia="Arial" w:hAnsi="Arial" w:cs="Arial"/>
                <w:noProof/>
                <w:lang w:val="en-GB" w:eastAsia="en-GB"/>
              </w:rPr>
              <w:fldChar w:fldCharType="end"/>
            </w:r>
          </w:hyperlink>
        </w:p>
        <w:p w:rsidR="009A2C6F" w:rsidRPr="009A2C6F" w:rsidRDefault="009A2C6F" w:rsidP="009A2C6F">
          <w:pPr>
            <w:tabs>
              <w:tab w:val="right" w:leader="dot" w:pos="9016"/>
            </w:tabs>
            <w:spacing w:after="100"/>
            <w:ind w:left="240"/>
            <w:rPr>
              <w:rFonts w:eastAsiaTheme="minorEastAsia"/>
              <w:noProof/>
              <w:sz w:val="22"/>
              <w:szCs w:val="22"/>
              <w:lang w:val="en-GB" w:eastAsia="en-GB"/>
            </w:rPr>
          </w:pPr>
          <w:hyperlink w:anchor="_Toc235483092" w:history="1">
            <w:r w:rsidRPr="009A2C6F">
              <w:rPr>
                <w:rFonts w:ascii="Arial" w:eastAsia="Arial" w:hAnsi="Arial" w:cs="Arial"/>
                <w:noProof/>
                <w:u w:val="single"/>
                <w:lang w:val="en-GB" w:eastAsia="en-GB"/>
              </w:rPr>
              <w:t>1.3 External Marketing Environment Actor 2: Political and Regulatory Environment</w:t>
            </w:r>
            <w:r w:rsidRPr="009A2C6F">
              <w:rPr>
                <w:rFonts w:ascii="Arial" w:eastAsia="Arial" w:hAnsi="Arial" w:cs="Arial"/>
                <w:noProof/>
                <w:lang w:val="en-GB" w:eastAsia="en-GB"/>
              </w:rPr>
              <w:tab/>
            </w:r>
            <w:r w:rsidRPr="009A2C6F">
              <w:rPr>
                <w:rFonts w:ascii="Arial" w:eastAsia="Arial" w:hAnsi="Arial" w:cs="Arial"/>
                <w:noProof/>
                <w:lang w:val="en-GB" w:eastAsia="en-GB"/>
              </w:rPr>
              <w:fldChar w:fldCharType="begin"/>
            </w:r>
            <w:r w:rsidRPr="009A2C6F">
              <w:rPr>
                <w:rFonts w:ascii="Arial" w:eastAsia="Arial" w:hAnsi="Arial" w:cs="Arial"/>
                <w:noProof/>
                <w:lang w:val="en-GB" w:eastAsia="en-GB"/>
              </w:rPr>
              <w:instrText xml:space="preserve"> PAGEREF _Toc235483092 \h </w:instrText>
            </w:r>
            <w:r w:rsidRPr="009A2C6F">
              <w:rPr>
                <w:rFonts w:ascii="Arial" w:eastAsia="Arial" w:hAnsi="Arial" w:cs="Arial"/>
                <w:noProof/>
                <w:lang w:val="en-GB" w:eastAsia="en-GB"/>
              </w:rPr>
            </w:r>
            <w:r w:rsidRPr="009A2C6F">
              <w:rPr>
                <w:rFonts w:ascii="Arial" w:eastAsia="Arial" w:hAnsi="Arial" w:cs="Arial"/>
                <w:noProof/>
                <w:lang w:val="en-GB" w:eastAsia="en-GB"/>
              </w:rPr>
              <w:fldChar w:fldCharType="separate"/>
            </w:r>
            <w:r w:rsidRPr="009A2C6F">
              <w:rPr>
                <w:rFonts w:ascii="Arial" w:eastAsia="Arial" w:hAnsi="Arial" w:cs="Arial"/>
                <w:noProof/>
                <w:lang w:val="en-GB" w:eastAsia="en-GB"/>
              </w:rPr>
              <w:t>6</w:t>
            </w:r>
            <w:r w:rsidRPr="009A2C6F">
              <w:rPr>
                <w:rFonts w:ascii="Arial" w:eastAsia="Arial" w:hAnsi="Arial" w:cs="Arial"/>
                <w:noProof/>
                <w:lang w:val="en-GB" w:eastAsia="en-GB"/>
              </w:rPr>
              <w:fldChar w:fldCharType="end"/>
            </w:r>
          </w:hyperlink>
        </w:p>
        <w:p w:rsidR="009A2C6F" w:rsidRPr="009A2C6F" w:rsidRDefault="009A2C6F" w:rsidP="009A2C6F">
          <w:pPr>
            <w:tabs>
              <w:tab w:val="right" w:leader="dot" w:pos="9016"/>
            </w:tabs>
            <w:spacing w:after="100"/>
            <w:rPr>
              <w:rFonts w:eastAsiaTheme="minorEastAsia"/>
              <w:noProof/>
              <w:sz w:val="22"/>
              <w:szCs w:val="22"/>
              <w:lang w:val="en-GB" w:eastAsia="en-GB"/>
            </w:rPr>
          </w:pPr>
          <w:hyperlink w:anchor="_Toc235483093" w:history="1">
            <w:r w:rsidRPr="009A2C6F">
              <w:rPr>
                <w:rFonts w:ascii="Arial" w:eastAsia="Arial" w:hAnsi="Arial" w:cs="Arial"/>
                <w:noProof/>
                <w:u w:val="single"/>
                <w:lang w:val="en-GB" w:eastAsia="en-GB"/>
              </w:rPr>
              <w:t>2. Task 2: Strategic Growth and Competitive Positioning</w:t>
            </w:r>
            <w:r w:rsidRPr="009A2C6F">
              <w:rPr>
                <w:rFonts w:ascii="Arial" w:eastAsia="Arial" w:hAnsi="Arial" w:cs="Arial"/>
                <w:noProof/>
                <w:lang w:val="en-GB" w:eastAsia="en-GB"/>
              </w:rPr>
              <w:tab/>
            </w:r>
            <w:r w:rsidRPr="009A2C6F">
              <w:rPr>
                <w:rFonts w:ascii="Arial" w:eastAsia="Arial" w:hAnsi="Arial" w:cs="Arial"/>
                <w:noProof/>
                <w:lang w:val="en-GB" w:eastAsia="en-GB"/>
              </w:rPr>
              <w:fldChar w:fldCharType="begin"/>
            </w:r>
            <w:r w:rsidRPr="009A2C6F">
              <w:rPr>
                <w:rFonts w:ascii="Arial" w:eastAsia="Arial" w:hAnsi="Arial" w:cs="Arial"/>
                <w:noProof/>
                <w:lang w:val="en-GB" w:eastAsia="en-GB"/>
              </w:rPr>
              <w:instrText xml:space="preserve"> PAGEREF _Toc235483093 \h </w:instrText>
            </w:r>
            <w:r w:rsidRPr="009A2C6F">
              <w:rPr>
                <w:rFonts w:ascii="Arial" w:eastAsia="Arial" w:hAnsi="Arial" w:cs="Arial"/>
                <w:noProof/>
                <w:lang w:val="en-GB" w:eastAsia="en-GB"/>
              </w:rPr>
            </w:r>
            <w:r w:rsidRPr="009A2C6F">
              <w:rPr>
                <w:rFonts w:ascii="Arial" w:eastAsia="Arial" w:hAnsi="Arial" w:cs="Arial"/>
                <w:noProof/>
                <w:lang w:val="en-GB" w:eastAsia="en-GB"/>
              </w:rPr>
              <w:fldChar w:fldCharType="separate"/>
            </w:r>
            <w:r w:rsidRPr="009A2C6F">
              <w:rPr>
                <w:rFonts w:ascii="Arial" w:eastAsia="Arial" w:hAnsi="Arial" w:cs="Arial"/>
                <w:noProof/>
                <w:lang w:val="en-GB" w:eastAsia="en-GB"/>
              </w:rPr>
              <w:t>8</w:t>
            </w:r>
            <w:r w:rsidRPr="009A2C6F">
              <w:rPr>
                <w:rFonts w:ascii="Arial" w:eastAsia="Arial" w:hAnsi="Arial" w:cs="Arial"/>
                <w:noProof/>
                <w:lang w:val="en-GB" w:eastAsia="en-GB"/>
              </w:rPr>
              <w:fldChar w:fldCharType="end"/>
            </w:r>
          </w:hyperlink>
        </w:p>
        <w:p w:rsidR="009A2C6F" w:rsidRPr="009A2C6F" w:rsidRDefault="009A2C6F" w:rsidP="009A2C6F">
          <w:pPr>
            <w:tabs>
              <w:tab w:val="right" w:leader="dot" w:pos="9016"/>
            </w:tabs>
            <w:spacing w:after="100"/>
            <w:ind w:left="240"/>
            <w:rPr>
              <w:rFonts w:eastAsiaTheme="minorEastAsia"/>
              <w:noProof/>
              <w:sz w:val="22"/>
              <w:szCs w:val="22"/>
              <w:lang w:val="en-GB" w:eastAsia="en-GB"/>
            </w:rPr>
          </w:pPr>
          <w:hyperlink w:anchor="_Toc235483094" w:history="1">
            <w:r w:rsidRPr="009A2C6F">
              <w:rPr>
                <w:rFonts w:ascii="Arial" w:eastAsia="Arial" w:hAnsi="Arial" w:cs="Arial"/>
                <w:noProof/>
                <w:u w:val="single"/>
                <w:lang w:val="en-GB" w:eastAsia="en-GB"/>
              </w:rPr>
              <w:t>2.1 Strategic Growth Recommendation Using the Ansoff Matrix</w:t>
            </w:r>
            <w:r w:rsidRPr="009A2C6F">
              <w:rPr>
                <w:rFonts w:ascii="Arial" w:eastAsia="Arial" w:hAnsi="Arial" w:cs="Arial"/>
                <w:noProof/>
                <w:lang w:val="en-GB" w:eastAsia="en-GB"/>
              </w:rPr>
              <w:tab/>
            </w:r>
            <w:r w:rsidRPr="009A2C6F">
              <w:rPr>
                <w:rFonts w:ascii="Arial" w:eastAsia="Arial" w:hAnsi="Arial" w:cs="Arial"/>
                <w:noProof/>
                <w:lang w:val="en-GB" w:eastAsia="en-GB"/>
              </w:rPr>
              <w:fldChar w:fldCharType="begin"/>
            </w:r>
            <w:r w:rsidRPr="009A2C6F">
              <w:rPr>
                <w:rFonts w:ascii="Arial" w:eastAsia="Arial" w:hAnsi="Arial" w:cs="Arial"/>
                <w:noProof/>
                <w:lang w:val="en-GB" w:eastAsia="en-GB"/>
              </w:rPr>
              <w:instrText xml:space="preserve"> PAGEREF _Toc235483094 \h </w:instrText>
            </w:r>
            <w:r w:rsidRPr="009A2C6F">
              <w:rPr>
                <w:rFonts w:ascii="Arial" w:eastAsia="Arial" w:hAnsi="Arial" w:cs="Arial"/>
                <w:noProof/>
                <w:lang w:val="en-GB" w:eastAsia="en-GB"/>
              </w:rPr>
            </w:r>
            <w:r w:rsidRPr="009A2C6F">
              <w:rPr>
                <w:rFonts w:ascii="Arial" w:eastAsia="Arial" w:hAnsi="Arial" w:cs="Arial"/>
                <w:noProof/>
                <w:lang w:val="en-GB" w:eastAsia="en-GB"/>
              </w:rPr>
              <w:fldChar w:fldCharType="separate"/>
            </w:r>
            <w:r w:rsidRPr="009A2C6F">
              <w:rPr>
                <w:rFonts w:ascii="Arial" w:eastAsia="Arial" w:hAnsi="Arial" w:cs="Arial"/>
                <w:noProof/>
                <w:lang w:val="en-GB" w:eastAsia="en-GB"/>
              </w:rPr>
              <w:t>8</w:t>
            </w:r>
            <w:r w:rsidRPr="009A2C6F">
              <w:rPr>
                <w:rFonts w:ascii="Arial" w:eastAsia="Arial" w:hAnsi="Arial" w:cs="Arial"/>
                <w:noProof/>
                <w:lang w:val="en-GB" w:eastAsia="en-GB"/>
              </w:rPr>
              <w:fldChar w:fldCharType="end"/>
            </w:r>
          </w:hyperlink>
        </w:p>
        <w:p w:rsidR="009A2C6F" w:rsidRPr="009A2C6F" w:rsidRDefault="009A2C6F" w:rsidP="009A2C6F">
          <w:pPr>
            <w:tabs>
              <w:tab w:val="right" w:leader="dot" w:pos="9016"/>
            </w:tabs>
            <w:spacing w:after="100"/>
            <w:ind w:left="240"/>
            <w:rPr>
              <w:rFonts w:eastAsiaTheme="minorEastAsia"/>
              <w:noProof/>
              <w:sz w:val="22"/>
              <w:szCs w:val="22"/>
              <w:lang w:val="en-GB" w:eastAsia="en-GB"/>
            </w:rPr>
          </w:pPr>
          <w:hyperlink w:anchor="_Toc235483095" w:history="1">
            <w:r w:rsidRPr="009A2C6F">
              <w:rPr>
                <w:rFonts w:ascii="Arial" w:eastAsia="Arial" w:hAnsi="Arial" w:cs="Arial"/>
                <w:noProof/>
                <w:u w:val="single"/>
                <w:lang w:val="en-GB" w:eastAsia="en-GB"/>
              </w:rPr>
              <w:t>2.2 Competitive Advantage through a Lower-Carbon Business Model</w:t>
            </w:r>
            <w:r w:rsidRPr="009A2C6F">
              <w:rPr>
                <w:rFonts w:ascii="Arial" w:eastAsia="Arial" w:hAnsi="Arial" w:cs="Arial"/>
                <w:noProof/>
                <w:lang w:val="en-GB" w:eastAsia="en-GB"/>
              </w:rPr>
              <w:tab/>
            </w:r>
            <w:r w:rsidRPr="009A2C6F">
              <w:rPr>
                <w:rFonts w:ascii="Arial" w:eastAsia="Arial" w:hAnsi="Arial" w:cs="Arial"/>
                <w:noProof/>
                <w:lang w:val="en-GB" w:eastAsia="en-GB"/>
              </w:rPr>
              <w:fldChar w:fldCharType="begin"/>
            </w:r>
            <w:r w:rsidRPr="009A2C6F">
              <w:rPr>
                <w:rFonts w:ascii="Arial" w:eastAsia="Arial" w:hAnsi="Arial" w:cs="Arial"/>
                <w:noProof/>
                <w:lang w:val="en-GB" w:eastAsia="en-GB"/>
              </w:rPr>
              <w:instrText xml:space="preserve"> PAGEREF _Toc235483095 \h </w:instrText>
            </w:r>
            <w:r w:rsidRPr="009A2C6F">
              <w:rPr>
                <w:rFonts w:ascii="Arial" w:eastAsia="Arial" w:hAnsi="Arial" w:cs="Arial"/>
                <w:noProof/>
                <w:lang w:val="en-GB" w:eastAsia="en-GB"/>
              </w:rPr>
            </w:r>
            <w:r w:rsidRPr="009A2C6F">
              <w:rPr>
                <w:rFonts w:ascii="Arial" w:eastAsia="Arial" w:hAnsi="Arial" w:cs="Arial"/>
                <w:noProof/>
                <w:lang w:val="en-GB" w:eastAsia="en-GB"/>
              </w:rPr>
              <w:fldChar w:fldCharType="separate"/>
            </w:r>
            <w:r w:rsidRPr="009A2C6F">
              <w:rPr>
                <w:rFonts w:ascii="Arial" w:eastAsia="Arial" w:hAnsi="Arial" w:cs="Arial"/>
                <w:noProof/>
                <w:lang w:val="en-GB" w:eastAsia="en-GB"/>
              </w:rPr>
              <w:t>9</w:t>
            </w:r>
            <w:r w:rsidRPr="009A2C6F">
              <w:rPr>
                <w:rFonts w:ascii="Arial" w:eastAsia="Arial" w:hAnsi="Arial" w:cs="Arial"/>
                <w:noProof/>
                <w:lang w:val="en-GB" w:eastAsia="en-GB"/>
              </w:rPr>
              <w:fldChar w:fldCharType="end"/>
            </w:r>
          </w:hyperlink>
        </w:p>
        <w:p w:rsidR="009A2C6F" w:rsidRPr="009A2C6F" w:rsidRDefault="009A2C6F" w:rsidP="009A2C6F">
          <w:pPr>
            <w:tabs>
              <w:tab w:val="right" w:leader="dot" w:pos="9016"/>
            </w:tabs>
            <w:spacing w:after="100"/>
            <w:ind w:left="240"/>
            <w:rPr>
              <w:rFonts w:eastAsiaTheme="minorEastAsia"/>
              <w:noProof/>
              <w:sz w:val="22"/>
              <w:szCs w:val="22"/>
              <w:lang w:val="en-GB" w:eastAsia="en-GB"/>
            </w:rPr>
          </w:pPr>
          <w:hyperlink w:anchor="_Toc235483096" w:history="1">
            <w:r w:rsidRPr="009A2C6F">
              <w:rPr>
                <w:rFonts w:ascii="Arial" w:eastAsia="Arial" w:hAnsi="Arial" w:cs="Arial"/>
                <w:noProof/>
                <w:u w:val="single"/>
                <w:lang w:val="en-GB" w:eastAsia="en-GB"/>
              </w:rPr>
              <w:t>2.3 Recommendations and Conclusion</w:t>
            </w:r>
            <w:r w:rsidRPr="009A2C6F">
              <w:rPr>
                <w:rFonts w:ascii="Arial" w:eastAsia="Arial" w:hAnsi="Arial" w:cs="Arial"/>
                <w:noProof/>
                <w:lang w:val="en-GB" w:eastAsia="en-GB"/>
              </w:rPr>
              <w:tab/>
            </w:r>
            <w:r w:rsidRPr="009A2C6F">
              <w:rPr>
                <w:rFonts w:ascii="Arial" w:eastAsia="Arial" w:hAnsi="Arial" w:cs="Arial"/>
                <w:noProof/>
                <w:lang w:val="en-GB" w:eastAsia="en-GB"/>
              </w:rPr>
              <w:fldChar w:fldCharType="begin"/>
            </w:r>
            <w:r w:rsidRPr="009A2C6F">
              <w:rPr>
                <w:rFonts w:ascii="Arial" w:eastAsia="Arial" w:hAnsi="Arial" w:cs="Arial"/>
                <w:noProof/>
                <w:lang w:val="en-GB" w:eastAsia="en-GB"/>
              </w:rPr>
              <w:instrText xml:space="preserve"> PAGEREF _Toc235483096 \h </w:instrText>
            </w:r>
            <w:r w:rsidRPr="009A2C6F">
              <w:rPr>
                <w:rFonts w:ascii="Arial" w:eastAsia="Arial" w:hAnsi="Arial" w:cs="Arial"/>
                <w:noProof/>
                <w:lang w:val="en-GB" w:eastAsia="en-GB"/>
              </w:rPr>
            </w:r>
            <w:r w:rsidRPr="009A2C6F">
              <w:rPr>
                <w:rFonts w:ascii="Arial" w:eastAsia="Arial" w:hAnsi="Arial" w:cs="Arial"/>
                <w:noProof/>
                <w:lang w:val="en-GB" w:eastAsia="en-GB"/>
              </w:rPr>
              <w:fldChar w:fldCharType="separate"/>
            </w:r>
            <w:r w:rsidRPr="009A2C6F">
              <w:rPr>
                <w:rFonts w:ascii="Arial" w:eastAsia="Arial" w:hAnsi="Arial" w:cs="Arial"/>
                <w:noProof/>
                <w:lang w:val="en-GB" w:eastAsia="en-GB"/>
              </w:rPr>
              <w:t>11</w:t>
            </w:r>
            <w:r w:rsidRPr="009A2C6F">
              <w:rPr>
                <w:rFonts w:ascii="Arial" w:eastAsia="Arial" w:hAnsi="Arial" w:cs="Arial"/>
                <w:noProof/>
                <w:lang w:val="en-GB" w:eastAsia="en-GB"/>
              </w:rPr>
              <w:fldChar w:fldCharType="end"/>
            </w:r>
          </w:hyperlink>
        </w:p>
        <w:p w:rsidR="009A2C6F" w:rsidRPr="009A2C6F" w:rsidRDefault="009A2C6F" w:rsidP="009A2C6F">
          <w:pPr>
            <w:tabs>
              <w:tab w:val="right" w:leader="dot" w:pos="9016"/>
            </w:tabs>
            <w:spacing w:after="100"/>
            <w:rPr>
              <w:rFonts w:eastAsiaTheme="minorEastAsia"/>
              <w:noProof/>
              <w:sz w:val="22"/>
              <w:szCs w:val="22"/>
              <w:lang w:val="en-GB" w:eastAsia="en-GB"/>
            </w:rPr>
          </w:pPr>
          <w:hyperlink w:anchor="_Toc235483097" w:history="1">
            <w:r w:rsidRPr="009A2C6F">
              <w:rPr>
                <w:rFonts w:ascii="Arial" w:eastAsia="Arial" w:hAnsi="Arial" w:cs="Arial"/>
                <w:noProof/>
                <w:u w:val="single"/>
                <w:lang w:val="en-GB" w:eastAsia="en-GB"/>
              </w:rPr>
              <w:t>3. Task 3: Critical Reflection on AI Usage</w:t>
            </w:r>
            <w:r w:rsidRPr="009A2C6F">
              <w:rPr>
                <w:rFonts w:ascii="Arial" w:eastAsia="Arial" w:hAnsi="Arial" w:cs="Arial"/>
                <w:noProof/>
                <w:lang w:val="en-GB" w:eastAsia="en-GB"/>
              </w:rPr>
              <w:tab/>
            </w:r>
            <w:r w:rsidRPr="009A2C6F">
              <w:rPr>
                <w:rFonts w:ascii="Arial" w:eastAsia="Arial" w:hAnsi="Arial" w:cs="Arial"/>
                <w:noProof/>
                <w:lang w:val="en-GB" w:eastAsia="en-GB"/>
              </w:rPr>
              <w:fldChar w:fldCharType="begin"/>
            </w:r>
            <w:r w:rsidRPr="009A2C6F">
              <w:rPr>
                <w:rFonts w:ascii="Arial" w:eastAsia="Arial" w:hAnsi="Arial" w:cs="Arial"/>
                <w:noProof/>
                <w:lang w:val="en-GB" w:eastAsia="en-GB"/>
              </w:rPr>
              <w:instrText xml:space="preserve"> PAGEREF _Toc235483097 \h </w:instrText>
            </w:r>
            <w:r w:rsidRPr="009A2C6F">
              <w:rPr>
                <w:rFonts w:ascii="Arial" w:eastAsia="Arial" w:hAnsi="Arial" w:cs="Arial"/>
                <w:noProof/>
                <w:lang w:val="en-GB" w:eastAsia="en-GB"/>
              </w:rPr>
            </w:r>
            <w:r w:rsidRPr="009A2C6F">
              <w:rPr>
                <w:rFonts w:ascii="Arial" w:eastAsia="Arial" w:hAnsi="Arial" w:cs="Arial"/>
                <w:noProof/>
                <w:lang w:val="en-GB" w:eastAsia="en-GB"/>
              </w:rPr>
              <w:fldChar w:fldCharType="separate"/>
            </w:r>
            <w:r w:rsidRPr="009A2C6F">
              <w:rPr>
                <w:rFonts w:ascii="Arial" w:eastAsia="Arial" w:hAnsi="Arial" w:cs="Arial"/>
                <w:noProof/>
                <w:lang w:val="en-GB" w:eastAsia="en-GB"/>
              </w:rPr>
              <w:t>12</w:t>
            </w:r>
            <w:r w:rsidRPr="009A2C6F">
              <w:rPr>
                <w:rFonts w:ascii="Arial" w:eastAsia="Arial" w:hAnsi="Arial" w:cs="Arial"/>
                <w:noProof/>
                <w:lang w:val="en-GB" w:eastAsia="en-GB"/>
              </w:rPr>
              <w:fldChar w:fldCharType="end"/>
            </w:r>
          </w:hyperlink>
        </w:p>
        <w:p w:rsidR="009A2C6F" w:rsidRPr="009A2C6F" w:rsidRDefault="009A2C6F" w:rsidP="009A2C6F">
          <w:pPr>
            <w:tabs>
              <w:tab w:val="right" w:leader="dot" w:pos="9016"/>
            </w:tabs>
            <w:spacing w:after="100"/>
            <w:ind w:left="240"/>
            <w:rPr>
              <w:rFonts w:eastAsiaTheme="minorEastAsia"/>
              <w:noProof/>
              <w:sz w:val="22"/>
              <w:szCs w:val="22"/>
              <w:lang w:val="en-GB" w:eastAsia="en-GB"/>
            </w:rPr>
          </w:pPr>
          <w:hyperlink w:anchor="_Toc235483098" w:history="1">
            <w:r w:rsidRPr="009A2C6F">
              <w:rPr>
                <w:rFonts w:ascii="Arial" w:eastAsia="Arial" w:hAnsi="Arial" w:cs="Arial"/>
                <w:noProof/>
                <w:u w:val="single"/>
                <w:lang w:val="en-GB" w:eastAsia="en-GB"/>
              </w:rPr>
              <w:t>3.1 Tool Disclosure</w:t>
            </w:r>
            <w:r w:rsidRPr="009A2C6F">
              <w:rPr>
                <w:rFonts w:ascii="Arial" w:eastAsia="Arial" w:hAnsi="Arial" w:cs="Arial"/>
                <w:noProof/>
                <w:lang w:val="en-GB" w:eastAsia="en-GB"/>
              </w:rPr>
              <w:tab/>
            </w:r>
            <w:r w:rsidRPr="009A2C6F">
              <w:rPr>
                <w:rFonts w:ascii="Arial" w:eastAsia="Arial" w:hAnsi="Arial" w:cs="Arial"/>
                <w:noProof/>
                <w:lang w:val="en-GB" w:eastAsia="en-GB"/>
              </w:rPr>
              <w:fldChar w:fldCharType="begin"/>
            </w:r>
            <w:r w:rsidRPr="009A2C6F">
              <w:rPr>
                <w:rFonts w:ascii="Arial" w:eastAsia="Arial" w:hAnsi="Arial" w:cs="Arial"/>
                <w:noProof/>
                <w:lang w:val="en-GB" w:eastAsia="en-GB"/>
              </w:rPr>
              <w:instrText xml:space="preserve"> PAGEREF _Toc235483098 \h </w:instrText>
            </w:r>
            <w:r w:rsidRPr="009A2C6F">
              <w:rPr>
                <w:rFonts w:ascii="Arial" w:eastAsia="Arial" w:hAnsi="Arial" w:cs="Arial"/>
                <w:noProof/>
                <w:lang w:val="en-GB" w:eastAsia="en-GB"/>
              </w:rPr>
            </w:r>
            <w:r w:rsidRPr="009A2C6F">
              <w:rPr>
                <w:rFonts w:ascii="Arial" w:eastAsia="Arial" w:hAnsi="Arial" w:cs="Arial"/>
                <w:noProof/>
                <w:lang w:val="en-GB" w:eastAsia="en-GB"/>
              </w:rPr>
              <w:fldChar w:fldCharType="separate"/>
            </w:r>
            <w:r w:rsidRPr="009A2C6F">
              <w:rPr>
                <w:rFonts w:ascii="Arial" w:eastAsia="Arial" w:hAnsi="Arial" w:cs="Arial"/>
                <w:noProof/>
                <w:lang w:val="en-GB" w:eastAsia="en-GB"/>
              </w:rPr>
              <w:t>12</w:t>
            </w:r>
            <w:r w:rsidRPr="009A2C6F">
              <w:rPr>
                <w:rFonts w:ascii="Arial" w:eastAsia="Arial" w:hAnsi="Arial" w:cs="Arial"/>
                <w:noProof/>
                <w:lang w:val="en-GB" w:eastAsia="en-GB"/>
              </w:rPr>
              <w:fldChar w:fldCharType="end"/>
            </w:r>
          </w:hyperlink>
        </w:p>
        <w:p w:rsidR="009A2C6F" w:rsidRPr="009A2C6F" w:rsidRDefault="009A2C6F" w:rsidP="009A2C6F">
          <w:pPr>
            <w:tabs>
              <w:tab w:val="right" w:leader="dot" w:pos="9016"/>
            </w:tabs>
            <w:spacing w:after="100"/>
            <w:ind w:left="240"/>
            <w:rPr>
              <w:rFonts w:eastAsiaTheme="minorEastAsia"/>
              <w:noProof/>
              <w:sz w:val="22"/>
              <w:szCs w:val="22"/>
              <w:lang w:val="en-GB" w:eastAsia="en-GB"/>
            </w:rPr>
          </w:pPr>
          <w:hyperlink w:anchor="_Toc235483099" w:history="1">
            <w:r w:rsidRPr="009A2C6F">
              <w:rPr>
                <w:rFonts w:ascii="Arial" w:eastAsia="Arial" w:hAnsi="Arial" w:cs="Arial"/>
                <w:noProof/>
                <w:u w:val="single"/>
                <w:lang w:val="en-GB" w:eastAsia="en-GB"/>
              </w:rPr>
              <w:t>3.2 Critical Evaluation of AI Output</w:t>
            </w:r>
            <w:r w:rsidRPr="009A2C6F">
              <w:rPr>
                <w:rFonts w:ascii="Arial" w:eastAsia="Arial" w:hAnsi="Arial" w:cs="Arial"/>
                <w:noProof/>
                <w:lang w:val="en-GB" w:eastAsia="en-GB"/>
              </w:rPr>
              <w:tab/>
            </w:r>
            <w:r w:rsidRPr="009A2C6F">
              <w:rPr>
                <w:rFonts w:ascii="Arial" w:eastAsia="Arial" w:hAnsi="Arial" w:cs="Arial"/>
                <w:noProof/>
                <w:lang w:val="en-GB" w:eastAsia="en-GB"/>
              </w:rPr>
              <w:fldChar w:fldCharType="begin"/>
            </w:r>
            <w:r w:rsidRPr="009A2C6F">
              <w:rPr>
                <w:rFonts w:ascii="Arial" w:eastAsia="Arial" w:hAnsi="Arial" w:cs="Arial"/>
                <w:noProof/>
                <w:lang w:val="en-GB" w:eastAsia="en-GB"/>
              </w:rPr>
              <w:instrText xml:space="preserve"> PAGEREF _Toc235483099 \h </w:instrText>
            </w:r>
            <w:r w:rsidRPr="009A2C6F">
              <w:rPr>
                <w:rFonts w:ascii="Arial" w:eastAsia="Arial" w:hAnsi="Arial" w:cs="Arial"/>
                <w:noProof/>
                <w:lang w:val="en-GB" w:eastAsia="en-GB"/>
              </w:rPr>
            </w:r>
            <w:r w:rsidRPr="009A2C6F">
              <w:rPr>
                <w:rFonts w:ascii="Arial" w:eastAsia="Arial" w:hAnsi="Arial" w:cs="Arial"/>
                <w:noProof/>
                <w:lang w:val="en-GB" w:eastAsia="en-GB"/>
              </w:rPr>
              <w:fldChar w:fldCharType="separate"/>
            </w:r>
            <w:r w:rsidRPr="009A2C6F">
              <w:rPr>
                <w:rFonts w:ascii="Arial" w:eastAsia="Arial" w:hAnsi="Arial" w:cs="Arial"/>
                <w:noProof/>
                <w:lang w:val="en-GB" w:eastAsia="en-GB"/>
              </w:rPr>
              <w:t>12</w:t>
            </w:r>
            <w:r w:rsidRPr="009A2C6F">
              <w:rPr>
                <w:rFonts w:ascii="Arial" w:eastAsia="Arial" w:hAnsi="Arial" w:cs="Arial"/>
                <w:noProof/>
                <w:lang w:val="en-GB" w:eastAsia="en-GB"/>
              </w:rPr>
              <w:fldChar w:fldCharType="end"/>
            </w:r>
          </w:hyperlink>
        </w:p>
        <w:p w:rsidR="009A2C6F" w:rsidRPr="009A2C6F" w:rsidRDefault="009A2C6F" w:rsidP="009A2C6F">
          <w:pPr>
            <w:tabs>
              <w:tab w:val="right" w:leader="dot" w:pos="9016"/>
            </w:tabs>
            <w:spacing w:after="100"/>
            <w:ind w:left="240"/>
            <w:rPr>
              <w:rFonts w:eastAsiaTheme="minorEastAsia"/>
              <w:noProof/>
              <w:sz w:val="22"/>
              <w:szCs w:val="22"/>
              <w:lang w:val="en-GB" w:eastAsia="en-GB"/>
            </w:rPr>
          </w:pPr>
          <w:hyperlink w:anchor="_Toc235483100" w:history="1">
            <w:r w:rsidRPr="009A2C6F">
              <w:rPr>
                <w:rFonts w:ascii="Arial" w:eastAsia="Arial" w:hAnsi="Arial" w:cs="Arial"/>
                <w:noProof/>
                <w:u w:val="single"/>
                <w:lang w:val="en-GB" w:eastAsia="en-GB"/>
              </w:rPr>
              <w:t>3.3 Contribution Analysis</w:t>
            </w:r>
            <w:r w:rsidRPr="009A2C6F">
              <w:rPr>
                <w:rFonts w:ascii="Arial" w:eastAsia="Arial" w:hAnsi="Arial" w:cs="Arial"/>
                <w:noProof/>
                <w:lang w:val="en-GB" w:eastAsia="en-GB"/>
              </w:rPr>
              <w:tab/>
            </w:r>
            <w:r w:rsidRPr="009A2C6F">
              <w:rPr>
                <w:rFonts w:ascii="Arial" w:eastAsia="Arial" w:hAnsi="Arial" w:cs="Arial"/>
                <w:noProof/>
                <w:lang w:val="en-GB" w:eastAsia="en-GB"/>
              </w:rPr>
              <w:fldChar w:fldCharType="begin"/>
            </w:r>
            <w:r w:rsidRPr="009A2C6F">
              <w:rPr>
                <w:rFonts w:ascii="Arial" w:eastAsia="Arial" w:hAnsi="Arial" w:cs="Arial"/>
                <w:noProof/>
                <w:lang w:val="en-GB" w:eastAsia="en-GB"/>
              </w:rPr>
              <w:instrText xml:space="preserve"> PAGEREF _Toc235483100 \h </w:instrText>
            </w:r>
            <w:r w:rsidRPr="009A2C6F">
              <w:rPr>
                <w:rFonts w:ascii="Arial" w:eastAsia="Arial" w:hAnsi="Arial" w:cs="Arial"/>
                <w:noProof/>
                <w:lang w:val="en-GB" w:eastAsia="en-GB"/>
              </w:rPr>
            </w:r>
            <w:r w:rsidRPr="009A2C6F">
              <w:rPr>
                <w:rFonts w:ascii="Arial" w:eastAsia="Arial" w:hAnsi="Arial" w:cs="Arial"/>
                <w:noProof/>
                <w:lang w:val="en-GB" w:eastAsia="en-GB"/>
              </w:rPr>
              <w:fldChar w:fldCharType="separate"/>
            </w:r>
            <w:r w:rsidRPr="009A2C6F">
              <w:rPr>
                <w:rFonts w:ascii="Arial" w:eastAsia="Arial" w:hAnsi="Arial" w:cs="Arial"/>
                <w:noProof/>
                <w:lang w:val="en-GB" w:eastAsia="en-GB"/>
              </w:rPr>
              <w:t>13</w:t>
            </w:r>
            <w:r w:rsidRPr="009A2C6F">
              <w:rPr>
                <w:rFonts w:ascii="Arial" w:eastAsia="Arial" w:hAnsi="Arial" w:cs="Arial"/>
                <w:noProof/>
                <w:lang w:val="en-GB" w:eastAsia="en-GB"/>
              </w:rPr>
              <w:fldChar w:fldCharType="end"/>
            </w:r>
          </w:hyperlink>
        </w:p>
        <w:p w:rsidR="009A2C6F" w:rsidRPr="009A2C6F" w:rsidRDefault="009A2C6F" w:rsidP="009A2C6F">
          <w:pPr>
            <w:tabs>
              <w:tab w:val="right" w:leader="dot" w:pos="9016"/>
            </w:tabs>
            <w:spacing w:after="100"/>
            <w:ind w:left="240"/>
            <w:rPr>
              <w:rFonts w:eastAsiaTheme="minorEastAsia"/>
              <w:noProof/>
              <w:sz w:val="22"/>
              <w:szCs w:val="22"/>
              <w:lang w:val="en-GB" w:eastAsia="en-GB"/>
            </w:rPr>
          </w:pPr>
          <w:hyperlink w:anchor="_Toc235483101" w:history="1">
            <w:r w:rsidRPr="009A2C6F">
              <w:rPr>
                <w:rFonts w:ascii="Arial" w:eastAsia="Arial" w:hAnsi="Arial" w:cs="Arial"/>
                <w:noProof/>
                <w:u w:val="single"/>
                <w:lang w:val="en-GB" w:eastAsia="en-GB"/>
              </w:rPr>
              <w:t>3.4 Ethical and Professional Reflection</w:t>
            </w:r>
            <w:r w:rsidRPr="009A2C6F">
              <w:rPr>
                <w:rFonts w:ascii="Arial" w:eastAsia="Arial" w:hAnsi="Arial" w:cs="Arial"/>
                <w:noProof/>
                <w:lang w:val="en-GB" w:eastAsia="en-GB"/>
              </w:rPr>
              <w:tab/>
            </w:r>
            <w:r w:rsidRPr="009A2C6F">
              <w:rPr>
                <w:rFonts w:ascii="Arial" w:eastAsia="Arial" w:hAnsi="Arial" w:cs="Arial"/>
                <w:noProof/>
                <w:lang w:val="en-GB" w:eastAsia="en-GB"/>
              </w:rPr>
              <w:fldChar w:fldCharType="begin"/>
            </w:r>
            <w:r w:rsidRPr="009A2C6F">
              <w:rPr>
                <w:rFonts w:ascii="Arial" w:eastAsia="Arial" w:hAnsi="Arial" w:cs="Arial"/>
                <w:noProof/>
                <w:lang w:val="en-GB" w:eastAsia="en-GB"/>
              </w:rPr>
              <w:instrText xml:space="preserve"> PAGEREF _Toc235483101 \h </w:instrText>
            </w:r>
            <w:r w:rsidRPr="009A2C6F">
              <w:rPr>
                <w:rFonts w:ascii="Arial" w:eastAsia="Arial" w:hAnsi="Arial" w:cs="Arial"/>
                <w:noProof/>
                <w:lang w:val="en-GB" w:eastAsia="en-GB"/>
              </w:rPr>
            </w:r>
            <w:r w:rsidRPr="009A2C6F">
              <w:rPr>
                <w:rFonts w:ascii="Arial" w:eastAsia="Arial" w:hAnsi="Arial" w:cs="Arial"/>
                <w:noProof/>
                <w:lang w:val="en-GB" w:eastAsia="en-GB"/>
              </w:rPr>
              <w:fldChar w:fldCharType="separate"/>
            </w:r>
            <w:r w:rsidRPr="009A2C6F">
              <w:rPr>
                <w:rFonts w:ascii="Arial" w:eastAsia="Arial" w:hAnsi="Arial" w:cs="Arial"/>
                <w:noProof/>
                <w:lang w:val="en-GB" w:eastAsia="en-GB"/>
              </w:rPr>
              <w:t>13</w:t>
            </w:r>
            <w:r w:rsidRPr="009A2C6F">
              <w:rPr>
                <w:rFonts w:ascii="Arial" w:eastAsia="Arial" w:hAnsi="Arial" w:cs="Arial"/>
                <w:noProof/>
                <w:lang w:val="en-GB" w:eastAsia="en-GB"/>
              </w:rPr>
              <w:fldChar w:fldCharType="end"/>
            </w:r>
          </w:hyperlink>
        </w:p>
        <w:p w:rsidR="009A2C6F" w:rsidRPr="009A2C6F" w:rsidRDefault="009A2C6F" w:rsidP="009A2C6F">
          <w:pPr>
            <w:tabs>
              <w:tab w:val="right" w:leader="dot" w:pos="9016"/>
            </w:tabs>
            <w:spacing w:after="100"/>
            <w:rPr>
              <w:rFonts w:eastAsiaTheme="minorEastAsia"/>
              <w:noProof/>
              <w:sz w:val="22"/>
              <w:szCs w:val="22"/>
              <w:lang w:val="en-GB" w:eastAsia="en-GB"/>
            </w:rPr>
          </w:pPr>
          <w:hyperlink w:anchor="_Toc235483102" w:history="1">
            <w:r w:rsidRPr="009A2C6F">
              <w:rPr>
                <w:rFonts w:ascii="Arial" w:eastAsia="Arial" w:hAnsi="Arial" w:cs="Arial"/>
                <w:noProof/>
                <w:u w:val="single"/>
                <w:lang w:val="en-GB" w:eastAsia="en-GB"/>
              </w:rPr>
              <w:t>References</w:t>
            </w:r>
            <w:r w:rsidRPr="009A2C6F">
              <w:rPr>
                <w:rFonts w:ascii="Arial" w:eastAsia="Arial" w:hAnsi="Arial" w:cs="Arial"/>
                <w:noProof/>
                <w:lang w:val="en-GB" w:eastAsia="en-GB"/>
              </w:rPr>
              <w:tab/>
            </w:r>
            <w:r w:rsidRPr="009A2C6F">
              <w:rPr>
                <w:rFonts w:ascii="Arial" w:eastAsia="Arial" w:hAnsi="Arial" w:cs="Arial"/>
                <w:noProof/>
                <w:lang w:val="en-GB" w:eastAsia="en-GB"/>
              </w:rPr>
              <w:fldChar w:fldCharType="begin"/>
            </w:r>
            <w:r w:rsidRPr="009A2C6F">
              <w:rPr>
                <w:rFonts w:ascii="Arial" w:eastAsia="Arial" w:hAnsi="Arial" w:cs="Arial"/>
                <w:noProof/>
                <w:lang w:val="en-GB" w:eastAsia="en-GB"/>
              </w:rPr>
              <w:instrText xml:space="preserve"> PAGEREF _Toc235483102 \h </w:instrText>
            </w:r>
            <w:r w:rsidRPr="009A2C6F">
              <w:rPr>
                <w:rFonts w:ascii="Arial" w:eastAsia="Arial" w:hAnsi="Arial" w:cs="Arial"/>
                <w:noProof/>
                <w:lang w:val="en-GB" w:eastAsia="en-GB"/>
              </w:rPr>
            </w:r>
            <w:r w:rsidRPr="009A2C6F">
              <w:rPr>
                <w:rFonts w:ascii="Arial" w:eastAsia="Arial" w:hAnsi="Arial" w:cs="Arial"/>
                <w:noProof/>
                <w:lang w:val="en-GB" w:eastAsia="en-GB"/>
              </w:rPr>
              <w:fldChar w:fldCharType="separate"/>
            </w:r>
            <w:r w:rsidRPr="009A2C6F">
              <w:rPr>
                <w:rFonts w:ascii="Arial" w:eastAsia="Arial" w:hAnsi="Arial" w:cs="Arial"/>
                <w:noProof/>
                <w:lang w:val="en-GB" w:eastAsia="en-GB"/>
              </w:rPr>
              <w:t>14</w:t>
            </w:r>
            <w:r w:rsidRPr="009A2C6F">
              <w:rPr>
                <w:rFonts w:ascii="Arial" w:eastAsia="Arial" w:hAnsi="Arial" w:cs="Arial"/>
                <w:noProof/>
                <w:lang w:val="en-GB" w:eastAsia="en-GB"/>
              </w:rPr>
              <w:fldChar w:fldCharType="end"/>
            </w:r>
          </w:hyperlink>
        </w:p>
        <w:p w:rsidR="00AE5FB8" w:rsidRDefault="009A2C6F" w:rsidP="009A2C6F">
          <w:pPr>
            <w:pStyle w:val="Heading1"/>
            <w:rPr>
              <w:rFonts w:ascii="Arial" w:hAnsi="Arial" w:cs="Arial"/>
              <w:b/>
              <w:color w:val="auto"/>
            </w:rPr>
          </w:pPr>
          <w:r w:rsidRPr="009A2C6F">
            <w:rPr>
              <w:rFonts w:ascii="Arial" w:eastAsia="Arial" w:hAnsi="Arial" w:cs="Arial"/>
              <w:color w:val="auto"/>
              <w:sz w:val="24"/>
              <w:szCs w:val="24"/>
              <w:lang w:val="en-GB" w:eastAsia="en-GB"/>
            </w:rPr>
            <w:fldChar w:fldCharType="end"/>
          </w:r>
        </w:p>
      </w:sdtContent>
    </w:sdt>
    <w:bookmarkEnd w:id="0"/>
    <w:p w:rsidR="00331D48" w:rsidRDefault="00331D48" w:rsidP="003F2A11">
      <w:pPr>
        <w:pStyle w:val="Heading1"/>
        <w:rPr>
          <w:rFonts w:ascii="Arial" w:hAnsi="Arial" w:cs="Arial"/>
          <w:b/>
          <w:color w:val="auto"/>
        </w:rPr>
      </w:pPr>
    </w:p>
    <w:p w:rsidR="009A2C6F" w:rsidRDefault="009A2C6F" w:rsidP="009A2C6F">
      <w:pPr>
        <w:pStyle w:val="BodyText"/>
      </w:pPr>
    </w:p>
    <w:p w:rsidR="009A2C6F" w:rsidRDefault="009A2C6F" w:rsidP="009A2C6F">
      <w:pPr>
        <w:pStyle w:val="BodyText"/>
      </w:pPr>
    </w:p>
    <w:p w:rsidR="009A2C6F" w:rsidRDefault="009A2C6F" w:rsidP="009A2C6F">
      <w:pPr>
        <w:pStyle w:val="BodyText"/>
      </w:pPr>
    </w:p>
    <w:p w:rsidR="009A2C6F" w:rsidRDefault="009A2C6F" w:rsidP="009A2C6F">
      <w:pPr>
        <w:pStyle w:val="BodyText"/>
      </w:pPr>
    </w:p>
    <w:p w:rsidR="009A2C6F" w:rsidRDefault="009A2C6F" w:rsidP="009A2C6F">
      <w:pPr>
        <w:pStyle w:val="BodyText"/>
      </w:pPr>
    </w:p>
    <w:p w:rsidR="009A2C6F" w:rsidRDefault="009A2C6F" w:rsidP="009A2C6F">
      <w:pPr>
        <w:pStyle w:val="BodyText"/>
      </w:pPr>
    </w:p>
    <w:p w:rsidR="009A2C6F" w:rsidRDefault="009A2C6F" w:rsidP="009A2C6F">
      <w:pPr>
        <w:pStyle w:val="BodyText"/>
      </w:pPr>
    </w:p>
    <w:p w:rsidR="009A2C6F" w:rsidRDefault="009A2C6F" w:rsidP="009A2C6F">
      <w:pPr>
        <w:pStyle w:val="BodyText"/>
      </w:pPr>
    </w:p>
    <w:p w:rsidR="009A2C6F" w:rsidRDefault="009A2C6F" w:rsidP="009A2C6F">
      <w:pPr>
        <w:pStyle w:val="BodyText"/>
      </w:pPr>
    </w:p>
    <w:p w:rsidR="009A2C6F" w:rsidRDefault="009A2C6F" w:rsidP="009A2C6F">
      <w:pPr>
        <w:pStyle w:val="BodyText"/>
      </w:pPr>
    </w:p>
    <w:p w:rsidR="009A2C6F" w:rsidRDefault="009A2C6F" w:rsidP="009A2C6F">
      <w:pPr>
        <w:pStyle w:val="BodyText"/>
      </w:pPr>
    </w:p>
    <w:p w:rsidR="009A2C6F" w:rsidRPr="009A2C6F" w:rsidRDefault="009A2C6F" w:rsidP="009A2C6F">
      <w:pPr>
        <w:pStyle w:val="BodyText"/>
      </w:pPr>
    </w:p>
    <w:p w:rsidR="003F2A11" w:rsidRPr="007A7349" w:rsidRDefault="003F2A11" w:rsidP="003F2A11">
      <w:pPr>
        <w:pStyle w:val="Heading1"/>
        <w:rPr>
          <w:rFonts w:ascii="Arial" w:hAnsi="Arial" w:cs="Arial"/>
          <w:b/>
          <w:color w:val="auto"/>
          <w:sz w:val="32"/>
          <w:szCs w:val="32"/>
        </w:rPr>
      </w:pPr>
      <w:r w:rsidRPr="007A7349">
        <w:rPr>
          <w:rFonts w:ascii="Arial" w:hAnsi="Arial" w:cs="Arial"/>
          <w:b/>
          <w:color w:val="auto"/>
          <w:sz w:val="32"/>
          <w:szCs w:val="32"/>
        </w:rPr>
        <w:lastRenderedPageBreak/>
        <w:t>1. Task 1: Marketing Environment Analysis</w:t>
      </w:r>
    </w:p>
    <w:p w:rsidR="003F2A11" w:rsidRPr="007A7349" w:rsidRDefault="003F2A11" w:rsidP="003F2A11">
      <w:pPr>
        <w:pStyle w:val="Heading2"/>
        <w:rPr>
          <w:rFonts w:ascii="Arial" w:hAnsi="Arial" w:cs="Arial"/>
          <w:b/>
          <w:color w:val="auto"/>
          <w:sz w:val="28"/>
          <w:szCs w:val="28"/>
        </w:rPr>
      </w:pPr>
      <w:r w:rsidRPr="007A7349">
        <w:rPr>
          <w:rFonts w:ascii="Arial" w:hAnsi="Arial" w:cs="Arial"/>
          <w:b/>
          <w:color w:val="auto"/>
          <w:sz w:val="28"/>
          <w:szCs w:val="28"/>
        </w:rPr>
        <w:t>1.1 Company Selection and Context</w:t>
      </w:r>
    </w:p>
    <w:p w:rsidR="003F2A11" w:rsidRPr="003F2A11" w:rsidRDefault="003F2A11" w:rsidP="007A7349">
      <w:pPr>
        <w:pStyle w:val="FirstParagraph"/>
        <w:spacing w:line="360" w:lineRule="auto"/>
        <w:jc w:val="both"/>
        <w:rPr>
          <w:rFonts w:ascii="Arial" w:hAnsi="Arial" w:cs="Arial"/>
        </w:rPr>
      </w:pPr>
      <w:r w:rsidRPr="003F2A11">
        <w:rPr>
          <w:rFonts w:ascii="Arial" w:hAnsi="Arial" w:cs="Arial"/>
        </w:rPr>
        <w:t xml:space="preserve">BHP Group has been selected because it is one of the world’s largest diversified mining and resources companies. Headquartered in Melbourne, Australia, BHP operates major iron ore, copper, metallurgical coal and potash assets across Australia and the Americas. Its global scale and exposure to both carbon-intensive and energy-transition commodities make it suitable for </w:t>
      </w:r>
      <w:proofErr w:type="spellStart"/>
      <w:r w:rsidRPr="003F2A11">
        <w:rPr>
          <w:rFonts w:ascii="Arial" w:hAnsi="Arial" w:cs="Arial"/>
        </w:rPr>
        <w:t>analysing</w:t>
      </w:r>
      <w:proofErr w:type="spellEnd"/>
      <w:r w:rsidRPr="003F2A11">
        <w:rPr>
          <w:rFonts w:ascii="Arial" w:hAnsi="Arial" w:cs="Arial"/>
        </w:rPr>
        <w:t xml:space="preserve"> how environmental and political forces affect marketing strategy.</w:t>
      </w:r>
    </w:p>
    <w:p w:rsidR="003F2A11" w:rsidRPr="003F2A11" w:rsidRDefault="003F2A11" w:rsidP="007A7349">
      <w:pPr>
        <w:pStyle w:val="BodyText"/>
        <w:spacing w:line="360" w:lineRule="auto"/>
        <w:jc w:val="both"/>
        <w:rPr>
          <w:rFonts w:ascii="Arial" w:hAnsi="Arial" w:cs="Arial"/>
        </w:rPr>
      </w:pPr>
      <w:r w:rsidRPr="003F2A11">
        <w:rPr>
          <w:rFonts w:ascii="Arial" w:hAnsi="Arial" w:cs="Arial"/>
        </w:rPr>
        <w:t xml:space="preserve">BHP occupies a complex strategic position. It supplies copper, iron ore and other </w:t>
      </w:r>
      <w:bookmarkStart w:id="2" w:name="_GoBack"/>
      <w:bookmarkEnd w:id="2"/>
      <w:r w:rsidRPr="003F2A11">
        <w:rPr>
          <w:rFonts w:ascii="Arial" w:hAnsi="Arial" w:cs="Arial"/>
        </w:rPr>
        <w:t xml:space="preserve">materials required for electricity networks, renewable-energy infrastructure, electric vehicles, construction and digital technologies. However, mining also creates greenhouse-gas emissions, land disturbance, water consumption, </w:t>
      </w:r>
      <w:proofErr w:type="gramStart"/>
      <w:r w:rsidRPr="003F2A11">
        <w:rPr>
          <w:rFonts w:ascii="Arial" w:hAnsi="Arial" w:cs="Arial"/>
        </w:rPr>
        <w:t>waste</w:t>
      </w:r>
      <w:proofErr w:type="gramEnd"/>
      <w:r w:rsidRPr="003F2A11">
        <w:rPr>
          <w:rFonts w:ascii="Arial" w:hAnsi="Arial" w:cs="Arial"/>
        </w:rPr>
        <w:t xml:space="preserve"> and biodiversity impacts. BHP must therefore balance the commercial opportunities created by global </w:t>
      </w:r>
      <w:proofErr w:type="spellStart"/>
      <w:r w:rsidRPr="003F2A11">
        <w:rPr>
          <w:rFonts w:ascii="Arial" w:hAnsi="Arial" w:cs="Arial"/>
        </w:rPr>
        <w:t>decarbonisation</w:t>
      </w:r>
      <w:proofErr w:type="spellEnd"/>
      <w:r w:rsidRPr="003F2A11">
        <w:rPr>
          <w:rFonts w:ascii="Arial" w:hAnsi="Arial" w:cs="Arial"/>
        </w:rPr>
        <w:t xml:space="preserve"> with the need to reduce the environmental effects of its operations and products.</w:t>
      </w:r>
    </w:p>
    <w:p w:rsidR="003F2A11" w:rsidRPr="007A7349" w:rsidRDefault="003F2A11" w:rsidP="007A7349">
      <w:pPr>
        <w:pStyle w:val="BodyText"/>
        <w:spacing w:line="360" w:lineRule="auto"/>
        <w:jc w:val="both"/>
        <w:rPr>
          <w:rFonts w:ascii="Arial" w:hAnsi="Arial" w:cs="Arial"/>
        </w:rPr>
      </w:pPr>
      <w:r w:rsidRPr="007A7349">
        <w:rPr>
          <w:rFonts w:ascii="Arial" w:hAnsi="Arial" w:cs="Arial"/>
        </w:rPr>
        <w:t>BHP’s Climate Transition Action Plan 2024 includes a target to reduce operational Scope 1 and Scope 2 greenhouse-gas emissions by at least 30% by FY2030 against an adjusted FY2020 baseline. It also has a long-term goal of net-zero operational emissions by 2050 (BHP, 2024a). Nevertheless, most emissions connected with its products occur within the value chain, particularly when iron ore and metallurgical coal</w:t>
      </w:r>
      <w:r w:rsidRPr="007A7349">
        <w:rPr>
          <w:rFonts w:ascii="Arial" w:hAnsi="Arial" w:cs="Arial"/>
        </w:rPr>
        <w:t xml:space="preserve"> </w:t>
      </w:r>
      <w:r w:rsidRPr="007A7349">
        <w:rPr>
          <w:rFonts w:ascii="Arial" w:hAnsi="Arial" w:cs="Arial"/>
        </w:rPr>
        <w:t>are used in steel production. BHP cannot independently eliminate these Scope 3 emissions because progress depends on customers, governments, energy systems and commercially viable steelmaking technologies.</w:t>
      </w:r>
    </w:p>
    <w:p w:rsidR="003F2A11" w:rsidRPr="007A7349" w:rsidRDefault="003F2A11" w:rsidP="007A7349">
      <w:pPr>
        <w:pStyle w:val="BodyText"/>
        <w:spacing w:line="360" w:lineRule="auto"/>
        <w:jc w:val="both"/>
        <w:rPr>
          <w:rFonts w:ascii="Arial" w:hAnsi="Arial" w:cs="Arial"/>
        </w:rPr>
      </w:pPr>
      <w:r w:rsidRPr="007A7349">
        <w:rPr>
          <w:rFonts w:ascii="Arial" w:hAnsi="Arial" w:cs="Arial"/>
        </w:rPr>
        <w:t xml:space="preserve">BHP is also increasing its strategic emphasis on copper. It forecasts that global copper demand could rise by approximately 70% to more than 50 million </w:t>
      </w:r>
      <w:proofErr w:type="spellStart"/>
      <w:r w:rsidRPr="007A7349">
        <w:rPr>
          <w:rFonts w:ascii="Arial" w:hAnsi="Arial" w:cs="Arial"/>
        </w:rPr>
        <w:t>tonnes</w:t>
      </w:r>
      <w:proofErr w:type="spellEnd"/>
      <w:r w:rsidRPr="007A7349">
        <w:rPr>
          <w:rFonts w:ascii="Arial" w:hAnsi="Arial" w:cs="Arial"/>
        </w:rPr>
        <w:t xml:space="preserve"> annually by 2050, supported by electrification, renewable power, transport and digital infrastructure (BHP, 2024b). However, demand may be affected by economic growth, recycling, substitution and delays in the energy transition. Investment decisions should therefore include scenario analysis and disciplined capital allocation.</w:t>
      </w:r>
    </w:p>
    <w:p w:rsidR="009A2C6F" w:rsidRPr="00DB50E6" w:rsidRDefault="003F2A11" w:rsidP="00DB50E6">
      <w:pPr>
        <w:pStyle w:val="BodyText"/>
        <w:spacing w:line="360" w:lineRule="auto"/>
        <w:jc w:val="both"/>
        <w:rPr>
          <w:rFonts w:ascii="Arial" w:hAnsi="Arial" w:cs="Arial"/>
        </w:rPr>
      </w:pPr>
      <w:r w:rsidRPr="007A7349">
        <w:rPr>
          <w:rFonts w:ascii="Arial" w:hAnsi="Arial" w:cs="Arial"/>
        </w:rPr>
        <w:lastRenderedPageBreak/>
        <w:t xml:space="preserve">The marketing </w:t>
      </w:r>
      <w:proofErr w:type="spellStart"/>
      <w:r w:rsidRPr="007A7349">
        <w:rPr>
          <w:rFonts w:ascii="Arial" w:hAnsi="Arial" w:cs="Arial"/>
        </w:rPr>
        <w:t>macroenvironment</w:t>
      </w:r>
      <w:proofErr w:type="spellEnd"/>
      <w:r w:rsidRPr="007A7349">
        <w:rPr>
          <w:rFonts w:ascii="Arial" w:hAnsi="Arial" w:cs="Arial"/>
        </w:rPr>
        <w:t xml:space="preserve"> consists of political, economic, social, technological, legal and environmental forces that influence </w:t>
      </w:r>
      <w:proofErr w:type="spellStart"/>
      <w:r w:rsidRPr="007A7349">
        <w:rPr>
          <w:rFonts w:ascii="Arial" w:hAnsi="Arial" w:cs="Arial"/>
        </w:rPr>
        <w:t>organisations</w:t>
      </w:r>
      <w:proofErr w:type="spellEnd"/>
      <w:r w:rsidRPr="007A7349">
        <w:rPr>
          <w:rFonts w:ascii="Arial" w:hAnsi="Arial" w:cs="Arial"/>
        </w:rPr>
        <w:t xml:space="preserve"> but remain largely outside direct management control (</w:t>
      </w:r>
      <w:proofErr w:type="spellStart"/>
      <w:r w:rsidRPr="007A7349">
        <w:rPr>
          <w:rFonts w:ascii="Arial" w:hAnsi="Arial" w:cs="Arial"/>
        </w:rPr>
        <w:t>Kotler</w:t>
      </w:r>
      <w:proofErr w:type="spellEnd"/>
      <w:r w:rsidRPr="007A7349">
        <w:rPr>
          <w:rFonts w:ascii="Arial" w:hAnsi="Arial" w:cs="Arial"/>
        </w:rPr>
        <w:t xml:space="preserve">, Armstrong and </w:t>
      </w:r>
      <w:proofErr w:type="spellStart"/>
      <w:r w:rsidRPr="007A7349">
        <w:rPr>
          <w:rFonts w:ascii="Arial" w:hAnsi="Arial" w:cs="Arial"/>
        </w:rPr>
        <w:t>Balasubramanian</w:t>
      </w:r>
      <w:proofErr w:type="spellEnd"/>
      <w:r w:rsidRPr="007A7349">
        <w:rPr>
          <w:rFonts w:ascii="Arial" w:hAnsi="Arial" w:cs="Arial"/>
        </w:rPr>
        <w:t>, 2024). This report focuses on the Natural Environment and Political and Regulatory Environment because climate</w:t>
      </w:r>
      <w:r>
        <w:t xml:space="preserve"> </w:t>
      </w:r>
      <w:r w:rsidRPr="007A7349">
        <w:rPr>
          <w:rFonts w:ascii="Arial" w:hAnsi="Arial" w:cs="Arial"/>
        </w:rPr>
        <w:t>change, biodiversity, permitting, carbon regulation and Indigenous rights directly affect BHP’s costs, reputation and growth opportunities.</w:t>
      </w:r>
    </w:p>
    <w:p w:rsidR="009A2C6F" w:rsidRDefault="009A2C6F" w:rsidP="007A7349">
      <w:pPr>
        <w:spacing w:before="200" w:after="120"/>
        <w:jc w:val="both"/>
        <w:outlineLvl w:val="2"/>
        <w:rPr>
          <w:rFonts w:ascii="Arial" w:eastAsia="Arial" w:hAnsi="Arial" w:cs="Arial"/>
          <w:b/>
          <w:bCs/>
          <w:iCs/>
          <w:lang w:val="en-GB" w:eastAsia="en-GB"/>
        </w:rPr>
      </w:pPr>
    </w:p>
    <w:p w:rsidR="003F2A11" w:rsidRPr="003F2A11" w:rsidRDefault="003F2A11" w:rsidP="007A7349">
      <w:pPr>
        <w:spacing w:before="200" w:after="120"/>
        <w:jc w:val="both"/>
        <w:outlineLvl w:val="2"/>
        <w:rPr>
          <w:rFonts w:ascii="Arial" w:eastAsia="Arial" w:hAnsi="Arial" w:cs="Arial"/>
          <w:b/>
          <w:bCs/>
          <w:i/>
          <w:iCs/>
          <w:lang w:val="en-GB" w:eastAsia="en-GB"/>
        </w:rPr>
      </w:pPr>
      <w:r w:rsidRPr="003F2A11">
        <w:rPr>
          <w:rFonts w:ascii="Arial" w:eastAsia="Arial" w:hAnsi="Arial" w:cs="Arial"/>
          <w:b/>
          <w:bCs/>
          <w:iCs/>
          <w:lang w:val="en-GB" w:eastAsia="en-GB"/>
        </w:rPr>
        <w:t>Figure 1: PESTLE Analysis for BHP Grou</w:t>
      </w:r>
      <w:r w:rsidRPr="003F2A11">
        <w:rPr>
          <w:rFonts w:ascii="Arial" w:eastAsia="Arial" w:hAnsi="Arial" w:cs="Arial"/>
          <w:b/>
          <w:bCs/>
          <w:i/>
          <w:iCs/>
          <w:lang w:val="en-GB" w:eastAsia="en-GB"/>
        </w:rPr>
        <w:t>p</w:t>
      </w:r>
    </w:p>
    <w:p w:rsidR="003F2A11" w:rsidRPr="003F2A11" w:rsidRDefault="003F2A11" w:rsidP="003F2A11">
      <w:pPr>
        <w:spacing w:before="200" w:after="100"/>
        <w:jc w:val="center"/>
        <w:rPr>
          <w:rFonts w:ascii="Arial" w:eastAsia="Arial" w:hAnsi="Arial" w:cs="Arial"/>
          <w:lang w:val="en-GB" w:eastAsia="en-GB"/>
        </w:rPr>
      </w:pPr>
      <w:r w:rsidRPr="003F2A11">
        <w:rPr>
          <w:rFonts w:ascii="Arial" w:eastAsia="Arial" w:hAnsi="Arial" w:cs="Arial"/>
          <w:noProof/>
          <w:lang w:val="en-GB" w:eastAsia="en-GB"/>
        </w:rPr>
        <w:drawing>
          <wp:inline distT="0" distB="0" distL="0" distR="0" wp14:anchorId="1528E6B9" wp14:editId="5D280459">
            <wp:extent cx="5524500" cy="3676650"/>
            <wp:effectExtent l="0" t="0" r="0" b="0"/>
            <wp:docPr id="1" name="PESTLE Analysis Diagram for BHP Group" descr="Infographic showing PESTLE factors influencing BHP's transition to lower-carbon business model, with emphasis on Environmental and Political factors including opportunities and threats." title="PESTLE Diagram - BHP Sustainability Tran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5524500" cy="3676650"/>
                    </a:xfrm>
                    <a:prstGeom prst="rect">
                      <a:avLst/>
                    </a:prstGeom>
                  </pic:spPr>
                </pic:pic>
              </a:graphicData>
            </a:graphic>
          </wp:inline>
        </w:drawing>
      </w:r>
    </w:p>
    <w:p w:rsidR="003F2A11" w:rsidRPr="003F2A11" w:rsidRDefault="003F2A11" w:rsidP="003F2A11">
      <w:pPr>
        <w:jc w:val="center"/>
        <w:rPr>
          <w:rFonts w:ascii="Arial" w:eastAsia="Arial" w:hAnsi="Arial" w:cs="Arial"/>
          <w:lang w:val="en-GB" w:eastAsia="en-GB"/>
        </w:rPr>
      </w:pPr>
      <w:r w:rsidRPr="003F2A11">
        <w:rPr>
          <w:rFonts w:ascii="Arial" w:eastAsia="Arial" w:hAnsi="Arial" w:cs="Arial"/>
          <w:iCs/>
          <w:sz w:val="20"/>
          <w:szCs w:val="20"/>
          <w:lang w:val="en-GB" w:eastAsia="en-GB"/>
        </w:rPr>
        <w:t>Figure 1: PESTLE Analysis Linking Key External Factors to BHP's Marketing Environment and Lower-Carbon Transition (adapted from Johnson et al., 2020). The diagram highlights Environmental (Natural Environment) and Political factors as primary foci, illustrating their interconnections with BHP's strategic sustainability imperatives</w:t>
      </w:r>
      <w:r w:rsidRPr="003F2A11">
        <w:rPr>
          <w:rFonts w:ascii="Arial" w:eastAsia="Arial" w:hAnsi="Arial" w:cs="Arial"/>
          <w:i/>
          <w:iCs/>
          <w:sz w:val="20"/>
          <w:szCs w:val="20"/>
          <w:lang w:val="en-GB" w:eastAsia="en-GB"/>
        </w:rPr>
        <w:t>.</w:t>
      </w:r>
    </w:p>
    <w:p w:rsidR="003074C7" w:rsidRDefault="004D6555" w:rsidP="007A7349">
      <w:pPr>
        <w:spacing w:line="360" w:lineRule="auto"/>
        <w:jc w:val="both"/>
        <w:rPr>
          <w:rFonts w:ascii="Arial" w:hAnsi="Arial" w:cs="Arial"/>
        </w:rPr>
      </w:pPr>
      <w:r>
        <w:rPr>
          <w:rFonts w:ascii="Arial" w:hAnsi="Arial" w:cs="Arial"/>
        </w:rPr>
        <w:t>The diagram</w:t>
      </w:r>
      <w:r w:rsidRPr="004D6555">
        <w:rPr>
          <w:rFonts w:ascii="Arial" w:hAnsi="Arial" w:cs="Arial"/>
        </w:rPr>
        <w:t xml:space="preserve"> highlight the political, economic, social, technological, legal and environmental forces affecting BHP, with Environmental and Political-Regulatory factors identified as the main areas of analysis.</w:t>
      </w:r>
    </w:p>
    <w:p w:rsidR="004D6555" w:rsidRDefault="004D6555" w:rsidP="003F2A11">
      <w:pPr>
        <w:rPr>
          <w:rFonts w:ascii="Arial" w:hAnsi="Arial" w:cs="Arial"/>
          <w:b/>
        </w:rPr>
      </w:pPr>
    </w:p>
    <w:p w:rsidR="003F2A11" w:rsidRPr="007A7349" w:rsidRDefault="003F2A11" w:rsidP="007A7349">
      <w:pPr>
        <w:rPr>
          <w:rFonts w:ascii="Arial" w:hAnsi="Arial" w:cs="Arial"/>
          <w:b/>
          <w:sz w:val="28"/>
          <w:szCs w:val="28"/>
        </w:rPr>
      </w:pPr>
      <w:r w:rsidRPr="007A7349">
        <w:rPr>
          <w:rFonts w:ascii="Arial" w:hAnsi="Arial" w:cs="Arial"/>
          <w:b/>
          <w:sz w:val="28"/>
          <w:szCs w:val="28"/>
        </w:rPr>
        <w:t>1.2 External Marketing Environment Actor 1: The Natural Environment</w:t>
      </w:r>
    </w:p>
    <w:p w:rsidR="003F2A11" w:rsidRPr="003F2A11" w:rsidRDefault="003F2A11" w:rsidP="007A7349">
      <w:pPr>
        <w:spacing w:line="360" w:lineRule="auto"/>
        <w:jc w:val="both"/>
        <w:rPr>
          <w:rFonts w:ascii="Arial" w:hAnsi="Arial" w:cs="Arial"/>
        </w:rPr>
      </w:pPr>
      <w:r w:rsidRPr="003F2A11">
        <w:rPr>
          <w:rFonts w:ascii="Arial" w:hAnsi="Arial" w:cs="Arial"/>
        </w:rPr>
        <w:lastRenderedPageBreak/>
        <w:t>The Natural Environment includes climate change, water scarcity, biodiversity degradation, declining ore grades, emissions and extreme weather. These factors affect BHP’s operational continuity, production costs, stakeholder relationships and ability to secure approval for new developments.</w:t>
      </w:r>
    </w:p>
    <w:p w:rsidR="003F2A11" w:rsidRPr="004D6555" w:rsidRDefault="003F2A11" w:rsidP="007A7349">
      <w:pPr>
        <w:jc w:val="both"/>
        <w:rPr>
          <w:rFonts w:ascii="Arial" w:hAnsi="Arial" w:cs="Arial"/>
          <w:b/>
        </w:rPr>
      </w:pPr>
      <w:r w:rsidRPr="004D6555">
        <w:rPr>
          <w:rFonts w:ascii="Arial" w:hAnsi="Arial" w:cs="Arial"/>
          <w:b/>
        </w:rPr>
        <w:t>Climate change and water risk</w:t>
      </w:r>
    </w:p>
    <w:p w:rsidR="003F2A11" w:rsidRPr="003F2A11" w:rsidRDefault="003F2A11" w:rsidP="007A7349">
      <w:pPr>
        <w:spacing w:line="360" w:lineRule="auto"/>
        <w:jc w:val="both"/>
        <w:rPr>
          <w:rFonts w:ascii="Arial" w:hAnsi="Arial" w:cs="Arial"/>
        </w:rPr>
      </w:pPr>
      <w:r w:rsidRPr="003F2A11">
        <w:rPr>
          <w:rFonts w:ascii="Arial" w:hAnsi="Arial" w:cs="Arial"/>
        </w:rPr>
        <w:t>BHP’s operations are exposed to drought, heat, flooding, storms and changing rainfall patterns. Water availability is especially important for copper mining because water is required for processing, dust suppression and workforce welfare. Some major operations are located in water-stressed regions, particularly northern Chile.</w:t>
      </w:r>
    </w:p>
    <w:p w:rsidR="003F2A11" w:rsidRPr="003F2A11" w:rsidRDefault="003F2A11" w:rsidP="007A7349">
      <w:pPr>
        <w:spacing w:line="360" w:lineRule="auto"/>
        <w:jc w:val="both"/>
        <w:rPr>
          <w:rFonts w:ascii="Arial" w:hAnsi="Arial" w:cs="Arial"/>
        </w:rPr>
      </w:pPr>
      <w:r w:rsidRPr="003F2A11">
        <w:rPr>
          <w:rFonts w:ascii="Arial" w:hAnsi="Arial" w:cs="Arial"/>
        </w:rPr>
        <w:t>Desalination and water recycling can reduce dependence on freshwater and limit competition with local communities. However, these measures require significant capital expenditure and energy consumption. Desalination can also create environmental concerns through brine disposal and disruption of marine ecosystems. It therefore reduces one risk while potentially creating another.</w:t>
      </w:r>
    </w:p>
    <w:p w:rsidR="003F2A11" w:rsidRPr="003F2A11" w:rsidRDefault="003F2A11" w:rsidP="007A7349">
      <w:pPr>
        <w:spacing w:line="360" w:lineRule="auto"/>
        <w:jc w:val="both"/>
        <w:rPr>
          <w:rFonts w:ascii="Arial" w:hAnsi="Arial" w:cs="Arial"/>
        </w:rPr>
      </w:pPr>
      <w:r w:rsidRPr="003F2A11">
        <w:rPr>
          <w:rFonts w:ascii="Arial" w:hAnsi="Arial" w:cs="Arial"/>
        </w:rPr>
        <w:t>Extreme weather can disrupt mines, railways, ports and energy supplies. Since BHP depends on high-volume production and integrated logistics, relatively short interruptions can increase costs and delay customer deliveries. Although BHP’s</w:t>
      </w:r>
      <w:r>
        <w:rPr>
          <w:rFonts w:ascii="Arial" w:hAnsi="Arial" w:cs="Arial"/>
        </w:rPr>
        <w:t xml:space="preserve"> </w:t>
      </w:r>
      <w:r w:rsidRPr="003F2A11">
        <w:rPr>
          <w:rFonts w:ascii="Arial" w:hAnsi="Arial" w:cs="Arial"/>
        </w:rPr>
        <w:t>financial resources support adaptation investment, its large asset base remains materially exposed.</w:t>
      </w:r>
    </w:p>
    <w:p w:rsidR="007F6B4B" w:rsidRPr="007F6B4B" w:rsidRDefault="003F2A11" w:rsidP="007F6B4B">
      <w:pPr>
        <w:spacing w:line="360" w:lineRule="auto"/>
        <w:jc w:val="both"/>
        <w:rPr>
          <w:rFonts w:ascii="Arial" w:hAnsi="Arial" w:cs="Arial"/>
        </w:rPr>
      </w:pPr>
      <w:r w:rsidRPr="003F2A11">
        <w:rPr>
          <w:rFonts w:ascii="Arial" w:hAnsi="Arial" w:cs="Arial"/>
        </w:rPr>
        <w:t xml:space="preserve">Climate models also contain uncertainty. BHP should therefore use multiple climate scenarios and update resilience plans regularly rather </w:t>
      </w:r>
      <w:r w:rsidR="007F6B4B">
        <w:rPr>
          <w:rFonts w:ascii="Arial" w:hAnsi="Arial" w:cs="Arial"/>
        </w:rPr>
        <w:t>than rely on a single forecast.</w:t>
      </w:r>
    </w:p>
    <w:p w:rsidR="009A2C6F" w:rsidRDefault="009A2C6F" w:rsidP="007A7349">
      <w:pPr>
        <w:jc w:val="both"/>
        <w:rPr>
          <w:rFonts w:ascii="Arial" w:hAnsi="Arial" w:cs="Arial"/>
          <w:b/>
        </w:rPr>
      </w:pPr>
    </w:p>
    <w:p w:rsidR="003F2A11" w:rsidRPr="003074C7" w:rsidRDefault="003F2A11" w:rsidP="007A7349">
      <w:pPr>
        <w:jc w:val="both"/>
        <w:rPr>
          <w:rFonts w:ascii="Arial" w:hAnsi="Arial" w:cs="Arial"/>
          <w:b/>
        </w:rPr>
      </w:pPr>
      <w:r w:rsidRPr="003074C7">
        <w:rPr>
          <w:rFonts w:ascii="Arial" w:hAnsi="Arial" w:cs="Arial"/>
          <w:b/>
        </w:rPr>
        <w:t xml:space="preserve">Emissions and </w:t>
      </w:r>
      <w:r w:rsidR="00035162" w:rsidRPr="003074C7">
        <w:rPr>
          <w:rFonts w:ascii="Arial" w:hAnsi="Arial" w:cs="Arial"/>
          <w:b/>
        </w:rPr>
        <w:t>decarburization</w:t>
      </w:r>
    </w:p>
    <w:p w:rsidR="003F2A11" w:rsidRPr="003F2A11" w:rsidRDefault="003F2A11" w:rsidP="007A7349">
      <w:pPr>
        <w:spacing w:line="360" w:lineRule="auto"/>
        <w:jc w:val="both"/>
        <w:rPr>
          <w:rFonts w:ascii="Arial" w:hAnsi="Arial" w:cs="Arial"/>
        </w:rPr>
      </w:pPr>
      <w:r w:rsidRPr="003F2A11">
        <w:rPr>
          <w:rFonts w:ascii="Arial" w:hAnsi="Arial" w:cs="Arial"/>
        </w:rPr>
        <w:t>Renewable electricity, energy efficiency, automation, alternative fuels and equipment electrification may help BHP achieve its operational-emissions target. These measures may also reduce exposure to fossil-fuel prices and future carbon costs.</w:t>
      </w:r>
    </w:p>
    <w:p w:rsidR="003F2A11" w:rsidRPr="003F2A11" w:rsidRDefault="003F2A11" w:rsidP="007A7349">
      <w:pPr>
        <w:spacing w:line="360" w:lineRule="auto"/>
        <w:jc w:val="both"/>
        <w:rPr>
          <w:rFonts w:ascii="Arial" w:hAnsi="Arial" w:cs="Arial"/>
        </w:rPr>
      </w:pPr>
      <w:r w:rsidRPr="003F2A11">
        <w:rPr>
          <w:rFonts w:ascii="Arial" w:hAnsi="Arial" w:cs="Arial"/>
        </w:rPr>
        <w:t xml:space="preserve">However, </w:t>
      </w:r>
      <w:r w:rsidR="00035162" w:rsidRPr="003F2A11">
        <w:rPr>
          <w:rFonts w:ascii="Arial" w:hAnsi="Arial" w:cs="Arial"/>
        </w:rPr>
        <w:t>decarburization</w:t>
      </w:r>
      <w:r w:rsidRPr="003F2A11">
        <w:rPr>
          <w:rFonts w:ascii="Arial" w:hAnsi="Arial" w:cs="Arial"/>
        </w:rPr>
        <w:t xml:space="preserve"> does not automatically lower costs. Electric haul trucks, renewable-energy systems and processing changes require substantial upfront expenditure. Existing mining equipment has long replacement cycles. Replacing it too early could destroy remaining economic value, while delaying investment may </w:t>
      </w:r>
      <w:r w:rsidRPr="003F2A11">
        <w:rPr>
          <w:rFonts w:ascii="Arial" w:hAnsi="Arial" w:cs="Arial"/>
        </w:rPr>
        <w:lastRenderedPageBreak/>
        <w:t>increase regulatory and reputational risks.</w:t>
      </w:r>
      <w:r>
        <w:rPr>
          <w:rFonts w:ascii="Arial" w:hAnsi="Arial" w:cs="Arial"/>
        </w:rPr>
        <w:t xml:space="preserve"> </w:t>
      </w:r>
      <w:r w:rsidRPr="003F2A11">
        <w:rPr>
          <w:rFonts w:ascii="Arial" w:hAnsi="Arial" w:cs="Arial"/>
        </w:rPr>
        <w:t>Operational emissions also represent only part of BHP’s climate impact. Most value-chain emissions are connected with steel production. Technologies such as hydrogen-based direct-reduced iron, electric-arc furnaces and carbon capture remain costly and are not commercially available in all markets. BHP can support research and customer partnerships but should not claim direct control over downstream emissions.</w:t>
      </w:r>
    </w:p>
    <w:p w:rsidR="003F2A11" w:rsidRPr="003F2A11" w:rsidRDefault="003F2A11" w:rsidP="007A7349">
      <w:pPr>
        <w:spacing w:line="360" w:lineRule="auto"/>
        <w:jc w:val="both"/>
        <w:rPr>
          <w:rFonts w:ascii="Arial" w:hAnsi="Arial" w:cs="Arial"/>
        </w:rPr>
      </w:pPr>
      <w:r w:rsidRPr="003F2A11">
        <w:rPr>
          <w:rFonts w:ascii="Arial" w:hAnsi="Arial" w:cs="Arial"/>
        </w:rPr>
        <w:t>McKinsey &amp; Company (2020) argues that mining companies face growing pressure to reduce emissions and prepare for physical climate risks. Nevertheless, the commercial case differs by asset. A technology suitable for a long-life copper operation may not be economically viable at an older or less profitable mine. BHP should therefore apply asset-specific investment criteria.</w:t>
      </w:r>
    </w:p>
    <w:p w:rsidR="003F2A11" w:rsidRPr="003074C7" w:rsidRDefault="008F609D" w:rsidP="007A7349">
      <w:pPr>
        <w:jc w:val="both"/>
        <w:rPr>
          <w:rFonts w:ascii="Arial" w:hAnsi="Arial" w:cs="Arial"/>
          <w:b/>
        </w:rPr>
      </w:pPr>
      <w:r>
        <w:rPr>
          <w:rFonts w:ascii="Arial" w:hAnsi="Arial" w:cs="Arial"/>
          <w:b/>
        </w:rPr>
        <w:t>Biodiversity and social licens</w:t>
      </w:r>
      <w:r w:rsidR="003F2A11" w:rsidRPr="003074C7">
        <w:rPr>
          <w:rFonts w:ascii="Arial" w:hAnsi="Arial" w:cs="Arial"/>
          <w:b/>
        </w:rPr>
        <w:t>e</w:t>
      </w:r>
    </w:p>
    <w:p w:rsidR="003F2A11" w:rsidRDefault="003F2A11" w:rsidP="008F609D">
      <w:pPr>
        <w:spacing w:line="360" w:lineRule="auto"/>
        <w:jc w:val="both"/>
        <w:rPr>
          <w:rFonts w:ascii="Arial" w:hAnsi="Arial" w:cs="Arial"/>
        </w:rPr>
      </w:pPr>
      <w:r w:rsidRPr="003F2A11">
        <w:rPr>
          <w:rFonts w:ascii="Arial" w:hAnsi="Arial" w:cs="Arial"/>
        </w:rPr>
        <w:t>Mining can cause habitat loss, land disturbance, pollution and ecosystem fragmentation. These impacts may weaken community trust, delay approvals and increase rehabilitation costs. Risks are particularly serious where projects affect Indigenous land, cultural heritage or sensitive ecosystems.</w:t>
      </w:r>
      <w:r>
        <w:rPr>
          <w:rFonts w:ascii="Arial" w:hAnsi="Arial" w:cs="Arial"/>
        </w:rPr>
        <w:t xml:space="preserve"> </w:t>
      </w:r>
    </w:p>
    <w:p w:rsidR="003F2A11" w:rsidRPr="003F2A11" w:rsidRDefault="003F2A11" w:rsidP="008F609D">
      <w:pPr>
        <w:spacing w:line="360" w:lineRule="auto"/>
        <w:jc w:val="both"/>
        <w:rPr>
          <w:rFonts w:ascii="Arial" w:hAnsi="Arial" w:cs="Arial"/>
        </w:rPr>
      </w:pPr>
      <w:r w:rsidRPr="003F2A11">
        <w:rPr>
          <w:rFonts w:ascii="Arial" w:hAnsi="Arial" w:cs="Arial"/>
        </w:rPr>
        <w:t xml:space="preserve">BHP’s biodiversity strategies and rehabilitation </w:t>
      </w:r>
      <w:proofErr w:type="spellStart"/>
      <w:r w:rsidRPr="003F2A11">
        <w:rPr>
          <w:rFonts w:ascii="Arial" w:hAnsi="Arial" w:cs="Arial"/>
        </w:rPr>
        <w:t>programmes</w:t>
      </w:r>
      <w:proofErr w:type="spellEnd"/>
      <w:r w:rsidRPr="003F2A11">
        <w:rPr>
          <w:rFonts w:ascii="Arial" w:hAnsi="Arial" w:cs="Arial"/>
        </w:rPr>
        <w:t xml:space="preserve"> may reduce these risks. However, biodiversity offsets are limited because newly restored areas may not reproduce the ecological value of habitats destroyed. There may also be long delays before replacement ecosystems become established.</w:t>
      </w:r>
    </w:p>
    <w:p w:rsidR="003F2A11" w:rsidRPr="003F2A11" w:rsidRDefault="003F2A11" w:rsidP="008F609D">
      <w:pPr>
        <w:spacing w:line="360" w:lineRule="auto"/>
        <w:jc w:val="both"/>
        <w:rPr>
          <w:rFonts w:ascii="Arial" w:hAnsi="Arial" w:cs="Arial"/>
        </w:rPr>
      </w:pPr>
      <w:r w:rsidRPr="003F2A11">
        <w:rPr>
          <w:rFonts w:ascii="Arial" w:hAnsi="Arial" w:cs="Arial"/>
        </w:rPr>
        <w:t xml:space="preserve">BHP should apply the mitigation hierarchy: avoid environmental damage where possible, then </w:t>
      </w:r>
      <w:proofErr w:type="spellStart"/>
      <w:r w:rsidRPr="003F2A11">
        <w:rPr>
          <w:rFonts w:ascii="Arial" w:hAnsi="Arial" w:cs="Arial"/>
        </w:rPr>
        <w:t>minimise</w:t>
      </w:r>
      <w:proofErr w:type="spellEnd"/>
      <w:r w:rsidRPr="003F2A11">
        <w:rPr>
          <w:rFonts w:ascii="Arial" w:hAnsi="Arial" w:cs="Arial"/>
        </w:rPr>
        <w:t>, restore and use offsets only for residual impacts. Some projects may need to be redesigned or rejected where cultural or environmental damage cannot be credibly mitigated.</w:t>
      </w:r>
    </w:p>
    <w:p w:rsidR="003074C7" w:rsidRPr="003074C7" w:rsidRDefault="003F2A11" w:rsidP="008F609D">
      <w:pPr>
        <w:spacing w:line="360" w:lineRule="auto"/>
        <w:jc w:val="both"/>
        <w:rPr>
          <w:rFonts w:ascii="Arial" w:hAnsi="Arial" w:cs="Arial"/>
        </w:rPr>
      </w:pPr>
      <w:r w:rsidRPr="003F2A11">
        <w:rPr>
          <w:rFonts w:ascii="Arial" w:hAnsi="Arial" w:cs="Arial"/>
        </w:rPr>
        <w:t>Tailings management is also critical. Major failures elsewhere in mining have increased scrutiny of the whole sector. Even when BHP is not responsible, sector-wide distrust</w:t>
      </w:r>
      <w:r w:rsidR="003074C7">
        <w:rPr>
          <w:rFonts w:ascii="Arial" w:hAnsi="Arial" w:cs="Arial"/>
        </w:rPr>
        <w:t xml:space="preserve"> </w:t>
      </w:r>
      <w:r w:rsidR="003074C7" w:rsidRPr="003074C7">
        <w:rPr>
          <w:rFonts w:ascii="Arial" w:hAnsi="Arial" w:cs="Arial"/>
        </w:rPr>
        <w:t>can result in stricter regulation and higher assurance costs. Tailings safety should therefore be treated as a strategic governance issue.</w:t>
      </w:r>
    </w:p>
    <w:p w:rsidR="008F609D" w:rsidRDefault="008F609D" w:rsidP="003074C7">
      <w:pPr>
        <w:rPr>
          <w:rFonts w:ascii="Arial" w:hAnsi="Arial" w:cs="Arial"/>
          <w:b/>
        </w:rPr>
      </w:pPr>
    </w:p>
    <w:p w:rsidR="003074C7" w:rsidRPr="003074C7" w:rsidRDefault="003074C7" w:rsidP="008F609D">
      <w:pPr>
        <w:jc w:val="both"/>
        <w:rPr>
          <w:rFonts w:ascii="Arial" w:hAnsi="Arial" w:cs="Arial"/>
          <w:b/>
        </w:rPr>
      </w:pPr>
      <w:r w:rsidRPr="003074C7">
        <w:rPr>
          <w:rFonts w:ascii="Arial" w:hAnsi="Arial" w:cs="Arial"/>
          <w:b/>
        </w:rPr>
        <w:t>Resource scarcity and transition opportunities</w:t>
      </w:r>
    </w:p>
    <w:p w:rsidR="003074C7" w:rsidRPr="003074C7" w:rsidRDefault="003074C7" w:rsidP="008F609D">
      <w:pPr>
        <w:spacing w:line="360" w:lineRule="auto"/>
        <w:jc w:val="both"/>
        <w:rPr>
          <w:rFonts w:ascii="Arial" w:hAnsi="Arial" w:cs="Arial"/>
        </w:rPr>
      </w:pPr>
      <w:r w:rsidRPr="003074C7">
        <w:rPr>
          <w:rFonts w:ascii="Arial" w:hAnsi="Arial" w:cs="Arial"/>
        </w:rPr>
        <w:lastRenderedPageBreak/>
        <w:t xml:space="preserve">Declining ore grades may require BHP to process more material to produce the same quantity of metal, increasing water use, energy consumption, waste and costs. Technologies such as ore sorting, predictive maintenance and precision processing may improve efficiency. However, digital dependency also creates </w:t>
      </w:r>
      <w:r w:rsidR="00035162" w:rsidRPr="003074C7">
        <w:rPr>
          <w:rFonts w:ascii="Arial" w:hAnsi="Arial" w:cs="Arial"/>
        </w:rPr>
        <w:t>cyber security</w:t>
      </w:r>
      <w:r w:rsidRPr="003074C7">
        <w:rPr>
          <w:rFonts w:ascii="Arial" w:hAnsi="Arial" w:cs="Arial"/>
        </w:rPr>
        <w:t xml:space="preserve"> and workforce risks.</w:t>
      </w:r>
    </w:p>
    <w:p w:rsidR="003F2A11" w:rsidRDefault="003074C7" w:rsidP="008F609D">
      <w:pPr>
        <w:spacing w:line="360" w:lineRule="auto"/>
        <w:jc w:val="both"/>
        <w:rPr>
          <w:rFonts w:ascii="Arial" w:hAnsi="Arial" w:cs="Arial"/>
        </w:rPr>
      </w:pPr>
      <w:r w:rsidRPr="003074C7">
        <w:rPr>
          <w:rFonts w:ascii="Arial" w:hAnsi="Arial" w:cs="Arial"/>
        </w:rPr>
        <w:t xml:space="preserve">The energy transition provides a major opportunity for copper because renewable technologies, electric vehicles, power networks and data </w:t>
      </w:r>
      <w:proofErr w:type="spellStart"/>
      <w:r w:rsidRPr="003074C7">
        <w:rPr>
          <w:rFonts w:ascii="Arial" w:hAnsi="Arial" w:cs="Arial"/>
        </w:rPr>
        <w:t>centres</w:t>
      </w:r>
      <w:proofErr w:type="spellEnd"/>
      <w:r w:rsidRPr="003074C7">
        <w:rPr>
          <w:rFonts w:ascii="Arial" w:hAnsi="Arial" w:cs="Arial"/>
        </w:rPr>
        <w:t xml:space="preserve"> are copper-intensive. BHP’s financial strength, geological resources and technical expertise support expansion.</w:t>
      </w:r>
    </w:p>
    <w:p w:rsidR="003074C7" w:rsidRPr="003074C7" w:rsidRDefault="003074C7" w:rsidP="008F609D">
      <w:pPr>
        <w:spacing w:line="360" w:lineRule="auto"/>
        <w:jc w:val="both"/>
        <w:rPr>
          <w:rFonts w:ascii="Arial" w:hAnsi="Arial" w:cs="Arial"/>
        </w:rPr>
      </w:pPr>
      <w:r w:rsidRPr="003074C7">
        <w:rPr>
          <w:rFonts w:ascii="Arial" w:hAnsi="Arial" w:cs="Arial"/>
        </w:rPr>
        <w:t>Nevertheless, high demand forecasts may encourage several producers to increase supply, potentially creating future oversupply. New mines require long development periods and may face cost inflation, water shortages, community opposition and permitting delays.</w:t>
      </w:r>
    </w:p>
    <w:p w:rsidR="003074C7" w:rsidRPr="003074C7" w:rsidRDefault="003074C7" w:rsidP="008F609D">
      <w:pPr>
        <w:spacing w:line="360" w:lineRule="auto"/>
        <w:jc w:val="both"/>
        <w:rPr>
          <w:rFonts w:ascii="Arial" w:hAnsi="Arial" w:cs="Arial"/>
        </w:rPr>
      </w:pPr>
      <w:r w:rsidRPr="003074C7">
        <w:rPr>
          <w:rFonts w:ascii="Arial" w:hAnsi="Arial" w:cs="Arial"/>
        </w:rPr>
        <w:t>Nickel shows why transition-related demand does not guarantee profitability. Weaker prices, changing battery chemistry and increased Indonesian output reduced the competitiveness of BHP’s Western Australia Nickel business. BHP temporarily suspended Nickel West and the West Musgrave project from October 2024, with a review expected by February 2027 (BHP, 2024c).</w:t>
      </w:r>
    </w:p>
    <w:p w:rsidR="003074C7" w:rsidRDefault="003074C7" w:rsidP="008F609D">
      <w:pPr>
        <w:spacing w:line="360" w:lineRule="auto"/>
        <w:jc w:val="both"/>
        <w:rPr>
          <w:rFonts w:ascii="Arial" w:hAnsi="Arial" w:cs="Arial"/>
        </w:rPr>
      </w:pPr>
      <w:r w:rsidRPr="003074C7">
        <w:rPr>
          <w:rFonts w:ascii="Arial" w:hAnsi="Arial" w:cs="Arial"/>
        </w:rPr>
        <w:t>The Natural Environment therefore creates both opportunity and risk. BHP may benefit from supplying transition minerals, but expanded mining can intensify local environmental pressures. Advantage will depend on producing minerals with lower emissions, credible water management and stronger community protection.</w:t>
      </w:r>
    </w:p>
    <w:p w:rsidR="003074C7" w:rsidRPr="004D6555" w:rsidRDefault="003074C7" w:rsidP="008F609D">
      <w:pPr>
        <w:rPr>
          <w:rFonts w:ascii="Arial" w:hAnsi="Arial" w:cs="Arial"/>
          <w:b/>
          <w:sz w:val="28"/>
          <w:szCs w:val="28"/>
        </w:rPr>
      </w:pPr>
      <w:r w:rsidRPr="004D6555">
        <w:rPr>
          <w:rFonts w:ascii="Arial" w:hAnsi="Arial" w:cs="Arial"/>
          <w:b/>
          <w:sz w:val="28"/>
          <w:szCs w:val="28"/>
        </w:rPr>
        <w:t>1.3 External Marketing Environment Actor 2: Political and Regulatory Environment</w:t>
      </w:r>
    </w:p>
    <w:p w:rsidR="003074C7" w:rsidRPr="003074C7" w:rsidRDefault="003074C7" w:rsidP="008F609D">
      <w:pPr>
        <w:spacing w:line="360" w:lineRule="auto"/>
        <w:jc w:val="both"/>
        <w:rPr>
          <w:rFonts w:ascii="Arial" w:hAnsi="Arial" w:cs="Arial"/>
        </w:rPr>
      </w:pPr>
      <w:r w:rsidRPr="003074C7">
        <w:rPr>
          <w:rFonts w:ascii="Arial" w:hAnsi="Arial" w:cs="Arial"/>
        </w:rPr>
        <w:t>The Political and Regulatory Environment is significant because governments determine how BHP accesses land, receives permits, pays taxes, manages emissions and sells products. Mining investments are long term and capital intensive, making them highly sensitive to policy change.</w:t>
      </w:r>
    </w:p>
    <w:p w:rsidR="003074C7" w:rsidRPr="003074C7" w:rsidRDefault="003074C7" w:rsidP="008F609D">
      <w:pPr>
        <w:spacing w:line="360" w:lineRule="auto"/>
        <w:jc w:val="both"/>
        <w:rPr>
          <w:rFonts w:ascii="Arial" w:hAnsi="Arial" w:cs="Arial"/>
        </w:rPr>
      </w:pPr>
      <w:r w:rsidRPr="003074C7">
        <w:rPr>
          <w:rFonts w:ascii="Arial" w:hAnsi="Arial" w:cs="Arial"/>
        </w:rPr>
        <w:t xml:space="preserve">Australia’s Safeguard Mechanism establishes emissions baselines for large facilities. Facilities exceeding relevant limits must reduce emissions or obtain approved </w:t>
      </w:r>
      <w:r w:rsidRPr="003074C7">
        <w:rPr>
          <w:rFonts w:ascii="Arial" w:hAnsi="Arial" w:cs="Arial"/>
        </w:rPr>
        <w:lastRenderedPageBreak/>
        <w:t xml:space="preserve">compliance units. This encourages investment in renewable energy, efficiency and operational </w:t>
      </w:r>
      <w:r w:rsidR="00035162" w:rsidRPr="003074C7">
        <w:rPr>
          <w:rFonts w:ascii="Arial" w:hAnsi="Arial" w:cs="Arial"/>
        </w:rPr>
        <w:t>decarburization</w:t>
      </w:r>
      <w:r w:rsidRPr="003074C7">
        <w:rPr>
          <w:rFonts w:ascii="Arial" w:hAnsi="Arial" w:cs="Arial"/>
        </w:rPr>
        <w:t>.</w:t>
      </w:r>
    </w:p>
    <w:p w:rsidR="00AC0518" w:rsidRPr="00AC0518" w:rsidRDefault="003074C7" w:rsidP="008F609D">
      <w:pPr>
        <w:spacing w:line="360" w:lineRule="auto"/>
        <w:jc w:val="both"/>
        <w:rPr>
          <w:rFonts w:ascii="Arial" w:hAnsi="Arial" w:cs="Arial"/>
        </w:rPr>
      </w:pPr>
      <w:r w:rsidRPr="003074C7">
        <w:rPr>
          <w:rFonts w:ascii="Arial" w:hAnsi="Arial" w:cs="Arial"/>
        </w:rPr>
        <w:t xml:space="preserve">However, compliance may increase costs where low-emission technologies remain unavailable. Heavy reliance on carbon offsets could also expose BHP to </w:t>
      </w:r>
      <w:r w:rsidR="00035162" w:rsidRPr="003074C7">
        <w:rPr>
          <w:rFonts w:ascii="Arial" w:hAnsi="Arial" w:cs="Arial"/>
        </w:rPr>
        <w:t>green washing</w:t>
      </w:r>
      <w:r w:rsidRPr="003074C7">
        <w:rPr>
          <w:rFonts w:ascii="Arial" w:hAnsi="Arial" w:cs="Arial"/>
        </w:rPr>
        <w:t xml:space="preserve"> criticism if reported compliance is not matched by genuine operational change. Direct</w:t>
      </w:r>
      <w:r w:rsidR="00AC0518">
        <w:rPr>
          <w:rFonts w:ascii="Arial" w:hAnsi="Arial" w:cs="Arial"/>
        </w:rPr>
        <w:t xml:space="preserve"> </w:t>
      </w:r>
      <w:r w:rsidR="00AC0518" w:rsidRPr="00AC0518">
        <w:rPr>
          <w:rFonts w:ascii="Arial" w:hAnsi="Arial" w:cs="Arial"/>
        </w:rPr>
        <w:t xml:space="preserve">reductions should therefore be </w:t>
      </w:r>
      <w:r w:rsidR="00035162" w:rsidRPr="00AC0518">
        <w:rPr>
          <w:rFonts w:ascii="Arial" w:hAnsi="Arial" w:cs="Arial"/>
        </w:rPr>
        <w:t>prioritized</w:t>
      </w:r>
      <w:r w:rsidR="00AC0518" w:rsidRPr="00AC0518">
        <w:rPr>
          <w:rFonts w:ascii="Arial" w:hAnsi="Arial" w:cs="Arial"/>
        </w:rPr>
        <w:t>, with offsets used transparently for difficult-to-abate emissions.</w:t>
      </w:r>
    </w:p>
    <w:p w:rsidR="00AC0518" w:rsidRPr="00AC0518" w:rsidRDefault="00AC0518" w:rsidP="008F609D">
      <w:pPr>
        <w:spacing w:line="360" w:lineRule="auto"/>
        <w:jc w:val="both"/>
        <w:rPr>
          <w:rFonts w:ascii="Arial" w:hAnsi="Arial" w:cs="Arial"/>
        </w:rPr>
      </w:pPr>
      <w:r w:rsidRPr="00AC0518">
        <w:rPr>
          <w:rFonts w:ascii="Arial" w:hAnsi="Arial" w:cs="Arial"/>
        </w:rPr>
        <w:t>Critical-minerals policies create further opportunities. The European Critical Raw Materials Act seeks to strengthen secure and diversified access to strategically important materials (European Commission, 2024). BHP could benefit from infrastructure support, long-term agreements and customers seeking reliable supply from politically stable jurisdictions.</w:t>
      </w:r>
    </w:p>
    <w:p w:rsidR="00AC0518" w:rsidRPr="00AC0518" w:rsidRDefault="00AC0518" w:rsidP="008F609D">
      <w:pPr>
        <w:spacing w:line="360" w:lineRule="auto"/>
        <w:jc w:val="both"/>
        <w:rPr>
          <w:rFonts w:ascii="Arial" w:hAnsi="Arial" w:cs="Arial"/>
        </w:rPr>
      </w:pPr>
      <w:r w:rsidRPr="00AC0518">
        <w:rPr>
          <w:rFonts w:ascii="Arial" w:hAnsi="Arial" w:cs="Arial"/>
        </w:rPr>
        <w:t>Nevertheless, policy support does not guarantee commercial success. Government priorities may change after elections, while local communities may resist projects that national governments consider strategically important. Faster permitting may also create opposition if it appears to weaken environmental assessment or Indigenous consultation.</w:t>
      </w:r>
    </w:p>
    <w:p w:rsidR="00AC0518" w:rsidRPr="00AC0518" w:rsidRDefault="00AC0518" w:rsidP="008F609D">
      <w:pPr>
        <w:spacing w:line="360" w:lineRule="auto"/>
        <w:jc w:val="both"/>
        <w:rPr>
          <w:rFonts w:ascii="Arial" w:hAnsi="Arial" w:cs="Arial"/>
        </w:rPr>
      </w:pPr>
      <w:r w:rsidRPr="00AC0518">
        <w:rPr>
          <w:rFonts w:ascii="Arial" w:hAnsi="Arial" w:cs="Arial"/>
        </w:rPr>
        <w:t>Permitting processes can delay projects and increase costs. However, regulation should not be treated merely as a barrier because it protects communities, cultural heritage and ecosystems. Early consultation and transparent benefit-sharing may initially lengthen development but reduce the risk of legal disputes and operational disruption.</w:t>
      </w:r>
    </w:p>
    <w:p w:rsidR="003074C7" w:rsidRDefault="00AC0518" w:rsidP="008F609D">
      <w:pPr>
        <w:spacing w:line="360" w:lineRule="auto"/>
        <w:jc w:val="both"/>
        <w:rPr>
          <w:rFonts w:ascii="Arial" w:hAnsi="Arial" w:cs="Arial"/>
        </w:rPr>
      </w:pPr>
      <w:r w:rsidRPr="00AC0518">
        <w:rPr>
          <w:rFonts w:ascii="Arial" w:hAnsi="Arial" w:cs="Arial"/>
        </w:rPr>
        <w:t>BHP is also exposed to royalty changes, taxation and resource nationalism, particularly in Latin America. Governments may seek a larger share of profits when commodity prices rise. BHP should therefore apply country-specific political-risk analysis.</w:t>
      </w:r>
    </w:p>
    <w:p w:rsidR="00AC0518" w:rsidRPr="00AC0518" w:rsidRDefault="00AC0518" w:rsidP="008F609D">
      <w:pPr>
        <w:spacing w:line="360" w:lineRule="auto"/>
        <w:jc w:val="both"/>
        <w:rPr>
          <w:rFonts w:ascii="Arial" w:hAnsi="Arial" w:cs="Arial"/>
        </w:rPr>
      </w:pPr>
      <w:r w:rsidRPr="00AC0518">
        <w:rPr>
          <w:rFonts w:ascii="Arial" w:hAnsi="Arial" w:cs="Arial"/>
        </w:rPr>
        <w:t>Dependence on Chinese iron ore demand also creates geopolitical risk. Changes in construction, steel production or trade policy may materially affect revenue. Copper expansion may diversify earnings but does not eliminate geopolitical exposure because processing capacity is also concentrated internationally.</w:t>
      </w:r>
    </w:p>
    <w:p w:rsidR="00AC0518" w:rsidRDefault="00AC0518" w:rsidP="008F609D">
      <w:pPr>
        <w:spacing w:line="360" w:lineRule="auto"/>
        <w:jc w:val="both"/>
        <w:rPr>
          <w:rFonts w:ascii="Arial" w:hAnsi="Arial" w:cs="Arial"/>
        </w:rPr>
      </w:pPr>
      <w:r w:rsidRPr="00AC0518">
        <w:rPr>
          <w:rFonts w:ascii="Arial" w:hAnsi="Arial" w:cs="Arial"/>
        </w:rPr>
        <w:lastRenderedPageBreak/>
        <w:t>Environmental claims face increased regulatory scrutiny. Terms such as “green copper” and “low-carbon minerals” require credible measurement and independent assurance. A product may have lower emissions than competitors while still producing significant water or biodiversity impacts. BHP should use precise, evidence-based claims rather than broad sustainability language.</w:t>
      </w:r>
    </w:p>
    <w:p w:rsidR="00AC0518" w:rsidRDefault="00AC0518" w:rsidP="00AC0518">
      <w:pPr>
        <w:rPr>
          <w:rFonts w:ascii="Arial" w:hAnsi="Arial" w:cs="Arial"/>
        </w:rPr>
      </w:pPr>
    </w:p>
    <w:p w:rsidR="00AC0518" w:rsidRPr="004D6555" w:rsidRDefault="00AC0518" w:rsidP="00AC0518">
      <w:pPr>
        <w:rPr>
          <w:rFonts w:ascii="Arial" w:hAnsi="Arial" w:cs="Arial"/>
          <w:b/>
          <w:sz w:val="32"/>
          <w:szCs w:val="32"/>
        </w:rPr>
      </w:pPr>
      <w:r w:rsidRPr="004D6555">
        <w:rPr>
          <w:rFonts w:ascii="Arial" w:hAnsi="Arial" w:cs="Arial"/>
          <w:b/>
          <w:sz w:val="32"/>
          <w:szCs w:val="32"/>
        </w:rPr>
        <w:t>2. Task 2: Strategic Growth and Competitive Positioning</w:t>
      </w:r>
    </w:p>
    <w:p w:rsidR="00AC0518" w:rsidRPr="004D6555" w:rsidRDefault="00AC0518" w:rsidP="00AC0518">
      <w:pPr>
        <w:rPr>
          <w:rFonts w:ascii="Arial" w:hAnsi="Arial" w:cs="Arial"/>
          <w:b/>
          <w:sz w:val="28"/>
          <w:szCs w:val="28"/>
        </w:rPr>
      </w:pPr>
      <w:r w:rsidRPr="004D6555">
        <w:rPr>
          <w:rFonts w:ascii="Arial" w:hAnsi="Arial" w:cs="Arial"/>
          <w:b/>
          <w:sz w:val="28"/>
          <w:szCs w:val="28"/>
        </w:rPr>
        <w:t xml:space="preserve">2.1 Strategic Growth Recommendation Using the </w:t>
      </w:r>
      <w:proofErr w:type="spellStart"/>
      <w:r w:rsidRPr="004D6555">
        <w:rPr>
          <w:rFonts w:ascii="Arial" w:hAnsi="Arial" w:cs="Arial"/>
          <w:b/>
          <w:sz w:val="28"/>
          <w:szCs w:val="28"/>
        </w:rPr>
        <w:t>Ansoff</w:t>
      </w:r>
      <w:proofErr w:type="spellEnd"/>
      <w:r w:rsidRPr="004D6555">
        <w:rPr>
          <w:rFonts w:ascii="Arial" w:hAnsi="Arial" w:cs="Arial"/>
          <w:b/>
          <w:sz w:val="28"/>
          <w:szCs w:val="28"/>
        </w:rPr>
        <w:t xml:space="preserve"> Matrix</w:t>
      </w:r>
    </w:p>
    <w:p w:rsidR="00AC0518" w:rsidRPr="00AC0518" w:rsidRDefault="00AC0518" w:rsidP="008F609D">
      <w:pPr>
        <w:spacing w:line="360" w:lineRule="auto"/>
        <w:jc w:val="both"/>
        <w:rPr>
          <w:rFonts w:ascii="Arial" w:hAnsi="Arial" w:cs="Arial"/>
        </w:rPr>
      </w:pPr>
      <w:r w:rsidRPr="00AC0518">
        <w:rPr>
          <w:rFonts w:ascii="Arial" w:hAnsi="Arial" w:cs="Arial"/>
        </w:rPr>
        <w:t xml:space="preserve">The </w:t>
      </w:r>
      <w:proofErr w:type="spellStart"/>
      <w:r w:rsidRPr="00AC0518">
        <w:rPr>
          <w:rFonts w:ascii="Arial" w:hAnsi="Arial" w:cs="Arial"/>
        </w:rPr>
        <w:t>Ansoff</w:t>
      </w:r>
      <w:proofErr w:type="spellEnd"/>
      <w:r w:rsidRPr="00AC0518">
        <w:rPr>
          <w:rFonts w:ascii="Arial" w:hAnsi="Arial" w:cs="Arial"/>
        </w:rPr>
        <w:t xml:space="preserve"> Matrix identifies market penetration, market development, product development and diversification as four growth strategies (</w:t>
      </w:r>
      <w:proofErr w:type="spellStart"/>
      <w:r w:rsidRPr="00AC0518">
        <w:rPr>
          <w:rFonts w:ascii="Arial" w:hAnsi="Arial" w:cs="Arial"/>
        </w:rPr>
        <w:t>Ansoff</w:t>
      </w:r>
      <w:proofErr w:type="spellEnd"/>
      <w:r w:rsidRPr="00AC0518">
        <w:rPr>
          <w:rFonts w:ascii="Arial" w:hAnsi="Arial" w:cs="Arial"/>
        </w:rPr>
        <w:t>, 1957). The most appropriate strategy for BHP is focused product development, supported by selective market development.</w:t>
      </w:r>
    </w:p>
    <w:p w:rsidR="00AC0518" w:rsidRPr="00AC0518" w:rsidRDefault="00AC0518" w:rsidP="008F609D">
      <w:pPr>
        <w:spacing w:line="360" w:lineRule="auto"/>
        <w:jc w:val="both"/>
        <w:rPr>
          <w:rFonts w:ascii="Arial" w:hAnsi="Arial" w:cs="Arial"/>
        </w:rPr>
      </w:pPr>
      <w:r w:rsidRPr="00AC0518">
        <w:rPr>
          <w:rFonts w:ascii="Arial" w:hAnsi="Arial" w:cs="Arial"/>
        </w:rPr>
        <w:t>Product development could include expanding copper production, providing independently verified product-level emissions data, improving traceability, reducing</w:t>
      </w:r>
      <w:r>
        <w:rPr>
          <w:rFonts w:ascii="Arial" w:hAnsi="Arial" w:cs="Arial"/>
        </w:rPr>
        <w:t xml:space="preserve"> </w:t>
      </w:r>
      <w:r w:rsidRPr="00AC0518">
        <w:rPr>
          <w:rFonts w:ascii="Arial" w:hAnsi="Arial" w:cs="Arial"/>
        </w:rPr>
        <w:t>water and energy intensity and supplying ores better suited to lower-emission processing technologies.</w:t>
      </w:r>
    </w:p>
    <w:p w:rsidR="00AC0518" w:rsidRPr="00AC0518" w:rsidRDefault="00AC0518" w:rsidP="008F609D">
      <w:pPr>
        <w:spacing w:line="360" w:lineRule="auto"/>
        <w:jc w:val="both"/>
        <w:rPr>
          <w:rFonts w:ascii="Arial" w:hAnsi="Arial" w:cs="Arial"/>
        </w:rPr>
      </w:pPr>
      <w:r w:rsidRPr="00AC0518">
        <w:rPr>
          <w:rFonts w:ascii="Arial" w:hAnsi="Arial" w:cs="Arial"/>
        </w:rPr>
        <w:t>This strategy is justified because it aligns with projected copper-demand growth and builds on BHP’s established customers, infrastructure, technical expertise and financial capacity. Lower-emission and responsibly sourced products may also strengthen relationships with steelmakers, vehicle manufacturers and infrastructure companies seeking to reduce supply-chain risk.</w:t>
      </w:r>
    </w:p>
    <w:p w:rsidR="00AC0518" w:rsidRPr="00AC0518" w:rsidRDefault="00AC0518" w:rsidP="008F609D">
      <w:pPr>
        <w:spacing w:line="360" w:lineRule="auto"/>
        <w:jc w:val="both"/>
        <w:rPr>
          <w:rFonts w:ascii="Arial" w:hAnsi="Arial" w:cs="Arial"/>
        </w:rPr>
      </w:pPr>
      <w:r w:rsidRPr="00AC0518">
        <w:rPr>
          <w:rFonts w:ascii="Arial" w:hAnsi="Arial" w:cs="Arial"/>
        </w:rPr>
        <w:t xml:space="preserve">However, the </w:t>
      </w:r>
      <w:proofErr w:type="spellStart"/>
      <w:r w:rsidRPr="00AC0518">
        <w:rPr>
          <w:rFonts w:ascii="Arial" w:hAnsi="Arial" w:cs="Arial"/>
        </w:rPr>
        <w:t>Ansoff</w:t>
      </w:r>
      <w:proofErr w:type="spellEnd"/>
      <w:r w:rsidRPr="00AC0518">
        <w:rPr>
          <w:rFonts w:ascii="Arial" w:hAnsi="Arial" w:cs="Arial"/>
        </w:rPr>
        <w:t xml:space="preserve"> Matrix simplifies mining complexity. The difference between an existing and new product may be unclear, while geology, regulation and community consent strongly influence project viability. Customers may also be unwilling to pay premiums for lower-carbon minerals where price, quality and reliability remain dominant.</w:t>
      </w:r>
    </w:p>
    <w:p w:rsidR="00AC0518" w:rsidRPr="00AC0518" w:rsidRDefault="00AC0518" w:rsidP="008F609D">
      <w:pPr>
        <w:spacing w:line="360" w:lineRule="auto"/>
        <w:jc w:val="both"/>
        <w:rPr>
          <w:rFonts w:ascii="Arial" w:hAnsi="Arial" w:cs="Arial"/>
        </w:rPr>
      </w:pPr>
      <w:r w:rsidRPr="00AC0518">
        <w:rPr>
          <w:rFonts w:ascii="Arial" w:hAnsi="Arial" w:cs="Arial"/>
        </w:rPr>
        <w:t>Copper forecasts remain uncertain, and competing companies may expand simultaneously. New projects may experience cost inflation, permitting delays and opposition. BHP should therefore use staged investment, review points and conservative commodity-price assumptions.</w:t>
      </w:r>
    </w:p>
    <w:p w:rsidR="00AC0518" w:rsidRPr="00AC0518" w:rsidRDefault="00AC0518" w:rsidP="008F609D">
      <w:pPr>
        <w:spacing w:line="360" w:lineRule="auto"/>
        <w:jc w:val="both"/>
        <w:rPr>
          <w:rFonts w:ascii="Arial" w:hAnsi="Arial" w:cs="Arial"/>
        </w:rPr>
      </w:pPr>
      <w:r w:rsidRPr="00AC0518">
        <w:rPr>
          <w:rFonts w:ascii="Arial" w:hAnsi="Arial" w:cs="Arial"/>
        </w:rPr>
        <w:lastRenderedPageBreak/>
        <w:t>Nickel should be treated differently. Current market weakness and the Western Australia Nickel suspension demonstrate that transition relevance does not guarantee commercial viability. BHP should preserve strategic options but avoid major expansion until prices, battery demand and production economics improve.</w:t>
      </w:r>
    </w:p>
    <w:p w:rsidR="00AC0518" w:rsidRPr="00AC0518" w:rsidRDefault="00AC0518" w:rsidP="008F609D">
      <w:pPr>
        <w:spacing w:line="360" w:lineRule="auto"/>
        <w:jc w:val="both"/>
        <w:rPr>
          <w:rFonts w:ascii="Arial" w:hAnsi="Arial" w:cs="Arial"/>
        </w:rPr>
      </w:pPr>
      <w:r w:rsidRPr="00AC0518">
        <w:rPr>
          <w:rFonts w:ascii="Arial" w:hAnsi="Arial" w:cs="Arial"/>
        </w:rPr>
        <w:t>Market penetration would increase existing commodity volumes but would not sufficiently address environmental expectations. Market development offers some potential through customers seeking secure and traceable materials, although BHP already serves global markets. Unrelated diversification could dilute managerial focus. Selective adjacent diversification into recycling or processing technology may be useful but should support rather than replace BHP’s core strategy.</w:t>
      </w:r>
    </w:p>
    <w:p w:rsidR="00AC0518" w:rsidRPr="00AC0518" w:rsidRDefault="00AC0518" w:rsidP="008F609D">
      <w:pPr>
        <w:spacing w:line="360" w:lineRule="auto"/>
        <w:jc w:val="both"/>
        <w:rPr>
          <w:rFonts w:ascii="Arial" w:hAnsi="Arial" w:cs="Arial"/>
        </w:rPr>
      </w:pPr>
      <w:r w:rsidRPr="00AC0518">
        <w:rPr>
          <w:rFonts w:ascii="Arial" w:hAnsi="Arial" w:cs="Arial"/>
        </w:rPr>
        <w:t>Focused product development is therefore the strongest option, provided that investment remains disciplined and sustainability claims are verified.</w:t>
      </w:r>
    </w:p>
    <w:p w:rsidR="00AC0518" w:rsidRPr="004D6555" w:rsidRDefault="00AC0518" w:rsidP="00AC0518">
      <w:pPr>
        <w:rPr>
          <w:rFonts w:ascii="Arial" w:hAnsi="Arial" w:cs="Arial"/>
          <w:b/>
          <w:sz w:val="28"/>
          <w:szCs w:val="28"/>
        </w:rPr>
      </w:pPr>
      <w:r w:rsidRPr="004D6555">
        <w:rPr>
          <w:rFonts w:ascii="Arial" w:hAnsi="Arial" w:cs="Arial"/>
          <w:b/>
          <w:sz w:val="28"/>
          <w:szCs w:val="28"/>
        </w:rPr>
        <w:t>2.2 Competitive Advantage through a Lower-Carbon Business Model</w:t>
      </w:r>
    </w:p>
    <w:p w:rsidR="00AC0518" w:rsidRPr="00AC0518" w:rsidRDefault="00AC0518" w:rsidP="008F609D">
      <w:pPr>
        <w:spacing w:line="360" w:lineRule="auto"/>
        <w:jc w:val="both"/>
        <w:rPr>
          <w:rFonts w:ascii="Arial" w:hAnsi="Arial" w:cs="Arial"/>
        </w:rPr>
      </w:pPr>
      <w:r w:rsidRPr="00AC0518">
        <w:rPr>
          <w:rFonts w:ascii="Arial" w:hAnsi="Arial" w:cs="Arial"/>
        </w:rPr>
        <w:t>Porter (1985) identifies cost leadership and differentiation as major sources of competitive advantage. BHP may combine operational efficiency with selective environmental differentiation, although this involves trade-offs.</w:t>
      </w:r>
    </w:p>
    <w:p w:rsidR="00AC0518" w:rsidRPr="00AC0518" w:rsidRDefault="00AC0518" w:rsidP="008F609D">
      <w:pPr>
        <w:spacing w:line="360" w:lineRule="auto"/>
        <w:jc w:val="both"/>
        <w:rPr>
          <w:rFonts w:ascii="Arial" w:hAnsi="Arial" w:cs="Arial"/>
        </w:rPr>
      </w:pPr>
      <w:r w:rsidRPr="00AC0518">
        <w:rPr>
          <w:rFonts w:ascii="Arial" w:hAnsi="Arial" w:cs="Arial"/>
        </w:rPr>
        <w:t>Renewable electricity, automation, predictive maintenance and improved processing may reduce long-term operating costs and carbon-price exposure. BHP’s scale enables it to finance infrastructure and spread technology costs across large operations.</w:t>
      </w:r>
    </w:p>
    <w:p w:rsidR="00AC0518" w:rsidRPr="00AC0518" w:rsidRDefault="00AC0518" w:rsidP="008F609D">
      <w:pPr>
        <w:spacing w:line="360" w:lineRule="auto"/>
        <w:jc w:val="both"/>
        <w:rPr>
          <w:rFonts w:ascii="Arial" w:hAnsi="Arial" w:cs="Arial"/>
        </w:rPr>
      </w:pPr>
      <w:r w:rsidRPr="00AC0518">
        <w:rPr>
          <w:rFonts w:ascii="Arial" w:hAnsi="Arial" w:cs="Arial"/>
        </w:rPr>
        <w:t xml:space="preserve">However, </w:t>
      </w:r>
      <w:r w:rsidR="00035162" w:rsidRPr="00AC0518">
        <w:rPr>
          <w:rFonts w:ascii="Arial" w:hAnsi="Arial" w:cs="Arial"/>
        </w:rPr>
        <w:t>decarburization</w:t>
      </w:r>
      <w:r w:rsidRPr="00AC0518">
        <w:rPr>
          <w:rFonts w:ascii="Arial" w:hAnsi="Arial" w:cs="Arial"/>
        </w:rPr>
        <w:t xml:space="preserve"> may initially increase costs. Electric equipment, grid upgrades and new processing systems require capital and may create implementation problems. Cost leadership should therefore be assessed using lifetime costs rather than initial expenditure.</w:t>
      </w:r>
    </w:p>
    <w:p w:rsidR="00AC0518" w:rsidRPr="00AC0518" w:rsidRDefault="00AC0518" w:rsidP="008F609D">
      <w:pPr>
        <w:spacing w:line="360" w:lineRule="auto"/>
        <w:jc w:val="both"/>
        <w:rPr>
          <w:rFonts w:ascii="Arial" w:hAnsi="Arial" w:cs="Arial"/>
        </w:rPr>
      </w:pPr>
      <w:r w:rsidRPr="00AC0518">
        <w:rPr>
          <w:rFonts w:ascii="Arial" w:hAnsi="Arial" w:cs="Arial"/>
        </w:rPr>
        <w:t xml:space="preserve">BHP may differentiate through verified lower-emission production, responsible water management, </w:t>
      </w:r>
      <w:r w:rsidR="00331D48" w:rsidRPr="00AC0518">
        <w:rPr>
          <w:rFonts w:ascii="Arial" w:hAnsi="Arial" w:cs="Arial"/>
        </w:rPr>
        <w:t>and traceability</w:t>
      </w:r>
      <w:r w:rsidRPr="00AC0518">
        <w:rPr>
          <w:rFonts w:ascii="Arial" w:hAnsi="Arial" w:cs="Arial"/>
        </w:rPr>
        <w:t xml:space="preserve"> and customer partnerships. These attributes may strengthen access to finance and long-term customer relationships.</w:t>
      </w:r>
    </w:p>
    <w:p w:rsidR="00AC0518" w:rsidRPr="00AC0518" w:rsidRDefault="00AC0518" w:rsidP="008F609D">
      <w:pPr>
        <w:spacing w:line="360" w:lineRule="auto"/>
        <w:jc w:val="both"/>
        <w:rPr>
          <w:rFonts w:ascii="Arial" w:hAnsi="Arial" w:cs="Arial"/>
        </w:rPr>
      </w:pPr>
      <w:r w:rsidRPr="00AC0518">
        <w:rPr>
          <w:rFonts w:ascii="Arial" w:hAnsi="Arial" w:cs="Arial"/>
        </w:rPr>
        <w:t xml:space="preserve">Nevertheless, substantial green premiums remain uncertain. Commodity buyers often </w:t>
      </w:r>
      <w:proofErr w:type="spellStart"/>
      <w:r w:rsidRPr="00AC0518">
        <w:rPr>
          <w:rFonts w:ascii="Arial" w:hAnsi="Arial" w:cs="Arial"/>
        </w:rPr>
        <w:t>prioritise</w:t>
      </w:r>
      <w:proofErr w:type="spellEnd"/>
      <w:r w:rsidRPr="00AC0518">
        <w:rPr>
          <w:rFonts w:ascii="Arial" w:hAnsi="Arial" w:cs="Arial"/>
        </w:rPr>
        <w:t xml:space="preserve"> price, quality and reliability. Competitors may also adopt similar </w:t>
      </w:r>
      <w:r w:rsidRPr="00AC0518">
        <w:rPr>
          <w:rFonts w:ascii="Arial" w:hAnsi="Arial" w:cs="Arial"/>
        </w:rPr>
        <w:lastRenderedPageBreak/>
        <w:t>environmental practices, turning sustainability into a basic market requirement rather than a unique advantage. Its main benefit may therefore be protecting market access and reducing reputational risk.</w:t>
      </w:r>
    </w:p>
    <w:p w:rsidR="00AC0518" w:rsidRPr="00AC0518" w:rsidRDefault="00AC0518" w:rsidP="008F609D">
      <w:pPr>
        <w:spacing w:line="360" w:lineRule="auto"/>
        <w:jc w:val="both"/>
        <w:rPr>
          <w:rFonts w:ascii="Arial" w:hAnsi="Arial" w:cs="Arial"/>
        </w:rPr>
      </w:pPr>
      <w:r w:rsidRPr="00AC0518">
        <w:rPr>
          <w:rFonts w:ascii="Arial" w:hAnsi="Arial" w:cs="Arial"/>
        </w:rPr>
        <w:t xml:space="preserve">Using the VRIO framework, BHP’s high-quality assets, infrastructure, financial capacity and customer relationships are valuable. Geological deposits are rare and difficult to imitate. However, renewable contracts, digital systems and emissions-monitoring technologies can be copied. BHP’s most durable advantage comes from combining assets, logistics, </w:t>
      </w:r>
      <w:r w:rsidR="008F609D" w:rsidRPr="00AC0518">
        <w:rPr>
          <w:rFonts w:ascii="Arial" w:hAnsi="Arial" w:cs="Arial"/>
        </w:rPr>
        <w:t>and expertise</w:t>
      </w:r>
      <w:r w:rsidRPr="00AC0518">
        <w:rPr>
          <w:rFonts w:ascii="Arial" w:hAnsi="Arial" w:cs="Arial"/>
        </w:rPr>
        <w:t>, finance and stakeholder relationships.</w:t>
      </w:r>
    </w:p>
    <w:p w:rsidR="00AC0518" w:rsidRPr="00AC0518" w:rsidRDefault="00AC0518" w:rsidP="008F609D">
      <w:pPr>
        <w:spacing w:line="360" w:lineRule="auto"/>
        <w:jc w:val="both"/>
        <w:rPr>
          <w:rFonts w:ascii="Arial" w:hAnsi="Arial" w:cs="Arial"/>
        </w:rPr>
      </w:pPr>
      <w:r w:rsidRPr="00AC0518">
        <w:rPr>
          <w:rFonts w:ascii="Arial" w:hAnsi="Arial" w:cs="Arial"/>
        </w:rPr>
        <w:t xml:space="preserve">Risks include lower copper prices, delayed technologies, faster competitor progress, </w:t>
      </w:r>
      <w:r w:rsidR="008F609D" w:rsidRPr="00AC0518">
        <w:rPr>
          <w:rFonts w:ascii="Arial" w:hAnsi="Arial" w:cs="Arial"/>
        </w:rPr>
        <w:t>and customer</w:t>
      </w:r>
      <w:r w:rsidRPr="00AC0518">
        <w:rPr>
          <w:rFonts w:ascii="Arial" w:hAnsi="Arial" w:cs="Arial"/>
        </w:rPr>
        <w:t xml:space="preserve"> resistance and approval delays. BHP should also report absolute emissions alongside emissions intensity because production growth could increase total emissions even where emissions per </w:t>
      </w:r>
      <w:r w:rsidR="008F609D" w:rsidRPr="00AC0518">
        <w:rPr>
          <w:rFonts w:ascii="Arial" w:hAnsi="Arial" w:cs="Arial"/>
        </w:rPr>
        <w:t>tons</w:t>
      </w:r>
      <w:r w:rsidRPr="00AC0518">
        <w:rPr>
          <w:rFonts w:ascii="Arial" w:hAnsi="Arial" w:cs="Arial"/>
        </w:rPr>
        <w:t xml:space="preserve"> decline.</w:t>
      </w:r>
    </w:p>
    <w:p w:rsidR="00AC0518" w:rsidRPr="004D6555" w:rsidRDefault="00AC0518" w:rsidP="00AC0518">
      <w:pPr>
        <w:rPr>
          <w:rFonts w:ascii="Arial" w:hAnsi="Arial" w:cs="Arial"/>
          <w:b/>
          <w:sz w:val="32"/>
          <w:szCs w:val="32"/>
        </w:rPr>
      </w:pPr>
      <w:r w:rsidRPr="004D6555">
        <w:rPr>
          <w:rFonts w:ascii="Arial" w:hAnsi="Arial" w:cs="Arial"/>
          <w:b/>
          <w:sz w:val="32"/>
          <w:szCs w:val="32"/>
        </w:rPr>
        <w:t>2.3 Recommendations and Conclusion</w:t>
      </w:r>
    </w:p>
    <w:p w:rsidR="00AC0518" w:rsidRPr="00AC0518" w:rsidRDefault="00AC0518" w:rsidP="008F609D">
      <w:pPr>
        <w:spacing w:line="360" w:lineRule="auto"/>
        <w:jc w:val="both"/>
        <w:rPr>
          <w:rFonts w:ascii="Arial" w:hAnsi="Arial" w:cs="Arial"/>
        </w:rPr>
      </w:pPr>
      <w:r w:rsidRPr="00AC0518">
        <w:rPr>
          <w:rFonts w:ascii="Arial" w:hAnsi="Arial" w:cs="Arial"/>
        </w:rPr>
        <w:t xml:space="preserve">BHP should </w:t>
      </w:r>
      <w:proofErr w:type="spellStart"/>
      <w:r w:rsidRPr="00AC0518">
        <w:rPr>
          <w:rFonts w:ascii="Arial" w:hAnsi="Arial" w:cs="Arial"/>
        </w:rPr>
        <w:t>prioritise</w:t>
      </w:r>
      <w:proofErr w:type="spellEnd"/>
      <w:r w:rsidRPr="00AC0518">
        <w:rPr>
          <w:rFonts w:ascii="Arial" w:hAnsi="Arial" w:cs="Arial"/>
        </w:rPr>
        <w:t xml:space="preserve"> disciplined copper growth in projects with renewable-energy access, credible water plans and strong community relationships. Projects should be tested under low, central and high commodity-price scenarios.</w:t>
      </w:r>
    </w:p>
    <w:p w:rsidR="00AC0518" w:rsidRPr="00AC0518" w:rsidRDefault="00AC0518" w:rsidP="008F609D">
      <w:pPr>
        <w:spacing w:line="360" w:lineRule="auto"/>
        <w:jc w:val="both"/>
        <w:rPr>
          <w:rFonts w:ascii="Arial" w:hAnsi="Arial" w:cs="Arial"/>
        </w:rPr>
      </w:pPr>
      <w:r w:rsidRPr="00AC0518">
        <w:rPr>
          <w:rFonts w:ascii="Arial" w:hAnsi="Arial" w:cs="Arial"/>
        </w:rPr>
        <w:t>Nickel should remain a strategic option rather than an immediate growth priority. Any restart should depend on market recovery, competitive costs and evidence of long-term battery demand.</w:t>
      </w:r>
    </w:p>
    <w:p w:rsidR="00AC0518" w:rsidRPr="00AC0518" w:rsidRDefault="00AC0518" w:rsidP="008F609D">
      <w:pPr>
        <w:spacing w:line="360" w:lineRule="auto"/>
        <w:jc w:val="both"/>
        <w:rPr>
          <w:rFonts w:ascii="Arial" w:hAnsi="Arial" w:cs="Arial"/>
        </w:rPr>
      </w:pPr>
      <w:r w:rsidRPr="00AC0518">
        <w:rPr>
          <w:rFonts w:ascii="Arial" w:hAnsi="Arial" w:cs="Arial"/>
        </w:rPr>
        <w:t xml:space="preserve">BHP should also introduce independently verified product-level sustainability data covering emissions, water and traceability. This would strengthen credibility and reduce </w:t>
      </w:r>
      <w:r w:rsidR="008F609D" w:rsidRPr="00AC0518">
        <w:rPr>
          <w:rFonts w:ascii="Arial" w:hAnsi="Arial" w:cs="Arial"/>
        </w:rPr>
        <w:t>green washing</w:t>
      </w:r>
      <w:r w:rsidRPr="00AC0518">
        <w:rPr>
          <w:rFonts w:ascii="Arial" w:hAnsi="Arial" w:cs="Arial"/>
        </w:rPr>
        <w:t xml:space="preserve"> risk.</w:t>
      </w:r>
    </w:p>
    <w:p w:rsidR="00AC0518" w:rsidRPr="00AC0518" w:rsidRDefault="00AC0518" w:rsidP="008F609D">
      <w:pPr>
        <w:spacing w:line="360" w:lineRule="auto"/>
        <w:jc w:val="both"/>
        <w:rPr>
          <w:rFonts w:ascii="Arial" w:hAnsi="Arial" w:cs="Arial"/>
        </w:rPr>
      </w:pPr>
      <w:r w:rsidRPr="00AC0518">
        <w:rPr>
          <w:rFonts w:ascii="Arial" w:hAnsi="Arial" w:cs="Arial"/>
        </w:rPr>
        <w:t>Partnerships with steelmakers, technology companies, universities and governments should support lower-emission processing, with clear and measurable objectives. Community and biodiversity considerations should also be incorporated from the beginning of investment decisions, including no-go criteria where impacts cannot be acceptably mitigated.</w:t>
      </w:r>
    </w:p>
    <w:p w:rsidR="00AC0518" w:rsidRPr="00AC0518" w:rsidRDefault="00AC0518" w:rsidP="008F609D">
      <w:pPr>
        <w:spacing w:line="360" w:lineRule="auto"/>
        <w:jc w:val="both"/>
        <w:rPr>
          <w:rFonts w:ascii="Arial" w:hAnsi="Arial" w:cs="Arial"/>
        </w:rPr>
      </w:pPr>
      <w:r w:rsidRPr="00AC0518">
        <w:rPr>
          <w:rFonts w:ascii="Arial" w:hAnsi="Arial" w:cs="Arial"/>
        </w:rPr>
        <w:t xml:space="preserve">Finally, AI, remote sensing and automation should be governed responsibly. </w:t>
      </w:r>
      <w:r w:rsidR="008F609D" w:rsidRPr="00AC0518">
        <w:rPr>
          <w:rFonts w:ascii="Arial" w:hAnsi="Arial" w:cs="Arial"/>
        </w:rPr>
        <w:t>Cyber security</w:t>
      </w:r>
      <w:r w:rsidRPr="00AC0518">
        <w:rPr>
          <w:rFonts w:ascii="Arial" w:hAnsi="Arial" w:cs="Arial"/>
        </w:rPr>
        <w:t>, data quality, workforce effects and human oversight should be addressed alongside efficiency benefits.</w:t>
      </w:r>
    </w:p>
    <w:p w:rsidR="00AC0518" w:rsidRPr="00AC0518" w:rsidRDefault="00AC0518" w:rsidP="008F609D">
      <w:pPr>
        <w:spacing w:line="360" w:lineRule="auto"/>
        <w:jc w:val="both"/>
        <w:rPr>
          <w:rFonts w:ascii="Arial" w:hAnsi="Arial" w:cs="Arial"/>
        </w:rPr>
      </w:pPr>
      <w:r w:rsidRPr="00AC0518">
        <w:rPr>
          <w:rFonts w:ascii="Arial" w:hAnsi="Arial" w:cs="Arial"/>
        </w:rPr>
        <w:lastRenderedPageBreak/>
        <w:t xml:space="preserve">In conclusion, BHP faces pressure to reduce the environmental consequences of mining while supplying materials required for global </w:t>
      </w:r>
      <w:r w:rsidR="00DB50E6" w:rsidRPr="00AC0518">
        <w:rPr>
          <w:rFonts w:ascii="Arial" w:hAnsi="Arial" w:cs="Arial"/>
        </w:rPr>
        <w:t>decarburization</w:t>
      </w:r>
      <w:r w:rsidRPr="00AC0518">
        <w:rPr>
          <w:rFonts w:ascii="Arial" w:hAnsi="Arial" w:cs="Arial"/>
        </w:rPr>
        <w:t>. Focused product development provides the strongest strategic direction because it builds on existing capabilities while responding to regulatory and customer expectations. However, success depends on disciplined investment, independently verified environmental performance and legitimate community engagement.</w:t>
      </w:r>
    </w:p>
    <w:p w:rsidR="00AC0518" w:rsidRPr="004D6555" w:rsidRDefault="00AC0518" w:rsidP="00AC0518">
      <w:pPr>
        <w:rPr>
          <w:rFonts w:ascii="Arial" w:hAnsi="Arial" w:cs="Arial"/>
          <w:b/>
          <w:sz w:val="32"/>
          <w:szCs w:val="32"/>
        </w:rPr>
      </w:pPr>
      <w:r w:rsidRPr="004D6555">
        <w:rPr>
          <w:rFonts w:ascii="Arial" w:hAnsi="Arial" w:cs="Arial"/>
          <w:b/>
          <w:sz w:val="32"/>
          <w:szCs w:val="32"/>
        </w:rPr>
        <w:t>3. Task 3: Critical Reflection on Artificial Intelligence Usage</w:t>
      </w:r>
    </w:p>
    <w:p w:rsidR="00AC0518" w:rsidRPr="004D6555" w:rsidRDefault="00AC0518" w:rsidP="00AC0518">
      <w:pPr>
        <w:rPr>
          <w:rFonts w:ascii="Arial" w:hAnsi="Arial" w:cs="Arial"/>
          <w:b/>
          <w:sz w:val="28"/>
          <w:szCs w:val="28"/>
        </w:rPr>
      </w:pPr>
      <w:r w:rsidRPr="004D6555">
        <w:rPr>
          <w:rFonts w:ascii="Arial" w:hAnsi="Arial" w:cs="Arial"/>
          <w:b/>
          <w:sz w:val="28"/>
          <w:szCs w:val="28"/>
        </w:rPr>
        <w:t xml:space="preserve">3.1 AI Tool </w:t>
      </w:r>
      <w:r w:rsidR="008F609D" w:rsidRPr="004D6555">
        <w:rPr>
          <w:rFonts w:ascii="Arial" w:hAnsi="Arial" w:cs="Arial"/>
          <w:b/>
          <w:sz w:val="28"/>
          <w:szCs w:val="28"/>
        </w:rPr>
        <w:t>Disclosures</w:t>
      </w:r>
    </w:p>
    <w:p w:rsidR="00AC0518" w:rsidRDefault="007C2AFF" w:rsidP="007C2AFF">
      <w:pPr>
        <w:spacing w:line="360" w:lineRule="auto"/>
        <w:jc w:val="both"/>
        <w:rPr>
          <w:rFonts w:ascii="Arial" w:hAnsi="Arial" w:cs="Arial"/>
        </w:rPr>
      </w:pPr>
      <w:proofErr w:type="spellStart"/>
      <w:r>
        <w:rPr>
          <w:rFonts w:ascii="Arial" w:hAnsi="Arial" w:cs="Arial"/>
        </w:rPr>
        <w:t>Qwen</w:t>
      </w:r>
      <w:proofErr w:type="spellEnd"/>
      <w:r>
        <w:rPr>
          <w:rFonts w:ascii="Arial" w:hAnsi="Arial" w:cs="Arial"/>
        </w:rPr>
        <w:t xml:space="preserve"> AI</w:t>
      </w:r>
      <w:r w:rsidR="00AC0518" w:rsidRPr="00AC0518">
        <w:rPr>
          <w:rFonts w:ascii="Arial" w:hAnsi="Arial" w:cs="Arial"/>
        </w:rPr>
        <w:t xml:space="preserve">, including web-search and </w:t>
      </w:r>
      <w:r w:rsidR="00DB50E6" w:rsidRPr="00AC0518">
        <w:rPr>
          <w:rFonts w:ascii="Arial" w:hAnsi="Arial" w:cs="Arial"/>
        </w:rPr>
        <w:t>summarization</w:t>
      </w:r>
      <w:r w:rsidR="00AC0518" w:rsidRPr="00AC0518">
        <w:rPr>
          <w:rFonts w:ascii="Arial" w:hAnsi="Arial" w:cs="Arial"/>
        </w:rPr>
        <w:t xml:space="preserve"> functions, was used as a research-support tool. It assisted in locating relevant BHP publications, government webpages and professional reports. It also supported proofreading and the initial visual concept for the PESTLE diagram.</w:t>
      </w:r>
    </w:p>
    <w:p w:rsidR="00AC0518" w:rsidRPr="00AC0518" w:rsidRDefault="00AC0518" w:rsidP="007C2AFF">
      <w:pPr>
        <w:spacing w:line="360" w:lineRule="auto"/>
        <w:jc w:val="both"/>
        <w:rPr>
          <w:rFonts w:ascii="Arial" w:hAnsi="Arial" w:cs="Arial"/>
        </w:rPr>
      </w:pPr>
      <w:r w:rsidRPr="00AC0518">
        <w:rPr>
          <w:rFonts w:ascii="Arial" w:hAnsi="Arial" w:cs="Arial"/>
        </w:rPr>
        <w:t>AI was not treated as an authoritative source. Information used in the report was checked against original publications, including BHP’s Annual Report, Climate Transition Action Plan, government guidance and the McKinsey &amp; Company report.</w:t>
      </w:r>
    </w:p>
    <w:p w:rsidR="00AC0518" w:rsidRPr="004D6555" w:rsidRDefault="00AC0518" w:rsidP="007C2AFF">
      <w:pPr>
        <w:jc w:val="both"/>
        <w:rPr>
          <w:rFonts w:ascii="Arial" w:hAnsi="Arial" w:cs="Arial"/>
          <w:b/>
          <w:sz w:val="28"/>
          <w:szCs w:val="28"/>
        </w:rPr>
      </w:pPr>
      <w:r w:rsidRPr="004D6555">
        <w:rPr>
          <w:rFonts w:ascii="Arial" w:hAnsi="Arial" w:cs="Arial"/>
          <w:b/>
          <w:sz w:val="28"/>
          <w:szCs w:val="28"/>
        </w:rPr>
        <w:t>3.2 Verification and Evaluation</w:t>
      </w:r>
    </w:p>
    <w:p w:rsidR="00AC0518" w:rsidRPr="00AC0518" w:rsidRDefault="00AC0518" w:rsidP="007C2AFF">
      <w:pPr>
        <w:spacing w:line="360" w:lineRule="auto"/>
        <w:jc w:val="both"/>
        <w:rPr>
          <w:rFonts w:ascii="Arial" w:hAnsi="Arial" w:cs="Arial"/>
        </w:rPr>
      </w:pPr>
      <w:r w:rsidRPr="00AC0518">
        <w:rPr>
          <w:rFonts w:ascii="Arial" w:hAnsi="Arial" w:cs="Arial"/>
        </w:rPr>
        <w:t>Several verification procedures were applied. BHP’s FY2030 emissions target was checked directly against its Climate Transition Action Plan. Copper-demand figures were verified against BHP’s published outlook and presented as company forecasts rather than certain outcomes.</w:t>
      </w:r>
    </w:p>
    <w:p w:rsidR="00AC0518" w:rsidRPr="00AC0518" w:rsidRDefault="00AC0518" w:rsidP="007C2AFF">
      <w:pPr>
        <w:spacing w:line="360" w:lineRule="auto"/>
        <w:jc w:val="both"/>
        <w:rPr>
          <w:rFonts w:ascii="Arial" w:hAnsi="Arial" w:cs="Arial"/>
        </w:rPr>
      </w:pPr>
      <w:r w:rsidRPr="00AC0518">
        <w:rPr>
          <w:rFonts w:ascii="Arial" w:hAnsi="Arial" w:cs="Arial"/>
        </w:rPr>
        <w:t>AI-assisted research initially suggested that nickel should be a major growth priority. However, BHP’s official announcement confirmed that Western Australia Nickel and West Musgrave had been suspended. The recommendation was therefore revised to treat nickel as a conditional strategic option.</w:t>
      </w:r>
    </w:p>
    <w:p w:rsidR="00AC0518" w:rsidRPr="00AC0518" w:rsidRDefault="00AC0518" w:rsidP="007C2AFF">
      <w:pPr>
        <w:spacing w:line="360" w:lineRule="auto"/>
        <w:jc w:val="both"/>
        <w:rPr>
          <w:rFonts w:ascii="Arial" w:hAnsi="Arial" w:cs="Arial"/>
        </w:rPr>
      </w:pPr>
      <w:r w:rsidRPr="00AC0518">
        <w:rPr>
          <w:rFonts w:ascii="Arial" w:hAnsi="Arial" w:cs="Arial"/>
        </w:rPr>
        <w:t xml:space="preserve">Information about the Safeguard Mechanism was checked against Australian Government sources. </w:t>
      </w:r>
    </w:p>
    <w:p w:rsidR="00035162" w:rsidRPr="00035162" w:rsidRDefault="00AC0518" w:rsidP="00035162">
      <w:pPr>
        <w:spacing w:line="360" w:lineRule="auto"/>
        <w:jc w:val="both"/>
        <w:rPr>
          <w:rFonts w:ascii="Arial" w:eastAsia="Arial" w:hAnsi="Arial" w:cs="Arial"/>
          <w:lang w:val="en-GB" w:eastAsia="en-GB"/>
        </w:rPr>
      </w:pPr>
      <w:r w:rsidRPr="00AC0518">
        <w:rPr>
          <w:rFonts w:ascii="Arial" w:hAnsi="Arial" w:cs="Arial"/>
        </w:rPr>
        <w:t>The PESTLE diagram was manually reviewed, and unsupported information was removed. Verification therefore involved checking source authority, context and meaning rather than simply confirming that a webpage existed.</w:t>
      </w:r>
      <w:r w:rsidR="00F639E4">
        <w:rPr>
          <w:rFonts w:ascii="Arial" w:eastAsia="Arial" w:hAnsi="Arial" w:cs="Arial"/>
          <w:lang w:val="en-GB" w:eastAsia="en-GB"/>
        </w:rPr>
        <w:t xml:space="preserve"> C</w:t>
      </w:r>
      <w:r w:rsidR="00035162" w:rsidRPr="00035162">
        <w:rPr>
          <w:rFonts w:ascii="Arial" w:eastAsia="Arial" w:hAnsi="Arial" w:cs="Arial"/>
          <w:lang w:val="en-GB" w:eastAsia="en-GB"/>
        </w:rPr>
        <w:t xml:space="preserve">ritical analysis </w:t>
      </w:r>
      <w:r w:rsidR="00035162" w:rsidRPr="00035162">
        <w:rPr>
          <w:rFonts w:ascii="Arial" w:eastAsia="Arial" w:hAnsi="Arial" w:cs="Arial"/>
          <w:lang w:val="en-GB" w:eastAsia="en-GB"/>
        </w:rPr>
        <w:lastRenderedPageBreak/>
        <w:t>developed independently in Tasks 1 and 2. No AI-generated text of any kind was incor</w:t>
      </w:r>
      <w:r w:rsidR="00F639E4">
        <w:rPr>
          <w:rFonts w:ascii="Arial" w:eastAsia="Arial" w:hAnsi="Arial" w:cs="Arial"/>
          <w:lang w:val="en-GB" w:eastAsia="en-GB"/>
        </w:rPr>
        <w:t>porated into the submission.</w:t>
      </w:r>
    </w:p>
    <w:p w:rsidR="00AC0518" w:rsidRDefault="00AC0518" w:rsidP="00A51F1C">
      <w:pPr>
        <w:spacing w:line="360" w:lineRule="auto"/>
        <w:jc w:val="both"/>
        <w:rPr>
          <w:rFonts w:ascii="Arial" w:hAnsi="Arial" w:cs="Arial"/>
        </w:rPr>
      </w:pPr>
      <w:r w:rsidRPr="00AC0518">
        <w:rPr>
          <w:rFonts w:ascii="Arial" w:hAnsi="Arial" w:cs="Arial"/>
        </w:rPr>
        <w:t xml:space="preserve">AI also had limitations. It could provide outdated information, combine evidence from different reporting years or repeat optimistic corporate language without sufficient criticism. Search results may </w:t>
      </w:r>
      <w:proofErr w:type="spellStart"/>
      <w:r w:rsidRPr="00AC0518">
        <w:rPr>
          <w:rFonts w:ascii="Arial" w:hAnsi="Arial" w:cs="Arial"/>
        </w:rPr>
        <w:t>prioritise</w:t>
      </w:r>
      <w:proofErr w:type="spellEnd"/>
      <w:r w:rsidRPr="00AC0518">
        <w:rPr>
          <w:rFonts w:ascii="Arial" w:hAnsi="Arial" w:cs="Arial"/>
        </w:rPr>
        <w:t xml:space="preserve"> company publications and underrepresent community or academic perspectives. BHP’s claims were therefore clearly attributed and balanced with limitations and risks.</w:t>
      </w:r>
    </w:p>
    <w:p w:rsidR="00AC0518" w:rsidRPr="004D6555" w:rsidRDefault="00AC0518" w:rsidP="00A51F1C">
      <w:pPr>
        <w:jc w:val="both"/>
        <w:rPr>
          <w:rFonts w:ascii="Arial" w:hAnsi="Arial" w:cs="Arial"/>
          <w:b/>
          <w:sz w:val="28"/>
          <w:szCs w:val="28"/>
        </w:rPr>
      </w:pPr>
      <w:r w:rsidRPr="004D6555">
        <w:rPr>
          <w:rFonts w:ascii="Arial" w:hAnsi="Arial" w:cs="Arial"/>
          <w:b/>
          <w:sz w:val="28"/>
          <w:szCs w:val="28"/>
        </w:rPr>
        <w:t>3.3 Ethical and Professional Reflection</w:t>
      </w:r>
    </w:p>
    <w:p w:rsidR="00AC0518" w:rsidRPr="00AC0518" w:rsidRDefault="00AC0518" w:rsidP="00A51F1C">
      <w:pPr>
        <w:spacing w:line="360" w:lineRule="auto"/>
        <w:jc w:val="both"/>
        <w:rPr>
          <w:rFonts w:ascii="Arial" w:hAnsi="Arial" w:cs="Arial"/>
        </w:rPr>
      </w:pPr>
      <w:r w:rsidRPr="00AC0518">
        <w:rPr>
          <w:rFonts w:ascii="Arial" w:hAnsi="Arial" w:cs="Arial"/>
        </w:rPr>
        <w:t xml:space="preserve">The final interpretation, theoretical application, critical evaluation and recommendations represent the author’s own </w:t>
      </w:r>
      <w:r w:rsidR="00A51F1C" w:rsidRPr="00AC0518">
        <w:rPr>
          <w:rFonts w:ascii="Arial" w:hAnsi="Arial" w:cs="Arial"/>
        </w:rPr>
        <w:t>judgment</w:t>
      </w:r>
      <w:r w:rsidRPr="00AC0518">
        <w:rPr>
          <w:rFonts w:ascii="Arial" w:hAnsi="Arial" w:cs="Arial"/>
        </w:rPr>
        <w:t>. AI outputs were not accepted automatically and were corrected where primary evidence showed they were inaccurate.</w:t>
      </w:r>
    </w:p>
    <w:p w:rsidR="00AC0518" w:rsidRPr="00AC0518" w:rsidRDefault="00AC0518" w:rsidP="00A51F1C">
      <w:pPr>
        <w:spacing w:line="360" w:lineRule="auto"/>
        <w:jc w:val="both"/>
        <w:rPr>
          <w:rFonts w:ascii="Arial" w:hAnsi="Arial" w:cs="Arial"/>
        </w:rPr>
      </w:pPr>
      <w:r w:rsidRPr="00AC0518">
        <w:rPr>
          <w:rFonts w:ascii="Arial" w:hAnsi="Arial" w:cs="Arial"/>
        </w:rPr>
        <w:t xml:space="preserve">Responsible AI use requires disclosure, independent verification and accountability. This is particularly important in sustainability marketing, where unclear claims can contribute to </w:t>
      </w:r>
      <w:r w:rsidR="00A51F1C" w:rsidRPr="00AC0518">
        <w:rPr>
          <w:rFonts w:ascii="Arial" w:hAnsi="Arial" w:cs="Arial"/>
        </w:rPr>
        <w:t>green washing</w:t>
      </w:r>
      <w:r w:rsidRPr="00AC0518">
        <w:rPr>
          <w:rFonts w:ascii="Arial" w:hAnsi="Arial" w:cs="Arial"/>
        </w:rPr>
        <w:t>. AI may improve research efficiency, but it cannot replace the responsibility to evaluate evidence, acknowledge uncertainty and construct a balanced argument.</w:t>
      </w:r>
    </w:p>
    <w:p w:rsidR="00A51F1C" w:rsidRPr="009A2C6F" w:rsidRDefault="00AC0518" w:rsidP="009A2C6F">
      <w:pPr>
        <w:spacing w:line="360" w:lineRule="auto"/>
        <w:jc w:val="both"/>
        <w:rPr>
          <w:rFonts w:ascii="Arial" w:hAnsi="Arial" w:cs="Arial"/>
        </w:rPr>
      </w:pPr>
      <w:r w:rsidRPr="00AC0518">
        <w:rPr>
          <w:rFonts w:ascii="Arial" w:hAnsi="Arial" w:cs="Arial"/>
        </w:rPr>
        <w:t xml:space="preserve">The exercise showed that AI is most useful for source discovery and proofreading. It is less reliable when producing strategic conclusions from incomplete evidence. Human </w:t>
      </w:r>
      <w:r w:rsidR="00A51F1C" w:rsidRPr="00AC0518">
        <w:rPr>
          <w:rFonts w:ascii="Arial" w:hAnsi="Arial" w:cs="Arial"/>
        </w:rPr>
        <w:t>judgment</w:t>
      </w:r>
      <w:r w:rsidRPr="00AC0518">
        <w:rPr>
          <w:rFonts w:ascii="Arial" w:hAnsi="Arial" w:cs="Arial"/>
        </w:rPr>
        <w:t xml:space="preserve"> must therefore remain central.</w:t>
      </w:r>
    </w:p>
    <w:p w:rsidR="00A51F1C" w:rsidRDefault="00A51F1C" w:rsidP="00AC0518">
      <w:pPr>
        <w:rPr>
          <w:rFonts w:ascii="Arial" w:hAnsi="Arial" w:cs="Arial"/>
          <w:b/>
          <w:sz w:val="32"/>
          <w:szCs w:val="32"/>
        </w:rPr>
      </w:pPr>
    </w:p>
    <w:p w:rsidR="00DB50E6" w:rsidRDefault="00DB50E6" w:rsidP="00AC0518">
      <w:pPr>
        <w:rPr>
          <w:rFonts w:ascii="Arial" w:hAnsi="Arial" w:cs="Arial"/>
          <w:b/>
          <w:sz w:val="32"/>
          <w:szCs w:val="32"/>
        </w:rPr>
      </w:pPr>
    </w:p>
    <w:p w:rsidR="00DB50E6" w:rsidRDefault="00DB50E6" w:rsidP="00AC0518">
      <w:pPr>
        <w:rPr>
          <w:rFonts w:ascii="Arial" w:hAnsi="Arial" w:cs="Arial"/>
          <w:b/>
          <w:sz w:val="32"/>
          <w:szCs w:val="32"/>
        </w:rPr>
      </w:pPr>
    </w:p>
    <w:p w:rsidR="00DB50E6" w:rsidRDefault="00DB50E6" w:rsidP="00AC0518">
      <w:pPr>
        <w:rPr>
          <w:rFonts w:ascii="Arial" w:hAnsi="Arial" w:cs="Arial"/>
          <w:b/>
          <w:sz w:val="32"/>
          <w:szCs w:val="32"/>
        </w:rPr>
      </w:pPr>
    </w:p>
    <w:p w:rsidR="00DB50E6" w:rsidRDefault="00DB50E6" w:rsidP="00AC0518">
      <w:pPr>
        <w:rPr>
          <w:rFonts w:ascii="Arial" w:hAnsi="Arial" w:cs="Arial"/>
          <w:b/>
          <w:sz w:val="32"/>
          <w:szCs w:val="32"/>
        </w:rPr>
      </w:pPr>
    </w:p>
    <w:p w:rsidR="00DB50E6" w:rsidRDefault="00DB50E6" w:rsidP="00AC0518">
      <w:pPr>
        <w:rPr>
          <w:rFonts w:ascii="Arial" w:hAnsi="Arial" w:cs="Arial"/>
          <w:b/>
          <w:sz w:val="32"/>
          <w:szCs w:val="32"/>
        </w:rPr>
      </w:pPr>
    </w:p>
    <w:p w:rsidR="00DB50E6" w:rsidRDefault="00DB50E6" w:rsidP="00AC0518">
      <w:pPr>
        <w:rPr>
          <w:rFonts w:ascii="Arial" w:hAnsi="Arial" w:cs="Arial"/>
          <w:b/>
          <w:sz w:val="32"/>
          <w:szCs w:val="32"/>
        </w:rPr>
      </w:pPr>
    </w:p>
    <w:p w:rsidR="00DB50E6" w:rsidRDefault="00DB50E6" w:rsidP="00AC0518">
      <w:pPr>
        <w:rPr>
          <w:rFonts w:ascii="Arial" w:hAnsi="Arial" w:cs="Arial"/>
          <w:b/>
          <w:sz w:val="32"/>
          <w:szCs w:val="32"/>
        </w:rPr>
      </w:pPr>
    </w:p>
    <w:p w:rsidR="00AC0518" w:rsidRPr="007600F0" w:rsidRDefault="00AC0518" w:rsidP="00AC0518">
      <w:pPr>
        <w:rPr>
          <w:rFonts w:ascii="Arial" w:hAnsi="Arial" w:cs="Arial"/>
          <w:b/>
          <w:sz w:val="32"/>
          <w:szCs w:val="32"/>
        </w:rPr>
      </w:pPr>
      <w:r w:rsidRPr="007600F0">
        <w:rPr>
          <w:rFonts w:ascii="Arial" w:hAnsi="Arial" w:cs="Arial"/>
          <w:b/>
          <w:sz w:val="32"/>
          <w:szCs w:val="32"/>
        </w:rPr>
        <w:lastRenderedPageBreak/>
        <w:t>References</w:t>
      </w:r>
    </w:p>
    <w:p w:rsidR="007F6B4B" w:rsidRDefault="007F6B4B" w:rsidP="00AC0518">
      <w:pPr>
        <w:rPr>
          <w:rFonts w:ascii="Arial" w:hAnsi="Arial" w:cs="Arial"/>
        </w:rPr>
      </w:pPr>
    </w:p>
    <w:p w:rsidR="00AC0518" w:rsidRPr="00AC0518" w:rsidRDefault="00AC0518" w:rsidP="00AC0518">
      <w:pPr>
        <w:rPr>
          <w:rFonts w:ascii="Arial" w:hAnsi="Arial" w:cs="Arial"/>
        </w:rPr>
      </w:pPr>
      <w:proofErr w:type="spellStart"/>
      <w:proofErr w:type="gramStart"/>
      <w:r w:rsidRPr="00AC0518">
        <w:rPr>
          <w:rFonts w:ascii="Arial" w:hAnsi="Arial" w:cs="Arial"/>
        </w:rPr>
        <w:t>Ansoff</w:t>
      </w:r>
      <w:proofErr w:type="spellEnd"/>
      <w:r w:rsidRPr="00AC0518">
        <w:rPr>
          <w:rFonts w:ascii="Arial" w:hAnsi="Arial" w:cs="Arial"/>
        </w:rPr>
        <w:t>, H.I. (1957) ‘Strategies for diversification’, Harvard Business Review, 35(5), pp. 113–124.</w:t>
      </w:r>
      <w:proofErr w:type="gramEnd"/>
    </w:p>
    <w:p w:rsidR="00AC0518" w:rsidRPr="00AC0518" w:rsidRDefault="00AC0518" w:rsidP="00AC0518">
      <w:pPr>
        <w:rPr>
          <w:rFonts w:ascii="Arial" w:hAnsi="Arial" w:cs="Arial"/>
        </w:rPr>
      </w:pPr>
      <w:proofErr w:type="gramStart"/>
      <w:r w:rsidRPr="00AC0518">
        <w:rPr>
          <w:rFonts w:ascii="Arial" w:hAnsi="Arial" w:cs="Arial"/>
        </w:rPr>
        <w:t>BHP (2024a) Climate Transition Action Plan 2024.</w:t>
      </w:r>
      <w:proofErr w:type="gramEnd"/>
      <w:r w:rsidRPr="00AC0518">
        <w:rPr>
          <w:rFonts w:ascii="Arial" w:hAnsi="Arial" w:cs="Arial"/>
        </w:rPr>
        <w:t xml:space="preserve"> Available at: https://www.bhp.com/-/media/documents/investors/annual-reports/2024/240827_bhpclimatetransition</w:t>
      </w:r>
      <w:r w:rsidR="00195274">
        <w:rPr>
          <w:rFonts w:ascii="Arial" w:hAnsi="Arial" w:cs="Arial"/>
        </w:rPr>
        <w:t>actionplan2024.pdf (Accessed: 7</w:t>
      </w:r>
      <w:r w:rsidRPr="00AC0518">
        <w:rPr>
          <w:rFonts w:ascii="Arial" w:hAnsi="Arial" w:cs="Arial"/>
        </w:rPr>
        <w:t xml:space="preserve"> July 2026).</w:t>
      </w:r>
    </w:p>
    <w:p w:rsidR="00AC0518" w:rsidRPr="00AC0518" w:rsidRDefault="00AC0518" w:rsidP="00AC0518">
      <w:pPr>
        <w:rPr>
          <w:rFonts w:ascii="Arial" w:hAnsi="Arial" w:cs="Arial"/>
        </w:rPr>
      </w:pPr>
      <w:r w:rsidRPr="00AC0518">
        <w:rPr>
          <w:rFonts w:ascii="Arial" w:hAnsi="Arial" w:cs="Arial"/>
        </w:rPr>
        <w:t>BHP (2024b) ‘BHP Insights: How copper will shape our future’, 30 September. Available at: https://www.bhp.com/news/bhp-insights/2024/09/how-copper-wil</w:t>
      </w:r>
      <w:r w:rsidR="007600F0">
        <w:rPr>
          <w:rFonts w:ascii="Arial" w:hAnsi="Arial" w:cs="Arial"/>
        </w:rPr>
        <w:t>l-shape-our-future (Accessed: 8</w:t>
      </w:r>
      <w:r w:rsidRPr="00AC0518">
        <w:rPr>
          <w:rFonts w:ascii="Arial" w:hAnsi="Arial" w:cs="Arial"/>
        </w:rPr>
        <w:t xml:space="preserve"> July 2026).</w:t>
      </w:r>
    </w:p>
    <w:p w:rsidR="00AC0518" w:rsidRPr="00AC0518" w:rsidRDefault="00AC0518" w:rsidP="00AC0518">
      <w:pPr>
        <w:rPr>
          <w:rFonts w:ascii="Arial" w:hAnsi="Arial" w:cs="Arial"/>
        </w:rPr>
      </w:pPr>
      <w:proofErr w:type="gramStart"/>
      <w:r w:rsidRPr="00AC0518">
        <w:rPr>
          <w:rFonts w:ascii="Arial" w:hAnsi="Arial" w:cs="Arial"/>
        </w:rPr>
        <w:t>BHP (2024c) ‘Western Australia Nickel to temporarily suspend operations’, 11 July.</w:t>
      </w:r>
      <w:proofErr w:type="gramEnd"/>
      <w:r w:rsidRPr="00AC0518">
        <w:rPr>
          <w:rFonts w:ascii="Arial" w:hAnsi="Arial" w:cs="Arial"/>
        </w:rPr>
        <w:t xml:space="preserve"> Available at: https://www.bhp.com/news/media-centre/releases/2024/07/western-australia-nickel-to-temporarily-</w:t>
      </w:r>
      <w:r>
        <w:rPr>
          <w:rFonts w:ascii="Arial" w:hAnsi="Arial" w:cs="Arial"/>
        </w:rPr>
        <w:t>suspend-operations (Accessed: 17</w:t>
      </w:r>
      <w:r w:rsidRPr="00AC0518">
        <w:rPr>
          <w:rFonts w:ascii="Arial" w:hAnsi="Arial" w:cs="Arial"/>
        </w:rPr>
        <w:t xml:space="preserve"> July 2026).</w:t>
      </w:r>
    </w:p>
    <w:p w:rsidR="00AC0518" w:rsidRDefault="00AC0518" w:rsidP="00AC0518">
      <w:pPr>
        <w:rPr>
          <w:rFonts w:ascii="Arial" w:hAnsi="Arial" w:cs="Arial"/>
        </w:rPr>
      </w:pPr>
      <w:proofErr w:type="gramStart"/>
      <w:r w:rsidRPr="00AC0518">
        <w:rPr>
          <w:rFonts w:ascii="Arial" w:hAnsi="Arial" w:cs="Arial"/>
        </w:rPr>
        <w:t>BHP (2025) Annual Report 2025.</w:t>
      </w:r>
      <w:proofErr w:type="gramEnd"/>
      <w:r w:rsidRPr="00AC0518">
        <w:rPr>
          <w:rFonts w:ascii="Arial" w:hAnsi="Arial" w:cs="Arial"/>
        </w:rPr>
        <w:t xml:space="preserve"> Available at: https://www.bhp.com/-/media/documents/investors/annual-reports/2025/250819_bhpan</w:t>
      </w:r>
      <w:r w:rsidR="00195274">
        <w:rPr>
          <w:rFonts w:ascii="Arial" w:hAnsi="Arial" w:cs="Arial"/>
        </w:rPr>
        <w:t>nualreport2025.pdf (Accessed: 6</w:t>
      </w:r>
      <w:r w:rsidRPr="00AC0518">
        <w:rPr>
          <w:rFonts w:ascii="Arial" w:hAnsi="Arial" w:cs="Arial"/>
        </w:rPr>
        <w:t xml:space="preserve"> July 2026).</w:t>
      </w:r>
    </w:p>
    <w:p w:rsidR="00AC0518" w:rsidRPr="00AC0518" w:rsidRDefault="00AC0518" w:rsidP="00AC0518">
      <w:pPr>
        <w:rPr>
          <w:rFonts w:ascii="Arial" w:hAnsi="Arial" w:cs="Arial"/>
        </w:rPr>
      </w:pPr>
      <w:r w:rsidRPr="00AC0518">
        <w:rPr>
          <w:rFonts w:ascii="Arial" w:hAnsi="Arial" w:cs="Arial"/>
        </w:rPr>
        <w:t>Clean Energy Regulator (2026) ‘Safeguard Mechanism’. Available at: https://cer.gov.au/schemes/s</w:t>
      </w:r>
      <w:r>
        <w:rPr>
          <w:rFonts w:ascii="Arial" w:hAnsi="Arial" w:cs="Arial"/>
        </w:rPr>
        <w:t>afeguard-mechanism (Accessed: 20</w:t>
      </w:r>
      <w:r w:rsidRPr="00AC0518">
        <w:rPr>
          <w:rFonts w:ascii="Arial" w:hAnsi="Arial" w:cs="Arial"/>
        </w:rPr>
        <w:t xml:space="preserve"> July 2026).</w:t>
      </w:r>
    </w:p>
    <w:p w:rsidR="00AC0518" w:rsidRPr="00AC0518" w:rsidRDefault="00AC0518" w:rsidP="00AC0518">
      <w:pPr>
        <w:rPr>
          <w:rFonts w:ascii="Arial" w:hAnsi="Arial" w:cs="Arial"/>
        </w:rPr>
      </w:pPr>
      <w:r w:rsidRPr="00AC0518">
        <w:rPr>
          <w:rFonts w:ascii="Arial" w:hAnsi="Arial" w:cs="Arial"/>
        </w:rPr>
        <w:t>European Commission (2024) ‘Critical Raw Materials Act’. Available at: https://single-market-economy.ec.europa.eu/sectors/raw-materials/areas-specific-interest/critical-raw-materials/critical-raw-materials-act_en (Accessed: 22 July 2026).</w:t>
      </w:r>
    </w:p>
    <w:p w:rsidR="00AC0518" w:rsidRPr="00AC0518" w:rsidRDefault="00AC0518" w:rsidP="00AC0518">
      <w:pPr>
        <w:rPr>
          <w:rFonts w:ascii="Arial" w:hAnsi="Arial" w:cs="Arial"/>
        </w:rPr>
      </w:pPr>
      <w:r w:rsidRPr="00AC0518">
        <w:rPr>
          <w:rFonts w:ascii="Arial" w:hAnsi="Arial" w:cs="Arial"/>
        </w:rPr>
        <w:t xml:space="preserve">Johnson, G., Whittington, R., Scholes, K., </w:t>
      </w:r>
      <w:proofErr w:type="spellStart"/>
      <w:r w:rsidRPr="00AC0518">
        <w:rPr>
          <w:rFonts w:ascii="Arial" w:hAnsi="Arial" w:cs="Arial"/>
        </w:rPr>
        <w:t>Angwin</w:t>
      </w:r>
      <w:proofErr w:type="spellEnd"/>
      <w:r w:rsidRPr="00AC0518">
        <w:rPr>
          <w:rFonts w:ascii="Arial" w:hAnsi="Arial" w:cs="Arial"/>
        </w:rPr>
        <w:t xml:space="preserve">, D. and </w:t>
      </w:r>
      <w:proofErr w:type="spellStart"/>
      <w:r w:rsidRPr="00AC0518">
        <w:rPr>
          <w:rFonts w:ascii="Arial" w:hAnsi="Arial" w:cs="Arial"/>
        </w:rPr>
        <w:t>Regnér</w:t>
      </w:r>
      <w:proofErr w:type="spellEnd"/>
      <w:r w:rsidRPr="00AC0518">
        <w:rPr>
          <w:rFonts w:ascii="Arial" w:hAnsi="Arial" w:cs="Arial"/>
        </w:rPr>
        <w:t xml:space="preserve">, P. (2020) Exploring Strategy. </w:t>
      </w:r>
      <w:proofErr w:type="gramStart"/>
      <w:r w:rsidRPr="00AC0518">
        <w:rPr>
          <w:rFonts w:ascii="Arial" w:hAnsi="Arial" w:cs="Arial"/>
        </w:rPr>
        <w:t xml:space="preserve">12th </w:t>
      </w:r>
      <w:proofErr w:type="spellStart"/>
      <w:r w:rsidRPr="00AC0518">
        <w:rPr>
          <w:rFonts w:ascii="Arial" w:hAnsi="Arial" w:cs="Arial"/>
        </w:rPr>
        <w:t>edn</w:t>
      </w:r>
      <w:proofErr w:type="spellEnd"/>
      <w:r w:rsidRPr="00AC0518">
        <w:rPr>
          <w:rFonts w:ascii="Arial" w:hAnsi="Arial" w:cs="Arial"/>
        </w:rPr>
        <w:t>.</w:t>
      </w:r>
      <w:proofErr w:type="gramEnd"/>
      <w:r w:rsidRPr="00AC0518">
        <w:rPr>
          <w:rFonts w:ascii="Arial" w:hAnsi="Arial" w:cs="Arial"/>
        </w:rPr>
        <w:t xml:space="preserve"> Harlow: Pearson.</w:t>
      </w:r>
    </w:p>
    <w:p w:rsidR="00AC0518" w:rsidRDefault="00AC0518" w:rsidP="00AC0518">
      <w:pPr>
        <w:rPr>
          <w:rFonts w:ascii="Arial" w:hAnsi="Arial" w:cs="Arial"/>
        </w:rPr>
      </w:pPr>
      <w:proofErr w:type="spellStart"/>
      <w:r w:rsidRPr="00AC0518">
        <w:rPr>
          <w:rFonts w:ascii="Arial" w:hAnsi="Arial" w:cs="Arial"/>
        </w:rPr>
        <w:t>Kotler</w:t>
      </w:r>
      <w:proofErr w:type="spellEnd"/>
      <w:r w:rsidRPr="00AC0518">
        <w:rPr>
          <w:rFonts w:ascii="Arial" w:hAnsi="Arial" w:cs="Arial"/>
        </w:rPr>
        <w:t xml:space="preserve">, P., Armstrong, G. and </w:t>
      </w:r>
      <w:proofErr w:type="spellStart"/>
      <w:r w:rsidRPr="00AC0518">
        <w:rPr>
          <w:rFonts w:ascii="Arial" w:hAnsi="Arial" w:cs="Arial"/>
        </w:rPr>
        <w:t>Balasubramanian</w:t>
      </w:r>
      <w:proofErr w:type="spellEnd"/>
      <w:r w:rsidRPr="00AC0518">
        <w:rPr>
          <w:rFonts w:ascii="Arial" w:hAnsi="Arial" w:cs="Arial"/>
        </w:rPr>
        <w:t xml:space="preserve">, S. (2024) Principles of Marketing. </w:t>
      </w:r>
      <w:proofErr w:type="gramStart"/>
      <w:r w:rsidRPr="00AC0518">
        <w:rPr>
          <w:rFonts w:ascii="Arial" w:hAnsi="Arial" w:cs="Arial"/>
        </w:rPr>
        <w:t xml:space="preserve">19th global </w:t>
      </w:r>
      <w:proofErr w:type="spellStart"/>
      <w:r w:rsidRPr="00AC0518">
        <w:rPr>
          <w:rFonts w:ascii="Arial" w:hAnsi="Arial" w:cs="Arial"/>
        </w:rPr>
        <w:t>edn</w:t>
      </w:r>
      <w:proofErr w:type="spellEnd"/>
      <w:r w:rsidRPr="00AC0518">
        <w:rPr>
          <w:rFonts w:ascii="Arial" w:hAnsi="Arial" w:cs="Arial"/>
        </w:rPr>
        <w:t>.</w:t>
      </w:r>
      <w:proofErr w:type="gramEnd"/>
      <w:r w:rsidRPr="00AC0518">
        <w:rPr>
          <w:rFonts w:ascii="Arial" w:hAnsi="Arial" w:cs="Arial"/>
        </w:rPr>
        <w:t xml:space="preserve"> Harlow: Pearson.</w:t>
      </w:r>
    </w:p>
    <w:p w:rsidR="00AC0518" w:rsidRPr="00AC0518" w:rsidRDefault="00AC0518" w:rsidP="00AC0518">
      <w:pPr>
        <w:rPr>
          <w:rFonts w:ascii="Arial" w:hAnsi="Arial" w:cs="Arial"/>
        </w:rPr>
      </w:pPr>
      <w:r w:rsidRPr="00AC0518">
        <w:rPr>
          <w:rFonts w:ascii="Arial" w:hAnsi="Arial" w:cs="Arial"/>
        </w:rPr>
        <w:t xml:space="preserve">McKinsey &amp; Company (2020) ‘Climate risk and </w:t>
      </w:r>
      <w:proofErr w:type="spellStart"/>
      <w:r w:rsidRPr="00AC0518">
        <w:rPr>
          <w:rFonts w:ascii="Arial" w:hAnsi="Arial" w:cs="Arial"/>
        </w:rPr>
        <w:t>decarbonization</w:t>
      </w:r>
      <w:proofErr w:type="spellEnd"/>
      <w:r w:rsidRPr="00AC0518">
        <w:rPr>
          <w:rFonts w:ascii="Arial" w:hAnsi="Arial" w:cs="Arial"/>
        </w:rPr>
        <w:t>: What every mining CEO needs to know’, 28 January. Available at: https://www.mckinsey.com/capabilities/sustainability/our-insights/climate-risk-and-decarbonization-what-every-mining</w:t>
      </w:r>
      <w:r>
        <w:rPr>
          <w:rFonts w:ascii="Arial" w:hAnsi="Arial" w:cs="Arial"/>
        </w:rPr>
        <w:t>-ceo-needs-to-know (Accessed: 19</w:t>
      </w:r>
      <w:r w:rsidRPr="00AC0518">
        <w:rPr>
          <w:rFonts w:ascii="Arial" w:hAnsi="Arial" w:cs="Arial"/>
        </w:rPr>
        <w:t xml:space="preserve"> July 2026).</w:t>
      </w:r>
    </w:p>
    <w:p w:rsidR="00AC0518" w:rsidRPr="00AC0518" w:rsidRDefault="00AC0518" w:rsidP="00AC0518">
      <w:pPr>
        <w:rPr>
          <w:rFonts w:ascii="Arial" w:hAnsi="Arial" w:cs="Arial"/>
        </w:rPr>
      </w:pPr>
      <w:r w:rsidRPr="00AC0518">
        <w:rPr>
          <w:rFonts w:ascii="Arial" w:hAnsi="Arial" w:cs="Arial"/>
        </w:rPr>
        <w:t>Porter, M.E. (1985) Competitive Advantage: Creating and Sustaining Superior Performance. New York: Free Press.</w:t>
      </w:r>
    </w:p>
    <w:p w:rsidR="00AC0518" w:rsidRPr="003F2A11" w:rsidRDefault="00AC0518" w:rsidP="00AC0518">
      <w:pPr>
        <w:rPr>
          <w:rFonts w:ascii="Arial" w:hAnsi="Arial" w:cs="Arial"/>
        </w:rPr>
      </w:pPr>
      <w:r w:rsidRPr="00AC0518">
        <w:rPr>
          <w:rFonts w:ascii="Arial" w:hAnsi="Arial" w:cs="Arial"/>
        </w:rPr>
        <w:t xml:space="preserve">United Nations Environment </w:t>
      </w:r>
      <w:proofErr w:type="spellStart"/>
      <w:r w:rsidRPr="00AC0518">
        <w:rPr>
          <w:rFonts w:ascii="Arial" w:hAnsi="Arial" w:cs="Arial"/>
        </w:rPr>
        <w:t>Programme</w:t>
      </w:r>
      <w:proofErr w:type="spellEnd"/>
      <w:r w:rsidRPr="00AC0518">
        <w:rPr>
          <w:rFonts w:ascii="Arial" w:hAnsi="Arial" w:cs="Arial"/>
        </w:rPr>
        <w:t xml:space="preserve"> Finance Initiative (UNEP FI) (2024) Climate Risks in the Metals and Mining Sector. Available at: https://www.unepfi.org/wordpress/wp-content/uploads/2024/05/Climate-Risks-in-the-Metals-and-Mining-Sector-1.pd</w:t>
      </w:r>
      <w:r w:rsidR="007600F0">
        <w:rPr>
          <w:rFonts w:ascii="Arial" w:hAnsi="Arial" w:cs="Arial"/>
        </w:rPr>
        <w:t>f (Accessed: 12</w:t>
      </w:r>
      <w:r w:rsidRPr="00AC0518">
        <w:rPr>
          <w:rFonts w:ascii="Arial" w:hAnsi="Arial" w:cs="Arial"/>
        </w:rPr>
        <w:t xml:space="preserve"> July 2026).</w:t>
      </w:r>
    </w:p>
    <w:sectPr w:rsidR="00AC0518" w:rsidRPr="003F2A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A11"/>
    <w:rsid w:val="00035162"/>
    <w:rsid w:val="00195274"/>
    <w:rsid w:val="003074C7"/>
    <w:rsid w:val="00331D48"/>
    <w:rsid w:val="003F2A11"/>
    <w:rsid w:val="004D6555"/>
    <w:rsid w:val="005A0CBC"/>
    <w:rsid w:val="007600F0"/>
    <w:rsid w:val="007A7349"/>
    <w:rsid w:val="007C2AFF"/>
    <w:rsid w:val="007E2DEB"/>
    <w:rsid w:val="007F6B4B"/>
    <w:rsid w:val="008F609D"/>
    <w:rsid w:val="009A2C6F"/>
    <w:rsid w:val="00A51F1C"/>
    <w:rsid w:val="00AC0518"/>
    <w:rsid w:val="00AE5FB8"/>
    <w:rsid w:val="00CF1606"/>
    <w:rsid w:val="00DB50E6"/>
    <w:rsid w:val="00F63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A11"/>
    <w:pPr>
      <w:spacing w:line="240" w:lineRule="auto"/>
    </w:pPr>
    <w:rPr>
      <w:sz w:val="24"/>
      <w:szCs w:val="24"/>
      <w:lang w:val="en-US"/>
    </w:rPr>
  </w:style>
  <w:style w:type="paragraph" w:styleId="Heading1">
    <w:name w:val="heading 1"/>
    <w:basedOn w:val="Normal"/>
    <w:next w:val="BodyText"/>
    <w:link w:val="Heading1Char"/>
    <w:uiPriority w:val="9"/>
    <w:qFormat/>
    <w:rsid w:val="003F2A1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BodyText"/>
    <w:link w:val="Heading2Char"/>
    <w:uiPriority w:val="9"/>
    <w:semiHidden/>
    <w:unhideWhenUsed/>
    <w:qFormat/>
    <w:rsid w:val="003F2A1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3F2A1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A11"/>
    <w:rPr>
      <w:rFonts w:asciiTheme="majorHAnsi" w:eastAsiaTheme="majorEastAsia" w:hAnsiTheme="majorHAnsi" w:cstheme="majorBidi"/>
      <w:color w:val="365F91" w:themeColor="accent1" w:themeShade="BF"/>
      <w:sz w:val="40"/>
      <w:szCs w:val="40"/>
      <w:lang w:val="en-US"/>
    </w:rPr>
  </w:style>
  <w:style w:type="character" w:customStyle="1" w:styleId="Heading2Char">
    <w:name w:val="Heading 2 Char"/>
    <w:basedOn w:val="DefaultParagraphFont"/>
    <w:link w:val="Heading2"/>
    <w:uiPriority w:val="9"/>
    <w:semiHidden/>
    <w:rsid w:val="003F2A11"/>
    <w:rPr>
      <w:rFonts w:asciiTheme="majorHAnsi" w:eastAsiaTheme="majorEastAsia" w:hAnsiTheme="majorHAnsi" w:cstheme="majorBidi"/>
      <w:color w:val="365F91" w:themeColor="accent1" w:themeShade="BF"/>
      <w:sz w:val="32"/>
      <w:szCs w:val="32"/>
      <w:lang w:val="en-US"/>
    </w:rPr>
  </w:style>
  <w:style w:type="paragraph" w:styleId="BodyText">
    <w:name w:val="Body Text"/>
    <w:basedOn w:val="Normal"/>
    <w:link w:val="BodyTextChar"/>
    <w:qFormat/>
    <w:rsid w:val="003F2A11"/>
    <w:pPr>
      <w:spacing w:before="180" w:after="180"/>
    </w:pPr>
  </w:style>
  <w:style w:type="character" w:customStyle="1" w:styleId="BodyTextChar">
    <w:name w:val="Body Text Char"/>
    <w:basedOn w:val="DefaultParagraphFont"/>
    <w:link w:val="BodyText"/>
    <w:rsid w:val="003F2A11"/>
    <w:rPr>
      <w:sz w:val="24"/>
      <w:szCs w:val="24"/>
      <w:lang w:val="en-US"/>
    </w:rPr>
  </w:style>
  <w:style w:type="paragraph" w:customStyle="1" w:styleId="FirstParagraph">
    <w:name w:val="First Paragraph"/>
    <w:basedOn w:val="BodyText"/>
    <w:next w:val="BodyText"/>
    <w:qFormat/>
    <w:rsid w:val="003F2A11"/>
  </w:style>
  <w:style w:type="character" w:customStyle="1" w:styleId="Heading3Char">
    <w:name w:val="Heading 3 Char"/>
    <w:basedOn w:val="DefaultParagraphFont"/>
    <w:link w:val="Heading3"/>
    <w:uiPriority w:val="9"/>
    <w:semiHidden/>
    <w:rsid w:val="003F2A11"/>
    <w:rPr>
      <w:rFonts w:asciiTheme="majorHAnsi" w:eastAsiaTheme="majorEastAsia" w:hAnsiTheme="majorHAnsi" w:cstheme="majorBidi"/>
      <w:b/>
      <w:bCs/>
      <w:color w:val="4F81BD" w:themeColor="accent1"/>
      <w:sz w:val="24"/>
      <w:szCs w:val="24"/>
      <w:lang w:val="en-US"/>
    </w:rPr>
  </w:style>
  <w:style w:type="paragraph" w:styleId="BalloonText">
    <w:name w:val="Balloon Text"/>
    <w:basedOn w:val="Normal"/>
    <w:link w:val="BalloonTextChar"/>
    <w:uiPriority w:val="99"/>
    <w:semiHidden/>
    <w:unhideWhenUsed/>
    <w:rsid w:val="003F2A1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A11"/>
    <w:rPr>
      <w:rFonts w:ascii="Tahoma" w:hAnsi="Tahoma" w:cs="Tahoma"/>
      <w:sz w:val="16"/>
      <w:szCs w:val="16"/>
      <w:lang w:val="en-US"/>
    </w:rPr>
  </w:style>
  <w:style w:type="paragraph" w:styleId="TOC1">
    <w:name w:val="toc 1"/>
    <w:basedOn w:val="Normal"/>
    <w:next w:val="Normal"/>
    <w:autoRedefine/>
    <w:uiPriority w:val="39"/>
    <w:unhideWhenUsed/>
    <w:rsid w:val="007F6B4B"/>
    <w:pPr>
      <w:spacing w:after="100"/>
    </w:pPr>
  </w:style>
  <w:style w:type="paragraph" w:styleId="TOC2">
    <w:name w:val="toc 2"/>
    <w:basedOn w:val="Normal"/>
    <w:next w:val="Normal"/>
    <w:autoRedefine/>
    <w:uiPriority w:val="39"/>
    <w:unhideWhenUsed/>
    <w:rsid w:val="007F6B4B"/>
    <w:pPr>
      <w:spacing w:after="100"/>
      <w:ind w:left="240"/>
    </w:pPr>
  </w:style>
  <w:style w:type="character" w:styleId="Hyperlink">
    <w:name w:val="Hyperlink"/>
    <w:basedOn w:val="DefaultParagraphFont"/>
    <w:uiPriority w:val="99"/>
    <w:unhideWhenUsed/>
    <w:rsid w:val="007F6B4B"/>
    <w:rPr>
      <w:color w:val="0000FF" w:themeColor="hyperlink"/>
      <w:u w:val="single"/>
    </w:rPr>
  </w:style>
  <w:style w:type="paragraph" w:styleId="TOC3">
    <w:name w:val="toc 3"/>
    <w:basedOn w:val="Normal"/>
    <w:next w:val="Normal"/>
    <w:autoRedefine/>
    <w:uiPriority w:val="39"/>
    <w:unhideWhenUsed/>
    <w:rsid w:val="00AE5FB8"/>
    <w:pPr>
      <w:spacing w:after="100" w:line="276" w:lineRule="auto"/>
      <w:ind w:left="440"/>
    </w:pPr>
    <w:rPr>
      <w:rFonts w:ascii="Arial" w:eastAsiaTheme="minorEastAsia" w:hAnsi="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A11"/>
    <w:pPr>
      <w:spacing w:line="240" w:lineRule="auto"/>
    </w:pPr>
    <w:rPr>
      <w:sz w:val="24"/>
      <w:szCs w:val="24"/>
      <w:lang w:val="en-US"/>
    </w:rPr>
  </w:style>
  <w:style w:type="paragraph" w:styleId="Heading1">
    <w:name w:val="heading 1"/>
    <w:basedOn w:val="Normal"/>
    <w:next w:val="BodyText"/>
    <w:link w:val="Heading1Char"/>
    <w:uiPriority w:val="9"/>
    <w:qFormat/>
    <w:rsid w:val="003F2A1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BodyText"/>
    <w:link w:val="Heading2Char"/>
    <w:uiPriority w:val="9"/>
    <w:semiHidden/>
    <w:unhideWhenUsed/>
    <w:qFormat/>
    <w:rsid w:val="003F2A1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3F2A1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A11"/>
    <w:rPr>
      <w:rFonts w:asciiTheme="majorHAnsi" w:eastAsiaTheme="majorEastAsia" w:hAnsiTheme="majorHAnsi" w:cstheme="majorBidi"/>
      <w:color w:val="365F91" w:themeColor="accent1" w:themeShade="BF"/>
      <w:sz w:val="40"/>
      <w:szCs w:val="40"/>
      <w:lang w:val="en-US"/>
    </w:rPr>
  </w:style>
  <w:style w:type="character" w:customStyle="1" w:styleId="Heading2Char">
    <w:name w:val="Heading 2 Char"/>
    <w:basedOn w:val="DefaultParagraphFont"/>
    <w:link w:val="Heading2"/>
    <w:uiPriority w:val="9"/>
    <w:semiHidden/>
    <w:rsid w:val="003F2A11"/>
    <w:rPr>
      <w:rFonts w:asciiTheme="majorHAnsi" w:eastAsiaTheme="majorEastAsia" w:hAnsiTheme="majorHAnsi" w:cstheme="majorBidi"/>
      <w:color w:val="365F91" w:themeColor="accent1" w:themeShade="BF"/>
      <w:sz w:val="32"/>
      <w:szCs w:val="32"/>
      <w:lang w:val="en-US"/>
    </w:rPr>
  </w:style>
  <w:style w:type="paragraph" w:styleId="BodyText">
    <w:name w:val="Body Text"/>
    <w:basedOn w:val="Normal"/>
    <w:link w:val="BodyTextChar"/>
    <w:qFormat/>
    <w:rsid w:val="003F2A11"/>
    <w:pPr>
      <w:spacing w:before="180" w:after="180"/>
    </w:pPr>
  </w:style>
  <w:style w:type="character" w:customStyle="1" w:styleId="BodyTextChar">
    <w:name w:val="Body Text Char"/>
    <w:basedOn w:val="DefaultParagraphFont"/>
    <w:link w:val="BodyText"/>
    <w:rsid w:val="003F2A11"/>
    <w:rPr>
      <w:sz w:val="24"/>
      <w:szCs w:val="24"/>
      <w:lang w:val="en-US"/>
    </w:rPr>
  </w:style>
  <w:style w:type="paragraph" w:customStyle="1" w:styleId="FirstParagraph">
    <w:name w:val="First Paragraph"/>
    <w:basedOn w:val="BodyText"/>
    <w:next w:val="BodyText"/>
    <w:qFormat/>
    <w:rsid w:val="003F2A11"/>
  </w:style>
  <w:style w:type="character" w:customStyle="1" w:styleId="Heading3Char">
    <w:name w:val="Heading 3 Char"/>
    <w:basedOn w:val="DefaultParagraphFont"/>
    <w:link w:val="Heading3"/>
    <w:uiPriority w:val="9"/>
    <w:semiHidden/>
    <w:rsid w:val="003F2A11"/>
    <w:rPr>
      <w:rFonts w:asciiTheme="majorHAnsi" w:eastAsiaTheme="majorEastAsia" w:hAnsiTheme="majorHAnsi" w:cstheme="majorBidi"/>
      <w:b/>
      <w:bCs/>
      <w:color w:val="4F81BD" w:themeColor="accent1"/>
      <w:sz w:val="24"/>
      <w:szCs w:val="24"/>
      <w:lang w:val="en-US"/>
    </w:rPr>
  </w:style>
  <w:style w:type="paragraph" w:styleId="BalloonText">
    <w:name w:val="Balloon Text"/>
    <w:basedOn w:val="Normal"/>
    <w:link w:val="BalloonTextChar"/>
    <w:uiPriority w:val="99"/>
    <w:semiHidden/>
    <w:unhideWhenUsed/>
    <w:rsid w:val="003F2A1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A11"/>
    <w:rPr>
      <w:rFonts w:ascii="Tahoma" w:hAnsi="Tahoma" w:cs="Tahoma"/>
      <w:sz w:val="16"/>
      <w:szCs w:val="16"/>
      <w:lang w:val="en-US"/>
    </w:rPr>
  </w:style>
  <w:style w:type="paragraph" w:styleId="TOC1">
    <w:name w:val="toc 1"/>
    <w:basedOn w:val="Normal"/>
    <w:next w:val="Normal"/>
    <w:autoRedefine/>
    <w:uiPriority w:val="39"/>
    <w:unhideWhenUsed/>
    <w:rsid w:val="007F6B4B"/>
    <w:pPr>
      <w:spacing w:after="100"/>
    </w:pPr>
  </w:style>
  <w:style w:type="paragraph" w:styleId="TOC2">
    <w:name w:val="toc 2"/>
    <w:basedOn w:val="Normal"/>
    <w:next w:val="Normal"/>
    <w:autoRedefine/>
    <w:uiPriority w:val="39"/>
    <w:unhideWhenUsed/>
    <w:rsid w:val="007F6B4B"/>
    <w:pPr>
      <w:spacing w:after="100"/>
      <w:ind w:left="240"/>
    </w:pPr>
  </w:style>
  <w:style w:type="character" w:styleId="Hyperlink">
    <w:name w:val="Hyperlink"/>
    <w:basedOn w:val="DefaultParagraphFont"/>
    <w:uiPriority w:val="99"/>
    <w:unhideWhenUsed/>
    <w:rsid w:val="007F6B4B"/>
    <w:rPr>
      <w:color w:val="0000FF" w:themeColor="hyperlink"/>
      <w:u w:val="single"/>
    </w:rPr>
  </w:style>
  <w:style w:type="paragraph" w:styleId="TOC3">
    <w:name w:val="toc 3"/>
    <w:basedOn w:val="Normal"/>
    <w:next w:val="Normal"/>
    <w:autoRedefine/>
    <w:uiPriority w:val="39"/>
    <w:unhideWhenUsed/>
    <w:rsid w:val="00AE5FB8"/>
    <w:pPr>
      <w:spacing w:after="100" w:line="276" w:lineRule="auto"/>
      <w:ind w:left="440"/>
    </w:pPr>
    <w:rPr>
      <w:rFonts w:ascii="Arial" w:eastAsiaTheme="minorEastAsia"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14</Pages>
  <Words>3780</Words>
  <Characters>21547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2026-07-22T23:43:00Z</dcterms:created>
  <dcterms:modified xsi:type="dcterms:W3CDTF">2026-07-23T02:54:00Z</dcterms:modified>
</cp:coreProperties>
</file>