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07565737"/>
        <w:docPartObj>
          <w:docPartGallery w:val="Cover Pages"/>
          <w:docPartUnique/>
        </w:docPartObj>
      </w:sdtPr>
      <w:sdtContent>
        <w:p w14:paraId="3D369656" w14:textId="1A3AFC24" w:rsidR="00CE65A8" w:rsidRDefault="00CE65A8">
          <w:r>
            <w:rPr>
              <w:noProof/>
            </w:rPr>
            <mc:AlternateContent>
              <mc:Choice Requires="wpg">
                <w:drawing>
                  <wp:anchor distT="0" distB="0" distL="114300" distR="114300" simplePos="0" relativeHeight="251662336" behindDoc="0" locked="0" layoutInCell="1" allowOverlap="1" wp14:anchorId="72323EE6" wp14:editId="0CA3FFB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892815C"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AG9BSbaAAAACwEAAA8AAABkcnMvZG93&#10;bnJldi54bWxMT8tuwjAQvFfqP1hbqbfihL5oiIMQLWdE2gs3E2/jqPY6ig2Ev+/SS7mMdjTaeZSL&#10;0TtxxCF2gRTkkwwEUhNMR62Cr8/1wwxETJqMdoFQwRkjLKrbm1IXJpxoi8c6tYJNKBZagU2pL6SM&#10;jUWv4yT0SKx9h8HrxHRopRn0ic29k9Mse5Fed8QJVve4stj81AfPuXHz+uGk35zHtV0tH0O3w22t&#10;1P3d+D5nWM5BJBzT/wdcNnB/qLjYPhzIROEU8Jr0hxctf54y3/P1lj+BrEp5vaH6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&#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89DD" wp14:editId="25D6A53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21"/>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5ABCC" w14:textId="3A6E3AC5" w:rsidR="00CE65A8" w:rsidRPr="006055C1" w:rsidRDefault="00CE65A8" w:rsidP="006055C1">
                                    <w:pPr>
                                      <w:pStyle w:val="NoSpacing"/>
                                      <w:jc w:val="right"/>
                                      <w:rPr>
                                        <w:color w:val="595959" w:themeColor="text1" w:themeTint="A6"/>
                                        <w:sz w:val="28"/>
                                        <w:szCs w:val="28"/>
                                      </w:rPr>
                                    </w:pPr>
                                    <w:r w:rsidRPr="006055C1">
                                      <w:rPr>
                                        <w:color w:val="595959" w:themeColor="text1" w:themeTint="A6"/>
                                        <w:sz w:val="28"/>
                                        <w:szCs w:val="28"/>
                                      </w:rPr>
                                      <w:t>Josh Jones (2501946)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89DD" id="_x0000_t202" coordsize="21600,21600" o:spt="202" path="m,l,21600r21600,l21600,xe">
                    <v:stroke joinstyle="miter"/>
                    <v:path gradientshapeok="t" o:connecttype="rect"/>
                  </v:shapetype>
                  <v:shape id="Text Box 21"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5ABCC" w14:textId="3A6E3AC5" w:rsidR="00CE65A8" w:rsidRPr="006055C1" w:rsidRDefault="00CE65A8" w:rsidP="006055C1">
                              <w:pPr>
                                <w:pStyle w:val="NoSpacing"/>
                                <w:jc w:val="right"/>
                                <w:rPr>
                                  <w:color w:val="595959" w:themeColor="text1" w:themeTint="A6"/>
                                  <w:sz w:val="28"/>
                                  <w:szCs w:val="28"/>
                                </w:rPr>
                              </w:pPr>
                              <w:r w:rsidRPr="006055C1">
                                <w:rPr>
                                  <w:color w:val="595959" w:themeColor="text1" w:themeTint="A6"/>
                                  <w:sz w:val="28"/>
                                  <w:szCs w:val="28"/>
                                </w:rPr>
                                <w:t>Josh Jones (2501946)</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C67FC8C" wp14:editId="620D7C6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FD24FB" w14:textId="742366A9" w:rsidR="00CE65A8"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E65A8">
                                      <w:rPr>
                                        <w:caps/>
                                        <w:color w:val="156082" w:themeColor="accent1"/>
                                        <w:sz w:val="64"/>
                                        <w:szCs w:val="64"/>
                                      </w:rPr>
                                      <w:t>Vigilant trust &amp; aSSET Management Scenario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C809DE8" w14:textId="278FCC68" w:rsidR="00CE65A8" w:rsidRDefault="00CE65A8">
                                    <w:pPr>
                                      <w:jc w:val="right"/>
                                      <w:rPr>
                                        <w:smallCaps/>
                                        <w:color w:val="404040" w:themeColor="text1" w:themeTint="BF"/>
                                        <w:sz w:val="36"/>
                                        <w:szCs w:val="36"/>
                                      </w:rPr>
                                    </w:pPr>
                                    <w:r>
                                      <w:rPr>
                                        <w:color w:val="404040" w:themeColor="text1" w:themeTint="BF"/>
                                        <w:sz w:val="36"/>
                                        <w:szCs w:val="36"/>
                                      </w:rPr>
                                      <w:t xml:space="preserve">Networks and Cyber </w:t>
                                    </w:r>
                                    <w:r w:rsidR="006055C1">
                                      <w:rPr>
                                        <w:color w:val="404040" w:themeColor="text1" w:themeTint="BF"/>
                                        <w:sz w:val="36"/>
                                        <w:szCs w:val="36"/>
                                      </w:rPr>
                                      <w:t>Security Essentials (ACCA4024)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C67FC8C" id="Text Box 25"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AFD24FB" w14:textId="742366A9" w:rsidR="00CE65A8"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E65A8">
                                <w:rPr>
                                  <w:caps/>
                                  <w:color w:val="156082" w:themeColor="accent1"/>
                                  <w:sz w:val="64"/>
                                  <w:szCs w:val="64"/>
                                </w:rPr>
                                <w:t>Vigilant trust &amp; aSSET Management Scenario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C809DE8" w14:textId="278FCC68" w:rsidR="00CE65A8" w:rsidRDefault="00CE65A8">
                              <w:pPr>
                                <w:jc w:val="right"/>
                                <w:rPr>
                                  <w:smallCaps/>
                                  <w:color w:val="404040" w:themeColor="text1" w:themeTint="BF"/>
                                  <w:sz w:val="36"/>
                                  <w:szCs w:val="36"/>
                                </w:rPr>
                              </w:pPr>
                              <w:r>
                                <w:rPr>
                                  <w:color w:val="404040" w:themeColor="text1" w:themeTint="BF"/>
                                  <w:sz w:val="36"/>
                                  <w:szCs w:val="36"/>
                                </w:rPr>
                                <w:t xml:space="preserve">Networks and Cyber </w:t>
                              </w:r>
                              <w:r w:rsidR="006055C1">
                                <w:rPr>
                                  <w:color w:val="404040" w:themeColor="text1" w:themeTint="BF"/>
                                  <w:sz w:val="36"/>
                                  <w:szCs w:val="36"/>
                                </w:rPr>
                                <w:t>Security Essentials (ACCA4024)</w:t>
                              </w:r>
                            </w:p>
                          </w:sdtContent>
                        </w:sdt>
                      </w:txbxContent>
                    </v:textbox>
                    <w10:wrap type="square" anchorx="page" anchory="page"/>
                  </v:shape>
                </w:pict>
              </mc:Fallback>
            </mc:AlternateContent>
          </w:r>
        </w:p>
        <w:p w14:paraId="5F4F63DB" w14:textId="77777777" w:rsidR="00EE66BA" w:rsidRDefault="00CE65A8">
          <w:r>
            <w:br w:type="page"/>
          </w:r>
        </w:p>
        <w:sdt>
          <w:sdtPr>
            <w:rPr>
              <w:rFonts w:asciiTheme="minorHAnsi" w:eastAsiaTheme="minorHAnsi" w:hAnsiTheme="minorHAnsi" w:cstheme="minorBidi"/>
              <w:b w:val="0"/>
              <w:bCs w:val="0"/>
              <w:color w:val="auto"/>
              <w:kern w:val="2"/>
              <w:sz w:val="24"/>
              <w:szCs w:val="24"/>
              <w:lang w:val="en-GB"/>
              <w14:ligatures w14:val="standardContextual"/>
            </w:rPr>
            <w:id w:val="-345332666"/>
            <w:docPartObj>
              <w:docPartGallery w:val="Table of Contents"/>
              <w:docPartUnique/>
            </w:docPartObj>
          </w:sdtPr>
          <w:sdtEndPr>
            <w:rPr>
              <w:noProof/>
            </w:rPr>
          </w:sdtEndPr>
          <w:sdtContent>
            <w:p w14:paraId="0785AEC9" w14:textId="2EA11BD5" w:rsidR="00EE66BA" w:rsidRDefault="00EE66BA">
              <w:pPr>
                <w:pStyle w:val="TOCHeading"/>
              </w:pPr>
              <w:r>
                <w:t>Table of Contents</w:t>
              </w:r>
            </w:p>
            <w:p w14:paraId="3438F7F0" w14:textId="4A66D09C" w:rsidR="009D53C8" w:rsidRDefault="00EE66BA">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30352713" w:history="1">
                <w:r w:rsidR="009D53C8" w:rsidRPr="00B52B5B">
                  <w:rPr>
                    <w:rStyle w:val="Hyperlink"/>
                    <w:noProof/>
                  </w:rPr>
                  <w:t>1 - Introduction</w:t>
                </w:r>
                <w:r w:rsidR="009D53C8">
                  <w:rPr>
                    <w:noProof/>
                    <w:webHidden/>
                  </w:rPr>
                  <w:tab/>
                </w:r>
                <w:r w:rsidR="009D53C8">
                  <w:rPr>
                    <w:noProof/>
                    <w:webHidden/>
                  </w:rPr>
                  <w:fldChar w:fldCharType="begin"/>
                </w:r>
                <w:r w:rsidR="009D53C8">
                  <w:rPr>
                    <w:noProof/>
                    <w:webHidden/>
                  </w:rPr>
                  <w:instrText xml:space="preserve"> PAGEREF _Toc230352713 \h </w:instrText>
                </w:r>
                <w:r w:rsidR="009D53C8">
                  <w:rPr>
                    <w:noProof/>
                    <w:webHidden/>
                  </w:rPr>
                </w:r>
                <w:r w:rsidR="009D53C8">
                  <w:rPr>
                    <w:noProof/>
                    <w:webHidden/>
                  </w:rPr>
                  <w:fldChar w:fldCharType="separate"/>
                </w:r>
                <w:r w:rsidR="009D53C8">
                  <w:rPr>
                    <w:noProof/>
                    <w:webHidden/>
                  </w:rPr>
                  <w:t>2</w:t>
                </w:r>
                <w:r w:rsidR="009D53C8">
                  <w:rPr>
                    <w:noProof/>
                    <w:webHidden/>
                  </w:rPr>
                  <w:fldChar w:fldCharType="end"/>
                </w:r>
              </w:hyperlink>
            </w:p>
            <w:p w14:paraId="088C898F" w14:textId="5823ACCC" w:rsidR="009D53C8" w:rsidRDefault="009D53C8">
              <w:pPr>
                <w:pStyle w:val="TOC1"/>
                <w:tabs>
                  <w:tab w:val="right" w:leader="dot" w:pos="9016"/>
                </w:tabs>
                <w:rPr>
                  <w:rFonts w:eastAsiaTheme="minorEastAsia"/>
                  <w:b w:val="0"/>
                  <w:bCs w:val="0"/>
                  <w:i w:val="0"/>
                  <w:iCs w:val="0"/>
                  <w:noProof/>
                  <w:lang w:eastAsia="en-GB"/>
                </w:rPr>
              </w:pPr>
              <w:hyperlink w:anchor="_Toc230352714" w:history="1">
                <w:r w:rsidRPr="00B52B5B">
                  <w:rPr>
                    <w:rStyle w:val="Hyperlink"/>
                    <w:noProof/>
                  </w:rPr>
                  <w:t>2 - Modern Threat Landscape</w:t>
                </w:r>
                <w:r>
                  <w:rPr>
                    <w:noProof/>
                    <w:webHidden/>
                  </w:rPr>
                  <w:tab/>
                </w:r>
                <w:r>
                  <w:rPr>
                    <w:noProof/>
                    <w:webHidden/>
                  </w:rPr>
                  <w:fldChar w:fldCharType="begin"/>
                </w:r>
                <w:r>
                  <w:rPr>
                    <w:noProof/>
                    <w:webHidden/>
                  </w:rPr>
                  <w:instrText xml:space="preserve"> PAGEREF _Toc230352714 \h </w:instrText>
                </w:r>
                <w:r>
                  <w:rPr>
                    <w:noProof/>
                    <w:webHidden/>
                  </w:rPr>
                </w:r>
                <w:r>
                  <w:rPr>
                    <w:noProof/>
                    <w:webHidden/>
                  </w:rPr>
                  <w:fldChar w:fldCharType="separate"/>
                </w:r>
                <w:r>
                  <w:rPr>
                    <w:noProof/>
                    <w:webHidden/>
                  </w:rPr>
                  <w:t>2</w:t>
                </w:r>
                <w:r>
                  <w:rPr>
                    <w:noProof/>
                    <w:webHidden/>
                  </w:rPr>
                  <w:fldChar w:fldCharType="end"/>
                </w:r>
              </w:hyperlink>
            </w:p>
            <w:p w14:paraId="1285DE7C" w14:textId="4CF08341" w:rsidR="009D53C8" w:rsidRDefault="009D53C8">
              <w:pPr>
                <w:pStyle w:val="TOC1"/>
                <w:tabs>
                  <w:tab w:val="right" w:leader="dot" w:pos="9016"/>
                </w:tabs>
                <w:rPr>
                  <w:rFonts w:eastAsiaTheme="minorEastAsia"/>
                  <w:b w:val="0"/>
                  <w:bCs w:val="0"/>
                  <w:i w:val="0"/>
                  <w:iCs w:val="0"/>
                  <w:noProof/>
                  <w:lang w:eastAsia="en-GB"/>
                </w:rPr>
              </w:pPr>
              <w:hyperlink w:anchor="_Toc230352715" w:history="1">
                <w:r w:rsidRPr="00B52B5B">
                  <w:rPr>
                    <w:rStyle w:val="Hyperlink"/>
                    <w:noProof/>
                  </w:rPr>
                  <w:t>3 – Zero Trust &amp; Frameworks</w:t>
                </w:r>
                <w:r>
                  <w:rPr>
                    <w:noProof/>
                    <w:webHidden/>
                  </w:rPr>
                  <w:tab/>
                </w:r>
                <w:r>
                  <w:rPr>
                    <w:noProof/>
                    <w:webHidden/>
                  </w:rPr>
                  <w:fldChar w:fldCharType="begin"/>
                </w:r>
                <w:r>
                  <w:rPr>
                    <w:noProof/>
                    <w:webHidden/>
                  </w:rPr>
                  <w:instrText xml:space="preserve"> PAGEREF _Toc230352715 \h </w:instrText>
                </w:r>
                <w:r>
                  <w:rPr>
                    <w:noProof/>
                    <w:webHidden/>
                  </w:rPr>
                </w:r>
                <w:r>
                  <w:rPr>
                    <w:noProof/>
                    <w:webHidden/>
                  </w:rPr>
                  <w:fldChar w:fldCharType="separate"/>
                </w:r>
                <w:r>
                  <w:rPr>
                    <w:noProof/>
                    <w:webHidden/>
                  </w:rPr>
                  <w:t>3</w:t>
                </w:r>
                <w:r>
                  <w:rPr>
                    <w:noProof/>
                    <w:webHidden/>
                  </w:rPr>
                  <w:fldChar w:fldCharType="end"/>
                </w:r>
              </w:hyperlink>
            </w:p>
            <w:p w14:paraId="34B502FB" w14:textId="053F1350" w:rsidR="009D53C8" w:rsidRDefault="009D53C8">
              <w:pPr>
                <w:pStyle w:val="TOC1"/>
                <w:tabs>
                  <w:tab w:val="right" w:leader="dot" w:pos="9016"/>
                </w:tabs>
                <w:rPr>
                  <w:rFonts w:eastAsiaTheme="minorEastAsia"/>
                  <w:b w:val="0"/>
                  <w:bCs w:val="0"/>
                  <w:i w:val="0"/>
                  <w:iCs w:val="0"/>
                  <w:noProof/>
                  <w:lang w:eastAsia="en-GB"/>
                </w:rPr>
              </w:pPr>
              <w:hyperlink w:anchor="_Toc230352716" w:history="1">
                <w:r w:rsidRPr="00B52B5B">
                  <w:rPr>
                    <w:rStyle w:val="Hyperlink"/>
                    <w:noProof/>
                  </w:rPr>
                  <w:t>4 – Technical Mitigation Measures</w:t>
                </w:r>
                <w:r>
                  <w:rPr>
                    <w:noProof/>
                    <w:webHidden/>
                  </w:rPr>
                  <w:tab/>
                </w:r>
                <w:r>
                  <w:rPr>
                    <w:noProof/>
                    <w:webHidden/>
                  </w:rPr>
                  <w:fldChar w:fldCharType="begin"/>
                </w:r>
                <w:r>
                  <w:rPr>
                    <w:noProof/>
                    <w:webHidden/>
                  </w:rPr>
                  <w:instrText xml:space="preserve"> PAGEREF _Toc230352716 \h </w:instrText>
                </w:r>
                <w:r>
                  <w:rPr>
                    <w:noProof/>
                    <w:webHidden/>
                  </w:rPr>
                </w:r>
                <w:r>
                  <w:rPr>
                    <w:noProof/>
                    <w:webHidden/>
                  </w:rPr>
                  <w:fldChar w:fldCharType="separate"/>
                </w:r>
                <w:r>
                  <w:rPr>
                    <w:noProof/>
                    <w:webHidden/>
                  </w:rPr>
                  <w:t>4</w:t>
                </w:r>
                <w:r>
                  <w:rPr>
                    <w:noProof/>
                    <w:webHidden/>
                  </w:rPr>
                  <w:fldChar w:fldCharType="end"/>
                </w:r>
              </w:hyperlink>
            </w:p>
            <w:p w14:paraId="1F40190C" w14:textId="7B7B4725" w:rsidR="009D53C8" w:rsidRDefault="009D53C8">
              <w:pPr>
                <w:pStyle w:val="TOC1"/>
                <w:tabs>
                  <w:tab w:val="right" w:leader="dot" w:pos="9016"/>
                </w:tabs>
                <w:rPr>
                  <w:rFonts w:eastAsiaTheme="minorEastAsia"/>
                  <w:b w:val="0"/>
                  <w:bCs w:val="0"/>
                  <w:i w:val="0"/>
                  <w:iCs w:val="0"/>
                  <w:noProof/>
                  <w:lang w:eastAsia="en-GB"/>
                </w:rPr>
              </w:pPr>
              <w:hyperlink w:anchor="_Toc230352717" w:history="1">
                <w:r w:rsidRPr="00B52B5B">
                  <w:rPr>
                    <w:rStyle w:val="Hyperlink"/>
                    <w:noProof/>
                  </w:rPr>
                  <w:t>5 –Monitoring &amp; Incident Response</w:t>
                </w:r>
                <w:r>
                  <w:rPr>
                    <w:noProof/>
                    <w:webHidden/>
                  </w:rPr>
                  <w:tab/>
                </w:r>
                <w:r>
                  <w:rPr>
                    <w:noProof/>
                    <w:webHidden/>
                  </w:rPr>
                  <w:fldChar w:fldCharType="begin"/>
                </w:r>
                <w:r>
                  <w:rPr>
                    <w:noProof/>
                    <w:webHidden/>
                  </w:rPr>
                  <w:instrText xml:space="preserve"> PAGEREF _Toc230352717 \h </w:instrText>
                </w:r>
                <w:r>
                  <w:rPr>
                    <w:noProof/>
                    <w:webHidden/>
                  </w:rPr>
                </w:r>
                <w:r>
                  <w:rPr>
                    <w:noProof/>
                    <w:webHidden/>
                  </w:rPr>
                  <w:fldChar w:fldCharType="separate"/>
                </w:r>
                <w:r>
                  <w:rPr>
                    <w:noProof/>
                    <w:webHidden/>
                  </w:rPr>
                  <w:t>5</w:t>
                </w:r>
                <w:r>
                  <w:rPr>
                    <w:noProof/>
                    <w:webHidden/>
                  </w:rPr>
                  <w:fldChar w:fldCharType="end"/>
                </w:r>
              </w:hyperlink>
            </w:p>
            <w:p w14:paraId="790DAE3C" w14:textId="1FC5A031" w:rsidR="009D53C8" w:rsidRDefault="009D53C8">
              <w:pPr>
                <w:pStyle w:val="TOC1"/>
                <w:tabs>
                  <w:tab w:val="right" w:leader="dot" w:pos="9016"/>
                </w:tabs>
                <w:rPr>
                  <w:rFonts w:eastAsiaTheme="minorEastAsia"/>
                  <w:b w:val="0"/>
                  <w:bCs w:val="0"/>
                  <w:i w:val="0"/>
                  <w:iCs w:val="0"/>
                  <w:noProof/>
                  <w:lang w:eastAsia="en-GB"/>
                </w:rPr>
              </w:pPr>
              <w:hyperlink w:anchor="_Toc230352718" w:history="1">
                <w:r w:rsidRPr="00B52B5B">
                  <w:rPr>
                    <w:rStyle w:val="Hyperlink"/>
                    <w:noProof/>
                  </w:rPr>
                  <w:t>6 – Training &amp; Awareness</w:t>
                </w:r>
                <w:r>
                  <w:rPr>
                    <w:noProof/>
                    <w:webHidden/>
                  </w:rPr>
                  <w:tab/>
                </w:r>
                <w:r>
                  <w:rPr>
                    <w:noProof/>
                    <w:webHidden/>
                  </w:rPr>
                  <w:fldChar w:fldCharType="begin"/>
                </w:r>
                <w:r>
                  <w:rPr>
                    <w:noProof/>
                    <w:webHidden/>
                  </w:rPr>
                  <w:instrText xml:space="preserve"> PAGEREF _Toc230352718 \h </w:instrText>
                </w:r>
                <w:r>
                  <w:rPr>
                    <w:noProof/>
                    <w:webHidden/>
                  </w:rPr>
                </w:r>
                <w:r>
                  <w:rPr>
                    <w:noProof/>
                    <w:webHidden/>
                  </w:rPr>
                  <w:fldChar w:fldCharType="separate"/>
                </w:r>
                <w:r>
                  <w:rPr>
                    <w:noProof/>
                    <w:webHidden/>
                  </w:rPr>
                  <w:t>6</w:t>
                </w:r>
                <w:r>
                  <w:rPr>
                    <w:noProof/>
                    <w:webHidden/>
                  </w:rPr>
                  <w:fldChar w:fldCharType="end"/>
                </w:r>
              </w:hyperlink>
            </w:p>
            <w:p w14:paraId="1CE21B93" w14:textId="293FBB6F" w:rsidR="009D53C8" w:rsidRDefault="009D53C8">
              <w:pPr>
                <w:pStyle w:val="TOC1"/>
                <w:tabs>
                  <w:tab w:val="right" w:leader="dot" w:pos="9016"/>
                </w:tabs>
                <w:rPr>
                  <w:rFonts w:eastAsiaTheme="minorEastAsia"/>
                  <w:b w:val="0"/>
                  <w:bCs w:val="0"/>
                  <w:i w:val="0"/>
                  <w:iCs w:val="0"/>
                  <w:noProof/>
                  <w:lang w:eastAsia="en-GB"/>
                </w:rPr>
              </w:pPr>
              <w:hyperlink w:anchor="_Toc230352719" w:history="1">
                <w:r w:rsidRPr="00B52B5B">
                  <w:rPr>
                    <w:rStyle w:val="Hyperlink"/>
                    <w:noProof/>
                  </w:rPr>
                  <w:t>7 – Conclusion</w:t>
                </w:r>
                <w:r>
                  <w:rPr>
                    <w:noProof/>
                    <w:webHidden/>
                  </w:rPr>
                  <w:tab/>
                </w:r>
                <w:r>
                  <w:rPr>
                    <w:noProof/>
                    <w:webHidden/>
                  </w:rPr>
                  <w:fldChar w:fldCharType="begin"/>
                </w:r>
                <w:r>
                  <w:rPr>
                    <w:noProof/>
                    <w:webHidden/>
                  </w:rPr>
                  <w:instrText xml:space="preserve"> PAGEREF _Toc230352719 \h </w:instrText>
                </w:r>
                <w:r>
                  <w:rPr>
                    <w:noProof/>
                    <w:webHidden/>
                  </w:rPr>
                </w:r>
                <w:r>
                  <w:rPr>
                    <w:noProof/>
                    <w:webHidden/>
                  </w:rPr>
                  <w:fldChar w:fldCharType="separate"/>
                </w:r>
                <w:r>
                  <w:rPr>
                    <w:noProof/>
                    <w:webHidden/>
                  </w:rPr>
                  <w:t>7</w:t>
                </w:r>
                <w:r>
                  <w:rPr>
                    <w:noProof/>
                    <w:webHidden/>
                  </w:rPr>
                  <w:fldChar w:fldCharType="end"/>
                </w:r>
              </w:hyperlink>
            </w:p>
            <w:p w14:paraId="29489FE9" w14:textId="48169547" w:rsidR="009D53C8" w:rsidRDefault="009D53C8">
              <w:pPr>
                <w:pStyle w:val="TOC1"/>
                <w:tabs>
                  <w:tab w:val="right" w:leader="dot" w:pos="9016"/>
                </w:tabs>
                <w:rPr>
                  <w:rFonts w:eastAsiaTheme="minorEastAsia"/>
                  <w:b w:val="0"/>
                  <w:bCs w:val="0"/>
                  <w:i w:val="0"/>
                  <w:iCs w:val="0"/>
                  <w:noProof/>
                  <w:lang w:eastAsia="en-GB"/>
                </w:rPr>
              </w:pPr>
              <w:hyperlink w:anchor="_Toc230352720" w:history="1">
                <w:r w:rsidRPr="00B52B5B">
                  <w:rPr>
                    <w:rStyle w:val="Hyperlink"/>
                    <w:noProof/>
                  </w:rPr>
                  <w:t>References</w:t>
                </w:r>
                <w:r>
                  <w:rPr>
                    <w:noProof/>
                    <w:webHidden/>
                  </w:rPr>
                  <w:tab/>
                </w:r>
                <w:r>
                  <w:rPr>
                    <w:noProof/>
                    <w:webHidden/>
                  </w:rPr>
                  <w:fldChar w:fldCharType="begin"/>
                </w:r>
                <w:r>
                  <w:rPr>
                    <w:noProof/>
                    <w:webHidden/>
                  </w:rPr>
                  <w:instrText xml:space="preserve"> PAGEREF _Toc230352720 \h </w:instrText>
                </w:r>
                <w:r>
                  <w:rPr>
                    <w:noProof/>
                    <w:webHidden/>
                  </w:rPr>
                </w:r>
                <w:r>
                  <w:rPr>
                    <w:noProof/>
                    <w:webHidden/>
                  </w:rPr>
                  <w:fldChar w:fldCharType="separate"/>
                </w:r>
                <w:r>
                  <w:rPr>
                    <w:noProof/>
                    <w:webHidden/>
                  </w:rPr>
                  <w:t>7</w:t>
                </w:r>
                <w:r>
                  <w:rPr>
                    <w:noProof/>
                    <w:webHidden/>
                  </w:rPr>
                  <w:fldChar w:fldCharType="end"/>
                </w:r>
              </w:hyperlink>
            </w:p>
            <w:p w14:paraId="2E8F19CE" w14:textId="622B6863" w:rsidR="00EE66BA" w:rsidRDefault="00EE66BA">
              <w:r>
                <w:rPr>
                  <w:b/>
                  <w:bCs/>
                  <w:noProof/>
                </w:rPr>
                <w:fldChar w:fldCharType="end"/>
              </w:r>
            </w:p>
          </w:sdtContent>
        </w:sdt>
        <w:p w14:paraId="6CF732CB" w14:textId="77777777" w:rsidR="00EE66BA" w:rsidRDefault="00EE66BA">
          <w:pPr>
            <w:rPr>
              <w:rFonts w:asciiTheme="majorHAnsi" w:eastAsiaTheme="majorEastAsia" w:hAnsiTheme="majorHAnsi" w:cstheme="majorBidi"/>
              <w:color w:val="0F4761" w:themeColor="accent1" w:themeShade="BF"/>
              <w:sz w:val="40"/>
              <w:szCs w:val="40"/>
            </w:rPr>
          </w:pPr>
        </w:p>
        <w:p w14:paraId="45107D19" w14:textId="77777777" w:rsidR="00EE66BA" w:rsidRDefault="00EE66BA">
          <w:pPr>
            <w:rPr>
              <w:rFonts w:asciiTheme="majorHAnsi" w:eastAsiaTheme="majorEastAsia" w:hAnsiTheme="majorHAnsi" w:cstheme="majorBidi"/>
              <w:color w:val="0F4761" w:themeColor="accent1" w:themeShade="BF"/>
              <w:sz w:val="40"/>
              <w:szCs w:val="40"/>
            </w:rPr>
          </w:pPr>
        </w:p>
        <w:p w14:paraId="0EEBB8F4" w14:textId="77777777" w:rsidR="00EE66BA" w:rsidRDefault="00EE66BA">
          <w:pPr>
            <w:rPr>
              <w:rFonts w:asciiTheme="majorHAnsi" w:eastAsiaTheme="majorEastAsia" w:hAnsiTheme="majorHAnsi" w:cstheme="majorBidi"/>
              <w:color w:val="0F4761" w:themeColor="accent1" w:themeShade="BF"/>
              <w:sz w:val="40"/>
              <w:szCs w:val="40"/>
            </w:rPr>
          </w:pPr>
        </w:p>
        <w:p w14:paraId="5453418A" w14:textId="77777777" w:rsidR="00EE66BA" w:rsidRDefault="00EE66BA">
          <w:pPr>
            <w:rPr>
              <w:rFonts w:asciiTheme="majorHAnsi" w:eastAsiaTheme="majorEastAsia" w:hAnsiTheme="majorHAnsi" w:cstheme="majorBidi"/>
              <w:color w:val="0F4761" w:themeColor="accent1" w:themeShade="BF"/>
              <w:sz w:val="40"/>
              <w:szCs w:val="40"/>
            </w:rPr>
          </w:pPr>
        </w:p>
        <w:p w14:paraId="1EDBB291" w14:textId="77777777" w:rsidR="00EE66BA" w:rsidRDefault="00EE66BA">
          <w:pPr>
            <w:rPr>
              <w:rFonts w:asciiTheme="majorHAnsi" w:eastAsiaTheme="majorEastAsia" w:hAnsiTheme="majorHAnsi" w:cstheme="majorBidi"/>
              <w:color w:val="0F4761" w:themeColor="accent1" w:themeShade="BF"/>
              <w:sz w:val="40"/>
              <w:szCs w:val="40"/>
            </w:rPr>
          </w:pPr>
        </w:p>
        <w:p w14:paraId="5063A439" w14:textId="77777777" w:rsidR="00EE66BA" w:rsidRDefault="00EE66BA">
          <w:pPr>
            <w:rPr>
              <w:rFonts w:asciiTheme="majorHAnsi" w:eastAsiaTheme="majorEastAsia" w:hAnsiTheme="majorHAnsi" w:cstheme="majorBidi"/>
              <w:color w:val="0F4761" w:themeColor="accent1" w:themeShade="BF"/>
              <w:sz w:val="40"/>
              <w:szCs w:val="40"/>
            </w:rPr>
          </w:pPr>
        </w:p>
        <w:p w14:paraId="2B4DCAAB" w14:textId="77777777" w:rsidR="00EE66BA" w:rsidRDefault="00EE66BA">
          <w:pPr>
            <w:rPr>
              <w:rFonts w:asciiTheme="majorHAnsi" w:eastAsiaTheme="majorEastAsia" w:hAnsiTheme="majorHAnsi" w:cstheme="majorBidi"/>
              <w:color w:val="0F4761" w:themeColor="accent1" w:themeShade="BF"/>
              <w:sz w:val="40"/>
              <w:szCs w:val="40"/>
            </w:rPr>
          </w:pPr>
        </w:p>
        <w:p w14:paraId="4F7D1EE3" w14:textId="77777777" w:rsidR="00EE66BA" w:rsidRDefault="00EE66BA">
          <w:pPr>
            <w:rPr>
              <w:rFonts w:asciiTheme="majorHAnsi" w:eastAsiaTheme="majorEastAsia" w:hAnsiTheme="majorHAnsi" w:cstheme="majorBidi"/>
              <w:color w:val="0F4761" w:themeColor="accent1" w:themeShade="BF"/>
              <w:sz w:val="40"/>
              <w:szCs w:val="40"/>
            </w:rPr>
          </w:pPr>
        </w:p>
        <w:p w14:paraId="1C0823E8" w14:textId="77777777" w:rsidR="00EE66BA" w:rsidRDefault="00EE66BA">
          <w:pPr>
            <w:rPr>
              <w:rFonts w:asciiTheme="majorHAnsi" w:eastAsiaTheme="majorEastAsia" w:hAnsiTheme="majorHAnsi" w:cstheme="majorBidi"/>
              <w:color w:val="0F4761" w:themeColor="accent1" w:themeShade="BF"/>
              <w:sz w:val="40"/>
              <w:szCs w:val="40"/>
            </w:rPr>
          </w:pPr>
        </w:p>
        <w:p w14:paraId="2801DD83" w14:textId="77777777" w:rsidR="00EE66BA" w:rsidRDefault="00EE66BA">
          <w:pPr>
            <w:rPr>
              <w:rFonts w:asciiTheme="majorHAnsi" w:eastAsiaTheme="majorEastAsia" w:hAnsiTheme="majorHAnsi" w:cstheme="majorBidi"/>
              <w:color w:val="0F4761" w:themeColor="accent1" w:themeShade="BF"/>
              <w:sz w:val="40"/>
              <w:szCs w:val="40"/>
            </w:rPr>
          </w:pPr>
        </w:p>
        <w:p w14:paraId="4C7825E8" w14:textId="7F562CCE" w:rsidR="00CE65A8" w:rsidRDefault="00000000">
          <w:pPr>
            <w:rPr>
              <w:rFonts w:asciiTheme="majorHAnsi" w:eastAsiaTheme="majorEastAsia" w:hAnsiTheme="majorHAnsi" w:cstheme="majorBidi"/>
              <w:color w:val="0F4761" w:themeColor="accent1" w:themeShade="BF"/>
              <w:sz w:val="40"/>
              <w:szCs w:val="40"/>
            </w:rPr>
          </w:pPr>
        </w:p>
      </w:sdtContent>
    </w:sdt>
    <w:p w14:paraId="5F590CEF" w14:textId="44535888" w:rsidR="009B6033" w:rsidRDefault="009B6033" w:rsidP="009B6033">
      <w:pPr>
        <w:pStyle w:val="Heading1"/>
      </w:pPr>
      <w:bookmarkStart w:id="0" w:name="_Toc230352713"/>
      <w:r>
        <w:lastRenderedPageBreak/>
        <w:t>1 - Introduction</w:t>
      </w:r>
      <w:bookmarkEnd w:id="0"/>
    </w:p>
    <w:p w14:paraId="3438621C" w14:textId="42AF6F99" w:rsidR="007270CE" w:rsidRDefault="007270CE" w:rsidP="007270CE">
      <w:r>
        <w:t xml:space="preserve">Vigilant Trust &amp; Asset Management (VTAM) is engaged in a highly attractive segment from the point of view of modern cyber-attacks. Financial service companies possess high-value information like client information, history of transactions, and assets managed. As recent cyber-attacks show, they are very interesting targets for advanced cyber actors: the phishing campaign conducted by VTAM has been able to circumvent the traditional perimeter </w:t>
      </w:r>
      <w:r w:rsidR="00C42A28">
        <w:t>defence</w:t>
      </w:r>
      <w:r>
        <w:t xml:space="preserve"> mechanisms, while another attack aimed to infect the network with ransomware.</w:t>
      </w:r>
    </w:p>
    <w:p w14:paraId="0952DA2B" w14:textId="078E599F" w:rsidR="00C42A28" w:rsidRDefault="007270CE" w:rsidP="007270CE">
      <w:r>
        <w:t>The purpose of this research is to develop a comprehensive security policy following the Zero Trust principles – "never trust, always verify." The recommendations are based on the guidelines set out in NIST CSF 2.0 [1] in which the scope was enlarged to cover all industries, and a Govern function was added</w:t>
      </w:r>
      <w:r w:rsidR="009B6033">
        <w:t>.</w:t>
      </w:r>
      <w:r>
        <w:t xml:space="preserve"> [2]</w:t>
      </w:r>
    </w:p>
    <w:p w14:paraId="7AF538FC" w14:textId="77777777" w:rsidR="001E18BF" w:rsidRDefault="001E18BF" w:rsidP="007270CE"/>
    <w:p w14:paraId="1B2546F7" w14:textId="6B980973" w:rsidR="009B6033" w:rsidRDefault="009B6033" w:rsidP="009B6033">
      <w:pPr>
        <w:pStyle w:val="Heading1"/>
      </w:pPr>
      <w:bookmarkStart w:id="1" w:name="_Toc230352714"/>
      <w:r>
        <w:t>2 - Modern Threat Landscape</w:t>
      </w:r>
      <w:bookmarkEnd w:id="1"/>
    </w:p>
    <w:p w14:paraId="6609FC26" w14:textId="10262343" w:rsidR="001E18BF" w:rsidRDefault="001E18BF" w:rsidP="001E18BF">
      <w:r>
        <w:t>Threats that VTAM face have become different and complex, with current security solutions becoming less relevant and effective in dealing with these problems.</w:t>
      </w:r>
    </w:p>
    <w:p w14:paraId="281B2D99" w14:textId="7E1EA75C" w:rsidR="001E18BF" w:rsidRDefault="001E18BF" w:rsidP="001E18BF">
      <w:r>
        <w:t>The development of AI-powered Ransomware as a Service (RaaS) has made entry into cybercrime easy and effortless for hackers. Instead of needing technical knowledge, they can rent a ransomware toolkit from well-known criminal groups</w:t>
      </w:r>
      <w:r w:rsidR="009B6033">
        <w:t>.</w:t>
      </w:r>
      <w:r>
        <w:t xml:space="preserve"> [3] According to the NCSC Annual Review 2025, ransomware is identified as the most significant cybersecurity risk to UK organisations and although the hacker group </w:t>
      </w:r>
      <w:proofErr w:type="spellStart"/>
      <w:r>
        <w:t>LockBit</w:t>
      </w:r>
      <w:proofErr w:type="spellEnd"/>
      <w:r>
        <w:t xml:space="preserve"> was disrupted in 2024, its threat has diversified and stays resilient</w:t>
      </w:r>
      <w:r w:rsidR="009B6033">
        <w:t>.</w:t>
      </w:r>
      <w:r>
        <w:t xml:space="preserve"> [4] In today's ransomware attack, hackers use double extortion which means they not only encrypt the system but also threaten to leak sensitive data</w:t>
      </w:r>
      <w:r w:rsidR="009B6033">
        <w:t>.</w:t>
      </w:r>
      <w:r>
        <w:t xml:space="preserve"> [5]</w:t>
      </w:r>
    </w:p>
    <w:p w14:paraId="16C29349" w14:textId="4353B43E" w:rsidR="001E18BF" w:rsidRDefault="001E18BF" w:rsidP="001E18BF">
      <w:r>
        <w:t>Social engineering attacks are a growing trend and represent a serious threat to companies. Hackers make use of artificial intelligence to clone the voices of people like senior managers or even IT support personnel in order to convince employees of their legitimacy and ask them to give their credentials and allow any fraudulent transactions [6]. It should be noted that such an issue mirrors the social engineering aspect of the recent VTAM phishing campaign.</w:t>
      </w:r>
    </w:p>
    <w:p w14:paraId="6B98B7F2" w14:textId="790EB561" w:rsidR="009B6033" w:rsidRDefault="009B6033" w:rsidP="009B6033">
      <w:r>
        <w:t>Supply chain weaknesses present a notable third-party threat. Knowing this, the NCSC has highlighted supply chain vulnerabilities as an area of focus, showing that there are attacks that leverage trust within business partnerships to get indirect access to target organizations. [4]</w:t>
      </w:r>
    </w:p>
    <w:p w14:paraId="5D9C6097" w14:textId="68BB920B" w:rsidR="009B6033" w:rsidRDefault="009B6033" w:rsidP="009B6033">
      <w:r>
        <w:lastRenderedPageBreak/>
        <w:t>Adoption of cloud services and the shift towards hybrid working environments have increased VTAM's attack surface massively. With employees gaining access to organizational systems using personal devices through unsecured networks, the traditional network perimeter can be said to have disappeared, making identify and access management important. [7]</w:t>
      </w:r>
    </w:p>
    <w:p w14:paraId="4FD6E19D" w14:textId="77777777" w:rsidR="009B6033" w:rsidRDefault="009B6033" w:rsidP="009B6033"/>
    <w:p w14:paraId="2B6BE63A" w14:textId="26CE9EB4" w:rsidR="009B6033" w:rsidRDefault="009B6033" w:rsidP="009B6033">
      <w:pPr>
        <w:pStyle w:val="Heading1"/>
      </w:pPr>
      <w:bookmarkStart w:id="2" w:name="_Toc230352715"/>
      <w:r>
        <w:t>3 – Zero Trust &amp; Frameworks</w:t>
      </w:r>
      <w:bookmarkEnd w:id="2"/>
    </w:p>
    <w:p w14:paraId="28C23BDF" w14:textId="77777777" w:rsidR="00B117A6" w:rsidRDefault="009B6033" w:rsidP="009B6033">
      <w:r>
        <w:t>For mitigating the risks discussed above, it becomes necessary to develop a security policy architecture based on Zero Trust principles at VTAM. According to the NCSC, Zero Trust is "an approach to network security in which 'inherent trust is removed from the network'" [8]</w:t>
      </w:r>
      <w:r w:rsidR="00903A0D">
        <w:t>.</w:t>
      </w:r>
      <w:r>
        <w:t xml:space="preserve"> So, no user and/or devices should be trusted by default regardless of where it exists relative to the corporate network. </w:t>
      </w:r>
    </w:p>
    <w:p w14:paraId="02F39D06" w14:textId="3046D766" w:rsidR="009B6033" w:rsidRDefault="009B6033" w:rsidP="009B6033">
      <w:r>
        <w:t>In addition to this, the NCSC has provided eight design principles of Zero Trust architecture which includes understanding the architecture, confirming the identity of the user, controlling device access and working according to the principle of least privileges [9].</w:t>
      </w:r>
    </w:p>
    <w:p w14:paraId="43770BA0" w14:textId="77777777" w:rsidR="00B117A6" w:rsidRDefault="009B6033" w:rsidP="009B6033">
      <w:r>
        <w:t xml:space="preserve">These principles are very similar to NIST CSF 2.0 [1] which provides an operational structure of cybersecurity activities through six core functions </w:t>
      </w:r>
      <w:r w:rsidR="00903A0D">
        <w:t>which are ‘</w:t>
      </w:r>
      <w:r>
        <w:t>Govern</w:t>
      </w:r>
      <w:r w:rsidR="00903A0D">
        <w:t>’</w:t>
      </w:r>
      <w:r>
        <w:t xml:space="preserve">, </w:t>
      </w:r>
      <w:r w:rsidR="00903A0D">
        <w:t>‘</w:t>
      </w:r>
      <w:r>
        <w:t>Identify</w:t>
      </w:r>
      <w:r w:rsidR="00903A0D">
        <w:t>’</w:t>
      </w:r>
      <w:r>
        <w:t xml:space="preserve">, </w:t>
      </w:r>
      <w:r w:rsidR="00903A0D">
        <w:t>‘</w:t>
      </w:r>
      <w:r>
        <w:t>Protect</w:t>
      </w:r>
      <w:r w:rsidR="00903A0D">
        <w:t>’</w:t>
      </w:r>
      <w:r>
        <w:t xml:space="preserve">, </w:t>
      </w:r>
      <w:r w:rsidR="00903A0D">
        <w:t>‘</w:t>
      </w:r>
      <w:r>
        <w:t>Detect</w:t>
      </w:r>
      <w:r w:rsidR="00903A0D">
        <w:t>’</w:t>
      </w:r>
      <w:r>
        <w:t xml:space="preserve">, </w:t>
      </w:r>
      <w:r w:rsidR="00903A0D">
        <w:t>‘</w:t>
      </w:r>
      <w:r>
        <w:t>Respond</w:t>
      </w:r>
      <w:r w:rsidR="00903A0D">
        <w:t>’</w:t>
      </w:r>
      <w:r>
        <w:t xml:space="preserve">, and </w:t>
      </w:r>
      <w:r w:rsidR="00903A0D">
        <w:t>‘</w:t>
      </w:r>
      <w:r>
        <w:t>Recover</w:t>
      </w:r>
      <w:r w:rsidR="00903A0D">
        <w:t>’</w:t>
      </w:r>
      <w:r>
        <w:t xml:space="preserve"> [2]. </w:t>
      </w:r>
    </w:p>
    <w:p w14:paraId="03C2D1AD" w14:textId="3E7FAF5B" w:rsidR="008719A8" w:rsidRDefault="009B6033" w:rsidP="009B6033">
      <w:r>
        <w:t xml:space="preserve">At VTAM, </w:t>
      </w:r>
      <w:r w:rsidR="00903A0D">
        <w:t>adding</w:t>
      </w:r>
      <w:r>
        <w:t xml:space="preserve"> board-level </w:t>
      </w:r>
      <w:r w:rsidR="00903A0D">
        <w:t>governance</w:t>
      </w:r>
      <w:r>
        <w:t xml:space="preserve"> and defining risk appetites </w:t>
      </w:r>
      <w:r w:rsidR="00903A0D">
        <w:t xml:space="preserve">with documentation </w:t>
      </w:r>
      <w:r>
        <w:t xml:space="preserve">under </w:t>
      </w:r>
      <w:r w:rsidR="00903A0D">
        <w:t>‘</w:t>
      </w:r>
      <w:r>
        <w:t>Govern</w:t>
      </w:r>
      <w:r w:rsidR="00903A0D">
        <w:t>’</w:t>
      </w:r>
      <w:r>
        <w:t xml:space="preserve"> will be needed</w:t>
      </w:r>
      <w:r w:rsidR="00903A0D">
        <w:t xml:space="preserve"> where</w:t>
      </w:r>
      <w:r>
        <w:t xml:space="preserve"> Zero Trust practices need to be implemented in all other five functions. To </w:t>
      </w:r>
      <w:r w:rsidR="00903A0D">
        <w:t>add on to</w:t>
      </w:r>
      <w:r>
        <w:t xml:space="preserve"> this effort, ISO 27001 can help to provide a certifiable ISMS through access control, risk assessment, and incident management practices [10].</w:t>
      </w:r>
    </w:p>
    <w:p w14:paraId="38734D70" w14:textId="77777777" w:rsidR="008719A8" w:rsidRDefault="008719A8" w:rsidP="009B6033"/>
    <w:p w14:paraId="3F4327DF" w14:textId="77777777" w:rsidR="008719A8" w:rsidRDefault="008719A8" w:rsidP="009B6033"/>
    <w:p w14:paraId="32174A2E" w14:textId="77777777" w:rsidR="008719A8" w:rsidRDefault="008719A8" w:rsidP="009B6033"/>
    <w:p w14:paraId="172E83C8" w14:textId="77777777" w:rsidR="008719A8" w:rsidRDefault="008719A8" w:rsidP="009B6033"/>
    <w:p w14:paraId="19C019B6" w14:textId="77777777" w:rsidR="008719A8" w:rsidRDefault="008719A8" w:rsidP="009B6033"/>
    <w:p w14:paraId="1AD058E8" w14:textId="77777777" w:rsidR="008719A8" w:rsidRDefault="008719A8" w:rsidP="009B6033"/>
    <w:p w14:paraId="11CC870B" w14:textId="77777777" w:rsidR="008719A8" w:rsidRDefault="008719A8" w:rsidP="009B6033"/>
    <w:p w14:paraId="42F485D2" w14:textId="77777777" w:rsidR="008719A8" w:rsidRDefault="008719A8" w:rsidP="009B6033"/>
    <w:p w14:paraId="5E8E1CCD" w14:textId="77777777" w:rsidR="008719A8" w:rsidRDefault="008719A8" w:rsidP="009B6033"/>
    <w:p w14:paraId="7FD87DB6" w14:textId="77777777" w:rsidR="008719A8" w:rsidRDefault="008719A8" w:rsidP="009B6033"/>
    <w:p w14:paraId="6A9E3754" w14:textId="77777777" w:rsidR="008719A8" w:rsidRDefault="008719A8" w:rsidP="009B6033"/>
    <w:p w14:paraId="51308DA6" w14:textId="4DB7EAB6" w:rsidR="008719A8" w:rsidRDefault="008719A8" w:rsidP="008719A8">
      <w:pPr>
        <w:pStyle w:val="Heading1"/>
      </w:pPr>
      <w:bookmarkStart w:id="3" w:name="_Toc230352716"/>
      <w:r>
        <w:t>4 – Technical Mitigation Measures</w:t>
      </w:r>
      <w:bookmarkEnd w:id="3"/>
    </w:p>
    <w:p w14:paraId="7F35B888" w14:textId="5B40A8F7" w:rsidR="008719A8" w:rsidRDefault="008719A8" w:rsidP="008719A8">
      <w:r>
        <w:t>VTAM will have to implement an appropriate multi-layer approach of technical controls based on Zero Trust architecture provided by the NCSC</w:t>
      </w:r>
      <w:r w:rsidR="00BB1968">
        <w:t xml:space="preserve"> </w:t>
      </w:r>
      <w:r>
        <w:t xml:space="preserve">as shown in the architecture </w:t>
      </w:r>
      <w:r w:rsidR="00BB1968">
        <w:t>shown</w:t>
      </w:r>
      <w:r>
        <w:t xml:space="preserve"> </w:t>
      </w:r>
      <w:r w:rsidR="00BB1968">
        <w:t>below</w:t>
      </w:r>
      <w:r>
        <w:t>.</w:t>
      </w:r>
    </w:p>
    <w:p w14:paraId="75F61135" w14:textId="49734E6D" w:rsidR="00E05CBE" w:rsidRPr="00E05CBE" w:rsidRDefault="00E05CBE" w:rsidP="00E05CBE">
      <w:r w:rsidRPr="00E05CBE">
        <w:t>To start with this project, we should implement Multi-factor authentication (MFA). As per the recommendations by NCSC, it should be phishing resistant MFA using FIDO2 security keys or passkeys in case of all types of administrative and remote logins, since simple passwords can’t be considered adequate protection against current threats. [11]</w:t>
      </w:r>
    </w:p>
    <w:p w14:paraId="3B31988B" w14:textId="6BEBE261" w:rsidR="008719A8" w:rsidRDefault="008719A8" w:rsidP="008719A8">
      <w:r>
        <w:t>Second</w:t>
      </w:r>
      <w:r w:rsidR="00BB1968">
        <w:t>ly</w:t>
      </w:r>
      <w:r>
        <w:t xml:space="preserve">, VTAM will have to introduce </w:t>
      </w:r>
      <w:r w:rsidR="00BB1968">
        <w:t>‘</w:t>
      </w:r>
      <w:r>
        <w:t>Endpoint Detection and Response</w:t>
      </w:r>
      <w:r w:rsidR="00BB1968">
        <w:t>’</w:t>
      </w:r>
      <w:r>
        <w:t xml:space="preserve"> (EDR) </w:t>
      </w:r>
      <w:r w:rsidR="00BB1968">
        <w:t>to</w:t>
      </w:r>
      <w:r>
        <w:t xml:space="preserve"> protect all its corporate endpoints. EDR </w:t>
      </w:r>
      <w:r w:rsidR="00BB1968">
        <w:t xml:space="preserve">tools </w:t>
      </w:r>
      <w:r>
        <w:t>provide continuous monitoring and detection of malicious activities and threat containment (e.g., ransomware) before they spread in the network</w:t>
      </w:r>
      <w:r w:rsidR="00B117A6">
        <w:t>.</w:t>
      </w:r>
      <w:r>
        <w:t xml:space="preserve"> [12]</w:t>
      </w:r>
      <w:r w:rsidR="00BB1968">
        <w:t xml:space="preserve"> </w:t>
      </w:r>
    </w:p>
    <w:p w14:paraId="4F487408" w14:textId="2A7F45EA" w:rsidR="008719A8" w:rsidRDefault="008719A8" w:rsidP="008719A8">
      <w:r>
        <w:t>Third</w:t>
      </w:r>
      <w:r w:rsidR="008D1220">
        <w:t>ly</w:t>
      </w:r>
      <w:r>
        <w:t xml:space="preserve">, </w:t>
      </w:r>
      <w:r w:rsidR="008D1220">
        <w:t>‘</w:t>
      </w:r>
      <w:r>
        <w:t>Security Information and Event Management</w:t>
      </w:r>
      <w:r w:rsidR="008D1220">
        <w:t xml:space="preserve">’ </w:t>
      </w:r>
      <w:r>
        <w:t>(SIEM</w:t>
      </w:r>
      <w:r w:rsidR="008D1220">
        <w:t>) like</w:t>
      </w:r>
      <w:r>
        <w:t xml:space="preserve"> Microsoft Sentinel or Splunk</w:t>
      </w:r>
      <w:r w:rsidR="008D1220">
        <w:t xml:space="preserve"> </w:t>
      </w:r>
      <w:r>
        <w:t>will help monitor the events throughout the whole infrastructure of VTAM</w:t>
      </w:r>
      <w:r w:rsidR="008D1220">
        <w:t xml:space="preserve"> and alerting across VTAM’S entire environment in real time. If they integrate</w:t>
      </w:r>
      <w:r>
        <w:t xml:space="preserve"> </w:t>
      </w:r>
      <w:r w:rsidR="008D1220">
        <w:t>‘</w:t>
      </w:r>
      <w:r>
        <w:t>Security Orchestration, Automation and Response</w:t>
      </w:r>
      <w:r w:rsidR="008D1220">
        <w:t>’</w:t>
      </w:r>
      <w:r>
        <w:t xml:space="preserve"> (SOAR)</w:t>
      </w:r>
      <w:r w:rsidR="008D1220">
        <w:t>, it will allow them to bring out automated responses to threats that have been detected which reduce mean time to respond. [11]</w:t>
      </w:r>
    </w:p>
    <w:p w14:paraId="6D9B2EF4" w14:textId="1DA72069" w:rsidR="008719A8" w:rsidRDefault="008719A8" w:rsidP="008719A8">
      <w:r>
        <w:t xml:space="preserve">The </w:t>
      </w:r>
      <w:r w:rsidR="008D1220">
        <w:t>‘</w:t>
      </w:r>
      <w:r>
        <w:t>Cloud Security Posture Management</w:t>
      </w:r>
      <w:r w:rsidR="008D1220">
        <w:t>’</w:t>
      </w:r>
      <w:r>
        <w:t xml:space="preserve"> (CSPM) service will always monitor the cloud configuration of VTAM</w:t>
      </w:r>
      <w:r w:rsidR="008D1220">
        <w:t xml:space="preserve"> for any misconfigurations which a</w:t>
      </w:r>
      <w:r>
        <w:t>s stated by NCSC</w:t>
      </w:r>
      <w:r w:rsidR="008D1220">
        <w:t>, it</w:t>
      </w:r>
      <w:r>
        <w:t xml:space="preserve"> is </w:t>
      </w:r>
      <w:r w:rsidR="008D1220">
        <w:t>the leading cause for</w:t>
      </w:r>
      <w:r>
        <w:t xml:space="preserve"> most cloud security threats [11]</w:t>
      </w:r>
      <w:r w:rsidR="008D1220">
        <w:t>.</w:t>
      </w:r>
      <w:r>
        <w:t xml:space="preserve"> The CSPM service</w:t>
      </w:r>
      <w:r w:rsidR="008D1220">
        <w:t xml:space="preserve"> also</w:t>
      </w:r>
      <w:r>
        <w:t xml:space="preserve"> guarantees cloud workload compliance with security policy.</w:t>
      </w:r>
    </w:p>
    <w:p w14:paraId="2CA6370F" w14:textId="257E4662" w:rsidR="008719A8" w:rsidRPr="008719A8" w:rsidRDefault="008719A8" w:rsidP="008719A8">
      <w:pPr>
        <w:rPr>
          <w:b/>
          <w:bCs/>
        </w:rPr>
      </w:pPr>
      <w:r>
        <w:t>Lastly, network micro-segmentation will help prevent lateral movement which means even if one computer is compromised, the attacker will not be able to roam freely within VTAM's network space [9].</w:t>
      </w:r>
    </w:p>
    <w:p w14:paraId="6CBCA875" w14:textId="74BB00DC" w:rsidR="008719A8" w:rsidRDefault="008719A8" w:rsidP="009B6033">
      <w:r>
        <w:rPr>
          <w:noProof/>
        </w:rPr>
        <w:lastRenderedPageBreak/>
        <w:drawing>
          <wp:inline distT="0" distB="0" distL="0" distR="0" wp14:anchorId="451CDC8D" wp14:editId="048A3380">
            <wp:extent cx="5731510" cy="3230880"/>
            <wp:effectExtent l="0" t="0" r="0" b="0"/>
            <wp:docPr id="107233329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333299" name="Graphic 1072333299"/>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30880"/>
                    </a:xfrm>
                    <a:prstGeom prst="rect">
                      <a:avLst/>
                    </a:prstGeom>
                  </pic:spPr>
                </pic:pic>
              </a:graphicData>
            </a:graphic>
          </wp:inline>
        </w:drawing>
      </w:r>
    </w:p>
    <w:p w14:paraId="6BCCE864" w14:textId="77777777" w:rsidR="00C42A28" w:rsidRDefault="00C42A28" w:rsidP="007270CE"/>
    <w:p w14:paraId="2A8CDCDD" w14:textId="77777777" w:rsidR="0044780C" w:rsidRDefault="0044780C" w:rsidP="007270CE"/>
    <w:p w14:paraId="57322176" w14:textId="273E6E66" w:rsidR="0044780C" w:rsidRDefault="0044780C" w:rsidP="0044780C">
      <w:pPr>
        <w:pStyle w:val="Heading1"/>
      </w:pPr>
      <w:bookmarkStart w:id="4" w:name="_Toc230352717"/>
      <w:r>
        <w:t>5 –</w:t>
      </w:r>
      <w:r w:rsidR="00E215A0">
        <w:t>Monitoring &amp; Incident Response</w:t>
      </w:r>
      <w:bookmarkEnd w:id="4"/>
    </w:p>
    <w:p w14:paraId="05CF0D49" w14:textId="5A497093" w:rsidR="00E215A0" w:rsidRDefault="00E215A0" w:rsidP="00E215A0">
      <w:r>
        <w:t>A 24/7 monitoring system that is backed up by cutting-edge technology is vital to effective incident response. As discussed in the NCSC guidelines, alerts can come from various sources like SIEM systems, SOC teams, EDR systems and employee reports which need to be linked and reacted to quickly [13].</w:t>
      </w:r>
    </w:p>
    <w:p w14:paraId="605375DB" w14:textId="77777777" w:rsidR="001F7682" w:rsidRPr="001F7682" w:rsidRDefault="00E215A0" w:rsidP="001F7682">
      <w:r w:rsidRPr="001F7682">
        <w:t xml:space="preserve">For VTAM, SIEM is the core of the security operations by collecting all the logs within the infrastructure and analysing them automatically with defined rules to find suspicious activities. </w:t>
      </w:r>
      <w:r w:rsidR="001F7682" w:rsidRPr="001F7682">
        <w:t>The logs with cloud storage providers should be kept as per the ICO guidelines which generally vary from 12 to 24 months and providing options for real-time alerts and integrating SIEM solutions such as Microsoft Sentinel and Splunk is important [11].</w:t>
      </w:r>
    </w:p>
    <w:p w14:paraId="0DC6FF9A" w14:textId="7CDD377C" w:rsidR="00E215A0" w:rsidRDefault="00E215A0" w:rsidP="00E215A0">
      <w:r>
        <w:t>Once a breach is found and alerted using SIEM, SOAR comes in handy to act upon it automatically. For lower severity breaches, SOAR can automatically block suspicious IPs and isolate infected machines without needing any human help, reducing response times [14]. In case of a critical issue</w:t>
      </w:r>
      <w:r w:rsidR="00B117A6">
        <w:t xml:space="preserve"> like</w:t>
      </w:r>
      <w:r>
        <w:t xml:space="preserve"> an ongoing ransomware attack, SOAR will immediately escalate the issue to the IR team which may contact the NCSC 24/7 incident management service if needed [13].</w:t>
      </w:r>
    </w:p>
    <w:p w14:paraId="4399208E" w14:textId="250C58D0" w:rsidR="00E215A0" w:rsidRDefault="00E215A0" w:rsidP="00E215A0">
      <w:r>
        <w:lastRenderedPageBreak/>
        <w:t xml:space="preserve">After an incident, there should be a </w:t>
      </w:r>
      <w:r w:rsidR="00C60346">
        <w:t>structured</w:t>
      </w:r>
      <w:r>
        <w:t xml:space="preserve"> review to establish what lessons can be learned, </w:t>
      </w:r>
      <w:r w:rsidR="00C60346">
        <w:t>update</w:t>
      </w:r>
      <w:r>
        <w:t xml:space="preserve"> playbooks</w:t>
      </w:r>
      <w:r w:rsidR="00C60346">
        <w:t xml:space="preserve"> </w:t>
      </w:r>
      <w:r>
        <w:t xml:space="preserve">and </w:t>
      </w:r>
      <w:r w:rsidR="00C60346">
        <w:t>make sure</w:t>
      </w:r>
      <w:r>
        <w:t xml:space="preserve"> that a report is made to the ICO within 72 hours after a data breach under UK GDPR requirements</w:t>
      </w:r>
      <w:r w:rsidR="00C60346">
        <w:t>.</w:t>
      </w:r>
      <w:r>
        <w:t xml:space="preserve"> [12]</w:t>
      </w:r>
    </w:p>
    <w:p w14:paraId="16AF1C11" w14:textId="479C0F58" w:rsidR="00E215A0" w:rsidRDefault="00E215A0" w:rsidP="00E215A0">
      <w:r>
        <w:t>The flowchart shown below shows this entire process.</w:t>
      </w:r>
    </w:p>
    <w:p w14:paraId="6A87DECD" w14:textId="6B5BE5C3" w:rsidR="00F102FE" w:rsidRPr="00E215A0" w:rsidRDefault="00F102FE" w:rsidP="00E215A0">
      <w:r>
        <w:rPr>
          <w:noProof/>
        </w:rPr>
        <w:drawing>
          <wp:inline distT="0" distB="0" distL="0" distR="0" wp14:anchorId="3F8A4926" wp14:editId="21A1CF84">
            <wp:extent cx="5731510" cy="3234690"/>
            <wp:effectExtent l="0" t="0" r="0" b="3810"/>
            <wp:docPr id="15895004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500472" name="Picture 158950047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34690"/>
                    </a:xfrm>
                    <a:prstGeom prst="rect">
                      <a:avLst/>
                    </a:prstGeom>
                  </pic:spPr>
                </pic:pic>
              </a:graphicData>
            </a:graphic>
          </wp:inline>
        </w:drawing>
      </w:r>
    </w:p>
    <w:p w14:paraId="2E3C978D" w14:textId="77C26065" w:rsidR="0044780C" w:rsidRDefault="0044780C" w:rsidP="0044780C"/>
    <w:p w14:paraId="5C7935AC" w14:textId="77777777" w:rsidR="00B117A6" w:rsidRDefault="00B117A6" w:rsidP="0044780C"/>
    <w:p w14:paraId="56F635C5" w14:textId="5E960D78" w:rsidR="00B117A6" w:rsidRDefault="00B117A6" w:rsidP="00B117A6">
      <w:pPr>
        <w:pStyle w:val="Heading1"/>
      </w:pPr>
      <w:bookmarkStart w:id="5" w:name="_Toc230352718"/>
      <w:r>
        <w:t>6 – Training &amp; Awareness</w:t>
      </w:r>
      <w:bookmarkEnd w:id="5"/>
    </w:p>
    <w:p w14:paraId="5B07CAC6" w14:textId="0358CC5E" w:rsidR="00B117A6" w:rsidRDefault="001F7682" w:rsidP="00B117A6">
      <w:r w:rsidRPr="001F7682">
        <w:t xml:space="preserve">Technical safeguards will not suffice in securing VTAM because humans will always prove to be the weakest link. The recommendation by NCSC's Annual Review 2025 calls for a shift in strategy to ensure that employees have a security culture rather than just comply with regulations [4]. </w:t>
      </w:r>
      <w:r w:rsidR="00B117A6">
        <w:t>This can only be achieved through training programs that focus on ongoing education as well as practical situations.</w:t>
      </w:r>
    </w:p>
    <w:p w14:paraId="54FAFFD2" w14:textId="13FF98A9" w:rsidR="00B117A6" w:rsidRDefault="00B117A6" w:rsidP="00B117A6">
      <w:r>
        <w:t xml:space="preserve">VTAM should conduct simulations to test employees' ability to detect threats. According to NCSC, the types of simulations that should be considered include phishing, social engineering, and AI-powered </w:t>
      </w:r>
      <w:proofErr w:type="spellStart"/>
      <w:r>
        <w:t>cyber attacks</w:t>
      </w:r>
      <w:proofErr w:type="spellEnd"/>
      <w:r>
        <w:t xml:space="preserve"> as these are the ones that will be most frequent [15].</w:t>
      </w:r>
    </w:p>
    <w:p w14:paraId="10049D00" w14:textId="3684DE74" w:rsidR="00B117A6" w:rsidRDefault="00B117A6" w:rsidP="00B117A6">
      <w:r>
        <w:t>According to KnowBe4's 2024 Phishing Benchmarking Report, a combination of regular phishing simulations together with awareness training helped organizations in the UK reduce their phishing click-through rate by 86%, from 32.3% to 4.5%. [1</w:t>
      </w:r>
      <w:r w:rsidR="00EF74B1">
        <w:t>4</w:t>
      </w:r>
      <w:r>
        <w:t xml:space="preserve">] </w:t>
      </w:r>
    </w:p>
    <w:p w14:paraId="3D1C8B7B" w14:textId="32054A6A" w:rsidR="00B117A6" w:rsidRDefault="00B117A6" w:rsidP="00B117A6">
      <w:r>
        <w:lastRenderedPageBreak/>
        <w:t xml:space="preserve"> </w:t>
      </w:r>
      <w:r w:rsidRPr="00B117A6">
        <w:t>This shows the effect that can be quantified by a proper training program. Training needs to be expanded from within the organization to cover third parties who have access to VTAM systems, following NCSC guidelines on supply chain protection [4].</w:t>
      </w:r>
    </w:p>
    <w:p w14:paraId="45878F58" w14:textId="77777777" w:rsidR="00B117A6" w:rsidRDefault="00B117A6" w:rsidP="00B117A6"/>
    <w:p w14:paraId="2D24AC71" w14:textId="77777777" w:rsidR="00B117A6" w:rsidRDefault="00B117A6" w:rsidP="00B117A6"/>
    <w:p w14:paraId="391BB4A4" w14:textId="48CB329F" w:rsidR="00B117A6" w:rsidRDefault="00B117A6" w:rsidP="00EE66BA">
      <w:pPr>
        <w:pStyle w:val="Heading1"/>
      </w:pPr>
      <w:bookmarkStart w:id="6" w:name="_Toc230352719"/>
      <w:r>
        <w:t>7 – Conclusion</w:t>
      </w:r>
      <w:bookmarkEnd w:id="6"/>
    </w:p>
    <w:p w14:paraId="4A0A1CE3" w14:textId="77777777" w:rsidR="009A776C" w:rsidRPr="009A776C" w:rsidRDefault="009A776C" w:rsidP="009A776C">
      <w:r w:rsidRPr="009A776C">
        <w:t xml:space="preserve">The security breaches witnessed by VTAM represent an emerging trend of more complex security threats targeting financial institutions in the UK. Piecemeal approaches to security, based on protecting the perimeter, are becoming less useful. A Zero Trust approach is recommended by this report that follows the eight design principles provided by the NCSC [8], which complies with the recommendations of the NIST CSF 2.0 [1] and ISO 27001 [10]. The recommended security controls include MFA, EDR, SIEM, SOAR, and CSPM. </w:t>
      </w:r>
    </w:p>
    <w:p w14:paraId="20F2A1F9" w14:textId="6E066104" w:rsidR="009A776C" w:rsidRPr="009A776C" w:rsidRDefault="009A776C" w:rsidP="009A776C">
      <w:r w:rsidRPr="009A776C">
        <w:t>However, technology alone is not enough. Employees need to have continual training, and a culture of reporting without punishment is critical. These recommendations will allow them to defend against cyber threats and keep its clients’ information safe, comply with regulations, and uphold its reputation</w:t>
      </w:r>
      <w:r w:rsidR="003E2653">
        <w:t>.</w:t>
      </w:r>
    </w:p>
    <w:p w14:paraId="1A3D9C70" w14:textId="30E4950E" w:rsidR="00C42A28" w:rsidRDefault="00C42A28" w:rsidP="00757C7E">
      <w:pPr>
        <w:pStyle w:val="Heading1"/>
      </w:pPr>
      <w:bookmarkStart w:id="7" w:name="_Toc230352720"/>
      <w:r>
        <w:t>References</w:t>
      </w:r>
      <w:bookmarkEnd w:id="7"/>
      <w:r>
        <w:t xml:space="preserve"> </w:t>
      </w:r>
    </w:p>
    <w:p w14:paraId="4313D79D" w14:textId="7B10E886" w:rsidR="001E18BF" w:rsidRPr="00FC584A" w:rsidRDefault="00C42A28" w:rsidP="00C42A28">
      <w:pPr>
        <w:rPr>
          <w:lang w:val="fr-FR"/>
        </w:rPr>
      </w:pPr>
      <w:r w:rsidRPr="00C42A28">
        <w:t xml:space="preserve">[1] National Institute of Standards and Technology, "The NIST Cybersecurity Framework (CSF) 2.0," NIST, Feb. 2024. </w:t>
      </w:r>
      <w:r w:rsidRPr="00FC584A">
        <w:rPr>
          <w:lang w:val="fr-FR"/>
        </w:rPr>
        <w:t xml:space="preserve">[Online]. Available: </w:t>
      </w:r>
      <w:r>
        <w:fldChar w:fldCharType="begin"/>
      </w:r>
      <w:r w:rsidRPr="00FC584A">
        <w:rPr>
          <w:lang w:val="fr-FR"/>
        </w:rPr>
        <w:instrText>HYPERLINK "https://csrc.nist.gov/news/2024/the-nist-csf-20-is-here"</w:instrText>
      </w:r>
      <w:r>
        <w:fldChar w:fldCharType="separate"/>
      </w:r>
      <w:r w:rsidRPr="00FC584A">
        <w:rPr>
          <w:rStyle w:val="Hyperlink"/>
          <w:lang w:val="fr-FR"/>
        </w:rPr>
        <w:t>https://csrc.nist.gov/news/2024/the-nist-csf-20-is-here</w:t>
      </w:r>
      <w:r>
        <w:fldChar w:fldCharType="end"/>
      </w:r>
    </w:p>
    <w:p w14:paraId="24575CDB" w14:textId="77777777" w:rsidR="00C42A28" w:rsidRPr="00FC584A" w:rsidRDefault="00C42A28" w:rsidP="00C42A28">
      <w:pPr>
        <w:rPr>
          <w:lang w:val="fr-FR"/>
        </w:rPr>
      </w:pPr>
      <w:r w:rsidRPr="00C42A28">
        <w:t xml:space="preserve">[2] Secure Controls Framework, "What Is NIST CSF 2.0?," SCF, 2024. </w:t>
      </w:r>
      <w:r w:rsidRPr="00FC584A">
        <w:rPr>
          <w:lang w:val="fr-FR"/>
        </w:rPr>
        <w:t xml:space="preserve">[Online]. Available: </w:t>
      </w:r>
      <w:r>
        <w:fldChar w:fldCharType="begin"/>
      </w:r>
      <w:r w:rsidRPr="00FC584A">
        <w:rPr>
          <w:lang w:val="fr-FR"/>
        </w:rPr>
        <w:instrText>HYPERLINK "https://securecontrolsframework.com/grc-fundamentals/common-cybersecurity-frameworks/nist-csf-2-0"</w:instrText>
      </w:r>
      <w:r>
        <w:fldChar w:fldCharType="separate"/>
      </w:r>
      <w:r w:rsidRPr="00FC584A">
        <w:rPr>
          <w:rStyle w:val="Hyperlink"/>
          <w:lang w:val="fr-FR"/>
        </w:rPr>
        <w:t>https://securecontrolsframework.com/grc-fundamentals/common-cybersecurity-frameworks/nist-csf-2-0</w:t>
      </w:r>
      <w:r>
        <w:fldChar w:fldCharType="end"/>
      </w:r>
    </w:p>
    <w:p w14:paraId="1E921713" w14:textId="77777777" w:rsidR="001E18BF" w:rsidRPr="00FC584A" w:rsidRDefault="001E18BF" w:rsidP="001E18BF">
      <w:pPr>
        <w:rPr>
          <w:lang w:val="fr-FR"/>
        </w:rPr>
      </w:pPr>
      <w:r w:rsidRPr="001E18BF">
        <w:t xml:space="preserve">[3] </w:t>
      </w:r>
      <w:proofErr w:type="spellStart"/>
      <w:r w:rsidRPr="001E18BF">
        <w:t>CyberSmart</w:t>
      </w:r>
      <w:proofErr w:type="spellEnd"/>
      <w:r w:rsidRPr="001E18BF">
        <w:t xml:space="preserve">, "6 Key Takeaways from the NCSC Annual Report 2025," </w:t>
      </w:r>
      <w:proofErr w:type="spellStart"/>
      <w:r w:rsidRPr="001E18BF">
        <w:t>CyberSmart</w:t>
      </w:r>
      <w:proofErr w:type="spellEnd"/>
      <w:r w:rsidRPr="001E18BF">
        <w:t xml:space="preserve">, Oct. 2025. </w:t>
      </w:r>
      <w:r w:rsidRPr="00FC584A">
        <w:rPr>
          <w:lang w:val="fr-FR"/>
        </w:rPr>
        <w:t xml:space="preserve">[Online]. Available: </w:t>
      </w:r>
      <w:r>
        <w:fldChar w:fldCharType="begin"/>
      </w:r>
      <w:r w:rsidRPr="00FC584A">
        <w:rPr>
          <w:lang w:val="fr-FR"/>
        </w:rPr>
        <w:instrText>HYPERLINK "https://cybersmart.co.uk/2025/10/6-key-takeaways-from-the-ncsc-annual-report-2025/"</w:instrText>
      </w:r>
      <w:r>
        <w:fldChar w:fldCharType="separate"/>
      </w:r>
      <w:r w:rsidRPr="00FC584A">
        <w:rPr>
          <w:rStyle w:val="Hyperlink"/>
          <w:lang w:val="fr-FR"/>
        </w:rPr>
        <w:t>https://cybersmart.co.uk/2025/10/6-key-takeaways-from-the-ncsc-annual-report-2025/</w:t>
      </w:r>
      <w:r>
        <w:fldChar w:fldCharType="end"/>
      </w:r>
    </w:p>
    <w:p w14:paraId="658C00ED" w14:textId="77777777" w:rsidR="001E18BF" w:rsidRPr="00FC584A" w:rsidRDefault="001E18BF" w:rsidP="001E18BF">
      <w:pPr>
        <w:rPr>
          <w:lang w:val="fr-FR"/>
        </w:rPr>
      </w:pPr>
      <w:r w:rsidRPr="001E18BF">
        <w:t xml:space="preserve">[4] National Cyber Security Centre, "NCSC Annual Review 2025," NCSC, Oct. 2025. </w:t>
      </w:r>
      <w:r w:rsidRPr="00FC584A">
        <w:rPr>
          <w:lang w:val="fr-FR"/>
        </w:rPr>
        <w:t xml:space="preserve">[Online]. Available: </w:t>
      </w:r>
      <w:r>
        <w:fldChar w:fldCharType="begin"/>
      </w:r>
      <w:r w:rsidRPr="00FC584A">
        <w:rPr>
          <w:lang w:val="fr-FR"/>
        </w:rPr>
        <w:instrText>HYPERLINK "https://www.ncsc.gov.uk/collection/ncsc-annual-review-2025/chapter-01-cyber-threat-to-the-uk"</w:instrText>
      </w:r>
      <w:r>
        <w:fldChar w:fldCharType="separate"/>
      </w:r>
      <w:r w:rsidRPr="00FC584A">
        <w:rPr>
          <w:rStyle w:val="Hyperlink"/>
          <w:lang w:val="fr-FR"/>
        </w:rPr>
        <w:t>https://www.ncsc.gov.uk/collection/ncsc-annual-review-2025/chapter-01-cyber-threat-to-the-uk</w:t>
      </w:r>
      <w:r>
        <w:fldChar w:fldCharType="end"/>
      </w:r>
    </w:p>
    <w:p w14:paraId="470C79CF" w14:textId="7441C7BC" w:rsidR="001E18BF" w:rsidRPr="001E18BF" w:rsidRDefault="001E18BF" w:rsidP="001E18BF">
      <w:r w:rsidRPr="001E18BF">
        <w:t xml:space="preserve">[5] </w:t>
      </w:r>
      <w:proofErr w:type="spellStart"/>
      <w:r w:rsidRPr="001E18BF">
        <w:t>Bitsight</w:t>
      </w:r>
      <w:proofErr w:type="spellEnd"/>
      <w:r w:rsidRPr="001E18BF">
        <w:t>, "Ransomware Statistics</w:t>
      </w:r>
      <w:r w:rsidR="00EF74B1">
        <w:t xml:space="preserve"> 2025</w:t>
      </w:r>
      <w:r w:rsidRPr="001E18BF">
        <w:t xml:space="preserve">–26," </w:t>
      </w:r>
      <w:proofErr w:type="spellStart"/>
      <w:r w:rsidRPr="001E18BF">
        <w:t>Bitsight</w:t>
      </w:r>
      <w:proofErr w:type="spellEnd"/>
      <w:r w:rsidRPr="001E18BF">
        <w:t>, 202</w:t>
      </w:r>
      <w:r w:rsidR="00EF74B1">
        <w:t>5</w:t>
      </w:r>
      <w:r w:rsidRPr="001E18BF">
        <w:t xml:space="preserve">. [Online]. Available: </w:t>
      </w:r>
      <w:hyperlink r:id="rId13" w:history="1">
        <w:r w:rsidRPr="001E18BF">
          <w:rPr>
            <w:rStyle w:val="Hyperlink"/>
          </w:rPr>
          <w:t>https://www.bitsight.com/underground/ransomware</w:t>
        </w:r>
      </w:hyperlink>
    </w:p>
    <w:p w14:paraId="44A9E1C0" w14:textId="77777777" w:rsidR="001E18BF" w:rsidRPr="00FC584A" w:rsidRDefault="001E18BF" w:rsidP="001E18BF">
      <w:pPr>
        <w:rPr>
          <w:lang w:val="fr-FR"/>
        </w:rPr>
      </w:pPr>
      <w:r w:rsidRPr="001E18BF">
        <w:lastRenderedPageBreak/>
        <w:t xml:space="preserve">[6] Halcyon, "Last Year in Ransomware: Threat Trends and Outlook for 2025," Halcyon, Apr. 2025. </w:t>
      </w:r>
      <w:r w:rsidRPr="00FC584A">
        <w:rPr>
          <w:lang w:val="fr-FR"/>
        </w:rPr>
        <w:t xml:space="preserve">[Online]. Available: </w:t>
      </w:r>
      <w:r>
        <w:fldChar w:fldCharType="begin"/>
      </w:r>
      <w:r w:rsidRPr="00FC584A">
        <w:rPr>
          <w:lang w:val="fr-FR"/>
        </w:rPr>
        <w:instrText>HYPERLINK "https://www.halcyon.ai/blog/last-year-in-ransomware-threat-trends-and-outlook-for-2025"</w:instrText>
      </w:r>
      <w:r>
        <w:fldChar w:fldCharType="separate"/>
      </w:r>
      <w:r w:rsidRPr="00FC584A">
        <w:rPr>
          <w:rStyle w:val="Hyperlink"/>
          <w:lang w:val="fr-FR"/>
        </w:rPr>
        <w:t>https://www.halcyon.ai/blog/last-year-in-ransomware-threat-trends-and-outlook-for-2025</w:t>
      </w:r>
      <w:r>
        <w:fldChar w:fldCharType="end"/>
      </w:r>
    </w:p>
    <w:p w14:paraId="44465DA3" w14:textId="77777777" w:rsidR="001E18BF" w:rsidRPr="00FC584A" w:rsidRDefault="001E18BF" w:rsidP="001E18BF">
      <w:pPr>
        <w:rPr>
          <w:lang w:val="fr-FR"/>
        </w:rPr>
      </w:pPr>
      <w:r w:rsidRPr="001E18BF">
        <w:t xml:space="preserve">[7] Anjuna, "Governance, Zero Trust, and Data-in-Use: What You Need to Know About NIST CSF 2.0," Anjuna, Apr. 2024. </w:t>
      </w:r>
      <w:r w:rsidRPr="00FC584A">
        <w:rPr>
          <w:lang w:val="fr-FR"/>
        </w:rPr>
        <w:t xml:space="preserve">[Online]. Available: </w:t>
      </w:r>
      <w:r>
        <w:fldChar w:fldCharType="begin"/>
      </w:r>
      <w:r w:rsidRPr="00FC584A">
        <w:rPr>
          <w:lang w:val="fr-FR"/>
        </w:rPr>
        <w:instrText>HYPERLINK "https://www.anjuna.io/blog/governance-zero-trust-and-data-in-use-what-you-need-to-know-about-nist-csf-2-0"</w:instrText>
      </w:r>
      <w:r>
        <w:fldChar w:fldCharType="separate"/>
      </w:r>
      <w:r w:rsidRPr="00FC584A">
        <w:rPr>
          <w:rStyle w:val="Hyperlink"/>
          <w:lang w:val="fr-FR"/>
        </w:rPr>
        <w:t>https://www.anjuna.io/blog/governance-zero-trust-and-data-in-use-what-you-need-to-know-about-nist-csf-2-0</w:t>
      </w:r>
      <w:r>
        <w:fldChar w:fldCharType="end"/>
      </w:r>
    </w:p>
    <w:p w14:paraId="05C2C0CD" w14:textId="0F94C4A6" w:rsidR="00BB1968" w:rsidRPr="00FC584A" w:rsidRDefault="00BB1968" w:rsidP="00BB1968">
      <w:pPr>
        <w:rPr>
          <w:lang w:val="fr-FR"/>
        </w:rPr>
      </w:pPr>
      <w:r w:rsidRPr="00BB1968">
        <w:t xml:space="preserve">[8] National Cyber Security Centre, "Zero Trust Architecture Design Principles," NCSC, updated Jan. 2026. </w:t>
      </w:r>
      <w:r w:rsidRPr="00FC584A">
        <w:rPr>
          <w:lang w:val="fr-FR"/>
        </w:rPr>
        <w:t xml:space="preserve">[Online]. Available: </w:t>
      </w:r>
      <w:r>
        <w:fldChar w:fldCharType="begin"/>
      </w:r>
      <w:r w:rsidRPr="00FC584A">
        <w:rPr>
          <w:lang w:val="fr-FR"/>
        </w:rPr>
        <w:instrText>HYPERLINK "https://www.ncsc.gov.uk/guidance/zero-trust-building-a-mixed-estate"</w:instrText>
      </w:r>
      <w:r>
        <w:fldChar w:fldCharType="separate"/>
      </w:r>
      <w:r w:rsidRPr="00FC584A">
        <w:rPr>
          <w:rStyle w:val="Hyperlink"/>
          <w:lang w:val="fr-FR"/>
        </w:rPr>
        <w:t>https://www.ncsc.gov.uk/guidance/zero-trust-building-a-mixed-estate</w:t>
      </w:r>
      <w:r>
        <w:fldChar w:fldCharType="end"/>
      </w:r>
    </w:p>
    <w:p w14:paraId="1B6B26EE" w14:textId="77777777" w:rsidR="00BB1968" w:rsidRPr="00FC584A" w:rsidRDefault="00BB1968" w:rsidP="00BB1968">
      <w:pPr>
        <w:rPr>
          <w:lang w:val="fr-FR"/>
        </w:rPr>
      </w:pPr>
      <w:r w:rsidRPr="00BB1968">
        <w:t xml:space="preserve">[9] Phoenix Software, "A Guide to the NCSC's Eight Zero Trust Design Principles," Phoenix Software, May 2026. </w:t>
      </w:r>
      <w:r w:rsidRPr="00FC584A">
        <w:rPr>
          <w:lang w:val="fr-FR"/>
        </w:rPr>
        <w:t xml:space="preserve">[Online]. Available: </w:t>
      </w:r>
      <w:r>
        <w:fldChar w:fldCharType="begin"/>
      </w:r>
      <w:r w:rsidRPr="00FC584A">
        <w:rPr>
          <w:lang w:val="fr-FR"/>
        </w:rPr>
        <w:instrText>HYPERLINK "https://www.phoenixs.co.uk/resources/blog/a-guide-to-the-ncscs-eight-zero-trust-design-principles/"</w:instrText>
      </w:r>
      <w:r>
        <w:fldChar w:fldCharType="separate"/>
      </w:r>
      <w:r w:rsidRPr="00FC584A">
        <w:rPr>
          <w:rStyle w:val="Hyperlink"/>
          <w:lang w:val="fr-FR"/>
        </w:rPr>
        <w:t>https://www.phoenixs.co.uk/resources/blog/a-guide-to-the-ncscs-eight-zero-trust-design-principles/</w:t>
      </w:r>
      <w:r>
        <w:fldChar w:fldCharType="end"/>
      </w:r>
    </w:p>
    <w:p w14:paraId="78C1439C" w14:textId="77777777" w:rsidR="00BB1968" w:rsidRPr="00BB1968" w:rsidRDefault="00BB1968" w:rsidP="00BB1968">
      <w:r w:rsidRPr="00BB1968">
        <w:t xml:space="preserve">[10] International Organisation for Standardisation, "ISO/IEC 27001:2022 — Information Security Management Systems," ISO, 2022. [Online]. Available: </w:t>
      </w:r>
      <w:hyperlink r:id="rId14" w:history="1">
        <w:r w:rsidRPr="00BB1968">
          <w:rPr>
            <w:rStyle w:val="Hyperlink"/>
          </w:rPr>
          <w:t>https://www.iso.org/standard/27001</w:t>
        </w:r>
      </w:hyperlink>
    </w:p>
    <w:p w14:paraId="573132D1" w14:textId="77777777" w:rsidR="00BB1968" w:rsidRPr="00FC584A" w:rsidRDefault="00BB1968" w:rsidP="00BB1968">
      <w:pPr>
        <w:rPr>
          <w:lang w:val="fr-FR"/>
        </w:rPr>
      </w:pPr>
      <w:r w:rsidRPr="00BB1968">
        <w:t xml:space="preserve">[11] Compare the Cloud, "NCSC Cloud Security Principles 2025 and the Complete UK Enterprise Guide," Compare the Cloud, Dec. 2025. </w:t>
      </w:r>
      <w:r w:rsidRPr="00FC584A">
        <w:rPr>
          <w:lang w:val="fr-FR"/>
        </w:rPr>
        <w:t xml:space="preserve">[Online]. Available: </w:t>
      </w:r>
      <w:r>
        <w:fldChar w:fldCharType="begin"/>
      </w:r>
      <w:r w:rsidRPr="00FC584A">
        <w:rPr>
          <w:lang w:val="fr-FR"/>
        </w:rPr>
        <w:instrText>HYPERLINK "https://www.comparethecloud.net/articles/ncsc-cloud-principles-uk-2025"</w:instrText>
      </w:r>
      <w:r>
        <w:fldChar w:fldCharType="separate"/>
      </w:r>
      <w:r w:rsidRPr="00FC584A">
        <w:rPr>
          <w:rStyle w:val="Hyperlink"/>
          <w:lang w:val="fr-FR"/>
        </w:rPr>
        <w:t>https://www.comparethecloud.net/articles/ncsc-cloud-principles-uk-2025</w:t>
      </w:r>
      <w:r>
        <w:fldChar w:fldCharType="end"/>
      </w:r>
    </w:p>
    <w:p w14:paraId="15775C23" w14:textId="479A5668" w:rsidR="00BB1968" w:rsidRPr="00FC584A" w:rsidRDefault="00BB1968" w:rsidP="00BB1968">
      <w:pPr>
        <w:rPr>
          <w:lang w:val="fr-FR"/>
        </w:rPr>
      </w:pPr>
      <w:r w:rsidRPr="00BB1968">
        <w:t xml:space="preserve">[12] </w:t>
      </w:r>
      <w:proofErr w:type="spellStart"/>
      <w:r w:rsidRPr="00BB1968">
        <w:t>Northdoor</w:t>
      </w:r>
      <w:proofErr w:type="spellEnd"/>
      <w:r w:rsidRPr="00BB1968">
        <w:t xml:space="preserve">, "Cyber Security and Resilience Bill: </w:t>
      </w:r>
      <w:r w:rsidR="00EF74B1">
        <w:t xml:space="preserve">Your UK </w:t>
      </w:r>
      <w:r w:rsidRPr="00BB1968">
        <w:t xml:space="preserve">Compliance Guide," </w:t>
      </w:r>
      <w:proofErr w:type="spellStart"/>
      <w:r w:rsidRPr="00BB1968">
        <w:t>Northdoor</w:t>
      </w:r>
      <w:proofErr w:type="spellEnd"/>
      <w:r w:rsidRPr="00BB1968">
        <w:t xml:space="preserve">, Jan. 2026. </w:t>
      </w:r>
      <w:r w:rsidRPr="00FC584A">
        <w:rPr>
          <w:lang w:val="fr-FR"/>
        </w:rPr>
        <w:t xml:space="preserve">[Online]. Available: </w:t>
      </w:r>
      <w:r>
        <w:fldChar w:fldCharType="begin"/>
      </w:r>
      <w:r w:rsidRPr="00FC584A">
        <w:rPr>
          <w:lang w:val="fr-FR"/>
        </w:rPr>
        <w:instrText>HYPERLINK "https://www.northdoor.co.uk/solutions/get-gdpr-compliant/cyber-security-and-resilience-bill-compliance-guide-for-uk-businesses/"</w:instrText>
      </w:r>
      <w:r>
        <w:fldChar w:fldCharType="separate"/>
      </w:r>
      <w:r w:rsidRPr="00FC584A">
        <w:rPr>
          <w:rStyle w:val="Hyperlink"/>
          <w:lang w:val="fr-FR"/>
        </w:rPr>
        <w:t>https://www.northdoor.co.uk/solutions/get-gdpr-compliant/cyber-security-and-resilience-bill-compliance-guide-for-uk-businesses/</w:t>
      </w:r>
      <w:r>
        <w:fldChar w:fldCharType="end"/>
      </w:r>
    </w:p>
    <w:p w14:paraId="52EB8201" w14:textId="5BA37BED" w:rsidR="00C60346" w:rsidRDefault="00C60346" w:rsidP="00C60346">
      <w:pPr>
        <w:rPr>
          <w:lang w:eastAsia="en-GB"/>
        </w:rPr>
      </w:pPr>
      <w:r w:rsidRPr="00C60346">
        <w:rPr>
          <w:lang w:eastAsia="en-GB"/>
        </w:rPr>
        <w:t xml:space="preserve">[13] National Cyber Security Centre, "Incident Response Overview," NCSC. [Online]. Available: </w:t>
      </w:r>
      <w:hyperlink r:id="rId15" w:history="1">
        <w:r w:rsidRPr="00C60346">
          <w:rPr>
            <w:rStyle w:val="Hyperlink"/>
            <w:lang w:eastAsia="en-GB"/>
          </w:rPr>
          <w:t>https://www.ncsc.gov.uk/collection/incident-management/incident-response</w:t>
        </w:r>
      </w:hyperlink>
    </w:p>
    <w:p w14:paraId="5F7BA96F" w14:textId="3FF5E82D" w:rsidR="00B117A6" w:rsidRPr="00FC584A" w:rsidRDefault="00B117A6" w:rsidP="00B117A6">
      <w:pPr>
        <w:rPr>
          <w:lang w:val="fr-FR"/>
        </w:rPr>
      </w:pPr>
      <w:r w:rsidRPr="00B117A6">
        <w:t>[1</w:t>
      </w:r>
      <w:r w:rsidR="00EF74B1">
        <w:t>4</w:t>
      </w:r>
      <w:r w:rsidRPr="00B117A6">
        <w:t xml:space="preserve">] KnowBe4, "2024 Phishing by Industry Benchmarking Report," KnowBe4, Jun. 2024. </w:t>
      </w:r>
      <w:r w:rsidRPr="00FC584A">
        <w:rPr>
          <w:lang w:val="fr-FR"/>
        </w:rPr>
        <w:t xml:space="preserve">[Online]. Available: </w:t>
      </w:r>
      <w:r>
        <w:fldChar w:fldCharType="begin"/>
      </w:r>
      <w:r w:rsidRPr="00FC584A">
        <w:rPr>
          <w:lang w:val="fr-FR"/>
        </w:rPr>
        <w:instrText>HYPERLINK "https://markets.financialcontent.com/clarkebroadcasting.mymotherlode/article/bizwire-2024-6-4-knowbe4s-annual-phishing-benchmarking-report-reveals-uk-and-ireland-outperform-global-average-in-cybersecurity-awareness"</w:instrText>
      </w:r>
      <w:r>
        <w:fldChar w:fldCharType="separate"/>
      </w:r>
      <w:r w:rsidRPr="00FC584A">
        <w:rPr>
          <w:rStyle w:val="Hyperlink"/>
          <w:lang w:val="fr-FR"/>
        </w:rPr>
        <w:t>https://markets.financialcontent.com/clarkebroadcasting.mymotherlode/article/bizwire-2024-6-4-knowbe4s-annual-phishing-benchmarking-report-reveals-uk-and-ireland-outperform-global-average-in-cybersecurity-awareness</w:t>
      </w:r>
      <w:r>
        <w:fldChar w:fldCharType="end"/>
      </w:r>
    </w:p>
    <w:p w14:paraId="72D023B8" w14:textId="77777777" w:rsidR="00B117A6" w:rsidRPr="00FC584A" w:rsidRDefault="00B117A6" w:rsidP="00C60346">
      <w:pPr>
        <w:rPr>
          <w:lang w:val="fr-FR" w:eastAsia="en-GB"/>
        </w:rPr>
      </w:pPr>
    </w:p>
    <w:p w14:paraId="5B34101C" w14:textId="4707AFD5" w:rsidR="00C60346" w:rsidRPr="00FC584A" w:rsidRDefault="00C60346" w:rsidP="00C60346">
      <w:pPr>
        <w:spacing w:after="0" w:line="240" w:lineRule="auto"/>
        <w:rPr>
          <w:rFonts w:ascii="Times New Roman" w:eastAsia="Times New Roman" w:hAnsi="Times New Roman" w:cs="Times New Roman"/>
          <w:kern w:val="0"/>
          <w:lang w:val="fr-FR" w:eastAsia="en-GB"/>
          <w14:ligatures w14:val="none"/>
        </w:rPr>
      </w:pPr>
    </w:p>
    <w:p w14:paraId="6DD94411" w14:textId="77777777" w:rsidR="00BB1968" w:rsidRPr="00FC584A" w:rsidRDefault="00BB1968" w:rsidP="00BB1968">
      <w:pPr>
        <w:pStyle w:val="font-claude-response-body"/>
        <w:rPr>
          <w:lang w:val="fr-FR"/>
        </w:rPr>
      </w:pPr>
    </w:p>
    <w:p w14:paraId="564D903F" w14:textId="77777777" w:rsidR="00FC584A" w:rsidRPr="00FC584A" w:rsidRDefault="00FC584A" w:rsidP="00FC584A">
      <w:pPr>
        <w:rPr>
          <w:b/>
          <w:bCs/>
          <w:color w:val="FF0000"/>
        </w:rPr>
      </w:pPr>
      <w:r w:rsidRPr="00FC584A">
        <w:rPr>
          <w:b/>
          <w:bCs/>
          <w:color w:val="FF0000"/>
        </w:rPr>
        <w:lastRenderedPageBreak/>
        <w:t>Generic Criteria Coverage</w:t>
      </w:r>
    </w:p>
    <w:p w14:paraId="78A39A0C" w14:textId="77777777" w:rsidR="00FC584A" w:rsidRPr="00FC584A" w:rsidRDefault="00FC584A" w:rsidP="00FC584A">
      <w:pPr>
        <w:numPr>
          <w:ilvl w:val="0"/>
          <w:numId w:val="1"/>
        </w:numPr>
        <w:rPr>
          <w:color w:val="FF0000"/>
        </w:rPr>
      </w:pPr>
      <w:r w:rsidRPr="00FC584A">
        <w:rPr>
          <w:b/>
          <w:bCs/>
          <w:color w:val="FF0000"/>
        </w:rPr>
        <w:t>EL (Engagement with Literature Skills)</w:t>
      </w:r>
      <w:r w:rsidRPr="00FC584A">
        <w:rPr>
          <w:color w:val="FF0000"/>
        </w:rPr>
        <w:t xml:space="preserve"> – Demonstrated through research into contemporary cybersecurity threats, standards, frameworks and best practice. </w:t>
      </w:r>
    </w:p>
    <w:p w14:paraId="3759C468" w14:textId="77777777" w:rsidR="00FC584A" w:rsidRPr="00FC584A" w:rsidRDefault="00FC584A" w:rsidP="00FC584A">
      <w:pPr>
        <w:numPr>
          <w:ilvl w:val="0"/>
          <w:numId w:val="1"/>
        </w:numPr>
        <w:rPr>
          <w:color w:val="FF0000"/>
        </w:rPr>
      </w:pPr>
      <w:r w:rsidRPr="00FC584A">
        <w:rPr>
          <w:b/>
          <w:bCs/>
          <w:color w:val="FF0000"/>
        </w:rPr>
        <w:t>KU (Knowledge and Understanding Skills)</w:t>
      </w:r>
      <w:r w:rsidRPr="00FC584A">
        <w:rPr>
          <w:color w:val="FF0000"/>
        </w:rPr>
        <w:t xml:space="preserve"> – Demonstrated through understanding of cybersecurity concepts, governance frameworks, security awareness and threat landscapes. </w:t>
      </w:r>
    </w:p>
    <w:p w14:paraId="09D0A1FA" w14:textId="77777777" w:rsidR="00FC584A" w:rsidRPr="00FC584A" w:rsidRDefault="00FC584A" w:rsidP="00FC584A">
      <w:pPr>
        <w:numPr>
          <w:ilvl w:val="0"/>
          <w:numId w:val="1"/>
        </w:numPr>
        <w:rPr>
          <w:color w:val="FF0000"/>
        </w:rPr>
      </w:pPr>
      <w:r w:rsidRPr="00FC584A">
        <w:rPr>
          <w:b/>
          <w:bCs/>
          <w:color w:val="FF0000"/>
        </w:rPr>
        <w:t>CI (Cognitive and Intellectual Skills)</w:t>
      </w:r>
      <w:r w:rsidRPr="00FC584A">
        <w:rPr>
          <w:color w:val="FF0000"/>
        </w:rPr>
        <w:t xml:space="preserve"> – Demonstrated through analysis, evaluation, justification of controls, framework alignment and incident response planning. </w:t>
      </w:r>
    </w:p>
    <w:p w14:paraId="23E29F48" w14:textId="77777777" w:rsidR="00FC584A" w:rsidRPr="00FC584A" w:rsidRDefault="00FC584A" w:rsidP="00FC584A">
      <w:pPr>
        <w:numPr>
          <w:ilvl w:val="0"/>
          <w:numId w:val="1"/>
        </w:numPr>
        <w:rPr>
          <w:color w:val="FF0000"/>
        </w:rPr>
      </w:pPr>
      <w:r w:rsidRPr="00FC584A">
        <w:rPr>
          <w:b/>
          <w:bCs/>
          <w:color w:val="FF0000"/>
        </w:rPr>
        <w:t>PA (Practical Application Skills)</w:t>
      </w:r>
      <w:r w:rsidRPr="00FC584A">
        <w:rPr>
          <w:color w:val="FF0000"/>
        </w:rPr>
        <w:t xml:space="preserve"> – Demonstrated through realistic implementation of security measures, monitoring solutions, diagrams and Packet Tracer activities. </w:t>
      </w:r>
    </w:p>
    <w:p w14:paraId="48054E1E" w14:textId="77777777" w:rsidR="00FC584A" w:rsidRPr="00FC584A" w:rsidRDefault="00FC584A" w:rsidP="00FC584A">
      <w:pPr>
        <w:numPr>
          <w:ilvl w:val="0"/>
          <w:numId w:val="1"/>
        </w:numPr>
        <w:rPr>
          <w:color w:val="FF0000"/>
        </w:rPr>
      </w:pPr>
      <w:r w:rsidRPr="00FC584A">
        <w:rPr>
          <w:b/>
          <w:bCs/>
          <w:color w:val="FF0000"/>
        </w:rPr>
        <w:t>TS (Transferable Skills for Life and Professional Practice)</w:t>
      </w:r>
      <w:r w:rsidRPr="00FC584A">
        <w:rPr>
          <w:color w:val="FF0000"/>
        </w:rPr>
        <w:t xml:space="preserve"> – Demonstrated through professional communication, executive reporting and development of organisational security culture.</w:t>
      </w:r>
    </w:p>
    <w:p w14:paraId="0E92C140" w14:textId="77777777" w:rsidR="00FC584A" w:rsidRPr="00FC584A" w:rsidRDefault="00FC584A" w:rsidP="00FC584A">
      <w:pPr>
        <w:ind w:left="360"/>
        <w:rPr>
          <w:b/>
          <w:bCs/>
          <w:color w:val="FF0000"/>
        </w:rPr>
      </w:pPr>
      <w:r w:rsidRPr="00FC584A">
        <w:rPr>
          <w:b/>
          <w:bCs/>
          <w:color w:val="FF0000"/>
        </w:rPr>
        <w:t>Marking Breakdown</w:t>
      </w:r>
    </w:p>
    <w:tbl>
      <w:tblPr>
        <w:tblStyle w:val="TableGrid"/>
        <w:tblW w:w="0" w:type="auto"/>
        <w:tblLook w:val="04A0" w:firstRow="1" w:lastRow="0" w:firstColumn="1" w:lastColumn="0" w:noHBand="0" w:noVBand="1"/>
      </w:tblPr>
      <w:tblGrid>
        <w:gridCol w:w="2880"/>
        <w:gridCol w:w="2880"/>
        <w:gridCol w:w="2880"/>
      </w:tblGrid>
      <w:tr w:rsidR="00FC584A" w:rsidRPr="00FC584A" w14:paraId="5DB2CE24" w14:textId="77777777" w:rsidTr="00F75C7B">
        <w:tc>
          <w:tcPr>
            <w:tcW w:w="2880" w:type="dxa"/>
          </w:tcPr>
          <w:p w14:paraId="2F0C5A64" w14:textId="77777777" w:rsidR="00FC584A" w:rsidRPr="00FC584A" w:rsidRDefault="00FC584A" w:rsidP="00F75C7B">
            <w:pPr>
              <w:rPr>
                <w:color w:val="FF0000"/>
              </w:rPr>
            </w:pPr>
            <w:r w:rsidRPr="00FC584A">
              <w:rPr>
                <w:color w:val="FF0000"/>
              </w:rPr>
              <w:t>Assessment Criterion</w:t>
            </w:r>
          </w:p>
        </w:tc>
        <w:tc>
          <w:tcPr>
            <w:tcW w:w="2880" w:type="dxa"/>
          </w:tcPr>
          <w:p w14:paraId="07F47344" w14:textId="77777777" w:rsidR="00FC584A" w:rsidRPr="00FC584A" w:rsidRDefault="00FC584A" w:rsidP="00F75C7B">
            <w:pPr>
              <w:rPr>
                <w:color w:val="FF0000"/>
              </w:rPr>
            </w:pPr>
            <w:r w:rsidRPr="00FC584A">
              <w:rPr>
                <w:color w:val="FF0000"/>
              </w:rPr>
              <w:t>Generic Criteria Mapping</w:t>
            </w:r>
          </w:p>
        </w:tc>
        <w:tc>
          <w:tcPr>
            <w:tcW w:w="2880" w:type="dxa"/>
          </w:tcPr>
          <w:p w14:paraId="47F6AF60" w14:textId="77777777" w:rsidR="00FC584A" w:rsidRPr="00FC584A" w:rsidRDefault="00FC584A" w:rsidP="00F75C7B">
            <w:pPr>
              <w:rPr>
                <w:color w:val="FF0000"/>
              </w:rPr>
            </w:pPr>
            <w:r w:rsidRPr="00FC584A">
              <w:rPr>
                <w:color w:val="FF0000"/>
              </w:rPr>
              <w:t>Mark Awarded</w:t>
            </w:r>
          </w:p>
        </w:tc>
      </w:tr>
      <w:tr w:rsidR="00FC584A" w:rsidRPr="00FC584A" w14:paraId="0010D96E" w14:textId="77777777" w:rsidTr="00F75C7B">
        <w:tc>
          <w:tcPr>
            <w:tcW w:w="2880" w:type="dxa"/>
          </w:tcPr>
          <w:p w14:paraId="2F9B13DF" w14:textId="77777777" w:rsidR="00FC584A" w:rsidRPr="00FC584A" w:rsidRDefault="00FC584A" w:rsidP="00F75C7B">
            <w:pPr>
              <w:rPr>
                <w:color w:val="FF0000"/>
              </w:rPr>
            </w:pPr>
            <w:r w:rsidRPr="00FC584A">
              <w:rPr>
                <w:color w:val="FF0000"/>
              </w:rPr>
              <w:t>Comprehensiveness &amp; Modern Relevance</w:t>
            </w:r>
          </w:p>
        </w:tc>
        <w:tc>
          <w:tcPr>
            <w:tcW w:w="2880" w:type="dxa"/>
          </w:tcPr>
          <w:p w14:paraId="6B560EDA" w14:textId="77777777" w:rsidR="00FC584A" w:rsidRPr="00FC584A" w:rsidRDefault="00FC584A" w:rsidP="00F75C7B">
            <w:pPr>
              <w:rPr>
                <w:color w:val="FF0000"/>
              </w:rPr>
            </w:pPr>
            <w:r w:rsidRPr="00FC584A">
              <w:rPr>
                <w:color w:val="FF0000"/>
              </w:rPr>
              <w:t>EL, KU</w:t>
            </w:r>
          </w:p>
        </w:tc>
        <w:tc>
          <w:tcPr>
            <w:tcW w:w="2880" w:type="dxa"/>
          </w:tcPr>
          <w:p w14:paraId="5F84ADEA" w14:textId="77777777" w:rsidR="00FC584A" w:rsidRPr="00FC584A" w:rsidRDefault="00FC584A" w:rsidP="00F75C7B">
            <w:pPr>
              <w:rPr>
                <w:color w:val="FF0000"/>
              </w:rPr>
            </w:pPr>
            <w:r w:rsidRPr="00FC584A">
              <w:rPr>
                <w:color w:val="FF0000"/>
              </w:rPr>
              <w:t>7/10</w:t>
            </w:r>
          </w:p>
        </w:tc>
      </w:tr>
      <w:tr w:rsidR="00FC584A" w:rsidRPr="00FC584A" w14:paraId="236DF498" w14:textId="77777777" w:rsidTr="00F75C7B">
        <w:tc>
          <w:tcPr>
            <w:tcW w:w="2880" w:type="dxa"/>
          </w:tcPr>
          <w:p w14:paraId="21720843" w14:textId="77777777" w:rsidR="00FC584A" w:rsidRPr="00FC584A" w:rsidRDefault="00FC584A" w:rsidP="00F75C7B">
            <w:pPr>
              <w:rPr>
                <w:color w:val="FF0000"/>
              </w:rPr>
            </w:pPr>
            <w:r w:rsidRPr="00FC584A">
              <w:rPr>
                <w:color w:val="FF0000"/>
              </w:rPr>
              <w:t>Clarity &amp; Alignment with Modern Frameworks</w:t>
            </w:r>
          </w:p>
        </w:tc>
        <w:tc>
          <w:tcPr>
            <w:tcW w:w="2880" w:type="dxa"/>
          </w:tcPr>
          <w:p w14:paraId="2EB3A7C4" w14:textId="77777777" w:rsidR="00FC584A" w:rsidRPr="00FC584A" w:rsidRDefault="00FC584A" w:rsidP="00F75C7B">
            <w:pPr>
              <w:rPr>
                <w:color w:val="FF0000"/>
              </w:rPr>
            </w:pPr>
            <w:r w:rsidRPr="00FC584A">
              <w:rPr>
                <w:color w:val="FF0000"/>
              </w:rPr>
              <w:t>EL, KU, CI</w:t>
            </w:r>
          </w:p>
        </w:tc>
        <w:tc>
          <w:tcPr>
            <w:tcW w:w="2880" w:type="dxa"/>
          </w:tcPr>
          <w:p w14:paraId="3D37DEDF" w14:textId="77777777" w:rsidR="00FC584A" w:rsidRPr="00FC584A" w:rsidRDefault="00FC584A" w:rsidP="00F75C7B">
            <w:pPr>
              <w:rPr>
                <w:color w:val="FF0000"/>
              </w:rPr>
            </w:pPr>
            <w:r w:rsidRPr="00FC584A">
              <w:rPr>
                <w:color w:val="FF0000"/>
              </w:rPr>
              <w:t>14 /20</w:t>
            </w:r>
          </w:p>
        </w:tc>
      </w:tr>
      <w:tr w:rsidR="00FC584A" w:rsidRPr="00FC584A" w14:paraId="5C7C1EA4" w14:textId="77777777" w:rsidTr="00F75C7B">
        <w:tc>
          <w:tcPr>
            <w:tcW w:w="2880" w:type="dxa"/>
          </w:tcPr>
          <w:p w14:paraId="4C4D2E0E" w14:textId="77777777" w:rsidR="00FC584A" w:rsidRPr="00FC584A" w:rsidRDefault="00FC584A" w:rsidP="00F75C7B">
            <w:pPr>
              <w:rPr>
                <w:color w:val="FF0000"/>
              </w:rPr>
            </w:pPr>
            <w:r w:rsidRPr="00FC584A">
              <w:rPr>
                <w:color w:val="FF0000"/>
              </w:rPr>
              <w:t>Feasibility &amp; Technical Soundness</w:t>
            </w:r>
          </w:p>
        </w:tc>
        <w:tc>
          <w:tcPr>
            <w:tcW w:w="2880" w:type="dxa"/>
          </w:tcPr>
          <w:p w14:paraId="47ECA9D3" w14:textId="77777777" w:rsidR="00FC584A" w:rsidRPr="00FC584A" w:rsidRDefault="00FC584A" w:rsidP="00F75C7B">
            <w:pPr>
              <w:rPr>
                <w:color w:val="FF0000"/>
              </w:rPr>
            </w:pPr>
            <w:r w:rsidRPr="00FC584A">
              <w:rPr>
                <w:color w:val="FF0000"/>
              </w:rPr>
              <w:t>CI, PA</w:t>
            </w:r>
          </w:p>
        </w:tc>
        <w:tc>
          <w:tcPr>
            <w:tcW w:w="2880" w:type="dxa"/>
          </w:tcPr>
          <w:p w14:paraId="5D3BDC37" w14:textId="77777777" w:rsidR="00FC584A" w:rsidRPr="00FC584A" w:rsidRDefault="00FC584A" w:rsidP="00F75C7B">
            <w:pPr>
              <w:rPr>
                <w:color w:val="FF0000"/>
              </w:rPr>
            </w:pPr>
            <w:r w:rsidRPr="00FC584A">
              <w:rPr>
                <w:color w:val="FF0000"/>
              </w:rPr>
              <w:t>7 /10</w:t>
            </w:r>
          </w:p>
        </w:tc>
      </w:tr>
      <w:tr w:rsidR="00FC584A" w:rsidRPr="00FC584A" w14:paraId="5F4A193E" w14:textId="77777777" w:rsidTr="00F75C7B">
        <w:tc>
          <w:tcPr>
            <w:tcW w:w="2880" w:type="dxa"/>
          </w:tcPr>
          <w:p w14:paraId="20B072AA" w14:textId="77777777" w:rsidR="00FC584A" w:rsidRPr="00FC584A" w:rsidRDefault="00FC584A" w:rsidP="00F75C7B">
            <w:pPr>
              <w:rPr>
                <w:color w:val="FF0000"/>
              </w:rPr>
            </w:pPr>
            <w:r w:rsidRPr="00FC584A">
              <w:rPr>
                <w:color w:val="FF0000"/>
              </w:rPr>
              <w:t>Modern Monitoring &amp; Incident Response</w:t>
            </w:r>
          </w:p>
        </w:tc>
        <w:tc>
          <w:tcPr>
            <w:tcW w:w="2880" w:type="dxa"/>
          </w:tcPr>
          <w:p w14:paraId="2C2BAB9E" w14:textId="77777777" w:rsidR="00FC584A" w:rsidRPr="00FC584A" w:rsidRDefault="00FC584A" w:rsidP="00F75C7B">
            <w:pPr>
              <w:rPr>
                <w:color w:val="FF0000"/>
              </w:rPr>
            </w:pPr>
            <w:r w:rsidRPr="00FC584A">
              <w:rPr>
                <w:color w:val="FF0000"/>
              </w:rPr>
              <w:t>CI, PA</w:t>
            </w:r>
          </w:p>
        </w:tc>
        <w:tc>
          <w:tcPr>
            <w:tcW w:w="2880" w:type="dxa"/>
          </w:tcPr>
          <w:p w14:paraId="2263874B" w14:textId="77777777" w:rsidR="00FC584A" w:rsidRPr="00FC584A" w:rsidRDefault="00FC584A" w:rsidP="00F75C7B">
            <w:pPr>
              <w:rPr>
                <w:color w:val="FF0000"/>
              </w:rPr>
            </w:pPr>
            <w:r w:rsidRPr="00FC584A">
              <w:rPr>
                <w:color w:val="FF0000"/>
              </w:rPr>
              <w:t>7/10</w:t>
            </w:r>
          </w:p>
        </w:tc>
      </w:tr>
      <w:tr w:rsidR="00FC584A" w:rsidRPr="00FC584A" w14:paraId="0F2DB71F" w14:textId="77777777" w:rsidTr="00F75C7B">
        <w:tc>
          <w:tcPr>
            <w:tcW w:w="2880" w:type="dxa"/>
          </w:tcPr>
          <w:p w14:paraId="38B746ED" w14:textId="77777777" w:rsidR="00FC584A" w:rsidRPr="00FC584A" w:rsidRDefault="00FC584A" w:rsidP="00F75C7B">
            <w:pPr>
              <w:rPr>
                <w:color w:val="FF0000"/>
              </w:rPr>
            </w:pPr>
            <w:r w:rsidRPr="00FC584A">
              <w:rPr>
                <w:color w:val="FF0000"/>
              </w:rPr>
              <w:t xml:space="preserve">Engaging Training </w:t>
            </w:r>
            <w:proofErr w:type="spellStart"/>
            <w:r w:rsidRPr="00FC584A">
              <w:rPr>
                <w:color w:val="FF0000"/>
              </w:rPr>
              <w:t>Programme</w:t>
            </w:r>
            <w:proofErr w:type="spellEnd"/>
          </w:p>
        </w:tc>
        <w:tc>
          <w:tcPr>
            <w:tcW w:w="2880" w:type="dxa"/>
          </w:tcPr>
          <w:p w14:paraId="6A28BF0C" w14:textId="77777777" w:rsidR="00FC584A" w:rsidRPr="00FC584A" w:rsidRDefault="00FC584A" w:rsidP="00F75C7B">
            <w:pPr>
              <w:rPr>
                <w:color w:val="FF0000"/>
              </w:rPr>
            </w:pPr>
            <w:r w:rsidRPr="00FC584A">
              <w:rPr>
                <w:color w:val="FF0000"/>
              </w:rPr>
              <w:t>KU, TS</w:t>
            </w:r>
          </w:p>
        </w:tc>
        <w:tc>
          <w:tcPr>
            <w:tcW w:w="2880" w:type="dxa"/>
          </w:tcPr>
          <w:p w14:paraId="38361E1B" w14:textId="77777777" w:rsidR="00FC584A" w:rsidRPr="00FC584A" w:rsidRDefault="00FC584A" w:rsidP="00F75C7B">
            <w:pPr>
              <w:rPr>
                <w:color w:val="FF0000"/>
              </w:rPr>
            </w:pPr>
            <w:r w:rsidRPr="00FC584A">
              <w:rPr>
                <w:color w:val="FF0000"/>
              </w:rPr>
              <w:t>11/20</w:t>
            </w:r>
          </w:p>
        </w:tc>
      </w:tr>
      <w:tr w:rsidR="00FC584A" w:rsidRPr="00FC584A" w14:paraId="3140D81E" w14:textId="77777777" w:rsidTr="00F75C7B">
        <w:tc>
          <w:tcPr>
            <w:tcW w:w="2880" w:type="dxa"/>
          </w:tcPr>
          <w:p w14:paraId="67D6D469" w14:textId="77777777" w:rsidR="00FC584A" w:rsidRPr="00FC584A" w:rsidRDefault="00FC584A" w:rsidP="00F75C7B">
            <w:pPr>
              <w:rPr>
                <w:color w:val="FF0000"/>
              </w:rPr>
            </w:pPr>
            <w:r w:rsidRPr="00FC584A">
              <w:rPr>
                <w:color w:val="FF0000"/>
              </w:rPr>
              <w:t>Executive Presentation</w:t>
            </w:r>
          </w:p>
        </w:tc>
        <w:tc>
          <w:tcPr>
            <w:tcW w:w="2880" w:type="dxa"/>
          </w:tcPr>
          <w:p w14:paraId="379FAA2B" w14:textId="77777777" w:rsidR="00FC584A" w:rsidRPr="00FC584A" w:rsidRDefault="00FC584A" w:rsidP="00F75C7B">
            <w:pPr>
              <w:rPr>
                <w:color w:val="FF0000"/>
              </w:rPr>
            </w:pPr>
            <w:r w:rsidRPr="00FC584A">
              <w:rPr>
                <w:color w:val="FF0000"/>
              </w:rPr>
              <w:t>CI, TS</w:t>
            </w:r>
          </w:p>
        </w:tc>
        <w:tc>
          <w:tcPr>
            <w:tcW w:w="2880" w:type="dxa"/>
          </w:tcPr>
          <w:p w14:paraId="03500E4A" w14:textId="77777777" w:rsidR="00FC584A" w:rsidRPr="00FC584A" w:rsidRDefault="00FC584A" w:rsidP="00F75C7B">
            <w:pPr>
              <w:rPr>
                <w:color w:val="FF0000"/>
              </w:rPr>
            </w:pPr>
            <w:r w:rsidRPr="00FC584A">
              <w:rPr>
                <w:color w:val="FF0000"/>
              </w:rPr>
              <w:t>14/20</w:t>
            </w:r>
          </w:p>
        </w:tc>
      </w:tr>
      <w:tr w:rsidR="00FC584A" w:rsidRPr="00FC584A" w14:paraId="2F64EFA7" w14:textId="77777777" w:rsidTr="00F75C7B">
        <w:tc>
          <w:tcPr>
            <w:tcW w:w="2880" w:type="dxa"/>
          </w:tcPr>
          <w:p w14:paraId="1FAFC953" w14:textId="77777777" w:rsidR="00FC584A" w:rsidRPr="00FC584A" w:rsidRDefault="00FC584A" w:rsidP="00F75C7B">
            <w:pPr>
              <w:rPr>
                <w:color w:val="FF0000"/>
              </w:rPr>
            </w:pPr>
            <w:r w:rsidRPr="00FC584A">
              <w:rPr>
                <w:color w:val="FF0000"/>
              </w:rPr>
              <w:t>Packet Tracer Certificate</w:t>
            </w:r>
          </w:p>
        </w:tc>
        <w:tc>
          <w:tcPr>
            <w:tcW w:w="2880" w:type="dxa"/>
          </w:tcPr>
          <w:p w14:paraId="35CB3824" w14:textId="77777777" w:rsidR="00FC584A" w:rsidRPr="00FC584A" w:rsidRDefault="00FC584A" w:rsidP="00F75C7B">
            <w:pPr>
              <w:rPr>
                <w:color w:val="FF0000"/>
              </w:rPr>
            </w:pPr>
            <w:r w:rsidRPr="00FC584A">
              <w:rPr>
                <w:color w:val="FF0000"/>
              </w:rPr>
              <w:t>PA, TS</w:t>
            </w:r>
          </w:p>
        </w:tc>
        <w:tc>
          <w:tcPr>
            <w:tcW w:w="2880" w:type="dxa"/>
          </w:tcPr>
          <w:p w14:paraId="50357F64" w14:textId="77777777" w:rsidR="00FC584A" w:rsidRPr="00FC584A" w:rsidRDefault="00FC584A" w:rsidP="00F75C7B">
            <w:pPr>
              <w:rPr>
                <w:color w:val="FF0000"/>
              </w:rPr>
            </w:pPr>
            <w:r w:rsidRPr="00FC584A">
              <w:rPr>
                <w:color w:val="FF0000"/>
              </w:rPr>
              <w:t>10/10</w:t>
            </w:r>
          </w:p>
        </w:tc>
      </w:tr>
      <w:tr w:rsidR="00FC584A" w:rsidRPr="00FC584A" w14:paraId="6B192FF0" w14:textId="77777777" w:rsidTr="00F75C7B">
        <w:tc>
          <w:tcPr>
            <w:tcW w:w="2880" w:type="dxa"/>
          </w:tcPr>
          <w:p w14:paraId="4E4AA8B7" w14:textId="77777777" w:rsidR="00FC584A" w:rsidRPr="00FC584A" w:rsidRDefault="00FC584A" w:rsidP="00F75C7B">
            <w:pPr>
              <w:rPr>
                <w:color w:val="FF0000"/>
              </w:rPr>
            </w:pPr>
            <w:r w:rsidRPr="00FC584A">
              <w:rPr>
                <w:color w:val="FF0000"/>
              </w:rPr>
              <w:t>TOTAL</w:t>
            </w:r>
          </w:p>
        </w:tc>
        <w:tc>
          <w:tcPr>
            <w:tcW w:w="2880" w:type="dxa"/>
          </w:tcPr>
          <w:p w14:paraId="21376686" w14:textId="77777777" w:rsidR="00FC584A" w:rsidRPr="00FC584A" w:rsidRDefault="00FC584A" w:rsidP="00F75C7B">
            <w:pPr>
              <w:rPr>
                <w:color w:val="FF0000"/>
              </w:rPr>
            </w:pPr>
          </w:p>
        </w:tc>
        <w:tc>
          <w:tcPr>
            <w:tcW w:w="2880" w:type="dxa"/>
          </w:tcPr>
          <w:p w14:paraId="6564E7B0" w14:textId="77777777" w:rsidR="00FC584A" w:rsidRPr="00FC584A" w:rsidRDefault="00FC584A" w:rsidP="00F75C7B">
            <w:pPr>
              <w:rPr>
                <w:color w:val="FF0000"/>
              </w:rPr>
            </w:pPr>
            <w:r w:rsidRPr="00FC584A">
              <w:rPr>
                <w:color w:val="FF0000"/>
              </w:rPr>
              <w:t>70/100</w:t>
            </w:r>
          </w:p>
        </w:tc>
      </w:tr>
    </w:tbl>
    <w:p w14:paraId="405104B2" w14:textId="77777777" w:rsidR="00FC584A" w:rsidRPr="00FC584A" w:rsidRDefault="00FC584A" w:rsidP="00FC584A">
      <w:pPr>
        <w:rPr>
          <w:color w:val="FF0000"/>
        </w:rPr>
      </w:pPr>
    </w:p>
    <w:p w14:paraId="7F2DF9E6" w14:textId="77777777" w:rsidR="00FC584A" w:rsidRPr="00FC584A" w:rsidRDefault="00FC584A" w:rsidP="00FC584A">
      <w:pPr>
        <w:rPr>
          <w:b/>
          <w:bCs/>
          <w:color w:val="FF0000"/>
        </w:rPr>
      </w:pPr>
      <w:r w:rsidRPr="00FC584A">
        <w:rPr>
          <w:b/>
          <w:bCs/>
          <w:color w:val="FF0000"/>
        </w:rPr>
        <w:t>Overall Feedback</w:t>
      </w:r>
    </w:p>
    <w:tbl>
      <w:tblPr>
        <w:tblStyle w:val="TableGrid"/>
        <w:tblW w:w="0" w:type="auto"/>
        <w:tblLook w:val="04A0" w:firstRow="1" w:lastRow="0" w:firstColumn="1" w:lastColumn="0" w:noHBand="0" w:noVBand="1"/>
      </w:tblPr>
      <w:tblGrid>
        <w:gridCol w:w="9016"/>
      </w:tblGrid>
      <w:tr w:rsidR="00FC584A" w:rsidRPr="00FC584A" w14:paraId="1879FC59" w14:textId="77777777" w:rsidTr="00F75C7B">
        <w:tc>
          <w:tcPr>
            <w:tcW w:w="9016" w:type="dxa"/>
          </w:tcPr>
          <w:p w14:paraId="21D8F992" w14:textId="77777777" w:rsidR="00FC584A" w:rsidRPr="00FC584A" w:rsidRDefault="00FC584A" w:rsidP="00F75C7B">
            <w:pPr>
              <w:rPr>
                <w:color w:val="FF0000"/>
                <w:kern w:val="2"/>
                <w:sz w:val="24"/>
                <w:szCs w:val="24"/>
                <w:lang w:val="en-GB" w:eastAsia="zh-CN"/>
                <w14:ligatures w14:val="standardContextual"/>
              </w:rPr>
            </w:pPr>
          </w:p>
          <w:p w14:paraId="1BEB2A30" w14:textId="77777777" w:rsidR="00FC584A" w:rsidRPr="00FC584A" w:rsidRDefault="00FC584A" w:rsidP="00F75C7B">
            <w:pPr>
              <w:rPr>
                <w:color w:val="FF0000"/>
                <w:lang w:val="en-GB"/>
              </w:rPr>
            </w:pPr>
            <w:r w:rsidRPr="00FC584A">
              <w:rPr>
                <w:color w:val="FF0000"/>
                <w:lang w:val="en-GB"/>
              </w:rPr>
              <w:t>The report demonstrates a good understanding of contemporary cybersecurity threats and the challenges faced by financial organisations. Relevant threats including RaaS, AI-powered social engineering, supply chain attacks and cloud security risks were identified and supported with current sources. The recommendations were aligned with Zero Trust principles, NIST CSF 2.0, ISO 27001 and NCSC guidance, with appropriate controls such as MFA, EDR, SIEM, SOAR and CSPM proposed.</w:t>
            </w:r>
          </w:p>
          <w:p w14:paraId="27BE263E" w14:textId="77777777" w:rsidR="00FC584A" w:rsidRPr="00FC584A" w:rsidRDefault="00FC584A" w:rsidP="00F75C7B">
            <w:pPr>
              <w:rPr>
                <w:color w:val="FF0000"/>
                <w:lang w:val="en-GB"/>
              </w:rPr>
            </w:pPr>
            <w:r w:rsidRPr="00FC584A">
              <w:rPr>
                <w:color w:val="FF0000"/>
                <w:lang w:val="en-GB"/>
              </w:rPr>
              <w:t xml:space="preserve">The monitoring and incident response section demonstrated a good understanding of proactive security operations and was supported by a suitable incident response flowchart. </w:t>
            </w:r>
            <w:r w:rsidRPr="00FC584A">
              <w:rPr>
                <w:color w:val="FF0000"/>
                <w:lang w:val="en-GB"/>
              </w:rPr>
              <w:lastRenderedPageBreak/>
              <w:t>The training programme also incorporated phishing simulations and security awareness initiatives.</w:t>
            </w:r>
          </w:p>
          <w:p w14:paraId="44CDD1D8" w14:textId="77777777" w:rsidR="00FC584A" w:rsidRPr="00FC584A" w:rsidRDefault="00FC584A" w:rsidP="00F75C7B">
            <w:pPr>
              <w:rPr>
                <w:color w:val="FF0000"/>
                <w:lang w:val="en-GB"/>
              </w:rPr>
            </w:pPr>
            <w:r w:rsidRPr="00FC584A">
              <w:rPr>
                <w:color w:val="FF0000"/>
                <w:lang w:val="en-GB"/>
              </w:rPr>
              <w:t>The Executive Presentation effectively communicated cybersecurity risks in business terms, highlighting financial, regulatory and reputational impacts while supporting investment in modern security controls. To achieve a higher mark, greater critical evaluation and more organisation-specific implementation details would strengthen the recommendations. Overall, this is a well-structured submission demonstrating a good understanding of modern cybersecurity concepts and security best practices.</w:t>
            </w:r>
          </w:p>
          <w:p w14:paraId="26F82396" w14:textId="77777777" w:rsidR="00FC584A" w:rsidRPr="00FC584A" w:rsidRDefault="00FC584A" w:rsidP="00F75C7B">
            <w:pPr>
              <w:rPr>
                <w:color w:val="FF0000"/>
                <w:lang w:val="en-GB"/>
              </w:rPr>
            </w:pPr>
          </w:p>
        </w:tc>
      </w:tr>
    </w:tbl>
    <w:p w14:paraId="1AD2A76B" w14:textId="77777777" w:rsidR="00FC584A" w:rsidRPr="00FC584A" w:rsidRDefault="00FC584A" w:rsidP="00FC584A">
      <w:pPr>
        <w:rPr>
          <w:color w:val="FF0000"/>
        </w:rPr>
      </w:pPr>
    </w:p>
    <w:p w14:paraId="1547C552" w14:textId="77777777" w:rsidR="001E18BF" w:rsidRPr="00FC584A" w:rsidRDefault="001E18BF" w:rsidP="00C42A28">
      <w:pPr>
        <w:rPr>
          <w:color w:val="FF0000"/>
        </w:rPr>
      </w:pPr>
    </w:p>
    <w:p w14:paraId="787A1777" w14:textId="77777777" w:rsidR="00C42A28" w:rsidRPr="00FC584A" w:rsidRDefault="00C42A28" w:rsidP="00C42A28">
      <w:pPr>
        <w:rPr>
          <w:color w:val="FF0000"/>
        </w:rPr>
      </w:pPr>
    </w:p>
    <w:sectPr w:rsidR="00C42A28" w:rsidRPr="00FC584A" w:rsidSect="00CE65A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FEE3A" w14:textId="77777777" w:rsidR="00536C27" w:rsidRDefault="00536C27" w:rsidP="00FC584A">
      <w:pPr>
        <w:spacing w:after="0" w:line="240" w:lineRule="auto"/>
      </w:pPr>
      <w:r>
        <w:separator/>
      </w:r>
    </w:p>
  </w:endnote>
  <w:endnote w:type="continuationSeparator" w:id="0">
    <w:p w14:paraId="1A491FD0" w14:textId="77777777" w:rsidR="00536C27" w:rsidRDefault="00536C27" w:rsidP="00FC58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A2502" w14:textId="77777777" w:rsidR="00536C27" w:rsidRDefault="00536C27" w:rsidP="00FC584A">
      <w:pPr>
        <w:spacing w:after="0" w:line="240" w:lineRule="auto"/>
      </w:pPr>
      <w:r>
        <w:separator/>
      </w:r>
    </w:p>
  </w:footnote>
  <w:footnote w:type="continuationSeparator" w:id="0">
    <w:p w14:paraId="7A70C5B8" w14:textId="77777777" w:rsidR="00536C27" w:rsidRDefault="00536C27" w:rsidP="00FC58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C1D3D"/>
    <w:multiLevelType w:val="multilevel"/>
    <w:tmpl w:val="BC9E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9520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0CE"/>
    <w:rsid w:val="0012734A"/>
    <w:rsid w:val="001E18BF"/>
    <w:rsid w:val="001F7682"/>
    <w:rsid w:val="002B102B"/>
    <w:rsid w:val="002D789E"/>
    <w:rsid w:val="003E2653"/>
    <w:rsid w:val="0044780C"/>
    <w:rsid w:val="00536C27"/>
    <w:rsid w:val="006055C1"/>
    <w:rsid w:val="007270CE"/>
    <w:rsid w:val="00757C7E"/>
    <w:rsid w:val="007F11B6"/>
    <w:rsid w:val="008719A8"/>
    <w:rsid w:val="008D1220"/>
    <w:rsid w:val="00903A0D"/>
    <w:rsid w:val="00931BE5"/>
    <w:rsid w:val="009A776C"/>
    <w:rsid w:val="009B6033"/>
    <w:rsid w:val="009D53C8"/>
    <w:rsid w:val="00AA647F"/>
    <w:rsid w:val="00AD12AF"/>
    <w:rsid w:val="00B117A6"/>
    <w:rsid w:val="00BB1968"/>
    <w:rsid w:val="00C42A28"/>
    <w:rsid w:val="00C60346"/>
    <w:rsid w:val="00CE65A8"/>
    <w:rsid w:val="00E05CBE"/>
    <w:rsid w:val="00E215A0"/>
    <w:rsid w:val="00EE66BA"/>
    <w:rsid w:val="00EF74B1"/>
    <w:rsid w:val="00F102FE"/>
    <w:rsid w:val="00FC584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3988AF"/>
  <w15:chartTrackingRefBased/>
  <w15:docId w15:val="{198E4670-4DFD-734C-A899-A5110390C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70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270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70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70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70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70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70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70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70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70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270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70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70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70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70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70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70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70CE"/>
    <w:rPr>
      <w:rFonts w:eastAsiaTheme="majorEastAsia" w:cstheme="majorBidi"/>
      <w:color w:val="272727" w:themeColor="text1" w:themeTint="D8"/>
    </w:rPr>
  </w:style>
  <w:style w:type="paragraph" w:styleId="Title">
    <w:name w:val="Title"/>
    <w:basedOn w:val="Normal"/>
    <w:next w:val="Normal"/>
    <w:link w:val="TitleChar"/>
    <w:uiPriority w:val="10"/>
    <w:qFormat/>
    <w:rsid w:val="007270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70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70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70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70CE"/>
    <w:pPr>
      <w:spacing w:before="160"/>
      <w:jc w:val="center"/>
    </w:pPr>
    <w:rPr>
      <w:i/>
      <w:iCs/>
      <w:color w:val="404040" w:themeColor="text1" w:themeTint="BF"/>
    </w:rPr>
  </w:style>
  <w:style w:type="character" w:customStyle="1" w:styleId="QuoteChar">
    <w:name w:val="Quote Char"/>
    <w:basedOn w:val="DefaultParagraphFont"/>
    <w:link w:val="Quote"/>
    <w:uiPriority w:val="29"/>
    <w:rsid w:val="007270CE"/>
    <w:rPr>
      <w:i/>
      <w:iCs/>
      <w:color w:val="404040" w:themeColor="text1" w:themeTint="BF"/>
    </w:rPr>
  </w:style>
  <w:style w:type="paragraph" w:styleId="ListParagraph">
    <w:name w:val="List Paragraph"/>
    <w:basedOn w:val="Normal"/>
    <w:uiPriority w:val="34"/>
    <w:qFormat/>
    <w:rsid w:val="007270CE"/>
    <w:pPr>
      <w:ind w:left="720"/>
      <w:contextualSpacing/>
    </w:pPr>
  </w:style>
  <w:style w:type="character" w:styleId="IntenseEmphasis">
    <w:name w:val="Intense Emphasis"/>
    <w:basedOn w:val="DefaultParagraphFont"/>
    <w:uiPriority w:val="21"/>
    <w:qFormat/>
    <w:rsid w:val="007270CE"/>
    <w:rPr>
      <w:i/>
      <w:iCs/>
      <w:color w:val="0F4761" w:themeColor="accent1" w:themeShade="BF"/>
    </w:rPr>
  </w:style>
  <w:style w:type="paragraph" w:styleId="IntenseQuote">
    <w:name w:val="Intense Quote"/>
    <w:basedOn w:val="Normal"/>
    <w:next w:val="Normal"/>
    <w:link w:val="IntenseQuoteChar"/>
    <w:uiPriority w:val="30"/>
    <w:qFormat/>
    <w:rsid w:val="007270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70CE"/>
    <w:rPr>
      <w:i/>
      <w:iCs/>
      <w:color w:val="0F4761" w:themeColor="accent1" w:themeShade="BF"/>
    </w:rPr>
  </w:style>
  <w:style w:type="character" w:styleId="IntenseReference">
    <w:name w:val="Intense Reference"/>
    <w:basedOn w:val="DefaultParagraphFont"/>
    <w:uiPriority w:val="32"/>
    <w:qFormat/>
    <w:rsid w:val="007270CE"/>
    <w:rPr>
      <w:b/>
      <w:bCs/>
      <w:smallCaps/>
      <w:color w:val="0F4761" w:themeColor="accent1" w:themeShade="BF"/>
      <w:spacing w:val="5"/>
    </w:rPr>
  </w:style>
  <w:style w:type="paragraph" w:customStyle="1" w:styleId="font-claude-response-body">
    <w:name w:val="font-claude-response-body"/>
    <w:basedOn w:val="Normal"/>
    <w:rsid w:val="00C42A2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C42A28"/>
    <w:rPr>
      <w:color w:val="0000FF"/>
      <w:u w:val="single"/>
    </w:rPr>
  </w:style>
  <w:style w:type="paragraph" w:styleId="NormalWeb">
    <w:name w:val="Normal (Web)"/>
    <w:basedOn w:val="Normal"/>
    <w:uiPriority w:val="99"/>
    <w:semiHidden/>
    <w:unhideWhenUsed/>
    <w:rsid w:val="001E18B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BB1968"/>
    <w:rPr>
      <w:color w:val="96607D" w:themeColor="followedHyperlink"/>
      <w:u w:val="single"/>
    </w:rPr>
  </w:style>
  <w:style w:type="character" w:styleId="Strong">
    <w:name w:val="Strong"/>
    <w:basedOn w:val="DefaultParagraphFont"/>
    <w:uiPriority w:val="22"/>
    <w:qFormat/>
    <w:rsid w:val="00C60346"/>
    <w:rPr>
      <w:b/>
      <w:bCs/>
    </w:rPr>
  </w:style>
  <w:style w:type="paragraph" w:styleId="NoSpacing">
    <w:name w:val="No Spacing"/>
    <w:link w:val="NoSpacingChar"/>
    <w:uiPriority w:val="1"/>
    <w:qFormat/>
    <w:rsid w:val="00CE65A8"/>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CE65A8"/>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EE66BA"/>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EE66BA"/>
    <w:pPr>
      <w:spacing w:before="120" w:after="0"/>
    </w:pPr>
    <w:rPr>
      <w:b/>
      <w:bCs/>
      <w:i/>
      <w:iCs/>
    </w:rPr>
  </w:style>
  <w:style w:type="paragraph" w:styleId="TOC2">
    <w:name w:val="toc 2"/>
    <w:basedOn w:val="Normal"/>
    <w:next w:val="Normal"/>
    <w:autoRedefine/>
    <w:uiPriority w:val="39"/>
    <w:unhideWhenUsed/>
    <w:rsid w:val="00EE66BA"/>
    <w:pPr>
      <w:spacing w:before="120" w:after="0"/>
      <w:ind w:left="240"/>
    </w:pPr>
    <w:rPr>
      <w:b/>
      <w:bCs/>
      <w:sz w:val="22"/>
      <w:szCs w:val="22"/>
    </w:rPr>
  </w:style>
  <w:style w:type="paragraph" w:styleId="TOC3">
    <w:name w:val="toc 3"/>
    <w:basedOn w:val="Normal"/>
    <w:next w:val="Normal"/>
    <w:autoRedefine/>
    <w:uiPriority w:val="39"/>
    <w:semiHidden/>
    <w:unhideWhenUsed/>
    <w:rsid w:val="00EE66BA"/>
    <w:pPr>
      <w:spacing w:after="0"/>
      <w:ind w:left="480"/>
    </w:pPr>
    <w:rPr>
      <w:sz w:val="20"/>
      <w:szCs w:val="20"/>
    </w:rPr>
  </w:style>
  <w:style w:type="paragraph" w:styleId="TOC4">
    <w:name w:val="toc 4"/>
    <w:basedOn w:val="Normal"/>
    <w:next w:val="Normal"/>
    <w:autoRedefine/>
    <w:uiPriority w:val="39"/>
    <w:semiHidden/>
    <w:unhideWhenUsed/>
    <w:rsid w:val="00EE66BA"/>
    <w:pPr>
      <w:spacing w:after="0"/>
      <w:ind w:left="720"/>
    </w:pPr>
    <w:rPr>
      <w:sz w:val="20"/>
      <w:szCs w:val="20"/>
    </w:rPr>
  </w:style>
  <w:style w:type="paragraph" w:styleId="TOC5">
    <w:name w:val="toc 5"/>
    <w:basedOn w:val="Normal"/>
    <w:next w:val="Normal"/>
    <w:autoRedefine/>
    <w:uiPriority w:val="39"/>
    <w:semiHidden/>
    <w:unhideWhenUsed/>
    <w:rsid w:val="00EE66BA"/>
    <w:pPr>
      <w:spacing w:after="0"/>
      <w:ind w:left="960"/>
    </w:pPr>
    <w:rPr>
      <w:sz w:val="20"/>
      <w:szCs w:val="20"/>
    </w:rPr>
  </w:style>
  <w:style w:type="paragraph" w:styleId="TOC6">
    <w:name w:val="toc 6"/>
    <w:basedOn w:val="Normal"/>
    <w:next w:val="Normal"/>
    <w:autoRedefine/>
    <w:uiPriority w:val="39"/>
    <w:semiHidden/>
    <w:unhideWhenUsed/>
    <w:rsid w:val="00EE66BA"/>
    <w:pPr>
      <w:spacing w:after="0"/>
      <w:ind w:left="1200"/>
    </w:pPr>
    <w:rPr>
      <w:sz w:val="20"/>
      <w:szCs w:val="20"/>
    </w:rPr>
  </w:style>
  <w:style w:type="paragraph" w:styleId="TOC7">
    <w:name w:val="toc 7"/>
    <w:basedOn w:val="Normal"/>
    <w:next w:val="Normal"/>
    <w:autoRedefine/>
    <w:uiPriority w:val="39"/>
    <w:semiHidden/>
    <w:unhideWhenUsed/>
    <w:rsid w:val="00EE66BA"/>
    <w:pPr>
      <w:spacing w:after="0"/>
      <w:ind w:left="1440"/>
    </w:pPr>
    <w:rPr>
      <w:sz w:val="20"/>
      <w:szCs w:val="20"/>
    </w:rPr>
  </w:style>
  <w:style w:type="paragraph" w:styleId="TOC8">
    <w:name w:val="toc 8"/>
    <w:basedOn w:val="Normal"/>
    <w:next w:val="Normal"/>
    <w:autoRedefine/>
    <w:uiPriority w:val="39"/>
    <w:semiHidden/>
    <w:unhideWhenUsed/>
    <w:rsid w:val="00EE66BA"/>
    <w:pPr>
      <w:spacing w:after="0"/>
      <w:ind w:left="1680"/>
    </w:pPr>
    <w:rPr>
      <w:sz w:val="20"/>
      <w:szCs w:val="20"/>
    </w:rPr>
  </w:style>
  <w:style w:type="paragraph" w:styleId="TOC9">
    <w:name w:val="toc 9"/>
    <w:basedOn w:val="Normal"/>
    <w:next w:val="Normal"/>
    <w:autoRedefine/>
    <w:uiPriority w:val="39"/>
    <w:semiHidden/>
    <w:unhideWhenUsed/>
    <w:rsid w:val="00EE66BA"/>
    <w:pPr>
      <w:spacing w:after="0"/>
      <w:ind w:left="1920"/>
    </w:pPr>
    <w:rPr>
      <w:sz w:val="20"/>
      <w:szCs w:val="20"/>
    </w:rPr>
  </w:style>
  <w:style w:type="paragraph" w:styleId="Header">
    <w:name w:val="header"/>
    <w:basedOn w:val="Normal"/>
    <w:link w:val="HeaderChar"/>
    <w:uiPriority w:val="99"/>
    <w:unhideWhenUsed/>
    <w:rsid w:val="00FC58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84A"/>
  </w:style>
  <w:style w:type="paragraph" w:styleId="Footer">
    <w:name w:val="footer"/>
    <w:basedOn w:val="Normal"/>
    <w:link w:val="FooterChar"/>
    <w:uiPriority w:val="99"/>
    <w:unhideWhenUsed/>
    <w:rsid w:val="00FC58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584A"/>
  </w:style>
  <w:style w:type="table" w:styleId="TableGrid">
    <w:name w:val="Table Grid"/>
    <w:basedOn w:val="TableNormal"/>
    <w:uiPriority w:val="59"/>
    <w:rsid w:val="00FC584A"/>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itsight.com/underground/ransomwar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hyperlink" Target="https://www.ncsc.gov.uk/collection/incident-management/incident-response"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so.org/standard/27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9D24D9-9DFE-894B-948E-72BB1EF9C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2553</Words>
  <Characters>14557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Vigilant trust &amp; aSSET Management Scenario</dc:title>
  <dc:subject>Networks and Cyber Security Essentials (ACCA4024)</dc:subject>
  <dc:creator>Josh Jones (2501946)</dc:creator>
  <cp:keywords/>
  <dc:description/>
  <cp:lastModifiedBy>Munyaradzi Nicholas Murira</cp:lastModifiedBy>
  <cp:revision>23</cp:revision>
  <dcterms:created xsi:type="dcterms:W3CDTF">2026-05-21T23:12:00Z</dcterms:created>
  <dcterms:modified xsi:type="dcterms:W3CDTF">2026-06-09T10:05:00Z</dcterms:modified>
</cp:coreProperties>
</file>