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D1E3A" w:rsidRDefault="004D1E3A">
      <w:pPr>
        <w:spacing w:before="200" w:line="360" w:lineRule="auto"/>
        <w:jc w:val="center"/>
        <w:rPr>
          <w:rFonts w:ascii="Times New Roman" w:eastAsia="Times New Roman" w:hAnsi="Times New Roman" w:cs="Times New Roman"/>
          <w:b/>
          <w:bCs/>
          <w:sz w:val="24"/>
          <w:szCs w:val="24"/>
        </w:rPr>
      </w:pPr>
    </w:p>
    <w:p w14:paraId="00000002" w14:textId="77777777" w:rsidR="004D1E3A" w:rsidRDefault="004D1E3A">
      <w:pPr>
        <w:spacing w:before="200" w:line="360" w:lineRule="auto"/>
        <w:jc w:val="center"/>
        <w:rPr>
          <w:rFonts w:ascii="Times New Roman" w:eastAsia="Times New Roman" w:hAnsi="Times New Roman" w:cs="Times New Roman"/>
          <w:b/>
          <w:bCs/>
          <w:sz w:val="24"/>
          <w:szCs w:val="24"/>
        </w:rPr>
      </w:pPr>
    </w:p>
    <w:p w14:paraId="00000003" w14:textId="77777777" w:rsidR="004D1E3A" w:rsidRDefault="004D1E3A">
      <w:pPr>
        <w:spacing w:before="200" w:line="360" w:lineRule="auto"/>
        <w:jc w:val="center"/>
        <w:rPr>
          <w:rFonts w:ascii="Times New Roman" w:eastAsia="Times New Roman" w:hAnsi="Times New Roman" w:cs="Times New Roman"/>
          <w:b/>
          <w:bCs/>
          <w:sz w:val="24"/>
          <w:szCs w:val="24"/>
        </w:rPr>
      </w:pPr>
    </w:p>
    <w:p w14:paraId="00000004" w14:textId="77777777" w:rsidR="004D1E3A" w:rsidRDefault="004D1E3A">
      <w:pPr>
        <w:spacing w:before="200" w:line="360" w:lineRule="auto"/>
        <w:jc w:val="center"/>
        <w:rPr>
          <w:rFonts w:ascii="Times New Roman" w:eastAsia="Times New Roman" w:hAnsi="Times New Roman" w:cs="Times New Roman"/>
          <w:b/>
          <w:bCs/>
          <w:sz w:val="24"/>
          <w:szCs w:val="24"/>
        </w:rPr>
      </w:pPr>
    </w:p>
    <w:p w14:paraId="00000005" w14:textId="77777777" w:rsidR="004D1E3A" w:rsidRDefault="004D1E3A">
      <w:pPr>
        <w:spacing w:before="200" w:line="360" w:lineRule="auto"/>
        <w:jc w:val="center"/>
        <w:rPr>
          <w:rFonts w:ascii="Times New Roman" w:eastAsia="Times New Roman" w:hAnsi="Times New Roman" w:cs="Times New Roman"/>
          <w:b/>
          <w:bCs/>
          <w:sz w:val="24"/>
          <w:szCs w:val="24"/>
        </w:rPr>
      </w:pPr>
    </w:p>
    <w:p w14:paraId="00000006" w14:textId="77777777" w:rsidR="004D1E3A" w:rsidRDefault="004D1E3A">
      <w:pPr>
        <w:spacing w:before="200" w:line="360" w:lineRule="auto"/>
        <w:jc w:val="center"/>
        <w:rPr>
          <w:rFonts w:ascii="Times New Roman" w:eastAsia="Times New Roman" w:hAnsi="Times New Roman" w:cs="Times New Roman"/>
          <w:b/>
          <w:bCs/>
          <w:sz w:val="24"/>
          <w:szCs w:val="24"/>
        </w:rPr>
      </w:pPr>
    </w:p>
    <w:p w14:paraId="00000007" w14:textId="77777777" w:rsidR="004D1E3A" w:rsidRDefault="004D1E3A">
      <w:pPr>
        <w:spacing w:before="200" w:line="360" w:lineRule="auto"/>
        <w:jc w:val="center"/>
        <w:rPr>
          <w:rFonts w:ascii="Times New Roman" w:eastAsia="Times New Roman" w:hAnsi="Times New Roman" w:cs="Times New Roman"/>
          <w:b/>
          <w:bCs/>
          <w:sz w:val="24"/>
          <w:szCs w:val="24"/>
        </w:rPr>
      </w:pPr>
    </w:p>
    <w:p w14:paraId="00000008" w14:textId="77777777" w:rsidR="004D1E3A" w:rsidRDefault="004D1E3A">
      <w:pPr>
        <w:spacing w:before="200" w:line="360" w:lineRule="auto"/>
        <w:jc w:val="center"/>
        <w:rPr>
          <w:rFonts w:ascii="Times New Roman" w:eastAsia="Times New Roman" w:hAnsi="Times New Roman" w:cs="Times New Roman"/>
          <w:b/>
          <w:bCs/>
          <w:sz w:val="24"/>
          <w:szCs w:val="24"/>
        </w:rPr>
      </w:pPr>
    </w:p>
    <w:p w14:paraId="00000009" w14:textId="77777777" w:rsidR="004D1E3A" w:rsidRDefault="004D1E3A">
      <w:pPr>
        <w:spacing w:before="200" w:line="360" w:lineRule="auto"/>
        <w:jc w:val="center"/>
        <w:rPr>
          <w:rFonts w:ascii="Times New Roman" w:eastAsia="Times New Roman" w:hAnsi="Times New Roman" w:cs="Times New Roman"/>
          <w:b/>
          <w:bCs/>
          <w:sz w:val="24"/>
          <w:szCs w:val="24"/>
        </w:rPr>
      </w:pPr>
    </w:p>
    <w:p w14:paraId="4868FA21" w14:textId="7E50AAC9" w:rsidR="006A453F" w:rsidRDefault="00205CF8" w:rsidP="006A453F">
      <w:pPr>
        <w:spacing w:before="200" w:line="360" w:lineRule="auto"/>
        <w:jc w:val="center"/>
        <w:rPr>
          <w:rFonts w:ascii="Times New Roman" w:eastAsia="Times New Roman" w:hAnsi="Times New Roman" w:cs="Times New Roman"/>
          <w:b/>
          <w:bCs/>
          <w:sz w:val="24"/>
          <w:szCs w:val="24"/>
        </w:rPr>
      </w:pPr>
      <w:r w:rsidRPr="00205CF8">
        <w:rPr>
          <w:rFonts w:ascii="Times New Roman" w:eastAsia="Times New Roman" w:hAnsi="Times New Roman" w:cs="Times New Roman"/>
          <w:b/>
          <w:bCs/>
          <w:sz w:val="24"/>
          <w:szCs w:val="24"/>
        </w:rPr>
        <w:t>Individual Essay</w:t>
      </w:r>
    </w:p>
    <w:p w14:paraId="72678B7C" w14:textId="77777777" w:rsidR="006A453F" w:rsidRDefault="00000000">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 Critical Evaluation of Communication Differences between British Telecommunications Group plc (UK) and Sony (Japan): An Intercultural Perspective</w:t>
      </w:r>
    </w:p>
    <w:p w14:paraId="3A4850E5" w14:textId="77777777" w:rsidR="006A453F" w:rsidRPr="006A453F" w:rsidRDefault="006A453F" w:rsidP="006A453F">
      <w:pPr>
        <w:spacing w:before="200" w:line="360" w:lineRule="auto"/>
        <w:jc w:val="center"/>
        <w:rPr>
          <w:rFonts w:ascii="Times New Roman" w:eastAsia="Times New Roman" w:hAnsi="Times New Roman" w:cs="Times New Roman"/>
          <w:b/>
          <w:bCs/>
          <w:sz w:val="24"/>
          <w:szCs w:val="24"/>
        </w:rPr>
      </w:pPr>
      <w:r w:rsidRPr="006A453F">
        <w:rPr>
          <w:rFonts w:ascii="Times New Roman" w:eastAsia="Times New Roman" w:hAnsi="Times New Roman" w:cs="Times New Roman"/>
          <w:b/>
          <w:bCs/>
          <w:sz w:val="24"/>
          <w:szCs w:val="24"/>
        </w:rPr>
        <w:t>Student Name: Marian Gabriel Apostu</w:t>
      </w:r>
    </w:p>
    <w:p w14:paraId="0354472C" w14:textId="77777777" w:rsidR="006A453F" w:rsidRPr="006A453F" w:rsidRDefault="006A453F" w:rsidP="006A453F">
      <w:pPr>
        <w:spacing w:before="200" w:line="360" w:lineRule="auto"/>
        <w:jc w:val="center"/>
        <w:rPr>
          <w:rFonts w:ascii="Times New Roman" w:eastAsia="Times New Roman" w:hAnsi="Times New Roman" w:cs="Times New Roman"/>
          <w:b/>
          <w:bCs/>
          <w:sz w:val="24"/>
          <w:szCs w:val="24"/>
        </w:rPr>
      </w:pPr>
      <w:r w:rsidRPr="006A453F">
        <w:rPr>
          <w:rFonts w:ascii="Times New Roman" w:eastAsia="Times New Roman" w:hAnsi="Times New Roman" w:cs="Times New Roman"/>
          <w:b/>
          <w:bCs/>
          <w:sz w:val="24"/>
          <w:szCs w:val="24"/>
        </w:rPr>
        <w:t>Student Id Number :2327280</w:t>
      </w:r>
    </w:p>
    <w:p w14:paraId="533B1EA0" w14:textId="77777777" w:rsidR="006A453F" w:rsidRPr="006A453F" w:rsidRDefault="006A453F" w:rsidP="006A453F">
      <w:pPr>
        <w:spacing w:before="200" w:line="360" w:lineRule="auto"/>
        <w:jc w:val="center"/>
        <w:rPr>
          <w:rFonts w:ascii="Times New Roman" w:eastAsia="Times New Roman" w:hAnsi="Times New Roman" w:cs="Times New Roman"/>
          <w:b/>
          <w:bCs/>
          <w:sz w:val="24"/>
          <w:szCs w:val="24"/>
        </w:rPr>
      </w:pPr>
      <w:r w:rsidRPr="006A453F">
        <w:rPr>
          <w:rFonts w:ascii="Times New Roman" w:eastAsia="Times New Roman" w:hAnsi="Times New Roman" w:cs="Times New Roman"/>
          <w:b/>
          <w:bCs/>
          <w:sz w:val="24"/>
          <w:szCs w:val="24"/>
        </w:rPr>
        <w:t xml:space="preserve">Module:  International Business Communications </w:t>
      </w:r>
    </w:p>
    <w:p w14:paraId="1E12D072" w14:textId="77777777" w:rsidR="006A453F" w:rsidRPr="006A453F" w:rsidRDefault="006A453F" w:rsidP="006A453F">
      <w:pPr>
        <w:spacing w:before="200" w:line="360" w:lineRule="auto"/>
        <w:jc w:val="center"/>
        <w:rPr>
          <w:rFonts w:ascii="Times New Roman" w:eastAsia="Times New Roman" w:hAnsi="Times New Roman" w:cs="Times New Roman"/>
          <w:b/>
          <w:bCs/>
          <w:sz w:val="24"/>
          <w:szCs w:val="24"/>
        </w:rPr>
      </w:pPr>
      <w:r w:rsidRPr="006A453F">
        <w:rPr>
          <w:rFonts w:ascii="Times New Roman" w:eastAsia="Times New Roman" w:hAnsi="Times New Roman" w:cs="Times New Roman"/>
          <w:b/>
          <w:bCs/>
          <w:sz w:val="24"/>
          <w:szCs w:val="24"/>
        </w:rPr>
        <w:t xml:space="preserve">Module code:  LCBB6023 </w:t>
      </w:r>
    </w:p>
    <w:p w14:paraId="1364BEEC" w14:textId="52D37A9B" w:rsidR="006A453F" w:rsidRDefault="006A453F" w:rsidP="006A453F">
      <w:pPr>
        <w:spacing w:before="200" w:line="360" w:lineRule="auto"/>
        <w:jc w:val="center"/>
        <w:rPr>
          <w:rFonts w:ascii="Times New Roman" w:eastAsia="Times New Roman" w:hAnsi="Times New Roman" w:cs="Times New Roman"/>
          <w:b/>
          <w:bCs/>
          <w:sz w:val="24"/>
          <w:szCs w:val="24"/>
        </w:rPr>
      </w:pPr>
      <w:r w:rsidRPr="006A453F">
        <w:rPr>
          <w:rFonts w:ascii="Times New Roman" w:eastAsia="Times New Roman" w:hAnsi="Times New Roman" w:cs="Times New Roman"/>
          <w:b/>
          <w:bCs/>
          <w:sz w:val="24"/>
          <w:szCs w:val="24"/>
        </w:rPr>
        <w:t>Module Leader:  Liyanage Rodrigo</w:t>
      </w:r>
    </w:p>
    <w:p w14:paraId="0000000B" w14:textId="77B4E950" w:rsidR="004D1E3A" w:rsidRDefault="00000000">
      <w:pPr>
        <w:spacing w:before="200" w:line="360" w:lineRule="auto"/>
        <w:jc w:val="center"/>
        <w:rPr>
          <w:rFonts w:ascii="Times New Roman" w:eastAsia="Times New Roman" w:hAnsi="Times New Roman" w:cs="Times New Roman"/>
          <w:sz w:val="24"/>
          <w:szCs w:val="24"/>
        </w:rPr>
      </w:pPr>
      <w:r>
        <w:br w:type="page"/>
      </w:r>
    </w:p>
    <w:sdt>
      <w:sdtPr>
        <w:rPr>
          <w:rFonts w:ascii="Arial" w:eastAsia="Arial" w:hAnsi="Arial" w:cs="Arial"/>
          <w:color w:val="auto"/>
          <w:sz w:val="22"/>
          <w:szCs w:val="22"/>
          <w:lang w:val="en-GB"/>
        </w:rPr>
        <w:id w:val="-267929552"/>
        <w:docPartObj>
          <w:docPartGallery w:val="Table of Contents"/>
          <w:docPartUnique/>
        </w:docPartObj>
      </w:sdtPr>
      <w:sdtEndPr>
        <w:rPr>
          <w:b/>
          <w:bCs/>
          <w:noProof/>
        </w:rPr>
      </w:sdtEndPr>
      <w:sdtContent>
        <w:p w14:paraId="6F362519" w14:textId="0845C788" w:rsidR="007521D6" w:rsidRPr="007521D6" w:rsidRDefault="007521D6" w:rsidP="007521D6">
          <w:pPr>
            <w:pStyle w:val="TOCHeading"/>
            <w:spacing w:line="480" w:lineRule="auto"/>
            <w:jc w:val="center"/>
            <w:rPr>
              <w:rFonts w:ascii="Times New Roman" w:hAnsi="Times New Roman" w:cs="Times New Roman"/>
              <w:color w:val="000000" w:themeColor="text1"/>
              <w:sz w:val="24"/>
              <w:szCs w:val="24"/>
            </w:rPr>
          </w:pPr>
          <w:r w:rsidRPr="007521D6">
            <w:rPr>
              <w:rFonts w:ascii="Times New Roman" w:hAnsi="Times New Roman" w:cs="Times New Roman"/>
              <w:color w:val="000000" w:themeColor="text1"/>
              <w:sz w:val="24"/>
              <w:szCs w:val="24"/>
            </w:rPr>
            <w:t>Table of Contents</w:t>
          </w:r>
        </w:p>
        <w:p w14:paraId="6809DA9A" w14:textId="1343384C" w:rsidR="007521D6" w:rsidRPr="007521D6" w:rsidRDefault="007521D6" w:rsidP="007521D6">
          <w:pPr>
            <w:pStyle w:val="TOC1"/>
            <w:tabs>
              <w:tab w:val="right" w:leader="dot" w:pos="9019"/>
            </w:tabs>
            <w:spacing w:line="480" w:lineRule="auto"/>
            <w:jc w:val="both"/>
            <w:rPr>
              <w:rFonts w:ascii="Times New Roman" w:hAnsi="Times New Roman" w:cs="Times New Roman"/>
              <w:noProof/>
              <w:color w:val="000000" w:themeColor="text1"/>
              <w:sz w:val="24"/>
              <w:szCs w:val="24"/>
            </w:rPr>
          </w:pPr>
          <w:r w:rsidRPr="007521D6">
            <w:rPr>
              <w:rFonts w:ascii="Times New Roman" w:hAnsi="Times New Roman" w:cs="Times New Roman"/>
              <w:color w:val="000000" w:themeColor="text1"/>
              <w:sz w:val="24"/>
              <w:szCs w:val="24"/>
            </w:rPr>
            <w:fldChar w:fldCharType="begin"/>
          </w:r>
          <w:r w:rsidRPr="007521D6">
            <w:rPr>
              <w:rFonts w:ascii="Times New Roman" w:hAnsi="Times New Roman" w:cs="Times New Roman"/>
              <w:color w:val="000000" w:themeColor="text1"/>
              <w:sz w:val="24"/>
              <w:szCs w:val="24"/>
            </w:rPr>
            <w:instrText xml:space="preserve"> TOC \o "1-3" \h \z \u </w:instrText>
          </w:r>
          <w:r w:rsidRPr="007521D6">
            <w:rPr>
              <w:rFonts w:ascii="Times New Roman" w:hAnsi="Times New Roman" w:cs="Times New Roman"/>
              <w:color w:val="000000" w:themeColor="text1"/>
              <w:sz w:val="24"/>
              <w:szCs w:val="24"/>
            </w:rPr>
            <w:fldChar w:fldCharType="separate"/>
          </w:r>
          <w:hyperlink w:anchor="_Toc222660428" w:history="1">
            <w:r w:rsidRPr="007521D6">
              <w:rPr>
                <w:rStyle w:val="Hyperlink"/>
                <w:rFonts w:ascii="Times New Roman" w:hAnsi="Times New Roman" w:cs="Times New Roman"/>
                <w:noProof/>
                <w:color w:val="000000" w:themeColor="text1"/>
                <w:sz w:val="24"/>
                <w:szCs w:val="24"/>
              </w:rPr>
              <w:t>Introduction</w:t>
            </w:r>
            <w:r w:rsidRPr="007521D6">
              <w:rPr>
                <w:rFonts w:ascii="Times New Roman" w:hAnsi="Times New Roman" w:cs="Times New Roman"/>
                <w:noProof/>
                <w:webHidden/>
                <w:color w:val="000000" w:themeColor="text1"/>
                <w:sz w:val="24"/>
                <w:szCs w:val="24"/>
              </w:rPr>
              <w:tab/>
            </w:r>
            <w:r w:rsidRPr="007521D6">
              <w:rPr>
                <w:rFonts w:ascii="Times New Roman" w:hAnsi="Times New Roman" w:cs="Times New Roman"/>
                <w:noProof/>
                <w:webHidden/>
                <w:color w:val="000000" w:themeColor="text1"/>
                <w:sz w:val="24"/>
                <w:szCs w:val="24"/>
              </w:rPr>
              <w:fldChar w:fldCharType="begin"/>
            </w:r>
            <w:r w:rsidRPr="007521D6">
              <w:rPr>
                <w:rFonts w:ascii="Times New Roman" w:hAnsi="Times New Roman" w:cs="Times New Roman"/>
                <w:noProof/>
                <w:webHidden/>
                <w:color w:val="000000" w:themeColor="text1"/>
                <w:sz w:val="24"/>
                <w:szCs w:val="24"/>
              </w:rPr>
              <w:instrText xml:space="preserve"> PAGEREF _Toc222660428 \h </w:instrText>
            </w:r>
            <w:r w:rsidRPr="007521D6">
              <w:rPr>
                <w:rFonts w:ascii="Times New Roman" w:hAnsi="Times New Roman" w:cs="Times New Roman"/>
                <w:noProof/>
                <w:webHidden/>
                <w:color w:val="000000" w:themeColor="text1"/>
                <w:sz w:val="24"/>
                <w:szCs w:val="24"/>
              </w:rPr>
            </w:r>
            <w:r w:rsidRPr="007521D6">
              <w:rPr>
                <w:rFonts w:ascii="Times New Roman" w:hAnsi="Times New Roman" w:cs="Times New Roman"/>
                <w:noProof/>
                <w:webHidden/>
                <w:color w:val="000000" w:themeColor="text1"/>
                <w:sz w:val="24"/>
                <w:szCs w:val="24"/>
              </w:rPr>
              <w:fldChar w:fldCharType="separate"/>
            </w:r>
            <w:r w:rsidRPr="007521D6">
              <w:rPr>
                <w:rFonts w:ascii="Times New Roman" w:hAnsi="Times New Roman" w:cs="Times New Roman"/>
                <w:noProof/>
                <w:webHidden/>
                <w:color w:val="000000" w:themeColor="text1"/>
                <w:sz w:val="24"/>
                <w:szCs w:val="24"/>
              </w:rPr>
              <w:t>2</w:t>
            </w:r>
            <w:r w:rsidRPr="007521D6">
              <w:rPr>
                <w:rFonts w:ascii="Times New Roman" w:hAnsi="Times New Roman" w:cs="Times New Roman"/>
                <w:noProof/>
                <w:webHidden/>
                <w:color w:val="000000" w:themeColor="text1"/>
                <w:sz w:val="24"/>
                <w:szCs w:val="24"/>
              </w:rPr>
              <w:fldChar w:fldCharType="end"/>
            </w:r>
          </w:hyperlink>
        </w:p>
        <w:p w14:paraId="5D14367C" w14:textId="0EDACAD9" w:rsidR="007521D6" w:rsidRPr="007521D6" w:rsidRDefault="007521D6" w:rsidP="007521D6">
          <w:pPr>
            <w:pStyle w:val="TOC1"/>
            <w:tabs>
              <w:tab w:val="right" w:leader="dot" w:pos="9019"/>
            </w:tabs>
            <w:spacing w:line="480" w:lineRule="auto"/>
            <w:jc w:val="both"/>
            <w:rPr>
              <w:rFonts w:ascii="Times New Roman" w:hAnsi="Times New Roman" w:cs="Times New Roman"/>
              <w:noProof/>
              <w:color w:val="000000" w:themeColor="text1"/>
              <w:sz w:val="24"/>
              <w:szCs w:val="24"/>
            </w:rPr>
          </w:pPr>
          <w:hyperlink w:anchor="_Toc222660429" w:history="1">
            <w:r w:rsidRPr="007521D6">
              <w:rPr>
                <w:rStyle w:val="Hyperlink"/>
                <w:rFonts w:ascii="Times New Roman" w:hAnsi="Times New Roman" w:cs="Times New Roman"/>
                <w:noProof/>
                <w:color w:val="000000" w:themeColor="text1"/>
                <w:sz w:val="24"/>
                <w:szCs w:val="24"/>
              </w:rPr>
              <w:t>Main Body</w:t>
            </w:r>
            <w:r w:rsidRPr="007521D6">
              <w:rPr>
                <w:rFonts w:ascii="Times New Roman" w:hAnsi="Times New Roman" w:cs="Times New Roman"/>
                <w:noProof/>
                <w:webHidden/>
                <w:color w:val="000000" w:themeColor="text1"/>
                <w:sz w:val="24"/>
                <w:szCs w:val="24"/>
              </w:rPr>
              <w:tab/>
            </w:r>
            <w:r w:rsidRPr="007521D6">
              <w:rPr>
                <w:rFonts w:ascii="Times New Roman" w:hAnsi="Times New Roman" w:cs="Times New Roman"/>
                <w:noProof/>
                <w:webHidden/>
                <w:color w:val="000000" w:themeColor="text1"/>
                <w:sz w:val="24"/>
                <w:szCs w:val="24"/>
              </w:rPr>
              <w:fldChar w:fldCharType="begin"/>
            </w:r>
            <w:r w:rsidRPr="007521D6">
              <w:rPr>
                <w:rFonts w:ascii="Times New Roman" w:hAnsi="Times New Roman" w:cs="Times New Roman"/>
                <w:noProof/>
                <w:webHidden/>
                <w:color w:val="000000" w:themeColor="text1"/>
                <w:sz w:val="24"/>
                <w:szCs w:val="24"/>
              </w:rPr>
              <w:instrText xml:space="preserve"> PAGEREF _Toc222660429 \h </w:instrText>
            </w:r>
            <w:r w:rsidRPr="007521D6">
              <w:rPr>
                <w:rFonts w:ascii="Times New Roman" w:hAnsi="Times New Roman" w:cs="Times New Roman"/>
                <w:noProof/>
                <w:webHidden/>
                <w:color w:val="000000" w:themeColor="text1"/>
                <w:sz w:val="24"/>
                <w:szCs w:val="24"/>
              </w:rPr>
            </w:r>
            <w:r w:rsidRPr="007521D6">
              <w:rPr>
                <w:rFonts w:ascii="Times New Roman" w:hAnsi="Times New Roman" w:cs="Times New Roman"/>
                <w:noProof/>
                <w:webHidden/>
                <w:color w:val="000000" w:themeColor="text1"/>
                <w:sz w:val="24"/>
                <w:szCs w:val="24"/>
              </w:rPr>
              <w:fldChar w:fldCharType="separate"/>
            </w:r>
            <w:r w:rsidRPr="007521D6">
              <w:rPr>
                <w:rFonts w:ascii="Times New Roman" w:hAnsi="Times New Roman" w:cs="Times New Roman"/>
                <w:noProof/>
                <w:webHidden/>
                <w:color w:val="000000" w:themeColor="text1"/>
                <w:sz w:val="24"/>
                <w:szCs w:val="24"/>
              </w:rPr>
              <w:t>2</w:t>
            </w:r>
            <w:r w:rsidRPr="007521D6">
              <w:rPr>
                <w:rFonts w:ascii="Times New Roman" w:hAnsi="Times New Roman" w:cs="Times New Roman"/>
                <w:noProof/>
                <w:webHidden/>
                <w:color w:val="000000" w:themeColor="text1"/>
                <w:sz w:val="24"/>
                <w:szCs w:val="24"/>
              </w:rPr>
              <w:fldChar w:fldCharType="end"/>
            </w:r>
          </w:hyperlink>
        </w:p>
        <w:p w14:paraId="6B7B2C81" w14:textId="18A3B028" w:rsidR="007521D6" w:rsidRPr="007521D6" w:rsidRDefault="007521D6" w:rsidP="007521D6">
          <w:pPr>
            <w:pStyle w:val="TOC2"/>
            <w:tabs>
              <w:tab w:val="right" w:leader="dot" w:pos="9019"/>
            </w:tabs>
            <w:spacing w:line="480" w:lineRule="auto"/>
            <w:jc w:val="both"/>
            <w:rPr>
              <w:rFonts w:ascii="Times New Roman" w:hAnsi="Times New Roman" w:cs="Times New Roman"/>
              <w:noProof/>
              <w:color w:val="000000" w:themeColor="text1"/>
              <w:sz w:val="24"/>
              <w:szCs w:val="24"/>
            </w:rPr>
          </w:pPr>
          <w:hyperlink w:anchor="_Toc222660430" w:history="1">
            <w:r w:rsidRPr="007521D6">
              <w:rPr>
                <w:rStyle w:val="Hyperlink"/>
                <w:rFonts w:ascii="Times New Roman" w:hAnsi="Times New Roman" w:cs="Times New Roman"/>
                <w:noProof/>
                <w:color w:val="000000" w:themeColor="text1"/>
                <w:sz w:val="24"/>
                <w:szCs w:val="24"/>
              </w:rPr>
              <w:t>1. Cultural Context of the UK and Japan</w:t>
            </w:r>
            <w:r w:rsidRPr="007521D6">
              <w:rPr>
                <w:rFonts w:ascii="Times New Roman" w:hAnsi="Times New Roman" w:cs="Times New Roman"/>
                <w:noProof/>
                <w:webHidden/>
                <w:color w:val="000000" w:themeColor="text1"/>
                <w:sz w:val="24"/>
                <w:szCs w:val="24"/>
              </w:rPr>
              <w:tab/>
            </w:r>
            <w:r w:rsidRPr="007521D6">
              <w:rPr>
                <w:rFonts w:ascii="Times New Roman" w:hAnsi="Times New Roman" w:cs="Times New Roman"/>
                <w:noProof/>
                <w:webHidden/>
                <w:color w:val="000000" w:themeColor="text1"/>
                <w:sz w:val="24"/>
                <w:szCs w:val="24"/>
              </w:rPr>
              <w:fldChar w:fldCharType="begin"/>
            </w:r>
            <w:r w:rsidRPr="007521D6">
              <w:rPr>
                <w:rFonts w:ascii="Times New Roman" w:hAnsi="Times New Roman" w:cs="Times New Roman"/>
                <w:noProof/>
                <w:webHidden/>
                <w:color w:val="000000" w:themeColor="text1"/>
                <w:sz w:val="24"/>
                <w:szCs w:val="24"/>
              </w:rPr>
              <w:instrText xml:space="preserve"> PAGEREF _Toc222660430 \h </w:instrText>
            </w:r>
            <w:r w:rsidRPr="007521D6">
              <w:rPr>
                <w:rFonts w:ascii="Times New Roman" w:hAnsi="Times New Roman" w:cs="Times New Roman"/>
                <w:noProof/>
                <w:webHidden/>
                <w:color w:val="000000" w:themeColor="text1"/>
                <w:sz w:val="24"/>
                <w:szCs w:val="24"/>
              </w:rPr>
            </w:r>
            <w:r w:rsidRPr="007521D6">
              <w:rPr>
                <w:rFonts w:ascii="Times New Roman" w:hAnsi="Times New Roman" w:cs="Times New Roman"/>
                <w:noProof/>
                <w:webHidden/>
                <w:color w:val="000000" w:themeColor="text1"/>
                <w:sz w:val="24"/>
                <w:szCs w:val="24"/>
              </w:rPr>
              <w:fldChar w:fldCharType="separate"/>
            </w:r>
            <w:r w:rsidRPr="007521D6">
              <w:rPr>
                <w:rFonts w:ascii="Times New Roman" w:hAnsi="Times New Roman" w:cs="Times New Roman"/>
                <w:noProof/>
                <w:webHidden/>
                <w:color w:val="000000" w:themeColor="text1"/>
                <w:sz w:val="24"/>
                <w:szCs w:val="24"/>
              </w:rPr>
              <w:t>2</w:t>
            </w:r>
            <w:r w:rsidRPr="007521D6">
              <w:rPr>
                <w:rFonts w:ascii="Times New Roman" w:hAnsi="Times New Roman" w:cs="Times New Roman"/>
                <w:noProof/>
                <w:webHidden/>
                <w:color w:val="000000" w:themeColor="text1"/>
                <w:sz w:val="24"/>
                <w:szCs w:val="24"/>
              </w:rPr>
              <w:fldChar w:fldCharType="end"/>
            </w:r>
          </w:hyperlink>
        </w:p>
        <w:p w14:paraId="6F673B8F" w14:textId="3B9E9708" w:rsidR="007521D6" w:rsidRPr="007521D6" w:rsidRDefault="007521D6" w:rsidP="007521D6">
          <w:pPr>
            <w:pStyle w:val="TOC2"/>
            <w:tabs>
              <w:tab w:val="right" w:leader="dot" w:pos="9019"/>
            </w:tabs>
            <w:spacing w:line="480" w:lineRule="auto"/>
            <w:jc w:val="both"/>
            <w:rPr>
              <w:rFonts w:ascii="Times New Roman" w:hAnsi="Times New Roman" w:cs="Times New Roman"/>
              <w:noProof/>
              <w:color w:val="000000" w:themeColor="text1"/>
              <w:sz w:val="24"/>
              <w:szCs w:val="24"/>
            </w:rPr>
          </w:pPr>
          <w:hyperlink w:anchor="_Toc222660431" w:history="1">
            <w:r w:rsidRPr="007521D6">
              <w:rPr>
                <w:rStyle w:val="Hyperlink"/>
                <w:rFonts w:ascii="Times New Roman" w:hAnsi="Times New Roman" w:cs="Times New Roman"/>
                <w:noProof/>
                <w:color w:val="000000" w:themeColor="text1"/>
                <w:sz w:val="24"/>
                <w:szCs w:val="24"/>
              </w:rPr>
              <w:t>2. Theoretical Framework: Intercultural Communication Theories</w:t>
            </w:r>
            <w:r w:rsidRPr="007521D6">
              <w:rPr>
                <w:rFonts w:ascii="Times New Roman" w:hAnsi="Times New Roman" w:cs="Times New Roman"/>
                <w:noProof/>
                <w:webHidden/>
                <w:color w:val="000000" w:themeColor="text1"/>
                <w:sz w:val="24"/>
                <w:szCs w:val="24"/>
              </w:rPr>
              <w:tab/>
            </w:r>
            <w:r w:rsidRPr="007521D6">
              <w:rPr>
                <w:rFonts w:ascii="Times New Roman" w:hAnsi="Times New Roman" w:cs="Times New Roman"/>
                <w:noProof/>
                <w:webHidden/>
                <w:color w:val="000000" w:themeColor="text1"/>
                <w:sz w:val="24"/>
                <w:szCs w:val="24"/>
              </w:rPr>
              <w:fldChar w:fldCharType="begin"/>
            </w:r>
            <w:r w:rsidRPr="007521D6">
              <w:rPr>
                <w:rFonts w:ascii="Times New Roman" w:hAnsi="Times New Roman" w:cs="Times New Roman"/>
                <w:noProof/>
                <w:webHidden/>
                <w:color w:val="000000" w:themeColor="text1"/>
                <w:sz w:val="24"/>
                <w:szCs w:val="24"/>
              </w:rPr>
              <w:instrText xml:space="preserve"> PAGEREF _Toc222660431 \h </w:instrText>
            </w:r>
            <w:r w:rsidRPr="007521D6">
              <w:rPr>
                <w:rFonts w:ascii="Times New Roman" w:hAnsi="Times New Roman" w:cs="Times New Roman"/>
                <w:noProof/>
                <w:webHidden/>
                <w:color w:val="000000" w:themeColor="text1"/>
                <w:sz w:val="24"/>
                <w:szCs w:val="24"/>
              </w:rPr>
            </w:r>
            <w:r w:rsidRPr="007521D6">
              <w:rPr>
                <w:rFonts w:ascii="Times New Roman" w:hAnsi="Times New Roman" w:cs="Times New Roman"/>
                <w:noProof/>
                <w:webHidden/>
                <w:color w:val="000000" w:themeColor="text1"/>
                <w:sz w:val="24"/>
                <w:szCs w:val="24"/>
              </w:rPr>
              <w:fldChar w:fldCharType="separate"/>
            </w:r>
            <w:r w:rsidRPr="007521D6">
              <w:rPr>
                <w:rFonts w:ascii="Times New Roman" w:hAnsi="Times New Roman" w:cs="Times New Roman"/>
                <w:noProof/>
                <w:webHidden/>
                <w:color w:val="000000" w:themeColor="text1"/>
                <w:sz w:val="24"/>
                <w:szCs w:val="24"/>
              </w:rPr>
              <w:t>3</w:t>
            </w:r>
            <w:r w:rsidRPr="007521D6">
              <w:rPr>
                <w:rFonts w:ascii="Times New Roman" w:hAnsi="Times New Roman" w:cs="Times New Roman"/>
                <w:noProof/>
                <w:webHidden/>
                <w:color w:val="000000" w:themeColor="text1"/>
                <w:sz w:val="24"/>
                <w:szCs w:val="24"/>
              </w:rPr>
              <w:fldChar w:fldCharType="end"/>
            </w:r>
          </w:hyperlink>
        </w:p>
        <w:p w14:paraId="6664CFF6" w14:textId="149DC9F5" w:rsidR="007521D6" w:rsidRPr="007521D6" w:rsidRDefault="007521D6" w:rsidP="007521D6">
          <w:pPr>
            <w:pStyle w:val="TOC2"/>
            <w:tabs>
              <w:tab w:val="right" w:leader="dot" w:pos="9019"/>
            </w:tabs>
            <w:spacing w:line="480" w:lineRule="auto"/>
            <w:jc w:val="both"/>
            <w:rPr>
              <w:rFonts w:ascii="Times New Roman" w:hAnsi="Times New Roman" w:cs="Times New Roman"/>
              <w:noProof/>
              <w:color w:val="000000" w:themeColor="text1"/>
              <w:sz w:val="24"/>
              <w:szCs w:val="24"/>
            </w:rPr>
          </w:pPr>
          <w:hyperlink w:anchor="_Toc222660432" w:history="1">
            <w:r w:rsidRPr="007521D6">
              <w:rPr>
                <w:rStyle w:val="Hyperlink"/>
                <w:rFonts w:ascii="Times New Roman" w:hAnsi="Times New Roman" w:cs="Times New Roman"/>
                <w:noProof/>
                <w:color w:val="000000" w:themeColor="text1"/>
                <w:sz w:val="24"/>
                <w:szCs w:val="24"/>
              </w:rPr>
              <w:t>3. Comparative Analysis: Communication Differences between British Telecommunications Group plc and Sony</w:t>
            </w:r>
            <w:r w:rsidRPr="007521D6">
              <w:rPr>
                <w:rFonts w:ascii="Times New Roman" w:hAnsi="Times New Roman" w:cs="Times New Roman"/>
                <w:noProof/>
                <w:webHidden/>
                <w:color w:val="000000" w:themeColor="text1"/>
                <w:sz w:val="24"/>
                <w:szCs w:val="24"/>
              </w:rPr>
              <w:tab/>
            </w:r>
            <w:r w:rsidRPr="007521D6">
              <w:rPr>
                <w:rFonts w:ascii="Times New Roman" w:hAnsi="Times New Roman" w:cs="Times New Roman"/>
                <w:noProof/>
                <w:webHidden/>
                <w:color w:val="000000" w:themeColor="text1"/>
                <w:sz w:val="24"/>
                <w:szCs w:val="24"/>
              </w:rPr>
              <w:fldChar w:fldCharType="begin"/>
            </w:r>
            <w:r w:rsidRPr="007521D6">
              <w:rPr>
                <w:rFonts w:ascii="Times New Roman" w:hAnsi="Times New Roman" w:cs="Times New Roman"/>
                <w:noProof/>
                <w:webHidden/>
                <w:color w:val="000000" w:themeColor="text1"/>
                <w:sz w:val="24"/>
                <w:szCs w:val="24"/>
              </w:rPr>
              <w:instrText xml:space="preserve"> PAGEREF _Toc222660432 \h </w:instrText>
            </w:r>
            <w:r w:rsidRPr="007521D6">
              <w:rPr>
                <w:rFonts w:ascii="Times New Roman" w:hAnsi="Times New Roman" w:cs="Times New Roman"/>
                <w:noProof/>
                <w:webHidden/>
                <w:color w:val="000000" w:themeColor="text1"/>
                <w:sz w:val="24"/>
                <w:szCs w:val="24"/>
              </w:rPr>
            </w:r>
            <w:r w:rsidRPr="007521D6">
              <w:rPr>
                <w:rFonts w:ascii="Times New Roman" w:hAnsi="Times New Roman" w:cs="Times New Roman"/>
                <w:noProof/>
                <w:webHidden/>
                <w:color w:val="000000" w:themeColor="text1"/>
                <w:sz w:val="24"/>
                <w:szCs w:val="24"/>
              </w:rPr>
              <w:fldChar w:fldCharType="separate"/>
            </w:r>
            <w:r w:rsidRPr="007521D6">
              <w:rPr>
                <w:rFonts w:ascii="Times New Roman" w:hAnsi="Times New Roman" w:cs="Times New Roman"/>
                <w:noProof/>
                <w:webHidden/>
                <w:color w:val="000000" w:themeColor="text1"/>
                <w:sz w:val="24"/>
                <w:szCs w:val="24"/>
              </w:rPr>
              <w:t>5</w:t>
            </w:r>
            <w:r w:rsidRPr="007521D6">
              <w:rPr>
                <w:rFonts w:ascii="Times New Roman" w:hAnsi="Times New Roman" w:cs="Times New Roman"/>
                <w:noProof/>
                <w:webHidden/>
                <w:color w:val="000000" w:themeColor="text1"/>
                <w:sz w:val="24"/>
                <w:szCs w:val="24"/>
              </w:rPr>
              <w:fldChar w:fldCharType="end"/>
            </w:r>
          </w:hyperlink>
        </w:p>
        <w:p w14:paraId="448B09AD" w14:textId="75CBD6B7" w:rsidR="007521D6" w:rsidRPr="007521D6" w:rsidRDefault="007521D6" w:rsidP="007521D6">
          <w:pPr>
            <w:pStyle w:val="TOC2"/>
            <w:tabs>
              <w:tab w:val="right" w:leader="dot" w:pos="9019"/>
            </w:tabs>
            <w:spacing w:line="480" w:lineRule="auto"/>
            <w:jc w:val="both"/>
            <w:rPr>
              <w:rFonts w:ascii="Times New Roman" w:hAnsi="Times New Roman" w:cs="Times New Roman"/>
              <w:noProof/>
              <w:color w:val="000000" w:themeColor="text1"/>
              <w:sz w:val="24"/>
              <w:szCs w:val="24"/>
            </w:rPr>
          </w:pPr>
          <w:hyperlink w:anchor="_Toc222660433" w:history="1">
            <w:r w:rsidRPr="007521D6">
              <w:rPr>
                <w:rStyle w:val="Hyperlink"/>
                <w:rFonts w:ascii="Times New Roman" w:hAnsi="Times New Roman" w:cs="Times New Roman"/>
                <w:noProof/>
                <w:color w:val="000000" w:themeColor="text1"/>
                <w:sz w:val="24"/>
                <w:szCs w:val="24"/>
              </w:rPr>
              <w:t>4. Potential Misunderstandings in a UK–Japan Collaboration</w:t>
            </w:r>
            <w:r w:rsidRPr="007521D6">
              <w:rPr>
                <w:rFonts w:ascii="Times New Roman" w:hAnsi="Times New Roman" w:cs="Times New Roman"/>
                <w:noProof/>
                <w:webHidden/>
                <w:color w:val="000000" w:themeColor="text1"/>
                <w:sz w:val="24"/>
                <w:szCs w:val="24"/>
              </w:rPr>
              <w:tab/>
            </w:r>
            <w:r w:rsidRPr="007521D6">
              <w:rPr>
                <w:rFonts w:ascii="Times New Roman" w:hAnsi="Times New Roman" w:cs="Times New Roman"/>
                <w:noProof/>
                <w:webHidden/>
                <w:color w:val="000000" w:themeColor="text1"/>
                <w:sz w:val="24"/>
                <w:szCs w:val="24"/>
              </w:rPr>
              <w:fldChar w:fldCharType="begin"/>
            </w:r>
            <w:r w:rsidRPr="007521D6">
              <w:rPr>
                <w:rFonts w:ascii="Times New Roman" w:hAnsi="Times New Roman" w:cs="Times New Roman"/>
                <w:noProof/>
                <w:webHidden/>
                <w:color w:val="000000" w:themeColor="text1"/>
                <w:sz w:val="24"/>
                <w:szCs w:val="24"/>
              </w:rPr>
              <w:instrText xml:space="preserve"> PAGEREF _Toc222660433 \h </w:instrText>
            </w:r>
            <w:r w:rsidRPr="007521D6">
              <w:rPr>
                <w:rFonts w:ascii="Times New Roman" w:hAnsi="Times New Roman" w:cs="Times New Roman"/>
                <w:noProof/>
                <w:webHidden/>
                <w:color w:val="000000" w:themeColor="text1"/>
                <w:sz w:val="24"/>
                <w:szCs w:val="24"/>
              </w:rPr>
            </w:r>
            <w:r w:rsidRPr="007521D6">
              <w:rPr>
                <w:rFonts w:ascii="Times New Roman" w:hAnsi="Times New Roman" w:cs="Times New Roman"/>
                <w:noProof/>
                <w:webHidden/>
                <w:color w:val="000000" w:themeColor="text1"/>
                <w:sz w:val="24"/>
                <w:szCs w:val="24"/>
              </w:rPr>
              <w:fldChar w:fldCharType="separate"/>
            </w:r>
            <w:r w:rsidRPr="007521D6">
              <w:rPr>
                <w:rFonts w:ascii="Times New Roman" w:hAnsi="Times New Roman" w:cs="Times New Roman"/>
                <w:noProof/>
                <w:webHidden/>
                <w:color w:val="000000" w:themeColor="text1"/>
                <w:sz w:val="24"/>
                <w:szCs w:val="24"/>
              </w:rPr>
              <w:t>7</w:t>
            </w:r>
            <w:r w:rsidRPr="007521D6">
              <w:rPr>
                <w:rFonts w:ascii="Times New Roman" w:hAnsi="Times New Roman" w:cs="Times New Roman"/>
                <w:noProof/>
                <w:webHidden/>
                <w:color w:val="000000" w:themeColor="text1"/>
                <w:sz w:val="24"/>
                <w:szCs w:val="24"/>
              </w:rPr>
              <w:fldChar w:fldCharType="end"/>
            </w:r>
          </w:hyperlink>
        </w:p>
        <w:p w14:paraId="24FF0E9C" w14:textId="1BA55BCF" w:rsidR="007521D6" w:rsidRPr="007521D6" w:rsidRDefault="007521D6" w:rsidP="007521D6">
          <w:pPr>
            <w:pStyle w:val="TOC2"/>
            <w:tabs>
              <w:tab w:val="right" w:leader="dot" w:pos="9019"/>
            </w:tabs>
            <w:spacing w:line="480" w:lineRule="auto"/>
            <w:jc w:val="both"/>
            <w:rPr>
              <w:rFonts w:ascii="Times New Roman" w:hAnsi="Times New Roman" w:cs="Times New Roman"/>
              <w:noProof/>
              <w:color w:val="000000" w:themeColor="text1"/>
              <w:sz w:val="24"/>
              <w:szCs w:val="24"/>
            </w:rPr>
          </w:pPr>
          <w:hyperlink w:anchor="_Toc222660434" w:history="1">
            <w:r w:rsidRPr="007521D6">
              <w:rPr>
                <w:rStyle w:val="Hyperlink"/>
                <w:rFonts w:ascii="Times New Roman" w:hAnsi="Times New Roman" w:cs="Times New Roman"/>
                <w:noProof/>
                <w:color w:val="000000" w:themeColor="text1"/>
                <w:sz w:val="24"/>
                <w:szCs w:val="24"/>
              </w:rPr>
              <w:t>5. Managerial Implications and Cultural Competency</w:t>
            </w:r>
            <w:r w:rsidRPr="007521D6">
              <w:rPr>
                <w:rFonts w:ascii="Times New Roman" w:hAnsi="Times New Roman" w:cs="Times New Roman"/>
                <w:noProof/>
                <w:webHidden/>
                <w:color w:val="000000" w:themeColor="text1"/>
                <w:sz w:val="24"/>
                <w:szCs w:val="24"/>
              </w:rPr>
              <w:tab/>
            </w:r>
            <w:r w:rsidRPr="007521D6">
              <w:rPr>
                <w:rFonts w:ascii="Times New Roman" w:hAnsi="Times New Roman" w:cs="Times New Roman"/>
                <w:noProof/>
                <w:webHidden/>
                <w:color w:val="000000" w:themeColor="text1"/>
                <w:sz w:val="24"/>
                <w:szCs w:val="24"/>
              </w:rPr>
              <w:fldChar w:fldCharType="begin"/>
            </w:r>
            <w:r w:rsidRPr="007521D6">
              <w:rPr>
                <w:rFonts w:ascii="Times New Roman" w:hAnsi="Times New Roman" w:cs="Times New Roman"/>
                <w:noProof/>
                <w:webHidden/>
                <w:color w:val="000000" w:themeColor="text1"/>
                <w:sz w:val="24"/>
                <w:szCs w:val="24"/>
              </w:rPr>
              <w:instrText xml:space="preserve"> PAGEREF _Toc222660434 \h </w:instrText>
            </w:r>
            <w:r w:rsidRPr="007521D6">
              <w:rPr>
                <w:rFonts w:ascii="Times New Roman" w:hAnsi="Times New Roman" w:cs="Times New Roman"/>
                <w:noProof/>
                <w:webHidden/>
                <w:color w:val="000000" w:themeColor="text1"/>
                <w:sz w:val="24"/>
                <w:szCs w:val="24"/>
              </w:rPr>
            </w:r>
            <w:r w:rsidRPr="007521D6">
              <w:rPr>
                <w:rFonts w:ascii="Times New Roman" w:hAnsi="Times New Roman" w:cs="Times New Roman"/>
                <w:noProof/>
                <w:webHidden/>
                <w:color w:val="000000" w:themeColor="text1"/>
                <w:sz w:val="24"/>
                <w:szCs w:val="24"/>
              </w:rPr>
              <w:fldChar w:fldCharType="separate"/>
            </w:r>
            <w:r w:rsidRPr="007521D6">
              <w:rPr>
                <w:rFonts w:ascii="Times New Roman" w:hAnsi="Times New Roman" w:cs="Times New Roman"/>
                <w:noProof/>
                <w:webHidden/>
                <w:color w:val="000000" w:themeColor="text1"/>
                <w:sz w:val="24"/>
                <w:szCs w:val="24"/>
              </w:rPr>
              <w:t>8</w:t>
            </w:r>
            <w:r w:rsidRPr="007521D6">
              <w:rPr>
                <w:rFonts w:ascii="Times New Roman" w:hAnsi="Times New Roman" w:cs="Times New Roman"/>
                <w:noProof/>
                <w:webHidden/>
                <w:color w:val="000000" w:themeColor="text1"/>
                <w:sz w:val="24"/>
                <w:szCs w:val="24"/>
              </w:rPr>
              <w:fldChar w:fldCharType="end"/>
            </w:r>
          </w:hyperlink>
        </w:p>
        <w:p w14:paraId="67E04B90" w14:textId="26841C33" w:rsidR="007521D6" w:rsidRPr="007521D6" w:rsidRDefault="007521D6" w:rsidP="007521D6">
          <w:pPr>
            <w:pStyle w:val="TOC1"/>
            <w:tabs>
              <w:tab w:val="right" w:leader="dot" w:pos="9019"/>
            </w:tabs>
            <w:spacing w:line="480" w:lineRule="auto"/>
            <w:jc w:val="both"/>
            <w:rPr>
              <w:rFonts w:ascii="Times New Roman" w:hAnsi="Times New Roman" w:cs="Times New Roman"/>
              <w:noProof/>
              <w:color w:val="000000" w:themeColor="text1"/>
              <w:sz w:val="24"/>
              <w:szCs w:val="24"/>
            </w:rPr>
          </w:pPr>
          <w:hyperlink w:anchor="_Toc222660435" w:history="1">
            <w:r w:rsidRPr="007521D6">
              <w:rPr>
                <w:rStyle w:val="Hyperlink"/>
                <w:rFonts w:ascii="Times New Roman" w:hAnsi="Times New Roman" w:cs="Times New Roman"/>
                <w:noProof/>
                <w:color w:val="000000" w:themeColor="text1"/>
                <w:sz w:val="24"/>
                <w:szCs w:val="24"/>
              </w:rPr>
              <w:t>Conclusion</w:t>
            </w:r>
            <w:r w:rsidRPr="007521D6">
              <w:rPr>
                <w:rFonts w:ascii="Times New Roman" w:hAnsi="Times New Roman" w:cs="Times New Roman"/>
                <w:noProof/>
                <w:webHidden/>
                <w:color w:val="000000" w:themeColor="text1"/>
                <w:sz w:val="24"/>
                <w:szCs w:val="24"/>
              </w:rPr>
              <w:tab/>
            </w:r>
            <w:r w:rsidRPr="007521D6">
              <w:rPr>
                <w:rFonts w:ascii="Times New Roman" w:hAnsi="Times New Roman" w:cs="Times New Roman"/>
                <w:noProof/>
                <w:webHidden/>
                <w:color w:val="000000" w:themeColor="text1"/>
                <w:sz w:val="24"/>
                <w:szCs w:val="24"/>
              </w:rPr>
              <w:fldChar w:fldCharType="begin"/>
            </w:r>
            <w:r w:rsidRPr="007521D6">
              <w:rPr>
                <w:rFonts w:ascii="Times New Roman" w:hAnsi="Times New Roman" w:cs="Times New Roman"/>
                <w:noProof/>
                <w:webHidden/>
                <w:color w:val="000000" w:themeColor="text1"/>
                <w:sz w:val="24"/>
                <w:szCs w:val="24"/>
              </w:rPr>
              <w:instrText xml:space="preserve"> PAGEREF _Toc222660435 \h </w:instrText>
            </w:r>
            <w:r w:rsidRPr="007521D6">
              <w:rPr>
                <w:rFonts w:ascii="Times New Roman" w:hAnsi="Times New Roman" w:cs="Times New Roman"/>
                <w:noProof/>
                <w:webHidden/>
                <w:color w:val="000000" w:themeColor="text1"/>
                <w:sz w:val="24"/>
                <w:szCs w:val="24"/>
              </w:rPr>
            </w:r>
            <w:r w:rsidRPr="007521D6">
              <w:rPr>
                <w:rFonts w:ascii="Times New Roman" w:hAnsi="Times New Roman" w:cs="Times New Roman"/>
                <w:noProof/>
                <w:webHidden/>
                <w:color w:val="000000" w:themeColor="text1"/>
                <w:sz w:val="24"/>
                <w:szCs w:val="24"/>
              </w:rPr>
              <w:fldChar w:fldCharType="separate"/>
            </w:r>
            <w:r w:rsidRPr="007521D6">
              <w:rPr>
                <w:rFonts w:ascii="Times New Roman" w:hAnsi="Times New Roman" w:cs="Times New Roman"/>
                <w:noProof/>
                <w:webHidden/>
                <w:color w:val="000000" w:themeColor="text1"/>
                <w:sz w:val="24"/>
                <w:szCs w:val="24"/>
              </w:rPr>
              <w:t>8</w:t>
            </w:r>
            <w:r w:rsidRPr="007521D6">
              <w:rPr>
                <w:rFonts w:ascii="Times New Roman" w:hAnsi="Times New Roman" w:cs="Times New Roman"/>
                <w:noProof/>
                <w:webHidden/>
                <w:color w:val="000000" w:themeColor="text1"/>
                <w:sz w:val="24"/>
                <w:szCs w:val="24"/>
              </w:rPr>
              <w:fldChar w:fldCharType="end"/>
            </w:r>
          </w:hyperlink>
        </w:p>
        <w:p w14:paraId="22BFCBCD" w14:textId="26368EDE" w:rsidR="007521D6" w:rsidRPr="007521D6" w:rsidRDefault="007521D6" w:rsidP="007521D6">
          <w:pPr>
            <w:pStyle w:val="TOC1"/>
            <w:tabs>
              <w:tab w:val="right" w:leader="dot" w:pos="9019"/>
            </w:tabs>
            <w:spacing w:line="480" w:lineRule="auto"/>
            <w:jc w:val="both"/>
            <w:rPr>
              <w:rFonts w:ascii="Times New Roman" w:hAnsi="Times New Roman" w:cs="Times New Roman"/>
              <w:noProof/>
              <w:color w:val="000000" w:themeColor="text1"/>
              <w:sz w:val="24"/>
              <w:szCs w:val="24"/>
            </w:rPr>
          </w:pPr>
          <w:hyperlink w:anchor="_Toc222660436" w:history="1">
            <w:r w:rsidRPr="007521D6">
              <w:rPr>
                <w:rStyle w:val="Hyperlink"/>
                <w:rFonts w:ascii="Times New Roman" w:hAnsi="Times New Roman" w:cs="Times New Roman"/>
                <w:noProof/>
                <w:color w:val="000000" w:themeColor="text1"/>
                <w:sz w:val="24"/>
                <w:szCs w:val="24"/>
              </w:rPr>
              <w:t>7. Reference</w:t>
            </w:r>
            <w:r w:rsidRPr="007521D6">
              <w:rPr>
                <w:rFonts w:ascii="Times New Roman" w:hAnsi="Times New Roman" w:cs="Times New Roman"/>
                <w:noProof/>
                <w:webHidden/>
                <w:color w:val="000000" w:themeColor="text1"/>
                <w:sz w:val="24"/>
                <w:szCs w:val="24"/>
              </w:rPr>
              <w:tab/>
            </w:r>
            <w:r w:rsidRPr="007521D6">
              <w:rPr>
                <w:rFonts w:ascii="Times New Roman" w:hAnsi="Times New Roman" w:cs="Times New Roman"/>
                <w:noProof/>
                <w:webHidden/>
                <w:color w:val="000000" w:themeColor="text1"/>
                <w:sz w:val="24"/>
                <w:szCs w:val="24"/>
              </w:rPr>
              <w:fldChar w:fldCharType="begin"/>
            </w:r>
            <w:r w:rsidRPr="007521D6">
              <w:rPr>
                <w:rFonts w:ascii="Times New Roman" w:hAnsi="Times New Roman" w:cs="Times New Roman"/>
                <w:noProof/>
                <w:webHidden/>
                <w:color w:val="000000" w:themeColor="text1"/>
                <w:sz w:val="24"/>
                <w:szCs w:val="24"/>
              </w:rPr>
              <w:instrText xml:space="preserve"> PAGEREF _Toc222660436 \h </w:instrText>
            </w:r>
            <w:r w:rsidRPr="007521D6">
              <w:rPr>
                <w:rFonts w:ascii="Times New Roman" w:hAnsi="Times New Roman" w:cs="Times New Roman"/>
                <w:noProof/>
                <w:webHidden/>
                <w:color w:val="000000" w:themeColor="text1"/>
                <w:sz w:val="24"/>
                <w:szCs w:val="24"/>
              </w:rPr>
            </w:r>
            <w:r w:rsidRPr="007521D6">
              <w:rPr>
                <w:rFonts w:ascii="Times New Roman" w:hAnsi="Times New Roman" w:cs="Times New Roman"/>
                <w:noProof/>
                <w:webHidden/>
                <w:color w:val="000000" w:themeColor="text1"/>
                <w:sz w:val="24"/>
                <w:szCs w:val="24"/>
              </w:rPr>
              <w:fldChar w:fldCharType="separate"/>
            </w:r>
            <w:r w:rsidRPr="007521D6">
              <w:rPr>
                <w:rFonts w:ascii="Times New Roman" w:hAnsi="Times New Roman" w:cs="Times New Roman"/>
                <w:noProof/>
                <w:webHidden/>
                <w:color w:val="000000" w:themeColor="text1"/>
                <w:sz w:val="24"/>
                <w:szCs w:val="24"/>
              </w:rPr>
              <w:t>10</w:t>
            </w:r>
            <w:r w:rsidRPr="007521D6">
              <w:rPr>
                <w:rFonts w:ascii="Times New Roman" w:hAnsi="Times New Roman" w:cs="Times New Roman"/>
                <w:noProof/>
                <w:webHidden/>
                <w:color w:val="000000" w:themeColor="text1"/>
                <w:sz w:val="24"/>
                <w:szCs w:val="24"/>
              </w:rPr>
              <w:fldChar w:fldCharType="end"/>
            </w:r>
          </w:hyperlink>
        </w:p>
        <w:p w14:paraId="0B3A33E2" w14:textId="161394F2" w:rsidR="007521D6" w:rsidRDefault="007521D6" w:rsidP="007521D6">
          <w:pPr>
            <w:spacing w:line="480" w:lineRule="auto"/>
            <w:jc w:val="both"/>
          </w:pPr>
          <w:r w:rsidRPr="007521D6">
            <w:rPr>
              <w:rFonts w:ascii="Times New Roman" w:hAnsi="Times New Roman" w:cs="Times New Roman"/>
              <w:b/>
              <w:bCs/>
              <w:noProof/>
              <w:color w:val="000000" w:themeColor="text1"/>
              <w:sz w:val="24"/>
              <w:szCs w:val="24"/>
            </w:rPr>
            <w:fldChar w:fldCharType="end"/>
          </w:r>
        </w:p>
      </w:sdtContent>
    </w:sdt>
    <w:p w14:paraId="086AC7B3" w14:textId="77777777" w:rsidR="007521D6" w:rsidRDefault="007521D6">
      <w:pPr>
        <w:rPr>
          <w:rFonts w:ascii="Times New Roman" w:eastAsia="Times New Roman" w:hAnsi="Times New Roman" w:cs="Times New Roman"/>
          <w:b/>
          <w:bCs/>
          <w:sz w:val="24"/>
          <w:szCs w:val="24"/>
        </w:rPr>
      </w:pPr>
      <w:r>
        <w:br w:type="page"/>
      </w:r>
    </w:p>
    <w:p w14:paraId="0000000C" w14:textId="540CC191" w:rsidR="004D1E3A" w:rsidRPr="007521D6" w:rsidRDefault="00000000" w:rsidP="007521D6">
      <w:pPr>
        <w:pStyle w:val="Heading1"/>
      </w:pPr>
      <w:bookmarkStart w:id="0" w:name="_Toc222660428"/>
      <w:r w:rsidRPr="007521D6">
        <w:lastRenderedPageBreak/>
        <w:t>Introduction</w:t>
      </w:r>
      <w:bookmarkEnd w:id="0"/>
    </w:p>
    <w:p w14:paraId="0000000D"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period of globalisation, real intercultural communication is vital for the achievement of international companies. Working in global teams has become ordinary during epidemics and remote work circumstances, where remote employees, foreign workplaces, and cultural openings are unavoidable (Sahadevan, 2021).  The variety of colleagues sometimes creates social walls that many are unaware of and cannot prepare for the situation. Language, typecasts, non-verbal cues, expressive expressions, anthropomorphism, anxiety, doubt, insights, and biases are among these imperceptible barriers (BT Group, 2024). Based on a case study, joint novelty plan between British Telecommunications Group plc and Sony Group Company studies the types, things, and boundaries of relational communication according to Hofstede and Edward T. Hall's social models (Sony, 2024). Thoughtful, diverse staff and handling them in effective intercultural communication is vital for multinational administrations, worker relations, staffing, income rates, business policies, acquisitions, advertising, stakeholder relations, and teamwork may be pretentious.</w:t>
      </w:r>
    </w:p>
    <w:p w14:paraId="0000000E" w14:textId="77777777" w:rsidR="004D1E3A" w:rsidRDefault="00000000" w:rsidP="007521D6">
      <w:pPr>
        <w:pStyle w:val="Heading1"/>
      </w:pPr>
      <w:bookmarkStart w:id="1" w:name="_Toc222660429"/>
      <w:r>
        <w:t>Main Body</w:t>
      </w:r>
      <w:bookmarkEnd w:id="1"/>
    </w:p>
    <w:p w14:paraId="0000000F" w14:textId="77777777" w:rsidR="004D1E3A" w:rsidRPr="007521D6" w:rsidRDefault="00000000" w:rsidP="007521D6">
      <w:pPr>
        <w:pStyle w:val="Heading2"/>
      </w:pPr>
      <w:bookmarkStart w:id="2" w:name="_Toc222660430"/>
      <w:r w:rsidRPr="007521D6">
        <w:t>1. Cultural Context of the UK and Japan</w:t>
      </w:r>
      <w:bookmarkEnd w:id="2"/>
      <w:r w:rsidRPr="007521D6">
        <w:t xml:space="preserve"> </w:t>
      </w:r>
    </w:p>
    <w:p w14:paraId="00000010"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corporate communication context is usually comparatively direct and frank. According to Edward T. Hall's small background model, values rely chiefly on clear verbal communications, with little dependence on situation or indications (Barnum, 2021). In Big background cultures, sense is conveyed through understood cues, signals, and internal dealings. In the UK, company specialists value clear, concise messages, especially in conferences and written statements. This direct method is often related to competence and clearness, which safeguards effectiveness in expert communication.</w:t>
      </w:r>
    </w:p>
    <w:p w14:paraId="00000011"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Geert Hofstede's Cultural Dimensions Model helps clarify the UK's message style. The UK scores big on individuality, which designates a stress on personal independence, duty, and creativity. This model is used to explain cultural changes across republics,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effects, and to survive occupational and diplomatic statements (Wale, 2025). As an outcome, employees are usually fortified to express their sentiments, challenge thoughts, and bring creativity. Executive processes are open, and separate contributions are documented and satisfied, ensuring a real and transparent specialized environment.</w:t>
      </w:r>
    </w:p>
    <w:p w14:paraId="00000012"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Edward T. Hall's philosophy based that is very important in smooth Japanese business conversation. Japanese communication is based on unintended and background related. In high-context philosophies, particularly in many Asian republics and some African republics, the stress is on relations and social promises, and sense is conveyed mainly through nonverbal cues, hushes, and situational settings. There is little use of clear verbal paths, which makes it challenging for unknowns to recognise (</w:t>
      </w:r>
      <w:proofErr w:type="spellStart"/>
      <w:r>
        <w:rPr>
          <w:rFonts w:ascii="Times New Roman" w:eastAsia="Times New Roman" w:hAnsi="Times New Roman" w:cs="Times New Roman"/>
          <w:sz w:val="24"/>
          <w:szCs w:val="24"/>
        </w:rPr>
        <w:t>Sheposh</w:t>
      </w:r>
      <w:proofErr w:type="spellEnd"/>
      <w:r>
        <w:rPr>
          <w:rFonts w:ascii="Times New Roman" w:eastAsia="Times New Roman" w:hAnsi="Times New Roman" w:cs="Times New Roman"/>
          <w:sz w:val="24"/>
          <w:szCs w:val="24"/>
        </w:rPr>
        <w:t>, 2025). Subtle vagueness, silence, and signals play an important role in upholding consistency and evading conflict, which attracts the changes in statement across social differences.</w:t>
      </w:r>
    </w:p>
    <w:p w14:paraId="00000013"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Geert Hofstede's model, Japan is a communist culture, where party agreement and loyalty take superiority over separate way. In a business setting, this encourages staff to adopt the collection's point of view and ignore open disagreement (Luo, 2024). Choices are typically made through an </w:t>
      </w:r>
      <w:proofErr w:type="gramStart"/>
      <w:r>
        <w:rPr>
          <w:rFonts w:ascii="Times New Roman" w:eastAsia="Times New Roman" w:hAnsi="Times New Roman" w:cs="Times New Roman"/>
          <w:sz w:val="24"/>
          <w:szCs w:val="24"/>
        </w:rPr>
        <w:t>agreement based</w:t>
      </w:r>
      <w:proofErr w:type="gramEnd"/>
      <w:r>
        <w:rPr>
          <w:rFonts w:ascii="Times New Roman" w:eastAsia="Times New Roman" w:hAnsi="Times New Roman" w:cs="Times New Roman"/>
          <w:sz w:val="24"/>
          <w:szCs w:val="24"/>
        </w:rPr>
        <w:t xml:space="preserve"> procedure, which may seem overwhelming, but safeguards team unity and longstanding commitment. Japan's sole culture, where custom and modernity live, has enriched painting, technology, and novelty. Intercultural communication improves this and endorses ground-breaking thinking and worldwide understanding.</w:t>
      </w:r>
    </w:p>
    <w:p w14:paraId="00000014"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Japan notches high on longstanding orientation, which is why the republic's corporate and structural atmosphere places countless rank on patience, planned rational, and sustained accomplishment, which stimulates lasting goals, careful planning, and faithfulness of results in executive and communication procedures; at the same period, Japan displays high power coldness according to Geert Hofstede's four social sizes (Sari, 2025), subsequent in a deep admiration for ladder and superiority across structural levels, conversation often movements from the top down, and assistants are uncertain to directly competition superiors, while official language, honorific titles, and procedure reinforce ranked relationships, subsequent in team unity, social influence, and careful, planned statement, shiny Japan's communist and cooperative cultural individuality.</w:t>
      </w:r>
    </w:p>
    <w:p w14:paraId="00000015" w14:textId="77777777" w:rsidR="004D1E3A" w:rsidRPr="007521D6" w:rsidRDefault="00000000" w:rsidP="007521D6">
      <w:pPr>
        <w:pStyle w:val="Heading2"/>
      </w:pPr>
      <w:bookmarkStart w:id="3" w:name="_Toc222660431"/>
      <w:r w:rsidRPr="007521D6">
        <w:t>2. Theoretical Framework: Intercultural Communication Theories</w:t>
      </w:r>
      <w:bookmarkEnd w:id="3"/>
      <w:r w:rsidRPr="007521D6">
        <w:t xml:space="preserve"> </w:t>
      </w:r>
    </w:p>
    <w:p w14:paraId="00000016" w14:textId="77777777" w:rsidR="004D1E3A" w:rsidRDefault="00000000">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Hofstede’s Cultural Dimensions</w:t>
      </w:r>
    </w:p>
    <w:p w14:paraId="00000017"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theory of cultural extents, industrialized by German-Canadian sociologist Geert Hofstede and their classmates, is beneficial for explaining alterations in work practices crossways republics (Greene, 2024). The theory was created in the 1980s with Hofstede's investigation on classmates at IBM offices. Originally, four sizes were included: control distance, uniqueness </w:t>
      </w:r>
      <w:r>
        <w:rPr>
          <w:rFonts w:ascii="Times New Roman" w:eastAsia="Times New Roman" w:hAnsi="Times New Roman" w:cs="Times New Roman"/>
          <w:sz w:val="24"/>
          <w:szCs w:val="24"/>
        </w:rPr>
        <w:lastRenderedPageBreak/>
        <w:t>versus communism, maleness versus femininity, and doubt avoidance. Later, lasting and temporary viewpoints were added in the 1980s with the assistance of Canadian psychologist Michael Harris Bond. In 2010, the Habits against Constraints measurement was added with the assistance of Bulgarian linguist Michael Minkov.</w:t>
      </w:r>
    </w:p>
    <w:p w14:paraId="00000018"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extents show how dissimilar countries differ in acceptance of parity, separate versus group aims, risk-taking, gender characters, time and upcoming planning, and satisfaction of life. The four sizes are chiefly relevant to the UK–Japan collaboration. Uniqueness versus communism is where the UK inspires individual attainment, while Japan highlights group consistency and loyalty (Vinney, 2024). The UK's low equal of power encourages open statements and flat constructions, while Japan's high level endorses admiration for expertise and reserve. Japan's long-term perspective attracts stability and planned preparation, while the UK symmetries short- to medium period results with future development. These changes have a direct influence on project aims, timelines, and communication styles.</w:t>
      </w:r>
    </w:p>
    <w:p w14:paraId="00000019" w14:textId="77777777" w:rsidR="004D1E3A" w:rsidRDefault="00000000">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High-Context vs Low-Context Communication (Hall)</w:t>
      </w:r>
    </w:p>
    <w:p w14:paraId="0000001A"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Edward T. Hall offers a difference between big method and small method communication values. In big method values, such as Japan, understood cues, knowledge, and nonverbal cues (facial languages, air, carriage) are more significant than verbal communications for sympathetic meaning (Barnum, 2021). Here, individual relationships are significant, and close groups are formed. In small method values, such as the UK, the meaning of a communication comes mainly from clear words. Communication is straight, specific, and duty-focused on company targets. Written documents, contracts, and directions are vital. Hall attributes that Asian nations are big method followers, while North American and northern European nations are small method followers. In the UK–Japan teamwork, this change can lead to different clarifications of opinions or reactions, which can lead to accidental misunderstandings.</w:t>
      </w:r>
    </w:p>
    <w:p w14:paraId="0000001B" w14:textId="77777777" w:rsidR="004D1E3A" w:rsidRDefault="00000000">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Critical Evaluation of the Theories</w:t>
      </w:r>
    </w:p>
    <w:p w14:paraId="0000001D"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theoretical frameworks are valuable because they deliver a systematic model for comparing national values and for forestalling potential tests in communication (Badke, 2012). They assist administrators in knowing patterns of performance, understanding original standards, and designing socially sensitive plans. In international collaborations, such models increase social consciousness and reduce moulds based on civilisation. For example, the </w:t>
      </w:r>
      <w:r>
        <w:rPr>
          <w:rFonts w:ascii="Times New Roman" w:eastAsia="Times New Roman" w:hAnsi="Times New Roman" w:cs="Times New Roman"/>
          <w:sz w:val="24"/>
          <w:szCs w:val="24"/>
        </w:rPr>
        <w:lastRenderedPageBreak/>
        <w:t>frameworks of Geert Hofstede and Stuart Hall are valuable for studying behaviour across republics, backgrounds, time, and residence (</w:t>
      </w:r>
      <w:proofErr w:type="spellStart"/>
      <w:r>
        <w:rPr>
          <w:rFonts w:ascii="Times New Roman" w:eastAsia="Times New Roman" w:hAnsi="Times New Roman" w:cs="Times New Roman"/>
          <w:sz w:val="24"/>
          <w:szCs w:val="24"/>
        </w:rPr>
        <w:t>Soğancılar</w:t>
      </w:r>
      <w:proofErr w:type="spellEnd"/>
      <w:r>
        <w:rPr>
          <w:rFonts w:ascii="Times New Roman" w:eastAsia="Times New Roman" w:hAnsi="Times New Roman" w:cs="Times New Roman"/>
          <w:sz w:val="24"/>
          <w:szCs w:val="24"/>
        </w:rPr>
        <w:t>, 2025).</w:t>
      </w:r>
    </w:p>
    <w:p w14:paraId="0000001E"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there are also vital limitations. First, Hofstede's framework has been disapproved for oversimplifying national cultures and presuming social homogeneity within republics. Modern civilisations are increasingly varied, and administrative cultures can differ importantly from nationwide norms. Second, Hofstede's information is very old, which increases queries about its present significance. Similarly, Hall's idea of high and low settings can overgeneralize complex statement performances through based communication each other’s country’s UK and Japan (BT Plc, 2023) In today's globalised corporate environment, many specialists have global experience and work in hybrid structural cultures, such as BT Group plc and Sony, which unstiffen national changes. Therefore, while these models are valued analytical gears, they should be used in combination with contextual administrative analysis, not as definitive descriptions.</w:t>
      </w:r>
    </w:p>
    <w:p w14:paraId="0000001F" w14:textId="77777777" w:rsidR="004D1E3A" w:rsidRDefault="00000000" w:rsidP="007521D6">
      <w:pPr>
        <w:pStyle w:val="Heading2"/>
      </w:pPr>
      <w:bookmarkStart w:id="4" w:name="_Toc222660432"/>
      <w:r w:rsidRPr="007521D6">
        <w:t>3. Comparative Analysis: Communication Differences between British</w:t>
      </w:r>
      <w:r>
        <w:t xml:space="preserve"> Telecommunications Group plc and Sony</w:t>
      </w:r>
      <w:bookmarkEnd w:id="4"/>
      <w:r>
        <w:t xml:space="preserve"> </w:t>
      </w:r>
    </w:p>
    <w:p w14:paraId="00000020"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segment critically examines potential communication changes between British Telecommunications Group plc and Sony within a combined innovation plan. Drawing upon Hofstede’s Social Sizes and Hall’s High- and Low Background Philosophy, the conversation follows a planned method: philosophy, application (BT Group PLC, 2025), instance, analysis, and insinuation. BT’s influence on the United Kingdom cannot be exaggerated: our Monetary Impact Report displays an uncultured price add of £22.8bn in FY24, with the </w:t>
      </w:r>
      <w:proofErr w:type="gramStart"/>
      <w:r>
        <w:rPr>
          <w:rFonts w:ascii="Times New Roman" w:eastAsia="Times New Roman" w:hAnsi="Times New Roman" w:cs="Times New Roman"/>
          <w:sz w:val="24"/>
          <w:szCs w:val="24"/>
        </w:rPr>
        <w:t>full strength</w:t>
      </w:r>
      <w:proofErr w:type="gramEnd"/>
      <w:r>
        <w:rPr>
          <w:rFonts w:ascii="Times New Roman" w:eastAsia="Times New Roman" w:hAnsi="Times New Roman" w:cs="Times New Roman"/>
          <w:sz w:val="24"/>
          <w:szCs w:val="24"/>
        </w:rPr>
        <w:t xml:space="preserve"> system predictable to boost UK output by £72bn by 2030. These statistics highlight BT’s dominant role in nationwide prosperity, accenting the strategic rank of effective multiethnic communication.</w:t>
      </w:r>
    </w:p>
    <w:p w14:paraId="00000021" w14:textId="77777777" w:rsidR="004D1E3A" w:rsidRDefault="00000000">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Direct vs Indirect Communication</w:t>
      </w:r>
    </w:p>
    <w:p w14:paraId="00000022"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Edward T. Hall, the UK reproduces a low-context philosophy valuing clear, direct communication, while Japan signifies a high-context ethos where import is often understood in context. In a partnership between British Telecommunications Group plc and Sony, British bosses may speak anxieties openly, while Japanese complements signal disagreement circuitously to preserve harmony (Broeder, 2021). A study of 774 topics across Dutch, Greek, and Japanese social groups bears clear changes in statement styles, count non-verbal cues, </w:t>
      </w:r>
      <w:r>
        <w:rPr>
          <w:rFonts w:ascii="Times New Roman" w:eastAsia="Times New Roman" w:hAnsi="Times New Roman" w:cs="Times New Roman"/>
          <w:sz w:val="24"/>
          <w:szCs w:val="24"/>
        </w:rPr>
        <w:lastRenderedPageBreak/>
        <w:t>pointer signs, and indirectness. BT’s FY24 uncivilized value add of £22.8bn and probable £72bn output boost by 2030 highpoint the rank of descriptive decisions to fortify cross-cultural support.</w:t>
      </w:r>
    </w:p>
    <w:p w14:paraId="00000023" w14:textId="77777777" w:rsidR="004D1E3A" w:rsidRDefault="00000000">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Decision-Making and Hierarchy</w:t>
      </w:r>
    </w:p>
    <w:p w14:paraId="00000024"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Geert Hofstede, alterations in Power Distance and Communism shape organisational ladder and executive. The UK, with comparatively low control distance, favours participative, swift choices, while Japan, with higher control distance and communism, emphasises graded and consensus-based procedures (Bessey, 2023). In teamwork between British Telecommunications Group plc and Sony, British bosses may expect quick contract, whereas Japanese complements seek wider discussion and senior endorsement. BT’s FY24 uncultured worth add of £22.8bn and predictable £72bn output boost by 2030 highlight the rank of organised timelines that admiration consultation procedures, complementary efficiency with alignment and longstanding commitment.</w:t>
      </w:r>
    </w:p>
    <w:p w14:paraId="00000025" w14:textId="77777777" w:rsidR="004D1E3A" w:rsidRDefault="00000000">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Feedback and Conflict Management</w:t>
      </w:r>
    </w:p>
    <w:p w14:paraId="00000026"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Drawing on Geert Hofstede and Edward T. Hall, uniqueness and low-context standards inspire direct reaction, while communism and high-context communication use indirect tactics (Spencer-Oatey, 2025). In teamwork between BT Group plc and Sony, British administrators may speak amicably to endorse quick determination, whereas Japanese administrators provide responses privately to preserve agreement and avoid damage to face. Misunderstandings can occur if honesty seems harsh and indirectness elusive. BT’s FY24 gross worth add of £22.8bn and expected £72bn output boost by 2030 underscore the rank of blending clear leadership with secluded discussion to foster admiration, clarity, and sturdier cross-cultural working relations (</w:t>
      </w:r>
      <w:proofErr w:type="gramStart"/>
      <w:r>
        <w:rPr>
          <w:rFonts w:ascii="Times New Roman" w:eastAsia="Times New Roman" w:hAnsi="Times New Roman" w:cs="Times New Roman"/>
          <w:sz w:val="24"/>
          <w:szCs w:val="24"/>
        </w:rPr>
        <w:t>Romani,  2018</w:t>
      </w:r>
      <w:proofErr w:type="gramEnd"/>
      <w:r>
        <w:rPr>
          <w:rFonts w:ascii="Times New Roman" w:eastAsia="Times New Roman" w:hAnsi="Times New Roman" w:cs="Times New Roman"/>
          <w:sz w:val="24"/>
          <w:szCs w:val="24"/>
        </w:rPr>
        <w:t>).</w:t>
      </w:r>
    </w:p>
    <w:p w14:paraId="00000027" w14:textId="77777777" w:rsidR="004D1E3A" w:rsidRDefault="00000000">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Use of Silence and Non-verbal Communication</w:t>
      </w:r>
    </w:p>
    <w:p w14:paraId="00000028"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Edward T. Hall, high-context philosophies rely deeply on non-verbal signals, whereas low-context philosophies highlight explicit vocal look. In a teamwork between British Telecommunications Group plc and Sony, Japanese legislatures can use stillness to convey subtle unresolved divergences (</w:t>
      </w:r>
      <w:proofErr w:type="spellStart"/>
      <w:r>
        <w:rPr>
          <w:rFonts w:ascii="Times New Roman" w:eastAsia="Times New Roman" w:hAnsi="Times New Roman" w:cs="Times New Roman"/>
          <w:sz w:val="24"/>
          <w:szCs w:val="24"/>
        </w:rPr>
        <w:t>Baltezarević</w:t>
      </w:r>
      <w:proofErr w:type="spellEnd"/>
      <w:r>
        <w:rPr>
          <w:rFonts w:ascii="Times New Roman" w:eastAsia="Times New Roman" w:hAnsi="Times New Roman" w:cs="Times New Roman"/>
          <w:sz w:val="24"/>
          <w:szCs w:val="24"/>
        </w:rPr>
        <w:t xml:space="preserve">, 2022), while British contemporaries may misconstrue it as indecision or contract. BT's total financial influence of £22.8bn in FY24 and the probable £72bn output gains from a full fibre system by 2030 suggest that admitting silence </w:t>
      </w:r>
      <w:r>
        <w:rPr>
          <w:rFonts w:ascii="Times New Roman" w:eastAsia="Times New Roman" w:hAnsi="Times New Roman" w:cs="Times New Roman"/>
          <w:sz w:val="24"/>
          <w:szCs w:val="24"/>
        </w:rPr>
        <w:lastRenderedPageBreak/>
        <w:t>in an expressive way, allowing time for likeness and ensuring that sentiments are clearly spoken are obliging in ensuring culturally subtle, balanced communication.</w:t>
      </w:r>
    </w:p>
    <w:p w14:paraId="00000029" w14:textId="77777777" w:rsidR="004D1E3A" w:rsidRPr="007521D6" w:rsidRDefault="00000000" w:rsidP="007521D6">
      <w:pPr>
        <w:pStyle w:val="Heading2"/>
      </w:pPr>
      <w:bookmarkStart w:id="5" w:name="_Toc222660433"/>
      <w:r w:rsidRPr="007521D6">
        <w:t>4. Potential Misunderstandings in a UK–Japan Collaboration</w:t>
      </w:r>
      <w:bookmarkEnd w:id="5"/>
      <w:r w:rsidRPr="007521D6">
        <w:t xml:space="preserve"> </w:t>
      </w:r>
    </w:p>
    <w:p w14:paraId="0000002A"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Cross-cultural changes between sides in the UK and Japan can make practical misunderstandings in combined developments between British Telecommunications Group plc and Sony Group Business, chiefly in daily commercial practices. Assembly styles demonstrate an important stiffness point (Huggins, 2023). UK sessions tend to be rapidly altering and controversial pathways, aiming for instant deductions. In difference, Japanese conferences often rank alignment and data sharing, with differences spoken privately. Thus, British administrators may observe discussions as irresolute, while Japanese foils may view direct tests as argumentative, possibly weakening trust if prospects remain indistinct. Circumnavigating these changes effectively requires expressive confidence. The skill to classify, label, and comprehend one’s own feelings is important to handling interactions and interacting efficiently across values. Defining and measuring emotional self-awareness, however, is multifaceted. Many constructs have arisen in the works, each with faintly different meanings and approaches. For this study, they receive ‘demonstrative self-awareness’ as an umbrella term surrounding these concepts, including expressive differentiation, the volume to differentiate between sentiments. By combining consciousness of cultural conference norms with expressive self-awareness, sides can better understand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decrease miscommunication, and stand-in trust, eventually improving collaborative results in international projects.</w:t>
      </w:r>
    </w:p>
    <w:p w14:paraId="0000002B"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speed of executive in Japan can often lead to resistance. In Japanese governments, the organization process needs hierarchical discussion, which strengthens pledge, but may seem slow to British sides familiar with rapid decision-making. In a modest marketplace, this slowness can put weight on limits and ascendency structures. Raise in Japan is often based on knowledge and age rather than productivity (Koda, 2025). Younger staff are fortified to gain experience uncomplainingly, which fortifies the belief that information and skills produce gradually. Attitudes to risk-taking also vary; Japanese sides focus on detailed development and risk extenuation, whereas British sides value research and suppleness. In Japan, errands are divided among many members, with both achievement and failure seen as team consequences. These differences are combined by verbal and nonverbal mistakes of silence, which upsurge the need for organised communication and multicultural consciousness.</w:t>
      </w:r>
    </w:p>
    <w:p w14:paraId="0000002C" w14:textId="77777777" w:rsidR="004D1E3A" w:rsidRPr="007521D6" w:rsidRDefault="00000000" w:rsidP="007521D6">
      <w:pPr>
        <w:pStyle w:val="Heading2"/>
      </w:pPr>
      <w:bookmarkStart w:id="6" w:name="_Toc222660434"/>
      <w:r w:rsidRPr="007521D6">
        <w:lastRenderedPageBreak/>
        <w:t>5. Managerial Implications and Cultural Competency</w:t>
      </w:r>
      <w:bookmarkEnd w:id="6"/>
      <w:r w:rsidRPr="007521D6">
        <w:t xml:space="preserve"> </w:t>
      </w:r>
    </w:p>
    <w:p w14:paraId="0000002D"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changes in partnerships between the UK and Japan prove that managerial effectiveness is contingent on cultural capability as much as practical knowhow. Globalisation, surrounding development in global skill, cross-border drive of funds, and the transmission of human talent and skills (Lin, 2024), has augmented the number of governments with commercial interests in manifold countries. In industries such as that between BT Group plc and Sony Group Business, management must adapt without </w:t>
      </w:r>
      <w:proofErr w:type="spellStart"/>
      <w:r>
        <w:rPr>
          <w:rFonts w:ascii="Times New Roman" w:eastAsia="Times New Roman" w:hAnsi="Times New Roman" w:cs="Times New Roman"/>
          <w:sz w:val="24"/>
          <w:szCs w:val="24"/>
        </w:rPr>
        <w:t>favoring</w:t>
      </w:r>
      <w:proofErr w:type="spellEnd"/>
      <w:r>
        <w:rPr>
          <w:rFonts w:ascii="Times New Roman" w:eastAsia="Times New Roman" w:hAnsi="Times New Roman" w:cs="Times New Roman"/>
          <w:sz w:val="24"/>
          <w:szCs w:val="24"/>
        </w:rPr>
        <w:t xml:space="preserve"> one cultural framework. Cultural training should go beyond superficial protocol to grow critical consciousness of model future by Geert Hofstede and Edward T. Hall, such as uniqueness, communism and high–low setting conversation. A case study investigative a partnership between </w:t>
      </w:r>
      <w:proofErr w:type="spellStart"/>
      <w:r>
        <w:rPr>
          <w:rFonts w:ascii="Times New Roman" w:eastAsia="Times New Roman" w:hAnsi="Times New Roman" w:cs="Times New Roman"/>
          <w:sz w:val="24"/>
          <w:szCs w:val="24"/>
        </w:rPr>
        <w:t>TechInnovate</w:t>
      </w:r>
      <w:proofErr w:type="spellEnd"/>
      <w:r>
        <w:rPr>
          <w:rFonts w:ascii="Times New Roman" w:eastAsia="Times New Roman" w:hAnsi="Times New Roman" w:cs="Times New Roman"/>
          <w:sz w:val="24"/>
          <w:szCs w:val="24"/>
        </w:rPr>
        <w:t xml:space="preserve"> and Nip-</w:t>
      </w:r>
      <w:proofErr w:type="spellStart"/>
      <w:r>
        <w:rPr>
          <w:rFonts w:ascii="Times New Roman" w:eastAsia="Times New Roman" w:hAnsi="Times New Roman" w:cs="Times New Roman"/>
          <w:sz w:val="24"/>
          <w:szCs w:val="24"/>
        </w:rPr>
        <w:t>ponElectro</w:t>
      </w:r>
      <w:proofErr w:type="spellEnd"/>
      <w:r>
        <w:rPr>
          <w:rFonts w:ascii="Times New Roman" w:eastAsia="Times New Roman" w:hAnsi="Times New Roman" w:cs="Times New Roman"/>
          <w:sz w:val="24"/>
          <w:szCs w:val="24"/>
        </w:rPr>
        <w:t xml:space="preserve"> demonstrates how cultural sizes obvious in practice and the policies used to overwhelmed communication walls, enabling executives to interpret conduct structurally rather than in my opinion.</w:t>
      </w:r>
    </w:p>
    <w:p w14:paraId="0000002F" w14:textId="54D0FC6D"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organised advice, can house a variety of outlooks. Management is a dynamic and embryonic punishment. To be fruitful in today’s fast-changing worldwide situation, leaders must comprehend both old-style and current management structures and achieve the efficacy of their squads (</w:t>
      </w:r>
      <w:proofErr w:type="spellStart"/>
      <w:r>
        <w:rPr>
          <w:rFonts w:ascii="Times New Roman" w:eastAsia="Times New Roman" w:hAnsi="Times New Roman" w:cs="Times New Roman"/>
          <w:sz w:val="24"/>
          <w:szCs w:val="24"/>
        </w:rPr>
        <w:t>Esmt</w:t>
      </w:r>
      <w:proofErr w:type="spellEnd"/>
      <w:r>
        <w:rPr>
          <w:rFonts w:ascii="Times New Roman" w:eastAsia="Times New Roman" w:hAnsi="Times New Roman" w:cs="Times New Roman"/>
          <w:sz w:val="24"/>
          <w:szCs w:val="24"/>
        </w:rPr>
        <w:t>. Berlin, 2025). The enquiry is, is control simply modern and traditional? Both are significant, and a stable mix often yields better consequences. Fruitful leadership styles often income a hybrid form, moulded by nature, context, inner team undercurrents, and other influences. Clear certification combined with relaxed pre-meeting organisation bonds communication holes. Ultimately, structured trust is dominant. An equilibrium of work services and association development helps ethnically diverse teams make stable structures for longstanding teamwork.</w:t>
      </w:r>
    </w:p>
    <w:p w14:paraId="00000030" w14:textId="77777777" w:rsidR="004D1E3A" w:rsidRDefault="00000000" w:rsidP="007521D6">
      <w:pPr>
        <w:pStyle w:val="Heading1"/>
      </w:pPr>
      <w:bookmarkStart w:id="7" w:name="_Toc222660435"/>
      <w:r>
        <w:t>Conclusion</w:t>
      </w:r>
      <w:bookmarkEnd w:id="7"/>
    </w:p>
    <w:p w14:paraId="00000031" w14:textId="77777777" w:rsidR="004D1E3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examination presented that cross-cultural communication occupies an important role in the achievement of collaborative revolution between British Telecommunications Group plc and Sony Group businesses. The study reproduced that important cultural changes existed between the low-context, unusual and comparatively low-power setting of the UK and the high-context, communist and hierarchical assembly of Japan. These changes affected the communication frame, executive processes, response approaches and the interpretation of stillness and non-verbal signals. Based on a case study, joint novelty </w:t>
      </w:r>
      <w:r>
        <w:rPr>
          <w:rFonts w:ascii="Times New Roman" w:eastAsia="Times New Roman" w:hAnsi="Times New Roman" w:cs="Times New Roman"/>
          <w:sz w:val="24"/>
          <w:szCs w:val="24"/>
        </w:rPr>
        <w:lastRenderedPageBreak/>
        <w:t>plan between British Telecommunications Group plc and Sony Group Company studies the types, things, and boundaries of relational communication according to Hofstede and Edward T. Hall's social models (Sony, 2024).  Hofstede’s cultural sizes and Hall’s high- and low-context philosophies provided a valuable model for sympathetic these differences. The examination showed that social competence in management, structured communication plans, and emotional self-awareness assisted in bridging these holes. Furthermore, a real cross-cultural organisation strengthened teamwork (Earley, 2003), augmented mutual trust, and reinforced long-term maintainable performance in an international business setting. In today’s worldwide village, this vision is making our everyday diverse communication more creative and deferential.</w:t>
      </w:r>
    </w:p>
    <w:p w14:paraId="00000032" w14:textId="77777777" w:rsidR="004D1E3A" w:rsidRDefault="00000000">
      <w:pPr>
        <w:spacing w:before="240" w:after="240" w:line="360" w:lineRule="auto"/>
        <w:jc w:val="both"/>
        <w:rPr>
          <w:rFonts w:ascii="Times New Roman" w:eastAsia="Times New Roman" w:hAnsi="Times New Roman" w:cs="Times New Roman"/>
          <w:sz w:val="24"/>
          <w:szCs w:val="24"/>
        </w:rPr>
      </w:pPr>
      <w:r>
        <w:br w:type="page"/>
      </w:r>
    </w:p>
    <w:p w14:paraId="00000033" w14:textId="77777777" w:rsidR="004D1E3A" w:rsidRDefault="00000000" w:rsidP="007521D6">
      <w:pPr>
        <w:pStyle w:val="Heading1"/>
      </w:pPr>
      <w:bookmarkStart w:id="8" w:name="_Toc222660436"/>
      <w:r>
        <w:lastRenderedPageBreak/>
        <w:t>7. Reference</w:t>
      </w:r>
      <w:bookmarkEnd w:id="8"/>
    </w:p>
    <w:p w14:paraId="02F591D2"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Badke, W.B. (2012). Defining research processes. Elsevier eBooks, [online] pp.1–24.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://doi.org/10.1016/b978-1-84334-674-6.50001-5</w:t>
      </w:r>
      <w:proofErr w:type="gramEnd"/>
      <w:r>
        <w:rPr>
          <w:rFonts w:ascii="Times New Roman" w:eastAsia="Times New Roman" w:hAnsi="Times New Roman" w:cs="Times New Roman"/>
          <w:sz w:val="24"/>
          <w:szCs w:val="24"/>
        </w:rPr>
        <w:t>.</w:t>
      </w:r>
    </w:p>
    <w:p w14:paraId="21E7C7FC" w14:textId="77777777" w:rsidR="00F65C58" w:rsidRDefault="00F65C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Baltezarević</w:t>
      </w:r>
      <w:proofErr w:type="spellEnd"/>
      <w:r>
        <w:rPr>
          <w:rFonts w:ascii="Times New Roman" w:eastAsia="Times New Roman" w:hAnsi="Times New Roman" w:cs="Times New Roman"/>
          <w:sz w:val="24"/>
          <w:szCs w:val="24"/>
        </w:rPr>
        <w:t xml:space="preserve">, R.V., Kwiatek, P.B., </w:t>
      </w:r>
      <w:proofErr w:type="spellStart"/>
      <w:r>
        <w:rPr>
          <w:rFonts w:ascii="Times New Roman" w:eastAsia="Times New Roman" w:hAnsi="Times New Roman" w:cs="Times New Roman"/>
          <w:sz w:val="24"/>
          <w:szCs w:val="24"/>
        </w:rPr>
        <w:t>Baltezarević</w:t>
      </w:r>
      <w:proofErr w:type="spellEnd"/>
      <w:r>
        <w:rPr>
          <w:rFonts w:ascii="Times New Roman" w:eastAsia="Times New Roman" w:hAnsi="Times New Roman" w:cs="Times New Roman"/>
          <w:sz w:val="24"/>
          <w:szCs w:val="24"/>
        </w:rPr>
        <w:t xml:space="preserve">, B.V. and </w:t>
      </w:r>
      <w:proofErr w:type="spellStart"/>
      <w:r>
        <w:rPr>
          <w:rFonts w:ascii="Times New Roman" w:eastAsia="Times New Roman" w:hAnsi="Times New Roman" w:cs="Times New Roman"/>
          <w:sz w:val="24"/>
          <w:szCs w:val="24"/>
        </w:rPr>
        <w:t>Baltezarević</w:t>
      </w:r>
      <w:proofErr w:type="spellEnd"/>
      <w:r>
        <w:rPr>
          <w:rFonts w:ascii="Times New Roman" w:eastAsia="Times New Roman" w:hAnsi="Times New Roman" w:cs="Times New Roman"/>
          <w:sz w:val="24"/>
          <w:szCs w:val="24"/>
        </w:rPr>
        <w:t xml:space="preserve">, V.N. (2022). THE MEANING OF SILENCE IN PERSONAL COMMUNICATION: SPIRAL OF SILENCE OR A STIMULANT OF CREATIVITY? Creativity Studies, 15(1), pp.58–73.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://doi.org/10.3846/cs.2022.11374</w:t>
      </w:r>
      <w:proofErr w:type="gramEnd"/>
      <w:r>
        <w:rPr>
          <w:rFonts w:ascii="Times New Roman" w:eastAsia="Times New Roman" w:hAnsi="Times New Roman" w:cs="Times New Roman"/>
          <w:sz w:val="24"/>
          <w:szCs w:val="24"/>
        </w:rPr>
        <w:t>.</w:t>
      </w:r>
    </w:p>
    <w:p w14:paraId="53EFC5D8"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Barnum, C.M. (2021). Context Culture - an overview | ScienceDirect Topics. [online] www.sciencedirect.com. Available at: https://www.sciencedirect.com/topics/computer-science/context-culture.</w:t>
      </w:r>
    </w:p>
    <w:p w14:paraId="3085E243"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Barnum, C.M. (2021). Context Culture - an overview | ScienceDirect Topics. [online] www.sciencedirect.com. Available at: https://www.sciencedirect.com/topics/computer-science/context-culture.</w:t>
      </w:r>
    </w:p>
    <w:p w14:paraId="1B45E24F"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Bessey, D. (2023). Hierarchies and decision-making in groups: experimental evidence. Humanities and Social Sciences Communications, 10(1).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://doi.org/10.1057/s41599-023-01714-x</w:t>
      </w:r>
      <w:proofErr w:type="gramEnd"/>
      <w:r>
        <w:rPr>
          <w:rFonts w:ascii="Times New Roman" w:eastAsia="Times New Roman" w:hAnsi="Times New Roman" w:cs="Times New Roman"/>
          <w:sz w:val="24"/>
          <w:szCs w:val="24"/>
        </w:rPr>
        <w:t>.</w:t>
      </w:r>
    </w:p>
    <w:p w14:paraId="6307AC7D"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Broeder, P. (2021). Informed Communication in High Context and Low Context Cultures. Journal of Education, Innovation, and Communication (JEICOM), 3(1).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://doi.org/10.34097/</w:t>
      </w:r>
      <w:proofErr w:type="spellStart"/>
      <w:r>
        <w:rPr>
          <w:rFonts w:ascii="Times New Roman" w:eastAsia="Times New Roman" w:hAnsi="Times New Roman" w:cs="Times New Roman"/>
          <w:sz w:val="24"/>
          <w:szCs w:val="24"/>
        </w:rPr>
        <w:t>jeicom</w:t>
      </w:r>
      <w:proofErr w:type="spellEnd"/>
      <w:proofErr w:type="gramEnd"/>
      <w:r>
        <w:rPr>
          <w:rFonts w:ascii="Times New Roman" w:eastAsia="Times New Roman" w:hAnsi="Times New Roman" w:cs="Times New Roman"/>
          <w:sz w:val="24"/>
          <w:szCs w:val="24"/>
        </w:rPr>
        <w:t>.</w:t>
      </w:r>
    </w:p>
    <w:p w14:paraId="387135AA"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BT Group (2024). About BT | BT Plc. [online] www.bt.com. Available at: https://www.bt.com/about/bt.</w:t>
      </w:r>
    </w:p>
    <w:p w14:paraId="6A249711"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BT Group PLC (2025). A better BT for all of us BT Group plc Annual Report 2025. [online] Available at: https://www.bt.com/bt-plc/assets/documents/investors/financial-reporting-and-news/annual-reports/2025/2025-bt-group-plc-annual-report.pdf.</w:t>
      </w:r>
    </w:p>
    <w:p w14:paraId="18C45EFD"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BT Plc (2023). Home | BT Plc. [online] www.bt.com. Available at: https://www.bt.com/about.</w:t>
      </w:r>
    </w:p>
    <w:p w14:paraId="407CD465"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Earley, P.C. and Ang, S. (2003). Cultural Intelligence: Individual Interactions Across Cultures. [online] ResearchGate. Available at: </w:t>
      </w:r>
      <w:r>
        <w:rPr>
          <w:rFonts w:ascii="Times New Roman" w:eastAsia="Times New Roman" w:hAnsi="Times New Roman" w:cs="Times New Roman"/>
          <w:sz w:val="24"/>
          <w:szCs w:val="24"/>
        </w:rPr>
        <w:lastRenderedPageBreak/>
        <w:t>https://www.researchgate.net/publication/40421838_Cultural_Intelligence_Individual_Interactions_Across_Cultures.</w:t>
      </w:r>
    </w:p>
    <w:p w14:paraId="0FED0148" w14:textId="77777777" w:rsidR="00F65C58" w:rsidRDefault="00F65C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Esmt.berlin</w:t>
      </w:r>
      <w:proofErr w:type="spellEnd"/>
      <w:r>
        <w:rPr>
          <w:rFonts w:ascii="Times New Roman" w:eastAsia="Times New Roman" w:hAnsi="Times New Roman" w:cs="Times New Roman"/>
          <w:sz w:val="24"/>
          <w:szCs w:val="24"/>
        </w:rPr>
        <w:t xml:space="preserve">. (2025). Leadership styles: Bridging tradition and modernity. [online] Available at: https://esmt.berlin/knowledge/leadership-styles [Accessed 25 Sep. 2025]. </w:t>
      </w:r>
    </w:p>
    <w:p w14:paraId="1256F1CA"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Greene, J. (2024). Hofstede’s cultural dimensions theory | EBSCO. [online] EBSCO Information Services, Inc. | www.ebsco.com. Available at: https://www.ebsco.com/research-starters/business-and-management/hofstedes-cultural-dimensions-theory.</w:t>
      </w:r>
    </w:p>
    <w:p w14:paraId="2C868290"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Huggins, C., Williams, J. and Sato, W. (2023). Cross-cultural differences in self-reported and behavioural emotional self-awareness between Japan and the UK. BMC Research Notes, 16(1).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://doi.org/10.1186/s13104-023-06660-0</w:t>
      </w:r>
      <w:proofErr w:type="gramEnd"/>
      <w:r>
        <w:rPr>
          <w:rFonts w:ascii="Times New Roman" w:eastAsia="Times New Roman" w:hAnsi="Times New Roman" w:cs="Times New Roman"/>
          <w:sz w:val="24"/>
          <w:szCs w:val="24"/>
        </w:rPr>
        <w:t>.</w:t>
      </w:r>
    </w:p>
    <w:p w14:paraId="3F4BA049"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Koda, Y. (2025). How Japanese Hierarchies Shape Business Decisions - Simplifying Japan Entry. [online] Simplifying Japan Entry. Available at: https://nihonium.io/japanese-hierarchies-business-decisions/ [Accessed 1 Dec. 2025].</w:t>
      </w:r>
    </w:p>
    <w:p w14:paraId="5350DF6B"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 H. and Lou, L. (2024). A Study on Cross-Cultural Business Communication Based on Hofstede’s Cultural Dimensions Theory. Open Journal of Social Sciences, 12(09), pp.352–368.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://doi.org/10.4236/jss.2024.129021</w:t>
      </w:r>
      <w:proofErr w:type="gramEnd"/>
      <w:r>
        <w:rPr>
          <w:rFonts w:ascii="Times New Roman" w:eastAsia="Times New Roman" w:hAnsi="Times New Roman" w:cs="Times New Roman"/>
          <w:sz w:val="24"/>
          <w:szCs w:val="24"/>
        </w:rPr>
        <w:t>.</w:t>
      </w:r>
    </w:p>
    <w:p w14:paraId="6097EFF9"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Luo, L. (2024). Analysis of Japanese Cultural Patterns —Based on Hofstede’s Value Dimensions and Minkov’s Cultural Dimensions. International journal of education and humanities, 14(1), pp.367–374.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://doi.org/10.54097/atw22v23</w:t>
      </w:r>
      <w:proofErr w:type="gramEnd"/>
      <w:r>
        <w:rPr>
          <w:rFonts w:ascii="Times New Roman" w:eastAsia="Times New Roman" w:hAnsi="Times New Roman" w:cs="Times New Roman"/>
          <w:sz w:val="24"/>
          <w:szCs w:val="24"/>
        </w:rPr>
        <w:t>.</w:t>
      </w:r>
    </w:p>
    <w:p w14:paraId="3FDE1712"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Romani, L., </w:t>
      </w:r>
      <w:proofErr w:type="spellStart"/>
      <w:r>
        <w:rPr>
          <w:rFonts w:ascii="Times New Roman" w:eastAsia="Times New Roman" w:hAnsi="Times New Roman" w:cs="Times New Roman"/>
          <w:sz w:val="24"/>
          <w:szCs w:val="24"/>
        </w:rPr>
        <w:t>Barmeyer</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Primecz</w:t>
      </w:r>
      <w:proofErr w:type="spellEnd"/>
      <w:r>
        <w:rPr>
          <w:rFonts w:ascii="Times New Roman" w:eastAsia="Times New Roman" w:hAnsi="Times New Roman" w:cs="Times New Roman"/>
          <w:sz w:val="24"/>
          <w:szCs w:val="24"/>
        </w:rPr>
        <w:t xml:space="preserve">, H. and </w:t>
      </w:r>
      <w:proofErr w:type="spellStart"/>
      <w:r>
        <w:rPr>
          <w:rFonts w:ascii="Times New Roman" w:eastAsia="Times New Roman" w:hAnsi="Times New Roman" w:cs="Times New Roman"/>
          <w:sz w:val="24"/>
          <w:szCs w:val="24"/>
        </w:rPr>
        <w:t>Pilhofer</w:t>
      </w:r>
      <w:proofErr w:type="spellEnd"/>
      <w:r>
        <w:rPr>
          <w:rFonts w:ascii="Times New Roman" w:eastAsia="Times New Roman" w:hAnsi="Times New Roman" w:cs="Times New Roman"/>
          <w:sz w:val="24"/>
          <w:szCs w:val="24"/>
        </w:rPr>
        <w:t xml:space="preserve">, K. (2018). Cross-Cultural Management Studies: State of the Field in the Four Research Paradigms. International Studies of Management &amp; Organization, 48(3), pp.247–263.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://doi.org/10.1080/00208825.2018.1480918</w:t>
      </w:r>
      <w:proofErr w:type="gramEnd"/>
      <w:r>
        <w:rPr>
          <w:rFonts w:ascii="Times New Roman" w:eastAsia="Times New Roman" w:hAnsi="Times New Roman" w:cs="Times New Roman"/>
          <w:sz w:val="24"/>
          <w:szCs w:val="24"/>
        </w:rPr>
        <w:t xml:space="preserve">. </w:t>
      </w:r>
    </w:p>
    <w:p w14:paraId="4627F1CB"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Sahadevan, P. and Sumangala, M. (2021). Effective Cross-Cultural Communication for International Business. [online] ResearchGate. Available at: https://www.researchgate.net/publication/350728276_Effective_Cross-Cultural_Communication_for_International_Business.</w:t>
      </w:r>
    </w:p>
    <w:p w14:paraId="0573D3F0"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Sari, I.P. (2025). Japanese work culture from Hofstede’s perspective: An analysis of workers’ experiences through social media channels. </w:t>
      </w:r>
      <w:proofErr w:type="spellStart"/>
      <w:r>
        <w:rPr>
          <w:rFonts w:ascii="Times New Roman" w:eastAsia="Times New Roman" w:hAnsi="Times New Roman" w:cs="Times New Roman"/>
          <w:sz w:val="24"/>
          <w:szCs w:val="24"/>
        </w:rPr>
        <w:t>Penelitian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Ilmu</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Pengetahuan</w:t>
      </w:r>
      <w:proofErr w:type="spellEnd"/>
      <w:r>
        <w:rPr>
          <w:rFonts w:ascii="Times New Roman" w:eastAsia="Times New Roman" w:hAnsi="Times New Roman" w:cs="Times New Roman"/>
          <w:sz w:val="24"/>
          <w:szCs w:val="24"/>
        </w:rPr>
        <w:t xml:space="preserve"> Sosial, [online] 2(2), pp.146–160.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://doi.org/10.61511/pips.v2i2.2025.2270</w:t>
      </w:r>
      <w:proofErr w:type="gramEnd"/>
      <w:r>
        <w:rPr>
          <w:rFonts w:ascii="Times New Roman" w:eastAsia="Times New Roman" w:hAnsi="Times New Roman" w:cs="Times New Roman"/>
          <w:sz w:val="24"/>
          <w:szCs w:val="24"/>
        </w:rPr>
        <w:t>.</w:t>
      </w:r>
    </w:p>
    <w:p w14:paraId="479653D6" w14:textId="77777777" w:rsidR="00F65C58" w:rsidRDefault="00F65C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Sheposh</w:t>
      </w:r>
      <w:proofErr w:type="spellEnd"/>
      <w:r>
        <w:rPr>
          <w:rFonts w:ascii="Times New Roman" w:eastAsia="Times New Roman" w:hAnsi="Times New Roman" w:cs="Times New Roman"/>
          <w:sz w:val="24"/>
          <w:szCs w:val="24"/>
        </w:rPr>
        <w:t>, R. (2025). High-context and low-context Cultures. [online] EBSCO Information Services, Inc. Available at: https://www.ebsco.com/research-starters/communication-and-mass-media/high-context-and-low-context-cultures.</w:t>
      </w:r>
    </w:p>
    <w:p w14:paraId="6D1B14AD" w14:textId="77777777" w:rsidR="00F65C58" w:rsidRDefault="00F65C58" w:rsidP="00F65C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Soğancılar</w:t>
      </w:r>
      <w:proofErr w:type="spellEnd"/>
      <w:r>
        <w:rPr>
          <w:rFonts w:ascii="Times New Roman" w:eastAsia="Times New Roman" w:hAnsi="Times New Roman" w:cs="Times New Roman"/>
          <w:sz w:val="24"/>
          <w:szCs w:val="24"/>
        </w:rPr>
        <w:t xml:space="preserve">, N. and Dereli, Z. (2025). Hall’s Dimensions of Culture: The Influence of Context, Time, and Proxemics on International Business Negotiations. Ankara Hacı Bayram Veli </w:t>
      </w:r>
      <w:proofErr w:type="spellStart"/>
      <w:r>
        <w:rPr>
          <w:rFonts w:ascii="Times New Roman" w:eastAsia="Times New Roman" w:hAnsi="Times New Roman" w:cs="Times New Roman"/>
          <w:sz w:val="24"/>
          <w:szCs w:val="24"/>
        </w:rPr>
        <w:t>Üniversitesi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İktisadi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İdari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Bilimler</w:t>
      </w:r>
      <w:proofErr w:type="spellEnd"/>
      <w:r>
        <w:rPr>
          <w:rFonts w:ascii="Times New Roman" w:eastAsia="Times New Roman" w:hAnsi="Times New Roman" w:cs="Times New Roman"/>
          <w:sz w:val="24"/>
          <w:szCs w:val="24"/>
        </w:rPr>
        <w:t xml:space="preserve"> Fakültesi Dergisi, 27(1), pp.181–218.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://doi.org/10.26745/ahbvuibfd.1547763</w:t>
      </w:r>
      <w:proofErr w:type="gramEnd"/>
      <w:r>
        <w:rPr>
          <w:rFonts w:ascii="Times New Roman" w:eastAsia="Times New Roman" w:hAnsi="Times New Roman" w:cs="Times New Roman"/>
          <w:sz w:val="24"/>
          <w:szCs w:val="24"/>
        </w:rPr>
        <w:t>.</w:t>
      </w:r>
    </w:p>
    <w:p w14:paraId="42F52C2E"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Sony (2024). Sony Group Portal - Corporate Report 2024. [online] Sony.com. Available at: https://www.sony.com/en/SonyInfo/IR/library/corporatereport/CorporateReport2024/.</w:t>
      </w:r>
    </w:p>
    <w:p w14:paraId="52ACB9F3"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Spencer-Oatey, H. and Kádár Frontmatter, D. (2025). [online] Cambridge University Press. Available at: https://assets.cambridge.org/97811071/76225/frontmatter/9781107176225_frontmatter.pdf [Accessed 31 Jan. 2024].</w:t>
      </w:r>
    </w:p>
    <w:p w14:paraId="476685EE"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Vinney, C. (2024). Hofstede’s Six Cultural Dimensions and Why They Matter. [online] </w:t>
      </w:r>
      <w:proofErr w:type="spellStart"/>
      <w:r>
        <w:rPr>
          <w:rFonts w:ascii="Times New Roman" w:eastAsia="Times New Roman" w:hAnsi="Times New Roman" w:cs="Times New Roman"/>
          <w:sz w:val="24"/>
          <w:szCs w:val="24"/>
        </w:rPr>
        <w:t>Verywell</w:t>
      </w:r>
      <w:proofErr w:type="spellEnd"/>
      <w:r>
        <w:rPr>
          <w:rFonts w:ascii="Times New Roman" w:eastAsia="Times New Roman" w:hAnsi="Times New Roman" w:cs="Times New Roman"/>
          <w:sz w:val="24"/>
          <w:szCs w:val="24"/>
        </w:rPr>
        <w:t xml:space="preserve"> Mind. Available at: https://www.verywellmind.com/hofstedes-cultural-dimensions-8583990.</w:t>
      </w:r>
    </w:p>
    <w:p w14:paraId="432CCF75" w14:textId="77777777" w:rsidR="00F65C58" w:rsidRDefault="00F65C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Wale, H. (2025). Hofstede’s Cultural Dimensions Theory. [online] Corporate Finance Institute. Available at: https://corporatefinanceinstitute.com/resources/management/hofstedes-cultural-dimensions-theory/.</w:t>
      </w:r>
    </w:p>
    <w:p w14:paraId="0000004C" w14:textId="77777777" w:rsidR="004D1E3A" w:rsidRDefault="004D1E3A">
      <w:pPr>
        <w:spacing w:before="240" w:after="240" w:line="360" w:lineRule="auto"/>
        <w:jc w:val="both"/>
        <w:rPr>
          <w:rFonts w:ascii="Times New Roman" w:eastAsia="Times New Roman" w:hAnsi="Times New Roman" w:cs="Times New Roman"/>
          <w:sz w:val="24"/>
          <w:szCs w:val="24"/>
        </w:rPr>
      </w:pPr>
    </w:p>
    <w:p w14:paraId="0000004D" w14:textId="77777777" w:rsidR="004D1E3A" w:rsidRDefault="004D1E3A">
      <w:pPr>
        <w:spacing w:before="200" w:line="360" w:lineRule="auto"/>
        <w:jc w:val="both"/>
        <w:rPr>
          <w:rFonts w:ascii="Times New Roman" w:eastAsia="Times New Roman" w:hAnsi="Times New Roman" w:cs="Times New Roman"/>
          <w:sz w:val="24"/>
          <w:szCs w:val="24"/>
        </w:rPr>
      </w:pPr>
    </w:p>
    <w:sectPr w:rsidR="004D1E3A" w:rsidSect="007521D6">
      <w:footerReference w:type="default" r:id="rId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1FFBF" w14:textId="77777777" w:rsidR="00422E85" w:rsidRDefault="00422E85" w:rsidP="007521D6">
      <w:pPr>
        <w:spacing w:line="240" w:lineRule="auto"/>
      </w:pPr>
      <w:r>
        <w:separator/>
      </w:r>
    </w:p>
  </w:endnote>
  <w:endnote w:type="continuationSeparator" w:id="0">
    <w:p w14:paraId="67A5ABA3" w14:textId="77777777" w:rsidR="00422E85" w:rsidRDefault="00422E85" w:rsidP="007521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C7D42E40-7432-4584-8992-B0D605D2D5D4}"/>
  </w:font>
  <w:font w:name="Cambria">
    <w:panose1 w:val="02040503050406030204"/>
    <w:charset w:val="00"/>
    <w:family w:val="roman"/>
    <w:pitch w:val="variable"/>
    <w:sig w:usb0="E00006FF" w:usb1="420024FF" w:usb2="02000000" w:usb3="00000000" w:csb0="0000019F" w:csb1="00000000"/>
    <w:embedRegular r:id="rId2" w:fontKey="{A45FF503-6595-4E34-B470-0DA97970E56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71813"/>
      <w:docPartObj>
        <w:docPartGallery w:val="Page Numbers (Bottom of Page)"/>
        <w:docPartUnique/>
      </w:docPartObj>
    </w:sdtPr>
    <w:sdtEndPr>
      <w:rPr>
        <w:noProof/>
      </w:rPr>
    </w:sdtEndPr>
    <w:sdtContent>
      <w:p w14:paraId="04981776" w14:textId="0705F445" w:rsidR="007521D6" w:rsidRDefault="007521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F1EF68" w14:textId="77777777" w:rsidR="007521D6" w:rsidRDefault="00752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189F0" w14:textId="77777777" w:rsidR="00422E85" w:rsidRDefault="00422E85" w:rsidP="007521D6">
      <w:pPr>
        <w:spacing w:line="240" w:lineRule="auto"/>
      </w:pPr>
      <w:r>
        <w:separator/>
      </w:r>
    </w:p>
  </w:footnote>
  <w:footnote w:type="continuationSeparator" w:id="0">
    <w:p w14:paraId="5612C913" w14:textId="77777777" w:rsidR="00422E85" w:rsidRDefault="00422E85" w:rsidP="007521D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1E3A"/>
    <w:rsid w:val="00096983"/>
    <w:rsid w:val="001D429B"/>
    <w:rsid w:val="00205CF8"/>
    <w:rsid w:val="00304586"/>
    <w:rsid w:val="00422E85"/>
    <w:rsid w:val="004D1E3A"/>
    <w:rsid w:val="00646999"/>
    <w:rsid w:val="006A453F"/>
    <w:rsid w:val="006C77E0"/>
    <w:rsid w:val="007521D6"/>
    <w:rsid w:val="00960843"/>
    <w:rsid w:val="00F65C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F0F0B"/>
  <w15:docId w15:val="{4B750AA3-9EA3-4A8F-97D6-F12689A05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521D6"/>
    <w:pPr>
      <w:spacing w:before="240" w:after="24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rsid w:val="007521D6"/>
    <w:pPr>
      <w:spacing w:after="8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521D6"/>
    <w:pPr>
      <w:tabs>
        <w:tab w:val="center" w:pos="4680"/>
        <w:tab w:val="right" w:pos="9360"/>
      </w:tabs>
      <w:spacing w:line="240" w:lineRule="auto"/>
    </w:pPr>
  </w:style>
  <w:style w:type="character" w:customStyle="1" w:styleId="HeaderChar">
    <w:name w:val="Header Char"/>
    <w:basedOn w:val="DefaultParagraphFont"/>
    <w:link w:val="Header"/>
    <w:uiPriority w:val="99"/>
    <w:rsid w:val="007521D6"/>
  </w:style>
  <w:style w:type="paragraph" w:styleId="Footer">
    <w:name w:val="footer"/>
    <w:basedOn w:val="Normal"/>
    <w:link w:val="FooterChar"/>
    <w:uiPriority w:val="99"/>
    <w:unhideWhenUsed/>
    <w:rsid w:val="007521D6"/>
    <w:pPr>
      <w:tabs>
        <w:tab w:val="center" w:pos="4680"/>
        <w:tab w:val="right" w:pos="9360"/>
      </w:tabs>
      <w:spacing w:line="240" w:lineRule="auto"/>
    </w:pPr>
  </w:style>
  <w:style w:type="character" w:customStyle="1" w:styleId="FooterChar">
    <w:name w:val="Footer Char"/>
    <w:basedOn w:val="DefaultParagraphFont"/>
    <w:link w:val="Footer"/>
    <w:uiPriority w:val="99"/>
    <w:rsid w:val="007521D6"/>
  </w:style>
  <w:style w:type="paragraph" w:styleId="TOCHeading">
    <w:name w:val="TOC Heading"/>
    <w:basedOn w:val="Heading1"/>
    <w:next w:val="Normal"/>
    <w:uiPriority w:val="39"/>
    <w:unhideWhenUsed/>
    <w:qFormat/>
    <w:rsid w:val="007521D6"/>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521D6"/>
    <w:pPr>
      <w:spacing w:after="100"/>
    </w:pPr>
  </w:style>
  <w:style w:type="paragraph" w:styleId="TOC2">
    <w:name w:val="toc 2"/>
    <w:basedOn w:val="Normal"/>
    <w:next w:val="Normal"/>
    <w:autoRedefine/>
    <w:uiPriority w:val="39"/>
    <w:unhideWhenUsed/>
    <w:rsid w:val="007521D6"/>
    <w:pPr>
      <w:spacing w:after="100"/>
      <w:ind w:left="220"/>
    </w:pPr>
  </w:style>
  <w:style w:type="character" w:styleId="Hyperlink">
    <w:name w:val="Hyperlink"/>
    <w:basedOn w:val="DefaultParagraphFont"/>
    <w:uiPriority w:val="99"/>
    <w:unhideWhenUsed/>
    <w:rsid w:val="007521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009616-78D6-43C9-A3B2-9F0EA81FD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3750</Words>
  <Characters>21377</Characters>
  <Application>Microsoft Office Word</Application>
  <DocSecurity>0</DocSecurity>
  <Lines>178</Lines>
  <Paragraphs>50</Paragraphs>
  <ScaleCrop>false</ScaleCrop>
  <Company/>
  <LinksUpToDate>false</LinksUpToDate>
  <CharactersWithSpaces>25077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PC</cp:lastModifiedBy>
  <cp:revision>5</cp:revision>
  <dcterms:created xsi:type="dcterms:W3CDTF">2026-02-22T08:15:00Z</dcterms:created>
  <dcterms:modified xsi:type="dcterms:W3CDTF">2026-02-22T09:51:00Z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3d02557a-cb0a-4c4b-b956-1efa0a4badb8</vt:lpwstr>
  </property>
</Properties>
</file>