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986D4B" w14:textId="535B108D"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webkit-standard" w:hAnsi="-webkit-standard" w:cs="Times New Roman"/>
          <w:noProof/>
          <w:color w:val="000000"/>
          <w:kern w:val="0"/>
          <w:sz w:val="27"/>
          <w:szCs w:val="27"/>
          <w14:ligatures w14:val="none"/>
        </w:rPr>
        <mc:AlternateContent>
          <mc:Choice Requires="wps">
            <w:drawing>
              <wp:inline distT="0" distB="0" distL="0" distR="0" wp14:anchorId="68EF35DE" wp14:editId="3BF26316">
                <wp:extent cx="304800" cy="304800"/>
                <wp:effectExtent l="0" t="0" r="0" b="0"/>
                <wp:docPr id="209352669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cei="http://schemas.microsoft.com/office/word/2026/wordml/cei">
            <w:pict>
              <v:rect w14:anchorId="2135BFE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" filled="f" stroked="f">
                <o:lock v:ext="edit" aspectratio="t"/>
                <w10:anchorlock/>
              </v:rect>
            </w:pict>
          </mc:Fallback>
        </mc:AlternateContent>
      </w:r>
    </w:p>
    <w:p w14:paraId="3AA5C631" w14:textId="77777777" w:rsidR="00BE0692" w:rsidRPr="00BE0692" w:rsidRDefault="00BE0692" w:rsidP="00BE0692">
      <w:pPr>
        <w:spacing w:after="120" w:line="240" w:lineRule="auto"/>
        <w:jc w:val="center"/>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18"/>
          <w:szCs w:val="18"/>
          <w14:ligatures w14:val="none"/>
        </w:rPr>
        <w:t> </w:t>
      </w:r>
    </w:p>
    <w:p w14:paraId="04B10784" w14:textId="77777777" w:rsidR="00BE0692" w:rsidRPr="00BE0692" w:rsidRDefault="00BE0692" w:rsidP="00BE0692">
      <w:pPr>
        <w:spacing w:after="120" w:line="240" w:lineRule="auto"/>
        <w:jc w:val="center"/>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18"/>
          <w:szCs w:val="18"/>
          <w14:ligatures w14:val="none"/>
        </w:rPr>
        <w:t> </w:t>
      </w:r>
    </w:p>
    <w:p w14:paraId="167A11E5" w14:textId="77777777" w:rsidR="00BE0692" w:rsidRPr="00BE0692" w:rsidRDefault="00BE0692" w:rsidP="00BE0692">
      <w:pPr>
        <w:spacing w:after="120" w:line="240" w:lineRule="auto"/>
        <w:jc w:val="center"/>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18"/>
          <w:szCs w:val="18"/>
          <w14:ligatures w14:val="none"/>
        </w:rPr>
        <w:t> </w:t>
      </w:r>
    </w:p>
    <w:p w14:paraId="640D47D8"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Module Title: Principles of Marketing</w:t>
      </w:r>
    </w:p>
    <w:p w14:paraId="6C8A1883"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Module Code: LCBB5015</w:t>
      </w:r>
    </w:p>
    <w:p w14:paraId="08DB3AC7"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Assignment Title: Group Report - Marketing Plan to Increase Sales in the UK</w:t>
      </w:r>
    </w:p>
    <w:p w14:paraId="5D6A8808"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Group Name &amp; ID:</w:t>
      </w:r>
    </w:p>
    <w:p w14:paraId="5AF18D65"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(Sukhwinder Kaur / 2328205)</w:t>
      </w:r>
    </w:p>
    <w:p w14:paraId="7FCA4A82"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(Afsheen Asghar / 2315938)</w:t>
      </w:r>
    </w:p>
    <w:p w14:paraId="0E994FDF"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(Mehnaz Salim / 2319371)</w:t>
      </w:r>
    </w:p>
    <w:p w14:paraId="2A99CE0B" w14:textId="77777777" w:rsidR="00BE0692" w:rsidRPr="00BE0692" w:rsidRDefault="00BE0692" w:rsidP="00BE0692">
      <w:pPr>
        <w:pBdr>
          <w:bottom w:val="single" w:sz="6" w:space="0" w:color="000000"/>
        </w:pBd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(Bhupinder Shergill / 2332366)</w:t>
      </w:r>
    </w:p>
    <w:p w14:paraId="69824007"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webkit-standard" w:hAnsi="-webkit-standard" w:cs="Times New Roman"/>
          <w:color w:val="000000"/>
          <w:kern w:val="0"/>
          <w:sz w:val="27"/>
          <w:szCs w:val="27"/>
          <w14:ligatures w14:val="none"/>
        </w:rPr>
        <w:t> </w:t>
      </w:r>
    </w:p>
    <w:p w14:paraId="44DF4A0C" w14:textId="77777777" w:rsidR="00BE0692" w:rsidRPr="00BE0692" w:rsidRDefault="00BE0692" w:rsidP="00BE0692">
      <w:pPr>
        <w:spacing w:before="180" w:after="0" w:line="240" w:lineRule="auto"/>
        <w:rPr>
          <w:rFonts w:ascii="-webkit-standard" w:hAnsi="-webkit-standard" w:cs="Times New Roman" w:hint="eastAsia"/>
          <w:color w:val="000000"/>
          <w:kern w:val="0"/>
          <w:sz w:val="27"/>
          <w:szCs w:val="27"/>
          <w14:ligatures w14:val="none"/>
        </w:rPr>
      </w:pPr>
      <w:bookmarkStart w:id="0" w:name="_Toc235280825"/>
      <w:bookmarkEnd w:id="0"/>
      <w:r w:rsidRPr="00BE0692">
        <w:rPr>
          <w:rFonts w:ascii="Calibri Light" w:hAnsi="Calibri Light" w:cs="Times New Roman"/>
          <w:color w:val="2E74B5"/>
          <w:kern w:val="0"/>
          <w:sz w:val="36"/>
          <w:szCs w:val="36"/>
          <w14:ligatures w14:val="none"/>
        </w:rPr>
        <w:t>Table of Contents</w:t>
      </w:r>
    </w:p>
    <w:p w14:paraId="452891B7" w14:textId="77777777" w:rsidR="00BE0692" w:rsidRPr="00BE0692" w:rsidRDefault="00BE0692" w:rsidP="00BE0692">
      <w:pPr>
        <w:spacing w:after="75" w:line="240" w:lineRule="auto"/>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Marketing Plan for Primark to increase sales in the UK</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3</w:t>
      </w:r>
    </w:p>
    <w:p w14:paraId="406AEDC6"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Introduction and mission</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3</w:t>
      </w:r>
    </w:p>
    <w:p w14:paraId="6130AC08"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Situational Analysis using PESTEL</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3</w:t>
      </w:r>
    </w:p>
    <w:p w14:paraId="2344865A"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Marketing Strategy: STP Analysis, Integrated Marketing and Ansoff Matrix</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5</w:t>
      </w:r>
    </w:p>
    <w:p w14:paraId="16E2DD33"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Segmentation, Targeting and Positioning (STP)</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5</w:t>
      </w:r>
    </w:p>
    <w:p w14:paraId="184CB157"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Marketing Mix Strategies: 7Ps</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10</w:t>
      </w:r>
    </w:p>
    <w:p w14:paraId="513C18D7"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Implementation and Control: Balanced Scorecard and KPIs</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11</w:t>
      </w:r>
    </w:p>
    <w:p w14:paraId="0991DFD4"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Key Performance Indicators (KPIs)</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12</w:t>
      </w:r>
    </w:p>
    <w:p w14:paraId="3C4474D3"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Balance Scorecard</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12</w:t>
      </w:r>
    </w:p>
    <w:p w14:paraId="29428DF5"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Conclusion</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13</w:t>
      </w:r>
    </w:p>
    <w:p w14:paraId="794CB888" w14:textId="77777777" w:rsidR="00BE0692" w:rsidRPr="00BE0692" w:rsidRDefault="00BE0692" w:rsidP="00BE0692">
      <w:pPr>
        <w:spacing w:after="0" w:line="324" w:lineRule="atLeast"/>
        <w:rPr>
          <w:rFonts w:ascii="-webkit-standard" w:hAnsi="-webkit-standard" w:cs="Times New Roman" w:hint="eastAsia"/>
          <w:color w:val="000000"/>
          <w:kern w:val="0"/>
          <w:sz w:val="27"/>
          <w:szCs w:val="27"/>
          <w14:ligatures w14:val="none"/>
        </w:rPr>
      </w:pPr>
      <w:r w:rsidRPr="00BE0692">
        <w:rPr>
          <w:rFonts w:ascii="Calibri" w:hAnsi="Calibri" w:cs="Times New Roman"/>
          <w:b/>
          <w:bCs/>
          <w:color w:val="0563C1"/>
          <w:kern w:val="0"/>
          <w:sz w:val="27"/>
          <w:szCs w:val="27"/>
          <w:u w:val="single"/>
          <w14:ligatures w14:val="none"/>
        </w:rPr>
        <w:t>References</w:t>
      </w:r>
      <w:r w:rsidRPr="00BE0692">
        <w:rPr>
          <w:rFonts w:ascii="-webkit-standard" w:hAnsi="-webkit-standard" w:cs="Times New Roman"/>
          <w:color w:val="000000"/>
          <w:kern w:val="0"/>
          <w:sz w:val="27"/>
          <w:szCs w:val="27"/>
          <w14:ligatures w14:val="none"/>
        </w:rPr>
        <w:t>​</w:t>
      </w:r>
      <w:r w:rsidRPr="00BE0692">
        <w:rPr>
          <w:rFonts w:ascii="Calibri" w:hAnsi="Calibri" w:cs="Times New Roman"/>
          <w:color w:val="000000"/>
          <w:kern w:val="0"/>
          <w:sz w:val="27"/>
          <w:szCs w:val="27"/>
          <w14:ligatures w14:val="none"/>
        </w:rPr>
        <w:t>14</w:t>
      </w:r>
    </w:p>
    <w:p w14:paraId="0F503305"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webkit-standard" w:hAnsi="-webkit-standard" w:cs="Times New Roman"/>
          <w:color w:val="000000"/>
          <w:kern w:val="0"/>
          <w:sz w:val="27"/>
          <w:szCs w:val="27"/>
          <w14:ligatures w14:val="none"/>
        </w:rPr>
        <w:t> </w:t>
      </w:r>
    </w:p>
    <w:p w14:paraId="12C1F2CD" w14:textId="77777777" w:rsidR="00BE0692" w:rsidRPr="00BE0692" w:rsidRDefault="00BE0692" w:rsidP="00BE0692">
      <w:pPr>
        <w:spacing w:before="270" w:after="60" w:line="240" w:lineRule="auto"/>
        <w:rPr>
          <w:rFonts w:ascii="-webkit-standard" w:hAnsi="-webkit-standard" w:cs="Times New Roman" w:hint="eastAsia"/>
          <w:color w:val="000000"/>
          <w:kern w:val="0"/>
          <w:sz w:val="27"/>
          <w:szCs w:val="27"/>
          <w14:ligatures w14:val="none"/>
        </w:rPr>
      </w:pPr>
      <w:bookmarkStart w:id="1" w:name="_Toc234565365"/>
      <w:bookmarkStart w:id="2" w:name="_Toc234565480"/>
      <w:bookmarkStart w:id="3" w:name="_Toc234575767"/>
      <w:bookmarkStart w:id="4" w:name="_Toc235269910"/>
      <w:bookmarkStart w:id="5" w:name="_Toc235280826"/>
      <w:bookmarkEnd w:id="1"/>
      <w:bookmarkEnd w:id="2"/>
      <w:bookmarkEnd w:id="3"/>
      <w:bookmarkEnd w:id="4"/>
      <w:bookmarkEnd w:id="5"/>
      <w:r w:rsidRPr="00BE0692">
        <w:rPr>
          <w:rFonts w:ascii="Calibri Light" w:hAnsi="Calibri Light" w:cs="Times New Roman"/>
          <w:b/>
          <w:bCs/>
          <w:color w:val="2F5496"/>
          <w:kern w:val="0"/>
          <w:sz w:val="30"/>
          <w:szCs w:val="30"/>
          <w14:ligatures w14:val="none"/>
        </w:rPr>
        <w:t>Marketing Plan for Primark to increase sales in the UK</w:t>
      </w:r>
    </w:p>
    <w:p w14:paraId="358C6DDA" w14:textId="77777777" w:rsidR="00BE0692" w:rsidRPr="00BE0692" w:rsidRDefault="00BE0692" w:rsidP="00BE0692">
      <w:pPr>
        <w:spacing w:before="270" w:after="60" w:line="240" w:lineRule="auto"/>
        <w:rPr>
          <w:rFonts w:ascii="-webkit-standard" w:hAnsi="-webkit-standard" w:cs="Times New Roman" w:hint="eastAsia"/>
          <w:color w:val="000000"/>
          <w:kern w:val="0"/>
          <w:sz w:val="27"/>
          <w:szCs w:val="27"/>
          <w14:ligatures w14:val="none"/>
        </w:rPr>
      </w:pPr>
      <w:bookmarkStart w:id="6" w:name="_Toc234564245"/>
      <w:bookmarkStart w:id="7" w:name="_Toc234565366"/>
      <w:bookmarkStart w:id="8" w:name="_Toc234565481"/>
      <w:bookmarkStart w:id="9" w:name="_Toc234575768"/>
      <w:bookmarkStart w:id="10" w:name="_Toc235269911"/>
      <w:bookmarkStart w:id="11" w:name="_Toc235280827"/>
      <w:bookmarkEnd w:id="6"/>
      <w:bookmarkEnd w:id="7"/>
      <w:bookmarkEnd w:id="8"/>
      <w:bookmarkEnd w:id="9"/>
      <w:bookmarkEnd w:id="10"/>
      <w:bookmarkEnd w:id="11"/>
      <w:r w:rsidRPr="00BE0692">
        <w:rPr>
          <w:rFonts w:ascii="Calibri Light" w:hAnsi="Calibri Light" w:cs="Times New Roman"/>
          <w:b/>
          <w:bCs/>
          <w:color w:val="2F5496"/>
          <w:kern w:val="0"/>
          <w:sz w:val="30"/>
          <w:szCs w:val="30"/>
          <w14:ligatures w14:val="none"/>
        </w:rPr>
        <w:t>Introduction and mission</w:t>
      </w:r>
    </w:p>
    <w:p w14:paraId="675F13B1"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Primark started in Ireland in 1969 and has become one of the top budget clothing stores in the UK, expanding its presence worldwide, it is registered as Primark Stores Limited in the UK (Gov.UK, 2026). The company has more than 80,000 workers, operates over 480 stores in 19 countries, and sells affordable clothes, accessories, shoes, beauty products, and home items. Selling fashionable products at low prices and having a strong presence on UK high streets helps it stand out from competitors (Primark, 2024).</w:t>
      </w:r>
    </w:p>
    <w:p w14:paraId="458362CA"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Primark is popular in the UK for attracting many shoppers and for running its stores effectively. This approach makes the business different from many online competitors. However, changes in how consumers shop and their growing expectations for digital experiences create challenges. To keep growing over the long run, the business needs to keep innovating and engage more with customers (Mintel, 2026).</w:t>
      </w:r>
    </w:p>
    <w:p w14:paraId="5C71B207"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By critically analysing Primark's external factors, marketing strategy, and marketing mix, we can develop a plan to increase sales in the UK. To identify opportunities and support evidence-based recommendations, the study uses tools such </w:t>
      </w:r>
      <w:proofErr w:type="spellStart"/>
      <w:r w:rsidRPr="00BE0692">
        <w:rPr>
          <w:rFonts w:ascii="Arial" w:hAnsi="Arial" w:cs="Arial"/>
          <w:color w:val="000000"/>
          <w:kern w:val="0"/>
          <w:sz w:val="27"/>
          <w:szCs w:val="27"/>
          <w14:ligatures w14:val="none"/>
        </w:rPr>
        <w:t>asPESTEL</w:t>
      </w:r>
      <w:proofErr w:type="spellEnd"/>
      <w:r w:rsidRPr="00BE0692">
        <w:rPr>
          <w:rFonts w:ascii="Arial" w:hAnsi="Arial" w:cs="Arial"/>
          <w:color w:val="000000"/>
          <w:kern w:val="0"/>
          <w:sz w:val="27"/>
          <w:szCs w:val="27"/>
          <w14:ligatures w14:val="none"/>
        </w:rPr>
        <w:t>, STP, the Ansoff Matrix, the 7Ps, Key Performance Indicators (KPIs), and the Balanced Scorecard.</w:t>
      </w:r>
    </w:p>
    <w:p w14:paraId="10C79DCC"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According to McDonald and Wilson (2011), a successful marketing plan provides a clear plan to achieve a company's goals using measurable marketing </w:t>
      </w:r>
      <w:proofErr w:type="spellStart"/>
      <w:proofErr w:type="gramStart"/>
      <w:r w:rsidRPr="00BE0692">
        <w:rPr>
          <w:rFonts w:ascii="Arial" w:hAnsi="Arial" w:cs="Arial"/>
          <w:color w:val="000000"/>
          <w:kern w:val="0"/>
          <w:sz w:val="27"/>
          <w:szCs w:val="27"/>
          <w14:ligatures w14:val="none"/>
        </w:rPr>
        <w:t>actions.Primark’s</w:t>
      </w:r>
      <w:proofErr w:type="spellEnd"/>
      <w:proofErr w:type="gramEnd"/>
      <w:r w:rsidRPr="00BE0692">
        <w:rPr>
          <w:rFonts w:ascii="Arial" w:hAnsi="Arial" w:cs="Arial"/>
          <w:color w:val="000000"/>
          <w:kern w:val="0"/>
          <w:sz w:val="27"/>
          <w:szCs w:val="27"/>
          <w14:ligatures w14:val="none"/>
        </w:rPr>
        <w:t xml:space="preserve"> marketing plan aims to increase sales in the UK by offering stylish, affordable, and eco-friendly clothes. This will be done by enhancing customer service, focusing on specific marketing efforts, and introducing new products. This will help the </w:t>
      </w:r>
      <w:proofErr w:type="spellStart"/>
      <w:r w:rsidRPr="00BE0692">
        <w:rPr>
          <w:rFonts w:ascii="Arial" w:hAnsi="Arial" w:cs="Arial"/>
          <w:color w:val="000000"/>
          <w:kern w:val="0"/>
          <w:sz w:val="27"/>
          <w:szCs w:val="27"/>
          <w14:ligatures w14:val="none"/>
        </w:rPr>
        <w:t>companyachieve</w:t>
      </w:r>
      <w:proofErr w:type="spellEnd"/>
      <w:r w:rsidRPr="00BE0692">
        <w:rPr>
          <w:rFonts w:ascii="Arial" w:hAnsi="Arial" w:cs="Arial"/>
          <w:color w:val="000000"/>
          <w:kern w:val="0"/>
          <w:sz w:val="27"/>
          <w:szCs w:val="27"/>
          <w14:ligatures w14:val="none"/>
        </w:rPr>
        <w:t xml:space="preserve"> its goal of making customers "look good and feel good for less" while also supporting Primark Cares' efforts to be more sustainable (Primark, 2024).</w:t>
      </w:r>
    </w:p>
    <w:p w14:paraId="54FD5A20" w14:textId="77777777" w:rsidR="00BE0692" w:rsidRPr="00BE0692" w:rsidRDefault="00BE0692" w:rsidP="00BE0692">
      <w:pPr>
        <w:spacing w:before="270" w:after="60" w:line="240" w:lineRule="auto"/>
        <w:jc w:val="both"/>
        <w:rPr>
          <w:rFonts w:ascii="-webkit-standard" w:hAnsi="-webkit-standard" w:cs="Times New Roman" w:hint="eastAsia"/>
          <w:color w:val="000000"/>
          <w:kern w:val="0"/>
          <w:sz w:val="27"/>
          <w:szCs w:val="27"/>
          <w14:ligatures w14:val="none"/>
        </w:rPr>
      </w:pPr>
      <w:bookmarkStart w:id="12" w:name="_Toc234564246"/>
      <w:bookmarkStart w:id="13" w:name="_Toc234565367"/>
      <w:bookmarkStart w:id="14" w:name="_Toc234565482"/>
      <w:bookmarkStart w:id="15" w:name="_Toc234575769"/>
      <w:bookmarkStart w:id="16" w:name="_Toc235269912"/>
      <w:bookmarkStart w:id="17" w:name="_Toc235280828"/>
      <w:bookmarkEnd w:id="12"/>
      <w:bookmarkEnd w:id="13"/>
      <w:bookmarkEnd w:id="14"/>
      <w:bookmarkEnd w:id="15"/>
      <w:bookmarkEnd w:id="16"/>
      <w:bookmarkEnd w:id="17"/>
      <w:r w:rsidRPr="00BE0692">
        <w:rPr>
          <w:rFonts w:ascii="Calibri Light" w:hAnsi="Calibri Light" w:cs="Times New Roman"/>
          <w:b/>
          <w:bCs/>
          <w:color w:val="2F5496"/>
          <w:kern w:val="0"/>
          <w:sz w:val="30"/>
          <w:szCs w:val="30"/>
          <w14:ligatures w14:val="none"/>
        </w:rPr>
        <w:t>Situational Analysis using PESTEL</w:t>
      </w:r>
    </w:p>
    <w:p w14:paraId="16774E40"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According to Johnson et al. (2020), a situational analysis is a way for a company to plan by examining the external factors that can affect how it does business. It uses tools such as PESTEL to examine factors such as politics, the economy, society, technology, the environment, and laws that may influence marketing decisions. Organisations can make better plans and adjust more quickly to market changes by using PESTEL to understand the external business environment (Baker and Hart, 2016).</w:t>
      </w:r>
    </w:p>
    <w:p w14:paraId="7A01B1CE"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Political factors:</w:t>
      </w:r>
      <w:r w:rsidRPr="00BE0692">
        <w:rPr>
          <w:rFonts w:ascii="Arial" w:hAnsi="Arial" w:cs="Arial"/>
          <w:color w:val="000000"/>
          <w:kern w:val="0"/>
          <w:sz w:val="27"/>
          <w:szCs w:val="27"/>
          <w14:ligatures w14:val="none"/>
        </w:rPr>
        <w:t> UK labour laws, import rules, minimum wage laws, and trade policies all affect how Primark runs its business. Changes in trade deals or import taxes can increase costs and create problems obtaining supplies when the company buys products from other countries. We can reduce these risks by using multiple suppliers (Rothaermel, 2023; Primark, 2024).</w:t>
      </w:r>
    </w:p>
    <w:p w14:paraId="2E0F33C2"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Economic factors:</w:t>
      </w:r>
      <w:r w:rsidRPr="00BE0692">
        <w:rPr>
          <w:rFonts w:ascii="Arial" w:hAnsi="Arial" w:cs="Arial"/>
          <w:color w:val="000000"/>
          <w:kern w:val="0"/>
          <w:sz w:val="27"/>
          <w:szCs w:val="27"/>
          <w14:ligatures w14:val="none"/>
        </w:rPr>
        <w:t> Primark has a bright future as more people seek affordable clothing amid rising prices and the cost-of-living crisis in the UK. However, business costs and profits have been affected by recent rises in energy prices due to the US-Iran war, higher wages, and currency fluctuations (</w:t>
      </w:r>
      <w:proofErr w:type="spellStart"/>
      <w:r w:rsidRPr="00BE0692">
        <w:rPr>
          <w:rFonts w:ascii="Arial" w:hAnsi="Arial" w:cs="Arial"/>
          <w:color w:val="000000"/>
          <w:kern w:val="0"/>
          <w:sz w:val="27"/>
          <w:szCs w:val="27"/>
          <w14:ligatures w14:val="none"/>
        </w:rPr>
        <w:t>Disavino</w:t>
      </w:r>
      <w:proofErr w:type="spellEnd"/>
      <w:r w:rsidRPr="00BE0692">
        <w:rPr>
          <w:rFonts w:ascii="Arial" w:hAnsi="Arial" w:cs="Arial"/>
          <w:color w:val="000000"/>
          <w:kern w:val="0"/>
          <w:sz w:val="27"/>
          <w:szCs w:val="27"/>
          <w14:ligatures w14:val="none"/>
        </w:rPr>
        <w:t>, 2026; Office for National Statistics, 2026; Sheehan, 2024).</w:t>
      </w:r>
    </w:p>
    <w:p w14:paraId="18415FFD"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Social factors:</w:t>
      </w:r>
      <w:r w:rsidRPr="00BE0692">
        <w:rPr>
          <w:rFonts w:ascii="Arial" w:hAnsi="Arial" w:cs="Arial"/>
          <w:color w:val="000000"/>
          <w:kern w:val="0"/>
          <w:sz w:val="27"/>
          <w:szCs w:val="27"/>
          <w14:ligatures w14:val="none"/>
        </w:rPr>
        <w:t xml:space="preserve"> Fashion trends, social media and growing environmental awareness increasingly influence purchasing behaviour. While Primark </w:t>
      </w:r>
      <w:r w:rsidRPr="00BE0692">
        <w:rPr>
          <w:rFonts w:ascii="Arial" w:hAnsi="Arial" w:cs="Arial"/>
          <w:color w:val="000000"/>
          <w:kern w:val="0"/>
          <w:sz w:val="27"/>
          <w:szCs w:val="27"/>
          <w14:ligatures w14:val="none"/>
        </w:rPr>
        <w:lastRenderedPageBreak/>
        <w:t>attracts customers seeking low prices, more people are looking for eco-friendly and ethical products. It means that more investment is needed to support fair and responsible retailing (Mintel, 2026; McKinsey &amp; Co., 2026).</w:t>
      </w:r>
    </w:p>
    <w:p w14:paraId="1F0C1D77"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Technological factors: </w:t>
      </w:r>
      <w:r w:rsidRPr="00BE0692">
        <w:rPr>
          <w:rFonts w:ascii="Arial" w:hAnsi="Arial" w:cs="Arial"/>
          <w:color w:val="000000"/>
          <w:kern w:val="0"/>
          <w:sz w:val="27"/>
          <w:szCs w:val="27"/>
          <w14:ligatures w14:val="none"/>
        </w:rPr>
        <w:t>Customer expectations have shifted due to advances in mobile technology, data analytics, and online shopping. Primark's focus on physical stores remains an advantage, but it needs to continue investing in online services and digital marketing to stay competitive (Chaffey and Ellis-Chadwick, 2019; Euromonitor International, 2025).</w:t>
      </w:r>
    </w:p>
    <w:p w14:paraId="2ED32CAF"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Environmental factors: </w:t>
      </w:r>
      <w:r w:rsidRPr="00BE0692">
        <w:rPr>
          <w:rFonts w:ascii="Arial" w:hAnsi="Arial" w:cs="Arial"/>
          <w:color w:val="000000"/>
          <w:kern w:val="0"/>
          <w:sz w:val="27"/>
          <w:szCs w:val="27"/>
          <w14:ligatures w14:val="none"/>
        </w:rPr>
        <w:t>More people want businesses to be eco-friendly by reducing carbon emissions, cutting fabric waste, and using fewer resources because they are concerned about the environment. Primark's sustainability programs, like Primark Cares, promote responsible business practices and build trust with customers and partners (Primark, 2024).</w:t>
      </w:r>
    </w:p>
    <w:p w14:paraId="7665EFDE" w14:textId="77777777" w:rsidR="00BE0692" w:rsidRPr="00BE0692" w:rsidRDefault="00BE0692" w:rsidP="00BE0692">
      <w:pPr>
        <w:spacing w:before="75" w:after="75"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Legal factors: </w:t>
      </w:r>
      <w:r w:rsidRPr="00BE0692">
        <w:rPr>
          <w:rFonts w:ascii="Arial" w:hAnsi="Arial" w:cs="Arial"/>
          <w:color w:val="000000"/>
          <w:kern w:val="0"/>
          <w:sz w:val="27"/>
          <w:szCs w:val="27"/>
          <w14:ligatures w14:val="none"/>
        </w:rPr>
        <w:t>Primark must comply with regulations governing employment, consumer protection, product safety, and ethical sourcing. Following the law reduces risks for the business, protects the brand's reputation, and helps ensure long-term financial success (UK Government, 2024).</w:t>
      </w:r>
    </w:p>
    <w:p w14:paraId="3FAFFDA0" w14:textId="77777777" w:rsidR="00BE0692" w:rsidRPr="00BE0692" w:rsidRDefault="00BE0692" w:rsidP="00BE0692">
      <w:pPr>
        <w:spacing w:before="270" w:after="60" w:line="240" w:lineRule="auto"/>
        <w:jc w:val="both"/>
        <w:rPr>
          <w:rFonts w:ascii="-webkit-standard" w:hAnsi="-webkit-standard" w:cs="Times New Roman" w:hint="eastAsia"/>
          <w:color w:val="000000"/>
          <w:kern w:val="0"/>
          <w:sz w:val="27"/>
          <w:szCs w:val="27"/>
          <w14:ligatures w14:val="none"/>
        </w:rPr>
      </w:pPr>
      <w:bookmarkStart w:id="18" w:name="_Toc234564250"/>
      <w:bookmarkStart w:id="19" w:name="_Toc234565371"/>
      <w:bookmarkStart w:id="20" w:name="_Toc234565486"/>
      <w:bookmarkStart w:id="21" w:name="_Toc234575770"/>
      <w:bookmarkStart w:id="22" w:name="_Toc235269913"/>
      <w:bookmarkStart w:id="23" w:name="_Toc235280829"/>
      <w:bookmarkEnd w:id="18"/>
      <w:bookmarkEnd w:id="19"/>
      <w:bookmarkEnd w:id="20"/>
      <w:bookmarkEnd w:id="21"/>
      <w:bookmarkEnd w:id="22"/>
      <w:bookmarkEnd w:id="23"/>
      <w:r w:rsidRPr="00BE0692">
        <w:rPr>
          <w:rFonts w:ascii="Calibri Light" w:hAnsi="Calibri Light" w:cs="Times New Roman"/>
          <w:b/>
          <w:bCs/>
          <w:color w:val="2F5496"/>
          <w:kern w:val="0"/>
          <w:sz w:val="30"/>
          <w:szCs w:val="30"/>
          <w14:ligatures w14:val="none"/>
        </w:rPr>
        <w:t>Marketing Strategy: STP Analysis, Integrated Marketing and Ansoff Matrix</w:t>
      </w:r>
    </w:p>
    <w:p w14:paraId="5DA1C534" w14:textId="77777777" w:rsidR="00BE0692" w:rsidRPr="00BE0692" w:rsidRDefault="00BE0692" w:rsidP="00BE0692">
      <w:pPr>
        <w:spacing w:before="120" w:after="60" w:line="240" w:lineRule="auto"/>
        <w:rPr>
          <w:rFonts w:ascii="-webkit-standard" w:hAnsi="-webkit-standard" w:cs="Times New Roman" w:hint="eastAsia"/>
          <w:color w:val="000000"/>
          <w:kern w:val="0"/>
          <w:sz w:val="27"/>
          <w:szCs w:val="27"/>
          <w14:ligatures w14:val="none"/>
        </w:rPr>
      </w:pPr>
      <w:bookmarkStart w:id="24" w:name="_Toc234564251"/>
      <w:bookmarkStart w:id="25" w:name="_Toc234565372"/>
      <w:bookmarkStart w:id="26" w:name="_Toc234565487"/>
      <w:bookmarkStart w:id="27" w:name="_Toc234575771"/>
      <w:bookmarkStart w:id="28" w:name="_Toc235269914"/>
      <w:bookmarkStart w:id="29" w:name="_Toc235280830"/>
      <w:bookmarkEnd w:id="24"/>
      <w:bookmarkEnd w:id="25"/>
      <w:bookmarkEnd w:id="26"/>
      <w:bookmarkEnd w:id="27"/>
      <w:bookmarkEnd w:id="28"/>
      <w:bookmarkEnd w:id="29"/>
      <w:r w:rsidRPr="00BE0692">
        <w:rPr>
          <w:rFonts w:ascii="Calibri Light" w:hAnsi="Calibri Light" w:cs="Times New Roman"/>
          <w:b/>
          <w:bCs/>
          <w:color w:val="2F5496"/>
          <w:kern w:val="0"/>
          <w:sz w:val="36"/>
          <w:szCs w:val="36"/>
          <w14:ligatures w14:val="none"/>
        </w:rPr>
        <w:t>Segmentation, Targeting and Positioning (STP)</w:t>
      </w:r>
    </w:p>
    <w:p w14:paraId="2217532E"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Businesses can focus on profitable customer </w:t>
      </w:r>
      <w:proofErr w:type="spellStart"/>
      <w:r w:rsidRPr="00BE0692">
        <w:rPr>
          <w:rFonts w:ascii="Arial" w:hAnsi="Arial" w:cs="Arial"/>
          <w:color w:val="000000"/>
          <w:kern w:val="0"/>
          <w:sz w:val="27"/>
          <w:szCs w:val="27"/>
          <w14:ligatures w14:val="none"/>
        </w:rPr>
        <w:t>segmentsby</w:t>
      </w:r>
      <w:proofErr w:type="spellEnd"/>
      <w:r w:rsidRPr="00BE0692">
        <w:rPr>
          <w:rFonts w:ascii="Arial" w:hAnsi="Arial" w:cs="Arial"/>
          <w:color w:val="000000"/>
          <w:kern w:val="0"/>
          <w:sz w:val="27"/>
          <w:szCs w:val="27"/>
          <w14:ligatures w14:val="none"/>
        </w:rPr>
        <w:t xml:space="preserve"> using effective segmentation (Wilson and Gilligan, 2012). Segmentation divides a heterogeneous market into smaller groups with similar needs, characteristics, or behaviours.</w:t>
      </w:r>
    </w:p>
    <w:p w14:paraId="73DEC5C7"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To create focused marketing plans and use resources wisely, targeting involves examining different market segments and selecting the best customers (Jobber and Ellis-Chadwick, 2023).</w:t>
      </w:r>
    </w:p>
    <w:p w14:paraId="44565ABB"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Positioning helps a brand stand out to customers by showing what makes it different and better than its competitors (Kotler and Keller, 2022). Effective marketing strategies should create lasting benefits for customers by effectively positioning products in the market (Hollensen, 2015).</w:t>
      </w:r>
    </w:p>
    <w:p w14:paraId="3FE37FF1"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The Primark market can be segmented using demographic, regional, psychographic and behavioural variables. Demographic categories include youth, students, young adults, families and value-oriented households. Where footfall is high in urban and suburban settings, geographic segmentation is especially important for retail outlets. Psychographic segmentation targets fashion-conscious but price-sensitive clients. Behavioural segmentation includes regular visitors, impulse buyers and seasonal shoppers.</w:t>
      </w:r>
    </w:p>
    <w:p w14:paraId="15B00962"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 xml:space="preserve">Primark’s three key segments in the UK market are youthful, value-conscious fashion customers, often aged 16-30; families and household shoppers seeking value across categories; and mainstream, value-conscious consumers affected by inflation. This is a broad targeting method, which makes sense given that Primark is a mainstream brand with product categories that appeal to each of these demographics. This makes the business inclusive </w:t>
      </w:r>
      <w:proofErr w:type="gramStart"/>
      <w:r w:rsidRPr="00BE0692">
        <w:rPr>
          <w:rFonts w:ascii="Arial" w:hAnsi="Arial" w:cs="Arial"/>
          <w:color w:val="000000"/>
          <w:kern w:val="0"/>
          <w:sz w:val="27"/>
          <w:szCs w:val="27"/>
          <w14:ligatures w14:val="none"/>
        </w:rPr>
        <w:t>and also</w:t>
      </w:r>
      <w:proofErr w:type="gramEnd"/>
      <w:r w:rsidRPr="00BE0692">
        <w:rPr>
          <w:rFonts w:ascii="Arial" w:hAnsi="Arial" w:cs="Arial"/>
          <w:color w:val="000000"/>
          <w:kern w:val="0"/>
          <w:sz w:val="27"/>
          <w:szCs w:val="27"/>
          <w14:ligatures w14:val="none"/>
        </w:rPr>
        <w:t xml:space="preserve"> caters to varied shopping needs.</w:t>
      </w:r>
    </w:p>
    <w:p w14:paraId="1D64BD5C"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Primark could become the UK’s go-to place for inexpensive style, everyday staples and accessible fashion for everybody. This approach should continue to focus on value for money but also highlight product relevance, improve quality and have deeper sustainability commitments.” Primark can enhance its attractiveness in a highly competitive retail industry by combining low prices, style, practicality, and social responsibility.</w:t>
      </w:r>
    </w:p>
    <w:p w14:paraId="3CC13436"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Generally, this segmentation, targeting, and positioning strategy provides Primark with a clear approach to attract a wide range of customers while maintaining a strong and consistent brand identity in the UK market.</w:t>
      </w:r>
    </w:p>
    <w:p w14:paraId="5AFCC186"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E2841"/>
          <w:kern w:val="0"/>
          <w:sz w:val="27"/>
          <w:szCs w:val="27"/>
          <w14:ligatures w14:val="none"/>
        </w:rPr>
        <w:t>Integrated Marketing Strategy</w:t>
      </w:r>
    </w:p>
    <w:p w14:paraId="2D991D94"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To create a consistent experience for customers and meet goals, an integrated marketing strategy ensures that all marketing efforts and communication tools work together (Kotler and Keller, 2022).</w:t>
      </w:r>
    </w:p>
    <w:p w14:paraId="66107FD2"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To improve its sales results in the UK, Primark should develop a more holistic, tightly integrated marketing strategy that integrates store merchandising, social media advertising, influencer partnerships, seasonal promotions, digital browsing assistance, and transparent communication of its sustainability efforts. Instead of siloing these operations, the corporation should ensure that each channel supports the others and reinforces a cohesive brand message. A clear messaging approach that emphasises cost, on-trend style, and smarter consumer choice would help Primark appeal to its broad target audience while also distinguishing the brand in a competitive retail environment. This messaging should be consistent across physical stores, online touchpoints, and promotional campaigns, so people get the same basic impression of the brand wherever they encounter it.</w:t>
      </w:r>
    </w:p>
    <w:p w14:paraId="220478F4"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This plan should still include in-store merchandising playing a key part, as Primark’s stores are one of its biggest assets. Product displays, window presentations, signage and themed layouts can be utilised to promote major collections and value-led offers. Online promotions that resemble in-store promotions are more likely to lead customers to identify featured products and act on their purchase intentions. For example, a back-to-school promotion on TikTok or Instagram should be immediately apparent in-store with displays, pricing messages, and easy-to-browse areas. This kind of consistency helps to bridge the gap between awareness and purchase, making the consumer journey more fluid and persuasive.</w:t>
      </w:r>
    </w:p>
    <w:p w14:paraId="20A0DE11"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Social media advertising should also be a major part of efforts to increase visibility and drive store visits. Primark has many channels to reach different audiences at different stages of the purchasing journey, including social media such as Instagram, TikTok, and YouTube, as well as email. Instagram and TikTok are particularly useful for showcasing visually stimulating fashion trends, style ideas, limited-time deals, and seasonal product ranges. YouTube may accommodate longer-form content such as haul films, styling instructions, behind-the-scenes brand storytelling or sustainability pieces. Moreover, email marketing may be utilised to strengthen campaigns, promote seasonal specials, provide business updates and remind customers of critical buying periods. However, when these platforms are used in combination, not in isolation, they deliver recurrent exposure that can build awareness, enhance recall, and drive store traffic.</w:t>
      </w:r>
    </w:p>
    <w:p w14:paraId="5673F935"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Influencer collaborations can provide social proof and relatability, making this tactic even more powerful. Primark’s target demographic comprises students, young adults, families, and value-conscious shoppers; thus, collaborating with a mix of lifestyle, fashion, parenting, and student influencers could help the business connect with these groups more authentically. Influencers may show how Primark products can be used in real life, whether through styling videos, budget shopping challenges, family outfit ideas, or seasonal buying tips. These collaborations punch above their weight, especially when they tie in with the retail calendar, such as back-to-school, holiday shopping, summer wardrobe refresh, or student campaigns at the start of a new academic year. The more Primark can choose influencers whose audiences match its campaign aims, the more relatable and convincing its messaging will be.</w:t>
      </w:r>
    </w:p>
    <w:p w14:paraId="3A2C4796"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Seasonal promotions need to be well-planned into the overall integrated campaign schedule. Retail demand in the UK is significantly influenced by periods such as back-to-school shopping, Christmas, summer holidays and transitional fashion months. Primark may leverage these opportunities to run concentrated campaigns that include retail, digital content, influencer activations and promotional messages. For instance, family-value marketing could promote discounted apparel bundles, baby essentials, or celebration homeware, while holiday campaigns should focus on gifting, party gear, and seasonal ornaments. Student advertising might focus on cost, trend-led fashion and practical wardrobe requirements for campus life. These promotions work better when customers are exposed to the same themes across shop environments, social media, email communications, and even influencer content.</w:t>
      </w:r>
    </w:p>
    <w:p w14:paraId="4FC31D75"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Another key aspect is digital browsing capability, especially for a business that relies heavily on in-store purchases. Even if customers buy in-store, they often prefer to browse products online, check trends and availability, or plan their purchases. Improving digital browsing options will help Primark </w:t>
      </w:r>
      <w:r w:rsidRPr="00BE0692">
        <w:rPr>
          <w:rFonts w:ascii="Arial" w:hAnsi="Arial" w:cs="Arial"/>
          <w:color w:val="000000"/>
          <w:kern w:val="0"/>
          <w:sz w:val="27"/>
          <w:szCs w:val="27"/>
          <w14:ligatures w14:val="none"/>
        </w:rPr>
        <w:lastRenderedPageBreak/>
        <w:t>enhance pre-purchase decision-making and drive more meaningful store visits. Features like wish-list capabilities, style inspiration, tailored seasonal edits, product previews and store-based availability information might all improve the buying experience. This is especially true for younger, mobile-first consumers who expect a certain level of ease and digital assistance before they even set foot in a store. In this respect, internet browsing should not be seen as a replacement for physical retail, but as a supporting mechanism that supports it.</w:t>
      </w:r>
    </w:p>
    <w:p w14:paraId="0B4DF4CA"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Sustainability communication should be part of the marketing plan, too, but it </w:t>
      </w:r>
      <w:proofErr w:type="gramStart"/>
      <w:r w:rsidRPr="00BE0692">
        <w:rPr>
          <w:rFonts w:ascii="Arial" w:hAnsi="Arial" w:cs="Arial"/>
          <w:color w:val="000000"/>
          <w:kern w:val="0"/>
          <w:sz w:val="27"/>
          <w:szCs w:val="27"/>
          <w14:ligatures w14:val="none"/>
        </w:rPr>
        <w:t>has to</w:t>
      </w:r>
      <w:proofErr w:type="gramEnd"/>
      <w:r w:rsidRPr="00BE0692">
        <w:rPr>
          <w:rFonts w:ascii="Arial" w:hAnsi="Arial" w:cs="Arial"/>
          <w:color w:val="000000"/>
          <w:kern w:val="0"/>
          <w:sz w:val="27"/>
          <w:szCs w:val="27"/>
          <w14:ligatures w14:val="none"/>
        </w:rPr>
        <w:t xml:space="preserve"> be clear, accessible, and believable. With growing consumer awareness of environmental and ethical issues, many buyers are seeking greater value without assuming that low costs inherently indicate poor accountability. Primark can tackle this problem by sharing basic information on more sustainable materials, product longevity, ethical sourcing, recycling programs, and responsible production practices. Critically, this messaging should not diminish the brand’s primary value proposition but should build on it and position Primark as a retailer that enables customers to make wiser, more informed decisions. In other words, sustainability communication should be about greater understanding and accountability in fulfilling the brand's larger promise of cheap style.</w:t>
      </w:r>
    </w:p>
    <w:p w14:paraId="48B49058"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The success of the entire plan hinges on the coherence of the communication strategy. “If Primark wants customers to think about the brand as cost, style and a smarter consumer choice, then every campaign and customer touchpoint </w:t>
      </w:r>
      <w:proofErr w:type="gramStart"/>
      <w:r w:rsidRPr="00BE0692">
        <w:rPr>
          <w:rFonts w:ascii="Arial" w:hAnsi="Arial" w:cs="Arial"/>
          <w:color w:val="000000"/>
          <w:kern w:val="0"/>
          <w:sz w:val="27"/>
          <w:szCs w:val="27"/>
          <w14:ligatures w14:val="none"/>
        </w:rPr>
        <w:t>has to</w:t>
      </w:r>
      <w:proofErr w:type="gramEnd"/>
      <w:r w:rsidRPr="00BE0692">
        <w:rPr>
          <w:rFonts w:ascii="Arial" w:hAnsi="Arial" w:cs="Arial"/>
          <w:color w:val="000000"/>
          <w:kern w:val="0"/>
          <w:sz w:val="27"/>
          <w:szCs w:val="27"/>
          <w14:ligatures w14:val="none"/>
        </w:rPr>
        <w:t xml:space="preserve"> embody those ideas. Price-driven promotions should still look stylish and contemporary, and style-driven content should still highlight affordability. Similarly, sustainability messaging should be conveyed in a way that feels practical and relevant, rather than abstract or unduly corporate. A fragmented message will dilute the impact. But a consistent one can enhance brand awareness, create trust and make campaigns more memorable over time.</w:t>
      </w:r>
    </w:p>
    <w:p w14:paraId="52126B31"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Primark might benefit from an integrated marketing approach that combines physical retail strengths with digital communication and seasonal relevance. In-store merchandising may turn attention into purchase; social media and email can create awareness and interest; influencer collaborations can boost authenticity and reach; internet browsing can provide ease for consumers; and sustainability messaging can strengthen brand perception. By aligning all these elements with a clear, consistent message, Primark is more likely to raise awareness and drive shop visits and sales in the United Kingdom.</w:t>
      </w:r>
    </w:p>
    <w:p w14:paraId="27A70DDF"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E2841"/>
          <w:kern w:val="0"/>
          <w:sz w:val="27"/>
          <w:szCs w:val="27"/>
          <w14:ligatures w14:val="none"/>
        </w:rPr>
        <w:t>Ansoff Matrix</w:t>
      </w:r>
    </w:p>
    <w:p w14:paraId="4ECBDA09"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The Ansoff Matrix is a tool for planning business growth. It helps companies find ways to grow by creating new products, entering new markets, expanding in current markets, or diversifying their offerings (Ansoff, 1957).</w:t>
      </w:r>
    </w:p>
    <w:tbl>
      <w:tblPr>
        <w:tblW w:w="0" w:type="auto"/>
        <w:tblCellMar>
          <w:top w:w="15" w:type="dxa"/>
          <w:left w:w="15" w:type="dxa"/>
          <w:bottom w:w="15" w:type="dxa"/>
          <w:right w:w="15" w:type="dxa"/>
        </w:tblCellMar>
        <w:tblLook w:val="04A0" w:firstRow="1" w:lastRow="0" w:firstColumn="1" w:lastColumn="0" w:noHBand="0" w:noVBand="1"/>
      </w:tblPr>
      <w:tblGrid>
        <w:gridCol w:w="1681"/>
        <w:gridCol w:w="2051"/>
        <w:gridCol w:w="2051"/>
      </w:tblGrid>
      <w:tr w:rsidR="00BE0692" w:rsidRPr="00BE0692" w14:paraId="3FF2012A"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D7863AE"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lastRenderedPageBreak/>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E95174E"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Existing Markets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8ABC004"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New Markets</w:t>
            </w:r>
          </w:p>
        </w:tc>
      </w:tr>
      <w:tr w:rsidR="00BE0692" w:rsidRPr="00BE0692" w14:paraId="0C408A13"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2238C70"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Existing Products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8CF78E8"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Marketing Penetration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A5E3C69"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Marketing Development</w:t>
            </w:r>
          </w:p>
        </w:tc>
      </w:tr>
      <w:tr w:rsidR="00BE0692" w:rsidRPr="00BE0692" w14:paraId="3FF2C7EC"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2FDAD08"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New Products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8E3D33C"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Marketing Development</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72BA200" w14:textId="77777777" w:rsidR="00BE0692" w:rsidRPr="00BE0692" w:rsidRDefault="00BE0692" w:rsidP="00BE0692">
            <w:pPr>
              <w:spacing w:after="0" w:line="480" w:lineRule="auto"/>
              <w:jc w:val="both"/>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Diversification</w:t>
            </w:r>
          </w:p>
        </w:tc>
      </w:tr>
    </w:tbl>
    <w:p w14:paraId="5FEC6E1E"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w:t>
      </w:r>
    </w:p>
    <w:p w14:paraId="0C495662"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Table 1: Ansoff Matrix</w:t>
      </w:r>
    </w:p>
    <w:p w14:paraId="7483AD23"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As explained in the table above, Primark’s approach in new and existing markets. Primark's optimal growth strategies are market penetration and product development. Primark can boost purchase frequency, increase basket size and enhance traffic during crucial shopping periods through market penetration. Product development allows the corporation to extend sustainable lines, improve durability on essentials, grow beauty and homeware ranges and introduce exclusive limited collections. These tactics carry less risk than diversification and fit with Primark’s current strengths and brand position.</w:t>
      </w:r>
    </w:p>
    <w:p w14:paraId="7A96191D" w14:textId="77777777" w:rsidR="00BE0692" w:rsidRPr="00BE0692" w:rsidRDefault="00BE0692" w:rsidP="00BE0692">
      <w:pPr>
        <w:spacing w:before="270" w:after="60" w:line="240" w:lineRule="auto"/>
        <w:rPr>
          <w:rFonts w:ascii="-webkit-standard" w:hAnsi="-webkit-standard" w:cs="Times New Roman" w:hint="eastAsia"/>
          <w:color w:val="000000"/>
          <w:kern w:val="0"/>
          <w:sz w:val="27"/>
          <w:szCs w:val="27"/>
          <w14:ligatures w14:val="none"/>
        </w:rPr>
      </w:pPr>
      <w:bookmarkStart w:id="30" w:name="_Toc234565373"/>
      <w:bookmarkStart w:id="31" w:name="_Toc234565488"/>
      <w:bookmarkStart w:id="32" w:name="_Toc234575772"/>
      <w:bookmarkStart w:id="33" w:name="_Toc235269915"/>
      <w:bookmarkStart w:id="34" w:name="_Toc235280831"/>
      <w:bookmarkEnd w:id="30"/>
      <w:bookmarkEnd w:id="31"/>
      <w:bookmarkEnd w:id="32"/>
      <w:bookmarkEnd w:id="33"/>
      <w:bookmarkEnd w:id="34"/>
      <w:r w:rsidRPr="00BE0692">
        <w:rPr>
          <w:rFonts w:ascii="Calibri Light" w:hAnsi="Calibri Light" w:cs="Times New Roman"/>
          <w:b/>
          <w:bCs/>
          <w:color w:val="2F5496"/>
          <w:kern w:val="0"/>
          <w:sz w:val="30"/>
          <w:szCs w:val="30"/>
          <w14:ligatures w14:val="none"/>
        </w:rPr>
        <w:t>Marketing Mix Strategies: 7Ps</w:t>
      </w:r>
    </w:p>
    <w:p w14:paraId="6B4E620C"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The 7Ps of marketing are a set of ideas used to plan how to sell products. It includes product, price, location, promotion, people, process, and proof of how well marketing is working (Jobber and Ellis-Chadwick, 2023</w:t>
      </w:r>
      <w:proofErr w:type="gramStart"/>
      <w:r w:rsidRPr="00BE0692">
        <w:rPr>
          <w:rFonts w:ascii="Arial" w:hAnsi="Arial" w:cs="Arial"/>
          <w:color w:val="000000"/>
          <w:kern w:val="0"/>
          <w:sz w:val="27"/>
          <w:szCs w:val="27"/>
          <w14:ligatures w14:val="none"/>
        </w:rPr>
        <w:t>).According</w:t>
      </w:r>
      <w:proofErr w:type="gramEnd"/>
      <w:r w:rsidRPr="00BE0692">
        <w:rPr>
          <w:rFonts w:ascii="Arial" w:hAnsi="Arial" w:cs="Arial"/>
          <w:color w:val="000000"/>
          <w:kern w:val="0"/>
          <w:sz w:val="27"/>
          <w:szCs w:val="27"/>
          <w14:ligatures w14:val="none"/>
        </w:rPr>
        <w:t xml:space="preserve"> to Blythe and Martin (2019), the marketing mix should create value for customers by making coordinated choices.</w:t>
      </w:r>
    </w:p>
    <w:p w14:paraId="39145195"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Product</w:t>
      </w:r>
    </w:p>
    <w:p w14:paraId="5B8A9845"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Primark should continue to offer trend-leading apparel, everyday necessities, family bundles and seasonal collections, but improve perceived quality and product longevity. More prominent sustainable labels and special capsule varieties can also promote differentiation and urgency.</w:t>
      </w:r>
    </w:p>
    <w:p w14:paraId="6F00726B"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Price</w:t>
      </w:r>
    </w:p>
    <w:p w14:paraId="7F326D86"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The key competitive advantage of Primark is its price. The business should be value-priced, with a tiered product design that offers very low entry costs, supported by somewhat higher-margin, higher-quality, or more sustainable ranges.</w:t>
      </w:r>
    </w:p>
    <w:p w14:paraId="4CA0BB38"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Place</w:t>
      </w:r>
    </w:p>
    <w:p w14:paraId="4D3B31D4"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Place is a key feature as Primark has huge, accessible physical stores in prime retail locations. Stores should remain the firm’s primary channel, but before visits, the business should improve navigation, communicate stock more clearly and provide digital support to make the journey more convenient.</w:t>
      </w:r>
    </w:p>
    <w:p w14:paraId="72F36DBA"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Promotion </w:t>
      </w:r>
    </w:p>
    <w:p w14:paraId="7FC55EFE"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Promotion could include social media, influencer involvement, seasonal campaigns, visual merchandising, campaigns targeting students and clearer communication of Primark Cares successes. Messaging should focus on looking nice, saving money and making smarter choices without compromising on affordability.</w:t>
      </w:r>
    </w:p>
    <w:p w14:paraId="51DA422A"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People</w:t>
      </w:r>
    </w:p>
    <w:p w14:paraId="3D2923E5"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xml:space="preserve">Primark is a store-led </w:t>
      </w:r>
      <w:proofErr w:type="gramStart"/>
      <w:r w:rsidRPr="00BE0692">
        <w:rPr>
          <w:rFonts w:ascii="Arial" w:hAnsi="Arial" w:cs="Arial"/>
          <w:color w:val="000000"/>
          <w:kern w:val="0"/>
          <w:sz w:val="27"/>
          <w:szCs w:val="27"/>
          <w14:ligatures w14:val="none"/>
        </w:rPr>
        <w:t>brand,</w:t>
      </w:r>
      <w:proofErr w:type="gramEnd"/>
      <w:r w:rsidRPr="00BE0692">
        <w:rPr>
          <w:rFonts w:ascii="Arial" w:hAnsi="Arial" w:cs="Arial"/>
          <w:color w:val="000000"/>
          <w:kern w:val="0"/>
          <w:sz w:val="27"/>
          <w:szCs w:val="27"/>
          <w14:ligatures w14:val="none"/>
        </w:rPr>
        <w:t xml:space="preserve"> thus staff are key to the consumer experience. Staff training should include service quality, merchandising knowledge, and efficiency in replenishing and upselling at critical touchpoints.</w:t>
      </w:r>
    </w:p>
    <w:p w14:paraId="6E52CB79"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Process </w:t>
      </w:r>
    </w:p>
    <w:p w14:paraId="7954E581"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Primark should improve checkout flow, fitting-room access, signage, stock replenishment and navigation by category. Making the purchasing experience easier can boost satisfaction and conversion.</w:t>
      </w:r>
    </w:p>
    <w:p w14:paraId="48F56C24"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b/>
          <w:bCs/>
          <w:color w:val="000000"/>
          <w:kern w:val="0"/>
          <w:sz w:val="27"/>
          <w:szCs w:val="27"/>
          <w14:ligatures w14:val="none"/>
        </w:rPr>
        <w:t>Physical evidence</w:t>
      </w:r>
    </w:p>
    <w:p w14:paraId="0A4278AC"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Physical evidence comprises the store layout, cleanliness, merchandising, product display, signs, packaging and quality of the fitting room. These cues are very important to how shoppers see the value and quality in the store.</w:t>
      </w:r>
    </w:p>
    <w:p w14:paraId="331C1EEC" w14:textId="77777777" w:rsidR="00BE0692" w:rsidRPr="00BE0692" w:rsidRDefault="00BE0692" w:rsidP="00BE0692">
      <w:pPr>
        <w:spacing w:before="270" w:after="60" w:line="240" w:lineRule="auto"/>
        <w:jc w:val="both"/>
        <w:rPr>
          <w:rFonts w:ascii="-webkit-standard" w:hAnsi="-webkit-standard" w:cs="Times New Roman" w:hint="eastAsia"/>
          <w:color w:val="000000"/>
          <w:kern w:val="0"/>
          <w:sz w:val="27"/>
          <w:szCs w:val="27"/>
          <w14:ligatures w14:val="none"/>
        </w:rPr>
      </w:pPr>
      <w:bookmarkStart w:id="35" w:name="_Toc234564252"/>
      <w:bookmarkStart w:id="36" w:name="_Toc234565374"/>
      <w:bookmarkStart w:id="37" w:name="_Toc234565489"/>
      <w:bookmarkStart w:id="38" w:name="_Toc234575773"/>
      <w:bookmarkStart w:id="39" w:name="_Toc235269916"/>
      <w:bookmarkStart w:id="40" w:name="_Toc235280832"/>
      <w:bookmarkEnd w:id="35"/>
      <w:bookmarkEnd w:id="36"/>
      <w:bookmarkEnd w:id="37"/>
      <w:bookmarkEnd w:id="38"/>
      <w:bookmarkEnd w:id="39"/>
      <w:bookmarkEnd w:id="40"/>
      <w:r w:rsidRPr="00BE0692">
        <w:rPr>
          <w:rFonts w:ascii="Calibri Light" w:hAnsi="Calibri Light" w:cs="Times New Roman"/>
          <w:b/>
          <w:bCs/>
          <w:color w:val="2F5496"/>
          <w:kern w:val="0"/>
          <w:sz w:val="30"/>
          <w:szCs w:val="30"/>
          <w14:ligatures w14:val="none"/>
        </w:rPr>
        <w:t>Implementation and Control: Balanced Scorecard and KPIs</w:t>
      </w:r>
    </w:p>
    <w:p w14:paraId="58DB25AA"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Implementation will occur over 12 months and will be broken into three general phases. In the first phase, Primark should analyse customer data to identify key customer segments in the UK market. The organisation should also set a clear marketing schedule at this time to determine when to launch campaigns, run promotions, and communicate priorities. This will ensure that the most valuable resources are allocated to the right target groups and that marketing efforts are planned effectively.</w:t>
      </w:r>
    </w:p>
    <w:p w14:paraId="6A40D41B"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In phase two, Primark needs to adopt a holistic marketing strategy across all its platforms. That includes better in-store merchandising to enhance the customer experience and help customers make a buying decision. Additionally, the firm ought to engage in targeted product development efforts to ensure its offerings are better aligned with client preferences and market trends. These measures will help to increase brand positioning and improve the entire purchasing experience.</w:t>
      </w:r>
    </w:p>
    <w:p w14:paraId="5415F87C"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The last phase should include monthly performance monitoring and adjustment of Primark’s actions based on the findings. The key performance indicator should be sales income, consumer footfall, conversion rates and marketing effectiveness. Regularly assessing these measures can help the business see what is functioning effectively and where changes are needed. This continuous evaluation method will enable Primark to adapt rapidly to customer behaviour and market developments, as well as increase the efficiency of its strategy over time.</w:t>
      </w:r>
    </w:p>
    <w:p w14:paraId="69EA7D5E"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In short, this staged approach gives Primark a practical and disciplined framework for implementing its strategy. As a result, the company is now able to link customer intelligence, marketing activity and performance monitoring in a coordinated and measurable fashion.</w:t>
      </w:r>
    </w:p>
    <w:p w14:paraId="63D8748F" w14:textId="77777777" w:rsidR="00BE0692" w:rsidRPr="00BE0692" w:rsidRDefault="00BE0692" w:rsidP="00BE0692">
      <w:pPr>
        <w:spacing w:before="120" w:after="60" w:line="240" w:lineRule="auto"/>
        <w:rPr>
          <w:rFonts w:ascii="-webkit-standard" w:hAnsi="-webkit-standard" w:cs="Times New Roman" w:hint="eastAsia"/>
          <w:color w:val="000000"/>
          <w:kern w:val="0"/>
          <w:sz w:val="27"/>
          <w:szCs w:val="27"/>
          <w14:ligatures w14:val="none"/>
        </w:rPr>
      </w:pPr>
      <w:bookmarkStart w:id="41" w:name="_Toc234564253"/>
      <w:bookmarkStart w:id="42" w:name="_Toc234565375"/>
      <w:bookmarkStart w:id="43" w:name="_Toc234565490"/>
      <w:bookmarkStart w:id="44" w:name="_Toc234575774"/>
      <w:bookmarkStart w:id="45" w:name="_Toc235269917"/>
      <w:bookmarkStart w:id="46" w:name="_Toc235280833"/>
      <w:bookmarkEnd w:id="41"/>
      <w:bookmarkEnd w:id="42"/>
      <w:bookmarkEnd w:id="43"/>
      <w:bookmarkEnd w:id="44"/>
      <w:bookmarkEnd w:id="45"/>
      <w:bookmarkEnd w:id="46"/>
      <w:r w:rsidRPr="00BE0692">
        <w:rPr>
          <w:rFonts w:ascii="Calibri Light" w:hAnsi="Calibri Light" w:cs="Times New Roman"/>
          <w:b/>
          <w:bCs/>
          <w:color w:val="2F5496"/>
          <w:kern w:val="0"/>
          <w:sz w:val="36"/>
          <w:szCs w:val="36"/>
          <w14:ligatures w14:val="none"/>
        </w:rPr>
        <w:t>Key Performance Indicators (KPIs)</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3603"/>
        <w:gridCol w:w="4112"/>
      </w:tblGrid>
      <w:tr w:rsidR="00BE0692" w:rsidRPr="00BE0692" w14:paraId="4126EB2A"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01FC83FF" w14:textId="77777777" w:rsidR="00BE0692" w:rsidRPr="00BE0692" w:rsidRDefault="00BE0692" w:rsidP="00BE0692">
            <w:pPr>
              <w:spacing w:after="0" w:line="240" w:lineRule="auto"/>
              <w:jc w:val="center"/>
              <w:rPr>
                <w:rFonts w:ascii="-webkit-standard" w:hAnsi="-webkit-standard" w:cs="Times New Roman" w:hint="eastAsia"/>
                <w:kern w:val="0"/>
                <w:sz w:val="18"/>
                <w:szCs w:val="18"/>
                <w14:ligatures w14:val="none"/>
              </w:rPr>
            </w:pPr>
            <w:r w:rsidRPr="00BE0692">
              <w:rPr>
                <w:rFonts w:ascii="Arial" w:hAnsi="Arial" w:cs="Arial"/>
                <w:b/>
                <w:bCs/>
                <w:kern w:val="0"/>
                <w:sz w:val="18"/>
                <w:szCs w:val="18"/>
                <w14:ligatures w14:val="none"/>
              </w:rPr>
              <w:t>KPI</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606C48" w14:textId="77777777" w:rsidR="00BE0692" w:rsidRPr="00BE0692" w:rsidRDefault="00BE0692" w:rsidP="00BE0692">
            <w:pPr>
              <w:spacing w:after="0" w:line="240" w:lineRule="auto"/>
              <w:jc w:val="center"/>
              <w:rPr>
                <w:rFonts w:ascii="-webkit-standard" w:hAnsi="-webkit-standard" w:cs="Times New Roman" w:hint="eastAsia"/>
                <w:kern w:val="0"/>
                <w:sz w:val="18"/>
                <w:szCs w:val="18"/>
                <w14:ligatures w14:val="none"/>
              </w:rPr>
            </w:pPr>
            <w:r w:rsidRPr="00BE0692">
              <w:rPr>
                <w:rFonts w:ascii="Arial" w:hAnsi="Arial" w:cs="Arial"/>
                <w:b/>
                <w:bCs/>
                <w:kern w:val="0"/>
                <w:sz w:val="18"/>
                <w:szCs w:val="18"/>
                <w14:ligatures w14:val="none"/>
              </w:rPr>
              <w:t>Target</w:t>
            </w:r>
          </w:p>
        </w:tc>
      </w:tr>
      <w:tr w:rsidR="00BE0692" w:rsidRPr="00BE0692" w14:paraId="37F77E3A"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0D186F0C"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Sales revenue growth</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D68C917"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raise sales income in the UK by 12%</w:t>
            </w:r>
          </w:p>
        </w:tc>
      </w:tr>
      <w:tr w:rsidR="00BE0692" w:rsidRPr="00BE0692" w14:paraId="27CF2B71"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2CB24F1D"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Like-for-like retail sales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F91CF6B"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reach an 8% growth rate</w:t>
            </w:r>
          </w:p>
        </w:tc>
      </w:tr>
      <w:tr w:rsidR="00BE0692" w:rsidRPr="00BE0692" w14:paraId="0FA3B2F6"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51C25349"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Average value of a basket</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2701EB11"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Increase by </w:t>
            </w:r>
            <w:r w:rsidRPr="00BE0692">
              <w:rPr>
                <w:rFonts w:ascii="Arial" w:hAnsi="Arial" w:cs="Arial"/>
                <w:b/>
                <w:bCs/>
                <w:kern w:val="0"/>
                <w:sz w:val="18"/>
                <w:szCs w:val="18"/>
                <w14:ligatures w14:val="none"/>
              </w:rPr>
              <w:t>8%</w:t>
            </w:r>
            <w:r w:rsidRPr="00BE0692">
              <w:rPr>
                <w:rFonts w:ascii="Arial" w:hAnsi="Arial" w:cs="Arial"/>
                <w:kern w:val="0"/>
                <w:sz w:val="18"/>
                <w:szCs w:val="18"/>
                <w14:ligatures w14:val="none"/>
              </w:rPr>
              <w:t> in a year</w:t>
            </w:r>
          </w:p>
        </w:tc>
      </w:tr>
      <w:tr w:rsidR="00BE0692" w:rsidRPr="00BE0692" w14:paraId="0DBFB3D1"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16153B4C"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Foot traffic in stores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790815D"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raise by 10%</w:t>
            </w:r>
          </w:p>
        </w:tc>
      </w:tr>
      <w:tr w:rsidR="00BE0692" w:rsidRPr="00BE0692" w14:paraId="6F6FA069"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0E62030A"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Rate of Conversion</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11B4D41"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increase from 35% to 40%</w:t>
            </w:r>
          </w:p>
        </w:tc>
      </w:tr>
      <w:tr w:rsidR="00BE0692" w:rsidRPr="00BE0692" w14:paraId="6A5348EC"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2869C845"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Each transaction’s units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7D34B6BC"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raise by 5%</w:t>
            </w:r>
          </w:p>
        </w:tc>
      </w:tr>
      <w:tr w:rsidR="00BE0692" w:rsidRPr="00BE0692" w14:paraId="1E3F1BD8"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182184E4"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Score for customer satisfaction</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58F3DBAB"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Reach 90% client satisfaction</w:t>
            </w:r>
          </w:p>
        </w:tc>
      </w:tr>
      <w:tr w:rsidR="00BE0692" w:rsidRPr="00BE0692" w14:paraId="56498B93"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761BF672"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Rate of social media involvement</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29CA7079"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raise engagement by 25%.</w:t>
            </w:r>
          </w:p>
        </w:tc>
      </w:tr>
      <w:tr w:rsidR="00BE0692" w:rsidRPr="00BE0692" w14:paraId="32CA3F65"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5E7C7A64"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Return on investment (ROI) for a campaign)</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68702F0F"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a year, reach a minimum ROI of 250%.</w:t>
            </w:r>
          </w:p>
        </w:tc>
      </w:tr>
      <w:tr w:rsidR="00BE0692" w:rsidRPr="00BE0692" w14:paraId="08BBCCC1" w14:textId="77777777">
        <w:tc>
          <w:tcPr>
            <w:tcW w:w="0" w:type="auto"/>
            <w:tcBorders>
              <w:top w:val="single" w:sz="6" w:space="0" w:color="000000"/>
              <w:left w:val="single" w:sz="6" w:space="0" w:color="000000"/>
              <w:bottom w:val="single" w:sz="6" w:space="0" w:color="000000"/>
              <w:right w:val="single" w:sz="6" w:space="0" w:color="000000"/>
            </w:tcBorders>
            <w:vAlign w:val="center"/>
            <w:hideMark/>
          </w:tcPr>
          <w:p w14:paraId="13EEE394"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Sales of product lines with sustainable labels</w:t>
            </w:r>
          </w:p>
        </w:tc>
        <w:tc>
          <w:tcPr>
            <w:tcW w:w="0" w:type="auto"/>
            <w:tcBorders>
              <w:top w:val="single" w:sz="6" w:space="0" w:color="000000"/>
              <w:left w:val="single" w:sz="6" w:space="0" w:color="000000"/>
              <w:bottom w:val="single" w:sz="6" w:space="0" w:color="000000"/>
              <w:right w:val="single" w:sz="6" w:space="0" w:color="000000"/>
            </w:tcBorders>
            <w:vAlign w:val="center"/>
            <w:hideMark/>
          </w:tcPr>
          <w:p w14:paraId="4E9D6F18"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kern w:val="0"/>
                <w:sz w:val="18"/>
                <w:szCs w:val="18"/>
                <w14:ligatures w14:val="none"/>
              </w:rPr>
              <w:t>Within 18 months, raise by 15%</w:t>
            </w:r>
          </w:p>
        </w:tc>
      </w:tr>
    </w:tbl>
    <w:p w14:paraId="27AAC435"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bookmarkStart w:id="47" w:name="_Toc234564254"/>
      <w:bookmarkStart w:id="48" w:name="_Toc234565376"/>
      <w:bookmarkStart w:id="49" w:name="_Toc234565491"/>
      <w:bookmarkStart w:id="50" w:name="_Toc234575775"/>
      <w:bookmarkStart w:id="51" w:name="_Toc235269918"/>
      <w:bookmarkEnd w:id="47"/>
      <w:bookmarkEnd w:id="48"/>
      <w:bookmarkEnd w:id="49"/>
      <w:bookmarkEnd w:id="50"/>
      <w:bookmarkEnd w:id="51"/>
      <w:r w:rsidRPr="00BE0692">
        <w:rPr>
          <w:rFonts w:ascii="Arial" w:hAnsi="Arial" w:cs="Arial"/>
          <w:color w:val="000000"/>
          <w:kern w:val="0"/>
          <w:sz w:val="27"/>
          <w:szCs w:val="27"/>
          <w14:ligatures w14:val="none"/>
        </w:rPr>
        <w:t>Table 2 KPI</w:t>
      </w:r>
    </w:p>
    <w:p w14:paraId="5D35F2A7" w14:textId="77777777" w:rsidR="00BE0692" w:rsidRPr="00BE0692" w:rsidRDefault="00BE0692" w:rsidP="00BE0692">
      <w:pPr>
        <w:spacing w:before="120" w:after="60" w:line="240" w:lineRule="auto"/>
        <w:rPr>
          <w:rFonts w:ascii="-webkit-standard" w:hAnsi="-webkit-standard" w:cs="Times New Roman" w:hint="eastAsia"/>
          <w:color w:val="000000"/>
          <w:kern w:val="0"/>
          <w:sz w:val="27"/>
          <w:szCs w:val="27"/>
          <w14:ligatures w14:val="none"/>
        </w:rPr>
      </w:pPr>
      <w:bookmarkStart w:id="52" w:name="_Toc235269919"/>
      <w:bookmarkStart w:id="53" w:name="_Toc235280834"/>
      <w:bookmarkEnd w:id="52"/>
      <w:bookmarkEnd w:id="53"/>
      <w:r w:rsidRPr="00BE0692">
        <w:rPr>
          <w:rFonts w:ascii="Calibri Light" w:hAnsi="Calibri Light" w:cs="Times New Roman"/>
          <w:b/>
          <w:bCs/>
          <w:color w:val="2F5496"/>
          <w:kern w:val="0"/>
          <w:sz w:val="36"/>
          <w:szCs w:val="36"/>
          <w14:ligatures w14:val="none"/>
        </w:rPr>
        <w:t>Balance Scorecard</w:t>
      </w:r>
    </w:p>
    <w:p w14:paraId="79AAE2DB"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To make smart marketing decisions, the Balanced Scorecard assesses how well an organisation is performing in four areas: internal processes, learning and growth, customers, and finances (Kaplan and Norton, 2001).</w:t>
      </w:r>
    </w:p>
    <w:tbl>
      <w:tblPr>
        <w:tblW w:w="0" w:type="auto"/>
        <w:tblCellMar>
          <w:top w:w="15" w:type="dxa"/>
          <w:left w:w="15" w:type="dxa"/>
          <w:bottom w:w="15" w:type="dxa"/>
          <w:right w:w="15" w:type="dxa"/>
        </w:tblCellMar>
        <w:tblLook w:val="04A0" w:firstRow="1" w:lastRow="0" w:firstColumn="1" w:lastColumn="0" w:noHBand="0" w:noVBand="1"/>
      </w:tblPr>
      <w:tblGrid>
        <w:gridCol w:w="1555"/>
        <w:gridCol w:w="2967"/>
        <w:gridCol w:w="4488"/>
      </w:tblGrid>
      <w:tr w:rsidR="00BE0692" w:rsidRPr="00BE0692" w14:paraId="45F5C5A5"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BCDE4DE"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Perspective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D1F57D"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Objective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5C371E8"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b/>
                <w:bCs/>
                <w:color w:val="000000"/>
                <w:kern w:val="0"/>
                <w:sz w:val="18"/>
                <w:szCs w:val="18"/>
                <w14:ligatures w14:val="none"/>
              </w:rPr>
              <w:t>KPI</w:t>
            </w:r>
          </w:p>
        </w:tc>
      </w:tr>
      <w:tr w:rsidR="00BE0692" w:rsidRPr="00BE0692" w14:paraId="1B885819"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0AC2828"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Financial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78D3882"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Increase UK sales and profitability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FBDB2FD"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Sales growth, margin, basket value</w:t>
            </w:r>
          </w:p>
        </w:tc>
      </w:tr>
      <w:tr w:rsidR="00BE0692" w:rsidRPr="00BE0692" w14:paraId="1B4B06D0"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8A875CC"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Customer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1BBEE39"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Improve satisfaction and repeat purchase</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1AED5C0"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Footfall, satisfaction, conversion rate</w:t>
            </w:r>
          </w:p>
        </w:tc>
      </w:tr>
      <w:tr w:rsidR="00BE0692" w:rsidRPr="00BE0692" w14:paraId="42525E9A"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85107CC"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Internal process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7A4D35B"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Improve store efficiency and merchandising</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94D3762"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Stock availability, queue time, replenishment speed</w:t>
            </w:r>
          </w:p>
        </w:tc>
      </w:tr>
      <w:tr w:rsidR="00BE0692" w:rsidRPr="00BE0692" w14:paraId="44530C9C" w14:textId="77777777">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D041608"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Learning and growth</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0CE13D0"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Strengthen staff capability and brand innovation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CDAE36A" w14:textId="77777777" w:rsidR="00BE0692" w:rsidRPr="00BE0692" w:rsidRDefault="00BE0692" w:rsidP="00BE0692">
            <w:pPr>
              <w:spacing w:after="0" w:line="240" w:lineRule="auto"/>
              <w:rPr>
                <w:rFonts w:ascii="-webkit-standard" w:hAnsi="-webkit-standard" w:cs="Times New Roman" w:hint="eastAsia"/>
                <w:kern w:val="0"/>
                <w:sz w:val="18"/>
                <w:szCs w:val="18"/>
                <w14:ligatures w14:val="none"/>
              </w:rPr>
            </w:pPr>
            <w:r w:rsidRPr="00BE0692">
              <w:rPr>
                <w:rFonts w:ascii="Arial" w:hAnsi="Arial" w:cs="Arial"/>
                <w:color w:val="000000"/>
                <w:kern w:val="0"/>
                <w:sz w:val="18"/>
                <w:szCs w:val="18"/>
                <w14:ligatures w14:val="none"/>
              </w:rPr>
              <w:t>Staff training completion, campaign performance, and new range success</w:t>
            </w:r>
          </w:p>
        </w:tc>
      </w:tr>
    </w:tbl>
    <w:p w14:paraId="411791DE"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 </w:t>
      </w:r>
    </w:p>
    <w:p w14:paraId="4043B948" w14:textId="77777777" w:rsidR="00BE0692" w:rsidRPr="00BE0692" w:rsidRDefault="00BE0692" w:rsidP="00BE0692">
      <w:pPr>
        <w:spacing w:after="120" w:line="240" w:lineRule="auto"/>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Table 3: Balance Scorecard applied to Primark</w:t>
      </w:r>
    </w:p>
    <w:p w14:paraId="0127CB83" w14:textId="77777777" w:rsidR="00BE0692" w:rsidRPr="00BE0692" w:rsidRDefault="00BE0692" w:rsidP="00BE0692">
      <w:pPr>
        <w:spacing w:before="270" w:after="60" w:line="240" w:lineRule="auto"/>
        <w:rPr>
          <w:rFonts w:ascii="-webkit-standard" w:hAnsi="-webkit-standard" w:cs="Times New Roman" w:hint="eastAsia"/>
          <w:color w:val="000000"/>
          <w:kern w:val="0"/>
          <w:sz w:val="27"/>
          <w:szCs w:val="27"/>
          <w14:ligatures w14:val="none"/>
        </w:rPr>
      </w:pPr>
      <w:bookmarkStart w:id="54" w:name="_Toc234564255"/>
      <w:bookmarkStart w:id="55" w:name="_Toc234565377"/>
      <w:bookmarkStart w:id="56" w:name="_Toc234565492"/>
      <w:bookmarkStart w:id="57" w:name="_Toc234575776"/>
      <w:bookmarkStart w:id="58" w:name="_Toc235269920"/>
      <w:bookmarkStart w:id="59" w:name="_Toc235280835"/>
      <w:bookmarkEnd w:id="54"/>
      <w:bookmarkEnd w:id="55"/>
      <w:bookmarkEnd w:id="56"/>
      <w:bookmarkEnd w:id="57"/>
      <w:bookmarkEnd w:id="58"/>
      <w:bookmarkEnd w:id="59"/>
      <w:r w:rsidRPr="00BE0692">
        <w:rPr>
          <w:rFonts w:ascii="Calibri Light" w:hAnsi="Calibri Light" w:cs="Times New Roman"/>
          <w:b/>
          <w:bCs/>
          <w:color w:val="2F5496"/>
          <w:kern w:val="0"/>
          <w:sz w:val="30"/>
          <w:szCs w:val="30"/>
          <w14:ligatures w14:val="none"/>
        </w:rPr>
        <w:t>Conclusion</w:t>
      </w:r>
    </w:p>
    <w:p w14:paraId="6EB71796"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t>In summary, Primark's reasonable prices, popular brand, and multiple stores make it likely to increase sales in the UK. To maintain its advantage, the business must adapt to shifting customer preferences, intensifying competition, rapid digital advancements, and sustainability requirements. Primark's low prices are still a big advantage, but to grow in the long run, they need to strike a good balance among affordability, innovation, and ethical shopping practices. With the increase of eco-friendly products, it should also focus on better advertising, better customer understanding, and making in-store shopping more enjoyable. Focusing on younger people, families, and customers who want good deals can help grow the market without changing the company's core values. </w:t>
      </w:r>
    </w:p>
    <w:p w14:paraId="0110BBC6" w14:textId="77777777" w:rsidR="00BE0692" w:rsidRPr="00BE0692" w:rsidRDefault="00BE0692" w:rsidP="00BE0692">
      <w:pPr>
        <w:spacing w:after="120" w:line="240" w:lineRule="auto"/>
        <w:jc w:val="both"/>
        <w:rPr>
          <w:rFonts w:ascii="-webkit-standard" w:hAnsi="-webkit-standard" w:cs="Times New Roman" w:hint="eastAsia"/>
          <w:color w:val="000000"/>
          <w:kern w:val="0"/>
          <w:sz w:val="27"/>
          <w:szCs w:val="27"/>
          <w14:ligatures w14:val="none"/>
        </w:rPr>
      </w:pPr>
      <w:r w:rsidRPr="00BE0692">
        <w:rPr>
          <w:rFonts w:ascii="Arial" w:hAnsi="Arial" w:cs="Arial"/>
          <w:color w:val="000000"/>
          <w:kern w:val="0"/>
          <w:sz w:val="27"/>
          <w:szCs w:val="27"/>
          <w14:ligatures w14:val="none"/>
        </w:rPr>
        <w:lastRenderedPageBreak/>
        <w:t>If Primark follows the proposed marketing plan and uses measurable goals, it should improve its competitiveness in the UK retail market, increase sales, and build stronger customer loyalty.</w:t>
      </w:r>
    </w:p>
    <w:p w14:paraId="7A00578B" w14:textId="77777777" w:rsidR="00BE0692" w:rsidRPr="00BE0692" w:rsidRDefault="00BE0692" w:rsidP="00BE0692">
      <w:pPr>
        <w:spacing w:after="120" w:line="240" w:lineRule="auto"/>
        <w:jc w:val="center"/>
        <w:rPr>
          <w:rFonts w:ascii="-webkit-standard" w:hAnsi="-webkit-standard" w:cs="Times New Roman" w:hint="eastAsia"/>
          <w:color w:val="000000"/>
          <w:kern w:val="0"/>
          <w:sz w:val="27"/>
          <w:szCs w:val="27"/>
          <w14:ligatures w14:val="none"/>
        </w:rPr>
      </w:pPr>
      <w:r w:rsidRPr="00BE0692">
        <w:rPr>
          <w:rFonts w:ascii="Calibri" w:hAnsi="Calibri" w:cs="Times New Roman"/>
          <w:color w:val="000000"/>
          <w:kern w:val="0"/>
          <w:sz w:val="27"/>
          <w:szCs w:val="27"/>
          <w14:ligatures w14:val="none"/>
        </w:rPr>
        <w:t> </w:t>
      </w:r>
    </w:p>
    <w:p w14:paraId="7A2B6DAC" w14:textId="77777777" w:rsidR="00BE0692" w:rsidRPr="00BE0692" w:rsidRDefault="00BE0692" w:rsidP="00BE0692">
      <w:pPr>
        <w:spacing w:after="120" w:line="240" w:lineRule="auto"/>
        <w:jc w:val="center"/>
        <w:rPr>
          <w:rFonts w:ascii="-webkit-standard" w:hAnsi="-webkit-standard" w:cs="Times New Roman" w:hint="eastAsia"/>
          <w:color w:val="000000"/>
          <w:kern w:val="0"/>
          <w:sz w:val="27"/>
          <w:szCs w:val="27"/>
          <w14:ligatures w14:val="none"/>
        </w:rPr>
      </w:pPr>
      <w:r w:rsidRPr="00BE0692">
        <w:rPr>
          <w:rFonts w:ascii="Calibri" w:hAnsi="Calibri" w:cs="Times New Roman"/>
          <w:color w:val="000000"/>
          <w:kern w:val="0"/>
          <w:sz w:val="27"/>
          <w:szCs w:val="27"/>
          <w14:ligatures w14:val="none"/>
        </w:rPr>
        <w:t> </w:t>
      </w:r>
    </w:p>
    <w:p w14:paraId="6F1B66BA" w14:textId="77777777" w:rsidR="00BE0692" w:rsidRPr="00BE0692" w:rsidRDefault="00BE0692" w:rsidP="00BE0692">
      <w:pPr>
        <w:spacing w:before="270" w:after="60" w:line="240" w:lineRule="auto"/>
        <w:rPr>
          <w:rFonts w:ascii="-webkit-standard" w:hAnsi="-webkit-standard" w:cs="Times New Roman" w:hint="eastAsia"/>
          <w:color w:val="000000"/>
          <w:kern w:val="0"/>
          <w:sz w:val="27"/>
          <w:szCs w:val="27"/>
          <w14:ligatures w14:val="none"/>
        </w:rPr>
      </w:pPr>
      <w:bookmarkStart w:id="60" w:name="_Toc234564256"/>
      <w:bookmarkStart w:id="61" w:name="_Toc234565378"/>
      <w:bookmarkStart w:id="62" w:name="_Toc234565493"/>
      <w:bookmarkStart w:id="63" w:name="_Toc234575777"/>
      <w:bookmarkStart w:id="64" w:name="_Toc235269921"/>
      <w:bookmarkStart w:id="65" w:name="_Toc235280836"/>
      <w:bookmarkEnd w:id="60"/>
      <w:bookmarkEnd w:id="61"/>
      <w:bookmarkEnd w:id="62"/>
      <w:bookmarkEnd w:id="63"/>
      <w:bookmarkEnd w:id="64"/>
      <w:bookmarkEnd w:id="65"/>
      <w:r w:rsidRPr="00BE0692">
        <w:rPr>
          <w:rFonts w:ascii="Calibri Light" w:hAnsi="Calibri Light" w:cs="Times New Roman"/>
          <w:b/>
          <w:bCs/>
          <w:color w:val="2F5496"/>
          <w:kern w:val="0"/>
          <w:sz w:val="30"/>
          <w:szCs w:val="30"/>
          <w14:ligatures w14:val="none"/>
        </w:rPr>
        <w:t>References</w:t>
      </w:r>
    </w:p>
    <w:p w14:paraId="0940E888"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1. </w:t>
      </w:r>
      <w:r w:rsidRPr="00BE0692">
        <w:rPr>
          <w:rFonts w:ascii="Arial" w:eastAsia="Times New Roman" w:hAnsi="Arial" w:cs="Arial"/>
          <w:color w:val="000000"/>
          <w:kern w:val="0"/>
          <w:sz w:val="27"/>
          <w:szCs w:val="27"/>
          <w14:ligatures w14:val="none"/>
        </w:rPr>
        <w:t>Ansoff, H.I. (1957) ‘Strategies for diversification’, </w:t>
      </w:r>
      <w:r w:rsidRPr="00BE0692">
        <w:rPr>
          <w:rFonts w:ascii="Arial" w:eastAsia="Times New Roman" w:hAnsi="Arial" w:cs="Arial"/>
          <w:i/>
          <w:iCs/>
          <w:color w:val="000000"/>
          <w:kern w:val="0"/>
          <w:sz w:val="27"/>
          <w:szCs w:val="27"/>
          <w14:ligatures w14:val="none"/>
        </w:rPr>
        <w:t>Harvard Business Review</w:t>
      </w:r>
      <w:r w:rsidRPr="00BE0692">
        <w:rPr>
          <w:rFonts w:ascii="Arial" w:eastAsia="Times New Roman" w:hAnsi="Arial" w:cs="Arial"/>
          <w:color w:val="000000"/>
          <w:kern w:val="0"/>
          <w:sz w:val="27"/>
          <w:szCs w:val="27"/>
          <w14:ligatures w14:val="none"/>
        </w:rPr>
        <w:t>, 35(5), pp. 113–124.</w:t>
      </w:r>
    </w:p>
    <w:p w14:paraId="1A255FBB"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2. </w:t>
      </w:r>
      <w:r w:rsidRPr="00BE0692">
        <w:rPr>
          <w:rFonts w:ascii="Arial" w:eastAsia="Times New Roman" w:hAnsi="Arial" w:cs="Arial"/>
          <w:color w:val="000000"/>
          <w:kern w:val="0"/>
          <w:sz w:val="27"/>
          <w:szCs w:val="27"/>
          <w14:ligatures w14:val="none"/>
        </w:rPr>
        <w:t>Baker, M., and Hart, S. (Eds.). (2016) </w:t>
      </w:r>
      <w:r w:rsidRPr="00BE0692">
        <w:rPr>
          <w:rFonts w:ascii="Arial" w:eastAsia="Times New Roman" w:hAnsi="Arial" w:cs="Arial"/>
          <w:i/>
          <w:iCs/>
          <w:color w:val="000000"/>
          <w:kern w:val="0"/>
          <w:sz w:val="27"/>
          <w:szCs w:val="27"/>
          <w14:ligatures w14:val="none"/>
        </w:rPr>
        <w:t>The Marketing Book</w:t>
      </w:r>
      <w:r w:rsidRPr="00BE0692">
        <w:rPr>
          <w:rFonts w:ascii="Arial" w:eastAsia="Times New Roman" w:hAnsi="Arial" w:cs="Arial"/>
          <w:color w:val="000000"/>
          <w:kern w:val="0"/>
          <w:sz w:val="27"/>
          <w:szCs w:val="27"/>
          <w14:ligatures w14:val="none"/>
        </w:rPr>
        <w:t> (7th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London: Routledge.</w:t>
      </w:r>
    </w:p>
    <w:p w14:paraId="26D656DC"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3. </w:t>
      </w:r>
      <w:r w:rsidRPr="00BE0692">
        <w:rPr>
          <w:rFonts w:ascii="Arial" w:eastAsia="Times New Roman" w:hAnsi="Arial" w:cs="Arial"/>
          <w:color w:val="000000"/>
          <w:kern w:val="0"/>
          <w:sz w:val="27"/>
          <w:szCs w:val="27"/>
          <w14:ligatures w14:val="none"/>
        </w:rPr>
        <w:t>Blythe, J. and Martin, J. (2019) </w:t>
      </w:r>
      <w:r w:rsidRPr="00BE0692">
        <w:rPr>
          <w:rFonts w:ascii="Arial" w:eastAsia="Times New Roman" w:hAnsi="Arial" w:cs="Arial"/>
          <w:i/>
          <w:iCs/>
          <w:color w:val="000000"/>
          <w:kern w:val="0"/>
          <w:sz w:val="27"/>
          <w:szCs w:val="27"/>
          <w14:ligatures w14:val="none"/>
        </w:rPr>
        <w:t>Essentials of marketing.</w:t>
      </w:r>
      <w:r w:rsidRPr="00BE0692">
        <w:rPr>
          <w:rFonts w:ascii="Arial" w:eastAsia="Times New Roman" w:hAnsi="Arial" w:cs="Arial"/>
          <w:color w:val="000000"/>
          <w:kern w:val="0"/>
          <w:sz w:val="27"/>
          <w:szCs w:val="27"/>
          <w14:ligatures w14:val="none"/>
        </w:rPr>
        <w:t> London: Pearson UK.</w:t>
      </w:r>
    </w:p>
    <w:p w14:paraId="07CF0C2B"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Times New Roman" w:eastAsia="Times New Roman" w:hAnsi="Times New Roman" w:cs="Times New Roman"/>
          <w:color w:val="000000"/>
          <w:kern w:val="0"/>
          <w:sz w:val="18"/>
          <w:szCs w:val="18"/>
          <w14:ligatures w14:val="none"/>
        </w:rPr>
        <w:t>4. </w:t>
      </w:r>
      <w:proofErr w:type="spellStart"/>
      <w:r w:rsidRPr="00BE0692">
        <w:rPr>
          <w:rFonts w:ascii="Arial" w:eastAsia="Times New Roman" w:hAnsi="Arial" w:cs="Arial"/>
          <w:color w:val="000000"/>
          <w:kern w:val="0"/>
          <w:sz w:val="27"/>
          <w:szCs w:val="27"/>
          <w14:ligatures w14:val="none"/>
        </w:rPr>
        <w:t>Disavino</w:t>
      </w:r>
      <w:proofErr w:type="spellEnd"/>
      <w:r w:rsidRPr="00BE0692">
        <w:rPr>
          <w:rFonts w:ascii="Arial" w:eastAsia="Times New Roman" w:hAnsi="Arial" w:cs="Arial"/>
          <w:color w:val="000000"/>
          <w:kern w:val="0"/>
          <w:sz w:val="27"/>
          <w:szCs w:val="27"/>
          <w14:ligatures w14:val="none"/>
        </w:rPr>
        <w:t>, S. (2026) </w:t>
      </w:r>
      <w:r w:rsidRPr="00BE0692">
        <w:rPr>
          <w:rFonts w:ascii="Arial" w:eastAsia="Times New Roman" w:hAnsi="Arial" w:cs="Arial"/>
          <w:i/>
          <w:iCs/>
          <w:color w:val="000000"/>
          <w:kern w:val="0"/>
          <w:sz w:val="27"/>
          <w:szCs w:val="27"/>
          <w14:ligatures w14:val="none"/>
        </w:rPr>
        <w:t>Oil prices rise 2% to one-month high as US-Iran attacks deepen supply disruption. </w:t>
      </w:r>
      <w:r w:rsidRPr="00BE0692">
        <w:rPr>
          <w:rFonts w:ascii="Arial" w:eastAsia="Times New Roman" w:hAnsi="Arial" w:cs="Arial"/>
          <w:color w:val="000000"/>
          <w:kern w:val="0"/>
          <w:sz w:val="27"/>
          <w:szCs w:val="27"/>
          <w14:ligatures w14:val="none"/>
        </w:rPr>
        <w:t>Available at: </w:t>
      </w:r>
      <w:hyperlink r:id="rId6" w:history="1">
        <w:r w:rsidRPr="00BE0692">
          <w:rPr>
            <w:rFonts w:ascii="Arial" w:eastAsia="Times New Roman" w:hAnsi="Arial" w:cs="Arial"/>
            <w:color w:val="0563C1"/>
            <w:kern w:val="0"/>
            <w:sz w:val="27"/>
            <w:szCs w:val="27"/>
            <w:u w:val="single"/>
            <w14:ligatures w14:val="none"/>
          </w:rPr>
          <w:t>https://www.reuters.com/business/energy/oil-climbs-one-month-high-us-iran-step-up-attacks-strait-hormuz-2026-07-14/</w:t>
        </w:r>
      </w:hyperlink>
      <w:r w:rsidRPr="00BE0692">
        <w:rPr>
          <w:rFonts w:ascii="Arial" w:eastAsia="Times New Roman" w:hAnsi="Arial" w:cs="Arial"/>
          <w:color w:val="000000"/>
          <w:kern w:val="0"/>
          <w:sz w:val="27"/>
          <w:szCs w:val="27"/>
          <w14:ligatures w14:val="none"/>
        </w:rPr>
        <w:t> (Accessed: 10-July 2026).</w:t>
      </w:r>
    </w:p>
    <w:p w14:paraId="2D1283B9"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Times New Roman" w:eastAsia="Times New Roman" w:hAnsi="Times New Roman" w:cs="Times New Roman"/>
          <w:color w:val="000000"/>
          <w:kern w:val="0"/>
          <w:sz w:val="18"/>
          <w:szCs w:val="18"/>
          <w14:ligatures w14:val="none"/>
        </w:rPr>
        <w:t>5. </w:t>
      </w:r>
      <w:r w:rsidRPr="00BE0692">
        <w:rPr>
          <w:rFonts w:ascii="Arial" w:eastAsia="Times New Roman" w:hAnsi="Arial" w:cs="Arial"/>
          <w:color w:val="000000"/>
          <w:kern w:val="0"/>
          <w:sz w:val="27"/>
          <w:szCs w:val="27"/>
          <w14:ligatures w14:val="none"/>
        </w:rPr>
        <w:t>Jobber, D. and Ellis-Chadwick, F. (2023) </w:t>
      </w:r>
      <w:r w:rsidRPr="00BE0692">
        <w:rPr>
          <w:rFonts w:ascii="Arial" w:eastAsia="Times New Roman" w:hAnsi="Arial" w:cs="Arial"/>
          <w:i/>
          <w:iCs/>
          <w:color w:val="000000"/>
          <w:kern w:val="0"/>
          <w:sz w:val="27"/>
          <w:szCs w:val="27"/>
          <w14:ligatures w14:val="none"/>
        </w:rPr>
        <w:t>Principles and practice of marketing</w:t>
      </w:r>
      <w:r w:rsidRPr="00BE0692">
        <w:rPr>
          <w:rFonts w:ascii="Arial" w:eastAsia="Times New Roman" w:hAnsi="Arial" w:cs="Arial"/>
          <w:color w:val="000000"/>
          <w:kern w:val="0"/>
          <w:sz w:val="27"/>
          <w:szCs w:val="27"/>
          <w14:ligatures w14:val="none"/>
        </w:rPr>
        <w:t>. (10</w:t>
      </w:r>
      <w:r w:rsidRPr="00BE0692">
        <w:rPr>
          <w:rFonts w:ascii="Arial" w:eastAsia="Times New Roman" w:hAnsi="Arial" w:cs="Arial"/>
          <w:color w:val="000000"/>
          <w:kern w:val="0"/>
          <w:sz w:val="17"/>
          <w:szCs w:val="17"/>
          <w:vertAlign w:val="superscript"/>
          <w14:ligatures w14:val="none"/>
        </w:rPr>
        <w:t>th</w:t>
      </w:r>
      <w:r w:rsidRPr="00BE0692">
        <w:rPr>
          <w:rFonts w:ascii="Arial" w:eastAsia="Times New Roman" w:hAnsi="Arial" w:cs="Arial"/>
          <w:color w:val="000000"/>
          <w:kern w:val="0"/>
          <w:sz w:val="27"/>
          <w:szCs w:val="27"/>
          <w14:ligatures w14:val="none"/>
        </w:rPr>
        <w:t>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Maidenhead: McGraw Hill.</w:t>
      </w:r>
    </w:p>
    <w:p w14:paraId="3A54093A"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Times New Roman" w:eastAsia="Times New Roman" w:hAnsi="Times New Roman" w:cs="Times New Roman"/>
          <w:color w:val="000000"/>
          <w:kern w:val="0"/>
          <w:sz w:val="18"/>
          <w:szCs w:val="18"/>
          <w14:ligatures w14:val="none"/>
        </w:rPr>
        <w:t>6. </w:t>
      </w:r>
      <w:r w:rsidRPr="00BE0692">
        <w:rPr>
          <w:rFonts w:ascii="Arial" w:eastAsia="Times New Roman" w:hAnsi="Arial" w:cs="Arial"/>
          <w:color w:val="000000"/>
          <w:kern w:val="0"/>
          <w:sz w:val="27"/>
          <w:szCs w:val="27"/>
          <w14:ligatures w14:val="none"/>
        </w:rPr>
        <w:t>Johnson, G., Scholes, K., Whittington, R., Angwin, D. and </w:t>
      </w:r>
      <w:proofErr w:type="spellStart"/>
      <w:r w:rsidRPr="00BE0692">
        <w:rPr>
          <w:rFonts w:ascii="Arial" w:eastAsia="Times New Roman" w:hAnsi="Arial" w:cs="Arial"/>
          <w:color w:val="000000"/>
          <w:kern w:val="0"/>
          <w:sz w:val="27"/>
          <w:szCs w:val="27"/>
          <w14:ligatures w14:val="none"/>
        </w:rPr>
        <w:t>Regnér</w:t>
      </w:r>
      <w:proofErr w:type="spellEnd"/>
      <w:r w:rsidRPr="00BE0692">
        <w:rPr>
          <w:rFonts w:ascii="Arial" w:eastAsia="Times New Roman" w:hAnsi="Arial" w:cs="Arial"/>
          <w:color w:val="000000"/>
          <w:kern w:val="0"/>
          <w:sz w:val="27"/>
          <w:szCs w:val="27"/>
          <w14:ligatures w14:val="none"/>
        </w:rPr>
        <w:t>, P. (2020) </w:t>
      </w:r>
      <w:r w:rsidRPr="00BE0692">
        <w:rPr>
          <w:rFonts w:ascii="Arial" w:eastAsia="Times New Roman" w:hAnsi="Arial" w:cs="Arial"/>
          <w:i/>
          <w:iCs/>
          <w:color w:val="000000"/>
          <w:kern w:val="0"/>
          <w:sz w:val="27"/>
          <w:szCs w:val="27"/>
          <w14:ligatures w14:val="none"/>
        </w:rPr>
        <w:t>Exploring strategy</w:t>
      </w:r>
      <w:r w:rsidRPr="00BE0692">
        <w:rPr>
          <w:rFonts w:ascii="Arial" w:eastAsia="Times New Roman" w:hAnsi="Arial" w:cs="Arial"/>
          <w:color w:val="000000"/>
          <w:kern w:val="0"/>
          <w:sz w:val="27"/>
          <w:szCs w:val="27"/>
          <w14:ligatures w14:val="none"/>
        </w:rPr>
        <w:t>. (12</w:t>
      </w:r>
      <w:r w:rsidRPr="00BE0692">
        <w:rPr>
          <w:rFonts w:ascii="Arial" w:eastAsia="Times New Roman" w:hAnsi="Arial" w:cs="Arial"/>
          <w:color w:val="000000"/>
          <w:kern w:val="0"/>
          <w:sz w:val="17"/>
          <w:szCs w:val="17"/>
          <w:vertAlign w:val="superscript"/>
          <w14:ligatures w14:val="none"/>
        </w:rPr>
        <w:t>th</w:t>
      </w:r>
      <w:r w:rsidRPr="00BE0692">
        <w:rPr>
          <w:rFonts w:ascii="Arial" w:eastAsia="Times New Roman" w:hAnsi="Arial" w:cs="Arial"/>
          <w:color w:val="000000"/>
          <w:kern w:val="0"/>
          <w:sz w:val="27"/>
          <w:szCs w:val="27"/>
          <w14:ligatures w14:val="none"/>
        </w:rPr>
        <w:t>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Harlow: Pearson.</w:t>
      </w:r>
    </w:p>
    <w:p w14:paraId="44F2D8AD"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7. </w:t>
      </w:r>
      <w:r w:rsidRPr="00BE0692">
        <w:rPr>
          <w:rFonts w:ascii="Arial" w:eastAsia="Times New Roman" w:hAnsi="Arial" w:cs="Arial"/>
          <w:color w:val="000000"/>
          <w:kern w:val="0"/>
          <w:sz w:val="27"/>
          <w:szCs w:val="27"/>
          <w14:ligatures w14:val="none"/>
        </w:rPr>
        <w:t>Kaplan, R.S. and Norton, D.P. (2001) </w:t>
      </w:r>
      <w:r w:rsidRPr="00BE0692">
        <w:rPr>
          <w:rFonts w:ascii="Arial" w:eastAsia="Times New Roman" w:hAnsi="Arial" w:cs="Arial"/>
          <w:i/>
          <w:iCs/>
          <w:color w:val="000000"/>
          <w:kern w:val="0"/>
          <w:sz w:val="27"/>
          <w:szCs w:val="27"/>
          <w14:ligatures w14:val="none"/>
        </w:rPr>
        <w:t>The Strategy-Focused Organization: How Balanced Scorecard Companies Thrive in the New Business Environment</w:t>
      </w:r>
      <w:r w:rsidRPr="00BE0692">
        <w:rPr>
          <w:rFonts w:ascii="Arial" w:eastAsia="Times New Roman" w:hAnsi="Arial" w:cs="Arial"/>
          <w:color w:val="000000"/>
          <w:kern w:val="0"/>
          <w:sz w:val="27"/>
          <w:szCs w:val="27"/>
          <w14:ligatures w14:val="none"/>
        </w:rPr>
        <w:t>. (1st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Soundview Executive Book Summaries, Harvard Business School Press, </w:t>
      </w:r>
      <w:proofErr w:type="spellStart"/>
      <w:r w:rsidRPr="00BE0692">
        <w:rPr>
          <w:rFonts w:ascii="Arial" w:eastAsia="Times New Roman" w:hAnsi="Arial" w:cs="Arial"/>
          <w:color w:val="000000"/>
          <w:kern w:val="0"/>
          <w:sz w:val="27"/>
          <w:szCs w:val="27"/>
          <w14:ligatures w14:val="none"/>
        </w:rPr>
        <w:t>Concordville</w:t>
      </w:r>
      <w:proofErr w:type="spellEnd"/>
      <w:r w:rsidRPr="00BE0692">
        <w:rPr>
          <w:rFonts w:ascii="Arial" w:eastAsia="Times New Roman" w:hAnsi="Arial" w:cs="Arial"/>
          <w:color w:val="000000"/>
          <w:kern w:val="0"/>
          <w:sz w:val="27"/>
          <w:szCs w:val="27"/>
          <w14:ligatures w14:val="none"/>
        </w:rPr>
        <w:t>, 148-159.</w:t>
      </w:r>
    </w:p>
    <w:p w14:paraId="336F4030"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8. </w:t>
      </w:r>
      <w:r w:rsidRPr="00BE0692">
        <w:rPr>
          <w:rFonts w:ascii="Arial" w:eastAsia="Times New Roman" w:hAnsi="Arial" w:cs="Arial"/>
          <w:color w:val="000000"/>
          <w:kern w:val="0"/>
          <w:sz w:val="27"/>
          <w:szCs w:val="27"/>
          <w14:ligatures w14:val="none"/>
        </w:rPr>
        <w:t>GOV.UK (2026) </w:t>
      </w:r>
      <w:r w:rsidRPr="00BE0692">
        <w:rPr>
          <w:rFonts w:ascii="Arial" w:eastAsia="Times New Roman" w:hAnsi="Arial" w:cs="Arial"/>
          <w:i/>
          <w:iCs/>
          <w:color w:val="000000"/>
          <w:kern w:val="0"/>
          <w:sz w:val="27"/>
          <w:szCs w:val="27"/>
          <w14:ligatures w14:val="none"/>
        </w:rPr>
        <w:t xml:space="preserve">PRIMARK STORES </w:t>
      </w:r>
      <w:proofErr w:type="spellStart"/>
      <w:r w:rsidRPr="00BE0692">
        <w:rPr>
          <w:rFonts w:ascii="Arial" w:eastAsia="Times New Roman" w:hAnsi="Arial" w:cs="Arial"/>
          <w:i/>
          <w:iCs/>
          <w:color w:val="000000"/>
          <w:kern w:val="0"/>
          <w:sz w:val="27"/>
          <w:szCs w:val="27"/>
          <w14:ligatures w14:val="none"/>
        </w:rPr>
        <w:t>LIMITED.</w:t>
      </w:r>
      <w:r w:rsidRPr="00BE0692">
        <w:rPr>
          <w:rFonts w:ascii="Arial" w:eastAsia="Times New Roman" w:hAnsi="Arial" w:cs="Arial"/>
          <w:color w:val="000000"/>
          <w:kern w:val="0"/>
          <w:sz w:val="27"/>
          <w:szCs w:val="27"/>
          <w14:ligatures w14:val="none"/>
        </w:rPr>
        <w:t>Available</w:t>
      </w:r>
      <w:proofErr w:type="spellEnd"/>
      <w:r w:rsidRPr="00BE0692">
        <w:rPr>
          <w:rFonts w:ascii="Arial" w:eastAsia="Times New Roman" w:hAnsi="Arial" w:cs="Arial"/>
          <w:color w:val="000000"/>
          <w:kern w:val="0"/>
          <w:sz w:val="27"/>
          <w:szCs w:val="27"/>
          <w14:ligatures w14:val="none"/>
        </w:rPr>
        <w:t xml:space="preserve"> at: </w:t>
      </w:r>
      <w:hyperlink r:id="rId7" w:history="1">
        <w:r w:rsidRPr="00BE0692">
          <w:rPr>
            <w:rFonts w:ascii="Arial" w:eastAsia="Times New Roman" w:hAnsi="Arial" w:cs="Arial"/>
            <w:color w:val="0563C1"/>
            <w:kern w:val="0"/>
            <w:sz w:val="27"/>
            <w:szCs w:val="27"/>
            <w:u w:val="single"/>
            <w14:ligatures w14:val="none"/>
          </w:rPr>
          <w:t>https://find-and-update.company-information.service.gov.uk/company/00453448</w:t>
        </w:r>
      </w:hyperlink>
      <w:r w:rsidRPr="00BE0692">
        <w:rPr>
          <w:rFonts w:ascii="Arial" w:eastAsia="Times New Roman" w:hAnsi="Arial" w:cs="Arial"/>
          <w:color w:val="000000"/>
          <w:kern w:val="0"/>
          <w:sz w:val="27"/>
          <w:szCs w:val="27"/>
          <w14:ligatures w14:val="none"/>
        </w:rPr>
        <w:t>(Accessed: 9 July 2026).</w:t>
      </w:r>
    </w:p>
    <w:p w14:paraId="4DFE3506"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9. </w:t>
      </w:r>
      <w:r w:rsidRPr="00BE0692">
        <w:rPr>
          <w:rFonts w:ascii="Arial" w:eastAsia="Times New Roman" w:hAnsi="Arial" w:cs="Arial"/>
          <w:color w:val="000000"/>
          <w:kern w:val="0"/>
          <w:sz w:val="27"/>
          <w:szCs w:val="27"/>
          <w14:ligatures w14:val="none"/>
        </w:rPr>
        <w:t>Kotler, P., and Armstrong, G. (2018) </w:t>
      </w:r>
      <w:r w:rsidRPr="00BE0692">
        <w:rPr>
          <w:rFonts w:ascii="Arial" w:eastAsia="Times New Roman" w:hAnsi="Arial" w:cs="Arial"/>
          <w:i/>
          <w:iCs/>
          <w:color w:val="000000"/>
          <w:kern w:val="0"/>
          <w:sz w:val="27"/>
          <w:szCs w:val="27"/>
          <w14:ligatures w14:val="none"/>
        </w:rPr>
        <w:t>Principles of Marketing</w:t>
      </w:r>
      <w:r w:rsidRPr="00BE0692">
        <w:rPr>
          <w:rFonts w:ascii="Arial" w:eastAsia="Times New Roman" w:hAnsi="Arial" w:cs="Arial"/>
          <w:color w:val="000000"/>
          <w:kern w:val="0"/>
          <w:sz w:val="27"/>
          <w:szCs w:val="27"/>
          <w14:ligatures w14:val="none"/>
        </w:rPr>
        <w:t> (17</w:t>
      </w:r>
      <w:r w:rsidRPr="00BE0692">
        <w:rPr>
          <w:rFonts w:ascii="Arial" w:eastAsia="Times New Roman" w:hAnsi="Arial" w:cs="Arial"/>
          <w:color w:val="000000"/>
          <w:kern w:val="0"/>
          <w:sz w:val="17"/>
          <w:szCs w:val="17"/>
          <w:vertAlign w:val="superscript"/>
          <w14:ligatures w14:val="none"/>
        </w:rPr>
        <w:t>th</w:t>
      </w:r>
      <w:r w:rsidRPr="00BE0692">
        <w:rPr>
          <w:rFonts w:ascii="Arial" w:eastAsia="Times New Roman" w:hAnsi="Arial" w:cs="Arial"/>
          <w:color w:val="000000"/>
          <w:kern w:val="0"/>
          <w:sz w:val="27"/>
          <w:szCs w:val="27"/>
          <w14:ligatures w14:val="none"/>
        </w:rPr>
        <w:t>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USA: The University of Minnesota Libraries Publishing.</w:t>
      </w:r>
    </w:p>
    <w:p w14:paraId="2C44FAE0"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10. </w:t>
      </w:r>
      <w:r w:rsidRPr="00BE0692">
        <w:rPr>
          <w:rFonts w:ascii="Arial" w:eastAsia="Times New Roman" w:hAnsi="Arial" w:cs="Arial"/>
          <w:color w:val="000000"/>
          <w:kern w:val="0"/>
          <w:sz w:val="27"/>
          <w:szCs w:val="27"/>
          <w14:ligatures w14:val="none"/>
        </w:rPr>
        <w:t>Kotler, P., Keller, K.L. and Chernev, A. (2022) </w:t>
      </w:r>
      <w:r w:rsidRPr="00BE0692">
        <w:rPr>
          <w:rFonts w:ascii="Arial" w:eastAsia="Times New Roman" w:hAnsi="Arial" w:cs="Arial"/>
          <w:i/>
          <w:iCs/>
          <w:color w:val="000000"/>
          <w:kern w:val="0"/>
          <w:sz w:val="27"/>
          <w:szCs w:val="27"/>
          <w14:ligatures w14:val="none"/>
        </w:rPr>
        <w:t>Marketing management</w:t>
      </w:r>
      <w:r w:rsidRPr="00BE0692">
        <w:rPr>
          <w:rFonts w:ascii="Arial" w:eastAsia="Times New Roman" w:hAnsi="Arial" w:cs="Arial"/>
          <w:color w:val="000000"/>
          <w:kern w:val="0"/>
          <w:sz w:val="27"/>
          <w:szCs w:val="27"/>
          <w14:ligatures w14:val="none"/>
        </w:rPr>
        <w:t>. 16</w:t>
      </w:r>
      <w:r w:rsidRPr="00BE0692">
        <w:rPr>
          <w:rFonts w:ascii="Arial" w:eastAsia="Times New Roman" w:hAnsi="Arial" w:cs="Arial"/>
          <w:color w:val="000000"/>
          <w:kern w:val="0"/>
          <w:sz w:val="17"/>
          <w:szCs w:val="17"/>
          <w:vertAlign w:val="superscript"/>
          <w14:ligatures w14:val="none"/>
        </w:rPr>
        <w:t>th</w:t>
      </w:r>
      <w:r w:rsidRPr="00BE0692">
        <w:rPr>
          <w:rFonts w:ascii="Arial" w:eastAsia="Times New Roman" w:hAnsi="Arial" w:cs="Arial"/>
          <w:color w:val="000000"/>
          <w:kern w:val="0"/>
          <w:sz w:val="27"/>
          <w:szCs w:val="27"/>
          <w14:ligatures w14:val="none"/>
        </w:rPr>
        <w:t> Global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Harlow: Pearson.</w:t>
      </w:r>
    </w:p>
    <w:p w14:paraId="6D593917"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11. </w:t>
      </w:r>
      <w:r w:rsidRPr="00BE0692">
        <w:rPr>
          <w:rFonts w:ascii="Arial" w:eastAsia="Times New Roman" w:hAnsi="Arial" w:cs="Arial"/>
          <w:color w:val="000000"/>
          <w:kern w:val="0"/>
          <w:sz w:val="27"/>
          <w:szCs w:val="27"/>
          <w14:ligatures w14:val="none"/>
        </w:rPr>
        <w:t>Chaffey, D., and Ellis-Chadwick, F. (2019) </w:t>
      </w:r>
      <w:r w:rsidRPr="00BE0692">
        <w:rPr>
          <w:rFonts w:ascii="Arial" w:eastAsia="Times New Roman" w:hAnsi="Arial" w:cs="Arial"/>
          <w:i/>
          <w:iCs/>
          <w:color w:val="000000"/>
          <w:kern w:val="0"/>
          <w:sz w:val="27"/>
          <w:szCs w:val="27"/>
          <w14:ligatures w14:val="none"/>
        </w:rPr>
        <w:t>Digital Marketing: Strategy and Implementation</w:t>
      </w:r>
      <w:r w:rsidRPr="00BE0692">
        <w:rPr>
          <w:rFonts w:ascii="Arial" w:eastAsia="Times New Roman" w:hAnsi="Arial" w:cs="Arial"/>
          <w:color w:val="000000"/>
          <w:kern w:val="0"/>
          <w:sz w:val="27"/>
          <w:szCs w:val="27"/>
          <w14:ligatures w14:val="none"/>
        </w:rPr>
        <w:t>. London: Pearson Education.</w:t>
      </w:r>
    </w:p>
    <w:p w14:paraId="12F01FC5"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12. </w:t>
      </w:r>
      <w:r w:rsidRPr="00BE0692">
        <w:rPr>
          <w:rFonts w:ascii="Arial" w:eastAsia="Times New Roman" w:hAnsi="Arial" w:cs="Arial"/>
          <w:color w:val="000000"/>
          <w:kern w:val="0"/>
          <w:sz w:val="27"/>
          <w:szCs w:val="27"/>
          <w14:ligatures w14:val="none"/>
        </w:rPr>
        <w:t>Euromonitor International (2025) </w:t>
      </w:r>
      <w:r w:rsidRPr="00BE0692">
        <w:rPr>
          <w:rFonts w:ascii="Arial" w:eastAsia="Times New Roman" w:hAnsi="Arial" w:cs="Arial"/>
          <w:i/>
          <w:iCs/>
          <w:color w:val="000000"/>
          <w:kern w:val="0"/>
          <w:sz w:val="27"/>
          <w:szCs w:val="27"/>
          <w14:ligatures w14:val="none"/>
        </w:rPr>
        <w:t>Apparel and Footwear in the United Kingdom</w:t>
      </w:r>
      <w:r w:rsidRPr="00BE0692">
        <w:rPr>
          <w:rFonts w:ascii="Arial" w:eastAsia="Times New Roman" w:hAnsi="Arial" w:cs="Arial"/>
          <w:color w:val="000000"/>
          <w:kern w:val="0"/>
          <w:sz w:val="27"/>
          <w:szCs w:val="27"/>
          <w14:ligatures w14:val="none"/>
        </w:rPr>
        <w:t>. Available at: </w:t>
      </w:r>
      <w:hyperlink r:id="rId8" w:history="1">
        <w:r w:rsidRPr="00BE0692">
          <w:rPr>
            <w:rFonts w:ascii="Arial" w:eastAsia="Times New Roman" w:hAnsi="Arial" w:cs="Arial"/>
            <w:color w:val="0563C1"/>
            <w:kern w:val="0"/>
            <w:sz w:val="27"/>
            <w:szCs w:val="27"/>
            <w:u w:val="single"/>
            <w14:ligatures w14:val="none"/>
          </w:rPr>
          <w:t>https://www.euromonitor.com/apparel-and-footwear-in-the-united-kingdom/report</w:t>
        </w:r>
      </w:hyperlink>
      <w:r w:rsidRPr="00BE0692">
        <w:rPr>
          <w:rFonts w:ascii="Arial" w:eastAsia="Times New Roman" w:hAnsi="Arial" w:cs="Arial"/>
          <w:color w:val="000000"/>
          <w:kern w:val="0"/>
          <w:sz w:val="27"/>
          <w:szCs w:val="27"/>
          <w14:ligatures w14:val="none"/>
        </w:rPr>
        <w:t> (Accessed: 15 July 2026).</w:t>
      </w:r>
    </w:p>
    <w:p w14:paraId="20FF7826"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13. </w:t>
      </w:r>
      <w:r w:rsidRPr="00BE0692">
        <w:rPr>
          <w:rFonts w:ascii="Arial" w:eastAsia="Times New Roman" w:hAnsi="Arial" w:cs="Arial"/>
          <w:color w:val="000000"/>
          <w:kern w:val="0"/>
          <w:sz w:val="27"/>
          <w:szCs w:val="27"/>
          <w14:ligatures w14:val="none"/>
        </w:rPr>
        <w:t>Hollensen, S. (2015) </w:t>
      </w:r>
      <w:r w:rsidRPr="00BE0692">
        <w:rPr>
          <w:rFonts w:ascii="Arial" w:eastAsia="Times New Roman" w:hAnsi="Arial" w:cs="Arial"/>
          <w:i/>
          <w:iCs/>
          <w:color w:val="000000"/>
          <w:kern w:val="0"/>
          <w:sz w:val="27"/>
          <w:szCs w:val="27"/>
          <w14:ligatures w14:val="none"/>
        </w:rPr>
        <w:t>Marketing management: A relationship approach</w:t>
      </w:r>
      <w:r w:rsidRPr="00BE0692">
        <w:rPr>
          <w:rFonts w:ascii="Arial" w:eastAsia="Times New Roman" w:hAnsi="Arial" w:cs="Arial"/>
          <w:color w:val="000000"/>
          <w:kern w:val="0"/>
          <w:sz w:val="27"/>
          <w:szCs w:val="27"/>
          <w14:ligatures w14:val="none"/>
        </w:rPr>
        <w:t>. (3</w:t>
      </w:r>
      <w:r w:rsidRPr="00BE0692">
        <w:rPr>
          <w:rFonts w:ascii="Arial" w:eastAsia="Times New Roman" w:hAnsi="Arial" w:cs="Arial"/>
          <w:color w:val="000000"/>
          <w:kern w:val="0"/>
          <w:sz w:val="17"/>
          <w:szCs w:val="17"/>
          <w:vertAlign w:val="superscript"/>
          <w14:ligatures w14:val="none"/>
        </w:rPr>
        <w:t>rd</w:t>
      </w:r>
      <w:r w:rsidRPr="00BE0692">
        <w:rPr>
          <w:rFonts w:ascii="Arial" w:eastAsia="Times New Roman" w:hAnsi="Arial" w:cs="Arial"/>
          <w:color w:val="000000"/>
          <w:kern w:val="0"/>
          <w:sz w:val="27"/>
          <w:szCs w:val="27"/>
          <w14:ligatures w14:val="none"/>
        </w:rPr>
        <w:t> </w:t>
      </w:r>
      <w:proofErr w:type="spellStart"/>
      <w:r w:rsidRPr="00BE0692">
        <w:rPr>
          <w:rFonts w:ascii="Arial" w:eastAsia="Times New Roman" w:hAnsi="Arial" w:cs="Arial"/>
          <w:color w:val="000000"/>
          <w:kern w:val="0"/>
          <w:sz w:val="27"/>
          <w:szCs w:val="27"/>
          <w14:ligatures w14:val="none"/>
        </w:rPr>
        <w:t>edn</w:t>
      </w:r>
      <w:proofErr w:type="spellEnd"/>
      <w:r w:rsidRPr="00BE0692">
        <w:rPr>
          <w:rFonts w:ascii="Arial" w:eastAsia="Times New Roman" w:hAnsi="Arial" w:cs="Arial"/>
          <w:color w:val="000000"/>
          <w:kern w:val="0"/>
          <w:sz w:val="27"/>
          <w:szCs w:val="27"/>
          <w14:ligatures w14:val="none"/>
        </w:rPr>
        <w:t>). Pearson Education Limited.</w:t>
      </w:r>
    </w:p>
    <w:p w14:paraId="03B10A66"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14. </w:t>
      </w:r>
      <w:r w:rsidRPr="00BE0692">
        <w:rPr>
          <w:rFonts w:ascii="Arial" w:eastAsia="Times New Roman" w:hAnsi="Arial" w:cs="Arial"/>
          <w:color w:val="000000"/>
          <w:kern w:val="0"/>
          <w:sz w:val="27"/>
          <w:szCs w:val="27"/>
          <w14:ligatures w14:val="none"/>
        </w:rPr>
        <w:t>McDonald, M. and Wilson, H. (2011) </w:t>
      </w:r>
      <w:r w:rsidRPr="00BE0692">
        <w:rPr>
          <w:rFonts w:ascii="Arial" w:eastAsia="Times New Roman" w:hAnsi="Arial" w:cs="Arial"/>
          <w:i/>
          <w:iCs/>
          <w:color w:val="000000"/>
          <w:kern w:val="0"/>
          <w:sz w:val="27"/>
          <w:szCs w:val="27"/>
          <w14:ligatures w14:val="none"/>
        </w:rPr>
        <w:t>Marketing Plans: How to Prepare Them, How to Use Them</w:t>
      </w:r>
      <w:r w:rsidRPr="00BE0692">
        <w:rPr>
          <w:rFonts w:ascii="Arial" w:eastAsia="Times New Roman" w:hAnsi="Arial" w:cs="Arial"/>
          <w:color w:val="000000"/>
          <w:kern w:val="0"/>
          <w:sz w:val="27"/>
          <w:szCs w:val="27"/>
          <w14:ligatures w14:val="none"/>
        </w:rPr>
        <w:t>. (7</w:t>
      </w:r>
      <w:r w:rsidRPr="00BE0692">
        <w:rPr>
          <w:rFonts w:ascii="Arial" w:eastAsia="Times New Roman" w:hAnsi="Arial" w:cs="Arial"/>
          <w:color w:val="000000"/>
          <w:kern w:val="0"/>
          <w:sz w:val="17"/>
          <w:szCs w:val="17"/>
          <w:vertAlign w:val="superscript"/>
          <w14:ligatures w14:val="none"/>
        </w:rPr>
        <w:t>th</w:t>
      </w:r>
      <w:r w:rsidRPr="00BE0692">
        <w:rPr>
          <w:rFonts w:ascii="Arial" w:eastAsia="Times New Roman" w:hAnsi="Arial" w:cs="Arial"/>
          <w:color w:val="000000"/>
          <w:kern w:val="0"/>
          <w:sz w:val="27"/>
          <w:szCs w:val="27"/>
          <w14:ligatures w14:val="none"/>
        </w:rPr>
        <w:t>edn). Wiley.</w:t>
      </w:r>
    </w:p>
    <w:p w14:paraId="39E88E32"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lastRenderedPageBreak/>
        <w:t>15. </w:t>
      </w:r>
      <w:r w:rsidRPr="00BE0692">
        <w:rPr>
          <w:rFonts w:ascii="Arial" w:eastAsia="Times New Roman" w:hAnsi="Arial" w:cs="Arial"/>
          <w:color w:val="000000"/>
          <w:kern w:val="0"/>
          <w:sz w:val="27"/>
          <w:szCs w:val="27"/>
          <w14:ligatures w14:val="none"/>
        </w:rPr>
        <w:t>McKinsey &amp; Company (2024) </w:t>
      </w:r>
      <w:r w:rsidRPr="00BE0692">
        <w:rPr>
          <w:rFonts w:ascii="Arial" w:eastAsia="Times New Roman" w:hAnsi="Arial" w:cs="Arial"/>
          <w:i/>
          <w:iCs/>
          <w:color w:val="000000"/>
          <w:kern w:val="0"/>
          <w:sz w:val="27"/>
          <w:szCs w:val="27"/>
          <w14:ligatures w14:val="none"/>
        </w:rPr>
        <w:t>The State of Fashion 2025: Challenges at every turn</w:t>
      </w:r>
      <w:r w:rsidRPr="00BE0692">
        <w:rPr>
          <w:rFonts w:ascii="Arial" w:eastAsia="Times New Roman" w:hAnsi="Arial" w:cs="Arial"/>
          <w:color w:val="000000"/>
          <w:kern w:val="0"/>
          <w:sz w:val="27"/>
          <w:szCs w:val="27"/>
          <w14:ligatures w14:val="none"/>
        </w:rPr>
        <w:t>. Available at: </w:t>
      </w:r>
      <w:hyperlink r:id="rId9" w:history="1">
        <w:r w:rsidRPr="00BE0692">
          <w:rPr>
            <w:rFonts w:ascii="Arial" w:eastAsia="Times New Roman" w:hAnsi="Arial" w:cs="Arial"/>
            <w:color w:val="0563C1"/>
            <w:kern w:val="0"/>
            <w:sz w:val="27"/>
            <w:szCs w:val="27"/>
            <w:u w:val="single"/>
            <w14:ligatures w14:val="none"/>
          </w:rPr>
          <w:t>https://www.mckinsey.com/industries/retail/our-insights/state-of-fashion-2025</w:t>
        </w:r>
      </w:hyperlink>
      <w:r w:rsidRPr="00BE0692">
        <w:rPr>
          <w:rFonts w:ascii="Arial" w:eastAsia="Times New Roman" w:hAnsi="Arial" w:cs="Arial"/>
          <w:color w:val="000000"/>
          <w:kern w:val="0"/>
          <w:sz w:val="27"/>
          <w:szCs w:val="27"/>
          <w14:ligatures w14:val="none"/>
        </w:rPr>
        <w:t> (Accessed: 12 July 2026)</w:t>
      </w:r>
    </w:p>
    <w:p w14:paraId="29A3F546"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16. </w:t>
      </w:r>
      <w:r w:rsidRPr="00BE0692">
        <w:rPr>
          <w:rFonts w:ascii="Arial" w:eastAsia="Times New Roman" w:hAnsi="Arial" w:cs="Arial"/>
          <w:color w:val="000000"/>
          <w:kern w:val="0"/>
          <w:sz w:val="27"/>
          <w:szCs w:val="27"/>
          <w14:ligatures w14:val="none"/>
        </w:rPr>
        <w:t>Mintel (2026) </w:t>
      </w:r>
      <w:r w:rsidRPr="00BE0692">
        <w:rPr>
          <w:rFonts w:ascii="Arial" w:eastAsia="Times New Roman" w:hAnsi="Arial" w:cs="Arial"/>
          <w:i/>
          <w:iCs/>
          <w:color w:val="000000"/>
          <w:kern w:val="0"/>
          <w:sz w:val="27"/>
          <w:szCs w:val="27"/>
          <w14:ligatures w14:val="none"/>
        </w:rPr>
        <w:t>UK Clothing Retailing Market Report 2025</w:t>
      </w:r>
      <w:r w:rsidRPr="00BE0692">
        <w:rPr>
          <w:rFonts w:ascii="Arial" w:eastAsia="Times New Roman" w:hAnsi="Arial" w:cs="Arial"/>
          <w:color w:val="000000"/>
          <w:kern w:val="0"/>
          <w:sz w:val="27"/>
          <w:szCs w:val="27"/>
          <w14:ligatures w14:val="none"/>
        </w:rPr>
        <w:t>. Available at: </w:t>
      </w:r>
      <w:hyperlink r:id="rId10" w:history="1">
        <w:r w:rsidRPr="00BE0692">
          <w:rPr>
            <w:rFonts w:ascii="Arial" w:eastAsia="Times New Roman" w:hAnsi="Arial" w:cs="Arial"/>
            <w:color w:val="0563C1"/>
            <w:kern w:val="0"/>
            <w:sz w:val="27"/>
            <w:szCs w:val="27"/>
            <w:u w:val="single"/>
            <w14:ligatures w14:val="none"/>
          </w:rPr>
          <w:t>https://store.mintel.com/report/uk-clothing-retailing-market-report</w:t>
        </w:r>
      </w:hyperlink>
      <w:r w:rsidRPr="00BE0692">
        <w:rPr>
          <w:rFonts w:ascii="Arial" w:eastAsia="Times New Roman" w:hAnsi="Arial" w:cs="Arial"/>
          <w:color w:val="000000"/>
          <w:kern w:val="0"/>
          <w:sz w:val="27"/>
          <w:szCs w:val="27"/>
          <w14:ligatures w14:val="none"/>
        </w:rPr>
        <w:t> (Accessed: 17 July 2026).</w:t>
      </w:r>
    </w:p>
    <w:p w14:paraId="1205417E"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17. </w:t>
      </w:r>
      <w:r w:rsidRPr="00BE0692">
        <w:rPr>
          <w:rFonts w:ascii="Arial" w:eastAsia="Times New Roman" w:hAnsi="Arial" w:cs="Arial"/>
          <w:color w:val="000000"/>
          <w:kern w:val="0"/>
          <w:sz w:val="27"/>
          <w:szCs w:val="27"/>
          <w14:ligatures w14:val="none"/>
        </w:rPr>
        <w:t>Office for National Statistics (2026) </w:t>
      </w:r>
      <w:r w:rsidRPr="00BE0692">
        <w:rPr>
          <w:rFonts w:ascii="Arial" w:eastAsia="Times New Roman" w:hAnsi="Arial" w:cs="Arial"/>
          <w:i/>
          <w:iCs/>
          <w:color w:val="000000"/>
          <w:kern w:val="0"/>
          <w:sz w:val="27"/>
          <w:szCs w:val="27"/>
          <w14:ligatures w14:val="none"/>
        </w:rPr>
        <w:t>Consumer price inflation, UK: June 2026</w:t>
      </w:r>
      <w:r w:rsidRPr="00BE0692">
        <w:rPr>
          <w:rFonts w:ascii="Arial" w:eastAsia="Times New Roman" w:hAnsi="Arial" w:cs="Arial"/>
          <w:color w:val="000000"/>
          <w:kern w:val="0"/>
          <w:sz w:val="27"/>
          <w:szCs w:val="27"/>
          <w14:ligatures w14:val="none"/>
        </w:rPr>
        <w:t>. Available at: </w:t>
      </w:r>
      <w:hyperlink r:id="rId11" w:history="1">
        <w:r w:rsidRPr="00BE0692">
          <w:rPr>
            <w:rFonts w:ascii="Arial" w:eastAsia="Times New Roman" w:hAnsi="Arial" w:cs="Arial"/>
            <w:color w:val="0563C1"/>
            <w:kern w:val="0"/>
            <w:sz w:val="27"/>
            <w:szCs w:val="27"/>
            <w:u w:val="single"/>
            <w14:ligatures w14:val="none"/>
          </w:rPr>
          <w:t>https://www.ons.gov.uk/releases/consumerpriceinflationukjune2026</w:t>
        </w:r>
      </w:hyperlink>
      <w:r w:rsidRPr="00BE0692">
        <w:rPr>
          <w:rFonts w:ascii="Arial" w:eastAsia="Times New Roman" w:hAnsi="Arial" w:cs="Arial"/>
          <w:color w:val="000000"/>
          <w:kern w:val="0"/>
          <w:sz w:val="27"/>
          <w:szCs w:val="27"/>
          <w14:ligatures w14:val="none"/>
        </w:rPr>
        <w:t> (Accessed: 15 July 2026).</w:t>
      </w:r>
    </w:p>
    <w:p w14:paraId="6EAE480D"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18. </w:t>
      </w:r>
      <w:r w:rsidRPr="00BE0692">
        <w:rPr>
          <w:rFonts w:ascii="Arial" w:eastAsia="Times New Roman" w:hAnsi="Arial" w:cs="Arial"/>
          <w:color w:val="000000"/>
          <w:kern w:val="0"/>
          <w:sz w:val="27"/>
          <w:szCs w:val="27"/>
          <w14:ligatures w14:val="none"/>
        </w:rPr>
        <w:t>Parr, N., et al. (2026) </w:t>
      </w:r>
      <w:r w:rsidRPr="00BE0692">
        <w:rPr>
          <w:rFonts w:ascii="Arial" w:eastAsia="Times New Roman" w:hAnsi="Arial" w:cs="Arial"/>
          <w:i/>
          <w:iCs/>
          <w:color w:val="000000"/>
          <w:kern w:val="0"/>
          <w:sz w:val="27"/>
          <w:szCs w:val="27"/>
          <w14:ligatures w14:val="none"/>
        </w:rPr>
        <w:t>United Kingdom - Consumer Protection Laws and Regulations 2026.</w:t>
      </w:r>
      <w:r w:rsidRPr="00BE0692">
        <w:rPr>
          <w:rFonts w:ascii="Arial" w:eastAsia="Times New Roman" w:hAnsi="Arial" w:cs="Arial"/>
          <w:color w:val="000000"/>
          <w:kern w:val="0"/>
          <w:sz w:val="27"/>
          <w:szCs w:val="27"/>
          <w14:ligatures w14:val="none"/>
        </w:rPr>
        <w:t> Available at: </w:t>
      </w:r>
      <w:hyperlink r:id="rId12" w:history="1">
        <w:r w:rsidRPr="00BE0692">
          <w:rPr>
            <w:rFonts w:ascii="Arial" w:eastAsia="Times New Roman" w:hAnsi="Arial" w:cs="Arial"/>
            <w:color w:val="0563C1"/>
            <w:kern w:val="0"/>
            <w:sz w:val="27"/>
            <w:szCs w:val="27"/>
            <w:u w:val="single"/>
            <w14:ligatures w14:val="none"/>
          </w:rPr>
          <w:t>https://iclg.com/practice-areas/consumer-protection-laws-and-regulations/united-kingdom/</w:t>
        </w:r>
      </w:hyperlink>
      <w:r w:rsidRPr="00BE0692">
        <w:rPr>
          <w:rFonts w:ascii="Arial" w:eastAsia="Times New Roman" w:hAnsi="Arial" w:cs="Arial"/>
          <w:color w:val="000000"/>
          <w:kern w:val="0"/>
          <w:sz w:val="27"/>
          <w:szCs w:val="27"/>
          <w14:ligatures w14:val="none"/>
        </w:rPr>
        <w:t> (Accessed: 15 July 2026).</w:t>
      </w:r>
    </w:p>
    <w:p w14:paraId="2F0F0D4A"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19. </w:t>
      </w:r>
      <w:r w:rsidRPr="00BE0692">
        <w:rPr>
          <w:rFonts w:ascii="Arial" w:eastAsia="Times New Roman" w:hAnsi="Arial" w:cs="Arial"/>
          <w:color w:val="000000"/>
          <w:kern w:val="0"/>
          <w:sz w:val="27"/>
          <w:szCs w:val="27"/>
          <w14:ligatures w14:val="none"/>
        </w:rPr>
        <w:t>Porter, M. E. (2008) ‘The Five Competitive Forces That Shape Strategy’, </w:t>
      </w:r>
      <w:r w:rsidRPr="00BE0692">
        <w:rPr>
          <w:rFonts w:ascii="Arial" w:eastAsia="Times New Roman" w:hAnsi="Arial" w:cs="Arial"/>
          <w:i/>
          <w:iCs/>
          <w:color w:val="000000"/>
          <w:kern w:val="0"/>
          <w:sz w:val="27"/>
          <w:szCs w:val="27"/>
          <w14:ligatures w14:val="none"/>
        </w:rPr>
        <w:t>Harvard Business Review</w:t>
      </w:r>
      <w:r w:rsidRPr="00BE0692">
        <w:rPr>
          <w:rFonts w:ascii="Arial" w:eastAsia="Times New Roman" w:hAnsi="Arial" w:cs="Arial"/>
          <w:color w:val="000000"/>
          <w:kern w:val="0"/>
          <w:sz w:val="27"/>
          <w:szCs w:val="27"/>
          <w14:ligatures w14:val="none"/>
        </w:rPr>
        <w:t>, 24-41.</w:t>
      </w:r>
    </w:p>
    <w:p w14:paraId="6F7D9F61"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20. </w:t>
      </w:r>
      <w:r w:rsidRPr="00BE0692">
        <w:rPr>
          <w:rFonts w:ascii="Arial" w:eastAsia="Times New Roman" w:hAnsi="Arial" w:cs="Arial"/>
          <w:color w:val="000000"/>
          <w:kern w:val="0"/>
          <w:sz w:val="27"/>
          <w:szCs w:val="27"/>
          <w14:ligatures w14:val="none"/>
        </w:rPr>
        <w:t>Primark (2026a) </w:t>
      </w:r>
      <w:r w:rsidRPr="00BE0692">
        <w:rPr>
          <w:rFonts w:ascii="Arial" w:eastAsia="Times New Roman" w:hAnsi="Arial" w:cs="Arial"/>
          <w:i/>
          <w:iCs/>
          <w:color w:val="000000"/>
          <w:kern w:val="0"/>
          <w:sz w:val="27"/>
          <w:szCs w:val="27"/>
          <w14:ligatures w14:val="none"/>
        </w:rPr>
        <w:t>Who We Are.</w:t>
      </w:r>
      <w:r w:rsidRPr="00BE0692">
        <w:rPr>
          <w:rFonts w:ascii="Arial" w:eastAsia="Times New Roman" w:hAnsi="Arial" w:cs="Arial"/>
          <w:color w:val="000000"/>
          <w:kern w:val="0"/>
          <w:sz w:val="27"/>
          <w:szCs w:val="27"/>
          <w14:ligatures w14:val="none"/>
        </w:rPr>
        <w:t> Available at: </w:t>
      </w:r>
      <w:hyperlink r:id="rId13" w:history="1">
        <w:r w:rsidRPr="00BE0692">
          <w:rPr>
            <w:rFonts w:ascii="Arial" w:eastAsia="Times New Roman" w:hAnsi="Arial" w:cs="Arial"/>
            <w:color w:val="0563C1"/>
            <w:kern w:val="0"/>
            <w:sz w:val="27"/>
            <w:szCs w:val="27"/>
            <w:u w:val="single"/>
            <w14:ligatures w14:val="none"/>
          </w:rPr>
          <w:t>https://corporate.primark.com/en-us/a/about-us/who-we-are</w:t>
        </w:r>
      </w:hyperlink>
      <w:r w:rsidRPr="00BE0692">
        <w:rPr>
          <w:rFonts w:ascii="Arial" w:eastAsia="Times New Roman" w:hAnsi="Arial" w:cs="Arial"/>
          <w:color w:val="000000"/>
          <w:kern w:val="0"/>
          <w:sz w:val="27"/>
          <w:szCs w:val="27"/>
          <w14:ligatures w14:val="none"/>
        </w:rPr>
        <w:t> (Accessed: 9 July 2026).</w:t>
      </w:r>
    </w:p>
    <w:p w14:paraId="415841BA"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21. </w:t>
      </w:r>
      <w:r w:rsidRPr="00BE0692">
        <w:rPr>
          <w:rFonts w:ascii="Arial" w:eastAsia="Times New Roman" w:hAnsi="Arial" w:cs="Arial"/>
          <w:color w:val="000000"/>
          <w:kern w:val="0"/>
          <w:sz w:val="27"/>
          <w:szCs w:val="27"/>
          <w14:ligatures w14:val="none"/>
        </w:rPr>
        <w:t>Primark (2026b) </w:t>
      </w:r>
      <w:r w:rsidRPr="00BE0692">
        <w:rPr>
          <w:rFonts w:ascii="Arial" w:eastAsia="Times New Roman" w:hAnsi="Arial" w:cs="Arial"/>
          <w:i/>
          <w:iCs/>
          <w:color w:val="000000"/>
          <w:kern w:val="0"/>
          <w:sz w:val="27"/>
          <w:szCs w:val="27"/>
          <w14:ligatures w14:val="none"/>
        </w:rPr>
        <w:t>Our Primark Cares Commitments</w:t>
      </w:r>
      <w:r w:rsidRPr="00BE0692">
        <w:rPr>
          <w:rFonts w:ascii="Arial" w:eastAsia="Times New Roman" w:hAnsi="Arial" w:cs="Arial"/>
          <w:color w:val="000000"/>
          <w:kern w:val="0"/>
          <w:sz w:val="27"/>
          <w:szCs w:val="27"/>
          <w14:ligatures w14:val="none"/>
        </w:rPr>
        <w:t>. Available at: </w:t>
      </w:r>
      <w:hyperlink r:id="rId14" w:history="1">
        <w:r w:rsidRPr="00BE0692">
          <w:rPr>
            <w:rFonts w:ascii="Arial" w:eastAsia="Times New Roman" w:hAnsi="Arial" w:cs="Arial"/>
            <w:color w:val="0563C1"/>
            <w:kern w:val="0"/>
            <w:sz w:val="27"/>
            <w:szCs w:val="27"/>
            <w:u w:val="single"/>
            <w14:ligatures w14:val="none"/>
          </w:rPr>
          <w:t>https://corporate.primark.com/en-gb/a/our-approach/our-primark-cares-commitments</w:t>
        </w:r>
      </w:hyperlink>
      <w:r w:rsidRPr="00BE0692">
        <w:rPr>
          <w:rFonts w:ascii="Arial" w:eastAsia="Times New Roman" w:hAnsi="Arial" w:cs="Arial"/>
          <w:color w:val="000000"/>
          <w:kern w:val="0"/>
          <w:sz w:val="27"/>
          <w:szCs w:val="27"/>
          <w14:ligatures w14:val="none"/>
        </w:rPr>
        <w:t>(Accessed: 9 July 2026).</w:t>
      </w:r>
    </w:p>
    <w:p w14:paraId="71DE4F37"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22. </w:t>
      </w:r>
      <w:r w:rsidRPr="00BE0692">
        <w:rPr>
          <w:rFonts w:ascii="Arial" w:eastAsia="Times New Roman" w:hAnsi="Arial" w:cs="Arial"/>
          <w:color w:val="000000"/>
          <w:kern w:val="0"/>
          <w:sz w:val="27"/>
          <w:szCs w:val="27"/>
          <w14:ligatures w14:val="none"/>
        </w:rPr>
        <w:t>Primark (2025) </w:t>
      </w:r>
      <w:r w:rsidRPr="00BE0692">
        <w:rPr>
          <w:rFonts w:ascii="Arial" w:eastAsia="Times New Roman" w:hAnsi="Arial" w:cs="Arial"/>
          <w:i/>
          <w:iCs/>
          <w:color w:val="000000"/>
          <w:kern w:val="0"/>
          <w:sz w:val="27"/>
          <w:szCs w:val="27"/>
          <w14:ligatures w14:val="none"/>
        </w:rPr>
        <w:t>Primark Sustainability and Ethics Progress Report.</w:t>
      </w:r>
      <w:r w:rsidRPr="00BE0692">
        <w:rPr>
          <w:rFonts w:ascii="Arial" w:eastAsia="Times New Roman" w:hAnsi="Arial" w:cs="Arial"/>
          <w:color w:val="000000"/>
          <w:kern w:val="0"/>
          <w:sz w:val="27"/>
          <w:szCs w:val="27"/>
          <w14:ligatures w14:val="none"/>
        </w:rPr>
        <w:t> Available at: </w:t>
      </w:r>
      <w:hyperlink r:id="rId15" w:history="1">
        <w:r w:rsidRPr="00BE0692">
          <w:rPr>
            <w:rFonts w:ascii="Arial" w:eastAsia="Times New Roman" w:hAnsi="Arial" w:cs="Arial"/>
            <w:color w:val="0563C1"/>
            <w:kern w:val="0"/>
            <w:sz w:val="27"/>
            <w:szCs w:val="27"/>
            <w:u w:val="single"/>
            <w14:ligatures w14:val="none"/>
          </w:rPr>
          <w:t>https://sr.primark.com/</w:t>
        </w:r>
      </w:hyperlink>
      <w:r w:rsidRPr="00BE0692">
        <w:rPr>
          <w:rFonts w:ascii="Arial" w:eastAsia="Times New Roman" w:hAnsi="Arial" w:cs="Arial"/>
          <w:color w:val="000000"/>
          <w:kern w:val="0"/>
          <w:sz w:val="27"/>
          <w:szCs w:val="27"/>
          <w14:ligatures w14:val="none"/>
        </w:rPr>
        <w:t>(Accessed: 9 July 2026).</w:t>
      </w:r>
    </w:p>
    <w:p w14:paraId="7891D83B"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23. </w:t>
      </w:r>
      <w:r w:rsidRPr="00BE0692">
        <w:rPr>
          <w:rFonts w:ascii="Arial" w:eastAsia="Times New Roman" w:hAnsi="Arial" w:cs="Arial"/>
          <w:color w:val="000000"/>
          <w:kern w:val="0"/>
          <w:sz w:val="27"/>
          <w:szCs w:val="27"/>
          <w14:ligatures w14:val="none"/>
        </w:rPr>
        <w:t>Rothaermel, F. T. (2024) </w:t>
      </w:r>
      <w:r w:rsidRPr="00BE0692">
        <w:rPr>
          <w:rFonts w:ascii="Arial" w:eastAsia="Times New Roman" w:hAnsi="Arial" w:cs="Arial"/>
          <w:i/>
          <w:iCs/>
          <w:color w:val="000000"/>
          <w:kern w:val="0"/>
          <w:sz w:val="27"/>
          <w:szCs w:val="27"/>
          <w14:ligatures w14:val="none"/>
        </w:rPr>
        <w:t>Strategic management.</w:t>
      </w:r>
      <w:r w:rsidRPr="00BE0692">
        <w:rPr>
          <w:rFonts w:ascii="Arial" w:eastAsia="Times New Roman" w:hAnsi="Arial" w:cs="Arial"/>
          <w:color w:val="000000"/>
          <w:kern w:val="0"/>
          <w:sz w:val="27"/>
          <w:szCs w:val="27"/>
          <w14:ligatures w14:val="none"/>
        </w:rPr>
        <w:t> (6th ed.). New York, NY: McGraw Hill.</w:t>
      </w:r>
    </w:p>
    <w:p w14:paraId="0E2134D1"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24. </w:t>
      </w:r>
      <w:r w:rsidRPr="00BE0692">
        <w:rPr>
          <w:rFonts w:ascii="Arial" w:eastAsia="Times New Roman" w:hAnsi="Arial" w:cs="Arial"/>
          <w:color w:val="000000"/>
          <w:kern w:val="0"/>
          <w:sz w:val="27"/>
          <w:szCs w:val="27"/>
          <w14:ligatures w14:val="none"/>
        </w:rPr>
        <w:t>Sheehan, E. (2024) </w:t>
      </w:r>
      <w:r w:rsidRPr="00BE0692">
        <w:rPr>
          <w:rFonts w:ascii="Arial" w:eastAsia="Times New Roman" w:hAnsi="Arial" w:cs="Arial"/>
          <w:i/>
          <w:iCs/>
          <w:color w:val="000000"/>
          <w:kern w:val="0"/>
          <w:sz w:val="27"/>
          <w:szCs w:val="27"/>
          <w14:ligatures w14:val="none"/>
        </w:rPr>
        <w:t>Global Retail Outlook 2024</w:t>
      </w:r>
      <w:r w:rsidRPr="00BE0692">
        <w:rPr>
          <w:rFonts w:ascii="Arial" w:eastAsia="Times New Roman" w:hAnsi="Arial" w:cs="Arial"/>
          <w:color w:val="000000"/>
          <w:kern w:val="0"/>
          <w:sz w:val="27"/>
          <w:szCs w:val="27"/>
          <w14:ligatures w14:val="none"/>
        </w:rPr>
        <w:t>. Available at: </w:t>
      </w:r>
      <w:hyperlink r:id="rId16" w:history="1">
        <w:r w:rsidRPr="00BE0692">
          <w:rPr>
            <w:rFonts w:ascii="Arial" w:eastAsia="Times New Roman" w:hAnsi="Arial" w:cs="Arial"/>
            <w:color w:val="0563C1"/>
            <w:kern w:val="0"/>
            <w:sz w:val="27"/>
            <w:szCs w:val="27"/>
            <w:u w:val="single"/>
            <w14:ligatures w14:val="none"/>
          </w:rPr>
          <w:t>https://www.deloitte.com/global/en/industries/consumer/analysis/global-retail-outlook.html</w:t>
        </w:r>
      </w:hyperlink>
      <w:r w:rsidRPr="00BE0692">
        <w:rPr>
          <w:rFonts w:ascii="Arial" w:eastAsia="Times New Roman" w:hAnsi="Arial" w:cs="Arial"/>
          <w:color w:val="000000"/>
          <w:kern w:val="0"/>
          <w:sz w:val="27"/>
          <w:szCs w:val="27"/>
          <w14:ligatures w14:val="none"/>
        </w:rPr>
        <w:t> (Accessed: 14 July 2026).</w:t>
      </w:r>
    </w:p>
    <w:p w14:paraId="2AF3E043" w14:textId="77777777" w:rsidR="00BE0692" w:rsidRPr="00BE0692" w:rsidRDefault="00BE0692" w:rsidP="00BE0692">
      <w:pPr>
        <w:spacing w:after="0" w:line="240" w:lineRule="auto"/>
        <w:ind w:hanging="270"/>
        <w:jc w:val="both"/>
        <w:rPr>
          <w:rFonts w:ascii="-webkit-standard" w:eastAsia="Times New Roman" w:hAnsi="-webkit-standard" w:cs="Times New Roman"/>
          <w:color w:val="000000"/>
          <w:kern w:val="0"/>
          <w:sz w:val="27"/>
          <w:szCs w:val="27"/>
          <w14:ligatures w14:val="none"/>
        </w:rPr>
      </w:pPr>
      <w:r w:rsidRPr="00BE0692">
        <w:rPr>
          <w:rFonts w:ascii="Calibri" w:eastAsia="Times New Roman" w:hAnsi="Calibri" w:cs="Times New Roman"/>
          <w:color w:val="000000"/>
          <w:kern w:val="0"/>
          <w:sz w:val="27"/>
          <w:szCs w:val="27"/>
          <w14:ligatures w14:val="none"/>
        </w:rPr>
        <w:t>25. </w:t>
      </w:r>
      <w:r w:rsidRPr="00BE0692">
        <w:rPr>
          <w:rFonts w:ascii="Arial" w:eastAsia="Times New Roman" w:hAnsi="Arial" w:cs="Arial"/>
          <w:color w:val="000000"/>
          <w:kern w:val="0"/>
          <w:sz w:val="27"/>
          <w:szCs w:val="27"/>
          <w14:ligatures w14:val="none"/>
        </w:rPr>
        <w:t>Wilson, R. M., and Gilligan, C. (2012) </w:t>
      </w:r>
      <w:r w:rsidRPr="00BE0692">
        <w:rPr>
          <w:rFonts w:ascii="Arial" w:eastAsia="Times New Roman" w:hAnsi="Arial" w:cs="Arial"/>
          <w:i/>
          <w:iCs/>
          <w:color w:val="000000"/>
          <w:kern w:val="0"/>
          <w:sz w:val="27"/>
          <w:szCs w:val="27"/>
          <w14:ligatures w14:val="none"/>
        </w:rPr>
        <w:t>Strategic Marketing Management</w:t>
      </w:r>
      <w:r w:rsidRPr="00BE0692">
        <w:rPr>
          <w:rFonts w:ascii="Arial" w:eastAsia="Times New Roman" w:hAnsi="Arial" w:cs="Arial"/>
          <w:color w:val="000000"/>
          <w:kern w:val="0"/>
          <w:sz w:val="27"/>
          <w:szCs w:val="27"/>
          <w14:ligatures w14:val="none"/>
        </w:rPr>
        <w:t>. London: Routledge.</w:t>
      </w:r>
    </w:p>
    <w:p w14:paraId="04C868BC" w14:textId="77777777" w:rsidR="00BE0692" w:rsidRDefault="00BE0692"/>
    <w:sectPr w:rsidR="00BE06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1893BD" w14:textId="77777777" w:rsidR="00B87025" w:rsidRDefault="00B87025" w:rsidP="00B5242F">
      <w:pPr>
        <w:spacing w:after="0" w:line="240" w:lineRule="auto"/>
      </w:pPr>
      <w:r>
        <w:separator/>
      </w:r>
    </w:p>
  </w:endnote>
  <w:endnote w:type="continuationSeparator" w:id="0">
    <w:p w14:paraId="2925018E" w14:textId="77777777" w:rsidR="00B87025" w:rsidRDefault="00B87025" w:rsidP="00B52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webkit-standard">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FDC167" w14:textId="77777777" w:rsidR="00B87025" w:rsidRDefault="00B87025" w:rsidP="00B5242F">
      <w:pPr>
        <w:spacing w:after="0" w:line="240" w:lineRule="auto"/>
      </w:pPr>
      <w:r>
        <w:separator/>
      </w:r>
    </w:p>
  </w:footnote>
  <w:footnote w:type="continuationSeparator" w:id="0">
    <w:p w14:paraId="63DEE6D3" w14:textId="77777777" w:rsidR="00B87025" w:rsidRDefault="00B87025" w:rsidP="00B524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692"/>
    <w:rsid w:val="00097EA6"/>
    <w:rsid w:val="00344C5E"/>
    <w:rsid w:val="00B5242F"/>
    <w:rsid w:val="00B87025"/>
    <w:rsid w:val="00BE0692"/>
    <w:rsid w:val="00E866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BA0F9C"/>
  <w15:chartTrackingRefBased/>
  <w15:docId w15:val="{067A94B8-2EEF-DF43-8086-B0A62C926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6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6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6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6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6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6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6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6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6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6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6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6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6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6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6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6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6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692"/>
    <w:rPr>
      <w:rFonts w:eastAsiaTheme="majorEastAsia" w:cstheme="majorBidi"/>
      <w:color w:val="272727" w:themeColor="text1" w:themeTint="D8"/>
    </w:rPr>
  </w:style>
  <w:style w:type="paragraph" w:styleId="Title">
    <w:name w:val="Title"/>
    <w:basedOn w:val="Normal"/>
    <w:next w:val="Normal"/>
    <w:link w:val="TitleChar"/>
    <w:uiPriority w:val="10"/>
    <w:qFormat/>
    <w:rsid w:val="00BE06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6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6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6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692"/>
    <w:pPr>
      <w:spacing w:before="160"/>
      <w:jc w:val="center"/>
    </w:pPr>
    <w:rPr>
      <w:i/>
      <w:iCs/>
      <w:color w:val="404040" w:themeColor="text1" w:themeTint="BF"/>
    </w:rPr>
  </w:style>
  <w:style w:type="character" w:customStyle="1" w:styleId="QuoteChar">
    <w:name w:val="Quote Char"/>
    <w:basedOn w:val="DefaultParagraphFont"/>
    <w:link w:val="Quote"/>
    <w:uiPriority w:val="29"/>
    <w:rsid w:val="00BE0692"/>
    <w:rPr>
      <w:i/>
      <w:iCs/>
      <w:color w:val="404040" w:themeColor="text1" w:themeTint="BF"/>
    </w:rPr>
  </w:style>
  <w:style w:type="paragraph" w:styleId="ListParagraph">
    <w:name w:val="List Paragraph"/>
    <w:basedOn w:val="Normal"/>
    <w:uiPriority w:val="34"/>
    <w:qFormat/>
    <w:rsid w:val="00BE0692"/>
    <w:pPr>
      <w:ind w:left="720"/>
      <w:contextualSpacing/>
    </w:pPr>
  </w:style>
  <w:style w:type="character" w:styleId="IntenseEmphasis">
    <w:name w:val="Intense Emphasis"/>
    <w:basedOn w:val="DefaultParagraphFont"/>
    <w:uiPriority w:val="21"/>
    <w:qFormat/>
    <w:rsid w:val="00BE0692"/>
    <w:rPr>
      <w:i/>
      <w:iCs/>
      <w:color w:val="0F4761" w:themeColor="accent1" w:themeShade="BF"/>
    </w:rPr>
  </w:style>
  <w:style w:type="paragraph" w:styleId="IntenseQuote">
    <w:name w:val="Intense Quote"/>
    <w:basedOn w:val="Normal"/>
    <w:next w:val="Normal"/>
    <w:link w:val="IntenseQuoteChar"/>
    <w:uiPriority w:val="30"/>
    <w:qFormat/>
    <w:rsid w:val="00BE06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692"/>
    <w:rPr>
      <w:i/>
      <w:iCs/>
      <w:color w:val="0F4761" w:themeColor="accent1" w:themeShade="BF"/>
    </w:rPr>
  </w:style>
  <w:style w:type="character" w:styleId="IntenseReference">
    <w:name w:val="Intense Reference"/>
    <w:basedOn w:val="DefaultParagraphFont"/>
    <w:uiPriority w:val="32"/>
    <w:qFormat/>
    <w:rsid w:val="00BE0692"/>
    <w:rPr>
      <w:b/>
      <w:bCs/>
      <w:smallCaps/>
      <w:color w:val="0F4761" w:themeColor="accent1" w:themeShade="BF"/>
      <w:spacing w:val="5"/>
    </w:rPr>
  </w:style>
  <w:style w:type="paragraph" w:customStyle="1" w:styleId="s3">
    <w:name w:val="s3"/>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5">
    <w:name w:val="s5"/>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BE0692"/>
  </w:style>
  <w:style w:type="paragraph" w:customStyle="1" w:styleId="s6">
    <w:name w:val="s6"/>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bumpedfont15">
    <w:name w:val="bumpedfont15"/>
    <w:basedOn w:val="DefaultParagraphFont"/>
    <w:rsid w:val="00BE0692"/>
  </w:style>
  <w:style w:type="character" w:customStyle="1" w:styleId="apple-converted-space">
    <w:name w:val="apple-converted-space"/>
    <w:basedOn w:val="DefaultParagraphFont"/>
    <w:rsid w:val="00BE0692"/>
  </w:style>
  <w:style w:type="paragraph" w:customStyle="1" w:styleId="s8">
    <w:name w:val="s8"/>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11">
    <w:name w:val="s11"/>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9">
    <w:name w:val="s9"/>
    <w:basedOn w:val="DefaultParagraphFont"/>
    <w:rsid w:val="00BE0692"/>
  </w:style>
  <w:style w:type="character" w:customStyle="1" w:styleId="s10">
    <w:name w:val="s10"/>
    <w:basedOn w:val="DefaultParagraphFont"/>
    <w:rsid w:val="00BE0692"/>
  </w:style>
  <w:style w:type="paragraph" w:styleId="NormalWeb">
    <w:name w:val="Normal (Web)"/>
    <w:basedOn w:val="Normal"/>
    <w:uiPriority w:val="99"/>
    <w:semiHidden/>
    <w:unhideWhenUsed/>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13">
    <w:name w:val="s13"/>
    <w:basedOn w:val="DefaultParagraphFont"/>
    <w:rsid w:val="00BE0692"/>
  </w:style>
  <w:style w:type="paragraph" w:customStyle="1" w:styleId="s16">
    <w:name w:val="s16"/>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19">
    <w:name w:val="s19"/>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21">
    <w:name w:val="s21"/>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24">
    <w:name w:val="s24"/>
    <w:basedOn w:val="DefaultParagraphFont"/>
    <w:rsid w:val="00BE0692"/>
  </w:style>
  <w:style w:type="character" w:customStyle="1" w:styleId="s26">
    <w:name w:val="s26"/>
    <w:basedOn w:val="DefaultParagraphFont"/>
    <w:rsid w:val="00BE0692"/>
  </w:style>
  <w:style w:type="paragraph" w:customStyle="1" w:styleId="s27">
    <w:name w:val="s27"/>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28">
    <w:name w:val="s28"/>
    <w:basedOn w:val="Normal"/>
    <w:rsid w:val="00BE0692"/>
    <w:pPr>
      <w:spacing w:before="100" w:beforeAutospacing="1" w:after="100" w:afterAutospacing="1" w:line="240" w:lineRule="auto"/>
    </w:pPr>
    <w:rPr>
      <w:rFonts w:ascii="Times New Roman" w:hAnsi="Times New Roman" w:cs="Times New Roman"/>
      <w:kern w:val="0"/>
      <w14:ligatures w14:val="none"/>
    </w:rPr>
  </w:style>
  <w:style w:type="paragraph" w:customStyle="1" w:styleId="s31">
    <w:name w:val="s31"/>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30">
    <w:name w:val="s30"/>
    <w:basedOn w:val="DefaultParagraphFont"/>
    <w:rsid w:val="00BE0692"/>
  </w:style>
  <w:style w:type="paragraph" w:customStyle="1" w:styleId="s33">
    <w:name w:val="s33"/>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32">
    <w:name w:val="s32"/>
    <w:basedOn w:val="DefaultParagraphFont"/>
    <w:rsid w:val="00BE0692"/>
  </w:style>
  <w:style w:type="paragraph" w:customStyle="1" w:styleId="s34">
    <w:name w:val="s34"/>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35">
    <w:name w:val="s35"/>
    <w:basedOn w:val="DefaultParagraphFont"/>
    <w:rsid w:val="00BE0692"/>
  </w:style>
  <w:style w:type="paragraph" w:customStyle="1" w:styleId="s36">
    <w:name w:val="s36"/>
    <w:basedOn w:val="Normal"/>
    <w:rsid w:val="00BE0692"/>
    <w:pPr>
      <w:spacing w:before="100" w:beforeAutospacing="1" w:after="100" w:afterAutospacing="1" w:line="240" w:lineRule="auto"/>
    </w:pPr>
    <w:rPr>
      <w:rFonts w:ascii="Times New Roman" w:hAnsi="Times New Roman" w:cs="Times New Roman"/>
      <w:kern w:val="0"/>
      <w14:ligatures w14:val="none"/>
    </w:rPr>
  </w:style>
  <w:style w:type="character" w:customStyle="1" w:styleId="s40">
    <w:name w:val="s40"/>
    <w:basedOn w:val="DefaultParagraphFont"/>
    <w:rsid w:val="00BE0692"/>
  </w:style>
  <w:style w:type="paragraph" w:styleId="Header">
    <w:name w:val="header"/>
    <w:basedOn w:val="Normal"/>
    <w:link w:val="HeaderChar"/>
    <w:uiPriority w:val="99"/>
    <w:unhideWhenUsed/>
    <w:rsid w:val="00B52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42F"/>
  </w:style>
  <w:style w:type="paragraph" w:styleId="Footer">
    <w:name w:val="footer"/>
    <w:basedOn w:val="Normal"/>
    <w:link w:val="FooterChar"/>
    <w:uiPriority w:val="99"/>
    <w:unhideWhenUsed/>
    <w:rsid w:val="00B52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monitor.com/apparel-and-footwear-in-the-united-kingdom/report" TargetMode="External"/><Relationship Id="rId13" Type="http://schemas.openxmlformats.org/officeDocument/2006/relationships/hyperlink" Target="https://corporate.primark.com/en-us/a/about-us/who-we-ar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find-and-update.company-information.service.gov.uk/company/00453448" TargetMode="External"/><Relationship Id="rId12" Type="http://schemas.openxmlformats.org/officeDocument/2006/relationships/hyperlink" Target="https://iclg.com/practice-areas/consumer-protection-laws-and-regulations/united-kingdom/"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deloitte.com/global/en/industries/consumer/analysis/global-retail-outlook.html" TargetMode="External"/><Relationship Id="rId1" Type="http://schemas.openxmlformats.org/officeDocument/2006/relationships/styles" Target="styles.xml"/><Relationship Id="rId6" Type="http://schemas.openxmlformats.org/officeDocument/2006/relationships/hyperlink" Target="https://www.reuters.com/business/energy/oil-climbs-one-month-high-us-iran-step-up-attacks-strait-hormuz-2026-07-14/" TargetMode="External"/><Relationship Id="rId11" Type="http://schemas.openxmlformats.org/officeDocument/2006/relationships/hyperlink" Target="https://www.ons.gov.uk/releases/consumerpriceinflationukjune2026" TargetMode="External"/><Relationship Id="rId5" Type="http://schemas.openxmlformats.org/officeDocument/2006/relationships/endnotes" Target="endnotes.xml"/><Relationship Id="rId15" Type="http://schemas.openxmlformats.org/officeDocument/2006/relationships/hyperlink" Target="https://sr.primark.com/" TargetMode="External"/><Relationship Id="rId10" Type="http://schemas.openxmlformats.org/officeDocument/2006/relationships/hyperlink" Target="https://store.mintel.com/report/uk-clothing-retailing-market-report" TargetMode="External"/><Relationship Id="rId4" Type="http://schemas.openxmlformats.org/officeDocument/2006/relationships/footnotes" Target="footnotes.xml"/><Relationship Id="rId9" Type="http://schemas.openxmlformats.org/officeDocument/2006/relationships/hyperlink" Target="https://www.mckinsey.com/industries/retail/our-insights/state-of-fashion-2025" TargetMode="External"/><Relationship Id="rId14" Type="http://schemas.openxmlformats.org/officeDocument/2006/relationships/hyperlink" Target="https://corporate.primark.com/en-gb/a/our-approach/our-primark-cares-commi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4085</Words>
  <Characters>23288</Characters>
  <Application>Microsoft Office Word</Application>
  <DocSecurity>0</DocSecurity>
  <Lines>194</Lines>
  <Paragraphs>54</Paragraphs>
  <ScaleCrop>false</ScaleCrop>
  <Company/>
  <LinksUpToDate>false</LinksUpToDate>
  <CharactersWithSpaces>27319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Sukhwinder Kaur (2328205)</dc:creator>
  <cp:keywords/>
  <dc:description/>
  <cp:lastModifiedBy>Sukhwinder Kaur (2328205)</cp:lastModifiedBy>
  <cp:revision>3</cp:revision>
  <dcterms:created xsi:type="dcterms:W3CDTF">2026-07-24T13:10:00Z</dcterms:created>
  <dcterms:modified xsi:type="dcterms:W3CDTF">2026-07-25T14:03:00Z</dcterms:modified>
</cp:coreProperties>
</file>