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FD40F" w14:textId="77777777" w:rsidR="00763B89" w:rsidRDefault="00763B89"/>
    <w:p w14:paraId="131B0382" w14:textId="77777777" w:rsidR="004C334B" w:rsidRDefault="004C334B">
      <w:pPr>
        <w:rPr>
          <w:rFonts w:ascii="Arial" w:hAnsi="Arial" w:cs="Arial"/>
          <w:sz w:val="24"/>
          <w:szCs w:val="24"/>
        </w:rPr>
      </w:pPr>
    </w:p>
    <w:p w14:paraId="70C925EB" w14:textId="77777777" w:rsidR="004C334B" w:rsidRDefault="004C334B">
      <w:pPr>
        <w:rPr>
          <w:rFonts w:ascii="Arial" w:hAnsi="Arial" w:cs="Arial"/>
          <w:sz w:val="24"/>
          <w:szCs w:val="24"/>
        </w:rPr>
      </w:pPr>
    </w:p>
    <w:p w14:paraId="4A35C1FF" w14:textId="77777777" w:rsidR="004C334B" w:rsidRDefault="004C334B">
      <w:pPr>
        <w:rPr>
          <w:rFonts w:ascii="Arial" w:hAnsi="Arial" w:cs="Arial"/>
          <w:sz w:val="24"/>
          <w:szCs w:val="24"/>
        </w:rPr>
      </w:pPr>
    </w:p>
    <w:p w14:paraId="065E14BC" w14:textId="77777777" w:rsidR="004C334B" w:rsidRDefault="004C334B">
      <w:pPr>
        <w:rPr>
          <w:rFonts w:ascii="Arial" w:hAnsi="Arial" w:cs="Arial"/>
          <w:sz w:val="24"/>
          <w:szCs w:val="24"/>
        </w:rPr>
      </w:pPr>
    </w:p>
    <w:p w14:paraId="69E4BE6E" w14:textId="77777777" w:rsidR="004C334B" w:rsidRDefault="004C334B">
      <w:pPr>
        <w:rPr>
          <w:rFonts w:ascii="Arial" w:hAnsi="Arial" w:cs="Arial"/>
          <w:sz w:val="24"/>
          <w:szCs w:val="24"/>
        </w:rPr>
      </w:pPr>
    </w:p>
    <w:p w14:paraId="1730CF0F" w14:textId="77777777" w:rsidR="004C334B" w:rsidRDefault="004C334B">
      <w:pPr>
        <w:rPr>
          <w:rFonts w:ascii="Arial" w:hAnsi="Arial" w:cs="Arial"/>
          <w:sz w:val="24"/>
          <w:szCs w:val="24"/>
        </w:rPr>
      </w:pPr>
    </w:p>
    <w:p w14:paraId="5A309E6B" w14:textId="77777777" w:rsidR="004C334B" w:rsidRDefault="004C334B">
      <w:pPr>
        <w:rPr>
          <w:rFonts w:ascii="Arial" w:hAnsi="Arial" w:cs="Arial"/>
          <w:sz w:val="24"/>
          <w:szCs w:val="24"/>
        </w:rPr>
      </w:pPr>
    </w:p>
    <w:p w14:paraId="6BD69386" w14:textId="77777777" w:rsidR="004C334B" w:rsidRDefault="004C334B">
      <w:pPr>
        <w:rPr>
          <w:rFonts w:ascii="Arial" w:hAnsi="Arial" w:cs="Arial"/>
          <w:sz w:val="24"/>
          <w:szCs w:val="24"/>
        </w:rPr>
      </w:pPr>
    </w:p>
    <w:p w14:paraId="75A2ED53" w14:textId="77777777" w:rsidR="004C334B" w:rsidRDefault="004C334B" w:rsidP="004C334B">
      <w:pPr>
        <w:jc w:val="center"/>
        <w:rPr>
          <w:rFonts w:ascii="Arial" w:hAnsi="Arial" w:cs="Arial"/>
          <w:sz w:val="24"/>
          <w:szCs w:val="24"/>
        </w:rPr>
      </w:pPr>
      <w:r>
        <w:rPr>
          <w:rFonts w:ascii="Arial" w:hAnsi="Arial" w:cs="Arial"/>
          <w:sz w:val="24"/>
          <w:szCs w:val="24"/>
        </w:rPr>
        <w:t>Name: Festus Tumi</w:t>
      </w:r>
    </w:p>
    <w:p w14:paraId="067776A0" w14:textId="77777777" w:rsidR="004C334B" w:rsidRDefault="004C334B" w:rsidP="004C334B">
      <w:pPr>
        <w:jc w:val="center"/>
        <w:rPr>
          <w:rFonts w:ascii="Arial" w:hAnsi="Arial" w:cs="Arial"/>
          <w:sz w:val="24"/>
          <w:szCs w:val="24"/>
        </w:rPr>
      </w:pPr>
    </w:p>
    <w:p w14:paraId="300E9A23" w14:textId="77777777" w:rsidR="004C334B" w:rsidRDefault="004C334B" w:rsidP="004C334B">
      <w:pPr>
        <w:jc w:val="center"/>
        <w:rPr>
          <w:rFonts w:ascii="Arial" w:hAnsi="Arial" w:cs="Arial"/>
          <w:sz w:val="24"/>
          <w:szCs w:val="24"/>
        </w:rPr>
      </w:pPr>
      <w:r>
        <w:rPr>
          <w:rFonts w:ascii="Arial" w:hAnsi="Arial" w:cs="Arial"/>
          <w:sz w:val="24"/>
          <w:szCs w:val="24"/>
        </w:rPr>
        <w:t>Number: 2121888</w:t>
      </w:r>
    </w:p>
    <w:p w14:paraId="3B3C0B87" w14:textId="77777777" w:rsidR="004C334B" w:rsidRDefault="004C334B" w:rsidP="004C334B">
      <w:pPr>
        <w:jc w:val="center"/>
        <w:rPr>
          <w:rFonts w:ascii="Arial" w:hAnsi="Arial" w:cs="Arial"/>
          <w:sz w:val="24"/>
          <w:szCs w:val="24"/>
        </w:rPr>
      </w:pPr>
    </w:p>
    <w:p w14:paraId="09931995" w14:textId="05F2C12D" w:rsidR="004C334B" w:rsidRDefault="004C334B" w:rsidP="004C334B">
      <w:pPr>
        <w:jc w:val="center"/>
        <w:rPr>
          <w:rFonts w:ascii="Arial" w:hAnsi="Arial" w:cs="Arial"/>
          <w:sz w:val="24"/>
          <w:szCs w:val="24"/>
        </w:rPr>
      </w:pPr>
      <w:r>
        <w:rPr>
          <w:rFonts w:ascii="Arial" w:hAnsi="Arial" w:cs="Arial"/>
          <w:sz w:val="24"/>
          <w:szCs w:val="24"/>
        </w:rPr>
        <w:t>BMIH 5006: Sustainable Hospitality and Tourism Management</w:t>
      </w:r>
    </w:p>
    <w:p w14:paraId="6B490CF1" w14:textId="77777777" w:rsidR="004C334B" w:rsidRDefault="004C334B" w:rsidP="004C334B">
      <w:pPr>
        <w:jc w:val="center"/>
        <w:rPr>
          <w:rFonts w:ascii="Arial" w:hAnsi="Arial" w:cs="Arial"/>
          <w:sz w:val="24"/>
          <w:szCs w:val="24"/>
        </w:rPr>
      </w:pPr>
    </w:p>
    <w:p w14:paraId="6C827302" w14:textId="77777777" w:rsidR="004C334B" w:rsidRDefault="004C334B" w:rsidP="004C334B">
      <w:pPr>
        <w:jc w:val="center"/>
        <w:rPr>
          <w:rFonts w:ascii="Arial" w:hAnsi="Arial" w:cs="Arial"/>
          <w:sz w:val="24"/>
          <w:szCs w:val="24"/>
        </w:rPr>
      </w:pPr>
      <w:r>
        <w:rPr>
          <w:rFonts w:ascii="Arial" w:hAnsi="Arial" w:cs="Arial"/>
          <w:sz w:val="24"/>
          <w:szCs w:val="24"/>
        </w:rPr>
        <w:t>Essay 2000 Words</w:t>
      </w:r>
    </w:p>
    <w:p w14:paraId="6382FE7F" w14:textId="77777777" w:rsidR="004C334B" w:rsidRDefault="004C334B" w:rsidP="004C334B">
      <w:pPr>
        <w:jc w:val="center"/>
        <w:rPr>
          <w:rFonts w:ascii="Arial" w:hAnsi="Arial" w:cs="Arial"/>
          <w:sz w:val="24"/>
          <w:szCs w:val="24"/>
        </w:rPr>
      </w:pPr>
    </w:p>
    <w:p w14:paraId="336A4832" w14:textId="1A1FB21E" w:rsidR="004C334B" w:rsidRDefault="004C334B" w:rsidP="004C334B">
      <w:pPr>
        <w:ind w:left="720"/>
        <w:jc w:val="center"/>
        <w:rPr>
          <w:rFonts w:ascii="Arial" w:hAnsi="Arial" w:cs="Arial"/>
          <w:sz w:val="24"/>
          <w:szCs w:val="24"/>
        </w:rPr>
      </w:pPr>
      <w:r>
        <w:rPr>
          <w:rFonts w:ascii="Arial" w:hAnsi="Arial" w:cs="Arial"/>
          <w:sz w:val="24"/>
          <w:szCs w:val="24"/>
        </w:rPr>
        <w:t xml:space="preserve">Title:  </w:t>
      </w:r>
      <w:r w:rsidRPr="004C334B">
        <w:rPr>
          <w:rFonts w:ascii="Arial" w:hAnsi="Arial" w:cs="Arial"/>
          <w:sz w:val="24"/>
          <w:szCs w:val="24"/>
        </w:rPr>
        <w:t>Choose a hotel (Marriott, Premier Inn, Accor, IHG) and discuss how they implement circular economy within their Corporate Social Responsibility Policy</w:t>
      </w:r>
    </w:p>
    <w:p w14:paraId="0F607BE3" w14:textId="77777777" w:rsidR="004C334B" w:rsidRDefault="004C334B" w:rsidP="004C334B">
      <w:pPr>
        <w:ind w:left="720"/>
        <w:jc w:val="center"/>
        <w:rPr>
          <w:rFonts w:ascii="Arial" w:hAnsi="Arial" w:cs="Arial"/>
          <w:sz w:val="24"/>
          <w:szCs w:val="24"/>
        </w:rPr>
      </w:pPr>
    </w:p>
    <w:p w14:paraId="037D5F27" w14:textId="49916CD7" w:rsidR="004C334B" w:rsidRDefault="004C334B" w:rsidP="004C334B">
      <w:pPr>
        <w:jc w:val="center"/>
        <w:rPr>
          <w:rFonts w:ascii="Arial" w:hAnsi="Arial" w:cs="Arial"/>
          <w:sz w:val="24"/>
          <w:szCs w:val="24"/>
        </w:rPr>
      </w:pPr>
      <w:r>
        <w:rPr>
          <w:rFonts w:ascii="Arial" w:hAnsi="Arial" w:cs="Arial"/>
          <w:sz w:val="24"/>
          <w:szCs w:val="24"/>
        </w:rPr>
        <w:t>Lecturer: Kathryn Roberts</w:t>
      </w:r>
    </w:p>
    <w:p w14:paraId="7BB80AAB" w14:textId="77777777" w:rsidR="004C334B" w:rsidRDefault="004C334B" w:rsidP="004C334B">
      <w:pPr>
        <w:jc w:val="center"/>
        <w:rPr>
          <w:rFonts w:ascii="Arial" w:hAnsi="Arial" w:cs="Arial"/>
          <w:sz w:val="24"/>
          <w:szCs w:val="24"/>
        </w:rPr>
      </w:pPr>
    </w:p>
    <w:p w14:paraId="5E7E4877" w14:textId="2FF6D8DF" w:rsidR="004C334B" w:rsidRDefault="004C334B" w:rsidP="004C334B">
      <w:pPr>
        <w:jc w:val="center"/>
        <w:rPr>
          <w:rFonts w:ascii="Arial" w:hAnsi="Arial" w:cs="Arial"/>
          <w:sz w:val="24"/>
          <w:szCs w:val="24"/>
        </w:rPr>
      </w:pPr>
      <w:r>
        <w:rPr>
          <w:rFonts w:ascii="Arial" w:hAnsi="Arial" w:cs="Arial"/>
          <w:sz w:val="24"/>
          <w:szCs w:val="24"/>
        </w:rPr>
        <w:t xml:space="preserve">Submission Date: </w:t>
      </w:r>
      <w:r w:rsidR="00F53E5F">
        <w:rPr>
          <w:rFonts w:ascii="Arial" w:hAnsi="Arial" w:cs="Arial"/>
          <w:sz w:val="24"/>
          <w:szCs w:val="24"/>
        </w:rPr>
        <w:t>2nd</w:t>
      </w:r>
      <w:r>
        <w:rPr>
          <w:rFonts w:ascii="Arial" w:hAnsi="Arial" w:cs="Arial"/>
          <w:sz w:val="24"/>
          <w:szCs w:val="24"/>
        </w:rPr>
        <w:t xml:space="preserve"> February 2024  </w:t>
      </w:r>
    </w:p>
    <w:p w14:paraId="2195E593" w14:textId="77777777" w:rsidR="004C334B" w:rsidRDefault="004C334B">
      <w:pPr>
        <w:rPr>
          <w:rFonts w:ascii="Arial" w:hAnsi="Arial" w:cs="Arial"/>
          <w:sz w:val="24"/>
          <w:szCs w:val="24"/>
        </w:rPr>
      </w:pPr>
    </w:p>
    <w:p w14:paraId="0682565D" w14:textId="77777777" w:rsidR="004C334B" w:rsidRDefault="004C334B">
      <w:pPr>
        <w:rPr>
          <w:rFonts w:ascii="Arial" w:hAnsi="Arial" w:cs="Arial"/>
          <w:sz w:val="24"/>
          <w:szCs w:val="24"/>
        </w:rPr>
      </w:pPr>
    </w:p>
    <w:p w14:paraId="73EB10D6" w14:textId="77777777" w:rsidR="004C334B" w:rsidRDefault="004C334B">
      <w:pPr>
        <w:rPr>
          <w:rFonts w:ascii="Arial" w:hAnsi="Arial" w:cs="Arial"/>
          <w:sz w:val="24"/>
          <w:szCs w:val="24"/>
        </w:rPr>
      </w:pPr>
    </w:p>
    <w:p w14:paraId="2A280AA5" w14:textId="77777777" w:rsidR="004C334B" w:rsidRDefault="004C334B">
      <w:pPr>
        <w:rPr>
          <w:rFonts w:ascii="Arial" w:hAnsi="Arial" w:cs="Arial"/>
          <w:sz w:val="24"/>
          <w:szCs w:val="24"/>
        </w:rPr>
      </w:pPr>
    </w:p>
    <w:p w14:paraId="27A38BCA" w14:textId="77777777" w:rsidR="004C334B" w:rsidRDefault="004C334B">
      <w:pPr>
        <w:rPr>
          <w:rFonts w:ascii="Arial" w:hAnsi="Arial" w:cs="Arial"/>
          <w:sz w:val="24"/>
          <w:szCs w:val="24"/>
        </w:rPr>
      </w:pPr>
    </w:p>
    <w:p w14:paraId="7218E59C" w14:textId="77777777" w:rsidR="004C334B" w:rsidRDefault="004C334B">
      <w:pPr>
        <w:rPr>
          <w:rFonts w:ascii="Arial" w:hAnsi="Arial" w:cs="Arial"/>
          <w:sz w:val="24"/>
          <w:szCs w:val="24"/>
        </w:rPr>
      </w:pPr>
    </w:p>
    <w:p w14:paraId="2D6205A5" w14:textId="77777777" w:rsidR="004C334B" w:rsidRDefault="004C334B">
      <w:pPr>
        <w:rPr>
          <w:rFonts w:ascii="Arial" w:hAnsi="Arial" w:cs="Arial"/>
          <w:sz w:val="24"/>
          <w:szCs w:val="24"/>
        </w:rPr>
      </w:pPr>
    </w:p>
    <w:p w14:paraId="115C5F6C" w14:textId="7FA921D9" w:rsidR="00533B38" w:rsidRDefault="00054DFD" w:rsidP="00B86B09">
      <w:pPr>
        <w:jc w:val="both"/>
        <w:rPr>
          <w:rFonts w:ascii="Arial" w:hAnsi="Arial" w:cs="Arial"/>
          <w:sz w:val="24"/>
          <w:szCs w:val="24"/>
        </w:rPr>
      </w:pPr>
      <w:r w:rsidRPr="00B012C3">
        <w:rPr>
          <w:rFonts w:ascii="Arial" w:hAnsi="Arial" w:cs="Arial"/>
          <w:sz w:val="24"/>
          <w:szCs w:val="24"/>
        </w:rPr>
        <w:t xml:space="preserve">In today's business environment, sustainability has emerged as a crucial component of Corporate Social Responsibility for companies </w:t>
      </w:r>
      <w:r w:rsidRPr="00B012C3">
        <w:rPr>
          <w:rFonts w:ascii="Arial" w:hAnsi="Arial" w:cs="Arial"/>
          <w:sz w:val="24"/>
          <w:szCs w:val="24"/>
        </w:rPr>
        <w:t xml:space="preserve">across many industries. </w:t>
      </w:r>
      <w:r w:rsidRPr="00B012C3">
        <w:rPr>
          <w:rFonts w:ascii="Arial" w:hAnsi="Arial" w:cs="Arial"/>
          <w:sz w:val="24"/>
          <w:szCs w:val="24"/>
        </w:rPr>
        <w:t xml:space="preserve">With environmental issues </w:t>
      </w:r>
      <w:r w:rsidRPr="0006564D">
        <w:rPr>
          <w:rFonts w:ascii="Arial" w:hAnsi="Arial" w:cs="Arial"/>
          <w:sz w:val="24"/>
          <w:szCs w:val="24"/>
        </w:rPr>
        <w:t xml:space="preserve">becoming front and centre of consumers spending choices and tighter regulation on just how companies produce and deliver products and services,  </w:t>
      </w:r>
      <w:r w:rsidRPr="0006564D">
        <w:rPr>
          <w:rFonts w:ascii="Arial" w:hAnsi="Arial" w:cs="Arial"/>
          <w:sz w:val="24"/>
          <w:szCs w:val="24"/>
        </w:rPr>
        <w:t>organi</w:t>
      </w:r>
      <w:r w:rsidRPr="0006564D">
        <w:rPr>
          <w:rFonts w:ascii="Arial" w:hAnsi="Arial" w:cs="Arial"/>
          <w:sz w:val="24"/>
          <w:szCs w:val="24"/>
        </w:rPr>
        <w:t>s</w:t>
      </w:r>
      <w:r w:rsidRPr="0006564D">
        <w:rPr>
          <w:rFonts w:ascii="Arial" w:hAnsi="Arial" w:cs="Arial"/>
          <w:sz w:val="24"/>
          <w:szCs w:val="24"/>
        </w:rPr>
        <w:t>ations are recognizing the necessity of adopting ethical practices that transcend mere profitability.</w:t>
      </w:r>
    </w:p>
    <w:p w14:paraId="08084239" w14:textId="577E4BD7" w:rsidR="00E34690" w:rsidRDefault="00E34690" w:rsidP="00B86B09">
      <w:pPr>
        <w:jc w:val="both"/>
        <w:rPr>
          <w:rFonts w:ascii="Arial" w:hAnsi="Arial" w:cs="Arial"/>
          <w:sz w:val="24"/>
          <w:szCs w:val="24"/>
        </w:rPr>
      </w:pPr>
      <w:r w:rsidRPr="0006564D">
        <w:rPr>
          <w:rFonts w:ascii="Arial" w:hAnsi="Arial" w:cs="Arial"/>
          <w:sz w:val="24"/>
          <w:szCs w:val="24"/>
        </w:rPr>
        <w:t>In the hospitality industry specifically, well-known hotel chains like Marriott, Premier Inn, Accor, and IHG are leading the charge in integrating circular economy principles into their CSR frameworks.</w:t>
      </w:r>
      <w:r w:rsidRPr="00533B38">
        <w:rPr>
          <w:rFonts w:ascii="Arial" w:hAnsi="Arial" w:cs="Arial"/>
          <w:color w:val="FF0000"/>
          <w:sz w:val="24"/>
          <w:szCs w:val="24"/>
        </w:rPr>
        <w:t xml:space="preserve"> </w:t>
      </w:r>
      <w:r>
        <w:rPr>
          <w:rFonts w:ascii="Arial" w:hAnsi="Arial" w:cs="Arial"/>
          <w:sz w:val="24"/>
          <w:szCs w:val="24"/>
        </w:rPr>
        <w:t xml:space="preserve">This essay will focus on the CSR strategies and practices of Marriott International (2024), the world’s’ largest hotel and lodging chain that manages, operates and franchises over thirty brands with nearly 8700 properties employing 377,000 people in 139 countries.  It will discuss </w:t>
      </w:r>
      <w:r w:rsidRPr="0006564D">
        <w:rPr>
          <w:rFonts w:ascii="Arial" w:hAnsi="Arial" w:cs="Arial"/>
          <w:sz w:val="24"/>
          <w:szCs w:val="24"/>
        </w:rPr>
        <w:t xml:space="preserve">how </w:t>
      </w:r>
      <w:r>
        <w:rPr>
          <w:rFonts w:ascii="Arial" w:hAnsi="Arial" w:cs="Arial"/>
          <w:sz w:val="24"/>
          <w:szCs w:val="24"/>
        </w:rPr>
        <w:t>Marriott International</w:t>
      </w:r>
      <w:r w:rsidRPr="0006564D">
        <w:rPr>
          <w:rFonts w:ascii="Arial" w:hAnsi="Arial" w:cs="Arial"/>
          <w:sz w:val="24"/>
          <w:szCs w:val="24"/>
        </w:rPr>
        <w:t xml:space="preserve"> contributes to </w:t>
      </w:r>
      <w:r>
        <w:rPr>
          <w:rFonts w:ascii="Arial" w:hAnsi="Arial" w:cs="Arial"/>
          <w:sz w:val="24"/>
          <w:szCs w:val="24"/>
        </w:rPr>
        <w:t xml:space="preserve">the circular economy by </w:t>
      </w:r>
      <w:r w:rsidRPr="0006564D">
        <w:rPr>
          <w:rFonts w:ascii="Arial" w:hAnsi="Arial" w:cs="Arial"/>
          <w:sz w:val="24"/>
          <w:szCs w:val="24"/>
        </w:rPr>
        <w:t>enhancing resource efficiency, minimizing waste, and fostering sustainable development, thereby showcasing their dedication to a more conscientious and environmentally sustainable business ethos.</w:t>
      </w:r>
    </w:p>
    <w:p w14:paraId="350AA745" w14:textId="3CAB6B38" w:rsidR="00533B38" w:rsidRDefault="00533B38" w:rsidP="00B86B09">
      <w:pPr>
        <w:jc w:val="both"/>
        <w:rPr>
          <w:rFonts w:ascii="Arial" w:hAnsi="Arial" w:cs="Arial"/>
          <w:sz w:val="24"/>
          <w:szCs w:val="24"/>
        </w:rPr>
      </w:pPr>
      <w:r w:rsidRPr="00A13E55">
        <w:rPr>
          <w:rFonts w:ascii="Arial" w:hAnsi="Arial" w:cs="Arial"/>
          <w:sz w:val="24"/>
          <w:szCs w:val="24"/>
        </w:rPr>
        <w:t xml:space="preserve">Hlioui and Yousfi (2002) </w:t>
      </w:r>
      <w:r w:rsidRPr="00561A83">
        <w:rPr>
          <w:rFonts w:ascii="Arial" w:hAnsi="Arial" w:cs="Arial"/>
          <w:sz w:val="24"/>
          <w:szCs w:val="24"/>
        </w:rPr>
        <w:t>suggests that the essence of Corporate Social Responsibility (CSR) has arisen as a consequence of global “grand challenges such as urban mobility, poverty alleviation, endemic violent conflict and the worsening of the ecological crisis.” T</w:t>
      </w:r>
      <w:r>
        <w:rPr>
          <w:rFonts w:ascii="Arial" w:hAnsi="Arial" w:cs="Arial"/>
          <w:sz w:val="24"/>
          <w:szCs w:val="24"/>
        </w:rPr>
        <w:t>o</w:t>
      </w:r>
      <w:r w:rsidRPr="00561A83">
        <w:rPr>
          <w:rFonts w:ascii="Arial" w:hAnsi="Arial" w:cs="Arial"/>
          <w:sz w:val="24"/>
          <w:szCs w:val="24"/>
        </w:rPr>
        <w:t xml:space="preserve"> overcome </w:t>
      </w:r>
      <w:r w:rsidRPr="00A13E55">
        <w:rPr>
          <w:rFonts w:ascii="Arial" w:hAnsi="Arial" w:cs="Arial"/>
          <w:sz w:val="24"/>
          <w:szCs w:val="24"/>
        </w:rPr>
        <w:t>this most businesses are now adopting “socially and ecologically responsible behaviours while ensuring their growth.” They surmise further that investing in social matters helps an organisation to gain legitimacy within its community.</w:t>
      </w:r>
      <w:r>
        <w:rPr>
          <w:rFonts w:ascii="Arial" w:hAnsi="Arial" w:cs="Arial"/>
          <w:sz w:val="24"/>
          <w:szCs w:val="24"/>
        </w:rPr>
        <w:t xml:space="preserve"> Beal (2014) referring to WC Frederick quotes “social responsibility… implies a public posture towards society’s economic and human resources and a willingness to see that those resources are utilised for broad social ends and not simply for the narrowly circumscribed interests for private persons and firms.    </w:t>
      </w:r>
    </w:p>
    <w:p w14:paraId="31D1AE25" w14:textId="126BC61C" w:rsidR="003B6134" w:rsidRDefault="003B6134" w:rsidP="00B86B09">
      <w:pPr>
        <w:jc w:val="both"/>
        <w:rPr>
          <w:rFonts w:ascii="Arial" w:hAnsi="Arial" w:cs="Arial"/>
          <w:sz w:val="24"/>
          <w:szCs w:val="24"/>
        </w:rPr>
      </w:pPr>
      <w:r>
        <w:rPr>
          <w:rFonts w:ascii="Arial" w:hAnsi="Arial" w:cs="Arial"/>
          <w:sz w:val="24"/>
          <w:szCs w:val="24"/>
        </w:rPr>
        <w:t>C</w:t>
      </w:r>
      <w:r w:rsidR="00002A3B" w:rsidRPr="00002A3B">
        <w:rPr>
          <w:rFonts w:ascii="Arial" w:hAnsi="Arial" w:cs="Arial"/>
          <w:sz w:val="24"/>
          <w:szCs w:val="24"/>
        </w:rPr>
        <w:t>losely linked to sustainability and corporate social responsibility (CSR)</w:t>
      </w:r>
      <w:r>
        <w:rPr>
          <w:rFonts w:ascii="Arial" w:hAnsi="Arial" w:cs="Arial"/>
          <w:sz w:val="24"/>
          <w:szCs w:val="24"/>
        </w:rPr>
        <w:t xml:space="preserve">, </w:t>
      </w:r>
      <w:r w:rsidR="00CD0720">
        <w:rPr>
          <w:rFonts w:ascii="Arial" w:hAnsi="Arial" w:cs="Arial"/>
          <w:sz w:val="24"/>
          <w:szCs w:val="24"/>
        </w:rPr>
        <w:t xml:space="preserve">Slaper and Hall (2011) referencing John Elkington’s </w:t>
      </w:r>
      <w:r w:rsidR="00002A3B" w:rsidRPr="00002A3B">
        <w:rPr>
          <w:rFonts w:ascii="Arial" w:hAnsi="Arial" w:cs="Arial"/>
          <w:sz w:val="24"/>
          <w:szCs w:val="24"/>
        </w:rPr>
        <w:t>triple bottom line framework advocates that a company's performance should be evaluated based on three interconnected dimensions</w:t>
      </w:r>
      <w:r>
        <w:rPr>
          <w:rFonts w:ascii="Arial" w:hAnsi="Arial" w:cs="Arial"/>
          <w:sz w:val="24"/>
          <w:szCs w:val="24"/>
        </w:rPr>
        <w:t xml:space="preserve">, namely profit – representing the traditional financial performance of the business; people – focusing on the impact of business activity on people both with and outside the organisation; and planet - </w:t>
      </w:r>
      <w:r w:rsidRPr="00002A3B">
        <w:rPr>
          <w:rFonts w:ascii="Arial" w:hAnsi="Arial" w:cs="Arial"/>
          <w:sz w:val="24"/>
          <w:szCs w:val="24"/>
        </w:rPr>
        <w:t>consider</w:t>
      </w:r>
      <w:r>
        <w:rPr>
          <w:rFonts w:ascii="Arial" w:hAnsi="Arial" w:cs="Arial"/>
          <w:sz w:val="24"/>
          <w:szCs w:val="24"/>
        </w:rPr>
        <w:t>ing</w:t>
      </w:r>
      <w:r w:rsidRPr="00002A3B">
        <w:rPr>
          <w:rFonts w:ascii="Arial" w:hAnsi="Arial" w:cs="Arial"/>
          <w:sz w:val="24"/>
          <w:szCs w:val="24"/>
        </w:rPr>
        <w:t xml:space="preserve"> the ecological impact of business operations and practices</w:t>
      </w:r>
      <w:r>
        <w:rPr>
          <w:rFonts w:ascii="Arial" w:hAnsi="Arial" w:cs="Arial"/>
          <w:sz w:val="24"/>
          <w:szCs w:val="24"/>
        </w:rPr>
        <w:t xml:space="preserve"> by </w:t>
      </w:r>
      <w:r w:rsidRPr="00002A3B">
        <w:rPr>
          <w:rFonts w:ascii="Arial" w:hAnsi="Arial" w:cs="Arial"/>
          <w:sz w:val="24"/>
          <w:szCs w:val="24"/>
        </w:rPr>
        <w:t xml:space="preserve">minimizing negative environmental </w:t>
      </w:r>
      <w:r>
        <w:rPr>
          <w:rFonts w:ascii="Arial" w:hAnsi="Arial" w:cs="Arial"/>
          <w:sz w:val="24"/>
          <w:szCs w:val="24"/>
        </w:rPr>
        <w:t>effects</w:t>
      </w:r>
      <w:r w:rsidRPr="00002A3B">
        <w:rPr>
          <w:rFonts w:ascii="Arial" w:hAnsi="Arial" w:cs="Arial"/>
          <w:sz w:val="24"/>
          <w:szCs w:val="24"/>
        </w:rPr>
        <w:t>, conserving natural resources, reducing pollution and waste, mitigating climate change, and promoting sustainable practices throughout the supply chain.</w:t>
      </w:r>
      <w:r w:rsidR="0006334A">
        <w:rPr>
          <w:rFonts w:ascii="Arial" w:hAnsi="Arial" w:cs="Arial"/>
          <w:sz w:val="24"/>
          <w:szCs w:val="24"/>
        </w:rPr>
        <w:t xml:space="preserve"> Watts (2024) reports that a move to more sustainable and global agricultural practices </w:t>
      </w:r>
      <w:r w:rsidR="00A74FF6">
        <w:rPr>
          <w:rFonts w:ascii="Arial" w:hAnsi="Arial" w:cs="Arial"/>
          <w:sz w:val="24"/>
          <w:szCs w:val="24"/>
        </w:rPr>
        <w:t>could generate up to £8 trillion of benefits each year with benefits to both the climate and human health. Referring to an international study he quotes a leading author of the report</w:t>
      </w:r>
      <w:r w:rsidR="0006334A" w:rsidRPr="0006334A">
        <w:rPr>
          <w:rFonts w:ascii="Arial" w:hAnsi="Arial" w:cs="Arial"/>
          <w:sz w:val="24"/>
          <w:szCs w:val="24"/>
        </w:rPr>
        <w:t xml:space="preserve"> </w:t>
      </w:r>
      <w:r w:rsidR="00A74FF6">
        <w:rPr>
          <w:rFonts w:ascii="Arial" w:hAnsi="Arial" w:cs="Arial"/>
          <w:sz w:val="24"/>
          <w:szCs w:val="24"/>
        </w:rPr>
        <w:t xml:space="preserve">thus: </w:t>
      </w:r>
      <w:r w:rsidR="00A74FF6" w:rsidRPr="00A74FF6">
        <w:rPr>
          <w:rFonts w:ascii="Arial" w:hAnsi="Arial" w:cs="Arial"/>
          <w:color w:val="121212"/>
          <w:sz w:val="24"/>
          <w:szCs w:val="24"/>
          <w:shd w:val="clear" w:color="auto" w:fill="FFFFFF"/>
        </w:rPr>
        <w:t>“The global food system holds the future of humanity on Earth in its hand</w:t>
      </w:r>
      <w:r w:rsidR="00A74FF6">
        <w:rPr>
          <w:rFonts w:ascii="Arial" w:hAnsi="Arial" w:cs="Arial"/>
          <w:color w:val="121212"/>
          <w:sz w:val="24"/>
          <w:szCs w:val="24"/>
          <w:shd w:val="clear" w:color="auto" w:fill="FFFFFF"/>
        </w:rPr>
        <w:t xml:space="preserve"> </w:t>
      </w:r>
      <w:r w:rsidR="00A74FF6" w:rsidRPr="00A74FF6">
        <w:rPr>
          <w:rFonts w:ascii="Arial" w:hAnsi="Arial" w:cs="Arial"/>
          <w:color w:val="121212"/>
          <w:sz w:val="24"/>
          <w:szCs w:val="24"/>
          <w:shd w:val="clear" w:color="auto" w:fill="FFFFFF"/>
        </w:rPr>
        <w:t>”</w:t>
      </w:r>
      <w:r w:rsidR="00A74FF6">
        <w:rPr>
          <w:rFonts w:ascii="Arial" w:hAnsi="Arial" w:cs="Arial"/>
          <w:color w:val="121212"/>
          <w:sz w:val="24"/>
          <w:szCs w:val="24"/>
          <w:shd w:val="clear" w:color="auto" w:fill="FFFFFF"/>
        </w:rPr>
        <w:t xml:space="preserve"> </w:t>
      </w:r>
      <w:r w:rsidR="00A74FF6">
        <w:rPr>
          <w:rFonts w:ascii="Arial" w:hAnsi="Arial" w:cs="Arial"/>
          <w:sz w:val="24"/>
          <w:szCs w:val="24"/>
        </w:rPr>
        <w:t xml:space="preserve">and while politically challenging would generate enormous benefits.  </w:t>
      </w:r>
    </w:p>
    <w:p w14:paraId="3A92F63D" w14:textId="77777777" w:rsidR="00E34690" w:rsidRDefault="00E34690" w:rsidP="00B86B09">
      <w:pPr>
        <w:jc w:val="both"/>
        <w:rPr>
          <w:rFonts w:ascii="Arial" w:hAnsi="Arial" w:cs="Arial"/>
          <w:sz w:val="24"/>
          <w:szCs w:val="24"/>
        </w:rPr>
      </w:pPr>
      <w:r w:rsidRPr="0013293E">
        <w:rPr>
          <w:rFonts w:ascii="Arial" w:hAnsi="Arial" w:cs="Arial"/>
          <w:sz w:val="24"/>
          <w:szCs w:val="24"/>
        </w:rPr>
        <w:lastRenderedPageBreak/>
        <w:t xml:space="preserve">Implementing circular economy principles within a Corporate Social Responsibility (CSR) policy involves a strategic approach to minimizing waste, maximizing resource efficiency, and promoting sustainable practices throughout the organization's operations.  </w:t>
      </w:r>
    </w:p>
    <w:p w14:paraId="7AA7A7DD" w14:textId="1F8C9AA0" w:rsidR="003B6134" w:rsidRDefault="003B6134" w:rsidP="00B86B09">
      <w:pPr>
        <w:jc w:val="both"/>
        <w:rPr>
          <w:rFonts w:ascii="Arial" w:hAnsi="Arial" w:cs="Arial"/>
          <w:sz w:val="24"/>
          <w:szCs w:val="24"/>
        </w:rPr>
      </w:pPr>
      <w:r w:rsidRPr="00A81E6C">
        <w:rPr>
          <w:rFonts w:ascii="Arial" w:hAnsi="Arial" w:cs="Arial"/>
          <w:sz w:val="24"/>
          <w:szCs w:val="24"/>
        </w:rPr>
        <w:t>Marriot International are members of CDP (2024)</w:t>
      </w:r>
      <w:r w:rsidR="0006334A">
        <w:rPr>
          <w:rFonts w:ascii="Arial" w:hAnsi="Arial" w:cs="Arial"/>
          <w:sz w:val="24"/>
          <w:szCs w:val="24"/>
        </w:rPr>
        <w:t>,</w:t>
      </w:r>
      <w:r w:rsidRPr="00A81E6C">
        <w:rPr>
          <w:rFonts w:ascii="Arial" w:hAnsi="Arial" w:cs="Arial"/>
          <w:sz w:val="24"/>
          <w:szCs w:val="24"/>
        </w:rPr>
        <w:t xml:space="preserve"> “a non-profit company that provides the global disclosure system for investors, companies, cities, states and regions to manage their environmental impacts.</w:t>
      </w:r>
      <w:r>
        <w:rPr>
          <w:rFonts w:ascii="Arial" w:hAnsi="Arial" w:cs="Arial"/>
          <w:sz w:val="24"/>
          <w:szCs w:val="24"/>
        </w:rPr>
        <w:t>”</w:t>
      </w:r>
      <w:r w:rsidRPr="00A81E6C">
        <w:rPr>
          <w:rFonts w:ascii="Arial" w:hAnsi="Arial" w:cs="Arial"/>
          <w:sz w:val="24"/>
          <w:szCs w:val="24"/>
        </w:rPr>
        <w:t xml:space="preserve"> </w:t>
      </w:r>
      <w:r>
        <w:rPr>
          <w:rFonts w:ascii="Arial" w:hAnsi="Arial" w:cs="Arial"/>
          <w:sz w:val="24"/>
          <w:szCs w:val="24"/>
        </w:rPr>
        <w:t>CDP aims to move companies and governments to commit and act towards building sustainable economies by “measuring  and acting on their environmental impact.”</w:t>
      </w:r>
    </w:p>
    <w:p w14:paraId="0CDFD21C" w14:textId="7014BC5F" w:rsidR="003B6134" w:rsidRDefault="003B6134" w:rsidP="00B86B09">
      <w:pPr>
        <w:jc w:val="both"/>
        <w:rPr>
          <w:rFonts w:ascii="Arial" w:hAnsi="Arial" w:cs="Arial"/>
          <w:sz w:val="24"/>
          <w:szCs w:val="24"/>
        </w:rPr>
      </w:pPr>
      <w:r>
        <w:rPr>
          <w:rFonts w:ascii="Arial" w:hAnsi="Arial" w:cs="Arial"/>
          <w:sz w:val="24"/>
          <w:szCs w:val="24"/>
        </w:rPr>
        <w:t>In an article to the CDP on climate change in 2023 Marriott International describes its sustainability initiatives should be measured on how successful they are on designing resource efficient hotels, the development and implementation of technologies and strategies to track and reduce water and energy consumption to help manage climate change, reduce all kinds of waste, restore native ecosystems and focus on responsible sourcing of raw materials.</w:t>
      </w:r>
    </w:p>
    <w:p w14:paraId="171123D4" w14:textId="59B0B736" w:rsidR="00E34690" w:rsidRDefault="00B75D90" w:rsidP="00B86B09">
      <w:pPr>
        <w:jc w:val="both"/>
        <w:rPr>
          <w:rFonts w:ascii="Arial" w:hAnsi="Arial" w:cs="Arial"/>
          <w:sz w:val="24"/>
          <w:szCs w:val="24"/>
        </w:rPr>
      </w:pPr>
      <w:r w:rsidRPr="0006564D">
        <w:rPr>
          <w:rFonts w:ascii="Arial" w:hAnsi="Arial" w:cs="Arial"/>
          <w:sz w:val="24"/>
          <w:szCs w:val="24"/>
        </w:rPr>
        <w:t xml:space="preserve">To have a clearer understanding of the </w:t>
      </w:r>
      <w:r w:rsidR="002B2CCC" w:rsidRPr="0006564D">
        <w:rPr>
          <w:rFonts w:ascii="Arial" w:hAnsi="Arial" w:cs="Arial"/>
          <w:sz w:val="24"/>
          <w:szCs w:val="24"/>
        </w:rPr>
        <w:t>circular economy, one needs to have an understanding of how most economies have been operating over the past century or so</w:t>
      </w:r>
      <w:r w:rsidR="00533B38">
        <w:rPr>
          <w:rFonts w:ascii="Arial" w:hAnsi="Arial" w:cs="Arial"/>
          <w:sz w:val="24"/>
          <w:szCs w:val="24"/>
        </w:rPr>
        <w:t xml:space="preserve"> and based on </w:t>
      </w:r>
      <w:r w:rsidR="002B2CCC" w:rsidRPr="0006564D">
        <w:rPr>
          <w:rFonts w:ascii="Arial" w:hAnsi="Arial" w:cs="Arial"/>
          <w:sz w:val="24"/>
          <w:szCs w:val="24"/>
        </w:rPr>
        <w:t>the linear economy</w:t>
      </w:r>
      <w:r w:rsidR="0006564D" w:rsidRPr="0006564D">
        <w:rPr>
          <w:rFonts w:ascii="Arial" w:hAnsi="Arial" w:cs="Arial"/>
          <w:sz w:val="24"/>
          <w:szCs w:val="24"/>
        </w:rPr>
        <w:t xml:space="preserve">.  </w:t>
      </w:r>
      <w:r w:rsidR="0006564D" w:rsidRPr="00D14770">
        <w:rPr>
          <w:rFonts w:ascii="Arial" w:hAnsi="Arial" w:cs="Arial"/>
          <w:sz w:val="24"/>
          <w:szCs w:val="24"/>
        </w:rPr>
        <w:t xml:space="preserve">Sharma et al (2021) describes the linear economy as the established manufacturing process that </w:t>
      </w:r>
      <w:r w:rsidR="0006564D" w:rsidRPr="00D14770">
        <w:rPr>
          <w:rFonts w:ascii="Arial" w:hAnsi="Arial" w:cs="Arial"/>
          <w:sz w:val="24"/>
          <w:szCs w:val="24"/>
        </w:rPr>
        <w:t xml:space="preserve">focuses </w:t>
      </w:r>
      <w:r w:rsidR="0006564D" w:rsidRPr="00D14770">
        <w:rPr>
          <w:rFonts w:ascii="Arial" w:hAnsi="Arial" w:cs="Arial"/>
          <w:sz w:val="24"/>
          <w:szCs w:val="24"/>
        </w:rPr>
        <w:t xml:space="preserve">only </w:t>
      </w:r>
      <w:r w:rsidR="0006564D" w:rsidRPr="00D14770">
        <w:rPr>
          <w:rFonts w:ascii="Arial" w:hAnsi="Arial" w:cs="Arial"/>
          <w:sz w:val="24"/>
          <w:szCs w:val="24"/>
        </w:rPr>
        <w:t xml:space="preserve">on the </w:t>
      </w:r>
      <w:r w:rsidR="0006564D" w:rsidRPr="00D14770">
        <w:rPr>
          <w:rFonts w:ascii="Arial" w:hAnsi="Arial" w:cs="Arial"/>
          <w:sz w:val="24"/>
          <w:szCs w:val="24"/>
        </w:rPr>
        <w:t xml:space="preserve">constant </w:t>
      </w:r>
      <w:r w:rsidR="0006564D" w:rsidRPr="00D14770">
        <w:rPr>
          <w:rFonts w:ascii="Arial" w:hAnsi="Arial" w:cs="Arial"/>
          <w:sz w:val="24"/>
          <w:szCs w:val="24"/>
        </w:rPr>
        <w:t xml:space="preserve">procurement of raw material, manufacturing, and converting it into a finished product </w:t>
      </w:r>
      <w:r w:rsidR="0006564D" w:rsidRPr="00D14770">
        <w:rPr>
          <w:rFonts w:ascii="Arial" w:hAnsi="Arial" w:cs="Arial"/>
          <w:sz w:val="24"/>
          <w:szCs w:val="24"/>
        </w:rPr>
        <w:t>with no regard to what happens to the finished product at the end of its useful life.</w:t>
      </w:r>
      <w:r w:rsidR="00D14770">
        <w:rPr>
          <w:rFonts w:ascii="Arial" w:hAnsi="Arial" w:cs="Arial"/>
          <w:sz w:val="24"/>
          <w:szCs w:val="24"/>
        </w:rPr>
        <w:t xml:space="preserve"> </w:t>
      </w:r>
      <w:r w:rsidR="00B13CC9">
        <w:rPr>
          <w:rFonts w:ascii="Arial" w:hAnsi="Arial" w:cs="Arial"/>
          <w:sz w:val="24"/>
          <w:szCs w:val="24"/>
        </w:rPr>
        <w:t xml:space="preserve"> Korhonen, Honkasalo and Seppala (201</w:t>
      </w:r>
      <w:r w:rsidR="00A94C20">
        <w:rPr>
          <w:rFonts w:ascii="Arial" w:hAnsi="Arial" w:cs="Arial"/>
          <w:sz w:val="24"/>
          <w:szCs w:val="24"/>
        </w:rPr>
        <w:t>7</w:t>
      </w:r>
      <w:r w:rsidR="00B13CC9">
        <w:rPr>
          <w:rFonts w:ascii="Arial" w:hAnsi="Arial" w:cs="Arial"/>
          <w:sz w:val="24"/>
          <w:szCs w:val="24"/>
        </w:rPr>
        <w:t xml:space="preserve">) echo other scholars </w:t>
      </w:r>
      <w:r w:rsidR="00A371B0">
        <w:rPr>
          <w:rFonts w:ascii="Arial" w:hAnsi="Arial" w:cs="Arial"/>
          <w:sz w:val="24"/>
          <w:szCs w:val="24"/>
        </w:rPr>
        <w:t>views that the current extract-produce-use-dump method is not only expensive, but unsustainable</w:t>
      </w:r>
      <w:r w:rsidR="00A94C20">
        <w:rPr>
          <w:rFonts w:ascii="Arial" w:hAnsi="Arial" w:cs="Arial"/>
          <w:sz w:val="24"/>
          <w:szCs w:val="24"/>
        </w:rPr>
        <w:t xml:space="preserve">. </w:t>
      </w:r>
      <w:r w:rsidR="002B2CCC">
        <w:rPr>
          <w:rFonts w:ascii="Arial" w:hAnsi="Arial" w:cs="Arial"/>
          <w:sz w:val="24"/>
          <w:szCs w:val="24"/>
        </w:rPr>
        <w:t xml:space="preserve"> </w:t>
      </w:r>
      <w:r w:rsidR="000D272B">
        <w:rPr>
          <w:rFonts w:ascii="Arial" w:hAnsi="Arial" w:cs="Arial"/>
          <w:sz w:val="24"/>
          <w:szCs w:val="24"/>
        </w:rPr>
        <w:t xml:space="preserve">Stahel (2016) </w:t>
      </w:r>
      <w:r w:rsidR="00A94C20">
        <w:rPr>
          <w:rFonts w:ascii="Arial" w:hAnsi="Arial" w:cs="Arial"/>
          <w:sz w:val="24"/>
          <w:szCs w:val="24"/>
        </w:rPr>
        <w:t>describes the linear economy flow similar to a river with the finished and used product that basically ends up into “the sea” a euphemism for a landfill or waste dump.  He then describes the circular economy “</w:t>
      </w:r>
      <w:r w:rsidR="000D272B" w:rsidRPr="000D272B">
        <w:rPr>
          <w:rFonts w:ascii="Arial" w:hAnsi="Arial" w:cs="Arial"/>
          <w:sz w:val="24"/>
          <w:szCs w:val="24"/>
        </w:rPr>
        <w:t>like a lake</w:t>
      </w:r>
      <w:r w:rsidR="00533B38">
        <w:rPr>
          <w:rFonts w:ascii="Arial" w:hAnsi="Arial" w:cs="Arial"/>
          <w:sz w:val="24"/>
          <w:szCs w:val="24"/>
        </w:rPr>
        <w:t xml:space="preserve">” that </w:t>
      </w:r>
      <w:r w:rsidR="000D272B" w:rsidRPr="000D272B">
        <w:rPr>
          <w:rFonts w:ascii="Arial" w:hAnsi="Arial" w:cs="Arial"/>
          <w:sz w:val="24"/>
          <w:szCs w:val="24"/>
        </w:rPr>
        <w:t>reprocess</w:t>
      </w:r>
      <w:r w:rsidR="00533B38">
        <w:rPr>
          <w:rFonts w:ascii="Arial" w:hAnsi="Arial" w:cs="Arial"/>
          <w:sz w:val="24"/>
          <w:szCs w:val="24"/>
        </w:rPr>
        <w:t>es</w:t>
      </w:r>
      <w:r w:rsidR="000D272B" w:rsidRPr="000D272B">
        <w:rPr>
          <w:rFonts w:ascii="Arial" w:hAnsi="Arial" w:cs="Arial"/>
          <w:sz w:val="24"/>
          <w:szCs w:val="24"/>
        </w:rPr>
        <w:t xml:space="preserve"> </w:t>
      </w:r>
      <w:r w:rsidR="00533B38">
        <w:rPr>
          <w:rFonts w:ascii="Arial" w:hAnsi="Arial" w:cs="Arial"/>
          <w:sz w:val="24"/>
          <w:szCs w:val="24"/>
        </w:rPr>
        <w:t>manufactured</w:t>
      </w:r>
      <w:r w:rsidR="000D272B" w:rsidRPr="000D272B">
        <w:rPr>
          <w:rFonts w:ascii="Arial" w:hAnsi="Arial" w:cs="Arial"/>
          <w:sz w:val="24"/>
          <w:szCs w:val="24"/>
        </w:rPr>
        <w:t xml:space="preserve"> goods and materials generat</w:t>
      </w:r>
      <w:r w:rsidR="00533B38">
        <w:rPr>
          <w:rFonts w:ascii="Arial" w:hAnsi="Arial" w:cs="Arial"/>
          <w:sz w:val="24"/>
          <w:szCs w:val="24"/>
        </w:rPr>
        <w:t>ing</w:t>
      </w:r>
      <w:r w:rsidR="000D272B" w:rsidRPr="000D272B">
        <w:rPr>
          <w:rFonts w:ascii="Arial" w:hAnsi="Arial" w:cs="Arial"/>
          <w:sz w:val="24"/>
          <w:szCs w:val="24"/>
        </w:rPr>
        <w:t xml:space="preserve"> jobs and sav</w:t>
      </w:r>
      <w:r w:rsidR="00533B38">
        <w:rPr>
          <w:rFonts w:ascii="Arial" w:hAnsi="Arial" w:cs="Arial"/>
          <w:sz w:val="24"/>
          <w:szCs w:val="24"/>
        </w:rPr>
        <w:t>ing</w:t>
      </w:r>
      <w:r w:rsidR="000D272B" w:rsidRPr="000D272B">
        <w:rPr>
          <w:rFonts w:ascii="Arial" w:hAnsi="Arial" w:cs="Arial"/>
          <w:sz w:val="24"/>
          <w:szCs w:val="24"/>
        </w:rPr>
        <w:t xml:space="preserve"> energy while reducing resource consumption and waste</w:t>
      </w:r>
      <w:r w:rsidR="00AE1D5A">
        <w:rPr>
          <w:rFonts w:ascii="Arial" w:hAnsi="Arial" w:cs="Arial"/>
          <w:sz w:val="24"/>
          <w:szCs w:val="24"/>
        </w:rPr>
        <w:t>.</w:t>
      </w:r>
      <w:r w:rsidR="00AE1D5A">
        <w:rPr>
          <w:rFonts w:ascii="Segoe UI" w:hAnsi="Segoe UI" w:cs="Segoe UI"/>
          <w:color w:val="374151"/>
        </w:rPr>
        <w:t xml:space="preserve"> </w:t>
      </w:r>
      <w:r w:rsidR="00AE1D5A" w:rsidRPr="00AE1D5A">
        <w:rPr>
          <w:rFonts w:ascii="Arial" w:hAnsi="Arial" w:cs="Arial"/>
          <w:sz w:val="24"/>
          <w:szCs w:val="24"/>
        </w:rPr>
        <w:t>Hence the full circle would be the use of renewable energy sources and materials, extending the life of products and materials, recycle, reuse, repair and regenerate</w:t>
      </w:r>
      <w:r w:rsidR="00E34690">
        <w:rPr>
          <w:rFonts w:ascii="Arial" w:hAnsi="Arial" w:cs="Arial"/>
          <w:sz w:val="24"/>
          <w:szCs w:val="24"/>
        </w:rPr>
        <w:t>.</w:t>
      </w:r>
    </w:p>
    <w:p w14:paraId="4FFE9557" w14:textId="7A51CB0D" w:rsidR="0013293E" w:rsidRPr="00CB0389" w:rsidRDefault="00E34690" w:rsidP="00B86B09">
      <w:pPr>
        <w:jc w:val="both"/>
        <w:rPr>
          <w:rFonts w:ascii="Arial" w:hAnsi="Arial" w:cs="Arial"/>
          <w:sz w:val="24"/>
          <w:szCs w:val="24"/>
        </w:rPr>
      </w:pPr>
      <w:r>
        <w:rPr>
          <w:rFonts w:ascii="Arial" w:hAnsi="Arial" w:cs="Arial"/>
          <w:sz w:val="24"/>
          <w:szCs w:val="24"/>
        </w:rPr>
        <w:t>One of the hospitality industries</w:t>
      </w:r>
      <w:r w:rsidR="008C7AFA">
        <w:rPr>
          <w:rFonts w:ascii="Arial" w:hAnsi="Arial" w:cs="Arial"/>
          <w:sz w:val="24"/>
          <w:szCs w:val="24"/>
        </w:rPr>
        <w:t xml:space="preserve"> best </w:t>
      </w:r>
      <w:r w:rsidR="000865DE">
        <w:rPr>
          <w:rFonts w:ascii="Arial" w:hAnsi="Arial" w:cs="Arial"/>
          <w:sz w:val="24"/>
          <w:szCs w:val="24"/>
        </w:rPr>
        <w:t xml:space="preserve">or extreme </w:t>
      </w:r>
      <w:r w:rsidR="008C7AFA">
        <w:rPr>
          <w:rFonts w:ascii="Arial" w:hAnsi="Arial" w:cs="Arial"/>
          <w:sz w:val="24"/>
          <w:szCs w:val="24"/>
        </w:rPr>
        <w:t>examples of the circular economy is Silo, a London restaurant. Stating a zero waste philosophy, it is a “restaurant without a bin” and state that they work backwards with suppliers and strategies to ensure that everything is reusable</w:t>
      </w:r>
      <w:r w:rsidR="000865DE">
        <w:rPr>
          <w:rFonts w:ascii="Arial" w:hAnsi="Arial" w:cs="Arial"/>
          <w:sz w:val="24"/>
          <w:szCs w:val="24"/>
        </w:rPr>
        <w:t xml:space="preserve">, </w:t>
      </w:r>
      <w:r w:rsidR="008C7AFA">
        <w:rPr>
          <w:rFonts w:ascii="Arial" w:hAnsi="Arial" w:cs="Arial"/>
          <w:sz w:val="24"/>
          <w:szCs w:val="24"/>
        </w:rPr>
        <w:t>returnable</w:t>
      </w:r>
      <w:r w:rsidR="000865DE">
        <w:rPr>
          <w:rFonts w:ascii="Arial" w:hAnsi="Arial" w:cs="Arial"/>
          <w:sz w:val="24"/>
          <w:szCs w:val="24"/>
        </w:rPr>
        <w:t>, compostable, fermentable, upcycled</w:t>
      </w:r>
      <w:r w:rsidR="008C7AFA">
        <w:rPr>
          <w:rFonts w:ascii="Arial" w:hAnsi="Arial" w:cs="Arial"/>
          <w:sz w:val="24"/>
          <w:szCs w:val="24"/>
        </w:rPr>
        <w:t>.  The</w:t>
      </w:r>
      <w:r w:rsidR="000865DE">
        <w:rPr>
          <w:rFonts w:ascii="Arial" w:hAnsi="Arial" w:cs="Arial"/>
          <w:sz w:val="24"/>
          <w:szCs w:val="24"/>
        </w:rPr>
        <w:t>ir</w:t>
      </w:r>
      <w:r w:rsidR="008C7AFA">
        <w:rPr>
          <w:rFonts w:ascii="Arial" w:hAnsi="Arial" w:cs="Arial"/>
          <w:sz w:val="24"/>
          <w:szCs w:val="24"/>
        </w:rPr>
        <w:t xml:space="preserve"> pride is food provided by a pre-industrial system</w:t>
      </w:r>
      <w:r w:rsidR="00907E27">
        <w:rPr>
          <w:rFonts w:ascii="Arial" w:hAnsi="Arial" w:cs="Arial"/>
          <w:sz w:val="24"/>
          <w:szCs w:val="24"/>
        </w:rPr>
        <w:t>.</w:t>
      </w:r>
      <w:r w:rsidR="00AE1D5A" w:rsidRPr="00AE1D5A">
        <w:rPr>
          <w:rFonts w:ascii="Arial" w:hAnsi="Arial" w:cs="Arial"/>
          <w:sz w:val="24"/>
          <w:szCs w:val="24"/>
        </w:rPr>
        <w:t xml:space="preserve"> </w:t>
      </w:r>
      <w:r w:rsidR="00907E27">
        <w:rPr>
          <w:rFonts w:ascii="Arial" w:hAnsi="Arial" w:cs="Arial"/>
          <w:sz w:val="24"/>
          <w:szCs w:val="24"/>
        </w:rPr>
        <w:t>Courtyard by Marriott Bangkok</w:t>
      </w:r>
      <w:r w:rsidR="00907E27">
        <w:rPr>
          <w:rFonts w:ascii="Arial" w:hAnsi="Arial" w:cs="Arial"/>
          <w:sz w:val="24"/>
          <w:szCs w:val="24"/>
        </w:rPr>
        <w:t>’s Food Lover Committee for exemplifies</w:t>
      </w:r>
      <w:r w:rsidR="00CB0389">
        <w:rPr>
          <w:rFonts w:ascii="Arial" w:hAnsi="Arial" w:cs="Arial"/>
          <w:sz w:val="24"/>
          <w:szCs w:val="24"/>
        </w:rPr>
        <w:t xml:space="preserve"> the hotel chain’s commitment by showcasing their food waste certification in alliance with “Light Blue” a local programme </w:t>
      </w:r>
      <w:r w:rsidR="00CB0389" w:rsidRPr="00CB0389">
        <w:rPr>
          <w:rFonts w:ascii="Arial" w:hAnsi="Arial" w:cs="Arial"/>
          <w:sz w:val="24"/>
          <w:szCs w:val="24"/>
        </w:rPr>
        <w:t>“</w:t>
      </w:r>
      <w:r w:rsidR="00CB0389" w:rsidRPr="00CB0389">
        <w:rPr>
          <w:rFonts w:ascii="Arial" w:hAnsi="Arial" w:cs="Arial"/>
          <w:sz w:val="24"/>
          <w:szCs w:val="24"/>
        </w:rPr>
        <w:t xml:space="preserve">designed as a </w:t>
      </w:r>
      <w:r w:rsidR="00CB0389" w:rsidRPr="00CB0389">
        <w:rPr>
          <w:rFonts w:ascii="Arial" w:hAnsi="Arial" w:cs="Arial"/>
          <w:sz w:val="24"/>
          <w:szCs w:val="24"/>
        </w:rPr>
        <w:t>non-disruptive</w:t>
      </w:r>
      <w:r w:rsidR="00CB0389" w:rsidRPr="00CB0389">
        <w:rPr>
          <w:rFonts w:ascii="Arial" w:hAnsi="Arial" w:cs="Arial"/>
          <w:sz w:val="24"/>
          <w:szCs w:val="24"/>
        </w:rPr>
        <w:t xml:space="preserve"> and practical approach to tackling food waste aimed at responsible organizations that are unsatisfied with their current food waste “situation” and associated costs.</w:t>
      </w:r>
      <w:r w:rsidR="00CB0389">
        <w:rPr>
          <w:rFonts w:ascii="Arial" w:hAnsi="Arial" w:cs="Arial"/>
          <w:sz w:val="24"/>
          <w:szCs w:val="24"/>
        </w:rPr>
        <w:t xml:space="preserve">” (Courtyard by Marriott, Erawan Rajdamri Company Ltd 2018) </w:t>
      </w:r>
    </w:p>
    <w:p w14:paraId="45C57214" w14:textId="0831B367" w:rsidR="003B186C" w:rsidRDefault="0011615E" w:rsidP="00B86B09">
      <w:pPr>
        <w:jc w:val="both"/>
        <w:rPr>
          <w:rFonts w:ascii="Arial" w:hAnsi="Arial" w:cs="Arial"/>
          <w:sz w:val="24"/>
          <w:szCs w:val="24"/>
        </w:rPr>
      </w:pPr>
      <w:r>
        <w:rPr>
          <w:rFonts w:ascii="Arial" w:hAnsi="Arial" w:cs="Arial"/>
          <w:sz w:val="24"/>
          <w:szCs w:val="24"/>
        </w:rPr>
        <w:t>Marriott International’s sustainability programme known as “Serve 360</w:t>
      </w:r>
      <w:r w:rsidR="00B73C93">
        <w:rPr>
          <w:rFonts w:ascii="Arial" w:hAnsi="Arial" w:cs="Arial"/>
          <w:sz w:val="24"/>
          <w:szCs w:val="24"/>
        </w:rPr>
        <w:t>: Doing Good In Every Direction</w:t>
      </w:r>
      <w:r>
        <w:rPr>
          <w:rFonts w:ascii="Arial" w:hAnsi="Arial" w:cs="Arial"/>
          <w:sz w:val="24"/>
          <w:szCs w:val="24"/>
        </w:rPr>
        <w:t xml:space="preserve">” </w:t>
      </w:r>
      <w:r w:rsidR="00094157">
        <w:rPr>
          <w:rFonts w:ascii="Arial" w:hAnsi="Arial" w:cs="Arial"/>
          <w:sz w:val="24"/>
          <w:szCs w:val="24"/>
        </w:rPr>
        <w:t xml:space="preserve">(Marriott International (2023) </w:t>
      </w:r>
      <w:r>
        <w:rPr>
          <w:rFonts w:ascii="Arial" w:hAnsi="Arial" w:cs="Arial"/>
          <w:sz w:val="24"/>
          <w:szCs w:val="24"/>
        </w:rPr>
        <w:t xml:space="preserve">and is described as that company’s “commitment to creating positive and sustainable impact wherever we do business, </w:t>
      </w:r>
      <w:r>
        <w:rPr>
          <w:rFonts w:ascii="Arial" w:hAnsi="Arial" w:cs="Arial"/>
          <w:sz w:val="24"/>
          <w:szCs w:val="24"/>
        </w:rPr>
        <w:lastRenderedPageBreak/>
        <w:t>guided by our 2025 Sustainability and Social Impact Goals, as well as the UN Sustainable Development Goals.</w:t>
      </w:r>
      <w:r w:rsidR="00B73C93">
        <w:rPr>
          <w:rFonts w:ascii="Arial" w:hAnsi="Arial" w:cs="Arial"/>
          <w:sz w:val="24"/>
          <w:szCs w:val="24"/>
        </w:rPr>
        <w:t>(SDG’s)</w:t>
      </w:r>
      <w:r>
        <w:rPr>
          <w:rFonts w:ascii="Arial" w:hAnsi="Arial" w:cs="Arial"/>
          <w:sz w:val="24"/>
          <w:szCs w:val="24"/>
        </w:rPr>
        <w:t xml:space="preserve">”  </w:t>
      </w:r>
      <w:r w:rsidR="00B73C93">
        <w:rPr>
          <w:rFonts w:ascii="Arial" w:hAnsi="Arial" w:cs="Arial"/>
          <w:sz w:val="24"/>
          <w:szCs w:val="24"/>
        </w:rPr>
        <w:t>The</w:t>
      </w:r>
      <w:r w:rsidR="00E94D2C">
        <w:rPr>
          <w:rFonts w:ascii="Arial" w:hAnsi="Arial" w:cs="Arial"/>
          <w:sz w:val="24"/>
          <w:szCs w:val="24"/>
        </w:rPr>
        <w:t>re</w:t>
      </w:r>
      <w:r w:rsidR="00B73C93">
        <w:rPr>
          <w:rFonts w:ascii="Arial" w:hAnsi="Arial" w:cs="Arial"/>
          <w:sz w:val="24"/>
          <w:szCs w:val="24"/>
        </w:rPr>
        <w:t xml:space="preserve"> </w:t>
      </w:r>
      <w:r w:rsidR="00E94D2C">
        <w:rPr>
          <w:rFonts w:ascii="Arial" w:hAnsi="Arial" w:cs="Arial"/>
          <w:sz w:val="24"/>
          <w:szCs w:val="24"/>
        </w:rPr>
        <w:t>are 17 of such goals that have built around the United Nations’s 2030 agenda based on an intertwined framework of people, planet, prosperity, peace and partnerships</w:t>
      </w:r>
      <w:r w:rsidR="007C7954">
        <w:rPr>
          <w:rFonts w:ascii="Arial" w:hAnsi="Arial" w:cs="Arial"/>
          <w:sz w:val="24"/>
          <w:szCs w:val="24"/>
        </w:rPr>
        <w:t>.</w:t>
      </w:r>
      <w:r w:rsidR="007C7954">
        <w:rPr>
          <w:rFonts w:ascii="Arial" w:hAnsi="Arial" w:cs="Arial"/>
          <w:sz w:val="24"/>
          <w:szCs w:val="24"/>
        </w:rPr>
        <w:t xml:space="preserve">   Marriott International’s Responsible Sourcing Guide (2022) </w:t>
      </w:r>
      <w:r w:rsidR="00682A55">
        <w:rPr>
          <w:rFonts w:ascii="Arial" w:hAnsi="Arial" w:cs="Arial"/>
          <w:sz w:val="24"/>
          <w:szCs w:val="24"/>
        </w:rPr>
        <w:t xml:space="preserve">as part of Serve 360 outlines </w:t>
      </w:r>
      <w:r w:rsidR="007C7954">
        <w:rPr>
          <w:rFonts w:ascii="Arial" w:hAnsi="Arial" w:cs="Arial"/>
          <w:sz w:val="24"/>
          <w:szCs w:val="24"/>
        </w:rPr>
        <w:t xml:space="preserve">the company’s </w:t>
      </w:r>
      <w:r w:rsidR="00682A55">
        <w:rPr>
          <w:rFonts w:ascii="Arial" w:hAnsi="Arial" w:cs="Arial"/>
          <w:sz w:val="24"/>
          <w:szCs w:val="24"/>
        </w:rPr>
        <w:t xml:space="preserve"> commitment to ensuring ethical  product sourcing and require that suppliers obtain internationally recognised certifications such as Rainfall Alliance and Fair Trade.  </w:t>
      </w:r>
      <w:r w:rsidR="00907E27">
        <w:rPr>
          <w:rFonts w:ascii="Arial" w:hAnsi="Arial" w:cs="Arial"/>
          <w:sz w:val="24"/>
          <w:szCs w:val="24"/>
        </w:rPr>
        <w:t xml:space="preserve"> </w:t>
      </w:r>
      <w:r w:rsidR="00682A55">
        <w:rPr>
          <w:rFonts w:ascii="Arial" w:hAnsi="Arial" w:cs="Arial"/>
          <w:sz w:val="24"/>
          <w:szCs w:val="24"/>
        </w:rPr>
        <w:t xml:space="preserve">  </w:t>
      </w:r>
      <w:r w:rsidR="007C7954">
        <w:rPr>
          <w:rFonts w:ascii="Arial" w:hAnsi="Arial" w:cs="Arial"/>
          <w:sz w:val="24"/>
          <w:szCs w:val="24"/>
        </w:rPr>
        <w:t xml:space="preserve">        </w:t>
      </w:r>
      <w:r w:rsidR="007C7954" w:rsidRPr="00AE1D5A">
        <w:rPr>
          <w:rFonts w:ascii="Arial" w:hAnsi="Arial" w:cs="Arial"/>
          <w:sz w:val="24"/>
          <w:szCs w:val="24"/>
        </w:rPr>
        <w:t xml:space="preserve">  </w:t>
      </w:r>
    </w:p>
    <w:p w14:paraId="65DBF414" w14:textId="75BC26D2" w:rsidR="00F53E5F" w:rsidRDefault="00F53E5F" w:rsidP="00B86B09">
      <w:pPr>
        <w:jc w:val="both"/>
        <w:rPr>
          <w:rFonts w:ascii="Arial" w:hAnsi="Arial" w:cs="Arial"/>
          <w:sz w:val="24"/>
          <w:szCs w:val="24"/>
        </w:rPr>
      </w:pPr>
      <w:r>
        <w:rPr>
          <w:rFonts w:ascii="Arial" w:hAnsi="Arial" w:cs="Arial"/>
          <w:sz w:val="24"/>
          <w:szCs w:val="24"/>
        </w:rPr>
        <w:t xml:space="preserve">Marriott’s Serve 360 (2019) condenses these into four pillars: nurture, sustain, empower and welcome. </w:t>
      </w:r>
    </w:p>
    <w:p w14:paraId="6242A111" w14:textId="14E4830D" w:rsidR="00836453" w:rsidRDefault="00B03A2D" w:rsidP="00B86B09">
      <w:pPr>
        <w:jc w:val="both"/>
        <w:rPr>
          <w:rFonts w:ascii="Arial" w:hAnsi="Arial" w:cs="Arial"/>
          <w:sz w:val="24"/>
          <w:szCs w:val="24"/>
        </w:rPr>
      </w:pPr>
      <w:r>
        <w:rPr>
          <w:rFonts w:ascii="Arial" w:hAnsi="Arial" w:cs="Arial"/>
          <w:sz w:val="24"/>
          <w:szCs w:val="24"/>
        </w:rPr>
        <w:t xml:space="preserve">In the same report, under its 2025 Sustainability and Social Impact Goals </w:t>
      </w:r>
      <w:r w:rsidR="00836453">
        <w:rPr>
          <w:rFonts w:ascii="Arial" w:hAnsi="Arial" w:cs="Arial"/>
          <w:sz w:val="24"/>
          <w:szCs w:val="24"/>
        </w:rPr>
        <w:t xml:space="preserve">the Marriott reports that it is ahead of schedule for adaptive reuse projects, with 211 opened across the world in 2016. </w:t>
      </w:r>
      <w:r w:rsidR="00F53E5F">
        <w:rPr>
          <w:rFonts w:ascii="Arial" w:hAnsi="Arial" w:cs="Arial"/>
          <w:sz w:val="24"/>
          <w:szCs w:val="24"/>
        </w:rPr>
        <w:t>Slaper and Hall (2011</w:t>
      </w:r>
      <w:r w:rsidR="0006334A">
        <w:rPr>
          <w:rFonts w:ascii="Arial" w:hAnsi="Arial" w:cs="Arial"/>
          <w:sz w:val="24"/>
          <w:szCs w:val="24"/>
        </w:rPr>
        <w:t>b</w:t>
      </w:r>
      <w:r w:rsidR="00F53E5F">
        <w:rPr>
          <w:rFonts w:ascii="Arial" w:hAnsi="Arial" w:cs="Arial"/>
          <w:sz w:val="24"/>
          <w:szCs w:val="24"/>
        </w:rPr>
        <w:t>)</w:t>
      </w:r>
      <w:r w:rsidR="0006334A">
        <w:rPr>
          <w:rFonts w:ascii="Arial" w:hAnsi="Arial" w:cs="Arial"/>
          <w:sz w:val="24"/>
          <w:szCs w:val="24"/>
        </w:rPr>
        <w:t xml:space="preserve"> </w:t>
      </w:r>
      <w:r w:rsidR="00F53E5F">
        <w:rPr>
          <w:rFonts w:ascii="Arial" w:hAnsi="Arial" w:cs="Arial"/>
          <w:sz w:val="24"/>
          <w:szCs w:val="24"/>
        </w:rPr>
        <w:t xml:space="preserve"> suggest that environmental elements of CSR can be measured by the reduction in the consumption of non-renewable natural resources, improvement in air quality, and the appropriate use of land cover among others.   </w:t>
      </w:r>
      <w:r w:rsidR="00836453" w:rsidRPr="00AE1D5A">
        <w:rPr>
          <w:rFonts w:ascii="Arial" w:hAnsi="Arial" w:cs="Arial"/>
          <w:sz w:val="24"/>
          <w:szCs w:val="24"/>
        </w:rPr>
        <w:t>Practical</w:t>
      </w:r>
      <w:r w:rsidR="00836453">
        <w:rPr>
          <w:rFonts w:ascii="Arial" w:hAnsi="Arial" w:cs="Arial"/>
          <w:color w:val="FF0000"/>
          <w:sz w:val="24"/>
          <w:szCs w:val="24"/>
        </w:rPr>
        <w:t xml:space="preserve"> </w:t>
      </w:r>
      <w:r w:rsidR="00836453" w:rsidRPr="00AE1D5A">
        <w:rPr>
          <w:rFonts w:ascii="Arial" w:hAnsi="Arial" w:cs="Arial"/>
          <w:sz w:val="24"/>
          <w:szCs w:val="24"/>
        </w:rPr>
        <w:t xml:space="preserve">efforts </w:t>
      </w:r>
      <w:r w:rsidR="00836453">
        <w:rPr>
          <w:rFonts w:ascii="Arial" w:hAnsi="Arial" w:cs="Arial"/>
          <w:sz w:val="24"/>
          <w:szCs w:val="24"/>
        </w:rPr>
        <w:t xml:space="preserve">of sustainability by the Marriott (2021) includes the reduction of internal food waste by 50%, elimination of single use plastics in hotel bathrooms with larger refillable bottles – and from 2022 this decision will prevent 500 million tiny bottles a year going to landfill sites. The hotel chain is also working with the Ocean Foundation to remove and repurpose sargassum seaweed. </w:t>
      </w:r>
    </w:p>
    <w:p w14:paraId="6D0F7A08" w14:textId="50911A09" w:rsidR="00F53E5F" w:rsidRDefault="00EB174F" w:rsidP="00B86B09">
      <w:pPr>
        <w:jc w:val="both"/>
        <w:rPr>
          <w:rFonts w:ascii="Arial" w:hAnsi="Arial" w:cs="Arial"/>
          <w:sz w:val="24"/>
          <w:szCs w:val="24"/>
        </w:rPr>
      </w:pPr>
      <w:r>
        <w:rPr>
          <w:rFonts w:ascii="Arial" w:hAnsi="Arial" w:cs="Arial"/>
          <w:sz w:val="24"/>
          <w:szCs w:val="24"/>
        </w:rPr>
        <w:t xml:space="preserve">With many hotels in what can be described as nature based tourism destinations, </w:t>
      </w:r>
      <w:r w:rsidR="00F7204C">
        <w:rPr>
          <w:rFonts w:ascii="Arial" w:hAnsi="Arial" w:cs="Arial"/>
          <w:sz w:val="24"/>
          <w:szCs w:val="24"/>
        </w:rPr>
        <w:t xml:space="preserve">tourism </w:t>
      </w:r>
      <w:r>
        <w:rPr>
          <w:rFonts w:ascii="Arial" w:hAnsi="Arial" w:cs="Arial"/>
          <w:sz w:val="24"/>
          <w:szCs w:val="24"/>
        </w:rPr>
        <w:t xml:space="preserve">destination management </w:t>
      </w:r>
      <w:r w:rsidR="00F7204C">
        <w:rPr>
          <w:rFonts w:ascii="Arial" w:hAnsi="Arial" w:cs="Arial"/>
          <w:sz w:val="24"/>
          <w:szCs w:val="24"/>
        </w:rPr>
        <w:t xml:space="preserve">is an important part of sustainability.  </w:t>
      </w:r>
      <w:r w:rsidR="008C4A72">
        <w:rPr>
          <w:rFonts w:ascii="Arial" w:hAnsi="Arial" w:cs="Arial"/>
          <w:sz w:val="24"/>
          <w:szCs w:val="24"/>
        </w:rPr>
        <w:t xml:space="preserve">Referring to GV </w:t>
      </w:r>
      <w:r w:rsidR="00F7204C">
        <w:rPr>
          <w:rFonts w:ascii="Arial" w:hAnsi="Arial" w:cs="Arial"/>
          <w:sz w:val="24"/>
          <w:szCs w:val="24"/>
        </w:rPr>
        <w:t>Doxey’s</w:t>
      </w:r>
      <w:r w:rsidR="003B4D8C">
        <w:rPr>
          <w:rFonts w:ascii="Arial" w:hAnsi="Arial" w:cs="Arial"/>
          <w:sz w:val="24"/>
          <w:szCs w:val="24"/>
        </w:rPr>
        <w:t xml:space="preserve"> </w:t>
      </w:r>
      <w:r w:rsidR="00F7204C">
        <w:rPr>
          <w:rFonts w:ascii="Arial" w:hAnsi="Arial" w:cs="Arial"/>
          <w:sz w:val="24"/>
          <w:szCs w:val="24"/>
        </w:rPr>
        <w:t xml:space="preserve">irritation model </w:t>
      </w:r>
      <w:r w:rsidR="00143BA2">
        <w:rPr>
          <w:rFonts w:ascii="Arial" w:hAnsi="Arial" w:cs="Arial"/>
          <w:sz w:val="24"/>
          <w:szCs w:val="24"/>
        </w:rPr>
        <w:t xml:space="preserve">Schonherr, Bichler and Pikkemaat (2023) echo </w:t>
      </w:r>
      <w:r w:rsidR="003B4D8C">
        <w:rPr>
          <w:rFonts w:ascii="Arial" w:hAnsi="Arial" w:cs="Arial"/>
          <w:sz w:val="24"/>
          <w:szCs w:val="24"/>
        </w:rPr>
        <w:t>that in a new</w:t>
      </w:r>
      <w:r w:rsidR="008C4A72">
        <w:rPr>
          <w:rFonts w:ascii="Arial" w:hAnsi="Arial" w:cs="Arial"/>
          <w:sz w:val="24"/>
          <w:szCs w:val="24"/>
        </w:rPr>
        <w:t xml:space="preserve"> </w:t>
      </w:r>
      <w:r w:rsidR="003B4D8C">
        <w:rPr>
          <w:rFonts w:ascii="Arial" w:hAnsi="Arial" w:cs="Arial"/>
          <w:sz w:val="24"/>
          <w:szCs w:val="24"/>
        </w:rPr>
        <w:t>destination</w:t>
      </w:r>
      <w:r w:rsidR="00B875C5">
        <w:rPr>
          <w:rFonts w:ascii="Arial" w:hAnsi="Arial" w:cs="Arial"/>
          <w:sz w:val="24"/>
          <w:szCs w:val="24"/>
        </w:rPr>
        <w:t>,</w:t>
      </w:r>
      <w:r w:rsidR="003B4D8C">
        <w:rPr>
          <w:rFonts w:ascii="Arial" w:hAnsi="Arial" w:cs="Arial"/>
          <w:sz w:val="24"/>
          <w:szCs w:val="24"/>
        </w:rPr>
        <w:t xml:space="preserve"> tourists are initially welcomed excited by the potential of income and development, then followed by a level of indifference where the income and development is taken for granted.  Attitudes can change to irritation when the local population begin to feel inconvenienced by</w:t>
      </w:r>
      <w:r w:rsidR="008C4A72">
        <w:rPr>
          <w:rFonts w:ascii="Arial" w:hAnsi="Arial" w:cs="Arial"/>
          <w:sz w:val="24"/>
          <w:szCs w:val="24"/>
        </w:rPr>
        <w:t xml:space="preserve"> </w:t>
      </w:r>
      <w:r w:rsidR="003B4D8C">
        <w:rPr>
          <w:rFonts w:ascii="Arial" w:hAnsi="Arial" w:cs="Arial"/>
          <w:sz w:val="24"/>
          <w:szCs w:val="24"/>
        </w:rPr>
        <w:t xml:space="preserve">the numbers and frequency of visitors to outright antagonism when the local people begin to feel that the negative effects of tourism outweigh any benefits. </w:t>
      </w:r>
      <w:r w:rsidR="008C4A72">
        <w:rPr>
          <w:rFonts w:ascii="Arial" w:hAnsi="Arial" w:cs="Arial"/>
          <w:sz w:val="24"/>
          <w:szCs w:val="24"/>
        </w:rPr>
        <w:t xml:space="preserve"> </w:t>
      </w:r>
      <w:r w:rsidR="00143BA2">
        <w:rPr>
          <w:rFonts w:ascii="Arial" w:hAnsi="Arial" w:cs="Arial"/>
          <w:sz w:val="24"/>
          <w:szCs w:val="24"/>
        </w:rPr>
        <w:t xml:space="preserve">They add further that having an understanding of such attitudinal changes should help hotels and supporting infrastructure incorporate the local community </w:t>
      </w:r>
      <w:r w:rsidR="00F53E5F">
        <w:rPr>
          <w:rFonts w:ascii="Arial" w:hAnsi="Arial" w:cs="Arial"/>
          <w:sz w:val="24"/>
          <w:szCs w:val="24"/>
        </w:rPr>
        <w:t xml:space="preserve">noting </w:t>
      </w:r>
      <w:r w:rsidR="00143BA2">
        <w:rPr>
          <w:rFonts w:ascii="Arial" w:hAnsi="Arial" w:cs="Arial"/>
          <w:sz w:val="24"/>
          <w:szCs w:val="24"/>
        </w:rPr>
        <w:t xml:space="preserve">current </w:t>
      </w:r>
      <w:r w:rsidR="00F53E5F">
        <w:rPr>
          <w:rFonts w:ascii="Arial" w:hAnsi="Arial" w:cs="Arial"/>
          <w:sz w:val="24"/>
          <w:szCs w:val="24"/>
        </w:rPr>
        <w:t xml:space="preserve">and the potential future socio-economic and natural impact.  </w:t>
      </w:r>
    </w:p>
    <w:p w14:paraId="717A75C2" w14:textId="33F50BFE" w:rsidR="00F53E5F" w:rsidRDefault="00F53E5F" w:rsidP="00B86B09">
      <w:pPr>
        <w:jc w:val="both"/>
        <w:rPr>
          <w:rFonts w:ascii="Arial" w:hAnsi="Arial" w:cs="Arial"/>
          <w:sz w:val="24"/>
          <w:szCs w:val="24"/>
        </w:rPr>
      </w:pPr>
      <w:r>
        <w:rPr>
          <w:rFonts w:ascii="Arial" w:hAnsi="Arial" w:cs="Arial"/>
          <w:sz w:val="24"/>
          <w:szCs w:val="24"/>
        </w:rPr>
        <w:t>This is represented by Marriott’s “Nurture our World” pillar (2022)</w:t>
      </w:r>
      <w:r w:rsidR="0006334A">
        <w:rPr>
          <w:rFonts w:ascii="Arial" w:hAnsi="Arial" w:cs="Arial"/>
          <w:sz w:val="24"/>
          <w:szCs w:val="24"/>
        </w:rPr>
        <w:t>.</w:t>
      </w:r>
      <w:r>
        <w:rPr>
          <w:rFonts w:ascii="Arial" w:hAnsi="Arial" w:cs="Arial"/>
          <w:sz w:val="24"/>
          <w:szCs w:val="24"/>
        </w:rPr>
        <w:t xml:space="preserve"> The hotel chain aims to “support the resiliency and sustainable  development of the communities where we do business, investing in the vitality of their children and natural resources as well as deliver aid and support, especially in times of need.”    Marriott refers to its AC Hotel in San Juan, Puerto Rico where 85% of rum, 50% of beers and 20% of food purchases are all either locally produced or locally sourced (2022</w:t>
      </w:r>
      <w:r w:rsidR="0006334A">
        <w:rPr>
          <w:rFonts w:ascii="Arial" w:hAnsi="Arial" w:cs="Arial"/>
          <w:sz w:val="24"/>
          <w:szCs w:val="24"/>
        </w:rPr>
        <w:t>)</w:t>
      </w:r>
      <w:r>
        <w:rPr>
          <w:rFonts w:ascii="Arial" w:hAnsi="Arial" w:cs="Arial"/>
          <w:sz w:val="24"/>
          <w:szCs w:val="24"/>
        </w:rPr>
        <w:t xml:space="preserve">     </w:t>
      </w:r>
    </w:p>
    <w:p w14:paraId="6298DDC3" w14:textId="7C069937" w:rsidR="00442345" w:rsidRPr="005A4DDC" w:rsidRDefault="005A4DDC" w:rsidP="00B86B09">
      <w:pPr>
        <w:jc w:val="both"/>
        <w:rPr>
          <w:rFonts w:ascii="Arial" w:hAnsi="Arial" w:cs="Arial"/>
          <w:sz w:val="24"/>
          <w:szCs w:val="24"/>
        </w:rPr>
      </w:pPr>
      <w:r w:rsidRPr="005A4DDC">
        <w:rPr>
          <w:rFonts w:ascii="Arial" w:hAnsi="Arial" w:cs="Arial"/>
          <w:sz w:val="24"/>
          <w:szCs w:val="24"/>
        </w:rPr>
        <w:t>T</w:t>
      </w:r>
      <w:r w:rsidR="00442345" w:rsidRPr="005A4DDC">
        <w:rPr>
          <w:rFonts w:ascii="Arial" w:hAnsi="Arial" w:cs="Arial"/>
          <w:sz w:val="24"/>
          <w:szCs w:val="24"/>
        </w:rPr>
        <w:t xml:space="preserve">he integration of sustainability and CSR has become paramount in today's business landscape, especially within industries like hospitality where </w:t>
      </w:r>
      <w:r w:rsidRPr="005A4DDC">
        <w:rPr>
          <w:rFonts w:ascii="Arial" w:hAnsi="Arial" w:cs="Arial"/>
          <w:sz w:val="24"/>
          <w:szCs w:val="24"/>
        </w:rPr>
        <w:t xml:space="preserve">in many cases the </w:t>
      </w:r>
      <w:r w:rsidR="00442345" w:rsidRPr="005A4DDC">
        <w:rPr>
          <w:rFonts w:ascii="Arial" w:hAnsi="Arial" w:cs="Arial"/>
          <w:sz w:val="24"/>
          <w:szCs w:val="24"/>
        </w:rPr>
        <w:t xml:space="preserve">environmental impact </w:t>
      </w:r>
      <w:r w:rsidRPr="005A4DDC">
        <w:rPr>
          <w:rFonts w:ascii="Arial" w:hAnsi="Arial" w:cs="Arial"/>
          <w:sz w:val="24"/>
          <w:szCs w:val="24"/>
        </w:rPr>
        <w:t xml:space="preserve">can be </w:t>
      </w:r>
      <w:r w:rsidR="00442345" w:rsidRPr="005A4DDC">
        <w:rPr>
          <w:rFonts w:ascii="Arial" w:hAnsi="Arial" w:cs="Arial"/>
          <w:sz w:val="24"/>
          <w:szCs w:val="24"/>
        </w:rPr>
        <w:t xml:space="preserve">substantial. The essay highlighted Marriott International's proactive stance towards incorporating circular economy principles and fostering sustainable practices throughout its operations. Through </w:t>
      </w:r>
      <w:r>
        <w:rPr>
          <w:rFonts w:ascii="Arial" w:hAnsi="Arial" w:cs="Arial"/>
          <w:sz w:val="24"/>
          <w:szCs w:val="24"/>
        </w:rPr>
        <w:t xml:space="preserve">its </w:t>
      </w:r>
      <w:r w:rsidR="00442345" w:rsidRPr="005A4DDC">
        <w:rPr>
          <w:rFonts w:ascii="Arial" w:hAnsi="Arial" w:cs="Arial"/>
          <w:sz w:val="24"/>
          <w:szCs w:val="24"/>
        </w:rPr>
        <w:t xml:space="preserve">"Serve 360: Doing Good In </w:t>
      </w:r>
      <w:r w:rsidR="00442345" w:rsidRPr="005A4DDC">
        <w:rPr>
          <w:rFonts w:ascii="Arial" w:hAnsi="Arial" w:cs="Arial"/>
          <w:sz w:val="24"/>
          <w:szCs w:val="24"/>
        </w:rPr>
        <w:lastRenderedPageBreak/>
        <w:t xml:space="preserve">Every Direction" and membership in organizations </w:t>
      </w:r>
      <w:r>
        <w:rPr>
          <w:rFonts w:ascii="Arial" w:hAnsi="Arial" w:cs="Arial"/>
          <w:sz w:val="24"/>
          <w:szCs w:val="24"/>
        </w:rPr>
        <w:t>such as the</w:t>
      </w:r>
      <w:r w:rsidR="00442345" w:rsidRPr="005A4DDC">
        <w:rPr>
          <w:rFonts w:ascii="Arial" w:hAnsi="Arial" w:cs="Arial"/>
          <w:sz w:val="24"/>
          <w:szCs w:val="24"/>
        </w:rPr>
        <w:t xml:space="preserve"> CDP, Marriott </w:t>
      </w:r>
      <w:r>
        <w:rPr>
          <w:rFonts w:ascii="Arial" w:hAnsi="Arial" w:cs="Arial"/>
          <w:sz w:val="24"/>
          <w:szCs w:val="24"/>
        </w:rPr>
        <w:t xml:space="preserve">continues to </w:t>
      </w:r>
      <w:r w:rsidR="00442345" w:rsidRPr="005A4DDC">
        <w:rPr>
          <w:rFonts w:ascii="Arial" w:hAnsi="Arial" w:cs="Arial"/>
          <w:sz w:val="24"/>
          <w:szCs w:val="24"/>
        </w:rPr>
        <w:t>demonstrate a commitment to minimizing waste, maximizing resource efficiency, and promoting environmental stewardship.</w:t>
      </w:r>
    </w:p>
    <w:p w14:paraId="1D805B75" w14:textId="3AA3705F" w:rsidR="00442345" w:rsidRPr="005A4DDC" w:rsidRDefault="00442345" w:rsidP="00B86B09">
      <w:pPr>
        <w:jc w:val="both"/>
        <w:rPr>
          <w:rFonts w:ascii="Arial" w:hAnsi="Arial" w:cs="Arial"/>
          <w:sz w:val="24"/>
          <w:szCs w:val="24"/>
        </w:rPr>
      </w:pPr>
      <w:r w:rsidRPr="005A4DDC">
        <w:rPr>
          <w:rFonts w:ascii="Arial" w:hAnsi="Arial" w:cs="Arial"/>
          <w:sz w:val="24"/>
          <w:szCs w:val="24"/>
        </w:rPr>
        <w:t>The linear economy model, which prioritizes extraction, production, consumption, and disposal, is increasingly recognized as unsustainable. In contrast, the circular economy, as exemplified by Silo restaurant</w:t>
      </w:r>
      <w:r w:rsidR="005A4DDC">
        <w:rPr>
          <w:rFonts w:ascii="Arial" w:hAnsi="Arial" w:cs="Arial"/>
          <w:sz w:val="24"/>
          <w:szCs w:val="24"/>
        </w:rPr>
        <w:t xml:space="preserve">, and which to some extent </w:t>
      </w:r>
      <w:r w:rsidRPr="005A4DDC">
        <w:rPr>
          <w:rFonts w:ascii="Arial" w:hAnsi="Arial" w:cs="Arial"/>
          <w:sz w:val="24"/>
          <w:szCs w:val="24"/>
        </w:rPr>
        <w:t>embraced by Marriott</w:t>
      </w:r>
      <w:r w:rsidR="005A4DDC">
        <w:rPr>
          <w:rFonts w:ascii="Arial" w:hAnsi="Arial" w:cs="Arial"/>
          <w:sz w:val="24"/>
          <w:szCs w:val="24"/>
        </w:rPr>
        <w:t xml:space="preserve">                     International-</w:t>
      </w:r>
      <w:r w:rsidRPr="005A4DDC">
        <w:rPr>
          <w:rFonts w:ascii="Arial" w:hAnsi="Arial" w:cs="Arial"/>
          <w:sz w:val="24"/>
          <w:szCs w:val="24"/>
        </w:rPr>
        <w:t xml:space="preserve"> emphasizes </w:t>
      </w:r>
      <w:r w:rsidR="005A4DDC">
        <w:rPr>
          <w:rFonts w:ascii="Arial" w:hAnsi="Arial" w:cs="Arial"/>
          <w:sz w:val="24"/>
          <w:szCs w:val="24"/>
        </w:rPr>
        <w:t xml:space="preserve">the </w:t>
      </w:r>
      <w:r w:rsidRPr="005A4DDC">
        <w:rPr>
          <w:rFonts w:ascii="Arial" w:hAnsi="Arial" w:cs="Arial"/>
          <w:sz w:val="24"/>
          <w:szCs w:val="24"/>
        </w:rPr>
        <w:t xml:space="preserve">reuse, recycling, and regeneration of resources. This paradigm shift not only mitigates environmental degradation but also </w:t>
      </w:r>
      <w:r w:rsidR="005A4DDC">
        <w:rPr>
          <w:rFonts w:ascii="Arial" w:hAnsi="Arial" w:cs="Arial"/>
          <w:sz w:val="24"/>
          <w:szCs w:val="24"/>
        </w:rPr>
        <w:t xml:space="preserve">can </w:t>
      </w:r>
      <w:r w:rsidRPr="005A4DDC">
        <w:rPr>
          <w:rFonts w:ascii="Arial" w:hAnsi="Arial" w:cs="Arial"/>
          <w:sz w:val="24"/>
          <w:szCs w:val="24"/>
        </w:rPr>
        <w:t>contribute</w:t>
      </w:r>
      <w:r w:rsidR="005A4DDC">
        <w:rPr>
          <w:rFonts w:ascii="Arial" w:hAnsi="Arial" w:cs="Arial"/>
          <w:sz w:val="24"/>
          <w:szCs w:val="24"/>
        </w:rPr>
        <w:t xml:space="preserve"> </w:t>
      </w:r>
      <w:r w:rsidRPr="005A4DDC">
        <w:rPr>
          <w:rFonts w:ascii="Arial" w:hAnsi="Arial" w:cs="Arial"/>
          <w:sz w:val="24"/>
          <w:szCs w:val="24"/>
        </w:rPr>
        <w:t>to economic growth and social well-being</w:t>
      </w:r>
      <w:r w:rsidR="005A4DDC">
        <w:rPr>
          <w:rFonts w:ascii="Arial" w:hAnsi="Arial" w:cs="Arial"/>
          <w:sz w:val="24"/>
          <w:szCs w:val="24"/>
        </w:rPr>
        <w:t>, or the so called Green New Deal</w:t>
      </w:r>
      <w:r w:rsidRPr="005A4DDC">
        <w:rPr>
          <w:rFonts w:ascii="Arial" w:hAnsi="Arial" w:cs="Arial"/>
          <w:sz w:val="24"/>
          <w:szCs w:val="24"/>
        </w:rPr>
        <w:t>.</w:t>
      </w:r>
    </w:p>
    <w:p w14:paraId="60415445" w14:textId="77777777" w:rsidR="00442345" w:rsidRPr="005A4DDC" w:rsidRDefault="00442345" w:rsidP="00B86B09">
      <w:pPr>
        <w:jc w:val="both"/>
        <w:rPr>
          <w:rFonts w:ascii="Arial" w:hAnsi="Arial" w:cs="Arial"/>
          <w:sz w:val="24"/>
          <w:szCs w:val="24"/>
        </w:rPr>
      </w:pPr>
      <w:r w:rsidRPr="005A4DDC">
        <w:rPr>
          <w:rFonts w:ascii="Arial" w:hAnsi="Arial" w:cs="Arial"/>
          <w:sz w:val="24"/>
          <w:szCs w:val="24"/>
        </w:rPr>
        <w:t>Marriott's CSR strategy aligns with the United Nations Sustainable Development Goals (SDGs), emphasizing the interconnectedness of people, planet, prosperity, peace, and partnerships. By nurturing local communities, supporting sustainable development, and reducing environmental footprint, Marriott exemplifies how businesses can be catalysts for positive change.</w:t>
      </w:r>
    </w:p>
    <w:p w14:paraId="454AC0D2" w14:textId="77777777" w:rsidR="00442345" w:rsidRPr="005A4DDC" w:rsidRDefault="00442345" w:rsidP="00B86B09">
      <w:pPr>
        <w:jc w:val="both"/>
        <w:rPr>
          <w:rFonts w:ascii="Arial" w:hAnsi="Arial" w:cs="Arial"/>
          <w:sz w:val="24"/>
          <w:szCs w:val="24"/>
        </w:rPr>
      </w:pPr>
      <w:r w:rsidRPr="005A4DDC">
        <w:rPr>
          <w:rFonts w:ascii="Arial" w:hAnsi="Arial" w:cs="Arial"/>
          <w:sz w:val="24"/>
          <w:szCs w:val="24"/>
        </w:rPr>
        <w:t>Furthermore, the essay underscores the importance of tourism destination management and community engagement, as articulated through Marriott's "Nurture our World" pillar. Recognizing the potential impacts of tourism on local communities, Marriott strives to integrate sustainability into its business practices, fostering long-term partnerships and shared prosperity.</w:t>
      </w:r>
    </w:p>
    <w:p w14:paraId="5FD40563" w14:textId="3DEDC910" w:rsidR="00442345" w:rsidRPr="005A4DDC" w:rsidRDefault="00442345" w:rsidP="00B86B09">
      <w:pPr>
        <w:jc w:val="both"/>
        <w:rPr>
          <w:rFonts w:ascii="Arial" w:hAnsi="Arial" w:cs="Arial"/>
          <w:sz w:val="24"/>
          <w:szCs w:val="24"/>
        </w:rPr>
      </w:pPr>
      <w:r w:rsidRPr="005A4DDC">
        <w:rPr>
          <w:rFonts w:ascii="Arial" w:hAnsi="Arial" w:cs="Arial"/>
          <w:sz w:val="24"/>
          <w:szCs w:val="24"/>
        </w:rPr>
        <w:t xml:space="preserve">In essence, Marriott International's CSR initiatives </w:t>
      </w:r>
      <w:r w:rsidR="005A4DDC">
        <w:rPr>
          <w:rFonts w:ascii="Arial" w:hAnsi="Arial" w:cs="Arial"/>
          <w:sz w:val="24"/>
          <w:szCs w:val="24"/>
        </w:rPr>
        <w:t xml:space="preserve">attempts </w:t>
      </w:r>
      <w:r w:rsidRPr="005A4DDC">
        <w:rPr>
          <w:rFonts w:ascii="Arial" w:hAnsi="Arial" w:cs="Arial"/>
          <w:sz w:val="24"/>
          <w:szCs w:val="24"/>
        </w:rPr>
        <w:t>a holistic approach to business that transcends mere profitability, embracing ethical practices and environmental stewardship. As businesses continue to navigate an increasingly complex and interconnected global landscape, sustainability and CSR will remain integral components of corporate strategy, driving positive impact for society and the planet.</w:t>
      </w:r>
    </w:p>
    <w:p w14:paraId="6FBFE74E" w14:textId="77777777" w:rsidR="00442345" w:rsidRDefault="00442345" w:rsidP="00B86B09">
      <w:pPr>
        <w:jc w:val="both"/>
        <w:rPr>
          <w:rFonts w:ascii="Arial" w:hAnsi="Arial" w:cs="Arial"/>
          <w:sz w:val="24"/>
          <w:szCs w:val="24"/>
        </w:rPr>
      </w:pPr>
    </w:p>
    <w:p w14:paraId="590B820D" w14:textId="77777777" w:rsidR="00836453" w:rsidRDefault="00836453" w:rsidP="00B86B09">
      <w:pPr>
        <w:jc w:val="both"/>
        <w:rPr>
          <w:rFonts w:ascii="Arial" w:hAnsi="Arial" w:cs="Arial"/>
          <w:sz w:val="24"/>
          <w:szCs w:val="24"/>
        </w:rPr>
      </w:pPr>
    </w:p>
    <w:p w14:paraId="0CB0273E" w14:textId="77777777" w:rsidR="00836453" w:rsidRDefault="00836453" w:rsidP="00B86B09">
      <w:pPr>
        <w:jc w:val="both"/>
        <w:rPr>
          <w:rFonts w:ascii="Arial" w:hAnsi="Arial" w:cs="Arial"/>
          <w:sz w:val="24"/>
          <w:szCs w:val="24"/>
        </w:rPr>
      </w:pPr>
    </w:p>
    <w:p w14:paraId="25EE7F65" w14:textId="147832D4" w:rsidR="00B03A2D" w:rsidRDefault="00836453" w:rsidP="00B86B09">
      <w:pPr>
        <w:jc w:val="both"/>
        <w:rPr>
          <w:rFonts w:ascii="Arial" w:hAnsi="Arial" w:cs="Arial"/>
          <w:sz w:val="24"/>
          <w:szCs w:val="24"/>
        </w:rPr>
      </w:pPr>
      <w:r>
        <w:rPr>
          <w:rFonts w:ascii="Arial" w:hAnsi="Arial" w:cs="Arial"/>
          <w:sz w:val="24"/>
          <w:szCs w:val="24"/>
        </w:rPr>
        <w:t xml:space="preserve">     </w:t>
      </w:r>
    </w:p>
    <w:p w14:paraId="24E0CDE0" w14:textId="77777777" w:rsidR="000865DE" w:rsidRDefault="000865DE" w:rsidP="00B86B09">
      <w:pPr>
        <w:jc w:val="both"/>
        <w:rPr>
          <w:rFonts w:ascii="Arial" w:hAnsi="Arial" w:cs="Arial"/>
          <w:sz w:val="24"/>
          <w:szCs w:val="24"/>
        </w:rPr>
      </w:pPr>
    </w:p>
    <w:p w14:paraId="1E3B7970" w14:textId="40E2134F" w:rsidR="000865DE" w:rsidRPr="00AE1D5A" w:rsidRDefault="000865DE" w:rsidP="00B86B09">
      <w:pPr>
        <w:jc w:val="both"/>
        <w:rPr>
          <w:rFonts w:ascii="Arial" w:hAnsi="Arial" w:cs="Arial"/>
          <w:sz w:val="24"/>
          <w:szCs w:val="24"/>
        </w:rPr>
      </w:pPr>
      <w:r>
        <w:rPr>
          <w:rFonts w:ascii="Arial" w:hAnsi="Arial" w:cs="Arial"/>
          <w:sz w:val="24"/>
          <w:szCs w:val="24"/>
        </w:rPr>
        <w:t xml:space="preserve"> </w:t>
      </w:r>
    </w:p>
    <w:p w14:paraId="1E212C6B" w14:textId="77777777" w:rsidR="00AE1D5A" w:rsidRPr="00AE1D5A" w:rsidRDefault="00AE1D5A" w:rsidP="00B86B09">
      <w:pPr>
        <w:jc w:val="both"/>
        <w:rPr>
          <w:rFonts w:ascii="Arial" w:hAnsi="Arial" w:cs="Arial"/>
          <w:sz w:val="24"/>
          <w:szCs w:val="24"/>
        </w:rPr>
      </w:pPr>
    </w:p>
    <w:p w14:paraId="07A60BC6" w14:textId="77777777" w:rsidR="009A3707" w:rsidRPr="00AE1D5A" w:rsidRDefault="009A3707" w:rsidP="00B86B09">
      <w:pPr>
        <w:jc w:val="both"/>
        <w:rPr>
          <w:rFonts w:ascii="Arial" w:hAnsi="Arial" w:cs="Arial"/>
          <w:sz w:val="24"/>
          <w:szCs w:val="24"/>
        </w:rPr>
      </w:pPr>
    </w:p>
    <w:p w14:paraId="3340A4A3" w14:textId="77777777" w:rsidR="00A94C20" w:rsidRDefault="00A94C20" w:rsidP="00B86B09">
      <w:pPr>
        <w:jc w:val="both"/>
        <w:rPr>
          <w:rFonts w:ascii="Segoe UI" w:hAnsi="Segoe UI" w:cs="Segoe UI"/>
          <w:color w:val="374151"/>
        </w:rPr>
      </w:pPr>
    </w:p>
    <w:p w14:paraId="5DBC7EAC" w14:textId="172A9F60" w:rsidR="00A94C20" w:rsidRDefault="0013293E" w:rsidP="00B86B09">
      <w:pPr>
        <w:tabs>
          <w:tab w:val="left" w:pos="3144"/>
        </w:tabs>
        <w:jc w:val="both"/>
        <w:rPr>
          <w:rFonts w:ascii="Segoe UI" w:hAnsi="Segoe UI" w:cs="Segoe UI"/>
          <w:color w:val="374151"/>
        </w:rPr>
      </w:pPr>
      <w:r>
        <w:rPr>
          <w:rFonts w:ascii="Segoe UI" w:hAnsi="Segoe UI" w:cs="Segoe UI"/>
          <w:color w:val="374151"/>
        </w:rPr>
        <w:t xml:space="preserve"> </w:t>
      </w:r>
      <w:r w:rsidR="001F47F4">
        <w:rPr>
          <w:rFonts w:ascii="Segoe UI" w:hAnsi="Segoe UI" w:cs="Segoe UI"/>
          <w:color w:val="374151"/>
        </w:rPr>
        <w:tab/>
      </w:r>
    </w:p>
    <w:p w14:paraId="078AEBF4" w14:textId="77777777" w:rsidR="00A94C20" w:rsidRPr="000D272B" w:rsidRDefault="00A94C20" w:rsidP="00B86B09">
      <w:pPr>
        <w:jc w:val="both"/>
        <w:rPr>
          <w:rFonts w:ascii="Arial" w:hAnsi="Arial" w:cs="Arial"/>
          <w:sz w:val="24"/>
          <w:szCs w:val="24"/>
        </w:rPr>
      </w:pPr>
    </w:p>
    <w:p w14:paraId="6A7BE08C" w14:textId="77777777" w:rsidR="001A5742" w:rsidRPr="00054DFD" w:rsidRDefault="001A5742" w:rsidP="00B86B09">
      <w:pPr>
        <w:jc w:val="both"/>
        <w:rPr>
          <w:rFonts w:ascii="Arial" w:hAnsi="Arial" w:cs="Arial"/>
          <w:color w:val="374151"/>
          <w:sz w:val="24"/>
          <w:szCs w:val="24"/>
        </w:rPr>
      </w:pPr>
    </w:p>
    <w:p w14:paraId="34047CE5" w14:textId="77777777" w:rsidR="005577DC" w:rsidRDefault="005577DC" w:rsidP="00B86B09">
      <w:pPr>
        <w:jc w:val="both"/>
        <w:rPr>
          <w:rFonts w:ascii="Segoe UI" w:hAnsi="Segoe UI" w:cs="Segoe UI"/>
          <w:color w:val="374151"/>
        </w:rPr>
      </w:pPr>
    </w:p>
    <w:p w14:paraId="1FE57B8F" w14:textId="77777777" w:rsidR="00CC42BA" w:rsidRDefault="00CC42BA" w:rsidP="00B86B09">
      <w:pPr>
        <w:jc w:val="both"/>
        <w:rPr>
          <w:rFonts w:ascii="Arial" w:hAnsi="Arial" w:cs="Arial"/>
          <w:sz w:val="24"/>
          <w:szCs w:val="24"/>
        </w:rPr>
      </w:pPr>
    </w:p>
    <w:p w14:paraId="0A36DC02" w14:textId="62A47F2F" w:rsidR="004C334B" w:rsidRDefault="00F53E5F" w:rsidP="00B86B09">
      <w:pPr>
        <w:jc w:val="both"/>
        <w:rPr>
          <w:rFonts w:ascii="Arial" w:hAnsi="Arial" w:cs="Arial"/>
          <w:sz w:val="24"/>
          <w:szCs w:val="24"/>
        </w:rPr>
      </w:pPr>
      <w:r>
        <w:rPr>
          <w:rFonts w:ascii="Arial" w:hAnsi="Arial" w:cs="Arial"/>
          <w:sz w:val="24"/>
          <w:szCs w:val="24"/>
        </w:rPr>
        <w:t xml:space="preserve"> </w:t>
      </w:r>
    </w:p>
    <w:p w14:paraId="6A2DDD77" w14:textId="77777777" w:rsidR="004C334B" w:rsidRDefault="004C334B" w:rsidP="00B86B09">
      <w:pPr>
        <w:jc w:val="both"/>
        <w:rPr>
          <w:rFonts w:ascii="Arial" w:hAnsi="Arial" w:cs="Arial"/>
          <w:sz w:val="24"/>
          <w:szCs w:val="24"/>
        </w:rPr>
      </w:pPr>
    </w:p>
    <w:p w14:paraId="3F2F6188" w14:textId="04AA5FAB" w:rsidR="004C334B" w:rsidRDefault="00987615" w:rsidP="00B86B09">
      <w:pPr>
        <w:jc w:val="both"/>
        <w:rPr>
          <w:rFonts w:ascii="Arial" w:hAnsi="Arial" w:cs="Arial"/>
          <w:sz w:val="24"/>
          <w:szCs w:val="24"/>
        </w:rPr>
      </w:pPr>
      <w:r>
        <w:rPr>
          <w:rFonts w:ascii="Arial" w:hAnsi="Arial" w:cs="Arial"/>
          <w:sz w:val="24"/>
          <w:szCs w:val="24"/>
        </w:rPr>
        <w:t xml:space="preserve"> </w:t>
      </w:r>
      <w:r w:rsidR="000D272B">
        <w:rPr>
          <w:rFonts w:ascii="Arial" w:hAnsi="Arial" w:cs="Arial"/>
          <w:sz w:val="24"/>
          <w:szCs w:val="24"/>
        </w:rPr>
        <w:t>REFERENCES:</w:t>
      </w:r>
    </w:p>
    <w:p w14:paraId="7160FEFC"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Beal, B (2014) Corporate Social Responsibility: Definition, Core Issues, and Recent Developments. pp 3  Published by Sage Publications Ltd  Available at: </w:t>
      </w:r>
      <w:hyperlink r:id="rId5" w:history="1">
        <w:r w:rsidRPr="00B86B09">
          <w:rPr>
            <w:rStyle w:val="Hyperlink"/>
            <w:rFonts w:ascii="Arial" w:hAnsi="Arial" w:cs="Arial"/>
            <w:sz w:val="24"/>
            <w:szCs w:val="24"/>
          </w:rPr>
          <w:t>https://books.google.co.uk/books?hl=en&amp;lr=&amp;id=sB9zAwAAQBAJ&amp;oi=fnd&amp;pg=PR5&amp;dq=definition+of+corporate+social+responsibility&amp;ots=OlgywGG8zT&amp;sig=o-5MWTkrCP2yyXepvQeII3OS0Ms&amp;redir_esc=y#v=onepage&amp;q=definition%20of%20corporate%20social%20responsibility&amp;f=false</w:t>
        </w:r>
      </w:hyperlink>
      <w:r w:rsidRPr="00B86B09">
        <w:rPr>
          <w:rFonts w:ascii="Arial" w:hAnsi="Arial" w:cs="Arial"/>
          <w:sz w:val="24"/>
          <w:szCs w:val="24"/>
        </w:rPr>
        <w:t xml:space="preserve"> Accessed: 29</w:t>
      </w:r>
      <w:r w:rsidRPr="00B86B09">
        <w:rPr>
          <w:rFonts w:ascii="Arial" w:hAnsi="Arial" w:cs="Arial"/>
          <w:sz w:val="24"/>
          <w:szCs w:val="24"/>
          <w:vertAlign w:val="superscript"/>
        </w:rPr>
        <w:t>th</w:t>
      </w:r>
      <w:r w:rsidRPr="00B86B09">
        <w:rPr>
          <w:rFonts w:ascii="Arial" w:hAnsi="Arial" w:cs="Arial"/>
          <w:sz w:val="24"/>
          <w:szCs w:val="24"/>
        </w:rPr>
        <w:t xml:space="preserve"> January 2024</w:t>
      </w:r>
    </w:p>
    <w:p w14:paraId="631EE1A5" w14:textId="77777777" w:rsidR="00B86B09" w:rsidRDefault="00B86B09" w:rsidP="00B86B09">
      <w:pPr>
        <w:ind w:left="568"/>
        <w:jc w:val="both"/>
        <w:rPr>
          <w:rFonts w:ascii="Arial" w:hAnsi="Arial" w:cs="Arial"/>
          <w:sz w:val="24"/>
          <w:szCs w:val="24"/>
        </w:rPr>
      </w:pPr>
      <w:r w:rsidRPr="00B86B09">
        <w:rPr>
          <w:rFonts w:ascii="Arial" w:hAnsi="Arial" w:cs="Arial"/>
          <w:sz w:val="24"/>
          <w:szCs w:val="24"/>
        </w:rPr>
        <w:t xml:space="preserve">CDP (2024) Available at: </w:t>
      </w:r>
      <w:hyperlink r:id="rId6" w:history="1">
        <w:r w:rsidRPr="00B86B09">
          <w:rPr>
            <w:rStyle w:val="Hyperlink"/>
            <w:rFonts w:ascii="Arial" w:hAnsi="Arial" w:cs="Arial"/>
            <w:sz w:val="24"/>
            <w:szCs w:val="24"/>
          </w:rPr>
          <w:t>https://www.cdp.net/en/info/about-us</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10E92C54" w14:textId="77777777" w:rsidR="00B86B09" w:rsidRPr="00B86B09" w:rsidRDefault="00B86B09" w:rsidP="00B86B09">
      <w:pPr>
        <w:ind w:left="568"/>
        <w:jc w:val="both"/>
        <w:rPr>
          <w:rFonts w:ascii="Arial" w:hAnsi="Arial" w:cs="Arial"/>
          <w:sz w:val="24"/>
          <w:szCs w:val="24"/>
          <w:shd w:val="clear" w:color="auto" w:fill="FFFFFF"/>
        </w:rPr>
      </w:pPr>
      <w:r w:rsidRPr="00B86B09">
        <w:rPr>
          <w:rFonts w:ascii="Arial" w:hAnsi="Arial" w:cs="Arial"/>
          <w:sz w:val="24"/>
          <w:szCs w:val="24"/>
          <w:shd w:val="clear" w:color="auto" w:fill="FFFFFF"/>
        </w:rPr>
        <w:t xml:space="preserve">Food Waste Management Program Annual Report; Courtyard by Marriott Bangkok (2018) Available at: </w:t>
      </w:r>
      <w:hyperlink r:id="rId7" w:history="1">
        <w:r w:rsidRPr="00B86B09">
          <w:rPr>
            <w:rStyle w:val="Hyperlink"/>
            <w:rFonts w:ascii="Arial" w:hAnsi="Arial" w:cs="Arial"/>
            <w:sz w:val="24"/>
            <w:szCs w:val="24"/>
            <w:shd w:val="clear" w:color="auto" w:fill="FFFFFF"/>
          </w:rPr>
          <w:t>https://www.marriott.com/marriottassets/marriott/BKKCY/PDF/BKKCY_Food_Waste_Management.pdf</w:t>
        </w:r>
      </w:hyperlink>
      <w:r w:rsidRPr="00B86B09">
        <w:rPr>
          <w:rFonts w:ascii="Arial" w:hAnsi="Arial" w:cs="Arial"/>
          <w:sz w:val="24"/>
          <w:szCs w:val="24"/>
          <w:shd w:val="clear" w:color="auto" w:fill="FFFFFF"/>
        </w:rPr>
        <w:t xml:space="preserve"> Accessed: 1</w:t>
      </w:r>
      <w:r w:rsidRPr="00B86B09">
        <w:rPr>
          <w:rFonts w:ascii="Arial" w:hAnsi="Arial" w:cs="Arial"/>
          <w:sz w:val="24"/>
          <w:szCs w:val="24"/>
          <w:shd w:val="clear" w:color="auto" w:fill="FFFFFF"/>
          <w:vertAlign w:val="superscript"/>
        </w:rPr>
        <w:t>st</w:t>
      </w:r>
      <w:r w:rsidRPr="00B86B09">
        <w:rPr>
          <w:rFonts w:ascii="Arial" w:hAnsi="Arial" w:cs="Arial"/>
          <w:sz w:val="24"/>
          <w:szCs w:val="24"/>
          <w:shd w:val="clear" w:color="auto" w:fill="FFFFFF"/>
        </w:rPr>
        <w:t xml:space="preserve"> February 2024  </w:t>
      </w:r>
    </w:p>
    <w:p w14:paraId="3C1512B2" w14:textId="77777777" w:rsidR="00B86B09" w:rsidRPr="00B86B09" w:rsidRDefault="00B86B09" w:rsidP="00B86B09">
      <w:pPr>
        <w:ind w:left="568"/>
        <w:jc w:val="both"/>
        <w:rPr>
          <w:rFonts w:ascii="Arial" w:hAnsi="Arial" w:cs="Arial"/>
          <w:color w:val="374151"/>
          <w:sz w:val="24"/>
          <w:szCs w:val="24"/>
        </w:rPr>
      </w:pPr>
      <w:r w:rsidRPr="00B86B09">
        <w:rPr>
          <w:rFonts w:ascii="Arial" w:hAnsi="Arial" w:cs="Arial"/>
          <w:sz w:val="24"/>
          <w:szCs w:val="24"/>
        </w:rPr>
        <w:t xml:space="preserve">Hlioui and Ouidad Yousfi (2022) CSR and Innovation: Two Sides of the Same Coin Zaineb: Corporate Social Responsibility, edited by Orlando, B Publisher: IntechOpen.  Available at:  </w:t>
      </w:r>
      <w:hyperlink r:id="rId8" w:history="1">
        <w:r w:rsidRPr="00B86B09">
          <w:rPr>
            <w:rStyle w:val="Hyperlink"/>
            <w:rFonts w:ascii="Arial" w:hAnsi="Arial" w:cs="Arial"/>
            <w:sz w:val="24"/>
            <w:szCs w:val="24"/>
          </w:rPr>
          <w:t>https://mts.intechopen.com/storage/books/9032/authors_book/authors_book.pdf</w:t>
        </w:r>
      </w:hyperlink>
      <w:r w:rsidRPr="00B86B09">
        <w:rPr>
          <w:rFonts w:ascii="Arial" w:hAnsi="Arial" w:cs="Arial"/>
          <w:sz w:val="24"/>
          <w:szCs w:val="24"/>
        </w:rPr>
        <w:t xml:space="preserve">  Accessed 29</w:t>
      </w:r>
      <w:r w:rsidRPr="00B86B09">
        <w:rPr>
          <w:rFonts w:ascii="Arial" w:hAnsi="Arial" w:cs="Arial"/>
          <w:sz w:val="24"/>
          <w:szCs w:val="24"/>
          <w:vertAlign w:val="superscript"/>
        </w:rPr>
        <w:t>th</w:t>
      </w:r>
      <w:r w:rsidRPr="00B86B09">
        <w:rPr>
          <w:rFonts w:ascii="Arial" w:hAnsi="Arial" w:cs="Arial"/>
          <w:sz w:val="24"/>
          <w:szCs w:val="24"/>
        </w:rPr>
        <w:t xml:space="preserve"> January 2024.  </w:t>
      </w:r>
    </w:p>
    <w:p w14:paraId="05C1EA6C"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Jouni Korhonen, Antero Honkasalo, Jyri Seppälä, (2018) Circular Economy: The Concept and its Limitations, Ecological Economics, Volume 143, 2018, pp37-46, ISSN 0921-8009 https://doi.org/10.1016/j.ecolecon.2017.06.041. Available at: (</w:t>
      </w:r>
      <w:hyperlink r:id="rId9" w:history="1">
        <w:r w:rsidRPr="00B86B09">
          <w:rPr>
            <w:rStyle w:val="Hyperlink"/>
            <w:rFonts w:ascii="Arial" w:hAnsi="Arial" w:cs="Arial"/>
            <w:sz w:val="24"/>
            <w:szCs w:val="24"/>
          </w:rPr>
          <w:t>https://www.sciencedirect.com/science/article/pii/S0921800916300325</w:t>
        </w:r>
      </w:hyperlink>
      <w:r w:rsidRPr="00B86B09">
        <w:rPr>
          <w:rFonts w:ascii="Arial" w:hAnsi="Arial" w:cs="Arial"/>
          <w:sz w:val="24"/>
          <w:szCs w:val="24"/>
        </w:rPr>
        <w:t>)</w:t>
      </w:r>
    </w:p>
    <w:p w14:paraId="2D42DFD5"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Marriott International (2024) Available at: </w:t>
      </w:r>
      <w:hyperlink r:id="rId10" w:history="1">
        <w:r w:rsidRPr="00B86B09">
          <w:rPr>
            <w:rStyle w:val="Hyperlink"/>
            <w:rFonts w:ascii="Arial" w:hAnsi="Arial" w:cs="Arial"/>
            <w:sz w:val="24"/>
            <w:szCs w:val="24"/>
          </w:rPr>
          <w:t>https://www.marriott.com/marriott/aboutmarriott.mi#:~:text=Offering%20the%20most%20powerful%20portfolio,experience%20and%20expand%20their%20world</w:t>
        </w:r>
      </w:hyperlink>
      <w:r w:rsidRPr="00B86B09">
        <w:rPr>
          <w:rFonts w:ascii="Arial" w:hAnsi="Arial" w:cs="Arial"/>
          <w:sz w:val="24"/>
          <w:szCs w:val="24"/>
        </w:rPr>
        <w:t>. Accessed: 30</w:t>
      </w:r>
      <w:r w:rsidRPr="00B86B09">
        <w:rPr>
          <w:rFonts w:ascii="Arial" w:hAnsi="Arial" w:cs="Arial"/>
          <w:sz w:val="24"/>
          <w:szCs w:val="24"/>
          <w:vertAlign w:val="superscript"/>
        </w:rPr>
        <w:t>th</w:t>
      </w:r>
      <w:r w:rsidRPr="00B86B09">
        <w:rPr>
          <w:rFonts w:ascii="Arial" w:hAnsi="Arial" w:cs="Arial"/>
          <w:sz w:val="24"/>
          <w:szCs w:val="24"/>
        </w:rPr>
        <w:t xml:space="preserve"> January, 2024</w:t>
      </w:r>
    </w:p>
    <w:p w14:paraId="7991B615"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Marriott International, Inc 2025 Sustainability and Social Impact Goals (2023) Climate Change 2023 Available at: </w:t>
      </w:r>
      <w:hyperlink r:id="rId11" w:history="1">
        <w:r w:rsidRPr="00B86B09">
          <w:rPr>
            <w:rStyle w:val="Hyperlink"/>
            <w:rFonts w:ascii="Arial" w:hAnsi="Arial" w:cs="Arial"/>
            <w:sz w:val="24"/>
            <w:szCs w:val="24"/>
          </w:rPr>
          <w:t>https://serve360.marriott.com/wp-content/uploads/2023/09/CDP-Climate-2023-vHsm2.pdf</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66033D4F"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lastRenderedPageBreak/>
        <w:t xml:space="preserve">Marriott International (2023) Available at </w:t>
      </w:r>
      <w:hyperlink r:id="rId12" w:history="1">
        <w:r w:rsidRPr="00B86B09">
          <w:rPr>
            <w:rStyle w:val="Hyperlink"/>
            <w:rFonts w:ascii="Arial" w:hAnsi="Arial" w:cs="Arial"/>
            <w:sz w:val="24"/>
            <w:szCs w:val="24"/>
          </w:rPr>
          <w:t>https://help.marriott.com/s/article/Article-22522</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2023</w:t>
      </w:r>
    </w:p>
    <w:p w14:paraId="2553FF4E"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Marriott International (2019) Serve 360: Doing good in every direction. Available at: </w:t>
      </w:r>
      <w:hyperlink r:id="rId13" w:history="1">
        <w:r w:rsidRPr="00B86B09">
          <w:rPr>
            <w:rStyle w:val="Hyperlink"/>
            <w:rFonts w:ascii="Arial" w:hAnsi="Arial" w:cs="Arial"/>
            <w:sz w:val="24"/>
            <w:szCs w:val="24"/>
          </w:rPr>
          <w:t>https://serve360.marriott.com/</w:t>
        </w:r>
      </w:hyperlink>
      <w:r w:rsidRPr="00B86B09">
        <w:rPr>
          <w:rFonts w:ascii="Arial" w:hAnsi="Arial" w:cs="Arial"/>
          <w:sz w:val="24"/>
          <w:szCs w:val="24"/>
        </w:rPr>
        <w:t xml:space="preserve"> Accessed: 31 January 2024  </w:t>
      </w:r>
    </w:p>
    <w:p w14:paraId="227613A0" w14:textId="77777777" w:rsidR="00B86B09" w:rsidRDefault="00B86B09" w:rsidP="00B86B09">
      <w:pPr>
        <w:ind w:left="568"/>
        <w:jc w:val="both"/>
        <w:rPr>
          <w:rFonts w:ascii="Arial" w:hAnsi="Arial" w:cs="Arial"/>
          <w:sz w:val="24"/>
          <w:szCs w:val="24"/>
        </w:rPr>
      </w:pPr>
      <w:r w:rsidRPr="00B86B09">
        <w:rPr>
          <w:rFonts w:ascii="Arial" w:hAnsi="Arial" w:cs="Arial"/>
          <w:sz w:val="24"/>
          <w:szCs w:val="24"/>
        </w:rPr>
        <w:t xml:space="preserve">Marriott International Announces Ambition to go Net-Zero Available at: (2021) </w:t>
      </w:r>
      <w:hyperlink r:id="rId14" w:history="1">
        <w:r w:rsidRPr="00B86B09">
          <w:rPr>
            <w:rStyle w:val="Hyperlink"/>
            <w:rFonts w:ascii="Arial" w:hAnsi="Arial" w:cs="Arial"/>
            <w:sz w:val="24"/>
            <w:szCs w:val="24"/>
          </w:rPr>
          <w:t>https://news.marriott.com/news/2021/09/22/marriott-international-announces-ambition-to-go-net-zero</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035D8EBD" w14:textId="77777777" w:rsidR="00B86B09" w:rsidRPr="00B86B09" w:rsidRDefault="00B86B09" w:rsidP="00B86B09">
      <w:pPr>
        <w:ind w:left="568"/>
        <w:jc w:val="both"/>
        <w:rPr>
          <w:rFonts w:ascii="Arial" w:hAnsi="Arial" w:cs="Arial"/>
          <w:sz w:val="24"/>
          <w:szCs w:val="24"/>
          <w:shd w:val="clear" w:color="auto" w:fill="FFFFFF"/>
        </w:rPr>
      </w:pPr>
      <w:r w:rsidRPr="00B86B09">
        <w:rPr>
          <w:rFonts w:ascii="Arial" w:hAnsi="Arial" w:cs="Arial"/>
          <w:sz w:val="24"/>
          <w:szCs w:val="24"/>
          <w:shd w:val="clear" w:color="auto" w:fill="FFFFFF"/>
        </w:rPr>
        <w:t>Marriott International Responsible Sourcing  Guide (2022) Available at:</w:t>
      </w:r>
      <w:r w:rsidRPr="00907E27">
        <w:t xml:space="preserve"> </w:t>
      </w:r>
      <w:r w:rsidRPr="00B86B09">
        <w:rPr>
          <w:rFonts w:ascii="Arial" w:hAnsi="Arial" w:cs="Arial"/>
          <w:sz w:val="24"/>
          <w:szCs w:val="24"/>
          <w:shd w:val="clear" w:color="auto" w:fill="FFFFFF"/>
        </w:rPr>
        <w:t>erve360.marriott.com/wp-content/uploads/2021/09/Marriott-Responsible_Sourcing_Guide_August-2021.pdf Accessed: 1</w:t>
      </w:r>
      <w:r w:rsidRPr="00B86B09">
        <w:rPr>
          <w:rFonts w:ascii="Arial" w:hAnsi="Arial" w:cs="Arial"/>
          <w:sz w:val="24"/>
          <w:szCs w:val="24"/>
          <w:shd w:val="clear" w:color="auto" w:fill="FFFFFF"/>
          <w:vertAlign w:val="superscript"/>
        </w:rPr>
        <w:t>st</w:t>
      </w:r>
      <w:r w:rsidRPr="00B86B09">
        <w:rPr>
          <w:rFonts w:ascii="Arial" w:hAnsi="Arial" w:cs="Arial"/>
          <w:sz w:val="24"/>
          <w:szCs w:val="24"/>
          <w:shd w:val="clear" w:color="auto" w:fill="FFFFFF"/>
        </w:rPr>
        <w:t xml:space="preserve"> February 2024</w:t>
      </w:r>
    </w:p>
    <w:p w14:paraId="3B52602B" w14:textId="77777777" w:rsidR="00B86B09" w:rsidRPr="00B86B09" w:rsidRDefault="00B86B09" w:rsidP="00B86B09">
      <w:pPr>
        <w:ind w:left="568"/>
        <w:jc w:val="both"/>
        <w:rPr>
          <w:rFonts w:ascii="Arial" w:hAnsi="Arial" w:cs="Arial"/>
          <w:sz w:val="24"/>
          <w:szCs w:val="24"/>
          <w:shd w:val="clear" w:color="auto" w:fill="FFFFFF"/>
        </w:rPr>
      </w:pPr>
      <w:r w:rsidRPr="00B86B09">
        <w:rPr>
          <w:rFonts w:ascii="Arial" w:hAnsi="Arial" w:cs="Arial"/>
          <w:sz w:val="24"/>
          <w:szCs w:val="24"/>
          <w:shd w:val="clear" w:color="auto" w:fill="FFFFFF"/>
        </w:rPr>
        <w:t xml:space="preserve">Sarah Schönherr, Bernhard Fabian Bichler, Birgit Pikkemaat, (2023) </w:t>
      </w:r>
    </w:p>
    <w:p w14:paraId="62402876" w14:textId="77777777" w:rsidR="00B86B09" w:rsidRPr="00B86B09" w:rsidRDefault="00B86B09" w:rsidP="00B86B09">
      <w:pPr>
        <w:ind w:left="568"/>
        <w:jc w:val="both"/>
        <w:rPr>
          <w:rFonts w:ascii="Arial" w:hAnsi="Arial" w:cs="Arial"/>
          <w:sz w:val="24"/>
          <w:szCs w:val="24"/>
          <w:shd w:val="clear" w:color="auto" w:fill="FFFFFF"/>
        </w:rPr>
      </w:pPr>
      <w:r w:rsidRPr="00B86B09">
        <w:rPr>
          <w:rFonts w:ascii="Arial" w:hAnsi="Arial" w:cs="Arial"/>
          <w:sz w:val="24"/>
          <w:szCs w:val="24"/>
          <w:shd w:val="clear" w:color="auto" w:fill="FFFFFF"/>
        </w:rPr>
        <w:t>Attitudes not set in stone: Existential crises changing residents’ irritation,</w:t>
      </w:r>
    </w:p>
    <w:p w14:paraId="525D24B6" w14:textId="3AEFD86F" w:rsidR="00B86B09" w:rsidRPr="00B86B09" w:rsidRDefault="00B86B09" w:rsidP="00B86B09">
      <w:pPr>
        <w:ind w:left="568"/>
        <w:jc w:val="both"/>
        <w:rPr>
          <w:rFonts w:ascii="Arial" w:hAnsi="Arial" w:cs="Arial"/>
          <w:sz w:val="24"/>
          <w:szCs w:val="24"/>
          <w:shd w:val="clear" w:color="auto" w:fill="FFFFFF"/>
        </w:rPr>
      </w:pPr>
      <w:r w:rsidRPr="00B86B09">
        <w:rPr>
          <w:rFonts w:ascii="Arial" w:hAnsi="Arial" w:cs="Arial"/>
          <w:sz w:val="24"/>
          <w:szCs w:val="24"/>
          <w:shd w:val="clear" w:color="auto" w:fill="FFFFFF"/>
        </w:rPr>
        <w:t xml:space="preserve">Tourism Management, Volume 96, 2023, 104708, ISSN 0261-5177, </w:t>
      </w:r>
      <w:hyperlink r:id="rId15" w:history="1">
        <w:r w:rsidRPr="00B86B09">
          <w:rPr>
            <w:rStyle w:val="Hyperlink"/>
            <w:rFonts w:ascii="Arial" w:hAnsi="Arial" w:cs="Arial"/>
            <w:sz w:val="24"/>
            <w:szCs w:val="24"/>
            <w:shd w:val="clear" w:color="auto" w:fill="FFFFFF"/>
          </w:rPr>
          <w:t>https://doi.org/10.1016/j.tourman.2022.104708</w:t>
        </w:r>
      </w:hyperlink>
      <w:r w:rsidRPr="00B86B09">
        <w:rPr>
          <w:rFonts w:ascii="Arial" w:hAnsi="Arial" w:cs="Arial"/>
          <w:sz w:val="24"/>
          <w:szCs w:val="24"/>
          <w:shd w:val="clear" w:color="auto" w:fill="FFFFFF"/>
        </w:rPr>
        <w:t xml:space="preserve">. Available at: </w:t>
      </w:r>
      <w:hyperlink r:id="rId16" w:history="1">
        <w:r w:rsidRPr="00B86B09">
          <w:rPr>
            <w:rStyle w:val="Hyperlink"/>
            <w:rFonts w:ascii="Arial" w:hAnsi="Arial" w:cs="Arial"/>
            <w:sz w:val="24"/>
            <w:szCs w:val="24"/>
            <w:shd w:val="clear" w:color="auto" w:fill="FFFFFF"/>
          </w:rPr>
          <w:t>https://www.sciencedirect.com/science/article/pii/S0261517722002217 Accessed 1</w:t>
        </w:r>
        <w:r w:rsidRPr="00B86B09">
          <w:rPr>
            <w:rStyle w:val="Hyperlink"/>
            <w:rFonts w:ascii="Arial" w:hAnsi="Arial" w:cs="Arial"/>
            <w:sz w:val="24"/>
            <w:szCs w:val="24"/>
            <w:shd w:val="clear" w:color="auto" w:fill="FFFFFF"/>
            <w:vertAlign w:val="superscript"/>
          </w:rPr>
          <w:t>st</w:t>
        </w:r>
        <w:r w:rsidRPr="00B86B09">
          <w:rPr>
            <w:rStyle w:val="Hyperlink"/>
            <w:rFonts w:ascii="Arial" w:hAnsi="Arial" w:cs="Arial"/>
            <w:sz w:val="24"/>
            <w:szCs w:val="24"/>
            <w:shd w:val="clear" w:color="auto" w:fill="FFFFFF"/>
          </w:rPr>
          <w:t xml:space="preserve"> February 2024</w:t>
        </w:r>
      </w:hyperlink>
      <w:r w:rsidRPr="00B86B09">
        <w:rPr>
          <w:rFonts w:ascii="Arial" w:hAnsi="Arial" w:cs="Arial"/>
          <w:sz w:val="24"/>
          <w:szCs w:val="24"/>
          <w:shd w:val="clear" w:color="auto" w:fill="FFFFFF"/>
        </w:rPr>
        <w:t>.</w:t>
      </w:r>
    </w:p>
    <w:p w14:paraId="2CE31759"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Serve 360 Report: Environmental, Social and Governance Progress. Sourcing Across the Globe (2022a)  Available at: </w:t>
      </w:r>
      <w:hyperlink r:id="rId17" w:history="1">
        <w:r w:rsidRPr="00B86B09">
          <w:rPr>
            <w:rStyle w:val="Hyperlink"/>
            <w:rFonts w:ascii="Arial" w:hAnsi="Arial" w:cs="Arial"/>
            <w:sz w:val="24"/>
            <w:szCs w:val="24"/>
          </w:rPr>
          <w:t>https://serve360.marriott.com/wp-content/uploads/2022/10/Marriott-2022-Serve-360-ESG-Report-accessible_F.pdf</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2024 </w:t>
      </w:r>
    </w:p>
    <w:p w14:paraId="1F038B2C"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Serve 360 Report: Environmental, Social and Governance Progress. Local Sourcing Across the Globe;  (2022b) Available at: </w:t>
      </w:r>
      <w:hyperlink r:id="rId18" w:history="1">
        <w:r w:rsidRPr="00B86B09">
          <w:rPr>
            <w:rStyle w:val="Hyperlink"/>
            <w:rFonts w:ascii="Arial" w:hAnsi="Arial" w:cs="Arial"/>
            <w:sz w:val="24"/>
            <w:szCs w:val="24"/>
          </w:rPr>
          <w:t>https://serve360.marriott.com/wp-content/uploads/2022/10/Marriott-2022-Serve-360-ESG-Report-accessible_F.pdf</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46CE4F0E"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Sharma, N. K., Govindan, K., Lai, K. K., Chen, W. K., &amp; Kumar, V. (2021). The transition from linear economy to circular economy for sustainability among SMEs: A study on prospects, impediments, and prerequisites. Business Strategy and the Environment, 30(4), 1803-1822. https://doi.org/10.1002/bse.2717 Available at: </w:t>
      </w:r>
      <w:hyperlink r:id="rId19" w:history="1">
        <w:r w:rsidRPr="00B86B09">
          <w:rPr>
            <w:rStyle w:val="Hyperlink"/>
            <w:rFonts w:ascii="Arial" w:hAnsi="Arial" w:cs="Arial"/>
            <w:sz w:val="24"/>
            <w:szCs w:val="24"/>
          </w:rPr>
          <w:t>https://findresearcher.sdu.dk/ws/files/178324207/bse.2717.pdf</w:t>
        </w:r>
      </w:hyperlink>
      <w:r w:rsidRPr="00B86B09">
        <w:rPr>
          <w:rFonts w:ascii="Arial" w:hAnsi="Arial" w:cs="Arial"/>
          <w:sz w:val="24"/>
          <w:szCs w:val="24"/>
        </w:rPr>
        <w:t xml:space="preserve"> Accessed: 29</w:t>
      </w:r>
      <w:r w:rsidRPr="00B86B09">
        <w:rPr>
          <w:rFonts w:ascii="Arial" w:hAnsi="Arial" w:cs="Arial"/>
          <w:sz w:val="24"/>
          <w:szCs w:val="24"/>
          <w:vertAlign w:val="superscript"/>
        </w:rPr>
        <w:t>th</w:t>
      </w:r>
      <w:r w:rsidRPr="00B86B09">
        <w:rPr>
          <w:rFonts w:ascii="Arial" w:hAnsi="Arial" w:cs="Arial"/>
          <w:sz w:val="24"/>
          <w:szCs w:val="24"/>
        </w:rPr>
        <w:t xml:space="preserve"> January 2024   </w:t>
      </w:r>
    </w:p>
    <w:p w14:paraId="156D9D19"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Silo London (2024) Zero Waste Philosophy. Available at </w:t>
      </w:r>
      <w:hyperlink r:id="rId20" w:history="1">
        <w:r w:rsidRPr="00B86B09">
          <w:rPr>
            <w:rStyle w:val="Hyperlink"/>
            <w:rFonts w:ascii="Arial" w:hAnsi="Arial" w:cs="Arial"/>
            <w:sz w:val="24"/>
            <w:szCs w:val="24"/>
          </w:rPr>
          <w:t>https://www.silolondon.com/pages/zero-waste-philosophy</w:t>
        </w:r>
      </w:hyperlink>
      <w:r w:rsidRPr="00B86B09">
        <w:rPr>
          <w:rFonts w:ascii="Arial" w:hAnsi="Arial" w:cs="Arial"/>
          <w:sz w:val="24"/>
          <w:szCs w:val="24"/>
        </w:rPr>
        <w:t xml:space="preserve">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6D08C142"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t xml:space="preserve">Slaper T, and Hall, T. (2011) Indiana Business Review “The Triple Bottom Line: What is it and How Does it Work?”  Spring 2011 Volume 86, No. 1  Available at: </w:t>
      </w:r>
      <w:hyperlink r:id="rId21" w:history="1">
        <w:r w:rsidRPr="00B86B09">
          <w:rPr>
            <w:rStyle w:val="Hyperlink"/>
            <w:rFonts w:ascii="Arial" w:hAnsi="Arial" w:cs="Arial"/>
            <w:sz w:val="24"/>
            <w:szCs w:val="24"/>
          </w:rPr>
          <w:t>https://www.ibrc.indiana.edu/ibr/2011/spring/article2.html#:~:text=The%20TBL%20dimensions%20are%20also,to%20these%20as%20the%203Ps</w:t>
        </w:r>
      </w:hyperlink>
      <w:r w:rsidRPr="00B86B09">
        <w:rPr>
          <w:rFonts w:ascii="Arial" w:hAnsi="Arial" w:cs="Arial"/>
          <w:sz w:val="24"/>
          <w:szCs w:val="24"/>
        </w:rPr>
        <w:t>.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7BC57DEC" w14:textId="77777777" w:rsidR="00B86B09" w:rsidRPr="00B86B09" w:rsidRDefault="00B86B09" w:rsidP="00B86B09">
      <w:pPr>
        <w:ind w:left="568"/>
        <w:jc w:val="both"/>
        <w:rPr>
          <w:rFonts w:ascii="Arial" w:hAnsi="Arial" w:cs="Arial"/>
          <w:sz w:val="24"/>
          <w:szCs w:val="24"/>
        </w:rPr>
      </w:pPr>
      <w:r w:rsidRPr="00B86B09">
        <w:rPr>
          <w:rFonts w:ascii="Arial" w:hAnsi="Arial" w:cs="Arial"/>
          <w:sz w:val="24"/>
          <w:szCs w:val="24"/>
        </w:rPr>
        <w:lastRenderedPageBreak/>
        <w:t xml:space="preserve">Slaper T, and Hall, T. (2011)b Indiana Business Review “The Triple Bottom Line: What is it and How Does it Work?”  Spring 2011 Volume 86, No. 1  Available at: </w:t>
      </w:r>
      <w:hyperlink r:id="rId22" w:history="1">
        <w:r w:rsidRPr="00B86B09">
          <w:rPr>
            <w:rStyle w:val="Hyperlink"/>
            <w:rFonts w:ascii="Arial" w:hAnsi="Arial" w:cs="Arial"/>
            <w:sz w:val="24"/>
            <w:szCs w:val="24"/>
          </w:rPr>
          <w:t>https://www.ibrc.indiana.edu/ibr/2011/spring/article2.html#:~:text=The%20TBL%20dimensions%20are%20also,to%20these%20as%20the%203Ps</w:t>
        </w:r>
      </w:hyperlink>
      <w:r w:rsidRPr="00B86B09">
        <w:rPr>
          <w:rFonts w:ascii="Arial" w:hAnsi="Arial" w:cs="Arial"/>
          <w:sz w:val="24"/>
          <w:szCs w:val="24"/>
        </w:rPr>
        <w:t>. Accessed: 31</w:t>
      </w:r>
      <w:r w:rsidRPr="00B86B09">
        <w:rPr>
          <w:rFonts w:ascii="Arial" w:hAnsi="Arial" w:cs="Arial"/>
          <w:sz w:val="24"/>
          <w:szCs w:val="24"/>
          <w:vertAlign w:val="superscript"/>
        </w:rPr>
        <w:t>st</w:t>
      </w:r>
      <w:r w:rsidRPr="00B86B09">
        <w:rPr>
          <w:rFonts w:ascii="Arial" w:hAnsi="Arial" w:cs="Arial"/>
          <w:sz w:val="24"/>
          <w:szCs w:val="24"/>
        </w:rPr>
        <w:t xml:space="preserve"> January 2024</w:t>
      </w:r>
    </w:p>
    <w:p w14:paraId="33C5FB05" w14:textId="60C7EFBA" w:rsidR="00C31A53" w:rsidRPr="00B86B09" w:rsidRDefault="00C31A53" w:rsidP="00B86B09">
      <w:pPr>
        <w:ind w:left="568"/>
        <w:jc w:val="both"/>
        <w:rPr>
          <w:rFonts w:ascii="Arial" w:hAnsi="Arial" w:cs="Arial"/>
          <w:sz w:val="24"/>
          <w:szCs w:val="24"/>
        </w:rPr>
      </w:pPr>
      <w:r w:rsidRPr="00B86B09">
        <w:rPr>
          <w:rFonts w:ascii="Arial" w:hAnsi="Arial" w:cs="Arial"/>
          <w:sz w:val="24"/>
          <w:szCs w:val="24"/>
        </w:rPr>
        <w:t xml:space="preserve">Stahel, W.  </w:t>
      </w:r>
      <w:r w:rsidR="00D14770" w:rsidRPr="00B86B09">
        <w:rPr>
          <w:rFonts w:ascii="Arial" w:hAnsi="Arial" w:cs="Arial"/>
          <w:sz w:val="24"/>
          <w:szCs w:val="24"/>
        </w:rPr>
        <w:t xml:space="preserve">(2016) </w:t>
      </w:r>
      <w:r w:rsidRPr="00B86B09">
        <w:rPr>
          <w:rFonts w:ascii="Arial" w:hAnsi="Arial" w:cs="Arial"/>
          <w:sz w:val="24"/>
          <w:szCs w:val="24"/>
        </w:rPr>
        <w:t xml:space="preserve">Nature </w:t>
      </w:r>
      <w:r w:rsidRPr="00B86B09">
        <w:rPr>
          <w:rFonts w:ascii="Arial" w:hAnsi="Arial" w:cs="Arial"/>
          <w:sz w:val="24"/>
          <w:szCs w:val="24"/>
        </w:rPr>
        <w:t>V</w:t>
      </w:r>
      <w:r w:rsidRPr="00B86B09">
        <w:rPr>
          <w:rFonts w:ascii="Arial" w:hAnsi="Arial" w:cs="Arial"/>
          <w:sz w:val="24"/>
          <w:szCs w:val="24"/>
        </w:rPr>
        <w:t>ol</w:t>
      </w:r>
      <w:r w:rsidRPr="00B86B09">
        <w:rPr>
          <w:rFonts w:ascii="Arial" w:hAnsi="Arial" w:cs="Arial"/>
          <w:sz w:val="24"/>
          <w:szCs w:val="24"/>
        </w:rPr>
        <w:t xml:space="preserve"> 531   24 M</w:t>
      </w:r>
      <w:r w:rsidRPr="00B86B09">
        <w:rPr>
          <w:rFonts w:ascii="Arial" w:hAnsi="Arial" w:cs="Arial"/>
          <w:sz w:val="24"/>
          <w:szCs w:val="24"/>
        </w:rPr>
        <w:t>arch</w:t>
      </w:r>
      <w:r w:rsidRPr="00B86B09">
        <w:rPr>
          <w:rFonts w:ascii="Arial" w:hAnsi="Arial" w:cs="Arial"/>
          <w:sz w:val="24"/>
          <w:szCs w:val="24"/>
        </w:rPr>
        <w:t xml:space="preserve"> 2016 </w:t>
      </w:r>
      <w:r w:rsidRPr="00B86B09">
        <w:rPr>
          <w:rFonts w:ascii="Arial" w:hAnsi="Arial" w:cs="Arial"/>
          <w:sz w:val="24"/>
          <w:szCs w:val="24"/>
        </w:rPr>
        <w:t>pp</w:t>
      </w:r>
      <w:r w:rsidRPr="00B86B09">
        <w:rPr>
          <w:rFonts w:ascii="Arial" w:hAnsi="Arial" w:cs="Arial"/>
          <w:sz w:val="24"/>
          <w:szCs w:val="24"/>
        </w:rPr>
        <w:t>435</w:t>
      </w:r>
      <w:r w:rsidRPr="00B86B09">
        <w:rPr>
          <w:rFonts w:ascii="Arial" w:hAnsi="Arial" w:cs="Arial"/>
          <w:sz w:val="24"/>
          <w:szCs w:val="24"/>
        </w:rPr>
        <w:t xml:space="preserve">/436 </w:t>
      </w:r>
      <w:r w:rsidR="000D272B" w:rsidRPr="00B86B09">
        <w:rPr>
          <w:rFonts w:ascii="Arial" w:hAnsi="Arial" w:cs="Arial"/>
          <w:sz w:val="24"/>
          <w:szCs w:val="24"/>
        </w:rPr>
        <w:t>Circular Economy</w:t>
      </w:r>
      <w:r w:rsidRPr="00B86B09">
        <w:rPr>
          <w:rFonts w:ascii="Arial" w:hAnsi="Arial" w:cs="Arial"/>
          <w:sz w:val="24"/>
          <w:szCs w:val="24"/>
        </w:rPr>
        <w:t xml:space="preserve"> available at: </w:t>
      </w:r>
      <w:hyperlink r:id="rId23" w:history="1">
        <w:r w:rsidRPr="00B86B09">
          <w:rPr>
            <w:rStyle w:val="Hyperlink"/>
            <w:rFonts w:ascii="Arial" w:hAnsi="Arial" w:cs="Arial"/>
            <w:sz w:val="24"/>
            <w:szCs w:val="24"/>
          </w:rPr>
          <w:t>https://www.nature.com/articles/531435a.pdf</w:t>
        </w:r>
      </w:hyperlink>
      <w:r w:rsidRPr="00B86B09">
        <w:rPr>
          <w:rFonts w:ascii="Arial" w:hAnsi="Arial" w:cs="Arial"/>
          <w:sz w:val="24"/>
          <w:szCs w:val="24"/>
        </w:rPr>
        <w:t xml:space="preserve"> Accessed: 29</w:t>
      </w:r>
      <w:r w:rsidRPr="00B86B09">
        <w:rPr>
          <w:rFonts w:ascii="Arial" w:hAnsi="Arial" w:cs="Arial"/>
          <w:sz w:val="24"/>
          <w:szCs w:val="24"/>
          <w:vertAlign w:val="superscript"/>
        </w:rPr>
        <w:t>th</w:t>
      </w:r>
      <w:r w:rsidRPr="00B86B09">
        <w:rPr>
          <w:rFonts w:ascii="Arial" w:hAnsi="Arial" w:cs="Arial"/>
          <w:sz w:val="24"/>
          <w:szCs w:val="24"/>
        </w:rPr>
        <w:t xml:space="preserve"> January 2024</w:t>
      </w:r>
    </w:p>
    <w:p w14:paraId="6D24A2C9" w14:textId="556BF801" w:rsidR="00A74FF6" w:rsidRPr="00B86B09" w:rsidRDefault="00B875C5" w:rsidP="00B86B09">
      <w:pPr>
        <w:ind w:left="568"/>
        <w:jc w:val="both"/>
        <w:rPr>
          <w:rFonts w:ascii="Arial" w:hAnsi="Arial" w:cs="Arial"/>
          <w:sz w:val="24"/>
          <w:szCs w:val="24"/>
          <w:shd w:val="clear" w:color="auto" w:fill="FFFFFF"/>
        </w:rPr>
      </w:pPr>
      <w:r w:rsidRPr="00B86B09">
        <w:rPr>
          <w:rFonts w:ascii="Arial" w:hAnsi="Arial" w:cs="Arial"/>
          <w:sz w:val="24"/>
          <w:szCs w:val="24"/>
          <w:shd w:val="clear" w:color="auto" w:fill="FFFFFF"/>
        </w:rPr>
        <w:t xml:space="preserve">Watts J. (2024) </w:t>
      </w:r>
      <w:r w:rsidRPr="00B86B09">
        <w:rPr>
          <w:rFonts w:ascii="Arial" w:hAnsi="Arial" w:cs="Arial"/>
          <w:sz w:val="24"/>
          <w:szCs w:val="24"/>
          <w:shd w:val="clear" w:color="auto" w:fill="FFFFFF"/>
        </w:rPr>
        <w:t xml:space="preserve">“Move to </w:t>
      </w:r>
      <w:r w:rsidRPr="00B86B09">
        <w:rPr>
          <w:rFonts w:ascii="Arial" w:hAnsi="Arial" w:cs="Arial"/>
          <w:sz w:val="24"/>
          <w:szCs w:val="24"/>
          <w:shd w:val="clear" w:color="auto" w:fill="FFFFFF"/>
        </w:rPr>
        <w:t>sustainable</w:t>
      </w:r>
      <w:r w:rsidRPr="00B86B09">
        <w:rPr>
          <w:rFonts w:ascii="Arial" w:hAnsi="Arial" w:cs="Arial"/>
          <w:sz w:val="24"/>
          <w:szCs w:val="24"/>
          <w:shd w:val="clear" w:color="auto" w:fill="FFFFFF"/>
        </w:rPr>
        <w:t xml:space="preserve"> food systems could bring $10tn benefits a year</w:t>
      </w:r>
      <w:r w:rsidRPr="00B86B09">
        <w:rPr>
          <w:rFonts w:ascii="Arial" w:hAnsi="Arial" w:cs="Arial"/>
          <w:sz w:val="24"/>
          <w:szCs w:val="24"/>
          <w:shd w:val="clear" w:color="auto" w:fill="FFFFFF"/>
        </w:rPr>
        <w:t>.</w:t>
      </w:r>
      <w:r w:rsidRPr="00B86B09">
        <w:rPr>
          <w:rFonts w:ascii="Arial" w:hAnsi="Arial" w:cs="Arial"/>
          <w:sz w:val="24"/>
          <w:szCs w:val="24"/>
          <w:shd w:val="clear" w:color="auto" w:fill="FFFFFF"/>
        </w:rPr>
        <w:t xml:space="preserve">” </w:t>
      </w:r>
      <w:r w:rsidRPr="00B86B09">
        <w:rPr>
          <w:rFonts w:ascii="Arial" w:hAnsi="Arial" w:cs="Arial"/>
          <w:i/>
          <w:iCs/>
          <w:sz w:val="24"/>
          <w:szCs w:val="24"/>
          <w:shd w:val="clear" w:color="auto" w:fill="FFFFFF"/>
        </w:rPr>
        <w:t>The Guardian 29</w:t>
      </w:r>
      <w:r w:rsidRPr="00B86B09">
        <w:rPr>
          <w:rFonts w:ascii="Arial" w:hAnsi="Arial" w:cs="Arial"/>
          <w:i/>
          <w:iCs/>
          <w:sz w:val="24"/>
          <w:szCs w:val="24"/>
          <w:shd w:val="clear" w:color="auto" w:fill="FFFFFF"/>
          <w:vertAlign w:val="superscript"/>
        </w:rPr>
        <w:t>th</w:t>
      </w:r>
      <w:r w:rsidRPr="00B86B09">
        <w:rPr>
          <w:rFonts w:ascii="Arial" w:hAnsi="Arial" w:cs="Arial"/>
          <w:i/>
          <w:iCs/>
          <w:sz w:val="24"/>
          <w:szCs w:val="24"/>
          <w:shd w:val="clear" w:color="auto" w:fill="FFFFFF"/>
        </w:rPr>
        <w:t xml:space="preserve"> January 2024</w:t>
      </w:r>
      <w:r w:rsidRPr="00B86B09">
        <w:rPr>
          <w:rFonts w:ascii="Arial" w:hAnsi="Arial" w:cs="Arial"/>
          <w:sz w:val="24"/>
          <w:szCs w:val="24"/>
          <w:shd w:val="clear" w:color="auto" w:fill="FFFFFF"/>
        </w:rPr>
        <w:t xml:space="preserve">: Available at: </w:t>
      </w:r>
      <w:hyperlink r:id="rId24" w:history="1">
        <w:r w:rsidRPr="00B86B09">
          <w:rPr>
            <w:rStyle w:val="Hyperlink"/>
            <w:rFonts w:ascii="Arial" w:hAnsi="Arial" w:cs="Arial"/>
            <w:sz w:val="24"/>
            <w:szCs w:val="24"/>
            <w:shd w:val="clear" w:color="auto" w:fill="FFFFFF"/>
          </w:rPr>
          <w:t>https://www.theguardian.com/environment/2024/jan/29/sustainable-food-production-economic-benefits-study</w:t>
        </w:r>
      </w:hyperlink>
      <w:r w:rsidRPr="00B86B09">
        <w:rPr>
          <w:rFonts w:ascii="Arial" w:hAnsi="Arial" w:cs="Arial"/>
          <w:sz w:val="24"/>
          <w:szCs w:val="24"/>
          <w:shd w:val="clear" w:color="auto" w:fill="FFFFFF"/>
        </w:rPr>
        <w:t xml:space="preserve"> Accessed: 1</w:t>
      </w:r>
      <w:r w:rsidRPr="00B86B09">
        <w:rPr>
          <w:rFonts w:ascii="Arial" w:hAnsi="Arial" w:cs="Arial"/>
          <w:sz w:val="24"/>
          <w:szCs w:val="24"/>
          <w:shd w:val="clear" w:color="auto" w:fill="FFFFFF"/>
          <w:vertAlign w:val="superscript"/>
        </w:rPr>
        <w:t>st</w:t>
      </w:r>
      <w:r w:rsidRPr="00B86B09">
        <w:rPr>
          <w:rFonts w:ascii="Arial" w:hAnsi="Arial" w:cs="Arial"/>
          <w:sz w:val="24"/>
          <w:szCs w:val="24"/>
          <w:shd w:val="clear" w:color="auto" w:fill="FFFFFF"/>
        </w:rPr>
        <w:t xml:space="preserve"> February 2024</w:t>
      </w:r>
    </w:p>
    <w:p w14:paraId="32EE4104" w14:textId="3630520D" w:rsidR="00682A55" w:rsidRDefault="00682A55" w:rsidP="00B86B09">
      <w:pPr>
        <w:pStyle w:val="ListParagraph"/>
        <w:jc w:val="both"/>
        <w:rPr>
          <w:rFonts w:ascii="Arial" w:hAnsi="Arial" w:cs="Arial"/>
          <w:sz w:val="24"/>
          <w:szCs w:val="24"/>
          <w:shd w:val="clear" w:color="auto" w:fill="FFFFFF"/>
        </w:rPr>
      </w:pPr>
    </w:p>
    <w:p w14:paraId="3CEEF4C1" w14:textId="77777777" w:rsidR="00907E27" w:rsidRDefault="00907E27" w:rsidP="00F53E5F">
      <w:pPr>
        <w:pStyle w:val="ListParagraph"/>
        <w:jc w:val="both"/>
        <w:rPr>
          <w:rFonts w:ascii="Arial" w:hAnsi="Arial" w:cs="Arial"/>
          <w:sz w:val="24"/>
          <w:szCs w:val="24"/>
          <w:shd w:val="clear" w:color="auto" w:fill="FFFFFF"/>
        </w:rPr>
      </w:pPr>
    </w:p>
    <w:p w14:paraId="10B80084" w14:textId="77777777" w:rsidR="00907E27" w:rsidRPr="00143BA2" w:rsidRDefault="00907E27" w:rsidP="00F53E5F">
      <w:pPr>
        <w:pStyle w:val="ListParagraph"/>
        <w:jc w:val="both"/>
        <w:rPr>
          <w:rFonts w:ascii="Arial" w:hAnsi="Arial" w:cs="Arial"/>
          <w:sz w:val="24"/>
          <w:szCs w:val="24"/>
          <w:shd w:val="clear" w:color="auto" w:fill="FFFFFF"/>
        </w:rPr>
      </w:pPr>
    </w:p>
    <w:sectPr w:rsidR="00907E27" w:rsidRPr="00143B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60D9"/>
    <w:multiLevelType w:val="multilevel"/>
    <w:tmpl w:val="6598E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422CCC"/>
    <w:multiLevelType w:val="hybridMultilevel"/>
    <w:tmpl w:val="7EECA77A"/>
    <w:lvl w:ilvl="0" w:tplc="68DC37BC">
      <w:numFmt w:val="decimal"/>
      <w:lvlText w:val="(%1)"/>
      <w:lvlJc w:val="left"/>
      <w:pPr>
        <w:ind w:left="928" w:hanging="360"/>
      </w:pPr>
      <w:rPr>
        <w:rFonts w:hint="default"/>
        <w:color w:val="FF0000"/>
      </w:rPr>
    </w:lvl>
    <w:lvl w:ilvl="1" w:tplc="04090019" w:tentative="1">
      <w:start w:val="1"/>
      <w:numFmt w:val="lowerLetter"/>
      <w:lvlText w:val="%2."/>
      <w:lvlJc w:val="left"/>
      <w:pPr>
        <w:ind w:left="1648" w:hanging="360"/>
      </w:pPr>
    </w:lvl>
    <w:lvl w:ilvl="2" w:tplc="0409001B" w:tentative="1">
      <w:start w:val="1"/>
      <w:numFmt w:val="lowerRoman"/>
      <w:lvlText w:val="%3."/>
      <w:lvlJc w:val="right"/>
      <w:pPr>
        <w:ind w:left="2368" w:hanging="180"/>
      </w:pPr>
    </w:lvl>
    <w:lvl w:ilvl="3" w:tplc="0409000F" w:tentative="1">
      <w:start w:val="1"/>
      <w:numFmt w:val="decimal"/>
      <w:lvlText w:val="%4."/>
      <w:lvlJc w:val="left"/>
      <w:pPr>
        <w:ind w:left="3088" w:hanging="360"/>
      </w:pPr>
    </w:lvl>
    <w:lvl w:ilvl="4" w:tplc="04090019" w:tentative="1">
      <w:start w:val="1"/>
      <w:numFmt w:val="lowerLetter"/>
      <w:lvlText w:val="%5."/>
      <w:lvlJc w:val="left"/>
      <w:pPr>
        <w:ind w:left="3808" w:hanging="360"/>
      </w:pPr>
    </w:lvl>
    <w:lvl w:ilvl="5" w:tplc="0409001B" w:tentative="1">
      <w:start w:val="1"/>
      <w:numFmt w:val="lowerRoman"/>
      <w:lvlText w:val="%6."/>
      <w:lvlJc w:val="right"/>
      <w:pPr>
        <w:ind w:left="4528" w:hanging="180"/>
      </w:pPr>
    </w:lvl>
    <w:lvl w:ilvl="6" w:tplc="0409000F" w:tentative="1">
      <w:start w:val="1"/>
      <w:numFmt w:val="decimal"/>
      <w:lvlText w:val="%7."/>
      <w:lvlJc w:val="left"/>
      <w:pPr>
        <w:ind w:left="5248" w:hanging="360"/>
      </w:pPr>
    </w:lvl>
    <w:lvl w:ilvl="7" w:tplc="04090019" w:tentative="1">
      <w:start w:val="1"/>
      <w:numFmt w:val="lowerLetter"/>
      <w:lvlText w:val="%8."/>
      <w:lvlJc w:val="left"/>
      <w:pPr>
        <w:ind w:left="5968" w:hanging="360"/>
      </w:pPr>
    </w:lvl>
    <w:lvl w:ilvl="8" w:tplc="0409001B" w:tentative="1">
      <w:start w:val="1"/>
      <w:numFmt w:val="lowerRoman"/>
      <w:lvlText w:val="%9."/>
      <w:lvlJc w:val="right"/>
      <w:pPr>
        <w:ind w:left="6688" w:hanging="180"/>
      </w:pPr>
    </w:lvl>
  </w:abstractNum>
  <w:abstractNum w:abstractNumId="2" w15:restartNumberingAfterBreak="0">
    <w:nsid w:val="75297339"/>
    <w:multiLevelType w:val="hybridMultilevel"/>
    <w:tmpl w:val="63623AC2"/>
    <w:lvl w:ilvl="0" w:tplc="68DC37BC">
      <w:numFmt w:val="decimal"/>
      <w:lvlText w:val="(%1)"/>
      <w:lvlJc w:val="left"/>
      <w:pPr>
        <w:ind w:left="928" w:hanging="360"/>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4253875">
    <w:abstractNumId w:val="0"/>
  </w:num>
  <w:num w:numId="2" w16cid:durableId="1560704108">
    <w:abstractNumId w:val="1"/>
  </w:num>
  <w:num w:numId="3" w16cid:durableId="17281461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34B"/>
    <w:rsid w:val="00002A3B"/>
    <w:rsid w:val="00054DFD"/>
    <w:rsid w:val="0006334A"/>
    <w:rsid w:val="0006564D"/>
    <w:rsid w:val="000865DE"/>
    <w:rsid w:val="00094157"/>
    <w:rsid w:val="000A3A77"/>
    <w:rsid w:val="000A6E3A"/>
    <w:rsid w:val="000D272B"/>
    <w:rsid w:val="000D7C99"/>
    <w:rsid w:val="000F0685"/>
    <w:rsid w:val="0011615E"/>
    <w:rsid w:val="0013293E"/>
    <w:rsid w:val="00143BA2"/>
    <w:rsid w:val="001A5742"/>
    <w:rsid w:val="001E26AE"/>
    <w:rsid w:val="001F47F4"/>
    <w:rsid w:val="00297AED"/>
    <w:rsid w:val="002B2CCC"/>
    <w:rsid w:val="003B186C"/>
    <w:rsid w:val="003B4D8C"/>
    <w:rsid w:val="003B6134"/>
    <w:rsid w:val="003E68E5"/>
    <w:rsid w:val="00442345"/>
    <w:rsid w:val="004667E3"/>
    <w:rsid w:val="004C334B"/>
    <w:rsid w:val="00533B38"/>
    <w:rsid w:val="00535956"/>
    <w:rsid w:val="00541829"/>
    <w:rsid w:val="005577DC"/>
    <w:rsid w:val="0056135B"/>
    <w:rsid w:val="00561A83"/>
    <w:rsid w:val="005A4DDC"/>
    <w:rsid w:val="005C7E8D"/>
    <w:rsid w:val="005E0BBF"/>
    <w:rsid w:val="005E5F5D"/>
    <w:rsid w:val="005F6392"/>
    <w:rsid w:val="00613FE8"/>
    <w:rsid w:val="00622A78"/>
    <w:rsid w:val="0063251D"/>
    <w:rsid w:val="00682A55"/>
    <w:rsid w:val="00755946"/>
    <w:rsid w:val="00763B89"/>
    <w:rsid w:val="007C7954"/>
    <w:rsid w:val="007D6194"/>
    <w:rsid w:val="00836453"/>
    <w:rsid w:val="008708A2"/>
    <w:rsid w:val="008C4A72"/>
    <w:rsid w:val="008C7AFA"/>
    <w:rsid w:val="00907E27"/>
    <w:rsid w:val="009147FD"/>
    <w:rsid w:val="00930762"/>
    <w:rsid w:val="00987615"/>
    <w:rsid w:val="009A3707"/>
    <w:rsid w:val="00A13E55"/>
    <w:rsid w:val="00A21F19"/>
    <w:rsid w:val="00A243C5"/>
    <w:rsid w:val="00A371B0"/>
    <w:rsid w:val="00A5405B"/>
    <w:rsid w:val="00A74FF6"/>
    <w:rsid w:val="00A81E6C"/>
    <w:rsid w:val="00A94C20"/>
    <w:rsid w:val="00AC5A8F"/>
    <w:rsid w:val="00AE1D5A"/>
    <w:rsid w:val="00B012C3"/>
    <w:rsid w:val="00B03A2D"/>
    <w:rsid w:val="00B13CC9"/>
    <w:rsid w:val="00B73C93"/>
    <w:rsid w:val="00B75D90"/>
    <w:rsid w:val="00B86B09"/>
    <w:rsid w:val="00B875C5"/>
    <w:rsid w:val="00BB1363"/>
    <w:rsid w:val="00C31A53"/>
    <w:rsid w:val="00CB0389"/>
    <w:rsid w:val="00CC42BA"/>
    <w:rsid w:val="00CD0720"/>
    <w:rsid w:val="00D14770"/>
    <w:rsid w:val="00DE6C79"/>
    <w:rsid w:val="00E04029"/>
    <w:rsid w:val="00E10535"/>
    <w:rsid w:val="00E34690"/>
    <w:rsid w:val="00E6042D"/>
    <w:rsid w:val="00E94D2C"/>
    <w:rsid w:val="00EB174F"/>
    <w:rsid w:val="00F53E5F"/>
    <w:rsid w:val="00F7204C"/>
    <w:rsid w:val="00FC04B0"/>
    <w:rsid w:val="00FE3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674F6"/>
  <w15:chartTrackingRefBased/>
  <w15:docId w15:val="{77B5729B-E5C6-429B-828D-A1DEBA781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34B"/>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42BA"/>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CC42BA"/>
    <w:rPr>
      <w:b/>
      <w:bCs/>
    </w:rPr>
  </w:style>
  <w:style w:type="paragraph" w:styleId="ListParagraph">
    <w:name w:val="List Paragraph"/>
    <w:basedOn w:val="Normal"/>
    <w:uiPriority w:val="34"/>
    <w:qFormat/>
    <w:rsid w:val="000D272B"/>
    <w:pPr>
      <w:ind w:left="720"/>
      <w:contextualSpacing/>
    </w:pPr>
  </w:style>
  <w:style w:type="character" w:styleId="Hyperlink">
    <w:name w:val="Hyperlink"/>
    <w:basedOn w:val="DefaultParagraphFont"/>
    <w:uiPriority w:val="99"/>
    <w:unhideWhenUsed/>
    <w:rsid w:val="00C31A53"/>
    <w:rPr>
      <w:color w:val="0563C1" w:themeColor="hyperlink"/>
      <w:u w:val="single"/>
    </w:rPr>
  </w:style>
  <w:style w:type="character" w:styleId="UnresolvedMention">
    <w:name w:val="Unresolved Mention"/>
    <w:basedOn w:val="DefaultParagraphFont"/>
    <w:uiPriority w:val="99"/>
    <w:semiHidden/>
    <w:unhideWhenUsed/>
    <w:rsid w:val="00C31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17203">
      <w:bodyDiv w:val="1"/>
      <w:marLeft w:val="0"/>
      <w:marRight w:val="0"/>
      <w:marTop w:val="0"/>
      <w:marBottom w:val="0"/>
      <w:divBdr>
        <w:top w:val="none" w:sz="0" w:space="0" w:color="auto"/>
        <w:left w:val="none" w:sz="0" w:space="0" w:color="auto"/>
        <w:bottom w:val="none" w:sz="0" w:space="0" w:color="auto"/>
        <w:right w:val="none" w:sz="0" w:space="0" w:color="auto"/>
      </w:divBdr>
    </w:div>
    <w:div w:id="211036600">
      <w:bodyDiv w:val="1"/>
      <w:marLeft w:val="0"/>
      <w:marRight w:val="0"/>
      <w:marTop w:val="0"/>
      <w:marBottom w:val="0"/>
      <w:divBdr>
        <w:top w:val="none" w:sz="0" w:space="0" w:color="auto"/>
        <w:left w:val="none" w:sz="0" w:space="0" w:color="auto"/>
        <w:bottom w:val="none" w:sz="0" w:space="0" w:color="auto"/>
        <w:right w:val="none" w:sz="0" w:space="0" w:color="auto"/>
      </w:divBdr>
    </w:div>
    <w:div w:id="301542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ts.intechopen.com/storage/books/9032/authors_book/authors_book.pdf" TargetMode="External"/><Relationship Id="rId13" Type="http://schemas.openxmlformats.org/officeDocument/2006/relationships/hyperlink" Target="https://serve360.marriott.com/" TargetMode="External"/><Relationship Id="rId18" Type="http://schemas.openxmlformats.org/officeDocument/2006/relationships/hyperlink" Target="https://serve360.marriott.com/wp-content/uploads/2022/10/Marriott-2022-Serve-360-ESG-Report-accessible_F.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brc.indiana.edu/ibr/2011/spring/article2.html#:~:text=The%20TBL%20dimensions%20are%20also,to%20these%20as%20the%203Ps" TargetMode="External"/><Relationship Id="rId7" Type="http://schemas.openxmlformats.org/officeDocument/2006/relationships/hyperlink" Target="https://www.marriott.com/marriottassets/marriott/BKKCY/PDF/BKKCY_Food_Waste_Management.pdf" TargetMode="External"/><Relationship Id="rId12" Type="http://schemas.openxmlformats.org/officeDocument/2006/relationships/hyperlink" Target="https://help.marriott.com/s/article/Article-22522" TargetMode="External"/><Relationship Id="rId17" Type="http://schemas.openxmlformats.org/officeDocument/2006/relationships/hyperlink" Target="https://serve360.marriott.com/wp-content/uploads/2022/10/Marriott-2022-Serve-360-ESG-Report-accessible_F.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0261517722002217%20Accessed%201st%20February%202024" TargetMode="External"/><Relationship Id="rId20" Type="http://schemas.openxmlformats.org/officeDocument/2006/relationships/hyperlink" Target="https://www.silolondon.com/pages/zero-waste-philosophy" TargetMode="External"/><Relationship Id="rId1" Type="http://schemas.openxmlformats.org/officeDocument/2006/relationships/numbering" Target="numbering.xml"/><Relationship Id="rId6" Type="http://schemas.openxmlformats.org/officeDocument/2006/relationships/hyperlink" Target="https://www.cdp.net/en/info/about-us" TargetMode="External"/><Relationship Id="rId11" Type="http://schemas.openxmlformats.org/officeDocument/2006/relationships/hyperlink" Target="https://serve360.marriott.com/wp-content/uploads/2023/09/CDP-Climate-2023-vHsm2.pdf" TargetMode="External"/><Relationship Id="rId24" Type="http://schemas.openxmlformats.org/officeDocument/2006/relationships/hyperlink" Target="https://www.theguardian.com/environment/2024/jan/29/sustainable-food-production-economic-benefits-study" TargetMode="External"/><Relationship Id="rId5" Type="http://schemas.openxmlformats.org/officeDocument/2006/relationships/hyperlink" Target="https://books.google.co.uk/books?hl=en&amp;lr=&amp;id=sB9zAwAAQBAJ&amp;oi=fnd&amp;pg=PR5&amp;dq=definition+of+corporate+social+responsibility&amp;ots=OlgywGG8zT&amp;sig=o-5MWTkrCP2yyXepvQeII3OS0Ms&amp;redir_esc=y#v=onepage&amp;q=definition%20of%20corporate%20social%20responsibility&amp;f=false" TargetMode="External"/><Relationship Id="rId15" Type="http://schemas.openxmlformats.org/officeDocument/2006/relationships/hyperlink" Target="https://doi.org/10.1016/j.tourman.2022.104708" TargetMode="External"/><Relationship Id="rId23" Type="http://schemas.openxmlformats.org/officeDocument/2006/relationships/hyperlink" Target="https://www.nature.com/articles/531435a.pdf" TargetMode="External"/><Relationship Id="rId10" Type="http://schemas.openxmlformats.org/officeDocument/2006/relationships/hyperlink" Target="https://www.marriott.com/marriott/aboutmarriott.mi#:~:text=Offering%20the%20most%20powerful%20portfolio,experience%20and%20expand%20their%20world" TargetMode="External"/><Relationship Id="rId19" Type="http://schemas.openxmlformats.org/officeDocument/2006/relationships/hyperlink" Target="https://findresearcher.sdu.dk/ws/files/178324207/bse.2717.pdf" TargetMode="External"/><Relationship Id="rId4" Type="http://schemas.openxmlformats.org/officeDocument/2006/relationships/webSettings" Target="webSettings.xml"/><Relationship Id="rId9" Type="http://schemas.openxmlformats.org/officeDocument/2006/relationships/hyperlink" Target="https://www.sciencedirect.com/science/article/pii/S0921800916300325" TargetMode="External"/><Relationship Id="rId14" Type="http://schemas.openxmlformats.org/officeDocument/2006/relationships/hyperlink" Target="https://news.marriott.com/news/2021/09/22/marriott-international-announces-ambition-to-go-net-zero" TargetMode="External"/><Relationship Id="rId22" Type="http://schemas.openxmlformats.org/officeDocument/2006/relationships/hyperlink" Target="https://www.ibrc.indiana.edu/ibr/2011/spring/article2.html#:~:text=The%20TBL%20dimensions%20are%20also,to%20these%20as%20the%203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7273</TotalTime>
  <Pages>8</Pages>
  <Words>2861</Words>
  <Characters>16309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Festus Tumi</dc:creator>
  <cp:keywords/>
  <dc:description/>
  <cp:lastModifiedBy>Festus Tumi</cp:lastModifiedBy>
  <cp:revision>12</cp:revision>
  <dcterms:created xsi:type="dcterms:W3CDTF">2024-01-13T17:00:00Z</dcterms:created>
  <dcterms:modified xsi:type="dcterms:W3CDTF">2024-02-02T20:22:00Z</dcterms:modified>
</cp:coreProperties>
</file>