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997BB" w14:textId="3396CD01" w:rsidR="006D25AB" w:rsidRDefault="006D25AB">
      <w:pPr>
        <w:rPr>
          <w:b/>
          <w:bCs/>
        </w:rPr>
      </w:pPr>
    </w:p>
    <w:p w14:paraId="5FCD1DFB" w14:textId="77777777" w:rsidR="006D25AB" w:rsidRDefault="006D25AB">
      <w:pPr>
        <w:rPr>
          <w:b/>
          <w:bCs/>
        </w:rPr>
      </w:pPr>
    </w:p>
    <w:p w14:paraId="481C42D4" w14:textId="77777777" w:rsidR="006D25AB" w:rsidRDefault="006D25AB">
      <w:pPr>
        <w:rPr>
          <w:b/>
          <w:bCs/>
        </w:rPr>
      </w:pPr>
    </w:p>
    <w:p w14:paraId="52705EDA" w14:textId="77777777" w:rsidR="006D25AB" w:rsidRDefault="006D25AB">
      <w:pPr>
        <w:rPr>
          <w:b/>
          <w:bCs/>
        </w:rPr>
      </w:pPr>
    </w:p>
    <w:p w14:paraId="0DF549F2" w14:textId="77777777" w:rsidR="006D25AB" w:rsidRDefault="006D25AB">
      <w:pPr>
        <w:rPr>
          <w:b/>
          <w:bCs/>
        </w:rPr>
      </w:pPr>
    </w:p>
    <w:p w14:paraId="43F99AC7" w14:textId="77777777" w:rsidR="006D25AB" w:rsidRDefault="006D25AB">
      <w:pPr>
        <w:rPr>
          <w:b/>
          <w:bCs/>
        </w:rPr>
      </w:pPr>
    </w:p>
    <w:p w14:paraId="58A9E856" w14:textId="08730A9D" w:rsidR="006D25AB" w:rsidRDefault="006D25AB">
      <w:pPr>
        <w:rPr>
          <w:b/>
          <w:bCs/>
        </w:rPr>
      </w:pPr>
    </w:p>
    <w:p w14:paraId="6C34FC24" w14:textId="77777777" w:rsidR="006D25AB" w:rsidRDefault="006D25AB">
      <w:pPr>
        <w:rPr>
          <w:b/>
          <w:bCs/>
        </w:rPr>
      </w:pPr>
    </w:p>
    <w:p w14:paraId="42C93025" w14:textId="7A6A6B93" w:rsidR="006D25AB" w:rsidRPr="00FA5793" w:rsidRDefault="00FA5793" w:rsidP="00FA5793">
      <w:pPr>
        <w:jc w:val="center"/>
        <w:rPr>
          <w:b/>
          <w:bCs/>
          <w:sz w:val="28"/>
          <w:szCs w:val="28"/>
        </w:rPr>
      </w:pPr>
      <w:r w:rsidRPr="00FA5793">
        <w:rPr>
          <w:b/>
          <w:bCs/>
          <w:sz w:val="28"/>
          <w:szCs w:val="28"/>
        </w:rPr>
        <w:t>Blockbusting Tutankhamun</w:t>
      </w:r>
    </w:p>
    <w:p w14:paraId="753C108A" w14:textId="77777777" w:rsidR="006D25AB" w:rsidRPr="00FA5793" w:rsidRDefault="006D25AB" w:rsidP="00FA5793">
      <w:pPr>
        <w:jc w:val="center"/>
        <w:rPr>
          <w:b/>
          <w:bCs/>
          <w:sz w:val="28"/>
          <w:szCs w:val="28"/>
        </w:rPr>
      </w:pPr>
    </w:p>
    <w:p w14:paraId="48E36945" w14:textId="77777777" w:rsidR="006D25AB" w:rsidRPr="00FA5793" w:rsidRDefault="006D25AB" w:rsidP="00FA5793">
      <w:pPr>
        <w:jc w:val="center"/>
        <w:rPr>
          <w:b/>
          <w:bCs/>
          <w:sz w:val="28"/>
          <w:szCs w:val="28"/>
        </w:rPr>
      </w:pPr>
    </w:p>
    <w:p w14:paraId="3B435BE8" w14:textId="1C537605" w:rsidR="006D25AB" w:rsidRPr="00FA5793" w:rsidRDefault="006D25AB" w:rsidP="00FA5793">
      <w:pPr>
        <w:jc w:val="center"/>
        <w:rPr>
          <w:b/>
          <w:bCs/>
          <w:sz w:val="28"/>
          <w:szCs w:val="28"/>
        </w:rPr>
      </w:pPr>
      <w:r w:rsidRPr="00FA5793">
        <w:rPr>
          <w:b/>
          <w:bCs/>
          <w:sz w:val="28"/>
          <w:szCs w:val="28"/>
        </w:rPr>
        <w:t>Melisa Pak</w:t>
      </w:r>
    </w:p>
    <w:p w14:paraId="40A2C26E" w14:textId="5E2A495E" w:rsidR="006D25AB" w:rsidRDefault="006D25AB" w:rsidP="00FA5793">
      <w:pPr>
        <w:jc w:val="center"/>
        <w:rPr>
          <w:b/>
          <w:bCs/>
          <w:sz w:val="28"/>
          <w:szCs w:val="28"/>
        </w:rPr>
      </w:pPr>
      <w:r w:rsidRPr="00FA5793">
        <w:rPr>
          <w:b/>
          <w:bCs/>
          <w:sz w:val="28"/>
          <w:szCs w:val="28"/>
        </w:rPr>
        <w:t>1701689</w:t>
      </w:r>
    </w:p>
    <w:p w14:paraId="174D8B78" w14:textId="3DDEB4DA" w:rsidR="00E5746A" w:rsidRPr="00FA5793" w:rsidRDefault="00E5746A" w:rsidP="00FA5793">
      <w:pPr>
        <w:jc w:val="center"/>
        <w:rPr>
          <w:b/>
          <w:bCs/>
          <w:sz w:val="28"/>
          <w:szCs w:val="28"/>
        </w:rPr>
      </w:pPr>
      <w:r>
        <w:rPr>
          <w:b/>
          <w:bCs/>
          <w:sz w:val="28"/>
          <w:szCs w:val="28"/>
        </w:rPr>
        <w:t>HPAR6014</w:t>
      </w:r>
      <w:bookmarkStart w:id="0" w:name="_GoBack"/>
      <w:bookmarkEnd w:id="0"/>
    </w:p>
    <w:p w14:paraId="06940E74" w14:textId="1445E444" w:rsidR="006D25AB" w:rsidRPr="00FA5793" w:rsidRDefault="006D25AB" w:rsidP="00FA5793">
      <w:pPr>
        <w:jc w:val="center"/>
        <w:rPr>
          <w:b/>
          <w:bCs/>
          <w:sz w:val="28"/>
          <w:szCs w:val="28"/>
        </w:rPr>
      </w:pPr>
      <w:r w:rsidRPr="00FA5793">
        <w:rPr>
          <w:b/>
          <w:bCs/>
          <w:sz w:val="28"/>
          <w:szCs w:val="28"/>
        </w:rPr>
        <w:t>11/1</w:t>
      </w:r>
      <w:r w:rsidR="00624992" w:rsidRPr="00FA5793">
        <w:rPr>
          <w:b/>
          <w:bCs/>
          <w:sz w:val="28"/>
          <w:szCs w:val="28"/>
        </w:rPr>
        <w:t>0</w:t>
      </w:r>
      <w:r w:rsidRPr="00FA5793">
        <w:rPr>
          <w:b/>
          <w:bCs/>
          <w:sz w:val="28"/>
          <w:szCs w:val="28"/>
        </w:rPr>
        <w:t>/2019</w:t>
      </w:r>
    </w:p>
    <w:p w14:paraId="1299F71E" w14:textId="37AA06DA" w:rsidR="006D25AB" w:rsidRPr="00FA5793" w:rsidRDefault="006D25AB" w:rsidP="00FA5793">
      <w:pPr>
        <w:jc w:val="center"/>
        <w:rPr>
          <w:b/>
          <w:bCs/>
          <w:sz w:val="28"/>
          <w:szCs w:val="28"/>
        </w:rPr>
      </w:pPr>
    </w:p>
    <w:p w14:paraId="10D5A194" w14:textId="6EA47012" w:rsidR="006D25AB" w:rsidRDefault="006D25AB">
      <w:pPr>
        <w:rPr>
          <w:b/>
          <w:bCs/>
        </w:rPr>
      </w:pPr>
    </w:p>
    <w:p w14:paraId="356C636B" w14:textId="1A2EC389" w:rsidR="006D25AB" w:rsidRDefault="006D25AB">
      <w:pPr>
        <w:rPr>
          <w:b/>
          <w:bCs/>
        </w:rPr>
      </w:pPr>
    </w:p>
    <w:p w14:paraId="0F101313" w14:textId="76B86B22" w:rsidR="006D25AB" w:rsidRDefault="006D25AB">
      <w:pPr>
        <w:rPr>
          <w:b/>
          <w:bCs/>
        </w:rPr>
      </w:pPr>
    </w:p>
    <w:p w14:paraId="1BF2F023" w14:textId="51F3410F" w:rsidR="006D25AB" w:rsidRDefault="006D25AB">
      <w:pPr>
        <w:rPr>
          <w:b/>
          <w:bCs/>
        </w:rPr>
      </w:pPr>
    </w:p>
    <w:p w14:paraId="7C13CE30" w14:textId="1ED9FD4D" w:rsidR="006D25AB" w:rsidRDefault="006D25AB">
      <w:pPr>
        <w:rPr>
          <w:b/>
          <w:bCs/>
        </w:rPr>
      </w:pPr>
    </w:p>
    <w:p w14:paraId="2BD7422C" w14:textId="7C126B98" w:rsidR="006D25AB" w:rsidRDefault="006D25AB">
      <w:pPr>
        <w:rPr>
          <w:b/>
          <w:bCs/>
        </w:rPr>
      </w:pPr>
    </w:p>
    <w:p w14:paraId="69B6AFB6" w14:textId="77777777" w:rsidR="006D25AB" w:rsidRDefault="006D25AB">
      <w:pPr>
        <w:rPr>
          <w:b/>
          <w:bCs/>
        </w:rPr>
      </w:pPr>
    </w:p>
    <w:p w14:paraId="2CA791F2" w14:textId="574A5288" w:rsidR="006D25AB" w:rsidRDefault="006D25AB">
      <w:pPr>
        <w:rPr>
          <w:b/>
          <w:bCs/>
        </w:rPr>
      </w:pPr>
    </w:p>
    <w:p w14:paraId="594D1CC6" w14:textId="7E55AAF2" w:rsidR="006D25AB" w:rsidRDefault="006D25AB">
      <w:pPr>
        <w:rPr>
          <w:b/>
          <w:bCs/>
        </w:rPr>
      </w:pPr>
    </w:p>
    <w:p w14:paraId="378C1002" w14:textId="134EED94" w:rsidR="006D25AB" w:rsidRDefault="006D25AB">
      <w:pPr>
        <w:rPr>
          <w:b/>
          <w:bCs/>
        </w:rPr>
      </w:pPr>
    </w:p>
    <w:p w14:paraId="55FCF9DE" w14:textId="650A8ED7" w:rsidR="006D25AB" w:rsidRDefault="006D25AB">
      <w:pPr>
        <w:rPr>
          <w:b/>
          <w:bCs/>
        </w:rPr>
      </w:pPr>
    </w:p>
    <w:p w14:paraId="6116BC19" w14:textId="403AFDCC" w:rsidR="006D25AB" w:rsidRDefault="006D25AB">
      <w:pPr>
        <w:rPr>
          <w:b/>
          <w:bCs/>
        </w:rPr>
      </w:pPr>
    </w:p>
    <w:p w14:paraId="32275879" w14:textId="2A79D9DF" w:rsidR="006D25AB" w:rsidRDefault="006D25AB">
      <w:pPr>
        <w:rPr>
          <w:b/>
          <w:bCs/>
        </w:rPr>
      </w:pPr>
    </w:p>
    <w:p w14:paraId="65BE0B4F" w14:textId="77777777" w:rsidR="006D25AB" w:rsidRDefault="006D25AB">
      <w:pPr>
        <w:rPr>
          <w:b/>
          <w:bCs/>
        </w:rPr>
      </w:pPr>
    </w:p>
    <w:p w14:paraId="35DB60B1" w14:textId="09B64FA8" w:rsidR="00FD7EAE" w:rsidRDefault="00FD7EAE">
      <w:pPr>
        <w:rPr>
          <w:b/>
          <w:bCs/>
        </w:rPr>
      </w:pPr>
      <w:r w:rsidRPr="00FD7EAE">
        <w:rPr>
          <w:b/>
          <w:bCs/>
        </w:rPr>
        <w:lastRenderedPageBreak/>
        <w:t xml:space="preserve">Introduction – </w:t>
      </w:r>
    </w:p>
    <w:p w14:paraId="321AA7AA" w14:textId="6A4DC323" w:rsidR="00FD7EAE" w:rsidRDefault="00FD7EAE" w:rsidP="00FD7EAE">
      <w:pPr>
        <w:pStyle w:val="ListParagraph"/>
        <w:numPr>
          <w:ilvl w:val="0"/>
          <w:numId w:val="1"/>
        </w:numPr>
      </w:pPr>
      <w:r>
        <w:t xml:space="preserve">Aims: This dissertation will </w:t>
      </w:r>
      <w:r w:rsidR="00D403CC">
        <w:t>discuss and analyse contributing factors of</w:t>
      </w:r>
      <w:r>
        <w:t xml:space="preserve"> blockbusting Tutankhamun</w:t>
      </w:r>
      <w:r w:rsidR="0037751D">
        <w:t xml:space="preserve"> from Herodotus’s visit to Egypt in 450BC</w:t>
      </w:r>
      <w:r w:rsidR="0037751D">
        <w:rPr>
          <w:rStyle w:val="FootnoteReference"/>
        </w:rPr>
        <w:footnoteReference w:id="1"/>
      </w:r>
      <w:r w:rsidR="0037751D">
        <w:t xml:space="preserve"> to the 2019 Tutankhamun exhibition</w:t>
      </w:r>
      <w:r w:rsidR="000169F2">
        <w:t xml:space="preserve"> in the United Kingdom</w:t>
      </w:r>
      <w:r w:rsidR="00472B5B">
        <w:rPr>
          <w:rStyle w:val="FootnoteReference"/>
        </w:rPr>
        <w:footnoteReference w:id="2"/>
      </w:r>
      <w:r w:rsidR="00D403CC">
        <w:t>, with the hope to bring</w:t>
      </w:r>
      <w:r w:rsidR="002E6E1F">
        <w:t xml:space="preserve"> these</w:t>
      </w:r>
      <w:r w:rsidR="00C74215">
        <w:t xml:space="preserve"> contributing</w:t>
      </w:r>
      <w:r w:rsidR="002E6E1F">
        <w:t xml:space="preserve"> factors together</w:t>
      </w:r>
      <w:r w:rsidR="00D403CC">
        <w:t>.</w:t>
      </w:r>
    </w:p>
    <w:p w14:paraId="6C3B2068" w14:textId="736DDE79" w:rsidR="00FD7EAE" w:rsidRDefault="00FD7EAE" w:rsidP="00FD7EAE">
      <w:pPr>
        <w:pStyle w:val="ListParagraph"/>
        <w:numPr>
          <w:ilvl w:val="0"/>
          <w:numId w:val="1"/>
        </w:numPr>
      </w:pPr>
      <w:r>
        <w:t xml:space="preserve">Objectives: To </w:t>
      </w:r>
      <w:r w:rsidR="0091170A">
        <w:t xml:space="preserve">be </w:t>
      </w:r>
      <w:r>
        <w:t xml:space="preserve">able to achieve </w:t>
      </w:r>
      <w:r w:rsidR="00D403CC" w:rsidRPr="00675AA3">
        <w:t xml:space="preserve">the aims, I </w:t>
      </w:r>
      <w:r w:rsidRPr="00675AA3">
        <w:t>will</w:t>
      </w:r>
      <w:r w:rsidR="00D403CC">
        <w:t xml:space="preserve"> need</w:t>
      </w:r>
      <w:r>
        <w:t xml:space="preserve"> access</w:t>
      </w:r>
      <w:r w:rsidR="00D403CC">
        <w:t xml:space="preserve"> to</w:t>
      </w:r>
      <w:r>
        <w:t xml:space="preserve"> a wide range of resources such as texts</w:t>
      </w:r>
      <w:r w:rsidR="00D403CC">
        <w:t>,</w:t>
      </w:r>
      <w:r>
        <w:t xml:space="preserve"> journals </w:t>
      </w:r>
      <w:r w:rsidR="00D403CC">
        <w:t>and diary entries, for example</w:t>
      </w:r>
      <w:r w:rsidR="000D4063">
        <w:t>,</w:t>
      </w:r>
      <w:r w:rsidR="00D40534">
        <w:t xml:space="preserve"> Howard Carters </w:t>
      </w:r>
      <w:r w:rsidR="00862D6B">
        <w:t xml:space="preserve">books on the discovery of Tutankhamun, </w:t>
      </w:r>
      <w:r w:rsidR="00862D6B">
        <w:rPr>
          <w:i/>
          <w:iCs/>
        </w:rPr>
        <w:t>The Tomb of Tut.Ankh.Amen</w:t>
      </w:r>
      <w:r w:rsidR="00862D6B">
        <w:rPr>
          <w:rStyle w:val="FootnoteReference"/>
          <w:i/>
          <w:iCs/>
        </w:rPr>
        <w:footnoteReference w:id="3"/>
      </w:r>
      <w:r w:rsidR="00862D6B">
        <w:rPr>
          <w:i/>
          <w:iCs/>
        </w:rPr>
        <w:t xml:space="preserve">. </w:t>
      </w:r>
    </w:p>
    <w:p w14:paraId="10F5AE07" w14:textId="0C28687D" w:rsidR="00FD7EAE" w:rsidRDefault="00FD7EAE" w:rsidP="00E51D5B">
      <w:pPr>
        <w:pStyle w:val="ListParagraph"/>
        <w:numPr>
          <w:ilvl w:val="0"/>
          <w:numId w:val="1"/>
        </w:numPr>
      </w:pPr>
      <w:r>
        <w:t xml:space="preserve">Themes: The dissertation will look at </w:t>
      </w:r>
      <w:r w:rsidR="00D403CC">
        <w:t xml:space="preserve">influencing </w:t>
      </w:r>
      <w:r>
        <w:t xml:space="preserve">areas such as museums, exhibition tours, educational purposes, religion and westerners. </w:t>
      </w:r>
      <w:r w:rsidR="00D403CC">
        <w:t xml:space="preserve">For </w:t>
      </w:r>
      <w:r w:rsidR="00B400AC">
        <w:t>example,</w:t>
      </w:r>
      <w:r w:rsidR="00D403CC">
        <w:t xml:space="preserve"> the view of ancient Egypt </w:t>
      </w:r>
      <w:r w:rsidR="00E82027">
        <w:t>was</w:t>
      </w:r>
      <w:r w:rsidR="00D403CC">
        <w:t xml:space="preserve"> from outsiders</w:t>
      </w:r>
      <w:r w:rsidR="005631AB">
        <w:rPr>
          <w:rStyle w:val="FootnoteReference"/>
        </w:rPr>
        <w:footnoteReference w:id="4"/>
      </w:r>
      <w:r w:rsidR="00AA2EF7">
        <w:t xml:space="preserve"> and </w:t>
      </w:r>
      <w:r w:rsidR="0091170A">
        <w:t xml:space="preserve">to </w:t>
      </w:r>
      <w:r w:rsidR="00AA2EF7">
        <w:t>see how this affected</w:t>
      </w:r>
      <w:r w:rsidR="002C7C0E">
        <w:t xml:space="preserve"> </w:t>
      </w:r>
      <w:r w:rsidR="00AA2EF7">
        <w:t>Egypt before the discovery of Tutankhamun</w:t>
      </w:r>
      <w:r w:rsidR="002C7C0E">
        <w:t xml:space="preserve"> and to compare the findings</w:t>
      </w:r>
      <w:r w:rsidR="00AA2EF7">
        <w:t>.</w:t>
      </w:r>
      <w:r w:rsidR="00065ED2">
        <w:t xml:space="preserve"> From the literature</w:t>
      </w:r>
      <w:r w:rsidR="000D4063">
        <w:t>,</w:t>
      </w:r>
      <w:r w:rsidR="00065ED2">
        <w:t xml:space="preserve"> it is clear to see that during 1919 </w:t>
      </w:r>
      <w:r w:rsidR="00A94C30">
        <w:t xml:space="preserve">to </w:t>
      </w:r>
      <w:r w:rsidR="00065ED2">
        <w:t>1950’s Egypt was involved in a political conflict on nationalism and who could profit the most from Egyptian antiquities</w:t>
      </w:r>
      <w:r w:rsidR="005563D4">
        <w:rPr>
          <w:rStyle w:val="FootnoteReference"/>
        </w:rPr>
        <w:footnoteReference w:id="5"/>
      </w:r>
      <w:r w:rsidR="005563D4">
        <w:t>.</w:t>
      </w:r>
      <w:r w:rsidR="00065ED2">
        <w:t xml:space="preserve"> </w:t>
      </w:r>
      <w:r w:rsidR="00E51D5B">
        <w:t>The dissertation will look</w:t>
      </w:r>
      <w:r w:rsidR="00BB06C6">
        <w:t xml:space="preserve"> at</w:t>
      </w:r>
      <w:r w:rsidR="000343DA">
        <w:t xml:space="preserve"> the period from 450BC to 2019AD to include</w:t>
      </w:r>
      <w:r w:rsidR="00E51D5B">
        <w:t xml:space="preserve"> Herodotus</w:t>
      </w:r>
      <w:r w:rsidR="00855F4C">
        <w:t xml:space="preserve">’s </w:t>
      </w:r>
      <w:r w:rsidR="00E51D5B">
        <w:t>visit to Egypt</w:t>
      </w:r>
      <w:r w:rsidR="00C118DB">
        <w:t xml:space="preserve"> </w:t>
      </w:r>
      <w:r w:rsidR="00DB323B">
        <w:rPr>
          <w:rStyle w:val="FootnoteReference"/>
        </w:rPr>
        <w:footnoteReference w:id="6"/>
      </w:r>
      <w:r w:rsidR="00E51D5B">
        <w:t xml:space="preserve"> </w:t>
      </w:r>
      <w:r w:rsidR="005475D3">
        <w:t>,</w:t>
      </w:r>
      <w:r w:rsidR="00E51D5B">
        <w:t xml:space="preserve"> Napoleons expedition to Egypt</w:t>
      </w:r>
      <w:r w:rsidR="00AF1A2C">
        <w:rPr>
          <w:rStyle w:val="FootnoteReference"/>
        </w:rPr>
        <w:footnoteReference w:id="7"/>
      </w:r>
      <w:r w:rsidR="00595562">
        <w:t xml:space="preserve">, </w:t>
      </w:r>
      <w:r w:rsidR="00E51D5B">
        <w:t>the discovery of Tutankhamun</w:t>
      </w:r>
      <w:r w:rsidR="00CF1ACA">
        <w:rPr>
          <w:rStyle w:val="FootnoteReference"/>
        </w:rPr>
        <w:footnoteReference w:id="8"/>
      </w:r>
      <w:r w:rsidR="00C118DB">
        <w:t xml:space="preserve"> </w:t>
      </w:r>
      <w:r w:rsidR="00B447B6">
        <w:t>and the</w:t>
      </w:r>
      <w:r w:rsidR="00E51D5B">
        <w:t xml:space="preserve"> current Tutankhamun exhibition</w:t>
      </w:r>
      <w:r w:rsidR="003A4D9A">
        <w:rPr>
          <w:rStyle w:val="FootnoteReference"/>
        </w:rPr>
        <w:footnoteReference w:id="9"/>
      </w:r>
      <w:r w:rsidR="001655DB">
        <w:t xml:space="preserve">. </w:t>
      </w:r>
    </w:p>
    <w:p w14:paraId="48505E4C" w14:textId="3CE6B8E2" w:rsidR="00FD7EAE" w:rsidRDefault="00FD7EAE" w:rsidP="00FD7EAE">
      <w:pPr>
        <w:pStyle w:val="ListParagraph"/>
        <w:numPr>
          <w:ilvl w:val="0"/>
          <w:numId w:val="1"/>
        </w:numPr>
      </w:pPr>
      <w:r>
        <w:t>Context:</w:t>
      </w:r>
      <w:r w:rsidR="007D0624">
        <w:t xml:space="preserve"> Tutankhamun was an Egyptian pharaoh</w:t>
      </w:r>
      <w:r w:rsidR="00D403CC">
        <w:t xml:space="preserve"> during 1334-1325 AD, near the end of </w:t>
      </w:r>
      <w:r w:rsidR="00B400AC">
        <w:t>the 18</w:t>
      </w:r>
      <w:r w:rsidR="00D403CC" w:rsidRPr="00D403CC">
        <w:rPr>
          <w:vertAlign w:val="superscript"/>
        </w:rPr>
        <w:t>th</w:t>
      </w:r>
      <w:r w:rsidR="00D403CC">
        <w:t xml:space="preserve"> dynasty</w:t>
      </w:r>
      <w:r w:rsidR="000B17A3">
        <w:rPr>
          <w:rStyle w:val="FootnoteReference"/>
        </w:rPr>
        <w:footnoteReference w:id="10"/>
      </w:r>
      <w:r w:rsidR="00943193">
        <w:t xml:space="preserve">. </w:t>
      </w:r>
      <w:r w:rsidR="0082037B">
        <w:t>Little is known about Tutankhamun</w:t>
      </w:r>
      <w:r w:rsidR="001B3385">
        <w:t xml:space="preserve"> </w:t>
      </w:r>
      <w:r w:rsidR="0082037B">
        <w:t xml:space="preserve">and any information known is typically from the artefacts discovered </w:t>
      </w:r>
      <w:r w:rsidR="0066703E">
        <w:t>from</w:t>
      </w:r>
      <w:r w:rsidR="0082037B">
        <w:t xml:space="preserve"> his tomb</w:t>
      </w:r>
      <w:r w:rsidR="001655DB">
        <w:rPr>
          <w:rStyle w:val="FootnoteReference"/>
        </w:rPr>
        <w:footnoteReference w:id="11"/>
      </w:r>
      <w:r w:rsidR="0082037B">
        <w:t xml:space="preserve">. </w:t>
      </w:r>
      <w:r w:rsidR="00FE4CD5">
        <w:t>When</w:t>
      </w:r>
      <w:r w:rsidR="0082037B">
        <w:t xml:space="preserve"> English archaeologist</w:t>
      </w:r>
      <w:r w:rsidR="00FE4CD5">
        <w:t>,</w:t>
      </w:r>
      <w:r w:rsidR="0082037B">
        <w:t xml:space="preserve"> Howard Carter</w:t>
      </w:r>
      <w:r w:rsidR="00FE4CD5">
        <w:t>,</w:t>
      </w:r>
      <w:r w:rsidR="0082037B">
        <w:t xml:space="preserve"> discovered Tutankhamun</w:t>
      </w:r>
      <w:r w:rsidR="001B3385">
        <w:t>’</w:t>
      </w:r>
      <w:r w:rsidR="0082037B">
        <w:t>s tomb</w:t>
      </w:r>
      <w:r w:rsidR="003A3AE4">
        <w:t xml:space="preserve"> in 1922</w:t>
      </w:r>
      <w:r w:rsidR="00EB6713">
        <w:rPr>
          <w:rStyle w:val="FootnoteReference"/>
        </w:rPr>
        <w:footnoteReference w:id="12"/>
      </w:r>
      <w:r w:rsidR="0082037B">
        <w:t>, the world became obsessed</w:t>
      </w:r>
      <w:r w:rsidR="00904938">
        <w:rPr>
          <w:rStyle w:val="FootnoteReference"/>
        </w:rPr>
        <w:footnoteReference w:id="13"/>
      </w:r>
      <w:r w:rsidR="0082037B">
        <w:t xml:space="preserve"> and</w:t>
      </w:r>
      <w:r w:rsidR="003E72DF">
        <w:t xml:space="preserve"> it</w:t>
      </w:r>
      <w:r w:rsidR="0082037B">
        <w:t xml:space="preserve"> could be argued </w:t>
      </w:r>
      <w:r w:rsidR="003E72DF">
        <w:t>to</w:t>
      </w:r>
      <w:r w:rsidR="0082037B">
        <w:t xml:space="preserve"> this day some people are still obsessed. </w:t>
      </w:r>
    </w:p>
    <w:p w14:paraId="24F7346C" w14:textId="3A12520C" w:rsidR="007D0624" w:rsidRDefault="007D0624" w:rsidP="007D0624">
      <w:pPr>
        <w:pStyle w:val="ListParagraph"/>
      </w:pPr>
      <w:r>
        <w:t xml:space="preserve">              : </w:t>
      </w:r>
      <w:r w:rsidR="00B400AC">
        <w:t>I</w:t>
      </w:r>
      <w:r>
        <w:t>n 2019</w:t>
      </w:r>
      <w:r w:rsidR="00FE4CD5">
        <w:t xml:space="preserve"> a</w:t>
      </w:r>
      <w:r>
        <w:t xml:space="preserve"> Tutankhamun exhibition will be again making an appearance </w:t>
      </w:r>
      <w:r w:rsidR="006567A9">
        <w:t>at the Saatchi Gallery in London</w:t>
      </w:r>
      <w:r w:rsidR="008A4DF3">
        <w:rPr>
          <w:rStyle w:val="FootnoteReference"/>
        </w:rPr>
        <w:footnoteReference w:id="14"/>
      </w:r>
      <w:r w:rsidR="006567A9">
        <w:t xml:space="preserve">, </w:t>
      </w:r>
      <w:r>
        <w:t>U</w:t>
      </w:r>
      <w:r w:rsidR="003D49CB">
        <w:t xml:space="preserve">nited </w:t>
      </w:r>
      <w:r w:rsidR="00FE4CD5">
        <w:t>Kingdom;</w:t>
      </w:r>
      <w:r>
        <w:t xml:space="preserve"> it is being </w:t>
      </w:r>
      <w:r w:rsidR="00E82027">
        <w:t>presented</w:t>
      </w:r>
      <w:r>
        <w:t xml:space="preserve"> as the ‘last tour’</w:t>
      </w:r>
      <w:r w:rsidR="003D49CB">
        <w:rPr>
          <w:rStyle w:val="FootnoteReference"/>
        </w:rPr>
        <w:footnoteReference w:id="15"/>
      </w:r>
      <w:r w:rsidR="003D49CB">
        <w:t>.</w:t>
      </w:r>
    </w:p>
    <w:p w14:paraId="219CD9FF" w14:textId="49AD5AAE" w:rsidR="00FD7EAE" w:rsidRPr="00FD7EAE" w:rsidRDefault="00FD7EAE" w:rsidP="00FD7EAE">
      <w:pPr>
        <w:pStyle w:val="ListParagraph"/>
        <w:numPr>
          <w:ilvl w:val="0"/>
          <w:numId w:val="1"/>
        </w:numPr>
      </w:pPr>
      <w:r>
        <w:t xml:space="preserve">Importance: </w:t>
      </w:r>
      <w:r w:rsidR="003E72DF">
        <w:t>There are h</w:t>
      </w:r>
      <w:r>
        <w:t xml:space="preserve">igh amounts of information about how </w:t>
      </w:r>
      <w:r w:rsidR="00FE4CD5">
        <w:t>T</w:t>
      </w:r>
      <w:r>
        <w:t xml:space="preserve">utmania and </w:t>
      </w:r>
      <w:r w:rsidR="00FE4CD5">
        <w:t>Egyptomania</w:t>
      </w:r>
      <w:r w:rsidR="00706798">
        <w:t xml:space="preserve"> came about</w:t>
      </w:r>
      <w:r w:rsidR="00FE4CD5">
        <w:t xml:space="preserve"> and what they are</w:t>
      </w:r>
      <w:r w:rsidR="003E72DF">
        <w:t xml:space="preserve"> </w:t>
      </w:r>
      <w:r>
        <w:t xml:space="preserve">and their influencing factors but </w:t>
      </w:r>
      <w:r w:rsidR="007D0624">
        <w:t xml:space="preserve">no </w:t>
      </w:r>
      <w:r w:rsidR="003E72DF">
        <w:t>combin</w:t>
      </w:r>
      <w:r w:rsidR="00F45885">
        <w:t>ation</w:t>
      </w:r>
      <w:r w:rsidR="007D0624">
        <w:t xml:space="preserve"> of this information. </w:t>
      </w:r>
    </w:p>
    <w:p w14:paraId="5E478102" w14:textId="5D9E48B5" w:rsidR="00FD7EAE" w:rsidRDefault="00FD7EAE">
      <w:pPr>
        <w:rPr>
          <w:b/>
          <w:bCs/>
        </w:rPr>
      </w:pPr>
      <w:r w:rsidRPr="00FD7EAE">
        <w:rPr>
          <w:b/>
          <w:bCs/>
        </w:rPr>
        <w:t xml:space="preserve">Literature review – </w:t>
      </w:r>
    </w:p>
    <w:p w14:paraId="06104D87" w14:textId="69F79A35" w:rsidR="007D0624" w:rsidRPr="007A0652" w:rsidRDefault="007D0624" w:rsidP="007A0652">
      <w:pPr>
        <w:pStyle w:val="ListParagraph"/>
        <w:numPr>
          <w:ilvl w:val="0"/>
          <w:numId w:val="1"/>
        </w:numPr>
        <w:rPr>
          <w:b/>
          <w:bCs/>
        </w:rPr>
      </w:pPr>
      <w:r>
        <w:t>The resources</w:t>
      </w:r>
      <w:r w:rsidR="00B329A5">
        <w:t xml:space="preserve"> I have</w:t>
      </w:r>
      <w:r>
        <w:t xml:space="preserve"> accessed are texts, journals, websites and diary entries</w:t>
      </w:r>
      <w:r w:rsidR="009E781B">
        <w:t xml:space="preserve">, for example </w:t>
      </w:r>
      <w:r w:rsidR="009E781B" w:rsidRPr="00F07107">
        <w:rPr>
          <w:i/>
          <w:iCs/>
        </w:rPr>
        <w:t>Contesting Antiquity in Egypt; Archaeologies, Museums &amp; the Struggle for Identities from World War I to Masser</w:t>
      </w:r>
      <w:r w:rsidR="00DF3DA5">
        <w:rPr>
          <w:rStyle w:val="FootnoteReference"/>
          <w:i/>
          <w:iCs/>
        </w:rPr>
        <w:footnoteReference w:id="16"/>
      </w:r>
      <w:r>
        <w:t xml:space="preserve">. </w:t>
      </w:r>
      <w:r w:rsidR="0036371F">
        <w:t>This book in particular is relevant to the dissertation because</w:t>
      </w:r>
      <w:r w:rsidR="005E26DC">
        <w:t xml:space="preserve"> chapter one; Egyptology and pharaonism to 1930, </w:t>
      </w:r>
      <w:r w:rsidR="00D442A0">
        <w:t xml:space="preserve">discusses all themes that will be used in the dissertation. </w:t>
      </w:r>
      <w:r w:rsidR="009210EF">
        <w:t xml:space="preserve">The chapter also contains many relevant images, tables and graphs (see </w:t>
      </w:r>
      <w:r w:rsidR="009210EF">
        <w:lastRenderedPageBreak/>
        <w:t>appendix</w:t>
      </w:r>
      <w:r w:rsidR="00AD0A65">
        <w:t xml:space="preserve"> A). The</w:t>
      </w:r>
      <w:r w:rsidR="00D442A0">
        <w:t xml:space="preserve"> book</w:t>
      </w:r>
      <w:r w:rsidR="00D70418">
        <w:t xml:space="preserve"> was published in 2015</w:t>
      </w:r>
      <w:r w:rsidR="00D442A0">
        <w:t xml:space="preserve">, which means the information is likely to be </w:t>
      </w:r>
      <w:r w:rsidR="00D70418">
        <w:t>current.</w:t>
      </w:r>
    </w:p>
    <w:p w14:paraId="6C141556" w14:textId="10CE6D5A" w:rsidR="00FD7EAE" w:rsidRDefault="00FD7EAE">
      <w:pPr>
        <w:rPr>
          <w:b/>
          <w:bCs/>
        </w:rPr>
      </w:pPr>
      <w:r w:rsidRPr="00FD7EAE">
        <w:rPr>
          <w:b/>
          <w:bCs/>
        </w:rPr>
        <w:t xml:space="preserve">Methodology – </w:t>
      </w:r>
    </w:p>
    <w:p w14:paraId="5A45BE88" w14:textId="139B8AF7" w:rsidR="007D0624" w:rsidRDefault="007D0624" w:rsidP="00B76899">
      <w:pPr>
        <w:pStyle w:val="ListParagraph"/>
        <w:numPr>
          <w:ilvl w:val="0"/>
          <w:numId w:val="1"/>
        </w:numPr>
      </w:pPr>
      <w:r>
        <w:t>On the discovery and about Tutankhamun there is a wide range of literature</w:t>
      </w:r>
      <w:r w:rsidR="00D70418">
        <w:t>.</w:t>
      </w:r>
      <w:r>
        <w:t xml:space="preserve"> </w:t>
      </w:r>
      <w:r w:rsidR="00B329A5">
        <w:t>T</w:t>
      </w:r>
      <w:r>
        <w:t xml:space="preserve">o narrow </w:t>
      </w:r>
      <w:r w:rsidR="0036371F">
        <w:t>the</w:t>
      </w:r>
      <w:r>
        <w:t xml:space="preserve"> </w:t>
      </w:r>
      <w:r w:rsidR="00FA5793">
        <w:t>search,</w:t>
      </w:r>
      <w:r>
        <w:t xml:space="preserve"> </w:t>
      </w:r>
      <w:r w:rsidR="007A0652">
        <w:t xml:space="preserve">it was essential </w:t>
      </w:r>
      <w:r>
        <w:t xml:space="preserve">to </w:t>
      </w:r>
      <w:r w:rsidR="00D70418">
        <w:t>use</w:t>
      </w:r>
      <w:r>
        <w:t xml:space="preserve"> key words </w:t>
      </w:r>
      <w:r w:rsidR="0036371F">
        <w:t xml:space="preserve">that </w:t>
      </w:r>
      <w:r w:rsidR="00D7249C">
        <w:t>wer</w:t>
      </w:r>
      <w:r w:rsidR="0036371F">
        <w:t>e relevant to the</w:t>
      </w:r>
      <w:r>
        <w:t xml:space="preserve"> dissertation such as </w:t>
      </w:r>
      <w:r w:rsidR="007A0652">
        <w:t>‘</w:t>
      </w:r>
      <w:r>
        <w:t>Egyptomania</w:t>
      </w:r>
      <w:r w:rsidR="007A0652">
        <w:t>’</w:t>
      </w:r>
      <w:r>
        <w:t xml:space="preserve"> and </w:t>
      </w:r>
      <w:r w:rsidR="007A0652">
        <w:t>‘</w:t>
      </w:r>
      <w:r>
        <w:t>Antiquities in Egypt</w:t>
      </w:r>
      <w:r w:rsidR="007A0652">
        <w:t>’</w:t>
      </w:r>
      <w:r>
        <w:t xml:space="preserve">. All literature needed to be published in English, checking the date and credentials of the literature was also important because </w:t>
      </w:r>
      <w:r w:rsidR="00FE6E61">
        <w:t>the information needed to be reliable and cred</w:t>
      </w:r>
      <w:r w:rsidR="000C1E16">
        <w:t>i</w:t>
      </w:r>
      <w:r w:rsidR="00FE6E61">
        <w:t>ble</w:t>
      </w:r>
      <w:r>
        <w:t xml:space="preserve">. </w:t>
      </w:r>
      <w:r w:rsidR="00F07107">
        <w:t>The literature found so far dates from</w:t>
      </w:r>
      <w:r w:rsidR="00B76899">
        <w:t xml:space="preserve"> 1922</w:t>
      </w:r>
      <w:r w:rsidR="00B329A5">
        <w:t xml:space="preserve"> to </w:t>
      </w:r>
      <w:r w:rsidR="00B76899">
        <w:t>present day, however the</w:t>
      </w:r>
      <w:r w:rsidR="00E11C51">
        <w:t xml:space="preserve"> oldest piece of</w:t>
      </w:r>
      <w:r w:rsidR="00B76899">
        <w:t xml:space="preserve"> literature is Howard Carter</w:t>
      </w:r>
      <w:r w:rsidR="00E11C51">
        <w:t>’s</w:t>
      </w:r>
      <w:r w:rsidR="00B76899">
        <w:t xml:space="preserve"> </w:t>
      </w:r>
      <w:r w:rsidR="000169F2">
        <w:t xml:space="preserve">field </w:t>
      </w:r>
      <w:r w:rsidR="00B76899">
        <w:t xml:space="preserve">journal at the time of discovery Tutankhamun; </w:t>
      </w:r>
      <w:r w:rsidR="00B76899" w:rsidRPr="00F07107">
        <w:rPr>
          <w:i/>
          <w:iCs/>
        </w:rPr>
        <w:t>Tutankhamun: Anatomy of an Excavation</w:t>
      </w:r>
      <w:r w:rsidR="000169F2">
        <w:rPr>
          <w:rStyle w:val="FootnoteReference"/>
          <w:i/>
          <w:iCs/>
        </w:rPr>
        <w:footnoteReference w:id="17"/>
      </w:r>
      <w:r w:rsidR="00B76899">
        <w:t xml:space="preserve">.  </w:t>
      </w:r>
      <w:r w:rsidR="00801EF8">
        <w:t>Another older piece of</w:t>
      </w:r>
      <w:r w:rsidR="00B76899">
        <w:t xml:space="preserve"> literature </w:t>
      </w:r>
      <w:r w:rsidR="00562CEE">
        <w:t xml:space="preserve">that </w:t>
      </w:r>
      <w:r w:rsidR="00B76899">
        <w:t xml:space="preserve">will </w:t>
      </w:r>
      <w:r w:rsidR="00562CEE">
        <w:t xml:space="preserve">be </w:t>
      </w:r>
      <w:r w:rsidR="00B76899">
        <w:t>use</w:t>
      </w:r>
      <w:r w:rsidR="00562CEE">
        <w:t>d</w:t>
      </w:r>
      <w:r w:rsidR="00B76899">
        <w:t xml:space="preserve"> is from 19</w:t>
      </w:r>
      <w:r w:rsidR="00C107BD">
        <w:t>23</w:t>
      </w:r>
      <w:r w:rsidR="00F07107">
        <w:t xml:space="preserve">; </w:t>
      </w:r>
      <w:r w:rsidR="00C107BD">
        <w:rPr>
          <w:i/>
          <w:iCs/>
        </w:rPr>
        <w:t>Tutankhamun and the Discovery of his Tomb by the Late Earl of Carnarvon and Mr Howard Carter</w:t>
      </w:r>
      <w:r w:rsidR="001D03B8">
        <w:rPr>
          <w:rStyle w:val="FootnoteReference"/>
          <w:i/>
          <w:iCs/>
        </w:rPr>
        <w:footnoteReference w:id="18"/>
      </w:r>
      <w:r w:rsidR="00B76899">
        <w:rPr>
          <w:i/>
          <w:iCs/>
        </w:rPr>
        <w:t>,</w:t>
      </w:r>
      <w:r w:rsidR="0036371F">
        <w:rPr>
          <w:i/>
          <w:iCs/>
        </w:rPr>
        <w:t xml:space="preserve"> </w:t>
      </w:r>
      <w:r w:rsidR="00801EF8" w:rsidRPr="00801EF8">
        <w:t xml:space="preserve">along </w:t>
      </w:r>
      <w:r w:rsidR="00B76899" w:rsidRPr="00801EF8">
        <w:t>w</w:t>
      </w:r>
      <w:r w:rsidR="00B76899">
        <w:t>ith many pieces of literature up to</w:t>
      </w:r>
      <w:r w:rsidR="00F07107">
        <w:t xml:space="preserve"> present day</w:t>
      </w:r>
      <w:r w:rsidR="00B76899">
        <w:t xml:space="preserve"> </w:t>
      </w:r>
      <w:r w:rsidR="00F07107">
        <w:t xml:space="preserve">(see appendix </w:t>
      </w:r>
      <w:r w:rsidR="00AD0A65">
        <w:t>B</w:t>
      </w:r>
      <w:r w:rsidR="00F07107">
        <w:t xml:space="preserve">). </w:t>
      </w:r>
      <w:r w:rsidR="009A733E">
        <w:t xml:space="preserve">Texts were also selected for relevance through indices, chapter headings and key words. </w:t>
      </w:r>
    </w:p>
    <w:p w14:paraId="4F4CD80B" w14:textId="1BD81991" w:rsidR="00BB403D" w:rsidRDefault="00BB403D" w:rsidP="007D0624">
      <w:pPr>
        <w:pStyle w:val="ListParagraph"/>
        <w:numPr>
          <w:ilvl w:val="0"/>
          <w:numId w:val="2"/>
        </w:numPr>
      </w:pPr>
      <w:r>
        <w:t>Analys</w:t>
      </w:r>
      <w:r w:rsidR="009A733E">
        <w:t xml:space="preserve">is: </w:t>
      </w:r>
      <w:r w:rsidR="002B3D37">
        <w:t xml:space="preserve">main themes identified and explored through critical discussion. </w:t>
      </w:r>
    </w:p>
    <w:p w14:paraId="50888536" w14:textId="640905B1" w:rsidR="00BB403D" w:rsidRPr="007D0624" w:rsidRDefault="004E63DE" w:rsidP="007D0624">
      <w:pPr>
        <w:pStyle w:val="ListParagraph"/>
        <w:numPr>
          <w:ilvl w:val="0"/>
          <w:numId w:val="2"/>
        </w:numPr>
      </w:pPr>
      <w:r>
        <w:t xml:space="preserve">A conclusion which summaries the key findings, will address the aims of the dissertation. </w:t>
      </w:r>
      <w:r w:rsidR="00BB403D">
        <w:t xml:space="preserve"> </w:t>
      </w:r>
    </w:p>
    <w:p w14:paraId="2CA39BFC" w14:textId="3E486B22" w:rsidR="00FD7EAE" w:rsidRDefault="00FD7EAE">
      <w:pPr>
        <w:rPr>
          <w:b/>
          <w:bCs/>
        </w:rPr>
      </w:pPr>
      <w:r w:rsidRPr="00FD7EAE">
        <w:rPr>
          <w:b/>
          <w:bCs/>
        </w:rPr>
        <w:t xml:space="preserve">Expected outcomes – </w:t>
      </w:r>
    </w:p>
    <w:p w14:paraId="7B42D9E1" w14:textId="4651FBD0" w:rsidR="00BB403D" w:rsidRPr="00BB403D" w:rsidRDefault="00BB403D" w:rsidP="00BB403D">
      <w:pPr>
        <w:pStyle w:val="ListParagraph"/>
        <w:numPr>
          <w:ilvl w:val="0"/>
          <w:numId w:val="3"/>
        </w:numPr>
      </w:pPr>
      <w:r>
        <w:t>Before research</w:t>
      </w:r>
      <w:r w:rsidR="000D4063">
        <w:t>,</w:t>
      </w:r>
      <w:r>
        <w:t xml:space="preserve"> it was expected that the only influence on blockbusting Tutankhamun was the fact</w:t>
      </w:r>
      <w:r w:rsidR="00706798">
        <w:t xml:space="preserve"> that</w:t>
      </w:r>
      <w:r>
        <w:t xml:space="preserve"> he was found by </w:t>
      </w:r>
      <w:r w:rsidR="00706798">
        <w:t>a</w:t>
      </w:r>
      <w:r>
        <w:t xml:space="preserve"> British archaeologist</w:t>
      </w:r>
      <w:r w:rsidR="00A177DB">
        <w:rPr>
          <w:rStyle w:val="FootnoteReference"/>
        </w:rPr>
        <w:footnoteReference w:id="19"/>
      </w:r>
      <w:r>
        <w:t xml:space="preserve">. </w:t>
      </w:r>
      <w:r w:rsidR="00706798">
        <w:t>However,</w:t>
      </w:r>
      <w:r>
        <w:t xml:space="preserve"> from further readings so far it appears that there could have been many </w:t>
      </w:r>
      <w:r w:rsidR="0014693D">
        <w:t xml:space="preserve">influential </w:t>
      </w:r>
      <w:r>
        <w:t>contributions</w:t>
      </w:r>
      <w:r w:rsidR="00706798">
        <w:t xml:space="preserve"> of</w:t>
      </w:r>
      <w:r>
        <w:t xml:space="preserve"> blockbusting Tutankhamun including aspects that w</w:t>
      </w:r>
      <w:r w:rsidR="000D4063">
        <w:t>ere</w:t>
      </w:r>
      <w:r>
        <w:t xml:space="preserve"> not</w:t>
      </w:r>
      <w:r w:rsidR="00C25FD2">
        <w:t xml:space="preserve"> previously</w:t>
      </w:r>
      <w:r>
        <w:t xml:space="preserve"> </w:t>
      </w:r>
      <w:r w:rsidR="00C25FD2">
        <w:t>considered</w:t>
      </w:r>
      <w:r>
        <w:t xml:space="preserve"> such as religion</w:t>
      </w:r>
      <w:r w:rsidR="00C25FD2">
        <w:t xml:space="preserve"> and politics that </w:t>
      </w:r>
      <w:r w:rsidR="00FA5793">
        <w:t>predate</w:t>
      </w:r>
      <w:r w:rsidR="00441164">
        <w:t xml:space="preserve"> the discovery of Tutankhamun</w:t>
      </w:r>
      <w:r w:rsidR="007766BD">
        <w:t xml:space="preserve"> </w:t>
      </w:r>
      <w:r w:rsidR="00186102">
        <w:t xml:space="preserve">in </w:t>
      </w:r>
      <w:r w:rsidR="007766BD">
        <w:t>1922.</w:t>
      </w:r>
    </w:p>
    <w:p w14:paraId="1A90922E" w14:textId="552E52D9" w:rsidR="00FD7EAE" w:rsidRDefault="00FD7EAE">
      <w:pPr>
        <w:rPr>
          <w:b/>
          <w:bCs/>
        </w:rPr>
      </w:pPr>
      <w:r w:rsidRPr="00FD7EAE">
        <w:rPr>
          <w:b/>
          <w:bCs/>
        </w:rPr>
        <w:t xml:space="preserve">Limitations – </w:t>
      </w:r>
    </w:p>
    <w:p w14:paraId="6D2D3209" w14:textId="22BDFA2A" w:rsidR="00BB403D" w:rsidRDefault="00BB403D" w:rsidP="00BB403D">
      <w:pPr>
        <w:pStyle w:val="ListParagraph"/>
        <w:numPr>
          <w:ilvl w:val="0"/>
          <w:numId w:val="3"/>
        </w:numPr>
      </w:pPr>
      <w:r>
        <w:t xml:space="preserve">As mentioned above there is a wide range of literature about Tutankhamun, there is not enough time to read </w:t>
      </w:r>
      <w:r w:rsidR="006D25AB">
        <w:t>all</w:t>
      </w:r>
      <w:r>
        <w:t xml:space="preserve"> these books. </w:t>
      </w:r>
    </w:p>
    <w:p w14:paraId="5AE07A14" w14:textId="708EE8FF" w:rsidR="00BB403D" w:rsidRDefault="00BB403D" w:rsidP="00BB403D">
      <w:pPr>
        <w:pStyle w:val="ListParagraph"/>
        <w:numPr>
          <w:ilvl w:val="0"/>
          <w:numId w:val="3"/>
        </w:numPr>
      </w:pPr>
      <w:r>
        <w:t xml:space="preserve">Not all the literature published is accessible because it is not in English. </w:t>
      </w:r>
    </w:p>
    <w:p w14:paraId="08B42674" w14:textId="4C5075A7" w:rsidR="00C251A0" w:rsidRDefault="00F91BA1" w:rsidP="00BB403D">
      <w:pPr>
        <w:pStyle w:val="ListParagraph"/>
        <w:numPr>
          <w:ilvl w:val="0"/>
          <w:numId w:val="3"/>
        </w:numPr>
      </w:pPr>
      <w:r>
        <w:t xml:space="preserve">Some of the relevant literature may not be considered academic for example Carter’s field journal. However, this subjective information has some value when viewed alongside other </w:t>
      </w:r>
      <w:r w:rsidR="00ED3C29">
        <w:t xml:space="preserve">academic </w:t>
      </w:r>
      <w:r>
        <w:t>sources.</w:t>
      </w:r>
      <w:r w:rsidR="00C251A0">
        <w:t xml:space="preserve"> </w:t>
      </w:r>
    </w:p>
    <w:p w14:paraId="748506F5" w14:textId="184F29BD" w:rsidR="00FD7EAE" w:rsidRDefault="00FD7EAE">
      <w:pPr>
        <w:rPr>
          <w:b/>
          <w:bCs/>
        </w:rPr>
      </w:pPr>
      <w:r w:rsidRPr="00FD7EAE">
        <w:rPr>
          <w:b/>
          <w:bCs/>
        </w:rPr>
        <w:t xml:space="preserve">Reflection/Evaluation – </w:t>
      </w:r>
    </w:p>
    <w:p w14:paraId="3000EE36" w14:textId="45BE5285" w:rsidR="001F3146" w:rsidRPr="00ED3C29" w:rsidRDefault="009C0A85" w:rsidP="001F3146">
      <w:pPr>
        <w:pStyle w:val="ListParagraph"/>
        <w:numPr>
          <w:ilvl w:val="0"/>
          <w:numId w:val="4"/>
        </w:numPr>
        <w:rPr>
          <w:b/>
          <w:bCs/>
        </w:rPr>
      </w:pPr>
      <w:r>
        <w:t xml:space="preserve">With lots of ideas and information for the dissertation, it is time to start to piece the information together and to build up an argument. When the information starts to be put together it will hopefully show me where I want my argument to go. My plan of action is in the appendices </w:t>
      </w:r>
      <w:r w:rsidR="00CC0829">
        <w:t>(</w:t>
      </w:r>
      <w:r>
        <w:t xml:space="preserve">see appendix </w:t>
      </w:r>
      <w:r w:rsidR="003D1C46">
        <w:t>C</w:t>
      </w:r>
      <w:r w:rsidR="00CC0829">
        <w:t>)</w:t>
      </w:r>
      <w:r>
        <w:t xml:space="preserve">. </w:t>
      </w:r>
      <w:r w:rsidR="00C873E9">
        <w:t xml:space="preserve">The plan of action will unfortunately be compromised by the block teaching system. See appendix </w:t>
      </w:r>
      <w:r w:rsidR="003D1C46">
        <w:t>B</w:t>
      </w:r>
      <w:r w:rsidR="00C873E9">
        <w:t xml:space="preserve"> for up to date reading list so far. </w:t>
      </w:r>
    </w:p>
    <w:p w14:paraId="4DA6CCE4" w14:textId="3CD643D5" w:rsidR="009258B4" w:rsidRPr="00CD7682" w:rsidRDefault="00ED3C29" w:rsidP="00C04B7B">
      <w:pPr>
        <w:pStyle w:val="ListParagraph"/>
        <w:numPr>
          <w:ilvl w:val="0"/>
          <w:numId w:val="4"/>
        </w:numPr>
        <w:rPr>
          <w:b/>
          <w:bCs/>
        </w:rPr>
      </w:pPr>
      <w:r>
        <w:t xml:space="preserve">I have some concerns that I may be exploring too many themes </w:t>
      </w:r>
      <w:r w:rsidR="001012B5">
        <w:t xml:space="preserve">in the dissertation </w:t>
      </w:r>
      <w:r>
        <w:t xml:space="preserve">(Context and history, </w:t>
      </w:r>
      <w:r w:rsidR="0064189D">
        <w:t>artefacts</w:t>
      </w:r>
      <w:r>
        <w:t xml:space="preserve"> of Egyptomania, exploitation of Tutankhamun through education and </w:t>
      </w:r>
      <w:r>
        <w:lastRenderedPageBreak/>
        <w:t>sens</w:t>
      </w:r>
      <w:r w:rsidR="00271A39">
        <w:t>ationali</w:t>
      </w:r>
      <w:r w:rsidR="00CF2701">
        <w:t>z</w:t>
      </w:r>
      <w:r w:rsidR="00271A39">
        <w:t>ation by the media</w:t>
      </w:r>
      <w:r>
        <w:t>, religion) which m</w:t>
      </w:r>
      <w:r w:rsidR="001012B5">
        <w:t>a</w:t>
      </w:r>
      <w:r>
        <w:t xml:space="preserve">y result in </w:t>
      </w:r>
      <w:r w:rsidR="001012B5">
        <w:t xml:space="preserve">some </w:t>
      </w:r>
      <w:r>
        <w:t>themes not being explored in sufficient depth</w:t>
      </w:r>
      <w:r w:rsidR="00C04B7B">
        <w:t xml:space="preserve">, in result effecting my argument and conclusion of the aims. </w:t>
      </w:r>
    </w:p>
    <w:p w14:paraId="02F50AFD" w14:textId="528DAFF7" w:rsidR="00CD7682" w:rsidRDefault="00CD7682" w:rsidP="00CD7682">
      <w:pPr>
        <w:rPr>
          <w:b/>
          <w:bCs/>
        </w:rPr>
      </w:pPr>
    </w:p>
    <w:p w14:paraId="20A48A6C" w14:textId="635F1617" w:rsidR="00CD7682" w:rsidRDefault="00CD7682" w:rsidP="00CD7682">
      <w:pPr>
        <w:rPr>
          <w:b/>
          <w:bCs/>
        </w:rPr>
      </w:pPr>
    </w:p>
    <w:p w14:paraId="51DF6DC9" w14:textId="03839469" w:rsidR="00CD7682" w:rsidRDefault="00CD7682" w:rsidP="00CD7682">
      <w:pPr>
        <w:rPr>
          <w:b/>
          <w:bCs/>
        </w:rPr>
      </w:pPr>
    </w:p>
    <w:p w14:paraId="69E13232" w14:textId="7F4F8EE3" w:rsidR="00CD7682" w:rsidRDefault="00CD7682" w:rsidP="00CD7682">
      <w:pPr>
        <w:rPr>
          <w:b/>
          <w:bCs/>
        </w:rPr>
      </w:pPr>
    </w:p>
    <w:p w14:paraId="2A299BCB" w14:textId="194A8201" w:rsidR="00CD7682" w:rsidRDefault="00CD7682" w:rsidP="00CD7682">
      <w:pPr>
        <w:rPr>
          <w:b/>
          <w:bCs/>
        </w:rPr>
      </w:pPr>
    </w:p>
    <w:p w14:paraId="5A6A303C" w14:textId="36C95FC4" w:rsidR="00CD7682" w:rsidRDefault="00CD7682" w:rsidP="00CD7682">
      <w:pPr>
        <w:rPr>
          <w:b/>
          <w:bCs/>
        </w:rPr>
      </w:pPr>
    </w:p>
    <w:p w14:paraId="666BA03E" w14:textId="49EF53A6" w:rsidR="00CD7682" w:rsidRDefault="00CD7682" w:rsidP="00CD7682">
      <w:pPr>
        <w:rPr>
          <w:b/>
          <w:bCs/>
        </w:rPr>
      </w:pPr>
    </w:p>
    <w:p w14:paraId="7D68DB12" w14:textId="3AA94497" w:rsidR="00CD7682" w:rsidRDefault="00CD7682" w:rsidP="00CD7682">
      <w:pPr>
        <w:rPr>
          <w:b/>
          <w:bCs/>
        </w:rPr>
      </w:pPr>
    </w:p>
    <w:p w14:paraId="0AB922DC" w14:textId="7B7B08C4" w:rsidR="00CD7682" w:rsidRDefault="00CD7682" w:rsidP="00CD7682">
      <w:pPr>
        <w:rPr>
          <w:b/>
          <w:bCs/>
        </w:rPr>
      </w:pPr>
    </w:p>
    <w:p w14:paraId="3A0C45E8" w14:textId="03E2B51E" w:rsidR="00CD7682" w:rsidRDefault="00CD7682" w:rsidP="00CD7682">
      <w:pPr>
        <w:rPr>
          <w:b/>
          <w:bCs/>
        </w:rPr>
      </w:pPr>
    </w:p>
    <w:p w14:paraId="2B4AFF97" w14:textId="773C0677" w:rsidR="00CD7682" w:rsidRDefault="00CD7682" w:rsidP="00CD7682">
      <w:pPr>
        <w:rPr>
          <w:b/>
          <w:bCs/>
        </w:rPr>
      </w:pPr>
    </w:p>
    <w:p w14:paraId="54D0EF6D" w14:textId="6E7E0D86" w:rsidR="00CD7682" w:rsidRDefault="00CD7682" w:rsidP="00CD7682">
      <w:pPr>
        <w:rPr>
          <w:b/>
          <w:bCs/>
        </w:rPr>
      </w:pPr>
    </w:p>
    <w:p w14:paraId="74D9C137" w14:textId="60D65EC7" w:rsidR="00CD7682" w:rsidRDefault="00CD7682" w:rsidP="00CD7682">
      <w:pPr>
        <w:rPr>
          <w:b/>
          <w:bCs/>
        </w:rPr>
      </w:pPr>
    </w:p>
    <w:p w14:paraId="1AFEE59E" w14:textId="3FBB9266" w:rsidR="00CD7682" w:rsidRDefault="00CD7682" w:rsidP="00CD7682">
      <w:pPr>
        <w:rPr>
          <w:b/>
          <w:bCs/>
        </w:rPr>
      </w:pPr>
    </w:p>
    <w:p w14:paraId="19EC2F25" w14:textId="14D95AFD" w:rsidR="00CD7682" w:rsidRDefault="00CD7682" w:rsidP="00CD7682">
      <w:pPr>
        <w:rPr>
          <w:b/>
          <w:bCs/>
        </w:rPr>
      </w:pPr>
    </w:p>
    <w:p w14:paraId="71844664" w14:textId="7A8D6A27" w:rsidR="00CD7682" w:rsidRDefault="00CD7682" w:rsidP="00CD7682">
      <w:pPr>
        <w:rPr>
          <w:b/>
          <w:bCs/>
        </w:rPr>
      </w:pPr>
    </w:p>
    <w:p w14:paraId="1E2E55E1" w14:textId="72A14804" w:rsidR="00CD7682" w:rsidRDefault="00CD7682" w:rsidP="00CD7682">
      <w:pPr>
        <w:rPr>
          <w:b/>
          <w:bCs/>
        </w:rPr>
      </w:pPr>
    </w:p>
    <w:p w14:paraId="3054B2E5" w14:textId="3C5FD555" w:rsidR="00CD7682" w:rsidRDefault="00CD7682" w:rsidP="00CD7682">
      <w:pPr>
        <w:rPr>
          <w:b/>
          <w:bCs/>
        </w:rPr>
      </w:pPr>
    </w:p>
    <w:p w14:paraId="4387E510" w14:textId="4F6B5FB8" w:rsidR="00CD7682" w:rsidRDefault="00CD7682" w:rsidP="00CD7682">
      <w:pPr>
        <w:rPr>
          <w:b/>
          <w:bCs/>
        </w:rPr>
      </w:pPr>
    </w:p>
    <w:p w14:paraId="6543E591" w14:textId="78CACFB4" w:rsidR="00CD7682" w:rsidRDefault="00CD7682" w:rsidP="00CD7682">
      <w:pPr>
        <w:rPr>
          <w:b/>
          <w:bCs/>
        </w:rPr>
      </w:pPr>
    </w:p>
    <w:p w14:paraId="178F190A" w14:textId="67C056CB" w:rsidR="00CD7682" w:rsidRDefault="00CD7682" w:rsidP="00CD7682">
      <w:pPr>
        <w:rPr>
          <w:b/>
          <w:bCs/>
        </w:rPr>
      </w:pPr>
    </w:p>
    <w:p w14:paraId="58CE927F" w14:textId="07D6E96F" w:rsidR="00CD7682" w:rsidRDefault="00CD7682" w:rsidP="00CD7682">
      <w:pPr>
        <w:rPr>
          <w:b/>
          <w:bCs/>
        </w:rPr>
      </w:pPr>
    </w:p>
    <w:p w14:paraId="5AC5EBE3" w14:textId="75F755E1" w:rsidR="00CD7682" w:rsidRDefault="00CD7682" w:rsidP="00CD7682">
      <w:pPr>
        <w:rPr>
          <w:b/>
          <w:bCs/>
        </w:rPr>
      </w:pPr>
    </w:p>
    <w:p w14:paraId="2CA68097" w14:textId="0A9FF168" w:rsidR="00CD7682" w:rsidRDefault="00CD7682" w:rsidP="00CD7682">
      <w:pPr>
        <w:rPr>
          <w:b/>
          <w:bCs/>
        </w:rPr>
      </w:pPr>
    </w:p>
    <w:p w14:paraId="34FCE060" w14:textId="64388230" w:rsidR="00CD7682" w:rsidRDefault="00CD7682" w:rsidP="00CD7682">
      <w:pPr>
        <w:rPr>
          <w:b/>
          <w:bCs/>
        </w:rPr>
      </w:pPr>
    </w:p>
    <w:p w14:paraId="66E757EE" w14:textId="54254643" w:rsidR="00CD7682" w:rsidRDefault="00CD7682" w:rsidP="00CD7682">
      <w:pPr>
        <w:rPr>
          <w:b/>
          <w:bCs/>
        </w:rPr>
      </w:pPr>
    </w:p>
    <w:p w14:paraId="35055B65" w14:textId="2990107A" w:rsidR="00CD7682" w:rsidRDefault="00CD7682" w:rsidP="00CD7682">
      <w:pPr>
        <w:rPr>
          <w:b/>
          <w:bCs/>
        </w:rPr>
      </w:pPr>
    </w:p>
    <w:p w14:paraId="16D4E98C" w14:textId="01104F71" w:rsidR="00CD7682" w:rsidRDefault="00CD7682" w:rsidP="00CD7682">
      <w:pPr>
        <w:rPr>
          <w:b/>
          <w:bCs/>
        </w:rPr>
      </w:pPr>
    </w:p>
    <w:p w14:paraId="69C462A3" w14:textId="2E08F716" w:rsidR="00CD7682" w:rsidRDefault="00CD7682" w:rsidP="00CD7682">
      <w:pPr>
        <w:rPr>
          <w:b/>
          <w:bCs/>
        </w:rPr>
      </w:pPr>
    </w:p>
    <w:p w14:paraId="6A301892" w14:textId="77777777" w:rsidR="00CD7682" w:rsidRDefault="00CD7682" w:rsidP="00CD7682">
      <w:pPr>
        <w:jc w:val="center"/>
        <w:rPr>
          <w:sz w:val="28"/>
          <w:szCs w:val="28"/>
          <w:u w:val="single"/>
        </w:rPr>
      </w:pPr>
      <w:r>
        <w:rPr>
          <w:sz w:val="28"/>
          <w:szCs w:val="28"/>
          <w:u w:val="single"/>
        </w:rPr>
        <w:lastRenderedPageBreak/>
        <w:t>Appendices</w:t>
      </w:r>
    </w:p>
    <w:p w14:paraId="522B85D6" w14:textId="5B29D5AD" w:rsidR="00CD7682" w:rsidRDefault="00CD7682" w:rsidP="00CD7682">
      <w:r>
        <w:rPr>
          <w:noProof/>
        </w:rPr>
        <w:drawing>
          <wp:anchor distT="0" distB="0" distL="114300" distR="114300" simplePos="0" relativeHeight="251657216" behindDoc="1" locked="0" layoutInCell="1" allowOverlap="1" wp14:anchorId="00ED36A7" wp14:editId="605FED92">
            <wp:simplePos x="0" y="0"/>
            <wp:positionH relativeFrom="column">
              <wp:posOffset>219075</wp:posOffset>
            </wp:positionH>
            <wp:positionV relativeFrom="paragraph">
              <wp:posOffset>626110</wp:posOffset>
            </wp:positionV>
            <wp:extent cx="5029200" cy="7751445"/>
            <wp:effectExtent l="0" t="0" r="0" b="1905"/>
            <wp:wrapTight wrapText="bothSides">
              <wp:wrapPolygon edited="0">
                <wp:start x="0" y="0"/>
                <wp:lineTo x="0" y="21552"/>
                <wp:lineTo x="21518" y="21552"/>
                <wp:lineTo x="21518" y="0"/>
                <wp:lineTo x="0" y="0"/>
              </wp:wrapPolygon>
            </wp:wrapTight>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text on a white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9200" cy="7751445"/>
                    </a:xfrm>
                    <a:prstGeom prst="rect">
                      <a:avLst/>
                    </a:prstGeom>
                    <a:noFill/>
                  </pic:spPr>
                </pic:pic>
              </a:graphicData>
            </a:graphic>
            <wp14:sizeRelH relativeFrom="margin">
              <wp14:pctWidth>0</wp14:pctWidth>
            </wp14:sizeRelH>
            <wp14:sizeRelV relativeFrom="margin">
              <wp14:pctHeight>0</wp14:pctHeight>
            </wp14:sizeRelV>
          </wp:anchor>
        </w:drawing>
      </w:r>
      <w:r>
        <w:rPr>
          <w:b/>
          <w:bCs/>
        </w:rPr>
        <w:t xml:space="preserve">Appendix A. Illustrations. </w:t>
      </w:r>
      <w:r>
        <w:t xml:space="preserve">Reid, D. M. (2015) </w:t>
      </w:r>
      <w:r>
        <w:rPr>
          <w:i/>
          <w:iCs/>
        </w:rPr>
        <w:t>Contesting antiquity in Egypt: archaeologies, museums &amp; the struggle for identities from world war 1 to Nasser</w:t>
      </w:r>
      <w:r>
        <w:t>. Cairo &amp; New York: The American University in Cairo Press.</w:t>
      </w:r>
    </w:p>
    <w:p w14:paraId="6ABA32B0" w14:textId="77777777" w:rsidR="00CD7682" w:rsidRDefault="00CD7682" w:rsidP="00CD7682">
      <w:pPr>
        <w:rPr>
          <w:b/>
          <w:bCs/>
        </w:rPr>
      </w:pPr>
      <w:r>
        <w:rPr>
          <w:b/>
          <w:bCs/>
        </w:rPr>
        <w:t xml:space="preserve"> </w:t>
      </w:r>
    </w:p>
    <w:p w14:paraId="043782E0" w14:textId="77777777" w:rsidR="00CD7682" w:rsidRDefault="00CD7682" w:rsidP="00CD7682"/>
    <w:p w14:paraId="60A4854B" w14:textId="77777777" w:rsidR="00CD7682" w:rsidRDefault="00CD7682" w:rsidP="00CD7682"/>
    <w:p w14:paraId="229A77BF" w14:textId="77777777" w:rsidR="00CD7682" w:rsidRDefault="00CD7682" w:rsidP="00CD7682"/>
    <w:p w14:paraId="1AF0AAA3" w14:textId="77777777" w:rsidR="00CD7682" w:rsidRDefault="00CD7682" w:rsidP="00CD7682"/>
    <w:p w14:paraId="1DCEF74C" w14:textId="77777777" w:rsidR="00CD7682" w:rsidRDefault="00CD7682" w:rsidP="00CD7682"/>
    <w:p w14:paraId="27F1EE69" w14:textId="77777777" w:rsidR="00CD7682" w:rsidRDefault="00CD7682" w:rsidP="00CD7682"/>
    <w:p w14:paraId="0753F6C8" w14:textId="77777777" w:rsidR="00CD7682" w:rsidRDefault="00CD7682" w:rsidP="00CD7682"/>
    <w:p w14:paraId="3B2F18D2" w14:textId="77777777" w:rsidR="00CD7682" w:rsidRDefault="00CD7682" w:rsidP="00CD7682"/>
    <w:p w14:paraId="18D7F2AE" w14:textId="77777777" w:rsidR="00CD7682" w:rsidRDefault="00CD7682" w:rsidP="00CD7682"/>
    <w:p w14:paraId="2F85AE24" w14:textId="77777777" w:rsidR="00CD7682" w:rsidRDefault="00CD7682" w:rsidP="00CD7682">
      <w:pPr>
        <w:jc w:val="center"/>
      </w:pPr>
    </w:p>
    <w:p w14:paraId="36766602" w14:textId="77777777" w:rsidR="00CD7682" w:rsidRDefault="00CD7682" w:rsidP="00CD7682">
      <w:r>
        <w:br w:type="page"/>
      </w:r>
    </w:p>
    <w:p w14:paraId="773426C7" w14:textId="77777777" w:rsidR="00CD7682" w:rsidRDefault="00CD7682" w:rsidP="00CD7682">
      <w:pPr>
        <w:jc w:val="center"/>
      </w:pPr>
      <w:r>
        <w:lastRenderedPageBreak/>
        <w:t xml:space="preserve">                                                                                                                                                        </w:t>
      </w:r>
    </w:p>
    <w:p w14:paraId="26C08825" w14:textId="0D4FE96A" w:rsidR="00CD7682" w:rsidRDefault="00CD7682" w:rsidP="00CD7682">
      <w:r>
        <w:rPr>
          <w:noProof/>
        </w:rPr>
        <w:drawing>
          <wp:inline distT="0" distB="0" distL="0" distR="0" wp14:anchorId="3821225D" wp14:editId="1266D040">
            <wp:extent cx="5731510" cy="3580130"/>
            <wp:effectExtent l="0" t="0" r="2540" b="127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4333C3FD" w14:textId="27A144DE" w:rsidR="00CD7682" w:rsidRDefault="00CD7682" w:rsidP="00CD7682">
      <w:r>
        <w:rPr>
          <w:noProof/>
        </w:rPr>
        <w:drawing>
          <wp:anchor distT="0" distB="0" distL="114300" distR="114300" simplePos="0" relativeHeight="251658240" behindDoc="1" locked="0" layoutInCell="1" allowOverlap="1" wp14:anchorId="27566303" wp14:editId="56EB9ADF">
            <wp:simplePos x="0" y="0"/>
            <wp:positionH relativeFrom="column">
              <wp:posOffset>0</wp:posOffset>
            </wp:positionH>
            <wp:positionV relativeFrom="paragraph">
              <wp:posOffset>285750</wp:posOffset>
            </wp:positionV>
            <wp:extent cx="5518150" cy="3681730"/>
            <wp:effectExtent l="0" t="0" r="6350" b="0"/>
            <wp:wrapTight wrapText="bothSides">
              <wp:wrapPolygon edited="0">
                <wp:start x="0" y="0"/>
                <wp:lineTo x="0" y="21458"/>
                <wp:lineTo x="21550" y="21458"/>
                <wp:lineTo x="21550" y="0"/>
                <wp:lineTo x="0" y="0"/>
              </wp:wrapPolygon>
            </wp:wrapTight>
            <wp:docPr id="2" name="Picture 2" descr="A paint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ainting of a pers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8150" cy="3681730"/>
                    </a:xfrm>
                    <a:prstGeom prst="rect">
                      <a:avLst/>
                    </a:prstGeom>
                    <a:noFill/>
                  </pic:spPr>
                </pic:pic>
              </a:graphicData>
            </a:graphic>
            <wp14:sizeRelH relativeFrom="margin">
              <wp14:pctWidth>0</wp14:pctWidth>
            </wp14:sizeRelH>
            <wp14:sizeRelV relativeFrom="margin">
              <wp14:pctHeight>0</wp14:pctHeight>
            </wp14:sizeRelV>
          </wp:anchor>
        </w:drawing>
      </w:r>
    </w:p>
    <w:p w14:paraId="33F2A4DE" w14:textId="77777777" w:rsidR="00CD7682" w:rsidRDefault="00CD7682" w:rsidP="00CD7682"/>
    <w:p w14:paraId="7EAB97F6" w14:textId="77777777" w:rsidR="00CD7682" w:rsidRDefault="00CD7682" w:rsidP="00CD7682">
      <w:pPr>
        <w:rPr>
          <w:b/>
          <w:bCs/>
        </w:rPr>
      </w:pPr>
    </w:p>
    <w:p w14:paraId="17F1A4DE" w14:textId="77777777" w:rsidR="00CD7682" w:rsidRDefault="00CD7682" w:rsidP="00CD7682">
      <w:pPr>
        <w:rPr>
          <w:b/>
          <w:bCs/>
        </w:rPr>
      </w:pPr>
    </w:p>
    <w:p w14:paraId="2C4E8CBA" w14:textId="77777777" w:rsidR="00CD7682" w:rsidRDefault="00CD7682" w:rsidP="00CD7682">
      <w:pPr>
        <w:rPr>
          <w:b/>
          <w:bCs/>
        </w:rPr>
      </w:pPr>
      <w:r>
        <w:rPr>
          <w:b/>
          <w:bCs/>
        </w:rPr>
        <w:lastRenderedPageBreak/>
        <w:t xml:space="preserve">Appendix B. Up to date reading list for dissertation.  </w:t>
      </w:r>
    </w:p>
    <w:p w14:paraId="5C797843" w14:textId="77777777" w:rsidR="00CD7682" w:rsidRDefault="00CD7682" w:rsidP="00CD7682">
      <w:bookmarkStart w:id="1" w:name="_Hlk21083399"/>
      <w:r>
        <w:t xml:space="preserve">Arakaki, J. S. (1986) </w:t>
      </w:r>
      <w:r>
        <w:rPr>
          <w:i/>
          <w:iCs/>
        </w:rPr>
        <w:t xml:space="preserve">The Glint of Gold: Press Coverage of the Discovery of Tutankhamun’s Tomb. </w:t>
      </w:r>
      <w:r>
        <w:t>Unpublished PhD thesis, University of Redlands.</w:t>
      </w:r>
    </w:p>
    <w:p w14:paraId="3B078120" w14:textId="77777777" w:rsidR="00CD7682" w:rsidRDefault="00CD7682" w:rsidP="00CD7682">
      <w:r>
        <w:t xml:space="preserve">Anon. (2019) </w:t>
      </w:r>
      <w:r>
        <w:rPr>
          <w:i/>
          <w:iCs/>
        </w:rPr>
        <w:t xml:space="preserve">Behind the scenes as largest ever Tutankhamun exhibition moves to London. </w:t>
      </w:r>
      <w:r>
        <w:t xml:space="preserve">Available at: </w:t>
      </w:r>
      <w:hyperlink r:id="rId11" w:history="1">
        <w:r>
          <w:rPr>
            <w:rStyle w:val="Hyperlink"/>
          </w:rPr>
          <w:t>http://home.bt.com/news/behind-the-scenes-as-largest-ever-tutankhamun-exhibition-moves-to-london-91364399327709?playlistVideoId=6091137187001&amp;utm_campaign=139799_Extended%20Hours%20Announced%21&amp;utm_medium=email&amp;utm_source=Tutankhamun%20London&amp;dm_i=55SU,2ZVB,M0FAH,AUSB,1</w:t>
        </w:r>
      </w:hyperlink>
      <w:r>
        <w:t xml:space="preserve"> [Accessed: 04/10/2019].</w:t>
      </w:r>
    </w:p>
    <w:p w14:paraId="29F179D9" w14:textId="77777777" w:rsidR="00CD7682" w:rsidRDefault="00CD7682" w:rsidP="00CD7682">
      <w:r>
        <w:t xml:space="preserve">Bell, T. (2010) </w:t>
      </w:r>
      <w:r>
        <w:rPr>
          <w:i/>
          <w:iCs/>
        </w:rPr>
        <w:t>The Western Perception of Ancient Egypt: The Discovery, Spectacle and Exposition of King Tutankhamun</w:t>
      </w:r>
      <w:r>
        <w:t>. Unpublished PhD thesis, Newman University.</w:t>
      </w:r>
    </w:p>
    <w:p w14:paraId="2FDC4FC7" w14:textId="77777777" w:rsidR="00CD7682" w:rsidRDefault="00CD7682" w:rsidP="00CD7682">
      <w:r>
        <w:t xml:space="preserve">Brewer, D. J. &amp; Teeter, E. (2007) </w:t>
      </w:r>
      <w:r>
        <w:rPr>
          <w:i/>
          <w:iCs/>
        </w:rPr>
        <w:t>Egypt and the Egyptians.</w:t>
      </w:r>
      <w:r>
        <w:t xml:space="preserve"> 2</w:t>
      </w:r>
      <w:r>
        <w:rPr>
          <w:vertAlign w:val="superscript"/>
        </w:rPr>
        <w:t>nd</w:t>
      </w:r>
      <w:r>
        <w:t xml:space="preserve"> ed. Cambridge: Cambridge University Press. </w:t>
      </w:r>
    </w:p>
    <w:p w14:paraId="31ED45E2" w14:textId="77777777" w:rsidR="00CD7682" w:rsidRDefault="00CD7682" w:rsidP="00CD7682">
      <w:r>
        <w:t xml:space="preserve">Brier, B. (2013) </w:t>
      </w:r>
      <w:r>
        <w:rPr>
          <w:i/>
          <w:iCs/>
        </w:rPr>
        <w:t>Egypt-omaina: our three thousand year obsession with the land of the pharaohs.</w:t>
      </w:r>
      <w:r>
        <w:t xml:space="preserve"> 1</w:t>
      </w:r>
      <w:r>
        <w:rPr>
          <w:vertAlign w:val="superscript"/>
        </w:rPr>
        <w:t>st</w:t>
      </w:r>
      <w:r>
        <w:t xml:space="preserve"> ed. New York: Palgrave Macmillan. </w:t>
      </w:r>
    </w:p>
    <w:p w14:paraId="769EB89A" w14:textId="77777777" w:rsidR="00CD7682" w:rsidRDefault="00CD7682" w:rsidP="00CD7682">
      <w:bookmarkStart w:id="2" w:name="_Hlk21601339"/>
      <w:r>
        <w:t xml:space="preserve">Carter, H. and Mace. A. C. (1923) </w:t>
      </w:r>
      <w:r>
        <w:rPr>
          <w:i/>
          <w:iCs/>
        </w:rPr>
        <w:t xml:space="preserve">The Tomb of Tut.Ankh.Amen. </w:t>
      </w:r>
      <w:r>
        <w:t>Volume one. Norwich: Jarrold and Sons Ltd.</w:t>
      </w:r>
    </w:p>
    <w:p w14:paraId="421CF36A" w14:textId="77777777" w:rsidR="00CD7682" w:rsidRDefault="00CD7682" w:rsidP="00CD7682">
      <w:r>
        <w:t xml:space="preserve">Carter, H. (1927) </w:t>
      </w:r>
      <w:r>
        <w:rPr>
          <w:i/>
          <w:iCs/>
        </w:rPr>
        <w:t xml:space="preserve">The Tomb of Tut.Ankh.Amen. </w:t>
      </w:r>
      <w:r>
        <w:t>Volume two. Great Britain: Cassell and Company Ltd.</w:t>
      </w:r>
    </w:p>
    <w:p w14:paraId="6BB312EE" w14:textId="77777777" w:rsidR="00CD7682" w:rsidRDefault="00CD7682" w:rsidP="00CD7682">
      <w:r>
        <w:t xml:space="preserve">Carter, H. (1933) </w:t>
      </w:r>
      <w:r>
        <w:rPr>
          <w:i/>
          <w:iCs/>
        </w:rPr>
        <w:t xml:space="preserve">The Tomb of Tut.Ankh.Amen. </w:t>
      </w:r>
      <w:r>
        <w:t>Volume three. Frome and London: Bulter and Tanner Ltd.</w:t>
      </w:r>
    </w:p>
    <w:bookmarkEnd w:id="2"/>
    <w:p w14:paraId="4FEA241A" w14:textId="77777777" w:rsidR="00CD7682" w:rsidRDefault="00CD7682" w:rsidP="00CD7682">
      <w:r>
        <w:t xml:space="preserve">Clayton, P. A. (1994) </w:t>
      </w:r>
      <w:r>
        <w:rPr>
          <w:i/>
          <w:iCs/>
        </w:rPr>
        <w:t xml:space="preserve">Chronicle of the Pharaohs: the reign-by-reign record of the rulers and dynasties of ancient Egypt. </w:t>
      </w:r>
      <w:r>
        <w:t xml:space="preserve">London: BCA. </w:t>
      </w:r>
    </w:p>
    <w:p w14:paraId="6477EC29" w14:textId="77777777" w:rsidR="00CD7682" w:rsidRDefault="00CD7682" w:rsidP="00CD7682">
      <w:r>
        <w:t xml:space="preserve">Colla, E. (2007) </w:t>
      </w:r>
      <w:r>
        <w:rPr>
          <w:i/>
          <w:iCs/>
        </w:rPr>
        <w:t xml:space="preserve">Conflicted Antiquities Egyptology, Egyptomania, Egyptian Modernity. </w:t>
      </w:r>
      <w:r>
        <w:t xml:space="preserve">Durham and London: Duke University Press. </w:t>
      </w:r>
    </w:p>
    <w:p w14:paraId="67ABBE41" w14:textId="77777777" w:rsidR="00CD7682" w:rsidRDefault="00CD7682" w:rsidP="00CD7682">
      <w:r>
        <w:t xml:space="preserve">Collins, P. &amp; McNamara, L. (2014) </w:t>
      </w:r>
      <w:r>
        <w:rPr>
          <w:i/>
          <w:iCs/>
        </w:rPr>
        <w:t>Discovering Tutankhamun</w:t>
      </w:r>
      <w:r>
        <w:t xml:space="preserve">. Oxford: Ashmolean Museum, University of Oxford. </w:t>
      </w:r>
    </w:p>
    <w:p w14:paraId="42AEA9E4" w14:textId="77777777" w:rsidR="00CD7682" w:rsidRDefault="00CD7682" w:rsidP="00CD7682">
      <w:r>
        <w:t xml:space="preserve">Danton, W. (2019) </w:t>
      </w:r>
      <w:r>
        <w:rPr>
          <w:i/>
          <w:iCs/>
        </w:rPr>
        <w:t xml:space="preserve">Tutmaina: An Exploration of Western Portrayals of King Tutankhamun and Orientalism in Egypt. </w:t>
      </w:r>
      <w:r>
        <w:t>Unpublished PhD thesis, University of Puget Sound.</w:t>
      </w:r>
    </w:p>
    <w:p w14:paraId="41B86758" w14:textId="77777777" w:rsidR="00CD7682" w:rsidRDefault="00CD7682" w:rsidP="00CD7682">
      <w:r>
        <w:t xml:space="preserve">Desroches-Noblecourt, C. (1963) </w:t>
      </w:r>
      <w:r>
        <w:rPr>
          <w:i/>
          <w:iCs/>
        </w:rPr>
        <w:t>Tutankhamen: life and death of a pharaoh</w:t>
      </w:r>
      <w:r>
        <w:t>. London: Connoisseur and Michael Joseph Ltd.</w:t>
      </w:r>
    </w:p>
    <w:p w14:paraId="5A617ACD" w14:textId="77777777" w:rsidR="00CD7682" w:rsidRDefault="00CD7682" w:rsidP="00CD7682">
      <w:r>
        <w:t xml:space="preserve">Doyle, N. (2016) ‘The Earliest Known Uses of “L’Egyptomanie”/”Egyptomania” in French and English’, </w:t>
      </w:r>
      <w:r>
        <w:rPr>
          <w:i/>
          <w:iCs/>
        </w:rPr>
        <w:t xml:space="preserve">Journal of Ancient Egyptian Interconnections, </w:t>
      </w:r>
      <w:r>
        <w:t xml:space="preserve">8, pp. 122-125. </w:t>
      </w:r>
      <w:hyperlink r:id="rId12" w:history="1">
        <w:r>
          <w:rPr>
            <w:rStyle w:val="Hyperlink"/>
          </w:rPr>
          <w:t>http://jaei.library.arizona.edu/</w:t>
        </w:r>
      </w:hyperlink>
      <w:r>
        <w:t xml:space="preserve"> , [Accessed 18/06/2019].</w:t>
      </w:r>
    </w:p>
    <w:p w14:paraId="68B0F086" w14:textId="77777777" w:rsidR="00CD7682" w:rsidRDefault="00CD7682" w:rsidP="00CD7682">
      <w:r>
        <w:t xml:space="preserve">Fritze, R. H. (2016) </w:t>
      </w:r>
      <w:r>
        <w:rPr>
          <w:i/>
          <w:iCs/>
        </w:rPr>
        <w:t>Egyptomania: a history of fascination, obsession and fantasy</w:t>
      </w:r>
      <w:r>
        <w:t xml:space="preserve">. London: Reaktion Books. </w:t>
      </w:r>
    </w:p>
    <w:p w14:paraId="67082DA7" w14:textId="77777777" w:rsidR="00CD7682" w:rsidRDefault="00CD7682" w:rsidP="00CD7682">
      <w:pPr>
        <w:rPr>
          <w:rFonts w:cstheme="minorHAnsi"/>
        </w:rPr>
      </w:pPr>
      <w:r>
        <w:t xml:space="preserve">Fryxell, A. (2017) ‘Tutankhamen, Egyptomania, and Temporal Enchantment in Interwar Britain’, </w:t>
      </w:r>
      <w:r>
        <w:rPr>
          <w:i/>
          <w:iCs/>
        </w:rPr>
        <w:t xml:space="preserve">Twentieth Century British History, </w:t>
      </w:r>
      <w:r>
        <w:t xml:space="preserve">28(4), pp. 516-542, </w:t>
      </w:r>
      <w:r>
        <w:rPr>
          <w:rFonts w:cstheme="minorHAnsi"/>
        </w:rPr>
        <w:t>doi:10.1093/tcbh/hwx056 [Accessed 27/07/2019]</w:t>
      </w:r>
    </w:p>
    <w:p w14:paraId="3FCC4BDD" w14:textId="77777777" w:rsidR="00CD7682" w:rsidRDefault="00CD7682" w:rsidP="00CD7682">
      <w:pPr>
        <w:rPr>
          <w:rFonts w:cstheme="minorHAnsi"/>
        </w:rPr>
      </w:pPr>
      <w:r>
        <w:rPr>
          <w:rFonts w:cstheme="minorHAnsi"/>
        </w:rPr>
        <w:lastRenderedPageBreak/>
        <w:t xml:space="preserve">Griffith Institute. (1922) </w:t>
      </w:r>
      <w:r>
        <w:rPr>
          <w:rFonts w:cstheme="minorHAnsi"/>
          <w:i/>
          <w:iCs/>
        </w:rPr>
        <w:t xml:space="preserve">Tutankhamun: Anatomy of an Excavation. Howard Carter’s diaries and journals. The first excavation season in the tomb of Tutankhamun. Part 1: October 28 to December 31, 1922. </w:t>
      </w:r>
      <w:r>
        <w:rPr>
          <w:rFonts w:cstheme="minorHAnsi"/>
        </w:rPr>
        <w:t xml:space="preserve">Available at: </w:t>
      </w:r>
      <w:hyperlink r:id="rId13" w:history="1">
        <w:r>
          <w:rPr>
            <w:rStyle w:val="Hyperlink"/>
            <w:rFonts w:cstheme="minorHAnsi"/>
          </w:rPr>
          <w:t>http://www.griffith.ox.ac.uk/gri/4sea1not.html</w:t>
        </w:r>
      </w:hyperlink>
      <w:r>
        <w:rPr>
          <w:rFonts w:cstheme="minorHAnsi"/>
        </w:rPr>
        <w:t xml:space="preserve"> [Accessed 10/10/19]</w:t>
      </w:r>
    </w:p>
    <w:p w14:paraId="1B874237" w14:textId="77777777" w:rsidR="00CD7682" w:rsidRDefault="00CD7682" w:rsidP="00CD7682">
      <w:r>
        <w:t xml:space="preserve">Hawass, Z. (2006) </w:t>
      </w:r>
      <w:r>
        <w:rPr>
          <w:i/>
          <w:iCs/>
        </w:rPr>
        <w:t>The golden king: the world of Tutankhamun</w:t>
      </w:r>
      <w:r>
        <w:t xml:space="preserve">. Cairo: American university in Cairo press. </w:t>
      </w:r>
    </w:p>
    <w:p w14:paraId="2F040528" w14:textId="77777777" w:rsidR="00CD7682" w:rsidRDefault="00CD7682" w:rsidP="00CD7682">
      <w:r>
        <w:t xml:space="preserve">Hollman, O. G. (2019) </w:t>
      </w:r>
      <w:r>
        <w:rPr>
          <w:i/>
          <w:iCs/>
        </w:rPr>
        <w:t>Coping Through Curse: Confronting British Metropolitan Identity Through The “Curse of Tutankhamen” (1923-1933</w:t>
      </w:r>
      <w:r>
        <w:t>). Unpublished PhD thesis, University of Kansas.</w:t>
      </w:r>
    </w:p>
    <w:p w14:paraId="4846ACD1" w14:textId="77777777" w:rsidR="00CD7682" w:rsidRDefault="00CD7682" w:rsidP="00CD7682">
      <w:r>
        <w:t xml:space="preserve">Ikram, S. (2010) </w:t>
      </w:r>
      <w:r>
        <w:rPr>
          <w:i/>
          <w:iCs/>
        </w:rPr>
        <w:t>Ancient Egypt: an introduction</w:t>
      </w:r>
      <w:r>
        <w:t xml:space="preserve">. New York: Cambridge University Press. </w:t>
      </w:r>
    </w:p>
    <w:p w14:paraId="5A60AD3C" w14:textId="77777777" w:rsidR="00CD7682" w:rsidRDefault="00CD7682" w:rsidP="00CD7682">
      <w:r>
        <w:t xml:space="preserve">Janekowski, J. P. (2000) </w:t>
      </w:r>
      <w:r>
        <w:rPr>
          <w:i/>
          <w:iCs/>
        </w:rPr>
        <w:t>Egypt: a short history</w:t>
      </w:r>
      <w:r>
        <w:t xml:space="preserve">. Oxford: Oneworld. </w:t>
      </w:r>
    </w:p>
    <w:p w14:paraId="49E2B26F" w14:textId="77777777" w:rsidR="00CD7682" w:rsidRDefault="00CD7682" w:rsidP="00CD7682">
      <w:pPr>
        <w:rPr>
          <w:rFonts w:cstheme="minorHAnsi"/>
        </w:rPr>
      </w:pPr>
      <w:r>
        <w:rPr>
          <w:rFonts w:cstheme="minorHAnsi"/>
        </w:rPr>
        <w:t xml:space="preserve">Janot, F. (2010) </w:t>
      </w:r>
      <w:r>
        <w:rPr>
          <w:rFonts w:cstheme="minorHAnsi"/>
          <w:i/>
          <w:iCs/>
        </w:rPr>
        <w:t>The Royal Mummies Immortality in ancient Egypt.</w:t>
      </w:r>
      <w:r>
        <w:rPr>
          <w:rFonts w:cstheme="minorHAnsi"/>
        </w:rPr>
        <w:t xml:space="preserve"> The American University in Cairo Press. </w:t>
      </w:r>
    </w:p>
    <w:p w14:paraId="18E42BC9" w14:textId="77777777" w:rsidR="00CD7682" w:rsidRDefault="00CD7682" w:rsidP="00CD7682">
      <w:r>
        <w:t xml:space="preserve">Jeffreys, D. G. (2003) </w:t>
      </w:r>
      <w:r>
        <w:rPr>
          <w:i/>
          <w:iCs/>
        </w:rPr>
        <w:t>Views of ancient Egypt since Napoleon Bonaparte imperialism, colonialism and modern appropriations</w:t>
      </w:r>
      <w:r>
        <w:t>. London: UCL Press London.</w:t>
      </w:r>
    </w:p>
    <w:p w14:paraId="0470813C" w14:textId="77777777" w:rsidR="00CD7682" w:rsidRDefault="00CD7682" w:rsidP="00CD7682">
      <w:pPr>
        <w:rPr>
          <w:rFonts w:cstheme="minorHAnsi"/>
        </w:rPr>
      </w:pPr>
      <w:r>
        <w:rPr>
          <w:rFonts w:cstheme="minorHAnsi"/>
        </w:rPr>
        <w:t xml:space="preserve">Kozloff, A. P. (2008) ‘Ancient Egypt in Museums Today’, in Wilkinson, R. H. (ed.) </w:t>
      </w:r>
      <w:r>
        <w:rPr>
          <w:rFonts w:cstheme="minorHAnsi"/>
          <w:i/>
          <w:iCs/>
        </w:rPr>
        <w:t xml:space="preserve">Egyptology Today. </w:t>
      </w:r>
      <w:r>
        <w:rPr>
          <w:rFonts w:cstheme="minorHAnsi"/>
        </w:rPr>
        <w:t>New York: Cambridge University Press.</w:t>
      </w:r>
    </w:p>
    <w:p w14:paraId="6B1A8BA6" w14:textId="77777777" w:rsidR="00CD7682" w:rsidRDefault="00CD7682" w:rsidP="00CD7682">
      <w:r>
        <w:t xml:space="preserve">Matthews, R., Roemer, C. &amp; University College London. (2003) </w:t>
      </w:r>
      <w:r>
        <w:rPr>
          <w:i/>
          <w:iCs/>
        </w:rPr>
        <w:t>Ancient perspectives on Egypt</w:t>
      </w:r>
      <w:r>
        <w:t>. London: UCL Press.</w:t>
      </w:r>
    </w:p>
    <w:p w14:paraId="746C49A0" w14:textId="77777777" w:rsidR="00CD7682" w:rsidRDefault="00CD7682" w:rsidP="00CD7682">
      <w:r>
        <w:t xml:space="preserve">Meskell, L. M. (2004) </w:t>
      </w:r>
      <w:r>
        <w:rPr>
          <w:i/>
          <w:iCs/>
        </w:rPr>
        <w:t>Object worlds in ancient Egypt: material biographies past and present</w:t>
      </w:r>
      <w:r>
        <w:t xml:space="preserve">. Oxford: Berg. </w:t>
      </w:r>
    </w:p>
    <w:p w14:paraId="795175BC" w14:textId="77777777" w:rsidR="00CD7682" w:rsidRDefault="00CD7682" w:rsidP="00CD7682">
      <w:r>
        <w:t xml:space="preserve">Moser, S. (2012) </w:t>
      </w:r>
      <w:r>
        <w:rPr>
          <w:i/>
          <w:iCs/>
        </w:rPr>
        <w:t>Wondrous curiosities: ancient Egypt at the British Museum</w:t>
      </w:r>
      <w:r>
        <w:t>. Chicago: University of Chicago Press.</w:t>
      </w:r>
    </w:p>
    <w:p w14:paraId="451E9BD1" w14:textId="77777777" w:rsidR="00CD7682" w:rsidRDefault="00CD7682" w:rsidP="00CD7682">
      <w:r>
        <w:t xml:space="preserve">Reid, D. M. (1985) ‘Indigenous Egyptology: The Decolonization of a Profession?’, </w:t>
      </w:r>
      <w:r>
        <w:rPr>
          <w:i/>
          <w:iCs/>
        </w:rPr>
        <w:t xml:space="preserve">Journal of the American Oriential Society, </w:t>
      </w:r>
      <w:r>
        <w:t xml:space="preserve">105(2), pp.233-246. </w:t>
      </w:r>
      <w:hyperlink r:id="rId14" w:anchor="metadata_info_tab_contents" w:history="1">
        <w:r>
          <w:rPr>
            <w:rStyle w:val="Hyperlink"/>
          </w:rPr>
          <w:t>https://www.jstor.org/stable/601703?seq=1#metadata_info_tab_contents</w:t>
        </w:r>
      </w:hyperlink>
      <w:r>
        <w:t>, [Accessed 18/06/2019].</w:t>
      </w:r>
    </w:p>
    <w:p w14:paraId="424C77C5" w14:textId="77777777" w:rsidR="00CD7682" w:rsidRDefault="00CD7682" w:rsidP="00CD7682">
      <w:r>
        <w:t xml:space="preserve">Reid, D. M. (2003) </w:t>
      </w:r>
      <w:r>
        <w:rPr>
          <w:i/>
          <w:iCs/>
        </w:rPr>
        <w:t>Whose pharaohs? Archaeology, museums, and Egyptian national identity from Napoleon to world war 1.</w:t>
      </w:r>
      <w:r>
        <w:t xml:space="preserve"> Berkeley: University of California Press. </w:t>
      </w:r>
    </w:p>
    <w:p w14:paraId="0A9B880D" w14:textId="77777777" w:rsidR="00CD7682" w:rsidRDefault="00CD7682" w:rsidP="00CD7682">
      <w:r>
        <w:t xml:space="preserve">Reid, D. M. (2015) </w:t>
      </w:r>
      <w:r>
        <w:rPr>
          <w:i/>
          <w:iCs/>
        </w:rPr>
        <w:t>Contesting antiquity in Egypt: archaeologies, museums &amp; the struggle for identities from world war 1 to Nasser</w:t>
      </w:r>
      <w:r>
        <w:t>. Cairo &amp; New York: The American University in Cairo Press.</w:t>
      </w:r>
    </w:p>
    <w:p w14:paraId="0BBF1924" w14:textId="77777777" w:rsidR="00CD7682" w:rsidRDefault="00CD7682" w:rsidP="00CD7682">
      <w:pPr>
        <w:rPr>
          <w:rFonts w:cstheme="minorHAnsi"/>
        </w:rPr>
      </w:pPr>
      <w:r>
        <w:rPr>
          <w:rFonts w:cstheme="minorHAnsi"/>
        </w:rPr>
        <w:t xml:space="preserve">Richmond, J. C. B. (1977) </w:t>
      </w:r>
      <w:r>
        <w:rPr>
          <w:rFonts w:cstheme="minorHAnsi"/>
          <w:i/>
          <w:iCs/>
        </w:rPr>
        <w:t>Egypt 1798-1952</w:t>
      </w:r>
      <w:r>
        <w:rPr>
          <w:rFonts w:cstheme="minorHAnsi"/>
        </w:rPr>
        <w:t xml:space="preserve">. London: Methuen &amp; Co Ltd. </w:t>
      </w:r>
    </w:p>
    <w:p w14:paraId="3D343951" w14:textId="77777777" w:rsidR="00CD7682" w:rsidRDefault="00CD7682" w:rsidP="00CD7682">
      <w:pPr>
        <w:rPr>
          <w:rFonts w:cstheme="minorHAnsi"/>
        </w:rPr>
      </w:pPr>
      <w:r>
        <w:t xml:space="preserve">Saatchi Gallery (2019) </w:t>
      </w:r>
      <w:r>
        <w:rPr>
          <w:i/>
          <w:iCs/>
        </w:rPr>
        <w:t>Tutankhamun Treasures of the Golden Pharaoh</w:t>
      </w:r>
      <w:r>
        <w:t xml:space="preserve">. Available at: </w:t>
      </w:r>
      <w:hyperlink r:id="rId15" w:history="1">
        <w:r>
          <w:rPr>
            <w:rStyle w:val="Hyperlink"/>
          </w:rPr>
          <w:t>https://www.saatchigallery.com/art/tutankhamun.php</w:t>
        </w:r>
      </w:hyperlink>
      <w:r>
        <w:t xml:space="preserve">  [Accessed 03/10/19].</w:t>
      </w:r>
    </w:p>
    <w:p w14:paraId="1787BDF5" w14:textId="77777777" w:rsidR="00CD7682" w:rsidRDefault="00CD7682" w:rsidP="00CD7682">
      <w:r>
        <w:t xml:space="preserve">Shaw, I. (2003) </w:t>
      </w:r>
      <w:r>
        <w:rPr>
          <w:i/>
          <w:iCs/>
        </w:rPr>
        <w:t>The Oxford history of ancient Egypt</w:t>
      </w:r>
      <w:r>
        <w:t xml:space="preserve">. Oxford: Oxford University Press. </w:t>
      </w:r>
    </w:p>
    <w:p w14:paraId="4D8F1833" w14:textId="77777777" w:rsidR="00CD7682" w:rsidRDefault="00CD7682" w:rsidP="00CD7682">
      <w:pPr>
        <w:rPr>
          <w:rFonts w:cstheme="minorHAnsi"/>
        </w:rPr>
      </w:pPr>
      <w:r>
        <w:rPr>
          <w:rFonts w:cstheme="minorHAnsi"/>
        </w:rPr>
        <w:t xml:space="preserve">Shaw, I. (2004) Ancient Egypt A Very Short Introduction. New York: Oxford University Press Inc. </w:t>
      </w:r>
    </w:p>
    <w:p w14:paraId="05A03F36" w14:textId="77777777" w:rsidR="00CD7682" w:rsidRDefault="00CD7682" w:rsidP="00CD7682">
      <w:r>
        <w:t xml:space="preserve">Simon, R. (?) </w:t>
      </w:r>
      <w:r>
        <w:rPr>
          <w:i/>
          <w:iCs/>
        </w:rPr>
        <w:t xml:space="preserve">Seeing More in Cabinets and Blockbusters: A Rhetorical Study of Museum Exhibits. </w:t>
      </w:r>
      <w:r>
        <w:t xml:space="preserve">Unpublished PhD thesis. Pennsylvania State University. </w:t>
      </w:r>
    </w:p>
    <w:p w14:paraId="6FA5B68F" w14:textId="77777777" w:rsidR="00CD7682" w:rsidRDefault="00CD7682" w:rsidP="00CD7682">
      <w:r>
        <w:t xml:space="preserve">Slyomovics, S. (1989) ‘Cross-Cultural Dress and Tourist Performance in Egypt’, </w:t>
      </w:r>
      <w:r>
        <w:rPr>
          <w:i/>
          <w:iCs/>
        </w:rPr>
        <w:t xml:space="preserve">Performing Arts Journal, </w:t>
      </w:r>
      <w:r>
        <w:t xml:space="preserve">11(3), pp. 139-148. </w:t>
      </w:r>
      <w:hyperlink r:id="rId16" w:anchor="metadata_info_tab_contents" w:history="1">
        <w:r>
          <w:rPr>
            <w:rStyle w:val="Hyperlink"/>
          </w:rPr>
          <w:t>https://www.jstor.org/stable/3245432?seq=1#metadata_info_tab_contents</w:t>
        </w:r>
      </w:hyperlink>
      <w:r>
        <w:rPr>
          <w:rStyle w:val="Hyperlink"/>
        </w:rPr>
        <w:t>,</w:t>
      </w:r>
      <w:r>
        <w:t xml:space="preserve"> [Accessed 27/07/2019].</w:t>
      </w:r>
    </w:p>
    <w:p w14:paraId="435971C7" w14:textId="77777777" w:rsidR="00CD7682" w:rsidRDefault="00CD7682" w:rsidP="00CD7682">
      <w:pPr>
        <w:rPr>
          <w:rFonts w:cstheme="minorHAnsi"/>
        </w:rPr>
      </w:pPr>
      <w:r>
        <w:rPr>
          <w:rFonts w:cstheme="minorHAnsi"/>
        </w:rPr>
        <w:t xml:space="preserve">Smith. G. E (1923) </w:t>
      </w:r>
      <w:r>
        <w:rPr>
          <w:rFonts w:cstheme="minorHAnsi"/>
          <w:i/>
          <w:iCs/>
        </w:rPr>
        <w:t xml:space="preserve">Tutankhamen and the Discovery of his Tomb by the Late Earl of Carnarvon and Mr Howard Carter. </w:t>
      </w:r>
      <w:r>
        <w:rPr>
          <w:rFonts w:cstheme="minorHAnsi"/>
        </w:rPr>
        <w:t>London: George Routledge &amp; Sons Ltd</w:t>
      </w:r>
    </w:p>
    <w:p w14:paraId="596EB370" w14:textId="77777777" w:rsidR="00CD7682" w:rsidRDefault="00CD7682" w:rsidP="00CD7682">
      <w:pPr>
        <w:rPr>
          <w:rFonts w:cstheme="minorHAnsi"/>
        </w:rPr>
      </w:pPr>
      <w:r>
        <w:rPr>
          <w:rFonts w:cstheme="minorHAnsi"/>
        </w:rPr>
        <w:t xml:space="preserve">Stevenson, A. (2019) </w:t>
      </w:r>
      <w:r>
        <w:rPr>
          <w:rFonts w:cstheme="minorHAnsi"/>
          <w:i/>
          <w:iCs/>
        </w:rPr>
        <w:t xml:space="preserve">Scattered Find, Archaeology, Egyptology and Museums. </w:t>
      </w:r>
      <w:r>
        <w:rPr>
          <w:rFonts w:cstheme="minorHAnsi"/>
        </w:rPr>
        <w:t>London: UCL Press.</w:t>
      </w:r>
    </w:p>
    <w:p w14:paraId="06E6A8DB" w14:textId="77777777" w:rsidR="00CD7682" w:rsidRDefault="00CD7682" w:rsidP="00CD7682">
      <w:pPr>
        <w:rPr>
          <w:rFonts w:cstheme="minorHAnsi"/>
        </w:rPr>
      </w:pPr>
      <w:r>
        <w:rPr>
          <w:rFonts w:cstheme="minorHAnsi"/>
        </w:rPr>
        <w:t xml:space="preserve">Tatomir, R. (2015) ‘Egyptomania in Antiquity and in Modern World Literature. Imaginary, Intercultural context and mentality’, </w:t>
      </w:r>
      <w:r>
        <w:rPr>
          <w:rFonts w:cstheme="minorHAnsi"/>
          <w:i/>
          <w:iCs/>
        </w:rPr>
        <w:t xml:space="preserve">Discourse as a Form of Multiculturalism in Literature and Communication, </w:t>
      </w:r>
      <w:r>
        <w:rPr>
          <w:rFonts w:cstheme="minorHAnsi"/>
        </w:rPr>
        <w:t xml:space="preserve">pp, 566-581. </w:t>
      </w:r>
      <w:hyperlink r:id="rId17" w:history="1">
        <w:r>
          <w:rPr>
            <w:rStyle w:val="Hyperlink"/>
            <w:rFonts w:cstheme="minorHAnsi"/>
          </w:rPr>
          <w:t>https://www.academia.edu/19750156/Egyptomania_in_Antiquity_and_in_Modern_World_Literature._Imaginary_Intercultural_Context_and_Mentality</w:t>
        </w:r>
      </w:hyperlink>
      <w:r>
        <w:rPr>
          <w:rFonts w:cstheme="minorHAnsi"/>
        </w:rPr>
        <w:t xml:space="preserve"> [Accessed 09/10/19]</w:t>
      </w:r>
    </w:p>
    <w:p w14:paraId="59E892E1" w14:textId="77777777" w:rsidR="00CD7682" w:rsidRDefault="00CD7682" w:rsidP="00CD7682">
      <w:pPr>
        <w:rPr>
          <w:rFonts w:cstheme="minorHAnsi"/>
        </w:rPr>
      </w:pPr>
      <w:r>
        <w:rPr>
          <w:rFonts w:cstheme="minorHAnsi"/>
        </w:rPr>
        <w:t xml:space="preserve">Thompson, J. (2016) </w:t>
      </w:r>
      <w:r>
        <w:rPr>
          <w:rFonts w:cstheme="minorHAnsi"/>
          <w:i/>
          <w:iCs/>
        </w:rPr>
        <w:t>Wonderful Things: A History of Egyptology. Vol 2 The Golden Age: 1881-1914</w:t>
      </w:r>
      <w:r>
        <w:rPr>
          <w:rFonts w:cstheme="minorHAnsi"/>
        </w:rPr>
        <w:t>. The American University in Cairo Press.</w:t>
      </w:r>
    </w:p>
    <w:bookmarkEnd w:id="1"/>
    <w:p w14:paraId="4A5799DB" w14:textId="77777777" w:rsidR="00CD7682" w:rsidRDefault="00CD7682" w:rsidP="00CD7682">
      <w:r>
        <w:t xml:space="preserve">Wood, M. (1998) ‘The Use of the Pharaonic Past in Modern Egyptian Nationalism’, </w:t>
      </w:r>
      <w:r>
        <w:rPr>
          <w:i/>
          <w:iCs/>
        </w:rPr>
        <w:t xml:space="preserve">Journal of the American Research Center in Egypt, </w:t>
      </w:r>
      <w:r>
        <w:t xml:space="preserve">35, pp. 179-196 </w:t>
      </w:r>
      <w:hyperlink r:id="rId18" w:anchor="metadata_info_tab_contents" w:history="1">
        <w:r>
          <w:rPr>
            <w:rStyle w:val="Hyperlink"/>
          </w:rPr>
          <w:t>https://www.jstor.org/stable/40000469#metadata_info_tab_contents</w:t>
        </w:r>
      </w:hyperlink>
      <w:r>
        <w:t>, [Accessed 27/07/2019]</w:t>
      </w:r>
    </w:p>
    <w:p w14:paraId="1DB6316A" w14:textId="77777777" w:rsidR="00CD7682" w:rsidRDefault="00CD7682" w:rsidP="00CD7682"/>
    <w:p w14:paraId="71927497" w14:textId="77777777" w:rsidR="00CD7682" w:rsidRDefault="00CD7682" w:rsidP="00CD7682">
      <w:pPr>
        <w:rPr>
          <w:b/>
          <w:bCs/>
        </w:rPr>
      </w:pPr>
      <w:r>
        <w:rPr>
          <w:b/>
          <w:bCs/>
        </w:rPr>
        <w:t xml:space="preserve">Appendix C. Plan of action for dissertation work. M, Pak 2019. </w:t>
      </w:r>
    </w:p>
    <w:tbl>
      <w:tblPr>
        <w:tblW w:w="9026" w:type="dxa"/>
        <w:tblLook w:val="04A0" w:firstRow="1" w:lastRow="0" w:firstColumn="1" w:lastColumn="0" w:noHBand="0" w:noVBand="1"/>
      </w:tblPr>
      <w:tblGrid>
        <w:gridCol w:w="1414"/>
        <w:gridCol w:w="995"/>
        <w:gridCol w:w="1305"/>
        <w:gridCol w:w="1301"/>
        <w:gridCol w:w="927"/>
        <w:gridCol w:w="1017"/>
        <w:gridCol w:w="1042"/>
        <w:gridCol w:w="1025"/>
      </w:tblGrid>
      <w:tr w:rsidR="00CD7682" w14:paraId="5D06AA5E" w14:textId="77777777" w:rsidTr="00CD7682">
        <w:trPr>
          <w:trHeight w:val="300"/>
        </w:trPr>
        <w:tc>
          <w:tcPr>
            <w:tcW w:w="1415" w:type="dxa"/>
            <w:noWrap/>
            <w:vAlign w:val="bottom"/>
            <w:hideMark/>
          </w:tcPr>
          <w:p w14:paraId="1A8FB0D4" w14:textId="77777777" w:rsidR="00CD7682" w:rsidRDefault="00CD7682">
            <w:pPr>
              <w:rPr>
                <w:b/>
                <w:bCs/>
              </w:rPr>
            </w:pPr>
          </w:p>
        </w:tc>
        <w:tc>
          <w:tcPr>
            <w:tcW w:w="995" w:type="dxa"/>
            <w:noWrap/>
            <w:vAlign w:val="bottom"/>
            <w:hideMark/>
          </w:tcPr>
          <w:p w14:paraId="157F851E"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October</w:t>
            </w:r>
          </w:p>
        </w:tc>
        <w:tc>
          <w:tcPr>
            <w:tcW w:w="1305" w:type="dxa"/>
            <w:noWrap/>
            <w:vAlign w:val="bottom"/>
            <w:hideMark/>
          </w:tcPr>
          <w:p w14:paraId="58228A0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November</w:t>
            </w:r>
          </w:p>
        </w:tc>
        <w:tc>
          <w:tcPr>
            <w:tcW w:w="1301" w:type="dxa"/>
            <w:noWrap/>
            <w:vAlign w:val="bottom"/>
            <w:hideMark/>
          </w:tcPr>
          <w:p w14:paraId="4016A00A"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December</w:t>
            </w:r>
          </w:p>
        </w:tc>
        <w:tc>
          <w:tcPr>
            <w:tcW w:w="927" w:type="dxa"/>
            <w:noWrap/>
            <w:vAlign w:val="bottom"/>
            <w:hideMark/>
          </w:tcPr>
          <w:p w14:paraId="3F066385"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January</w:t>
            </w:r>
          </w:p>
        </w:tc>
        <w:tc>
          <w:tcPr>
            <w:tcW w:w="1016" w:type="dxa"/>
            <w:noWrap/>
            <w:vAlign w:val="bottom"/>
            <w:hideMark/>
          </w:tcPr>
          <w:p w14:paraId="7324AE85"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February</w:t>
            </w:r>
          </w:p>
        </w:tc>
        <w:tc>
          <w:tcPr>
            <w:tcW w:w="1042" w:type="dxa"/>
            <w:noWrap/>
            <w:vAlign w:val="bottom"/>
            <w:hideMark/>
          </w:tcPr>
          <w:p w14:paraId="61480FE9"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March</w:t>
            </w:r>
          </w:p>
        </w:tc>
        <w:tc>
          <w:tcPr>
            <w:tcW w:w="1025" w:type="dxa"/>
            <w:noWrap/>
            <w:vAlign w:val="bottom"/>
            <w:hideMark/>
          </w:tcPr>
          <w:p w14:paraId="2497578E"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April</w:t>
            </w:r>
          </w:p>
        </w:tc>
      </w:tr>
      <w:tr w:rsidR="00CD7682" w14:paraId="07CC8F54" w14:textId="77777777" w:rsidTr="00CD7682">
        <w:trPr>
          <w:trHeight w:val="300"/>
        </w:trPr>
        <w:tc>
          <w:tcPr>
            <w:tcW w:w="1415" w:type="dxa"/>
            <w:noWrap/>
            <w:vAlign w:val="bottom"/>
            <w:hideMark/>
          </w:tcPr>
          <w:p w14:paraId="63C2B26F"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Reading &amp; notes</w:t>
            </w:r>
          </w:p>
        </w:tc>
        <w:tc>
          <w:tcPr>
            <w:tcW w:w="995" w:type="dxa"/>
            <w:shd w:val="clear" w:color="auto" w:fill="CC00CC"/>
            <w:noWrap/>
            <w:vAlign w:val="bottom"/>
            <w:hideMark/>
          </w:tcPr>
          <w:p w14:paraId="3F4447CE"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5" w:type="dxa"/>
            <w:shd w:val="clear" w:color="auto" w:fill="CC00CC"/>
            <w:noWrap/>
            <w:vAlign w:val="bottom"/>
            <w:hideMark/>
          </w:tcPr>
          <w:p w14:paraId="398390DD"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1" w:type="dxa"/>
            <w:shd w:val="clear" w:color="auto" w:fill="CC00CC"/>
            <w:noWrap/>
            <w:vAlign w:val="bottom"/>
            <w:hideMark/>
          </w:tcPr>
          <w:p w14:paraId="07593EC3"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shd w:val="clear" w:color="auto" w:fill="CC00CC"/>
            <w:noWrap/>
            <w:vAlign w:val="bottom"/>
            <w:hideMark/>
          </w:tcPr>
          <w:p w14:paraId="05C97577"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16" w:type="dxa"/>
            <w:shd w:val="clear" w:color="auto" w:fill="CC00CC"/>
            <w:noWrap/>
            <w:vAlign w:val="bottom"/>
            <w:hideMark/>
          </w:tcPr>
          <w:p w14:paraId="1CAC19A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42" w:type="dxa"/>
            <w:shd w:val="clear" w:color="auto" w:fill="CC00CC"/>
            <w:noWrap/>
            <w:vAlign w:val="bottom"/>
            <w:hideMark/>
          </w:tcPr>
          <w:p w14:paraId="11617AE2"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25" w:type="dxa"/>
            <w:shd w:val="clear" w:color="auto" w:fill="CC00CC"/>
            <w:noWrap/>
            <w:vAlign w:val="bottom"/>
            <w:hideMark/>
          </w:tcPr>
          <w:p w14:paraId="63B3E7B2"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CD7682" w14:paraId="60FA153F" w14:textId="77777777" w:rsidTr="00CD7682">
        <w:trPr>
          <w:trHeight w:val="300"/>
        </w:trPr>
        <w:tc>
          <w:tcPr>
            <w:tcW w:w="1415" w:type="dxa"/>
            <w:noWrap/>
            <w:vAlign w:val="bottom"/>
            <w:hideMark/>
          </w:tcPr>
          <w:p w14:paraId="4DA34010"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Planning</w:t>
            </w:r>
          </w:p>
        </w:tc>
        <w:tc>
          <w:tcPr>
            <w:tcW w:w="995" w:type="dxa"/>
            <w:shd w:val="clear" w:color="auto" w:fill="FF0000"/>
            <w:noWrap/>
            <w:vAlign w:val="bottom"/>
            <w:hideMark/>
          </w:tcPr>
          <w:p w14:paraId="0ADD88A6"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5" w:type="dxa"/>
            <w:shd w:val="clear" w:color="auto" w:fill="FF0000"/>
            <w:noWrap/>
            <w:vAlign w:val="bottom"/>
            <w:hideMark/>
          </w:tcPr>
          <w:p w14:paraId="6FCFEBD1"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1" w:type="dxa"/>
            <w:shd w:val="clear" w:color="auto" w:fill="FF0000"/>
            <w:noWrap/>
            <w:vAlign w:val="bottom"/>
            <w:hideMark/>
          </w:tcPr>
          <w:p w14:paraId="1696B4E1"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shd w:val="clear" w:color="auto" w:fill="FF0000"/>
            <w:noWrap/>
            <w:vAlign w:val="bottom"/>
            <w:hideMark/>
          </w:tcPr>
          <w:p w14:paraId="2EA5CA45"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16" w:type="dxa"/>
            <w:shd w:val="clear" w:color="auto" w:fill="FF0000"/>
            <w:noWrap/>
            <w:vAlign w:val="bottom"/>
            <w:hideMark/>
          </w:tcPr>
          <w:p w14:paraId="294D8B31"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42" w:type="dxa"/>
            <w:noWrap/>
            <w:vAlign w:val="bottom"/>
            <w:hideMark/>
          </w:tcPr>
          <w:p w14:paraId="1EE18D47" w14:textId="77777777" w:rsidR="00CD7682" w:rsidRDefault="00CD7682">
            <w:pPr>
              <w:rPr>
                <w:rFonts w:ascii="Calibri" w:eastAsia="Times New Roman" w:hAnsi="Calibri" w:cs="Calibri"/>
                <w:color w:val="000000"/>
                <w:lang w:eastAsia="en-GB"/>
              </w:rPr>
            </w:pPr>
          </w:p>
        </w:tc>
        <w:tc>
          <w:tcPr>
            <w:tcW w:w="1025" w:type="dxa"/>
            <w:noWrap/>
            <w:vAlign w:val="bottom"/>
            <w:hideMark/>
          </w:tcPr>
          <w:p w14:paraId="4DF5924B" w14:textId="77777777" w:rsidR="00CD7682" w:rsidRDefault="00CD7682">
            <w:pPr>
              <w:spacing w:after="0"/>
              <w:rPr>
                <w:sz w:val="20"/>
                <w:szCs w:val="20"/>
                <w:lang w:eastAsia="en-GB"/>
              </w:rPr>
            </w:pPr>
          </w:p>
        </w:tc>
      </w:tr>
      <w:tr w:rsidR="00CD7682" w14:paraId="07C41976" w14:textId="77777777" w:rsidTr="00CD7682">
        <w:trPr>
          <w:trHeight w:val="300"/>
        </w:trPr>
        <w:tc>
          <w:tcPr>
            <w:tcW w:w="1415" w:type="dxa"/>
            <w:noWrap/>
            <w:vAlign w:val="bottom"/>
            <w:hideMark/>
          </w:tcPr>
          <w:p w14:paraId="750DEF18"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Writing</w:t>
            </w:r>
          </w:p>
        </w:tc>
        <w:tc>
          <w:tcPr>
            <w:tcW w:w="995" w:type="dxa"/>
            <w:shd w:val="clear" w:color="auto" w:fill="FFC000"/>
            <w:noWrap/>
            <w:vAlign w:val="bottom"/>
            <w:hideMark/>
          </w:tcPr>
          <w:p w14:paraId="329A6A6C"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5" w:type="dxa"/>
            <w:shd w:val="clear" w:color="auto" w:fill="FFC000"/>
            <w:noWrap/>
            <w:vAlign w:val="bottom"/>
            <w:hideMark/>
          </w:tcPr>
          <w:p w14:paraId="68F19111"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1" w:type="dxa"/>
            <w:shd w:val="clear" w:color="auto" w:fill="FFC000"/>
            <w:noWrap/>
            <w:vAlign w:val="bottom"/>
            <w:hideMark/>
          </w:tcPr>
          <w:p w14:paraId="16571F3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shd w:val="clear" w:color="auto" w:fill="FFC000"/>
            <w:noWrap/>
            <w:vAlign w:val="bottom"/>
            <w:hideMark/>
          </w:tcPr>
          <w:p w14:paraId="2755DD0C"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16" w:type="dxa"/>
            <w:shd w:val="clear" w:color="auto" w:fill="FFC000"/>
            <w:noWrap/>
            <w:vAlign w:val="bottom"/>
            <w:hideMark/>
          </w:tcPr>
          <w:p w14:paraId="240DDB32"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42" w:type="dxa"/>
            <w:shd w:val="clear" w:color="auto" w:fill="FFC000"/>
            <w:noWrap/>
            <w:vAlign w:val="bottom"/>
            <w:hideMark/>
          </w:tcPr>
          <w:p w14:paraId="429ECBB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25" w:type="dxa"/>
            <w:shd w:val="clear" w:color="auto" w:fill="FFC000"/>
            <w:noWrap/>
            <w:vAlign w:val="bottom"/>
            <w:hideMark/>
          </w:tcPr>
          <w:p w14:paraId="60FA921C"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CD7682" w14:paraId="079B1FE7" w14:textId="77777777" w:rsidTr="00CD7682">
        <w:trPr>
          <w:trHeight w:val="300"/>
        </w:trPr>
        <w:tc>
          <w:tcPr>
            <w:tcW w:w="1415" w:type="dxa"/>
            <w:noWrap/>
            <w:vAlign w:val="bottom"/>
            <w:hideMark/>
          </w:tcPr>
          <w:p w14:paraId="09117CD1"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Contents</w:t>
            </w:r>
          </w:p>
        </w:tc>
        <w:tc>
          <w:tcPr>
            <w:tcW w:w="995" w:type="dxa"/>
            <w:shd w:val="clear" w:color="auto" w:fill="92D050"/>
            <w:noWrap/>
            <w:vAlign w:val="bottom"/>
            <w:hideMark/>
          </w:tcPr>
          <w:p w14:paraId="7EEE1332"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5" w:type="dxa"/>
            <w:noWrap/>
            <w:vAlign w:val="bottom"/>
            <w:hideMark/>
          </w:tcPr>
          <w:p w14:paraId="0E636AFD" w14:textId="77777777" w:rsidR="00CD7682" w:rsidRDefault="00CD7682">
            <w:pPr>
              <w:rPr>
                <w:rFonts w:ascii="Calibri" w:eastAsia="Times New Roman" w:hAnsi="Calibri" w:cs="Calibri"/>
                <w:color w:val="000000"/>
                <w:lang w:eastAsia="en-GB"/>
              </w:rPr>
            </w:pPr>
          </w:p>
        </w:tc>
        <w:tc>
          <w:tcPr>
            <w:tcW w:w="1301" w:type="dxa"/>
            <w:noWrap/>
            <w:vAlign w:val="bottom"/>
            <w:hideMark/>
          </w:tcPr>
          <w:p w14:paraId="170C2F46" w14:textId="77777777" w:rsidR="00CD7682" w:rsidRDefault="00CD7682">
            <w:pPr>
              <w:spacing w:after="0"/>
              <w:rPr>
                <w:sz w:val="20"/>
                <w:szCs w:val="20"/>
                <w:lang w:eastAsia="en-GB"/>
              </w:rPr>
            </w:pPr>
          </w:p>
        </w:tc>
        <w:tc>
          <w:tcPr>
            <w:tcW w:w="927" w:type="dxa"/>
            <w:noWrap/>
            <w:vAlign w:val="bottom"/>
            <w:hideMark/>
          </w:tcPr>
          <w:p w14:paraId="497E4F38" w14:textId="77777777" w:rsidR="00CD7682" w:rsidRDefault="00CD7682">
            <w:pPr>
              <w:spacing w:after="0"/>
              <w:rPr>
                <w:sz w:val="20"/>
                <w:szCs w:val="20"/>
                <w:lang w:eastAsia="en-GB"/>
              </w:rPr>
            </w:pPr>
          </w:p>
        </w:tc>
        <w:tc>
          <w:tcPr>
            <w:tcW w:w="1016" w:type="dxa"/>
            <w:noWrap/>
            <w:vAlign w:val="bottom"/>
            <w:hideMark/>
          </w:tcPr>
          <w:p w14:paraId="0DB1F96E" w14:textId="77777777" w:rsidR="00CD7682" w:rsidRDefault="00CD7682">
            <w:pPr>
              <w:spacing w:after="0"/>
              <w:rPr>
                <w:sz w:val="20"/>
                <w:szCs w:val="20"/>
                <w:lang w:eastAsia="en-GB"/>
              </w:rPr>
            </w:pPr>
          </w:p>
        </w:tc>
        <w:tc>
          <w:tcPr>
            <w:tcW w:w="1042" w:type="dxa"/>
            <w:shd w:val="clear" w:color="auto" w:fill="92D050"/>
            <w:noWrap/>
            <w:vAlign w:val="bottom"/>
            <w:hideMark/>
          </w:tcPr>
          <w:p w14:paraId="7FBA9B84"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25" w:type="dxa"/>
            <w:shd w:val="clear" w:color="auto" w:fill="92D050"/>
            <w:noWrap/>
            <w:vAlign w:val="bottom"/>
            <w:hideMark/>
          </w:tcPr>
          <w:p w14:paraId="34ED1DC0"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CD7682" w14:paraId="02659127" w14:textId="77777777" w:rsidTr="00CD7682">
        <w:trPr>
          <w:trHeight w:val="300"/>
        </w:trPr>
        <w:tc>
          <w:tcPr>
            <w:tcW w:w="1415" w:type="dxa"/>
            <w:noWrap/>
            <w:vAlign w:val="bottom"/>
            <w:hideMark/>
          </w:tcPr>
          <w:p w14:paraId="65238987"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Editing</w:t>
            </w:r>
          </w:p>
        </w:tc>
        <w:tc>
          <w:tcPr>
            <w:tcW w:w="995" w:type="dxa"/>
            <w:shd w:val="clear" w:color="auto" w:fill="00B0F0"/>
            <w:noWrap/>
            <w:vAlign w:val="bottom"/>
            <w:hideMark/>
          </w:tcPr>
          <w:p w14:paraId="1F5FEB1E"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5" w:type="dxa"/>
            <w:shd w:val="clear" w:color="auto" w:fill="00B0F0"/>
            <w:noWrap/>
            <w:vAlign w:val="bottom"/>
            <w:hideMark/>
          </w:tcPr>
          <w:p w14:paraId="3DCBA707"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1" w:type="dxa"/>
            <w:shd w:val="clear" w:color="auto" w:fill="00B0F0"/>
            <w:noWrap/>
            <w:vAlign w:val="bottom"/>
            <w:hideMark/>
          </w:tcPr>
          <w:p w14:paraId="48D39C2C"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shd w:val="clear" w:color="auto" w:fill="00B0F0"/>
            <w:noWrap/>
            <w:vAlign w:val="bottom"/>
            <w:hideMark/>
          </w:tcPr>
          <w:p w14:paraId="791B1BA6"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16" w:type="dxa"/>
            <w:shd w:val="clear" w:color="auto" w:fill="00B0F0"/>
            <w:noWrap/>
            <w:vAlign w:val="bottom"/>
            <w:hideMark/>
          </w:tcPr>
          <w:p w14:paraId="20009D14"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42" w:type="dxa"/>
            <w:shd w:val="clear" w:color="auto" w:fill="00B0F0"/>
            <w:noWrap/>
            <w:vAlign w:val="bottom"/>
            <w:hideMark/>
          </w:tcPr>
          <w:p w14:paraId="5296BFC9"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25" w:type="dxa"/>
            <w:shd w:val="clear" w:color="auto" w:fill="00B0F0"/>
            <w:noWrap/>
            <w:vAlign w:val="bottom"/>
            <w:hideMark/>
          </w:tcPr>
          <w:p w14:paraId="7C4872B5"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CD7682" w14:paraId="3A8F2C29" w14:textId="77777777" w:rsidTr="00CD7682">
        <w:trPr>
          <w:trHeight w:val="300"/>
        </w:trPr>
        <w:tc>
          <w:tcPr>
            <w:tcW w:w="1415" w:type="dxa"/>
            <w:noWrap/>
            <w:vAlign w:val="bottom"/>
            <w:hideMark/>
          </w:tcPr>
          <w:p w14:paraId="0D7E4157"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Printing</w:t>
            </w:r>
          </w:p>
        </w:tc>
        <w:tc>
          <w:tcPr>
            <w:tcW w:w="995" w:type="dxa"/>
            <w:noWrap/>
            <w:vAlign w:val="bottom"/>
            <w:hideMark/>
          </w:tcPr>
          <w:p w14:paraId="3F9D549D" w14:textId="77777777" w:rsidR="00CD7682" w:rsidRDefault="00CD7682">
            <w:pPr>
              <w:rPr>
                <w:rFonts w:ascii="Calibri" w:eastAsia="Times New Roman" w:hAnsi="Calibri" w:cs="Calibri"/>
                <w:color w:val="000000"/>
                <w:lang w:eastAsia="en-GB"/>
              </w:rPr>
            </w:pPr>
          </w:p>
        </w:tc>
        <w:tc>
          <w:tcPr>
            <w:tcW w:w="1305" w:type="dxa"/>
            <w:noWrap/>
            <w:vAlign w:val="bottom"/>
            <w:hideMark/>
          </w:tcPr>
          <w:p w14:paraId="11C3E9BF" w14:textId="77777777" w:rsidR="00CD7682" w:rsidRDefault="00CD7682">
            <w:pPr>
              <w:spacing w:after="0"/>
              <w:rPr>
                <w:sz w:val="20"/>
                <w:szCs w:val="20"/>
                <w:lang w:eastAsia="en-GB"/>
              </w:rPr>
            </w:pPr>
          </w:p>
        </w:tc>
        <w:tc>
          <w:tcPr>
            <w:tcW w:w="1301" w:type="dxa"/>
            <w:noWrap/>
            <w:vAlign w:val="bottom"/>
            <w:hideMark/>
          </w:tcPr>
          <w:p w14:paraId="23EB0EA5" w14:textId="77777777" w:rsidR="00CD7682" w:rsidRDefault="00CD7682">
            <w:pPr>
              <w:spacing w:after="0"/>
              <w:rPr>
                <w:sz w:val="20"/>
                <w:szCs w:val="20"/>
                <w:lang w:eastAsia="en-GB"/>
              </w:rPr>
            </w:pPr>
          </w:p>
        </w:tc>
        <w:tc>
          <w:tcPr>
            <w:tcW w:w="927" w:type="dxa"/>
            <w:noWrap/>
            <w:vAlign w:val="bottom"/>
            <w:hideMark/>
          </w:tcPr>
          <w:p w14:paraId="0B9D83A5" w14:textId="77777777" w:rsidR="00CD7682" w:rsidRDefault="00CD7682">
            <w:pPr>
              <w:spacing w:after="0"/>
              <w:rPr>
                <w:sz w:val="20"/>
                <w:szCs w:val="20"/>
                <w:lang w:eastAsia="en-GB"/>
              </w:rPr>
            </w:pPr>
          </w:p>
        </w:tc>
        <w:tc>
          <w:tcPr>
            <w:tcW w:w="1016" w:type="dxa"/>
            <w:noWrap/>
            <w:vAlign w:val="bottom"/>
            <w:hideMark/>
          </w:tcPr>
          <w:p w14:paraId="34D01128" w14:textId="77777777" w:rsidR="00CD7682" w:rsidRDefault="00CD7682">
            <w:pPr>
              <w:spacing w:after="0"/>
              <w:rPr>
                <w:sz w:val="20"/>
                <w:szCs w:val="20"/>
                <w:lang w:eastAsia="en-GB"/>
              </w:rPr>
            </w:pPr>
          </w:p>
        </w:tc>
        <w:tc>
          <w:tcPr>
            <w:tcW w:w="1042" w:type="dxa"/>
            <w:noWrap/>
            <w:vAlign w:val="bottom"/>
            <w:hideMark/>
          </w:tcPr>
          <w:p w14:paraId="2D2EF88F" w14:textId="77777777" w:rsidR="00CD7682" w:rsidRDefault="00CD7682">
            <w:pPr>
              <w:spacing w:after="0"/>
              <w:rPr>
                <w:sz w:val="20"/>
                <w:szCs w:val="20"/>
                <w:lang w:eastAsia="en-GB"/>
              </w:rPr>
            </w:pPr>
          </w:p>
        </w:tc>
        <w:tc>
          <w:tcPr>
            <w:tcW w:w="1025" w:type="dxa"/>
            <w:shd w:val="clear" w:color="auto" w:fill="FFFF00"/>
            <w:noWrap/>
            <w:vAlign w:val="bottom"/>
            <w:hideMark/>
          </w:tcPr>
          <w:p w14:paraId="7E02554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CD7682" w14:paraId="531E716C" w14:textId="77777777" w:rsidTr="00CD7682">
        <w:trPr>
          <w:trHeight w:val="300"/>
        </w:trPr>
        <w:tc>
          <w:tcPr>
            <w:tcW w:w="1415" w:type="dxa"/>
            <w:noWrap/>
            <w:vAlign w:val="bottom"/>
            <w:hideMark/>
          </w:tcPr>
          <w:p w14:paraId="219DFBEF"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Bibliography</w:t>
            </w:r>
          </w:p>
        </w:tc>
        <w:tc>
          <w:tcPr>
            <w:tcW w:w="995" w:type="dxa"/>
            <w:shd w:val="clear" w:color="auto" w:fill="002060"/>
            <w:noWrap/>
            <w:vAlign w:val="bottom"/>
            <w:hideMark/>
          </w:tcPr>
          <w:p w14:paraId="44D6CDE6"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5" w:type="dxa"/>
            <w:shd w:val="clear" w:color="auto" w:fill="002060"/>
            <w:noWrap/>
            <w:vAlign w:val="bottom"/>
            <w:hideMark/>
          </w:tcPr>
          <w:p w14:paraId="7FA5D4B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01" w:type="dxa"/>
            <w:shd w:val="clear" w:color="auto" w:fill="002060"/>
            <w:noWrap/>
            <w:vAlign w:val="bottom"/>
            <w:hideMark/>
          </w:tcPr>
          <w:p w14:paraId="17DF0485"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shd w:val="clear" w:color="auto" w:fill="002060"/>
            <w:noWrap/>
            <w:vAlign w:val="bottom"/>
            <w:hideMark/>
          </w:tcPr>
          <w:p w14:paraId="61BD1C16"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16" w:type="dxa"/>
            <w:shd w:val="clear" w:color="auto" w:fill="002060"/>
            <w:noWrap/>
            <w:vAlign w:val="bottom"/>
            <w:hideMark/>
          </w:tcPr>
          <w:p w14:paraId="2EEB538E"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42" w:type="dxa"/>
            <w:shd w:val="clear" w:color="auto" w:fill="002060"/>
            <w:noWrap/>
            <w:vAlign w:val="bottom"/>
            <w:hideMark/>
          </w:tcPr>
          <w:p w14:paraId="14F14714"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25" w:type="dxa"/>
            <w:shd w:val="clear" w:color="auto" w:fill="002060"/>
            <w:noWrap/>
            <w:vAlign w:val="bottom"/>
            <w:hideMark/>
          </w:tcPr>
          <w:p w14:paraId="0740919A"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CD7682" w14:paraId="0AAFC44A" w14:textId="77777777" w:rsidTr="00CD7682">
        <w:trPr>
          <w:trHeight w:val="300"/>
        </w:trPr>
        <w:tc>
          <w:tcPr>
            <w:tcW w:w="1415" w:type="dxa"/>
            <w:noWrap/>
            <w:vAlign w:val="bottom"/>
            <w:hideMark/>
          </w:tcPr>
          <w:p w14:paraId="51F22A14"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Illustrations</w:t>
            </w:r>
          </w:p>
        </w:tc>
        <w:tc>
          <w:tcPr>
            <w:tcW w:w="995" w:type="dxa"/>
            <w:noWrap/>
            <w:vAlign w:val="bottom"/>
            <w:hideMark/>
          </w:tcPr>
          <w:p w14:paraId="5245260B" w14:textId="77777777" w:rsidR="00CD7682" w:rsidRDefault="00CD7682">
            <w:pPr>
              <w:rPr>
                <w:rFonts w:ascii="Calibri" w:eastAsia="Times New Roman" w:hAnsi="Calibri" w:cs="Calibri"/>
                <w:color w:val="000000"/>
                <w:lang w:eastAsia="en-GB"/>
              </w:rPr>
            </w:pPr>
          </w:p>
        </w:tc>
        <w:tc>
          <w:tcPr>
            <w:tcW w:w="1305" w:type="dxa"/>
            <w:noWrap/>
            <w:vAlign w:val="bottom"/>
            <w:hideMark/>
          </w:tcPr>
          <w:p w14:paraId="41D15999" w14:textId="77777777" w:rsidR="00CD7682" w:rsidRDefault="00CD7682">
            <w:pPr>
              <w:spacing w:after="0"/>
              <w:rPr>
                <w:sz w:val="20"/>
                <w:szCs w:val="20"/>
                <w:lang w:eastAsia="en-GB"/>
              </w:rPr>
            </w:pPr>
          </w:p>
        </w:tc>
        <w:tc>
          <w:tcPr>
            <w:tcW w:w="1301" w:type="dxa"/>
            <w:shd w:val="clear" w:color="auto" w:fill="FF0066"/>
            <w:noWrap/>
            <w:vAlign w:val="bottom"/>
            <w:hideMark/>
          </w:tcPr>
          <w:p w14:paraId="1767281D"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shd w:val="clear" w:color="auto" w:fill="FF0066"/>
            <w:noWrap/>
            <w:vAlign w:val="bottom"/>
            <w:hideMark/>
          </w:tcPr>
          <w:p w14:paraId="6B7A98BB"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16" w:type="dxa"/>
            <w:shd w:val="clear" w:color="auto" w:fill="FF0066"/>
            <w:noWrap/>
            <w:vAlign w:val="bottom"/>
            <w:hideMark/>
          </w:tcPr>
          <w:p w14:paraId="5942209D"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42" w:type="dxa"/>
            <w:shd w:val="clear" w:color="auto" w:fill="FF0066"/>
            <w:noWrap/>
            <w:vAlign w:val="bottom"/>
            <w:hideMark/>
          </w:tcPr>
          <w:p w14:paraId="58EA096A"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25" w:type="dxa"/>
            <w:shd w:val="clear" w:color="auto" w:fill="FF0066"/>
            <w:noWrap/>
            <w:vAlign w:val="bottom"/>
            <w:hideMark/>
          </w:tcPr>
          <w:p w14:paraId="2578144E" w14:textId="77777777" w:rsidR="00CD7682" w:rsidRDefault="00CD768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1409F718" w14:textId="77777777" w:rsidR="00CD7682" w:rsidRDefault="00CD7682" w:rsidP="00CD7682"/>
    <w:p w14:paraId="28FBCD34" w14:textId="45ECE9EC" w:rsidR="00CD7682" w:rsidRDefault="00CD7682" w:rsidP="00CD7682">
      <w:pPr>
        <w:rPr>
          <w:b/>
          <w:bCs/>
        </w:rPr>
      </w:pPr>
    </w:p>
    <w:p w14:paraId="2CD6D502" w14:textId="48B67D9A" w:rsidR="00820116" w:rsidRDefault="00820116" w:rsidP="00CD7682">
      <w:pPr>
        <w:rPr>
          <w:b/>
          <w:bCs/>
        </w:rPr>
      </w:pPr>
    </w:p>
    <w:p w14:paraId="1BFD488D" w14:textId="5ED50743" w:rsidR="00820116" w:rsidRDefault="00820116" w:rsidP="00CD7682">
      <w:pPr>
        <w:rPr>
          <w:b/>
          <w:bCs/>
        </w:rPr>
      </w:pPr>
    </w:p>
    <w:p w14:paraId="2D847E77" w14:textId="4EF46F00" w:rsidR="00820116" w:rsidRDefault="00820116" w:rsidP="00CD7682">
      <w:pPr>
        <w:rPr>
          <w:b/>
          <w:bCs/>
        </w:rPr>
      </w:pPr>
    </w:p>
    <w:p w14:paraId="12532FB0" w14:textId="1C5940DE" w:rsidR="00820116" w:rsidRDefault="00820116" w:rsidP="00CD7682">
      <w:pPr>
        <w:rPr>
          <w:b/>
          <w:bCs/>
        </w:rPr>
      </w:pPr>
    </w:p>
    <w:p w14:paraId="271A3488" w14:textId="335DFB81" w:rsidR="00820116" w:rsidRDefault="00820116" w:rsidP="00CD7682">
      <w:pPr>
        <w:rPr>
          <w:b/>
          <w:bCs/>
        </w:rPr>
      </w:pPr>
    </w:p>
    <w:p w14:paraId="3786633F" w14:textId="399A4A7E" w:rsidR="00820116" w:rsidRDefault="00820116" w:rsidP="00CD7682">
      <w:pPr>
        <w:rPr>
          <w:b/>
          <w:bCs/>
        </w:rPr>
      </w:pPr>
    </w:p>
    <w:p w14:paraId="6F289F1C" w14:textId="046CDF20" w:rsidR="00820116" w:rsidRDefault="00820116" w:rsidP="00CD7682">
      <w:pPr>
        <w:rPr>
          <w:b/>
          <w:bCs/>
        </w:rPr>
      </w:pPr>
    </w:p>
    <w:p w14:paraId="5FB87C1B" w14:textId="437DFB77" w:rsidR="00820116" w:rsidRDefault="00820116" w:rsidP="00CD7682">
      <w:pPr>
        <w:rPr>
          <w:b/>
          <w:bCs/>
        </w:rPr>
      </w:pPr>
    </w:p>
    <w:p w14:paraId="4792D06E" w14:textId="6652D5B0" w:rsidR="00820116" w:rsidRDefault="00820116" w:rsidP="00CD7682">
      <w:pPr>
        <w:rPr>
          <w:b/>
          <w:bCs/>
        </w:rPr>
      </w:pPr>
    </w:p>
    <w:p w14:paraId="47812005" w14:textId="77777777" w:rsidR="00820116" w:rsidRDefault="00820116" w:rsidP="00820116">
      <w:pPr>
        <w:jc w:val="center"/>
        <w:rPr>
          <w:sz w:val="28"/>
          <w:szCs w:val="28"/>
          <w:u w:val="single"/>
        </w:rPr>
      </w:pPr>
      <w:r>
        <w:rPr>
          <w:sz w:val="28"/>
          <w:szCs w:val="28"/>
          <w:u w:val="single"/>
        </w:rPr>
        <w:lastRenderedPageBreak/>
        <w:t>References</w:t>
      </w:r>
    </w:p>
    <w:p w14:paraId="3FB648A4" w14:textId="77777777" w:rsidR="00820116" w:rsidRDefault="00820116" w:rsidP="00820116">
      <w:r>
        <w:t xml:space="preserve">Arakaki, J. S. (1986) </w:t>
      </w:r>
      <w:r>
        <w:rPr>
          <w:i/>
          <w:iCs/>
        </w:rPr>
        <w:t xml:space="preserve">The Glint of Gold: Press Coverage of the Discovery of Tutankhamun’s Tomb. </w:t>
      </w:r>
      <w:r>
        <w:t>Unpublished PhD thesis, University of Redlands.</w:t>
      </w:r>
    </w:p>
    <w:p w14:paraId="4F0D99D6" w14:textId="77777777" w:rsidR="00820116" w:rsidRDefault="00820116" w:rsidP="00820116">
      <w:r>
        <w:t xml:space="preserve">Anon. (2019) </w:t>
      </w:r>
      <w:r>
        <w:rPr>
          <w:i/>
          <w:iCs/>
        </w:rPr>
        <w:t xml:space="preserve">Behind the scenes as largest ever Tutankhamun exhibition moves to London. </w:t>
      </w:r>
      <w:r>
        <w:t xml:space="preserve">Available at: </w:t>
      </w:r>
      <w:hyperlink r:id="rId19" w:history="1">
        <w:r>
          <w:rPr>
            <w:rStyle w:val="Hyperlink"/>
          </w:rPr>
          <w:t>http://home.bt.com/news/behind-the-scenes-as-largest-ever-tutankhamun-exhibition-moves-to-london-91364399327709?playlistVideoId=6091137187001&amp;utm_campaign=139799_Extended%20Hours%20Announced%21&amp;utm_medium=email&amp;utm_source=Tutankhamun%20London&amp;dm_i=55SU,2ZVB,M0FAH,AUSB,1</w:t>
        </w:r>
      </w:hyperlink>
      <w:r>
        <w:t xml:space="preserve"> [Accessed: 04/10/2019].</w:t>
      </w:r>
    </w:p>
    <w:p w14:paraId="57D393E9" w14:textId="77777777" w:rsidR="00820116" w:rsidRDefault="00820116" w:rsidP="00820116">
      <w:r>
        <w:t xml:space="preserve">Carter, H. and Mace. A. C. (1923) </w:t>
      </w:r>
      <w:r>
        <w:rPr>
          <w:i/>
          <w:iCs/>
        </w:rPr>
        <w:t xml:space="preserve">The Tomb of Tut.Ankh.Amen. </w:t>
      </w:r>
      <w:r>
        <w:t>Volume one. Norwich: Jarrold and Sons Ltd.</w:t>
      </w:r>
    </w:p>
    <w:p w14:paraId="6ADE446F" w14:textId="77777777" w:rsidR="00820116" w:rsidRDefault="00820116" w:rsidP="00820116">
      <w:r>
        <w:t xml:space="preserve">Carter, H. (1927) </w:t>
      </w:r>
      <w:r>
        <w:rPr>
          <w:i/>
          <w:iCs/>
        </w:rPr>
        <w:t xml:space="preserve">The Tomb of Tut.Ankh.Amen. </w:t>
      </w:r>
      <w:r>
        <w:t>Volume two. Great Britain: Cassell and Company Ltd.</w:t>
      </w:r>
    </w:p>
    <w:p w14:paraId="6BF43AA7" w14:textId="77777777" w:rsidR="00820116" w:rsidRDefault="00820116" w:rsidP="00820116">
      <w:r>
        <w:t xml:space="preserve">Carter, H. (1933) </w:t>
      </w:r>
      <w:r>
        <w:rPr>
          <w:i/>
          <w:iCs/>
        </w:rPr>
        <w:t xml:space="preserve">The Tomb of Tut.Ankh.Amen. </w:t>
      </w:r>
      <w:r>
        <w:t>Volume three. Frome and London: Bulter and Tanner Ltd.</w:t>
      </w:r>
    </w:p>
    <w:p w14:paraId="137AFAE7" w14:textId="77777777" w:rsidR="00820116" w:rsidRDefault="00820116" w:rsidP="00820116">
      <w:r>
        <w:t xml:space="preserve">Clayton, P. A. (1994) </w:t>
      </w:r>
      <w:r>
        <w:rPr>
          <w:i/>
          <w:iCs/>
        </w:rPr>
        <w:t xml:space="preserve">Chronicle of the Pharaohs: the reign-by-reign record of the rulers and dynasties of ancient Egypt. </w:t>
      </w:r>
      <w:r>
        <w:t xml:space="preserve">London: BCA. </w:t>
      </w:r>
    </w:p>
    <w:p w14:paraId="6FF8287C" w14:textId="77777777" w:rsidR="00820116" w:rsidRDefault="00820116" w:rsidP="00820116">
      <w:r>
        <w:t xml:space="preserve">Collins, P. &amp; McNamara, L. (2014) </w:t>
      </w:r>
      <w:r>
        <w:rPr>
          <w:i/>
          <w:iCs/>
        </w:rPr>
        <w:t>Discovering Tutankhamun</w:t>
      </w:r>
      <w:r>
        <w:t xml:space="preserve">. Oxford: Ashmolean Museum, University of Oxford. </w:t>
      </w:r>
    </w:p>
    <w:p w14:paraId="1E362292" w14:textId="77777777" w:rsidR="00820116" w:rsidRDefault="00820116" w:rsidP="00820116">
      <w:r>
        <w:t xml:space="preserve">Fritze, R. H. (2016) </w:t>
      </w:r>
      <w:r>
        <w:rPr>
          <w:i/>
          <w:iCs/>
        </w:rPr>
        <w:t>Egyptomania: a history of fascination, obsession and fantasy</w:t>
      </w:r>
      <w:r>
        <w:t>. London: Reaktion Books.</w:t>
      </w:r>
    </w:p>
    <w:p w14:paraId="1DD908E4" w14:textId="77777777" w:rsidR="00820116" w:rsidRDefault="00820116" w:rsidP="00820116">
      <w:pPr>
        <w:rPr>
          <w:rFonts w:cstheme="minorHAnsi"/>
        </w:rPr>
      </w:pPr>
      <w:r>
        <w:rPr>
          <w:rFonts w:cstheme="minorHAnsi"/>
        </w:rPr>
        <w:t xml:space="preserve">Griffith Institute. (1922) </w:t>
      </w:r>
      <w:r>
        <w:rPr>
          <w:rFonts w:cstheme="minorHAnsi"/>
          <w:i/>
          <w:iCs/>
        </w:rPr>
        <w:t xml:space="preserve">Tutankhamun: Anatomy of an Excavation. Howard Carter’s diaries and journals. The first excavation season in the tomb of Tutankhamun. Part 1: October 28 to December 31, 1922. </w:t>
      </w:r>
      <w:r>
        <w:rPr>
          <w:rFonts w:cstheme="minorHAnsi"/>
        </w:rPr>
        <w:t xml:space="preserve">Available at: </w:t>
      </w:r>
      <w:hyperlink r:id="rId20" w:history="1">
        <w:r>
          <w:rPr>
            <w:rStyle w:val="Hyperlink"/>
            <w:rFonts w:cstheme="minorHAnsi"/>
          </w:rPr>
          <w:t>http://www.griffith.ox.ac.uk/gri/4sea1not.html</w:t>
        </w:r>
      </w:hyperlink>
      <w:r>
        <w:rPr>
          <w:rFonts w:cstheme="minorHAnsi"/>
        </w:rPr>
        <w:t xml:space="preserve"> [Accessed 10/10/19]</w:t>
      </w:r>
      <w:r>
        <w:t xml:space="preserve"> </w:t>
      </w:r>
    </w:p>
    <w:p w14:paraId="2A36E21B" w14:textId="77777777" w:rsidR="00820116" w:rsidRDefault="00820116" w:rsidP="00820116">
      <w:r>
        <w:rPr>
          <w:rFonts w:cstheme="minorHAnsi"/>
        </w:rPr>
        <w:t xml:space="preserve">Janot, F. (2010) </w:t>
      </w:r>
      <w:r>
        <w:rPr>
          <w:rFonts w:cstheme="minorHAnsi"/>
          <w:i/>
          <w:iCs/>
        </w:rPr>
        <w:t>The Royal Mummies Immortality in ancient Egypt.</w:t>
      </w:r>
      <w:r>
        <w:rPr>
          <w:rFonts w:cstheme="minorHAnsi"/>
        </w:rPr>
        <w:t xml:space="preserve"> The American University in Cairo Press. </w:t>
      </w:r>
    </w:p>
    <w:p w14:paraId="168CE008" w14:textId="77777777" w:rsidR="00820116" w:rsidRDefault="00820116" w:rsidP="00820116">
      <w:r>
        <w:t xml:space="preserve">Reid, D. M. (2015) </w:t>
      </w:r>
      <w:r>
        <w:rPr>
          <w:i/>
          <w:iCs/>
        </w:rPr>
        <w:t>Contesting antiquity in Egypt: archaeologies, museums &amp; the struggle for identities from world war 1 to Nasser</w:t>
      </w:r>
      <w:r>
        <w:t>. Cairo &amp; New York: The American University in Cairo Press.</w:t>
      </w:r>
    </w:p>
    <w:p w14:paraId="357B4B8E" w14:textId="77777777" w:rsidR="00820116" w:rsidRDefault="00820116" w:rsidP="00820116">
      <w:pPr>
        <w:rPr>
          <w:rFonts w:cstheme="minorHAnsi"/>
        </w:rPr>
      </w:pPr>
      <w:r>
        <w:t xml:space="preserve">Saatchi Gallery (2019) </w:t>
      </w:r>
      <w:r>
        <w:rPr>
          <w:i/>
          <w:iCs/>
        </w:rPr>
        <w:t>Tutankhamun Treasures of the Golden Pharaoh</w:t>
      </w:r>
      <w:r>
        <w:t xml:space="preserve">. Available at: </w:t>
      </w:r>
      <w:hyperlink r:id="rId21" w:history="1">
        <w:r>
          <w:rPr>
            <w:rStyle w:val="Hyperlink"/>
          </w:rPr>
          <w:t>https://www.saatchigallery.com/art/tutankhamun.php</w:t>
        </w:r>
      </w:hyperlink>
      <w:r>
        <w:t xml:space="preserve">  [Accessed 03/10/19].</w:t>
      </w:r>
    </w:p>
    <w:p w14:paraId="560E4659" w14:textId="77777777" w:rsidR="00820116" w:rsidRDefault="00820116" w:rsidP="00820116">
      <w:pPr>
        <w:rPr>
          <w:rFonts w:cstheme="minorHAnsi"/>
        </w:rPr>
      </w:pPr>
      <w:r>
        <w:rPr>
          <w:rFonts w:cstheme="minorHAnsi"/>
        </w:rPr>
        <w:t xml:space="preserve">Smith. G. E (1923) </w:t>
      </w:r>
      <w:r>
        <w:rPr>
          <w:rFonts w:cstheme="minorHAnsi"/>
          <w:i/>
          <w:iCs/>
        </w:rPr>
        <w:t xml:space="preserve">Tutankhamen and the Discovery of his Tomb by the Late Earl of Carnarvon and Mr Howard Carter. </w:t>
      </w:r>
      <w:r>
        <w:rPr>
          <w:rFonts w:cstheme="minorHAnsi"/>
        </w:rPr>
        <w:t>London: George Routledge &amp; Sons Ltd</w:t>
      </w:r>
    </w:p>
    <w:p w14:paraId="7CADB446" w14:textId="77777777" w:rsidR="00820116" w:rsidRDefault="00820116" w:rsidP="00820116">
      <w:pPr>
        <w:rPr>
          <w:rFonts w:cstheme="minorHAnsi"/>
        </w:rPr>
      </w:pPr>
      <w:r>
        <w:rPr>
          <w:rFonts w:cstheme="minorHAnsi"/>
        </w:rPr>
        <w:t xml:space="preserve">Tatomir, R. (2015) ‘Egyptomania in Antiquity and in Modern World Literature. Imaginary, Intercultural context and mentality’, </w:t>
      </w:r>
      <w:r>
        <w:rPr>
          <w:rFonts w:cstheme="minorHAnsi"/>
          <w:i/>
          <w:iCs/>
        </w:rPr>
        <w:t xml:space="preserve">Discourse as a Form of Multiculturalism in Literature and Communication, </w:t>
      </w:r>
      <w:r>
        <w:rPr>
          <w:rFonts w:cstheme="minorHAnsi"/>
        </w:rPr>
        <w:t xml:space="preserve">pp, 566-581. </w:t>
      </w:r>
      <w:hyperlink r:id="rId22" w:history="1">
        <w:r>
          <w:rPr>
            <w:rStyle w:val="Hyperlink"/>
            <w:rFonts w:cstheme="minorHAnsi"/>
          </w:rPr>
          <w:t>https://www.academia.edu/19750156/Egyptomania_in_Antiquity_and_in_Modern_World_Literature._Imaginary_Intercultural_Context_and_Mentality</w:t>
        </w:r>
      </w:hyperlink>
      <w:r>
        <w:rPr>
          <w:rFonts w:cstheme="minorHAnsi"/>
        </w:rPr>
        <w:t xml:space="preserve"> [Accessed 09/10/19]</w:t>
      </w:r>
    </w:p>
    <w:p w14:paraId="2EE9C982" w14:textId="77777777" w:rsidR="00820116" w:rsidRDefault="00820116" w:rsidP="00820116">
      <w:r>
        <w:t xml:space="preserve">Wood, M. (1998) ‘The Use of the Pharaonic Past in Modern Egyptian Nationalism’, </w:t>
      </w:r>
      <w:r>
        <w:rPr>
          <w:i/>
          <w:iCs/>
        </w:rPr>
        <w:t xml:space="preserve">Journal of the American Research Center in Egypt, </w:t>
      </w:r>
      <w:r>
        <w:t xml:space="preserve">35, pp. 179-196 </w:t>
      </w:r>
      <w:hyperlink r:id="rId23" w:anchor="metadata_info_tab_contents" w:history="1">
        <w:r>
          <w:rPr>
            <w:rStyle w:val="Hyperlink"/>
          </w:rPr>
          <w:t>https://www.jstor.org/stable/40000469#metadata_info_tab_contents</w:t>
        </w:r>
      </w:hyperlink>
      <w:r>
        <w:t>, [Accessed 27/07/2019]</w:t>
      </w:r>
    </w:p>
    <w:p w14:paraId="59E43F3D" w14:textId="77777777" w:rsidR="00820116" w:rsidRDefault="00820116" w:rsidP="00820116">
      <w:pPr>
        <w:jc w:val="center"/>
        <w:rPr>
          <w:sz w:val="28"/>
          <w:szCs w:val="28"/>
          <w:u w:val="single"/>
        </w:rPr>
      </w:pPr>
      <w:r>
        <w:rPr>
          <w:sz w:val="28"/>
          <w:szCs w:val="28"/>
          <w:u w:val="single"/>
        </w:rPr>
        <w:lastRenderedPageBreak/>
        <w:t>Bibliography</w:t>
      </w:r>
    </w:p>
    <w:p w14:paraId="245AFE26" w14:textId="77777777" w:rsidR="00820116" w:rsidRDefault="00820116" w:rsidP="00820116">
      <w:r>
        <w:t xml:space="preserve">Arakaki, J. S. (1986) </w:t>
      </w:r>
      <w:r>
        <w:rPr>
          <w:i/>
          <w:iCs/>
        </w:rPr>
        <w:t xml:space="preserve">The Glint of Gold: Press Coverage of the Discovery of Tutankhamun’s Tomb. </w:t>
      </w:r>
      <w:r>
        <w:t>Unpublished PhD thesis, University of Redlands.</w:t>
      </w:r>
    </w:p>
    <w:p w14:paraId="51D4BC5D" w14:textId="77777777" w:rsidR="00820116" w:rsidRDefault="00820116" w:rsidP="00820116">
      <w:r>
        <w:t xml:space="preserve">Anon. (2019) </w:t>
      </w:r>
      <w:r>
        <w:rPr>
          <w:i/>
          <w:iCs/>
        </w:rPr>
        <w:t xml:space="preserve">Behind the scenes as largest ever Tutankhamun exhibition moves to London. </w:t>
      </w:r>
      <w:r>
        <w:t xml:space="preserve">Available at: </w:t>
      </w:r>
      <w:hyperlink r:id="rId24" w:history="1">
        <w:r>
          <w:rPr>
            <w:rStyle w:val="Hyperlink"/>
          </w:rPr>
          <w:t>http://home.bt.com/news/behind-the-scenes-as-largest-ever-tutankhamun-exhibition-moves-to-london-91364399327709?playlistVideoId=6091137187001&amp;utm_campaign=139799_Extended%20Hours%20Announced%21&amp;utm_medium=email&amp;utm_source=Tutankhamun%20London&amp;dm_i=55SU,2ZVB,M0FAH,AUSB,1</w:t>
        </w:r>
      </w:hyperlink>
      <w:r>
        <w:t xml:space="preserve"> [Accessed: 04/10/2019].</w:t>
      </w:r>
    </w:p>
    <w:p w14:paraId="694B1D57" w14:textId="77777777" w:rsidR="00820116" w:rsidRDefault="00820116" w:rsidP="00820116">
      <w:r>
        <w:t xml:space="preserve">Bell, T. (2010) </w:t>
      </w:r>
      <w:r>
        <w:rPr>
          <w:i/>
          <w:iCs/>
        </w:rPr>
        <w:t>The Western Perception of Ancient Egypt: The Discovery, Spectacle and Exposition of King Tutankhamun</w:t>
      </w:r>
      <w:r>
        <w:t>. Unpublished PhD thesis, Newman University.</w:t>
      </w:r>
    </w:p>
    <w:p w14:paraId="01B17F7B" w14:textId="77777777" w:rsidR="00820116" w:rsidRDefault="00820116" w:rsidP="00820116">
      <w:r>
        <w:t xml:space="preserve">Brewer, D. J. &amp; Teeter, E. (2007) </w:t>
      </w:r>
      <w:r>
        <w:rPr>
          <w:i/>
          <w:iCs/>
        </w:rPr>
        <w:t>Egypt and the Egyptians.</w:t>
      </w:r>
      <w:r>
        <w:t xml:space="preserve"> 2</w:t>
      </w:r>
      <w:r>
        <w:rPr>
          <w:vertAlign w:val="superscript"/>
        </w:rPr>
        <w:t>nd</w:t>
      </w:r>
      <w:r>
        <w:t xml:space="preserve"> ed. Cambridge: Cambridge University Press. </w:t>
      </w:r>
    </w:p>
    <w:p w14:paraId="1174423E" w14:textId="77777777" w:rsidR="00820116" w:rsidRDefault="00820116" w:rsidP="00820116">
      <w:r>
        <w:t xml:space="preserve">Brier, B. (2013) </w:t>
      </w:r>
      <w:r>
        <w:rPr>
          <w:i/>
          <w:iCs/>
        </w:rPr>
        <w:t>Egypt-omaina: our three thousand year obsession with the land of the pharaohs.</w:t>
      </w:r>
      <w:r>
        <w:t xml:space="preserve"> 1</w:t>
      </w:r>
      <w:r>
        <w:rPr>
          <w:vertAlign w:val="superscript"/>
        </w:rPr>
        <w:t>st</w:t>
      </w:r>
      <w:r>
        <w:t xml:space="preserve"> ed. New York: Palgrave Macmillan. </w:t>
      </w:r>
    </w:p>
    <w:p w14:paraId="341DEC9D" w14:textId="77777777" w:rsidR="00820116" w:rsidRDefault="00820116" w:rsidP="00820116">
      <w:r>
        <w:t xml:space="preserve">Carter, H. and Mace. A. C. (1923) </w:t>
      </w:r>
      <w:r>
        <w:rPr>
          <w:i/>
          <w:iCs/>
        </w:rPr>
        <w:t xml:space="preserve">The Tomb of Tut.Ankh.Amen. </w:t>
      </w:r>
      <w:r>
        <w:t>Volume one. Norwich: Jarrold and Sons Ltd.</w:t>
      </w:r>
    </w:p>
    <w:p w14:paraId="7B0B1454" w14:textId="77777777" w:rsidR="00820116" w:rsidRDefault="00820116" w:rsidP="00820116">
      <w:r>
        <w:t xml:space="preserve">Carter, H. (1927) </w:t>
      </w:r>
      <w:r>
        <w:rPr>
          <w:i/>
          <w:iCs/>
        </w:rPr>
        <w:t xml:space="preserve">The Tomb of Tut.Ankh.Amen. </w:t>
      </w:r>
      <w:r>
        <w:t>Volume two. Great Britain: Cassell and Company Ltd.</w:t>
      </w:r>
    </w:p>
    <w:p w14:paraId="7317DDCA" w14:textId="77777777" w:rsidR="00820116" w:rsidRDefault="00820116" w:rsidP="00820116">
      <w:r>
        <w:t xml:space="preserve">Carter, H. (1933) </w:t>
      </w:r>
      <w:r>
        <w:rPr>
          <w:i/>
          <w:iCs/>
        </w:rPr>
        <w:t xml:space="preserve">The Tomb of Tut.Ankh.Amen. </w:t>
      </w:r>
      <w:r>
        <w:t>Volume three. Frome and London: Bulter and Tanner Ltd.</w:t>
      </w:r>
    </w:p>
    <w:p w14:paraId="75A47136" w14:textId="77777777" w:rsidR="00820116" w:rsidRDefault="00820116" w:rsidP="00820116">
      <w:r>
        <w:t xml:space="preserve">Clayton, P. A. (1994) </w:t>
      </w:r>
      <w:r>
        <w:rPr>
          <w:i/>
          <w:iCs/>
        </w:rPr>
        <w:t xml:space="preserve">Chronicle of the Pharaohs: the reign-by-reign record of the rulers and dynasties of ancient Egypt. </w:t>
      </w:r>
      <w:r>
        <w:t xml:space="preserve">London: BCA. </w:t>
      </w:r>
    </w:p>
    <w:p w14:paraId="409814EF" w14:textId="77777777" w:rsidR="00820116" w:rsidRDefault="00820116" w:rsidP="00820116">
      <w:r>
        <w:t xml:space="preserve">Colla, E. (2007) </w:t>
      </w:r>
      <w:r>
        <w:rPr>
          <w:i/>
          <w:iCs/>
        </w:rPr>
        <w:t xml:space="preserve">Conflicted Antiquities Egyptology, Egyptomania, Egyptian Modernity. </w:t>
      </w:r>
      <w:r>
        <w:t xml:space="preserve">Durham and London: Duke University Press. </w:t>
      </w:r>
    </w:p>
    <w:p w14:paraId="2567F974" w14:textId="77777777" w:rsidR="00820116" w:rsidRDefault="00820116" w:rsidP="00820116">
      <w:r>
        <w:t xml:space="preserve">Collins, P. &amp; McNamara, L. (2014) </w:t>
      </w:r>
      <w:r>
        <w:rPr>
          <w:i/>
          <w:iCs/>
        </w:rPr>
        <w:t>Discovering Tutankhamun</w:t>
      </w:r>
      <w:r>
        <w:t xml:space="preserve">. Oxford: Ashmolean Museum, University of Oxford. </w:t>
      </w:r>
    </w:p>
    <w:p w14:paraId="20D9AECF" w14:textId="77777777" w:rsidR="00820116" w:rsidRDefault="00820116" w:rsidP="00820116">
      <w:r>
        <w:t xml:space="preserve">Danton, W. (2019) </w:t>
      </w:r>
      <w:r>
        <w:rPr>
          <w:i/>
          <w:iCs/>
        </w:rPr>
        <w:t xml:space="preserve">Tutmaina: An Exploration of Western Portrayals of King Tutankhamun and Orientalism in Egypt. </w:t>
      </w:r>
      <w:r>
        <w:t>Unpublished PhD thesis, University of Puget Sound.</w:t>
      </w:r>
    </w:p>
    <w:p w14:paraId="5A14029B" w14:textId="77777777" w:rsidR="00820116" w:rsidRDefault="00820116" w:rsidP="00820116">
      <w:r>
        <w:t xml:space="preserve">Desroches-Noblecourt, C. (1963) </w:t>
      </w:r>
      <w:r>
        <w:rPr>
          <w:i/>
          <w:iCs/>
        </w:rPr>
        <w:t>Tutankhamen: life and death of a pharaoh</w:t>
      </w:r>
      <w:r>
        <w:t>. London: Connoisseur and Michael Joseph Ltd.</w:t>
      </w:r>
    </w:p>
    <w:p w14:paraId="4CB4D21E" w14:textId="77777777" w:rsidR="00820116" w:rsidRDefault="00820116" w:rsidP="00820116">
      <w:r>
        <w:t xml:space="preserve">Doyle, N. (2016) ‘The Earliest Known Uses of “L’Egyptomanie”/”Egyptomania” in French and English’, </w:t>
      </w:r>
      <w:r>
        <w:rPr>
          <w:i/>
          <w:iCs/>
        </w:rPr>
        <w:t xml:space="preserve">Journal of Ancient Egyptian Interconnections, </w:t>
      </w:r>
      <w:r>
        <w:t xml:space="preserve">8, pp. 122-125. </w:t>
      </w:r>
      <w:hyperlink r:id="rId25" w:history="1">
        <w:r>
          <w:rPr>
            <w:rStyle w:val="Hyperlink"/>
          </w:rPr>
          <w:t>http://jaei.library.arizona.edu/</w:t>
        </w:r>
      </w:hyperlink>
      <w:r>
        <w:t xml:space="preserve"> , [Accessed 18/06/2019].</w:t>
      </w:r>
    </w:p>
    <w:p w14:paraId="4FEDB29F" w14:textId="77777777" w:rsidR="00820116" w:rsidRDefault="00820116" w:rsidP="00820116">
      <w:r>
        <w:t xml:space="preserve">Fritze, R. H. (2016) </w:t>
      </w:r>
      <w:r>
        <w:rPr>
          <w:i/>
          <w:iCs/>
        </w:rPr>
        <w:t>Egyptomania: a history of fascination, obsession and fantasy</w:t>
      </w:r>
      <w:r>
        <w:t xml:space="preserve">. London: Reaktion Books. </w:t>
      </w:r>
    </w:p>
    <w:p w14:paraId="6CEA62EA" w14:textId="77777777" w:rsidR="00820116" w:rsidRDefault="00820116" w:rsidP="00820116">
      <w:pPr>
        <w:rPr>
          <w:rFonts w:cstheme="minorHAnsi"/>
        </w:rPr>
      </w:pPr>
      <w:r>
        <w:t xml:space="preserve">Fryxell, A. (2017) ‘Tutankhamen, Egyptomania, and Temporal Enchantment in Interwar Britain’, </w:t>
      </w:r>
      <w:r>
        <w:rPr>
          <w:i/>
          <w:iCs/>
        </w:rPr>
        <w:t xml:space="preserve">Twentieth Century British History, </w:t>
      </w:r>
      <w:r>
        <w:t xml:space="preserve">28(4), pp. 516-542, </w:t>
      </w:r>
      <w:r>
        <w:rPr>
          <w:rFonts w:cstheme="minorHAnsi"/>
        </w:rPr>
        <w:t>doi:10.1093/tcbh/hwx056 [Accessed 27/07/2019]</w:t>
      </w:r>
    </w:p>
    <w:p w14:paraId="76E18D16" w14:textId="77777777" w:rsidR="00820116" w:rsidRDefault="00820116" w:rsidP="00820116">
      <w:pPr>
        <w:rPr>
          <w:rFonts w:cstheme="minorHAnsi"/>
        </w:rPr>
      </w:pPr>
      <w:r>
        <w:rPr>
          <w:rFonts w:cstheme="minorHAnsi"/>
        </w:rPr>
        <w:lastRenderedPageBreak/>
        <w:t xml:space="preserve">Griffith Institute. (1922) </w:t>
      </w:r>
      <w:r>
        <w:rPr>
          <w:rFonts w:cstheme="minorHAnsi"/>
          <w:i/>
          <w:iCs/>
        </w:rPr>
        <w:t xml:space="preserve">Tutankhamun: Anatomy of an Excavation. Howard Carter’s diaries and journals. The first excavation season in the tomb of Tutankhamun. Part 1: October 28 to December 31, 1922. </w:t>
      </w:r>
      <w:r>
        <w:rPr>
          <w:rFonts w:cstheme="minorHAnsi"/>
        </w:rPr>
        <w:t xml:space="preserve">Available at: </w:t>
      </w:r>
      <w:hyperlink r:id="rId26" w:history="1">
        <w:r>
          <w:rPr>
            <w:rStyle w:val="Hyperlink"/>
            <w:rFonts w:cstheme="minorHAnsi"/>
          </w:rPr>
          <w:t>http://www.griffith.ox.ac.uk/gri/4sea1not.html</w:t>
        </w:r>
      </w:hyperlink>
      <w:r>
        <w:rPr>
          <w:rFonts w:cstheme="minorHAnsi"/>
        </w:rPr>
        <w:t xml:space="preserve"> [Accessed 10/10/19]</w:t>
      </w:r>
    </w:p>
    <w:p w14:paraId="45EE7C5A" w14:textId="77777777" w:rsidR="00820116" w:rsidRDefault="00820116" w:rsidP="00820116">
      <w:r>
        <w:t xml:space="preserve">Hawass, Z. (2006) </w:t>
      </w:r>
      <w:r>
        <w:rPr>
          <w:i/>
          <w:iCs/>
        </w:rPr>
        <w:t>The golden king: the world of Tutankhamun</w:t>
      </w:r>
      <w:r>
        <w:t xml:space="preserve">. Cairo: American university in Cairo press. </w:t>
      </w:r>
    </w:p>
    <w:p w14:paraId="6925702B" w14:textId="77777777" w:rsidR="00820116" w:rsidRDefault="00820116" w:rsidP="00820116">
      <w:r>
        <w:t xml:space="preserve">Hollman, O. G. (2019) </w:t>
      </w:r>
      <w:r>
        <w:rPr>
          <w:i/>
          <w:iCs/>
        </w:rPr>
        <w:t>Coping Through Curse: Confronting British Metropolitan Identity Through The “Curse of Tutankhamen” (1923-1933</w:t>
      </w:r>
      <w:r>
        <w:t>). Unpublished PhD thesis, University of Kansas.</w:t>
      </w:r>
    </w:p>
    <w:p w14:paraId="5C4D1BE7" w14:textId="77777777" w:rsidR="00820116" w:rsidRDefault="00820116" w:rsidP="00820116">
      <w:r>
        <w:t xml:space="preserve">Ikram, S. (2010) </w:t>
      </w:r>
      <w:r>
        <w:rPr>
          <w:i/>
          <w:iCs/>
        </w:rPr>
        <w:t>Ancient Egypt: an introduction</w:t>
      </w:r>
      <w:r>
        <w:t xml:space="preserve">. New York: Cambridge University Press. </w:t>
      </w:r>
    </w:p>
    <w:p w14:paraId="1534578B" w14:textId="77777777" w:rsidR="00820116" w:rsidRDefault="00820116" w:rsidP="00820116">
      <w:r>
        <w:t xml:space="preserve">Janekowski, J. P. (2000) </w:t>
      </w:r>
      <w:r>
        <w:rPr>
          <w:i/>
          <w:iCs/>
        </w:rPr>
        <w:t>Egypt: a short history</w:t>
      </w:r>
      <w:r>
        <w:t xml:space="preserve">. Oxford: Oneworld. </w:t>
      </w:r>
    </w:p>
    <w:p w14:paraId="140F352F" w14:textId="77777777" w:rsidR="00820116" w:rsidRDefault="00820116" w:rsidP="00820116">
      <w:pPr>
        <w:rPr>
          <w:rFonts w:cstheme="minorHAnsi"/>
        </w:rPr>
      </w:pPr>
      <w:r>
        <w:rPr>
          <w:rFonts w:cstheme="minorHAnsi"/>
        </w:rPr>
        <w:t xml:space="preserve">Janot, F. (2010) </w:t>
      </w:r>
      <w:r>
        <w:rPr>
          <w:rFonts w:cstheme="minorHAnsi"/>
          <w:i/>
          <w:iCs/>
        </w:rPr>
        <w:t>The Royal Mummies Immortality in ancient Egypt.</w:t>
      </w:r>
      <w:r>
        <w:rPr>
          <w:rFonts w:cstheme="minorHAnsi"/>
        </w:rPr>
        <w:t xml:space="preserve"> The American University in Cairo Press. </w:t>
      </w:r>
    </w:p>
    <w:p w14:paraId="2677FCB4" w14:textId="77777777" w:rsidR="00820116" w:rsidRDefault="00820116" w:rsidP="00820116">
      <w:r>
        <w:t xml:space="preserve">Jeffreys, D. G. (2003) </w:t>
      </w:r>
      <w:r>
        <w:rPr>
          <w:i/>
          <w:iCs/>
        </w:rPr>
        <w:t>Views of ancient Egypt since Napoleon Bonaparte imperialism, colonialism and modern appropriations</w:t>
      </w:r>
      <w:r>
        <w:t>. London: UCL Press London.</w:t>
      </w:r>
    </w:p>
    <w:p w14:paraId="64265ACF" w14:textId="77777777" w:rsidR="00820116" w:rsidRDefault="00820116" w:rsidP="00820116">
      <w:pPr>
        <w:rPr>
          <w:rFonts w:cstheme="minorHAnsi"/>
        </w:rPr>
      </w:pPr>
      <w:r>
        <w:rPr>
          <w:rFonts w:cstheme="minorHAnsi"/>
        </w:rPr>
        <w:t xml:space="preserve">Kozloff, A. P. (2008) ‘Ancient Egypt in Museums Today’, in Wilkinson, R. H. (ed.) </w:t>
      </w:r>
      <w:r>
        <w:rPr>
          <w:rFonts w:cstheme="minorHAnsi"/>
          <w:i/>
          <w:iCs/>
        </w:rPr>
        <w:t xml:space="preserve">Egyptology Today. </w:t>
      </w:r>
      <w:r>
        <w:rPr>
          <w:rFonts w:cstheme="minorHAnsi"/>
        </w:rPr>
        <w:t>New York: Cambridge University Press.</w:t>
      </w:r>
    </w:p>
    <w:p w14:paraId="2E7693BD" w14:textId="77777777" w:rsidR="00820116" w:rsidRDefault="00820116" w:rsidP="00820116">
      <w:r>
        <w:t xml:space="preserve">Matthews, R., Roemer, C. &amp; University College London. (2003) </w:t>
      </w:r>
      <w:r>
        <w:rPr>
          <w:i/>
          <w:iCs/>
        </w:rPr>
        <w:t>Ancient perspectives on Egypt</w:t>
      </w:r>
      <w:r>
        <w:t>. London: UCL Press.</w:t>
      </w:r>
    </w:p>
    <w:p w14:paraId="160E79A7" w14:textId="77777777" w:rsidR="00820116" w:rsidRDefault="00820116" w:rsidP="00820116">
      <w:r>
        <w:t xml:space="preserve">Meskell, L. M. (2004) </w:t>
      </w:r>
      <w:r>
        <w:rPr>
          <w:i/>
          <w:iCs/>
        </w:rPr>
        <w:t>Object worlds in ancient Egypt: material biographies past and present</w:t>
      </w:r>
      <w:r>
        <w:t xml:space="preserve">. Oxford: Berg. </w:t>
      </w:r>
    </w:p>
    <w:p w14:paraId="445DB3CA" w14:textId="77777777" w:rsidR="00820116" w:rsidRDefault="00820116" w:rsidP="00820116">
      <w:r>
        <w:t xml:space="preserve">Moser, S. (2012) </w:t>
      </w:r>
      <w:r>
        <w:rPr>
          <w:i/>
          <w:iCs/>
        </w:rPr>
        <w:t>Wondrous curiosities: ancient Egypt at the British Museum</w:t>
      </w:r>
      <w:r>
        <w:t>. Chicago: University of Chicago Press.</w:t>
      </w:r>
    </w:p>
    <w:p w14:paraId="59C72818" w14:textId="77777777" w:rsidR="00820116" w:rsidRDefault="00820116" w:rsidP="00820116">
      <w:r>
        <w:t xml:space="preserve">Reid, D. M. (1985) ‘Indigenous Egyptology: The Decolonization of a Profession?’, </w:t>
      </w:r>
      <w:r>
        <w:rPr>
          <w:i/>
          <w:iCs/>
        </w:rPr>
        <w:t xml:space="preserve">Journal of the American Oriential Society, </w:t>
      </w:r>
      <w:r>
        <w:t xml:space="preserve">105(2), pp.233-246. </w:t>
      </w:r>
      <w:hyperlink r:id="rId27" w:anchor="metadata_info_tab_contents" w:history="1">
        <w:r>
          <w:rPr>
            <w:rStyle w:val="Hyperlink"/>
          </w:rPr>
          <w:t>https://www.jstor.org/stable/601703?seq=1#metadata_info_tab_contents</w:t>
        </w:r>
      </w:hyperlink>
      <w:r>
        <w:t>, [Accessed 18/06/2019].</w:t>
      </w:r>
    </w:p>
    <w:p w14:paraId="485A0725" w14:textId="77777777" w:rsidR="00820116" w:rsidRDefault="00820116" w:rsidP="00820116">
      <w:r>
        <w:t xml:space="preserve">Reid, D. M. (2003) </w:t>
      </w:r>
      <w:r>
        <w:rPr>
          <w:i/>
          <w:iCs/>
        </w:rPr>
        <w:t>Whose pharaohs? Archaeology, museums, and Egyptian national identity from Napoleon to world war 1.</w:t>
      </w:r>
      <w:r>
        <w:t xml:space="preserve"> Berkeley: University of California Press. </w:t>
      </w:r>
    </w:p>
    <w:p w14:paraId="40D0FBE5" w14:textId="77777777" w:rsidR="00820116" w:rsidRDefault="00820116" w:rsidP="00820116">
      <w:r>
        <w:t xml:space="preserve">Reid, D. M. (2015) </w:t>
      </w:r>
      <w:r>
        <w:rPr>
          <w:i/>
          <w:iCs/>
        </w:rPr>
        <w:t>Contesting antiquity in Egypt: archaeologies, museums &amp; the struggle for identities from world war 1 to Nasser</w:t>
      </w:r>
      <w:r>
        <w:t>. Cairo &amp; New York: The American University in Cairo Press.</w:t>
      </w:r>
    </w:p>
    <w:p w14:paraId="2C5C57C9" w14:textId="77777777" w:rsidR="00820116" w:rsidRDefault="00820116" w:rsidP="00820116">
      <w:pPr>
        <w:rPr>
          <w:rFonts w:cstheme="minorHAnsi"/>
        </w:rPr>
      </w:pPr>
      <w:r>
        <w:rPr>
          <w:rFonts w:cstheme="minorHAnsi"/>
        </w:rPr>
        <w:t xml:space="preserve">Richmond, J. C. B. (1977) </w:t>
      </w:r>
      <w:r>
        <w:rPr>
          <w:rFonts w:cstheme="minorHAnsi"/>
          <w:i/>
          <w:iCs/>
        </w:rPr>
        <w:t>Egypt 1798-1952</w:t>
      </w:r>
      <w:r>
        <w:rPr>
          <w:rFonts w:cstheme="minorHAnsi"/>
        </w:rPr>
        <w:t xml:space="preserve">. London: Methuen &amp; Co Ltd. </w:t>
      </w:r>
    </w:p>
    <w:p w14:paraId="6DA07A75" w14:textId="77777777" w:rsidR="00820116" w:rsidRDefault="00820116" w:rsidP="00820116">
      <w:pPr>
        <w:rPr>
          <w:rFonts w:cstheme="minorHAnsi"/>
        </w:rPr>
      </w:pPr>
      <w:r>
        <w:t xml:space="preserve">Saatchi Gallery (2019) </w:t>
      </w:r>
      <w:r>
        <w:rPr>
          <w:i/>
          <w:iCs/>
        </w:rPr>
        <w:t>Tutankhamun Treasures of the Golden Pharaoh</w:t>
      </w:r>
      <w:r>
        <w:t xml:space="preserve">. Available at: </w:t>
      </w:r>
      <w:hyperlink r:id="rId28" w:history="1">
        <w:r>
          <w:rPr>
            <w:rStyle w:val="Hyperlink"/>
          </w:rPr>
          <w:t>https://www.saatchigallery.com/art/tutankhamun.php</w:t>
        </w:r>
      </w:hyperlink>
      <w:r>
        <w:t xml:space="preserve">  [Accessed 03/10/19].</w:t>
      </w:r>
    </w:p>
    <w:p w14:paraId="4086BC6F" w14:textId="77777777" w:rsidR="00820116" w:rsidRDefault="00820116" w:rsidP="00820116">
      <w:r>
        <w:t xml:space="preserve">Shaw, I. (2003) </w:t>
      </w:r>
      <w:r>
        <w:rPr>
          <w:i/>
          <w:iCs/>
        </w:rPr>
        <w:t>The Oxford history of ancient Egypt</w:t>
      </w:r>
      <w:r>
        <w:t xml:space="preserve">. Oxford: Oxford University Press. </w:t>
      </w:r>
    </w:p>
    <w:p w14:paraId="0BF7D7C0" w14:textId="77777777" w:rsidR="00820116" w:rsidRDefault="00820116" w:rsidP="00820116">
      <w:pPr>
        <w:rPr>
          <w:rFonts w:cstheme="minorHAnsi"/>
        </w:rPr>
      </w:pPr>
      <w:r>
        <w:rPr>
          <w:rFonts w:cstheme="minorHAnsi"/>
        </w:rPr>
        <w:t xml:space="preserve">Shaw, I. (2004) Ancient Egypt A Very Short Introduction. New York: Oxford University Press Inc. </w:t>
      </w:r>
    </w:p>
    <w:p w14:paraId="3E1CAA08" w14:textId="77777777" w:rsidR="00820116" w:rsidRDefault="00820116" w:rsidP="00820116">
      <w:r>
        <w:t xml:space="preserve">Simon, R. (?) </w:t>
      </w:r>
      <w:r>
        <w:rPr>
          <w:i/>
          <w:iCs/>
        </w:rPr>
        <w:t xml:space="preserve">Seeing More in Cabinets and Blockbusters: A Rhetorical Study of Museum Exhibits. </w:t>
      </w:r>
      <w:r>
        <w:t xml:space="preserve">Unpublished PhD thesis. Pennsylvania State University. </w:t>
      </w:r>
    </w:p>
    <w:p w14:paraId="6CB3C11B" w14:textId="77777777" w:rsidR="00820116" w:rsidRDefault="00820116" w:rsidP="00820116">
      <w:r>
        <w:t xml:space="preserve">Slyomovics, S. (1989) ‘Cross-Cultural Dress and Tourist Performance in Egypt’, </w:t>
      </w:r>
      <w:r>
        <w:rPr>
          <w:i/>
          <w:iCs/>
        </w:rPr>
        <w:t xml:space="preserve">Performing Arts Journal, </w:t>
      </w:r>
      <w:r>
        <w:t xml:space="preserve">11(3), pp. 139-148. </w:t>
      </w:r>
      <w:hyperlink r:id="rId29" w:anchor="metadata_info_tab_contents" w:history="1">
        <w:r>
          <w:rPr>
            <w:rStyle w:val="Hyperlink"/>
          </w:rPr>
          <w:t>https://www.jstor.org/stable/3245432?seq=1#metadata_info_tab_contents</w:t>
        </w:r>
      </w:hyperlink>
      <w:r>
        <w:rPr>
          <w:rStyle w:val="Hyperlink"/>
        </w:rPr>
        <w:t>,</w:t>
      </w:r>
      <w:r>
        <w:t xml:space="preserve"> [Accessed 27/07/2019].</w:t>
      </w:r>
    </w:p>
    <w:p w14:paraId="47041E99" w14:textId="77777777" w:rsidR="00820116" w:rsidRDefault="00820116" w:rsidP="00820116">
      <w:pPr>
        <w:rPr>
          <w:rFonts w:cstheme="minorHAnsi"/>
        </w:rPr>
      </w:pPr>
      <w:r>
        <w:rPr>
          <w:rFonts w:cstheme="minorHAnsi"/>
        </w:rPr>
        <w:t xml:space="preserve">Smith. G. E (1923) </w:t>
      </w:r>
      <w:r>
        <w:rPr>
          <w:rFonts w:cstheme="minorHAnsi"/>
          <w:i/>
          <w:iCs/>
        </w:rPr>
        <w:t xml:space="preserve">Tutankhamen and the Discovery of his Tomb by the Late Earl of Carnarvon and Mr Howard Carter. </w:t>
      </w:r>
      <w:r>
        <w:rPr>
          <w:rFonts w:cstheme="minorHAnsi"/>
        </w:rPr>
        <w:t>London: George Routledge &amp; Sons Ltd</w:t>
      </w:r>
    </w:p>
    <w:p w14:paraId="04169BBE" w14:textId="77777777" w:rsidR="00820116" w:rsidRDefault="00820116" w:rsidP="00820116">
      <w:pPr>
        <w:rPr>
          <w:rFonts w:cstheme="minorHAnsi"/>
        </w:rPr>
      </w:pPr>
      <w:r>
        <w:rPr>
          <w:rFonts w:cstheme="minorHAnsi"/>
        </w:rPr>
        <w:t xml:space="preserve">Stevenson, A. (2019) </w:t>
      </w:r>
      <w:r>
        <w:rPr>
          <w:rFonts w:cstheme="minorHAnsi"/>
          <w:i/>
          <w:iCs/>
        </w:rPr>
        <w:t xml:space="preserve">Scattered Find, Archaeology, Egyptology and Museums. </w:t>
      </w:r>
      <w:r>
        <w:rPr>
          <w:rFonts w:cstheme="minorHAnsi"/>
        </w:rPr>
        <w:t>London: UCL Press.</w:t>
      </w:r>
    </w:p>
    <w:p w14:paraId="7261786D" w14:textId="77777777" w:rsidR="00820116" w:rsidRDefault="00820116" w:rsidP="00820116">
      <w:pPr>
        <w:rPr>
          <w:rFonts w:cstheme="minorHAnsi"/>
        </w:rPr>
      </w:pPr>
      <w:r>
        <w:rPr>
          <w:rFonts w:cstheme="minorHAnsi"/>
        </w:rPr>
        <w:t xml:space="preserve">Tatomir, R. (2015) ‘Egyptomania in Antiquity and in Modern World Literature. Imaginary, Intercultural context and mentality’, </w:t>
      </w:r>
      <w:r>
        <w:rPr>
          <w:rFonts w:cstheme="minorHAnsi"/>
          <w:i/>
          <w:iCs/>
        </w:rPr>
        <w:t xml:space="preserve">Discourse as a Form of Multiculturalism in Literature and Communication, </w:t>
      </w:r>
      <w:r>
        <w:rPr>
          <w:rFonts w:cstheme="minorHAnsi"/>
        </w:rPr>
        <w:t xml:space="preserve">pp, 566-581. </w:t>
      </w:r>
      <w:hyperlink r:id="rId30" w:history="1">
        <w:r>
          <w:rPr>
            <w:rStyle w:val="Hyperlink"/>
            <w:rFonts w:cstheme="minorHAnsi"/>
          </w:rPr>
          <w:t>https://www.academia.edu/19750156/Egyptomania_in_Antiquity_and_in_Modern_World_Literature._Imaginary_Intercultural_Context_and_Mentality</w:t>
        </w:r>
      </w:hyperlink>
      <w:r>
        <w:rPr>
          <w:rFonts w:cstheme="minorHAnsi"/>
        </w:rPr>
        <w:t xml:space="preserve"> [Accessed 09/10/19]</w:t>
      </w:r>
    </w:p>
    <w:p w14:paraId="2055D47A" w14:textId="77777777" w:rsidR="00820116" w:rsidRDefault="00820116" w:rsidP="00820116">
      <w:pPr>
        <w:rPr>
          <w:rFonts w:cstheme="minorHAnsi"/>
        </w:rPr>
      </w:pPr>
      <w:r>
        <w:rPr>
          <w:rFonts w:cstheme="minorHAnsi"/>
        </w:rPr>
        <w:t xml:space="preserve">Thompson, J. (2016) </w:t>
      </w:r>
      <w:r>
        <w:rPr>
          <w:rFonts w:cstheme="minorHAnsi"/>
          <w:i/>
          <w:iCs/>
        </w:rPr>
        <w:t>Wonderful Things: A History of Egyptology. Vol 2 The Golden Age: 1881-1914</w:t>
      </w:r>
      <w:r>
        <w:rPr>
          <w:rFonts w:cstheme="minorHAnsi"/>
        </w:rPr>
        <w:t>. The American University in Cairo Press.</w:t>
      </w:r>
    </w:p>
    <w:p w14:paraId="17C50EEF" w14:textId="77777777" w:rsidR="00820116" w:rsidRDefault="00820116" w:rsidP="00820116">
      <w:r>
        <w:t xml:space="preserve">Wood, M. (1998) ‘The Use of the Pharaonic Past in Modern Egyptian Nationalism’, </w:t>
      </w:r>
      <w:r>
        <w:rPr>
          <w:i/>
          <w:iCs/>
        </w:rPr>
        <w:t xml:space="preserve">Journal of the American Research Center in Egypt, </w:t>
      </w:r>
      <w:r>
        <w:t xml:space="preserve">35, pp. 179-196 </w:t>
      </w:r>
      <w:hyperlink r:id="rId31" w:anchor="metadata_info_tab_contents" w:history="1">
        <w:r>
          <w:rPr>
            <w:rStyle w:val="Hyperlink"/>
          </w:rPr>
          <w:t>https://www.jstor.org/stable/40000469#metadata_info_tab_contents</w:t>
        </w:r>
      </w:hyperlink>
      <w:r>
        <w:t>, [Accessed 27/07/2019]</w:t>
      </w:r>
    </w:p>
    <w:p w14:paraId="7DDAACA7" w14:textId="77777777" w:rsidR="00820116" w:rsidRDefault="00820116" w:rsidP="00820116">
      <w:pPr>
        <w:rPr>
          <w:sz w:val="24"/>
          <w:szCs w:val="24"/>
          <w:u w:val="single"/>
        </w:rPr>
      </w:pPr>
    </w:p>
    <w:p w14:paraId="491E8DF6" w14:textId="77777777" w:rsidR="00820116" w:rsidRDefault="00820116" w:rsidP="00820116"/>
    <w:p w14:paraId="12DCB6F4" w14:textId="77777777" w:rsidR="00820116" w:rsidRPr="00CD7682" w:rsidRDefault="00820116" w:rsidP="00CD7682">
      <w:pPr>
        <w:rPr>
          <w:b/>
          <w:bCs/>
        </w:rPr>
      </w:pPr>
    </w:p>
    <w:sectPr w:rsidR="00820116" w:rsidRPr="00CD76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A1099" w14:textId="77777777" w:rsidR="00490309" w:rsidRDefault="00490309" w:rsidP="00CC2328">
      <w:pPr>
        <w:spacing w:after="0" w:line="240" w:lineRule="auto"/>
      </w:pPr>
      <w:r>
        <w:separator/>
      </w:r>
    </w:p>
  </w:endnote>
  <w:endnote w:type="continuationSeparator" w:id="0">
    <w:p w14:paraId="75731806" w14:textId="77777777" w:rsidR="00490309" w:rsidRDefault="00490309" w:rsidP="00CC2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6D908" w14:textId="77777777" w:rsidR="00490309" w:rsidRDefault="00490309" w:rsidP="00CC2328">
      <w:pPr>
        <w:spacing w:after="0" w:line="240" w:lineRule="auto"/>
      </w:pPr>
      <w:r>
        <w:separator/>
      </w:r>
    </w:p>
  </w:footnote>
  <w:footnote w:type="continuationSeparator" w:id="0">
    <w:p w14:paraId="453508E3" w14:textId="77777777" w:rsidR="00490309" w:rsidRDefault="00490309" w:rsidP="00CC2328">
      <w:pPr>
        <w:spacing w:after="0" w:line="240" w:lineRule="auto"/>
      </w:pPr>
      <w:r>
        <w:continuationSeparator/>
      </w:r>
    </w:p>
  </w:footnote>
  <w:footnote w:id="1">
    <w:p w14:paraId="0DF81F70" w14:textId="10002863" w:rsidR="0037751D" w:rsidRDefault="0037751D">
      <w:pPr>
        <w:pStyle w:val="FootnoteText"/>
      </w:pPr>
      <w:r>
        <w:rPr>
          <w:rStyle w:val="FootnoteReference"/>
        </w:rPr>
        <w:footnoteRef/>
      </w:r>
      <w:r>
        <w:t xml:space="preserve"> Tatomir, 2015</w:t>
      </w:r>
      <w:r w:rsidR="002E76E5">
        <w:t>, p.</w:t>
      </w:r>
      <w:r>
        <w:t xml:space="preserve"> 571</w:t>
      </w:r>
    </w:p>
  </w:footnote>
  <w:footnote w:id="2">
    <w:p w14:paraId="1113286F" w14:textId="7190E4B6" w:rsidR="00472B5B" w:rsidRPr="00472B5B" w:rsidRDefault="00472B5B">
      <w:pPr>
        <w:pStyle w:val="FootnoteText"/>
      </w:pPr>
      <w:r>
        <w:rPr>
          <w:rStyle w:val="FootnoteReference"/>
        </w:rPr>
        <w:footnoteRef/>
      </w:r>
      <w:r>
        <w:t xml:space="preserve"> A</w:t>
      </w:r>
      <w:r w:rsidR="00476DC5">
        <w:t>non</w:t>
      </w:r>
      <w:r w:rsidR="002F2B7B">
        <w:t xml:space="preserve">, </w:t>
      </w:r>
      <w:r>
        <w:t xml:space="preserve">2019 </w:t>
      </w:r>
    </w:p>
  </w:footnote>
  <w:footnote w:id="3">
    <w:p w14:paraId="67D1C80A" w14:textId="763977D4" w:rsidR="00862D6B" w:rsidRDefault="00862D6B">
      <w:pPr>
        <w:pStyle w:val="FootnoteText"/>
      </w:pPr>
      <w:r>
        <w:rPr>
          <w:rStyle w:val="FootnoteReference"/>
        </w:rPr>
        <w:footnoteRef/>
      </w:r>
      <w:r>
        <w:t xml:space="preserve"> Carter and Mace, 1923</w:t>
      </w:r>
    </w:p>
  </w:footnote>
  <w:footnote w:id="4">
    <w:p w14:paraId="247FB221" w14:textId="17DB0CF7" w:rsidR="005631AB" w:rsidRPr="00D41AFA" w:rsidRDefault="005631AB" w:rsidP="00D41AFA">
      <w:pPr>
        <w:pStyle w:val="NoSpacing"/>
        <w:rPr>
          <w:sz w:val="20"/>
          <w:szCs w:val="20"/>
        </w:rPr>
      </w:pPr>
      <w:r w:rsidRPr="00D41AFA">
        <w:rPr>
          <w:rStyle w:val="FootnoteReference"/>
          <w:sz w:val="20"/>
          <w:szCs w:val="20"/>
        </w:rPr>
        <w:footnoteRef/>
      </w:r>
      <w:r w:rsidRPr="00D41AFA">
        <w:rPr>
          <w:sz w:val="20"/>
          <w:szCs w:val="20"/>
        </w:rPr>
        <w:t xml:space="preserve"> Tatomir, 2015</w:t>
      </w:r>
      <w:r w:rsidR="002E76E5">
        <w:rPr>
          <w:sz w:val="20"/>
          <w:szCs w:val="20"/>
        </w:rPr>
        <w:t>, p.</w:t>
      </w:r>
      <w:r w:rsidRPr="00D41AFA">
        <w:rPr>
          <w:sz w:val="20"/>
          <w:szCs w:val="20"/>
        </w:rPr>
        <w:t xml:space="preserve"> 568</w:t>
      </w:r>
    </w:p>
  </w:footnote>
  <w:footnote w:id="5">
    <w:p w14:paraId="065A1C91" w14:textId="7236525A" w:rsidR="005563D4" w:rsidRPr="00D41AFA" w:rsidRDefault="005563D4" w:rsidP="00D41AFA">
      <w:pPr>
        <w:pStyle w:val="NoSpacing"/>
        <w:rPr>
          <w:sz w:val="20"/>
          <w:szCs w:val="20"/>
        </w:rPr>
      </w:pPr>
      <w:r w:rsidRPr="00D41AFA">
        <w:rPr>
          <w:rStyle w:val="FootnoteReference"/>
          <w:sz w:val="20"/>
          <w:szCs w:val="20"/>
        </w:rPr>
        <w:footnoteRef/>
      </w:r>
      <w:r w:rsidRPr="00D41AFA">
        <w:rPr>
          <w:sz w:val="20"/>
          <w:szCs w:val="20"/>
        </w:rPr>
        <w:t xml:space="preserve"> Reid,</w:t>
      </w:r>
      <w:r w:rsidR="008A2363" w:rsidRPr="00D41AFA">
        <w:rPr>
          <w:sz w:val="20"/>
          <w:szCs w:val="20"/>
        </w:rPr>
        <w:t xml:space="preserve"> 2015</w:t>
      </w:r>
      <w:r w:rsidR="0019342F">
        <w:rPr>
          <w:sz w:val="20"/>
          <w:szCs w:val="20"/>
        </w:rPr>
        <w:t>:</w:t>
      </w:r>
      <w:r w:rsidR="006942F6" w:rsidRPr="00D41AFA">
        <w:rPr>
          <w:sz w:val="20"/>
          <w:szCs w:val="20"/>
        </w:rPr>
        <w:t xml:space="preserve"> </w:t>
      </w:r>
      <w:r w:rsidR="008A2363" w:rsidRPr="00D41AFA">
        <w:rPr>
          <w:sz w:val="20"/>
          <w:szCs w:val="20"/>
        </w:rPr>
        <w:t>51-109</w:t>
      </w:r>
    </w:p>
  </w:footnote>
  <w:footnote w:id="6">
    <w:p w14:paraId="3CAE71D2" w14:textId="160DA177" w:rsidR="00DB323B" w:rsidRPr="00D41AFA" w:rsidRDefault="00DB323B" w:rsidP="00D41AFA">
      <w:pPr>
        <w:pStyle w:val="NoSpacing"/>
        <w:rPr>
          <w:sz w:val="20"/>
          <w:szCs w:val="20"/>
        </w:rPr>
      </w:pPr>
      <w:r w:rsidRPr="00D41AFA">
        <w:rPr>
          <w:rStyle w:val="FootnoteReference"/>
          <w:sz w:val="20"/>
          <w:szCs w:val="20"/>
        </w:rPr>
        <w:footnoteRef/>
      </w:r>
      <w:r w:rsidRPr="00D41AFA">
        <w:rPr>
          <w:sz w:val="20"/>
          <w:szCs w:val="20"/>
        </w:rPr>
        <w:t xml:space="preserve"> Tatomir, 2015</w:t>
      </w:r>
      <w:r w:rsidR="00FC65CA">
        <w:rPr>
          <w:sz w:val="20"/>
          <w:szCs w:val="20"/>
        </w:rPr>
        <w:t>, p.</w:t>
      </w:r>
      <w:r w:rsidRPr="00D41AFA">
        <w:rPr>
          <w:sz w:val="20"/>
          <w:szCs w:val="20"/>
        </w:rPr>
        <w:t xml:space="preserve"> 571</w:t>
      </w:r>
    </w:p>
  </w:footnote>
  <w:footnote w:id="7">
    <w:p w14:paraId="1FFD4785" w14:textId="4388FF1F" w:rsidR="008B1BE5" w:rsidRPr="00D41AFA" w:rsidRDefault="00AF1A2C" w:rsidP="00D41AFA">
      <w:pPr>
        <w:pStyle w:val="NoSpacing"/>
        <w:rPr>
          <w:sz w:val="20"/>
          <w:szCs w:val="20"/>
        </w:rPr>
      </w:pPr>
      <w:r w:rsidRPr="00D41AFA">
        <w:rPr>
          <w:rStyle w:val="FootnoteReference"/>
          <w:sz w:val="20"/>
          <w:szCs w:val="20"/>
        </w:rPr>
        <w:footnoteRef/>
      </w:r>
      <w:r w:rsidRPr="00D41AFA">
        <w:rPr>
          <w:sz w:val="20"/>
          <w:szCs w:val="20"/>
        </w:rPr>
        <w:t xml:space="preserve"> Wood,</w:t>
      </w:r>
      <w:r w:rsidR="008B1BE5" w:rsidRPr="00D41AFA">
        <w:rPr>
          <w:sz w:val="20"/>
          <w:szCs w:val="20"/>
        </w:rPr>
        <w:t xml:space="preserve"> 1998, p. 189</w:t>
      </w:r>
    </w:p>
  </w:footnote>
  <w:footnote w:id="8">
    <w:p w14:paraId="3720A58C" w14:textId="5B338093" w:rsidR="00CF1ACA" w:rsidRPr="00D41AFA" w:rsidRDefault="00CF1ACA" w:rsidP="00D41AFA">
      <w:pPr>
        <w:pStyle w:val="NoSpacing"/>
        <w:rPr>
          <w:sz w:val="20"/>
          <w:szCs w:val="20"/>
        </w:rPr>
      </w:pPr>
      <w:r w:rsidRPr="00D41AFA">
        <w:rPr>
          <w:rStyle w:val="FootnoteReference"/>
          <w:sz w:val="20"/>
          <w:szCs w:val="20"/>
        </w:rPr>
        <w:footnoteRef/>
      </w:r>
      <w:r w:rsidRPr="00D41AFA">
        <w:rPr>
          <w:sz w:val="20"/>
          <w:szCs w:val="20"/>
        </w:rPr>
        <w:t xml:space="preserve"> Janot</w:t>
      </w:r>
      <w:r w:rsidR="00010457" w:rsidRPr="00D41AFA">
        <w:rPr>
          <w:sz w:val="20"/>
          <w:szCs w:val="20"/>
        </w:rPr>
        <w:t>,</w:t>
      </w:r>
      <w:r w:rsidR="00010457" w:rsidRPr="00D41AFA">
        <w:rPr>
          <w:rFonts w:cstheme="minorHAnsi"/>
          <w:sz w:val="20"/>
          <w:szCs w:val="20"/>
        </w:rPr>
        <w:t xml:space="preserve"> </w:t>
      </w:r>
      <w:r w:rsidR="006942F6" w:rsidRPr="00D41AFA">
        <w:rPr>
          <w:rFonts w:cstheme="minorHAnsi"/>
          <w:sz w:val="20"/>
          <w:szCs w:val="20"/>
        </w:rPr>
        <w:t>2010</w:t>
      </w:r>
      <w:r w:rsidR="00554BC4">
        <w:rPr>
          <w:rFonts w:cstheme="minorHAnsi"/>
          <w:sz w:val="20"/>
          <w:szCs w:val="20"/>
        </w:rPr>
        <w:t>:</w:t>
      </w:r>
      <w:r w:rsidR="00010457" w:rsidRPr="00D41AFA">
        <w:rPr>
          <w:rFonts w:cstheme="minorHAnsi"/>
          <w:sz w:val="20"/>
          <w:szCs w:val="20"/>
        </w:rPr>
        <w:t xml:space="preserve"> </w:t>
      </w:r>
      <w:r w:rsidRPr="00D41AFA">
        <w:rPr>
          <w:sz w:val="20"/>
          <w:szCs w:val="20"/>
        </w:rPr>
        <w:t>112</w:t>
      </w:r>
    </w:p>
  </w:footnote>
  <w:footnote w:id="9">
    <w:p w14:paraId="6427A12D" w14:textId="05366027" w:rsidR="003A4D9A" w:rsidRPr="00D41AFA" w:rsidRDefault="003A4D9A" w:rsidP="00D41AFA">
      <w:pPr>
        <w:pStyle w:val="NoSpacing"/>
        <w:rPr>
          <w:sz w:val="20"/>
          <w:szCs w:val="20"/>
        </w:rPr>
      </w:pPr>
      <w:r w:rsidRPr="00D41AFA">
        <w:rPr>
          <w:rStyle w:val="FootnoteReference"/>
          <w:sz w:val="20"/>
          <w:szCs w:val="20"/>
        </w:rPr>
        <w:footnoteRef/>
      </w:r>
      <w:r w:rsidRPr="00D41AFA">
        <w:rPr>
          <w:sz w:val="20"/>
          <w:szCs w:val="20"/>
        </w:rPr>
        <w:t xml:space="preserve"> Saatchi Gallery</w:t>
      </w:r>
      <w:r w:rsidR="00D41AFA">
        <w:rPr>
          <w:sz w:val="20"/>
          <w:szCs w:val="20"/>
        </w:rPr>
        <w:t>,</w:t>
      </w:r>
      <w:r w:rsidR="00D41AFA" w:rsidRPr="00C75AD9">
        <w:rPr>
          <w:i/>
          <w:iCs/>
          <w:sz w:val="20"/>
          <w:szCs w:val="20"/>
        </w:rPr>
        <w:t xml:space="preserve"> </w:t>
      </w:r>
      <w:r w:rsidR="00D41AFA" w:rsidRPr="00D41AFA">
        <w:rPr>
          <w:sz w:val="20"/>
          <w:szCs w:val="20"/>
        </w:rPr>
        <w:t xml:space="preserve">2019 </w:t>
      </w:r>
    </w:p>
  </w:footnote>
  <w:footnote w:id="10">
    <w:p w14:paraId="7D6E1C12" w14:textId="29023777" w:rsidR="000B17A3" w:rsidRPr="00D41AFA" w:rsidRDefault="000B17A3" w:rsidP="00D41AFA">
      <w:pPr>
        <w:pStyle w:val="NoSpacing"/>
        <w:rPr>
          <w:sz w:val="20"/>
          <w:szCs w:val="20"/>
        </w:rPr>
      </w:pPr>
      <w:r w:rsidRPr="00D41AFA">
        <w:rPr>
          <w:rStyle w:val="FootnoteReference"/>
          <w:sz w:val="20"/>
          <w:szCs w:val="20"/>
        </w:rPr>
        <w:footnoteRef/>
      </w:r>
      <w:r w:rsidRPr="00D41AFA">
        <w:rPr>
          <w:sz w:val="20"/>
          <w:szCs w:val="20"/>
        </w:rPr>
        <w:t xml:space="preserve"> Clayton</w:t>
      </w:r>
      <w:r w:rsidR="0073025D" w:rsidRPr="00D41AFA">
        <w:rPr>
          <w:sz w:val="20"/>
          <w:szCs w:val="20"/>
        </w:rPr>
        <w:t>, 1994</w:t>
      </w:r>
      <w:r w:rsidR="00B5397F">
        <w:rPr>
          <w:sz w:val="20"/>
          <w:szCs w:val="20"/>
        </w:rPr>
        <w:t>:</w:t>
      </w:r>
      <w:r w:rsidR="0073025D" w:rsidRPr="00D41AFA">
        <w:rPr>
          <w:sz w:val="20"/>
          <w:szCs w:val="20"/>
        </w:rPr>
        <w:t xml:space="preserve"> </w:t>
      </w:r>
      <w:r w:rsidRPr="00D41AFA">
        <w:rPr>
          <w:sz w:val="20"/>
          <w:szCs w:val="20"/>
        </w:rPr>
        <w:t>128</w:t>
      </w:r>
    </w:p>
  </w:footnote>
  <w:footnote w:id="11">
    <w:p w14:paraId="1E9F3808" w14:textId="5DE9AFDA" w:rsidR="001655DB" w:rsidRPr="00D41AFA" w:rsidRDefault="001655DB" w:rsidP="00D41AFA">
      <w:pPr>
        <w:pStyle w:val="NoSpacing"/>
        <w:rPr>
          <w:sz w:val="20"/>
          <w:szCs w:val="20"/>
        </w:rPr>
      </w:pPr>
      <w:r w:rsidRPr="00D41AFA">
        <w:rPr>
          <w:rStyle w:val="FootnoteReference"/>
          <w:sz w:val="20"/>
          <w:szCs w:val="20"/>
        </w:rPr>
        <w:footnoteRef/>
      </w:r>
      <w:r w:rsidR="00B20421">
        <w:rPr>
          <w:sz w:val="20"/>
          <w:szCs w:val="20"/>
        </w:rPr>
        <w:t xml:space="preserve"> </w:t>
      </w:r>
      <w:r w:rsidRPr="00D41AFA">
        <w:rPr>
          <w:sz w:val="20"/>
          <w:szCs w:val="20"/>
        </w:rPr>
        <w:t xml:space="preserve">Smith, </w:t>
      </w:r>
      <w:r w:rsidR="00874D29" w:rsidRPr="00D41AFA">
        <w:rPr>
          <w:rFonts w:cstheme="minorHAnsi"/>
          <w:sz w:val="20"/>
          <w:szCs w:val="20"/>
        </w:rPr>
        <w:t>1923</w:t>
      </w:r>
      <w:r w:rsidR="00B20421">
        <w:rPr>
          <w:rFonts w:cstheme="minorHAnsi"/>
          <w:sz w:val="20"/>
          <w:szCs w:val="20"/>
        </w:rPr>
        <w:t>:</w:t>
      </w:r>
      <w:r w:rsidR="00874D29" w:rsidRPr="00D41AFA">
        <w:rPr>
          <w:sz w:val="20"/>
          <w:szCs w:val="20"/>
        </w:rPr>
        <w:t xml:space="preserve"> </w:t>
      </w:r>
      <w:r w:rsidRPr="00D41AFA">
        <w:rPr>
          <w:sz w:val="20"/>
          <w:szCs w:val="20"/>
        </w:rPr>
        <w:t>16</w:t>
      </w:r>
    </w:p>
  </w:footnote>
  <w:footnote w:id="12">
    <w:p w14:paraId="4D652A60" w14:textId="1355BCAA" w:rsidR="00EB6713" w:rsidRPr="00D41AFA" w:rsidRDefault="00EB6713" w:rsidP="00D41AFA">
      <w:pPr>
        <w:pStyle w:val="NoSpacing"/>
        <w:rPr>
          <w:sz w:val="20"/>
          <w:szCs w:val="20"/>
        </w:rPr>
      </w:pPr>
      <w:r w:rsidRPr="00D41AFA">
        <w:rPr>
          <w:rStyle w:val="FootnoteReference"/>
          <w:sz w:val="20"/>
          <w:szCs w:val="20"/>
        </w:rPr>
        <w:footnoteRef/>
      </w:r>
      <w:r w:rsidRPr="00D41AFA">
        <w:rPr>
          <w:sz w:val="20"/>
          <w:szCs w:val="20"/>
        </w:rPr>
        <w:t xml:space="preserve"> Fritze</w:t>
      </w:r>
      <w:r w:rsidR="000078E5" w:rsidRPr="00D41AFA">
        <w:rPr>
          <w:sz w:val="20"/>
          <w:szCs w:val="20"/>
        </w:rPr>
        <w:t>, 2016</w:t>
      </w:r>
      <w:r w:rsidR="00476846">
        <w:rPr>
          <w:sz w:val="20"/>
          <w:szCs w:val="20"/>
        </w:rPr>
        <w:t>:</w:t>
      </w:r>
      <w:r w:rsidR="000078E5" w:rsidRPr="00D41AFA">
        <w:rPr>
          <w:sz w:val="20"/>
          <w:szCs w:val="20"/>
        </w:rPr>
        <w:t xml:space="preserve"> 222</w:t>
      </w:r>
    </w:p>
  </w:footnote>
  <w:footnote w:id="13">
    <w:p w14:paraId="31EA90B6" w14:textId="6B60ADF6" w:rsidR="00C6520E" w:rsidRPr="00D41AFA" w:rsidRDefault="00904938" w:rsidP="00D41AFA">
      <w:pPr>
        <w:pStyle w:val="NoSpacing"/>
        <w:rPr>
          <w:sz w:val="20"/>
          <w:szCs w:val="20"/>
        </w:rPr>
      </w:pPr>
      <w:r w:rsidRPr="00D41AFA">
        <w:rPr>
          <w:rStyle w:val="FootnoteReference"/>
          <w:sz w:val="20"/>
          <w:szCs w:val="20"/>
        </w:rPr>
        <w:footnoteRef/>
      </w:r>
      <w:r w:rsidRPr="00D41AFA">
        <w:rPr>
          <w:sz w:val="20"/>
          <w:szCs w:val="20"/>
        </w:rPr>
        <w:t xml:space="preserve"> Arakaki,</w:t>
      </w:r>
      <w:r w:rsidR="00C35F1A">
        <w:rPr>
          <w:sz w:val="20"/>
          <w:szCs w:val="20"/>
        </w:rPr>
        <w:t xml:space="preserve"> 1986, p.2</w:t>
      </w:r>
    </w:p>
  </w:footnote>
  <w:footnote w:id="14">
    <w:p w14:paraId="6BE26FF9" w14:textId="643A3D40" w:rsidR="008A4DF3" w:rsidRDefault="008A4DF3">
      <w:pPr>
        <w:pStyle w:val="FootnoteText"/>
      </w:pPr>
      <w:r>
        <w:rPr>
          <w:rStyle w:val="FootnoteReference"/>
        </w:rPr>
        <w:footnoteRef/>
      </w:r>
      <w:r>
        <w:t xml:space="preserve"> Saatchi Gallery, 2019</w:t>
      </w:r>
    </w:p>
  </w:footnote>
  <w:footnote w:id="15">
    <w:p w14:paraId="25B79ABD" w14:textId="1FE08824" w:rsidR="003D49CB" w:rsidRDefault="003D49CB" w:rsidP="00D41AFA">
      <w:pPr>
        <w:pStyle w:val="NoSpacing"/>
      </w:pPr>
      <w:r w:rsidRPr="00D41AFA">
        <w:rPr>
          <w:rStyle w:val="FootnoteReference"/>
          <w:sz w:val="20"/>
          <w:szCs w:val="20"/>
        </w:rPr>
        <w:footnoteRef/>
      </w:r>
      <w:r w:rsidRPr="00D41AFA">
        <w:rPr>
          <w:sz w:val="20"/>
          <w:szCs w:val="20"/>
        </w:rPr>
        <w:t xml:space="preserve"> Saatchi Gallery</w:t>
      </w:r>
      <w:r w:rsidR="000F0AB7" w:rsidRPr="00D41AFA">
        <w:rPr>
          <w:sz w:val="20"/>
          <w:szCs w:val="20"/>
        </w:rPr>
        <w:t xml:space="preserve">, </w:t>
      </w:r>
      <w:r w:rsidR="00D41AFA">
        <w:rPr>
          <w:sz w:val="20"/>
          <w:szCs w:val="20"/>
        </w:rPr>
        <w:t>2019</w:t>
      </w:r>
    </w:p>
  </w:footnote>
  <w:footnote w:id="16">
    <w:p w14:paraId="5828F484" w14:textId="2430EE85" w:rsidR="00DF3DA5" w:rsidRDefault="00DF3DA5">
      <w:pPr>
        <w:pStyle w:val="FootnoteText"/>
      </w:pPr>
      <w:r>
        <w:rPr>
          <w:rStyle w:val="FootnoteReference"/>
        </w:rPr>
        <w:footnoteRef/>
      </w:r>
      <w:r>
        <w:t xml:space="preserve"> Reid, </w:t>
      </w:r>
      <w:r w:rsidR="00750904">
        <w:t>2015</w:t>
      </w:r>
      <w:r>
        <w:t xml:space="preserve"> </w:t>
      </w:r>
    </w:p>
  </w:footnote>
  <w:footnote w:id="17">
    <w:p w14:paraId="512EE51E" w14:textId="755EE57F" w:rsidR="000169F2" w:rsidRDefault="000169F2">
      <w:pPr>
        <w:pStyle w:val="FootnoteText"/>
      </w:pPr>
      <w:r>
        <w:rPr>
          <w:rStyle w:val="FootnoteReference"/>
        </w:rPr>
        <w:footnoteRef/>
      </w:r>
      <w:r>
        <w:t xml:space="preserve"> Griffith Institute, 1922</w:t>
      </w:r>
    </w:p>
  </w:footnote>
  <w:footnote w:id="18">
    <w:p w14:paraId="52BDEC3E" w14:textId="6E447FA0" w:rsidR="001D03B8" w:rsidRDefault="001D03B8">
      <w:pPr>
        <w:pStyle w:val="FootnoteText"/>
      </w:pPr>
      <w:r>
        <w:rPr>
          <w:rStyle w:val="FootnoteReference"/>
        </w:rPr>
        <w:footnoteRef/>
      </w:r>
      <w:r>
        <w:t xml:space="preserve"> </w:t>
      </w:r>
      <w:r w:rsidR="00C107BD">
        <w:t xml:space="preserve">Smith, </w:t>
      </w:r>
      <w:r w:rsidR="00466F07">
        <w:t>1923</w:t>
      </w:r>
    </w:p>
  </w:footnote>
  <w:footnote w:id="19">
    <w:p w14:paraId="4E04BDE6" w14:textId="48D592C9" w:rsidR="008B1BE5" w:rsidRDefault="00A177DB" w:rsidP="008B1BE5">
      <w:r>
        <w:rPr>
          <w:rStyle w:val="FootnoteReference"/>
        </w:rPr>
        <w:footnoteRef/>
      </w:r>
      <w:r>
        <w:t xml:space="preserve"> </w:t>
      </w:r>
      <w:r w:rsidRPr="008B1BE5">
        <w:rPr>
          <w:sz w:val="20"/>
          <w:szCs w:val="20"/>
        </w:rPr>
        <w:t>Collins</w:t>
      </w:r>
      <w:r w:rsidR="00BF25B5">
        <w:rPr>
          <w:sz w:val="20"/>
          <w:szCs w:val="20"/>
        </w:rPr>
        <w:t xml:space="preserve"> and</w:t>
      </w:r>
      <w:r w:rsidR="008B1BE5" w:rsidRPr="008B1BE5">
        <w:rPr>
          <w:sz w:val="20"/>
          <w:szCs w:val="20"/>
        </w:rPr>
        <w:t xml:space="preserve"> </w:t>
      </w:r>
      <w:r w:rsidRPr="008B1BE5">
        <w:rPr>
          <w:sz w:val="20"/>
          <w:szCs w:val="20"/>
        </w:rPr>
        <w:t xml:space="preserve">McNamara, </w:t>
      </w:r>
      <w:r w:rsidR="008B1BE5" w:rsidRPr="008B1BE5">
        <w:rPr>
          <w:sz w:val="20"/>
          <w:szCs w:val="20"/>
        </w:rPr>
        <w:t>2014</w:t>
      </w:r>
      <w:r w:rsidR="00BF25B5">
        <w:rPr>
          <w:sz w:val="20"/>
          <w:szCs w:val="20"/>
        </w:rPr>
        <w:t>:</w:t>
      </w:r>
      <w:r w:rsidR="008B1BE5" w:rsidRPr="008B1BE5">
        <w:rPr>
          <w:sz w:val="20"/>
          <w:szCs w:val="20"/>
        </w:rPr>
        <w:t xml:space="preserve"> 19.</w:t>
      </w:r>
      <w:r w:rsidR="008B1BE5">
        <w:t xml:space="preserve">  </w:t>
      </w:r>
    </w:p>
    <w:p w14:paraId="5C308222" w14:textId="77777777" w:rsidR="008B1BE5" w:rsidRDefault="008B1BE5">
      <w:pPr>
        <w:pStyle w:val="FootnoteText"/>
      </w:pPr>
    </w:p>
    <w:p w14:paraId="002272E9" w14:textId="39610CA9" w:rsidR="00A177DB" w:rsidRDefault="00A177DB">
      <w:pPr>
        <w:pStyle w:val="FootnoteText"/>
      </w:pP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E7B89"/>
    <w:multiLevelType w:val="hybridMultilevel"/>
    <w:tmpl w:val="EDECF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511A2"/>
    <w:multiLevelType w:val="hybridMultilevel"/>
    <w:tmpl w:val="FEB8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A04EA"/>
    <w:multiLevelType w:val="hybridMultilevel"/>
    <w:tmpl w:val="5346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C7232"/>
    <w:multiLevelType w:val="hybridMultilevel"/>
    <w:tmpl w:val="F3C8E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2MjK2tDQ0MDA0NDVW0lEKTi0uzszPAykwNKkFALDqTwYtAAAA"/>
  </w:docVars>
  <w:rsids>
    <w:rsidRoot w:val="009E4335"/>
    <w:rsid w:val="000078E5"/>
    <w:rsid w:val="00010457"/>
    <w:rsid w:val="000169F2"/>
    <w:rsid w:val="000343DA"/>
    <w:rsid w:val="00065ED2"/>
    <w:rsid w:val="000B17A3"/>
    <w:rsid w:val="000B4B1C"/>
    <w:rsid w:val="000C1E16"/>
    <w:rsid w:val="000D4063"/>
    <w:rsid w:val="000D5908"/>
    <w:rsid w:val="000F0AB7"/>
    <w:rsid w:val="001012B5"/>
    <w:rsid w:val="00122D38"/>
    <w:rsid w:val="0014693D"/>
    <w:rsid w:val="001630B9"/>
    <w:rsid w:val="001655DB"/>
    <w:rsid w:val="0016662B"/>
    <w:rsid w:val="00186102"/>
    <w:rsid w:val="0019342F"/>
    <w:rsid w:val="001A63F5"/>
    <w:rsid w:val="001B3385"/>
    <w:rsid w:val="001D03B8"/>
    <w:rsid w:val="001F224C"/>
    <w:rsid w:val="001F3146"/>
    <w:rsid w:val="00271A39"/>
    <w:rsid w:val="002B3D37"/>
    <w:rsid w:val="002C7C0E"/>
    <w:rsid w:val="002E6E1F"/>
    <w:rsid w:val="002E76E5"/>
    <w:rsid w:val="002F2B7B"/>
    <w:rsid w:val="00347BFA"/>
    <w:rsid w:val="0036371F"/>
    <w:rsid w:val="0037751D"/>
    <w:rsid w:val="00385115"/>
    <w:rsid w:val="003A3AE4"/>
    <w:rsid w:val="003A4D9A"/>
    <w:rsid w:val="003D0FA1"/>
    <w:rsid w:val="003D1C46"/>
    <w:rsid w:val="003D49CB"/>
    <w:rsid w:val="003E72DF"/>
    <w:rsid w:val="00441164"/>
    <w:rsid w:val="00466F07"/>
    <w:rsid w:val="00472B5B"/>
    <w:rsid w:val="00476846"/>
    <w:rsid w:val="00476DC5"/>
    <w:rsid w:val="00490309"/>
    <w:rsid w:val="004A5B36"/>
    <w:rsid w:val="004E63DE"/>
    <w:rsid w:val="00536AE7"/>
    <w:rsid w:val="005433C5"/>
    <w:rsid w:val="005475D3"/>
    <w:rsid w:val="00554BC4"/>
    <w:rsid w:val="005563D4"/>
    <w:rsid w:val="00562CEE"/>
    <w:rsid w:val="005631AB"/>
    <w:rsid w:val="00595562"/>
    <w:rsid w:val="005E26DC"/>
    <w:rsid w:val="00624992"/>
    <w:rsid w:val="0064189D"/>
    <w:rsid w:val="006567A9"/>
    <w:rsid w:val="0066703E"/>
    <w:rsid w:val="00675AA3"/>
    <w:rsid w:val="006942F6"/>
    <w:rsid w:val="006B7F59"/>
    <w:rsid w:val="006D25AB"/>
    <w:rsid w:val="00706798"/>
    <w:rsid w:val="0073025D"/>
    <w:rsid w:val="00750904"/>
    <w:rsid w:val="007709F8"/>
    <w:rsid w:val="00773118"/>
    <w:rsid w:val="007766BD"/>
    <w:rsid w:val="007A0652"/>
    <w:rsid w:val="007C2B95"/>
    <w:rsid w:val="007D0624"/>
    <w:rsid w:val="007D792D"/>
    <w:rsid w:val="00801EF8"/>
    <w:rsid w:val="00810DC3"/>
    <w:rsid w:val="00820116"/>
    <w:rsid w:val="0082037B"/>
    <w:rsid w:val="008504F2"/>
    <w:rsid w:val="00855F4C"/>
    <w:rsid w:val="00862D6B"/>
    <w:rsid w:val="00874D29"/>
    <w:rsid w:val="008A0584"/>
    <w:rsid w:val="008A2363"/>
    <w:rsid w:val="008A4DF3"/>
    <w:rsid w:val="008B1BE5"/>
    <w:rsid w:val="00904938"/>
    <w:rsid w:val="0091170A"/>
    <w:rsid w:val="009210EF"/>
    <w:rsid w:val="009258B4"/>
    <w:rsid w:val="00943193"/>
    <w:rsid w:val="0094526B"/>
    <w:rsid w:val="009701EB"/>
    <w:rsid w:val="00981D28"/>
    <w:rsid w:val="009A733E"/>
    <w:rsid w:val="009C0A85"/>
    <w:rsid w:val="009E4335"/>
    <w:rsid w:val="009E44EA"/>
    <w:rsid w:val="009E781B"/>
    <w:rsid w:val="00A177DB"/>
    <w:rsid w:val="00A94C30"/>
    <w:rsid w:val="00AA2EF7"/>
    <w:rsid w:val="00AD0A65"/>
    <w:rsid w:val="00AF1A2C"/>
    <w:rsid w:val="00B20421"/>
    <w:rsid w:val="00B329A5"/>
    <w:rsid w:val="00B400AC"/>
    <w:rsid w:val="00B447B6"/>
    <w:rsid w:val="00B4499D"/>
    <w:rsid w:val="00B5397F"/>
    <w:rsid w:val="00B76899"/>
    <w:rsid w:val="00BB06C6"/>
    <w:rsid w:val="00BB403D"/>
    <w:rsid w:val="00BF25B5"/>
    <w:rsid w:val="00C04B7B"/>
    <w:rsid w:val="00C06756"/>
    <w:rsid w:val="00C107BD"/>
    <w:rsid w:val="00C118DB"/>
    <w:rsid w:val="00C251A0"/>
    <w:rsid w:val="00C25FD2"/>
    <w:rsid w:val="00C35F1A"/>
    <w:rsid w:val="00C600DA"/>
    <w:rsid w:val="00C6520E"/>
    <w:rsid w:val="00C74215"/>
    <w:rsid w:val="00C75AD9"/>
    <w:rsid w:val="00C77833"/>
    <w:rsid w:val="00C873E9"/>
    <w:rsid w:val="00CC0829"/>
    <w:rsid w:val="00CC2328"/>
    <w:rsid w:val="00CD7682"/>
    <w:rsid w:val="00CF1ACA"/>
    <w:rsid w:val="00CF2701"/>
    <w:rsid w:val="00D01AC4"/>
    <w:rsid w:val="00D26DD9"/>
    <w:rsid w:val="00D403CC"/>
    <w:rsid w:val="00D40534"/>
    <w:rsid w:val="00D41AFA"/>
    <w:rsid w:val="00D442A0"/>
    <w:rsid w:val="00D70418"/>
    <w:rsid w:val="00D7249C"/>
    <w:rsid w:val="00DA31A1"/>
    <w:rsid w:val="00DB323B"/>
    <w:rsid w:val="00DF3DA5"/>
    <w:rsid w:val="00E11C51"/>
    <w:rsid w:val="00E51D5B"/>
    <w:rsid w:val="00E5746A"/>
    <w:rsid w:val="00E82027"/>
    <w:rsid w:val="00E901AE"/>
    <w:rsid w:val="00EA5B26"/>
    <w:rsid w:val="00EB6713"/>
    <w:rsid w:val="00ED3C29"/>
    <w:rsid w:val="00F00ECC"/>
    <w:rsid w:val="00F00FEE"/>
    <w:rsid w:val="00F04E00"/>
    <w:rsid w:val="00F07107"/>
    <w:rsid w:val="00F45885"/>
    <w:rsid w:val="00F83B6B"/>
    <w:rsid w:val="00F91BA1"/>
    <w:rsid w:val="00FA5793"/>
    <w:rsid w:val="00FC65CA"/>
    <w:rsid w:val="00FD18BB"/>
    <w:rsid w:val="00FD7EAE"/>
    <w:rsid w:val="00FE4CD5"/>
    <w:rsid w:val="00FE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C714A"/>
  <w15:chartTrackingRefBased/>
  <w15:docId w15:val="{48CD5AEB-1B7D-4BC4-B9EF-268E110B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EAE"/>
    <w:pPr>
      <w:ind w:left="720"/>
      <w:contextualSpacing/>
    </w:pPr>
  </w:style>
  <w:style w:type="paragraph" w:styleId="FootnoteText">
    <w:name w:val="footnote text"/>
    <w:basedOn w:val="Normal"/>
    <w:link w:val="FootnoteTextChar"/>
    <w:uiPriority w:val="99"/>
    <w:unhideWhenUsed/>
    <w:rsid w:val="00CC2328"/>
    <w:pPr>
      <w:spacing w:after="0" w:line="240" w:lineRule="auto"/>
    </w:pPr>
    <w:rPr>
      <w:sz w:val="20"/>
      <w:szCs w:val="20"/>
    </w:rPr>
  </w:style>
  <w:style w:type="character" w:customStyle="1" w:styleId="FootnoteTextChar">
    <w:name w:val="Footnote Text Char"/>
    <w:basedOn w:val="DefaultParagraphFont"/>
    <w:link w:val="FootnoteText"/>
    <w:uiPriority w:val="99"/>
    <w:rsid w:val="00CC2328"/>
    <w:rPr>
      <w:sz w:val="20"/>
      <w:szCs w:val="20"/>
    </w:rPr>
  </w:style>
  <w:style w:type="character" w:styleId="FootnoteReference">
    <w:name w:val="footnote reference"/>
    <w:basedOn w:val="DefaultParagraphFont"/>
    <w:uiPriority w:val="99"/>
    <w:semiHidden/>
    <w:unhideWhenUsed/>
    <w:rsid w:val="00CC2328"/>
    <w:rPr>
      <w:vertAlign w:val="superscript"/>
    </w:rPr>
  </w:style>
  <w:style w:type="character" w:styleId="Hyperlink">
    <w:name w:val="Hyperlink"/>
    <w:basedOn w:val="DefaultParagraphFont"/>
    <w:uiPriority w:val="99"/>
    <w:unhideWhenUsed/>
    <w:rsid w:val="000F0AB7"/>
    <w:rPr>
      <w:color w:val="0563C1" w:themeColor="hyperlink"/>
      <w:u w:val="single"/>
    </w:rPr>
  </w:style>
  <w:style w:type="character" w:styleId="UnresolvedMention">
    <w:name w:val="Unresolved Mention"/>
    <w:basedOn w:val="DefaultParagraphFont"/>
    <w:uiPriority w:val="99"/>
    <w:semiHidden/>
    <w:unhideWhenUsed/>
    <w:rsid w:val="000F0AB7"/>
    <w:rPr>
      <w:color w:val="605E5C"/>
      <w:shd w:val="clear" w:color="auto" w:fill="E1DFDD"/>
    </w:rPr>
  </w:style>
  <w:style w:type="paragraph" w:styleId="NoSpacing">
    <w:name w:val="No Spacing"/>
    <w:uiPriority w:val="1"/>
    <w:qFormat/>
    <w:rsid w:val="00D41AFA"/>
    <w:pPr>
      <w:spacing w:after="0" w:line="240" w:lineRule="auto"/>
    </w:pPr>
  </w:style>
  <w:style w:type="character" w:styleId="CommentReference">
    <w:name w:val="annotation reference"/>
    <w:basedOn w:val="DefaultParagraphFont"/>
    <w:uiPriority w:val="99"/>
    <w:semiHidden/>
    <w:unhideWhenUsed/>
    <w:rsid w:val="00AD0A65"/>
    <w:rPr>
      <w:sz w:val="16"/>
      <w:szCs w:val="16"/>
    </w:rPr>
  </w:style>
  <w:style w:type="paragraph" w:styleId="CommentText">
    <w:name w:val="annotation text"/>
    <w:basedOn w:val="Normal"/>
    <w:link w:val="CommentTextChar"/>
    <w:uiPriority w:val="99"/>
    <w:semiHidden/>
    <w:unhideWhenUsed/>
    <w:rsid w:val="00AD0A65"/>
    <w:pPr>
      <w:spacing w:line="240" w:lineRule="auto"/>
    </w:pPr>
    <w:rPr>
      <w:sz w:val="20"/>
      <w:szCs w:val="20"/>
    </w:rPr>
  </w:style>
  <w:style w:type="character" w:customStyle="1" w:styleId="CommentTextChar">
    <w:name w:val="Comment Text Char"/>
    <w:basedOn w:val="DefaultParagraphFont"/>
    <w:link w:val="CommentText"/>
    <w:uiPriority w:val="99"/>
    <w:semiHidden/>
    <w:rsid w:val="00AD0A65"/>
    <w:rPr>
      <w:sz w:val="20"/>
      <w:szCs w:val="20"/>
    </w:rPr>
  </w:style>
  <w:style w:type="paragraph" w:styleId="CommentSubject">
    <w:name w:val="annotation subject"/>
    <w:basedOn w:val="CommentText"/>
    <w:next w:val="CommentText"/>
    <w:link w:val="CommentSubjectChar"/>
    <w:uiPriority w:val="99"/>
    <w:semiHidden/>
    <w:unhideWhenUsed/>
    <w:rsid w:val="00AD0A65"/>
    <w:rPr>
      <w:b/>
      <w:bCs/>
    </w:rPr>
  </w:style>
  <w:style w:type="character" w:customStyle="1" w:styleId="CommentSubjectChar">
    <w:name w:val="Comment Subject Char"/>
    <w:basedOn w:val="CommentTextChar"/>
    <w:link w:val="CommentSubject"/>
    <w:uiPriority w:val="99"/>
    <w:semiHidden/>
    <w:rsid w:val="00AD0A65"/>
    <w:rPr>
      <w:b/>
      <w:bCs/>
      <w:sz w:val="20"/>
      <w:szCs w:val="20"/>
    </w:rPr>
  </w:style>
  <w:style w:type="paragraph" w:styleId="BalloonText">
    <w:name w:val="Balloon Text"/>
    <w:basedOn w:val="Normal"/>
    <w:link w:val="BalloonTextChar"/>
    <w:uiPriority w:val="99"/>
    <w:semiHidden/>
    <w:unhideWhenUsed/>
    <w:rsid w:val="00AD0A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A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532694">
      <w:bodyDiv w:val="1"/>
      <w:marLeft w:val="0"/>
      <w:marRight w:val="0"/>
      <w:marTop w:val="0"/>
      <w:marBottom w:val="0"/>
      <w:divBdr>
        <w:top w:val="none" w:sz="0" w:space="0" w:color="auto"/>
        <w:left w:val="none" w:sz="0" w:space="0" w:color="auto"/>
        <w:bottom w:val="none" w:sz="0" w:space="0" w:color="auto"/>
        <w:right w:val="none" w:sz="0" w:space="0" w:color="auto"/>
      </w:divBdr>
    </w:div>
    <w:div w:id="126677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riffith.ox.ac.uk/gri/4sea1not.html" TargetMode="External"/><Relationship Id="rId18" Type="http://schemas.openxmlformats.org/officeDocument/2006/relationships/hyperlink" Target="https://www.jstor.org/stable/40000469" TargetMode="External"/><Relationship Id="rId26" Type="http://schemas.openxmlformats.org/officeDocument/2006/relationships/hyperlink" Target="http://www.griffith.ox.ac.uk/gri/4sea1not.html" TargetMode="External"/><Relationship Id="rId3" Type="http://schemas.openxmlformats.org/officeDocument/2006/relationships/styles" Target="styles.xml"/><Relationship Id="rId21" Type="http://schemas.openxmlformats.org/officeDocument/2006/relationships/hyperlink" Target="https://www.saatchigallery.com/art/tutankhamun.php" TargetMode="External"/><Relationship Id="rId7" Type="http://schemas.openxmlformats.org/officeDocument/2006/relationships/endnotes" Target="endnotes.xml"/><Relationship Id="rId12" Type="http://schemas.openxmlformats.org/officeDocument/2006/relationships/hyperlink" Target="http://jaei.library.arizona.edu/" TargetMode="External"/><Relationship Id="rId17" Type="http://schemas.openxmlformats.org/officeDocument/2006/relationships/hyperlink" Target="https://www.academia.edu/19750156/Egyptomania_in_Antiquity_and_in_Modern_World_Literature._Imaginary_Intercultural_Context_and_Mentality" TargetMode="External"/><Relationship Id="rId25" Type="http://schemas.openxmlformats.org/officeDocument/2006/relationships/hyperlink" Target="http://jaei.library.arizona.ed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jstor.org/stable/3245432?seq=1" TargetMode="External"/><Relationship Id="rId20" Type="http://schemas.openxmlformats.org/officeDocument/2006/relationships/hyperlink" Target="http://www.griffith.ox.ac.uk/gri/4sea1not.html" TargetMode="External"/><Relationship Id="rId29" Type="http://schemas.openxmlformats.org/officeDocument/2006/relationships/hyperlink" Target="https://www.jstor.org/stable/3245432?seq=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ome.bt.com/news/behind-the-scenes-as-largest-ever-tutankhamun-exhibition-moves-to-london-91364399327709?playlistVideoId=6091137187001&amp;utm_campaign=139799_Extended%20Hours%20Announced%21&amp;utm_medium=email&amp;utm_source=Tutankhamun%20London&amp;dm_i=55SU,2ZVB,M0FAH,AUSB,1" TargetMode="External"/><Relationship Id="rId24" Type="http://schemas.openxmlformats.org/officeDocument/2006/relationships/hyperlink" Target="http://home.bt.com/news/behind-the-scenes-as-largest-ever-tutankhamun-exhibition-moves-to-london-91364399327709?playlistVideoId=6091137187001&amp;utm_campaign=139799_Extended%20Hours%20Announced%21&amp;utm_medium=email&amp;utm_source=Tutankhamun%20London&amp;dm_i=55SU,2ZVB,M0FAH,AUSB,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aatchigallery.com/art/tutankhamun.php" TargetMode="External"/><Relationship Id="rId23" Type="http://schemas.openxmlformats.org/officeDocument/2006/relationships/hyperlink" Target="https://www.jstor.org/stable/40000469" TargetMode="External"/><Relationship Id="rId28" Type="http://schemas.openxmlformats.org/officeDocument/2006/relationships/hyperlink" Target="https://www.saatchigallery.com/art/tutankhamun.php" TargetMode="External"/><Relationship Id="rId10" Type="http://schemas.openxmlformats.org/officeDocument/2006/relationships/image" Target="media/image3.jpeg"/><Relationship Id="rId19" Type="http://schemas.openxmlformats.org/officeDocument/2006/relationships/hyperlink" Target="http://home.bt.com/news/behind-the-scenes-as-largest-ever-tutankhamun-exhibition-moves-to-london-91364399327709?playlistVideoId=6091137187001&amp;utm_campaign=139799_Extended%20Hours%20Announced%21&amp;utm_medium=email&amp;utm_source=Tutankhamun%20London&amp;dm_i=55SU,2ZVB,M0FAH,AUSB,1" TargetMode="External"/><Relationship Id="rId31" Type="http://schemas.openxmlformats.org/officeDocument/2006/relationships/hyperlink" Target="https://www.jstor.org/stable/4000046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jstor.org/stable/601703?seq=1" TargetMode="External"/><Relationship Id="rId22" Type="http://schemas.openxmlformats.org/officeDocument/2006/relationships/hyperlink" Target="https://www.academia.edu/19750156/Egyptomania_in_Antiquity_and_in_Modern_World_Literature._Imaginary_Intercultural_Context_and_Mentality" TargetMode="External"/><Relationship Id="rId27" Type="http://schemas.openxmlformats.org/officeDocument/2006/relationships/hyperlink" Target="https://www.jstor.org/stable/601703?seq=1" TargetMode="External"/><Relationship Id="rId30" Type="http://schemas.openxmlformats.org/officeDocument/2006/relationships/hyperlink" Target="https://www.academia.edu/19750156/Egyptomania_in_Antiquity_and_in_Modern_World_Literature._Imaginary_Intercultural_Context_and_Men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48A12-B7D9-48D1-86A0-39D27D6C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13</Pages>
  <Words>3546</Words>
  <Characters>20217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Pak</dc:creator>
  <cp:keywords/>
  <dc:description/>
  <cp:lastModifiedBy>Melisa Pak</cp:lastModifiedBy>
  <cp:revision>144</cp:revision>
  <dcterms:created xsi:type="dcterms:W3CDTF">2019-09-29T13:09:00Z</dcterms:created>
  <dcterms:modified xsi:type="dcterms:W3CDTF">2019-10-10T14:29:00Z</dcterms:modified>
</cp:coreProperties>
</file>