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 Business Management </w:t>
      </w: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 Community Engagement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LCBB4002</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Dr Toyin Adisa</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Assignment 1</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Mohirta Constantin Laurentiu (2030333)  </w:t>
      </w:r>
    </w:p>
    <w:p w:rsidR="00000000" w:rsidDel="00000000" w:rsidP="00000000" w:rsidRDefault="00000000" w:rsidRPr="00000000" w14:paraId="0000002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Main body</w:t>
              <w:tab/>
              <w:t xml:space="preserve">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Formation of the influential relationship between stakeholders and the practical strategies for engaging them (social media platforms)</w:t>
              <w:tab/>
              <w:t xml:space="preserve">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The significant skills, which can foster the level of community engagement project’s success</w:t>
              <w:tab/>
              <w:t xml:space="preserve">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Relevant course of action, which can promote effective community participation to enable community engagement, projects with the vast effects of multiculturalism</w:t>
              <w:tab/>
              <w:t xml:space="preserve">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Fundamental theories for the following community engagement project</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Conclusion</w:t>
              <w:tab/>
              <w:t xml:space="preserve">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b w:val="0"/>
        </w:rPr>
      </w:pPr>
      <w:bookmarkStart w:colFirst="0" w:colLast="0" w:name="_heading=h.gjdgxs" w:id="0"/>
      <w:bookmarkEnd w:id="0"/>
      <w:r w:rsidDel="00000000" w:rsidR="00000000" w:rsidRPr="00000000">
        <w:rPr>
          <w:rtl w:val="0"/>
        </w:rPr>
        <w:t xml:space="preserve">1. Introduction</w:t>
      </w: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focuses on the idea of </w:t>
      </w:r>
      <w:r w:rsidDel="00000000" w:rsidR="00000000" w:rsidRPr="00000000">
        <w:rPr>
          <w:rFonts w:ascii="Times New Roman" w:cs="Times New Roman" w:eastAsia="Times New Roman" w:hAnsi="Times New Roman"/>
          <w:i w:val="1"/>
          <w:sz w:val="24"/>
          <w:szCs w:val="24"/>
          <w:rtl w:val="0"/>
        </w:rPr>
        <w:t xml:space="preserve">community engagement</w:t>
      </w:r>
      <w:r w:rsidDel="00000000" w:rsidR="00000000" w:rsidRPr="00000000">
        <w:rPr>
          <w:rFonts w:ascii="Times New Roman" w:cs="Times New Roman" w:eastAsia="Times New Roman" w:hAnsi="Times New Roman"/>
          <w:sz w:val="24"/>
          <w:szCs w:val="24"/>
          <w:rtl w:val="0"/>
        </w:rPr>
        <w:t xml:space="preserve"> in order to highlight the different perspectives of community engagement. Besides this, the benefits and challenges of </w:t>
      </w:r>
      <w:r w:rsidDel="00000000" w:rsidR="00000000" w:rsidRPr="00000000">
        <w:rPr>
          <w:rFonts w:ascii="Times New Roman" w:cs="Times New Roman" w:eastAsia="Times New Roman" w:hAnsi="Times New Roman"/>
          <w:i w:val="1"/>
          <w:sz w:val="24"/>
          <w:szCs w:val="24"/>
          <w:rtl w:val="0"/>
        </w:rPr>
        <w:t xml:space="preserve">community engagement </w:t>
      </w:r>
      <w:r w:rsidDel="00000000" w:rsidR="00000000" w:rsidRPr="00000000">
        <w:rPr>
          <w:rFonts w:ascii="Times New Roman" w:cs="Times New Roman" w:eastAsia="Times New Roman" w:hAnsi="Times New Roman"/>
          <w:sz w:val="24"/>
          <w:szCs w:val="24"/>
          <w:rtl w:val="0"/>
        </w:rPr>
        <w:t xml:space="preserve">are detached in this study. The critical analysis of the impact of the challenges and benefits of this engagement process is discussed in this study. Apart from this engagement with the stakeholders and community members is illustrated in this study in order to explore the possible positive ways of social media use in the</w:t>
      </w:r>
      <w:r w:rsidDel="00000000" w:rsidR="00000000" w:rsidRPr="00000000">
        <w:rPr>
          <w:rFonts w:ascii="Times New Roman" w:cs="Times New Roman" w:eastAsia="Times New Roman" w:hAnsi="Times New Roman"/>
          <w:i w:val="1"/>
          <w:sz w:val="24"/>
          <w:szCs w:val="24"/>
          <w:rtl w:val="0"/>
        </w:rPr>
        <w:t xml:space="preserve"> community engagement </w:t>
      </w:r>
      <w:r w:rsidDel="00000000" w:rsidR="00000000" w:rsidRPr="00000000">
        <w:rPr>
          <w:rFonts w:ascii="Times New Roman" w:cs="Times New Roman" w:eastAsia="Times New Roman" w:hAnsi="Times New Roman"/>
          <w:sz w:val="24"/>
          <w:szCs w:val="24"/>
          <w:rtl w:val="0"/>
        </w:rPr>
        <w:t xml:space="preserve">process narrated in this study. Different impacts of effective theories related to changing the community engagement process are illustrated in this study. </w:t>
      </w:r>
    </w:p>
    <w:p w:rsidR="00000000" w:rsidDel="00000000" w:rsidP="00000000" w:rsidRDefault="00000000" w:rsidRPr="00000000" w14:paraId="00000036">
      <w:pPr>
        <w:pStyle w:val="Heading1"/>
        <w:rPr/>
      </w:pPr>
      <w:bookmarkStart w:colFirst="0" w:colLast="0" w:name="_heading=h.30j0zll" w:id="1"/>
      <w:bookmarkEnd w:id="1"/>
      <w:r w:rsidDel="00000000" w:rsidR="00000000" w:rsidRPr="00000000">
        <w:rPr>
          <w:rtl w:val="0"/>
        </w:rPr>
        <w:t xml:space="preserve">2. Main body</w:t>
      </w:r>
    </w:p>
    <w:p w:rsidR="00000000" w:rsidDel="00000000" w:rsidP="00000000" w:rsidRDefault="00000000" w:rsidRPr="00000000" w14:paraId="00000037">
      <w:pPr>
        <w:pStyle w:val="Heading2"/>
        <w:rPr/>
      </w:pPr>
      <w:bookmarkStart w:colFirst="0" w:colLast="0" w:name="_heading=h.1fob9te" w:id="2"/>
      <w:bookmarkEnd w:id="2"/>
      <w:r w:rsidDel="00000000" w:rsidR="00000000" w:rsidRPr="00000000">
        <w:rPr>
          <w:rtl w:val="0"/>
        </w:rPr>
        <w:t xml:space="preserve">2.1 Formation of the influential relationship between stakeholders and the practical strategies for engaging them (social media platforms)</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media are known as the major tool these days in order to communicate with different types of personnel in any type of development program. These days’ social media are becoming able to provide new opportunities to every citizen and different stakeholder groups for identifying the common interest. Hence, in the time of community engagement programs, social media has a significant role to coordinate interventions that are linked with societal demands (Zhang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Apart from this stakeholder, engagement is crucial for any community engagement project in order to identify the common interests of a community with a global essence. </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the role and use of social media adds positive effects that allow all members of the community, to express and share their valuable opinions for the greater growth of mass. In a time of organising a program and coordinating interventions, the present-day role of social media and stakeholders is becoming equivalent (Benson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Therefore, the new usage of social media is necessary for getting an influential amount of benefits in order to get a powerful solution in time of communication during the community engagement, project formation. The internet is becoming one of the expected powerhouses to cooperate with the stakeholders to get positive effects from their end. </w:t>
      </w:r>
    </w:p>
    <w:p w:rsidR="00000000" w:rsidDel="00000000" w:rsidP="00000000" w:rsidRDefault="00000000" w:rsidRPr="00000000" w14:paraId="0000003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Community building with diversity</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after spending ages in the era of globalisation still, there are certain issues that are not acceptable under any condition such as </w:t>
      </w:r>
      <w:r w:rsidDel="00000000" w:rsidR="00000000" w:rsidRPr="00000000">
        <w:rPr>
          <w:rFonts w:ascii="Times New Roman" w:cs="Times New Roman" w:eastAsia="Times New Roman" w:hAnsi="Times New Roman"/>
          <w:i w:val="1"/>
          <w:sz w:val="24"/>
          <w:szCs w:val="24"/>
          <w:rtl w:val="0"/>
        </w:rPr>
        <w:t xml:space="preserve">inclusion and diversity-related issues</w:t>
      </w:r>
      <w:r w:rsidDel="00000000" w:rsidR="00000000" w:rsidRPr="00000000">
        <w:rPr>
          <w:rFonts w:ascii="Times New Roman" w:cs="Times New Roman" w:eastAsia="Times New Roman" w:hAnsi="Times New Roman"/>
          <w:sz w:val="24"/>
          <w:szCs w:val="24"/>
          <w:rtl w:val="0"/>
        </w:rPr>
        <w:t xml:space="preserve">. Still different communities are still running an inherent process that affects positive works like diversity. This is one of the major challenges of the community engagement program. This issue can affect the stakeholder engagement process by not allowing necessary stakeholder groups from different cultural communities and groups. In order to reduce the impact of these challenges, the use of social media is necessary to convey the impact of positive human narratives (Zhang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Besides this, the community building process must be done with diversity to break the cultural biases that form inhibitions towards the mass development process.     </w:t>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Providing a high mount of values on inclusion strategies </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form influential relationships with every type of stakeholder, it is necessary to implement equality in each section of the community working process. Challenges related to diversity and inclusion need strategic organising of the community development project that can increase civic participation in a strategic way. The inclusion strategy needs more focus to provide a high amount of values that are essential for breaking the cultural biases that cause the major challenges for effective community engagement. The community engagement-related issue can cause different challenges in the international marketing process and its consequences can cause horrific results for the entire development of a nation (Shao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Unfortunately, this issue seems to be becoming more critical due to the presence of modernity and globalisation. Maintaining dogma related to castes and culture and modernity equally is not possible at the same time. Therefore, participation in the education process can be beneficial here through community engagement. </w:t>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Development of a suitable relationship with diversity inclusion</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Development of a suitable relationship with diversity inclusion with stakeholders is necessary to make effective distribution of</w:t>
      </w:r>
      <w:r w:rsidDel="00000000" w:rsidR="00000000" w:rsidRPr="00000000">
        <w:rPr>
          <w:rFonts w:ascii="Times New Roman" w:cs="Times New Roman" w:eastAsia="Times New Roman" w:hAnsi="Times New Roman"/>
          <w:i w:val="1"/>
          <w:sz w:val="24"/>
          <w:szCs w:val="24"/>
          <w:rtl w:val="0"/>
        </w:rPr>
        <w:t xml:space="preserve"> power and values</w:t>
      </w:r>
      <w:r w:rsidDel="00000000" w:rsidR="00000000" w:rsidRPr="00000000">
        <w:rPr>
          <w:rFonts w:ascii="Times New Roman" w:cs="Times New Roman" w:eastAsia="Times New Roman" w:hAnsi="Times New Roman"/>
          <w:sz w:val="24"/>
          <w:szCs w:val="24"/>
          <w:rtl w:val="0"/>
        </w:rPr>
        <w:t xml:space="preserve"> at the same time, which can be effective for vast community development with community engagement projects (Fushiya and Radziwiłko, 2019). The value distribution between the corporation and stakeholders is necessary for an influential development of a community, which is becoming a major challenge for the community engagement program. The field of civic and political participation needs more focus in this place in order to focus on the idea of </w:t>
      </w:r>
      <w:r w:rsidDel="00000000" w:rsidR="00000000" w:rsidRPr="00000000">
        <w:rPr>
          <w:rFonts w:ascii="Times New Roman" w:cs="Times New Roman" w:eastAsia="Times New Roman" w:hAnsi="Times New Roman"/>
          <w:i w:val="1"/>
          <w:sz w:val="24"/>
          <w:szCs w:val="24"/>
          <w:rtl w:val="0"/>
        </w:rPr>
        <w:t xml:space="preserve">community engagement</w:t>
      </w:r>
      <w:r w:rsidDel="00000000" w:rsidR="00000000" w:rsidRPr="00000000">
        <w:rPr>
          <w:rFonts w:ascii="Times New Roman" w:cs="Times New Roman" w:eastAsia="Times New Roman" w:hAnsi="Times New Roman"/>
          <w:sz w:val="24"/>
          <w:szCs w:val="24"/>
          <w:rtl w:val="0"/>
        </w:rPr>
        <w:t xml:space="preserve"> in order to highlight the different perspectives of community engagement. Eventually, it can cause several marketing issues by inferior consumer engagement, in the future, which can affect the international trade process in different ways.    </w:t>
      </w:r>
      <w:r w:rsidDel="00000000" w:rsidR="00000000" w:rsidRPr="00000000">
        <w:rPr>
          <w:rtl w:val="0"/>
        </w:rPr>
      </w:r>
    </w:p>
    <w:p w:rsidR="00000000" w:rsidDel="00000000" w:rsidP="00000000" w:rsidRDefault="00000000" w:rsidRPr="00000000" w14:paraId="00000040">
      <w:pPr>
        <w:pStyle w:val="Heading2"/>
        <w:rPr/>
      </w:pPr>
      <w:bookmarkStart w:colFirst="0" w:colLast="0" w:name="_heading=h.3znysh7" w:id="3"/>
      <w:bookmarkEnd w:id="3"/>
      <w:r w:rsidDel="00000000" w:rsidR="00000000" w:rsidRPr="00000000">
        <w:rPr>
          <w:rtl w:val="0"/>
        </w:rPr>
        <w:t xml:space="preserve">2.2 The significant skills, which can foster the level of community engagement project’s success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certain skills that are necessary to implement in the working process of community engagement such as critical thinking and implementation of professional working strategies. The critical thinking process can build better terms with the concrete parts of the society such as </w:t>
      </w:r>
      <w:r w:rsidDel="00000000" w:rsidR="00000000" w:rsidRPr="00000000">
        <w:rPr>
          <w:rFonts w:ascii="Times New Roman" w:cs="Times New Roman" w:eastAsia="Times New Roman" w:hAnsi="Times New Roman"/>
          <w:i w:val="1"/>
          <w:sz w:val="24"/>
          <w:szCs w:val="24"/>
          <w:rtl w:val="0"/>
        </w:rPr>
        <w:t xml:space="preserve">business, culture, education, health and politics </w:t>
      </w:r>
      <w:r w:rsidDel="00000000" w:rsidR="00000000" w:rsidRPr="00000000">
        <w:rPr>
          <w:rFonts w:ascii="Times New Roman" w:cs="Times New Roman" w:eastAsia="Times New Roman" w:hAnsi="Times New Roman"/>
          <w:sz w:val="24"/>
          <w:szCs w:val="24"/>
          <w:rtl w:val="0"/>
        </w:rPr>
        <w:t xml:space="preserve">(Bice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The implementation of critical thinking and professional working strategies is effective in order to analyse the impact of the challenges and benefits of this engagement process.  </w:t>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Critical thinking </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 thinking is one of the essential tools in order to connect every member and their needs with </w:t>
      </w:r>
      <w:r w:rsidDel="00000000" w:rsidR="00000000" w:rsidRPr="00000000">
        <w:rPr>
          <w:rFonts w:ascii="Times New Roman" w:cs="Times New Roman" w:eastAsia="Times New Roman" w:hAnsi="Times New Roman"/>
          <w:i w:val="1"/>
          <w:sz w:val="24"/>
          <w:szCs w:val="24"/>
          <w:rtl w:val="0"/>
        </w:rPr>
        <w:t xml:space="preserve">business, culture, education, health and politics </w:t>
      </w:r>
      <w:r w:rsidDel="00000000" w:rsidR="00000000" w:rsidRPr="00000000">
        <w:rPr>
          <w:rFonts w:ascii="Times New Roman" w:cs="Times New Roman" w:eastAsia="Times New Roman" w:hAnsi="Times New Roman"/>
          <w:sz w:val="24"/>
          <w:szCs w:val="24"/>
          <w:rtl w:val="0"/>
        </w:rPr>
        <w:t xml:space="preserve">for developing the most effective community work. This is essential to allow the stakeholders and other government entities to understand the actual issues that nurture the normal life of the people. The idea of critical thinking is involved in the process of </w:t>
      </w:r>
      <w:r w:rsidDel="00000000" w:rsidR="00000000" w:rsidRPr="00000000">
        <w:rPr>
          <w:rFonts w:ascii="Times New Roman" w:cs="Times New Roman" w:eastAsia="Times New Roman" w:hAnsi="Times New Roman"/>
          <w:i w:val="1"/>
          <w:sz w:val="24"/>
          <w:szCs w:val="24"/>
          <w:rtl w:val="0"/>
        </w:rPr>
        <w:t xml:space="preserve">community engagement </w:t>
      </w:r>
      <w:r w:rsidDel="00000000" w:rsidR="00000000" w:rsidRPr="00000000">
        <w:rPr>
          <w:rFonts w:ascii="Times New Roman" w:cs="Times New Roman" w:eastAsia="Times New Roman" w:hAnsi="Times New Roman"/>
          <w:sz w:val="24"/>
          <w:szCs w:val="24"/>
          <w:rtl w:val="0"/>
        </w:rPr>
        <w:t xml:space="preserve">projects. This process comes up with different approaches based on the needs of each community (McKinley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In reality, in every community, people from different cultures are used to staying under the same class therefore, cultural diversity needs to be accepted by the majority of the people to address the core issues of the society. The role of critical thinking is necessary for the stakeholders in order to formulate the solution plans for each issue of the community that causes inhibition to the development process.  </w:t>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 working strategies </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time, an influential community engagement process working with different clients and members is common therefore; professional working strategies are effective to experience the potential thoughts of the different members. In order to make any snap decisions, professional working is necessary in order to work with the different actions, which are significant. Apart from this, professional working strategies can promote the ability of a sustainable decision-making process that can meet the basic needs of an effective communication process (Chung and Coates, 2018). Understanding the needs of all group members is essential to building a better community engagement process hence, every stakeholder needs to work to understand and implement this working strategy to get significant outcomes of the local knowledge from the diverse groups of people.      </w:t>
      </w:r>
    </w:p>
    <w:p w:rsidR="00000000" w:rsidDel="00000000" w:rsidP="00000000" w:rsidRDefault="00000000" w:rsidRPr="00000000" w14:paraId="00000046">
      <w:pPr>
        <w:pStyle w:val="Heading2"/>
        <w:rPr/>
      </w:pPr>
      <w:bookmarkStart w:colFirst="0" w:colLast="0" w:name="_heading=h.2et92p0" w:id="4"/>
      <w:bookmarkEnd w:id="4"/>
      <w:r w:rsidDel="00000000" w:rsidR="00000000" w:rsidRPr="00000000">
        <w:rPr>
          <w:rtl w:val="0"/>
        </w:rPr>
        <w:t xml:space="preserve">2.3 Relevant course of action, which can promote effective community participation to enable community engagement, projects with the vast effects of multiculturalism</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different course of action is needed to be implemented in order to promote effective participation in community engagement projects that have vast effects on multiculturalism. </w:t>
      </w:r>
      <w:r w:rsidDel="00000000" w:rsidR="00000000" w:rsidRPr="00000000">
        <w:rPr>
          <w:rFonts w:ascii="Times New Roman" w:cs="Times New Roman" w:eastAsia="Times New Roman" w:hAnsi="Times New Roman"/>
          <w:i w:val="1"/>
          <w:sz w:val="24"/>
          <w:szCs w:val="24"/>
          <w:rtl w:val="0"/>
        </w:rPr>
        <w:t xml:space="preserve">Diversity, equality and inclusion</w:t>
      </w:r>
      <w:r w:rsidDel="00000000" w:rsidR="00000000" w:rsidRPr="00000000">
        <w:rPr>
          <w:rFonts w:ascii="Times New Roman" w:cs="Times New Roman" w:eastAsia="Times New Roman" w:hAnsi="Times New Roman"/>
          <w:sz w:val="24"/>
          <w:szCs w:val="24"/>
          <w:rtl w:val="0"/>
        </w:rPr>
        <w:t xml:space="preserve"> have the potential to shape the community engagement program to make it more creative and inclusive and have effective solutions for every critical issue (Chung and Coates, 2018). In order to create the most effective community engagement project, the presence of diverse groups is essential to find out the necessary solutions that every culture needs to get equal values from the community where theory used to live. </w:t>
      </w:r>
    </w:p>
    <w:p w:rsidR="00000000" w:rsidDel="00000000" w:rsidP="00000000" w:rsidRDefault="00000000" w:rsidRPr="00000000" w14:paraId="0000004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Diversity</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of diversity encompasses the myriad of </w:t>
      </w:r>
      <w:r w:rsidDel="00000000" w:rsidR="00000000" w:rsidRPr="00000000">
        <w:rPr>
          <w:rFonts w:ascii="Times New Roman" w:cs="Times New Roman" w:eastAsia="Times New Roman" w:hAnsi="Times New Roman"/>
          <w:i w:val="1"/>
          <w:sz w:val="24"/>
          <w:szCs w:val="24"/>
          <w:highlight w:val="white"/>
          <w:rtl w:val="0"/>
        </w:rPr>
        <w:t xml:space="preserve">educational, intellectual, cultural, physical, and philosophical </w:t>
      </w:r>
      <w:r w:rsidDel="00000000" w:rsidR="00000000" w:rsidRPr="00000000">
        <w:rPr>
          <w:rFonts w:ascii="Times New Roman" w:cs="Times New Roman" w:eastAsia="Times New Roman" w:hAnsi="Times New Roman"/>
          <w:sz w:val="24"/>
          <w:szCs w:val="24"/>
          <w:highlight w:val="white"/>
          <w:rtl w:val="0"/>
        </w:rPr>
        <w:t xml:space="preserve">characteristics</w:t>
      </w:r>
      <w:r w:rsidDel="00000000" w:rsidR="00000000" w:rsidRPr="00000000">
        <w:rPr>
          <w:rFonts w:ascii="Times New Roman" w:cs="Times New Roman" w:eastAsia="Times New Roman" w:hAnsi="Times New Roman"/>
          <w:i w:val="1"/>
          <w:sz w:val="24"/>
          <w:szCs w:val="24"/>
          <w:highlight w:val="white"/>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Diversity is one of the essential parts of a community engagement program to involve the group members in the major workforce to serve the community in a unique manner to build a positive atmosphere for community development. The presence of diversity can increase the level of acceptance in every member, which has primary benefits in time-making personal development (Goldenberg, 2019). Every stakeholder should implement this strategy under community engagement, which is beneficial to engage him or her in the work with an adequate amount of respect. This strategy can enhance the process of accepting other cultures in the community, which works effectively to smash the previous stereotypes.    </w:t>
        <w:tab/>
      </w: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Equality</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Equality is one of the major parts of an influential community engagement program and it can ensure the success of the community engagement process by bolstering the efforts of the attendees. The role of participation and involvement is necessary for the community engagement project (Chung and Coates, 2018). Therefore, gaining insights into working with diverse cultures is necessary and here the role of equality is necessary to get positive outcomes from the efforts that are given by all community members. In order to reach the people, the concept of equality is one of the major tools to reach the various groups of the community to get different types of outcomes. </w:t>
      </w:r>
    </w:p>
    <w:p w:rsidR="00000000" w:rsidDel="00000000" w:rsidP="00000000" w:rsidRDefault="00000000" w:rsidRPr="00000000" w14:paraId="0000004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Inclusion</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of inclusion is necessary for a better community engagement process to ensure the presence of people from different cultural backgrounds. Most importantly this process can include the people who are most marginalised. An inclusion strategy needs to be implemented to incorporate the left-out castes in the community working process to mark the effects of sustainable development (McKinley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With the assistance of inclusion, equality can be maintained at the same time in the community engagement project. With the assistance of inclusion </w:t>
      </w:r>
      <w:r w:rsidDel="00000000" w:rsidR="00000000" w:rsidRPr="00000000">
        <w:rPr>
          <w:rFonts w:ascii="Times New Roman" w:cs="Times New Roman" w:eastAsia="Times New Roman" w:hAnsi="Times New Roman"/>
          <w:i w:val="1"/>
          <w:sz w:val="24"/>
          <w:szCs w:val="24"/>
          <w:rtl w:val="0"/>
        </w:rPr>
        <w:t xml:space="preserve">restoring citizens, immigrants, and communities from different colours,</w:t>
      </w:r>
      <w:r w:rsidDel="00000000" w:rsidR="00000000" w:rsidRPr="00000000">
        <w:rPr>
          <w:rFonts w:ascii="Times New Roman" w:cs="Times New Roman" w:eastAsia="Times New Roman" w:hAnsi="Times New Roman"/>
          <w:sz w:val="24"/>
          <w:szCs w:val="24"/>
          <w:rtl w:val="0"/>
        </w:rPr>
        <w:t xml:space="preserve"> every citizen can take part in the development planning which is necessary. </w:t>
      </w:r>
    </w:p>
    <w:p w:rsidR="00000000" w:rsidDel="00000000" w:rsidP="00000000" w:rsidRDefault="00000000" w:rsidRPr="00000000" w14:paraId="0000004E">
      <w:pPr>
        <w:pStyle w:val="Heading2"/>
        <w:rPr/>
      </w:pPr>
      <w:bookmarkStart w:colFirst="0" w:colLast="0" w:name="_heading=h.tyjcwt" w:id="5"/>
      <w:bookmarkEnd w:id="5"/>
      <w:r w:rsidDel="00000000" w:rsidR="00000000" w:rsidRPr="00000000">
        <w:rPr>
          <w:rtl w:val="0"/>
        </w:rPr>
        <w:t xml:space="preserve">2.4 Fundamental theories for the following community engagement project</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discussion on certain theories that are related to cultural diversity in the community engagement process is necessary here in order to focus on the idea of </w:t>
      </w:r>
      <w:r w:rsidDel="00000000" w:rsidR="00000000" w:rsidRPr="00000000">
        <w:rPr>
          <w:rFonts w:ascii="Times New Roman" w:cs="Times New Roman" w:eastAsia="Times New Roman" w:hAnsi="Times New Roman"/>
          <w:i w:val="1"/>
          <w:sz w:val="24"/>
          <w:szCs w:val="24"/>
          <w:rtl w:val="0"/>
        </w:rPr>
        <w:t xml:space="preserve">community engagement</w:t>
      </w:r>
      <w:r w:rsidDel="00000000" w:rsidR="00000000" w:rsidRPr="00000000">
        <w:rPr>
          <w:rFonts w:ascii="Times New Roman" w:cs="Times New Roman" w:eastAsia="Times New Roman" w:hAnsi="Times New Roman"/>
          <w:sz w:val="24"/>
          <w:szCs w:val="24"/>
          <w:rtl w:val="0"/>
        </w:rPr>
        <w:t xml:space="preserve"> in order to highlight the different perspectives of community engagement. The role of stakeholders in this process will be analysed through </w:t>
      </w:r>
      <w:r w:rsidDel="00000000" w:rsidR="00000000" w:rsidRPr="00000000">
        <w:rPr>
          <w:rFonts w:ascii="Times New Roman" w:cs="Times New Roman" w:eastAsia="Times New Roman" w:hAnsi="Times New Roman"/>
          <w:i w:val="1"/>
          <w:sz w:val="24"/>
          <w:szCs w:val="24"/>
          <w:rtl w:val="0"/>
        </w:rPr>
        <w:t xml:space="preserve">change management theory</w:t>
      </w:r>
      <w:r w:rsidDel="00000000" w:rsidR="00000000" w:rsidRPr="00000000">
        <w:rPr>
          <w:rFonts w:ascii="Times New Roman" w:cs="Times New Roman" w:eastAsia="Times New Roman" w:hAnsi="Times New Roman"/>
          <w:sz w:val="24"/>
          <w:szCs w:val="24"/>
          <w:rtl w:val="0"/>
        </w:rPr>
        <w:t xml:space="preserve"> and the </w:t>
      </w:r>
      <w:r w:rsidDel="00000000" w:rsidR="00000000" w:rsidRPr="00000000">
        <w:rPr>
          <w:rFonts w:ascii="Times New Roman" w:cs="Times New Roman" w:eastAsia="Times New Roman" w:hAnsi="Times New Roman"/>
          <w:i w:val="1"/>
          <w:sz w:val="24"/>
          <w:szCs w:val="24"/>
          <w:rtl w:val="0"/>
        </w:rPr>
        <w:t xml:space="preserve">community democracy theory </w:t>
      </w:r>
      <w:r w:rsidDel="00000000" w:rsidR="00000000" w:rsidRPr="00000000">
        <w:rPr>
          <w:rFonts w:ascii="Times New Roman" w:cs="Times New Roman" w:eastAsia="Times New Roman" w:hAnsi="Times New Roman"/>
          <w:sz w:val="24"/>
          <w:szCs w:val="24"/>
          <w:rtl w:val="0"/>
        </w:rPr>
        <w:t xml:space="preserve">in this process. </w:t>
      </w:r>
    </w:p>
    <w:p w:rsidR="00000000" w:rsidDel="00000000" w:rsidP="00000000" w:rsidRDefault="00000000" w:rsidRPr="00000000" w14:paraId="0000005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Change theory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implementation of this theory can be beneficial here to explain the intervention and set the intervention process that can lead to specific developmental changes in an expected form. The process of changing the desires of the people is the core idea of this theory. In reality, it is necessary to identify these changes in order to work with the desired changes that are essential for a better community engagement project (Horne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Changes work as the primary constant of each process hence; identifying the changes under any condition is necessary to work towards development according to this theory. In order to meet the goal of the community implementation of change, the theory is necessary to identify the issues of all time. </w:t>
      </w:r>
    </w:p>
    <w:p w:rsidR="00000000" w:rsidDel="00000000" w:rsidP="00000000" w:rsidRDefault="00000000" w:rsidRPr="00000000" w14:paraId="0000005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Community Democracy theory</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w:t>
      </w:r>
      <w:r w:rsidDel="00000000" w:rsidR="00000000" w:rsidRPr="00000000">
        <w:rPr>
          <w:rFonts w:ascii="Times New Roman" w:cs="Times New Roman" w:eastAsia="Times New Roman" w:hAnsi="Times New Roman"/>
          <w:i w:val="1"/>
          <w:sz w:val="24"/>
          <w:szCs w:val="24"/>
          <w:rtl w:val="0"/>
        </w:rPr>
        <w:t xml:space="preserve"> Community Democracy theory,</w:t>
      </w:r>
      <w:r w:rsidDel="00000000" w:rsidR="00000000" w:rsidRPr="00000000">
        <w:rPr>
          <w:rFonts w:ascii="Times New Roman" w:cs="Times New Roman" w:eastAsia="Times New Roman" w:hAnsi="Times New Roman"/>
          <w:sz w:val="24"/>
          <w:szCs w:val="24"/>
          <w:rtl w:val="0"/>
        </w:rPr>
        <w:t xml:space="preserve"> classical democracy processes can work in a better strategic way as the power tool in the community engagement process that may establish better participation of the members in this delicate social development work. The rule of the people is necessary in order to implement equality and diversity in the community engagement process to work with the right rule (Shyian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Apart from this, the environment of an inferior political atmosphere causes different challenges in times of community development hence the implementation of the </w:t>
      </w:r>
      <w:r w:rsidDel="00000000" w:rsidR="00000000" w:rsidRPr="00000000">
        <w:rPr>
          <w:rFonts w:ascii="Times New Roman" w:cs="Times New Roman" w:eastAsia="Times New Roman" w:hAnsi="Times New Roman"/>
          <w:i w:val="1"/>
          <w:sz w:val="24"/>
          <w:szCs w:val="24"/>
          <w:rtl w:val="0"/>
        </w:rPr>
        <w:t xml:space="preserve">Community Democracy theory </w:t>
      </w:r>
      <w:r w:rsidDel="00000000" w:rsidR="00000000" w:rsidRPr="00000000">
        <w:rPr>
          <w:rFonts w:ascii="Times New Roman" w:cs="Times New Roman" w:eastAsia="Times New Roman" w:hAnsi="Times New Roman"/>
          <w:sz w:val="24"/>
          <w:szCs w:val="24"/>
          <w:rtl w:val="0"/>
        </w:rPr>
        <w:t xml:space="preserve">is necessary here to give the community members the right to make their own choices. </w:t>
      </w:r>
    </w:p>
    <w:p w:rsidR="00000000" w:rsidDel="00000000" w:rsidP="00000000" w:rsidRDefault="00000000" w:rsidRPr="00000000" w14:paraId="00000054">
      <w:pPr>
        <w:pStyle w:val="Heading1"/>
        <w:rPr/>
      </w:pPr>
      <w:bookmarkStart w:colFirst="0" w:colLast="0" w:name="_heading=h.3dy6vkm" w:id="6"/>
      <w:bookmarkEnd w:id="6"/>
      <w:r w:rsidDel="00000000" w:rsidR="00000000" w:rsidRPr="00000000">
        <w:rPr>
          <w:rtl w:val="0"/>
        </w:rPr>
        <w:t xml:space="preserve">3. Conclusion</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analysis, it can be concluded that in the community engagement project the presence of stakeholders is necessary to build a concrete bridge for getting the core effect of democracy. The presence of diversity and inclusion is fundamental for working toward community development. With the assistance of a community engagement project, the way to get sustainable outcomes becomes easier. Apart from this, through the community engagement process, the trust between the community and government entities becomes more effective than before. </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bookmarkStart w:colFirst="0" w:colLast="0" w:name="_heading=h.1t3h5sf" w:id="7"/>
      <w:bookmarkEnd w:id="7"/>
      <w:r w:rsidDel="00000000" w:rsidR="00000000" w:rsidRPr="00000000">
        <w:rPr>
          <w:rtl w:val="0"/>
        </w:rPr>
        <w:t xml:space="preserve">References </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Benson, R.B., Brown, C.M., Campione, N.E., Cullen, T.M., Evans, D.C. and Zanno, L.E., 2022. Comment on “The influence of juvenile dinosaurs on community structure and diversity”. </w:t>
      </w:r>
      <w:r w:rsidDel="00000000" w:rsidR="00000000" w:rsidRPr="00000000">
        <w:rPr>
          <w:rFonts w:ascii="Times New Roman" w:cs="Times New Roman" w:eastAsia="Times New Roman" w:hAnsi="Times New Roman"/>
          <w:i w:val="1"/>
          <w:sz w:val="24"/>
          <w:szCs w:val="24"/>
          <w:rtl w:val="0"/>
        </w:rPr>
        <w:t xml:space="preserve">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375</w:t>
      </w:r>
      <w:r w:rsidDel="00000000" w:rsidR="00000000" w:rsidRPr="00000000">
        <w:rPr>
          <w:rFonts w:ascii="Times New Roman" w:cs="Times New Roman" w:eastAsia="Times New Roman" w:hAnsi="Times New Roman"/>
          <w:sz w:val="24"/>
          <w:szCs w:val="24"/>
          <w:rtl w:val="0"/>
        </w:rPr>
        <w:t xml:space="preserve">(6578), p.eabj5976.Available at: https://www.science.org/doi/full/10.1126/science.abj5976 [accessed on 31 August 2022]</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Bice, S., Neely, K. and Einfeld, C., 2019. Next generation engagement: Setting a research agenda for community engagement in Australia's infrastructure sector. </w:t>
      </w:r>
      <w:r w:rsidDel="00000000" w:rsidR="00000000" w:rsidRPr="00000000">
        <w:rPr>
          <w:rFonts w:ascii="Times New Roman" w:cs="Times New Roman" w:eastAsia="Times New Roman" w:hAnsi="Times New Roman"/>
          <w:i w:val="1"/>
          <w:sz w:val="24"/>
          <w:szCs w:val="24"/>
          <w:rtl w:val="0"/>
        </w:rPr>
        <w:t xml:space="preserve">Australian Journal of Public Administration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78</w:t>
      </w:r>
      <w:r w:rsidDel="00000000" w:rsidR="00000000" w:rsidRPr="00000000">
        <w:rPr>
          <w:rFonts w:ascii="Times New Roman" w:cs="Times New Roman" w:eastAsia="Times New Roman" w:hAnsi="Times New Roman"/>
          <w:sz w:val="24"/>
          <w:szCs w:val="24"/>
          <w:rtl w:val="0"/>
        </w:rPr>
        <w:t xml:space="preserve">(2), pp.290-310.Available at: https://onlinelibrary.wiley.com/doi/pdfdirect/10.1111/1467-8500.12381 [accessed on 31 August 2022]</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Chung, E. and Coates, H., 2018. Student community engagement: insight from Australia. </w:t>
      </w:r>
      <w:r w:rsidDel="00000000" w:rsidR="00000000" w:rsidRPr="00000000">
        <w:rPr>
          <w:rFonts w:ascii="Times New Roman" w:cs="Times New Roman" w:eastAsia="Times New Roman" w:hAnsi="Times New Roman"/>
          <w:i w:val="1"/>
          <w:sz w:val="24"/>
          <w:szCs w:val="24"/>
          <w:rtl w:val="0"/>
        </w:rPr>
        <w:t xml:space="preserve">International Journal of Service Management and Sustainability (IJSMS)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(1), pp.1-26.Available at: https://ir.uitm.edu.my/id/eprint/33614/1/33614.pdf [accessed on 31 August 2022]</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Fushiya, T. and Radziwiłko, K., 2019. Old Dongola community engagement project: Preliminary report from the first season. </w:t>
      </w:r>
      <w:r w:rsidDel="00000000" w:rsidR="00000000" w:rsidRPr="00000000">
        <w:rPr>
          <w:rFonts w:ascii="Times New Roman" w:cs="Times New Roman" w:eastAsia="Times New Roman" w:hAnsi="Times New Roman"/>
          <w:i w:val="1"/>
          <w:sz w:val="24"/>
          <w:szCs w:val="24"/>
          <w:rtl w:val="0"/>
        </w:rPr>
        <w:t xml:space="preserve">Sudan &amp; Nubia</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23</w:t>
      </w:r>
      <w:r w:rsidDel="00000000" w:rsidR="00000000" w:rsidRPr="00000000">
        <w:rPr>
          <w:rFonts w:ascii="Times New Roman" w:cs="Times New Roman" w:eastAsia="Times New Roman" w:hAnsi="Times New Roman"/>
          <w:sz w:val="24"/>
          <w:szCs w:val="24"/>
          <w:rtl w:val="0"/>
        </w:rPr>
        <w:t xml:space="preserve">, pp.172-181.Available at: https://scholarlypublications.universiteitleiden.nl/access/item%3A2984432/view [accessed on 31 August 2022]</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Goldenberg, B.M., 2019. Rethinking historical practice and community engagement: researching together with ‘youth historians’. </w:t>
      </w:r>
      <w:r w:rsidDel="00000000" w:rsidR="00000000" w:rsidRPr="00000000">
        <w:rPr>
          <w:rFonts w:ascii="Times New Roman" w:cs="Times New Roman" w:eastAsia="Times New Roman" w:hAnsi="Times New Roman"/>
          <w:i w:val="1"/>
          <w:sz w:val="24"/>
          <w:szCs w:val="24"/>
          <w:rtl w:val="0"/>
        </w:rPr>
        <w:t xml:space="preserve">Rethinking History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23</w:t>
      </w:r>
      <w:r w:rsidDel="00000000" w:rsidR="00000000" w:rsidRPr="00000000">
        <w:rPr>
          <w:rFonts w:ascii="Times New Roman" w:cs="Times New Roman" w:eastAsia="Times New Roman" w:hAnsi="Times New Roman"/>
          <w:sz w:val="24"/>
          <w:szCs w:val="24"/>
          <w:rtl w:val="0"/>
        </w:rPr>
        <w:t xml:space="preserve">(1), pp.52-77.Available at: https://www.tandfonline.com/doi/pdf/10.1080/13642529.2018.1494934 [accessed on 31 August 2022]</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Horne, J., Madill, J., O’Connor, C., Shelley, J. and Gilliland, J., 2018. A systematic review of genetic testing and lifestyle behaviour change: are we using high-quality genetic interventions and considering behaviour change theory?. </w:t>
      </w:r>
      <w:r w:rsidDel="00000000" w:rsidR="00000000" w:rsidRPr="00000000">
        <w:rPr>
          <w:rFonts w:ascii="Times New Roman" w:cs="Times New Roman" w:eastAsia="Times New Roman" w:hAnsi="Times New Roman"/>
          <w:i w:val="1"/>
          <w:sz w:val="24"/>
          <w:szCs w:val="24"/>
          <w:rtl w:val="0"/>
        </w:rPr>
        <w:t xml:space="preserve">Lifestyle Genomics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(1), pp.49-63.Available at: https://www.karger.com/Article/PDF/488086 [accessed on 31 August 2022]</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McKinley, E., Crowe, P.R., Stori, F., Ballinger, R., Brew, T.C., Blacklaw-Jones, L., Cameron-Smith, A., Crowley, S., Cocco, C., O'Mahony, C. and McNally, B., 2021. ‘Going digital’-Lessons for future coastal community engagement and climate change adaptation. </w:t>
      </w:r>
      <w:r w:rsidDel="00000000" w:rsidR="00000000" w:rsidRPr="00000000">
        <w:rPr>
          <w:rFonts w:ascii="Times New Roman" w:cs="Times New Roman" w:eastAsia="Times New Roman" w:hAnsi="Times New Roman"/>
          <w:i w:val="1"/>
          <w:sz w:val="24"/>
          <w:szCs w:val="24"/>
          <w:rtl w:val="0"/>
        </w:rPr>
        <w:t xml:space="preserve">Ocean &amp; Coastal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208</w:t>
      </w:r>
      <w:r w:rsidDel="00000000" w:rsidR="00000000" w:rsidRPr="00000000">
        <w:rPr>
          <w:rFonts w:ascii="Times New Roman" w:cs="Times New Roman" w:eastAsia="Times New Roman" w:hAnsi="Times New Roman"/>
          <w:sz w:val="24"/>
          <w:szCs w:val="24"/>
          <w:rtl w:val="0"/>
        </w:rPr>
        <w:t xml:space="preserve">, p.105629.Available at: https://orca.cardiff.ac.uk/id/eprint/149937/1/Engaging%20coastal%20stakeholders%20post%20Covid19_SUBMITTED.pdf [accessed on 31 August 2022]</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Shao, P., Liang, C., Rubert-Nason, K., Li, X., Xie, H. and Bao, X., 2019. Secondary successional forests undergo tightly-coupled changes in soil microbial community structure and soil organic matter. </w:t>
      </w:r>
      <w:r w:rsidDel="00000000" w:rsidR="00000000" w:rsidRPr="00000000">
        <w:rPr>
          <w:rFonts w:ascii="Times New Roman" w:cs="Times New Roman" w:eastAsia="Times New Roman" w:hAnsi="Times New Roman"/>
          <w:i w:val="1"/>
          <w:sz w:val="24"/>
          <w:szCs w:val="24"/>
          <w:rtl w:val="0"/>
        </w:rPr>
        <w:t xml:space="preserve">Soil Biology and Biochemistry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128</w:t>
      </w:r>
      <w:r w:rsidDel="00000000" w:rsidR="00000000" w:rsidRPr="00000000">
        <w:rPr>
          <w:rFonts w:ascii="Times New Roman" w:cs="Times New Roman" w:eastAsia="Times New Roman" w:hAnsi="Times New Roman"/>
          <w:sz w:val="24"/>
          <w:szCs w:val="24"/>
          <w:rtl w:val="0"/>
        </w:rPr>
        <w:t xml:space="preserve">, pp.56-65.Available at: https://www.researchgate.net/profile/Pengshuai-Shao-2/publication/328286197_Secondary_successional_forests_undergo_tightly-coupled_changes_in_soil_microbial_community_structure_and_soil_organic_matter/links/5c8afc11a6fdcc3817541ce6/Secondary-successional-forests-undergo-tightly-coupled-changes-in-soil-microbial-community-structure-and-soil-organic-matter.pdf [accessed on 31 August 2022]</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Shyian, A.A., Azarova, A.O. and Tkachuk, L.M., 2019. The modeling of communication between the community and authorities in the process of implementing the social projects as e-democracy and public administration. </w:t>
      </w:r>
      <w:r w:rsidDel="00000000" w:rsidR="00000000" w:rsidRPr="00000000">
        <w:rPr>
          <w:rFonts w:ascii="Times New Roman" w:cs="Times New Roman" w:eastAsia="Times New Roman" w:hAnsi="Times New Roman"/>
          <w:i w:val="1"/>
          <w:sz w:val="24"/>
          <w:szCs w:val="24"/>
          <w:rtl w:val="0"/>
        </w:rPr>
        <w:t xml:space="preserve">Економічні горизонти</w:t>
      </w:r>
      <w:r w:rsidDel="00000000" w:rsidR="00000000" w:rsidRPr="00000000">
        <w:rPr>
          <w:rFonts w:ascii="Times New Roman" w:cs="Times New Roman" w:eastAsia="Times New Roman" w:hAnsi="Times New Roman"/>
          <w:sz w:val="24"/>
          <w:szCs w:val="24"/>
          <w:rtl w:val="0"/>
        </w:rPr>
        <w:t xml:space="preserve">, (1 (8)), pp.89-98.Available at: http://eh.udpu.edu.ua/article/download/179384/179445 [accessed on 31 August 2022]</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Z., Deng, Y., Feng, K., Cai, W., Li, S., Yin, H., Xu, M., Ning, D. and Qu, Y., 2019. Deterministic assembly and diversity gradient altered the biofilm community performances of bioreactors. </w:t>
      </w:r>
      <w:r w:rsidDel="00000000" w:rsidR="00000000" w:rsidRPr="00000000">
        <w:rPr>
          <w:rFonts w:ascii="Times New Roman" w:cs="Times New Roman" w:eastAsia="Times New Roman" w:hAnsi="Times New Roman"/>
          <w:i w:val="1"/>
          <w:sz w:val="24"/>
          <w:szCs w:val="24"/>
          <w:rtl w:val="0"/>
        </w:rPr>
        <w:t xml:space="preserve">Environmental science &amp;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53</w:t>
      </w:r>
      <w:r w:rsidDel="00000000" w:rsidR="00000000" w:rsidRPr="00000000">
        <w:rPr>
          <w:rFonts w:ascii="Times New Roman" w:cs="Times New Roman" w:eastAsia="Times New Roman" w:hAnsi="Times New Roman"/>
          <w:sz w:val="24"/>
          <w:szCs w:val="24"/>
          <w:rtl w:val="0"/>
        </w:rPr>
        <w:t xml:space="preserve">(3), pp.1315-1324.Available at: http://pstorage-acs-6854636.s3.amazonaws.com/14120342/es8b06044_si_001.pdf [accessed on 31 August 2022]</w:t>
      </w:r>
    </w:p>
    <w:sectPr>
      <w:footerReference r:id="rId7" w:type="default"/>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3C01EB"/>
  </w:style>
  <w:style w:type="paragraph" w:styleId="Heading1">
    <w:name w:val="heading 1"/>
    <w:basedOn w:val="Normal"/>
    <w:next w:val="Normal"/>
    <w:rsid w:val="001F5E58"/>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
    <w:next w:val="Normal"/>
    <w:rsid w:val="001F5E58"/>
    <w:pPr>
      <w:keepNext w:val="1"/>
      <w:keepLines w:val="1"/>
      <w:spacing w:after="120" w:before="360" w:line="360" w:lineRule="auto"/>
      <w:jc w:val="both"/>
      <w:outlineLvl w:val="1"/>
    </w:pPr>
    <w:rPr>
      <w:rFonts w:ascii="Times New Roman" w:hAnsi="Times New Roman"/>
      <w:b w:val="1"/>
      <w:sz w:val="24"/>
      <w:szCs w:val="32"/>
    </w:rPr>
  </w:style>
  <w:style w:type="paragraph" w:styleId="Heading3">
    <w:name w:val="heading 3"/>
    <w:basedOn w:val="Normal"/>
    <w:next w:val="Normal"/>
    <w:rsid w:val="003C01EB"/>
    <w:pPr>
      <w:keepNext w:val="1"/>
      <w:keepLines w:val="1"/>
      <w:spacing w:after="80" w:before="320"/>
      <w:outlineLvl w:val="2"/>
    </w:pPr>
    <w:rPr>
      <w:color w:val="434343"/>
      <w:sz w:val="28"/>
      <w:szCs w:val="28"/>
    </w:rPr>
  </w:style>
  <w:style w:type="paragraph" w:styleId="Heading4">
    <w:name w:val="heading 4"/>
    <w:basedOn w:val="Normal"/>
    <w:next w:val="Normal"/>
    <w:rsid w:val="003C01EB"/>
    <w:pPr>
      <w:keepNext w:val="1"/>
      <w:keepLines w:val="1"/>
      <w:spacing w:after="80" w:before="280"/>
      <w:outlineLvl w:val="3"/>
    </w:pPr>
    <w:rPr>
      <w:color w:val="666666"/>
      <w:sz w:val="24"/>
      <w:szCs w:val="24"/>
    </w:rPr>
  </w:style>
  <w:style w:type="paragraph" w:styleId="Heading5">
    <w:name w:val="heading 5"/>
    <w:basedOn w:val="Normal"/>
    <w:next w:val="Normal"/>
    <w:rsid w:val="003C01EB"/>
    <w:pPr>
      <w:keepNext w:val="1"/>
      <w:keepLines w:val="1"/>
      <w:spacing w:after="80" w:before="240"/>
      <w:outlineLvl w:val="4"/>
    </w:pPr>
    <w:rPr>
      <w:color w:val="666666"/>
    </w:rPr>
  </w:style>
  <w:style w:type="paragraph" w:styleId="Heading6">
    <w:name w:val="heading 6"/>
    <w:basedOn w:val="Normal"/>
    <w:next w:val="Normal"/>
    <w:rsid w:val="003C01EB"/>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3C01EB"/>
    <w:pPr>
      <w:keepNext w:val="1"/>
      <w:keepLines w:val="1"/>
      <w:spacing w:after="60"/>
    </w:pPr>
    <w:rPr>
      <w:sz w:val="52"/>
      <w:szCs w:val="52"/>
    </w:rPr>
  </w:style>
  <w:style w:type="paragraph" w:styleId="Subtitle">
    <w:name w:val="Subtitle"/>
    <w:basedOn w:val="Normal"/>
    <w:next w:val="Normal"/>
    <w:rsid w:val="003C01EB"/>
    <w:pPr>
      <w:keepNext w:val="1"/>
      <w:keepLines w:val="1"/>
      <w:spacing w:after="320"/>
    </w:pPr>
    <w:rPr>
      <w:color w:val="666666"/>
      <w:sz w:val="30"/>
      <w:szCs w:val="30"/>
    </w:rPr>
  </w:style>
  <w:style w:type="paragraph" w:styleId="TOCHeading">
    <w:name w:val="TOC Heading"/>
    <w:basedOn w:val="Heading1"/>
    <w:next w:val="Normal"/>
    <w:uiPriority w:val="39"/>
    <w:semiHidden w:val="1"/>
    <w:unhideWhenUsed w:val="1"/>
    <w:qFormat w:val="1"/>
    <w:rsid w:val="001F5E58"/>
    <w:pPr>
      <w:spacing w:after="0" w:before="480" w:line="276" w:lineRule="auto"/>
      <w:jc w:val="left"/>
      <w:outlineLvl w:val="9"/>
    </w:pPr>
    <w:rPr>
      <w:rFonts w:asciiTheme="majorHAnsi" w:cstheme="majorBidi" w:eastAsiaTheme="majorEastAsia" w:hAnsiTheme="majorHAnsi"/>
      <w:bCs w:val="1"/>
      <w:color w:val="365f91" w:themeColor="accent1" w:themeShade="0000BF"/>
      <w:szCs w:val="28"/>
      <w:lang w:val="en-US"/>
    </w:rPr>
  </w:style>
  <w:style w:type="paragraph" w:styleId="TOC1">
    <w:name w:val="toc 1"/>
    <w:basedOn w:val="Normal"/>
    <w:next w:val="Normal"/>
    <w:autoRedefine w:val="1"/>
    <w:uiPriority w:val="39"/>
    <w:unhideWhenUsed w:val="1"/>
    <w:rsid w:val="001F5E58"/>
    <w:pPr>
      <w:spacing w:after="100"/>
    </w:pPr>
  </w:style>
  <w:style w:type="paragraph" w:styleId="TOC2">
    <w:name w:val="toc 2"/>
    <w:basedOn w:val="Normal"/>
    <w:next w:val="Normal"/>
    <w:autoRedefine w:val="1"/>
    <w:uiPriority w:val="39"/>
    <w:unhideWhenUsed w:val="1"/>
    <w:rsid w:val="001F5E58"/>
    <w:pPr>
      <w:spacing w:after="100"/>
      <w:ind w:left="220"/>
    </w:pPr>
  </w:style>
  <w:style w:type="character" w:styleId="Hyperlink">
    <w:name w:val="Hyperlink"/>
    <w:basedOn w:val="DefaultParagraphFont"/>
    <w:uiPriority w:val="99"/>
    <w:unhideWhenUsed w:val="1"/>
    <w:rsid w:val="001F5E58"/>
    <w:rPr>
      <w:color w:val="0000ff" w:themeColor="hyperlink"/>
      <w:u w:val="single"/>
    </w:rPr>
  </w:style>
  <w:style w:type="paragraph" w:styleId="BalloonText">
    <w:name w:val="Balloon Text"/>
    <w:basedOn w:val="Normal"/>
    <w:link w:val="BalloonTextChar"/>
    <w:uiPriority w:val="99"/>
    <w:semiHidden w:val="1"/>
    <w:unhideWhenUsed w:val="1"/>
    <w:rsid w:val="001F5E58"/>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F5E58"/>
    <w:rPr>
      <w:rFonts w:ascii="Tahoma" w:cs="Tahoma" w:hAnsi="Tahoma"/>
      <w:sz w:val="16"/>
      <w:szCs w:val="16"/>
    </w:rPr>
  </w:style>
  <w:style w:type="paragraph" w:styleId="Header">
    <w:name w:val="header"/>
    <w:basedOn w:val="Normal"/>
    <w:link w:val="HeaderChar"/>
    <w:uiPriority w:val="99"/>
    <w:semiHidden w:val="1"/>
    <w:unhideWhenUsed w:val="1"/>
    <w:rsid w:val="00E2551E"/>
    <w:pPr>
      <w:tabs>
        <w:tab w:val="center" w:pos="4513"/>
        <w:tab w:val="right" w:pos="9026"/>
      </w:tabs>
      <w:spacing w:line="240" w:lineRule="auto"/>
    </w:pPr>
  </w:style>
  <w:style w:type="character" w:styleId="HeaderChar" w:customStyle="1">
    <w:name w:val="Header Char"/>
    <w:basedOn w:val="DefaultParagraphFont"/>
    <w:link w:val="Header"/>
    <w:uiPriority w:val="99"/>
    <w:semiHidden w:val="1"/>
    <w:rsid w:val="00E2551E"/>
  </w:style>
  <w:style w:type="paragraph" w:styleId="Footer">
    <w:name w:val="footer"/>
    <w:basedOn w:val="Normal"/>
    <w:link w:val="FooterChar"/>
    <w:uiPriority w:val="99"/>
    <w:unhideWhenUsed w:val="1"/>
    <w:rsid w:val="00E2551E"/>
    <w:pPr>
      <w:tabs>
        <w:tab w:val="center" w:pos="4513"/>
        <w:tab w:val="right" w:pos="9026"/>
      </w:tabs>
      <w:spacing w:line="240" w:lineRule="auto"/>
    </w:pPr>
  </w:style>
  <w:style w:type="character" w:styleId="FooterChar" w:customStyle="1">
    <w:name w:val="Footer Char"/>
    <w:basedOn w:val="DefaultParagraphFont"/>
    <w:link w:val="Footer"/>
    <w:uiPriority w:val="99"/>
    <w:rsid w:val="00E2551E"/>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udNMK01sMHW9fh7ChkkT4py9iw==">AMUW2mW0q/k1L4Q2lY/xMsPD8mox+gUIlTdfABzlO943PGNVAzZmjUcP3uWUeT37NquNOEI/yW848nWyjNLKd7HgMzzR9rF2CnsgNOAt3yv5rGYkFPYZxgDipKeZOjbq+EkljQDyjqbq0o0B3uWVhIHRm5dUFeesXQPMaihVEFuX44iYVVza3/aGnqcSQcc6ItjUzQo8c9SBqjReIV2Wg0ctRLD571G7DTH36dYzDm/rqZFyB+YJ0UA=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2022-08-31T08:53:00Z</dcterms:created>
</cp:coreProperties>
</file>