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2C128" w14:textId="77777777" w:rsidR="00380BE5" w:rsidRPr="001C5439" w:rsidRDefault="00380BE5">
      <w:pPr>
        <w:rPr>
          <w:sz w:val="22"/>
          <w:szCs w:val="22"/>
        </w:rPr>
      </w:pPr>
    </w:p>
    <w:p w14:paraId="56086054" w14:textId="77777777" w:rsidR="001C5439" w:rsidRPr="001C5439" w:rsidRDefault="001C5439">
      <w:pPr>
        <w:rPr>
          <w:sz w:val="22"/>
          <w:szCs w:val="22"/>
        </w:rPr>
      </w:pPr>
    </w:p>
    <w:p w14:paraId="1879618E" w14:textId="77777777" w:rsidR="001C5439" w:rsidRPr="001C5439" w:rsidRDefault="001C5439" w:rsidP="00D44941">
      <w:pPr>
        <w:jc w:val="center"/>
        <w:rPr>
          <w:sz w:val="22"/>
          <w:szCs w:val="22"/>
        </w:rPr>
      </w:pPr>
    </w:p>
    <w:p w14:paraId="39001C88" w14:textId="3B23DE0F" w:rsidR="001C5439" w:rsidRDefault="00D44941" w:rsidP="00D44941">
      <w:pPr>
        <w:jc w:val="center"/>
        <w:rPr>
          <w:sz w:val="22"/>
          <w:szCs w:val="22"/>
        </w:rPr>
      </w:pPr>
      <w:r>
        <w:rPr>
          <w:sz w:val="22"/>
          <w:szCs w:val="22"/>
        </w:rPr>
        <w:t>Elysee Bayabi Mpobi</w:t>
      </w:r>
    </w:p>
    <w:p w14:paraId="362BD028" w14:textId="77777777" w:rsidR="00D44941" w:rsidRDefault="00D44941" w:rsidP="00D44941">
      <w:pPr>
        <w:jc w:val="center"/>
        <w:rPr>
          <w:sz w:val="22"/>
          <w:szCs w:val="22"/>
        </w:rPr>
      </w:pPr>
    </w:p>
    <w:p w14:paraId="4A761EAA" w14:textId="77777777" w:rsidR="00D44941" w:rsidRDefault="00D44941" w:rsidP="00D44941">
      <w:pPr>
        <w:jc w:val="center"/>
        <w:rPr>
          <w:sz w:val="22"/>
          <w:szCs w:val="22"/>
        </w:rPr>
      </w:pPr>
    </w:p>
    <w:p w14:paraId="33096DFE" w14:textId="77777777" w:rsidR="00D44941" w:rsidRDefault="00D44941" w:rsidP="00D44941">
      <w:pPr>
        <w:jc w:val="center"/>
        <w:rPr>
          <w:sz w:val="22"/>
          <w:szCs w:val="22"/>
        </w:rPr>
      </w:pPr>
    </w:p>
    <w:p w14:paraId="62858B3C" w14:textId="77777777" w:rsidR="00D44941" w:rsidRDefault="00D44941" w:rsidP="00D44941">
      <w:pPr>
        <w:jc w:val="center"/>
        <w:rPr>
          <w:sz w:val="22"/>
          <w:szCs w:val="22"/>
        </w:rPr>
      </w:pPr>
    </w:p>
    <w:p w14:paraId="5CA4A144" w14:textId="5A60C0DD" w:rsidR="00D44941" w:rsidRDefault="00D44941" w:rsidP="00D44941">
      <w:pPr>
        <w:jc w:val="center"/>
        <w:rPr>
          <w:sz w:val="22"/>
          <w:szCs w:val="22"/>
        </w:rPr>
      </w:pPr>
      <w:r>
        <w:rPr>
          <w:sz w:val="22"/>
          <w:szCs w:val="22"/>
        </w:rPr>
        <w:t>Student Number: 2245420</w:t>
      </w:r>
    </w:p>
    <w:p w14:paraId="73200037" w14:textId="77777777" w:rsidR="00D44941" w:rsidRDefault="00D44941" w:rsidP="00D44941">
      <w:pPr>
        <w:jc w:val="center"/>
        <w:rPr>
          <w:sz w:val="22"/>
          <w:szCs w:val="22"/>
        </w:rPr>
      </w:pPr>
    </w:p>
    <w:p w14:paraId="68299138" w14:textId="77777777" w:rsidR="00D44941" w:rsidRDefault="00D44941" w:rsidP="00D44941">
      <w:pPr>
        <w:jc w:val="center"/>
        <w:rPr>
          <w:sz w:val="22"/>
          <w:szCs w:val="22"/>
        </w:rPr>
      </w:pPr>
    </w:p>
    <w:p w14:paraId="420B0C19" w14:textId="77777777" w:rsidR="00D44941" w:rsidRDefault="00D44941" w:rsidP="00D44941">
      <w:pPr>
        <w:jc w:val="center"/>
        <w:rPr>
          <w:sz w:val="22"/>
          <w:szCs w:val="22"/>
        </w:rPr>
      </w:pPr>
    </w:p>
    <w:p w14:paraId="1A1FE547" w14:textId="77777777" w:rsidR="00D44941" w:rsidRDefault="00D44941" w:rsidP="00D44941">
      <w:pPr>
        <w:jc w:val="center"/>
        <w:rPr>
          <w:sz w:val="22"/>
          <w:szCs w:val="22"/>
        </w:rPr>
      </w:pPr>
    </w:p>
    <w:p w14:paraId="57718461" w14:textId="2E74B111" w:rsidR="00D44941" w:rsidRDefault="00D44941" w:rsidP="00D44941">
      <w:pPr>
        <w:jc w:val="center"/>
        <w:rPr>
          <w:sz w:val="22"/>
          <w:szCs w:val="22"/>
        </w:rPr>
      </w:pPr>
      <w:r>
        <w:rPr>
          <w:sz w:val="22"/>
          <w:szCs w:val="22"/>
        </w:rPr>
        <w:t xml:space="preserve">BMHP5023 – Introduction </w:t>
      </w:r>
      <w:proofErr w:type="gramStart"/>
      <w:r>
        <w:rPr>
          <w:sz w:val="22"/>
          <w:szCs w:val="22"/>
        </w:rPr>
        <w:t>To</w:t>
      </w:r>
      <w:proofErr w:type="gramEnd"/>
      <w:r>
        <w:rPr>
          <w:sz w:val="22"/>
          <w:szCs w:val="22"/>
        </w:rPr>
        <w:t xml:space="preserve"> Physiology</w:t>
      </w:r>
    </w:p>
    <w:p w14:paraId="5D41740D" w14:textId="77777777" w:rsidR="00D44941" w:rsidRDefault="00D44941" w:rsidP="00D44941">
      <w:pPr>
        <w:jc w:val="center"/>
        <w:rPr>
          <w:sz w:val="22"/>
          <w:szCs w:val="22"/>
        </w:rPr>
      </w:pPr>
    </w:p>
    <w:p w14:paraId="3BD7D332" w14:textId="77777777" w:rsidR="00D44941" w:rsidRDefault="00D44941" w:rsidP="00D44941">
      <w:pPr>
        <w:jc w:val="center"/>
        <w:rPr>
          <w:sz w:val="22"/>
          <w:szCs w:val="22"/>
        </w:rPr>
      </w:pPr>
    </w:p>
    <w:p w14:paraId="3743B4F5" w14:textId="77777777" w:rsidR="00D44941" w:rsidRDefault="00D44941" w:rsidP="00D44941">
      <w:pPr>
        <w:jc w:val="center"/>
        <w:rPr>
          <w:sz w:val="22"/>
          <w:szCs w:val="22"/>
        </w:rPr>
      </w:pPr>
    </w:p>
    <w:p w14:paraId="0341B827" w14:textId="77777777" w:rsidR="00D44941" w:rsidRDefault="00D44941" w:rsidP="00D44941">
      <w:pPr>
        <w:jc w:val="center"/>
        <w:rPr>
          <w:sz w:val="22"/>
          <w:szCs w:val="22"/>
        </w:rPr>
      </w:pPr>
    </w:p>
    <w:p w14:paraId="0ECA0D8A" w14:textId="77777777" w:rsidR="00D44941" w:rsidRDefault="00D44941" w:rsidP="00D44941">
      <w:pPr>
        <w:jc w:val="center"/>
        <w:rPr>
          <w:sz w:val="22"/>
          <w:szCs w:val="22"/>
        </w:rPr>
      </w:pPr>
    </w:p>
    <w:p w14:paraId="665A4332" w14:textId="33AF26C6" w:rsidR="00D44941" w:rsidRPr="001C5439" w:rsidRDefault="00D44941" w:rsidP="00D44941">
      <w:pPr>
        <w:jc w:val="center"/>
        <w:rPr>
          <w:sz w:val="22"/>
          <w:szCs w:val="22"/>
        </w:rPr>
      </w:pPr>
      <w:r>
        <w:rPr>
          <w:sz w:val="22"/>
          <w:szCs w:val="22"/>
        </w:rPr>
        <w:t>Component 1: Written Assignment (Case Study Report)</w:t>
      </w:r>
    </w:p>
    <w:p w14:paraId="1CBE43CE" w14:textId="77777777" w:rsidR="001C5439" w:rsidRPr="001C5439" w:rsidRDefault="001C5439">
      <w:pPr>
        <w:rPr>
          <w:sz w:val="22"/>
          <w:szCs w:val="22"/>
        </w:rPr>
      </w:pPr>
    </w:p>
    <w:p w14:paraId="7A1E94F4" w14:textId="77777777" w:rsidR="001C5439" w:rsidRPr="001C5439" w:rsidRDefault="001C5439">
      <w:pPr>
        <w:rPr>
          <w:sz w:val="22"/>
          <w:szCs w:val="22"/>
        </w:rPr>
      </w:pPr>
    </w:p>
    <w:p w14:paraId="3581DA7F" w14:textId="77777777" w:rsidR="001C5439" w:rsidRPr="001C5439" w:rsidRDefault="001C5439">
      <w:pPr>
        <w:rPr>
          <w:sz w:val="22"/>
          <w:szCs w:val="22"/>
        </w:rPr>
      </w:pPr>
    </w:p>
    <w:p w14:paraId="37E268B2" w14:textId="77777777" w:rsidR="001C5439" w:rsidRPr="001C5439" w:rsidRDefault="001C5439">
      <w:pPr>
        <w:rPr>
          <w:sz w:val="22"/>
          <w:szCs w:val="22"/>
        </w:rPr>
      </w:pPr>
    </w:p>
    <w:p w14:paraId="36BD3CEA" w14:textId="77777777" w:rsidR="001C5439" w:rsidRPr="001C5439" w:rsidRDefault="001C5439">
      <w:pPr>
        <w:rPr>
          <w:sz w:val="22"/>
          <w:szCs w:val="22"/>
        </w:rPr>
      </w:pPr>
    </w:p>
    <w:p w14:paraId="095A353A" w14:textId="77777777" w:rsidR="001C5439" w:rsidRPr="001C5439" w:rsidRDefault="001C5439">
      <w:pPr>
        <w:rPr>
          <w:sz w:val="22"/>
          <w:szCs w:val="22"/>
        </w:rPr>
      </w:pPr>
    </w:p>
    <w:p w14:paraId="1BA8128B" w14:textId="77777777" w:rsidR="001C5439" w:rsidRPr="001C5439" w:rsidRDefault="001C5439">
      <w:pPr>
        <w:rPr>
          <w:sz w:val="22"/>
          <w:szCs w:val="22"/>
        </w:rPr>
      </w:pPr>
    </w:p>
    <w:p w14:paraId="29D87892" w14:textId="77777777" w:rsidR="001C5439" w:rsidRPr="001C5439" w:rsidRDefault="001C5439">
      <w:pPr>
        <w:rPr>
          <w:sz w:val="22"/>
          <w:szCs w:val="22"/>
        </w:rPr>
      </w:pPr>
    </w:p>
    <w:p w14:paraId="50FC3EA9" w14:textId="77777777" w:rsidR="001C5439" w:rsidRPr="001C5439" w:rsidRDefault="001C5439">
      <w:pPr>
        <w:rPr>
          <w:sz w:val="22"/>
          <w:szCs w:val="22"/>
        </w:rPr>
      </w:pPr>
    </w:p>
    <w:p w14:paraId="04557C1E" w14:textId="77777777" w:rsidR="00D44941" w:rsidRDefault="00D44941" w:rsidP="001C5439">
      <w:pPr>
        <w:spacing w:line="360" w:lineRule="auto"/>
        <w:rPr>
          <w:sz w:val="22"/>
          <w:szCs w:val="22"/>
        </w:rPr>
      </w:pPr>
    </w:p>
    <w:p w14:paraId="2E517124" w14:textId="573BA391" w:rsidR="00B37D1E" w:rsidRDefault="00B37D1E" w:rsidP="00B37D1E">
      <w:pPr>
        <w:spacing w:line="360" w:lineRule="auto"/>
        <w:jc w:val="center"/>
        <w:rPr>
          <w:rFonts w:ascii="Arial" w:hAnsi="Arial" w:cs="Arial"/>
          <w:b/>
          <w:bCs/>
          <w:sz w:val="22"/>
          <w:szCs w:val="22"/>
        </w:rPr>
      </w:pPr>
      <w:r>
        <w:rPr>
          <w:rFonts w:ascii="Arial" w:hAnsi="Arial" w:cs="Arial"/>
          <w:b/>
          <w:bCs/>
          <w:sz w:val="22"/>
          <w:szCs w:val="22"/>
        </w:rPr>
        <w:lastRenderedPageBreak/>
        <w:t>Case Study 1 - Diabetes</w:t>
      </w:r>
    </w:p>
    <w:p w14:paraId="3BA7A08F" w14:textId="66C4FE02" w:rsidR="001C5439" w:rsidRPr="00B37D1E" w:rsidRDefault="001C5439" w:rsidP="001C5439">
      <w:pPr>
        <w:spacing w:line="360" w:lineRule="auto"/>
        <w:rPr>
          <w:rFonts w:ascii="Arial" w:hAnsi="Arial" w:cs="Arial"/>
          <w:b/>
          <w:bCs/>
          <w:sz w:val="22"/>
          <w:szCs w:val="22"/>
        </w:rPr>
      </w:pPr>
      <w:r w:rsidRPr="001C5439">
        <w:rPr>
          <w:rFonts w:ascii="Arial" w:hAnsi="Arial" w:cs="Arial"/>
          <w:b/>
          <w:bCs/>
          <w:sz w:val="22"/>
          <w:szCs w:val="22"/>
        </w:rPr>
        <w:t>Introduction</w:t>
      </w:r>
    </w:p>
    <w:p w14:paraId="28C76E29" w14:textId="7AA750FC"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Diabetes</w:t>
      </w:r>
      <w:r w:rsidR="00264F3E">
        <w:rPr>
          <w:rFonts w:ascii="Arial" w:hAnsi="Arial" w:cs="Arial"/>
          <w:sz w:val="22"/>
          <w:szCs w:val="22"/>
        </w:rPr>
        <w:t xml:space="preserve"> is a </w:t>
      </w:r>
      <w:r w:rsidR="008260F1">
        <w:rPr>
          <w:rFonts w:ascii="Arial" w:hAnsi="Arial" w:cs="Arial"/>
          <w:sz w:val="22"/>
          <w:szCs w:val="22"/>
        </w:rPr>
        <w:t>long-term</w:t>
      </w:r>
      <w:r w:rsidR="00264F3E">
        <w:rPr>
          <w:rFonts w:ascii="Arial" w:hAnsi="Arial" w:cs="Arial"/>
          <w:sz w:val="22"/>
          <w:szCs w:val="22"/>
        </w:rPr>
        <w:t xml:space="preserve"> metabolic condition that affects blood glucose</w:t>
      </w:r>
      <w:r w:rsidR="006A1BA1">
        <w:rPr>
          <w:rFonts w:ascii="Arial" w:hAnsi="Arial" w:cs="Arial"/>
          <w:sz w:val="22"/>
          <w:szCs w:val="22"/>
        </w:rPr>
        <w:t>;</w:t>
      </w:r>
      <w:r w:rsidR="00264F3E">
        <w:rPr>
          <w:rFonts w:ascii="Arial" w:hAnsi="Arial" w:cs="Arial"/>
          <w:sz w:val="22"/>
          <w:szCs w:val="22"/>
        </w:rPr>
        <w:t xml:space="preserve"> its levels become elevated due to a lack of insulin</w:t>
      </w:r>
      <w:r w:rsidR="008260F1">
        <w:rPr>
          <w:rFonts w:ascii="Arial" w:hAnsi="Arial" w:cs="Arial"/>
          <w:sz w:val="22"/>
          <w:szCs w:val="22"/>
        </w:rPr>
        <w:t xml:space="preserve"> that is </w:t>
      </w:r>
      <w:r w:rsidRPr="001C5439">
        <w:rPr>
          <w:rFonts w:ascii="Arial" w:hAnsi="Arial" w:cs="Arial"/>
          <w:sz w:val="22"/>
          <w:szCs w:val="22"/>
        </w:rPr>
        <w:t>insufficient or less effective than required. Insulin</w:t>
      </w:r>
      <w:r w:rsidR="008260F1">
        <w:rPr>
          <w:rFonts w:ascii="Arial" w:hAnsi="Arial" w:cs="Arial"/>
          <w:sz w:val="22"/>
          <w:szCs w:val="22"/>
        </w:rPr>
        <w:t xml:space="preserve"> is </w:t>
      </w:r>
      <w:r w:rsidRPr="001C5439">
        <w:rPr>
          <w:rFonts w:ascii="Arial" w:hAnsi="Arial" w:cs="Arial"/>
          <w:sz w:val="22"/>
          <w:szCs w:val="22"/>
        </w:rPr>
        <w:t>produced by beta cells in the pancreatic islets</w:t>
      </w:r>
      <w:r w:rsidR="008260F1">
        <w:rPr>
          <w:rFonts w:ascii="Arial" w:hAnsi="Arial" w:cs="Arial"/>
          <w:sz w:val="22"/>
          <w:szCs w:val="22"/>
        </w:rPr>
        <w:t xml:space="preserve"> and </w:t>
      </w:r>
      <w:r w:rsidRPr="001C5439">
        <w:rPr>
          <w:rFonts w:ascii="Arial" w:hAnsi="Arial" w:cs="Arial"/>
          <w:sz w:val="22"/>
          <w:szCs w:val="22"/>
        </w:rPr>
        <w:t xml:space="preserve">helps regulate the movement and storage of glucose after food is digested. Persistent </w:t>
      </w:r>
      <w:r w:rsidR="008260F1">
        <w:rPr>
          <w:rFonts w:ascii="Arial" w:hAnsi="Arial" w:cs="Arial"/>
          <w:sz w:val="22"/>
          <w:szCs w:val="22"/>
        </w:rPr>
        <w:t>high levels</w:t>
      </w:r>
      <w:r w:rsidRPr="001C5439">
        <w:rPr>
          <w:rFonts w:ascii="Arial" w:hAnsi="Arial" w:cs="Arial"/>
          <w:sz w:val="22"/>
          <w:szCs w:val="22"/>
        </w:rPr>
        <w:t xml:space="preserve"> can damage blood vessels and nerves, increasing the risk of cardiovascular disease, kidney disease, retinopathy and foot complications (World Health </w:t>
      </w:r>
      <w:r w:rsidR="00264F3E">
        <w:rPr>
          <w:rFonts w:ascii="Arial" w:hAnsi="Arial" w:cs="Arial"/>
          <w:sz w:val="22"/>
          <w:szCs w:val="22"/>
        </w:rPr>
        <w:t>Organisation</w:t>
      </w:r>
      <w:r w:rsidRPr="001C5439">
        <w:rPr>
          <w:rFonts w:ascii="Arial" w:hAnsi="Arial" w:cs="Arial"/>
          <w:sz w:val="22"/>
          <w:szCs w:val="22"/>
        </w:rPr>
        <w:t>, 2024). Diabetes management therefore aims not only to improve glucose readings but also to reduce wider health risks and maintain quality of life.</w:t>
      </w:r>
    </w:p>
    <w:p w14:paraId="05D9D711" w14:textId="0BAA9D7F"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Type 1 diabetes is an autoimmune condition in which pancreatic beta cells are destroyed, resulting in an absolute need for insulin replacement. It is not caused by lifestyle choices. </w:t>
      </w:r>
      <w:r w:rsidR="008260F1">
        <w:rPr>
          <w:rFonts w:ascii="Arial" w:hAnsi="Arial" w:cs="Arial"/>
          <w:sz w:val="22"/>
          <w:szCs w:val="22"/>
        </w:rPr>
        <w:t>However, t</w:t>
      </w:r>
      <w:r w:rsidRPr="001C5439">
        <w:rPr>
          <w:rFonts w:ascii="Arial" w:hAnsi="Arial" w:cs="Arial"/>
          <w:sz w:val="22"/>
          <w:szCs w:val="22"/>
        </w:rPr>
        <w:t xml:space="preserve">ype 2 diabetes, the focus of this report, involves insulin resistance alongside progressive </w:t>
      </w:r>
      <w:r w:rsidR="00540190">
        <w:rPr>
          <w:rFonts w:ascii="Arial" w:hAnsi="Arial" w:cs="Arial"/>
          <w:sz w:val="22"/>
          <w:szCs w:val="22"/>
        </w:rPr>
        <w:t>inhibition of insulin</w:t>
      </w:r>
      <w:r w:rsidRPr="001C5439">
        <w:rPr>
          <w:rFonts w:ascii="Arial" w:hAnsi="Arial" w:cs="Arial"/>
          <w:sz w:val="22"/>
          <w:szCs w:val="22"/>
        </w:rPr>
        <w:t xml:space="preserve">. Gestational diabetes develops during pregnancy and has distinct assessment and management pathways (NHS, 2024). These distinctions matter because advice and treatment must be appropriate </w:t>
      </w:r>
      <w:r w:rsidR="00540190">
        <w:rPr>
          <w:rFonts w:ascii="Arial" w:hAnsi="Arial" w:cs="Arial"/>
          <w:sz w:val="22"/>
          <w:szCs w:val="22"/>
        </w:rPr>
        <w:t xml:space="preserve">for </w:t>
      </w:r>
      <w:r w:rsidRPr="001C5439">
        <w:rPr>
          <w:rFonts w:ascii="Arial" w:hAnsi="Arial" w:cs="Arial"/>
          <w:sz w:val="22"/>
          <w:szCs w:val="22"/>
        </w:rPr>
        <w:t>the type of diabetes; lifestyle change can support type 2 diabetes management but does not replace insulin in type 1 diabetes.</w:t>
      </w:r>
    </w:p>
    <w:p w14:paraId="111C552F" w14:textId="372333C9"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Risk factors for type 2 diabetes include family history, increasing age, a history of gestational diabetes, physical inactivity and overweight or obesity, particularly </w:t>
      </w:r>
      <w:r w:rsidR="00C64DB5">
        <w:rPr>
          <w:rFonts w:ascii="Arial" w:hAnsi="Arial" w:cs="Arial"/>
          <w:sz w:val="22"/>
          <w:szCs w:val="22"/>
        </w:rPr>
        <w:t xml:space="preserve">due to </w:t>
      </w:r>
      <w:r w:rsidRPr="001C5439">
        <w:rPr>
          <w:rFonts w:ascii="Arial" w:hAnsi="Arial" w:cs="Arial"/>
          <w:sz w:val="22"/>
          <w:szCs w:val="22"/>
        </w:rPr>
        <w:t xml:space="preserve">excess abdominal fat. </w:t>
      </w:r>
      <w:r w:rsidR="00681346">
        <w:rPr>
          <w:rFonts w:ascii="Arial" w:hAnsi="Arial" w:cs="Arial"/>
          <w:sz w:val="22"/>
          <w:szCs w:val="22"/>
        </w:rPr>
        <w:t>Some ethnic groups have higher risks of diabetes</w:t>
      </w:r>
      <w:r w:rsidRPr="001C5439">
        <w:rPr>
          <w:rFonts w:ascii="Arial" w:hAnsi="Arial" w:cs="Arial"/>
          <w:sz w:val="22"/>
          <w:szCs w:val="22"/>
        </w:rPr>
        <w:t xml:space="preserve">, including people of South Asian, Black African and African-Caribbean heritage (Diabetes UK, n.d.). These factors do not determine individual </w:t>
      </w:r>
      <w:r w:rsidR="00681346">
        <w:rPr>
          <w:rFonts w:ascii="Arial" w:hAnsi="Arial" w:cs="Arial"/>
          <w:sz w:val="22"/>
          <w:szCs w:val="22"/>
        </w:rPr>
        <w:t>outcomes; however,</w:t>
      </w:r>
      <w:r w:rsidRPr="001C5439">
        <w:rPr>
          <w:rFonts w:ascii="Arial" w:hAnsi="Arial" w:cs="Arial"/>
          <w:sz w:val="22"/>
          <w:szCs w:val="22"/>
        </w:rPr>
        <w:t xml:space="preserve"> genet</w:t>
      </w:r>
      <w:r w:rsidR="00681346">
        <w:rPr>
          <w:rFonts w:ascii="Arial" w:hAnsi="Arial" w:cs="Arial"/>
          <w:sz w:val="22"/>
          <w:szCs w:val="22"/>
        </w:rPr>
        <w:t xml:space="preserve">ics </w:t>
      </w:r>
      <w:r w:rsidRPr="001C5439">
        <w:rPr>
          <w:rFonts w:ascii="Arial" w:hAnsi="Arial" w:cs="Arial"/>
          <w:sz w:val="22"/>
          <w:szCs w:val="22"/>
        </w:rPr>
        <w:t xml:space="preserve">and social circumstances </w:t>
      </w:r>
      <w:r w:rsidR="00681346">
        <w:rPr>
          <w:rFonts w:ascii="Arial" w:hAnsi="Arial" w:cs="Arial"/>
          <w:sz w:val="22"/>
          <w:szCs w:val="22"/>
        </w:rPr>
        <w:t xml:space="preserve">mix </w:t>
      </w:r>
      <w:r w:rsidRPr="001C5439">
        <w:rPr>
          <w:rFonts w:ascii="Arial" w:hAnsi="Arial" w:cs="Arial"/>
          <w:sz w:val="22"/>
          <w:szCs w:val="22"/>
        </w:rPr>
        <w:t>with behaviour,</w:t>
      </w:r>
      <w:r w:rsidR="00681346">
        <w:rPr>
          <w:rFonts w:ascii="Arial" w:hAnsi="Arial" w:cs="Arial"/>
          <w:sz w:val="22"/>
          <w:szCs w:val="22"/>
        </w:rPr>
        <w:t xml:space="preserve"> consistency of</w:t>
      </w:r>
      <w:r w:rsidRPr="001C5439">
        <w:rPr>
          <w:rFonts w:ascii="Arial" w:hAnsi="Arial" w:cs="Arial"/>
          <w:sz w:val="22"/>
          <w:szCs w:val="22"/>
        </w:rPr>
        <w:t xml:space="preserve"> healthy food, opportunities for</w:t>
      </w:r>
      <w:r w:rsidR="00681346">
        <w:rPr>
          <w:rFonts w:ascii="Arial" w:hAnsi="Arial" w:cs="Arial"/>
          <w:sz w:val="22"/>
          <w:szCs w:val="22"/>
        </w:rPr>
        <w:t xml:space="preserve"> high movement</w:t>
      </w:r>
      <w:r w:rsidRPr="001C5439">
        <w:rPr>
          <w:rFonts w:ascii="Arial" w:hAnsi="Arial" w:cs="Arial"/>
          <w:sz w:val="22"/>
          <w:szCs w:val="22"/>
        </w:rPr>
        <w:t xml:space="preserve"> activity and access to healthcare</w:t>
      </w:r>
      <w:r w:rsidR="00681346">
        <w:rPr>
          <w:rFonts w:ascii="Arial" w:hAnsi="Arial" w:cs="Arial"/>
          <w:sz w:val="22"/>
          <w:szCs w:val="22"/>
        </w:rPr>
        <w:t xml:space="preserve"> to determine blood glucose levels.</w:t>
      </w:r>
      <w:r w:rsidRPr="001C5439">
        <w:rPr>
          <w:rFonts w:ascii="Arial" w:hAnsi="Arial" w:cs="Arial"/>
          <w:sz w:val="22"/>
          <w:szCs w:val="22"/>
        </w:rPr>
        <w:t xml:space="preserve"> Framing diabetes solely as the result of personal choices risks stigma and overlooks </w:t>
      </w:r>
      <w:r w:rsidR="00B67F7E">
        <w:rPr>
          <w:rFonts w:ascii="Arial" w:hAnsi="Arial" w:cs="Arial"/>
          <w:sz w:val="22"/>
          <w:szCs w:val="22"/>
        </w:rPr>
        <w:t xml:space="preserve">genetic predispositions. </w:t>
      </w:r>
    </w:p>
    <w:p w14:paraId="06FCB3C9" w14:textId="7EDF3470"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In general practice, the practice nurse has an important role </w:t>
      </w:r>
      <w:r w:rsidR="00B67F7E">
        <w:rPr>
          <w:rFonts w:ascii="Arial" w:hAnsi="Arial" w:cs="Arial"/>
          <w:sz w:val="22"/>
          <w:szCs w:val="22"/>
        </w:rPr>
        <w:t xml:space="preserve">of </w:t>
      </w:r>
      <w:r w:rsidRPr="001C5439">
        <w:rPr>
          <w:rFonts w:ascii="Arial" w:hAnsi="Arial" w:cs="Arial"/>
          <w:sz w:val="22"/>
          <w:szCs w:val="22"/>
        </w:rPr>
        <w:t xml:space="preserve">explaining the condition in </w:t>
      </w:r>
      <w:r w:rsidR="00B67F7E">
        <w:rPr>
          <w:rFonts w:ascii="Arial" w:hAnsi="Arial" w:cs="Arial"/>
          <w:sz w:val="22"/>
          <w:szCs w:val="22"/>
        </w:rPr>
        <w:t xml:space="preserve">understandable </w:t>
      </w:r>
      <w:r w:rsidRPr="001C5439">
        <w:rPr>
          <w:rFonts w:ascii="Arial" w:hAnsi="Arial" w:cs="Arial"/>
          <w:sz w:val="22"/>
          <w:szCs w:val="22"/>
        </w:rPr>
        <w:t xml:space="preserve">language and helping patients use information to make </w:t>
      </w:r>
      <w:r w:rsidR="00B67F7E">
        <w:rPr>
          <w:rFonts w:ascii="Arial" w:hAnsi="Arial" w:cs="Arial"/>
          <w:sz w:val="22"/>
          <w:szCs w:val="22"/>
        </w:rPr>
        <w:t xml:space="preserve">informed </w:t>
      </w:r>
      <w:r w:rsidRPr="001C5439">
        <w:rPr>
          <w:rFonts w:ascii="Arial" w:hAnsi="Arial" w:cs="Arial"/>
          <w:sz w:val="22"/>
          <w:szCs w:val="22"/>
        </w:rPr>
        <w:t>decisions</w:t>
      </w:r>
      <w:r w:rsidR="00B67F7E">
        <w:rPr>
          <w:rFonts w:ascii="Arial" w:hAnsi="Arial" w:cs="Arial"/>
          <w:sz w:val="22"/>
          <w:szCs w:val="22"/>
        </w:rPr>
        <w:t xml:space="preserve"> and changes</w:t>
      </w:r>
      <w:r w:rsidRPr="001C5439">
        <w:rPr>
          <w:rFonts w:ascii="Arial" w:hAnsi="Arial" w:cs="Arial"/>
          <w:sz w:val="22"/>
          <w:szCs w:val="22"/>
        </w:rPr>
        <w:t xml:space="preserve">. This report explains physiological glucose regulation and cellular energy production, examines the </w:t>
      </w:r>
      <w:r w:rsidR="00B67F7E">
        <w:rPr>
          <w:rFonts w:ascii="Arial" w:hAnsi="Arial" w:cs="Arial"/>
          <w:sz w:val="22"/>
          <w:szCs w:val="22"/>
        </w:rPr>
        <w:t>advantages and disadvantages</w:t>
      </w:r>
      <w:r w:rsidRPr="001C5439">
        <w:rPr>
          <w:rFonts w:ascii="Arial" w:hAnsi="Arial" w:cs="Arial"/>
          <w:sz w:val="22"/>
          <w:szCs w:val="22"/>
        </w:rPr>
        <w:t xml:space="preserve"> of blood glucose monitoring, and considers evidence-based lifestyle measures. The central argument is that effective care combines accurate physiological </w:t>
      </w:r>
      <w:r w:rsidR="00B67F7E">
        <w:rPr>
          <w:rFonts w:ascii="Arial" w:hAnsi="Arial" w:cs="Arial"/>
          <w:sz w:val="22"/>
          <w:szCs w:val="22"/>
        </w:rPr>
        <w:t xml:space="preserve">and biological </w:t>
      </w:r>
      <w:r w:rsidRPr="001C5439">
        <w:rPr>
          <w:rFonts w:ascii="Arial" w:hAnsi="Arial" w:cs="Arial"/>
          <w:sz w:val="22"/>
          <w:szCs w:val="22"/>
        </w:rPr>
        <w:t>understanding with individualised,</w:t>
      </w:r>
      <w:r w:rsidR="00B67F7E">
        <w:rPr>
          <w:rFonts w:ascii="Arial" w:hAnsi="Arial" w:cs="Arial"/>
          <w:sz w:val="22"/>
          <w:szCs w:val="22"/>
        </w:rPr>
        <w:t xml:space="preserve"> unbiased </w:t>
      </w:r>
      <w:r w:rsidRPr="001C5439">
        <w:rPr>
          <w:rFonts w:ascii="Arial" w:hAnsi="Arial" w:cs="Arial"/>
          <w:sz w:val="22"/>
          <w:szCs w:val="22"/>
        </w:rPr>
        <w:t>support rather than relying on a single reading or a generic lifestyle prescription</w:t>
      </w:r>
      <w:r w:rsidR="00B67F7E">
        <w:rPr>
          <w:rFonts w:ascii="Arial" w:hAnsi="Arial" w:cs="Arial"/>
          <w:sz w:val="22"/>
          <w:szCs w:val="22"/>
        </w:rPr>
        <w:t xml:space="preserve"> for everyone. </w:t>
      </w:r>
    </w:p>
    <w:p w14:paraId="2789D2FA" w14:textId="4EE99F4B" w:rsidR="001C5439" w:rsidRPr="001C5439" w:rsidRDefault="001C5439" w:rsidP="001C5439">
      <w:pPr>
        <w:spacing w:line="360" w:lineRule="auto"/>
        <w:rPr>
          <w:rFonts w:ascii="Arial" w:hAnsi="Arial" w:cs="Arial"/>
          <w:sz w:val="22"/>
          <w:szCs w:val="22"/>
        </w:rPr>
      </w:pPr>
      <w:r w:rsidRPr="001C5439">
        <w:rPr>
          <w:rFonts w:ascii="Arial" w:hAnsi="Arial" w:cs="Arial"/>
          <w:b/>
          <w:bCs/>
          <w:sz w:val="22"/>
          <w:szCs w:val="22"/>
        </w:rPr>
        <w:t>How blood glucose is maintained at a safe and effective level</w:t>
      </w:r>
    </w:p>
    <w:p w14:paraId="6D6F9A0F" w14:textId="25BCC0DE"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lastRenderedPageBreak/>
        <w:t>Blood glucose homeostasis is the regulation of glucose availability so that tissues receive fuel while excessive or inadequate concentrations are avoided. The pancreas, liver, digestive system, skeletal muscle and adipose tissue</w:t>
      </w:r>
      <w:r w:rsidR="00B67F7E">
        <w:rPr>
          <w:rFonts w:ascii="Arial" w:hAnsi="Arial" w:cs="Arial"/>
          <w:sz w:val="22"/>
          <w:szCs w:val="22"/>
        </w:rPr>
        <w:t xml:space="preserve"> all</w:t>
      </w:r>
      <w:r w:rsidRPr="001C5439">
        <w:rPr>
          <w:rFonts w:ascii="Arial" w:hAnsi="Arial" w:cs="Arial"/>
          <w:sz w:val="22"/>
          <w:szCs w:val="22"/>
        </w:rPr>
        <w:t xml:space="preserve"> contribute to this process. After</w:t>
      </w:r>
      <w:r w:rsidR="00B67F7E">
        <w:rPr>
          <w:rFonts w:ascii="Arial" w:hAnsi="Arial" w:cs="Arial"/>
          <w:sz w:val="22"/>
          <w:szCs w:val="22"/>
        </w:rPr>
        <w:t xml:space="preserve"> eating a meal containing carbohydrates</w:t>
      </w:r>
      <w:r w:rsidRPr="001C5439">
        <w:rPr>
          <w:rFonts w:ascii="Arial" w:hAnsi="Arial" w:cs="Arial"/>
          <w:sz w:val="22"/>
          <w:szCs w:val="22"/>
        </w:rPr>
        <w:t>,</w:t>
      </w:r>
      <w:r w:rsidR="00B67F7E">
        <w:rPr>
          <w:rFonts w:ascii="Arial" w:hAnsi="Arial" w:cs="Arial"/>
          <w:sz w:val="22"/>
          <w:szCs w:val="22"/>
        </w:rPr>
        <w:t xml:space="preserve"> your</w:t>
      </w:r>
      <w:r w:rsidRPr="001C5439">
        <w:rPr>
          <w:rFonts w:ascii="Arial" w:hAnsi="Arial" w:cs="Arial"/>
          <w:sz w:val="22"/>
          <w:szCs w:val="22"/>
        </w:rPr>
        <w:t xml:space="preserve"> enzymes digest </w:t>
      </w:r>
      <w:r w:rsidR="004B5DD5">
        <w:rPr>
          <w:rFonts w:ascii="Arial" w:hAnsi="Arial" w:cs="Arial"/>
          <w:sz w:val="22"/>
          <w:szCs w:val="22"/>
        </w:rPr>
        <w:t>them</w:t>
      </w:r>
      <w:r w:rsidRPr="001C5439">
        <w:rPr>
          <w:rFonts w:ascii="Arial" w:hAnsi="Arial" w:cs="Arial"/>
          <w:sz w:val="22"/>
          <w:szCs w:val="22"/>
        </w:rPr>
        <w:t xml:space="preserve"> into absorbable sugars, which </w:t>
      </w:r>
      <w:r w:rsidR="004B5DD5">
        <w:rPr>
          <w:rFonts w:ascii="Arial" w:hAnsi="Arial" w:cs="Arial"/>
          <w:sz w:val="22"/>
          <w:szCs w:val="22"/>
        </w:rPr>
        <w:t>goes into</w:t>
      </w:r>
      <w:r w:rsidRPr="001C5439">
        <w:rPr>
          <w:rFonts w:ascii="Arial" w:hAnsi="Arial" w:cs="Arial"/>
          <w:sz w:val="22"/>
          <w:szCs w:val="22"/>
        </w:rPr>
        <w:t xml:space="preserve"> the bloodstream from the small intestine. Rising glucose stimulates pancreatic beta cells to release insulin. Insulin </w:t>
      </w:r>
      <w:r w:rsidR="00B67F7E">
        <w:rPr>
          <w:rFonts w:ascii="Arial" w:hAnsi="Arial" w:cs="Arial"/>
          <w:sz w:val="22"/>
          <w:szCs w:val="22"/>
        </w:rPr>
        <w:t xml:space="preserve">then </w:t>
      </w:r>
      <w:r w:rsidRPr="001C5439">
        <w:rPr>
          <w:rFonts w:ascii="Arial" w:hAnsi="Arial" w:cs="Arial"/>
          <w:sz w:val="22"/>
          <w:szCs w:val="22"/>
        </w:rPr>
        <w:t>binds to receptors on t</w:t>
      </w:r>
      <w:r w:rsidR="00B67F7E">
        <w:rPr>
          <w:rFonts w:ascii="Arial" w:hAnsi="Arial" w:cs="Arial"/>
          <w:sz w:val="22"/>
          <w:szCs w:val="22"/>
        </w:rPr>
        <w:t>he relevant</w:t>
      </w:r>
      <w:r w:rsidRPr="001C5439">
        <w:rPr>
          <w:rFonts w:ascii="Arial" w:hAnsi="Arial" w:cs="Arial"/>
          <w:sz w:val="22"/>
          <w:szCs w:val="22"/>
        </w:rPr>
        <w:t xml:space="preserve"> cells and initiates</w:t>
      </w:r>
      <w:r w:rsidR="00B67F7E">
        <w:rPr>
          <w:rFonts w:ascii="Arial" w:hAnsi="Arial" w:cs="Arial"/>
          <w:sz w:val="22"/>
          <w:szCs w:val="22"/>
        </w:rPr>
        <w:t xml:space="preserve"> a</w:t>
      </w:r>
      <w:r w:rsidRPr="001C5439">
        <w:rPr>
          <w:rFonts w:ascii="Arial" w:hAnsi="Arial" w:cs="Arial"/>
          <w:sz w:val="22"/>
          <w:szCs w:val="22"/>
        </w:rPr>
        <w:t xml:space="preserve"> signal</w:t>
      </w:r>
      <w:r w:rsidR="00B67F7E">
        <w:rPr>
          <w:rFonts w:ascii="Arial" w:hAnsi="Arial" w:cs="Arial"/>
          <w:sz w:val="22"/>
          <w:szCs w:val="22"/>
        </w:rPr>
        <w:t xml:space="preserve"> to the</w:t>
      </w:r>
      <w:r w:rsidRPr="001C5439">
        <w:rPr>
          <w:rFonts w:ascii="Arial" w:hAnsi="Arial" w:cs="Arial"/>
          <w:sz w:val="22"/>
          <w:szCs w:val="22"/>
        </w:rPr>
        <w:t xml:space="preserve"> pathways that increase glucose uptake, particularly in skeletal muscle and adipose tissue</w:t>
      </w:r>
      <w:r w:rsidR="00B67F7E">
        <w:rPr>
          <w:rFonts w:ascii="Arial" w:hAnsi="Arial" w:cs="Arial"/>
          <w:sz w:val="22"/>
          <w:szCs w:val="22"/>
        </w:rPr>
        <w:t xml:space="preserve">. </w:t>
      </w:r>
      <w:r w:rsidRPr="001C5439">
        <w:rPr>
          <w:rFonts w:ascii="Arial" w:hAnsi="Arial" w:cs="Arial"/>
          <w:sz w:val="22"/>
          <w:szCs w:val="22"/>
        </w:rPr>
        <w:t xml:space="preserve">It also promotes glycogen synthesis in </w:t>
      </w:r>
      <w:r w:rsidR="00B67F7E">
        <w:rPr>
          <w:rFonts w:ascii="Arial" w:hAnsi="Arial" w:cs="Arial"/>
          <w:sz w:val="22"/>
          <w:szCs w:val="22"/>
        </w:rPr>
        <w:t xml:space="preserve">the </w:t>
      </w:r>
      <w:r w:rsidRPr="001C5439">
        <w:rPr>
          <w:rFonts w:ascii="Arial" w:hAnsi="Arial" w:cs="Arial"/>
          <w:sz w:val="22"/>
          <w:szCs w:val="22"/>
        </w:rPr>
        <w:t>liver and muscle and suppresses hepatic glucose production (OpenStax, 2022).</w:t>
      </w:r>
    </w:p>
    <w:p w14:paraId="6D761819" w14:textId="2B91569C"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The liver is c</w:t>
      </w:r>
      <w:r w:rsidR="00D13045">
        <w:rPr>
          <w:rFonts w:ascii="Arial" w:hAnsi="Arial" w:cs="Arial"/>
          <w:sz w:val="22"/>
          <w:szCs w:val="22"/>
        </w:rPr>
        <w:t xml:space="preserve">rucial in this system </w:t>
      </w:r>
      <w:r w:rsidRPr="001C5439">
        <w:rPr>
          <w:rFonts w:ascii="Arial" w:hAnsi="Arial" w:cs="Arial"/>
          <w:sz w:val="22"/>
          <w:szCs w:val="22"/>
        </w:rPr>
        <w:t>because it buffers changes in glucose supply</w:t>
      </w:r>
      <w:r w:rsidR="00D13045">
        <w:rPr>
          <w:rFonts w:ascii="Arial" w:hAnsi="Arial" w:cs="Arial"/>
          <w:sz w:val="22"/>
          <w:szCs w:val="22"/>
        </w:rPr>
        <w:t>;</w:t>
      </w:r>
      <w:r w:rsidRPr="001C5439">
        <w:rPr>
          <w:rFonts w:ascii="Arial" w:hAnsi="Arial" w:cs="Arial"/>
          <w:sz w:val="22"/>
          <w:szCs w:val="22"/>
        </w:rPr>
        <w:t xml:space="preserve"> </w:t>
      </w:r>
      <w:r w:rsidR="00D13045">
        <w:rPr>
          <w:rFonts w:ascii="Arial" w:hAnsi="Arial" w:cs="Arial"/>
          <w:sz w:val="22"/>
          <w:szCs w:val="22"/>
        </w:rPr>
        <w:t>a</w:t>
      </w:r>
      <w:r w:rsidRPr="001C5439">
        <w:rPr>
          <w:rFonts w:ascii="Arial" w:hAnsi="Arial" w:cs="Arial"/>
          <w:sz w:val="22"/>
          <w:szCs w:val="22"/>
        </w:rPr>
        <w:t xml:space="preserve">fter a meal, it takes up glucose and stores some as glycogen; between meals, it releases glucose through glycogen breakdown (glycogenolysis) and produces glucose from non-carbohydrate </w:t>
      </w:r>
      <w:r w:rsidR="002C4FF6">
        <w:rPr>
          <w:rFonts w:ascii="Arial" w:hAnsi="Arial" w:cs="Arial"/>
          <w:sz w:val="22"/>
          <w:szCs w:val="22"/>
        </w:rPr>
        <w:t>sources</w:t>
      </w:r>
      <w:r w:rsidRPr="001C5439">
        <w:rPr>
          <w:rFonts w:ascii="Arial" w:hAnsi="Arial" w:cs="Arial"/>
          <w:sz w:val="22"/>
          <w:szCs w:val="22"/>
        </w:rPr>
        <w:t xml:space="preserve"> (gluconeogenesis). When glucose falls, pancreatic alpha cells release glucagon, which stimulates hepatic glycogenolysis and gluconeogenesis. Insulin and glucagon therefore act in a coordinated, opposing manner. Other hormones, </w:t>
      </w:r>
      <w:r w:rsidR="00D13045">
        <w:rPr>
          <w:rFonts w:ascii="Arial" w:hAnsi="Arial" w:cs="Arial"/>
          <w:sz w:val="22"/>
          <w:szCs w:val="22"/>
        </w:rPr>
        <w:t>such as</w:t>
      </w:r>
      <w:r w:rsidRPr="001C5439">
        <w:rPr>
          <w:rFonts w:ascii="Arial" w:hAnsi="Arial" w:cs="Arial"/>
          <w:sz w:val="22"/>
          <w:szCs w:val="22"/>
        </w:rPr>
        <w:t xml:space="preserve"> adrenaline and cortisol, can raise glucose during stress or illness, helping ensure fuel </w:t>
      </w:r>
      <w:r w:rsidR="00D13045">
        <w:rPr>
          <w:rFonts w:ascii="Arial" w:hAnsi="Arial" w:cs="Arial"/>
          <w:sz w:val="22"/>
          <w:szCs w:val="22"/>
        </w:rPr>
        <w:t xml:space="preserve">is available </w:t>
      </w:r>
      <w:r w:rsidRPr="001C5439">
        <w:rPr>
          <w:rFonts w:ascii="Arial" w:hAnsi="Arial" w:cs="Arial"/>
          <w:sz w:val="22"/>
          <w:szCs w:val="22"/>
        </w:rPr>
        <w:t xml:space="preserve">but potentially complicating </w:t>
      </w:r>
      <w:r w:rsidR="00D13045">
        <w:rPr>
          <w:rFonts w:ascii="Arial" w:hAnsi="Arial" w:cs="Arial"/>
          <w:sz w:val="22"/>
          <w:szCs w:val="22"/>
        </w:rPr>
        <w:t xml:space="preserve">the management of blood sugar levels. </w:t>
      </w:r>
    </w:p>
    <w:p w14:paraId="66877196" w14:textId="7653B138"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In type 2 diabetes, tissues respond less effectively to insulin</w:t>
      </w:r>
      <w:r w:rsidR="002C4FF6">
        <w:rPr>
          <w:rFonts w:ascii="Arial" w:hAnsi="Arial" w:cs="Arial"/>
          <w:sz w:val="22"/>
          <w:szCs w:val="22"/>
        </w:rPr>
        <w:t>,</w:t>
      </w:r>
      <w:r w:rsidRPr="001C5439">
        <w:rPr>
          <w:rFonts w:ascii="Arial" w:hAnsi="Arial" w:cs="Arial"/>
          <w:sz w:val="22"/>
          <w:szCs w:val="22"/>
        </w:rPr>
        <w:t xml:space="preserve"> and the liver may continue producing glucose when it should </w:t>
      </w:r>
      <w:r w:rsidR="000E4783">
        <w:rPr>
          <w:rFonts w:ascii="Arial" w:hAnsi="Arial" w:cs="Arial"/>
          <w:sz w:val="22"/>
          <w:szCs w:val="22"/>
        </w:rPr>
        <w:t>reduce</w:t>
      </w:r>
      <w:r w:rsidR="00D13045">
        <w:rPr>
          <w:rFonts w:ascii="Arial" w:hAnsi="Arial" w:cs="Arial"/>
          <w:sz w:val="22"/>
          <w:szCs w:val="22"/>
        </w:rPr>
        <w:t xml:space="preserve"> secretion</w:t>
      </w:r>
      <w:r w:rsidRPr="001C5439">
        <w:rPr>
          <w:rFonts w:ascii="Arial" w:hAnsi="Arial" w:cs="Arial"/>
          <w:sz w:val="22"/>
          <w:szCs w:val="22"/>
        </w:rPr>
        <w:t>. Pancreatic beta cells initially compensate</w:t>
      </w:r>
      <w:r w:rsidR="00D13045">
        <w:rPr>
          <w:rFonts w:ascii="Arial" w:hAnsi="Arial" w:cs="Arial"/>
          <w:sz w:val="22"/>
          <w:szCs w:val="22"/>
        </w:rPr>
        <w:t xml:space="preserve"> and damage control</w:t>
      </w:r>
      <w:r w:rsidRPr="001C5439">
        <w:rPr>
          <w:rFonts w:ascii="Arial" w:hAnsi="Arial" w:cs="Arial"/>
          <w:sz w:val="22"/>
          <w:szCs w:val="22"/>
        </w:rPr>
        <w:t xml:space="preserve"> by secreting more insulin, but this compensation may decline over time. The resulting hyperglycaemia is therefore not simply a problem of eating sugar; it reflects dysregulation </w:t>
      </w:r>
      <w:r w:rsidR="00D13045">
        <w:rPr>
          <w:rFonts w:ascii="Arial" w:hAnsi="Arial" w:cs="Arial"/>
          <w:sz w:val="22"/>
          <w:szCs w:val="22"/>
        </w:rPr>
        <w:t xml:space="preserve">due to </w:t>
      </w:r>
      <w:r w:rsidRPr="001C5439">
        <w:rPr>
          <w:rFonts w:ascii="Arial" w:hAnsi="Arial" w:cs="Arial"/>
          <w:sz w:val="22"/>
          <w:szCs w:val="22"/>
        </w:rPr>
        <w:t>several organs</w:t>
      </w:r>
      <w:r w:rsidR="00D13045">
        <w:rPr>
          <w:rFonts w:ascii="Arial" w:hAnsi="Arial" w:cs="Arial"/>
          <w:sz w:val="22"/>
          <w:szCs w:val="22"/>
        </w:rPr>
        <w:t xml:space="preserve"> lacking in function</w:t>
      </w:r>
      <w:r w:rsidRPr="001C5439">
        <w:rPr>
          <w:rFonts w:ascii="Arial" w:hAnsi="Arial" w:cs="Arial"/>
          <w:sz w:val="22"/>
          <w:szCs w:val="22"/>
        </w:rPr>
        <w:t>. This is clinically important because a patient may have raised fasting glucose due to hepatic glucose output as well as higher post-meal glucose following carbohydrate absorption.</w:t>
      </w:r>
    </w:p>
    <w:p w14:paraId="751D8718" w14:textId="5CC674C3"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Glucose targets must be individualised</w:t>
      </w:r>
      <w:r w:rsidR="00D13045">
        <w:rPr>
          <w:rFonts w:ascii="Arial" w:hAnsi="Arial" w:cs="Arial"/>
          <w:sz w:val="22"/>
          <w:szCs w:val="22"/>
        </w:rPr>
        <w:t xml:space="preserve"> as every case is different; no result can be the same. </w:t>
      </w:r>
      <w:r w:rsidRPr="001C5439">
        <w:rPr>
          <w:rFonts w:ascii="Arial" w:hAnsi="Arial" w:cs="Arial"/>
          <w:sz w:val="22"/>
          <w:szCs w:val="22"/>
        </w:rPr>
        <w:t>HbA1c</w:t>
      </w:r>
      <w:r w:rsidR="00D13045">
        <w:rPr>
          <w:rFonts w:ascii="Arial" w:hAnsi="Arial" w:cs="Arial"/>
          <w:sz w:val="22"/>
          <w:szCs w:val="22"/>
        </w:rPr>
        <w:t xml:space="preserve"> test</w:t>
      </w:r>
      <w:r w:rsidRPr="001C5439">
        <w:rPr>
          <w:rFonts w:ascii="Arial" w:hAnsi="Arial" w:cs="Arial"/>
          <w:sz w:val="22"/>
          <w:szCs w:val="22"/>
        </w:rPr>
        <w:t xml:space="preserve"> measures glycated haemoglobin and provides an estimate of average glycaemia over roughly two to three months, whereas a finger-prick test is a snapshot at one moment</w:t>
      </w:r>
      <w:r w:rsidR="00EB45ED">
        <w:rPr>
          <w:rFonts w:ascii="Arial" w:hAnsi="Arial" w:cs="Arial"/>
          <w:sz w:val="22"/>
          <w:szCs w:val="22"/>
        </w:rPr>
        <w:t xml:space="preserve"> which does not display the full picture of an </w:t>
      </w:r>
      <w:r w:rsidR="002C4FF6">
        <w:rPr>
          <w:rFonts w:ascii="Arial" w:hAnsi="Arial" w:cs="Arial"/>
          <w:sz w:val="22"/>
          <w:szCs w:val="22"/>
        </w:rPr>
        <w:t>individual's</w:t>
      </w:r>
      <w:r w:rsidR="00EB45ED">
        <w:rPr>
          <w:rFonts w:ascii="Arial" w:hAnsi="Arial" w:cs="Arial"/>
          <w:sz w:val="22"/>
          <w:szCs w:val="22"/>
        </w:rPr>
        <w:t xml:space="preserve"> health. </w:t>
      </w:r>
      <w:r w:rsidRPr="001C5439">
        <w:rPr>
          <w:rFonts w:ascii="Arial" w:hAnsi="Arial" w:cs="Arial"/>
          <w:sz w:val="22"/>
          <w:szCs w:val="22"/>
        </w:rPr>
        <w:t xml:space="preserve">NICE recommends checking HbA1c every three to six months until </w:t>
      </w:r>
      <w:r w:rsidR="00EB45ED">
        <w:rPr>
          <w:rFonts w:ascii="Arial" w:hAnsi="Arial" w:cs="Arial"/>
          <w:sz w:val="22"/>
          <w:szCs w:val="22"/>
        </w:rPr>
        <w:t>it shows stable results</w:t>
      </w:r>
      <w:r w:rsidRPr="001C5439">
        <w:rPr>
          <w:rFonts w:ascii="Arial" w:hAnsi="Arial" w:cs="Arial"/>
          <w:sz w:val="22"/>
          <w:szCs w:val="22"/>
        </w:rPr>
        <w:t xml:space="preserve">, then generally every six months, and agreeing targets with the person </w:t>
      </w:r>
      <w:r w:rsidR="000E4783" w:rsidRPr="001C5439">
        <w:rPr>
          <w:rFonts w:ascii="Arial" w:hAnsi="Arial" w:cs="Arial"/>
          <w:sz w:val="22"/>
          <w:szCs w:val="22"/>
        </w:rPr>
        <w:t>considering</w:t>
      </w:r>
      <w:r w:rsidRPr="001C5439">
        <w:rPr>
          <w:rFonts w:ascii="Arial" w:hAnsi="Arial" w:cs="Arial"/>
          <w:sz w:val="22"/>
          <w:szCs w:val="22"/>
        </w:rPr>
        <w:t xml:space="preserve"> treatment, hypoglycaemia risk, comorbidities and quality of life (NICE, 2026a). Tighter control is not automatically better if it causes frequent hypoglycaemia or imposes an unreasonable burden. Safe management balances reduction of long-term complications with the person’s circumstances and preferences.</w:t>
      </w:r>
    </w:p>
    <w:p w14:paraId="08D48A60" w14:textId="6746CE7A" w:rsidR="001C5439" w:rsidRDefault="001C5439" w:rsidP="001C5439">
      <w:pPr>
        <w:spacing w:line="360" w:lineRule="auto"/>
        <w:rPr>
          <w:rFonts w:ascii="Arial" w:hAnsi="Arial" w:cs="Arial"/>
          <w:b/>
          <w:bCs/>
          <w:sz w:val="22"/>
          <w:szCs w:val="22"/>
        </w:rPr>
      </w:pPr>
      <w:r w:rsidRPr="001C5439">
        <w:rPr>
          <w:rFonts w:ascii="Arial" w:hAnsi="Arial" w:cs="Arial"/>
          <w:b/>
          <w:bCs/>
          <w:sz w:val="22"/>
          <w:szCs w:val="22"/>
        </w:rPr>
        <w:t>How oxygen and glucose produce energy through cell metabolism</w:t>
      </w:r>
    </w:p>
    <w:p w14:paraId="7BBE7E1F" w14:textId="77777777" w:rsidR="000E4783" w:rsidRPr="000E4783" w:rsidRDefault="000E4783" w:rsidP="000E4783">
      <w:pPr>
        <w:spacing w:line="360" w:lineRule="auto"/>
        <w:rPr>
          <w:rFonts w:ascii="Arial" w:hAnsi="Arial" w:cs="Arial"/>
          <w:sz w:val="22"/>
          <w:szCs w:val="22"/>
        </w:rPr>
      </w:pPr>
      <w:r w:rsidRPr="000E4783">
        <w:rPr>
          <w:rFonts w:ascii="Arial" w:hAnsi="Arial" w:cs="Arial"/>
          <w:sz w:val="22"/>
          <w:szCs w:val="22"/>
        </w:rPr>
        <w:lastRenderedPageBreak/>
        <w:t>Cells need energy to maintain membranes, repair tissues, synthesise proteins and contract muscles. This energy is mainly supplied by adenosine triphosphate (ATP). During aerobic respiration, glucose reacts with oxygen to produce carbon dioxide, water and energy, as summarised by the equation C</w:t>
      </w:r>
      <w:r w:rsidRPr="000E4783">
        <w:rPr>
          <w:rFonts w:ascii="Cambria Math" w:hAnsi="Cambria Math" w:cs="Cambria Math"/>
          <w:sz w:val="22"/>
          <w:szCs w:val="22"/>
        </w:rPr>
        <w:t>₆</w:t>
      </w:r>
      <w:r w:rsidRPr="000E4783">
        <w:rPr>
          <w:rFonts w:ascii="Arial" w:hAnsi="Arial" w:cs="Arial"/>
          <w:sz w:val="22"/>
          <w:szCs w:val="22"/>
        </w:rPr>
        <w:t>H</w:t>
      </w:r>
      <w:r w:rsidRPr="000E4783">
        <w:rPr>
          <w:rFonts w:ascii="Cambria Math" w:hAnsi="Cambria Math" w:cs="Cambria Math"/>
          <w:sz w:val="22"/>
          <w:szCs w:val="22"/>
        </w:rPr>
        <w:t>₁₂</w:t>
      </w:r>
      <w:r w:rsidRPr="000E4783">
        <w:rPr>
          <w:rFonts w:ascii="Arial" w:hAnsi="Arial" w:cs="Arial"/>
          <w:sz w:val="22"/>
          <w:szCs w:val="22"/>
        </w:rPr>
        <w:t>O</w:t>
      </w:r>
      <w:r w:rsidRPr="000E4783">
        <w:rPr>
          <w:rFonts w:ascii="Cambria Math" w:hAnsi="Cambria Math" w:cs="Cambria Math"/>
          <w:sz w:val="22"/>
          <w:szCs w:val="22"/>
        </w:rPr>
        <w:t>₆</w:t>
      </w:r>
      <w:r w:rsidRPr="000E4783">
        <w:rPr>
          <w:rFonts w:ascii="Arial" w:hAnsi="Arial" w:cs="Arial"/>
          <w:sz w:val="22"/>
          <w:szCs w:val="22"/>
        </w:rPr>
        <w:t xml:space="preserve"> + 6O</w:t>
      </w:r>
      <w:r w:rsidRPr="000E4783">
        <w:rPr>
          <w:rFonts w:ascii="Cambria Math" w:hAnsi="Cambria Math" w:cs="Cambria Math"/>
          <w:sz w:val="22"/>
          <w:szCs w:val="22"/>
        </w:rPr>
        <w:t>₂</w:t>
      </w:r>
      <w:r w:rsidRPr="000E4783">
        <w:rPr>
          <w:rFonts w:ascii="Arial" w:hAnsi="Arial" w:cs="Arial"/>
          <w:sz w:val="22"/>
          <w:szCs w:val="22"/>
        </w:rPr>
        <w:t xml:space="preserve"> → 6CO</w:t>
      </w:r>
      <w:r w:rsidRPr="000E4783">
        <w:rPr>
          <w:rFonts w:ascii="Cambria Math" w:hAnsi="Cambria Math" w:cs="Cambria Math"/>
          <w:sz w:val="22"/>
          <w:szCs w:val="22"/>
        </w:rPr>
        <w:t>₂</w:t>
      </w:r>
      <w:r w:rsidRPr="000E4783">
        <w:rPr>
          <w:rFonts w:ascii="Arial" w:hAnsi="Arial" w:cs="Arial"/>
          <w:sz w:val="22"/>
          <w:szCs w:val="22"/>
        </w:rPr>
        <w:t xml:space="preserve"> + 6H</w:t>
      </w:r>
      <w:r w:rsidRPr="000E4783">
        <w:rPr>
          <w:rFonts w:ascii="Cambria Math" w:hAnsi="Cambria Math" w:cs="Cambria Math"/>
          <w:sz w:val="22"/>
          <w:szCs w:val="22"/>
        </w:rPr>
        <w:t>₂</w:t>
      </w:r>
      <w:r w:rsidRPr="000E4783">
        <w:rPr>
          <w:rFonts w:ascii="Arial" w:hAnsi="Arial" w:cs="Arial"/>
          <w:sz w:val="22"/>
          <w:szCs w:val="22"/>
        </w:rPr>
        <w:t>O + energy (ATP). This represents several controlled biochemical reactions rather than one process (OpenStax, 2022).</w:t>
      </w:r>
    </w:p>
    <w:p w14:paraId="55F956A2" w14:textId="77777777" w:rsidR="000E4783" w:rsidRPr="000E4783" w:rsidRDefault="000E4783" w:rsidP="000E4783">
      <w:pPr>
        <w:spacing w:line="360" w:lineRule="auto"/>
        <w:rPr>
          <w:rFonts w:ascii="Arial" w:hAnsi="Arial" w:cs="Arial"/>
          <w:sz w:val="22"/>
          <w:szCs w:val="22"/>
        </w:rPr>
      </w:pPr>
      <w:r w:rsidRPr="000E4783">
        <w:rPr>
          <w:rFonts w:ascii="Arial" w:hAnsi="Arial" w:cs="Arial"/>
          <w:sz w:val="22"/>
          <w:szCs w:val="22"/>
        </w:rPr>
        <w:t>Glucose from digested food travels through the bloodstream to tissues, while oxygen passes from the lungs into the blood and is mainly transported by haemoglobin in red blood cells. The circulatory system delivers both substances to cells. Glycolysis occurs in the cytoplasm, where glucose is broken down into two pyruvate molecules, producing a small amount of ATP. When oxygen is available, pyruvate is converted into acetyl coenzyme A and enters the citric acid cycle in the mitochondria. Electron carriers then transfer electrons to the electron transport chain in the inner mitochondrial membrane. Oxygen acts as the final electron acceptor, allowing oxidative phosphorylation to generate most ATP. Carbon dioxide is transported to the lungs for exhalation, and water is also produced.</w:t>
      </w:r>
    </w:p>
    <w:p w14:paraId="597D69EE" w14:textId="77777777" w:rsidR="000E4783" w:rsidRPr="000E4783" w:rsidRDefault="000E4783" w:rsidP="000E4783">
      <w:pPr>
        <w:spacing w:line="360" w:lineRule="auto"/>
        <w:rPr>
          <w:rFonts w:ascii="Arial" w:hAnsi="Arial" w:cs="Arial"/>
          <w:sz w:val="22"/>
          <w:szCs w:val="22"/>
        </w:rPr>
      </w:pPr>
      <w:r w:rsidRPr="000E4783">
        <w:rPr>
          <w:rFonts w:ascii="Arial" w:hAnsi="Arial" w:cs="Arial"/>
          <w:sz w:val="22"/>
          <w:szCs w:val="22"/>
        </w:rPr>
        <w:t>When oxygen is limited, cells can produce ATP through glycolysis followed by lactate formation, although much less ATP is generated per glucose molecule. ATP must therefore be continually regenerated to meet cells’ immediate energy requirements.</w:t>
      </w:r>
    </w:p>
    <w:p w14:paraId="3B55AA93" w14:textId="77777777" w:rsidR="000E4783" w:rsidRPr="000E4783" w:rsidRDefault="000E4783" w:rsidP="000E4783">
      <w:pPr>
        <w:spacing w:line="360" w:lineRule="auto"/>
        <w:rPr>
          <w:rFonts w:ascii="Arial" w:hAnsi="Arial" w:cs="Arial"/>
          <w:sz w:val="22"/>
          <w:szCs w:val="22"/>
        </w:rPr>
      </w:pPr>
      <w:r w:rsidRPr="000E4783">
        <w:rPr>
          <w:rFonts w:ascii="Arial" w:hAnsi="Arial" w:cs="Arial"/>
          <w:sz w:val="22"/>
          <w:szCs w:val="22"/>
        </w:rPr>
        <w:t xml:space="preserve">In type 2 diabetes, insulin resistance reduces the effectiveness of insulin, while the liver may release excessive glucose into the blood. Muscle contraction can stimulate glucose uptake through pathways partly independent of insulin, helping explain why exercise improves glucose control. However, exercise alone may not be sufficient for everyone, as medication, nutrition, illness and individual circumstances also affect blood glucose. Understanding this process helps patients recognise exercise </w:t>
      </w:r>
      <w:proofErr w:type="gramStart"/>
      <w:r w:rsidRPr="000E4783">
        <w:rPr>
          <w:rFonts w:ascii="Arial" w:hAnsi="Arial" w:cs="Arial"/>
          <w:sz w:val="22"/>
          <w:szCs w:val="22"/>
        </w:rPr>
        <w:t>as a way to</w:t>
      </w:r>
      <w:proofErr w:type="gramEnd"/>
      <w:r w:rsidRPr="000E4783">
        <w:rPr>
          <w:rFonts w:ascii="Arial" w:hAnsi="Arial" w:cs="Arial"/>
          <w:sz w:val="22"/>
          <w:szCs w:val="22"/>
        </w:rPr>
        <w:t xml:space="preserve"> improve glucose regulation, not simply to lose weight.</w:t>
      </w:r>
    </w:p>
    <w:p w14:paraId="4EF5A50B" w14:textId="77777777" w:rsidR="000E4783" w:rsidRPr="001C5439" w:rsidRDefault="000E4783" w:rsidP="001C5439">
      <w:pPr>
        <w:spacing w:line="360" w:lineRule="auto"/>
        <w:rPr>
          <w:rFonts w:ascii="Arial" w:hAnsi="Arial" w:cs="Arial"/>
          <w:sz w:val="22"/>
          <w:szCs w:val="22"/>
        </w:rPr>
      </w:pPr>
    </w:p>
    <w:p w14:paraId="260B9622" w14:textId="370BF5A0" w:rsidR="001C5439" w:rsidRDefault="001C5439" w:rsidP="001C5439">
      <w:pPr>
        <w:spacing w:line="360" w:lineRule="auto"/>
        <w:rPr>
          <w:rFonts w:ascii="Arial" w:hAnsi="Arial" w:cs="Arial"/>
          <w:b/>
          <w:bCs/>
          <w:sz w:val="22"/>
          <w:szCs w:val="22"/>
        </w:rPr>
      </w:pPr>
      <w:r w:rsidRPr="001C5439">
        <w:rPr>
          <w:rFonts w:ascii="Arial" w:hAnsi="Arial" w:cs="Arial"/>
          <w:b/>
          <w:bCs/>
          <w:sz w:val="22"/>
          <w:szCs w:val="22"/>
        </w:rPr>
        <w:t>How recording and tracking glucose supports safe management</w:t>
      </w:r>
    </w:p>
    <w:p w14:paraId="6F8CD6D2" w14:textId="77777777" w:rsidR="000E4783" w:rsidRDefault="000E4783" w:rsidP="000E4783">
      <w:pPr>
        <w:spacing w:line="360" w:lineRule="auto"/>
        <w:rPr>
          <w:rFonts w:ascii="Arial" w:hAnsi="Arial" w:cs="Arial"/>
          <w:sz w:val="22"/>
          <w:szCs w:val="22"/>
        </w:rPr>
      </w:pPr>
      <w:r w:rsidRPr="000E4783">
        <w:rPr>
          <w:rFonts w:ascii="Arial" w:hAnsi="Arial" w:cs="Arial"/>
          <w:sz w:val="22"/>
          <w:szCs w:val="22"/>
        </w:rPr>
        <w:t>Blood glucose records can help people with type 2 diabetes identify how meals, activity, medication, stress or illness affect glucose levels. When testing is indicated, recording the result, time, food, exercise, symptoms and medication is more informative than an isolated reading. Reviewing patterns with a practice nurse can guide decisions about diet, activity or clinical review. Monitoring can also identify hypoglycaemia and support safer treatment for people using insulin or medicines that can cause low glucose.</w:t>
      </w:r>
    </w:p>
    <w:p w14:paraId="3BA22671" w14:textId="461D5D30" w:rsidR="000E4783" w:rsidRPr="001C5439" w:rsidRDefault="000E4783" w:rsidP="000E4783">
      <w:pPr>
        <w:spacing w:line="360" w:lineRule="auto"/>
        <w:rPr>
          <w:rFonts w:ascii="Arial" w:hAnsi="Arial" w:cs="Arial"/>
          <w:sz w:val="22"/>
          <w:szCs w:val="22"/>
        </w:rPr>
      </w:pPr>
      <w:r w:rsidRPr="000E4783">
        <w:rPr>
          <w:rFonts w:ascii="Arial" w:hAnsi="Arial" w:cs="Arial"/>
          <w:sz w:val="22"/>
          <w:szCs w:val="22"/>
        </w:rPr>
        <w:lastRenderedPageBreak/>
        <w:t>However, self-monitoring is not necessary for everyone with type 2 diabetes. NICE advises against routinely offering capillary self-monitoring unless specific circumstances apply, including insulin use, suspected or documented hypoglycaemia, certain medicines in situations such as driving, or pregnancy planning and pregnancy. Short-term monitoring may also be appropriate during corticosteroid treatment or when hypoglycaemia is suspected (NICE, 2026a). Unnecessary testing can cause discomfort, anxiety, expense and data overload without improving care.</w:t>
      </w:r>
    </w:p>
    <w:p w14:paraId="19823CA3"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Monitoring is useful only when the person knows what the result means and what action to take. A reading is affected by timing, recent food, physical activity, illness, medication and meter technique; it should not be interpreted in isolation. Patients should follow their agreed care plan and seek clinical advice when readings or symptoms are concerning rather than independently changing medication. For people eligible for continuous glucose monitoring, the technology can show trends and time spent above or below a target range, but training and clinical support are needed to interpret data safely.</w:t>
      </w:r>
    </w:p>
    <w:p w14:paraId="345CEC64" w14:textId="773A24B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Glucose records complement rather than replace HbA1c, blood pressure, lipid assessment</w:t>
      </w:r>
      <w:r w:rsidR="00C13621">
        <w:rPr>
          <w:rFonts w:ascii="Arial" w:hAnsi="Arial" w:cs="Arial"/>
          <w:sz w:val="22"/>
          <w:szCs w:val="22"/>
        </w:rPr>
        <w:t>s</w:t>
      </w:r>
      <w:r w:rsidRPr="001C5439">
        <w:rPr>
          <w:rFonts w:ascii="Arial" w:hAnsi="Arial" w:cs="Arial"/>
          <w:sz w:val="22"/>
          <w:szCs w:val="22"/>
        </w:rPr>
        <w:t xml:space="preserve">, kidney checks, foot reviews and retinal screening. HbA1c provides a longer-term view, while self-monitoring can reveal short-term variation. NICE recommends a structured review at least annually for people who self-monitor, covering technique, frequency, interpretation, impact on quality of life and whether monitoring continues to benefit them (NICE, 2026a). In practice, the nurse should agree </w:t>
      </w:r>
      <w:r w:rsidR="00C13621">
        <w:rPr>
          <w:rFonts w:ascii="Arial" w:hAnsi="Arial" w:cs="Arial"/>
          <w:sz w:val="22"/>
          <w:szCs w:val="22"/>
        </w:rPr>
        <w:t xml:space="preserve">on </w:t>
      </w:r>
      <w:r w:rsidRPr="001C5439">
        <w:rPr>
          <w:rFonts w:ascii="Arial" w:hAnsi="Arial" w:cs="Arial"/>
          <w:sz w:val="22"/>
          <w:szCs w:val="22"/>
        </w:rPr>
        <w:t>the purpose of monitoring, when to test, how to record results</w:t>
      </w:r>
      <w:r w:rsidR="00C13621">
        <w:rPr>
          <w:rFonts w:ascii="Arial" w:hAnsi="Arial" w:cs="Arial"/>
          <w:sz w:val="22"/>
          <w:szCs w:val="22"/>
        </w:rPr>
        <w:t>,</w:t>
      </w:r>
      <w:r w:rsidRPr="001C5439">
        <w:rPr>
          <w:rFonts w:ascii="Arial" w:hAnsi="Arial" w:cs="Arial"/>
          <w:sz w:val="22"/>
          <w:szCs w:val="22"/>
        </w:rPr>
        <w:t xml:space="preserve"> </w:t>
      </w:r>
      <w:r w:rsidR="00C13621">
        <w:rPr>
          <w:rFonts w:ascii="Arial" w:hAnsi="Arial" w:cs="Arial"/>
          <w:sz w:val="22"/>
          <w:szCs w:val="22"/>
        </w:rPr>
        <w:t xml:space="preserve">and </w:t>
      </w:r>
      <w:r w:rsidRPr="001C5439">
        <w:rPr>
          <w:rFonts w:ascii="Arial" w:hAnsi="Arial" w:cs="Arial"/>
          <w:sz w:val="22"/>
          <w:szCs w:val="22"/>
        </w:rPr>
        <w:t xml:space="preserve">which thresholds </w:t>
      </w:r>
      <w:r w:rsidR="00C13621">
        <w:rPr>
          <w:rFonts w:ascii="Arial" w:hAnsi="Arial" w:cs="Arial"/>
          <w:sz w:val="22"/>
          <w:szCs w:val="22"/>
        </w:rPr>
        <w:t>and</w:t>
      </w:r>
      <w:r w:rsidRPr="001C5439">
        <w:rPr>
          <w:rFonts w:ascii="Arial" w:hAnsi="Arial" w:cs="Arial"/>
          <w:sz w:val="22"/>
          <w:szCs w:val="22"/>
        </w:rPr>
        <w:t xml:space="preserve"> symptoms require action. This makes data collection purposeful and person-centred</w:t>
      </w:r>
      <w:r w:rsidR="00C13621">
        <w:rPr>
          <w:rFonts w:ascii="Arial" w:hAnsi="Arial" w:cs="Arial"/>
          <w:sz w:val="22"/>
          <w:szCs w:val="22"/>
        </w:rPr>
        <w:t xml:space="preserve">, resulting in useful outcomes able to be used in medical practices. </w:t>
      </w:r>
    </w:p>
    <w:p w14:paraId="6BE5947D" w14:textId="3A74C566" w:rsidR="001C5439" w:rsidRPr="001C5439" w:rsidRDefault="001C5439" w:rsidP="001C5439">
      <w:pPr>
        <w:spacing w:line="360" w:lineRule="auto"/>
        <w:rPr>
          <w:rFonts w:ascii="Arial" w:hAnsi="Arial" w:cs="Arial"/>
          <w:sz w:val="22"/>
          <w:szCs w:val="22"/>
        </w:rPr>
      </w:pPr>
      <w:r w:rsidRPr="001C5439">
        <w:rPr>
          <w:rFonts w:ascii="Arial" w:hAnsi="Arial" w:cs="Arial"/>
          <w:b/>
          <w:bCs/>
          <w:sz w:val="22"/>
          <w:szCs w:val="22"/>
        </w:rPr>
        <w:t>Evidence-based lifestyle recommendations</w:t>
      </w:r>
    </w:p>
    <w:p w14:paraId="617E6948" w14:textId="2CCA6D88"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Lifestyle interventions can improve glycaemic control and reduce cardiovascular risk, but advice is most likely to be sustained when it is collaborative</w:t>
      </w:r>
      <w:r w:rsidR="00C13621">
        <w:rPr>
          <w:rFonts w:ascii="Arial" w:hAnsi="Arial" w:cs="Arial"/>
          <w:sz w:val="22"/>
          <w:szCs w:val="22"/>
        </w:rPr>
        <w:t xml:space="preserve"> with other preventative actions, </w:t>
      </w:r>
      <w:r w:rsidRPr="001C5439">
        <w:rPr>
          <w:rFonts w:ascii="Arial" w:hAnsi="Arial" w:cs="Arial"/>
          <w:sz w:val="22"/>
          <w:szCs w:val="22"/>
        </w:rPr>
        <w:t xml:space="preserve">practical and adapted to a patient’s circumstances. NICE recommends individualised diabetes care that takes account of preferences, comorbidities, treatment burden and the likelihood of benefit (NICE, 2026b; American Diabetes Association Professional Practice Committee, 2025). The nurse should ask what change feels achievable, explore barriers such as cost, disability, caring responsibilities or food access, and agree </w:t>
      </w:r>
      <w:r w:rsidR="00C13621">
        <w:rPr>
          <w:rFonts w:ascii="Arial" w:hAnsi="Arial" w:cs="Arial"/>
          <w:sz w:val="22"/>
          <w:szCs w:val="22"/>
        </w:rPr>
        <w:t xml:space="preserve">on </w:t>
      </w:r>
      <w:r w:rsidRPr="001C5439">
        <w:rPr>
          <w:rFonts w:ascii="Arial" w:hAnsi="Arial" w:cs="Arial"/>
          <w:sz w:val="22"/>
          <w:szCs w:val="22"/>
        </w:rPr>
        <w:t>a goal that can be</w:t>
      </w:r>
      <w:r w:rsidR="00C13621">
        <w:rPr>
          <w:rFonts w:ascii="Arial" w:hAnsi="Arial" w:cs="Arial"/>
          <w:sz w:val="22"/>
          <w:szCs w:val="22"/>
        </w:rPr>
        <w:t xml:space="preserve"> achieved and</w:t>
      </w:r>
      <w:r w:rsidRPr="001C5439">
        <w:rPr>
          <w:rFonts w:ascii="Arial" w:hAnsi="Arial" w:cs="Arial"/>
          <w:sz w:val="22"/>
          <w:szCs w:val="22"/>
        </w:rPr>
        <w:t xml:space="preserve"> reviewed rather than presenting lifestyle change as a test of motivation.</w:t>
      </w:r>
    </w:p>
    <w:p w14:paraId="4999E252" w14:textId="3C453B10"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A balanced dietary pattern based on vegetables, fruit, pulses, wholegrains and other fibre-rich foods can support glucose and cardiovascular management. Patients can be encouraged to replace sugary drinks with water or unsweetened alternatives, consider </w:t>
      </w:r>
      <w:r w:rsidR="00DD3873">
        <w:rPr>
          <w:rFonts w:ascii="Arial" w:hAnsi="Arial" w:cs="Arial"/>
          <w:sz w:val="22"/>
          <w:szCs w:val="22"/>
        </w:rPr>
        <w:lastRenderedPageBreak/>
        <w:t xml:space="preserve">smaller </w:t>
      </w:r>
      <w:r w:rsidRPr="001C5439">
        <w:rPr>
          <w:rFonts w:ascii="Arial" w:hAnsi="Arial" w:cs="Arial"/>
          <w:sz w:val="22"/>
          <w:szCs w:val="22"/>
        </w:rPr>
        <w:t xml:space="preserve">portion sizes, and choose higher-fibre carbohydrate foods where affordable and acceptable. Carbohydrate is digested into glucose, so the amount and type eaten influence post-meal levels; nevertheless, complete avoidance of carbohydrates is neither necessary nor appropriate for everyone. There is no single ideal diet for all patients, and advice should </w:t>
      </w:r>
      <w:r w:rsidR="00DD3873">
        <w:rPr>
          <w:rFonts w:ascii="Arial" w:hAnsi="Arial" w:cs="Arial"/>
          <w:sz w:val="22"/>
          <w:szCs w:val="22"/>
        </w:rPr>
        <w:t xml:space="preserve">be based on </w:t>
      </w:r>
      <w:r w:rsidRPr="001C5439">
        <w:rPr>
          <w:rFonts w:ascii="Arial" w:hAnsi="Arial" w:cs="Arial"/>
          <w:sz w:val="22"/>
          <w:szCs w:val="22"/>
        </w:rPr>
        <w:t xml:space="preserve">culture, preference, food insecurity and other health conditions. Referral to a registered dietitian may be valuable where needs are </w:t>
      </w:r>
      <w:r w:rsidR="00DD3873">
        <w:rPr>
          <w:rFonts w:ascii="Arial" w:hAnsi="Arial" w:cs="Arial"/>
          <w:sz w:val="22"/>
          <w:szCs w:val="22"/>
        </w:rPr>
        <w:t xml:space="preserve">very </w:t>
      </w:r>
      <w:r w:rsidRPr="001C5439">
        <w:rPr>
          <w:rFonts w:ascii="Arial" w:hAnsi="Arial" w:cs="Arial"/>
          <w:sz w:val="22"/>
          <w:szCs w:val="22"/>
        </w:rPr>
        <w:t>complex (British Dietetic Association, 2021; Diabetes UK, n.d.).</w:t>
      </w:r>
    </w:p>
    <w:p w14:paraId="2F8C4499" w14:textId="5248DB8D"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Muscle contraction increases glucose uptake, and regular activity improves insulin sensitivity</w:t>
      </w:r>
      <w:r w:rsidR="002C4FF6">
        <w:rPr>
          <w:rFonts w:ascii="Arial" w:hAnsi="Arial" w:cs="Arial"/>
          <w:sz w:val="22"/>
          <w:szCs w:val="22"/>
        </w:rPr>
        <w:t>,</w:t>
      </w:r>
      <w:r w:rsidR="00DD3873">
        <w:rPr>
          <w:rFonts w:ascii="Arial" w:hAnsi="Arial" w:cs="Arial"/>
          <w:sz w:val="22"/>
          <w:szCs w:val="22"/>
        </w:rPr>
        <w:t xml:space="preserve"> so exercise is highly beneficial.</w:t>
      </w:r>
      <w:r w:rsidRPr="001C5439">
        <w:rPr>
          <w:rFonts w:ascii="Arial" w:hAnsi="Arial" w:cs="Arial"/>
          <w:sz w:val="22"/>
          <w:szCs w:val="22"/>
        </w:rPr>
        <w:t xml:space="preserve"> UK guidance generally recommends adults work towards at least 150 minutes of moderate-intensity activity per week, alongside strength-building activity where appropriate. Brisk walking, cycling, swimming, chair-based exercise or short activity sessions can be adapted to ability and confidence. Reducing prolonged sitting may also help. Inactive patients should start gradually and build up, with additional advice where complications, cardiovascular symptoms or mobility limitations affect safety. Exercise can lower glucose during and after activity, so people using insulin or medicines associated with hypoglycaemia may need an individual plan to reduce risk (NHS, 2024; Colberg et al., 2016).</w:t>
      </w:r>
    </w:p>
    <w:p w14:paraId="33306F22" w14:textId="1DDAAB85"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For people living with overweight or obesity, sustainable weight loss can reduce insulin resistance and improve glucose control. Some people achieve remission of type 2 diabetes after substantial weight loss, but remission is not guaranteed and requires ongoing follow-up</w:t>
      </w:r>
      <w:r w:rsidR="00DD3873">
        <w:rPr>
          <w:rFonts w:ascii="Arial" w:hAnsi="Arial" w:cs="Arial"/>
          <w:sz w:val="22"/>
          <w:szCs w:val="22"/>
        </w:rPr>
        <w:t xml:space="preserve"> to prevent a revolving door. </w:t>
      </w:r>
      <w:r w:rsidRPr="001C5439">
        <w:rPr>
          <w:rFonts w:ascii="Arial" w:hAnsi="Arial" w:cs="Arial"/>
          <w:sz w:val="22"/>
          <w:szCs w:val="22"/>
        </w:rPr>
        <w:t>A remission should not be interpreted as a permanent cure: glucose may rise again, and routine complication checks remain important. Very-low-energy diets or major changes to food intake require professional oversight, especially when medicines may need adjustment (NICE, 2026b).</w:t>
      </w:r>
    </w:p>
    <w:p w14:paraId="6424451D" w14:textId="4D77CAB3"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Smoking increases cardiovascular risk, which is particularly concerning because diabetes already raises the risk of vascular disease. Nurses should offer non-judgemental cessation support and signpost to evidence-based services and treatments. Alcohol advice should be individualised because alcohol can contribute to hypoglycaemia, especially with insulin or sulfonylureas, and may affect food choices and weight. Advice</w:t>
      </w:r>
      <w:r w:rsidR="00DD3873">
        <w:rPr>
          <w:rFonts w:ascii="Arial" w:hAnsi="Arial" w:cs="Arial"/>
          <w:sz w:val="22"/>
          <w:szCs w:val="22"/>
        </w:rPr>
        <w:t xml:space="preserve"> given</w:t>
      </w:r>
      <w:r w:rsidRPr="001C5439">
        <w:rPr>
          <w:rFonts w:ascii="Arial" w:hAnsi="Arial" w:cs="Arial"/>
          <w:sz w:val="22"/>
          <w:szCs w:val="22"/>
        </w:rPr>
        <w:t xml:space="preserve"> should include avoiding unsafe changes to medication and following a personalised plan for recognising and treating low glucose.</w:t>
      </w:r>
    </w:p>
    <w:p w14:paraId="5E7C5A9A"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Finally, lifestyle support should not imply that lifestyle alone is always enough. Type 2 diabetes is progressive for some people, and appropriate medication may be needed alongside behaviour change. Structured education, regular reviews and shared decisions can help patients understand the purpose of each intervention and make changes that fit </w:t>
      </w:r>
      <w:r w:rsidRPr="001C5439">
        <w:rPr>
          <w:rFonts w:ascii="Arial" w:hAnsi="Arial" w:cs="Arial"/>
          <w:sz w:val="22"/>
          <w:szCs w:val="22"/>
        </w:rPr>
        <w:lastRenderedPageBreak/>
        <w:t>their lives. The most defensible recommendation is therefore a combined plan: healthy eating, suitable activity, smoking cessation, weight support where appropriate, prescribed treatment and monitoring tailored to clinical need.</w:t>
      </w:r>
    </w:p>
    <w:p w14:paraId="63ACA374" w14:textId="77777777" w:rsidR="001C5439" w:rsidRPr="001C5439" w:rsidRDefault="001C5439" w:rsidP="001C5439">
      <w:pPr>
        <w:spacing w:line="360" w:lineRule="auto"/>
        <w:rPr>
          <w:rFonts w:ascii="Arial" w:hAnsi="Arial" w:cs="Arial"/>
          <w:sz w:val="22"/>
          <w:szCs w:val="22"/>
        </w:rPr>
      </w:pPr>
      <w:r w:rsidRPr="001C5439">
        <w:rPr>
          <w:rFonts w:ascii="Arial" w:hAnsi="Arial" w:cs="Arial"/>
          <w:b/>
          <w:bCs/>
          <w:sz w:val="22"/>
          <w:szCs w:val="22"/>
        </w:rPr>
        <w:t>Conclusion</w:t>
      </w:r>
    </w:p>
    <w:p w14:paraId="71078D5A"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Type 2 diabetes involves disrupted glucose homeostasis arising from insulin resistance and impaired insulin secretion, with consequences for both circulating glucose and long-term health. Insulin and glucagon normally coordinate glucose storage and release, while cellular respiration uses glucose and oxygen to produce ATP for essential functions. In diabetes, these processes become less well regulated, making individualised management important.</w:t>
      </w:r>
    </w:p>
    <w:p w14:paraId="49C6AB55" w14:textId="66A2912E" w:rsidR="001C5439" w:rsidRDefault="001C5439" w:rsidP="001C5439">
      <w:pPr>
        <w:spacing w:line="360" w:lineRule="auto"/>
        <w:rPr>
          <w:rFonts w:ascii="Arial" w:hAnsi="Arial" w:cs="Arial"/>
          <w:sz w:val="22"/>
          <w:szCs w:val="22"/>
        </w:rPr>
      </w:pPr>
      <w:r w:rsidRPr="001C5439">
        <w:rPr>
          <w:rFonts w:ascii="Arial" w:hAnsi="Arial" w:cs="Arial"/>
          <w:sz w:val="22"/>
          <w:szCs w:val="22"/>
        </w:rPr>
        <w:t>Recording glucose can reveal useful short-term patterns and improve safety for people who need self-monitoring, but it is not beneficial as a routine task for every person with type 2 diabetes. Its value depends on a clear purpose, appropriate interpretation and an agreed response, alongside HbA1c and wider health checks. Evidence-based lifestyle measures</w:t>
      </w:r>
      <w:r w:rsidR="00DD3873">
        <w:rPr>
          <w:rFonts w:ascii="Arial" w:hAnsi="Arial" w:cs="Arial"/>
          <w:sz w:val="22"/>
          <w:szCs w:val="22"/>
        </w:rPr>
        <w:t xml:space="preserve"> </w:t>
      </w:r>
      <w:r w:rsidRPr="001C5439">
        <w:rPr>
          <w:rFonts w:ascii="Arial" w:hAnsi="Arial" w:cs="Arial"/>
          <w:sz w:val="22"/>
          <w:szCs w:val="22"/>
        </w:rPr>
        <w:t>including balanced nutrition, regular activity, weight management and smoking cessation</w:t>
      </w:r>
      <w:r w:rsidR="00DD3873">
        <w:rPr>
          <w:rFonts w:ascii="Arial" w:hAnsi="Arial" w:cs="Arial"/>
          <w:sz w:val="22"/>
          <w:szCs w:val="22"/>
        </w:rPr>
        <w:t xml:space="preserve"> </w:t>
      </w:r>
      <w:r w:rsidRPr="001C5439">
        <w:rPr>
          <w:rFonts w:ascii="Arial" w:hAnsi="Arial" w:cs="Arial"/>
          <w:sz w:val="22"/>
          <w:szCs w:val="22"/>
        </w:rPr>
        <w:t xml:space="preserve">can improve health outcomes, but should be realistic, culturally sensitive and supported by healthcare professionals. </w:t>
      </w:r>
      <w:r w:rsidR="002C4FF6">
        <w:rPr>
          <w:rFonts w:ascii="Arial" w:hAnsi="Arial" w:cs="Arial"/>
          <w:sz w:val="22"/>
          <w:szCs w:val="22"/>
        </w:rPr>
        <w:t xml:space="preserve">Some diabetes cases are hereditary and may cause high resistance despite lifestyle changes. </w:t>
      </w:r>
      <w:r w:rsidRPr="001C5439">
        <w:rPr>
          <w:rFonts w:ascii="Arial" w:hAnsi="Arial" w:cs="Arial"/>
          <w:sz w:val="22"/>
          <w:szCs w:val="22"/>
        </w:rPr>
        <w:t>For the practice nurse, the priority is to combine accurate education with collaborative goal-setting and regular review, enabling patients to participate safely and confidently in their care.</w:t>
      </w:r>
    </w:p>
    <w:p w14:paraId="413DC11D" w14:textId="77777777" w:rsidR="00462B7D" w:rsidRDefault="00462B7D" w:rsidP="001C5439">
      <w:pPr>
        <w:spacing w:line="360" w:lineRule="auto"/>
        <w:rPr>
          <w:rFonts w:ascii="Arial" w:hAnsi="Arial" w:cs="Arial"/>
          <w:sz w:val="22"/>
          <w:szCs w:val="22"/>
        </w:rPr>
      </w:pPr>
    </w:p>
    <w:p w14:paraId="4F667489" w14:textId="77777777" w:rsidR="00462B7D" w:rsidRDefault="00462B7D" w:rsidP="001C5439">
      <w:pPr>
        <w:spacing w:line="360" w:lineRule="auto"/>
        <w:rPr>
          <w:rFonts w:ascii="Arial" w:hAnsi="Arial" w:cs="Arial"/>
          <w:sz w:val="22"/>
          <w:szCs w:val="22"/>
        </w:rPr>
      </w:pPr>
    </w:p>
    <w:p w14:paraId="72E4B626" w14:textId="77777777" w:rsidR="00462B7D" w:rsidRDefault="00462B7D" w:rsidP="001C5439">
      <w:pPr>
        <w:spacing w:line="360" w:lineRule="auto"/>
        <w:rPr>
          <w:rFonts w:ascii="Arial" w:hAnsi="Arial" w:cs="Arial"/>
          <w:sz w:val="22"/>
          <w:szCs w:val="22"/>
        </w:rPr>
      </w:pPr>
    </w:p>
    <w:p w14:paraId="1162AC68" w14:textId="77777777" w:rsidR="00462B7D" w:rsidRDefault="00462B7D" w:rsidP="001C5439">
      <w:pPr>
        <w:spacing w:line="360" w:lineRule="auto"/>
        <w:rPr>
          <w:rFonts w:ascii="Arial" w:hAnsi="Arial" w:cs="Arial"/>
          <w:sz w:val="22"/>
          <w:szCs w:val="22"/>
        </w:rPr>
      </w:pPr>
    </w:p>
    <w:p w14:paraId="7D4048C5" w14:textId="77777777" w:rsidR="00462B7D" w:rsidRDefault="00462B7D" w:rsidP="001C5439">
      <w:pPr>
        <w:spacing w:line="360" w:lineRule="auto"/>
        <w:rPr>
          <w:rFonts w:ascii="Arial" w:hAnsi="Arial" w:cs="Arial"/>
          <w:sz w:val="22"/>
          <w:szCs w:val="22"/>
        </w:rPr>
      </w:pPr>
    </w:p>
    <w:p w14:paraId="4EFB04BA" w14:textId="77777777" w:rsidR="00462B7D" w:rsidRDefault="00462B7D" w:rsidP="001C5439">
      <w:pPr>
        <w:spacing w:line="360" w:lineRule="auto"/>
        <w:rPr>
          <w:rFonts w:ascii="Arial" w:hAnsi="Arial" w:cs="Arial"/>
          <w:sz w:val="22"/>
          <w:szCs w:val="22"/>
        </w:rPr>
      </w:pPr>
    </w:p>
    <w:p w14:paraId="57DD6A7E" w14:textId="77777777" w:rsidR="00462B7D" w:rsidRDefault="00462B7D" w:rsidP="001C5439">
      <w:pPr>
        <w:spacing w:line="360" w:lineRule="auto"/>
        <w:rPr>
          <w:rFonts w:ascii="Arial" w:hAnsi="Arial" w:cs="Arial"/>
          <w:sz w:val="22"/>
          <w:szCs w:val="22"/>
        </w:rPr>
      </w:pPr>
    </w:p>
    <w:p w14:paraId="3830C30F" w14:textId="77777777" w:rsidR="00462B7D" w:rsidRDefault="00462B7D" w:rsidP="001C5439">
      <w:pPr>
        <w:spacing w:line="360" w:lineRule="auto"/>
        <w:rPr>
          <w:rFonts w:ascii="Arial" w:hAnsi="Arial" w:cs="Arial"/>
          <w:sz w:val="22"/>
          <w:szCs w:val="22"/>
        </w:rPr>
      </w:pPr>
    </w:p>
    <w:p w14:paraId="5585FBFC" w14:textId="77777777" w:rsidR="000E4783" w:rsidRDefault="000E4783" w:rsidP="001C5439">
      <w:pPr>
        <w:spacing w:line="360" w:lineRule="auto"/>
        <w:rPr>
          <w:rFonts w:ascii="Arial" w:hAnsi="Arial" w:cs="Arial"/>
          <w:sz w:val="22"/>
          <w:szCs w:val="22"/>
        </w:rPr>
      </w:pPr>
    </w:p>
    <w:p w14:paraId="5913982F" w14:textId="77777777" w:rsidR="000E4783" w:rsidRDefault="000E4783" w:rsidP="001C5439">
      <w:pPr>
        <w:spacing w:line="360" w:lineRule="auto"/>
        <w:rPr>
          <w:rFonts w:ascii="Arial" w:hAnsi="Arial" w:cs="Arial"/>
          <w:sz w:val="22"/>
          <w:szCs w:val="22"/>
        </w:rPr>
      </w:pPr>
    </w:p>
    <w:p w14:paraId="3440D5AA" w14:textId="77777777" w:rsidR="000E4783" w:rsidRPr="001C5439" w:rsidRDefault="000E4783" w:rsidP="001C5439">
      <w:pPr>
        <w:spacing w:line="360" w:lineRule="auto"/>
        <w:rPr>
          <w:rFonts w:ascii="Arial" w:hAnsi="Arial" w:cs="Arial"/>
          <w:sz w:val="22"/>
          <w:szCs w:val="22"/>
        </w:rPr>
      </w:pPr>
    </w:p>
    <w:p w14:paraId="2199C78F" w14:textId="3C4AE029" w:rsidR="001C5439" w:rsidRPr="00D44941" w:rsidRDefault="001C5439" w:rsidP="001C5439">
      <w:pPr>
        <w:spacing w:line="360" w:lineRule="auto"/>
        <w:rPr>
          <w:rFonts w:ascii="Arial" w:hAnsi="Arial" w:cs="Arial"/>
          <w:b/>
          <w:bCs/>
          <w:sz w:val="22"/>
          <w:szCs w:val="22"/>
        </w:rPr>
      </w:pPr>
      <w:r w:rsidRPr="00D44941">
        <w:rPr>
          <w:rFonts w:ascii="Arial" w:hAnsi="Arial" w:cs="Arial"/>
          <w:b/>
          <w:bCs/>
          <w:sz w:val="22"/>
          <w:szCs w:val="22"/>
        </w:rPr>
        <w:lastRenderedPageBreak/>
        <w:t>References</w:t>
      </w:r>
    </w:p>
    <w:p w14:paraId="25F57E19" w14:textId="73A3DBAE"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American Diabetes Association Professional Practice Committee (2025) ‘5. Facilitating positive health </w:t>
      </w:r>
      <w:r w:rsidR="00D44941">
        <w:rPr>
          <w:rFonts w:ascii="Arial" w:hAnsi="Arial" w:cs="Arial"/>
          <w:sz w:val="22"/>
          <w:szCs w:val="22"/>
        </w:rPr>
        <w:t>behaviours</w:t>
      </w:r>
      <w:r w:rsidRPr="001C5439">
        <w:rPr>
          <w:rFonts w:ascii="Arial" w:hAnsi="Arial" w:cs="Arial"/>
          <w:sz w:val="22"/>
          <w:szCs w:val="22"/>
        </w:rPr>
        <w:t xml:space="preserve"> and well-being to improve health outcomes: Standards of Care in Diabetes—2025’, Diabetes Care, 48(Supplement 1). Available at: </w:t>
      </w:r>
      <w:hyperlink r:id="rId4" w:history="1">
        <w:r w:rsidRPr="001C5439">
          <w:rPr>
            <w:rStyle w:val="Hyperlink"/>
            <w:rFonts w:ascii="Arial" w:hAnsi="Arial" w:cs="Arial"/>
            <w:sz w:val="22"/>
            <w:szCs w:val="22"/>
          </w:rPr>
          <w:t>https://doi.org/10.2337/dc25-s005</w:t>
        </w:r>
      </w:hyperlink>
      <w:r w:rsidRPr="001C5439">
        <w:rPr>
          <w:rFonts w:ascii="Arial" w:hAnsi="Arial" w:cs="Arial"/>
          <w:sz w:val="22"/>
          <w:szCs w:val="22"/>
        </w:rPr>
        <w:t xml:space="preserve"> (Accessed: 25 October 2026).</w:t>
      </w:r>
    </w:p>
    <w:p w14:paraId="55F35DB9"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British Dietetic Association (2021) ‘Diabetes – type 2’. Available at: </w:t>
      </w:r>
      <w:hyperlink r:id="rId5" w:history="1">
        <w:r w:rsidRPr="001C5439">
          <w:rPr>
            <w:rStyle w:val="Hyperlink"/>
            <w:rFonts w:ascii="Arial" w:hAnsi="Arial" w:cs="Arial"/>
            <w:sz w:val="22"/>
            <w:szCs w:val="22"/>
          </w:rPr>
          <w:t>https://www.bda.uk.com/resource/diabetes-type-2.html</w:t>
        </w:r>
      </w:hyperlink>
      <w:r w:rsidRPr="001C5439">
        <w:rPr>
          <w:rFonts w:ascii="Arial" w:hAnsi="Arial" w:cs="Arial"/>
          <w:sz w:val="22"/>
          <w:szCs w:val="22"/>
        </w:rPr>
        <w:t xml:space="preserve"> (Accessed: 25 October 2026).</w:t>
      </w:r>
    </w:p>
    <w:p w14:paraId="745F5779"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Colberg, S.R. et al. (2016) ‘Physical activity/exercise and diabetes: a position statement of the American Diabetes Association’, Diabetes Care, 39(11), pp. 2065–2079. Available at: </w:t>
      </w:r>
      <w:hyperlink r:id="rId6" w:history="1">
        <w:r w:rsidRPr="001C5439">
          <w:rPr>
            <w:rStyle w:val="Hyperlink"/>
            <w:rFonts w:ascii="Arial" w:hAnsi="Arial" w:cs="Arial"/>
            <w:sz w:val="22"/>
            <w:szCs w:val="22"/>
          </w:rPr>
          <w:t>https://doi.org/10.2337/dc16-1728</w:t>
        </w:r>
      </w:hyperlink>
      <w:r w:rsidRPr="001C5439">
        <w:rPr>
          <w:rFonts w:ascii="Arial" w:hAnsi="Arial" w:cs="Arial"/>
          <w:sz w:val="22"/>
          <w:szCs w:val="22"/>
        </w:rPr>
        <w:t xml:space="preserve"> (Accessed: 25 October 2026).</w:t>
      </w:r>
    </w:p>
    <w:p w14:paraId="08ABB1EC"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Diabetes UK (n.d.) ‘Food and diabetes’. Available at: </w:t>
      </w:r>
      <w:hyperlink r:id="rId7" w:history="1">
        <w:r w:rsidRPr="001C5439">
          <w:rPr>
            <w:rStyle w:val="Hyperlink"/>
            <w:rFonts w:ascii="Arial" w:hAnsi="Arial" w:cs="Arial"/>
            <w:sz w:val="22"/>
            <w:szCs w:val="22"/>
          </w:rPr>
          <w:t>https://www.diabetes.org.uk/living-with-diabetes/eating</w:t>
        </w:r>
      </w:hyperlink>
      <w:r w:rsidRPr="001C5439">
        <w:rPr>
          <w:rFonts w:ascii="Arial" w:hAnsi="Arial" w:cs="Arial"/>
          <w:sz w:val="22"/>
          <w:szCs w:val="22"/>
        </w:rPr>
        <w:t xml:space="preserve"> (Accessed: 25 October 2026).</w:t>
      </w:r>
    </w:p>
    <w:p w14:paraId="3DD5730A"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Diabetes UK (n.d.) ‘Type 2 diabetes risk </w:t>
      </w:r>
      <w:proofErr w:type="gramStart"/>
      <w:r w:rsidRPr="001C5439">
        <w:rPr>
          <w:rFonts w:ascii="Arial" w:hAnsi="Arial" w:cs="Arial"/>
          <w:sz w:val="22"/>
          <w:szCs w:val="22"/>
        </w:rPr>
        <w:t>factors’</w:t>
      </w:r>
      <w:proofErr w:type="gramEnd"/>
      <w:r w:rsidRPr="001C5439">
        <w:rPr>
          <w:rFonts w:ascii="Arial" w:hAnsi="Arial" w:cs="Arial"/>
          <w:sz w:val="22"/>
          <w:szCs w:val="22"/>
        </w:rPr>
        <w:t xml:space="preserve">. Available at: </w:t>
      </w:r>
      <w:hyperlink r:id="rId8" w:history="1">
        <w:r w:rsidRPr="001C5439">
          <w:rPr>
            <w:rStyle w:val="Hyperlink"/>
            <w:rFonts w:ascii="Arial" w:hAnsi="Arial" w:cs="Arial"/>
            <w:sz w:val="22"/>
            <w:szCs w:val="22"/>
          </w:rPr>
          <w:t>https://www.diabetes.org.uk/about-diabetes/type-2-diabetes/diabetes-risk-factors</w:t>
        </w:r>
      </w:hyperlink>
      <w:r w:rsidRPr="001C5439">
        <w:rPr>
          <w:rFonts w:ascii="Arial" w:hAnsi="Arial" w:cs="Arial"/>
          <w:sz w:val="22"/>
          <w:szCs w:val="22"/>
        </w:rPr>
        <w:t xml:space="preserve"> (Accessed: 25 October 2026).</w:t>
      </w:r>
    </w:p>
    <w:p w14:paraId="40AB2B56"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National Health Service (NHS) (2024) ‘Diabetes’. Available at: </w:t>
      </w:r>
      <w:hyperlink r:id="rId9" w:history="1">
        <w:r w:rsidRPr="001C5439">
          <w:rPr>
            <w:rStyle w:val="Hyperlink"/>
            <w:rFonts w:ascii="Arial" w:hAnsi="Arial" w:cs="Arial"/>
            <w:sz w:val="22"/>
            <w:szCs w:val="22"/>
          </w:rPr>
          <w:t>https://www.nhs.uk/conditions/diabetes/</w:t>
        </w:r>
      </w:hyperlink>
      <w:r w:rsidRPr="001C5439">
        <w:rPr>
          <w:rFonts w:ascii="Arial" w:hAnsi="Arial" w:cs="Arial"/>
          <w:sz w:val="22"/>
          <w:szCs w:val="22"/>
        </w:rPr>
        <w:t xml:space="preserve"> (Accessed: 25 October 2026).</w:t>
      </w:r>
    </w:p>
    <w:p w14:paraId="01AA60E1"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National Institute for Health and Care Excellence (NICE) (2026a) Type 2 diabetes in adults: management (NG28) — Blood glucose management. Available at: </w:t>
      </w:r>
      <w:hyperlink r:id="rId10" w:history="1">
        <w:r w:rsidRPr="001C5439">
          <w:rPr>
            <w:rStyle w:val="Hyperlink"/>
            <w:rFonts w:ascii="Arial" w:hAnsi="Arial" w:cs="Arial"/>
            <w:sz w:val="22"/>
            <w:szCs w:val="22"/>
          </w:rPr>
          <w:t>https://www.nice.org.uk/guidance/ng28/chapter/Blood-glucose-management</w:t>
        </w:r>
      </w:hyperlink>
      <w:r w:rsidRPr="001C5439">
        <w:rPr>
          <w:rFonts w:ascii="Arial" w:hAnsi="Arial" w:cs="Arial"/>
          <w:sz w:val="22"/>
          <w:szCs w:val="22"/>
        </w:rPr>
        <w:t xml:space="preserve"> (Accessed: 25 October 2026).</w:t>
      </w:r>
    </w:p>
    <w:p w14:paraId="00535B07"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National Institute for Health and Care Excellence (NICE) (2026b) Type 2 diabetes in adults: management (NG28). Available at: </w:t>
      </w:r>
      <w:hyperlink r:id="rId11" w:history="1">
        <w:r w:rsidRPr="001C5439">
          <w:rPr>
            <w:rStyle w:val="Hyperlink"/>
            <w:rFonts w:ascii="Arial" w:hAnsi="Arial" w:cs="Arial"/>
            <w:sz w:val="22"/>
            <w:szCs w:val="22"/>
          </w:rPr>
          <w:t>https://www.nice.org.uk/guidance/ng28</w:t>
        </w:r>
      </w:hyperlink>
      <w:r w:rsidRPr="001C5439">
        <w:rPr>
          <w:rFonts w:ascii="Arial" w:hAnsi="Arial" w:cs="Arial"/>
          <w:sz w:val="22"/>
          <w:szCs w:val="22"/>
        </w:rPr>
        <w:t xml:space="preserve"> (Accessed: 25 October 2026).</w:t>
      </w:r>
    </w:p>
    <w:p w14:paraId="18D7D35F"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National Institute of Diabetes and Digestive and Kidney Diseases (NIDDK) (2023) ‘Insulin resistance and prediabetes’. Available at: </w:t>
      </w:r>
      <w:hyperlink r:id="rId12" w:history="1">
        <w:r w:rsidRPr="001C5439">
          <w:rPr>
            <w:rStyle w:val="Hyperlink"/>
            <w:rFonts w:ascii="Arial" w:hAnsi="Arial" w:cs="Arial"/>
            <w:sz w:val="22"/>
            <w:szCs w:val="22"/>
          </w:rPr>
          <w:t>https://www.niddk.nih.gov/health-information/diabetes/overview/what-is-diabetes/prediabetes-insulin-resistance</w:t>
        </w:r>
      </w:hyperlink>
      <w:r w:rsidRPr="001C5439">
        <w:rPr>
          <w:rFonts w:ascii="Arial" w:hAnsi="Arial" w:cs="Arial"/>
          <w:sz w:val="22"/>
          <w:szCs w:val="22"/>
        </w:rPr>
        <w:t xml:space="preserve"> (Accessed: 25 October 2026).</w:t>
      </w:r>
    </w:p>
    <w:p w14:paraId="2AD493FD" w14:textId="77777777"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t xml:space="preserve">OpenStax (2022) Anatomy and Physiology 2e: 24.2 Carbohydrate Metabolism. Houston, TX: OpenStax. Available at: </w:t>
      </w:r>
      <w:hyperlink r:id="rId13" w:history="1">
        <w:r w:rsidRPr="001C5439">
          <w:rPr>
            <w:rStyle w:val="Hyperlink"/>
            <w:rFonts w:ascii="Arial" w:hAnsi="Arial" w:cs="Arial"/>
            <w:sz w:val="22"/>
            <w:szCs w:val="22"/>
          </w:rPr>
          <w:t>https://openstax.org/books/anatomy-and-physiology-2e/pages/24-2-carbohydrate-metabolism</w:t>
        </w:r>
      </w:hyperlink>
      <w:r w:rsidRPr="001C5439">
        <w:rPr>
          <w:rFonts w:ascii="Arial" w:hAnsi="Arial" w:cs="Arial"/>
          <w:sz w:val="22"/>
          <w:szCs w:val="22"/>
        </w:rPr>
        <w:t xml:space="preserve"> (Accessed: 25 October 2026).</w:t>
      </w:r>
    </w:p>
    <w:p w14:paraId="383E0822" w14:textId="00C7BC46" w:rsidR="001C5439" w:rsidRPr="001C5439" w:rsidRDefault="001C5439" w:rsidP="001C5439">
      <w:pPr>
        <w:spacing w:line="360" w:lineRule="auto"/>
        <w:rPr>
          <w:rFonts w:ascii="Arial" w:hAnsi="Arial" w:cs="Arial"/>
          <w:sz w:val="22"/>
          <w:szCs w:val="22"/>
        </w:rPr>
      </w:pPr>
      <w:r w:rsidRPr="001C5439">
        <w:rPr>
          <w:rFonts w:ascii="Arial" w:hAnsi="Arial" w:cs="Arial"/>
          <w:sz w:val="22"/>
          <w:szCs w:val="22"/>
        </w:rPr>
        <w:lastRenderedPageBreak/>
        <w:t xml:space="preserve">World Health </w:t>
      </w:r>
      <w:r w:rsidR="00D44941">
        <w:rPr>
          <w:rFonts w:ascii="Arial" w:hAnsi="Arial" w:cs="Arial"/>
          <w:sz w:val="22"/>
          <w:szCs w:val="22"/>
        </w:rPr>
        <w:t>Organisation</w:t>
      </w:r>
      <w:r w:rsidRPr="001C5439">
        <w:rPr>
          <w:rFonts w:ascii="Arial" w:hAnsi="Arial" w:cs="Arial"/>
          <w:sz w:val="22"/>
          <w:szCs w:val="22"/>
        </w:rPr>
        <w:t xml:space="preserve"> (2024) ‘Diabetes’. Available at: </w:t>
      </w:r>
      <w:hyperlink r:id="rId14" w:history="1">
        <w:r w:rsidRPr="001C5439">
          <w:rPr>
            <w:rStyle w:val="Hyperlink"/>
            <w:rFonts w:ascii="Arial" w:hAnsi="Arial" w:cs="Arial"/>
            <w:sz w:val="22"/>
            <w:szCs w:val="22"/>
          </w:rPr>
          <w:t>https://www.who.int/news-room/fact-sheets/detail/diabetes</w:t>
        </w:r>
      </w:hyperlink>
      <w:r w:rsidRPr="001C5439">
        <w:rPr>
          <w:rFonts w:ascii="Arial" w:hAnsi="Arial" w:cs="Arial"/>
          <w:sz w:val="22"/>
          <w:szCs w:val="22"/>
        </w:rPr>
        <w:t xml:space="preserve"> (Accessed: 25 October 2026).</w:t>
      </w:r>
    </w:p>
    <w:p w14:paraId="00C205EA" w14:textId="77777777" w:rsidR="001C5439" w:rsidRPr="001C5439" w:rsidRDefault="001C5439" w:rsidP="001C5439">
      <w:pPr>
        <w:spacing w:line="360" w:lineRule="auto"/>
        <w:rPr>
          <w:rFonts w:ascii="Arial" w:hAnsi="Arial" w:cs="Arial"/>
          <w:sz w:val="22"/>
          <w:szCs w:val="22"/>
        </w:rPr>
      </w:pPr>
    </w:p>
    <w:sectPr w:rsidR="001C5439" w:rsidRPr="001C54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439"/>
    <w:rsid w:val="000E4783"/>
    <w:rsid w:val="001C5439"/>
    <w:rsid w:val="00264F3E"/>
    <w:rsid w:val="002832FC"/>
    <w:rsid w:val="002A7193"/>
    <w:rsid w:val="002C4FF6"/>
    <w:rsid w:val="00380BE5"/>
    <w:rsid w:val="00462B7D"/>
    <w:rsid w:val="00472299"/>
    <w:rsid w:val="004B5DD5"/>
    <w:rsid w:val="00540190"/>
    <w:rsid w:val="00681346"/>
    <w:rsid w:val="006A1BA1"/>
    <w:rsid w:val="006A2BD1"/>
    <w:rsid w:val="008260F1"/>
    <w:rsid w:val="00B37D1E"/>
    <w:rsid w:val="00B67F7E"/>
    <w:rsid w:val="00C13621"/>
    <w:rsid w:val="00C64DB5"/>
    <w:rsid w:val="00D13045"/>
    <w:rsid w:val="00D44941"/>
    <w:rsid w:val="00DD3873"/>
    <w:rsid w:val="00EB45ED"/>
    <w:rsid w:val="00F72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2A8E"/>
  <w15:chartTrackingRefBased/>
  <w15:docId w15:val="{6E138E40-04AB-42A6-A6F6-7E4E83C05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4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54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54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54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54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54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54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54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54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4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54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54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54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54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54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54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54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5439"/>
    <w:rPr>
      <w:rFonts w:eastAsiaTheme="majorEastAsia" w:cstheme="majorBidi"/>
      <w:color w:val="272727" w:themeColor="text1" w:themeTint="D8"/>
    </w:rPr>
  </w:style>
  <w:style w:type="paragraph" w:styleId="Title">
    <w:name w:val="Title"/>
    <w:basedOn w:val="Normal"/>
    <w:next w:val="Normal"/>
    <w:link w:val="TitleChar"/>
    <w:uiPriority w:val="10"/>
    <w:qFormat/>
    <w:rsid w:val="001C54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4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54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54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5439"/>
    <w:pPr>
      <w:spacing w:before="160"/>
      <w:jc w:val="center"/>
    </w:pPr>
    <w:rPr>
      <w:i/>
      <w:iCs/>
      <w:color w:val="404040" w:themeColor="text1" w:themeTint="BF"/>
    </w:rPr>
  </w:style>
  <w:style w:type="character" w:customStyle="1" w:styleId="QuoteChar">
    <w:name w:val="Quote Char"/>
    <w:basedOn w:val="DefaultParagraphFont"/>
    <w:link w:val="Quote"/>
    <w:uiPriority w:val="29"/>
    <w:rsid w:val="001C5439"/>
    <w:rPr>
      <w:i/>
      <w:iCs/>
      <w:color w:val="404040" w:themeColor="text1" w:themeTint="BF"/>
    </w:rPr>
  </w:style>
  <w:style w:type="paragraph" w:styleId="ListParagraph">
    <w:name w:val="List Paragraph"/>
    <w:basedOn w:val="Normal"/>
    <w:uiPriority w:val="34"/>
    <w:qFormat/>
    <w:rsid w:val="001C5439"/>
    <w:pPr>
      <w:ind w:left="720"/>
      <w:contextualSpacing/>
    </w:pPr>
  </w:style>
  <w:style w:type="character" w:styleId="IntenseEmphasis">
    <w:name w:val="Intense Emphasis"/>
    <w:basedOn w:val="DefaultParagraphFont"/>
    <w:uiPriority w:val="21"/>
    <w:qFormat/>
    <w:rsid w:val="001C5439"/>
    <w:rPr>
      <w:i/>
      <w:iCs/>
      <w:color w:val="0F4761" w:themeColor="accent1" w:themeShade="BF"/>
    </w:rPr>
  </w:style>
  <w:style w:type="paragraph" w:styleId="IntenseQuote">
    <w:name w:val="Intense Quote"/>
    <w:basedOn w:val="Normal"/>
    <w:next w:val="Normal"/>
    <w:link w:val="IntenseQuoteChar"/>
    <w:uiPriority w:val="30"/>
    <w:qFormat/>
    <w:rsid w:val="001C54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5439"/>
    <w:rPr>
      <w:i/>
      <w:iCs/>
      <w:color w:val="0F4761" w:themeColor="accent1" w:themeShade="BF"/>
    </w:rPr>
  </w:style>
  <w:style w:type="character" w:styleId="IntenseReference">
    <w:name w:val="Intense Reference"/>
    <w:basedOn w:val="DefaultParagraphFont"/>
    <w:uiPriority w:val="32"/>
    <w:qFormat/>
    <w:rsid w:val="001C5439"/>
    <w:rPr>
      <w:b/>
      <w:bCs/>
      <w:smallCaps/>
      <w:color w:val="0F4761" w:themeColor="accent1" w:themeShade="BF"/>
      <w:spacing w:val="5"/>
    </w:rPr>
  </w:style>
  <w:style w:type="character" w:styleId="Hyperlink">
    <w:name w:val="Hyperlink"/>
    <w:basedOn w:val="DefaultParagraphFont"/>
    <w:uiPriority w:val="99"/>
    <w:unhideWhenUsed/>
    <w:rsid w:val="001C5439"/>
    <w:rPr>
      <w:color w:val="467886" w:themeColor="hyperlink"/>
      <w:u w:val="single"/>
    </w:rPr>
  </w:style>
  <w:style w:type="character" w:styleId="UnresolvedMention">
    <w:name w:val="Unresolved Mention"/>
    <w:basedOn w:val="DefaultParagraphFont"/>
    <w:uiPriority w:val="99"/>
    <w:semiHidden/>
    <w:unhideWhenUsed/>
    <w:rsid w:val="001C54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about-diabetes/type-2-diabetes/diabetes-risk-factors?utm_source=chatgpt.com" TargetMode="External"/><Relationship Id="rId13" Type="http://schemas.openxmlformats.org/officeDocument/2006/relationships/hyperlink" Target="https://openstax.org/books/anatomy-and-physiology-2e/pages/24-2-carbohydrate-metabolism?utm_source=chatgpt.com" TargetMode="External"/><Relationship Id="rId3" Type="http://schemas.openxmlformats.org/officeDocument/2006/relationships/webSettings" Target="webSettings.xml"/><Relationship Id="rId7" Type="http://schemas.openxmlformats.org/officeDocument/2006/relationships/hyperlink" Target="https://www.diabetes.org.uk/living-with-diabetes/eating?utm_source=chatgpt.com" TargetMode="External"/><Relationship Id="rId12" Type="http://schemas.openxmlformats.org/officeDocument/2006/relationships/hyperlink" Target="https://www.niddk.nih.gov/health-information/diabetes/overview/what-is-diabetes/prediabetes-insulin-resistance?utm_source=chatgpt.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2337/dc16-1728?utm_source=chatgpt.com" TargetMode="External"/><Relationship Id="rId11" Type="http://schemas.openxmlformats.org/officeDocument/2006/relationships/hyperlink" Target="https://www.nice.org.uk/guidance/ng28" TargetMode="External"/><Relationship Id="rId5" Type="http://schemas.openxmlformats.org/officeDocument/2006/relationships/hyperlink" Target="https://www.bda.uk.com/resource/diabetes-type-2.html?utm_source=chatgpt.com" TargetMode="External"/><Relationship Id="rId15" Type="http://schemas.openxmlformats.org/officeDocument/2006/relationships/fontTable" Target="fontTable.xml"/><Relationship Id="rId10" Type="http://schemas.openxmlformats.org/officeDocument/2006/relationships/hyperlink" Target="https://www.nice.org.uk/guidance/ng28/chapter/Blood-glucose-management" TargetMode="External"/><Relationship Id="rId4" Type="http://schemas.openxmlformats.org/officeDocument/2006/relationships/hyperlink" Target="https://doi.org/10.2337/dc25-s005?utm_source=chatgpt.com" TargetMode="External"/><Relationship Id="rId9" Type="http://schemas.openxmlformats.org/officeDocument/2006/relationships/hyperlink" Target="https://www.nhs.uk/conditions/diabetes/?utm_source=chatgpt.com" TargetMode="External"/><Relationship Id="rId14" Type="http://schemas.openxmlformats.org/officeDocument/2006/relationships/hyperlink" Target="https://www.who.int/news-room/fact-sheets/detail/diabet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2844</Words>
  <Characters>16217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Elysee Bayabi Mpobi (2245420)</dc:creator>
  <cp:keywords/>
  <dc:description/>
  <cp:lastModifiedBy>Elysee Bayabi Mpobi (2245420)</cp:lastModifiedBy>
  <cp:revision>2</cp:revision>
  <dcterms:created xsi:type="dcterms:W3CDTF">2026-10-25T23:42:00Z</dcterms:created>
  <dcterms:modified xsi:type="dcterms:W3CDTF">2026-10-25T23:42:00Z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ff20ea5c-6739-491d-987c-7a40389f72ee</vt:lpwstr>
  </property>
</Properties>
</file>