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AF277" w14:textId="4270E055" w:rsidR="006F65AB" w:rsidRPr="003A5E9E" w:rsidRDefault="006F65AB" w:rsidP="003A5E9E">
      <w:pPr>
        <w:spacing w:after="0"/>
        <w:jc w:val="both"/>
        <w:rPr>
          <w:rFonts w:ascii="Garamond" w:hAnsi="Garamond"/>
          <w:b/>
          <w:bCs/>
        </w:rPr>
      </w:pPr>
      <w:r w:rsidRPr="003A5E9E">
        <w:rPr>
          <w:rFonts w:ascii="Garamond" w:hAnsi="Garamond"/>
          <w:b/>
          <w:bCs/>
        </w:rPr>
        <w:t>Lesson Plan: Week 8 - Corporate Governance (Chapter 10)</w:t>
      </w:r>
    </w:p>
    <w:p w14:paraId="21149507" w14:textId="77777777" w:rsidR="006F65AB" w:rsidRPr="003A5E9E" w:rsidRDefault="006F65AB" w:rsidP="003A5E9E">
      <w:pPr>
        <w:spacing w:after="0"/>
        <w:jc w:val="both"/>
        <w:rPr>
          <w:rFonts w:ascii="Garamond" w:hAnsi="Garamond"/>
        </w:rPr>
      </w:pPr>
      <w:r w:rsidRPr="003A5E9E">
        <w:rPr>
          <w:rFonts w:ascii="Garamond" w:hAnsi="Garamond"/>
          <w:b/>
          <w:bCs/>
        </w:rPr>
        <w:t>Target Duration</w:t>
      </w:r>
      <w:r w:rsidRPr="003A5E9E">
        <w:rPr>
          <w:rFonts w:ascii="Garamond" w:hAnsi="Garamond"/>
        </w:rPr>
        <w:t>: 3-4 Hours</w:t>
      </w:r>
    </w:p>
    <w:p w14:paraId="2DA5E032" w14:textId="77777777" w:rsidR="006F65AB" w:rsidRPr="003A5E9E" w:rsidRDefault="006F65AB" w:rsidP="003A5E9E">
      <w:pPr>
        <w:spacing w:before="240" w:after="0"/>
        <w:jc w:val="both"/>
        <w:rPr>
          <w:rFonts w:ascii="Garamond" w:hAnsi="Garamond"/>
        </w:rPr>
      </w:pPr>
      <w:r w:rsidRPr="003A5E9E">
        <w:rPr>
          <w:rFonts w:ascii="Garamond" w:hAnsi="Garamond"/>
          <w:b/>
          <w:bCs/>
        </w:rPr>
        <w:t>Session Overview</w:t>
      </w:r>
    </w:p>
    <w:p w14:paraId="4F96AFE9" w14:textId="77777777" w:rsidR="006F65AB" w:rsidRPr="003A5E9E" w:rsidRDefault="006F65AB" w:rsidP="003A5E9E">
      <w:pPr>
        <w:spacing w:after="0"/>
        <w:jc w:val="both"/>
        <w:rPr>
          <w:rFonts w:ascii="Garamond" w:hAnsi="Garamond"/>
        </w:rPr>
      </w:pPr>
      <w:r w:rsidRPr="003A5E9E">
        <w:rPr>
          <w:rFonts w:ascii="Garamond" w:hAnsi="Garamond"/>
        </w:rPr>
        <w:t>This session explores corporate governance, focusing on the relationship between stakeholders to determine a firm’s strategic direction and performance. It covers the separation of ownership and control, agency relationships, internal governance mechanisms (ownership concentration, board of directors, executive compensation), the external market for corporate control, and international governance systems (Germany, Japan, China). Ethical implications are emphasized, with real-world examples (e.g., General Electric, Alibaba) and interactive activities to enhance understanding.</w:t>
      </w:r>
    </w:p>
    <w:p w14:paraId="62E75E00" w14:textId="77777777" w:rsidR="006F65AB" w:rsidRPr="003A5E9E" w:rsidRDefault="006F65AB" w:rsidP="003A5E9E">
      <w:pPr>
        <w:spacing w:before="240" w:after="0"/>
        <w:jc w:val="both"/>
        <w:rPr>
          <w:rFonts w:ascii="Garamond" w:hAnsi="Garamond"/>
        </w:rPr>
      </w:pPr>
      <w:r w:rsidRPr="003A5E9E">
        <w:rPr>
          <w:rFonts w:ascii="Garamond" w:hAnsi="Garamond"/>
          <w:b/>
          <w:bCs/>
        </w:rPr>
        <w:t>Learning Objectives</w:t>
      </w:r>
    </w:p>
    <w:p w14:paraId="610E1677" w14:textId="77777777" w:rsidR="006F65AB" w:rsidRPr="003A5E9E" w:rsidRDefault="006F65AB" w:rsidP="003A5E9E">
      <w:pPr>
        <w:numPr>
          <w:ilvl w:val="0"/>
          <w:numId w:val="16"/>
        </w:numPr>
        <w:spacing w:after="0"/>
        <w:jc w:val="both"/>
        <w:rPr>
          <w:rFonts w:ascii="Garamond" w:hAnsi="Garamond"/>
        </w:rPr>
      </w:pPr>
      <w:r w:rsidRPr="003A5E9E">
        <w:rPr>
          <w:rFonts w:ascii="Garamond" w:hAnsi="Garamond"/>
        </w:rPr>
        <w:t>Define corporate governance and explain its role in monitoring top-level managers’ decisions.</w:t>
      </w:r>
    </w:p>
    <w:p w14:paraId="7480C5B8" w14:textId="77777777" w:rsidR="006F65AB" w:rsidRPr="003A5E9E" w:rsidRDefault="006F65AB" w:rsidP="003A5E9E">
      <w:pPr>
        <w:numPr>
          <w:ilvl w:val="0"/>
          <w:numId w:val="16"/>
        </w:numPr>
        <w:spacing w:after="0"/>
        <w:jc w:val="both"/>
        <w:rPr>
          <w:rFonts w:ascii="Garamond" w:hAnsi="Garamond"/>
        </w:rPr>
      </w:pPr>
      <w:r w:rsidRPr="003A5E9E">
        <w:rPr>
          <w:rFonts w:ascii="Garamond" w:hAnsi="Garamond"/>
        </w:rPr>
        <w:t>Understand why ownership is separated from managerial control and its implications.</w:t>
      </w:r>
    </w:p>
    <w:p w14:paraId="0B2E12AB" w14:textId="77777777" w:rsidR="006F65AB" w:rsidRPr="003A5E9E" w:rsidRDefault="006F65AB" w:rsidP="003A5E9E">
      <w:pPr>
        <w:numPr>
          <w:ilvl w:val="0"/>
          <w:numId w:val="16"/>
        </w:numPr>
        <w:spacing w:after="0"/>
        <w:jc w:val="both"/>
        <w:rPr>
          <w:rFonts w:ascii="Garamond" w:hAnsi="Garamond"/>
        </w:rPr>
      </w:pPr>
      <w:r w:rsidRPr="003A5E9E">
        <w:rPr>
          <w:rFonts w:ascii="Garamond" w:hAnsi="Garamond"/>
        </w:rPr>
        <w:t>Describe agency relationships, managerial opportunism, and their strategic impacts.</w:t>
      </w:r>
    </w:p>
    <w:p w14:paraId="018ED01D" w14:textId="77777777" w:rsidR="006F65AB" w:rsidRPr="003A5E9E" w:rsidRDefault="006F65AB" w:rsidP="003A5E9E">
      <w:pPr>
        <w:numPr>
          <w:ilvl w:val="0"/>
          <w:numId w:val="16"/>
        </w:numPr>
        <w:spacing w:after="0"/>
        <w:jc w:val="both"/>
        <w:rPr>
          <w:rFonts w:ascii="Garamond" w:hAnsi="Garamond"/>
        </w:rPr>
      </w:pPr>
      <w:r w:rsidRPr="003A5E9E">
        <w:rPr>
          <w:rFonts w:ascii="Garamond" w:hAnsi="Garamond"/>
        </w:rPr>
        <w:t>Explain three internal governance mechanisms and their use in controlling managers.</w:t>
      </w:r>
    </w:p>
    <w:p w14:paraId="5ED29F88" w14:textId="77777777" w:rsidR="006F65AB" w:rsidRPr="003A5E9E" w:rsidRDefault="006F65AB" w:rsidP="003A5E9E">
      <w:pPr>
        <w:numPr>
          <w:ilvl w:val="0"/>
          <w:numId w:val="16"/>
        </w:numPr>
        <w:spacing w:after="0"/>
        <w:jc w:val="both"/>
        <w:rPr>
          <w:rFonts w:ascii="Garamond" w:hAnsi="Garamond"/>
        </w:rPr>
      </w:pPr>
      <w:proofErr w:type="spellStart"/>
      <w:r w:rsidRPr="003A5E9E">
        <w:rPr>
          <w:rFonts w:ascii="Garamond" w:hAnsi="Garamond"/>
        </w:rPr>
        <w:t>Analyze</w:t>
      </w:r>
      <w:proofErr w:type="spellEnd"/>
      <w:r w:rsidRPr="003A5E9E">
        <w:rPr>
          <w:rFonts w:ascii="Garamond" w:hAnsi="Garamond"/>
        </w:rPr>
        <w:t xml:space="preserve"> types of executive compensation and their effects on managerial decisions.</w:t>
      </w:r>
    </w:p>
    <w:p w14:paraId="513F0AAF" w14:textId="77777777" w:rsidR="006F65AB" w:rsidRPr="003A5E9E" w:rsidRDefault="006F65AB" w:rsidP="003A5E9E">
      <w:pPr>
        <w:numPr>
          <w:ilvl w:val="0"/>
          <w:numId w:val="16"/>
        </w:numPr>
        <w:spacing w:after="0"/>
        <w:jc w:val="both"/>
        <w:rPr>
          <w:rFonts w:ascii="Garamond" w:hAnsi="Garamond"/>
        </w:rPr>
      </w:pPr>
      <w:r w:rsidRPr="003A5E9E">
        <w:rPr>
          <w:rFonts w:ascii="Garamond" w:hAnsi="Garamond"/>
        </w:rPr>
        <w:t>Discuss the market for corporate control as an external governance mechanism.</w:t>
      </w:r>
    </w:p>
    <w:p w14:paraId="7A89BE8D" w14:textId="77777777" w:rsidR="006F65AB" w:rsidRPr="003A5E9E" w:rsidRDefault="006F65AB" w:rsidP="003A5E9E">
      <w:pPr>
        <w:numPr>
          <w:ilvl w:val="0"/>
          <w:numId w:val="16"/>
        </w:numPr>
        <w:spacing w:after="0"/>
        <w:jc w:val="both"/>
        <w:rPr>
          <w:rFonts w:ascii="Garamond" w:hAnsi="Garamond"/>
        </w:rPr>
      </w:pPr>
      <w:r w:rsidRPr="003A5E9E">
        <w:rPr>
          <w:rFonts w:ascii="Garamond" w:hAnsi="Garamond"/>
        </w:rPr>
        <w:t>Compare corporate governance in Germany, Japan, and China.</w:t>
      </w:r>
    </w:p>
    <w:p w14:paraId="11602568" w14:textId="77777777" w:rsidR="006F65AB" w:rsidRPr="003A5E9E" w:rsidRDefault="006F65AB" w:rsidP="003A5E9E">
      <w:pPr>
        <w:numPr>
          <w:ilvl w:val="0"/>
          <w:numId w:val="16"/>
        </w:numPr>
        <w:spacing w:after="0"/>
        <w:jc w:val="both"/>
        <w:rPr>
          <w:rFonts w:ascii="Garamond" w:hAnsi="Garamond"/>
        </w:rPr>
      </w:pPr>
      <w:r w:rsidRPr="003A5E9E">
        <w:rPr>
          <w:rFonts w:ascii="Garamond" w:hAnsi="Garamond"/>
        </w:rPr>
        <w:t>Explore how governance fosters ethical decisions by top-level managers.</w:t>
      </w:r>
    </w:p>
    <w:p w14:paraId="3087B5C3" w14:textId="77777777" w:rsidR="006F65AB" w:rsidRDefault="006F65AB" w:rsidP="003A5E9E">
      <w:pPr>
        <w:spacing w:before="240" w:after="0"/>
        <w:jc w:val="both"/>
        <w:rPr>
          <w:rFonts w:ascii="Garamond" w:hAnsi="Garamond"/>
          <w:b/>
          <w:bCs/>
        </w:rPr>
      </w:pPr>
      <w:r w:rsidRPr="003A5E9E">
        <w:rPr>
          <w:rFonts w:ascii="Garamond" w:hAnsi="Garamond"/>
          <w:b/>
          <w:bCs/>
        </w:rPr>
        <w:t>Lesson Plan Outline</w:t>
      </w:r>
    </w:p>
    <w:p w14:paraId="2702E8CA" w14:textId="6620C3B3" w:rsidR="00B23412" w:rsidRDefault="00B23412" w:rsidP="00A80D10">
      <w:pPr>
        <w:spacing w:after="0"/>
        <w:jc w:val="both"/>
        <w:rPr>
          <w:rFonts w:ascii="Garamond" w:hAnsi="Garamond"/>
          <w:b/>
          <w:bCs/>
        </w:rPr>
      </w:pPr>
      <w:r>
        <w:rPr>
          <w:rFonts w:ascii="Garamond" w:hAnsi="Garamond"/>
          <w:b/>
          <w:bCs/>
        </w:rPr>
        <w:t>Previous week Recap</w:t>
      </w:r>
    </w:p>
    <w:p w14:paraId="160B34E7" w14:textId="77777777" w:rsidR="00A80D10" w:rsidRPr="00A80D10" w:rsidRDefault="00A80D10" w:rsidP="00A80D10">
      <w:pPr>
        <w:numPr>
          <w:ilvl w:val="0"/>
          <w:numId w:val="26"/>
        </w:numPr>
        <w:spacing w:after="0"/>
        <w:jc w:val="both"/>
        <w:rPr>
          <w:rFonts w:ascii="Garamond" w:hAnsi="Garamond"/>
        </w:rPr>
      </w:pPr>
      <w:r w:rsidRPr="00A80D10">
        <w:rPr>
          <w:rFonts w:ascii="Garamond" w:hAnsi="Garamond"/>
          <w:lang w:val="en-US"/>
        </w:rPr>
        <w:t>What incentives influence firms to use international strategies?</w:t>
      </w:r>
    </w:p>
    <w:p w14:paraId="46F93385" w14:textId="77777777" w:rsidR="00A80D10" w:rsidRPr="00A80D10" w:rsidRDefault="00A80D10" w:rsidP="00A80D10">
      <w:pPr>
        <w:numPr>
          <w:ilvl w:val="0"/>
          <w:numId w:val="26"/>
        </w:numPr>
        <w:spacing w:after="0"/>
        <w:jc w:val="both"/>
        <w:rPr>
          <w:rFonts w:ascii="Garamond" w:hAnsi="Garamond"/>
        </w:rPr>
      </w:pPr>
      <w:r w:rsidRPr="00A80D10">
        <w:rPr>
          <w:rFonts w:ascii="Garamond" w:hAnsi="Garamond"/>
          <w:lang w:val="en-US"/>
        </w:rPr>
        <w:t>What are the three basic benefits firms can gain by successfully implementing an international strategy?</w:t>
      </w:r>
    </w:p>
    <w:p w14:paraId="613A5898" w14:textId="77777777" w:rsidR="00A80D10" w:rsidRPr="00A80D10" w:rsidRDefault="00A80D10" w:rsidP="00A80D10">
      <w:pPr>
        <w:numPr>
          <w:ilvl w:val="0"/>
          <w:numId w:val="26"/>
        </w:numPr>
        <w:spacing w:after="0"/>
        <w:jc w:val="both"/>
        <w:rPr>
          <w:rFonts w:ascii="Garamond" w:hAnsi="Garamond"/>
        </w:rPr>
      </w:pPr>
      <w:r w:rsidRPr="00A80D10">
        <w:rPr>
          <w:rFonts w:ascii="Garamond" w:hAnsi="Garamond"/>
          <w:lang w:val="en-US"/>
        </w:rPr>
        <w:t>What four factors are determinants of national advantage and serve as a basis for international business-level strategies?</w:t>
      </w:r>
    </w:p>
    <w:p w14:paraId="1665B2E9" w14:textId="77777777" w:rsidR="00A80D10" w:rsidRPr="00A80D10" w:rsidRDefault="00A80D10" w:rsidP="00A80D10">
      <w:pPr>
        <w:numPr>
          <w:ilvl w:val="0"/>
          <w:numId w:val="26"/>
        </w:numPr>
        <w:spacing w:after="0"/>
        <w:jc w:val="both"/>
        <w:rPr>
          <w:rFonts w:ascii="Garamond" w:hAnsi="Garamond"/>
        </w:rPr>
      </w:pPr>
      <w:r w:rsidRPr="00A80D10">
        <w:rPr>
          <w:rFonts w:ascii="Garamond" w:hAnsi="Garamond"/>
          <w:lang w:val="en-US"/>
        </w:rPr>
        <w:t>What are the three international corporate-level strategies? What are the advantages and disadvantages associated with these strategies?</w:t>
      </w:r>
    </w:p>
    <w:p w14:paraId="568D5981" w14:textId="77777777" w:rsidR="00A80D10" w:rsidRPr="00A80D10" w:rsidRDefault="00A80D10" w:rsidP="00A80D10">
      <w:pPr>
        <w:numPr>
          <w:ilvl w:val="0"/>
          <w:numId w:val="26"/>
        </w:numPr>
        <w:spacing w:after="0"/>
        <w:jc w:val="both"/>
        <w:rPr>
          <w:rFonts w:ascii="Garamond" w:hAnsi="Garamond"/>
        </w:rPr>
      </w:pPr>
      <w:r w:rsidRPr="00A80D10">
        <w:rPr>
          <w:rFonts w:ascii="Garamond" w:hAnsi="Garamond"/>
          <w:lang w:val="en-US"/>
        </w:rPr>
        <w:t>What five entry modes do firms use to enter international markets? What is the typical sequence in which firms use these entry modes?</w:t>
      </w:r>
    </w:p>
    <w:p w14:paraId="3D339AC1" w14:textId="792DE4F8" w:rsidR="00B23412" w:rsidRPr="00A80D10" w:rsidRDefault="00A80D10" w:rsidP="00A80D10">
      <w:pPr>
        <w:numPr>
          <w:ilvl w:val="0"/>
          <w:numId w:val="26"/>
        </w:numPr>
        <w:spacing w:after="0"/>
        <w:jc w:val="both"/>
        <w:rPr>
          <w:rFonts w:ascii="Garamond" w:hAnsi="Garamond"/>
        </w:rPr>
      </w:pPr>
      <w:r w:rsidRPr="00A80D10">
        <w:rPr>
          <w:rFonts w:ascii="Garamond" w:hAnsi="Garamond"/>
          <w:lang w:val="en-US"/>
        </w:rPr>
        <w:t>What are two important issues that can potentially affect a firm’s ability to successfully use international strategies?</w:t>
      </w:r>
    </w:p>
    <w:p w14:paraId="6154CF68" w14:textId="77777777" w:rsidR="006F65AB" w:rsidRPr="003A5E9E" w:rsidRDefault="006F65AB" w:rsidP="003A5E9E">
      <w:pPr>
        <w:spacing w:after="0"/>
        <w:jc w:val="both"/>
        <w:rPr>
          <w:rFonts w:ascii="Garamond" w:hAnsi="Garamond"/>
        </w:rPr>
      </w:pPr>
      <w:r w:rsidRPr="003A5E9E">
        <w:rPr>
          <w:rFonts w:ascii="Garamond" w:hAnsi="Garamond"/>
          <w:b/>
          <w:bCs/>
        </w:rPr>
        <w:t>1. Introduction to Corporate Governance (15-20 minutes)</w:t>
      </w:r>
    </w:p>
    <w:p w14:paraId="0DA5B342" w14:textId="77777777" w:rsidR="006F65AB" w:rsidRPr="003A5E9E" w:rsidRDefault="006F65AB" w:rsidP="003A5E9E">
      <w:pPr>
        <w:numPr>
          <w:ilvl w:val="0"/>
          <w:numId w:val="17"/>
        </w:numPr>
        <w:spacing w:after="0"/>
        <w:jc w:val="both"/>
        <w:rPr>
          <w:rFonts w:ascii="Garamond" w:hAnsi="Garamond"/>
        </w:rPr>
      </w:pPr>
      <w:r w:rsidRPr="003A5E9E">
        <w:rPr>
          <w:rFonts w:ascii="Garamond" w:hAnsi="Garamond"/>
          <w:b/>
          <w:bCs/>
        </w:rPr>
        <w:t>Objective</w:t>
      </w:r>
      <w:r w:rsidRPr="003A5E9E">
        <w:rPr>
          <w:rFonts w:ascii="Garamond" w:hAnsi="Garamond"/>
        </w:rPr>
        <w:t>: Define corporate governance and highlight its importance in aligning stakeholder interests.</w:t>
      </w:r>
    </w:p>
    <w:p w14:paraId="28DAA2BA" w14:textId="77777777" w:rsidR="006F65AB" w:rsidRPr="003A5E9E" w:rsidRDefault="006F65AB" w:rsidP="003A5E9E">
      <w:pPr>
        <w:numPr>
          <w:ilvl w:val="0"/>
          <w:numId w:val="17"/>
        </w:numPr>
        <w:spacing w:after="0"/>
        <w:jc w:val="both"/>
        <w:rPr>
          <w:rFonts w:ascii="Garamond" w:hAnsi="Garamond"/>
        </w:rPr>
      </w:pPr>
      <w:r w:rsidRPr="003A5E9E">
        <w:rPr>
          <w:rFonts w:ascii="Garamond" w:hAnsi="Garamond"/>
          <w:b/>
          <w:bCs/>
        </w:rPr>
        <w:t>Content</w:t>
      </w:r>
      <w:r w:rsidRPr="003A5E9E">
        <w:rPr>
          <w:rFonts w:ascii="Garamond" w:hAnsi="Garamond"/>
        </w:rPr>
        <w:t>:</w:t>
      </w:r>
    </w:p>
    <w:p w14:paraId="66A17270" w14:textId="77777777" w:rsidR="006F65AB" w:rsidRPr="003A5E9E" w:rsidRDefault="006F65AB" w:rsidP="003A5E9E">
      <w:pPr>
        <w:numPr>
          <w:ilvl w:val="1"/>
          <w:numId w:val="17"/>
        </w:numPr>
        <w:spacing w:after="0"/>
        <w:jc w:val="both"/>
        <w:rPr>
          <w:rFonts w:ascii="Garamond" w:hAnsi="Garamond"/>
        </w:rPr>
      </w:pPr>
      <w:r w:rsidRPr="003A5E9E">
        <w:rPr>
          <w:rFonts w:ascii="Garamond" w:hAnsi="Garamond"/>
          <w:b/>
          <w:bCs/>
        </w:rPr>
        <w:t>Definition</w:t>
      </w:r>
      <w:r w:rsidRPr="003A5E9E">
        <w:rPr>
          <w:rFonts w:ascii="Garamond" w:hAnsi="Garamond"/>
        </w:rPr>
        <w:t>: Set of mechanisms to manage stakeholder relationships, control strategic direction, and ensure performance.</w:t>
      </w:r>
    </w:p>
    <w:p w14:paraId="5AB02DB8" w14:textId="77777777" w:rsidR="006F65AB" w:rsidRPr="003A5E9E" w:rsidRDefault="006F65AB" w:rsidP="003A5E9E">
      <w:pPr>
        <w:numPr>
          <w:ilvl w:val="1"/>
          <w:numId w:val="17"/>
        </w:numPr>
        <w:spacing w:after="0"/>
        <w:jc w:val="both"/>
        <w:rPr>
          <w:rFonts w:ascii="Garamond" w:hAnsi="Garamond"/>
        </w:rPr>
      </w:pPr>
      <w:r w:rsidRPr="003A5E9E">
        <w:rPr>
          <w:rFonts w:ascii="Garamond" w:hAnsi="Garamond"/>
          <w:b/>
          <w:bCs/>
        </w:rPr>
        <w:t>Purpose</w:t>
      </w:r>
      <w:r w:rsidRPr="003A5E9E">
        <w:rPr>
          <w:rFonts w:ascii="Garamond" w:hAnsi="Garamond"/>
        </w:rPr>
        <w:t>: Aligns managers’ decisions with shareholders’ interests, enhancing competitiveness.</w:t>
      </w:r>
    </w:p>
    <w:p w14:paraId="33D6CF6D" w14:textId="77777777" w:rsidR="006F65AB" w:rsidRPr="003A5E9E" w:rsidRDefault="006F65AB" w:rsidP="003A5E9E">
      <w:pPr>
        <w:numPr>
          <w:ilvl w:val="1"/>
          <w:numId w:val="17"/>
        </w:numPr>
        <w:spacing w:after="0"/>
        <w:jc w:val="both"/>
        <w:rPr>
          <w:rFonts w:ascii="Garamond" w:hAnsi="Garamond"/>
        </w:rPr>
      </w:pPr>
      <w:r w:rsidRPr="003A5E9E">
        <w:rPr>
          <w:rFonts w:ascii="Garamond" w:hAnsi="Garamond"/>
          <w:b/>
          <w:bCs/>
        </w:rPr>
        <w:t>Stakeholders</w:t>
      </w:r>
      <w:r w:rsidRPr="003A5E9E">
        <w:rPr>
          <w:rFonts w:ascii="Garamond" w:hAnsi="Garamond"/>
        </w:rPr>
        <w:t>: Shareholders, employees, customers, communities.</w:t>
      </w:r>
    </w:p>
    <w:p w14:paraId="52E04B6F" w14:textId="77777777" w:rsidR="006F65AB" w:rsidRPr="003A5E9E" w:rsidRDefault="006F65AB" w:rsidP="003A5E9E">
      <w:pPr>
        <w:numPr>
          <w:ilvl w:val="1"/>
          <w:numId w:val="17"/>
        </w:numPr>
        <w:spacing w:after="0"/>
        <w:jc w:val="both"/>
        <w:rPr>
          <w:rFonts w:ascii="Garamond" w:hAnsi="Garamond"/>
        </w:rPr>
      </w:pPr>
      <w:r w:rsidRPr="003A5E9E">
        <w:rPr>
          <w:rFonts w:ascii="Garamond" w:hAnsi="Garamond"/>
          <w:b/>
          <w:bCs/>
        </w:rPr>
        <w:t>Relevance</w:t>
      </w:r>
      <w:r w:rsidRPr="003A5E9E">
        <w:rPr>
          <w:rFonts w:ascii="Garamond" w:hAnsi="Garamond"/>
        </w:rPr>
        <w:t>: Governance failures (e.g., excessive CEO pay) draw attention from activists, media, and scholars.</w:t>
      </w:r>
    </w:p>
    <w:p w14:paraId="01BABC11" w14:textId="77777777" w:rsidR="006F65AB" w:rsidRPr="003A5E9E" w:rsidRDefault="006F65AB" w:rsidP="003A5E9E">
      <w:pPr>
        <w:numPr>
          <w:ilvl w:val="1"/>
          <w:numId w:val="17"/>
        </w:numPr>
        <w:spacing w:after="0"/>
        <w:jc w:val="both"/>
        <w:rPr>
          <w:rFonts w:ascii="Garamond" w:hAnsi="Garamond"/>
        </w:rPr>
      </w:pPr>
      <w:r w:rsidRPr="003A5E9E">
        <w:rPr>
          <w:rFonts w:ascii="Garamond" w:hAnsi="Garamond"/>
          <w:b/>
          <w:bCs/>
        </w:rPr>
        <w:t>Example</w:t>
      </w:r>
      <w:r w:rsidRPr="003A5E9E">
        <w:rPr>
          <w:rFonts w:ascii="Garamond" w:hAnsi="Garamond"/>
        </w:rPr>
        <w:t>: Activist shareholders influencing boards (Opening Case).</w:t>
      </w:r>
    </w:p>
    <w:p w14:paraId="73CD8A60" w14:textId="77777777" w:rsidR="006F65AB" w:rsidRPr="003A5E9E" w:rsidRDefault="006F65AB" w:rsidP="003A5E9E">
      <w:pPr>
        <w:numPr>
          <w:ilvl w:val="0"/>
          <w:numId w:val="17"/>
        </w:numPr>
        <w:spacing w:after="0"/>
        <w:jc w:val="both"/>
        <w:rPr>
          <w:rFonts w:ascii="Garamond" w:hAnsi="Garamond"/>
        </w:rPr>
      </w:pPr>
      <w:r w:rsidRPr="003A5E9E">
        <w:rPr>
          <w:rFonts w:ascii="Garamond" w:hAnsi="Garamond"/>
          <w:b/>
          <w:bCs/>
        </w:rPr>
        <w:t>Activity</w:t>
      </w:r>
      <w:r w:rsidRPr="003A5E9E">
        <w:rPr>
          <w:rFonts w:ascii="Garamond" w:hAnsi="Garamond"/>
        </w:rPr>
        <w:t>:</w:t>
      </w:r>
    </w:p>
    <w:p w14:paraId="2F42798B" w14:textId="77777777" w:rsidR="006F65AB" w:rsidRPr="003A5E9E" w:rsidRDefault="006F65AB" w:rsidP="003A5E9E">
      <w:pPr>
        <w:numPr>
          <w:ilvl w:val="1"/>
          <w:numId w:val="17"/>
        </w:numPr>
        <w:spacing w:after="0"/>
        <w:jc w:val="both"/>
        <w:rPr>
          <w:rFonts w:ascii="Garamond" w:hAnsi="Garamond"/>
        </w:rPr>
      </w:pPr>
      <w:r w:rsidRPr="003A5E9E">
        <w:rPr>
          <w:rFonts w:ascii="Garamond" w:hAnsi="Garamond"/>
          <w:b/>
          <w:bCs/>
        </w:rPr>
        <w:t>Terminology Quiz (5 min)</w:t>
      </w:r>
      <w:r w:rsidRPr="003A5E9E">
        <w:rPr>
          <w:rFonts w:ascii="Garamond" w:hAnsi="Garamond"/>
        </w:rPr>
        <w:t>: Students match terms (corporate governance, agency relationship, managerial opportunism) to definitions or examples. Discuss using Figure 10.1 (Agency Relationship).</w:t>
      </w:r>
    </w:p>
    <w:p w14:paraId="243D8CDC" w14:textId="77777777" w:rsidR="006F65AB" w:rsidRPr="003A5E9E" w:rsidRDefault="006F65AB" w:rsidP="003A5E9E">
      <w:pPr>
        <w:spacing w:after="0"/>
        <w:jc w:val="both"/>
        <w:rPr>
          <w:rFonts w:ascii="Garamond" w:hAnsi="Garamond"/>
        </w:rPr>
      </w:pPr>
      <w:r w:rsidRPr="003A5E9E">
        <w:rPr>
          <w:rFonts w:ascii="Garamond" w:hAnsi="Garamond"/>
          <w:b/>
          <w:bCs/>
        </w:rPr>
        <w:t>2. Separation of Ownership and Managerial Control (30-35 minutes)</w:t>
      </w:r>
    </w:p>
    <w:p w14:paraId="685192B6" w14:textId="77777777" w:rsidR="006F65AB" w:rsidRPr="003A5E9E" w:rsidRDefault="006F65AB" w:rsidP="003A5E9E">
      <w:pPr>
        <w:numPr>
          <w:ilvl w:val="0"/>
          <w:numId w:val="18"/>
        </w:numPr>
        <w:spacing w:after="0"/>
        <w:jc w:val="both"/>
        <w:rPr>
          <w:rFonts w:ascii="Garamond" w:hAnsi="Garamond"/>
        </w:rPr>
      </w:pPr>
      <w:r w:rsidRPr="003A5E9E">
        <w:rPr>
          <w:rFonts w:ascii="Garamond" w:hAnsi="Garamond"/>
          <w:b/>
          <w:bCs/>
        </w:rPr>
        <w:t>Objective</w:t>
      </w:r>
      <w:r w:rsidRPr="003A5E9E">
        <w:rPr>
          <w:rFonts w:ascii="Garamond" w:hAnsi="Garamond"/>
        </w:rPr>
        <w:t>: Explain the separation of ownership and control and introduce agency problems.</w:t>
      </w:r>
    </w:p>
    <w:p w14:paraId="1C763233" w14:textId="77777777" w:rsidR="006F65AB" w:rsidRPr="003A5E9E" w:rsidRDefault="006F65AB" w:rsidP="003A5E9E">
      <w:pPr>
        <w:numPr>
          <w:ilvl w:val="0"/>
          <w:numId w:val="18"/>
        </w:numPr>
        <w:spacing w:after="0"/>
        <w:jc w:val="both"/>
        <w:rPr>
          <w:rFonts w:ascii="Garamond" w:hAnsi="Garamond"/>
        </w:rPr>
      </w:pPr>
      <w:r w:rsidRPr="003A5E9E">
        <w:rPr>
          <w:rFonts w:ascii="Garamond" w:hAnsi="Garamond"/>
          <w:b/>
          <w:bCs/>
        </w:rPr>
        <w:lastRenderedPageBreak/>
        <w:t>Content</w:t>
      </w:r>
      <w:r w:rsidRPr="003A5E9E">
        <w:rPr>
          <w:rFonts w:ascii="Garamond" w:hAnsi="Garamond"/>
        </w:rPr>
        <w:t>:</w:t>
      </w:r>
    </w:p>
    <w:p w14:paraId="7D709F72" w14:textId="77777777" w:rsidR="006F65AB" w:rsidRPr="003A5E9E" w:rsidRDefault="006F65AB" w:rsidP="003A5E9E">
      <w:pPr>
        <w:numPr>
          <w:ilvl w:val="1"/>
          <w:numId w:val="18"/>
        </w:numPr>
        <w:spacing w:after="0"/>
        <w:jc w:val="both"/>
        <w:rPr>
          <w:rFonts w:ascii="Garamond" w:hAnsi="Garamond"/>
        </w:rPr>
      </w:pPr>
      <w:r w:rsidRPr="003A5E9E">
        <w:rPr>
          <w:rFonts w:ascii="Garamond" w:hAnsi="Garamond"/>
          <w:b/>
          <w:bCs/>
        </w:rPr>
        <w:t>Separation</w:t>
      </w:r>
      <w:r w:rsidRPr="003A5E9E">
        <w:rPr>
          <w:rFonts w:ascii="Garamond" w:hAnsi="Garamond"/>
        </w:rPr>
        <w:t>: Shareholders (owners) hire managers (agents) for decision-making specialization, common in large firms.</w:t>
      </w:r>
    </w:p>
    <w:p w14:paraId="64A1DF35" w14:textId="77777777" w:rsidR="006F65AB" w:rsidRPr="003A5E9E" w:rsidRDefault="006F65AB" w:rsidP="003A5E9E">
      <w:pPr>
        <w:numPr>
          <w:ilvl w:val="1"/>
          <w:numId w:val="18"/>
        </w:numPr>
        <w:spacing w:after="0"/>
        <w:jc w:val="both"/>
        <w:rPr>
          <w:rFonts w:ascii="Garamond" w:hAnsi="Garamond"/>
        </w:rPr>
      </w:pPr>
      <w:r w:rsidRPr="003A5E9E">
        <w:rPr>
          <w:rFonts w:ascii="Garamond" w:hAnsi="Garamond"/>
          <w:b/>
          <w:bCs/>
        </w:rPr>
        <w:t>Agency Relationship</w:t>
      </w:r>
      <w:r w:rsidRPr="003A5E9E">
        <w:rPr>
          <w:rFonts w:ascii="Garamond" w:hAnsi="Garamond"/>
        </w:rPr>
        <w:t>: Principals delegate to agents, creating potential conflicts.</w:t>
      </w:r>
    </w:p>
    <w:p w14:paraId="30FCEBC4" w14:textId="77777777" w:rsidR="006F65AB" w:rsidRPr="003A5E9E" w:rsidRDefault="006F65AB" w:rsidP="003A5E9E">
      <w:pPr>
        <w:numPr>
          <w:ilvl w:val="1"/>
          <w:numId w:val="18"/>
        </w:numPr>
        <w:spacing w:after="0"/>
        <w:jc w:val="both"/>
        <w:rPr>
          <w:rFonts w:ascii="Garamond" w:hAnsi="Garamond"/>
        </w:rPr>
      </w:pPr>
      <w:r w:rsidRPr="003A5E9E">
        <w:rPr>
          <w:rFonts w:ascii="Garamond" w:hAnsi="Garamond"/>
          <w:b/>
          <w:bCs/>
        </w:rPr>
        <w:t>Managerial Opportunism</w:t>
      </w:r>
      <w:r w:rsidRPr="003A5E9E">
        <w:rPr>
          <w:rFonts w:ascii="Garamond" w:hAnsi="Garamond"/>
        </w:rPr>
        <w:t>: Managers may prioritize personal goals (e.g., higher pay via over-diversification).</w:t>
      </w:r>
    </w:p>
    <w:p w14:paraId="71ED8D2D" w14:textId="77777777" w:rsidR="006F65AB" w:rsidRPr="003A5E9E" w:rsidRDefault="006F65AB" w:rsidP="003A5E9E">
      <w:pPr>
        <w:numPr>
          <w:ilvl w:val="1"/>
          <w:numId w:val="18"/>
        </w:numPr>
        <w:spacing w:after="0"/>
        <w:jc w:val="both"/>
        <w:rPr>
          <w:rFonts w:ascii="Garamond" w:hAnsi="Garamond"/>
        </w:rPr>
      </w:pPr>
      <w:r w:rsidRPr="003A5E9E">
        <w:rPr>
          <w:rFonts w:ascii="Garamond" w:hAnsi="Garamond"/>
          <w:b/>
          <w:bCs/>
        </w:rPr>
        <w:t>Example</w:t>
      </w:r>
      <w:r w:rsidRPr="003A5E9E">
        <w:rPr>
          <w:rFonts w:ascii="Garamond" w:hAnsi="Garamond"/>
        </w:rPr>
        <w:t>: Product diversification benefits managers (reduced job risk) but may harm shareholders (Figure 10.2).</w:t>
      </w:r>
    </w:p>
    <w:p w14:paraId="414DE26C" w14:textId="77777777" w:rsidR="006F65AB" w:rsidRPr="003A5E9E" w:rsidRDefault="006F65AB" w:rsidP="003A5E9E">
      <w:pPr>
        <w:numPr>
          <w:ilvl w:val="0"/>
          <w:numId w:val="18"/>
        </w:numPr>
        <w:spacing w:after="0"/>
        <w:jc w:val="both"/>
        <w:rPr>
          <w:rFonts w:ascii="Garamond" w:hAnsi="Garamond"/>
        </w:rPr>
      </w:pPr>
      <w:r w:rsidRPr="003A5E9E">
        <w:rPr>
          <w:rFonts w:ascii="Garamond" w:hAnsi="Garamond"/>
          <w:b/>
          <w:bCs/>
        </w:rPr>
        <w:t>Activity</w:t>
      </w:r>
      <w:r w:rsidRPr="003A5E9E">
        <w:rPr>
          <w:rFonts w:ascii="Garamond" w:hAnsi="Garamond"/>
        </w:rPr>
        <w:t>:</w:t>
      </w:r>
    </w:p>
    <w:p w14:paraId="63F41270" w14:textId="77777777" w:rsidR="006F65AB" w:rsidRPr="003A5E9E" w:rsidRDefault="006F65AB" w:rsidP="003A5E9E">
      <w:pPr>
        <w:numPr>
          <w:ilvl w:val="1"/>
          <w:numId w:val="18"/>
        </w:numPr>
        <w:spacing w:after="0"/>
        <w:jc w:val="both"/>
        <w:rPr>
          <w:rFonts w:ascii="Garamond" w:hAnsi="Garamond"/>
        </w:rPr>
      </w:pPr>
      <w:r w:rsidRPr="003A5E9E">
        <w:rPr>
          <w:rFonts w:ascii="Garamond" w:hAnsi="Garamond"/>
          <w:b/>
          <w:bCs/>
        </w:rPr>
        <w:t>Case Analysis (10 min)</w:t>
      </w:r>
      <w:r w:rsidRPr="003A5E9E">
        <w:rPr>
          <w:rFonts w:ascii="Garamond" w:hAnsi="Garamond"/>
        </w:rPr>
        <w:t xml:space="preserve">: Groups </w:t>
      </w:r>
      <w:proofErr w:type="spellStart"/>
      <w:r w:rsidRPr="003A5E9E">
        <w:rPr>
          <w:rFonts w:ascii="Garamond" w:hAnsi="Garamond"/>
        </w:rPr>
        <w:t>analyze</w:t>
      </w:r>
      <w:proofErr w:type="spellEnd"/>
      <w:r w:rsidRPr="003A5E9E">
        <w:rPr>
          <w:rFonts w:ascii="Garamond" w:hAnsi="Garamond"/>
        </w:rPr>
        <w:t xml:space="preserve"> a </w:t>
      </w:r>
      <w:proofErr w:type="gramStart"/>
      <w:r w:rsidRPr="003A5E9E">
        <w:rPr>
          <w:rFonts w:ascii="Garamond" w:hAnsi="Garamond"/>
        </w:rPr>
        <w:t>mini-case</w:t>
      </w:r>
      <w:proofErr w:type="gramEnd"/>
      <w:r w:rsidRPr="003A5E9E">
        <w:rPr>
          <w:rFonts w:ascii="Garamond" w:hAnsi="Garamond"/>
        </w:rPr>
        <w:t xml:space="preserve"> (e.g., General Electric’s diversification issues). Identify one agency problem and propose a governance solution. Reference Figure 10.2 (Risk and Diversification).</w:t>
      </w:r>
    </w:p>
    <w:p w14:paraId="25743E49" w14:textId="77777777" w:rsidR="006F65AB" w:rsidRPr="003A5E9E" w:rsidRDefault="006F65AB" w:rsidP="003A5E9E">
      <w:pPr>
        <w:spacing w:after="0"/>
        <w:jc w:val="both"/>
        <w:rPr>
          <w:rFonts w:ascii="Garamond" w:hAnsi="Garamond"/>
        </w:rPr>
      </w:pPr>
      <w:r w:rsidRPr="003A5E9E">
        <w:rPr>
          <w:rFonts w:ascii="Garamond" w:hAnsi="Garamond"/>
          <w:b/>
          <w:bCs/>
        </w:rPr>
        <w:t>3. Internal Governance Mechanisms (40-45 minutes)</w:t>
      </w:r>
    </w:p>
    <w:p w14:paraId="77864A10" w14:textId="77777777" w:rsidR="006F65AB" w:rsidRPr="003A5E9E" w:rsidRDefault="006F65AB" w:rsidP="003A5E9E">
      <w:pPr>
        <w:numPr>
          <w:ilvl w:val="0"/>
          <w:numId w:val="19"/>
        </w:numPr>
        <w:spacing w:after="0"/>
        <w:jc w:val="both"/>
        <w:rPr>
          <w:rFonts w:ascii="Garamond" w:hAnsi="Garamond"/>
        </w:rPr>
      </w:pPr>
      <w:r w:rsidRPr="003A5E9E">
        <w:rPr>
          <w:rFonts w:ascii="Garamond" w:hAnsi="Garamond"/>
          <w:b/>
          <w:bCs/>
        </w:rPr>
        <w:t>Objective</w:t>
      </w:r>
      <w:r w:rsidRPr="003A5E9E">
        <w:rPr>
          <w:rFonts w:ascii="Garamond" w:hAnsi="Garamond"/>
        </w:rPr>
        <w:t>: Explore ownership concentration, boards of directors, and executive compensation.</w:t>
      </w:r>
    </w:p>
    <w:p w14:paraId="75D435F4" w14:textId="77777777" w:rsidR="006F65AB" w:rsidRPr="003A5E9E" w:rsidRDefault="006F65AB" w:rsidP="003A5E9E">
      <w:pPr>
        <w:numPr>
          <w:ilvl w:val="0"/>
          <w:numId w:val="19"/>
        </w:numPr>
        <w:spacing w:after="0"/>
        <w:jc w:val="both"/>
        <w:rPr>
          <w:rFonts w:ascii="Garamond" w:hAnsi="Garamond"/>
        </w:rPr>
      </w:pPr>
      <w:r w:rsidRPr="003A5E9E">
        <w:rPr>
          <w:rFonts w:ascii="Garamond" w:hAnsi="Garamond"/>
          <w:b/>
          <w:bCs/>
        </w:rPr>
        <w:t>Content</w:t>
      </w:r>
      <w:r w:rsidRPr="003A5E9E">
        <w:rPr>
          <w:rFonts w:ascii="Garamond" w:hAnsi="Garamond"/>
        </w:rPr>
        <w:t>:</w:t>
      </w:r>
    </w:p>
    <w:p w14:paraId="6926D271" w14:textId="77777777" w:rsidR="006F65AB" w:rsidRPr="003A5E9E" w:rsidRDefault="006F65AB" w:rsidP="003A5E9E">
      <w:pPr>
        <w:numPr>
          <w:ilvl w:val="1"/>
          <w:numId w:val="19"/>
        </w:numPr>
        <w:spacing w:after="0"/>
        <w:jc w:val="both"/>
        <w:rPr>
          <w:rFonts w:ascii="Garamond" w:hAnsi="Garamond"/>
        </w:rPr>
      </w:pPr>
      <w:r w:rsidRPr="003A5E9E">
        <w:rPr>
          <w:rFonts w:ascii="Garamond" w:hAnsi="Garamond"/>
          <w:b/>
          <w:bCs/>
        </w:rPr>
        <w:t>Ownership Concentration</w:t>
      </w:r>
      <w:r w:rsidRPr="003A5E9E">
        <w:rPr>
          <w:rFonts w:ascii="Garamond" w:hAnsi="Garamond"/>
        </w:rPr>
        <w:t>: Large-block shareholders (e.g., BlackRock) monitor effectively; diffuse ownership weakens oversight.</w:t>
      </w:r>
    </w:p>
    <w:p w14:paraId="11641C2F" w14:textId="77777777" w:rsidR="006F65AB" w:rsidRPr="003A5E9E" w:rsidRDefault="006F65AB" w:rsidP="003A5E9E">
      <w:pPr>
        <w:numPr>
          <w:ilvl w:val="1"/>
          <w:numId w:val="19"/>
        </w:numPr>
        <w:spacing w:after="0"/>
        <w:jc w:val="both"/>
        <w:rPr>
          <w:rFonts w:ascii="Garamond" w:hAnsi="Garamond"/>
        </w:rPr>
      </w:pPr>
      <w:r w:rsidRPr="003A5E9E">
        <w:rPr>
          <w:rFonts w:ascii="Garamond" w:hAnsi="Garamond"/>
          <w:b/>
          <w:bCs/>
        </w:rPr>
        <w:t>Board of Directors</w:t>
      </w:r>
      <w:r w:rsidRPr="003A5E9E">
        <w:rPr>
          <w:rFonts w:ascii="Garamond" w:hAnsi="Garamond"/>
        </w:rPr>
        <w:t>: Includes insiders, related outsiders, outsiders (Table 10.1); Sarbanes-Oxley/Dodd-Frank enhance independence.</w:t>
      </w:r>
    </w:p>
    <w:p w14:paraId="4899F677" w14:textId="77777777" w:rsidR="006F65AB" w:rsidRPr="003A5E9E" w:rsidRDefault="006F65AB" w:rsidP="003A5E9E">
      <w:pPr>
        <w:numPr>
          <w:ilvl w:val="1"/>
          <w:numId w:val="19"/>
        </w:numPr>
        <w:spacing w:after="0"/>
        <w:jc w:val="both"/>
        <w:rPr>
          <w:rFonts w:ascii="Garamond" w:hAnsi="Garamond"/>
        </w:rPr>
      </w:pPr>
      <w:r w:rsidRPr="003A5E9E">
        <w:rPr>
          <w:rFonts w:ascii="Garamond" w:hAnsi="Garamond"/>
          <w:b/>
          <w:bCs/>
        </w:rPr>
        <w:t>Executive Compensation</w:t>
      </w:r>
      <w:r w:rsidRPr="003A5E9E">
        <w:rPr>
          <w:rFonts w:ascii="Garamond" w:hAnsi="Garamond"/>
        </w:rPr>
        <w:t>: Salary, bonuses, stock options align interests but can be manipulated (e.g., CEO-to-worker pay ratio 140:1).</w:t>
      </w:r>
    </w:p>
    <w:p w14:paraId="55910055" w14:textId="77777777" w:rsidR="006F65AB" w:rsidRPr="003A5E9E" w:rsidRDefault="006F65AB" w:rsidP="003A5E9E">
      <w:pPr>
        <w:numPr>
          <w:ilvl w:val="1"/>
          <w:numId w:val="19"/>
        </w:numPr>
        <w:spacing w:after="0"/>
        <w:jc w:val="both"/>
        <w:rPr>
          <w:rFonts w:ascii="Garamond" w:hAnsi="Garamond"/>
        </w:rPr>
      </w:pPr>
      <w:r w:rsidRPr="003A5E9E">
        <w:rPr>
          <w:rFonts w:ascii="Garamond" w:hAnsi="Garamond"/>
          <w:b/>
          <w:bCs/>
        </w:rPr>
        <w:t>Example</w:t>
      </w:r>
      <w:r w:rsidRPr="003A5E9E">
        <w:rPr>
          <w:rFonts w:ascii="Garamond" w:hAnsi="Garamond"/>
        </w:rPr>
        <w:t>: Trian Partners’ influence on GE’s board and CEO (Strategic Focus).</w:t>
      </w:r>
    </w:p>
    <w:p w14:paraId="36C69332" w14:textId="77777777" w:rsidR="006F65AB" w:rsidRPr="003A5E9E" w:rsidRDefault="006F65AB" w:rsidP="003A5E9E">
      <w:pPr>
        <w:numPr>
          <w:ilvl w:val="0"/>
          <w:numId w:val="19"/>
        </w:numPr>
        <w:spacing w:after="0"/>
        <w:jc w:val="both"/>
        <w:rPr>
          <w:rFonts w:ascii="Garamond" w:hAnsi="Garamond"/>
        </w:rPr>
      </w:pPr>
      <w:r w:rsidRPr="003A5E9E">
        <w:rPr>
          <w:rFonts w:ascii="Garamond" w:hAnsi="Garamond"/>
          <w:b/>
          <w:bCs/>
        </w:rPr>
        <w:t>Activity</w:t>
      </w:r>
      <w:r w:rsidRPr="003A5E9E">
        <w:rPr>
          <w:rFonts w:ascii="Garamond" w:hAnsi="Garamond"/>
        </w:rPr>
        <w:t>:</w:t>
      </w:r>
    </w:p>
    <w:p w14:paraId="7B09C897" w14:textId="77777777" w:rsidR="006F65AB" w:rsidRPr="003A5E9E" w:rsidRDefault="006F65AB" w:rsidP="003A5E9E">
      <w:pPr>
        <w:numPr>
          <w:ilvl w:val="1"/>
          <w:numId w:val="19"/>
        </w:numPr>
        <w:spacing w:after="0"/>
        <w:jc w:val="both"/>
        <w:rPr>
          <w:rFonts w:ascii="Garamond" w:hAnsi="Garamond"/>
        </w:rPr>
      </w:pPr>
      <w:r w:rsidRPr="003A5E9E">
        <w:rPr>
          <w:rFonts w:ascii="Garamond" w:hAnsi="Garamond"/>
          <w:b/>
          <w:bCs/>
        </w:rPr>
        <w:t>Governance Problem-Solving (15 min)</w:t>
      </w:r>
      <w:r w:rsidRPr="003A5E9E">
        <w:rPr>
          <w:rFonts w:ascii="Garamond" w:hAnsi="Garamond"/>
        </w:rPr>
        <w:t>: Provide a failed governance scenario (e.g., excessive CEO bonus despite poor performance). Pairs identify one mechanism (e.g., board oversight) and propose improvements. Share with class.</w:t>
      </w:r>
    </w:p>
    <w:p w14:paraId="41614A7B" w14:textId="77777777" w:rsidR="006F65AB" w:rsidRPr="003A5E9E" w:rsidRDefault="006F65AB" w:rsidP="003A5E9E">
      <w:pPr>
        <w:spacing w:after="0"/>
        <w:jc w:val="both"/>
        <w:rPr>
          <w:rFonts w:ascii="Garamond" w:hAnsi="Garamond"/>
        </w:rPr>
      </w:pPr>
      <w:r w:rsidRPr="003A5E9E">
        <w:rPr>
          <w:rFonts w:ascii="Garamond" w:hAnsi="Garamond"/>
          <w:b/>
          <w:bCs/>
        </w:rPr>
        <w:t>4. Market for Corporate Control (30-35 minutes)</w:t>
      </w:r>
    </w:p>
    <w:p w14:paraId="4C7333D0" w14:textId="17D1EAED" w:rsidR="006F65AB" w:rsidRPr="003A5E9E" w:rsidRDefault="006F65AB" w:rsidP="003A5E9E">
      <w:pPr>
        <w:numPr>
          <w:ilvl w:val="0"/>
          <w:numId w:val="20"/>
        </w:numPr>
        <w:spacing w:after="0"/>
        <w:jc w:val="both"/>
        <w:rPr>
          <w:rFonts w:ascii="Garamond" w:hAnsi="Garamond"/>
        </w:rPr>
      </w:pPr>
      <w:r w:rsidRPr="003A5E9E">
        <w:rPr>
          <w:rFonts w:ascii="Garamond" w:hAnsi="Garamond"/>
          <w:b/>
          <w:bCs/>
        </w:rPr>
        <w:t>Objective</w:t>
      </w:r>
      <w:r w:rsidRPr="003A5E9E">
        <w:rPr>
          <w:rFonts w:ascii="Garamond" w:hAnsi="Garamond"/>
        </w:rPr>
        <w:t xml:space="preserve">: Understand the external governance mechanism and managerial </w:t>
      </w:r>
      <w:r w:rsidR="004015D5" w:rsidRPr="003A5E9E">
        <w:rPr>
          <w:rFonts w:ascii="Garamond" w:hAnsi="Garamond"/>
        </w:rPr>
        <w:t>defences</w:t>
      </w:r>
      <w:r w:rsidRPr="003A5E9E">
        <w:rPr>
          <w:rFonts w:ascii="Garamond" w:hAnsi="Garamond"/>
        </w:rPr>
        <w:t>.</w:t>
      </w:r>
    </w:p>
    <w:p w14:paraId="7A979850" w14:textId="77777777" w:rsidR="006F65AB" w:rsidRPr="003A5E9E" w:rsidRDefault="006F65AB" w:rsidP="003A5E9E">
      <w:pPr>
        <w:numPr>
          <w:ilvl w:val="0"/>
          <w:numId w:val="20"/>
        </w:numPr>
        <w:spacing w:after="0"/>
        <w:jc w:val="both"/>
        <w:rPr>
          <w:rFonts w:ascii="Garamond" w:hAnsi="Garamond"/>
        </w:rPr>
      </w:pPr>
      <w:r w:rsidRPr="003A5E9E">
        <w:rPr>
          <w:rFonts w:ascii="Garamond" w:hAnsi="Garamond"/>
          <w:b/>
          <w:bCs/>
        </w:rPr>
        <w:t>Content</w:t>
      </w:r>
      <w:r w:rsidRPr="003A5E9E">
        <w:rPr>
          <w:rFonts w:ascii="Garamond" w:hAnsi="Garamond"/>
        </w:rPr>
        <w:t>:</w:t>
      </w:r>
    </w:p>
    <w:p w14:paraId="24BB2887" w14:textId="77777777" w:rsidR="006F65AB" w:rsidRPr="003A5E9E" w:rsidRDefault="006F65AB" w:rsidP="003A5E9E">
      <w:pPr>
        <w:numPr>
          <w:ilvl w:val="1"/>
          <w:numId w:val="20"/>
        </w:numPr>
        <w:spacing w:after="0"/>
        <w:jc w:val="both"/>
        <w:rPr>
          <w:rFonts w:ascii="Garamond" w:hAnsi="Garamond"/>
        </w:rPr>
      </w:pPr>
      <w:r w:rsidRPr="003A5E9E">
        <w:rPr>
          <w:rFonts w:ascii="Garamond" w:hAnsi="Garamond"/>
          <w:b/>
          <w:bCs/>
        </w:rPr>
        <w:t>Definition</w:t>
      </w:r>
      <w:r w:rsidRPr="003A5E9E">
        <w:rPr>
          <w:rFonts w:ascii="Garamond" w:hAnsi="Garamond"/>
        </w:rPr>
        <w:t>: Acquiring undervalued firms to replace management when internal controls fail.</w:t>
      </w:r>
    </w:p>
    <w:p w14:paraId="3B0E9970" w14:textId="77777777" w:rsidR="006F65AB" w:rsidRPr="003A5E9E" w:rsidRDefault="006F65AB" w:rsidP="003A5E9E">
      <w:pPr>
        <w:numPr>
          <w:ilvl w:val="1"/>
          <w:numId w:val="20"/>
        </w:numPr>
        <w:spacing w:after="0"/>
        <w:jc w:val="both"/>
        <w:rPr>
          <w:rFonts w:ascii="Garamond" w:hAnsi="Garamond"/>
        </w:rPr>
      </w:pPr>
      <w:r w:rsidRPr="003A5E9E">
        <w:rPr>
          <w:rFonts w:ascii="Garamond" w:hAnsi="Garamond"/>
          <w:b/>
          <w:bCs/>
        </w:rPr>
        <w:t>Triggers</w:t>
      </w:r>
      <w:r w:rsidRPr="003A5E9E">
        <w:rPr>
          <w:rFonts w:ascii="Garamond" w:hAnsi="Garamond"/>
        </w:rPr>
        <w:t>: Poor performance signals governance failure.</w:t>
      </w:r>
    </w:p>
    <w:p w14:paraId="3A2121B9" w14:textId="7EB5ABFC" w:rsidR="006F65AB" w:rsidRPr="003A5E9E" w:rsidRDefault="004015D5" w:rsidP="003A5E9E">
      <w:pPr>
        <w:numPr>
          <w:ilvl w:val="1"/>
          <w:numId w:val="20"/>
        </w:numPr>
        <w:spacing w:after="0"/>
        <w:jc w:val="both"/>
        <w:rPr>
          <w:rFonts w:ascii="Garamond" w:hAnsi="Garamond"/>
        </w:rPr>
      </w:pPr>
      <w:r w:rsidRPr="003A5E9E">
        <w:rPr>
          <w:rFonts w:ascii="Garamond" w:hAnsi="Garamond"/>
          <w:b/>
          <w:bCs/>
        </w:rPr>
        <w:t>Defences</w:t>
      </w:r>
      <w:r w:rsidR="006F65AB" w:rsidRPr="003A5E9E">
        <w:rPr>
          <w:rFonts w:ascii="Garamond" w:hAnsi="Garamond"/>
        </w:rPr>
        <w:t>: Golden parachutes, poison pills (Table 10.2).</w:t>
      </w:r>
    </w:p>
    <w:p w14:paraId="24178D5A" w14:textId="6A8869DC" w:rsidR="006F65AB" w:rsidRPr="003A5E9E" w:rsidRDefault="006F65AB" w:rsidP="003A5E9E">
      <w:pPr>
        <w:numPr>
          <w:ilvl w:val="1"/>
          <w:numId w:val="20"/>
        </w:numPr>
        <w:spacing w:after="0"/>
        <w:jc w:val="both"/>
        <w:rPr>
          <w:rFonts w:ascii="Garamond" w:hAnsi="Garamond"/>
        </w:rPr>
      </w:pPr>
      <w:r w:rsidRPr="003A5E9E">
        <w:rPr>
          <w:rFonts w:ascii="Garamond" w:hAnsi="Garamond"/>
          <w:b/>
          <w:bCs/>
        </w:rPr>
        <w:t>Limitations</w:t>
      </w:r>
      <w:r w:rsidRPr="003A5E9E">
        <w:rPr>
          <w:rFonts w:ascii="Garamond" w:hAnsi="Garamond"/>
        </w:rPr>
        <w:t xml:space="preserve">: Inefficient targeting, costly </w:t>
      </w:r>
      <w:r w:rsidR="004015D5" w:rsidRPr="003A5E9E">
        <w:rPr>
          <w:rFonts w:ascii="Garamond" w:hAnsi="Garamond"/>
        </w:rPr>
        <w:t>defences</w:t>
      </w:r>
      <w:r w:rsidRPr="003A5E9E">
        <w:rPr>
          <w:rFonts w:ascii="Garamond" w:hAnsi="Garamond"/>
        </w:rPr>
        <w:t>.</w:t>
      </w:r>
    </w:p>
    <w:p w14:paraId="369672B0" w14:textId="6DD3D4FB" w:rsidR="006F65AB" w:rsidRPr="003A5E9E" w:rsidRDefault="006F65AB" w:rsidP="003A5E9E">
      <w:pPr>
        <w:numPr>
          <w:ilvl w:val="1"/>
          <w:numId w:val="20"/>
        </w:numPr>
        <w:spacing w:after="0"/>
        <w:jc w:val="both"/>
        <w:rPr>
          <w:rFonts w:ascii="Garamond" w:hAnsi="Garamond"/>
        </w:rPr>
      </w:pPr>
      <w:r w:rsidRPr="003A5E9E">
        <w:rPr>
          <w:rFonts w:ascii="Garamond" w:hAnsi="Garamond"/>
          <w:b/>
          <w:bCs/>
        </w:rPr>
        <w:t>Example</w:t>
      </w:r>
      <w:r w:rsidRPr="003A5E9E">
        <w:rPr>
          <w:rFonts w:ascii="Garamond" w:hAnsi="Garamond"/>
        </w:rPr>
        <w:t xml:space="preserve">: Dodd-Frank’s impact on CEO </w:t>
      </w:r>
      <w:r w:rsidR="004015D5" w:rsidRPr="003A5E9E">
        <w:rPr>
          <w:rFonts w:ascii="Garamond" w:hAnsi="Garamond"/>
        </w:rPr>
        <w:t>pays</w:t>
      </w:r>
      <w:r w:rsidRPr="003A5E9E">
        <w:rPr>
          <w:rFonts w:ascii="Garamond" w:hAnsi="Garamond"/>
        </w:rPr>
        <w:t xml:space="preserve"> transparency (Strategic Focus).</w:t>
      </w:r>
    </w:p>
    <w:p w14:paraId="44BA9E3B" w14:textId="77777777" w:rsidR="006F65AB" w:rsidRPr="003A5E9E" w:rsidRDefault="006F65AB" w:rsidP="003A5E9E">
      <w:pPr>
        <w:numPr>
          <w:ilvl w:val="0"/>
          <w:numId w:val="20"/>
        </w:numPr>
        <w:spacing w:after="0"/>
        <w:jc w:val="both"/>
        <w:rPr>
          <w:rFonts w:ascii="Garamond" w:hAnsi="Garamond"/>
        </w:rPr>
      </w:pPr>
      <w:r w:rsidRPr="003A5E9E">
        <w:rPr>
          <w:rFonts w:ascii="Garamond" w:hAnsi="Garamond"/>
          <w:b/>
          <w:bCs/>
        </w:rPr>
        <w:t>Activity</w:t>
      </w:r>
      <w:r w:rsidRPr="003A5E9E">
        <w:rPr>
          <w:rFonts w:ascii="Garamond" w:hAnsi="Garamond"/>
        </w:rPr>
        <w:t>:</w:t>
      </w:r>
    </w:p>
    <w:p w14:paraId="46552489" w14:textId="77777777" w:rsidR="006F65AB" w:rsidRPr="003A5E9E" w:rsidRDefault="006F65AB" w:rsidP="003A5E9E">
      <w:pPr>
        <w:numPr>
          <w:ilvl w:val="1"/>
          <w:numId w:val="20"/>
        </w:numPr>
        <w:spacing w:after="0"/>
        <w:jc w:val="both"/>
        <w:rPr>
          <w:rFonts w:ascii="Garamond" w:hAnsi="Garamond"/>
        </w:rPr>
      </w:pPr>
      <w:r w:rsidRPr="003A5E9E">
        <w:rPr>
          <w:rFonts w:ascii="Garamond" w:hAnsi="Garamond"/>
          <w:b/>
          <w:bCs/>
        </w:rPr>
        <w:t>Success Checklist (10 min)</w:t>
      </w:r>
      <w:r w:rsidRPr="003A5E9E">
        <w:rPr>
          <w:rFonts w:ascii="Garamond" w:hAnsi="Garamond"/>
        </w:rPr>
        <w:t>: Groups create a 5-point checklist for effective governance to prevent takeovers, based on Table 10.2. Apply to a hypothetical firm facing a hostile bid. Discuss.</w:t>
      </w:r>
    </w:p>
    <w:p w14:paraId="4B677336" w14:textId="77777777" w:rsidR="006F65AB" w:rsidRPr="003A5E9E" w:rsidRDefault="006F65AB" w:rsidP="003A5E9E">
      <w:pPr>
        <w:spacing w:after="0"/>
        <w:jc w:val="both"/>
        <w:rPr>
          <w:rFonts w:ascii="Garamond" w:hAnsi="Garamond"/>
        </w:rPr>
      </w:pPr>
      <w:r w:rsidRPr="003A5E9E">
        <w:rPr>
          <w:rFonts w:ascii="Garamond" w:hAnsi="Garamond"/>
          <w:b/>
          <w:bCs/>
        </w:rPr>
        <w:t>5. International Corporate Governance and Ethics (30-35 minutes)</w:t>
      </w:r>
    </w:p>
    <w:p w14:paraId="5ABBB77B" w14:textId="6B73D175" w:rsidR="006F65AB" w:rsidRPr="003A5E9E" w:rsidRDefault="006F65AB" w:rsidP="003A5E9E">
      <w:pPr>
        <w:numPr>
          <w:ilvl w:val="0"/>
          <w:numId w:val="21"/>
        </w:numPr>
        <w:spacing w:after="0"/>
        <w:jc w:val="both"/>
        <w:rPr>
          <w:rFonts w:ascii="Garamond" w:hAnsi="Garamond"/>
        </w:rPr>
      </w:pPr>
      <w:r w:rsidRPr="003A5E9E">
        <w:rPr>
          <w:rFonts w:ascii="Garamond" w:hAnsi="Garamond"/>
          <w:b/>
          <w:bCs/>
        </w:rPr>
        <w:t>Objective</w:t>
      </w:r>
      <w:r w:rsidRPr="003A5E9E">
        <w:rPr>
          <w:rFonts w:ascii="Garamond" w:hAnsi="Garamond"/>
        </w:rPr>
        <w:t xml:space="preserve">: Compare global governance systems and link to ethical </w:t>
      </w:r>
      <w:r w:rsidR="004015D5" w:rsidRPr="003A5E9E">
        <w:rPr>
          <w:rFonts w:ascii="Garamond" w:hAnsi="Garamond"/>
        </w:rPr>
        <w:t>behaviour</w:t>
      </w:r>
      <w:r w:rsidRPr="003A5E9E">
        <w:rPr>
          <w:rFonts w:ascii="Garamond" w:hAnsi="Garamond"/>
        </w:rPr>
        <w:t>.</w:t>
      </w:r>
    </w:p>
    <w:p w14:paraId="6E7AD3DB" w14:textId="77777777" w:rsidR="006F65AB" w:rsidRPr="003A5E9E" w:rsidRDefault="006F65AB" w:rsidP="003A5E9E">
      <w:pPr>
        <w:numPr>
          <w:ilvl w:val="0"/>
          <w:numId w:val="21"/>
        </w:numPr>
        <w:spacing w:after="0"/>
        <w:jc w:val="both"/>
        <w:rPr>
          <w:rFonts w:ascii="Garamond" w:hAnsi="Garamond"/>
        </w:rPr>
      </w:pPr>
      <w:r w:rsidRPr="003A5E9E">
        <w:rPr>
          <w:rFonts w:ascii="Garamond" w:hAnsi="Garamond"/>
          <w:b/>
          <w:bCs/>
        </w:rPr>
        <w:t>Content</w:t>
      </w:r>
      <w:r w:rsidRPr="003A5E9E">
        <w:rPr>
          <w:rFonts w:ascii="Garamond" w:hAnsi="Garamond"/>
        </w:rPr>
        <w:t>:</w:t>
      </w:r>
    </w:p>
    <w:p w14:paraId="791E6128" w14:textId="2D9B6FA8" w:rsidR="006F65AB" w:rsidRPr="003A5E9E" w:rsidRDefault="006F65AB" w:rsidP="003A5E9E">
      <w:pPr>
        <w:numPr>
          <w:ilvl w:val="1"/>
          <w:numId w:val="21"/>
        </w:numPr>
        <w:spacing w:after="0"/>
        <w:jc w:val="both"/>
        <w:rPr>
          <w:rFonts w:ascii="Garamond" w:hAnsi="Garamond"/>
        </w:rPr>
      </w:pPr>
      <w:r w:rsidRPr="003A5E9E">
        <w:rPr>
          <w:rFonts w:ascii="Garamond" w:hAnsi="Garamond"/>
          <w:b/>
          <w:bCs/>
        </w:rPr>
        <w:t>Germany</w:t>
      </w:r>
      <w:r w:rsidRPr="003A5E9E">
        <w:rPr>
          <w:rFonts w:ascii="Garamond" w:hAnsi="Garamond"/>
        </w:rPr>
        <w:t xml:space="preserve">: Bank-dominated, two-tier boards; less shareholder </w:t>
      </w:r>
      <w:r w:rsidR="004015D5" w:rsidRPr="003A5E9E">
        <w:rPr>
          <w:rFonts w:ascii="Garamond" w:hAnsi="Garamond"/>
        </w:rPr>
        <w:t>focuses</w:t>
      </w:r>
      <w:r w:rsidRPr="003A5E9E">
        <w:rPr>
          <w:rFonts w:ascii="Garamond" w:hAnsi="Garamond"/>
        </w:rPr>
        <w:t xml:space="preserve"> historically.</w:t>
      </w:r>
    </w:p>
    <w:p w14:paraId="1D822B40" w14:textId="77777777" w:rsidR="006F65AB" w:rsidRPr="003A5E9E" w:rsidRDefault="006F65AB" w:rsidP="003A5E9E">
      <w:pPr>
        <w:numPr>
          <w:ilvl w:val="1"/>
          <w:numId w:val="21"/>
        </w:numPr>
        <w:spacing w:after="0"/>
        <w:jc w:val="both"/>
        <w:rPr>
          <w:rFonts w:ascii="Garamond" w:hAnsi="Garamond"/>
        </w:rPr>
      </w:pPr>
      <w:r w:rsidRPr="003A5E9E">
        <w:rPr>
          <w:rFonts w:ascii="Garamond" w:hAnsi="Garamond"/>
          <w:b/>
          <w:bCs/>
        </w:rPr>
        <w:t>Japan</w:t>
      </w:r>
      <w:r w:rsidRPr="003A5E9E">
        <w:rPr>
          <w:rFonts w:ascii="Garamond" w:hAnsi="Garamond"/>
        </w:rPr>
        <w:t>: Keiretsu, consensus-driven; banks monitor but influence wanes.</w:t>
      </w:r>
    </w:p>
    <w:p w14:paraId="25C2097F" w14:textId="77777777" w:rsidR="006F65AB" w:rsidRPr="003A5E9E" w:rsidRDefault="006F65AB" w:rsidP="003A5E9E">
      <w:pPr>
        <w:numPr>
          <w:ilvl w:val="1"/>
          <w:numId w:val="21"/>
        </w:numPr>
        <w:spacing w:after="0"/>
        <w:jc w:val="both"/>
        <w:rPr>
          <w:rFonts w:ascii="Garamond" w:hAnsi="Garamond"/>
        </w:rPr>
      </w:pPr>
      <w:r w:rsidRPr="003A5E9E">
        <w:rPr>
          <w:rFonts w:ascii="Garamond" w:hAnsi="Garamond"/>
          <w:b/>
          <w:bCs/>
        </w:rPr>
        <w:t>China</w:t>
      </w:r>
      <w:r w:rsidRPr="003A5E9E">
        <w:rPr>
          <w:rFonts w:ascii="Garamond" w:hAnsi="Garamond"/>
        </w:rPr>
        <w:t>: State-dominated, shifting to Western models.</w:t>
      </w:r>
    </w:p>
    <w:p w14:paraId="1FF31F69" w14:textId="77777777" w:rsidR="006F65AB" w:rsidRPr="003A5E9E" w:rsidRDefault="006F65AB" w:rsidP="003A5E9E">
      <w:pPr>
        <w:numPr>
          <w:ilvl w:val="1"/>
          <w:numId w:val="21"/>
        </w:numPr>
        <w:spacing w:after="0"/>
        <w:jc w:val="both"/>
        <w:rPr>
          <w:rFonts w:ascii="Garamond" w:hAnsi="Garamond"/>
        </w:rPr>
      </w:pPr>
      <w:r w:rsidRPr="003A5E9E">
        <w:rPr>
          <w:rFonts w:ascii="Garamond" w:hAnsi="Garamond"/>
          <w:b/>
          <w:bCs/>
        </w:rPr>
        <w:t>Ethics</w:t>
      </w:r>
      <w:r w:rsidRPr="003A5E9E">
        <w:rPr>
          <w:rFonts w:ascii="Garamond" w:hAnsi="Garamond"/>
        </w:rPr>
        <w:t>: Governance balances all stakeholders’ interests (e.g., employees, customers), fostering ethical decisions.</w:t>
      </w:r>
    </w:p>
    <w:p w14:paraId="4D08C38E" w14:textId="77777777" w:rsidR="006F65AB" w:rsidRPr="003A5E9E" w:rsidRDefault="006F65AB" w:rsidP="003A5E9E">
      <w:pPr>
        <w:numPr>
          <w:ilvl w:val="1"/>
          <w:numId w:val="21"/>
        </w:numPr>
        <w:spacing w:after="0"/>
        <w:jc w:val="both"/>
        <w:rPr>
          <w:rFonts w:ascii="Garamond" w:hAnsi="Garamond"/>
        </w:rPr>
      </w:pPr>
      <w:r w:rsidRPr="003A5E9E">
        <w:rPr>
          <w:rFonts w:ascii="Garamond" w:hAnsi="Garamond"/>
          <w:b/>
          <w:bCs/>
        </w:rPr>
        <w:t>Example</w:t>
      </w:r>
      <w:r w:rsidRPr="003A5E9E">
        <w:rPr>
          <w:rFonts w:ascii="Garamond" w:hAnsi="Garamond"/>
        </w:rPr>
        <w:t>: Alibaba’s NYSE listing due to China’s governance rules (Video Quiz).</w:t>
      </w:r>
    </w:p>
    <w:p w14:paraId="6442F234" w14:textId="77777777" w:rsidR="006F65AB" w:rsidRPr="003A5E9E" w:rsidRDefault="006F65AB" w:rsidP="003A5E9E">
      <w:pPr>
        <w:numPr>
          <w:ilvl w:val="0"/>
          <w:numId w:val="21"/>
        </w:numPr>
        <w:spacing w:after="0"/>
        <w:jc w:val="both"/>
        <w:rPr>
          <w:rFonts w:ascii="Garamond" w:hAnsi="Garamond"/>
        </w:rPr>
      </w:pPr>
      <w:r w:rsidRPr="003A5E9E">
        <w:rPr>
          <w:rFonts w:ascii="Garamond" w:hAnsi="Garamond"/>
          <w:b/>
          <w:bCs/>
        </w:rPr>
        <w:t>Activity</w:t>
      </w:r>
      <w:r w:rsidRPr="003A5E9E">
        <w:rPr>
          <w:rFonts w:ascii="Garamond" w:hAnsi="Garamond"/>
        </w:rPr>
        <w:t>:</w:t>
      </w:r>
    </w:p>
    <w:p w14:paraId="7752AA00" w14:textId="77777777" w:rsidR="006F65AB" w:rsidRPr="003A5E9E" w:rsidRDefault="006F65AB" w:rsidP="003A5E9E">
      <w:pPr>
        <w:numPr>
          <w:ilvl w:val="1"/>
          <w:numId w:val="21"/>
        </w:numPr>
        <w:spacing w:after="0"/>
        <w:jc w:val="both"/>
        <w:rPr>
          <w:rFonts w:ascii="Garamond" w:hAnsi="Garamond"/>
        </w:rPr>
      </w:pPr>
      <w:r w:rsidRPr="003A5E9E">
        <w:rPr>
          <w:rFonts w:ascii="Garamond" w:hAnsi="Garamond"/>
          <w:b/>
          <w:bCs/>
        </w:rPr>
        <w:lastRenderedPageBreak/>
        <w:t>Ethical Dilemma Match (10 min)</w:t>
      </w:r>
      <w:r w:rsidRPr="003A5E9E">
        <w:rPr>
          <w:rFonts w:ascii="Garamond" w:hAnsi="Garamond"/>
        </w:rPr>
        <w:t>: Provide examples (e.g., China’s state-driven goals vs. shareholder value). Pairs classify governance systems and predict ethical outcomes. Discuss using a comparison table.</w:t>
      </w:r>
    </w:p>
    <w:p w14:paraId="3950BE88" w14:textId="77777777" w:rsidR="006F65AB" w:rsidRPr="003A5E9E" w:rsidRDefault="006F65AB" w:rsidP="003A5E9E">
      <w:pPr>
        <w:spacing w:after="0"/>
        <w:jc w:val="both"/>
        <w:rPr>
          <w:rFonts w:ascii="Garamond" w:hAnsi="Garamond"/>
        </w:rPr>
      </w:pPr>
      <w:r w:rsidRPr="003A5E9E">
        <w:rPr>
          <w:rFonts w:ascii="Garamond" w:hAnsi="Garamond"/>
          <w:b/>
          <w:bCs/>
        </w:rPr>
        <w:t>6. Wrap-Up and Review (15-20 minutes)</w:t>
      </w:r>
    </w:p>
    <w:p w14:paraId="69AA3D0C" w14:textId="77777777" w:rsidR="006F65AB" w:rsidRPr="003A5E9E" w:rsidRDefault="006F65AB" w:rsidP="003A5E9E">
      <w:pPr>
        <w:numPr>
          <w:ilvl w:val="0"/>
          <w:numId w:val="22"/>
        </w:numPr>
        <w:spacing w:after="0"/>
        <w:jc w:val="both"/>
        <w:rPr>
          <w:rFonts w:ascii="Garamond" w:hAnsi="Garamond"/>
        </w:rPr>
      </w:pPr>
      <w:r w:rsidRPr="003A5E9E">
        <w:rPr>
          <w:rFonts w:ascii="Garamond" w:hAnsi="Garamond"/>
          <w:b/>
          <w:bCs/>
        </w:rPr>
        <w:t>Summary</w:t>
      </w:r>
      <w:r w:rsidRPr="003A5E9E">
        <w:rPr>
          <w:rFonts w:ascii="Garamond" w:hAnsi="Garamond"/>
        </w:rPr>
        <w:t>: Recap governance mechanisms, agency problems, international differences, and ethical implications.</w:t>
      </w:r>
    </w:p>
    <w:p w14:paraId="42F4E6CD" w14:textId="77777777" w:rsidR="006F65AB" w:rsidRPr="003A5E9E" w:rsidRDefault="006F65AB" w:rsidP="003A5E9E">
      <w:pPr>
        <w:numPr>
          <w:ilvl w:val="0"/>
          <w:numId w:val="22"/>
        </w:numPr>
        <w:spacing w:after="0"/>
        <w:jc w:val="both"/>
        <w:rPr>
          <w:rFonts w:ascii="Garamond" w:hAnsi="Garamond"/>
        </w:rPr>
      </w:pPr>
      <w:r w:rsidRPr="003A5E9E">
        <w:rPr>
          <w:rFonts w:ascii="Garamond" w:hAnsi="Garamond"/>
          <w:b/>
          <w:bCs/>
        </w:rPr>
        <w:t>Q&amp;A</w:t>
      </w:r>
      <w:r w:rsidRPr="003A5E9E">
        <w:rPr>
          <w:rFonts w:ascii="Garamond" w:hAnsi="Garamond"/>
        </w:rPr>
        <w:t>: Address student questions.</w:t>
      </w:r>
    </w:p>
    <w:p w14:paraId="6BB52E79" w14:textId="68F210A7" w:rsidR="006F65AB" w:rsidRPr="000F2E43" w:rsidRDefault="006F65AB" w:rsidP="000F2E43">
      <w:pPr>
        <w:numPr>
          <w:ilvl w:val="0"/>
          <w:numId w:val="22"/>
        </w:numPr>
        <w:spacing w:after="0"/>
        <w:jc w:val="both"/>
        <w:rPr>
          <w:rFonts w:ascii="Garamond" w:hAnsi="Garamond"/>
        </w:rPr>
      </w:pPr>
      <w:r w:rsidRPr="003A5E9E">
        <w:rPr>
          <w:rFonts w:ascii="Garamond" w:hAnsi="Garamond"/>
          <w:b/>
          <w:bCs/>
        </w:rPr>
        <w:t>Homework</w:t>
      </w:r>
      <w:r w:rsidRPr="003A5E9E">
        <w:rPr>
          <w:rFonts w:ascii="Garamond" w:hAnsi="Garamond"/>
        </w:rPr>
        <w:t>:</w:t>
      </w:r>
    </w:p>
    <w:p w14:paraId="20C4CF78" w14:textId="029BA270" w:rsidR="006F65AB" w:rsidRPr="003A5E9E" w:rsidRDefault="006F65AB" w:rsidP="003A5E9E">
      <w:pPr>
        <w:numPr>
          <w:ilvl w:val="1"/>
          <w:numId w:val="22"/>
        </w:numPr>
        <w:spacing w:after="0"/>
        <w:jc w:val="both"/>
        <w:rPr>
          <w:rFonts w:ascii="Garamond" w:hAnsi="Garamond"/>
        </w:rPr>
      </w:pPr>
      <w:r w:rsidRPr="003A5E9E">
        <w:rPr>
          <w:rFonts w:ascii="Garamond" w:hAnsi="Garamond"/>
        </w:rPr>
        <w:t xml:space="preserve">Answer Review </w:t>
      </w:r>
      <w:r w:rsidR="000F2E43">
        <w:rPr>
          <w:rFonts w:ascii="Garamond" w:hAnsi="Garamond"/>
        </w:rPr>
        <w:t xml:space="preserve">Quiz </w:t>
      </w:r>
      <w:r w:rsidRPr="003A5E9E">
        <w:rPr>
          <w:rFonts w:ascii="Garamond" w:hAnsi="Garamond"/>
        </w:rPr>
        <w:t xml:space="preserve">Question 8: </w:t>
      </w:r>
      <w:r w:rsidR="000F2E43">
        <w:rPr>
          <w:rFonts w:ascii="Garamond" w:hAnsi="Garamond"/>
        </w:rPr>
        <w:t>Available on Moodle</w:t>
      </w:r>
    </w:p>
    <w:p w14:paraId="3957FDA5" w14:textId="77777777" w:rsidR="006F65AB" w:rsidRPr="003A5E9E" w:rsidRDefault="006F65AB" w:rsidP="003A5E9E">
      <w:pPr>
        <w:spacing w:after="0"/>
        <w:jc w:val="both"/>
        <w:rPr>
          <w:rFonts w:ascii="Garamond" w:hAnsi="Garamond"/>
        </w:rPr>
      </w:pPr>
      <w:r w:rsidRPr="003A5E9E">
        <w:rPr>
          <w:rFonts w:ascii="Garamond" w:hAnsi="Garamond"/>
          <w:b/>
          <w:bCs/>
        </w:rPr>
        <w:t>Materials Needed</w:t>
      </w:r>
    </w:p>
    <w:p w14:paraId="48628EC5" w14:textId="42E11509" w:rsidR="006F65AB" w:rsidRPr="003A5E9E" w:rsidRDefault="006F65AB" w:rsidP="003A5E9E">
      <w:pPr>
        <w:numPr>
          <w:ilvl w:val="0"/>
          <w:numId w:val="23"/>
        </w:numPr>
        <w:spacing w:after="0"/>
        <w:jc w:val="both"/>
        <w:rPr>
          <w:rFonts w:ascii="Garamond" w:hAnsi="Garamond"/>
        </w:rPr>
      </w:pPr>
      <w:r w:rsidRPr="003A5E9E">
        <w:rPr>
          <w:rFonts w:ascii="Garamond" w:hAnsi="Garamond"/>
        </w:rPr>
        <w:t>Quiz platform</w:t>
      </w:r>
    </w:p>
    <w:p w14:paraId="4F81950E" w14:textId="77777777" w:rsidR="006F65AB" w:rsidRPr="003A5E9E" w:rsidRDefault="006F65AB" w:rsidP="003A5E9E">
      <w:pPr>
        <w:numPr>
          <w:ilvl w:val="0"/>
          <w:numId w:val="23"/>
        </w:numPr>
        <w:spacing w:after="0"/>
        <w:jc w:val="both"/>
        <w:rPr>
          <w:rFonts w:ascii="Garamond" w:hAnsi="Garamond"/>
        </w:rPr>
      </w:pPr>
      <w:r w:rsidRPr="003A5E9E">
        <w:rPr>
          <w:rFonts w:ascii="Garamond" w:hAnsi="Garamond"/>
        </w:rPr>
        <w:t>Whiteboard for activity discussions.</w:t>
      </w:r>
    </w:p>
    <w:p w14:paraId="29931692" w14:textId="77777777" w:rsidR="006F65AB" w:rsidRPr="003A5E9E" w:rsidRDefault="006F65AB" w:rsidP="003A5E9E">
      <w:pPr>
        <w:spacing w:after="0"/>
        <w:jc w:val="both"/>
        <w:rPr>
          <w:rFonts w:ascii="Garamond" w:hAnsi="Garamond"/>
        </w:rPr>
      </w:pPr>
      <w:r w:rsidRPr="003A5E9E">
        <w:rPr>
          <w:rFonts w:ascii="Garamond" w:hAnsi="Garamond"/>
          <w:b/>
          <w:bCs/>
        </w:rPr>
        <w:t>Notes for Tutors</w:t>
      </w:r>
    </w:p>
    <w:p w14:paraId="0AD5B968" w14:textId="77777777" w:rsidR="006F65AB" w:rsidRPr="003A5E9E" w:rsidRDefault="006F65AB" w:rsidP="003A5E9E">
      <w:pPr>
        <w:numPr>
          <w:ilvl w:val="0"/>
          <w:numId w:val="25"/>
        </w:numPr>
        <w:spacing w:after="0"/>
        <w:jc w:val="both"/>
        <w:rPr>
          <w:rFonts w:ascii="Garamond" w:hAnsi="Garamond"/>
        </w:rPr>
      </w:pPr>
      <w:r w:rsidRPr="003A5E9E">
        <w:rPr>
          <w:rFonts w:ascii="Garamond" w:hAnsi="Garamond"/>
        </w:rPr>
        <w:t>Use real-world examples (e.g., GE, Alibaba) to make concepts relatable.</w:t>
      </w:r>
    </w:p>
    <w:p w14:paraId="44368081" w14:textId="77777777" w:rsidR="006F65AB" w:rsidRPr="003A5E9E" w:rsidRDefault="006F65AB" w:rsidP="003A5E9E">
      <w:pPr>
        <w:numPr>
          <w:ilvl w:val="0"/>
          <w:numId w:val="25"/>
        </w:numPr>
        <w:spacing w:after="0"/>
        <w:jc w:val="both"/>
        <w:rPr>
          <w:rFonts w:ascii="Garamond" w:hAnsi="Garamond"/>
        </w:rPr>
      </w:pPr>
      <w:r w:rsidRPr="003A5E9E">
        <w:rPr>
          <w:rFonts w:ascii="Garamond" w:hAnsi="Garamond"/>
        </w:rPr>
        <w:t>Simplify technical terms (e.g., agency costs) with analogies (e.g., hiring a contractor).</w:t>
      </w:r>
    </w:p>
    <w:p w14:paraId="79ECB7C4" w14:textId="77777777" w:rsidR="006F65AB" w:rsidRPr="003A5E9E" w:rsidRDefault="006F65AB" w:rsidP="003A5E9E">
      <w:pPr>
        <w:numPr>
          <w:ilvl w:val="0"/>
          <w:numId w:val="25"/>
        </w:numPr>
        <w:spacing w:after="0"/>
        <w:jc w:val="both"/>
        <w:rPr>
          <w:rFonts w:ascii="Garamond" w:hAnsi="Garamond"/>
        </w:rPr>
      </w:pPr>
      <w:r w:rsidRPr="003A5E9E">
        <w:rPr>
          <w:rFonts w:ascii="Garamond" w:hAnsi="Garamond"/>
        </w:rPr>
        <w:t>Adjust activity formats for class size (e.g., pairs for large groups).</w:t>
      </w:r>
    </w:p>
    <w:p w14:paraId="0952D16B" w14:textId="77777777" w:rsidR="006F65AB" w:rsidRPr="003A5E9E" w:rsidRDefault="006F65AB" w:rsidP="003A5E9E">
      <w:pPr>
        <w:numPr>
          <w:ilvl w:val="0"/>
          <w:numId w:val="25"/>
        </w:numPr>
        <w:spacing w:after="0"/>
        <w:jc w:val="both"/>
        <w:rPr>
          <w:rFonts w:ascii="Garamond" w:hAnsi="Garamond"/>
        </w:rPr>
      </w:pPr>
      <w:r w:rsidRPr="003A5E9E">
        <w:rPr>
          <w:rFonts w:ascii="Garamond" w:hAnsi="Garamond"/>
        </w:rPr>
        <w:t>Encourage debate to highlight ethical and global perspectives.</w:t>
      </w:r>
    </w:p>
    <w:p w14:paraId="40330C50" w14:textId="77777777" w:rsidR="004A2D95" w:rsidRDefault="004A2D95" w:rsidP="003A5E9E">
      <w:pPr>
        <w:spacing w:after="0"/>
        <w:jc w:val="both"/>
        <w:rPr>
          <w:rFonts w:ascii="Garamond" w:hAnsi="Garamond"/>
        </w:rPr>
      </w:pPr>
    </w:p>
    <w:p w14:paraId="5EB2FAD5" w14:textId="1576F1EF" w:rsidR="00386BF9" w:rsidRPr="00386BF9" w:rsidRDefault="00386BF9" w:rsidP="003A5E9E">
      <w:pPr>
        <w:spacing w:after="0"/>
        <w:jc w:val="both"/>
        <w:rPr>
          <w:rFonts w:ascii="Garamond" w:hAnsi="Garamond"/>
          <w:b/>
          <w:bCs/>
        </w:rPr>
      </w:pPr>
      <w:r w:rsidRPr="00386BF9">
        <w:rPr>
          <w:rFonts w:ascii="Garamond" w:hAnsi="Garamond"/>
          <w:b/>
          <w:bCs/>
        </w:rPr>
        <w:t>Case studies</w:t>
      </w:r>
    </w:p>
    <w:p w14:paraId="00232E1C" w14:textId="46D9AC6A" w:rsidR="00386BF9" w:rsidRPr="00386BF9" w:rsidRDefault="00386BF9" w:rsidP="00386BF9">
      <w:pPr>
        <w:spacing w:after="0"/>
        <w:jc w:val="both"/>
        <w:rPr>
          <w:rFonts w:ascii="Garamond" w:hAnsi="Garamond"/>
        </w:rPr>
      </w:pPr>
    </w:p>
    <w:p w14:paraId="60ACA576" w14:textId="2BC14FB8" w:rsidR="00386BF9" w:rsidRPr="00386BF9" w:rsidRDefault="00386BF9" w:rsidP="00386BF9">
      <w:pPr>
        <w:spacing w:after="0"/>
        <w:jc w:val="both"/>
        <w:rPr>
          <w:rFonts w:ascii="Garamond" w:hAnsi="Garamond"/>
          <w:b/>
          <w:bCs/>
        </w:rPr>
      </w:pPr>
      <w:r w:rsidRPr="00386BF9">
        <w:rPr>
          <w:rFonts w:ascii="Garamond" w:hAnsi="Garamond"/>
          <w:b/>
          <w:bCs/>
        </w:rPr>
        <w:t xml:space="preserve">1. </w:t>
      </w:r>
      <w:hyperlink r:id="rId5" w:history="1">
        <w:r w:rsidRPr="00386BF9">
          <w:rPr>
            <w:rStyle w:val="Hyperlink"/>
            <w:rFonts w:ascii="Garamond" w:hAnsi="Garamond"/>
            <w:b/>
            <w:bCs/>
          </w:rPr>
          <w:t>Case Study: Should We Drop Our Board Diversity Goals?</w:t>
        </w:r>
      </w:hyperlink>
    </w:p>
    <w:p w14:paraId="5A549009" w14:textId="77777777" w:rsidR="00386BF9" w:rsidRPr="00386BF9" w:rsidRDefault="00386BF9" w:rsidP="00386BF9">
      <w:pPr>
        <w:numPr>
          <w:ilvl w:val="0"/>
          <w:numId w:val="27"/>
        </w:numPr>
        <w:spacing w:after="0"/>
        <w:jc w:val="both"/>
        <w:rPr>
          <w:rFonts w:ascii="Garamond" w:hAnsi="Garamond"/>
        </w:rPr>
      </w:pPr>
      <w:r w:rsidRPr="00386BF9">
        <w:rPr>
          <w:rFonts w:ascii="Garamond" w:hAnsi="Garamond"/>
          <w:b/>
          <w:bCs/>
        </w:rPr>
        <w:t>Topic</w:t>
      </w:r>
      <w:r w:rsidRPr="00386BF9">
        <w:rPr>
          <w:rFonts w:ascii="Garamond" w:hAnsi="Garamond"/>
        </w:rPr>
        <w:t>: Board Composition and Diversity</w:t>
      </w:r>
    </w:p>
    <w:p w14:paraId="79268E45" w14:textId="77777777" w:rsidR="00386BF9" w:rsidRPr="00386BF9" w:rsidRDefault="00386BF9" w:rsidP="00386BF9">
      <w:pPr>
        <w:numPr>
          <w:ilvl w:val="0"/>
          <w:numId w:val="27"/>
        </w:numPr>
        <w:spacing w:after="0"/>
        <w:jc w:val="both"/>
        <w:rPr>
          <w:rFonts w:ascii="Garamond" w:hAnsi="Garamond"/>
        </w:rPr>
      </w:pPr>
      <w:r w:rsidRPr="00386BF9">
        <w:rPr>
          <w:rFonts w:ascii="Garamond" w:hAnsi="Garamond"/>
          <w:b/>
          <w:bCs/>
        </w:rPr>
        <w:t>Summary</w:t>
      </w:r>
      <w:r w:rsidRPr="00386BF9">
        <w:rPr>
          <w:rFonts w:ascii="Garamond" w:hAnsi="Garamond"/>
        </w:rPr>
        <w:t>: This case study explores the challenges a company's board faces when an institutional shareholder questions its diversity, equity, and inclusion (DEI) policies. It provides insights into the complexities of board composition and stakeholder expectations.</w:t>
      </w:r>
    </w:p>
    <w:p w14:paraId="70BCCBA4" w14:textId="2AE7366E" w:rsidR="00386BF9" w:rsidRPr="00386BF9" w:rsidRDefault="00386BF9" w:rsidP="00386BF9">
      <w:pPr>
        <w:spacing w:after="0"/>
        <w:jc w:val="both"/>
        <w:rPr>
          <w:rFonts w:ascii="Garamond" w:hAnsi="Garamond"/>
        </w:rPr>
      </w:pPr>
    </w:p>
    <w:p w14:paraId="15DD393C" w14:textId="5572C459" w:rsidR="00386BF9" w:rsidRPr="00386BF9" w:rsidRDefault="00386BF9" w:rsidP="00386BF9">
      <w:pPr>
        <w:spacing w:after="0"/>
        <w:jc w:val="both"/>
        <w:rPr>
          <w:rFonts w:ascii="Garamond" w:hAnsi="Garamond"/>
          <w:b/>
          <w:bCs/>
        </w:rPr>
      </w:pPr>
      <w:r w:rsidRPr="00386BF9">
        <w:rPr>
          <w:rFonts w:ascii="Garamond" w:hAnsi="Garamond"/>
          <w:b/>
          <w:bCs/>
        </w:rPr>
        <w:t xml:space="preserve">2. </w:t>
      </w:r>
      <w:hyperlink r:id="rId6" w:history="1">
        <w:r w:rsidRPr="00386BF9">
          <w:rPr>
            <w:rStyle w:val="Hyperlink"/>
            <w:rFonts w:ascii="Garamond" w:hAnsi="Garamond"/>
            <w:b/>
            <w:bCs/>
          </w:rPr>
          <w:t>Power, Influence, and CEO Succession</w:t>
        </w:r>
      </w:hyperlink>
    </w:p>
    <w:p w14:paraId="62E96094" w14:textId="77777777" w:rsidR="00386BF9" w:rsidRPr="00386BF9" w:rsidRDefault="00386BF9" w:rsidP="00386BF9">
      <w:pPr>
        <w:numPr>
          <w:ilvl w:val="0"/>
          <w:numId w:val="28"/>
        </w:numPr>
        <w:spacing w:after="0"/>
        <w:jc w:val="both"/>
        <w:rPr>
          <w:rFonts w:ascii="Garamond" w:hAnsi="Garamond"/>
        </w:rPr>
      </w:pPr>
      <w:r w:rsidRPr="00386BF9">
        <w:rPr>
          <w:rFonts w:ascii="Garamond" w:hAnsi="Garamond"/>
          <w:b/>
          <w:bCs/>
        </w:rPr>
        <w:t>Topic</w:t>
      </w:r>
      <w:r w:rsidRPr="00386BF9">
        <w:rPr>
          <w:rFonts w:ascii="Garamond" w:hAnsi="Garamond"/>
        </w:rPr>
        <w:t>: CEO Succession Planning</w:t>
      </w:r>
    </w:p>
    <w:p w14:paraId="2E2AE6EF" w14:textId="77777777" w:rsidR="00386BF9" w:rsidRPr="00386BF9" w:rsidRDefault="00386BF9" w:rsidP="00386BF9">
      <w:pPr>
        <w:numPr>
          <w:ilvl w:val="0"/>
          <w:numId w:val="28"/>
        </w:numPr>
        <w:spacing w:after="0"/>
        <w:jc w:val="both"/>
        <w:rPr>
          <w:rFonts w:ascii="Garamond" w:hAnsi="Garamond"/>
        </w:rPr>
      </w:pPr>
      <w:r w:rsidRPr="00386BF9">
        <w:rPr>
          <w:rFonts w:ascii="Garamond" w:hAnsi="Garamond"/>
          <w:b/>
          <w:bCs/>
        </w:rPr>
        <w:t>Summary</w:t>
      </w:r>
      <w:r w:rsidRPr="00386BF9">
        <w:rPr>
          <w:rFonts w:ascii="Garamond" w:hAnsi="Garamond"/>
        </w:rPr>
        <w:t>: This article delves into the intricacies of CEO succession, highlighting the roles of the board, the outgoing CEO, and the incoming leader. It emphasizes the importance of power dynamics and strategic planning in ensuring a smooth leadership transition.</w:t>
      </w:r>
    </w:p>
    <w:p w14:paraId="35AD1B8F" w14:textId="23443A4A" w:rsidR="00386BF9" w:rsidRPr="00386BF9" w:rsidRDefault="00386BF9" w:rsidP="00386BF9">
      <w:pPr>
        <w:spacing w:after="0"/>
        <w:jc w:val="both"/>
        <w:rPr>
          <w:rFonts w:ascii="Garamond" w:hAnsi="Garamond"/>
        </w:rPr>
      </w:pPr>
    </w:p>
    <w:p w14:paraId="4D0707CD" w14:textId="27EC0557" w:rsidR="00386BF9" w:rsidRPr="00386BF9" w:rsidRDefault="00386BF9" w:rsidP="00386BF9">
      <w:pPr>
        <w:spacing w:after="0"/>
        <w:jc w:val="both"/>
        <w:rPr>
          <w:rFonts w:ascii="Garamond" w:hAnsi="Garamond"/>
          <w:b/>
          <w:bCs/>
        </w:rPr>
      </w:pPr>
      <w:r w:rsidRPr="00386BF9">
        <w:rPr>
          <w:rFonts w:ascii="Garamond" w:hAnsi="Garamond"/>
          <w:b/>
          <w:bCs/>
        </w:rPr>
        <w:t xml:space="preserve">3. </w:t>
      </w:r>
      <w:hyperlink r:id="rId7" w:history="1">
        <w:r w:rsidRPr="00386BF9">
          <w:rPr>
            <w:rStyle w:val="Hyperlink"/>
            <w:rFonts w:ascii="Garamond" w:hAnsi="Garamond"/>
            <w:b/>
            <w:bCs/>
          </w:rPr>
          <w:t>How to Respond to Shareholder Activism</w:t>
        </w:r>
      </w:hyperlink>
    </w:p>
    <w:p w14:paraId="21C32EEC" w14:textId="77777777" w:rsidR="00386BF9" w:rsidRPr="00386BF9" w:rsidRDefault="00386BF9" w:rsidP="00386BF9">
      <w:pPr>
        <w:numPr>
          <w:ilvl w:val="0"/>
          <w:numId w:val="29"/>
        </w:numPr>
        <w:spacing w:after="0"/>
        <w:jc w:val="both"/>
        <w:rPr>
          <w:rFonts w:ascii="Garamond" w:hAnsi="Garamond"/>
        </w:rPr>
      </w:pPr>
      <w:r w:rsidRPr="00386BF9">
        <w:rPr>
          <w:rFonts w:ascii="Garamond" w:hAnsi="Garamond"/>
          <w:b/>
          <w:bCs/>
        </w:rPr>
        <w:t>Topic</w:t>
      </w:r>
      <w:r w:rsidRPr="00386BF9">
        <w:rPr>
          <w:rFonts w:ascii="Garamond" w:hAnsi="Garamond"/>
        </w:rPr>
        <w:t>: Shareholder Activism and Board Strategy</w:t>
      </w:r>
    </w:p>
    <w:p w14:paraId="57EBD957" w14:textId="77777777" w:rsidR="00386BF9" w:rsidRPr="00386BF9" w:rsidRDefault="00386BF9" w:rsidP="00386BF9">
      <w:pPr>
        <w:numPr>
          <w:ilvl w:val="0"/>
          <w:numId w:val="29"/>
        </w:numPr>
        <w:spacing w:after="0"/>
        <w:jc w:val="both"/>
        <w:rPr>
          <w:rFonts w:ascii="Garamond" w:hAnsi="Garamond"/>
        </w:rPr>
      </w:pPr>
      <w:r w:rsidRPr="00386BF9">
        <w:rPr>
          <w:rFonts w:ascii="Garamond" w:hAnsi="Garamond"/>
          <w:b/>
          <w:bCs/>
        </w:rPr>
        <w:t>Summary</w:t>
      </w:r>
      <w:r w:rsidRPr="00386BF9">
        <w:rPr>
          <w:rFonts w:ascii="Garamond" w:hAnsi="Garamond"/>
        </w:rPr>
        <w:t>: This article provides a framework for boards to effectively engage with activist shareholders. It discusses strategies to address activist demands while maintaining the company's long-term vision and stakeholder interests.</w:t>
      </w:r>
    </w:p>
    <w:p w14:paraId="5DE0EDD0" w14:textId="4DD97408" w:rsidR="00386BF9" w:rsidRPr="00386BF9" w:rsidRDefault="00386BF9" w:rsidP="00386BF9">
      <w:pPr>
        <w:spacing w:after="0"/>
        <w:jc w:val="both"/>
        <w:rPr>
          <w:rFonts w:ascii="Garamond" w:hAnsi="Garamond"/>
        </w:rPr>
      </w:pPr>
    </w:p>
    <w:p w14:paraId="191020BA" w14:textId="080E1253" w:rsidR="00386BF9" w:rsidRPr="00386BF9" w:rsidRDefault="00386BF9" w:rsidP="00386BF9">
      <w:pPr>
        <w:spacing w:after="0"/>
        <w:jc w:val="both"/>
        <w:rPr>
          <w:rFonts w:ascii="Garamond" w:hAnsi="Garamond"/>
          <w:b/>
          <w:bCs/>
        </w:rPr>
      </w:pPr>
      <w:r w:rsidRPr="00386BF9">
        <w:rPr>
          <w:rFonts w:ascii="Garamond" w:hAnsi="Garamond"/>
          <w:b/>
          <w:bCs/>
        </w:rPr>
        <w:t xml:space="preserve">4. </w:t>
      </w:r>
      <w:hyperlink r:id="rId8" w:history="1">
        <w:r w:rsidRPr="00386BF9">
          <w:rPr>
            <w:rStyle w:val="Hyperlink"/>
            <w:rFonts w:ascii="Garamond" w:hAnsi="Garamond"/>
            <w:b/>
            <w:bCs/>
          </w:rPr>
          <w:t>Compensation Packages That Actually Drive Performance</w:t>
        </w:r>
      </w:hyperlink>
    </w:p>
    <w:p w14:paraId="1AC44315" w14:textId="77777777" w:rsidR="00386BF9" w:rsidRPr="00386BF9" w:rsidRDefault="00386BF9" w:rsidP="00386BF9">
      <w:pPr>
        <w:numPr>
          <w:ilvl w:val="0"/>
          <w:numId w:val="30"/>
        </w:numPr>
        <w:spacing w:after="0"/>
        <w:jc w:val="both"/>
        <w:rPr>
          <w:rFonts w:ascii="Garamond" w:hAnsi="Garamond"/>
        </w:rPr>
      </w:pPr>
      <w:r w:rsidRPr="00386BF9">
        <w:rPr>
          <w:rFonts w:ascii="Garamond" w:hAnsi="Garamond"/>
          <w:b/>
          <w:bCs/>
        </w:rPr>
        <w:t>Topic</w:t>
      </w:r>
      <w:r w:rsidRPr="00386BF9">
        <w:rPr>
          <w:rFonts w:ascii="Garamond" w:hAnsi="Garamond"/>
        </w:rPr>
        <w:t>: Executive Compensation and Performance Alignment</w:t>
      </w:r>
    </w:p>
    <w:p w14:paraId="764E495A" w14:textId="77777777" w:rsidR="00386BF9" w:rsidRPr="00386BF9" w:rsidRDefault="00386BF9" w:rsidP="00386BF9">
      <w:pPr>
        <w:numPr>
          <w:ilvl w:val="0"/>
          <w:numId w:val="30"/>
        </w:numPr>
        <w:spacing w:after="0"/>
        <w:jc w:val="both"/>
        <w:rPr>
          <w:rFonts w:ascii="Garamond" w:hAnsi="Garamond"/>
        </w:rPr>
      </w:pPr>
      <w:r w:rsidRPr="00386BF9">
        <w:rPr>
          <w:rFonts w:ascii="Garamond" w:hAnsi="Garamond"/>
          <w:b/>
          <w:bCs/>
        </w:rPr>
        <w:t>Summary</w:t>
      </w:r>
      <w:r w:rsidRPr="00386BF9">
        <w:rPr>
          <w:rFonts w:ascii="Garamond" w:hAnsi="Garamond"/>
        </w:rPr>
        <w:t>: This article examines how well-structured compensation packages can align executives' incentives with company performance. It offers insights into designing pay structures that motivate leaders and drive organizational success.</w:t>
      </w:r>
    </w:p>
    <w:p w14:paraId="0892A64E" w14:textId="4D8D9594" w:rsidR="00386BF9" w:rsidRPr="00386BF9" w:rsidRDefault="00386BF9" w:rsidP="00386BF9">
      <w:pPr>
        <w:spacing w:after="0"/>
        <w:jc w:val="both"/>
        <w:rPr>
          <w:rFonts w:ascii="Garamond" w:hAnsi="Garamond"/>
        </w:rPr>
      </w:pPr>
    </w:p>
    <w:p w14:paraId="7D02B854" w14:textId="05C6FC6F" w:rsidR="00386BF9" w:rsidRPr="00386BF9" w:rsidRDefault="00386BF9" w:rsidP="00386BF9">
      <w:pPr>
        <w:spacing w:after="0"/>
        <w:jc w:val="both"/>
        <w:rPr>
          <w:rFonts w:ascii="Garamond" w:hAnsi="Garamond"/>
          <w:b/>
          <w:bCs/>
        </w:rPr>
      </w:pPr>
      <w:r w:rsidRPr="00386BF9">
        <w:rPr>
          <w:rFonts w:ascii="Garamond" w:hAnsi="Garamond"/>
          <w:b/>
          <w:bCs/>
        </w:rPr>
        <w:t xml:space="preserve">5. </w:t>
      </w:r>
      <w:hyperlink r:id="rId9" w:history="1">
        <w:r w:rsidRPr="00386BF9">
          <w:rPr>
            <w:rStyle w:val="Hyperlink"/>
            <w:rFonts w:ascii="Garamond" w:hAnsi="Garamond"/>
            <w:b/>
            <w:bCs/>
          </w:rPr>
          <w:t>Corporate Governance 2.0</w:t>
        </w:r>
      </w:hyperlink>
    </w:p>
    <w:p w14:paraId="6C665EFB" w14:textId="77777777" w:rsidR="00386BF9" w:rsidRPr="00386BF9" w:rsidRDefault="00386BF9" w:rsidP="00386BF9">
      <w:pPr>
        <w:numPr>
          <w:ilvl w:val="0"/>
          <w:numId w:val="31"/>
        </w:numPr>
        <w:spacing w:after="0"/>
        <w:jc w:val="both"/>
        <w:rPr>
          <w:rFonts w:ascii="Garamond" w:hAnsi="Garamond"/>
        </w:rPr>
      </w:pPr>
      <w:r w:rsidRPr="00386BF9">
        <w:rPr>
          <w:rFonts w:ascii="Garamond" w:hAnsi="Garamond"/>
          <w:b/>
          <w:bCs/>
        </w:rPr>
        <w:t>Topic</w:t>
      </w:r>
      <w:r w:rsidRPr="00386BF9">
        <w:rPr>
          <w:rFonts w:ascii="Garamond" w:hAnsi="Garamond"/>
        </w:rPr>
        <w:t>: Modernizing Corporate Governance Practices</w:t>
      </w:r>
    </w:p>
    <w:p w14:paraId="28E8656A" w14:textId="50A82E68" w:rsidR="00386BF9" w:rsidRPr="00982226" w:rsidRDefault="00386BF9" w:rsidP="00CF0664">
      <w:pPr>
        <w:numPr>
          <w:ilvl w:val="0"/>
          <w:numId w:val="31"/>
        </w:numPr>
        <w:spacing w:after="0"/>
        <w:jc w:val="both"/>
        <w:rPr>
          <w:rFonts w:ascii="Garamond" w:hAnsi="Garamond"/>
        </w:rPr>
      </w:pPr>
      <w:r w:rsidRPr="00386BF9">
        <w:rPr>
          <w:rFonts w:ascii="Garamond" w:hAnsi="Garamond"/>
          <w:b/>
          <w:bCs/>
        </w:rPr>
        <w:t>Summary</w:t>
      </w:r>
      <w:r w:rsidRPr="00386BF9">
        <w:rPr>
          <w:rFonts w:ascii="Garamond" w:hAnsi="Garamond"/>
        </w:rPr>
        <w:t xml:space="preserve">: This article discusses the evolution of corporate governance and proposes a new framework to address contemporary challenges. It emphasizes the need for boards to adapt to changing business environments and stakeholder </w:t>
      </w:r>
      <w:proofErr w:type="spellStart"/>
      <w:proofErr w:type="gramStart"/>
      <w:r w:rsidRPr="00386BF9">
        <w:rPr>
          <w:rFonts w:ascii="Garamond" w:hAnsi="Garamond"/>
        </w:rPr>
        <w:t>expectations.</w:t>
      </w:r>
      <w:proofErr w:type="spellEnd"/>
      <w:proofErr w:type="gramEnd"/>
    </w:p>
    <w:sectPr w:rsidR="00386BF9" w:rsidRPr="009822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37F1"/>
    <w:multiLevelType w:val="multilevel"/>
    <w:tmpl w:val="8ECCD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965AE"/>
    <w:multiLevelType w:val="multilevel"/>
    <w:tmpl w:val="27182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49298B"/>
    <w:multiLevelType w:val="multilevel"/>
    <w:tmpl w:val="CE9A8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75739"/>
    <w:multiLevelType w:val="multilevel"/>
    <w:tmpl w:val="F96C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10EC3"/>
    <w:multiLevelType w:val="multilevel"/>
    <w:tmpl w:val="0854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8430ED"/>
    <w:multiLevelType w:val="multilevel"/>
    <w:tmpl w:val="881E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0463A"/>
    <w:multiLevelType w:val="multilevel"/>
    <w:tmpl w:val="E9F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C5BBA"/>
    <w:multiLevelType w:val="multilevel"/>
    <w:tmpl w:val="76E8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5C738D"/>
    <w:multiLevelType w:val="multilevel"/>
    <w:tmpl w:val="80B07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203BC4"/>
    <w:multiLevelType w:val="multilevel"/>
    <w:tmpl w:val="0012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B12F5"/>
    <w:multiLevelType w:val="multilevel"/>
    <w:tmpl w:val="CD4C7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D74870"/>
    <w:multiLevelType w:val="multilevel"/>
    <w:tmpl w:val="7D08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766C8B"/>
    <w:multiLevelType w:val="multilevel"/>
    <w:tmpl w:val="C0D8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8D0917"/>
    <w:multiLevelType w:val="multilevel"/>
    <w:tmpl w:val="C39CC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EF316D"/>
    <w:multiLevelType w:val="multilevel"/>
    <w:tmpl w:val="BE823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1A6FFD"/>
    <w:multiLevelType w:val="multilevel"/>
    <w:tmpl w:val="2F9CF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C97D4D"/>
    <w:multiLevelType w:val="multilevel"/>
    <w:tmpl w:val="94CE2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3301F4"/>
    <w:multiLevelType w:val="multilevel"/>
    <w:tmpl w:val="512C8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87550F"/>
    <w:multiLevelType w:val="hybridMultilevel"/>
    <w:tmpl w:val="D6BED278"/>
    <w:lvl w:ilvl="0" w:tplc="02C0BCAE">
      <w:start w:val="1"/>
      <w:numFmt w:val="bullet"/>
      <w:lvlText w:val="•"/>
      <w:lvlJc w:val="left"/>
      <w:pPr>
        <w:tabs>
          <w:tab w:val="num" w:pos="720"/>
        </w:tabs>
        <w:ind w:left="720" w:hanging="360"/>
      </w:pPr>
      <w:rPr>
        <w:rFonts w:ascii="Arial" w:hAnsi="Arial" w:hint="default"/>
      </w:rPr>
    </w:lvl>
    <w:lvl w:ilvl="1" w:tplc="EFB0EA4A" w:tentative="1">
      <w:start w:val="1"/>
      <w:numFmt w:val="bullet"/>
      <w:lvlText w:val="•"/>
      <w:lvlJc w:val="left"/>
      <w:pPr>
        <w:tabs>
          <w:tab w:val="num" w:pos="1440"/>
        </w:tabs>
        <w:ind w:left="1440" w:hanging="360"/>
      </w:pPr>
      <w:rPr>
        <w:rFonts w:ascii="Arial" w:hAnsi="Arial" w:hint="default"/>
      </w:rPr>
    </w:lvl>
    <w:lvl w:ilvl="2" w:tplc="A9FCA77C" w:tentative="1">
      <w:start w:val="1"/>
      <w:numFmt w:val="bullet"/>
      <w:lvlText w:val="•"/>
      <w:lvlJc w:val="left"/>
      <w:pPr>
        <w:tabs>
          <w:tab w:val="num" w:pos="2160"/>
        </w:tabs>
        <w:ind w:left="2160" w:hanging="360"/>
      </w:pPr>
      <w:rPr>
        <w:rFonts w:ascii="Arial" w:hAnsi="Arial" w:hint="default"/>
      </w:rPr>
    </w:lvl>
    <w:lvl w:ilvl="3" w:tplc="DC44A80E" w:tentative="1">
      <w:start w:val="1"/>
      <w:numFmt w:val="bullet"/>
      <w:lvlText w:val="•"/>
      <w:lvlJc w:val="left"/>
      <w:pPr>
        <w:tabs>
          <w:tab w:val="num" w:pos="2880"/>
        </w:tabs>
        <w:ind w:left="2880" w:hanging="360"/>
      </w:pPr>
      <w:rPr>
        <w:rFonts w:ascii="Arial" w:hAnsi="Arial" w:hint="default"/>
      </w:rPr>
    </w:lvl>
    <w:lvl w:ilvl="4" w:tplc="AA7241A0" w:tentative="1">
      <w:start w:val="1"/>
      <w:numFmt w:val="bullet"/>
      <w:lvlText w:val="•"/>
      <w:lvlJc w:val="left"/>
      <w:pPr>
        <w:tabs>
          <w:tab w:val="num" w:pos="3600"/>
        </w:tabs>
        <w:ind w:left="3600" w:hanging="360"/>
      </w:pPr>
      <w:rPr>
        <w:rFonts w:ascii="Arial" w:hAnsi="Arial" w:hint="default"/>
      </w:rPr>
    </w:lvl>
    <w:lvl w:ilvl="5" w:tplc="1A989E02" w:tentative="1">
      <w:start w:val="1"/>
      <w:numFmt w:val="bullet"/>
      <w:lvlText w:val="•"/>
      <w:lvlJc w:val="left"/>
      <w:pPr>
        <w:tabs>
          <w:tab w:val="num" w:pos="4320"/>
        </w:tabs>
        <w:ind w:left="4320" w:hanging="360"/>
      </w:pPr>
      <w:rPr>
        <w:rFonts w:ascii="Arial" w:hAnsi="Arial" w:hint="default"/>
      </w:rPr>
    </w:lvl>
    <w:lvl w:ilvl="6" w:tplc="4B1845C4" w:tentative="1">
      <w:start w:val="1"/>
      <w:numFmt w:val="bullet"/>
      <w:lvlText w:val="•"/>
      <w:lvlJc w:val="left"/>
      <w:pPr>
        <w:tabs>
          <w:tab w:val="num" w:pos="5040"/>
        </w:tabs>
        <w:ind w:left="5040" w:hanging="360"/>
      </w:pPr>
      <w:rPr>
        <w:rFonts w:ascii="Arial" w:hAnsi="Arial" w:hint="default"/>
      </w:rPr>
    </w:lvl>
    <w:lvl w:ilvl="7" w:tplc="E28A4D46" w:tentative="1">
      <w:start w:val="1"/>
      <w:numFmt w:val="bullet"/>
      <w:lvlText w:val="•"/>
      <w:lvlJc w:val="left"/>
      <w:pPr>
        <w:tabs>
          <w:tab w:val="num" w:pos="5760"/>
        </w:tabs>
        <w:ind w:left="5760" w:hanging="360"/>
      </w:pPr>
      <w:rPr>
        <w:rFonts w:ascii="Arial" w:hAnsi="Arial" w:hint="default"/>
      </w:rPr>
    </w:lvl>
    <w:lvl w:ilvl="8" w:tplc="0598D53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6B805EA"/>
    <w:multiLevelType w:val="multilevel"/>
    <w:tmpl w:val="3ED86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710033"/>
    <w:multiLevelType w:val="multilevel"/>
    <w:tmpl w:val="89DAF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825162"/>
    <w:multiLevelType w:val="multilevel"/>
    <w:tmpl w:val="A41C6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4B5ACD"/>
    <w:multiLevelType w:val="multilevel"/>
    <w:tmpl w:val="67B85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1275AB"/>
    <w:multiLevelType w:val="multilevel"/>
    <w:tmpl w:val="E052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921005"/>
    <w:multiLevelType w:val="multilevel"/>
    <w:tmpl w:val="974E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DC0091"/>
    <w:multiLevelType w:val="multilevel"/>
    <w:tmpl w:val="B238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84313B"/>
    <w:multiLevelType w:val="multilevel"/>
    <w:tmpl w:val="BC6E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E37036"/>
    <w:multiLevelType w:val="multilevel"/>
    <w:tmpl w:val="34503D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813C8A"/>
    <w:multiLevelType w:val="multilevel"/>
    <w:tmpl w:val="91CA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EA680D"/>
    <w:multiLevelType w:val="multilevel"/>
    <w:tmpl w:val="2D462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833D21"/>
    <w:multiLevelType w:val="multilevel"/>
    <w:tmpl w:val="CB3C4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859660">
    <w:abstractNumId w:val="1"/>
  </w:num>
  <w:num w:numId="2" w16cid:durableId="1782676779">
    <w:abstractNumId w:val="22"/>
  </w:num>
  <w:num w:numId="3" w16cid:durableId="1743219026">
    <w:abstractNumId w:val="12"/>
  </w:num>
  <w:num w:numId="4" w16cid:durableId="1559707471">
    <w:abstractNumId w:val="16"/>
  </w:num>
  <w:num w:numId="5" w16cid:durableId="1121455343">
    <w:abstractNumId w:val="30"/>
  </w:num>
  <w:num w:numId="6" w16cid:durableId="1494102437">
    <w:abstractNumId w:val="27"/>
  </w:num>
  <w:num w:numId="7" w16cid:durableId="1070083339">
    <w:abstractNumId w:val="11"/>
  </w:num>
  <w:num w:numId="8" w16cid:durableId="330526513">
    <w:abstractNumId w:val="10"/>
  </w:num>
  <w:num w:numId="9" w16cid:durableId="1786195945">
    <w:abstractNumId w:val="24"/>
  </w:num>
  <w:num w:numId="10" w16cid:durableId="1843742126">
    <w:abstractNumId w:val="13"/>
  </w:num>
  <w:num w:numId="11" w16cid:durableId="1724794259">
    <w:abstractNumId w:val="25"/>
  </w:num>
  <w:num w:numId="12" w16cid:durableId="471211267">
    <w:abstractNumId w:val="21"/>
  </w:num>
  <w:num w:numId="13" w16cid:durableId="321933568">
    <w:abstractNumId w:val="9"/>
  </w:num>
  <w:num w:numId="14" w16cid:durableId="79260342">
    <w:abstractNumId w:val="4"/>
  </w:num>
  <w:num w:numId="15" w16cid:durableId="864368343">
    <w:abstractNumId w:val="3"/>
  </w:num>
  <w:num w:numId="16" w16cid:durableId="1057316558">
    <w:abstractNumId w:val="29"/>
  </w:num>
  <w:num w:numId="17" w16cid:durableId="1547185252">
    <w:abstractNumId w:val="19"/>
  </w:num>
  <w:num w:numId="18" w16cid:durableId="1832599429">
    <w:abstractNumId w:val="14"/>
  </w:num>
  <w:num w:numId="19" w16cid:durableId="353387361">
    <w:abstractNumId w:val="2"/>
  </w:num>
  <w:num w:numId="20" w16cid:durableId="1502089448">
    <w:abstractNumId w:val="8"/>
  </w:num>
  <w:num w:numId="21" w16cid:durableId="1052340760">
    <w:abstractNumId w:val="15"/>
  </w:num>
  <w:num w:numId="22" w16cid:durableId="1617563679">
    <w:abstractNumId w:val="17"/>
  </w:num>
  <w:num w:numId="23" w16cid:durableId="1430084479">
    <w:abstractNumId w:val="5"/>
  </w:num>
  <w:num w:numId="24" w16cid:durableId="1461731625">
    <w:abstractNumId w:val="26"/>
  </w:num>
  <w:num w:numId="25" w16cid:durableId="420445806">
    <w:abstractNumId w:val="28"/>
  </w:num>
  <w:num w:numId="26" w16cid:durableId="1215431149">
    <w:abstractNumId w:val="18"/>
  </w:num>
  <w:num w:numId="27" w16cid:durableId="1672025870">
    <w:abstractNumId w:val="23"/>
  </w:num>
  <w:num w:numId="28" w16cid:durableId="685324742">
    <w:abstractNumId w:val="6"/>
  </w:num>
  <w:num w:numId="29" w16cid:durableId="681319659">
    <w:abstractNumId w:val="7"/>
  </w:num>
  <w:num w:numId="30" w16cid:durableId="417598743">
    <w:abstractNumId w:val="0"/>
  </w:num>
  <w:num w:numId="31" w16cid:durableId="10739706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5AB"/>
    <w:rsid w:val="000A5ED2"/>
    <w:rsid w:val="000F2E43"/>
    <w:rsid w:val="00100711"/>
    <w:rsid w:val="003060CC"/>
    <w:rsid w:val="00342CA6"/>
    <w:rsid w:val="00386BF9"/>
    <w:rsid w:val="003A5E9E"/>
    <w:rsid w:val="004015D5"/>
    <w:rsid w:val="004A2D95"/>
    <w:rsid w:val="006F65AB"/>
    <w:rsid w:val="0077499A"/>
    <w:rsid w:val="008B282A"/>
    <w:rsid w:val="008C487A"/>
    <w:rsid w:val="00982226"/>
    <w:rsid w:val="009B2ADD"/>
    <w:rsid w:val="00A80D10"/>
    <w:rsid w:val="00AB03A8"/>
    <w:rsid w:val="00B23412"/>
    <w:rsid w:val="00B3198B"/>
    <w:rsid w:val="00C2676D"/>
    <w:rsid w:val="00C74651"/>
    <w:rsid w:val="00D25243"/>
    <w:rsid w:val="00EE408E"/>
    <w:rsid w:val="00FB1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60F3F"/>
  <w15:chartTrackingRefBased/>
  <w15:docId w15:val="{BCD339B8-8A5E-47E8-8699-DD9986B7C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5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65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65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65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65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65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5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5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5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5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65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65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65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65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65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5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5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5AB"/>
    <w:rPr>
      <w:rFonts w:eastAsiaTheme="majorEastAsia" w:cstheme="majorBidi"/>
      <w:color w:val="272727" w:themeColor="text1" w:themeTint="D8"/>
    </w:rPr>
  </w:style>
  <w:style w:type="paragraph" w:styleId="Title">
    <w:name w:val="Title"/>
    <w:basedOn w:val="Normal"/>
    <w:next w:val="Normal"/>
    <w:link w:val="TitleChar"/>
    <w:uiPriority w:val="10"/>
    <w:qFormat/>
    <w:rsid w:val="006F65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5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5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5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5AB"/>
    <w:pPr>
      <w:spacing w:before="160"/>
      <w:jc w:val="center"/>
    </w:pPr>
    <w:rPr>
      <w:i/>
      <w:iCs/>
      <w:color w:val="404040" w:themeColor="text1" w:themeTint="BF"/>
    </w:rPr>
  </w:style>
  <w:style w:type="character" w:customStyle="1" w:styleId="QuoteChar">
    <w:name w:val="Quote Char"/>
    <w:basedOn w:val="DefaultParagraphFont"/>
    <w:link w:val="Quote"/>
    <w:uiPriority w:val="29"/>
    <w:rsid w:val="006F65AB"/>
    <w:rPr>
      <w:i/>
      <w:iCs/>
      <w:color w:val="404040" w:themeColor="text1" w:themeTint="BF"/>
    </w:rPr>
  </w:style>
  <w:style w:type="paragraph" w:styleId="ListParagraph">
    <w:name w:val="List Paragraph"/>
    <w:basedOn w:val="Normal"/>
    <w:uiPriority w:val="34"/>
    <w:qFormat/>
    <w:rsid w:val="006F65AB"/>
    <w:pPr>
      <w:ind w:left="720"/>
      <w:contextualSpacing/>
    </w:pPr>
  </w:style>
  <w:style w:type="character" w:styleId="IntenseEmphasis">
    <w:name w:val="Intense Emphasis"/>
    <w:basedOn w:val="DefaultParagraphFont"/>
    <w:uiPriority w:val="21"/>
    <w:qFormat/>
    <w:rsid w:val="006F65AB"/>
    <w:rPr>
      <w:i/>
      <w:iCs/>
      <w:color w:val="0F4761" w:themeColor="accent1" w:themeShade="BF"/>
    </w:rPr>
  </w:style>
  <w:style w:type="paragraph" w:styleId="IntenseQuote">
    <w:name w:val="Intense Quote"/>
    <w:basedOn w:val="Normal"/>
    <w:next w:val="Normal"/>
    <w:link w:val="IntenseQuoteChar"/>
    <w:uiPriority w:val="30"/>
    <w:qFormat/>
    <w:rsid w:val="006F65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65AB"/>
    <w:rPr>
      <w:i/>
      <w:iCs/>
      <w:color w:val="0F4761" w:themeColor="accent1" w:themeShade="BF"/>
    </w:rPr>
  </w:style>
  <w:style w:type="character" w:styleId="IntenseReference">
    <w:name w:val="Intense Reference"/>
    <w:basedOn w:val="DefaultParagraphFont"/>
    <w:uiPriority w:val="32"/>
    <w:qFormat/>
    <w:rsid w:val="006F65AB"/>
    <w:rPr>
      <w:b/>
      <w:bCs/>
      <w:smallCaps/>
      <w:color w:val="0F4761" w:themeColor="accent1" w:themeShade="BF"/>
      <w:spacing w:val="5"/>
    </w:rPr>
  </w:style>
  <w:style w:type="character" w:styleId="Hyperlink">
    <w:name w:val="Hyperlink"/>
    <w:basedOn w:val="DefaultParagraphFont"/>
    <w:uiPriority w:val="99"/>
    <w:unhideWhenUsed/>
    <w:rsid w:val="00386BF9"/>
    <w:rPr>
      <w:color w:val="467886" w:themeColor="hyperlink"/>
      <w:u w:val="single"/>
    </w:rPr>
  </w:style>
  <w:style w:type="character" w:styleId="UnresolvedMention">
    <w:name w:val="Unresolved Mention"/>
    <w:basedOn w:val="DefaultParagraphFont"/>
    <w:uiPriority w:val="99"/>
    <w:semiHidden/>
    <w:unhideWhenUsed/>
    <w:rsid w:val="00386B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67088">
      <w:bodyDiv w:val="1"/>
      <w:marLeft w:val="0"/>
      <w:marRight w:val="0"/>
      <w:marTop w:val="0"/>
      <w:marBottom w:val="0"/>
      <w:divBdr>
        <w:top w:val="none" w:sz="0" w:space="0" w:color="auto"/>
        <w:left w:val="none" w:sz="0" w:space="0" w:color="auto"/>
        <w:bottom w:val="none" w:sz="0" w:space="0" w:color="auto"/>
        <w:right w:val="none" w:sz="0" w:space="0" w:color="auto"/>
      </w:divBdr>
    </w:div>
    <w:div w:id="267978181">
      <w:bodyDiv w:val="1"/>
      <w:marLeft w:val="0"/>
      <w:marRight w:val="0"/>
      <w:marTop w:val="0"/>
      <w:marBottom w:val="0"/>
      <w:divBdr>
        <w:top w:val="none" w:sz="0" w:space="0" w:color="auto"/>
        <w:left w:val="none" w:sz="0" w:space="0" w:color="auto"/>
        <w:bottom w:val="none" w:sz="0" w:space="0" w:color="auto"/>
        <w:right w:val="none" w:sz="0" w:space="0" w:color="auto"/>
      </w:divBdr>
    </w:div>
    <w:div w:id="374043423">
      <w:bodyDiv w:val="1"/>
      <w:marLeft w:val="0"/>
      <w:marRight w:val="0"/>
      <w:marTop w:val="0"/>
      <w:marBottom w:val="0"/>
      <w:divBdr>
        <w:top w:val="none" w:sz="0" w:space="0" w:color="auto"/>
        <w:left w:val="none" w:sz="0" w:space="0" w:color="auto"/>
        <w:bottom w:val="none" w:sz="0" w:space="0" w:color="auto"/>
        <w:right w:val="none" w:sz="0" w:space="0" w:color="auto"/>
      </w:divBdr>
    </w:div>
    <w:div w:id="506869334">
      <w:bodyDiv w:val="1"/>
      <w:marLeft w:val="0"/>
      <w:marRight w:val="0"/>
      <w:marTop w:val="0"/>
      <w:marBottom w:val="0"/>
      <w:divBdr>
        <w:top w:val="none" w:sz="0" w:space="0" w:color="auto"/>
        <w:left w:val="none" w:sz="0" w:space="0" w:color="auto"/>
        <w:bottom w:val="none" w:sz="0" w:space="0" w:color="auto"/>
        <w:right w:val="none" w:sz="0" w:space="0" w:color="auto"/>
      </w:divBdr>
    </w:div>
    <w:div w:id="1739865165">
      <w:bodyDiv w:val="1"/>
      <w:marLeft w:val="0"/>
      <w:marRight w:val="0"/>
      <w:marTop w:val="0"/>
      <w:marBottom w:val="0"/>
      <w:divBdr>
        <w:top w:val="none" w:sz="0" w:space="0" w:color="auto"/>
        <w:left w:val="none" w:sz="0" w:space="0" w:color="auto"/>
        <w:bottom w:val="none" w:sz="0" w:space="0" w:color="auto"/>
        <w:right w:val="none" w:sz="0" w:space="0" w:color="auto"/>
      </w:divBdr>
    </w:div>
    <w:div w:id="1797940684">
      <w:bodyDiv w:val="1"/>
      <w:marLeft w:val="0"/>
      <w:marRight w:val="0"/>
      <w:marTop w:val="0"/>
      <w:marBottom w:val="0"/>
      <w:divBdr>
        <w:top w:val="none" w:sz="0" w:space="0" w:color="auto"/>
        <w:left w:val="none" w:sz="0" w:space="0" w:color="auto"/>
        <w:bottom w:val="none" w:sz="0" w:space="0" w:color="auto"/>
        <w:right w:val="none" w:sz="0" w:space="0" w:color="auto"/>
      </w:divBdr>
    </w:div>
    <w:div w:id="2109539932">
      <w:bodyDiv w:val="1"/>
      <w:marLeft w:val="0"/>
      <w:marRight w:val="0"/>
      <w:marTop w:val="0"/>
      <w:marBottom w:val="0"/>
      <w:divBdr>
        <w:top w:val="none" w:sz="0" w:space="0" w:color="auto"/>
        <w:left w:val="none" w:sz="0" w:space="0" w:color="auto"/>
        <w:bottom w:val="none" w:sz="0" w:space="0" w:color="auto"/>
        <w:right w:val="none" w:sz="0" w:space="0" w:color="auto"/>
      </w:divBdr>
      <w:divsChild>
        <w:div w:id="1376807589">
          <w:marLeft w:val="360"/>
          <w:marRight w:val="0"/>
          <w:marTop w:val="200"/>
          <w:marBottom w:val="0"/>
          <w:divBdr>
            <w:top w:val="none" w:sz="0" w:space="0" w:color="auto"/>
            <w:left w:val="none" w:sz="0" w:space="0" w:color="auto"/>
            <w:bottom w:val="none" w:sz="0" w:space="0" w:color="auto"/>
            <w:right w:val="none" w:sz="0" w:space="0" w:color="auto"/>
          </w:divBdr>
        </w:div>
        <w:div w:id="611792104">
          <w:marLeft w:val="360"/>
          <w:marRight w:val="0"/>
          <w:marTop w:val="200"/>
          <w:marBottom w:val="0"/>
          <w:divBdr>
            <w:top w:val="none" w:sz="0" w:space="0" w:color="auto"/>
            <w:left w:val="none" w:sz="0" w:space="0" w:color="auto"/>
            <w:bottom w:val="none" w:sz="0" w:space="0" w:color="auto"/>
            <w:right w:val="none" w:sz="0" w:space="0" w:color="auto"/>
          </w:divBdr>
        </w:div>
        <w:div w:id="312874485">
          <w:marLeft w:val="360"/>
          <w:marRight w:val="0"/>
          <w:marTop w:val="200"/>
          <w:marBottom w:val="0"/>
          <w:divBdr>
            <w:top w:val="none" w:sz="0" w:space="0" w:color="auto"/>
            <w:left w:val="none" w:sz="0" w:space="0" w:color="auto"/>
            <w:bottom w:val="none" w:sz="0" w:space="0" w:color="auto"/>
            <w:right w:val="none" w:sz="0" w:space="0" w:color="auto"/>
          </w:divBdr>
        </w:div>
        <w:div w:id="1827362068">
          <w:marLeft w:val="360"/>
          <w:marRight w:val="0"/>
          <w:marTop w:val="200"/>
          <w:marBottom w:val="0"/>
          <w:divBdr>
            <w:top w:val="none" w:sz="0" w:space="0" w:color="auto"/>
            <w:left w:val="none" w:sz="0" w:space="0" w:color="auto"/>
            <w:bottom w:val="none" w:sz="0" w:space="0" w:color="auto"/>
            <w:right w:val="none" w:sz="0" w:space="0" w:color="auto"/>
          </w:divBdr>
        </w:div>
        <w:div w:id="1652250226">
          <w:marLeft w:val="360"/>
          <w:marRight w:val="0"/>
          <w:marTop w:val="200"/>
          <w:marBottom w:val="0"/>
          <w:divBdr>
            <w:top w:val="none" w:sz="0" w:space="0" w:color="auto"/>
            <w:left w:val="none" w:sz="0" w:space="0" w:color="auto"/>
            <w:bottom w:val="none" w:sz="0" w:space="0" w:color="auto"/>
            <w:right w:val="none" w:sz="0" w:space="0" w:color="auto"/>
          </w:divBdr>
        </w:div>
        <w:div w:id="166377386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1/01/compensation-packages-that-actually-drive-performance" TargetMode="External"/><Relationship Id="rId3" Type="http://schemas.openxmlformats.org/officeDocument/2006/relationships/settings" Target="settings.xml"/><Relationship Id="rId7" Type="http://schemas.openxmlformats.org/officeDocument/2006/relationships/hyperlink" Target="https://hbr.org/2024/07/how-to-respond-to-shareholder-activis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2024/07/power-influence-and-ceo-succession" TargetMode="External"/><Relationship Id="rId11" Type="http://schemas.openxmlformats.org/officeDocument/2006/relationships/theme" Target="theme/theme1.xml"/><Relationship Id="rId5" Type="http://schemas.openxmlformats.org/officeDocument/2006/relationships/hyperlink" Target="https://hbr.org/2025/05/case-study-should-we-drop-our-board-diversity-goal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br.org/2015/03/corporate-governanc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1297</Words>
  <Characters>7399</Characters>
  <Application>Microsoft Office Word</Application>
  <DocSecurity>0</DocSecurity>
  <Lines>61</Lines>
  <Paragraphs>17</Paragraphs>
  <ScaleCrop>false</ScaleCrop>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Ejike Udeogu</dc:creator>
  <cp:keywords/>
  <dc:description/>
  <cp:lastModifiedBy>Ejike Udeogu</cp:lastModifiedBy>
  <cp:revision>15</cp:revision>
  <dcterms:created xsi:type="dcterms:W3CDTF">2025-04-17T21:51:00Z</dcterms:created>
  <dcterms:modified xsi:type="dcterms:W3CDTF">2025-04-24T19:29:00Z</dcterms:modified>
</cp:coreProperties>
</file>