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C29C6D" w14:textId="77777777" w:rsidR="005D2701" w:rsidRPr="00ED575E" w:rsidRDefault="005D2701" w:rsidP="005D2701">
      <w:pPr>
        <w:pStyle w:val="NormalWeb"/>
        <w:spacing w:before="0" w:beforeAutospacing="0" w:after="0" w:afterAutospacing="0"/>
        <w:ind w:left="-180" w:right="-334"/>
        <w:rPr>
          <w:color w:val="auto"/>
        </w:rPr>
      </w:pPr>
      <w:r w:rsidRPr="00ED575E">
        <w:rPr>
          <w:b/>
          <w:color w:val="auto"/>
          <w:sz w:val="28"/>
          <w:szCs w:val="28"/>
        </w:rPr>
        <w:br/>
      </w:r>
      <w:r w:rsidRPr="00ED575E">
        <w:rPr>
          <w:noProof/>
          <w:color w:val="auto"/>
        </w:rPr>
        <w:drawing>
          <wp:inline distT="0" distB="0" distL="0" distR="0" wp14:anchorId="7627E788" wp14:editId="73EA43C4">
            <wp:extent cx="1910080" cy="634365"/>
            <wp:effectExtent l="25400" t="25400" r="7620" b="1333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34365"/>
                    </a:xfrm>
                    <a:prstGeom prst="rect">
                      <a:avLst/>
                    </a:prstGeom>
                    <a:noFill/>
                    <a:ln w="19050" cmpd="sng">
                      <a:solidFill>
                        <a:srgbClr val="000000"/>
                      </a:solidFill>
                      <a:miter lim="800000"/>
                      <a:headEnd/>
                      <a:tailEnd/>
                    </a:ln>
                    <a:effectLst/>
                  </pic:spPr>
                </pic:pic>
              </a:graphicData>
            </a:graphic>
          </wp:inline>
        </w:drawing>
      </w:r>
    </w:p>
    <w:p w14:paraId="26F7D06D" w14:textId="77777777" w:rsidR="005D2701" w:rsidRPr="00ED575E" w:rsidRDefault="005D2701" w:rsidP="005D2701">
      <w:pPr>
        <w:pStyle w:val="NormalWeb"/>
        <w:spacing w:before="0" w:beforeAutospacing="0" w:after="0" w:afterAutospacing="0"/>
        <w:ind w:left="-180" w:right="-334"/>
        <w:rPr>
          <w:color w:val="auto"/>
        </w:rPr>
      </w:pPr>
    </w:p>
    <w:p w14:paraId="0C03A7D6" w14:textId="77777777" w:rsidR="005D2701" w:rsidRPr="00ED575E" w:rsidRDefault="005D2701" w:rsidP="005D2701">
      <w:pPr>
        <w:pStyle w:val="NormalWeb"/>
        <w:spacing w:before="0" w:beforeAutospacing="0" w:after="0" w:afterAutospacing="0"/>
        <w:ind w:left="-180" w:right="-334"/>
        <w:rPr>
          <w:color w:val="auto"/>
        </w:rPr>
      </w:pPr>
    </w:p>
    <w:p w14:paraId="034A861A" w14:textId="77777777" w:rsidR="005D2701" w:rsidRPr="00ED575E" w:rsidRDefault="005D2701" w:rsidP="005D2701">
      <w:pPr>
        <w:pStyle w:val="NormalWeb"/>
        <w:spacing w:before="0" w:beforeAutospacing="0" w:after="0" w:afterAutospacing="0"/>
        <w:ind w:left="-180" w:right="-334"/>
        <w:jc w:val="center"/>
        <w:rPr>
          <w:rFonts w:ascii="Arial" w:hAnsi="Arial" w:cs="Arial"/>
          <w:b/>
          <w:color w:val="auto"/>
          <w:sz w:val="28"/>
          <w:szCs w:val="28"/>
        </w:rPr>
      </w:pPr>
      <w:r w:rsidRPr="00ED575E">
        <w:rPr>
          <w:rFonts w:ascii="Arial" w:hAnsi="Arial" w:cs="Arial"/>
          <w:b/>
          <w:color w:val="auto"/>
          <w:sz w:val="28"/>
          <w:szCs w:val="28"/>
        </w:rPr>
        <w:t xml:space="preserve">Postgraduate/Distance Learning </w:t>
      </w:r>
    </w:p>
    <w:p w14:paraId="5D074040" w14:textId="77777777" w:rsidR="005D2701" w:rsidRPr="00ED575E" w:rsidRDefault="005D2701" w:rsidP="005D2701">
      <w:pPr>
        <w:pStyle w:val="NormalWeb"/>
        <w:spacing w:before="0" w:beforeAutospacing="0" w:after="0" w:afterAutospacing="0"/>
        <w:ind w:left="-180" w:right="-334"/>
        <w:jc w:val="center"/>
        <w:rPr>
          <w:rFonts w:ascii="Arial" w:hAnsi="Arial" w:cs="Arial"/>
          <w:b/>
          <w:color w:val="auto"/>
          <w:sz w:val="28"/>
          <w:szCs w:val="28"/>
        </w:rPr>
      </w:pPr>
      <w:r w:rsidRPr="00ED575E">
        <w:rPr>
          <w:rFonts w:ascii="Arial" w:hAnsi="Arial" w:cs="Arial"/>
          <w:b/>
          <w:color w:val="auto"/>
          <w:sz w:val="28"/>
          <w:szCs w:val="28"/>
        </w:rPr>
        <w:t>Assignment coversheet &amp; feedback form</w:t>
      </w:r>
    </w:p>
    <w:p w14:paraId="7A38C8EA" w14:textId="77777777" w:rsidR="005D2701" w:rsidRPr="00ED575E" w:rsidRDefault="005D2701" w:rsidP="005D2701">
      <w:pPr>
        <w:rPr>
          <w:sz w:val="28"/>
          <w:szCs w:val="28"/>
        </w:rPr>
      </w:pPr>
    </w:p>
    <w:p w14:paraId="6F80BEE7" w14:textId="77777777" w:rsidR="005D2701" w:rsidRPr="00ED575E" w:rsidRDefault="005D2701" w:rsidP="005D2701">
      <w:pPr>
        <w:pStyle w:val="Heading3"/>
        <w:jc w:val="center"/>
        <w:rPr>
          <w:color w:val="auto"/>
        </w:rPr>
      </w:pPr>
      <w:r w:rsidRPr="00ED575E">
        <w:rPr>
          <w:color w:val="auto"/>
        </w:rPr>
        <w:t>THIS SHEET MUST BE THE FIRST PAGE OF THE ASSIGNMENT YOU ARE SUBMITTING  (DO NOT SEND AS A SEPARATE FILE)</w:t>
      </w:r>
    </w:p>
    <w:p w14:paraId="39289489" w14:textId="77777777" w:rsidR="005D2701" w:rsidRPr="00ED575E" w:rsidRDefault="005D2701" w:rsidP="005D2701">
      <w:pPr>
        <w:pStyle w:val="Heading3"/>
        <w:jc w:val="center"/>
        <w:rPr>
          <w:rFonts w:ascii="Trebuchet MS" w:hAnsi="Trebuchet MS"/>
          <w:color w:val="auto"/>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D2701" w:rsidRPr="00ED575E" w14:paraId="2CD622D4" w14:textId="77777777" w:rsidTr="00F66C95">
        <w:trPr>
          <w:trHeight w:val="614"/>
        </w:trPr>
        <w:tc>
          <w:tcPr>
            <w:tcW w:w="8856" w:type="dxa"/>
            <w:gridSpan w:val="5"/>
          </w:tcPr>
          <w:p w14:paraId="64D725E8"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b/>
                <w:color w:val="auto"/>
                <w:sz w:val="22"/>
                <w:szCs w:val="22"/>
              </w:rPr>
              <w:t>For completion by the student</w:t>
            </w:r>
            <w:r w:rsidRPr="00ED575E">
              <w:rPr>
                <w:rFonts w:ascii="Arial" w:hAnsi="Arial" w:cs="Arial"/>
                <w:color w:val="auto"/>
                <w:sz w:val="22"/>
                <w:szCs w:val="22"/>
              </w:rPr>
              <w:t xml:space="preserve">: </w:t>
            </w:r>
          </w:p>
        </w:tc>
      </w:tr>
      <w:tr w:rsidR="005D2701" w:rsidRPr="00ED575E" w14:paraId="40881875" w14:textId="77777777" w:rsidTr="00F66C95">
        <w:trPr>
          <w:trHeight w:val="557"/>
        </w:trPr>
        <w:tc>
          <w:tcPr>
            <w:tcW w:w="8856" w:type="dxa"/>
            <w:gridSpan w:val="5"/>
          </w:tcPr>
          <w:p w14:paraId="2E02E7EC"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Student Name:  Jake Eshelman</w:t>
            </w:r>
          </w:p>
        </w:tc>
      </w:tr>
      <w:tr w:rsidR="005D2701" w:rsidRPr="00ED575E" w14:paraId="67050FB7" w14:textId="77777777" w:rsidTr="00F66C95">
        <w:trPr>
          <w:trHeight w:val="849"/>
        </w:trPr>
        <w:tc>
          <w:tcPr>
            <w:tcW w:w="4788" w:type="dxa"/>
          </w:tcPr>
          <w:p w14:paraId="401F2489" w14:textId="77777777" w:rsidR="005D2701" w:rsidRPr="00ED575E" w:rsidRDefault="005D2701" w:rsidP="00F66C95">
            <w:pPr>
              <w:pStyle w:val="NormalWeb"/>
              <w:ind w:right="34"/>
              <w:rPr>
                <w:rFonts w:ascii="Arial" w:hAnsi="Arial" w:cs="Arial"/>
                <w:color w:val="auto"/>
                <w:sz w:val="22"/>
                <w:szCs w:val="22"/>
              </w:rPr>
            </w:pPr>
            <w:r w:rsidRPr="00ED575E">
              <w:rPr>
                <w:rFonts w:ascii="Arial" w:hAnsi="Arial" w:cs="Arial"/>
                <w:color w:val="auto"/>
                <w:sz w:val="22"/>
                <w:szCs w:val="22"/>
              </w:rPr>
              <w:t>Module code: HPCA7013</w:t>
            </w:r>
            <w:r w:rsidRPr="00ED575E">
              <w:rPr>
                <w:rFonts w:ascii="Arial" w:hAnsi="Arial" w:cs="Arial"/>
                <w:color w:val="auto"/>
                <w:sz w:val="22"/>
                <w:szCs w:val="22"/>
              </w:rPr>
              <w:br/>
            </w:r>
          </w:p>
          <w:p w14:paraId="05C9620E"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Module title: Cosmology, Magic &amp; Divination</w:t>
            </w:r>
          </w:p>
          <w:p w14:paraId="19C3751A"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p>
        </w:tc>
        <w:tc>
          <w:tcPr>
            <w:tcW w:w="2266" w:type="dxa"/>
            <w:gridSpan w:val="3"/>
          </w:tcPr>
          <w:p w14:paraId="7A701AE4"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Student ID number:</w:t>
            </w:r>
            <w:r w:rsidRPr="00ED575E">
              <w:rPr>
                <w:rFonts w:ascii="Arial" w:hAnsi="Arial" w:cs="Arial"/>
                <w:color w:val="auto"/>
                <w:sz w:val="22"/>
                <w:szCs w:val="22"/>
              </w:rPr>
              <w:br/>
            </w:r>
            <w:r w:rsidRPr="00ED575E">
              <w:rPr>
                <w:rFonts w:ascii="Arial" w:hAnsi="Arial" w:cs="Arial"/>
                <w:color w:val="auto"/>
                <w:sz w:val="22"/>
                <w:szCs w:val="22"/>
              </w:rPr>
              <w:br/>
            </w:r>
            <w:r w:rsidRPr="00ED575E">
              <w:rPr>
                <w:rFonts w:ascii="Arial" w:hAnsi="Arial" w:cs="Arial"/>
                <w:color w:val="auto"/>
                <w:sz w:val="22"/>
                <w:szCs w:val="22"/>
              </w:rPr>
              <w:br/>
              <w:t>2025460</w:t>
            </w:r>
          </w:p>
        </w:tc>
        <w:tc>
          <w:tcPr>
            <w:tcW w:w="1802" w:type="dxa"/>
          </w:tcPr>
          <w:p w14:paraId="39C4A2BA"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Educational support needs:</w:t>
            </w:r>
            <w:r w:rsidRPr="00ED575E">
              <w:rPr>
                <w:rFonts w:ascii="Arial" w:hAnsi="Arial" w:cs="Arial"/>
                <w:color w:val="auto"/>
                <w:sz w:val="22"/>
                <w:szCs w:val="22"/>
              </w:rPr>
              <w:br/>
            </w:r>
          </w:p>
          <w:p w14:paraId="47A383D3"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No</w:t>
            </w:r>
          </w:p>
        </w:tc>
      </w:tr>
      <w:tr w:rsidR="005D2701" w:rsidRPr="00ED575E" w14:paraId="041FE9AC" w14:textId="77777777" w:rsidTr="00F66C95">
        <w:trPr>
          <w:trHeight w:val="1025"/>
        </w:trPr>
        <w:tc>
          <w:tcPr>
            <w:tcW w:w="8856" w:type="dxa"/>
            <w:gridSpan w:val="5"/>
          </w:tcPr>
          <w:p w14:paraId="4838C60F" w14:textId="77777777" w:rsidR="005D2701" w:rsidRPr="00ED575E" w:rsidRDefault="005D2701" w:rsidP="00F66C95">
            <w:pPr>
              <w:pStyle w:val="NormalWeb"/>
              <w:ind w:right="34"/>
              <w:rPr>
                <w:rFonts w:ascii="Arial" w:hAnsi="Arial" w:cs="Arial"/>
                <w:color w:val="auto"/>
                <w:sz w:val="22"/>
                <w:szCs w:val="22"/>
              </w:rPr>
            </w:pPr>
            <w:r w:rsidRPr="00ED575E">
              <w:rPr>
                <w:rFonts w:ascii="Arial" w:hAnsi="Arial" w:cs="Arial"/>
                <w:color w:val="auto"/>
                <w:sz w:val="22"/>
                <w:szCs w:val="22"/>
              </w:rPr>
              <w:t xml:space="preserve">Module tutor: Crystal </w:t>
            </w:r>
            <w:proofErr w:type="spellStart"/>
            <w:r w:rsidRPr="00ED575E">
              <w:rPr>
                <w:rFonts w:ascii="Arial" w:hAnsi="Arial" w:cs="Arial"/>
                <w:color w:val="auto"/>
                <w:sz w:val="22"/>
                <w:szCs w:val="22"/>
              </w:rPr>
              <w:t>Addey</w:t>
            </w:r>
            <w:proofErr w:type="spellEnd"/>
            <w:r w:rsidRPr="00ED575E">
              <w:rPr>
                <w:rFonts w:ascii="Arial" w:hAnsi="Arial" w:cs="Arial"/>
                <w:color w:val="auto"/>
                <w:sz w:val="22"/>
                <w:szCs w:val="22"/>
              </w:rPr>
              <w:t>, Dawn Collins &amp; Dorian Greenbaum</w:t>
            </w:r>
          </w:p>
          <w:p w14:paraId="4512FA7A" w14:textId="2C6B9DE0"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 xml:space="preserve">Assignment due date: </w:t>
            </w:r>
            <w:r>
              <w:rPr>
                <w:rFonts w:ascii="Arial" w:hAnsi="Arial" w:cs="Arial"/>
                <w:color w:val="auto"/>
                <w:sz w:val="22"/>
                <w:szCs w:val="22"/>
              </w:rPr>
              <w:t>10</w:t>
            </w:r>
            <w:r w:rsidRPr="00ED575E">
              <w:rPr>
                <w:rFonts w:ascii="Arial" w:hAnsi="Arial" w:cs="Arial"/>
                <w:color w:val="auto"/>
                <w:sz w:val="22"/>
                <w:szCs w:val="22"/>
              </w:rPr>
              <w:t xml:space="preserve"> M</w:t>
            </w:r>
            <w:r>
              <w:rPr>
                <w:rFonts w:ascii="Arial" w:hAnsi="Arial" w:cs="Arial"/>
                <w:color w:val="auto"/>
                <w:sz w:val="22"/>
                <w:szCs w:val="22"/>
              </w:rPr>
              <w:t>ay</w:t>
            </w:r>
            <w:r w:rsidRPr="00ED575E">
              <w:rPr>
                <w:rFonts w:ascii="Arial" w:hAnsi="Arial" w:cs="Arial"/>
                <w:color w:val="auto"/>
                <w:sz w:val="22"/>
                <w:szCs w:val="22"/>
              </w:rPr>
              <w:t>, 2021</w:t>
            </w:r>
          </w:p>
        </w:tc>
      </w:tr>
      <w:tr w:rsidR="005D2701" w:rsidRPr="00ED575E" w14:paraId="2B515B83" w14:textId="77777777" w:rsidTr="00F66C95">
        <w:trPr>
          <w:trHeight w:val="978"/>
        </w:trPr>
        <w:tc>
          <w:tcPr>
            <w:tcW w:w="8856" w:type="dxa"/>
            <w:gridSpan w:val="5"/>
            <w:tcBorders>
              <w:bottom w:val="single" w:sz="4" w:space="0" w:color="000000"/>
            </w:tcBorders>
          </w:tcPr>
          <w:p w14:paraId="57542CAC" w14:textId="77777777" w:rsidR="005D2701" w:rsidRPr="00ED575E" w:rsidRDefault="005D2701" w:rsidP="00F66C95">
            <w:r w:rsidRPr="00ED575E">
              <w:t xml:space="preserve">If your module has multiple </w:t>
            </w:r>
            <w:proofErr w:type="gramStart"/>
            <w:r w:rsidRPr="00ED575E">
              <w:t>submissions</w:t>
            </w:r>
            <w:proofErr w:type="gramEnd"/>
            <w:r w:rsidRPr="00ED575E">
              <w:t xml:space="preserve"> please indicate which piece of work this is.</w:t>
            </w:r>
          </w:p>
          <w:p w14:paraId="53429D5F" w14:textId="77777777" w:rsidR="005D2701" w:rsidRPr="00ED575E" w:rsidRDefault="005D2701" w:rsidP="00F66C95"/>
          <w:p w14:paraId="3D9C2C04" w14:textId="77777777" w:rsidR="005D2701" w:rsidRPr="00ED575E" w:rsidRDefault="005D2701" w:rsidP="00F66C95">
            <w:r w:rsidRPr="00ED575E">
              <w:t>1</w:t>
            </w:r>
            <w:r w:rsidRPr="00ED575E">
              <w:rPr>
                <w:vertAlign w:val="superscript"/>
              </w:rPr>
              <w:t xml:space="preserve">st </w:t>
            </w:r>
            <w:r w:rsidRPr="00ED575E">
              <w:fldChar w:fldCharType="begin">
                <w:ffData>
                  <w:name w:val="Check13"/>
                  <w:enabled/>
                  <w:calcOnExit w:val="0"/>
                  <w:checkBox>
                    <w:sizeAuto/>
                    <w:default w:val="1"/>
                  </w:checkBox>
                </w:ffData>
              </w:fldChar>
            </w:r>
            <w:bookmarkStart w:id="0" w:name="Check13"/>
            <w:r w:rsidRPr="00ED575E">
              <w:instrText xml:space="preserve"> FORMCHECKBOX </w:instrText>
            </w:r>
            <w:r>
              <w:fldChar w:fldCharType="separate"/>
            </w:r>
            <w:r w:rsidRPr="00ED575E">
              <w:fldChar w:fldCharType="end"/>
            </w:r>
            <w:bookmarkEnd w:id="0"/>
            <w:r w:rsidRPr="00ED575E">
              <w:t xml:space="preserve">    2</w:t>
            </w:r>
            <w:r w:rsidRPr="00ED575E">
              <w:rPr>
                <w:vertAlign w:val="superscript"/>
              </w:rPr>
              <w:t>nd</w:t>
            </w:r>
            <w:r w:rsidRPr="00ED575E">
              <w:t xml:space="preserve">  </w:t>
            </w:r>
            <w:r w:rsidRPr="00ED575E">
              <w:fldChar w:fldCharType="begin">
                <w:ffData>
                  <w:name w:val="Check14"/>
                  <w:enabled/>
                  <w:calcOnExit w:val="0"/>
                  <w:checkBox>
                    <w:sizeAuto/>
                    <w:default w:val="0"/>
                  </w:checkBox>
                </w:ffData>
              </w:fldChar>
            </w:r>
            <w:bookmarkStart w:id="1" w:name="Check14"/>
            <w:r w:rsidRPr="00ED575E">
              <w:instrText xml:space="preserve"> FORMCHECKBOX </w:instrText>
            </w:r>
            <w:r>
              <w:fldChar w:fldCharType="separate"/>
            </w:r>
            <w:r w:rsidRPr="00ED575E">
              <w:fldChar w:fldCharType="end"/>
            </w:r>
            <w:bookmarkEnd w:id="1"/>
            <w:r w:rsidRPr="00ED575E">
              <w:t xml:space="preserve">     3</w:t>
            </w:r>
            <w:r w:rsidRPr="00ED575E">
              <w:rPr>
                <w:vertAlign w:val="superscript"/>
              </w:rPr>
              <w:t>rd</w:t>
            </w:r>
            <w:r w:rsidRPr="00ED575E">
              <w:t xml:space="preserve">  </w:t>
            </w:r>
            <w:r w:rsidRPr="00ED575E">
              <w:fldChar w:fldCharType="begin">
                <w:ffData>
                  <w:name w:val="Check15"/>
                  <w:enabled/>
                  <w:calcOnExit w:val="0"/>
                  <w:checkBox>
                    <w:sizeAuto/>
                    <w:default w:val="0"/>
                  </w:checkBox>
                </w:ffData>
              </w:fldChar>
            </w:r>
            <w:bookmarkStart w:id="2" w:name="Check15"/>
            <w:r w:rsidRPr="00ED575E">
              <w:instrText xml:space="preserve"> FORMCHECKBOX </w:instrText>
            </w:r>
            <w:r>
              <w:fldChar w:fldCharType="separate"/>
            </w:r>
            <w:r w:rsidRPr="00ED575E">
              <w:fldChar w:fldCharType="end"/>
            </w:r>
            <w:bookmarkEnd w:id="2"/>
            <w:r w:rsidRPr="00ED575E">
              <w:t xml:space="preserve">      4</w:t>
            </w:r>
            <w:r w:rsidRPr="00ED575E">
              <w:rPr>
                <w:vertAlign w:val="superscript"/>
              </w:rPr>
              <w:t>th</w:t>
            </w:r>
            <w:r w:rsidRPr="00ED575E">
              <w:t xml:space="preserve"> </w:t>
            </w:r>
            <w:r w:rsidRPr="00ED575E">
              <w:fldChar w:fldCharType="begin">
                <w:ffData>
                  <w:name w:val="Check16"/>
                  <w:enabled/>
                  <w:calcOnExit w:val="0"/>
                  <w:checkBox>
                    <w:sizeAuto/>
                    <w:default w:val="0"/>
                  </w:checkBox>
                </w:ffData>
              </w:fldChar>
            </w:r>
            <w:bookmarkStart w:id="3" w:name="Check16"/>
            <w:r w:rsidRPr="00ED575E">
              <w:instrText xml:space="preserve"> FORMCHECKBOX </w:instrText>
            </w:r>
            <w:r>
              <w:fldChar w:fldCharType="separate"/>
            </w:r>
            <w:r w:rsidRPr="00ED575E">
              <w:fldChar w:fldCharType="end"/>
            </w:r>
            <w:bookmarkEnd w:id="3"/>
            <w:r w:rsidRPr="00ED575E">
              <w:t xml:space="preserve">      5</w:t>
            </w:r>
            <w:r w:rsidRPr="00ED575E">
              <w:rPr>
                <w:vertAlign w:val="superscript"/>
              </w:rPr>
              <w:t>th</w:t>
            </w:r>
            <w:r w:rsidRPr="00ED575E">
              <w:t xml:space="preserve"> </w:t>
            </w:r>
            <w:r w:rsidRPr="00ED575E">
              <w:fldChar w:fldCharType="begin">
                <w:ffData>
                  <w:name w:val="Check17"/>
                  <w:enabled/>
                  <w:calcOnExit w:val="0"/>
                  <w:checkBox>
                    <w:sizeAuto/>
                    <w:default w:val="0"/>
                  </w:checkBox>
                </w:ffData>
              </w:fldChar>
            </w:r>
            <w:bookmarkStart w:id="4" w:name="Check17"/>
            <w:r w:rsidRPr="00ED575E">
              <w:instrText xml:space="preserve"> FORMCHECKBOX </w:instrText>
            </w:r>
            <w:r>
              <w:fldChar w:fldCharType="separate"/>
            </w:r>
            <w:r w:rsidRPr="00ED575E">
              <w:fldChar w:fldCharType="end"/>
            </w:r>
            <w:bookmarkEnd w:id="4"/>
            <w:r w:rsidRPr="00ED575E">
              <w:t xml:space="preserve">      6</w:t>
            </w:r>
            <w:r w:rsidRPr="00ED575E">
              <w:rPr>
                <w:vertAlign w:val="superscript"/>
              </w:rPr>
              <w:t>th</w:t>
            </w:r>
            <w:r w:rsidRPr="00ED575E">
              <w:t xml:space="preserve"> </w:t>
            </w:r>
            <w:r w:rsidRPr="00ED575E">
              <w:fldChar w:fldCharType="begin">
                <w:ffData>
                  <w:name w:val="Check18"/>
                  <w:enabled/>
                  <w:calcOnExit w:val="0"/>
                  <w:checkBox>
                    <w:sizeAuto/>
                    <w:default w:val="0"/>
                  </w:checkBox>
                </w:ffData>
              </w:fldChar>
            </w:r>
            <w:bookmarkStart w:id="5" w:name="Check18"/>
            <w:r w:rsidRPr="00ED575E">
              <w:instrText xml:space="preserve"> FORMCHECKBOX </w:instrText>
            </w:r>
            <w:r>
              <w:fldChar w:fldCharType="separate"/>
            </w:r>
            <w:r w:rsidRPr="00ED575E">
              <w:fldChar w:fldCharType="end"/>
            </w:r>
            <w:bookmarkEnd w:id="5"/>
          </w:p>
        </w:tc>
      </w:tr>
      <w:tr w:rsidR="005D2701" w:rsidRPr="00ED575E" w14:paraId="3A467C07" w14:textId="77777777" w:rsidTr="00F66C95">
        <w:trPr>
          <w:trHeight w:val="978"/>
        </w:trPr>
        <w:tc>
          <w:tcPr>
            <w:tcW w:w="8856" w:type="dxa"/>
            <w:gridSpan w:val="5"/>
            <w:shd w:val="clear" w:color="auto" w:fill="D9D9D9"/>
          </w:tcPr>
          <w:p w14:paraId="6B30840F"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I confirm that this is my original work and that I have adhered to the University policy on plagiarism.</w:t>
            </w:r>
          </w:p>
          <w:p w14:paraId="3F471AA0"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Signed ………………Jake Eshelman…………………</w:t>
            </w:r>
          </w:p>
          <w:p w14:paraId="25D54A9D" w14:textId="77777777" w:rsidR="005D2701" w:rsidRPr="00ED575E" w:rsidRDefault="005D2701" w:rsidP="00F66C95">
            <w:pPr>
              <w:pStyle w:val="NormalWeb"/>
              <w:spacing w:before="0" w:beforeAutospacing="0" w:after="0" w:afterAutospacing="0"/>
              <w:ind w:right="34"/>
              <w:rPr>
                <w:rFonts w:ascii="Calibri" w:hAnsi="Calibri" w:cs="Calibri"/>
                <w:b/>
                <w:color w:val="auto"/>
                <w:sz w:val="44"/>
                <w:szCs w:val="44"/>
              </w:rPr>
            </w:pPr>
            <w:r w:rsidRPr="00ED575E">
              <w:rPr>
                <w:rFonts w:ascii="Calibri" w:hAnsi="Calibri" w:cs="Tahoma"/>
                <w:b/>
                <w:color w:val="auto"/>
                <w:sz w:val="24"/>
                <w:szCs w:val="24"/>
              </w:rPr>
              <w:br/>
              <w:t xml:space="preserve">Email submission: if you are submitting this form via email, please tick this box </w:t>
            </w:r>
            <w:r w:rsidRPr="00ED575E">
              <w:rPr>
                <w:rFonts w:ascii="Calibri" w:hAnsi="Calibri" w:cs="Calibri"/>
                <w:b/>
                <w:color w:val="auto"/>
                <w:sz w:val="22"/>
                <w:szCs w:val="22"/>
              </w:rPr>
              <w:fldChar w:fldCharType="begin">
                <w:ffData>
                  <w:name w:val="Check13"/>
                  <w:enabled/>
                  <w:calcOnExit w:val="0"/>
                  <w:checkBox>
                    <w:sizeAuto/>
                    <w:default w:val="1"/>
                  </w:checkBox>
                </w:ffData>
              </w:fldChar>
            </w:r>
            <w:r w:rsidRPr="00ED575E">
              <w:rPr>
                <w:rFonts w:ascii="Calibri" w:hAnsi="Calibri" w:cs="Calibri"/>
                <w:b/>
                <w:color w:val="auto"/>
                <w:sz w:val="22"/>
                <w:szCs w:val="22"/>
              </w:rPr>
              <w:instrText xml:space="preserve"> FORMCHECKBOX </w:instrText>
            </w:r>
            <w:r>
              <w:rPr>
                <w:rFonts w:ascii="Calibri" w:hAnsi="Calibri" w:cs="Calibri"/>
                <w:b/>
                <w:color w:val="auto"/>
                <w:sz w:val="22"/>
                <w:szCs w:val="22"/>
              </w:rPr>
            </w:r>
            <w:r>
              <w:rPr>
                <w:rFonts w:ascii="Calibri" w:hAnsi="Calibri" w:cs="Calibri"/>
                <w:b/>
                <w:color w:val="auto"/>
                <w:sz w:val="22"/>
                <w:szCs w:val="22"/>
              </w:rPr>
              <w:fldChar w:fldCharType="separate"/>
            </w:r>
            <w:r w:rsidRPr="00ED575E">
              <w:rPr>
                <w:rFonts w:ascii="Calibri" w:hAnsi="Calibri" w:cs="Calibri"/>
                <w:b/>
                <w:color w:val="auto"/>
                <w:sz w:val="22"/>
                <w:szCs w:val="22"/>
              </w:rPr>
              <w:fldChar w:fldCharType="end"/>
            </w:r>
          </w:p>
          <w:p w14:paraId="029C1E63"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Calibri" w:hAnsi="Calibri" w:cs="Tahoma"/>
                <w:b/>
                <w:color w:val="auto"/>
                <w:sz w:val="24"/>
                <w:szCs w:val="24"/>
              </w:rPr>
              <w:t>(as a substitute for your signature) to confirm that you agree to the above declaration.</w:t>
            </w:r>
          </w:p>
        </w:tc>
      </w:tr>
      <w:tr w:rsidR="005D2701" w:rsidRPr="00ED575E" w14:paraId="1F4C9CEB" w14:textId="77777777" w:rsidTr="00F66C95">
        <w:trPr>
          <w:trHeight w:val="3972"/>
        </w:trPr>
        <w:tc>
          <w:tcPr>
            <w:tcW w:w="8856" w:type="dxa"/>
            <w:gridSpan w:val="5"/>
          </w:tcPr>
          <w:p w14:paraId="3D10FE00" w14:textId="77777777" w:rsidR="005D2701" w:rsidRPr="00ED575E" w:rsidRDefault="005D2701" w:rsidP="00F66C95">
            <w:pPr>
              <w:rPr>
                <w:b/>
              </w:rPr>
            </w:pPr>
          </w:p>
          <w:p w14:paraId="4FED0E3B" w14:textId="77777777" w:rsidR="005D2701" w:rsidRPr="00ED575E" w:rsidRDefault="005D2701" w:rsidP="00F66C95">
            <w:r w:rsidRPr="00ED575E">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D2701" w:rsidRPr="00ED575E" w14:paraId="41751A83" w14:textId="77777777" w:rsidTr="00F66C95">
              <w:tc>
                <w:tcPr>
                  <w:tcW w:w="6970" w:type="dxa"/>
                </w:tcPr>
                <w:p w14:paraId="5447CB2B" w14:textId="77777777" w:rsidR="005D2701" w:rsidRPr="00ED575E" w:rsidRDefault="005D2701" w:rsidP="00F66C95">
                  <w:pPr>
                    <w:rPr>
                      <w:sz w:val="20"/>
                      <w:szCs w:val="20"/>
                    </w:rPr>
                  </w:pPr>
                </w:p>
                <w:p w14:paraId="614A1360" w14:textId="77777777" w:rsidR="005D2701" w:rsidRPr="00ED575E" w:rsidRDefault="005D2701" w:rsidP="00F66C95">
                  <w:pPr>
                    <w:rPr>
                      <w:sz w:val="20"/>
                      <w:szCs w:val="20"/>
                    </w:rPr>
                  </w:pPr>
                  <w:r w:rsidRPr="00ED575E">
                    <w:rPr>
                      <w:sz w:val="20"/>
                      <w:szCs w:val="20"/>
                    </w:rPr>
                    <w:t>1</w:t>
                  </w:r>
                  <w:r w:rsidRPr="00ED575E">
                    <w:rPr>
                      <w:sz w:val="20"/>
                      <w:szCs w:val="20"/>
                      <w:vertAlign w:val="superscript"/>
                    </w:rPr>
                    <w:t>st</w:t>
                  </w:r>
                  <w:r w:rsidRPr="00ED575E">
                    <w:rPr>
                      <w:sz w:val="20"/>
                      <w:szCs w:val="20"/>
                    </w:rPr>
                    <w:t xml:space="preserve"> Marker’s Provisional mark</w:t>
                  </w:r>
                </w:p>
              </w:tc>
              <w:tc>
                <w:tcPr>
                  <w:tcW w:w="1660" w:type="dxa"/>
                </w:tcPr>
                <w:p w14:paraId="71D63326" w14:textId="77777777" w:rsidR="005D2701" w:rsidRPr="00ED575E" w:rsidRDefault="005D2701" w:rsidP="00F66C95">
                  <w:pPr>
                    <w:rPr>
                      <w:sz w:val="20"/>
                      <w:szCs w:val="20"/>
                    </w:rPr>
                  </w:pPr>
                </w:p>
              </w:tc>
            </w:tr>
            <w:tr w:rsidR="005D2701" w:rsidRPr="00ED575E" w14:paraId="02814027" w14:textId="77777777" w:rsidTr="00F66C95">
              <w:tc>
                <w:tcPr>
                  <w:tcW w:w="6970" w:type="dxa"/>
                </w:tcPr>
                <w:p w14:paraId="4486E809" w14:textId="77777777" w:rsidR="005D2701" w:rsidRPr="00ED575E" w:rsidRDefault="005D2701" w:rsidP="00F66C95">
                  <w:pPr>
                    <w:rPr>
                      <w:sz w:val="20"/>
                      <w:szCs w:val="20"/>
                    </w:rPr>
                  </w:pPr>
                </w:p>
                <w:p w14:paraId="06806FF3" w14:textId="77777777" w:rsidR="005D2701" w:rsidRPr="00ED575E" w:rsidRDefault="005D2701" w:rsidP="00F66C95">
                  <w:pPr>
                    <w:rPr>
                      <w:sz w:val="20"/>
                      <w:szCs w:val="20"/>
                    </w:rPr>
                  </w:pPr>
                  <w:r w:rsidRPr="00ED575E">
                    <w:rPr>
                      <w:sz w:val="20"/>
                      <w:szCs w:val="20"/>
                    </w:rPr>
                    <w:t>2</w:t>
                  </w:r>
                  <w:r w:rsidRPr="00ED575E">
                    <w:rPr>
                      <w:sz w:val="20"/>
                      <w:szCs w:val="20"/>
                      <w:vertAlign w:val="superscript"/>
                    </w:rPr>
                    <w:t>nd</w:t>
                  </w:r>
                  <w:r w:rsidRPr="00ED575E">
                    <w:rPr>
                      <w:sz w:val="20"/>
                      <w:szCs w:val="20"/>
                    </w:rPr>
                    <w:t xml:space="preserve"> Marker’s/Moderator’s provisional mark</w:t>
                  </w:r>
                </w:p>
              </w:tc>
              <w:tc>
                <w:tcPr>
                  <w:tcW w:w="1660" w:type="dxa"/>
                </w:tcPr>
                <w:p w14:paraId="0853661E" w14:textId="77777777" w:rsidR="005D2701" w:rsidRPr="00ED575E" w:rsidRDefault="005D2701" w:rsidP="00F66C95">
                  <w:pPr>
                    <w:rPr>
                      <w:sz w:val="20"/>
                      <w:szCs w:val="20"/>
                    </w:rPr>
                  </w:pPr>
                </w:p>
              </w:tc>
            </w:tr>
            <w:tr w:rsidR="005D2701" w:rsidRPr="00ED575E" w14:paraId="58506F43" w14:textId="77777777" w:rsidTr="00F66C95">
              <w:tc>
                <w:tcPr>
                  <w:tcW w:w="6970" w:type="dxa"/>
                </w:tcPr>
                <w:p w14:paraId="3386D4F0" w14:textId="77777777" w:rsidR="005D2701" w:rsidRPr="00ED575E" w:rsidRDefault="005D2701" w:rsidP="00F66C95">
                  <w:pPr>
                    <w:rPr>
                      <w:sz w:val="20"/>
                      <w:szCs w:val="20"/>
                    </w:rPr>
                  </w:pPr>
                  <w:r w:rsidRPr="00ED575E">
                    <w:rPr>
                      <w:sz w:val="20"/>
                      <w:szCs w:val="20"/>
                    </w:rPr>
                    <w:t xml:space="preserve">Agreed Internal Mark: </w:t>
                  </w:r>
                </w:p>
                <w:p w14:paraId="56A3BA94" w14:textId="77777777" w:rsidR="005D2701" w:rsidRPr="00ED575E" w:rsidRDefault="005D2701" w:rsidP="00F66C95">
                  <w:pPr>
                    <w:rPr>
                      <w:sz w:val="20"/>
                      <w:szCs w:val="20"/>
                      <w:highlight w:val="yellow"/>
                    </w:rPr>
                  </w:pPr>
                </w:p>
              </w:tc>
              <w:tc>
                <w:tcPr>
                  <w:tcW w:w="1660" w:type="dxa"/>
                </w:tcPr>
                <w:p w14:paraId="6239A3DE" w14:textId="77777777" w:rsidR="005D2701" w:rsidRPr="00ED575E" w:rsidRDefault="005D2701" w:rsidP="00F66C95">
                  <w:pPr>
                    <w:rPr>
                      <w:sz w:val="20"/>
                      <w:szCs w:val="20"/>
                      <w:highlight w:val="yellow"/>
                    </w:rPr>
                  </w:pPr>
                </w:p>
              </w:tc>
            </w:tr>
            <w:tr w:rsidR="005D2701" w:rsidRPr="00ED575E" w14:paraId="1A90CBB0" w14:textId="77777777" w:rsidTr="00F66C95">
              <w:tc>
                <w:tcPr>
                  <w:tcW w:w="6970" w:type="dxa"/>
                </w:tcPr>
                <w:p w14:paraId="20C94199" w14:textId="77777777" w:rsidR="005D2701" w:rsidRPr="00ED575E" w:rsidRDefault="005D2701" w:rsidP="00F66C95">
                  <w:pPr>
                    <w:rPr>
                      <w:sz w:val="20"/>
                      <w:szCs w:val="20"/>
                    </w:rPr>
                  </w:pPr>
                </w:p>
                <w:p w14:paraId="63E63F68" w14:textId="77777777" w:rsidR="005D2701" w:rsidRPr="00ED575E" w:rsidRDefault="005D2701" w:rsidP="00F66C95">
                  <w:pPr>
                    <w:rPr>
                      <w:sz w:val="20"/>
                      <w:szCs w:val="20"/>
                    </w:rPr>
                  </w:pPr>
                  <w:r w:rsidRPr="00ED575E">
                    <w:rPr>
                      <w:sz w:val="20"/>
                      <w:szCs w:val="20"/>
                    </w:rPr>
                    <w:t>External Examiner’s mark (if relevant)</w:t>
                  </w:r>
                </w:p>
              </w:tc>
              <w:tc>
                <w:tcPr>
                  <w:tcW w:w="1660" w:type="dxa"/>
                </w:tcPr>
                <w:p w14:paraId="131B54CC" w14:textId="77777777" w:rsidR="005D2701" w:rsidRPr="00ED575E" w:rsidRDefault="005D2701" w:rsidP="00F66C95">
                  <w:pPr>
                    <w:rPr>
                      <w:sz w:val="20"/>
                      <w:szCs w:val="20"/>
                    </w:rPr>
                  </w:pPr>
                </w:p>
              </w:tc>
            </w:tr>
            <w:tr w:rsidR="005D2701" w:rsidRPr="00ED575E" w14:paraId="4E940E40" w14:textId="77777777" w:rsidTr="00F66C95">
              <w:tc>
                <w:tcPr>
                  <w:tcW w:w="6970" w:type="dxa"/>
                </w:tcPr>
                <w:p w14:paraId="3FE2CD8B" w14:textId="77777777" w:rsidR="005D2701" w:rsidRPr="00ED575E" w:rsidRDefault="005D2701" w:rsidP="00F66C95">
                  <w:pPr>
                    <w:rPr>
                      <w:sz w:val="20"/>
                      <w:szCs w:val="20"/>
                    </w:rPr>
                  </w:pPr>
                </w:p>
                <w:p w14:paraId="7AF42695" w14:textId="77777777" w:rsidR="005D2701" w:rsidRPr="00ED575E" w:rsidRDefault="005D2701" w:rsidP="00F66C95">
                  <w:pPr>
                    <w:rPr>
                      <w:b/>
                      <w:sz w:val="20"/>
                      <w:szCs w:val="20"/>
                    </w:rPr>
                  </w:pPr>
                  <w:r w:rsidRPr="00ED575E">
                    <w:rPr>
                      <w:b/>
                      <w:sz w:val="20"/>
                      <w:szCs w:val="20"/>
                    </w:rPr>
                    <w:t>Final Mark</w:t>
                  </w:r>
                </w:p>
                <w:p w14:paraId="03792136" w14:textId="77777777" w:rsidR="005D2701" w:rsidRPr="00ED575E" w:rsidRDefault="005D2701" w:rsidP="00F66C95">
                  <w:pPr>
                    <w:rPr>
                      <w:sz w:val="20"/>
                      <w:szCs w:val="20"/>
                    </w:rPr>
                  </w:pPr>
                </w:p>
              </w:tc>
              <w:tc>
                <w:tcPr>
                  <w:tcW w:w="1660" w:type="dxa"/>
                </w:tcPr>
                <w:p w14:paraId="58FBCA7D" w14:textId="77777777" w:rsidR="005D2701" w:rsidRPr="00ED575E" w:rsidRDefault="005D2701" w:rsidP="00F66C95">
                  <w:pPr>
                    <w:rPr>
                      <w:sz w:val="20"/>
                      <w:szCs w:val="20"/>
                    </w:rPr>
                  </w:pPr>
                </w:p>
              </w:tc>
            </w:tr>
          </w:tbl>
          <w:p w14:paraId="20F39C39" w14:textId="77777777" w:rsidR="005D2701" w:rsidRPr="00ED575E" w:rsidRDefault="005D2701" w:rsidP="00F66C95">
            <w:pPr>
              <w:pStyle w:val="NormalWeb"/>
              <w:spacing w:before="0" w:beforeAutospacing="0" w:after="0" w:afterAutospacing="0"/>
              <w:ind w:left="142" w:right="34"/>
              <w:rPr>
                <w:rFonts w:ascii="Arial" w:hAnsi="Arial" w:cs="Arial"/>
                <w:b/>
                <w:color w:val="auto"/>
                <w:sz w:val="22"/>
                <w:szCs w:val="22"/>
              </w:rPr>
            </w:pPr>
          </w:p>
          <w:p w14:paraId="3CBCEA8F" w14:textId="77777777" w:rsidR="005D2701" w:rsidRPr="00ED575E" w:rsidRDefault="005D2701" w:rsidP="00F66C95">
            <w:pPr>
              <w:pStyle w:val="NormalWeb"/>
              <w:spacing w:before="0" w:beforeAutospacing="0" w:after="0" w:afterAutospacing="0"/>
              <w:ind w:left="142" w:right="34"/>
              <w:rPr>
                <w:rFonts w:ascii="Arial" w:hAnsi="Arial" w:cs="Arial"/>
                <w:color w:val="auto"/>
                <w:sz w:val="22"/>
                <w:szCs w:val="22"/>
              </w:rPr>
            </w:pPr>
            <w:r w:rsidRPr="00ED575E">
              <w:rPr>
                <w:rFonts w:ascii="Arial" w:hAnsi="Arial" w:cs="Arial"/>
                <w:b/>
                <w:color w:val="auto"/>
                <w:sz w:val="22"/>
                <w:szCs w:val="22"/>
              </w:rPr>
              <w:t>NB.</w:t>
            </w:r>
            <w:r w:rsidRPr="00ED575E">
              <w:rPr>
                <w:rFonts w:ascii="Arial" w:hAnsi="Arial" w:cs="Arial"/>
                <w:color w:val="auto"/>
                <w:sz w:val="22"/>
                <w:szCs w:val="22"/>
              </w:rPr>
              <w:t xml:space="preserve">  All marks are provisional until confirmed by the Final Examination Board.</w:t>
            </w:r>
          </w:p>
          <w:p w14:paraId="367F3E1A" w14:textId="77777777" w:rsidR="005D2701" w:rsidRPr="00ED575E" w:rsidRDefault="005D2701" w:rsidP="00F66C95">
            <w:pPr>
              <w:pStyle w:val="NormalWeb"/>
              <w:spacing w:before="0" w:beforeAutospacing="0" w:after="0" w:afterAutospacing="0"/>
              <w:rPr>
                <w:rFonts w:ascii="Arial" w:hAnsi="Arial" w:cs="Arial"/>
                <w:b/>
                <w:color w:val="auto"/>
                <w:sz w:val="22"/>
                <w:szCs w:val="22"/>
              </w:rPr>
            </w:pPr>
          </w:p>
          <w:p w14:paraId="4A7E303B" w14:textId="77777777" w:rsidR="005D2701" w:rsidRPr="00ED575E" w:rsidRDefault="005D2701" w:rsidP="00F66C95">
            <w:pPr>
              <w:pStyle w:val="NormalWeb"/>
              <w:spacing w:before="0" w:beforeAutospacing="0" w:after="0" w:afterAutospacing="0"/>
              <w:rPr>
                <w:rFonts w:ascii="Arial" w:hAnsi="Arial" w:cs="Arial"/>
                <w:b/>
                <w:color w:val="auto"/>
                <w:sz w:val="22"/>
                <w:szCs w:val="22"/>
              </w:rPr>
            </w:pPr>
            <w:r w:rsidRPr="00ED575E">
              <w:rPr>
                <w:rFonts w:ascii="Arial" w:hAnsi="Arial" w:cs="Arial"/>
                <w:b/>
                <w:color w:val="auto"/>
                <w:sz w:val="22"/>
                <w:szCs w:val="22"/>
              </w:rPr>
              <w:t>For completion by Marker 1 :</w:t>
            </w:r>
            <w:r w:rsidRPr="00ED575E">
              <w:rPr>
                <w:rFonts w:ascii="Arial" w:hAnsi="Arial" w:cs="Arial"/>
                <w:b/>
                <w:color w:val="auto"/>
                <w:sz w:val="22"/>
                <w:szCs w:val="22"/>
              </w:rPr>
              <w:br/>
            </w:r>
            <w:r w:rsidRPr="00ED575E">
              <w:rPr>
                <w:rFonts w:ascii="Arial" w:hAnsi="Arial" w:cs="Arial"/>
                <w:color w:val="auto"/>
                <w:sz w:val="22"/>
                <w:szCs w:val="22"/>
              </w:rPr>
              <w:t>Comments:</w:t>
            </w:r>
          </w:p>
          <w:p w14:paraId="660D1788" w14:textId="77777777" w:rsidR="005D2701" w:rsidRPr="00ED575E" w:rsidRDefault="005D2701" w:rsidP="00F66C95">
            <w:pPr>
              <w:pStyle w:val="NormalWeb"/>
              <w:rPr>
                <w:rFonts w:ascii="Arial" w:hAnsi="Arial" w:cs="Arial"/>
                <w:color w:val="auto"/>
                <w:sz w:val="22"/>
                <w:szCs w:val="22"/>
              </w:rPr>
            </w:pPr>
          </w:p>
        </w:tc>
      </w:tr>
      <w:tr w:rsidR="005D2701" w:rsidRPr="00ED575E" w14:paraId="378244E1" w14:textId="77777777" w:rsidTr="00F66C95">
        <w:trPr>
          <w:trHeight w:val="413"/>
        </w:trPr>
        <w:tc>
          <w:tcPr>
            <w:tcW w:w="6768" w:type="dxa"/>
            <w:gridSpan w:val="3"/>
          </w:tcPr>
          <w:p w14:paraId="592C950C" w14:textId="77777777" w:rsidR="005D2701" w:rsidRPr="00ED575E" w:rsidRDefault="005D2701" w:rsidP="00F66C95">
            <w:pPr>
              <w:pStyle w:val="NormalWeb"/>
              <w:ind w:left="142" w:right="34"/>
              <w:rPr>
                <w:rFonts w:ascii="Arial" w:hAnsi="Arial" w:cs="Arial"/>
                <w:color w:val="auto"/>
                <w:sz w:val="22"/>
                <w:szCs w:val="22"/>
              </w:rPr>
            </w:pPr>
            <w:r w:rsidRPr="00ED575E">
              <w:rPr>
                <w:rFonts w:ascii="Arial" w:hAnsi="Arial" w:cs="Arial"/>
                <w:color w:val="auto"/>
                <w:sz w:val="22"/>
                <w:szCs w:val="22"/>
              </w:rPr>
              <w:t>Marker’s signature:</w:t>
            </w:r>
          </w:p>
        </w:tc>
        <w:tc>
          <w:tcPr>
            <w:tcW w:w="2088" w:type="dxa"/>
            <w:gridSpan w:val="2"/>
          </w:tcPr>
          <w:p w14:paraId="1E5ED79C" w14:textId="77777777" w:rsidR="005D2701" w:rsidRPr="00ED575E" w:rsidRDefault="005D2701" w:rsidP="00F66C95">
            <w:pPr>
              <w:pStyle w:val="NormalWeb"/>
              <w:spacing w:after="0"/>
              <w:ind w:left="142" w:right="34"/>
              <w:rPr>
                <w:rFonts w:ascii="Arial" w:hAnsi="Arial" w:cs="Arial"/>
                <w:color w:val="auto"/>
                <w:sz w:val="22"/>
                <w:szCs w:val="22"/>
              </w:rPr>
            </w:pPr>
            <w:r w:rsidRPr="00ED575E">
              <w:rPr>
                <w:rFonts w:ascii="Arial" w:hAnsi="Arial" w:cs="Arial"/>
                <w:color w:val="auto"/>
                <w:sz w:val="22"/>
                <w:szCs w:val="22"/>
              </w:rPr>
              <w:t>Date:</w:t>
            </w:r>
          </w:p>
        </w:tc>
      </w:tr>
      <w:tr w:rsidR="005D2701" w:rsidRPr="00ED575E" w14:paraId="46A47570" w14:textId="77777777" w:rsidTr="00F66C95">
        <w:tc>
          <w:tcPr>
            <w:tcW w:w="8856" w:type="dxa"/>
            <w:gridSpan w:val="5"/>
          </w:tcPr>
          <w:p w14:paraId="1B9930F9" w14:textId="77777777" w:rsidR="005D2701" w:rsidRPr="00ED575E" w:rsidRDefault="005D2701" w:rsidP="00F66C95">
            <w:pPr>
              <w:pStyle w:val="NormalWeb"/>
              <w:spacing w:before="0" w:beforeAutospacing="0" w:after="0" w:afterAutospacing="0"/>
              <w:ind w:right="-334"/>
              <w:rPr>
                <w:rFonts w:ascii="Arial" w:hAnsi="Arial" w:cs="Arial"/>
                <w:bCs/>
                <w:i/>
                <w:color w:val="auto"/>
                <w:sz w:val="22"/>
                <w:szCs w:val="22"/>
              </w:rPr>
            </w:pPr>
          </w:p>
          <w:p w14:paraId="5EF89400" w14:textId="77777777" w:rsidR="005D2701" w:rsidRPr="00ED575E" w:rsidRDefault="005D2701" w:rsidP="00F66C95">
            <w:pPr>
              <w:pStyle w:val="NormalWeb"/>
              <w:spacing w:before="0" w:beforeAutospacing="0" w:after="0" w:afterAutospacing="0"/>
              <w:ind w:right="-334"/>
              <w:rPr>
                <w:rFonts w:ascii="Arial" w:hAnsi="Arial" w:cs="Arial"/>
                <w:b/>
                <w:bCs/>
                <w:color w:val="auto"/>
                <w:sz w:val="22"/>
                <w:szCs w:val="22"/>
              </w:rPr>
            </w:pPr>
            <w:r w:rsidRPr="00ED575E">
              <w:rPr>
                <w:rFonts w:ascii="Arial" w:hAnsi="Arial" w:cs="Arial"/>
                <w:b/>
                <w:bCs/>
                <w:color w:val="auto"/>
                <w:sz w:val="22"/>
                <w:szCs w:val="22"/>
              </w:rPr>
              <w:t>For completion by Marker 2/Moderator:</w:t>
            </w:r>
          </w:p>
          <w:p w14:paraId="0152B226"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r w:rsidRPr="00ED575E">
              <w:rPr>
                <w:rFonts w:ascii="Arial" w:hAnsi="Arial" w:cs="Arial"/>
                <w:bCs/>
                <w:color w:val="auto"/>
                <w:sz w:val="22"/>
                <w:szCs w:val="22"/>
              </w:rPr>
              <w:t>Comments:</w:t>
            </w:r>
          </w:p>
          <w:p w14:paraId="5C890FBB"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p w14:paraId="112D4E0E"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p w14:paraId="12183B37"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tc>
      </w:tr>
      <w:tr w:rsidR="005D2701" w:rsidRPr="00ED575E" w14:paraId="3AA53EA9" w14:textId="77777777" w:rsidTr="00F66C95">
        <w:trPr>
          <w:trHeight w:val="720"/>
        </w:trPr>
        <w:tc>
          <w:tcPr>
            <w:tcW w:w="5211" w:type="dxa"/>
            <w:gridSpan w:val="2"/>
          </w:tcPr>
          <w:p w14:paraId="2E3A15F7"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r w:rsidRPr="00ED575E">
              <w:rPr>
                <w:rFonts w:ascii="Arial" w:hAnsi="Arial" w:cs="Arial"/>
                <w:bCs/>
                <w:color w:val="auto"/>
                <w:sz w:val="22"/>
                <w:szCs w:val="22"/>
              </w:rPr>
              <w:t>Marker’s Signature:</w:t>
            </w:r>
          </w:p>
        </w:tc>
        <w:tc>
          <w:tcPr>
            <w:tcW w:w="3645" w:type="dxa"/>
            <w:gridSpan w:val="3"/>
          </w:tcPr>
          <w:p w14:paraId="05697B20"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r w:rsidRPr="00ED575E">
              <w:rPr>
                <w:rFonts w:ascii="Arial" w:hAnsi="Arial" w:cs="Arial"/>
                <w:bCs/>
                <w:color w:val="auto"/>
                <w:sz w:val="22"/>
                <w:szCs w:val="22"/>
              </w:rPr>
              <w:t>Date:</w:t>
            </w:r>
          </w:p>
        </w:tc>
      </w:tr>
      <w:tr w:rsidR="005D2701" w:rsidRPr="00ED575E" w14:paraId="76B0EFCC" w14:textId="77777777" w:rsidTr="00F66C95">
        <w:trPr>
          <w:trHeight w:val="720"/>
        </w:trPr>
        <w:tc>
          <w:tcPr>
            <w:tcW w:w="8856" w:type="dxa"/>
            <w:gridSpan w:val="5"/>
          </w:tcPr>
          <w:p w14:paraId="7061B089" w14:textId="77777777" w:rsidR="005D2701" w:rsidRPr="00ED575E" w:rsidRDefault="005D2701" w:rsidP="00F66C95">
            <w:pPr>
              <w:rPr>
                <w:b/>
              </w:rPr>
            </w:pPr>
            <w:r w:rsidRPr="00ED575E">
              <w:rPr>
                <w:b/>
              </w:rPr>
              <w:t>AGREED INTERNAL MARK (where necessary):</w:t>
            </w:r>
          </w:p>
          <w:p w14:paraId="6EBE5B1F" w14:textId="77777777" w:rsidR="005D2701" w:rsidRPr="00ED575E" w:rsidRDefault="005D2701" w:rsidP="00F66C95">
            <w:pPr>
              <w:rPr>
                <w:b/>
              </w:rPr>
            </w:pPr>
          </w:p>
          <w:p w14:paraId="17BAAF12" w14:textId="77777777" w:rsidR="005D2701" w:rsidRPr="00ED575E" w:rsidRDefault="005D2701" w:rsidP="00F66C95">
            <w:pPr>
              <w:rPr>
                <w:b/>
              </w:rPr>
            </w:pPr>
            <w:r w:rsidRPr="00ED575E">
              <w:rPr>
                <w:b/>
              </w:rPr>
              <w:t>Comment on process of arriving at agreed mark:</w:t>
            </w:r>
          </w:p>
          <w:p w14:paraId="6FDB1449" w14:textId="77777777" w:rsidR="005D2701" w:rsidRPr="00ED575E" w:rsidRDefault="005D2701" w:rsidP="00F66C95">
            <w:pPr>
              <w:rPr>
                <w:b/>
              </w:rPr>
            </w:pPr>
          </w:p>
          <w:p w14:paraId="42A6310D" w14:textId="77777777" w:rsidR="005D2701" w:rsidRPr="00ED575E" w:rsidRDefault="005D2701" w:rsidP="00F66C95">
            <w:pPr>
              <w:rPr>
                <w:b/>
              </w:rPr>
            </w:pPr>
          </w:p>
          <w:p w14:paraId="7CB4955D" w14:textId="77777777" w:rsidR="005D2701" w:rsidRPr="00ED575E" w:rsidRDefault="005D2701" w:rsidP="00F66C95">
            <w:pPr>
              <w:rPr>
                <w:b/>
              </w:rPr>
            </w:pPr>
          </w:p>
          <w:p w14:paraId="36D3023A" w14:textId="77777777" w:rsidR="005D2701" w:rsidRPr="00ED575E" w:rsidRDefault="005D2701" w:rsidP="00F66C95">
            <w:pPr>
              <w:rPr>
                <w:b/>
              </w:rPr>
            </w:pPr>
            <w:r w:rsidRPr="00ED575E">
              <w:rPr>
                <w:b/>
              </w:rPr>
              <w:br/>
            </w:r>
          </w:p>
          <w:p w14:paraId="58094535" w14:textId="77777777" w:rsidR="005D2701" w:rsidRPr="00ED575E" w:rsidRDefault="005D2701" w:rsidP="00F66C95">
            <w:pPr>
              <w:rPr>
                <w:b/>
              </w:rPr>
            </w:pPr>
          </w:p>
        </w:tc>
      </w:tr>
      <w:tr w:rsidR="005D2701" w:rsidRPr="00ED575E" w14:paraId="7A7F646C" w14:textId="77777777" w:rsidTr="00F66C95">
        <w:trPr>
          <w:trHeight w:val="720"/>
        </w:trPr>
        <w:tc>
          <w:tcPr>
            <w:tcW w:w="8856" w:type="dxa"/>
            <w:gridSpan w:val="5"/>
          </w:tcPr>
          <w:p w14:paraId="7CEC5460" w14:textId="77777777" w:rsidR="005D2701" w:rsidRPr="00ED575E" w:rsidRDefault="005D2701" w:rsidP="00F66C95">
            <w:pPr>
              <w:rPr>
                <w:b/>
              </w:rPr>
            </w:pPr>
            <w:r w:rsidRPr="00ED575E">
              <w:rPr>
                <w:b/>
              </w:rPr>
              <w:t>External Examiner’s comments (if relevant)</w:t>
            </w:r>
          </w:p>
          <w:p w14:paraId="116DDD0A"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p w14:paraId="3EC58D58"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r w:rsidRPr="00ED575E">
              <w:rPr>
                <w:rFonts w:ascii="Arial" w:hAnsi="Arial" w:cs="Arial"/>
                <w:bCs/>
                <w:color w:val="auto"/>
                <w:sz w:val="22"/>
                <w:szCs w:val="22"/>
              </w:rPr>
              <w:br/>
            </w:r>
          </w:p>
          <w:p w14:paraId="3BCC3219"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p w14:paraId="23AACDB6"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p w14:paraId="6AA296C8"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tc>
      </w:tr>
      <w:tr w:rsidR="005D2701" w:rsidRPr="00ED575E" w14:paraId="6B855C04" w14:textId="77777777" w:rsidTr="00F66C95">
        <w:trPr>
          <w:trHeight w:val="440"/>
        </w:trPr>
        <w:tc>
          <w:tcPr>
            <w:tcW w:w="5211" w:type="dxa"/>
            <w:gridSpan w:val="2"/>
          </w:tcPr>
          <w:p w14:paraId="043C8769" w14:textId="77777777" w:rsidR="005D2701" w:rsidRPr="00ED575E" w:rsidRDefault="005D2701" w:rsidP="00F66C95">
            <w:r w:rsidRPr="00ED575E">
              <w:t>External Examiner’s Signature:</w:t>
            </w:r>
          </w:p>
        </w:tc>
        <w:tc>
          <w:tcPr>
            <w:tcW w:w="3645" w:type="dxa"/>
            <w:gridSpan w:val="3"/>
          </w:tcPr>
          <w:p w14:paraId="21238A82" w14:textId="77777777" w:rsidR="005D2701" w:rsidRPr="00ED575E" w:rsidRDefault="005D2701" w:rsidP="00F66C95">
            <w:r w:rsidRPr="00ED575E">
              <w:t>Date:</w:t>
            </w:r>
          </w:p>
        </w:tc>
      </w:tr>
    </w:tbl>
    <w:p w14:paraId="334BF035" w14:textId="77777777" w:rsidR="005D2701" w:rsidRDefault="005D2701" w:rsidP="003567D3">
      <w:pPr>
        <w:spacing w:line="360" w:lineRule="auto"/>
        <w:rPr>
          <w:rFonts w:ascii="Arial" w:hAnsi="Arial" w:cs="Arial"/>
          <w:b/>
          <w:bCs/>
          <w:color w:val="000000" w:themeColor="text1"/>
          <w:sz w:val="28"/>
          <w:szCs w:val="28"/>
          <w:lang w:val="en-GB"/>
        </w:rPr>
      </w:pPr>
    </w:p>
    <w:p w14:paraId="3F57ECDB" w14:textId="7D369DAD" w:rsidR="006C08AE" w:rsidRPr="003567D3" w:rsidRDefault="00E522DC" w:rsidP="003567D3">
      <w:pPr>
        <w:spacing w:line="360" w:lineRule="auto"/>
        <w:rPr>
          <w:rFonts w:ascii="Arial" w:hAnsi="Arial" w:cs="Arial"/>
          <w:b/>
          <w:bCs/>
          <w:color w:val="000000" w:themeColor="text1"/>
          <w:sz w:val="28"/>
          <w:szCs w:val="28"/>
          <w:lang w:val="en-GB"/>
        </w:rPr>
      </w:pPr>
      <w:r w:rsidRPr="003567D3">
        <w:rPr>
          <w:rFonts w:ascii="Arial" w:hAnsi="Arial" w:cs="Arial"/>
          <w:b/>
          <w:bCs/>
          <w:color w:val="000000" w:themeColor="text1"/>
          <w:sz w:val="28"/>
          <w:szCs w:val="28"/>
          <w:lang w:val="en-GB"/>
        </w:rPr>
        <w:lastRenderedPageBreak/>
        <w:t>From Azande to Antiquity:</w:t>
      </w:r>
    </w:p>
    <w:p w14:paraId="7306F81A" w14:textId="5D24966E" w:rsidR="006C08AE" w:rsidRPr="003567D3" w:rsidRDefault="00E522DC" w:rsidP="003567D3">
      <w:pPr>
        <w:spacing w:line="276" w:lineRule="auto"/>
        <w:rPr>
          <w:rFonts w:ascii="Arial" w:hAnsi="Arial" w:cs="Arial"/>
          <w:b/>
          <w:bCs/>
          <w:color w:val="000000" w:themeColor="text1"/>
          <w:sz w:val="22"/>
          <w:szCs w:val="22"/>
          <w:lang w:val="en-GB"/>
        </w:rPr>
      </w:pPr>
      <w:r w:rsidRPr="003567D3">
        <w:rPr>
          <w:rFonts w:ascii="Arial" w:hAnsi="Arial" w:cs="Arial"/>
          <w:b/>
          <w:bCs/>
          <w:color w:val="000000" w:themeColor="text1"/>
          <w:sz w:val="22"/>
          <w:szCs w:val="22"/>
          <w:lang w:val="en-GB"/>
        </w:rPr>
        <w:t xml:space="preserve">Applying Evans-Pritchard Ethnographic Insights to the </w:t>
      </w:r>
      <w:r w:rsidRPr="003567D3">
        <w:rPr>
          <w:rFonts w:ascii="Arial" w:hAnsi="Arial" w:cs="Arial"/>
          <w:b/>
          <w:bCs/>
          <w:color w:val="000000" w:themeColor="text1"/>
          <w:sz w:val="22"/>
          <w:szCs w:val="22"/>
          <w:lang w:val="en-GB"/>
        </w:rPr>
        <w:br/>
        <w:t>Study of Divination in the Ancient Greco-Roman World</w:t>
      </w:r>
    </w:p>
    <w:p w14:paraId="76345893" w14:textId="77777777" w:rsidR="00E522DC" w:rsidRPr="003567D3" w:rsidRDefault="00E522DC" w:rsidP="003567D3">
      <w:pPr>
        <w:spacing w:line="276" w:lineRule="auto"/>
        <w:rPr>
          <w:rFonts w:ascii="Arial" w:hAnsi="Arial" w:cs="Arial"/>
          <w:b/>
          <w:bCs/>
          <w:color w:val="FF0000"/>
          <w:sz w:val="22"/>
          <w:szCs w:val="22"/>
          <w:lang w:val="en-GB"/>
        </w:rPr>
      </w:pPr>
    </w:p>
    <w:p w14:paraId="587EF200" w14:textId="3CA744C2" w:rsidR="000E03DE" w:rsidRDefault="000E03DE" w:rsidP="003567D3">
      <w:pPr>
        <w:spacing w:line="276" w:lineRule="auto"/>
        <w:rPr>
          <w:rFonts w:ascii="Arial" w:hAnsi="Arial" w:cs="Arial"/>
          <w:b/>
          <w:bCs/>
          <w:color w:val="FF0000"/>
          <w:sz w:val="22"/>
          <w:szCs w:val="22"/>
          <w:lang w:val="en-GB"/>
        </w:rPr>
      </w:pPr>
    </w:p>
    <w:p w14:paraId="78058D5B" w14:textId="1D45F9C2" w:rsidR="003567D3" w:rsidRPr="003567D3" w:rsidRDefault="003567D3" w:rsidP="003567D3">
      <w:pPr>
        <w:spacing w:line="276" w:lineRule="auto"/>
        <w:rPr>
          <w:rFonts w:ascii="Arial" w:hAnsi="Arial" w:cs="Arial"/>
          <w:b/>
          <w:bCs/>
          <w:sz w:val="22"/>
          <w:szCs w:val="22"/>
          <w:lang w:val="en-GB"/>
        </w:rPr>
      </w:pPr>
      <w:r w:rsidRPr="003567D3">
        <w:rPr>
          <w:rFonts w:ascii="Arial" w:hAnsi="Arial" w:cs="Arial"/>
          <w:b/>
          <w:bCs/>
          <w:sz w:val="22"/>
          <w:szCs w:val="22"/>
          <w:lang w:val="en-GB"/>
        </w:rPr>
        <w:t>Introduction</w:t>
      </w:r>
    </w:p>
    <w:p w14:paraId="6F741A29" w14:textId="2F0850F3" w:rsidR="00187B5A" w:rsidRPr="003567D3" w:rsidRDefault="00D97D99" w:rsidP="003567D3">
      <w:pPr>
        <w:spacing w:line="276" w:lineRule="auto"/>
        <w:ind w:firstLine="720"/>
        <w:rPr>
          <w:rFonts w:ascii="Arial" w:hAnsi="Arial" w:cs="Arial"/>
          <w:color w:val="FF0000"/>
          <w:sz w:val="22"/>
          <w:szCs w:val="22"/>
          <w:lang w:val="en-GB"/>
        </w:rPr>
      </w:pPr>
      <w:r w:rsidRPr="003567D3">
        <w:rPr>
          <w:rFonts w:ascii="Arial" w:hAnsi="Arial" w:cs="Arial"/>
          <w:color w:val="000000" w:themeColor="text1"/>
          <w:sz w:val="22"/>
          <w:szCs w:val="22"/>
          <w:lang w:val="en-GB"/>
        </w:rPr>
        <w:t xml:space="preserve">The publication of </w:t>
      </w:r>
      <w:r w:rsidR="00F22EEF" w:rsidRPr="003567D3">
        <w:rPr>
          <w:rFonts w:ascii="Arial" w:hAnsi="Arial" w:cs="Arial"/>
          <w:color w:val="000000" w:themeColor="text1"/>
          <w:sz w:val="22"/>
          <w:szCs w:val="22"/>
          <w:lang w:val="en-GB"/>
        </w:rPr>
        <w:t xml:space="preserve">E.E. </w:t>
      </w:r>
      <w:r w:rsidR="00B9659F" w:rsidRPr="003567D3">
        <w:rPr>
          <w:rFonts w:ascii="Arial" w:hAnsi="Arial" w:cs="Arial"/>
          <w:color w:val="000000" w:themeColor="text1"/>
          <w:sz w:val="22"/>
          <w:szCs w:val="22"/>
          <w:lang w:val="en-GB"/>
        </w:rPr>
        <w:t xml:space="preserve">Evans-Pritchard’s </w:t>
      </w:r>
      <w:r w:rsidR="00B9659F" w:rsidRPr="003567D3">
        <w:rPr>
          <w:rFonts w:ascii="Arial" w:hAnsi="Arial" w:cs="Arial"/>
          <w:i/>
          <w:iCs/>
          <w:color w:val="000000" w:themeColor="text1"/>
          <w:sz w:val="22"/>
          <w:szCs w:val="22"/>
          <w:lang w:val="en-GB"/>
        </w:rPr>
        <w:t>Witchcraft, Oracles, and Magic Amongst the Azande</w:t>
      </w:r>
      <w:r w:rsidR="00B9659F" w:rsidRPr="003567D3">
        <w:rPr>
          <w:rFonts w:ascii="Arial" w:hAnsi="Arial" w:cs="Arial"/>
          <w:color w:val="000000" w:themeColor="text1"/>
          <w:sz w:val="22"/>
          <w:szCs w:val="22"/>
          <w:lang w:val="en-GB"/>
        </w:rPr>
        <w:t xml:space="preserve"> </w:t>
      </w:r>
      <w:r w:rsidRPr="003567D3">
        <w:rPr>
          <w:rFonts w:ascii="Arial" w:hAnsi="Arial" w:cs="Arial"/>
          <w:color w:val="000000" w:themeColor="text1"/>
          <w:sz w:val="22"/>
          <w:szCs w:val="22"/>
          <w:lang w:val="en-GB"/>
        </w:rPr>
        <w:t xml:space="preserve">in 1937 marked a watershed moment in the advancement of </w:t>
      </w:r>
      <w:r w:rsidR="00187B5A" w:rsidRPr="003567D3">
        <w:rPr>
          <w:rFonts w:ascii="Arial" w:hAnsi="Arial" w:cs="Arial"/>
          <w:color w:val="000000" w:themeColor="text1"/>
          <w:sz w:val="22"/>
          <w:szCs w:val="22"/>
          <w:lang w:val="en-GB"/>
        </w:rPr>
        <w:t>ethnography</w:t>
      </w:r>
      <w:r w:rsidRPr="003567D3">
        <w:rPr>
          <w:rFonts w:ascii="Arial" w:hAnsi="Arial" w:cs="Arial"/>
          <w:color w:val="000000" w:themeColor="text1"/>
          <w:sz w:val="22"/>
          <w:szCs w:val="22"/>
          <w:lang w:val="en-GB"/>
        </w:rPr>
        <w:t xml:space="preserve">. </w:t>
      </w:r>
      <w:r w:rsidR="00F22EEF" w:rsidRPr="003567D3">
        <w:rPr>
          <w:rFonts w:ascii="Arial" w:hAnsi="Arial" w:cs="Arial"/>
          <w:color w:val="000000" w:themeColor="text1"/>
          <w:sz w:val="22"/>
          <w:szCs w:val="22"/>
          <w:lang w:val="en-GB"/>
        </w:rPr>
        <w:t>While</w:t>
      </w:r>
      <w:r w:rsidR="000245E8" w:rsidRPr="003567D3">
        <w:rPr>
          <w:rFonts w:ascii="Arial" w:hAnsi="Arial" w:cs="Arial"/>
          <w:color w:val="000000" w:themeColor="text1"/>
          <w:sz w:val="22"/>
          <w:szCs w:val="22"/>
          <w:lang w:val="en-GB"/>
        </w:rPr>
        <w:t xml:space="preserve"> Evans-Pritchard’s breakthroughs are most </w:t>
      </w:r>
      <w:r w:rsidR="00F22EEF" w:rsidRPr="003567D3">
        <w:rPr>
          <w:rFonts w:ascii="Arial" w:hAnsi="Arial" w:cs="Arial"/>
          <w:color w:val="000000" w:themeColor="text1"/>
          <w:sz w:val="22"/>
          <w:szCs w:val="22"/>
          <w:lang w:val="en-GB"/>
        </w:rPr>
        <w:t>often</w:t>
      </w:r>
      <w:r w:rsidR="000245E8" w:rsidRPr="003567D3">
        <w:rPr>
          <w:rFonts w:ascii="Arial" w:hAnsi="Arial" w:cs="Arial"/>
          <w:color w:val="000000" w:themeColor="text1"/>
          <w:sz w:val="22"/>
          <w:szCs w:val="22"/>
          <w:lang w:val="en-GB"/>
        </w:rPr>
        <w:t xml:space="preserve"> recognized in relation to their contributions to social anthropology, </w:t>
      </w:r>
      <w:r w:rsidR="00F22EEF" w:rsidRPr="003567D3">
        <w:rPr>
          <w:rFonts w:ascii="Arial" w:hAnsi="Arial" w:cs="Arial"/>
          <w:color w:val="000000" w:themeColor="text1"/>
          <w:sz w:val="22"/>
          <w:szCs w:val="22"/>
          <w:lang w:val="en-GB"/>
        </w:rPr>
        <w:t xml:space="preserve">many of </w:t>
      </w:r>
      <w:r w:rsidR="000245E8" w:rsidRPr="003567D3">
        <w:rPr>
          <w:rFonts w:ascii="Arial" w:hAnsi="Arial" w:cs="Arial"/>
          <w:color w:val="000000" w:themeColor="text1"/>
          <w:sz w:val="22"/>
          <w:szCs w:val="22"/>
          <w:lang w:val="en-GB"/>
        </w:rPr>
        <w:t xml:space="preserve">his insights </w:t>
      </w:r>
      <w:r w:rsidR="000C38CA" w:rsidRPr="003567D3">
        <w:rPr>
          <w:rFonts w:ascii="Arial" w:hAnsi="Arial" w:cs="Arial"/>
          <w:color w:val="000000" w:themeColor="text1"/>
          <w:sz w:val="22"/>
          <w:szCs w:val="22"/>
          <w:lang w:val="en-GB"/>
        </w:rPr>
        <w:t>about conducting</w:t>
      </w:r>
      <w:r w:rsidR="00F22EEF" w:rsidRPr="003567D3">
        <w:rPr>
          <w:rFonts w:ascii="Arial" w:hAnsi="Arial" w:cs="Arial"/>
          <w:color w:val="000000" w:themeColor="text1"/>
          <w:sz w:val="22"/>
          <w:szCs w:val="22"/>
          <w:lang w:val="en-GB"/>
        </w:rPr>
        <w:t xml:space="preserve"> fieldwork among the Azande also carr</w:t>
      </w:r>
      <w:r w:rsidRPr="003567D3">
        <w:rPr>
          <w:rFonts w:ascii="Arial" w:hAnsi="Arial" w:cs="Arial"/>
          <w:color w:val="000000" w:themeColor="text1"/>
          <w:sz w:val="22"/>
          <w:szCs w:val="22"/>
          <w:lang w:val="en-GB"/>
        </w:rPr>
        <w:t>y</w:t>
      </w:r>
      <w:r w:rsidR="00F22EEF" w:rsidRPr="003567D3">
        <w:rPr>
          <w:rFonts w:ascii="Arial" w:hAnsi="Arial" w:cs="Arial"/>
          <w:color w:val="000000" w:themeColor="text1"/>
          <w:sz w:val="22"/>
          <w:szCs w:val="22"/>
          <w:lang w:val="en-GB"/>
        </w:rPr>
        <w:t xml:space="preserve"> </w:t>
      </w:r>
      <w:r w:rsidR="00C631D6" w:rsidRPr="003567D3">
        <w:rPr>
          <w:rFonts w:ascii="Arial" w:hAnsi="Arial" w:cs="Arial"/>
          <w:color w:val="000000" w:themeColor="text1"/>
          <w:sz w:val="22"/>
          <w:szCs w:val="22"/>
          <w:lang w:val="en-GB"/>
        </w:rPr>
        <w:t>significant</w:t>
      </w:r>
      <w:r w:rsidR="00F22EEF" w:rsidRPr="003567D3">
        <w:rPr>
          <w:rFonts w:ascii="Arial" w:hAnsi="Arial" w:cs="Arial"/>
          <w:color w:val="FF0000"/>
          <w:sz w:val="22"/>
          <w:szCs w:val="22"/>
          <w:lang w:val="en-GB"/>
        </w:rPr>
        <w:t xml:space="preserve"> </w:t>
      </w:r>
      <w:r w:rsidR="00F22EEF" w:rsidRPr="003567D3">
        <w:rPr>
          <w:rFonts w:ascii="Arial" w:hAnsi="Arial" w:cs="Arial"/>
          <w:color w:val="000000" w:themeColor="text1"/>
          <w:sz w:val="22"/>
          <w:szCs w:val="22"/>
          <w:lang w:val="en-GB"/>
        </w:rPr>
        <w:t>resonance for those studying non-living cultures, particularly Classical scholars of religion and divination</w:t>
      </w:r>
      <w:r w:rsidR="00531D82" w:rsidRPr="003567D3">
        <w:rPr>
          <w:rFonts w:ascii="Arial" w:hAnsi="Arial" w:cs="Arial"/>
          <w:color w:val="000000" w:themeColor="text1"/>
          <w:sz w:val="22"/>
          <w:szCs w:val="22"/>
          <w:lang w:val="en-GB"/>
        </w:rPr>
        <w:t xml:space="preserve"> in</w:t>
      </w:r>
      <w:r w:rsidR="00F22EEF" w:rsidRPr="003567D3">
        <w:rPr>
          <w:rFonts w:ascii="Arial" w:hAnsi="Arial" w:cs="Arial"/>
          <w:color w:val="000000" w:themeColor="text1"/>
          <w:sz w:val="22"/>
          <w:szCs w:val="22"/>
          <w:lang w:val="en-GB"/>
        </w:rPr>
        <w:t xml:space="preserve"> the ancient Greco-Roman world. </w:t>
      </w:r>
    </w:p>
    <w:p w14:paraId="6BD7F16A" w14:textId="3610F203" w:rsidR="000B59FE" w:rsidRPr="003567D3" w:rsidRDefault="00E84FFF" w:rsidP="003567D3">
      <w:pPr>
        <w:spacing w:line="276" w:lineRule="auto"/>
        <w:ind w:firstLine="720"/>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While it </w:t>
      </w:r>
      <w:r w:rsidRPr="003567D3">
        <w:rPr>
          <w:rFonts w:ascii="Arial" w:hAnsi="Arial" w:cs="Arial"/>
          <w:i/>
          <w:iCs/>
          <w:color w:val="000000" w:themeColor="text1"/>
          <w:sz w:val="22"/>
          <w:szCs w:val="22"/>
          <w:lang w:val="en-GB"/>
        </w:rPr>
        <w:t xml:space="preserve">can </w:t>
      </w:r>
      <w:r w:rsidRPr="003567D3">
        <w:rPr>
          <w:rFonts w:ascii="Arial" w:hAnsi="Arial" w:cs="Arial"/>
          <w:color w:val="000000" w:themeColor="text1"/>
          <w:sz w:val="22"/>
          <w:szCs w:val="22"/>
          <w:lang w:val="en-GB"/>
        </w:rPr>
        <w:t xml:space="preserve">be fruitful to identify correlations between </w:t>
      </w:r>
      <w:r w:rsidR="00187B5A" w:rsidRPr="003567D3">
        <w:rPr>
          <w:rFonts w:ascii="Arial" w:hAnsi="Arial" w:cs="Arial"/>
          <w:color w:val="000000" w:themeColor="text1"/>
          <w:sz w:val="22"/>
          <w:szCs w:val="22"/>
          <w:lang w:val="en-GB"/>
        </w:rPr>
        <w:t xml:space="preserve">the </w:t>
      </w:r>
      <w:r w:rsidRPr="003567D3">
        <w:rPr>
          <w:rFonts w:ascii="Arial" w:hAnsi="Arial" w:cs="Arial"/>
          <w:color w:val="000000" w:themeColor="text1"/>
          <w:sz w:val="22"/>
          <w:szCs w:val="22"/>
          <w:lang w:val="en-GB"/>
        </w:rPr>
        <w:t>divinatory</w:t>
      </w:r>
      <w:r w:rsidR="000B59FE" w:rsidRPr="003567D3">
        <w:rPr>
          <w:rFonts w:ascii="Arial" w:hAnsi="Arial" w:cs="Arial"/>
          <w:color w:val="000000" w:themeColor="text1"/>
          <w:sz w:val="22"/>
          <w:szCs w:val="22"/>
          <w:lang w:val="en-GB"/>
        </w:rPr>
        <w:t xml:space="preserve"> traditions</w:t>
      </w:r>
      <w:r w:rsidRPr="003567D3">
        <w:rPr>
          <w:rFonts w:ascii="Arial" w:hAnsi="Arial" w:cs="Arial"/>
          <w:color w:val="000000" w:themeColor="text1"/>
          <w:sz w:val="22"/>
          <w:szCs w:val="22"/>
          <w:lang w:val="en-GB"/>
        </w:rPr>
        <w:t xml:space="preserve"> </w:t>
      </w:r>
      <w:r w:rsidR="00187B5A" w:rsidRPr="003567D3">
        <w:rPr>
          <w:rFonts w:ascii="Arial" w:hAnsi="Arial" w:cs="Arial"/>
          <w:color w:val="000000" w:themeColor="text1"/>
          <w:sz w:val="22"/>
          <w:szCs w:val="22"/>
          <w:lang w:val="en-GB"/>
        </w:rPr>
        <w:t xml:space="preserve">Evans-Pritchard observed amidst the </w:t>
      </w:r>
      <w:r w:rsidRPr="003567D3">
        <w:rPr>
          <w:rFonts w:ascii="Arial" w:hAnsi="Arial" w:cs="Arial"/>
          <w:color w:val="000000" w:themeColor="text1"/>
          <w:sz w:val="22"/>
          <w:szCs w:val="22"/>
          <w:lang w:val="en-GB"/>
        </w:rPr>
        <w:t xml:space="preserve">Azande </w:t>
      </w:r>
      <w:r w:rsidR="00187B5A" w:rsidRPr="003567D3">
        <w:rPr>
          <w:rFonts w:ascii="Arial" w:hAnsi="Arial" w:cs="Arial"/>
          <w:color w:val="000000" w:themeColor="text1"/>
          <w:sz w:val="22"/>
          <w:szCs w:val="22"/>
          <w:lang w:val="en-GB"/>
        </w:rPr>
        <w:t>with</w:t>
      </w:r>
      <w:r w:rsidRPr="003567D3">
        <w:rPr>
          <w:rFonts w:ascii="Arial" w:hAnsi="Arial" w:cs="Arial"/>
          <w:color w:val="000000" w:themeColor="text1"/>
          <w:sz w:val="22"/>
          <w:szCs w:val="22"/>
          <w:lang w:val="en-GB"/>
        </w:rPr>
        <w:t xml:space="preserve"> </w:t>
      </w:r>
      <w:r w:rsidR="000B59FE" w:rsidRPr="003567D3">
        <w:rPr>
          <w:rFonts w:ascii="Arial" w:hAnsi="Arial" w:cs="Arial"/>
          <w:color w:val="000000" w:themeColor="text1"/>
          <w:sz w:val="22"/>
          <w:szCs w:val="22"/>
          <w:lang w:val="en-GB"/>
        </w:rPr>
        <w:t xml:space="preserve">similar practices </w:t>
      </w:r>
      <w:r w:rsidR="00E522DC" w:rsidRPr="003567D3">
        <w:rPr>
          <w:rFonts w:ascii="Arial" w:hAnsi="Arial" w:cs="Arial"/>
          <w:color w:val="000000" w:themeColor="text1"/>
          <w:sz w:val="22"/>
          <w:szCs w:val="22"/>
          <w:lang w:val="en-GB"/>
        </w:rPr>
        <w:t xml:space="preserve">enacted </w:t>
      </w:r>
      <w:r w:rsidRPr="003567D3">
        <w:rPr>
          <w:rFonts w:ascii="Arial" w:hAnsi="Arial" w:cs="Arial"/>
          <w:color w:val="000000" w:themeColor="text1"/>
          <w:sz w:val="22"/>
          <w:szCs w:val="22"/>
          <w:lang w:val="en-GB"/>
        </w:rPr>
        <w:t>during antiquity, the true generative power of Evans-Pritchard’s insight</w:t>
      </w:r>
      <w:r w:rsidR="00604AA2" w:rsidRPr="003567D3">
        <w:rPr>
          <w:rFonts w:ascii="Arial" w:hAnsi="Arial" w:cs="Arial"/>
          <w:color w:val="000000" w:themeColor="text1"/>
          <w:sz w:val="22"/>
          <w:szCs w:val="22"/>
          <w:lang w:val="en-GB"/>
        </w:rPr>
        <w:t>s</w:t>
      </w:r>
      <w:r w:rsidRPr="003567D3">
        <w:rPr>
          <w:rFonts w:ascii="Arial" w:hAnsi="Arial" w:cs="Arial"/>
          <w:color w:val="000000" w:themeColor="text1"/>
          <w:sz w:val="22"/>
          <w:szCs w:val="22"/>
          <w:lang w:val="en-GB"/>
        </w:rPr>
        <w:t xml:space="preserve"> lies in </w:t>
      </w:r>
      <w:r w:rsidR="00604AA2" w:rsidRPr="003567D3">
        <w:rPr>
          <w:rFonts w:ascii="Arial" w:hAnsi="Arial" w:cs="Arial"/>
          <w:color w:val="000000" w:themeColor="text1"/>
          <w:sz w:val="22"/>
          <w:szCs w:val="22"/>
          <w:lang w:val="en-GB"/>
        </w:rPr>
        <w:t>building a</w:t>
      </w:r>
      <w:r w:rsidR="000B59FE" w:rsidRPr="003567D3">
        <w:rPr>
          <w:rFonts w:ascii="Arial" w:hAnsi="Arial" w:cs="Arial"/>
          <w:color w:val="000000" w:themeColor="text1"/>
          <w:sz w:val="22"/>
          <w:szCs w:val="22"/>
          <w:lang w:val="en-GB"/>
        </w:rPr>
        <w:t xml:space="preserve"> framework for accessing and understanding a culture in </w:t>
      </w:r>
      <w:r w:rsidR="00604AA2" w:rsidRPr="003567D3">
        <w:rPr>
          <w:rFonts w:ascii="Arial" w:hAnsi="Arial" w:cs="Arial"/>
          <w:color w:val="000000" w:themeColor="text1"/>
          <w:sz w:val="22"/>
          <w:szCs w:val="22"/>
          <w:lang w:val="en-GB"/>
        </w:rPr>
        <w:t xml:space="preserve">and of itself. </w:t>
      </w:r>
      <w:r w:rsidR="000B59FE" w:rsidRPr="003567D3">
        <w:rPr>
          <w:rFonts w:ascii="Arial" w:hAnsi="Arial" w:cs="Arial"/>
          <w:color w:val="000000" w:themeColor="text1"/>
          <w:sz w:val="22"/>
          <w:szCs w:val="22"/>
          <w:lang w:val="en-GB"/>
        </w:rPr>
        <w:t xml:space="preserve">By applying elements of </w:t>
      </w:r>
      <w:r w:rsidR="00187B5A" w:rsidRPr="003567D3">
        <w:rPr>
          <w:rFonts w:ascii="Arial" w:hAnsi="Arial" w:cs="Arial"/>
          <w:color w:val="000000" w:themeColor="text1"/>
          <w:sz w:val="22"/>
          <w:szCs w:val="22"/>
          <w:lang w:val="en-GB"/>
        </w:rPr>
        <w:t>Evans-Pritchard’s</w:t>
      </w:r>
      <w:r w:rsidR="000B59FE" w:rsidRPr="003567D3">
        <w:rPr>
          <w:rFonts w:ascii="Arial" w:hAnsi="Arial" w:cs="Arial"/>
          <w:color w:val="000000" w:themeColor="text1"/>
          <w:sz w:val="22"/>
          <w:szCs w:val="22"/>
          <w:lang w:val="en-GB"/>
        </w:rPr>
        <w:t xml:space="preserve"> approach to </w:t>
      </w:r>
      <w:r w:rsidR="00187B5A" w:rsidRPr="003567D3">
        <w:rPr>
          <w:rFonts w:ascii="Arial" w:hAnsi="Arial" w:cs="Arial"/>
          <w:color w:val="000000" w:themeColor="text1"/>
          <w:sz w:val="22"/>
          <w:szCs w:val="22"/>
          <w:lang w:val="en-GB"/>
        </w:rPr>
        <w:t xml:space="preserve">conducting </w:t>
      </w:r>
      <w:r w:rsidR="000B59FE" w:rsidRPr="003567D3">
        <w:rPr>
          <w:rFonts w:ascii="Arial" w:hAnsi="Arial" w:cs="Arial"/>
          <w:color w:val="000000" w:themeColor="text1"/>
          <w:sz w:val="22"/>
          <w:szCs w:val="22"/>
          <w:lang w:val="en-GB"/>
        </w:rPr>
        <w:t xml:space="preserve">ethnographic research, contemporary scholars can </w:t>
      </w:r>
      <w:r w:rsidR="00E32882" w:rsidRPr="003567D3">
        <w:rPr>
          <w:rFonts w:ascii="Arial" w:hAnsi="Arial" w:cs="Arial"/>
          <w:color w:val="000000" w:themeColor="text1"/>
          <w:sz w:val="22"/>
          <w:szCs w:val="22"/>
          <w:lang w:val="en-GB"/>
        </w:rPr>
        <w:t>inform</w:t>
      </w:r>
      <w:r w:rsidR="000B59FE" w:rsidRPr="003567D3">
        <w:rPr>
          <w:rFonts w:ascii="Arial" w:hAnsi="Arial" w:cs="Arial"/>
          <w:color w:val="000000" w:themeColor="text1"/>
          <w:sz w:val="22"/>
          <w:szCs w:val="22"/>
          <w:lang w:val="en-GB"/>
        </w:rPr>
        <w:t xml:space="preserve"> the</w:t>
      </w:r>
      <w:r w:rsidR="00604AA2" w:rsidRPr="003567D3">
        <w:rPr>
          <w:rFonts w:ascii="Arial" w:hAnsi="Arial" w:cs="Arial"/>
          <w:color w:val="000000" w:themeColor="text1"/>
          <w:sz w:val="22"/>
          <w:szCs w:val="22"/>
          <w:lang w:val="en-GB"/>
        </w:rPr>
        <w:t>ir</w:t>
      </w:r>
      <w:r w:rsidR="000B59FE" w:rsidRPr="003567D3">
        <w:rPr>
          <w:rFonts w:ascii="Arial" w:hAnsi="Arial" w:cs="Arial"/>
          <w:color w:val="000000" w:themeColor="text1"/>
          <w:sz w:val="22"/>
          <w:szCs w:val="22"/>
          <w:lang w:val="en-GB"/>
        </w:rPr>
        <w:t xml:space="preserve"> study of divination and religion in antiquity, particularly in developing a more nuanced understanding of the purpose of divination, the role of causation, the (in)fallibility of oracles, and the importance of orthopraxy</w:t>
      </w:r>
      <w:r w:rsidR="00E32882" w:rsidRPr="003567D3">
        <w:rPr>
          <w:rFonts w:ascii="Arial" w:hAnsi="Arial" w:cs="Arial"/>
          <w:color w:val="000000" w:themeColor="text1"/>
          <w:sz w:val="22"/>
          <w:szCs w:val="22"/>
          <w:lang w:val="en-GB"/>
        </w:rPr>
        <w:t xml:space="preserve"> in the ancient Greco-Roman world</w:t>
      </w:r>
      <w:r w:rsidR="000B59FE" w:rsidRPr="003567D3">
        <w:rPr>
          <w:rFonts w:ascii="Arial" w:hAnsi="Arial" w:cs="Arial"/>
          <w:color w:val="000000" w:themeColor="text1"/>
          <w:sz w:val="22"/>
          <w:szCs w:val="22"/>
          <w:lang w:val="en-GB"/>
        </w:rPr>
        <w:t xml:space="preserve">. </w:t>
      </w:r>
    </w:p>
    <w:p w14:paraId="5DCA94AE" w14:textId="027C560F" w:rsidR="00676899" w:rsidRPr="003567D3" w:rsidRDefault="00604AA2"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ab/>
        <w:t xml:space="preserve"> </w:t>
      </w:r>
    </w:p>
    <w:p w14:paraId="67E1BE91" w14:textId="5A58AE85" w:rsidR="00D70E6B" w:rsidRPr="003567D3" w:rsidRDefault="00D70E6B" w:rsidP="003567D3">
      <w:pPr>
        <w:spacing w:line="276" w:lineRule="auto"/>
        <w:rPr>
          <w:rFonts w:ascii="Arial" w:hAnsi="Arial" w:cs="Arial"/>
          <w:sz w:val="22"/>
          <w:szCs w:val="22"/>
          <w:lang w:val="en-GB"/>
        </w:rPr>
      </w:pPr>
    </w:p>
    <w:p w14:paraId="172C0919" w14:textId="4116D7AA" w:rsidR="00D70E6B" w:rsidRPr="003567D3" w:rsidRDefault="00C43916" w:rsidP="003567D3">
      <w:pPr>
        <w:spacing w:line="276" w:lineRule="auto"/>
        <w:rPr>
          <w:rFonts w:ascii="Arial" w:hAnsi="Arial" w:cs="Arial"/>
          <w:b/>
          <w:bCs/>
          <w:color w:val="000000" w:themeColor="text1"/>
          <w:sz w:val="22"/>
          <w:szCs w:val="22"/>
          <w:lang w:val="en-GB"/>
        </w:rPr>
      </w:pPr>
      <w:r w:rsidRPr="003567D3">
        <w:rPr>
          <w:rFonts w:ascii="Arial" w:hAnsi="Arial" w:cs="Arial"/>
          <w:b/>
          <w:bCs/>
          <w:color w:val="000000" w:themeColor="text1"/>
          <w:sz w:val="22"/>
          <w:szCs w:val="22"/>
          <w:lang w:val="en-GB"/>
        </w:rPr>
        <w:t xml:space="preserve">Evans-Pritchard’s </w:t>
      </w:r>
      <w:r w:rsidR="00792B0E" w:rsidRPr="003567D3">
        <w:rPr>
          <w:rFonts w:ascii="Arial" w:hAnsi="Arial" w:cs="Arial"/>
          <w:b/>
          <w:bCs/>
          <w:color w:val="000000" w:themeColor="text1"/>
          <w:sz w:val="22"/>
          <w:szCs w:val="22"/>
          <w:lang w:val="en-GB"/>
        </w:rPr>
        <w:t xml:space="preserve">Breakthroughs within the </w:t>
      </w:r>
      <w:r w:rsidRPr="003567D3">
        <w:rPr>
          <w:rFonts w:ascii="Arial" w:hAnsi="Arial" w:cs="Arial"/>
          <w:b/>
          <w:bCs/>
          <w:color w:val="000000" w:themeColor="text1"/>
          <w:sz w:val="22"/>
          <w:szCs w:val="22"/>
          <w:lang w:val="en-GB"/>
        </w:rPr>
        <w:t>Evolution of Ethnographic Research</w:t>
      </w:r>
    </w:p>
    <w:p w14:paraId="6BADAA4B" w14:textId="23E26756" w:rsidR="00E32882" w:rsidRPr="003567D3" w:rsidRDefault="008801F4" w:rsidP="003567D3">
      <w:pPr>
        <w:spacing w:line="276" w:lineRule="auto"/>
        <w:ind w:firstLine="720"/>
        <w:rPr>
          <w:rFonts w:ascii="Arial" w:hAnsi="Arial" w:cs="Arial"/>
          <w:sz w:val="22"/>
          <w:szCs w:val="22"/>
          <w:lang w:val="en-GB"/>
        </w:rPr>
      </w:pPr>
      <w:r w:rsidRPr="003567D3">
        <w:rPr>
          <w:rFonts w:ascii="Arial" w:hAnsi="Arial" w:cs="Arial"/>
          <w:sz w:val="22"/>
          <w:szCs w:val="22"/>
          <w:lang w:val="en-GB"/>
        </w:rPr>
        <w:t>To understand E</w:t>
      </w:r>
      <w:r w:rsidR="00306D8D" w:rsidRPr="003567D3">
        <w:rPr>
          <w:rFonts w:ascii="Arial" w:hAnsi="Arial" w:cs="Arial"/>
          <w:sz w:val="22"/>
          <w:szCs w:val="22"/>
          <w:lang w:val="en-GB"/>
        </w:rPr>
        <w:t xml:space="preserve">vans-Pritchard’s </w:t>
      </w:r>
      <w:r w:rsidRPr="003567D3">
        <w:rPr>
          <w:rFonts w:ascii="Arial" w:hAnsi="Arial" w:cs="Arial"/>
          <w:sz w:val="22"/>
          <w:szCs w:val="22"/>
          <w:lang w:val="en-GB"/>
        </w:rPr>
        <w:t>contributions to the study of religion and divination</w:t>
      </w:r>
      <w:r w:rsidR="00604AA2" w:rsidRPr="003567D3">
        <w:rPr>
          <w:rFonts w:ascii="Arial" w:hAnsi="Arial" w:cs="Arial"/>
          <w:sz w:val="22"/>
          <w:szCs w:val="22"/>
          <w:lang w:val="en-GB"/>
        </w:rPr>
        <w:t xml:space="preserve"> in antiquity</w:t>
      </w:r>
      <w:r w:rsidRPr="003567D3">
        <w:rPr>
          <w:rFonts w:ascii="Arial" w:hAnsi="Arial" w:cs="Arial"/>
          <w:sz w:val="22"/>
          <w:szCs w:val="22"/>
          <w:lang w:val="en-GB"/>
        </w:rPr>
        <w:t xml:space="preserve">, we must first consider </w:t>
      </w:r>
      <w:r w:rsidR="005103B6" w:rsidRPr="003567D3">
        <w:rPr>
          <w:rFonts w:ascii="Arial" w:hAnsi="Arial" w:cs="Arial"/>
          <w:sz w:val="22"/>
          <w:szCs w:val="22"/>
          <w:lang w:val="en-GB"/>
        </w:rPr>
        <w:t>his</w:t>
      </w:r>
      <w:r w:rsidRPr="003567D3">
        <w:rPr>
          <w:rFonts w:ascii="Arial" w:hAnsi="Arial" w:cs="Arial"/>
          <w:sz w:val="22"/>
          <w:szCs w:val="22"/>
          <w:lang w:val="en-GB"/>
        </w:rPr>
        <w:t xml:space="preserve"> cultural and socio-historical </w:t>
      </w:r>
      <w:r w:rsidR="005C645C" w:rsidRPr="003567D3">
        <w:rPr>
          <w:rFonts w:ascii="Arial" w:hAnsi="Arial" w:cs="Arial"/>
          <w:sz w:val="22"/>
          <w:szCs w:val="22"/>
          <w:lang w:val="en-GB"/>
        </w:rPr>
        <w:t>milieu</w:t>
      </w:r>
      <w:r w:rsidR="006E2461" w:rsidRPr="003567D3">
        <w:rPr>
          <w:rFonts w:ascii="Arial" w:hAnsi="Arial" w:cs="Arial"/>
          <w:sz w:val="22"/>
          <w:szCs w:val="22"/>
          <w:lang w:val="en-GB"/>
        </w:rPr>
        <w:t>.</w:t>
      </w:r>
      <w:r w:rsidR="00E54E5F" w:rsidRPr="003567D3">
        <w:rPr>
          <w:rFonts w:ascii="Arial" w:hAnsi="Arial" w:cs="Arial"/>
          <w:sz w:val="22"/>
          <w:szCs w:val="22"/>
          <w:lang w:val="en-GB"/>
        </w:rPr>
        <w:t xml:space="preserve"> </w:t>
      </w:r>
      <w:r w:rsidR="00F628FB" w:rsidRPr="003567D3">
        <w:rPr>
          <w:rFonts w:ascii="Arial" w:hAnsi="Arial" w:cs="Arial"/>
          <w:sz w:val="22"/>
          <w:szCs w:val="22"/>
          <w:lang w:val="en-GB"/>
        </w:rPr>
        <w:t>Tellingly</w:t>
      </w:r>
      <w:r w:rsidR="00604AA2" w:rsidRPr="003567D3">
        <w:rPr>
          <w:rFonts w:ascii="Arial" w:hAnsi="Arial" w:cs="Arial"/>
          <w:sz w:val="22"/>
          <w:szCs w:val="22"/>
          <w:lang w:val="en-GB"/>
        </w:rPr>
        <w:t xml:space="preserve">, this necessary </w:t>
      </w:r>
      <w:r w:rsidR="00E32882" w:rsidRPr="003567D3">
        <w:rPr>
          <w:rFonts w:ascii="Arial" w:hAnsi="Arial" w:cs="Arial"/>
          <w:sz w:val="22"/>
          <w:szCs w:val="22"/>
          <w:lang w:val="en-GB"/>
        </w:rPr>
        <w:t>contextualization</w:t>
      </w:r>
      <w:r w:rsidR="00604AA2" w:rsidRPr="003567D3">
        <w:rPr>
          <w:rFonts w:ascii="Arial" w:hAnsi="Arial" w:cs="Arial"/>
          <w:sz w:val="22"/>
          <w:szCs w:val="22"/>
          <w:lang w:val="en-GB"/>
        </w:rPr>
        <w:t xml:space="preserve"> owes </w:t>
      </w:r>
      <w:r w:rsidR="00E32882" w:rsidRPr="003567D3">
        <w:rPr>
          <w:rFonts w:ascii="Arial" w:hAnsi="Arial" w:cs="Arial"/>
          <w:sz w:val="22"/>
          <w:szCs w:val="22"/>
          <w:lang w:val="en-GB"/>
        </w:rPr>
        <w:t>a great deal to</w:t>
      </w:r>
      <w:r w:rsidR="00604AA2" w:rsidRPr="003567D3">
        <w:rPr>
          <w:rFonts w:ascii="Arial" w:hAnsi="Arial" w:cs="Arial"/>
          <w:sz w:val="22"/>
          <w:szCs w:val="22"/>
          <w:lang w:val="en-GB"/>
        </w:rPr>
        <w:t xml:space="preserve"> Evans-Pritchard’s own formative insights </w:t>
      </w:r>
      <w:r w:rsidR="00E32882" w:rsidRPr="003567D3">
        <w:rPr>
          <w:rFonts w:ascii="Arial" w:hAnsi="Arial" w:cs="Arial"/>
          <w:sz w:val="22"/>
          <w:szCs w:val="22"/>
          <w:lang w:val="en-GB"/>
        </w:rPr>
        <w:t>regarding</w:t>
      </w:r>
      <w:r w:rsidR="00604AA2" w:rsidRPr="003567D3">
        <w:rPr>
          <w:rFonts w:ascii="Arial" w:hAnsi="Arial" w:cs="Arial"/>
          <w:sz w:val="22"/>
          <w:szCs w:val="22"/>
          <w:lang w:val="en-GB"/>
        </w:rPr>
        <w:t xml:space="preserve"> the need to consider one’s work and worldview through the lens</w:t>
      </w:r>
      <w:r w:rsidR="005103B6" w:rsidRPr="003567D3">
        <w:rPr>
          <w:rFonts w:ascii="Arial" w:hAnsi="Arial" w:cs="Arial"/>
          <w:sz w:val="22"/>
          <w:szCs w:val="22"/>
          <w:lang w:val="en-GB"/>
        </w:rPr>
        <w:t>—</w:t>
      </w:r>
      <w:r w:rsidR="00604AA2" w:rsidRPr="003567D3">
        <w:rPr>
          <w:rFonts w:ascii="Arial" w:hAnsi="Arial" w:cs="Arial"/>
          <w:sz w:val="22"/>
          <w:szCs w:val="22"/>
          <w:lang w:val="en-GB"/>
        </w:rPr>
        <w:t xml:space="preserve">or </w:t>
      </w:r>
      <w:r w:rsidR="005103B6" w:rsidRPr="003567D3">
        <w:rPr>
          <w:rFonts w:ascii="Arial" w:hAnsi="Arial" w:cs="Arial"/>
          <w:sz w:val="22"/>
          <w:szCs w:val="22"/>
          <w:lang w:val="en-GB"/>
        </w:rPr>
        <w:t xml:space="preserve">perhaps </w:t>
      </w:r>
      <w:r w:rsidR="00604AA2" w:rsidRPr="003567D3">
        <w:rPr>
          <w:rFonts w:ascii="Arial" w:hAnsi="Arial" w:cs="Arial"/>
          <w:sz w:val="22"/>
          <w:szCs w:val="22"/>
          <w:lang w:val="en-GB"/>
        </w:rPr>
        <w:t>filter</w:t>
      </w:r>
      <w:r w:rsidR="005103B6" w:rsidRPr="003567D3">
        <w:rPr>
          <w:rFonts w:ascii="Arial" w:hAnsi="Arial" w:cs="Arial"/>
          <w:sz w:val="22"/>
          <w:szCs w:val="22"/>
          <w:lang w:val="en-GB"/>
        </w:rPr>
        <w:t>—</w:t>
      </w:r>
      <w:r w:rsidR="00604AA2" w:rsidRPr="003567D3">
        <w:rPr>
          <w:rFonts w:ascii="Arial" w:hAnsi="Arial" w:cs="Arial"/>
          <w:sz w:val="22"/>
          <w:szCs w:val="22"/>
          <w:lang w:val="en-GB"/>
        </w:rPr>
        <w:t>of their own cultural conditioning.</w:t>
      </w:r>
      <w:r w:rsidR="005103B6" w:rsidRPr="003567D3">
        <w:rPr>
          <w:rStyle w:val="FootnoteReference"/>
          <w:rFonts w:ascii="Arial" w:hAnsi="Arial" w:cs="Arial"/>
          <w:sz w:val="22"/>
          <w:szCs w:val="22"/>
          <w:lang w:val="en-GB"/>
        </w:rPr>
        <w:footnoteReference w:id="1"/>
      </w:r>
      <w:r w:rsidR="00604AA2" w:rsidRPr="003567D3">
        <w:rPr>
          <w:rFonts w:ascii="Arial" w:hAnsi="Arial" w:cs="Arial"/>
          <w:sz w:val="22"/>
          <w:szCs w:val="22"/>
          <w:lang w:val="en-GB"/>
        </w:rPr>
        <w:t xml:space="preserve"> </w:t>
      </w:r>
      <w:r w:rsidR="00E32882" w:rsidRPr="003567D3">
        <w:rPr>
          <w:rFonts w:ascii="Arial" w:hAnsi="Arial" w:cs="Arial"/>
          <w:sz w:val="22"/>
          <w:szCs w:val="22"/>
          <w:lang w:val="en-GB"/>
        </w:rPr>
        <w:t xml:space="preserve">In </w:t>
      </w:r>
      <w:r w:rsidR="005C645C" w:rsidRPr="003567D3">
        <w:rPr>
          <w:rFonts w:ascii="Arial" w:hAnsi="Arial" w:cs="Arial"/>
          <w:sz w:val="22"/>
          <w:szCs w:val="22"/>
          <w:lang w:val="en-GB"/>
        </w:rPr>
        <w:t xml:space="preserve">order to understand </w:t>
      </w:r>
      <w:r w:rsidR="00604AA2" w:rsidRPr="003567D3">
        <w:rPr>
          <w:rFonts w:ascii="Arial" w:hAnsi="Arial" w:cs="Arial"/>
          <w:sz w:val="22"/>
          <w:szCs w:val="22"/>
          <w:lang w:val="en-GB"/>
        </w:rPr>
        <w:t xml:space="preserve">the </w:t>
      </w:r>
      <w:r w:rsidR="00F334E0" w:rsidRPr="003567D3">
        <w:rPr>
          <w:rFonts w:ascii="Arial" w:hAnsi="Arial" w:cs="Arial"/>
          <w:sz w:val="22"/>
          <w:szCs w:val="22"/>
          <w:lang w:val="en-GB"/>
        </w:rPr>
        <w:t xml:space="preserve">relevance and </w:t>
      </w:r>
      <w:r w:rsidR="005103B6" w:rsidRPr="003567D3">
        <w:rPr>
          <w:rFonts w:ascii="Arial" w:hAnsi="Arial" w:cs="Arial"/>
          <w:sz w:val="22"/>
          <w:szCs w:val="22"/>
          <w:lang w:val="en-GB"/>
        </w:rPr>
        <w:t xml:space="preserve">mechanism of </w:t>
      </w:r>
      <w:r w:rsidR="005C645C" w:rsidRPr="003567D3">
        <w:rPr>
          <w:rFonts w:ascii="Arial" w:hAnsi="Arial" w:cs="Arial"/>
          <w:sz w:val="22"/>
          <w:szCs w:val="22"/>
          <w:lang w:val="en-GB"/>
        </w:rPr>
        <w:t xml:space="preserve">his process, we must </w:t>
      </w:r>
      <w:r w:rsidR="00C43916" w:rsidRPr="003567D3">
        <w:rPr>
          <w:rFonts w:ascii="Arial" w:hAnsi="Arial" w:cs="Arial"/>
          <w:sz w:val="22"/>
          <w:szCs w:val="22"/>
          <w:lang w:val="en-GB"/>
        </w:rPr>
        <w:t xml:space="preserve">therefore </w:t>
      </w:r>
      <w:r w:rsidR="00C631D6" w:rsidRPr="003567D3">
        <w:rPr>
          <w:rFonts w:ascii="Arial" w:hAnsi="Arial" w:cs="Arial"/>
          <w:sz w:val="22"/>
          <w:szCs w:val="22"/>
          <w:lang w:val="en-GB"/>
        </w:rPr>
        <w:t>employ</w:t>
      </w:r>
      <w:r w:rsidR="005C645C" w:rsidRPr="003567D3">
        <w:rPr>
          <w:rFonts w:ascii="Arial" w:hAnsi="Arial" w:cs="Arial"/>
          <w:sz w:val="22"/>
          <w:szCs w:val="22"/>
          <w:lang w:val="en-GB"/>
        </w:rPr>
        <w:t xml:space="preserve"> it. </w:t>
      </w:r>
    </w:p>
    <w:p w14:paraId="5EF29FEF" w14:textId="3261C18C" w:rsidR="002F66D8" w:rsidRPr="003567D3" w:rsidRDefault="00AC6BF1"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Born in East Sussex in 1902, </w:t>
      </w:r>
      <w:r w:rsidR="002D1D52" w:rsidRPr="003567D3">
        <w:rPr>
          <w:rFonts w:ascii="Arial" w:hAnsi="Arial" w:cs="Arial"/>
          <w:sz w:val="22"/>
          <w:szCs w:val="22"/>
          <w:lang w:val="en-GB"/>
        </w:rPr>
        <w:t xml:space="preserve">Evans-Pritchard was educated at Winchester College, studied history at Exeter, </w:t>
      </w:r>
      <w:r w:rsidRPr="003567D3">
        <w:rPr>
          <w:rFonts w:ascii="Arial" w:hAnsi="Arial" w:cs="Arial"/>
          <w:sz w:val="22"/>
          <w:szCs w:val="22"/>
          <w:lang w:val="en-GB"/>
        </w:rPr>
        <w:t xml:space="preserve">and later pursued his postgraduate </w:t>
      </w:r>
      <w:r w:rsidR="005C645C" w:rsidRPr="003567D3">
        <w:rPr>
          <w:rFonts w:ascii="Arial" w:hAnsi="Arial" w:cs="Arial"/>
          <w:sz w:val="22"/>
          <w:szCs w:val="22"/>
          <w:lang w:val="en-GB"/>
        </w:rPr>
        <w:t>research</w:t>
      </w:r>
      <w:r w:rsidRPr="003567D3">
        <w:rPr>
          <w:rFonts w:ascii="Arial" w:hAnsi="Arial" w:cs="Arial"/>
          <w:sz w:val="22"/>
          <w:szCs w:val="22"/>
          <w:lang w:val="en-GB"/>
        </w:rPr>
        <w:t xml:space="preserve"> in anthropology at the London School of Economics under Bronislaw Malinowski</w:t>
      </w:r>
      <w:r w:rsidR="00714AFD" w:rsidRPr="003567D3">
        <w:rPr>
          <w:rFonts w:ascii="Arial" w:hAnsi="Arial" w:cs="Arial"/>
          <w:sz w:val="22"/>
          <w:szCs w:val="22"/>
          <w:lang w:val="en-GB"/>
        </w:rPr>
        <w:t>, with whom he famously maintained a strained personal and professional relationship</w:t>
      </w:r>
      <w:r w:rsidRPr="003567D3">
        <w:rPr>
          <w:rFonts w:ascii="Arial" w:hAnsi="Arial" w:cs="Arial"/>
          <w:sz w:val="22"/>
          <w:szCs w:val="22"/>
          <w:lang w:val="en-GB"/>
        </w:rPr>
        <w:t>.</w:t>
      </w:r>
      <w:r w:rsidRPr="003567D3">
        <w:rPr>
          <w:rStyle w:val="FootnoteReference"/>
          <w:rFonts w:ascii="Arial" w:hAnsi="Arial" w:cs="Arial"/>
          <w:color w:val="000000" w:themeColor="text1"/>
          <w:sz w:val="22"/>
          <w:szCs w:val="22"/>
          <w:lang w:val="en-GB"/>
        </w:rPr>
        <w:footnoteReference w:id="2"/>
      </w:r>
      <w:r w:rsidRPr="003567D3">
        <w:rPr>
          <w:rFonts w:ascii="Arial" w:hAnsi="Arial" w:cs="Arial"/>
          <w:color w:val="000000" w:themeColor="text1"/>
          <w:sz w:val="22"/>
          <w:szCs w:val="22"/>
          <w:lang w:val="en-GB"/>
        </w:rPr>
        <w:t xml:space="preserve"> </w:t>
      </w:r>
      <w:r w:rsidR="00187B5A" w:rsidRPr="003567D3">
        <w:rPr>
          <w:rFonts w:ascii="Arial" w:hAnsi="Arial" w:cs="Arial"/>
          <w:color w:val="000000" w:themeColor="text1"/>
          <w:sz w:val="22"/>
          <w:szCs w:val="22"/>
        </w:rPr>
        <w:t xml:space="preserve">Although </w:t>
      </w:r>
      <w:r w:rsidR="00E32882" w:rsidRPr="003567D3">
        <w:rPr>
          <w:rFonts w:ascii="Arial" w:hAnsi="Arial" w:cs="Arial"/>
          <w:color w:val="000000" w:themeColor="text1"/>
          <w:sz w:val="22"/>
          <w:szCs w:val="22"/>
        </w:rPr>
        <w:t>heavily</w:t>
      </w:r>
      <w:r w:rsidR="00187B5A" w:rsidRPr="003567D3">
        <w:rPr>
          <w:rFonts w:ascii="Arial" w:hAnsi="Arial" w:cs="Arial"/>
          <w:color w:val="000000" w:themeColor="text1"/>
          <w:sz w:val="22"/>
          <w:szCs w:val="22"/>
        </w:rPr>
        <w:t xml:space="preserve"> influenced by Marx, Durkheim, and Lévy-</w:t>
      </w:r>
      <w:proofErr w:type="spellStart"/>
      <w:r w:rsidR="00187B5A" w:rsidRPr="003567D3">
        <w:rPr>
          <w:rFonts w:ascii="Arial" w:hAnsi="Arial" w:cs="Arial"/>
          <w:color w:val="000000" w:themeColor="text1"/>
          <w:sz w:val="22"/>
          <w:szCs w:val="22"/>
        </w:rPr>
        <w:t>Bruhl</w:t>
      </w:r>
      <w:proofErr w:type="spellEnd"/>
      <w:r w:rsidR="00187B5A" w:rsidRPr="003567D3">
        <w:rPr>
          <w:rFonts w:ascii="Arial" w:hAnsi="Arial" w:cs="Arial"/>
          <w:color w:val="000000" w:themeColor="text1"/>
          <w:sz w:val="22"/>
          <w:szCs w:val="22"/>
        </w:rPr>
        <w:t xml:space="preserve">, whose collective interests hinged on the </w:t>
      </w:r>
      <w:r w:rsidR="00E32882" w:rsidRPr="003567D3">
        <w:rPr>
          <w:rFonts w:ascii="Arial" w:hAnsi="Arial" w:cs="Arial"/>
          <w:color w:val="000000" w:themeColor="text1"/>
          <w:sz w:val="22"/>
          <w:szCs w:val="22"/>
        </w:rPr>
        <w:t>tension</w:t>
      </w:r>
      <w:r w:rsidR="00187B5A" w:rsidRPr="003567D3">
        <w:rPr>
          <w:rFonts w:ascii="Arial" w:hAnsi="Arial" w:cs="Arial"/>
          <w:color w:val="000000" w:themeColor="text1"/>
          <w:sz w:val="22"/>
          <w:szCs w:val="22"/>
        </w:rPr>
        <w:t xml:space="preserve"> between</w:t>
      </w:r>
      <w:r w:rsidR="00E32882" w:rsidRPr="003567D3">
        <w:rPr>
          <w:rFonts w:ascii="Arial" w:hAnsi="Arial" w:cs="Arial"/>
          <w:color w:val="000000" w:themeColor="text1"/>
          <w:sz w:val="22"/>
          <w:szCs w:val="22"/>
        </w:rPr>
        <w:t xml:space="preserve"> </w:t>
      </w:r>
      <w:r w:rsidR="000B71E2" w:rsidRPr="003567D3">
        <w:rPr>
          <w:rFonts w:ascii="Arial" w:hAnsi="Arial" w:cs="Arial"/>
          <w:color w:val="000000" w:themeColor="text1"/>
          <w:sz w:val="22"/>
          <w:szCs w:val="22"/>
        </w:rPr>
        <w:t>perceived</w:t>
      </w:r>
      <w:r w:rsidR="00187B5A" w:rsidRPr="003567D3">
        <w:rPr>
          <w:rFonts w:ascii="Arial" w:hAnsi="Arial" w:cs="Arial"/>
          <w:color w:val="000000" w:themeColor="text1"/>
          <w:sz w:val="22"/>
          <w:szCs w:val="22"/>
        </w:rPr>
        <w:t xml:space="preserve"> irrational belief systems and the persistence of religious participation, Evans-Pritchard </w:t>
      </w:r>
      <w:r w:rsidR="00187B5A" w:rsidRPr="003567D3">
        <w:rPr>
          <w:rFonts w:ascii="Arial" w:hAnsi="Arial" w:cs="Arial"/>
          <w:color w:val="000000" w:themeColor="text1"/>
          <w:sz w:val="22"/>
          <w:szCs w:val="22"/>
          <w:lang w:val="en-GB"/>
        </w:rPr>
        <w:t>broadened his research beyond the bounds of organized religion to consider the very nature of rational belief itself.</w:t>
      </w:r>
      <w:r w:rsidR="00476C12" w:rsidRPr="003567D3">
        <w:rPr>
          <w:rStyle w:val="FootnoteReference"/>
          <w:rFonts w:ascii="Arial" w:hAnsi="Arial" w:cs="Arial"/>
          <w:sz w:val="22"/>
          <w:szCs w:val="22"/>
          <w:lang w:val="en-GB"/>
        </w:rPr>
        <w:footnoteReference w:id="3"/>
      </w:r>
      <w:r w:rsidR="00E344D7" w:rsidRPr="003567D3">
        <w:rPr>
          <w:rFonts w:ascii="Arial" w:hAnsi="Arial" w:cs="Arial"/>
          <w:sz w:val="22"/>
          <w:szCs w:val="22"/>
          <w:lang w:val="en-GB"/>
        </w:rPr>
        <w:t xml:space="preserve"> </w:t>
      </w:r>
      <w:r w:rsidR="00F628FB" w:rsidRPr="003567D3">
        <w:rPr>
          <w:rFonts w:ascii="Arial" w:hAnsi="Arial" w:cs="Arial"/>
          <w:sz w:val="22"/>
          <w:szCs w:val="22"/>
          <w:lang w:val="en-GB"/>
        </w:rPr>
        <w:t xml:space="preserve">As Gillies </w:t>
      </w:r>
      <w:r w:rsidR="00E32882" w:rsidRPr="003567D3">
        <w:rPr>
          <w:rFonts w:ascii="Arial" w:hAnsi="Arial" w:cs="Arial"/>
          <w:sz w:val="22"/>
          <w:szCs w:val="22"/>
          <w:lang w:val="en-GB"/>
        </w:rPr>
        <w:t>summarises</w:t>
      </w:r>
      <w:r w:rsidR="00F628FB" w:rsidRPr="003567D3">
        <w:rPr>
          <w:rFonts w:ascii="Arial" w:hAnsi="Arial" w:cs="Arial"/>
          <w:sz w:val="22"/>
          <w:szCs w:val="22"/>
          <w:lang w:val="en-GB"/>
        </w:rPr>
        <w:t>, t</w:t>
      </w:r>
      <w:r w:rsidR="00F628FB" w:rsidRPr="003567D3">
        <w:rPr>
          <w:rFonts w:ascii="Arial" w:hAnsi="Arial" w:cs="Arial"/>
          <w:sz w:val="22"/>
          <w:szCs w:val="22"/>
          <w:lang w:val="en-GB"/>
        </w:rPr>
        <w:t>his</w:t>
      </w:r>
      <w:r w:rsidR="00F628FB" w:rsidRPr="003567D3">
        <w:rPr>
          <w:rFonts w:ascii="Arial" w:hAnsi="Arial" w:cs="Arial"/>
          <w:sz w:val="22"/>
          <w:szCs w:val="22"/>
          <w:lang w:val="en-GB"/>
        </w:rPr>
        <w:t xml:space="preserve"> departure</w:t>
      </w:r>
      <w:r w:rsidR="00F628FB" w:rsidRPr="003567D3">
        <w:rPr>
          <w:rFonts w:ascii="Arial" w:hAnsi="Arial" w:cs="Arial"/>
          <w:sz w:val="22"/>
          <w:szCs w:val="22"/>
          <w:lang w:val="en-GB"/>
        </w:rPr>
        <w:t xml:space="preserve"> </w:t>
      </w:r>
      <w:r w:rsidR="00F628FB" w:rsidRPr="003567D3">
        <w:rPr>
          <w:rFonts w:ascii="Arial" w:hAnsi="Arial" w:cs="Arial"/>
          <w:sz w:val="22"/>
          <w:szCs w:val="22"/>
          <w:lang w:val="en-GB"/>
        </w:rPr>
        <w:t>prompted Evans-Pritchard to consider</w:t>
      </w:r>
      <w:r w:rsidR="00F628FB" w:rsidRPr="003567D3">
        <w:rPr>
          <w:rFonts w:ascii="Arial" w:hAnsi="Arial" w:cs="Arial"/>
          <w:sz w:val="22"/>
          <w:szCs w:val="22"/>
          <w:lang w:val="en-GB"/>
        </w:rPr>
        <w:t xml:space="preserve"> why anyone should even entertain metaphysical assumptions in the first place</w:t>
      </w:r>
      <w:r w:rsidR="00F628FB" w:rsidRPr="003567D3">
        <w:rPr>
          <w:rFonts w:ascii="Arial" w:hAnsi="Arial" w:cs="Arial"/>
          <w:sz w:val="22"/>
          <w:szCs w:val="22"/>
        </w:rPr>
        <w:t/>
      </w:r>
      <w:r w:rsidR="008255D5" w:rsidRPr="003567D3">
        <w:rPr>
          <w:rFonts w:ascii="Arial" w:hAnsi="Arial" w:cs="Arial"/>
          <w:sz w:val="22"/>
          <w:szCs w:val="22"/>
          <w:lang w:val="en-GB"/>
        </w:rPr>
        <w:t>.</w:t>
      </w:r>
      <w:r w:rsidR="008255D5" w:rsidRPr="003567D3">
        <w:rPr>
          <w:rStyle w:val="FootnoteReference"/>
          <w:rFonts w:ascii="Arial" w:hAnsi="Arial" w:cs="Arial"/>
          <w:sz w:val="22"/>
          <w:szCs w:val="22"/>
          <w:lang w:val="en-GB"/>
        </w:rPr>
        <w:footnoteReference w:id="4"/>
      </w:r>
      <w:r w:rsidR="00E32882" w:rsidRPr="003567D3">
        <w:rPr>
          <w:rFonts w:ascii="Arial" w:hAnsi="Arial" w:cs="Arial"/>
          <w:sz w:val="22"/>
          <w:szCs w:val="22"/>
          <w:lang w:val="en-GB"/>
        </w:rPr>
        <w:t xml:space="preserve"> In </w:t>
      </w:r>
      <w:r w:rsidR="00E32882" w:rsidRPr="003567D3">
        <w:rPr>
          <w:rFonts w:ascii="Arial" w:hAnsi="Arial" w:cs="Arial"/>
          <w:sz w:val="22"/>
          <w:szCs w:val="22"/>
          <w:lang w:val="en-GB"/>
        </w:rPr>
        <w:lastRenderedPageBreak/>
        <w:t xml:space="preserve">1926, this path of inquiry led him to begin </w:t>
      </w:r>
      <w:r w:rsidR="008255D5" w:rsidRPr="003567D3">
        <w:rPr>
          <w:rFonts w:ascii="Arial" w:hAnsi="Arial" w:cs="Arial"/>
          <w:sz w:val="22"/>
          <w:szCs w:val="22"/>
          <w:lang w:val="en-GB"/>
        </w:rPr>
        <w:t>conducting fieldwork amongst the Azande</w:t>
      </w:r>
      <w:r w:rsidR="00187B5A" w:rsidRPr="003567D3">
        <w:rPr>
          <w:rFonts w:ascii="Arial" w:hAnsi="Arial" w:cs="Arial"/>
          <w:sz w:val="22"/>
          <w:szCs w:val="22"/>
          <w:lang w:val="en-GB"/>
        </w:rPr>
        <w:t xml:space="preserve">—a people living in the </w:t>
      </w:r>
      <w:r w:rsidR="00D15F8F" w:rsidRPr="003567D3">
        <w:rPr>
          <w:rFonts w:ascii="Arial" w:hAnsi="Arial" w:cs="Arial"/>
          <w:sz w:val="22"/>
          <w:szCs w:val="22"/>
          <w:lang w:val="en-GB"/>
        </w:rPr>
        <w:t xml:space="preserve">southern reaches of </w:t>
      </w:r>
      <w:r w:rsidR="00E32882" w:rsidRPr="003567D3">
        <w:rPr>
          <w:rFonts w:ascii="Arial" w:hAnsi="Arial" w:cs="Arial"/>
          <w:sz w:val="22"/>
          <w:szCs w:val="22"/>
          <w:lang w:val="en-GB"/>
        </w:rPr>
        <w:t xml:space="preserve">what was then </w:t>
      </w:r>
      <w:r w:rsidR="00D15F8F" w:rsidRPr="003567D3">
        <w:rPr>
          <w:rFonts w:ascii="Arial" w:hAnsi="Arial" w:cs="Arial"/>
          <w:sz w:val="22"/>
          <w:szCs w:val="22"/>
          <w:lang w:val="en-GB"/>
        </w:rPr>
        <w:t>Anglo-Egyptian Sudan</w:t>
      </w:r>
      <w:r w:rsidR="00714AFD" w:rsidRPr="003567D3">
        <w:rPr>
          <w:rFonts w:ascii="Arial" w:hAnsi="Arial" w:cs="Arial"/>
          <w:sz w:val="22"/>
          <w:szCs w:val="22"/>
          <w:lang w:val="en-GB"/>
        </w:rPr>
        <w:t xml:space="preserve">, one of many footholds in the British colonial empire at the time. </w:t>
      </w:r>
      <w:r w:rsidR="00187B5A" w:rsidRPr="003567D3">
        <w:rPr>
          <w:rFonts w:ascii="Arial" w:hAnsi="Arial" w:cs="Arial"/>
          <w:sz w:val="22"/>
          <w:szCs w:val="22"/>
          <w:lang w:val="en-GB"/>
        </w:rPr>
        <w:t xml:space="preserve">During his research, Evans-Pritchard witnessed the gradual breakdown of Zande tradition due to increasingly pervasive European </w:t>
      </w:r>
      <w:r w:rsidR="00714AFD" w:rsidRPr="003567D3">
        <w:rPr>
          <w:rFonts w:ascii="Arial" w:hAnsi="Arial" w:cs="Arial"/>
          <w:sz w:val="22"/>
          <w:szCs w:val="22"/>
          <w:lang w:val="en-GB"/>
        </w:rPr>
        <w:t>imperial</w:t>
      </w:r>
      <w:r w:rsidR="00187B5A" w:rsidRPr="003567D3">
        <w:rPr>
          <w:rFonts w:ascii="Arial" w:hAnsi="Arial" w:cs="Arial"/>
          <w:sz w:val="22"/>
          <w:szCs w:val="22"/>
          <w:lang w:val="en-GB"/>
        </w:rPr>
        <w:t xml:space="preserve"> influence, making his study of their traditions and cultural practices all the more urgent.</w:t>
      </w:r>
      <w:r w:rsidR="005E1D16" w:rsidRPr="003567D3">
        <w:rPr>
          <w:rStyle w:val="FootnoteReference"/>
          <w:rFonts w:ascii="Arial" w:hAnsi="Arial" w:cs="Arial"/>
          <w:sz w:val="22"/>
          <w:szCs w:val="22"/>
          <w:lang w:val="en-GB"/>
        </w:rPr>
        <w:footnoteReference w:id="5"/>
      </w:r>
      <w:r w:rsidR="000536D5" w:rsidRPr="003567D3">
        <w:rPr>
          <w:rFonts w:ascii="Arial" w:hAnsi="Arial" w:cs="Arial"/>
          <w:sz w:val="22"/>
          <w:szCs w:val="22"/>
          <w:lang w:val="en-GB"/>
        </w:rPr>
        <w:t xml:space="preserve"> </w:t>
      </w:r>
      <w:r w:rsidR="002F66D8" w:rsidRPr="003567D3">
        <w:rPr>
          <w:rFonts w:ascii="Arial" w:hAnsi="Arial" w:cs="Arial"/>
          <w:sz w:val="22"/>
          <w:szCs w:val="22"/>
          <w:lang w:val="en-GB"/>
        </w:rPr>
        <w:t xml:space="preserve">It was within this shifting cultural and political climate that Evans-Pritchard </w:t>
      </w:r>
      <w:r w:rsidR="00BC6A0E" w:rsidRPr="003567D3">
        <w:rPr>
          <w:rFonts w:ascii="Arial" w:hAnsi="Arial" w:cs="Arial"/>
          <w:sz w:val="22"/>
          <w:szCs w:val="22"/>
          <w:lang w:val="en-GB"/>
        </w:rPr>
        <w:t>lived amongst the Az</w:t>
      </w:r>
      <w:r w:rsidR="00E32882" w:rsidRPr="003567D3">
        <w:rPr>
          <w:rFonts w:ascii="Arial" w:hAnsi="Arial" w:cs="Arial"/>
          <w:sz w:val="22"/>
          <w:szCs w:val="22"/>
          <w:lang w:val="en-GB"/>
        </w:rPr>
        <w:t>ande</w:t>
      </w:r>
      <w:r w:rsidR="00BC6A0E" w:rsidRPr="003567D3">
        <w:rPr>
          <w:rFonts w:ascii="Arial" w:hAnsi="Arial" w:cs="Arial"/>
          <w:sz w:val="22"/>
          <w:szCs w:val="22"/>
          <w:lang w:val="en-GB"/>
        </w:rPr>
        <w:t xml:space="preserve">, adopting the language and lifestyle, in order to understand </w:t>
      </w:r>
      <w:r w:rsidR="00FE0C1D" w:rsidRPr="003567D3">
        <w:rPr>
          <w:rFonts w:ascii="Arial" w:hAnsi="Arial" w:cs="Arial"/>
          <w:sz w:val="22"/>
          <w:szCs w:val="22"/>
          <w:lang w:val="en-GB"/>
        </w:rPr>
        <w:t>their</w:t>
      </w:r>
      <w:r w:rsidR="00BC6A0E" w:rsidRPr="003567D3">
        <w:rPr>
          <w:rFonts w:ascii="Arial" w:hAnsi="Arial" w:cs="Arial"/>
          <w:sz w:val="22"/>
          <w:szCs w:val="22"/>
          <w:lang w:val="en-GB"/>
        </w:rPr>
        <w:t xml:space="preserve"> culture through its own terms as opposed to the prevailing theoretical, jingoistic, and imperial rhetoric that characterized anthropology during his time. </w:t>
      </w:r>
      <w:r w:rsidR="00C43916" w:rsidRPr="003567D3">
        <w:rPr>
          <w:rFonts w:ascii="Arial" w:hAnsi="Arial" w:cs="Arial"/>
          <w:sz w:val="22"/>
          <w:szCs w:val="22"/>
          <w:lang w:val="en-GB"/>
        </w:rPr>
        <w:t>The</w:t>
      </w:r>
      <w:r w:rsidR="00BC6A0E" w:rsidRPr="003567D3">
        <w:rPr>
          <w:rFonts w:ascii="Arial" w:hAnsi="Arial" w:cs="Arial"/>
          <w:sz w:val="22"/>
          <w:szCs w:val="22"/>
          <w:lang w:val="en-GB"/>
        </w:rPr>
        <w:t xml:space="preserve"> resulting insights from this work served to </w:t>
      </w:r>
      <w:r w:rsidR="004349D7" w:rsidRPr="003567D3">
        <w:rPr>
          <w:rFonts w:ascii="Arial" w:hAnsi="Arial" w:cs="Arial"/>
          <w:sz w:val="22"/>
          <w:szCs w:val="22"/>
          <w:lang w:val="en-GB"/>
        </w:rPr>
        <w:t>hel</w:t>
      </w:r>
      <w:r w:rsidR="00BC6A0E" w:rsidRPr="003567D3">
        <w:rPr>
          <w:rFonts w:ascii="Arial" w:hAnsi="Arial" w:cs="Arial"/>
          <w:sz w:val="22"/>
          <w:szCs w:val="22"/>
          <w:lang w:val="en-GB"/>
        </w:rPr>
        <w:t>p</w:t>
      </w:r>
      <w:r w:rsidR="004349D7" w:rsidRPr="003567D3">
        <w:rPr>
          <w:rFonts w:ascii="Arial" w:hAnsi="Arial" w:cs="Arial"/>
          <w:sz w:val="22"/>
          <w:szCs w:val="22"/>
          <w:lang w:val="en-GB"/>
        </w:rPr>
        <w:t xml:space="preserve"> establish a robust conceptual framework </w:t>
      </w:r>
      <w:r w:rsidR="00BC6A0E" w:rsidRPr="003567D3">
        <w:rPr>
          <w:rFonts w:ascii="Arial" w:hAnsi="Arial" w:cs="Arial"/>
          <w:sz w:val="22"/>
          <w:szCs w:val="22"/>
          <w:lang w:val="en-GB"/>
        </w:rPr>
        <w:t>through</w:t>
      </w:r>
      <w:r w:rsidR="004349D7" w:rsidRPr="003567D3">
        <w:rPr>
          <w:rFonts w:ascii="Arial" w:hAnsi="Arial" w:cs="Arial"/>
          <w:sz w:val="22"/>
          <w:szCs w:val="22"/>
          <w:lang w:val="en-GB"/>
        </w:rPr>
        <w:t xml:space="preserve"> which other scholars </w:t>
      </w:r>
      <w:r w:rsidR="00BC6A0E" w:rsidRPr="003567D3">
        <w:rPr>
          <w:rFonts w:ascii="Arial" w:hAnsi="Arial" w:cs="Arial"/>
          <w:sz w:val="22"/>
          <w:szCs w:val="22"/>
          <w:lang w:val="en-GB"/>
        </w:rPr>
        <w:t xml:space="preserve">have since utilized in order to harness </w:t>
      </w:r>
      <w:r w:rsidR="004349D7" w:rsidRPr="003567D3">
        <w:rPr>
          <w:rFonts w:ascii="Arial" w:hAnsi="Arial" w:cs="Arial"/>
          <w:sz w:val="22"/>
          <w:szCs w:val="22"/>
          <w:lang w:val="en-GB"/>
        </w:rPr>
        <w:t>deeper insights into a wide variety of different peoples, societies, and cultures</w:t>
      </w:r>
      <w:r w:rsidR="00FE0C1D" w:rsidRPr="003567D3">
        <w:rPr>
          <w:rFonts w:ascii="Arial" w:hAnsi="Arial" w:cs="Arial"/>
          <w:color w:val="000000" w:themeColor="text1"/>
          <w:sz w:val="22"/>
          <w:szCs w:val="22"/>
          <w:lang w:val="en-GB"/>
        </w:rPr>
        <w:t>—with applications as diverse as Nazi ideology, agricultural labour unions, and communist Russia.</w:t>
      </w:r>
      <w:r w:rsidR="004349D7" w:rsidRPr="003567D3">
        <w:rPr>
          <w:rStyle w:val="FootnoteReference"/>
          <w:rFonts w:ascii="Arial" w:hAnsi="Arial" w:cs="Arial"/>
          <w:color w:val="000000" w:themeColor="text1"/>
          <w:sz w:val="22"/>
          <w:szCs w:val="22"/>
          <w:lang w:val="en-GB"/>
        </w:rPr>
        <w:footnoteReference w:id="6"/>
      </w:r>
    </w:p>
    <w:p w14:paraId="3976A05F" w14:textId="77777777" w:rsidR="002F66D8" w:rsidRPr="003567D3" w:rsidRDefault="002F66D8" w:rsidP="003567D3">
      <w:pPr>
        <w:spacing w:line="276" w:lineRule="auto"/>
        <w:rPr>
          <w:rFonts w:ascii="Arial" w:hAnsi="Arial" w:cs="Arial"/>
          <w:b/>
          <w:bCs/>
          <w:color w:val="FF0000"/>
          <w:sz w:val="22"/>
          <w:szCs w:val="22"/>
          <w:lang w:val="en-GB"/>
        </w:rPr>
      </w:pPr>
    </w:p>
    <w:p w14:paraId="476B2927" w14:textId="55AD337C" w:rsidR="00C631D6" w:rsidRPr="003567D3" w:rsidRDefault="00C631D6"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Insofar as they can be applied to creating a more fertile understanding of religion and divination </w:t>
      </w:r>
      <w:r w:rsidR="00727927" w:rsidRPr="003567D3">
        <w:rPr>
          <w:rFonts w:ascii="Arial" w:hAnsi="Arial" w:cs="Arial"/>
          <w:sz w:val="22"/>
          <w:szCs w:val="22"/>
          <w:lang w:val="en-GB"/>
        </w:rPr>
        <w:t>in</w:t>
      </w:r>
      <w:r w:rsidRPr="003567D3">
        <w:rPr>
          <w:rFonts w:ascii="Arial" w:hAnsi="Arial" w:cs="Arial"/>
          <w:sz w:val="22"/>
          <w:szCs w:val="22"/>
          <w:lang w:val="en-GB"/>
        </w:rPr>
        <w:t xml:space="preserve"> antiquity, </w:t>
      </w:r>
      <w:r w:rsidR="00F628FB" w:rsidRPr="003567D3">
        <w:rPr>
          <w:rFonts w:ascii="Arial" w:hAnsi="Arial" w:cs="Arial"/>
          <w:sz w:val="22"/>
          <w:szCs w:val="22"/>
          <w:lang w:val="en-GB"/>
        </w:rPr>
        <w:t xml:space="preserve">much of </w:t>
      </w:r>
      <w:r w:rsidRPr="003567D3">
        <w:rPr>
          <w:rFonts w:ascii="Arial" w:hAnsi="Arial" w:cs="Arial"/>
          <w:sz w:val="22"/>
          <w:szCs w:val="22"/>
          <w:lang w:val="en-GB"/>
        </w:rPr>
        <w:t>Evans-Pritchard’s contribution hinge</w:t>
      </w:r>
      <w:r w:rsidR="00F628FB" w:rsidRPr="003567D3">
        <w:rPr>
          <w:rFonts w:ascii="Arial" w:hAnsi="Arial" w:cs="Arial"/>
          <w:sz w:val="22"/>
          <w:szCs w:val="22"/>
          <w:lang w:val="en-GB"/>
        </w:rPr>
        <w:t>s</w:t>
      </w:r>
      <w:r w:rsidRPr="003567D3">
        <w:rPr>
          <w:rFonts w:ascii="Arial" w:hAnsi="Arial" w:cs="Arial"/>
          <w:sz w:val="22"/>
          <w:szCs w:val="22"/>
          <w:lang w:val="en-GB"/>
        </w:rPr>
        <w:t xml:space="preserve"> on his pioneering approach to emic scholarship, applied linguistics, and existential subjectivity. </w:t>
      </w:r>
      <w:r w:rsidR="00C43916" w:rsidRPr="003567D3">
        <w:rPr>
          <w:rFonts w:ascii="Arial" w:hAnsi="Arial" w:cs="Arial"/>
          <w:sz w:val="22"/>
          <w:szCs w:val="22"/>
          <w:lang w:val="en-GB"/>
        </w:rPr>
        <w:t xml:space="preserve">Taken together, these insights reveal both the opportunities and limitations contemporary scholars must consider when building theoretical and empirical knowledge of divinatory practice in the ancient Greco-Roman world. </w:t>
      </w:r>
    </w:p>
    <w:p w14:paraId="2CF4E97C" w14:textId="4AADFBD5" w:rsidR="00BC6A0E" w:rsidRPr="003567D3" w:rsidRDefault="00BC6A0E" w:rsidP="003567D3">
      <w:pPr>
        <w:spacing w:line="276" w:lineRule="auto"/>
        <w:ind w:firstLine="720"/>
        <w:rPr>
          <w:rFonts w:ascii="Arial" w:hAnsi="Arial" w:cs="Arial"/>
          <w:sz w:val="22"/>
          <w:szCs w:val="22"/>
          <w:lang w:val="en-GB"/>
        </w:rPr>
      </w:pPr>
    </w:p>
    <w:p w14:paraId="1434600A" w14:textId="77777777" w:rsidR="00720F72" w:rsidRPr="003567D3" w:rsidRDefault="00720F72" w:rsidP="003567D3">
      <w:pPr>
        <w:spacing w:line="276" w:lineRule="auto"/>
        <w:rPr>
          <w:rFonts w:ascii="Arial" w:hAnsi="Arial" w:cs="Arial"/>
          <w:b/>
          <w:bCs/>
          <w:color w:val="FF0000"/>
          <w:sz w:val="22"/>
          <w:szCs w:val="22"/>
          <w:lang w:val="en-GB"/>
        </w:rPr>
      </w:pPr>
    </w:p>
    <w:p w14:paraId="7C42FA33" w14:textId="1EC6D8C5" w:rsidR="00BC6A0E" w:rsidRPr="003567D3" w:rsidRDefault="003D1BE4" w:rsidP="003567D3">
      <w:pPr>
        <w:spacing w:line="276" w:lineRule="auto"/>
        <w:rPr>
          <w:rFonts w:ascii="Arial" w:hAnsi="Arial" w:cs="Arial"/>
          <w:b/>
          <w:bCs/>
          <w:color w:val="000000" w:themeColor="text1"/>
          <w:sz w:val="22"/>
          <w:szCs w:val="22"/>
          <w:lang w:val="en-GB"/>
        </w:rPr>
      </w:pPr>
      <w:r w:rsidRPr="003567D3">
        <w:rPr>
          <w:rFonts w:ascii="Arial" w:hAnsi="Arial" w:cs="Arial"/>
          <w:b/>
          <w:bCs/>
          <w:color w:val="000000" w:themeColor="text1"/>
          <w:sz w:val="22"/>
          <w:szCs w:val="22"/>
          <w:lang w:val="en-GB"/>
        </w:rPr>
        <w:t>The Challenges and Opportunities of an Emic Lens</w:t>
      </w:r>
    </w:p>
    <w:p w14:paraId="308565F2" w14:textId="1F0E6D26" w:rsidR="00BC6A0E" w:rsidRPr="003567D3" w:rsidRDefault="00BC6A0E"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Perhaps Evans-Pritchard’s most valuable contribution to Classical Studies in his considered approach to understanding a given culture from </w:t>
      </w:r>
      <w:r w:rsidRPr="003567D3">
        <w:rPr>
          <w:rFonts w:ascii="Arial" w:hAnsi="Arial" w:cs="Arial"/>
          <w:i/>
          <w:iCs/>
          <w:sz w:val="22"/>
          <w:szCs w:val="22"/>
          <w:lang w:val="en-GB"/>
        </w:rPr>
        <w:t>within</w:t>
      </w:r>
      <w:r w:rsidR="00C43916" w:rsidRPr="003567D3">
        <w:rPr>
          <w:rFonts w:ascii="Arial" w:hAnsi="Arial" w:cs="Arial"/>
          <w:sz w:val="22"/>
          <w:szCs w:val="22"/>
          <w:lang w:val="en-GB"/>
        </w:rPr>
        <w:t xml:space="preserve"> rather than </w:t>
      </w:r>
      <w:r w:rsidR="003D1BE4" w:rsidRPr="003567D3">
        <w:rPr>
          <w:rFonts w:ascii="Arial" w:hAnsi="Arial" w:cs="Arial"/>
          <w:sz w:val="22"/>
          <w:szCs w:val="22"/>
          <w:lang w:val="en-GB"/>
        </w:rPr>
        <w:t xml:space="preserve">from </w:t>
      </w:r>
      <w:r w:rsidR="00C43916" w:rsidRPr="003567D3">
        <w:rPr>
          <w:rFonts w:ascii="Arial" w:hAnsi="Arial" w:cs="Arial"/>
          <w:sz w:val="22"/>
          <w:szCs w:val="22"/>
          <w:lang w:val="en-GB"/>
        </w:rPr>
        <w:t>without</w:t>
      </w:r>
      <w:r w:rsidRPr="003567D3">
        <w:rPr>
          <w:rFonts w:ascii="Arial" w:hAnsi="Arial" w:cs="Arial"/>
          <w:sz w:val="22"/>
          <w:szCs w:val="22"/>
          <w:lang w:val="en-GB"/>
        </w:rPr>
        <w:t xml:space="preserve">. </w:t>
      </w:r>
      <w:r w:rsidRPr="003567D3">
        <w:rPr>
          <w:rFonts w:ascii="Arial" w:hAnsi="Arial" w:cs="Arial"/>
          <w:sz w:val="22"/>
          <w:szCs w:val="22"/>
          <w:lang w:val="en-GB"/>
        </w:rPr>
        <w:t>Building on</w:t>
      </w:r>
      <w:r w:rsidRPr="003567D3">
        <w:rPr>
          <w:rFonts w:ascii="Arial" w:hAnsi="Arial" w:cs="Arial"/>
          <w:sz w:val="22"/>
          <w:szCs w:val="22"/>
          <w:lang w:val="en-GB"/>
        </w:rPr>
        <w:t xml:space="preserve"> Malinowski</w:t>
      </w:r>
      <w:r w:rsidRPr="003567D3">
        <w:rPr>
          <w:rFonts w:ascii="Arial" w:hAnsi="Arial" w:cs="Arial"/>
          <w:sz w:val="22"/>
          <w:szCs w:val="22"/>
          <w:lang w:val="en-GB"/>
        </w:rPr>
        <w:t>, who</w:t>
      </w:r>
      <w:r w:rsidRPr="003567D3">
        <w:rPr>
          <w:rFonts w:ascii="Arial" w:hAnsi="Arial" w:cs="Arial"/>
          <w:sz w:val="22"/>
          <w:szCs w:val="22"/>
          <w:lang w:val="en-GB"/>
        </w:rPr>
        <w:t xml:space="preserve"> lauded a comparative approach that sought to define a culture in terms of how it relates to another, Evans-Pritchard set out to also understand what a culture is </w:t>
      </w:r>
      <w:r w:rsidRPr="003567D3">
        <w:rPr>
          <w:rFonts w:ascii="Arial" w:hAnsi="Arial" w:cs="Arial"/>
          <w:i/>
          <w:iCs/>
          <w:sz w:val="22"/>
          <w:szCs w:val="22"/>
          <w:lang w:val="en-GB"/>
        </w:rPr>
        <w:t>independent of</w:t>
      </w:r>
      <w:r w:rsidRPr="003567D3">
        <w:rPr>
          <w:rFonts w:ascii="Arial" w:hAnsi="Arial" w:cs="Arial"/>
          <w:sz w:val="22"/>
          <w:szCs w:val="22"/>
          <w:lang w:val="en-GB"/>
        </w:rPr>
        <w:t xml:space="preserve"> comparisons.</w:t>
      </w:r>
      <w:r w:rsidRPr="003567D3">
        <w:rPr>
          <w:rStyle w:val="FootnoteReference"/>
          <w:rFonts w:ascii="Arial" w:hAnsi="Arial" w:cs="Arial"/>
          <w:sz w:val="22"/>
          <w:szCs w:val="22"/>
          <w:lang w:val="en-GB"/>
        </w:rPr>
        <w:footnoteReference w:id="7"/>
      </w:r>
      <w:r w:rsidRPr="003567D3">
        <w:rPr>
          <w:rFonts w:ascii="Arial" w:hAnsi="Arial" w:cs="Arial"/>
          <w:sz w:val="22"/>
          <w:szCs w:val="22"/>
          <w:lang w:val="en-GB"/>
        </w:rPr>
        <w:t xml:space="preserve"> In other words, he worked to grasp a culture not </w:t>
      </w:r>
      <w:r w:rsidRPr="003567D3">
        <w:rPr>
          <w:rFonts w:ascii="Arial" w:hAnsi="Arial" w:cs="Arial"/>
          <w:sz w:val="22"/>
          <w:szCs w:val="22"/>
          <w:lang w:val="en-GB"/>
        </w:rPr>
        <w:t>by</w:t>
      </w:r>
      <w:r w:rsidRPr="003567D3">
        <w:rPr>
          <w:rFonts w:ascii="Arial" w:hAnsi="Arial" w:cs="Arial"/>
          <w:sz w:val="22"/>
          <w:szCs w:val="22"/>
          <w:lang w:val="en-GB"/>
        </w:rPr>
        <w:t xml:space="preserve"> contrast, but </w:t>
      </w:r>
      <w:r w:rsidRPr="003567D3">
        <w:rPr>
          <w:rFonts w:ascii="Arial" w:hAnsi="Arial" w:cs="Arial"/>
          <w:sz w:val="22"/>
          <w:szCs w:val="22"/>
          <w:lang w:val="en-GB"/>
        </w:rPr>
        <w:t>through</w:t>
      </w:r>
      <w:r w:rsidRPr="003567D3">
        <w:rPr>
          <w:rFonts w:ascii="Arial" w:hAnsi="Arial" w:cs="Arial"/>
          <w:sz w:val="22"/>
          <w:szCs w:val="22"/>
          <w:lang w:val="en-GB"/>
        </w:rPr>
        <w:t xml:space="preserve"> direct experience. </w:t>
      </w:r>
    </w:p>
    <w:p w14:paraId="08A4D2A7" w14:textId="77777777" w:rsidR="00BC6A0E" w:rsidRPr="003567D3" w:rsidRDefault="00BC6A0E" w:rsidP="003567D3">
      <w:pPr>
        <w:spacing w:line="276" w:lineRule="auto"/>
        <w:ind w:firstLine="720"/>
        <w:rPr>
          <w:rFonts w:ascii="Arial" w:hAnsi="Arial" w:cs="Arial"/>
          <w:sz w:val="22"/>
          <w:szCs w:val="22"/>
          <w:lang w:val="en-GB"/>
        </w:rPr>
      </w:pPr>
    </w:p>
    <w:p w14:paraId="1FF20BDA" w14:textId="25A44E26" w:rsidR="0017400F" w:rsidRPr="003567D3" w:rsidRDefault="00BC6A0E" w:rsidP="003567D3">
      <w:pPr>
        <w:spacing w:line="276" w:lineRule="auto"/>
        <w:rPr>
          <w:rFonts w:ascii="Arial" w:hAnsi="Arial" w:cs="Arial"/>
          <w:sz w:val="22"/>
          <w:szCs w:val="22"/>
          <w:lang w:val="en-GB"/>
        </w:rPr>
      </w:pPr>
      <w:r w:rsidRPr="003567D3">
        <w:rPr>
          <w:rFonts w:ascii="Arial" w:hAnsi="Arial" w:cs="Arial"/>
          <w:sz w:val="22"/>
          <w:szCs w:val="22"/>
          <w:lang w:val="en-GB"/>
        </w:rPr>
        <w:tab/>
        <w:t xml:space="preserve">Evans-Pritchard’s interest in embodied inquiry </w:t>
      </w:r>
      <w:r w:rsidR="00B704FC" w:rsidRPr="003567D3">
        <w:rPr>
          <w:rFonts w:ascii="Arial" w:hAnsi="Arial" w:cs="Arial"/>
          <w:sz w:val="22"/>
          <w:szCs w:val="22"/>
          <w:lang w:val="en-GB"/>
        </w:rPr>
        <w:t xml:space="preserve">nonetheless </w:t>
      </w:r>
      <w:r w:rsidRPr="003567D3">
        <w:rPr>
          <w:rFonts w:ascii="Arial" w:hAnsi="Arial" w:cs="Arial"/>
          <w:sz w:val="22"/>
          <w:szCs w:val="22"/>
          <w:lang w:val="en-GB"/>
        </w:rPr>
        <w:t xml:space="preserve">led him to refine his process of participant-observation—a research methodology in which a researcher attempts to assimilate into a given culture (learning its language, adopting its lifestyle, etc.) in order to gain more intimate insights into their beliefs, cosmologies, and motivations. </w:t>
      </w:r>
      <w:r w:rsidR="003D1BE4" w:rsidRPr="003567D3">
        <w:rPr>
          <w:rFonts w:ascii="Arial" w:hAnsi="Arial" w:cs="Arial"/>
          <w:sz w:val="22"/>
          <w:szCs w:val="22"/>
          <w:lang w:val="en-GB"/>
        </w:rPr>
        <w:t>Further explaining his emic approach, he writes</w:t>
      </w:r>
      <w:r w:rsidRPr="003567D3">
        <w:rPr>
          <w:rFonts w:ascii="Arial" w:hAnsi="Arial" w:cs="Arial"/>
          <w:sz w:val="22"/>
          <w:szCs w:val="22"/>
          <w:lang w:val="en-GB"/>
        </w:rPr>
        <w:t xml:space="preserve">, </w:t>
      </w:r>
      <w:r w:rsidR="003D1BE4" w:rsidRPr="003567D3">
        <w:rPr>
          <w:rFonts w:ascii="Arial" w:hAnsi="Arial" w:cs="Arial"/>
          <w:sz w:val="22"/>
          <w:szCs w:val="22"/>
          <w:lang w:val="en-GB"/>
        </w:rPr>
        <w:t>‘</w:t>
      </w:r>
      <w:r w:rsidRPr="003567D3">
        <w:rPr>
          <w:rFonts w:ascii="Arial" w:hAnsi="Arial" w:cs="Arial"/>
          <w:sz w:val="22"/>
          <w:szCs w:val="22"/>
          <w:lang w:val="en-GB"/>
        </w:rPr>
        <w:t>I found it useful if I wanted to understand how and why Africans are doing certain things to do them myself: I had a hut and a byre like theirs; I went hunting with them with spear and bow and arrow; I learnt to make pots; I consulted oracles; and so forth.</w:t>
      </w:r>
      <w:r w:rsidR="003D1BE4" w:rsidRPr="003567D3">
        <w:rPr>
          <w:rFonts w:ascii="Arial" w:hAnsi="Arial" w:cs="Arial"/>
          <w:sz w:val="22"/>
          <w:szCs w:val="22"/>
          <w:lang w:val="en-GB"/>
        </w:rPr>
        <w:t>’</w:t>
      </w:r>
      <w:r w:rsidRPr="003567D3">
        <w:rPr>
          <w:rStyle w:val="FootnoteReference"/>
          <w:rFonts w:ascii="Arial" w:hAnsi="Arial" w:cs="Arial"/>
          <w:sz w:val="22"/>
          <w:szCs w:val="22"/>
          <w:lang w:val="en-GB"/>
        </w:rPr>
        <w:footnoteReference w:id="8"/>
      </w:r>
      <w:r w:rsidRPr="003567D3">
        <w:rPr>
          <w:rFonts w:ascii="Arial" w:hAnsi="Arial" w:cs="Arial"/>
          <w:sz w:val="22"/>
          <w:szCs w:val="22"/>
          <w:lang w:val="en-GB"/>
        </w:rPr>
        <w:t xml:space="preserve"> In addition to imparting practical first-hand knowledge of Zande society, the process of embedding within</w:t>
      </w:r>
      <w:r w:rsidR="00B704FC" w:rsidRPr="003567D3">
        <w:rPr>
          <w:rFonts w:ascii="Arial" w:hAnsi="Arial" w:cs="Arial"/>
          <w:sz w:val="22"/>
          <w:szCs w:val="22"/>
          <w:lang w:val="en-GB"/>
        </w:rPr>
        <w:t xml:space="preserve"> and enacting</w:t>
      </w:r>
      <w:r w:rsidRPr="003567D3">
        <w:rPr>
          <w:rFonts w:ascii="Arial" w:hAnsi="Arial" w:cs="Arial"/>
          <w:sz w:val="22"/>
          <w:szCs w:val="22"/>
          <w:lang w:val="en-GB"/>
        </w:rPr>
        <w:t xml:space="preserve"> their culture—fraught though that may be—allowed Evans-Pritchard to learn by doing rather than through observation or explanation. </w:t>
      </w:r>
    </w:p>
    <w:p w14:paraId="37262E76" w14:textId="77777777" w:rsidR="0017400F" w:rsidRPr="003567D3" w:rsidRDefault="0017400F" w:rsidP="003567D3">
      <w:pPr>
        <w:spacing w:line="276" w:lineRule="auto"/>
        <w:rPr>
          <w:rFonts w:ascii="Arial" w:hAnsi="Arial" w:cs="Arial"/>
          <w:sz w:val="22"/>
          <w:szCs w:val="22"/>
          <w:lang w:val="en-GB"/>
        </w:rPr>
      </w:pPr>
    </w:p>
    <w:p w14:paraId="36320D10" w14:textId="60EF7404" w:rsidR="00BC6A0E" w:rsidRPr="003567D3" w:rsidRDefault="00BC6A0E"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By working to experience Zande life first-hand, he became privy to their beliefs, idioms, and worldviews that would have otherwise remained inaccessible to an outsider or simply lost in translation. </w:t>
      </w:r>
      <w:r w:rsidR="0017400F" w:rsidRPr="003567D3">
        <w:rPr>
          <w:rFonts w:ascii="Arial" w:hAnsi="Arial" w:cs="Arial"/>
          <w:sz w:val="22"/>
          <w:szCs w:val="22"/>
          <w:lang w:val="en-GB"/>
        </w:rPr>
        <w:t xml:space="preserve">In particular, this includes Evans-Pritchard’s grasp on Azande notions of time and causation. Recalling his experiences and conversations surrounding oracular divination, he explains how: </w:t>
      </w:r>
    </w:p>
    <w:p w14:paraId="3E90F303" w14:textId="77777777" w:rsidR="0017400F" w:rsidRPr="003567D3" w:rsidRDefault="0017400F" w:rsidP="003567D3">
      <w:pPr>
        <w:spacing w:line="276" w:lineRule="auto"/>
        <w:ind w:firstLine="720"/>
        <w:rPr>
          <w:rFonts w:ascii="Arial" w:hAnsi="Arial" w:cs="Arial"/>
          <w:sz w:val="22"/>
          <w:szCs w:val="22"/>
          <w:lang w:val="en-GB"/>
        </w:rPr>
      </w:pPr>
    </w:p>
    <w:p w14:paraId="1C8F3B3B" w14:textId="557CC504" w:rsidR="0017400F" w:rsidRPr="0017400F" w:rsidRDefault="0017400F" w:rsidP="003567D3">
      <w:pPr>
        <w:spacing w:line="276" w:lineRule="auto"/>
        <w:ind w:left="1440" w:right="1440"/>
        <w:rPr>
          <w:rFonts w:ascii="Arial" w:hAnsi="Arial" w:cs="Arial"/>
          <w:sz w:val="22"/>
          <w:szCs w:val="22"/>
          <w:lang w:val="en-GB"/>
        </w:rPr>
      </w:pPr>
      <w:r w:rsidRPr="0017400F">
        <w:rPr>
          <w:rFonts w:ascii="Arial" w:hAnsi="Arial" w:cs="Arial"/>
          <w:sz w:val="22"/>
          <w:szCs w:val="22"/>
          <w:lang w:val="en-GB"/>
        </w:rPr>
        <w:t xml:space="preserve">Present and future have not entirely the same meaning for Azande as they have for us. […] It would appear from their behaviour that the present and future overlap in some way so that the present partakes of the future as it were. Hence a man’s future health and happiness depend on future conditions that are already in existence and can be exposed by the oracles and altered. […] Moreover, when the oracles announce that a man will fall sick, </w:t>
      </w:r>
      <w:proofErr w:type="gramStart"/>
      <w:r w:rsidRPr="0017400F">
        <w:rPr>
          <w:rFonts w:ascii="Arial" w:hAnsi="Arial" w:cs="Arial"/>
          <w:sz w:val="22"/>
          <w:szCs w:val="22"/>
          <w:lang w:val="en-GB"/>
        </w:rPr>
        <w:t>i.e.</w:t>
      </w:r>
      <w:proofErr w:type="gramEnd"/>
      <w:r w:rsidRPr="0017400F">
        <w:rPr>
          <w:rFonts w:ascii="Arial" w:hAnsi="Arial" w:cs="Arial"/>
          <w:sz w:val="22"/>
          <w:szCs w:val="22"/>
          <w:lang w:val="en-GB"/>
        </w:rPr>
        <w:t xml:space="preserve"> be</w:t>
      </w:r>
      <w:r w:rsidRPr="003567D3">
        <w:rPr>
          <w:rFonts w:ascii="Arial" w:hAnsi="Arial" w:cs="Arial"/>
          <w:sz w:val="22"/>
          <w:szCs w:val="22"/>
          <w:lang w:val="en-GB"/>
        </w:rPr>
        <w:t xml:space="preserve"> </w:t>
      </w:r>
      <w:r w:rsidRPr="0017400F">
        <w:rPr>
          <w:rFonts w:ascii="Arial" w:hAnsi="Arial" w:cs="Arial"/>
          <w:sz w:val="22"/>
          <w:szCs w:val="22"/>
          <w:lang w:val="en-GB"/>
        </w:rPr>
        <w:t>bewitched in the near future, his ‘condition’ is therefore already bad, his future is already part of him.</w:t>
      </w:r>
      <w:r w:rsidR="003D1BE4" w:rsidRPr="003567D3">
        <w:rPr>
          <w:rStyle w:val="FootnoteReference"/>
          <w:rFonts w:ascii="Arial" w:hAnsi="Arial" w:cs="Arial"/>
          <w:sz w:val="22"/>
          <w:szCs w:val="22"/>
          <w:lang w:val="en-GB"/>
        </w:rPr>
        <w:footnoteReference w:id="9"/>
      </w:r>
      <w:r w:rsidRPr="0017400F">
        <w:rPr>
          <w:rFonts w:ascii="Arial" w:hAnsi="Arial" w:cs="Arial"/>
          <w:sz w:val="22"/>
          <w:szCs w:val="22"/>
          <w:lang w:val="en-GB"/>
        </w:rPr>
        <w:t xml:space="preserve"> </w:t>
      </w:r>
    </w:p>
    <w:p w14:paraId="5EF5F39A" w14:textId="008DA52C" w:rsidR="0017400F" w:rsidRPr="003567D3" w:rsidRDefault="0017400F" w:rsidP="003567D3">
      <w:pPr>
        <w:spacing w:line="276" w:lineRule="auto"/>
        <w:rPr>
          <w:rFonts w:ascii="Arial" w:hAnsi="Arial" w:cs="Arial"/>
          <w:sz w:val="22"/>
          <w:szCs w:val="22"/>
          <w:lang w:val="en-GB"/>
        </w:rPr>
      </w:pPr>
    </w:p>
    <w:p w14:paraId="55062801" w14:textId="071622C1" w:rsidR="0017400F" w:rsidRPr="003567D3" w:rsidRDefault="0017400F" w:rsidP="003567D3">
      <w:pPr>
        <w:spacing w:line="276" w:lineRule="auto"/>
        <w:rPr>
          <w:rFonts w:ascii="Arial" w:hAnsi="Arial" w:cs="Arial"/>
          <w:sz w:val="22"/>
          <w:szCs w:val="22"/>
          <w:lang w:val="en-GB"/>
        </w:rPr>
      </w:pPr>
      <w:r w:rsidRPr="003567D3">
        <w:rPr>
          <w:rFonts w:ascii="Arial" w:hAnsi="Arial" w:cs="Arial"/>
          <w:sz w:val="22"/>
          <w:szCs w:val="22"/>
          <w:lang w:val="en-GB"/>
        </w:rPr>
        <w:t xml:space="preserve">It is in </w:t>
      </w:r>
      <w:r w:rsidR="00DA28AA" w:rsidRPr="003567D3">
        <w:rPr>
          <w:rFonts w:ascii="Arial" w:hAnsi="Arial" w:cs="Arial"/>
          <w:sz w:val="22"/>
          <w:szCs w:val="22"/>
          <w:lang w:val="en-GB"/>
        </w:rPr>
        <w:t xml:space="preserve">being able to harness and </w:t>
      </w:r>
      <w:r w:rsidRPr="003567D3">
        <w:rPr>
          <w:rFonts w:ascii="Arial" w:hAnsi="Arial" w:cs="Arial"/>
          <w:sz w:val="22"/>
          <w:szCs w:val="22"/>
          <w:lang w:val="en-GB"/>
        </w:rPr>
        <w:t>articulat</w:t>
      </w:r>
      <w:r w:rsidR="00DA28AA" w:rsidRPr="003567D3">
        <w:rPr>
          <w:rFonts w:ascii="Arial" w:hAnsi="Arial" w:cs="Arial"/>
          <w:sz w:val="22"/>
          <w:szCs w:val="22"/>
          <w:lang w:val="en-GB"/>
        </w:rPr>
        <w:t>e</w:t>
      </w:r>
      <w:r w:rsidRPr="003567D3">
        <w:rPr>
          <w:rFonts w:ascii="Arial" w:hAnsi="Arial" w:cs="Arial"/>
          <w:sz w:val="22"/>
          <w:szCs w:val="22"/>
          <w:lang w:val="en-GB"/>
        </w:rPr>
        <w:t xml:space="preserve"> these principles of time</w:t>
      </w:r>
      <w:r w:rsidR="00DA28AA" w:rsidRPr="003567D3">
        <w:rPr>
          <w:rFonts w:ascii="Arial" w:hAnsi="Arial" w:cs="Arial"/>
          <w:sz w:val="22"/>
          <w:szCs w:val="22"/>
          <w:lang w:val="en-GB"/>
        </w:rPr>
        <w:t xml:space="preserve"> through direct participation with oracular divination</w:t>
      </w:r>
      <w:r w:rsidRPr="003567D3">
        <w:rPr>
          <w:rFonts w:ascii="Arial" w:hAnsi="Arial" w:cs="Arial"/>
          <w:sz w:val="22"/>
          <w:szCs w:val="22"/>
          <w:lang w:val="en-GB"/>
        </w:rPr>
        <w:t xml:space="preserve"> that led Evans-Pritchard to understand </w:t>
      </w:r>
      <w:r w:rsidR="00DA28AA" w:rsidRPr="003567D3">
        <w:rPr>
          <w:rFonts w:ascii="Arial" w:hAnsi="Arial" w:cs="Arial"/>
          <w:sz w:val="22"/>
          <w:szCs w:val="22"/>
          <w:lang w:val="en-GB"/>
        </w:rPr>
        <w:t xml:space="preserve">Azande concepts of causation—a breakthrough that was paramount in reversing existing assumptions that Azande belief structures were non-rational and anti-empirical.  </w:t>
      </w:r>
    </w:p>
    <w:p w14:paraId="773FEE32" w14:textId="632E2033" w:rsidR="009C6014" w:rsidRPr="003567D3" w:rsidRDefault="009C6014" w:rsidP="003567D3">
      <w:pPr>
        <w:spacing w:line="276" w:lineRule="auto"/>
        <w:rPr>
          <w:rFonts w:ascii="Arial" w:hAnsi="Arial" w:cs="Arial"/>
          <w:sz w:val="22"/>
          <w:szCs w:val="22"/>
          <w:lang w:val="en-GB"/>
        </w:rPr>
      </w:pPr>
      <w:r w:rsidRPr="003567D3">
        <w:rPr>
          <w:rFonts w:ascii="Arial" w:hAnsi="Arial" w:cs="Arial"/>
          <w:sz w:val="22"/>
          <w:szCs w:val="22"/>
          <w:lang w:val="en-GB"/>
        </w:rPr>
        <w:tab/>
      </w:r>
    </w:p>
    <w:p w14:paraId="289C96FB" w14:textId="7FD3DBA2" w:rsidR="000A1C66" w:rsidRPr="003567D3" w:rsidRDefault="009C6014" w:rsidP="003567D3">
      <w:pPr>
        <w:spacing w:line="276" w:lineRule="auto"/>
        <w:rPr>
          <w:rFonts w:ascii="Arial" w:hAnsi="Arial" w:cs="Arial"/>
          <w:sz w:val="22"/>
          <w:szCs w:val="22"/>
          <w:lang w:val="en-GB"/>
        </w:rPr>
      </w:pPr>
      <w:r w:rsidRPr="003567D3">
        <w:rPr>
          <w:rFonts w:ascii="Arial" w:hAnsi="Arial" w:cs="Arial"/>
          <w:sz w:val="22"/>
          <w:szCs w:val="22"/>
          <w:lang w:val="en-GB"/>
        </w:rPr>
        <w:tab/>
      </w:r>
      <w:r w:rsidR="000A1C66" w:rsidRPr="003567D3">
        <w:rPr>
          <w:rFonts w:ascii="Arial" w:hAnsi="Arial" w:cs="Arial"/>
          <w:sz w:val="22"/>
          <w:szCs w:val="22"/>
          <w:lang w:val="en-GB"/>
        </w:rPr>
        <w:t xml:space="preserve">In exploring the examples of death and bodily harm, </w:t>
      </w:r>
      <w:r w:rsidRPr="003567D3">
        <w:rPr>
          <w:rFonts w:ascii="Arial" w:hAnsi="Arial" w:cs="Arial"/>
          <w:sz w:val="22"/>
          <w:szCs w:val="22"/>
          <w:lang w:val="en-GB"/>
        </w:rPr>
        <w:t xml:space="preserve">Evans-Pritchard </w:t>
      </w:r>
      <w:r w:rsidR="000A1C66" w:rsidRPr="003567D3">
        <w:rPr>
          <w:rFonts w:ascii="Arial" w:hAnsi="Arial" w:cs="Arial"/>
          <w:sz w:val="22"/>
          <w:szCs w:val="22"/>
          <w:lang w:val="en-GB"/>
        </w:rPr>
        <w:t>demonstrates that</w:t>
      </w:r>
      <w:r w:rsidRPr="003567D3">
        <w:rPr>
          <w:rFonts w:ascii="Arial" w:hAnsi="Arial" w:cs="Arial"/>
          <w:sz w:val="22"/>
          <w:szCs w:val="22"/>
          <w:lang w:val="en-GB"/>
        </w:rPr>
        <w:t xml:space="preserve"> Azande principles of </w:t>
      </w:r>
      <w:r w:rsidR="000A1C66" w:rsidRPr="003567D3">
        <w:rPr>
          <w:rFonts w:ascii="Arial" w:hAnsi="Arial" w:cs="Arial"/>
          <w:sz w:val="22"/>
          <w:szCs w:val="22"/>
          <w:lang w:val="en-GB"/>
        </w:rPr>
        <w:t xml:space="preserve">empirical knowledge and witchcraft </w:t>
      </w:r>
      <w:r w:rsidR="00351B2C" w:rsidRPr="003567D3">
        <w:rPr>
          <w:rFonts w:ascii="Arial" w:hAnsi="Arial" w:cs="Arial"/>
          <w:sz w:val="22"/>
          <w:szCs w:val="22"/>
          <w:lang w:val="en-GB"/>
        </w:rPr>
        <w:t>do not contradict one another. Rather, they are symbiotic</w:t>
      </w:r>
      <w:r w:rsidR="000A1C66" w:rsidRPr="003567D3">
        <w:rPr>
          <w:rFonts w:ascii="Arial" w:hAnsi="Arial" w:cs="Arial"/>
          <w:sz w:val="22"/>
          <w:szCs w:val="22"/>
          <w:lang w:val="en-GB"/>
        </w:rPr>
        <w:t>. He explains that a Zande can simultaneously acknowledge a death due to natural causes while also understanding that the death was due to witchcraft.</w:t>
      </w:r>
      <w:r w:rsidR="000A1C66" w:rsidRPr="003567D3">
        <w:rPr>
          <w:rStyle w:val="FootnoteReference"/>
          <w:rFonts w:ascii="Arial" w:hAnsi="Arial" w:cs="Arial"/>
          <w:color w:val="000000" w:themeColor="text1"/>
          <w:sz w:val="22"/>
          <w:szCs w:val="22"/>
          <w:lang w:val="en-GB"/>
        </w:rPr>
        <w:footnoteReference w:id="10"/>
      </w:r>
      <w:r w:rsidR="000A1C66" w:rsidRPr="003567D3">
        <w:rPr>
          <w:rFonts w:ascii="Arial" w:hAnsi="Arial" w:cs="Arial"/>
          <w:color w:val="000000" w:themeColor="text1"/>
          <w:sz w:val="22"/>
          <w:szCs w:val="22"/>
          <w:lang w:val="en-GB"/>
        </w:rPr>
        <w:t xml:space="preserve"> To further elucidate this nuance, Evans-Pritchard employs </w:t>
      </w:r>
      <w:r w:rsidR="008B1E5F" w:rsidRPr="003567D3">
        <w:rPr>
          <w:rFonts w:ascii="Arial" w:hAnsi="Arial" w:cs="Arial"/>
          <w:color w:val="000000" w:themeColor="text1"/>
          <w:sz w:val="22"/>
          <w:szCs w:val="22"/>
          <w:lang w:val="en-GB"/>
        </w:rPr>
        <w:t>the</w:t>
      </w:r>
      <w:r w:rsidR="000A1C66" w:rsidRPr="003567D3">
        <w:rPr>
          <w:rFonts w:ascii="Arial" w:hAnsi="Arial" w:cs="Arial"/>
          <w:color w:val="000000" w:themeColor="text1"/>
          <w:sz w:val="22"/>
          <w:szCs w:val="22"/>
          <w:lang w:val="en-GB"/>
        </w:rPr>
        <w:t xml:space="preserve"> Azande metaphor of the second spear: </w:t>
      </w:r>
    </w:p>
    <w:p w14:paraId="5FC2CF9C" w14:textId="77777777" w:rsidR="000A1C66" w:rsidRPr="003567D3" w:rsidRDefault="000A1C66" w:rsidP="003567D3">
      <w:pPr>
        <w:spacing w:line="276" w:lineRule="auto"/>
        <w:rPr>
          <w:rFonts w:ascii="Arial" w:hAnsi="Arial" w:cs="Arial"/>
          <w:sz w:val="22"/>
          <w:szCs w:val="22"/>
          <w:lang w:val="en-GB"/>
        </w:rPr>
      </w:pPr>
    </w:p>
    <w:p w14:paraId="7B963478" w14:textId="17739C5C" w:rsidR="009C6014" w:rsidRPr="003567D3" w:rsidRDefault="000A1C66" w:rsidP="003567D3">
      <w:pPr>
        <w:spacing w:line="276" w:lineRule="auto"/>
        <w:ind w:left="1440" w:right="1440"/>
        <w:rPr>
          <w:rFonts w:ascii="Arial" w:hAnsi="Arial" w:cs="Arial"/>
          <w:color w:val="000000" w:themeColor="text1"/>
          <w:sz w:val="22"/>
          <w:szCs w:val="22"/>
          <w:lang w:val="en-GB"/>
        </w:rPr>
      </w:pPr>
      <w:r w:rsidRPr="00A931B7">
        <w:rPr>
          <w:rFonts w:ascii="Arial" w:hAnsi="Arial" w:cs="Arial"/>
          <w:color w:val="000000" w:themeColor="text1"/>
          <w:sz w:val="22"/>
          <w:szCs w:val="22"/>
          <w:lang w:val="en-GB"/>
        </w:rPr>
        <w:t xml:space="preserve">Azande always say of witchcraft that it is the </w:t>
      </w:r>
      <w:proofErr w:type="spellStart"/>
      <w:r w:rsidRPr="00A931B7">
        <w:rPr>
          <w:rFonts w:ascii="Arial" w:hAnsi="Arial" w:cs="Arial"/>
          <w:i/>
          <w:iCs/>
          <w:color w:val="000000" w:themeColor="text1"/>
          <w:sz w:val="22"/>
          <w:szCs w:val="22"/>
          <w:lang w:val="en-GB"/>
        </w:rPr>
        <w:t>umbaga</w:t>
      </w:r>
      <w:proofErr w:type="spellEnd"/>
      <w:r w:rsidRPr="00A931B7">
        <w:rPr>
          <w:rFonts w:ascii="Arial" w:hAnsi="Arial" w:cs="Arial"/>
          <w:color w:val="000000" w:themeColor="text1"/>
          <w:sz w:val="22"/>
          <w:szCs w:val="22"/>
          <w:lang w:val="en-GB"/>
        </w:rPr>
        <w:t xml:space="preserve"> or second spear. When Azande kill game there is a division of meat between the man who first speared the animal and the man who plunged a second spear into it. […] Hence, if a man is killed by an elephant Azande say that the elephant is the first </w:t>
      </w:r>
      <w:proofErr w:type="gramStart"/>
      <w:r w:rsidRPr="00A931B7">
        <w:rPr>
          <w:rFonts w:ascii="Arial" w:hAnsi="Arial" w:cs="Arial"/>
          <w:color w:val="000000" w:themeColor="text1"/>
          <w:sz w:val="22"/>
          <w:szCs w:val="22"/>
          <w:lang w:val="en-GB"/>
        </w:rPr>
        <w:t>spear</w:t>
      </w:r>
      <w:proofErr w:type="gramEnd"/>
      <w:r w:rsidRPr="00A931B7">
        <w:rPr>
          <w:rFonts w:ascii="Arial" w:hAnsi="Arial" w:cs="Arial"/>
          <w:color w:val="000000" w:themeColor="text1"/>
          <w:sz w:val="22"/>
          <w:szCs w:val="22"/>
          <w:lang w:val="en-GB"/>
        </w:rPr>
        <w:t xml:space="preserve"> and that witchcraft is the second spear and that together they killed the man.</w:t>
      </w:r>
      <w:r w:rsidR="008B1E5F" w:rsidRPr="003567D3">
        <w:rPr>
          <w:rStyle w:val="FootnoteReference"/>
          <w:rFonts w:ascii="Arial" w:hAnsi="Arial" w:cs="Arial"/>
          <w:color w:val="000000" w:themeColor="text1"/>
          <w:sz w:val="22"/>
          <w:szCs w:val="22"/>
          <w:lang w:val="en-GB"/>
        </w:rPr>
        <w:footnoteReference w:id="11"/>
      </w:r>
    </w:p>
    <w:p w14:paraId="2CAAA7AA" w14:textId="4D32AD5D" w:rsidR="000A1C66" w:rsidRPr="003567D3" w:rsidRDefault="000A1C66" w:rsidP="003567D3">
      <w:pPr>
        <w:spacing w:line="276" w:lineRule="auto"/>
        <w:ind w:right="720"/>
        <w:rPr>
          <w:rFonts w:ascii="Arial" w:hAnsi="Arial" w:cs="Arial"/>
          <w:color w:val="4472C4" w:themeColor="accent1"/>
          <w:sz w:val="22"/>
          <w:szCs w:val="22"/>
          <w:lang w:val="en-GB"/>
        </w:rPr>
      </w:pPr>
    </w:p>
    <w:p w14:paraId="2C31A22D" w14:textId="724F1613" w:rsidR="000A1C66" w:rsidRPr="003567D3" w:rsidRDefault="00C13C03"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In this scenario, </w:t>
      </w:r>
      <w:r w:rsidR="008B1E5F" w:rsidRPr="003567D3">
        <w:rPr>
          <w:rFonts w:ascii="Arial" w:hAnsi="Arial" w:cs="Arial"/>
          <w:color w:val="000000" w:themeColor="text1"/>
          <w:sz w:val="22"/>
          <w:szCs w:val="22"/>
          <w:lang w:val="en-GB"/>
        </w:rPr>
        <w:t xml:space="preserve">Evans-Pritchard </w:t>
      </w:r>
      <w:r w:rsidRPr="003567D3">
        <w:rPr>
          <w:rFonts w:ascii="Arial" w:hAnsi="Arial" w:cs="Arial"/>
          <w:color w:val="000000" w:themeColor="text1"/>
          <w:sz w:val="22"/>
          <w:szCs w:val="22"/>
          <w:lang w:val="en-GB"/>
        </w:rPr>
        <w:t>articulates</w:t>
      </w:r>
      <w:r w:rsidR="008B1E5F" w:rsidRPr="003567D3">
        <w:rPr>
          <w:rFonts w:ascii="Arial" w:hAnsi="Arial" w:cs="Arial"/>
          <w:color w:val="000000" w:themeColor="text1"/>
          <w:sz w:val="22"/>
          <w:szCs w:val="22"/>
          <w:lang w:val="en-GB"/>
        </w:rPr>
        <w:t xml:space="preserve"> that a Zande would very well understand that </w:t>
      </w:r>
      <w:r w:rsidRPr="003567D3">
        <w:rPr>
          <w:rFonts w:ascii="Arial" w:hAnsi="Arial" w:cs="Arial"/>
          <w:color w:val="000000" w:themeColor="text1"/>
          <w:sz w:val="22"/>
          <w:szCs w:val="22"/>
          <w:lang w:val="en-GB"/>
        </w:rPr>
        <w:t xml:space="preserve">the elephant was responsible for killing a person, but that witchcraft is what explains the </w:t>
      </w:r>
      <w:r w:rsidR="00351B2C" w:rsidRPr="003567D3">
        <w:rPr>
          <w:rFonts w:ascii="Arial" w:hAnsi="Arial" w:cs="Arial"/>
          <w:color w:val="000000" w:themeColor="text1"/>
          <w:sz w:val="22"/>
          <w:szCs w:val="22"/>
          <w:lang w:val="en-GB"/>
        </w:rPr>
        <w:t xml:space="preserve">particular </w:t>
      </w:r>
      <w:r w:rsidRPr="003567D3">
        <w:rPr>
          <w:rFonts w:ascii="Arial" w:hAnsi="Arial" w:cs="Arial"/>
          <w:color w:val="000000" w:themeColor="text1"/>
          <w:sz w:val="22"/>
          <w:szCs w:val="22"/>
          <w:lang w:val="en-GB"/>
        </w:rPr>
        <w:t xml:space="preserve">reason why this </w:t>
      </w:r>
      <w:r w:rsidR="00351B2C" w:rsidRPr="003567D3">
        <w:rPr>
          <w:rFonts w:ascii="Arial" w:hAnsi="Arial" w:cs="Arial"/>
          <w:color w:val="000000" w:themeColor="text1"/>
          <w:sz w:val="22"/>
          <w:szCs w:val="22"/>
          <w:lang w:val="en-GB"/>
        </w:rPr>
        <w:t xml:space="preserve">event happened </w:t>
      </w:r>
      <w:r w:rsidRPr="003567D3">
        <w:rPr>
          <w:rFonts w:ascii="Arial" w:hAnsi="Arial" w:cs="Arial"/>
          <w:color w:val="000000" w:themeColor="text1"/>
          <w:sz w:val="22"/>
          <w:szCs w:val="22"/>
          <w:lang w:val="en-GB"/>
        </w:rPr>
        <w:t>to this specific person, in this specific way, at this specific time. Witchcraft fills in the gaps of what might otherwise be called chance, coincidence, or bad luck</w:t>
      </w:r>
      <w:r w:rsidR="00351B2C" w:rsidRPr="003567D3">
        <w:rPr>
          <w:rFonts w:ascii="Arial" w:hAnsi="Arial" w:cs="Arial"/>
          <w:color w:val="000000" w:themeColor="text1"/>
          <w:sz w:val="22"/>
          <w:szCs w:val="22"/>
          <w:lang w:val="en-GB"/>
        </w:rPr>
        <w:t xml:space="preserve"> in a European mindset</w:t>
      </w:r>
      <w:r w:rsidRPr="003567D3">
        <w:rPr>
          <w:rFonts w:ascii="Arial" w:hAnsi="Arial" w:cs="Arial"/>
          <w:color w:val="000000" w:themeColor="text1"/>
          <w:sz w:val="22"/>
          <w:szCs w:val="22"/>
          <w:lang w:val="en-GB"/>
        </w:rPr>
        <w:t xml:space="preserve">. </w:t>
      </w:r>
    </w:p>
    <w:p w14:paraId="35F7D423" w14:textId="7F920D44" w:rsidR="00F91C29" w:rsidRPr="003567D3" w:rsidRDefault="00F91C29" w:rsidP="003567D3">
      <w:pPr>
        <w:spacing w:line="276" w:lineRule="auto"/>
        <w:rPr>
          <w:rFonts w:ascii="Arial" w:hAnsi="Arial" w:cs="Arial"/>
          <w:color w:val="000000" w:themeColor="text1"/>
          <w:sz w:val="22"/>
          <w:szCs w:val="22"/>
          <w:lang w:val="en-GB"/>
        </w:rPr>
      </w:pPr>
    </w:p>
    <w:p w14:paraId="4F9EB148" w14:textId="0D2C3670" w:rsidR="000A1C66" w:rsidRPr="003567D3" w:rsidRDefault="00F91C29" w:rsidP="003567D3">
      <w:pPr>
        <w:spacing w:line="276" w:lineRule="auto"/>
        <w:rPr>
          <w:rFonts w:ascii="Arial" w:hAnsi="Arial" w:cs="Arial"/>
          <w:sz w:val="22"/>
          <w:szCs w:val="22"/>
          <w:lang w:val="en-GB"/>
        </w:rPr>
      </w:pPr>
      <w:r w:rsidRPr="003567D3">
        <w:rPr>
          <w:rFonts w:ascii="Arial" w:hAnsi="Arial" w:cs="Arial"/>
          <w:color w:val="000000" w:themeColor="text1"/>
          <w:sz w:val="22"/>
          <w:szCs w:val="22"/>
          <w:lang w:val="en-GB"/>
        </w:rPr>
        <w:lastRenderedPageBreak/>
        <w:tab/>
        <w:t>Evans-Pritchard</w:t>
      </w:r>
      <w:r w:rsidRPr="003567D3">
        <w:rPr>
          <w:rFonts w:ascii="Arial" w:hAnsi="Arial" w:cs="Arial"/>
          <w:color w:val="000000" w:themeColor="text1"/>
          <w:sz w:val="22"/>
          <w:szCs w:val="22"/>
          <w:lang w:val="en-GB"/>
        </w:rPr>
        <w:t>’</w:t>
      </w:r>
      <w:r w:rsidRPr="003567D3">
        <w:rPr>
          <w:rFonts w:ascii="Arial" w:hAnsi="Arial" w:cs="Arial"/>
          <w:color w:val="000000" w:themeColor="text1"/>
          <w:sz w:val="22"/>
          <w:szCs w:val="22"/>
          <w:lang w:val="en-GB"/>
        </w:rPr>
        <w:t>s participatory emic insights into Azande oracular tradition formed a theoretical basis by which</w:t>
      </w:r>
      <w:r w:rsidRPr="003567D3">
        <w:rPr>
          <w:rFonts w:ascii="Arial" w:hAnsi="Arial" w:cs="Arial"/>
          <w:color w:val="000000" w:themeColor="text1"/>
          <w:sz w:val="22"/>
          <w:szCs w:val="22"/>
          <w:lang w:val="en-GB"/>
        </w:rPr>
        <w:t xml:space="preserve"> </w:t>
      </w:r>
      <w:r w:rsidRPr="003567D3">
        <w:rPr>
          <w:rFonts w:ascii="Arial" w:hAnsi="Arial" w:cs="Arial"/>
          <w:color w:val="000000" w:themeColor="text1"/>
          <w:sz w:val="22"/>
          <w:szCs w:val="22"/>
          <w:lang w:val="en-GB"/>
        </w:rPr>
        <w:t>contemporary scholars can</w:t>
      </w:r>
      <w:r w:rsidRPr="003567D3">
        <w:rPr>
          <w:rFonts w:ascii="Arial" w:hAnsi="Arial" w:cs="Arial"/>
          <w:color w:val="000000" w:themeColor="text1"/>
          <w:sz w:val="22"/>
          <w:szCs w:val="22"/>
          <w:lang w:val="en-GB"/>
        </w:rPr>
        <w:t xml:space="preserve"> </w:t>
      </w:r>
      <w:r w:rsidRPr="003567D3">
        <w:rPr>
          <w:rFonts w:ascii="Arial" w:hAnsi="Arial" w:cs="Arial"/>
          <w:color w:val="000000" w:themeColor="text1"/>
          <w:sz w:val="22"/>
          <w:szCs w:val="22"/>
          <w:lang w:val="en-GB"/>
        </w:rPr>
        <w:t xml:space="preserve">understand principles of causation in other cultures, including </w:t>
      </w:r>
      <w:r w:rsidR="001E550A" w:rsidRPr="003567D3">
        <w:rPr>
          <w:rFonts w:ascii="Arial" w:hAnsi="Arial" w:cs="Arial"/>
          <w:color w:val="000000" w:themeColor="text1"/>
          <w:sz w:val="22"/>
          <w:szCs w:val="22"/>
          <w:lang w:val="en-GB"/>
        </w:rPr>
        <w:t>those of antiquity</w:t>
      </w:r>
      <w:r w:rsidRPr="003567D3">
        <w:rPr>
          <w:rFonts w:ascii="Arial" w:hAnsi="Arial" w:cs="Arial"/>
          <w:color w:val="000000" w:themeColor="text1"/>
          <w:sz w:val="22"/>
          <w:szCs w:val="22"/>
          <w:lang w:val="en-GB"/>
        </w:rPr>
        <w:t xml:space="preserve">. </w:t>
      </w:r>
      <w:r w:rsidR="001E550A" w:rsidRPr="003567D3">
        <w:rPr>
          <w:rFonts w:ascii="Arial" w:hAnsi="Arial" w:cs="Arial"/>
          <w:color w:val="000000" w:themeColor="text1"/>
          <w:sz w:val="22"/>
          <w:szCs w:val="22"/>
          <w:lang w:val="en-GB"/>
        </w:rPr>
        <w:t xml:space="preserve">In </w:t>
      </w:r>
      <w:proofErr w:type="spellStart"/>
      <w:r w:rsidR="00A84CBE" w:rsidRPr="003567D3">
        <w:rPr>
          <w:rFonts w:ascii="Arial" w:hAnsi="Arial" w:cs="Arial"/>
          <w:color w:val="000000" w:themeColor="text1"/>
          <w:sz w:val="22"/>
          <w:szCs w:val="22"/>
          <w:lang w:val="en-GB"/>
        </w:rPr>
        <w:t>Lehoux’s</w:t>
      </w:r>
      <w:proofErr w:type="spellEnd"/>
      <w:r w:rsidR="001E550A" w:rsidRPr="003567D3">
        <w:rPr>
          <w:rFonts w:ascii="Arial" w:hAnsi="Arial" w:cs="Arial"/>
          <w:color w:val="000000" w:themeColor="text1"/>
          <w:sz w:val="22"/>
          <w:szCs w:val="22"/>
          <w:lang w:val="en-GB"/>
        </w:rPr>
        <w:t xml:space="preserve"> exploration or Hellenistic astrology, </w:t>
      </w:r>
      <w:r w:rsidR="00A84CBE" w:rsidRPr="003567D3">
        <w:rPr>
          <w:rFonts w:ascii="Arial" w:hAnsi="Arial" w:cs="Arial"/>
          <w:color w:val="000000" w:themeColor="text1"/>
          <w:sz w:val="22"/>
          <w:szCs w:val="22"/>
          <w:lang w:val="en-GB"/>
        </w:rPr>
        <w:t xml:space="preserve">he applies a theoretical participatory strategy to his research in order to </w:t>
      </w:r>
      <w:r w:rsidR="001E550A" w:rsidRPr="003567D3">
        <w:rPr>
          <w:rFonts w:ascii="Arial" w:hAnsi="Arial" w:cs="Arial"/>
          <w:color w:val="000000" w:themeColor="text1"/>
          <w:sz w:val="22"/>
          <w:szCs w:val="22"/>
          <w:lang w:val="en-GB"/>
        </w:rPr>
        <w:t xml:space="preserve"> metonymically reveal insights into ancient Greek concepts of causation and free will. He starts by assuming, as many ancient Greeks did, that astrology is true. In positioning his inquiry within an acknowledgement of astrological influence on human affairs, he </w:t>
      </w:r>
      <w:r w:rsidR="00A84CBE" w:rsidRPr="003567D3">
        <w:rPr>
          <w:rFonts w:ascii="Arial" w:hAnsi="Arial" w:cs="Arial"/>
          <w:color w:val="000000" w:themeColor="text1"/>
          <w:sz w:val="22"/>
          <w:szCs w:val="22"/>
          <w:lang w:val="en-GB"/>
        </w:rPr>
        <w:t>‘</w:t>
      </w:r>
      <w:r w:rsidR="001E550A" w:rsidRPr="003567D3">
        <w:rPr>
          <w:rFonts w:ascii="Arial" w:hAnsi="Arial" w:cs="Arial"/>
          <w:color w:val="000000" w:themeColor="text1"/>
          <w:sz w:val="22"/>
          <w:szCs w:val="22"/>
          <w:lang w:val="en-GB"/>
        </w:rPr>
        <w:t>opens up an epistemological possibility […] of knowing more about the future than we otherwise might.</w:t>
      </w:r>
      <w:r w:rsidR="00A84CBE" w:rsidRPr="003567D3">
        <w:rPr>
          <w:rFonts w:ascii="Arial" w:hAnsi="Arial" w:cs="Arial"/>
          <w:color w:val="000000" w:themeColor="text1"/>
          <w:sz w:val="22"/>
          <w:szCs w:val="22"/>
          <w:lang w:val="en-GB"/>
        </w:rPr>
        <w:t>’</w:t>
      </w:r>
      <w:r w:rsidR="001E550A" w:rsidRPr="003567D3">
        <w:rPr>
          <w:rStyle w:val="FootnoteReference"/>
          <w:rFonts w:ascii="Arial" w:hAnsi="Arial" w:cs="Arial"/>
          <w:color w:val="000000" w:themeColor="text1"/>
          <w:sz w:val="22"/>
          <w:szCs w:val="22"/>
          <w:lang w:val="en-GB"/>
        </w:rPr>
        <w:footnoteReference w:id="12"/>
      </w:r>
      <w:r w:rsidR="001E550A" w:rsidRPr="003567D3">
        <w:rPr>
          <w:rFonts w:ascii="Arial" w:hAnsi="Arial" w:cs="Arial"/>
          <w:color w:val="000000" w:themeColor="text1"/>
          <w:sz w:val="22"/>
          <w:szCs w:val="22"/>
          <w:lang w:val="en-GB"/>
        </w:rPr>
        <w:t xml:space="preserve"> This insight alone cataly</w:t>
      </w:r>
      <w:r w:rsidR="008C2014" w:rsidRPr="003567D3">
        <w:rPr>
          <w:rFonts w:ascii="Arial" w:hAnsi="Arial" w:cs="Arial"/>
          <w:color w:val="000000" w:themeColor="text1"/>
          <w:sz w:val="22"/>
          <w:szCs w:val="22"/>
          <w:lang w:val="en-GB"/>
        </w:rPr>
        <w:t>s</w:t>
      </w:r>
      <w:r w:rsidR="001E550A" w:rsidRPr="003567D3">
        <w:rPr>
          <w:rFonts w:ascii="Arial" w:hAnsi="Arial" w:cs="Arial"/>
          <w:color w:val="000000" w:themeColor="text1"/>
          <w:sz w:val="22"/>
          <w:szCs w:val="22"/>
          <w:lang w:val="en-GB"/>
        </w:rPr>
        <w:t xml:space="preserve">es a deeper exploration and discussion of ancient Greek views on determinism, free will, empiricism, and other factors that </w:t>
      </w:r>
      <w:r w:rsidR="008C2014" w:rsidRPr="003567D3">
        <w:rPr>
          <w:rFonts w:ascii="Arial" w:hAnsi="Arial" w:cs="Arial"/>
          <w:color w:val="000000" w:themeColor="text1"/>
          <w:sz w:val="22"/>
          <w:szCs w:val="22"/>
          <w:lang w:val="en-GB"/>
        </w:rPr>
        <w:t xml:space="preserve">enrich contemporary understanding of divinatory practice in antiquity. </w:t>
      </w:r>
    </w:p>
    <w:p w14:paraId="0A9E62CC" w14:textId="7940D41E" w:rsidR="00A52461" w:rsidRPr="003567D3" w:rsidRDefault="00A52461" w:rsidP="003567D3">
      <w:pPr>
        <w:spacing w:line="276" w:lineRule="auto"/>
        <w:rPr>
          <w:rFonts w:ascii="Arial" w:hAnsi="Arial" w:cs="Arial"/>
          <w:sz w:val="22"/>
          <w:szCs w:val="22"/>
          <w:lang w:val="en-GB"/>
        </w:rPr>
      </w:pPr>
    </w:p>
    <w:p w14:paraId="637F57E9" w14:textId="4D8A68C0" w:rsidR="00BC6A0E" w:rsidRPr="003567D3" w:rsidRDefault="00BC6A0E" w:rsidP="003567D3">
      <w:pPr>
        <w:spacing w:line="276" w:lineRule="auto"/>
        <w:rPr>
          <w:rFonts w:ascii="Arial" w:hAnsi="Arial" w:cs="Arial"/>
          <w:sz w:val="22"/>
          <w:szCs w:val="22"/>
          <w:lang w:val="en-GB"/>
        </w:rPr>
      </w:pPr>
      <w:r w:rsidRPr="003567D3">
        <w:rPr>
          <w:rFonts w:ascii="Arial" w:hAnsi="Arial" w:cs="Arial"/>
          <w:sz w:val="22"/>
          <w:szCs w:val="22"/>
          <w:lang w:val="en-GB"/>
        </w:rPr>
        <w:tab/>
      </w:r>
      <w:r w:rsidR="00A52461" w:rsidRPr="003567D3">
        <w:rPr>
          <w:rFonts w:ascii="Arial" w:hAnsi="Arial" w:cs="Arial"/>
          <w:sz w:val="22"/>
          <w:szCs w:val="22"/>
          <w:lang w:val="en-GB"/>
        </w:rPr>
        <w:t>In addition to the theoretical implications of Evans-Pritchard’s study of time and causation, subsequent and contemporary</w:t>
      </w:r>
      <w:r w:rsidRPr="003567D3">
        <w:rPr>
          <w:rFonts w:ascii="Arial" w:hAnsi="Arial" w:cs="Arial"/>
          <w:sz w:val="22"/>
          <w:szCs w:val="22"/>
          <w:lang w:val="en-GB"/>
        </w:rPr>
        <w:t xml:space="preserve"> scholarship </w:t>
      </w:r>
      <w:r w:rsidR="00A52461" w:rsidRPr="003567D3">
        <w:rPr>
          <w:rFonts w:ascii="Arial" w:hAnsi="Arial" w:cs="Arial"/>
          <w:sz w:val="22"/>
          <w:szCs w:val="22"/>
          <w:lang w:val="en-GB"/>
        </w:rPr>
        <w:t xml:space="preserve">continues to leverage his insights to more effectively study </w:t>
      </w:r>
      <w:r w:rsidRPr="003567D3">
        <w:rPr>
          <w:rFonts w:ascii="Arial" w:hAnsi="Arial" w:cs="Arial"/>
          <w:sz w:val="22"/>
          <w:szCs w:val="22"/>
          <w:lang w:val="en-GB"/>
        </w:rPr>
        <w:t xml:space="preserve">mystical and religious experiences </w:t>
      </w:r>
      <w:r w:rsidR="00A52461" w:rsidRPr="003567D3">
        <w:rPr>
          <w:rFonts w:ascii="Arial" w:hAnsi="Arial" w:cs="Arial"/>
          <w:sz w:val="22"/>
          <w:szCs w:val="22"/>
          <w:lang w:val="en-GB"/>
        </w:rPr>
        <w:t>through emic frameworks</w:t>
      </w:r>
      <w:r w:rsidRPr="003567D3">
        <w:rPr>
          <w:rFonts w:ascii="Arial" w:hAnsi="Arial" w:cs="Arial"/>
          <w:sz w:val="22"/>
          <w:szCs w:val="22"/>
          <w:lang w:val="en-GB"/>
        </w:rPr>
        <w:t>. In constructing a fieldwork model for studying individual and collective accounts of anomalous psi phenomena, Fangrad, Fehr, and Laursen found that cultivating empathy and shared experience with research subjects is key to producing research that advanced understanding of the phenomenon.</w:t>
      </w:r>
      <w:r w:rsidRPr="003567D3">
        <w:rPr>
          <w:rStyle w:val="FootnoteReference"/>
          <w:rFonts w:ascii="Arial" w:hAnsi="Arial" w:cs="Arial"/>
          <w:sz w:val="22"/>
          <w:szCs w:val="22"/>
          <w:lang w:val="en-GB"/>
        </w:rPr>
        <w:footnoteReference w:id="13"/>
      </w:r>
      <w:r w:rsidRPr="003567D3">
        <w:rPr>
          <w:rFonts w:ascii="Arial" w:hAnsi="Arial" w:cs="Arial"/>
          <w:sz w:val="22"/>
          <w:szCs w:val="22"/>
          <w:lang w:val="en-GB"/>
        </w:rPr>
        <w:t xml:space="preserve"> Furthermore, referencing Michael Ripoll’s work to support veteran firefighters of the 9/11 terrorist attacks, they assert that </w:t>
      </w:r>
      <w:r w:rsidR="00A84CBE" w:rsidRPr="003567D3">
        <w:rPr>
          <w:rFonts w:ascii="Arial" w:hAnsi="Arial" w:cs="Arial"/>
          <w:sz w:val="22"/>
          <w:szCs w:val="22"/>
          <w:lang w:val="en-GB"/>
        </w:rPr>
        <w:t>‘</w:t>
      </w:r>
      <w:r w:rsidRPr="003567D3">
        <w:rPr>
          <w:rFonts w:ascii="Arial" w:hAnsi="Arial" w:cs="Arial"/>
          <w:sz w:val="22"/>
          <w:szCs w:val="22"/>
          <w:lang w:val="en-GB"/>
        </w:rPr>
        <w:t xml:space="preserve">emic (or insider) approaches are most effective in gaining access to, effectively sharing, and </w:t>
      </w:r>
      <w:proofErr w:type="spellStart"/>
      <w:r w:rsidRPr="003567D3">
        <w:rPr>
          <w:rFonts w:ascii="Arial" w:hAnsi="Arial" w:cs="Arial"/>
          <w:sz w:val="22"/>
          <w:szCs w:val="22"/>
          <w:lang w:val="en-GB"/>
        </w:rPr>
        <w:t>analyzing</w:t>
      </w:r>
      <w:proofErr w:type="spellEnd"/>
      <w:r w:rsidRPr="003567D3">
        <w:rPr>
          <w:rFonts w:ascii="Arial" w:hAnsi="Arial" w:cs="Arial"/>
          <w:sz w:val="22"/>
          <w:szCs w:val="22"/>
          <w:lang w:val="en-GB"/>
        </w:rPr>
        <w:t xml:space="preserve"> personal experiences that are otherwise inaccessible</w:t>
      </w:r>
      <w:r w:rsidR="00A84CBE" w:rsidRPr="003567D3">
        <w:rPr>
          <w:rFonts w:ascii="Arial" w:hAnsi="Arial" w:cs="Arial"/>
          <w:sz w:val="22"/>
          <w:szCs w:val="22"/>
          <w:lang w:val="en-GB"/>
        </w:rPr>
        <w:t>’</w:t>
      </w:r>
      <w:r w:rsidRPr="003567D3">
        <w:rPr>
          <w:rFonts w:ascii="Arial" w:hAnsi="Arial" w:cs="Arial"/>
          <w:sz w:val="22"/>
          <w:szCs w:val="22"/>
          <w:lang w:val="en-GB"/>
        </w:rPr>
        <w:t xml:space="preserve"> within a closed, reluctant, or tight-knit community.</w:t>
      </w:r>
      <w:r w:rsidRPr="003567D3">
        <w:rPr>
          <w:rStyle w:val="FootnoteReference"/>
          <w:rFonts w:ascii="Arial" w:hAnsi="Arial" w:cs="Arial"/>
          <w:sz w:val="22"/>
          <w:szCs w:val="22"/>
          <w:lang w:val="en-GB"/>
        </w:rPr>
        <w:footnoteReference w:id="14"/>
      </w:r>
      <w:r w:rsidRPr="003567D3">
        <w:rPr>
          <w:rFonts w:ascii="Arial" w:hAnsi="Arial" w:cs="Arial"/>
          <w:sz w:val="22"/>
          <w:szCs w:val="22"/>
          <w:lang w:val="en-GB"/>
        </w:rPr>
        <w:t xml:space="preserve"> </w:t>
      </w:r>
    </w:p>
    <w:p w14:paraId="203AE62A" w14:textId="0E9CAB02" w:rsidR="00B704FC" w:rsidRPr="003567D3" w:rsidRDefault="00B704FC" w:rsidP="003567D3">
      <w:pPr>
        <w:spacing w:line="276" w:lineRule="auto"/>
        <w:rPr>
          <w:rFonts w:ascii="Arial" w:hAnsi="Arial" w:cs="Arial"/>
          <w:sz w:val="22"/>
          <w:szCs w:val="22"/>
          <w:lang w:val="en-GB"/>
        </w:rPr>
      </w:pPr>
    </w:p>
    <w:p w14:paraId="757C4C52" w14:textId="7D06D5F2" w:rsidR="00B704FC" w:rsidRPr="003567D3" w:rsidRDefault="00B704FC" w:rsidP="003567D3">
      <w:pPr>
        <w:spacing w:line="276" w:lineRule="auto"/>
        <w:rPr>
          <w:rFonts w:ascii="Arial" w:hAnsi="Arial" w:cs="Arial"/>
          <w:sz w:val="22"/>
          <w:szCs w:val="22"/>
          <w:lang w:val="en-GB"/>
        </w:rPr>
      </w:pPr>
      <w:r w:rsidRPr="003567D3">
        <w:rPr>
          <w:rFonts w:ascii="Arial" w:hAnsi="Arial" w:cs="Arial"/>
          <w:sz w:val="22"/>
          <w:szCs w:val="22"/>
          <w:lang w:val="en-GB"/>
        </w:rPr>
        <w:tab/>
      </w:r>
      <w:r w:rsidR="0003764B" w:rsidRPr="003567D3">
        <w:rPr>
          <w:rFonts w:ascii="Arial" w:hAnsi="Arial" w:cs="Arial"/>
          <w:sz w:val="22"/>
          <w:szCs w:val="22"/>
          <w:lang w:val="en-GB"/>
        </w:rPr>
        <w:t>In addition to what an emic approach can reveal of and within a given people, it’s also important to understand its inherent limitations. In discussing the merits of emic scholarship, Evans-Pritchard acknowledges</w:t>
      </w:r>
      <w:r w:rsidRPr="003567D3">
        <w:rPr>
          <w:rFonts w:ascii="Arial" w:hAnsi="Arial" w:cs="Arial"/>
          <w:sz w:val="22"/>
          <w:szCs w:val="22"/>
          <w:lang w:val="en-GB"/>
        </w:rPr>
        <w:t xml:space="preserve"> that </w:t>
      </w:r>
      <w:r w:rsidR="00A84CBE" w:rsidRPr="003567D3">
        <w:rPr>
          <w:rFonts w:ascii="Arial" w:hAnsi="Arial" w:cs="Arial"/>
          <w:sz w:val="22"/>
          <w:szCs w:val="22"/>
          <w:lang w:val="en-GB"/>
        </w:rPr>
        <w:t>‘</w:t>
      </w:r>
      <w:r w:rsidRPr="003567D3">
        <w:rPr>
          <w:rFonts w:ascii="Arial" w:hAnsi="Arial" w:cs="Arial"/>
          <w:sz w:val="22"/>
          <w:szCs w:val="22"/>
          <w:lang w:val="en-GB"/>
        </w:rPr>
        <w:t>there is a certain pretence in such attempts at participation [for] one cannot really become a Zande or a Nuer or a Bedouin Arab.</w:t>
      </w:r>
      <w:r w:rsidR="00A84CBE" w:rsidRPr="003567D3">
        <w:rPr>
          <w:rFonts w:ascii="Arial" w:hAnsi="Arial" w:cs="Arial"/>
          <w:sz w:val="22"/>
          <w:szCs w:val="22"/>
          <w:lang w:val="en-GB"/>
        </w:rPr>
        <w:t>’</w:t>
      </w:r>
      <w:r w:rsidR="0003764B" w:rsidRPr="003567D3">
        <w:rPr>
          <w:rStyle w:val="FootnoteReference"/>
          <w:rFonts w:ascii="Arial" w:hAnsi="Arial" w:cs="Arial"/>
          <w:sz w:val="22"/>
          <w:szCs w:val="22"/>
          <w:lang w:val="en-GB"/>
        </w:rPr>
        <w:footnoteReference w:id="15"/>
      </w:r>
      <w:r w:rsidRPr="003567D3">
        <w:rPr>
          <w:rFonts w:ascii="Arial" w:hAnsi="Arial" w:cs="Arial"/>
          <w:sz w:val="22"/>
          <w:szCs w:val="22"/>
          <w:lang w:val="en-GB"/>
        </w:rPr>
        <w:t xml:space="preserve"> Even for the most adept anthropologist, cultural immersion is asymptotic</w:t>
      </w:r>
      <w:r w:rsidR="0003764B" w:rsidRPr="003567D3">
        <w:rPr>
          <w:rFonts w:ascii="Arial" w:hAnsi="Arial" w:cs="Arial"/>
          <w:sz w:val="22"/>
          <w:szCs w:val="22"/>
          <w:lang w:val="en-GB"/>
        </w:rPr>
        <w:t xml:space="preserve"> in that even if one was to make perpetual inroads into immersing within another culture, the goal can never be fully realized.</w:t>
      </w:r>
    </w:p>
    <w:p w14:paraId="275C8074" w14:textId="77777777" w:rsidR="00BC6A0E" w:rsidRPr="003567D3" w:rsidRDefault="00BC6A0E" w:rsidP="003567D3">
      <w:pPr>
        <w:spacing w:line="276" w:lineRule="auto"/>
        <w:rPr>
          <w:rFonts w:ascii="Arial" w:hAnsi="Arial" w:cs="Arial"/>
          <w:sz w:val="22"/>
          <w:szCs w:val="22"/>
          <w:lang w:val="en-GB"/>
        </w:rPr>
      </w:pPr>
      <w:r w:rsidRPr="003567D3">
        <w:rPr>
          <w:rFonts w:ascii="Arial" w:hAnsi="Arial" w:cs="Arial"/>
          <w:sz w:val="22"/>
          <w:szCs w:val="22"/>
          <w:lang w:val="en-GB"/>
        </w:rPr>
        <w:tab/>
      </w:r>
    </w:p>
    <w:p w14:paraId="11BBA5CC" w14:textId="749EE1A0" w:rsidR="00B7255A" w:rsidRPr="003567D3" w:rsidRDefault="0003764B"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This begs the question: </w:t>
      </w:r>
      <w:r w:rsidR="007255D2" w:rsidRPr="003567D3">
        <w:rPr>
          <w:rFonts w:ascii="Arial" w:hAnsi="Arial" w:cs="Arial"/>
          <w:sz w:val="22"/>
          <w:szCs w:val="22"/>
          <w:lang w:val="en-GB"/>
        </w:rPr>
        <w:t>how might an emic approach be relevant to studying divination and religion in a dead culture? One answer is that</w:t>
      </w:r>
      <w:r w:rsidRPr="003567D3">
        <w:rPr>
          <w:rFonts w:ascii="Arial" w:hAnsi="Arial" w:cs="Arial"/>
          <w:sz w:val="22"/>
          <w:szCs w:val="22"/>
          <w:lang w:val="en-GB"/>
        </w:rPr>
        <w:t xml:space="preserve"> knowledge of its limitations </w:t>
      </w:r>
      <w:r w:rsidR="007255D2" w:rsidRPr="003567D3">
        <w:rPr>
          <w:rFonts w:ascii="Arial" w:hAnsi="Arial" w:cs="Arial"/>
          <w:sz w:val="22"/>
          <w:szCs w:val="22"/>
          <w:lang w:val="en-GB"/>
        </w:rPr>
        <w:t xml:space="preserve">reinforces academic integrity by reminding contemporary scholars of what we </w:t>
      </w:r>
      <w:r w:rsidR="007255D2" w:rsidRPr="003567D3">
        <w:rPr>
          <w:rFonts w:ascii="Arial" w:hAnsi="Arial" w:cs="Arial"/>
          <w:i/>
          <w:iCs/>
          <w:sz w:val="22"/>
          <w:szCs w:val="22"/>
          <w:lang w:val="en-GB"/>
        </w:rPr>
        <w:t>can’t</w:t>
      </w:r>
      <w:r w:rsidR="007255D2" w:rsidRPr="003567D3">
        <w:rPr>
          <w:rFonts w:ascii="Arial" w:hAnsi="Arial" w:cs="Arial"/>
          <w:sz w:val="22"/>
          <w:szCs w:val="22"/>
          <w:lang w:val="en-GB"/>
        </w:rPr>
        <w:t xml:space="preserve"> know</w:t>
      </w:r>
      <w:r w:rsidR="00DB666B" w:rsidRPr="003567D3">
        <w:rPr>
          <w:rFonts w:ascii="Arial" w:hAnsi="Arial" w:cs="Arial"/>
          <w:sz w:val="22"/>
          <w:szCs w:val="22"/>
          <w:lang w:val="en-GB"/>
        </w:rPr>
        <w:t xml:space="preserve"> beyond a theoretical context</w:t>
      </w:r>
      <w:r w:rsidR="007255D2" w:rsidRPr="003567D3">
        <w:rPr>
          <w:rFonts w:ascii="Arial" w:hAnsi="Arial" w:cs="Arial"/>
          <w:sz w:val="22"/>
          <w:szCs w:val="22"/>
          <w:lang w:val="en-GB"/>
        </w:rPr>
        <w:t xml:space="preserve">. In his writings, Evans-Pritchard </w:t>
      </w:r>
      <w:r w:rsidR="004F7E49" w:rsidRPr="003567D3">
        <w:rPr>
          <w:rFonts w:ascii="Arial" w:hAnsi="Arial" w:cs="Arial"/>
          <w:sz w:val="22"/>
          <w:szCs w:val="22"/>
          <w:lang w:val="en-GB"/>
        </w:rPr>
        <w:t>reassures his readers that t</w:t>
      </w:r>
      <w:r w:rsidR="004F7E49" w:rsidRPr="003567D3">
        <w:rPr>
          <w:rFonts w:ascii="Arial" w:hAnsi="Arial" w:cs="Arial"/>
          <w:sz w:val="22"/>
          <w:szCs w:val="22"/>
          <w:lang w:val="en-GB"/>
        </w:rPr>
        <w:t xml:space="preserve">he </w:t>
      </w:r>
      <w:r w:rsidR="00330202" w:rsidRPr="003567D3">
        <w:rPr>
          <w:rFonts w:ascii="Arial" w:hAnsi="Arial" w:cs="Arial"/>
          <w:sz w:val="22"/>
          <w:szCs w:val="22"/>
          <w:lang w:val="en-GB"/>
        </w:rPr>
        <w:t>‘</w:t>
      </w:r>
      <w:r w:rsidR="004F7E49" w:rsidRPr="003567D3">
        <w:rPr>
          <w:rFonts w:ascii="Arial" w:hAnsi="Arial" w:cs="Arial"/>
          <w:sz w:val="22"/>
          <w:szCs w:val="22"/>
          <w:lang w:val="en-GB"/>
        </w:rPr>
        <w:t>Zande oracle is not much more difficult to understand than the Delphic Oracle</w:t>
      </w:r>
      <w:r w:rsidR="004F7E49" w:rsidRPr="003567D3">
        <w:rPr>
          <w:rFonts w:ascii="Arial" w:hAnsi="Arial" w:cs="Arial"/>
          <w:sz w:val="22"/>
          <w:szCs w:val="22"/>
          <w:lang w:val="en-GB"/>
        </w:rPr>
        <w:t>,</w:t>
      </w:r>
      <w:r w:rsidR="00330202" w:rsidRPr="003567D3">
        <w:rPr>
          <w:rFonts w:ascii="Arial" w:hAnsi="Arial" w:cs="Arial"/>
          <w:sz w:val="22"/>
          <w:szCs w:val="22"/>
          <w:lang w:val="en-GB"/>
        </w:rPr>
        <w:t>’</w:t>
      </w:r>
      <w:r w:rsidR="004F7E49" w:rsidRPr="003567D3">
        <w:rPr>
          <w:rFonts w:ascii="Arial" w:hAnsi="Arial" w:cs="Arial"/>
          <w:sz w:val="22"/>
          <w:szCs w:val="22"/>
          <w:lang w:val="en-GB"/>
        </w:rPr>
        <w:t xml:space="preserve"> </w:t>
      </w:r>
      <w:r w:rsidR="004F7E49" w:rsidRPr="003567D3">
        <w:rPr>
          <w:rFonts w:ascii="Arial" w:hAnsi="Arial" w:cs="Arial"/>
          <w:sz w:val="22"/>
          <w:szCs w:val="22"/>
          <w:lang w:val="en-GB"/>
        </w:rPr>
        <w:t>but this seems to be a flippant and unhelpful half-truth when contrasted with the reality that the Oracle at Delphi has been closed to first-hand and communal experience for centuries.</w:t>
      </w:r>
      <w:r w:rsidR="004F7E49" w:rsidRPr="003567D3">
        <w:rPr>
          <w:rStyle w:val="FootnoteReference"/>
          <w:rFonts w:ascii="Arial" w:hAnsi="Arial" w:cs="Arial"/>
          <w:sz w:val="22"/>
          <w:szCs w:val="22"/>
          <w:lang w:val="en-GB"/>
        </w:rPr>
        <w:footnoteReference w:id="16"/>
      </w:r>
      <w:r w:rsidR="004F7E49" w:rsidRPr="003567D3">
        <w:rPr>
          <w:rFonts w:ascii="Arial" w:hAnsi="Arial" w:cs="Arial"/>
          <w:sz w:val="22"/>
          <w:szCs w:val="22"/>
          <w:lang w:val="en-GB"/>
        </w:rPr>
        <w:t xml:space="preserve"> </w:t>
      </w:r>
      <w:r w:rsidR="005845D9" w:rsidRPr="003567D3">
        <w:rPr>
          <w:rFonts w:ascii="Arial" w:hAnsi="Arial" w:cs="Arial"/>
          <w:sz w:val="22"/>
          <w:szCs w:val="22"/>
          <w:lang w:val="en-GB"/>
        </w:rPr>
        <w:t>In absence of being able to directly consult the oracles of Ancient Greece</w:t>
      </w:r>
      <w:r w:rsidR="00330202" w:rsidRPr="003567D3">
        <w:rPr>
          <w:rFonts w:ascii="Arial" w:hAnsi="Arial" w:cs="Arial"/>
          <w:sz w:val="22"/>
          <w:szCs w:val="22"/>
          <w:lang w:val="en-GB"/>
        </w:rPr>
        <w:t>,</w:t>
      </w:r>
      <w:r w:rsidR="005845D9" w:rsidRPr="003567D3">
        <w:rPr>
          <w:rFonts w:ascii="Arial" w:hAnsi="Arial" w:cs="Arial"/>
          <w:sz w:val="22"/>
          <w:szCs w:val="22"/>
          <w:lang w:val="en-GB"/>
        </w:rPr>
        <w:t xml:space="preserve"> </w:t>
      </w:r>
      <w:r w:rsidR="00330202" w:rsidRPr="003567D3">
        <w:rPr>
          <w:rFonts w:ascii="Arial" w:hAnsi="Arial" w:cs="Arial"/>
          <w:sz w:val="22"/>
          <w:szCs w:val="22"/>
          <w:lang w:val="en-GB"/>
        </w:rPr>
        <w:t xml:space="preserve">interpret auspices alongside </w:t>
      </w:r>
      <w:r w:rsidR="005845D9" w:rsidRPr="003567D3">
        <w:rPr>
          <w:rFonts w:ascii="Arial" w:hAnsi="Arial" w:cs="Arial"/>
          <w:sz w:val="22"/>
          <w:szCs w:val="22"/>
          <w:lang w:val="en-GB"/>
        </w:rPr>
        <w:t xml:space="preserve">imperial Roman </w:t>
      </w:r>
      <w:r w:rsidR="005845D9" w:rsidRPr="003567D3">
        <w:rPr>
          <w:rFonts w:ascii="Arial" w:hAnsi="Arial" w:cs="Arial"/>
          <w:sz w:val="22"/>
          <w:szCs w:val="22"/>
          <w:lang w:val="en-GB"/>
        </w:rPr>
        <w:lastRenderedPageBreak/>
        <w:t xml:space="preserve">augurs, or </w:t>
      </w:r>
      <w:r w:rsidRPr="003567D3">
        <w:rPr>
          <w:rFonts w:ascii="Arial" w:hAnsi="Arial" w:cs="Arial"/>
          <w:sz w:val="22"/>
          <w:szCs w:val="22"/>
          <w:lang w:val="en-GB"/>
        </w:rPr>
        <w:t xml:space="preserve">to </w:t>
      </w:r>
      <w:r w:rsidR="005845D9" w:rsidRPr="003567D3">
        <w:rPr>
          <w:rFonts w:ascii="Arial" w:hAnsi="Arial" w:cs="Arial"/>
          <w:sz w:val="22"/>
          <w:szCs w:val="22"/>
          <w:lang w:val="en-GB"/>
        </w:rPr>
        <w:t xml:space="preserve">share religious rites alongside anyone else in antiquity, contemporary scholars must resist the temptation to map our experiences, cosmologies, or (mis)interpretations onto cultures we cannot possibly engage with.  </w:t>
      </w:r>
    </w:p>
    <w:p w14:paraId="2D3D8FF6" w14:textId="77777777" w:rsidR="003D2C7F" w:rsidRPr="003567D3" w:rsidRDefault="003D2C7F" w:rsidP="003567D3">
      <w:pPr>
        <w:spacing w:line="276" w:lineRule="auto"/>
        <w:ind w:firstLine="720"/>
        <w:rPr>
          <w:rFonts w:ascii="Arial" w:hAnsi="Arial" w:cs="Arial"/>
          <w:sz w:val="22"/>
          <w:szCs w:val="22"/>
          <w:lang w:val="en-GB"/>
        </w:rPr>
      </w:pPr>
    </w:p>
    <w:p w14:paraId="74E5F9AE" w14:textId="35A883C5" w:rsidR="00B7255A" w:rsidRPr="003567D3" w:rsidRDefault="005845D9"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The discussion surrounding the many opportunities and limitations of emic research as it applies to historical ethnography has contributed to the creation of </w:t>
      </w:r>
      <w:r w:rsidR="00111CAD" w:rsidRPr="003567D3">
        <w:rPr>
          <w:rFonts w:ascii="Arial" w:hAnsi="Arial" w:cs="Arial"/>
          <w:sz w:val="22"/>
          <w:szCs w:val="22"/>
          <w:lang w:val="en-GB"/>
        </w:rPr>
        <w:t>the emerging</w:t>
      </w:r>
      <w:r w:rsidRPr="003567D3">
        <w:rPr>
          <w:rFonts w:ascii="Arial" w:hAnsi="Arial" w:cs="Arial"/>
          <w:sz w:val="22"/>
          <w:szCs w:val="22"/>
          <w:lang w:val="en-GB"/>
        </w:rPr>
        <w:t xml:space="preserve"> field of Classical Reception Studies. </w:t>
      </w:r>
      <w:r w:rsidR="00111CAD" w:rsidRPr="003567D3">
        <w:rPr>
          <w:rFonts w:ascii="Arial" w:hAnsi="Arial" w:cs="Arial"/>
          <w:sz w:val="22"/>
          <w:szCs w:val="22"/>
          <w:lang w:val="en-GB"/>
        </w:rPr>
        <w:t>As Thomas Jenkins defines it</w:t>
      </w:r>
      <w:r w:rsidR="00B7255A" w:rsidRPr="003567D3">
        <w:rPr>
          <w:rFonts w:ascii="Arial" w:hAnsi="Arial" w:cs="Arial"/>
          <w:sz w:val="22"/>
          <w:szCs w:val="22"/>
          <w:lang w:val="en-GB"/>
        </w:rPr>
        <w:t xml:space="preserve">: </w:t>
      </w:r>
    </w:p>
    <w:p w14:paraId="1CD3E446" w14:textId="77777777" w:rsidR="00B7255A" w:rsidRPr="003567D3" w:rsidRDefault="00B7255A" w:rsidP="003567D3">
      <w:pPr>
        <w:spacing w:line="276" w:lineRule="auto"/>
        <w:ind w:firstLine="720"/>
        <w:rPr>
          <w:rFonts w:ascii="Arial" w:hAnsi="Arial" w:cs="Arial"/>
          <w:sz w:val="22"/>
          <w:szCs w:val="22"/>
          <w:lang w:val="en-GB"/>
        </w:rPr>
      </w:pPr>
    </w:p>
    <w:p w14:paraId="025E9759" w14:textId="410DF7AC" w:rsidR="00B7255A" w:rsidRPr="003567D3" w:rsidRDefault="00111CAD" w:rsidP="003567D3">
      <w:pPr>
        <w:spacing w:line="276" w:lineRule="auto"/>
        <w:ind w:left="1440" w:right="1440"/>
        <w:rPr>
          <w:rFonts w:ascii="Arial" w:hAnsi="Arial" w:cs="Arial"/>
          <w:sz w:val="22"/>
          <w:szCs w:val="22"/>
          <w:lang w:val="en-GB"/>
        </w:rPr>
      </w:pPr>
      <w:r w:rsidRPr="003567D3">
        <w:rPr>
          <w:rFonts w:ascii="Arial" w:hAnsi="Arial" w:cs="Arial"/>
          <w:sz w:val="22"/>
          <w:szCs w:val="22"/>
          <w:lang w:val="en-GB"/>
        </w:rPr>
        <w:t xml:space="preserve">this field analyses </w:t>
      </w:r>
      <w:r w:rsidRPr="003567D3">
        <w:rPr>
          <w:rFonts w:ascii="Arial" w:hAnsi="Arial" w:cs="Arial"/>
          <w:sz w:val="22"/>
          <w:szCs w:val="22"/>
          <w:lang w:val="en-GB"/>
        </w:rPr>
        <w:t xml:space="preserve">not Classical Antiquity per se—a geography bounded by time and space and material culture—but the diachronic </w:t>
      </w:r>
      <w:r w:rsidRPr="003567D3">
        <w:rPr>
          <w:rFonts w:ascii="Arial" w:hAnsi="Arial" w:cs="Arial"/>
          <w:i/>
          <w:iCs/>
          <w:sz w:val="22"/>
          <w:szCs w:val="22"/>
          <w:lang w:val="en-GB"/>
        </w:rPr>
        <w:t>idea</w:t>
      </w:r>
      <w:r w:rsidRPr="003567D3">
        <w:rPr>
          <w:rFonts w:ascii="Arial" w:hAnsi="Arial" w:cs="Arial"/>
          <w:sz w:val="22"/>
          <w:szCs w:val="22"/>
          <w:lang w:val="en-GB"/>
        </w:rPr>
        <w:t xml:space="preserve"> of ‘Classical Antiquity</w:t>
      </w:r>
      <w:r w:rsidRPr="003567D3">
        <w:rPr>
          <w:rFonts w:ascii="Arial" w:hAnsi="Arial" w:cs="Arial"/>
          <w:sz w:val="22"/>
          <w:szCs w:val="22"/>
          <w:lang w:val="en-GB"/>
        </w:rPr>
        <w:t>,</w:t>
      </w:r>
      <w:r w:rsidRPr="003567D3">
        <w:rPr>
          <w:rFonts w:ascii="Arial" w:hAnsi="Arial" w:cs="Arial"/>
          <w:sz w:val="22"/>
          <w:szCs w:val="22"/>
          <w:lang w:val="en-GB"/>
        </w:rPr>
        <w:t>’</w:t>
      </w:r>
      <w:r w:rsidRPr="003567D3">
        <w:rPr>
          <w:rFonts w:ascii="Arial" w:hAnsi="Arial" w:cs="Arial"/>
          <w:sz w:val="22"/>
          <w:szCs w:val="22"/>
          <w:lang w:val="en-GB"/>
        </w:rPr>
        <w:t xml:space="preserve"> a type of narrative fractal</w:t>
      </w:r>
      <w:r w:rsidR="00B7255A" w:rsidRPr="003567D3">
        <w:rPr>
          <w:rFonts w:ascii="Arial" w:hAnsi="Arial" w:cs="Arial"/>
          <w:sz w:val="22"/>
          <w:szCs w:val="22"/>
          <w:lang w:val="en-GB"/>
        </w:rPr>
        <w:t xml:space="preserve"> [</w:t>
      </w:r>
      <w:r w:rsidR="00E75D50" w:rsidRPr="003567D3">
        <w:rPr>
          <w:rFonts w:ascii="Arial" w:hAnsi="Arial" w:cs="Arial"/>
          <w:sz w:val="22"/>
          <w:szCs w:val="22"/>
          <w:lang w:val="en-GB"/>
        </w:rPr>
        <w:t>which</w:t>
      </w:r>
      <w:r w:rsidR="00B7255A" w:rsidRPr="003567D3">
        <w:rPr>
          <w:rFonts w:ascii="Arial" w:hAnsi="Arial" w:cs="Arial"/>
          <w:sz w:val="22"/>
          <w:szCs w:val="22"/>
          <w:lang w:val="en-GB"/>
        </w:rPr>
        <w:t xml:space="preserve">] </w:t>
      </w:r>
      <w:r w:rsidR="007B4B1E" w:rsidRPr="003567D3">
        <w:rPr>
          <w:rFonts w:ascii="Arial" w:hAnsi="Arial" w:cs="Arial"/>
          <w:iCs/>
          <w:sz w:val="22"/>
          <w:szCs w:val="22"/>
          <w:lang w:val="en-GB"/>
        </w:rPr>
        <w:t xml:space="preserve">reveals a ‘classical antiquity’ that reconfigures itself daily, as modernity explains itself to itself </w:t>
      </w:r>
      <w:r w:rsidR="00B7255A" w:rsidRPr="003567D3">
        <w:rPr>
          <w:rFonts w:ascii="Arial" w:hAnsi="Arial" w:cs="Arial"/>
          <w:iCs/>
          <w:sz w:val="22"/>
          <w:szCs w:val="22"/>
          <w:lang w:val="en-GB"/>
        </w:rPr>
        <w:t>[by conducting]</w:t>
      </w:r>
      <w:r w:rsidR="007B4B1E" w:rsidRPr="003567D3">
        <w:rPr>
          <w:rFonts w:ascii="Arial" w:hAnsi="Arial" w:cs="Arial"/>
          <w:iCs/>
          <w:sz w:val="22"/>
          <w:szCs w:val="22"/>
          <w:lang w:val="en-GB"/>
        </w:rPr>
        <w:t xml:space="preserve"> surgical strikes on the art, history, and science of the ancient world</w:t>
      </w:r>
      <w:r w:rsidR="00B7255A" w:rsidRPr="003567D3">
        <w:rPr>
          <w:rFonts w:ascii="Arial" w:hAnsi="Arial" w:cs="Arial"/>
          <w:sz w:val="22"/>
          <w:szCs w:val="22"/>
          <w:lang w:val="en-GB"/>
        </w:rPr>
        <w:t>.</w:t>
      </w:r>
      <w:r w:rsidRPr="003567D3">
        <w:rPr>
          <w:rStyle w:val="FootnoteReference"/>
          <w:rFonts w:ascii="Arial" w:hAnsi="Arial" w:cs="Arial"/>
          <w:sz w:val="22"/>
          <w:szCs w:val="22"/>
          <w:lang w:val="en-GB"/>
        </w:rPr>
        <w:footnoteReference w:id="17"/>
      </w:r>
    </w:p>
    <w:p w14:paraId="289033EE" w14:textId="77777777" w:rsidR="00B7255A" w:rsidRPr="003567D3" w:rsidRDefault="00B7255A" w:rsidP="003567D3">
      <w:pPr>
        <w:spacing w:line="276" w:lineRule="auto"/>
        <w:ind w:right="720"/>
        <w:rPr>
          <w:rFonts w:ascii="Arial" w:hAnsi="Arial" w:cs="Arial"/>
          <w:sz w:val="22"/>
          <w:szCs w:val="22"/>
          <w:lang w:val="en-GB"/>
        </w:rPr>
      </w:pPr>
    </w:p>
    <w:p w14:paraId="466F6D9D" w14:textId="5F26742B" w:rsidR="006D4CEB" w:rsidRPr="003567D3" w:rsidRDefault="00B7255A" w:rsidP="003567D3">
      <w:pPr>
        <w:spacing w:line="276" w:lineRule="auto"/>
        <w:ind w:right="720"/>
        <w:rPr>
          <w:rFonts w:ascii="Arial" w:hAnsi="Arial" w:cs="Arial"/>
          <w:color w:val="000000" w:themeColor="text1"/>
          <w:sz w:val="22"/>
          <w:szCs w:val="22"/>
          <w:lang w:val="en-GB"/>
        </w:rPr>
      </w:pPr>
      <w:r w:rsidRPr="003567D3">
        <w:rPr>
          <w:rFonts w:ascii="Arial" w:hAnsi="Arial" w:cs="Arial"/>
          <w:sz w:val="22"/>
          <w:szCs w:val="22"/>
          <w:lang w:val="en-GB"/>
        </w:rPr>
        <w:t xml:space="preserve">In exploring the fraught and problematic ways in which contemporary thinkers </w:t>
      </w:r>
      <w:r w:rsidR="00E75D50" w:rsidRPr="003567D3">
        <w:rPr>
          <w:rFonts w:ascii="Arial" w:hAnsi="Arial" w:cs="Arial"/>
          <w:sz w:val="22"/>
          <w:szCs w:val="22"/>
          <w:lang w:val="en-GB"/>
        </w:rPr>
        <w:t>identify with and subsequently shape conceptions of</w:t>
      </w:r>
      <w:r w:rsidRPr="003567D3">
        <w:rPr>
          <w:rFonts w:ascii="Arial" w:hAnsi="Arial" w:cs="Arial"/>
          <w:sz w:val="22"/>
          <w:szCs w:val="22"/>
          <w:lang w:val="en-GB"/>
        </w:rPr>
        <w:t xml:space="preserve"> antiquity </w:t>
      </w:r>
      <w:r w:rsidR="00E75D50" w:rsidRPr="003567D3">
        <w:rPr>
          <w:rFonts w:ascii="Arial" w:hAnsi="Arial" w:cs="Arial"/>
          <w:sz w:val="22"/>
          <w:szCs w:val="22"/>
          <w:lang w:val="en-GB"/>
        </w:rPr>
        <w:t xml:space="preserve">to suit their preconceptions, goals, and motivations, </w:t>
      </w:r>
      <w:r w:rsidRPr="003567D3">
        <w:rPr>
          <w:rFonts w:ascii="Arial" w:hAnsi="Arial" w:cs="Arial"/>
          <w:sz w:val="22"/>
          <w:szCs w:val="22"/>
          <w:lang w:val="en-GB"/>
        </w:rPr>
        <w:t xml:space="preserve">Jenkins highlights the inherent </w:t>
      </w:r>
      <w:r w:rsidR="00E75D50" w:rsidRPr="003567D3">
        <w:rPr>
          <w:rFonts w:ascii="Arial" w:hAnsi="Arial" w:cs="Arial"/>
          <w:sz w:val="22"/>
          <w:szCs w:val="22"/>
          <w:lang w:val="en-GB"/>
        </w:rPr>
        <w:t>danger</w:t>
      </w:r>
      <w:r w:rsidRPr="003567D3">
        <w:rPr>
          <w:rFonts w:ascii="Arial" w:hAnsi="Arial" w:cs="Arial"/>
          <w:sz w:val="22"/>
          <w:szCs w:val="22"/>
          <w:lang w:val="en-GB"/>
        </w:rPr>
        <w:t xml:space="preserve"> </w:t>
      </w:r>
      <w:r w:rsidR="00E75D50" w:rsidRPr="003567D3">
        <w:rPr>
          <w:rFonts w:ascii="Arial" w:hAnsi="Arial" w:cs="Arial"/>
          <w:sz w:val="22"/>
          <w:szCs w:val="22"/>
          <w:lang w:val="en-GB"/>
        </w:rPr>
        <w:t>of misapplying</w:t>
      </w:r>
      <w:r w:rsidRPr="003567D3">
        <w:rPr>
          <w:rFonts w:ascii="Arial" w:hAnsi="Arial" w:cs="Arial"/>
          <w:sz w:val="22"/>
          <w:szCs w:val="22"/>
          <w:lang w:val="en-GB"/>
        </w:rPr>
        <w:t xml:space="preserve"> an emic approach to </w:t>
      </w:r>
      <w:r w:rsidR="00E75D50" w:rsidRPr="003567D3">
        <w:rPr>
          <w:rFonts w:ascii="Arial" w:hAnsi="Arial" w:cs="Arial"/>
          <w:sz w:val="22"/>
          <w:szCs w:val="22"/>
          <w:lang w:val="en-GB"/>
        </w:rPr>
        <w:t>a culture that can’t talk back</w:t>
      </w:r>
      <w:r w:rsidRPr="003567D3">
        <w:rPr>
          <w:rFonts w:ascii="Arial" w:hAnsi="Arial" w:cs="Arial"/>
          <w:sz w:val="22"/>
          <w:szCs w:val="22"/>
          <w:lang w:val="en-GB"/>
        </w:rPr>
        <w:t xml:space="preserve">. </w:t>
      </w:r>
      <w:r w:rsidR="004F7E49" w:rsidRPr="003567D3">
        <w:rPr>
          <w:rFonts w:ascii="Arial" w:hAnsi="Arial" w:cs="Arial"/>
          <w:sz w:val="22"/>
          <w:szCs w:val="22"/>
          <w:lang w:val="en-GB"/>
        </w:rPr>
        <w:t xml:space="preserve">Generative though they are, Evans-Pritchard’s contributions to </w:t>
      </w:r>
      <w:r w:rsidR="00E75D50" w:rsidRPr="003567D3">
        <w:rPr>
          <w:rFonts w:ascii="Arial" w:hAnsi="Arial" w:cs="Arial"/>
          <w:sz w:val="22"/>
          <w:szCs w:val="22"/>
          <w:lang w:val="en-GB"/>
        </w:rPr>
        <w:t xml:space="preserve">emic </w:t>
      </w:r>
      <w:r w:rsidR="004F7E49" w:rsidRPr="003567D3">
        <w:rPr>
          <w:rFonts w:ascii="Arial" w:hAnsi="Arial" w:cs="Arial"/>
          <w:sz w:val="22"/>
          <w:szCs w:val="22"/>
          <w:lang w:val="en-GB"/>
        </w:rPr>
        <w:t>ethnographic inquiry cannot</w:t>
      </w:r>
      <w:r w:rsidR="00E75D50" w:rsidRPr="003567D3">
        <w:rPr>
          <w:rFonts w:ascii="Arial" w:hAnsi="Arial" w:cs="Arial"/>
          <w:sz w:val="22"/>
          <w:szCs w:val="22"/>
          <w:lang w:val="en-GB"/>
        </w:rPr>
        <w:t xml:space="preserve"> </w:t>
      </w:r>
      <w:r w:rsidR="004F7E49" w:rsidRPr="003567D3">
        <w:rPr>
          <w:rFonts w:ascii="Arial" w:hAnsi="Arial" w:cs="Arial"/>
          <w:sz w:val="22"/>
          <w:szCs w:val="22"/>
          <w:lang w:val="en-GB"/>
        </w:rPr>
        <w:t xml:space="preserve">posthumously reanimate a dead culture to fill the gaps of knowledge or imagination held by contemporary researchers. </w:t>
      </w:r>
    </w:p>
    <w:p w14:paraId="3B76C11E" w14:textId="2FD929EB" w:rsidR="00306EEE" w:rsidRPr="003567D3" w:rsidRDefault="00306EEE" w:rsidP="003567D3">
      <w:pPr>
        <w:spacing w:line="276" w:lineRule="auto"/>
        <w:rPr>
          <w:rFonts w:ascii="Arial" w:hAnsi="Arial" w:cs="Arial"/>
          <w:sz w:val="22"/>
          <w:szCs w:val="22"/>
          <w:lang w:val="en-GB"/>
        </w:rPr>
      </w:pPr>
    </w:p>
    <w:p w14:paraId="3929F4A3" w14:textId="77777777" w:rsidR="00720F72" w:rsidRPr="003567D3" w:rsidRDefault="00720F72" w:rsidP="003567D3">
      <w:pPr>
        <w:spacing w:line="276" w:lineRule="auto"/>
        <w:rPr>
          <w:rFonts w:ascii="Arial" w:hAnsi="Arial" w:cs="Arial"/>
          <w:b/>
          <w:bCs/>
          <w:sz w:val="22"/>
          <w:szCs w:val="22"/>
          <w:lang w:val="en-GB"/>
        </w:rPr>
      </w:pPr>
    </w:p>
    <w:p w14:paraId="131891C4" w14:textId="765BA77B" w:rsidR="00C631D6" w:rsidRPr="003567D3" w:rsidRDefault="00C631D6" w:rsidP="003567D3">
      <w:pPr>
        <w:spacing w:line="276" w:lineRule="auto"/>
        <w:rPr>
          <w:rFonts w:ascii="Arial" w:hAnsi="Arial" w:cs="Arial"/>
          <w:b/>
          <w:bCs/>
          <w:color w:val="000000" w:themeColor="text1"/>
          <w:sz w:val="22"/>
          <w:szCs w:val="22"/>
          <w:lang w:val="en-GB"/>
        </w:rPr>
      </w:pPr>
      <w:r w:rsidRPr="003567D3">
        <w:rPr>
          <w:rFonts w:ascii="Arial" w:hAnsi="Arial" w:cs="Arial"/>
          <w:b/>
          <w:bCs/>
          <w:color w:val="000000" w:themeColor="text1"/>
          <w:sz w:val="22"/>
          <w:szCs w:val="22"/>
          <w:lang w:val="en-GB"/>
        </w:rPr>
        <w:t xml:space="preserve">Language </w:t>
      </w:r>
      <w:r w:rsidRPr="003567D3">
        <w:rPr>
          <w:rFonts w:ascii="Arial" w:hAnsi="Arial" w:cs="Arial"/>
          <w:b/>
          <w:bCs/>
          <w:color w:val="000000" w:themeColor="text1"/>
          <w:sz w:val="22"/>
          <w:szCs w:val="22"/>
          <w:lang w:val="en-GB"/>
        </w:rPr>
        <w:t>a</w:t>
      </w:r>
      <w:r w:rsidRPr="003567D3">
        <w:rPr>
          <w:rFonts w:ascii="Arial" w:hAnsi="Arial" w:cs="Arial"/>
          <w:b/>
          <w:bCs/>
          <w:color w:val="000000" w:themeColor="text1"/>
          <w:sz w:val="22"/>
          <w:szCs w:val="22"/>
          <w:lang w:val="en-GB"/>
        </w:rPr>
        <w:t xml:space="preserve">s a </w:t>
      </w:r>
      <w:r w:rsidR="00330202" w:rsidRPr="003567D3">
        <w:rPr>
          <w:rFonts w:ascii="Arial" w:hAnsi="Arial" w:cs="Arial"/>
          <w:b/>
          <w:bCs/>
          <w:color w:val="000000" w:themeColor="text1"/>
          <w:sz w:val="22"/>
          <w:szCs w:val="22"/>
          <w:lang w:val="en-GB"/>
        </w:rPr>
        <w:t>K</w:t>
      </w:r>
      <w:r w:rsidRPr="003567D3">
        <w:rPr>
          <w:rFonts w:ascii="Arial" w:hAnsi="Arial" w:cs="Arial"/>
          <w:b/>
          <w:bCs/>
          <w:color w:val="000000" w:themeColor="text1"/>
          <w:sz w:val="22"/>
          <w:szCs w:val="22"/>
          <w:lang w:val="en-GB"/>
        </w:rPr>
        <w:t xml:space="preserve">ey to </w:t>
      </w:r>
      <w:r w:rsidR="00330202" w:rsidRPr="003567D3">
        <w:rPr>
          <w:rFonts w:ascii="Arial" w:hAnsi="Arial" w:cs="Arial"/>
          <w:b/>
          <w:bCs/>
          <w:color w:val="000000" w:themeColor="text1"/>
          <w:sz w:val="22"/>
          <w:szCs w:val="22"/>
          <w:lang w:val="en-GB"/>
        </w:rPr>
        <w:t>C</w:t>
      </w:r>
      <w:r w:rsidRPr="003567D3">
        <w:rPr>
          <w:rFonts w:ascii="Arial" w:hAnsi="Arial" w:cs="Arial"/>
          <w:b/>
          <w:bCs/>
          <w:color w:val="000000" w:themeColor="text1"/>
          <w:sz w:val="22"/>
          <w:szCs w:val="22"/>
          <w:lang w:val="en-GB"/>
        </w:rPr>
        <w:t xml:space="preserve">ultural </w:t>
      </w:r>
      <w:r w:rsidR="00330202" w:rsidRPr="003567D3">
        <w:rPr>
          <w:rFonts w:ascii="Arial" w:hAnsi="Arial" w:cs="Arial"/>
          <w:b/>
          <w:bCs/>
          <w:color w:val="000000" w:themeColor="text1"/>
          <w:sz w:val="22"/>
          <w:szCs w:val="22"/>
          <w:lang w:val="en-GB"/>
        </w:rPr>
        <w:t>C</w:t>
      </w:r>
      <w:r w:rsidRPr="003567D3">
        <w:rPr>
          <w:rFonts w:ascii="Arial" w:hAnsi="Arial" w:cs="Arial"/>
          <w:b/>
          <w:bCs/>
          <w:color w:val="000000" w:themeColor="text1"/>
          <w:sz w:val="22"/>
          <w:szCs w:val="22"/>
          <w:lang w:val="en-GB"/>
        </w:rPr>
        <w:t xml:space="preserve">osmologies </w:t>
      </w:r>
    </w:p>
    <w:p w14:paraId="273C69D6" w14:textId="40BD36A8" w:rsidR="00550E96" w:rsidRPr="003567D3" w:rsidRDefault="006D4CEB" w:rsidP="003567D3">
      <w:pPr>
        <w:spacing w:line="276" w:lineRule="auto"/>
        <w:ind w:firstLine="720"/>
        <w:rPr>
          <w:rFonts w:ascii="Arial" w:hAnsi="Arial" w:cs="Arial"/>
          <w:sz w:val="22"/>
          <w:szCs w:val="22"/>
          <w:lang w:val="en-GB"/>
        </w:rPr>
      </w:pPr>
      <w:r w:rsidRPr="003567D3">
        <w:rPr>
          <w:rFonts w:ascii="Arial" w:hAnsi="Arial" w:cs="Arial"/>
          <w:sz w:val="22"/>
          <w:szCs w:val="22"/>
          <w:lang w:val="en-GB"/>
        </w:rPr>
        <w:t>As Evans-Pritchard’s research corroborates, l</w:t>
      </w:r>
      <w:r w:rsidR="00ED5F82" w:rsidRPr="003567D3">
        <w:rPr>
          <w:rFonts w:ascii="Arial" w:hAnsi="Arial" w:cs="Arial"/>
          <w:sz w:val="22"/>
          <w:szCs w:val="22"/>
          <w:lang w:val="en-GB"/>
        </w:rPr>
        <w:t xml:space="preserve">anguage is a crucial </w:t>
      </w:r>
      <w:r w:rsidR="00D2643C" w:rsidRPr="003567D3">
        <w:rPr>
          <w:rFonts w:ascii="Arial" w:hAnsi="Arial" w:cs="Arial"/>
          <w:sz w:val="22"/>
          <w:szCs w:val="22"/>
          <w:lang w:val="en-GB"/>
        </w:rPr>
        <w:t>prerequisite for</w:t>
      </w:r>
      <w:r w:rsidR="00ED5F82" w:rsidRPr="003567D3">
        <w:rPr>
          <w:rFonts w:ascii="Arial" w:hAnsi="Arial" w:cs="Arial"/>
          <w:sz w:val="22"/>
          <w:szCs w:val="22"/>
          <w:lang w:val="en-GB"/>
        </w:rPr>
        <w:t xml:space="preserve"> one’s ability to assimilate within a given culture. In recounting his research strategy when first reaching </w:t>
      </w:r>
      <w:proofErr w:type="spellStart"/>
      <w:r w:rsidR="00ED5F82" w:rsidRPr="003567D3">
        <w:rPr>
          <w:rFonts w:ascii="Arial" w:hAnsi="Arial" w:cs="Arial"/>
          <w:sz w:val="22"/>
          <w:szCs w:val="22"/>
          <w:lang w:val="en-GB"/>
        </w:rPr>
        <w:t>Zandeland</w:t>
      </w:r>
      <w:proofErr w:type="spellEnd"/>
      <w:r w:rsidR="00ED5F82" w:rsidRPr="003567D3">
        <w:rPr>
          <w:rFonts w:ascii="Arial" w:hAnsi="Arial" w:cs="Arial"/>
          <w:sz w:val="22"/>
          <w:szCs w:val="22"/>
          <w:lang w:val="en-GB"/>
        </w:rPr>
        <w:t>, he recounts that his initial and sol</w:t>
      </w:r>
      <w:r w:rsidR="00D2643C" w:rsidRPr="003567D3">
        <w:rPr>
          <w:rFonts w:ascii="Arial" w:hAnsi="Arial" w:cs="Arial"/>
          <w:sz w:val="22"/>
          <w:szCs w:val="22"/>
          <w:lang w:val="en-GB"/>
        </w:rPr>
        <w:t>e</w:t>
      </w:r>
      <w:r w:rsidR="00ED5F82" w:rsidRPr="003567D3">
        <w:rPr>
          <w:rFonts w:ascii="Arial" w:hAnsi="Arial" w:cs="Arial"/>
          <w:sz w:val="22"/>
          <w:szCs w:val="22"/>
          <w:lang w:val="en-GB"/>
        </w:rPr>
        <w:t xml:space="preserve"> focus was to </w:t>
      </w:r>
      <w:r w:rsidR="00D2643C" w:rsidRPr="003567D3">
        <w:rPr>
          <w:rFonts w:ascii="Arial" w:hAnsi="Arial" w:cs="Arial"/>
          <w:sz w:val="22"/>
          <w:szCs w:val="22"/>
          <w:lang w:val="en-GB"/>
        </w:rPr>
        <w:t xml:space="preserve">first </w:t>
      </w:r>
      <w:r w:rsidR="00ED5F82" w:rsidRPr="003567D3">
        <w:rPr>
          <w:rFonts w:ascii="Arial" w:hAnsi="Arial" w:cs="Arial"/>
          <w:sz w:val="22"/>
          <w:szCs w:val="22"/>
          <w:lang w:val="en-GB"/>
        </w:rPr>
        <w:t>master the</w:t>
      </w:r>
      <w:r w:rsidR="00D2643C" w:rsidRPr="003567D3">
        <w:rPr>
          <w:rFonts w:ascii="Arial" w:hAnsi="Arial" w:cs="Arial"/>
          <w:sz w:val="22"/>
          <w:szCs w:val="22"/>
          <w:lang w:val="en-GB"/>
        </w:rPr>
        <w:t>ir</w:t>
      </w:r>
      <w:r w:rsidR="00ED5F82" w:rsidRPr="003567D3">
        <w:rPr>
          <w:rFonts w:ascii="Arial" w:hAnsi="Arial" w:cs="Arial"/>
          <w:sz w:val="22"/>
          <w:szCs w:val="22"/>
          <w:lang w:val="en-GB"/>
        </w:rPr>
        <w:t xml:space="preserve"> language</w:t>
      </w:r>
      <w:r w:rsidR="00D2643C" w:rsidRPr="003567D3">
        <w:rPr>
          <w:rFonts w:ascii="Arial" w:hAnsi="Arial" w:cs="Arial"/>
          <w:sz w:val="22"/>
          <w:szCs w:val="22"/>
          <w:lang w:val="en-GB"/>
        </w:rPr>
        <w:t xml:space="preserve"> before conducting any research</w:t>
      </w:r>
      <w:r w:rsidR="00ED5F82" w:rsidRPr="003567D3">
        <w:rPr>
          <w:rFonts w:ascii="Arial" w:hAnsi="Arial" w:cs="Arial"/>
          <w:sz w:val="22"/>
          <w:szCs w:val="22"/>
          <w:lang w:val="en-GB"/>
        </w:rPr>
        <w:t>.</w:t>
      </w:r>
      <w:r w:rsidR="00ED5F82" w:rsidRPr="003567D3">
        <w:rPr>
          <w:rStyle w:val="FootnoteReference"/>
          <w:rFonts w:ascii="Arial" w:hAnsi="Arial" w:cs="Arial"/>
          <w:sz w:val="22"/>
          <w:szCs w:val="22"/>
          <w:lang w:val="en-GB"/>
        </w:rPr>
        <w:footnoteReference w:id="18"/>
      </w:r>
      <w:r w:rsidR="00ED5F82" w:rsidRPr="003567D3">
        <w:rPr>
          <w:rFonts w:ascii="Arial" w:hAnsi="Arial" w:cs="Arial"/>
          <w:sz w:val="22"/>
          <w:szCs w:val="22"/>
          <w:lang w:val="en-GB"/>
        </w:rPr>
        <w:t xml:space="preserve"> </w:t>
      </w:r>
      <w:r w:rsidR="00D2643C" w:rsidRPr="003567D3">
        <w:rPr>
          <w:rFonts w:ascii="Arial" w:hAnsi="Arial" w:cs="Arial"/>
          <w:sz w:val="22"/>
          <w:szCs w:val="22"/>
          <w:lang w:val="en-GB"/>
        </w:rPr>
        <w:t xml:space="preserve">It’s important to note that this emphasis on understanding a culture’s language is more than a practical matter of navigating everyday interactions. In discussing the semantic pitfalls surrounding </w:t>
      </w:r>
      <w:r w:rsidR="00550E96" w:rsidRPr="003567D3">
        <w:rPr>
          <w:rFonts w:ascii="Arial" w:hAnsi="Arial" w:cs="Arial"/>
          <w:sz w:val="22"/>
          <w:szCs w:val="22"/>
          <w:lang w:val="en-GB"/>
        </w:rPr>
        <w:t xml:space="preserve">the respective English and Azande </w:t>
      </w:r>
      <w:r w:rsidR="006A07FE" w:rsidRPr="003567D3">
        <w:rPr>
          <w:rFonts w:ascii="Arial" w:hAnsi="Arial" w:cs="Arial"/>
          <w:sz w:val="22"/>
          <w:szCs w:val="22"/>
          <w:lang w:val="en-GB"/>
        </w:rPr>
        <w:t>characterization</w:t>
      </w:r>
      <w:r w:rsidR="00550E96" w:rsidRPr="003567D3">
        <w:rPr>
          <w:rFonts w:ascii="Arial" w:hAnsi="Arial" w:cs="Arial"/>
          <w:sz w:val="22"/>
          <w:szCs w:val="22"/>
          <w:lang w:val="en-GB"/>
        </w:rPr>
        <w:t xml:space="preserve"> of oracles, he writes:</w:t>
      </w:r>
      <w:r w:rsidR="00550E96" w:rsidRPr="003567D3">
        <w:rPr>
          <w:rFonts w:ascii="Arial" w:hAnsi="Arial" w:cs="Arial"/>
          <w:sz w:val="22"/>
          <w:szCs w:val="22"/>
          <w:lang w:val="en-GB"/>
        </w:rPr>
        <w:br/>
      </w:r>
    </w:p>
    <w:p w14:paraId="50A749CE" w14:textId="4C6241A6" w:rsidR="00D2643C" w:rsidRPr="003567D3" w:rsidRDefault="00550E96" w:rsidP="003567D3">
      <w:pPr>
        <w:spacing w:line="276" w:lineRule="auto"/>
        <w:ind w:left="1440" w:right="1440"/>
        <w:rPr>
          <w:rFonts w:ascii="Arial" w:hAnsi="Arial" w:cs="Arial"/>
          <w:sz w:val="22"/>
          <w:szCs w:val="22"/>
          <w:lang w:val="en-GB"/>
        </w:rPr>
      </w:pPr>
      <w:r w:rsidRPr="003567D3">
        <w:rPr>
          <w:rFonts w:ascii="Arial" w:hAnsi="Arial" w:cs="Arial"/>
          <w:sz w:val="22"/>
          <w:szCs w:val="22"/>
          <w:lang w:val="en-GB"/>
        </w:rPr>
        <w:t xml:space="preserve">it would seem to us that </w:t>
      </w:r>
      <w:r w:rsidR="005C4D85" w:rsidRPr="003567D3">
        <w:rPr>
          <w:rFonts w:ascii="Arial" w:hAnsi="Arial" w:cs="Arial"/>
          <w:sz w:val="22"/>
          <w:szCs w:val="22"/>
          <w:lang w:val="en-GB"/>
        </w:rPr>
        <w:t>[Azande]</w:t>
      </w:r>
      <w:r w:rsidRPr="003567D3">
        <w:rPr>
          <w:rFonts w:ascii="Arial" w:hAnsi="Arial" w:cs="Arial"/>
          <w:sz w:val="22"/>
          <w:szCs w:val="22"/>
          <w:lang w:val="en-GB"/>
        </w:rPr>
        <w:t xml:space="preserve"> </w:t>
      </w:r>
      <w:r w:rsidRPr="003567D3">
        <w:rPr>
          <w:rFonts w:ascii="Arial" w:hAnsi="Arial" w:cs="Arial"/>
          <w:sz w:val="22"/>
          <w:szCs w:val="22"/>
          <w:lang w:val="en-GB"/>
        </w:rPr>
        <w:t xml:space="preserve">must regard the oracles as personal beings, since they address them directly; in </w:t>
      </w:r>
      <w:proofErr w:type="gramStart"/>
      <w:r w:rsidRPr="003567D3">
        <w:rPr>
          <w:rFonts w:ascii="Arial" w:hAnsi="Arial" w:cs="Arial"/>
          <w:sz w:val="22"/>
          <w:szCs w:val="22"/>
          <w:lang w:val="en-GB"/>
        </w:rPr>
        <w:t>fact</w:t>
      </w:r>
      <w:proofErr w:type="gramEnd"/>
      <w:r w:rsidRPr="003567D3">
        <w:rPr>
          <w:rFonts w:ascii="Arial" w:hAnsi="Arial" w:cs="Arial"/>
          <w:sz w:val="22"/>
          <w:szCs w:val="22"/>
          <w:lang w:val="en-GB"/>
        </w:rPr>
        <w:t xml:space="preserve"> the question appears absurd when framed in the Zande tongue. A </w:t>
      </w:r>
      <w:proofErr w:type="spellStart"/>
      <w:r w:rsidRPr="003567D3">
        <w:rPr>
          <w:rFonts w:ascii="Arial" w:hAnsi="Arial" w:cs="Arial"/>
          <w:i/>
          <w:iCs/>
          <w:sz w:val="22"/>
          <w:szCs w:val="22"/>
          <w:lang w:val="en-GB"/>
        </w:rPr>
        <w:t>boro</w:t>
      </w:r>
      <w:proofErr w:type="spellEnd"/>
      <w:r w:rsidRPr="003567D3">
        <w:rPr>
          <w:rFonts w:ascii="Arial" w:hAnsi="Arial" w:cs="Arial"/>
          <w:sz w:val="22"/>
          <w:szCs w:val="22"/>
          <w:lang w:val="en-GB"/>
        </w:rPr>
        <w:t xml:space="preserve">, a person, has two hands and two feet, a head, a belly, and so on, and the poison oracle has none of these things. It is not </w:t>
      </w:r>
      <w:proofErr w:type="gramStart"/>
      <w:r w:rsidRPr="003567D3">
        <w:rPr>
          <w:rFonts w:ascii="Arial" w:hAnsi="Arial" w:cs="Arial"/>
          <w:sz w:val="22"/>
          <w:szCs w:val="22"/>
          <w:lang w:val="en-GB"/>
        </w:rPr>
        <w:t>alive,</w:t>
      </w:r>
      <w:proofErr w:type="gramEnd"/>
      <w:r w:rsidRPr="003567D3">
        <w:rPr>
          <w:rFonts w:ascii="Arial" w:hAnsi="Arial" w:cs="Arial"/>
          <w:sz w:val="22"/>
          <w:szCs w:val="22"/>
          <w:lang w:val="en-GB"/>
        </w:rPr>
        <w:t xml:space="preserve"> it does not breathe or move about.</w:t>
      </w:r>
      <w:r w:rsidRPr="003567D3">
        <w:rPr>
          <w:rStyle w:val="FootnoteReference"/>
          <w:rFonts w:ascii="Arial" w:hAnsi="Arial" w:cs="Arial"/>
          <w:sz w:val="22"/>
          <w:szCs w:val="22"/>
          <w:lang w:val="en-GB"/>
        </w:rPr>
        <w:footnoteReference w:id="19"/>
      </w:r>
    </w:p>
    <w:p w14:paraId="4225CC90" w14:textId="77777777" w:rsidR="00D2643C" w:rsidRPr="003567D3" w:rsidRDefault="00D2643C" w:rsidP="003567D3">
      <w:pPr>
        <w:spacing w:line="276" w:lineRule="auto"/>
        <w:ind w:firstLine="720"/>
        <w:rPr>
          <w:rFonts w:ascii="Arial" w:hAnsi="Arial" w:cs="Arial"/>
          <w:sz w:val="22"/>
          <w:szCs w:val="22"/>
          <w:lang w:val="en-GB"/>
        </w:rPr>
      </w:pPr>
    </w:p>
    <w:p w14:paraId="5E5C9613" w14:textId="1065E852" w:rsidR="003C274E" w:rsidRPr="003567D3" w:rsidRDefault="00D2643C" w:rsidP="003567D3">
      <w:pPr>
        <w:spacing w:line="276" w:lineRule="auto"/>
        <w:rPr>
          <w:rFonts w:ascii="Arial" w:hAnsi="Arial" w:cs="Arial"/>
          <w:sz w:val="22"/>
          <w:szCs w:val="22"/>
          <w:lang w:val="en-GB"/>
        </w:rPr>
      </w:pPr>
      <w:r w:rsidRPr="003567D3">
        <w:rPr>
          <w:rFonts w:ascii="Arial" w:hAnsi="Arial" w:cs="Arial"/>
          <w:sz w:val="22"/>
          <w:szCs w:val="22"/>
          <w:lang w:val="en-GB"/>
        </w:rPr>
        <w:lastRenderedPageBreak/>
        <w:t>Here, Evans-Pritchard</w:t>
      </w:r>
      <w:r w:rsidR="00550E96" w:rsidRPr="003567D3">
        <w:rPr>
          <w:rFonts w:ascii="Arial" w:hAnsi="Arial" w:cs="Arial"/>
          <w:sz w:val="22"/>
          <w:szCs w:val="22"/>
          <w:lang w:val="en-GB"/>
        </w:rPr>
        <w:t xml:space="preserve"> highlights the considerable disconnect between the English and Zande concepts of personhood—and therefore the dangers and limitations of translating concepts between divergent cultural perspectives. In doing so, he anticipates</w:t>
      </w:r>
      <w:r w:rsidRPr="003567D3">
        <w:rPr>
          <w:rFonts w:ascii="Arial" w:hAnsi="Arial" w:cs="Arial"/>
          <w:sz w:val="22"/>
          <w:szCs w:val="22"/>
          <w:lang w:val="en-GB"/>
        </w:rPr>
        <w:t xml:space="preserve"> the</w:t>
      </w:r>
      <w:r w:rsidR="008C2014" w:rsidRPr="003567D3">
        <w:rPr>
          <w:rFonts w:ascii="Arial" w:hAnsi="Arial" w:cs="Arial"/>
          <w:sz w:val="22"/>
          <w:szCs w:val="22"/>
          <w:lang w:val="en-GB"/>
        </w:rPr>
        <w:t xml:space="preserve"> </w:t>
      </w:r>
      <w:r w:rsidRPr="003567D3">
        <w:rPr>
          <w:rFonts w:ascii="Arial" w:hAnsi="Arial" w:cs="Arial"/>
          <w:sz w:val="22"/>
          <w:szCs w:val="22"/>
          <w:lang w:val="en-GB"/>
        </w:rPr>
        <w:t xml:space="preserve">theory of linguistic relatively (also known as the Sabir-Whorf hypothesis), which maintains that one’s language influences </w:t>
      </w:r>
      <w:r w:rsidR="00550E96" w:rsidRPr="003567D3">
        <w:rPr>
          <w:rFonts w:ascii="Arial" w:hAnsi="Arial" w:cs="Arial"/>
          <w:sz w:val="22"/>
          <w:szCs w:val="22"/>
          <w:lang w:val="en-GB"/>
        </w:rPr>
        <w:t>our cognitive and conceptual foundations</w:t>
      </w:r>
      <w:r w:rsidRPr="003567D3">
        <w:rPr>
          <w:rFonts w:ascii="Arial" w:hAnsi="Arial" w:cs="Arial"/>
          <w:sz w:val="22"/>
          <w:szCs w:val="22"/>
          <w:lang w:val="en-GB"/>
        </w:rPr>
        <w:t xml:space="preserve">. </w:t>
      </w:r>
      <w:r w:rsidR="00D51E88" w:rsidRPr="003567D3">
        <w:rPr>
          <w:rFonts w:ascii="Arial" w:hAnsi="Arial" w:cs="Arial"/>
          <w:sz w:val="22"/>
          <w:szCs w:val="22"/>
          <w:lang w:val="en-GB"/>
        </w:rPr>
        <w:t>Within Whorf’s concept of sociolinguistics:</w:t>
      </w:r>
      <w:r w:rsidR="00550E96" w:rsidRPr="003567D3">
        <w:rPr>
          <w:rFonts w:ascii="Arial" w:hAnsi="Arial" w:cs="Arial"/>
          <w:sz w:val="22"/>
          <w:szCs w:val="22"/>
          <w:lang w:val="en-GB"/>
        </w:rPr>
        <w:t xml:space="preserve">  </w:t>
      </w:r>
    </w:p>
    <w:p w14:paraId="3FE4D19F" w14:textId="77777777" w:rsidR="00550E96" w:rsidRPr="003567D3" w:rsidRDefault="00550E96" w:rsidP="003567D3">
      <w:pPr>
        <w:spacing w:line="276" w:lineRule="auto"/>
        <w:rPr>
          <w:rFonts w:ascii="Arial" w:hAnsi="Arial" w:cs="Arial"/>
          <w:color w:val="000000" w:themeColor="text1"/>
          <w:sz w:val="22"/>
          <w:szCs w:val="22"/>
          <w:lang w:val="en-GB"/>
        </w:rPr>
      </w:pPr>
    </w:p>
    <w:p w14:paraId="0B5E8707" w14:textId="2377D933" w:rsidR="00550E96" w:rsidRPr="003567D3" w:rsidRDefault="00F80A26" w:rsidP="003567D3">
      <w:pPr>
        <w:spacing w:line="276" w:lineRule="auto"/>
        <w:ind w:left="1440" w:right="1440"/>
        <w:rPr>
          <w:rFonts w:ascii="Arial" w:hAnsi="Arial" w:cs="Arial"/>
          <w:color w:val="000000" w:themeColor="text1"/>
          <w:sz w:val="22"/>
          <w:szCs w:val="22"/>
          <w:lang w:val="en-GB"/>
        </w:rPr>
      </w:pPr>
      <w:r w:rsidRPr="003567D3">
        <w:rPr>
          <w:rFonts w:ascii="Arial" w:hAnsi="Arial" w:cs="Arial"/>
          <w:color w:val="000000" w:themeColor="text1"/>
          <w:sz w:val="22"/>
          <w:szCs w:val="22"/>
          <w:lang w:val="en-GB"/>
        </w:rPr>
        <w:t>the forms of a person's thoughts are controlled by inexorable laws of pattern of which he is unconscious. These patterns are the unperceived intricate systematizations of his own language</w:t>
      </w:r>
      <w:r w:rsidRPr="003567D3">
        <w:rPr>
          <w:rFonts w:ascii="Arial" w:hAnsi="Arial" w:cs="Arial"/>
          <w:color w:val="000000" w:themeColor="text1"/>
          <w:sz w:val="22"/>
          <w:szCs w:val="22"/>
          <w:lang w:val="en-GB"/>
        </w:rPr>
        <w:t xml:space="preserve">. […] And </w:t>
      </w:r>
      <w:r w:rsidRPr="003567D3">
        <w:rPr>
          <w:rFonts w:ascii="Arial" w:hAnsi="Arial" w:cs="Arial"/>
          <w:color w:val="000000" w:themeColor="text1"/>
          <w:sz w:val="22"/>
          <w:szCs w:val="22"/>
          <w:lang w:val="en-GB"/>
        </w:rPr>
        <w:t xml:space="preserve">every language is a vast pattern-system, different from others, in which is culturally ordained the forms and categories by which the personality not only communicates, but </w:t>
      </w:r>
      <w:proofErr w:type="spellStart"/>
      <w:r w:rsidRPr="003567D3">
        <w:rPr>
          <w:rFonts w:ascii="Arial" w:hAnsi="Arial" w:cs="Arial"/>
          <w:color w:val="000000" w:themeColor="text1"/>
          <w:sz w:val="22"/>
          <w:szCs w:val="22"/>
          <w:lang w:val="en-GB"/>
        </w:rPr>
        <w:t>analyzes</w:t>
      </w:r>
      <w:proofErr w:type="spellEnd"/>
      <w:r w:rsidRPr="003567D3">
        <w:rPr>
          <w:rFonts w:ascii="Arial" w:hAnsi="Arial" w:cs="Arial"/>
          <w:color w:val="000000" w:themeColor="text1"/>
          <w:sz w:val="22"/>
          <w:szCs w:val="22"/>
          <w:lang w:val="en-GB"/>
        </w:rPr>
        <w:t xml:space="preserve"> nature, notices or </w:t>
      </w:r>
      <w:proofErr w:type="gramStart"/>
      <w:r w:rsidRPr="003567D3">
        <w:rPr>
          <w:rFonts w:ascii="Arial" w:hAnsi="Arial" w:cs="Arial"/>
          <w:color w:val="000000" w:themeColor="text1"/>
          <w:sz w:val="22"/>
          <w:szCs w:val="22"/>
          <w:lang w:val="en-GB"/>
        </w:rPr>
        <w:t>neglects</w:t>
      </w:r>
      <w:proofErr w:type="gramEnd"/>
      <w:r w:rsidRPr="003567D3">
        <w:rPr>
          <w:rFonts w:ascii="Arial" w:hAnsi="Arial" w:cs="Arial"/>
          <w:color w:val="000000" w:themeColor="text1"/>
          <w:sz w:val="22"/>
          <w:szCs w:val="22"/>
          <w:lang w:val="en-GB"/>
        </w:rPr>
        <w:t xml:space="preserve"> types of relation</w:t>
      </w:r>
      <w:r w:rsidRPr="003567D3">
        <w:rPr>
          <w:rFonts w:ascii="Arial" w:hAnsi="Arial" w:cs="Arial"/>
          <w:color w:val="000000" w:themeColor="text1"/>
          <w:sz w:val="22"/>
          <w:szCs w:val="22"/>
          <w:lang w:val="en-GB"/>
        </w:rPr>
        <w:t>s</w:t>
      </w:r>
      <w:r w:rsidRPr="003567D3">
        <w:rPr>
          <w:rFonts w:ascii="Arial" w:hAnsi="Arial" w:cs="Arial"/>
          <w:color w:val="000000" w:themeColor="text1"/>
          <w:sz w:val="22"/>
          <w:szCs w:val="22"/>
          <w:lang w:val="en-GB"/>
        </w:rPr>
        <w:t>hip and phenomena, channels his reasoning, and builds the house of his consciousness.</w:t>
      </w:r>
      <w:r w:rsidR="00550E96" w:rsidRPr="003567D3">
        <w:rPr>
          <w:rStyle w:val="FootnoteReference"/>
          <w:rFonts w:ascii="Arial" w:hAnsi="Arial" w:cs="Arial"/>
          <w:color w:val="000000" w:themeColor="text1"/>
          <w:sz w:val="22"/>
          <w:szCs w:val="22"/>
          <w:lang w:val="en-GB"/>
        </w:rPr>
        <w:footnoteReference w:id="20"/>
      </w:r>
    </w:p>
    <w:p w14:paraId="68166001" w14:textId="0C81BDE7" w:rsidR="00550E96" w:rsidRPr="003567D3" w:rsidRDefault="00550E96" w:rsidP="003567D3">
      <w:pPr>
        <w:spacing w:line="276" w:lineRule="auto"/>
        <w:rPr>
          <w:rFonts w:ascii="Arial" w:hAnsi="Arial" w:cs="Arial"/>
          <w:color w:val="000000" w:themeColor="text1"/>
          <w:sz w:val="22"/>
          <w:szCs w:val="22"/>
          <w:lang w:val="en-GB"/>
        </w:rPr>
      </w:pPr>
    </w:p>
    <w:p w14:paraId="7008CC4C" w14:textId="1E62B4D7" w:rsidR="003F5FB1" w:rsidRPr="003567D3" w:rsidRDefault="00306EEE"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Put plainly, language shapes how we view and understand our world. Just as Evans-Pritchard intuited years prior, </w:t>
      </w:r>
      <w:r w:rsidR="008C2014" w:rsidRPr="003567D3">
        <w:rPr>
          <w:rFonts w:ascii="Arial" w:hAnsi="Arial" w:cs="Arial"/>
          <w:color w:val="000000" w:themeColor="text1"/>
          <w:sz w:val="22"/>
          <w:szCs w:val="22"/>
          <w:lang w:val="en-GB"/>
        </w:rPr>
        <w:t xml:space="preserve">the implications of </w:t>
      </w:r>
      <w:r w:rsidRPr="003567D3">
        <w:rPr>
          <w:rFonts w:ascii="Arial" w:hAnsi="Arial" w:cs="Arial"/>
          <w:color w:val="000000" w:themeColor="text1"/>
          <w:sz w:val="22"/>
          <w:szCs w:val="22"/>
          <w:lang w:val="en-GB"/>
        </w:rPr>
        <w:t>Whorf</w:t>
      </w:r>
      <w:r w:rsidR="008C2014" w:rsidRPr="003567D3">
        <w:rPr>
          <w:rFonts w:ascii="Arial" w:hAnsi="Arial" w:cs="Arial"/>
          <w:color w:val="000000" w:themeColor="text1"/>
          <w:sz w:val="22"/>
          <w:szCs w:val="22"/>
          <w:lang w:val="en-GB"/>
        </w:rPr>
        <w:t>’s theory</w:t>
      </w:r>
      <w:r w:rsidRPr="003567D3">
        <w:rPr>
          <w:rFonts w:ascii="Arial" w:hAnsi="Arial" w:cs="Arial"/>
          <w:color w:val="000000" w:themeColor="text1"/>
          <w:sz w:val="22"/>
          <w:szCs w:val="22"/>
          <w:lang w:val="en-GB"/>
        </w:rPr>
        <w:t xml:space="preserve"> </w:t>
      </w:r>
      <w:proofErr w:type="gramStart"/>
      <w:r w:rsidR="003F5FB1" w:rsidRPr="003567D3">
        <w:rPr>
          <w:rFonts w:ascii="Arial" w:hAnsi="Arial" w:cs="Arial"/>
          <w:color w:val="000000" w:themeColor="text1"/>
          <w:sz w:val="22"/>
          <w:szCs w:val="22"/>
          <w:lang w:val="en-GB"/>
        </w:rPr>
        <w:t>c</w:t>
      </w:r>
      <w:r w:rsidR="003F5FB1" w:rsidRPr="003567D3">
        <w:rPr>
          <w:rFonts w:ascii="Arial" w:hAnsi="Arial" w:cs="Arial"/>
          <w:color w:val="000000" w:themeColor="text1"/>
          <w:sz w:val="22"/>
          <w:szCs w:val="22"/>
          <w:lang w:val="en-GB"/>
        </w:rPr>
        <w:t>asts</w:t>
      </w:r>
      <w:proofErr w:type="gramEnd"/>
      <w:r w:rsidR="003F5FB1" w:rsidRPr="003567D3">
        <w:rPr>
          <w:rFonts w:ascii="Arial" w:hAnsi="Arial" w:cs="Arial"/>
          <w:color w:val="000000" w:themeColor="text1"/>
          <w:sz w:val="22"/>
          <w:szCs w:val="22"/>
          <w:lang w:val="en-GB"/>
        </w:rPr>
        <w:t xml:space="preserve"> </w:t>
      </w:r>
      <w:r w:rsidR="00CF1B12" w:rsidRPr="003567D3">
        <w:rPr>
          <w:rFonts w:ascii="Arial" w:hAnsi="Arial" w:cs="Arial"/>
          <w:color w:val="000000" w:themeColor="text1"/>
          <w:sz w:val="22"/>
          <w:szCs w:val="22"/>
          <w:lang w:val="en-GB"/>
        </w:rPr>
        <w:t xml:space="preserve">the very act of </w:t>
      </w:r>
      <w:r w:rsidR="003F5FB1" w:rsidRPr="003567D3">
        <w:rPr>
          <w:rFonts w:ascii="Arial" w:hAnsi="Arial" w:cs="Arial"/>
          <w:color w:val="000000" w:themeColor="text1"/>
          <w:sz w:val="22"/>
          <w:szCs w:val="22"/>
          <w:lang w:val="en-GB"/>
        </w:rPr>
        <w:t>translation as a</w:t>
      </w:r>
      <w:r w:rsidR="003F5FB1" w:rsidRPr="003567D3">
        <w:rPr>
          <w:rFonts w:ascii="Arial" w:hAnsi="Arial" w:cs="Arial"/>
          <w:color w:val="000000" w:themeColor="text1"/>
          <w:sz w:val="22"/>
          <w:szCs w:val="22"/>
          <w:lang w:val="en-GB"/>
        </w:rPr>
        <w:t xml:space="preserve">n inherently doomed and </w:t>
      </w:r>
      <w:r w:rsidR="003F5FB1" w:rsidRPr="003567D3">
        <w:rPr>
          <w:rFonts w:ascii="Arial" w:hAnsi="Arial" w:cs="Arial"/>
          <w:color w:val="000000" w:themeColor="text1"/>
          <w:sz w:val="22"/>
          <w:szCs w:val="22"/>
          <w:lang w:val="en-GB"/>
        </w:rPr>
        <w:t xml:space="preserve">inadequate attempt to grasp another culture’s ideals. Rather, it’s </w:t>
      </w:r>
      <w:r w:rsidR="003F5FB1" w:rsidRPr="003567D3">
        <w:rPr>
          <w:rFonts w:ascii="Arial" w:hAnsi="Arial" w:cs="Arial"/>
          <w:color w:val="000000" w:themeColor="text1"/>
          <w:sz w:val="22"/>
          <w:szCs w:val="22"/>
          <w:lang w:val="en-GB"/>
        </w:rPr>
        <w:t xml:space="preserve">by </w:t>
      </w:r>
      <w:r w:rsidR="003F5FB1" w:rsidRPr="003567D3">
        <w:rPr>
          <w:rFonts w:ascii="Arial" w:hAnsi="Arial" w:cs="Arial"/>
          <w:color w:val="000000" w:themeColor="text1"/>
          <w:sz w:val="22"/>
          <w:szCs w:val="22"/>
          <w:lang w:val="en-GB"/>
        </w:rPr>
        <w:t xml:space="preserve">speaking a culture’s language that </w:t>
      </w:r>
      <w:r w:rsidR="003F5FB1" w:rsidRPr="003567D3">
        <w:rPr>
          <w:rFonts w:ascii="Arial" w:hAnsi="Arial" w:cs="Arial"/>
          <w:color w:val="000000" w:themeColor="text1"/>
          <w:sz w:val="22"/>
          <w:szCs w:val="22"/>
          <w:lang w:val="en-GB"/>
        </w:rPr>
        <w:t>one can begin to comprehend</w:t>
      </w:r>
      <w:r w:rsidR="003F5FB1" w:rsidRPr="003567D3">
        <w:rPr>
          <w:rFonts w:ascii="Arial" w:hAnsi="Arial" w:cs="Arial"/>
          <w:color w:val="000000" w:themeColor="text1"/>
          <w:sz w:val="22"/>
          <w:szCs w:val="22"/>
          <w:lang w:val="en-GB"/>
        </w:rPr>
        <w:t xml:space="preserve"> </w:t>
      </w:r>
      <w:r w:rsidR="003F5FB1" w:rsidRPr="003567D3">
        <w:rPr>
          <w:rFonts w:ascii="Arial" w:hAnsi="Arial" w:cs="Arial"/>
          <w:color w:val="000000" w:themeColor="text1"/>
          <w:sz w:val="22"/>
          <w:szCs w:val="22"/>
          <w:lang w:val="en-GB"/>
        </w:rPr>
        <w:t xml:space="preserve">its </w:t>
      </w:r>
      <w:r w:rsidR="003F5FB1" w:rsidRPr="003567D3">
        <w:rPr>
          <w:rFonts w:ascii="Arial" w:hAnsi="Arial" w:cs="Arial"/>
          <w:color w:val="000000" w:themeColor="text1"/>
          <w:sz w:val="22"/>
          <w:szCs w:val="22"/>
          <w:lang w:val="en-GB"/>
        </w:rPr>
        <w:t>distinct cosmologies</w:t>
      </w:r>
      <w:r w:rsidR="008C2014" w:rsidRPr="003567D3">
        <w:rPr>
          <w:rFonts w:ascii="Arial" w:hAnsi="Arial" w:cs="Arial"/>
          <w:color w:val="000000" w:themeColor="text1"/>
          <w:sz w:val="22"/>
          <w:szCs w:val="22"/>
          <w:lang w:val="en-GB"/>
        </w:rPr>
        <w:t>, f</w:t>
      </w:r>
      <w:r w:rsidR="003F5FB1" w:rsidRPr="003567D3">
        <w:rPr>
          <w:rFonts w:ascii="Arial" w:hAnsi="Arial" w:cs="Arial"/>
          <w:color w:val="000000" w:themeColor="text1"/>
          <w:sz w:val="22"/>
          <w:szCs w:val="22"/>
          <w:lang w:val="en-GB"/>
        </w:rPr>
        <w:t xml:space="preserve">or just as words can lose their meaning between languages, so too can entire worldviews. </w:t>
      </w:r>
    </w:p>
    <w:p w14:paraId="42EB28EA" w14:textId="61438809" w:rsidR="006D4CEB" w:rsidRPr="003567D3" w:rsidRDefault="006D4CEB" w:rsidP="003567D3">
      <w:pPr>
        <w:spacing w:line="276" w:lineRule="auto"/>
        <w:rPr>
          <w:rFonts w:ascii="Arial" w:hAnsi="Arial" w:cs="Arial"/>
          <w:color w:val="000000" w:themeColor="text1"/>
          <w:sz w:val="22"/>
          <w:szCs w:val="22"/>
          <w:lang w:val="en-GB"/>
        </w:rPr>
      </w:pPr>
    </w:p>
    <w:p w14:paraId="6768A7DC" w14:textId="40CD1F45" w:rsidR="00DA28AA" w:rsidRPr="003567D3" w:rsidRDefault="00E75D50"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ab/>
      </w:r>
      <w:r w:rsidR="008557A1" w:rsidRPr="003567D3">
        <w:rPr>
          <w:rFonts w:ascii="Arial" w:hAnsi="Arial" w:cs="Arial"/>
          <w:color w:val="000000" w:themeColor="text1"/>
          <w:sz w:val="22"/>
          <w:szCs w:val="22"/>
          <w:lang w:val="en-GB"/>
        </w:rPr>
        <w:t xml:space="preserve">Language—and specifically phraseology—plays an important role in understanding </w:t>
      </w:r>
      <w:r w:rsidR="00A32C08" w:rsidRPr="003567D3">
        <w:rPr>
          <w:rFonts w:ascii="Arial" w:hAnsi="Arial" w:cs="Arial"/>
          <w:color w:val="000000" w:themeColor="text1"/>
          <w:sz w:val="22"/>
          <w:szCs w:val="22"/>
          <w:lang w:val="en-GB"/>
        </w:rPr>
        <w:t xml:space="preserve">the practice and concepts that underly any oracular experience. In his discussion on the various oracles used by the Azande, Evans-Pritchard notes the pre-eminence of the poison oracle, describing that the </w:t>
      </w:r>
      <w:r w:rsidR="00CF1B12" w:rsidRPr="003567D3">
        <w:rPr>
          <w:rFonts w:ascii="Arial" w:hAnsi="Arial" w:cs="Arial"/>
          <w:color w:val="000000" w:themeColor="text1"/>
          <w:sz w:val="22"/>
          <w:szCs w:val="22"/>
          <w:lang w:val="en-GB"/>
        </w:rPr>
        <w:t>‘</w:t>
      </w:r>
      <w:r w:rsidR="00A32C08" w:rsidRPr="003567D3">
        <w:rPr>
          <w:rFonts w:ascii="Arial" w:hAnsi="Arial" w:cs="Arial"/>
          <w:color w:val="000000" w:themeColor="text1"/>
          <w:sz w:val="22"/>
          <w:szCs w:val="22"/>
          <w:lang w:val="en-GB"/>
        </w:rPr>
        <w:t>Zande rely completely on its decisions, which have the force of law when obtained on the orders of a prince.</w:t>
      </w:r>
      <w:r w:rsidR="00A32C08" w:rsidRPr="003567D3">
        <w:rPr>
          <w:rStyle w:val="FootnoteReference"/>
          <w:rFonts w:ascii="Arial" w:hAnsi="Arial" w:cs="Arial"/>
          <w:color w:val="000000" w:themeColor="text1"/>
          <w:sz w:val="22"/>
          <w:szCs w:val="22"/>
          <w:lang w:val="en-GB"/>
        </w:rPr>
        <w:footnoteReference w:id="21"/>
      </w:r>
      <w:r w:rsidR="00A32C08" w:rsidRPr="003567D3">
        <w:rPr>
          <w:rFonts w:ascii="Arial" w:hAnsi="Arial" w:cs="Arial"/>
          <w:color w:val="000000" w:themeColor="text1"/>
          <w:sz w:val="22"/>
          <w:szCs w:val="22"/>
          <w:lang w:val="en-GB"/>
        </w:rPr>
        <w:t xml:space="preserve"> </w:t>
      </w:r>
      <w:r w:rsidR="004E5BB7" w:rsidRPr="003567D3">
        <w:rPr>
          <w:rFonts w:ascii="Arial" w:hAnsi="Arial" w:cs="Arial"/>
          <w:color w:val="000000" w:themeColor="text1"/>
          <w:sz w:val="22"/>
          <w:szCs w:val="22"/>
          <w:lang w:val="en-GB"/>
        </w:rPr>
        <w:t>He notes that when conducting the poison oracle, individuals directly address and appeal to the poison that is given to a fowl, which it kills or spares to deliver a verdict.</w:t>
      </w:r>
      <w:r w:rsidR="004E5BB7" w:rsidRPr="003567D3">
        <w:rPr>
          <w:rStyle w:val="FootnoteReference"/>
          <w:rFonts w:ascii="Arial" w:hAnsi="Arial" w:cs="Arial"/>
          <w:color w:val="000000" w:themeColor="text1"/>
          <w:sz w:val="22"/>
          <w:szCs w:val="22"/>
          <w:lang w:val="en-GB"/>
        </w:rPr>
        <w:footnoteReference w:id="22"/>
      </w:r>
      <w:r w:rsidR="004E5BB7" w:rsidRPr="003567D3">
        <w:rPr>
          <w:rFonts w:ascii="Arial" w:hAnsi="Arial" w:cs="Arial"/>
          <w:color w:val="000000" w:themeColor="text1"/>
          <w:sz w:val="22"/>
          <w:szCs w:val="22"/>
          <w:lang w:val="en-GB"/>
        </w:rPr>
        <w:t xml:space="preserve"> Not only does this reveal the Zande conception of the poison oracle as a sentient, non-human entity</w:t>
      </w:r>
      <w:r w:rsidR="00773E32" w:rsidRPr="003567D3">
        <w:rPr>
          <w:rFonts w:ascii="Arial" w:hAnsi="Arial" w:cs="Arial"/>
          <w:color w:val="000000" w:themeColor="text1"/>
          <w:sz w:val="22"/>
          <w:szCs w:val="22"/>
          <w:lang w:val="en-GB"/>
        </w:rPr>
        <w:t xml:space="preserve"> capable of revealing hidden knowledge</w:t>
      </w:r>
      <w:r w:rsidR="004E5BB7" w:rsidRPr="003567D3">
        <w:rPr>
          <w:rFonts w:ascii="Arial" w:hAnsi="Arial" w:cs="Arial"/>
          <w:color w:val="000000" w:themeColor="text1"/>
          <w:sz w:val="22"/>
          <w:szCs w:val="22"/>
          <w:lang w:val="en-GB"/>
        </w:rPr>
        <w:t>, but it also highlights the linguistic structure of oracular inquiry</w:t>
      </w:r>
      <w:r w:rsidR="00773E32" w:rsidRPr="003567D3">
        <w:rPr>
          <w:rFonts w:ascii="Arial" w:hAnsi="Arial" w:cs="Arial"/>
          <w:color w:val="000000" w:themeColor="text1"/>
          <w:sz w:val="22"/>
          <w:szCs w:val="22"/>
          <w:lang w:val="en-GB"/>
        </w:rPr>
        <w:t xml:space="preserve"> in seeking ‘yes’ or ‘no’ questions</w:t>
      </w:r>
      <w:r w:rsidR="004E5BB7" w:rsidRPr="003567D3">
        <w:rPr>
          <w:rFonts w:ascii="Arial" w:hAnsi="Arial" w:cs="Arial"/>
          <w:color w:val="000000" w:themeColor="text1"/>
          <w:sz w:val="22"/>
          <w:szCs w:val="22"/>
          <w:lang w:val="en-GB"/>
        </w:rPr>
        <w:t>.</w:t>
      </w:r>
      <w:r w:rsidR="00773E32" w:rsidRPr="003567D3">
        <w:rPr>
          <w:rStyle w:val="FootnoteReference"/>
          <w:rFonts w:ascii="Arial" w:hAnsi="Arial" w:cs="Arial"/>
          <w:color w:val="000000" w:themeColor="text1"/>
          <w:sz w:val="22"/>
          <w:szCs w:val="22"/>
          <w:lang w:val="en-GB"/>
        </w:rPr>
        <w:footnoteReference w:id="23"/>
      </w:r>
      <w:r w:rsidR="00253AC1" w:rsidRPr="003567D3">
        <w:rPr>
          <w:rFonts w:ascii="Arial" w:hAnsi="Arial" w:cs="Arial"/>
          <w:color w:val="000000" w:themeColor="text1"/>
          <w:sz w:val="22"/>
          <w:szCs w:val="22"/>
          <w:lang w:val="en-GB"/>
        </w:rPr>
        <w:t xml:space="preserve"> </w:t>
      </w:r>
      <w:r w:rsidR="00847124" w:rsidRPr="003567D3">
        <w:rPr>
          <w:rFonts w:ascii="Arial" w:hAnsi="Arial" w:cs="Arial"/>
          <w:color w:val="000000" w:themeColor="text1"/>
          <w:sz w:val="22"/>
          <w:szCs w:val="22"/>
          <w:lang w:val="en-GB"/>
        </w:rPr>
        <w:t>It therefore</w:t>
      </w:r>
      <w:r w:rsidR="00A32C08" w:rsidRPr="003567D3">
        <w:rPr>
          <w:rFonts w:ascii="Arial" w:hAnsi="Arial" w:cs="Arial"/>
          <w:color w:val="000000" w:themeColor="text1"/>
          <w:sz w:val="22"/>
          <w:szCs w:val="22"/>
          <w:lang w:val="en-GB"/>
        </w:rPr>
        <w:t xml:space="preserve"> follows that </w:t>
      </w:r>
      <w:r w:rsidR="00CF1B12" w:rsidRPr="003567D3">
        <w:rPr>
          <w:rFonts w:ascii="Arial" w:hAnsi="Arial" w:cs="Arial"/>
          <w:color w:val="000000" w:themeColor="text1"/>
          <w:sz w:val="22"/>
          <w:szCs w:val="22"/>
          <w:lang w:val="en-GB"/>
        </w:rPr>
        <w:t>‘</w:t>
      </w:r>
      <w:r w:rsidR="004E5BB7" w:rsidRPr="003567D3">
        <w:rPr>
          <w:rFonts w:ascii="Arial" w:hAnsi="Arial" w:cs="Arial"/>
          <w:color w:val="000000" w:themeColor="text1"/>
          <w:sz w:val="22"/>
          <w:szCs w:val="22"/>
          <w:lang w:val="en-GB"/>
        </w:rPr>
        <w:t>o</w:t>
      </w:r>
      <w:r w:rsidR="00A32C08" w:rsidRPr="003567D3">
        <w:rPr>
          <w:rFonts w:ascii="Arial" w:hAnsi="Arial" w:cs="Arial"/>
          <w:color w:val="000000" w:themeColor="text1"/>
          <w:sz w:val="22"/>
          <w:szCs w:val="22"/>
          <w:lang w:val="en-GB"/>
        </w:rPr>
        <w:t>ne must know the phraseology of address in order to put questions clearly to the oracle without error or ambiguity.</w:t>
      </w:r>
      <w:r w:rsidR="00CF1B12" w:rsidRPr="003567D3">
        <w:rPr>
          <w:rFonts w:ascii="Arial" w:hAnsi="Arial" w:cs="Arial"/>
          <w:color w:val="000000" w:themeColor="text1"/>
          <w:sz w:val="22"/>
          <w:szCs w:val="22"/>
          <w:lang w:val="en-GB"/>
        </w:rPr>
        <w:t>’</w:t>
      </w:r>
      <w:r w:rsidR="004E5BB7" w:rsidRPr="003567D3">
        <w:rPr>
          <w:rStyle w:val="FootnoteReference"/>
          <w:rFonts w:ascii="Arial" w:hAnsi="Arial" w:cs="Arial"/>
          <w:color w:val="000000" w:themeColor="text1"/>
          <w:sz w:val="22"/>
          <w:szCs w:val="22"/>
          <w:lang w:val="en-GB"/>
        </w:rPr>
        <w:footnoteReference w:id="24"/>
      </w:r>
      <w:r w:rsidR="004E5BB7" w:rsidRPr="003567D3">
        <w:rPr>
          <w:rFonts w:ascii="Arial" w:hAnsi="Arial" w:cs="Arial"/>
          <w:color w:val="000000" w:themeColor="text1"/>
          <w:sz w:val="22"/>
          <w:szCs w:val="22"/>
          <w:lang w:val="en-GB"/>
        </w:rPr>
        <w:t xml:space="preserve"> </w:t>
      </w:r>
      <w:r w:rsidR="008E3E2C" w:rsidRPr="003567D3">
        <w:rPr>
          <w:rFonts w:ascii="Arial" w:hAnsi="Arial" w:cs="Arial"/>
          <w:color w:val="000000" w:themeColor="text1"/>
          <w:sz w:val="22"/>
          <w:szCs w:val="22"/>
          <w:lang w:val="en-GB"/>
        </w:rPr>
        <w:t xml:space="preserve">Building on this insight, </w:t>
      </w:r>
      <w:r w:rsidR="008E3E2C" w:rsidRPr="003567D3">
        <w:rPr>
          <w:rFonts w:ascii="Arial" w:hAnsi="Arial" w:cs="Arial"/>
          <w:color w:val="000000" w:themeColor="text1"/>
          <w:sz w:val="22"/>
          <w:szCs w:val="22"/>
          <w:lang w:val="en-GB"/>
        </w:rPr>
        <w:t xml:space="preserve">Evans-Pritchard notes that in order to </w:t>
      </w:r>
      <w:r w:rsidR="008E3E2C" w:rsidRPr="003567D3">
        <w:rPr>
          <w:rFonts w:ascii="Arial" w:hAnsi="Arial" w:cs="Arial"/>
          <w:color w:val="000000" w:themeColor="text1"/>
          <w:sz w:val="22"/>
          <w:szCs w:val="22"/>
          <w:lang w:val="en-GB"/>
        </w:rPr>
        <w:t>verify the veracity of the oracle, the Azande will employ a linguistic technique to ask the same question as an inversion.</w:t>
      </w:r>
      <w:r w:rsidR="008E3E2C" w:rsidRPr="003567D3">
        <w:rPr>
          <w:rStyle w:val="FootnoteReference"/>
          <w:rFonts w:ascii="Arial" w:hAnsi="Arial" w:cs="Arial"/>
          <w:color w:val="000000" w:themeColor="text1"/>
          <w:sz w:val="22"/>
          <w:szCs w:val="22"/>
          <w:lang w:val="en-GB"/>
        </w:rPr>
        <w:footnoteReference w:id="25"/>
      </w:r>
      <w:r w:rsidR="008E3E2C" w:rsidRPr="003567D3">
        <w:rPr>
          <w:rFonts w:ascii="Arial" w:hAnsi="Arial" w:cs="Arial"/>
          <w:color w:val="000000" w:themeColor="text1"/>
          <w:sz w:val="22"/>
          <w:szCs w:val="22"/>
          <w:lang w:val="en-GB"/>
        </w:rPr>
        <w:t xml:space="preserve"> </w:t>
      </w:r>
      <w:r w:rsidR="00847124" w:rsidRPr="003567D3">
        <w:rPr>
          <w:rFonts w:ascii="Arial" w:hAnsi="Arial" w:cs="Arial"/>
          <w:color w:val="000000" w:themeColor="text1"/>
          <w:sz w:val="22"/>
          <w:szCs w:val="22"/>
          <w:lang w:val="en-GB"/>
        </w:rPr>
        <w:t>By leveraging this phraseological and linguistic approach, the Azande create conditions in which to establish</w:t>
      </w:r>
      <w:r w:rsidR="00CF1B12" w:rsidRPr="003567D3">
        <w:rPr>
          <w:rFonts w:ascii="Arial" w:hAnsi="Arial" w:cs="Arial"/>
          <w:color w:val="000000" w:themeColor="text1"/>
          <w:sz w:val="22"/>
          <w:szCs w:val="22"/>
          <w:lang w:val="en-GB"/>
        </w:rPr>
        <w:t xml:space="preserve"> and affirm</w:t>
      </w:r>
      <w:r w:rsidR="00847124" w:rsidRPr="003567D3">
        <w:rPr>
          <w:rFonts w:ascii="Arial" w:hAnsi="Arial" w:cs="Arial"/>
          <w:color w:val="000000" w:themeColor="text1"/>
          <w:sz w:val="22"/>
          <w:szCs w:val="22"/>
          <w:lang w:val="en-GB"/>
        </w:rPr>
        <w:t xml:space="preserve"> the oracle’s infallibility by demonstrating its </w:t>
      </w:r>
      <w:r w:rsidR="00CF1B12" w:rsidRPr="003567D3">
        <w:rPr>
          <w:rFonts w:ascii="Arial" w:hAnsi="Arial" w:cs="Arial"/>
          <w:color w:val="000000" w:themeColor="text1"/>
          <w:sz w:val="22"/>
          <w:szCs w:val="22"/>
          <w:lang w:val="en-GB"/>
        </w:rPr>
        <w:t>willingness to</w:t>
      </w:r>
      <w:r w:rsidR="00847124" w:rsidRPr="003567D3">
        <w:rPr>
          <w:rFonts w:ascii="Arial" w:hAnsi="Arial" w:cs="Arial"/>
          <w:color w:val="000000" w:themeColor="text1"/>
          <w:sz w:val="22"/>
          <w:szCs w:val="22"/>
          <w:lang w:val="en-GB"/>
        </w:rPr>
        <w:t xml:space="preserve"> meaningfully engage with the question at hand and </w:t>
      </w:r>
      <w:r w:rsidR="00CF1B12" w:rsidRPr="003567D3">
        <w:rPr>
          <w:rFonts w:ascii="Arial" w:hAnsi="Arial" w:cs="Arial"/>
          <w:color w:val="000000" w:themeColor="text1"/>
          <w:sz w:val="22"/>
          <w:szCs w:val="22"/>
          <w:lang w:val="en-GB"/>
        </w:rPr>
        <w:t>discriminate</w:t>
      </w:r>
      <w:r w:rsidR="00847124" w:rsidRPr="003567D3">
        <w:rPr>
          <w:rFonts w:ascii="Arial" w:hAnsi="Arial" w:cs="Arial"/>
          <w:color w:val="000000" w:themeColor="text1"/>
          <w:sz w:val="22"/>
          <w:szCs w:val="22"/>
          <w:lang w:val="en-GB"/>
        </w:rPr>
        <w:t xml:space="preserve"> </w:t>
      </w:r>
      <w:r w:rsidR="00847124" w:rsidRPr="003567D3">
        <w:rPr>
          <w:rFonts w:ascii="Arial" w:hAnsi="Arial" w:cs="Arial"/>
          <w:color w:val="000000" w:themeColor="text1"/>
          <w:sz w:val="22"/>
          <w:szCs w:val="22"/>
          <w:lang w:val="en-GB"/>
        </w:rPr>
        <w:lastRenderedPageBreak/>
        <w:t>when to kill certain fowls and not others.</w:t>
      </w:r>
      <w:r w:rsidR="00847124" w:rsidRPr="003567D3">
        <w:rPr>
          <w:rStyle w:val="FootnoteReference"/>
          <w:rFonts w:ascii="Arial" w:hAnsi="Arial" w:cs="Arial"/>
          <w:color w:val="000000" w:themeColor="text1"/>
          <w:sz w:val="22"/>
          <w:szCs w:val="22"/>
          <w:lang w:val="en-GB"/>
        </w:rPr>
        <w:footnoteReference w:id="26"/>
      </w:r>
      <w:r w:rsidR="00847124" w:rsidRPr="003567D3">
        <w:rPr>
          <w:rFonts w:ascii="Arial" w:hAnsi="Arial" w:cs="Arial"/>
          <w:color w:val="000000" w:themeColor="text1"/>
          <w:sz w:val="22"/>
          <w:szCs w:val="22"/>
          <w:lang w:val="en-GB"/>
        </w:rPr>
        <w:t xml:space="preserve"> </w:t>
      </w:r>
      <w:r w:rsidR="008E3E2C" w:rsidRPr="003567D3">
        <w:rPr>
          <w:rFonts w:ascii="Arial" w:hAnsi="Arial" w:cs="Arial"/>
          <w:color w:val="000000" w:themeColor="text1"/>
          <w:sz w:val="22"/>
          <w:szCs w:val="22"/>
          <w:lang w:val="en-GB"/>
        </w:rPr>
        <w:t xml:space="preserve">Thus, it is expected that one question posed to the oracle in both a positive and a negative form will result in a valid verdict </w:t>
      </w:r>
      <w:r w:rsidR="00847124" w:rsidRPr="003567D3">
        <w:rPr>
          <w:rFonts w:ascii="Arial" w:hAnsi="Arial" w:cs="Arial"/>
          <w:color w:val="000000" w:themeColor="text1"/>
          <w:sz w:val="22"/>
          <w:szCs w:val="22"/>
          <w:lang w:val="en-GB"/>
        </w:rPr>
        <w:t>indicated</w:t>
      </w:r>
      <w:r w:rsidR="008E3E2C" w:rsidRPr="003567D3">
        <w:rPr>
          <w:rFonts w:ascii="Arial" w:hAnsi="Arial" w:cs="Arial"/>
          <w:color w:val="000000" w:themeColor="text1"/>
          <w:sz w:val="22"/>
          <w:szCs w:val="22"/>
          <w:lang w:val="en-GB"/>
        </w:rPr>
        <w:t xml:space="preserve"> by the death of one fowl and the survival of another.</w:t>
      </w:r>
      <w:r w:rsidR="008E3E2C" w:rsidRPr="003567D3">
        <w:rPr>
          <w:rStyle w:val="FootnoteReference"/>
          <w:rFonts w:ascii="Arial" w:hAnsi="Arial" w:cs="Arial"/>
          <w:color w:val="000000" w:themeColor="text1"/>
          <w:sz w:val="22"/>
          <w:szCs w:val="22"/>
          <w:lang w:val="en-GB"/>
        </w:rPr>
        <w:footnoteReference w:id="27"/>
      </w:r>
      <w:r w:rsidR="008E3E2C" w:rsidRPr="003567D3">
        <w:rPr>
          <w:rFonts w:ascii="Arial" w:hAnsi="Arial" w:cs="Arial"/>
          <w:color w:val="000000" w:themeColor="text1"/>
          <w:sz w:val="22"/>
          <w:szCs w:val="22"/>
          <w:lang w:val="en-GB"/>
        </w:rPr>
        <w:t xml:space="preserve"> </w:t>
      </w:r>
      <w:r w:rsidR="004E5BB7" w:rsidRPr="003567D3">
        <w:rPr>
          <w:rFonts w:ascii="Arial" w:hAnsi="Arial" w:cs="Arial"/>
          <w:color w:val="000000" w:themeColor="text1"/>
          <w:sz w:val="22"/>
          <w:szCs w:val="22"/>
          <w:lang w:val="en-GB"/>
        </w:rPr>
        <w:t xml:space="preserve">It is </w:t>
      </w:r>
      <w:r w:rsidR="00773E32" w:rsidRPr="003567D3">
        <w:rPr>
          <w:rFonts w:ascii="Arial" w:hAnsi="Arial" w:cs="Arial"/>
          <w:color w:val="000000" w:themeColor="text1"/>
          <w:sz w:val="22"/>
          <w:szCs w:val="22"/>
          <w:lang w:val="en-GB"/>
        </w:rPr>
        <w:t xml:space="preserve">only by </w:t>
      </w:r>
      <w:r w:rsidR="00CF1B12" w:rsidRPr="003567D3">
        <w:rPr>
          <w:rFonts w:ascii="Arial" w:hAnsi="Arial" w:cs="Arial"/>
          <w:color w:val="000000" w:themeColor="text1"/>
          <w:sz w:val="22"/>
          <w:szCs w:val="22"/>
          <w:lang w:val="en-GB"/>
        </w:rPr>
        <w:t>understanding</w:t>
      </w:r>
      <w:r w:rsidR="00773E32" w:rsidRPr="003567D3">
        <w:rPr>
          <w:rFonts w:ascii="Arial" w:hAnsi="Arial" w:cs="Arial"/>
          <w:color w:val="000000" w:themeColor="text1"/>
          <w:sz w:val="22"/>
          <w:szCs w:val="22"/>
          <w:lang w:val="en-GB"/>
        </w:rPr>
        <w:t xml:space="preserve"> the </w:t>
      </w:r>
      <w:r w:rsidR="00CF1B12" w:rsidRPr="003567D3">
        <w:rPr>
          <w:rFonts w:ascii="Arial" w:hAnsi="Arial" w:cs="Arial"/>
          <w:color w:val="000000" w:themeColor="text1"/>
          <w:sz w:val="22"/>
          <w:szCs w:val="22"/>
          <w:lang w:val="en-GB"/>
        </w:rPr>
        <w:t xml:space="preserve">intricacies of </w:t>
      </w:r>
      <w:r w:rsidR="00773E32" w:rsidRPr="003567D3">
        <w:rPr>
          <w:rFonts w:ascii="Arial" w:hAnsi="Arial" w:cs="Arial"/>
          <w:color w:val="000000" w:themeColor="text1"/>
          <w:sz w:val="22"/>
          <w:szCs w:val="22"/>
          <w:lang w:val="en-GB"/>
        </w:rPr>
        <w:t>Azande language that Evans-Pritchard</w:t>
      </w:r>
      <w:r w:rsidR="004E5BB7" w:rsidRPr="003567D3">
        <w:rPr>
          <w:rFonts w:ascii="Arial" w:hAnsi="Arial" w:cs="Arial"/>
          <w:color w:val="000000" w:themeColor="text1"/>
          <w:sz w:val="22"/>
          <w:szCs w:val="22"/>
          <w:lang w:val="en-GB"/>
        </w:rPr>
        <w:t xml:space="preserve"> could grasp the importance of semantic </w:t>
      </w:r>
      <w:r w:rsidR="00773E32" w:rsidRPr="003567D3">
        <w:rPr>
          <w:rFonts w:ascii="Arial" w:hAnsi="Arial" w:cs="Arial"/>
          <w:color w:val="000000" w:themeColor="text1"/>
          <w:sz w:val="22"/>
          <w:szCs w:val="22"/>
          <w:lang w:val="en-GB"/>
        </w:rPr>
        <w:t>specificity and the corresponding cultural cosmology surrounding the sentience</w:t>
      </w:r>
      <w:r w:rsidR="008E3E2C" w:rsidRPr="003567D3">
        <w:rPr>
          <w:rFonts w:ascii="Arial" w:hAnsi="Arial" w:cs="Arial"/>
          <w:color w:val="000000" w:themeColor="text1"/>
          <w:sz w:val="22"/>
          <w:szCs w:val="22"/>
          <w:lang w:val="en-GB"/>
        </w:rPr>
        <w:t xml:space="preserve"> and perceived infallibility</w:t>
      </w:r>
      <w:r w:rsidR="00773E32" w:rsidRPr="003567D3">
        <w:rPr>
          <w:rFonts w:ascii="Arial" w:hAnsi="Arial" w:cs="Arial"/>
          <w:color w:val="000000" w:themeColor="text1"/>
          <w:sz w:val="22"/>
          <w:szCs w:val="22"/>
          <w:lang w:val="en-GB"/>
        </w:rPr>
        <w:t xml:space="preserve"> of the poison oracle.  </w:t>
      </w:r>
    </w:p>
    <w:p w14:paraId="77A3C7AB" w14:textId="77777777" w:rsidR="00720F72" w:rsidRPr="003567D3" w:rsidRDefault="00773E32"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ab/>
      </w:r>
    </w:p>
    <w:p w14:paraId="55C7C3F9" w14:textId="6D96F7AC" w:rsidR="00773E32" w:rsidRPr="003567D3" w:rsidRDefault="008C2014" w:rsidP="003567D3">
      <w:pPr>
        <w:spacing w:line="276" w:lineRule="auto"/>
        <w:ind w:firstLine="720"/>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This intimate understanding of applied linguistics also enables contemporary scholars to </w:t>
      </w:r>
      <w:r w:rsidR="00A107CF" w:rsidRPr="003567D3">
        <w:rPr>
          <w:rFonts w:ascii="Arial" w:hAnsi="Arial" w:cs="Arial"/>
          <w:color w:val="000000" w:themeColor="text1"/>
          <w:sz w:val="22"/>
          <w:szCs w:val="22"/>
          <w:lang w:val="en-GB"/>
        </w:rPr>
        <w:t>reveal ancient cosmologies</w:t>
      </w:r>
      <w:r w:rsidRPr="003567D3">
        <w:rPr>
          <w:rFonts w:ascii="Arial" w:hAnsi="Arial" w:cs="Arial"/>
          <w:color w:val="000000" w:themeColor="text1"/>
          <w:sz w:val="22"/>
          <w:szCs w:val="22"/>
          <w:lang w:val="en-GB"/>
        </w:rPr>
        <w:t xml:space="preserve"> encoded in</w:t>
      </w:r>
      <w:r w:rsidR="00A107CF" w:rsidRPr="003567D3">
        <w:rPr>
          <w:rFonts w:ascii="Arial" w:hAnsi="Arial" w:cs="Arial"/>
          <w:color w:val="000000" w:themeColor="text1"/>
          <w:sz w:val="22"/>
          <w:szCs w:val="22"/>
          <w:lang w:val="en-GB"/>
        </w:rPr>
        <w:t>to</w:t>
      </w:r>
      <w:r w:rsidRPr="003567D3">
        <w:rPr>
          <w:rFonts w:ascii="Arial" w:hAnsi="Arial" w:cs="Arial"/>
          <w:color w:val="000000" w:themeColor="text1"/>
          <w:sz w:val="22"/>
          <w:szCs w:val="22"/>
          <w:lang w:val="en-GB"/>
        </w:rPr>
        <w:t xml:space="preserve"> the </w:t>
      </w:r>
      <w:r w:rsidR="00A107CF" w:rsidRPr="003567D3">
        <w:rPr>
          <w:rFonts w:ascii="Arial" w:hAnsi="Arial" w:cs="Arial"/>
          <w:color w:val="000000" w:themeColor="text1"/>
          <w:sz w:val="22"/>
          <w:szCs w:val="22"/>
          <w:lang w:val="en-GB"/>
        </w:rPr>
        <w:t xml:space="preserve">divinatory </w:t>
      </w:r>
      <w:r w:rsidRPr="003567D3">
        <w:rPr>
          <w:rFonts w:ascii="Arial" w:hAnsi="Arial" w:cs="Arial"/>
          <w:color w:val="000000" w:themeColor="text1"/>
          <w:sz w:val="22"/>
          <w:szCs w:val="22"/>
          <w:lang w:val="en-GB"/>
        </w:rPr>
        <w:t>language</w:t>
      </w:r>
      <w:r w:rsidR="00A107CF" w:rsidRPr="003567D3">
        <w:rPr>
          <w:rFonts w:ascii="Arial" w:hAnsi="Arial" w:cs="Arial"/>
          <w:color w:val="000000" w:themeColor="text1"/>
          <w:sz w:val="22"/>
          <w:szCs w:val="22"/>
          <w:lang w:val="en-GB"/>
        </w:rPr>
        <w:t xml:space="preserve"> used during antiquity.</w:t>
      </w:r>
      <w:r w:rsidRPr="003567D3">
        <w:rPr>
          <w:rFonts w:ascii="Arial" w:hAnsi="Arial" w:cs="Arial"/>
          <w:color w:val="000000" w:themeColor="text1"/>
          <w:sz w:val="22"/>
          <w:szCs w:val="22"/>
          <w:lang w:val="en-GB"/>
        </w:rPr>
        <w:t xml:space="preserve"> </w:t>
      </w:r>
      <w:r w:rsidR="00773E32" w:rsidRPr="003567D3">
        <w:rPr>
          <w:rFonts w:ascii="Arial" w:hAnsi="Arial" w:cs="Arial"/>
          <w:color w:val="000000" w:themeColor="text1"/>
          <w:sz w:val="22"/>
          <w:szCs w:val="22"/>
          <w:lang w:val="en-GB"/>
        </w:rPr>
        <w:t xml:space="preserve">In </w:t>
      </w:r>
      <w:r w:rsidR="003E43BE" w:rsidRPr="003567D3">
        <w:rPr>
          <w:rFonts w:ascii="Arial" w:hAnsi="Arial" w:cs="Arial"/>
          <w:color w:val="000000" w:themeColor="text1"/>
          <w:sz w:val="22"/>
          <w:szCs w:val="22"/>
          <w:lang w:val="en-GB"/>
        </w:rPr>
        <w:t>examining</w:t>
      </w:r>
      <w:r w:rsidR="00773E32" w:rsidRPr="003567D3">
        <w:rPr>
          <w:rFonts w:ascii="Arial" w:hAnsi="Arial" w:cs="Arial"/>
          <w:color w:val="000000" w:themeColor="text1"/>
          <w:sz w:val="22"/>
          <w:szCs w:val="22"/>
          <w:lang w:val="en-GB"/>
        </w:rPr>
        <w:t xml:space="preserve"> </w:t>
      </w:r>
      <w:r w:rsidR="008557A1" w:rsidRPr="003567D3">
        <w:rPr>
          <w:rFonts w:ascii="Arial" w:hAnsi="Arial" w:cs="Arial"/>
          <w:color w:val="000000" w:themeColor="text1"/>
          <w:sz w:val="22"/>
          <w:szCs w:val="22"/>
          <w:lang w:val="en-GB"/>
        </w:rPr>
        <w:t xml:space="preserve">tablets </w:t>
      </w:r>
      <w:r w:rsidR="00773E32" w:rsidRPr="003567D3">
        <w:rPr>
          <w:rFonts w:ascii="Arial" w:hAnsi="Arial" w:cs="Arial"/>
          <w:color w:val="000000" w:themeColor="text1"/>
          <w:sz w:val="22"/>
          <w:szCs w:val="22"/>
          <w:lang w:val="en-GB"/>
        </w:rPr>
        <w:t xml:space="preserve">from </w:t>
      </w:r>
      <w:r w:rsidR="003E43BE" w:rsidRPr="003567D3">
        <w:rPr>
          <w:rFonts w:ascii="Arial" w:hAnsi="Arial" w:cs="Arial"/>
          <w:color w:val="000000" w:themeColor="text1"/>
          <w:sz w:val="22"/>
          <w:szCs w:val="22"/>
          <w:lang w:val="en-GB"/>
        </w:rPr>
        <w:t xml:space="preserve">the Oracular </w:t>
      </w:r>
      <w:r w:rsidR="008557A1" w:rsidRPr="003567D3">
        <w:rPr>
          <w:rFonts w:ascii="Arial" w:hAnsi="Arial" w:cs="Arial"/>
          <w:color w:val="000000" w:themeColor="text1"/>
          <w:sz w:val="22"/>
          <w:szCs w:val="22"/>
          <w:lang w:val="en-GB"/>
        </w:rPr>
        <w:t xml:space="preserve">Temple in Dodona, </w:t>
      </w:r>
      <w:proofErr w:type="spellStart"/>
      <w:r w:rsidR="008557A1" w:rsidRPr="003567D3">
        <w:rPr>
          <w:rFonts w:ascii="Arial" w:hAnsi="Arial" w:cs="Arial"/>
          <w:color w:val="000000" w:themeColor="text1"/>
          <w:sz w:val="22"/>
          <w:szCs w:val="22"/>
          <w:lang w:val="en-GB"/>
        </w:rPr>
        <w:t>Eidinow</w:t>
      </w:r>
      <w:proofErr w:type="spellEnd"/>
      <w:r w:rsidR="008557A1" w:rsidRPr="003567D3">
        <w:rPr>
          <w:rFonts w:ascii="Arial" w:hAnsi="Arial" w:cs="Arial"/>
          <w:color w:val="000000" w:themeColor="text1"/>
          <w:sz w:val="22"/>
          <w:szCs w:val="22"/>
          <w:lang w:val="en-GB"/>
        </w:rPr>
        <w:t xml:space="preserve"> </w:t>
      </w:r>
      <w:r w:rsidR="003E43BE" w:rsidRPr="003567D3">
        <w:rPr>
          <w:rFonts w:ascii="Arial" w:hAnsi="Arial" w:cs="Arial"/>
          <w:color w:val="000000" w:themeColor="text1"/>
          <w:sz w:val="22"/>
          <w:szCs w:val="22"/>
          <w:lang w:val="en-GB"/>
        </w:rPr>
        <w:t>applies a similar linguistic approach to reveal complementary insights about the relationship between language and ancient Greek cosmology. In critically analysing questions posed to the oracle, she argues that:</w:t>
      </w:r>
    </w:p>
    <w:p w14:paraId="260984CF" w14:textId="77777777" w:rsidR="00773E32" w:rsidRPr="003567D3" w:rsidRDefault="00773E32" w:rsidP="003567D3">
      <w:pPr>
        <w:spacing w:line="276" w:lineRule="auto"/>
        <w:ind w:firstLine="720"/>
        <w:rPr>
          <w:rFonts w:ascii="Arial" w:hAnsi="Arial" w:cs="Arial"/>
          <w:color w:val="000000" w:themeColor="text1"/>
          <w:sz w:val="22"/>
          <w:szCs w:val="22"/>
          <w:lang w:val="en-GB"/>
        </w:rPr>
      </w:pPr>
    </w:p>
    <w:p w14:paraId="2965AC5B" w14:textId="24D0CBBA" w:rsidR="008557A1" w:rsidRPr="003567D3" w:rsidRDefault="00773E32" w:rsidP="003567D3">
      <w:pPr>
        <w:spacing w:line="276" w:lineRule="auto"/>
        <w:ind w:left="1440" w:right="1440"/>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the </w:t>
      </w:r>
      <w:r w:rsidR="008557A1" w:rsidRPr="003567D3">
        <w:rPr>
          <w:rFonts w:ascii="Arial" w:hAnsi="Arial" w:cs="Arial"/>
          <w:color w:val="000000" w:themeColor="text1"/>
          <w:sz w:val="22"/>
          <w:szCs w:val="22"/>
          <w:lang w:val="en-GB"/>
        </w:rPr>
        <w:t xml:space="preserve">ways in which [querants] asked their questions </w:t>
      </w:r>
      <w:r w:rsidR="008557A1" w:rsidRPr="008557A1">
        <w:rPr>
          <w:rFonts w:ascii="Arial" w:hAnsi="Arial" w:cs="Arial"/>
          <w:color w:val="000000" w:themeColor="text1"/>
          <w:sz w:val="22"/>
          <w:szCs w:val="22"/>
        </w:rPr>
        <w:t>helps us to understand</w:t>
      </w:r>
      <w:r w:rsidR="00A32C08" w:rsidRPr="003567D3">
        <w:rPr>
          <w:rFonts w:ascii="Arial" w:hAnsi="Arial" w:cs="Arial"/>
          <w:color w:val="000000" w:themeColor="text1"/>
          <w:sz w:val="22"/>
          <w:szCs w:val="22"/>
          <w:lang w:val="en-GB"/>
        </w:rPr>
        <w:t xml:space="preserve"> </w:t>
      </w:r>
      <w:r w:rsidR="008557A1" w:rsidRPr="008557A1">
        <w:rPr>
          <w:rFonts w:ascii="Arial" w:hAnsi="Arial" w:cs="Arial"/>
          <w:color w:val="000000" w:themeColor="text1"/>
          <w:sz w:val="22"/>
          <w:szCs w:val="22"/>
        </w:rPr>
        <w:t>the way consultants thought about the risks ahead: what kind of divine</w:t>
      </w:r>
      <w:r w:rsidR="00A32C08" w:rsidRPr="003567D3">
        <w:rPr>
          <w:rFonts w:ascii="Arial" w:hAnsi="Arial" w:cs="Arial"/>
          <w:color w:val="000000" w:themeColor="text1"/>
          <w:sz w:val="22"/>
          <w:szCs w:val="22"/>
          <w:lang w:val="en-GB"/>
        </w:rPr>
        <w:t xml:space="preserve"> </w:t>
      </w:r>
      <w:r w:rsidR="008557A1" w:rsidRPr="008557A1">
        <w:rPr>
          <w:rFonts w:ascii="Arial" w:hAnsi="Arial" w:cs="Arial"/>
          <w:color w:val="000000" w:themeColor="text1"/>
          <w:sz w:val="22"/>
          <w:szCs w:val="22"/>
        </w:rPr>
        <w:t>guidance they sought, what this indicates</w:t>
      </w:r>
      <w:r w:rsidR="00A32C08" w:rsidRPr="003567D3">
        <w:rPr>
          <w:rFonts w:ascii="Arial" w:hAnsi="Arial" w:cs="Arial"/>
          <w:color w:val="000000" w:themeColor="text1"/>
          <w:sz w:val="22"/>
          <w:szCs w:val="22"/>
        </w:rPr>
        <w:t xml:space="preserve"> </w:t>
      </w:r>
      <w:r w:rsidR="008557A1" w:rsidRPr="008557A1">
        <w:rPr>
          <w:rFonts w:ascii="Arial" w:hAnsi="Arial" w:cs="Arial"/>
          <w:color w:val="000000" w:themeColor="text1"/>
          <w:sz w:val="22"/>
          <w:szCs w:val="22"/>
        </w:rPr>
        <w:t>about their understanding of their</w:t>
      </w:r>
      <w:r w:rsidR="00A32C08" w:rsidRPr="003567D3">
        <w:rPr>
          <w:rFonts w:ascii="Arial" w:hAnsi="Arial" w:cs="Arial"/>
          <w:color w:val="000000" w:themeColor="text1"/>
          <w:sz w:val="22"/>
          <w:szCs w:val="22"/>
          <w:lang w:val="en-GB"/>
        </w:rPr>
        <w:t xml:space="preserve"> </w:t>
      </w:r>
      <w:r w:rsidR="008557A1" w:rsidRPr="008557A1">
        <w:rPr>
          <w:rFonts w:ascii="Arial" w:hAnsi="Arial" w:cs="Arial"/>
          <w:color w:val="000000" w:themeColor="text1"/>
          <w:sz w:val="22"/>
          <w:szCs w:val="22"/>
        </w:rPr>
        <w:t>relationship with the gods and its potency in different parts of their lives, and</w:t>
      </w:r>
      <w:r w:rsidR="00A32C08" w:rsidRPr="003567D3">
        <w:rPr>
          <w:rFonts w:ascii="Arial" w:hAnsi="Arial" w:cs="Arial"/>
          <w:color w:val="000000" w:themeColor="text1"/>
          <w:sz w:val="22"/>
          <w:szCs w:val="22"/>
          <w:lang w:val="en-GB"/>
        </w:rPr>
        <w:t xml:space="preserve"> </w:t>
      </w:r>
      <w:r w:rsidR="008557A1" w:rsidRPr="003567D3">
        <w:rPr>
          <w:rFonts w:ascii="Arial" w:hAnsi="Arial" w:cs="Arial"/>
          <w:color w:val="000000" w:themeColor="text1"/>
          <w:sz w:val="22"/>
          <w:szCs w:val="22"/>
        </w:rPr>
        <w:t>their perception of their own autonomy.</w:t>
      </w:r>
      <w:r w:rsidR="003E43BE" w:rsidRPr="003567D3">
        <w:rPr>
          <w:rFonts w:ascii="Arial" w:hAnsi="Arial" w:cs="Arial"/>
          <w:color w:val="000000" w:themeColor="text1"/>
          <w:sz w:val="22"/>
          <w:szCs w:val="22"/>
        </w:rPr>
        <w:t xml:space="preserve"> </w:t>
      </w:r>
      <w:r w:rsidR="003E43BE" w:rsidRPr="003567D3">
        <w:rPr>
          <w:rStyle w:val="FootnoteReference"/>
          <w:rFonts w:ascii="Arial" w:hAnsi="Arial" w:cs="Arial"/>
          <w:color w:val="000000" w:themeColor="text1"/>
          <w:sz w:val="22"/>
          <w:szCs w:val="22"/>
        </w:rPr>
        <w:footnoteReference w:id="28"/>
      </w:r>
      <w:r w:rsidR="008557A1" w:rsidRPr="003567D3">
        <w:rPr>
          <w:rFonts w:ascii="Arial" w:hAnsi="Arial" w:cs="Arial"/>
          <w:color w:val="000000" w:themeColor="text1"/>
          <w:sz w:val="22"/>
          <w:szCs w:val="22"/>
          <w:lang w:val="en-GB"/>
        </w:rPr>
        <w:t xml:space="preserve"> </w:t>
      </w:r>
    </w:p>
    <w:p w14:paraId="5D0954F7" w14:textId="4A0D7546" w:rsidR="003E43BE" w:rsidRPr="003567D3" w:rsidRDefault="003E43BE" w:rsidP="003567D3">
      <w:pPr>
        <w:spacing w:line="276" w:lineRule="auto"/>
        <w:ind w:right="720"/>
        <w:rPr>
          <w:rFonts w:ascii="Arial" w:hAnsi="Arial" w:cs="Arial"/>
          <w:color w:val="000000" w:themeColor="text1"/>
          <w:sz w:val="22"/>
          <w:szCs w:val="22"/>
          <w:lang w:val="en-GB"/>
        </w:rPr>
      </w:pPr>
    </w:p>
    <w:p w14:paraId="0158EDB4" w14:textId="67BDD748" w:rsidR="003E43BE" w:rsidRPr="003567D3" w:rsidRDefault="003E43BE"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Building on her observations </w:t>
      </w:r>
      <w:r w:rsidR="00517B74" w:rsidRPr="003567D3">
        <w:rPr>
          <w:rFonts w:ascii="Arial" w:hAnsi="Arial" w:cs="Arial"/>
          <w:color w:val="000000" w:themeColor="text1"/>
          <w:sz w:val="22"/>
          <w:szCs w:val="22"/>
          <w:lang w:val="en-GB"/>
        </w:rPr>
        <w:t>in applied linguistics</w:t>
      </w:r>
      <w:r w:rsidRPr="003567D3">
        <w:rPr>
          <w:rFonts w:ascii="Arial" w:hAnsi="Arial" w:cs="Arial"/>
          <w:color w:val="000000" w:themeColor="text1"/>
          <w:sz w:val="22"/>
          <w:szCs w:val="22"/>
          <w:lang w:val="en-GB"/>
        </w:rPr>
        <w:t xml:space="preserve">, </w:t>
      </w:r>
      <w:proofErr w:type="spellStart"/>
      <w:r w:rsidRPr="003567D3">
        <w:rPr>
          <w:rFonts w:ascii="Arial" w:hAnsi="Arial" w:cs="Arial"/>
          <w:color w:val="000000" w:themeColor="text1"/>
          <w:sz w:val="22"/>
          <w:szCs w:val="22"/>
          <w:lang w:val="en-GB"/>
        </w:rPr>
        <w:t>Eidinow</w:t>
      </w:r>
      <w:proofErr w:type="spellEnd"/>
      <w:r w:rsidRPr="003567D3">
        <w:rPr>
          <w:rFonts w:ascii="Arial" w:hAnsi="Arial" w:cs="Arial"/>
          <w:color w:val="000000" w:themeColor="text1"/>
          <w:sz w:val="22"/>
          <w:szCs w:val="22"/>
          <w:lang w:val="en-GB"/>
        </w:rPr>
        <w:t xml:space="preserve"> also </w:t>
      </w:r>
      <w:r w:rsidR="00517B74" w:rsidRPr="003567D3">
        <w:rPr>
          <w:rFonts w:ascii="Arial" w:hAnsi="Arial" w:cs="Arial"/>
          <w:color w:val="000000" w:themeColor="text1"/>
          <w:sz w:val="22"/>
          <w:szCs w:val="22"/>
          <w:lang w:val="en-GB"/>
        </w:rPr>
        <w:t xml:space="preserve">considered how questions were phrased in order to understand the nature and scope of divine knowledge. </w:t>
      </w:r>
      <w:r w:rsidR="00074F69" w:rsidRPr="003567D3">
        <w:rPr>
          <w:rFonts w:ascii="Arial" w:hAnsi="Arial" w:cs="Arial"/>
          <w:color w:val="000000" w:themeColor="text1"/>
          <w:sz w:val="22"/>
          <w:szCs w:val="22"/>
          <w:lang w:val="en-GB"/>
        </w:rPr>
        <w:t>For example, there is a considerable difference between asking ‘how can I be successful?’ compared to ‘will I be successful if …?’ in that both questions seek vastly different answers.</w:t>
      </w:r>
      <w:r w:rsidR="00517B74" w:rsidRPr="003567D3">
        <w:rPr>
          <w:rFonts w:ascii="Arial" w:hAnsi="Arial" w:cs="Arial"/>
          <w:color w:val="000000" w:themeColor="text1"/>
          <w:sz w:val="22"/>
          <w:szCs w:val="22"/>
          <w:lang w:val="en-GB"/>
        </w:rPr>
        <w:t xml:space="preserve"> As the former is more open-ended, it requires a lengthy and possibly complicated response. By contrast, the latter places the onus on the querent to be productive in finding or suggesting potential solutions, </w:t>
      </w:r>
      <w:r w:rsidR="00074F69" w:rsidRPr="003567D3">
        <w:rPr>
          <w:rFonts w:ascii="Arial" w:hAnsi="Arial" w:cs="Arial"/>
          <w:color w:val="000000" w:themeColor="text1"/>
          <w:sz w:val="22"/>
          <w:szCs w:val="22"/>
          <w:lang w:val="en-GB"/>
        </w:rPr>
        <w:t xml:space="preserve">and therefore asks </w:t>
      </w:r>
      <w:r w:rsidR="00517B74" w:rsidRPr="003567D3">
        <w:rPr>
          <w:rFonts w:ascii="Arial" w:hAnsi="Arial" w:cs="Arial"/>
          <w:color w:val="000000" w:themeColor="text1"/>
          <w:sz w:val="22"/>
          <w:szCs w:val="22"/>
          <w:lang w:val="en-GB"/>
        </w:rPr>
        <w:t>only for confirmation</w:t>
      </w:r>
      <w:r w:rsidR="00074F69" w:rsidRPr="003567D3">
        <w:rPr>
          <w:rFonts w:ascii="Arial" w:hAnsi="Arial" w:cs="Arial"/>
          <w:color w:val="000000" w:themeColor="text1"/>
          <w:sz w:val="22"/>
          <w:szCs w:val="22"/>
          <w:lang w:val="en-GB"/>
        </w:rPr>
        <w:t xml:space="preserve"> or affirmation</w:t>
      </w:r>
      <w:r w:rsidR="00517B74" w:rsidRPr="003567D3">
        <w:rPr>
          <w:rFonts w:ascii="Arial" w:hAnsi="Arial" w:cs="Arial"/>
          <w:color w:val="000000" w:themeColor="text1"/>
          <w:sz w:val="22"/>
          <w:szCs w:val="22"/>
          <w:lang w:val="en-GB"/>
        </w:rPr>
        <w:t>. In considering similar nuances in how questions are articulated at Dodona, E</w:t>
      </w:r>
      <w:proofErr w:type="spellStart"/>
      <w:r w:rsidR="00517B74" w:rsidRPr="003567D3">
        <w:rPr>
          <w:rFonts w:ascii="Arial" w:hAnsi="Arial" w:cs="Arial"/>
          <w:color w:val="000000" w:themeColor="text1"/>
          <w:sz w:val="22"/>
          <w:szCs w:val="22"/>
          <w:lang w:val="en-GB"/>
        </w:rPr>
        <w:t>idinow</w:t>
      </w:r>
      <w:proofErr w:type="spellEnd"/>
      <w:r w:rsidR="00517B74" w:rsidRPr="003567D3">
        <w:rPr>
          <w:rFonts w:ascii="Arial" w:hAnsi="Arial" w:cs="Arial"/>
          <w:color w:val="000000" w:themeColor="text1"/>
          <w:sz w:val="22"/>
          <w:szCs w:val="22"/>
          <w:lang w:val="en-GB"/>
        </w:rPr>
        <w:t xml:space="preserve"> finds that certain aspects of daily life such as procreation, health, and economic prosperity were more heavily dependent on divine will than others. </w:t>
      </w:r>
      <w:r w:rsidR="00D83F61" w:rsidRPr="003567D3">
        <w:rPr>
          <w:rFonts w:ascii="Arial" w:hAnsi="Arial" w:cs="Arial"/>
          <w:color w:val="000000" w:themeColor="text1"/>
          <w:sz w:val="22"/>
          <w:szCs w:val="22"/>
          <w:lang w:val="en-GB"/>
        </w:rPr>
        <w:t xml:space="preserve">Thus, it’s not only the contents of questions asked of the oracle, but the </w:t>
      </w:r>
      <w:r w:rsidR="00A17A1A" w:rsidRPr="003567D3">
        <w:rPr>
          <w:rFonts w:ascii="Arial" w:hAnsi="Arial" w:cs="Arial"/>
          <w:color w:val="000000" w:themeColor="text1"/>
          <w:sz w:val="22"/>
          <w:szCs w:val="22"/>
          <w:lang w:val="en-GB"/>
        </w:rPr>
        <w:t>specific idioms and expressions</w:t>
      </w:r>
      <w:r w:rsidR="00D83F61" w:rsidRPr="003567D3">
        <w:rPr>
          <w:rFonts w:ascii="Arial" w:hAnsi="Arial" w:cs="Arial"/>
          <w:color w:val="000000" w:themeColor="text1"/>
          <w:sz w:val="22"/>
          <w:szCs w:val="22"/>
          <w:lang w:val="en-GB"/>
        </w:rPr>
        <w:t xml:space="preserve"> </w:t>
      </w:r>
      <w:r w:rsidR="00A17A1A" w:rsidRPr="003567D3">
        <w:rPr>
          <w:rFonts w:ascii="Arial" w:hAnsi="Arial" w:cs="Arial"/>
          <w:color w:val="000000" w:themeColor="text1"/>
          <w:sz w:val="22"/>
          <w:szCs w:val="22"/>
          <w:lang w:val="en-GB"/>
        </w:rPr>
        <w:t>through</w:t>
      </w:r>
      <w:r w:rsidR="00D83F61" w:rsidRPr="003567D3">
        <w:rPr>
          <w:rFonts w:ascii="Arial" w:hAnsi="Arial" w:cs="Arial"/>
          <w:color w:val="000000" w:themeColor="text1"/>
          <w:sz w:val="22"/>
          <w:szCs w:val="22"/>
          <w:lang w:val="en-GB"/>
        </w:rPr>
        <w:t xml:space="preserve"> which those questions were phrased</w:t>
      </w:r>
      <w:r w:rsidR="00E57496" w:rsidRPr="003567D3">
        <w:rPr>
          <w:rFonts w:ascii="Arial" w:hAnsi="Arial" w:cs="Arial"/>
          <w:color w:val="000000" w:themeColor="text1"/>
          <w:sz w:val="22"/>
          <w:szCs w:val="22"/>
          <w:lang w:val="en-GB"/>
        </w:rPr>
        <w:t xml:space="preserve"> within their linguistic contex</w:t>
      </w:r>
      <w:r w:rsidR="00A17A1A" w:rsidRPr="003567D3">
        <w:rPr>
          <w:rFonts w:ascii="Arial" w:hAnsi="Arial" w:cs="Arial"/>
          <w:color w:val="000000" w:themeColor="text1"/>
          <w:sz w:val="22"/>
          <w:szCs w:val="22"/>
          <w:lang w:val="en-GB"/>
        </w:rPr>
        <w:t>t</w:t>
      </w:r>
      <w:r w:rsidR="00D83F61" w:rsidRPr="003567D3">
        <w:rPr>
          <w:rFonts w:ascii="Arial" w:hAnsi="Arial" w:cs="Arial"/>
          <w:color w:val="000000" w:themeColor="text1"/>
          <w:sz w:val="22"/>
          <w:szCs w:val="22"/>
          <w:lang w:val="en-GB"/>
        </w:rPr>
        <w:t xml:space="preserve"> that reveal a conceptual framework indicative of the roles that the gods played in everyday experience of ancient Greeks</w:t>
      </w:r>
      <w:r w:rsidR="00720F72" w:rsidRPr="003567D3">
        <w:rPr>
          <w:rFonts w:ascii="Arial" w:hAnsi="Arial" w:cs="Arial"/>
          <w:color w:val="000000" w:themeColor="text1"/>
          <w:sz w:val="22"/>
          <w:szCs w:val="22"/>
          <w:lang w:val="en-GB"/>
        </w:rPr>
        <w:t>.</w:t>
      </w:r>
      <w:r w:rsidR="00720F72" w:rsidRPr="003567D3">
        <w:rPr>
          <w:rStyle w:val="FootnoteReference"/>
          <w:rFonts w:ascii="Arial" w:hAnsi="Arial" w:cs="Arial"/>
          <w:color w:val="000000" w:themeColor="text1"/>
          <w:sz w:val="22"/>
          <w:szCs w:val="22"/>
          <w:lang w:val="en-GB"/>
        </w:rPr>
        <w:footnoteReference w:id="29"/>
      </w:r>
    </w:p>
    <w:p w14:paraId="027E2DB4" w14:textId="77777777" w:rsidR="00720F72" w:rsidRPr="003567D3" w:rsidRDefault="00720F72" w:rsidP="003567D3">
      <w:pPr>
        <w:spacing w:line="276" w:lineRule="auto"/>
        <w:ind w:firstLine="720"/>
        <w:rPr>
          <w:rFonts w:ascii="Arial" w:hAnsi="Arial" w:cs="Arial"/>
          <w:color w:val="000000" w:themeColor="text1"/>
          <w:sz w:val="22"/>
          <w:szCs w:val="22"/>
          <w:lang w:val="en-GB"/>
        </w:rPr>
      </w:pPr>
    </w:p>
    <w:p w14:paraId="19E5C4B4" w14:textId="1BE17141" w:rsidR="006D4CEB" w:rsidRPr="003567D3" w:rsidRDefault="00E57496" w:rsidP="003567D3">
      <w:pPr>
        <w:spacing w:line="276" w:lineRule="auto"/>
        <w:ind w:firstLine="720"/>
        <w:rPr>
          <w:rFonts w:ascii="Arial" w:hAnsi="Arial" w:cs="Arial"/>
          <w:color w:val="000000" w:themeColor="text1"/>
          <w:sz w:val="22"/>
          <w:szCs w:val="22"/>
          <w:lang w:val="en-GB"/>
        </w:rPr>
      </w:pPr>
      <w:r w:rsidRPr="003567D3">
        <w:rPr>
          <w:rFonts w:ascii="Arial" w:hAnsi="Arial" w:cs="Arial"/>
          <w:color w:val="000000" w:themeColor="text1"/>
          <w:sz w:val="22"/>
          <w:szCs w:val="22"/>
          <w:lang w:val="en-GB"/>
        </w:rPr>
        <w:t>Just as language can reveal insights into one’s cosmology,</w:t>
      </w:r>
      <w:r w:rsidR="00720F72" w:rsidRPr="003567D3">
        <w:rPr>
          <w:rFonts w:ascii="Arial" w:hAnsi="Arial" w:cs="Arial"/>
          <w:color w:val="000000" w:themeColor="text1"/>
          <w:sz w:val="22"/>
          <w:szCs w:val="22"/>
          <w:lang w:val="en-GB"/>
        </w:rPr>
        <w:t xml:space="preserve"> it can also obscure and conceal aspects of a culture—even from itself. In recounting the challenge of distinguishing between witchcraft and sorcery among the Azande, Evans-Pritchard laments that the concepts are difficult to describe because concepts of both within the community are fluid and ill-defined</w:t>
      </w:r>
      <w:r w:rsidR="002524EC" w:rsidRPr="003567D3">
        <w:rPr>
          <w:rFonts w:ascii="Arial" w:hAnsi="Arial" w:cs="Arial"/>
          <w:color w:val="000000" w:themeColor="text1"/>
          <w:sz w:val="22"/>
          <w:szCs w:val="22"/>
          <w:lang w:val="en-GB"/>
        </w:rPr>
        <w:t>.</w:t>
      </w:r>
      <w:r w:rsidR="002524EC" w:rsidRPr="003567D3">
        <w:rPr>
          <w:rStyle w:val="FootnoteReference"/>
          <w:rFonts w:ascii="Arial" w:hAnsi="Arial" w:cs="Arial"/>
          <w:color w:val="000000" w:themeColor="text1"/>
          <w:sz w:val="22"/>
          <w:szCs w:val="22"/>
          <w:lang w:val="en-GB"/>
        </w:rPr>
        <w:footnoteReference w:id="30"/>
      </w:r>
      <w:r w:rsidR="002524EC" w:rsidRPr="003567D3">
        <w:rPr>
          <w:rFonts w:ascii="Arial" w:hAnsi="Arial" w:cs="Arial"/>
          <w:color w:val="000000" w:themeColor="text1"/>
          <w:sz w:val="22"/>
          <w:szCs w:val="22"/>
          <w:lang w:val="en-GB"/>
        </w:rPr>
        <w:t xml:space="preserve"> Even </w:t>
      </w:r>
      <w:r w:rsidR="0077566B" w:rsidRPr="003567D3">
        <w:rPr>
          <w:rFonts w:ascii="Arial" w:hAnsi="Arial" w:cs="Arial"/>
          <w:color w:val="000000" w:themeColor="text1"/>
          <w:sz w:val="22"/>
          <w:szCs w:val="22"/>
          <w:lang w:val="en-GB"/>
        </w:rPr>
        <w:t>being proficient in a culture’s</w:t>
      </w:r>
      <w:r w:rsidR="002524EC" w:rsidRPr="003567D3">
        <w:rPr>
          <w:rFonts w:ascii="Arial" w:hAnsi="Arial" w:cs="Arial"/>
          <w:color w:val="000000" w:themeColor="text1"/>
          <w:sz w:val="22"/>
          <w:szCs w:val="22"/>
          <w:lang w:val="en-GB"/>
        </w:rPr>
        <w:t xml:space="preserve"> language, there’s still no means to overcome </w:t>
      </w:r>
      <w:r w:rsidR="002524EC" w:rsidRPr="003567D3">
        <w:rPr>
          <w:rFonts w:ascii="Arial" w:hAnsi="Arial" w:cs="Arial"/>
          <w:color w:val="000000" w:themeColor="text1"/>
          <w:sz w:val="22"/>
          <w:szCs w:val="22"/>
          <w:lang w:val="en-GB"/>
        </w:rPr>
        <w:lastRenderedPageBreak/>
        <w:t xml:space="preserve">differences of opinion within a community. This lack of consensus </w:t>
      </w:r>
      <w:r w:rsidR="0077566B" w:rsidRPr="003567D3">
        <w:rPr>
          <w:rFonts w:ascii="Arial" w:hAnsi="Arial" w:cs="Arial"/>
          <w:color w:val="000000" w:themeColor="text1"/>
          <w:sz w:val="22"/>
          <w:szCs w:val="22"/>
          <w:lang w:val="en-GB"/>
        </w:rPr>
        <w:t>regarding</w:t>
      </w:r>
      <w:r w:rsidR="002524EC" w:rsidRPr="003567D3">
        <w:rPr>
          <w:rFonts w:ascii="Arial" w:hAnsi="Arial" w:cs="Arial"/>
          <w:color w:val="000000" w:themeColor="text1"/>
          <w:sz w:val="22"/>
          <w:szCs w:val="22"/>
          <w:lang w:val="en-GB"/>
        </w:rPr>
        <w:t xml:space="preserve"> key terms and ideas is also endemic to Classical scholarship</w:t>
      </w:r>
      <w:r w:rsidR="0077566B" w:rsidRPr="003567D3">
        <w:rPr>
          <w:rFonts w:ascii="Arial" w:hAnsi="Arial" w:cs="Arial"/>
          <w:color w:val="000000" w:themeColor="text1"/>
          <w:sz w:val="22"/>
          <w:szCs w:val="22"/>
          <w:lang w:val="en-GB"/>
        </w:rPr>
        <w:t>, particularly</w:t>
      </w:r>
      <w:r w:rsidR="002524EC" w:rsidRPr="003567D3">
        <w:rPr>
          <w:rFonts w:ascii="Arial" w:hAnsi="Arial" w:cs="Arial"/>
          <w:color w:val="000000" w:themeColor="text1"/>
          <w:sz w:val="22"/>
          <w:szCs w:val="22"/>
          <w:lang w:val="en-GB"/>
        </w:rPr>
        <w:t xml:space="preserve"> regarding the foundational concepts that underlie divination. </w:t>
      </w:r>
      <w:r w:rsidR="0077566B" w:rsidRPr="003567D3">
        <w:rPr>
          <w:rFonts w:ascii="Arial" w:hAnsi="Arial" w:cs="Arial"/>
          <w:color w:val="000000" w:themeColor="text1"/>
          <w:sz w:val="22"/>
          <w:szCs w:val="22"/>
          <w:lang w:val="en-GB"/>
        </w:rPr>
        <w:t xml:space="preserve">In exploring the perpetual inability on behalf of scholars (and practitioners) to cohesively define ‘magic,’ </w:t>
      </w:r>
      <w:r w:rsidR="0077566B" w:rsidRPr="002524EC">
        <w:rPr>
          <w:rFonts w:ascii="Arial" w:hAnsi="Arial" w:cs="Arial"/>
          <w:color w:val="000000" w:themeColor="text1"/>
          <w:sz w:val="22"/>
          <w:szCs w:val="22"/>
        </w:rPr>
        <w:t>Bernd-Christian</w:t>
      </w:r>
      <w:r w:rsidR="0077566B" w:rsidRPr="003567D3">
        <w:rPr>
          <w:rFonts w:ascii="Arial" w:hAnsi="Arial" w:cs="Arial"/>
          <w:color w:val="000000" w:themeColor="text1"/>
          <w:sz w:val="22"/>
          <w:szCs w:val="22"/>
          <w:lang w:val="en-GB"/>
        </w:rPr>
        <w:t xml:space="preserve"> Otto argues that the slippery and divergent interpretations of term render it too vague to be useful and should therefore be abandoned as an abstract categorization.</w:t>
      </w:r>
      <w:r w:rsidR="0077566B" w:rsidRPr="003567D3">
        <w:rPr>
          <w:rFonts w:ascii="Arial" w:hAnsi="Arial" w:cs="Arial"/>
          <w:color w:val="000000" w:themeColor="text1"/>
          <w:sz w:val="22"/>
          <w:szCs w:val="22"/>
          <w:vertAlign w:val="superscript"/>
          <w:lang w:val="en-GB"/>
        </w:rPr>
        <w:footnoteReference w:id="31"/>
      </w:r>
      <w:r w:rsidR="0077566B" w:rsidRPr="003567D3">
        <w:rPr>
          <w:rFonts w:ascii="Arial" w:hAnsi="Arial" w:cs="Arial"/>
          <w:color w:val="000000" w:themeColor="text1"/>
          <w:sz w:val="22"/>
          <w:szCs w:val="22"/>
          <w:lang w:val="en-GB"/>
        </w:rPr>
        <w:t xml:space="preserve"> </w:t>
      </w:r>
      <w:r w:rsidR="0077566B" w:rsidRPr="003567D3">
        <w:rPr>
          <w:rFonts w:ascii="Arial" w:hAnsi="Arial" w:cs="Arial"/>
          <w:color w:val="000000" w:themeColor="text1"/>
          <w:sz w:val="22"/>
          <w:szCs w:val="22"/>
          <w:lang w:val="en-GB"/>
        </w:rPr>
        <w:t xml:space="preserve">While not everyone shares </w:t>
      </w:r>
      <w:r w:rsidR="003C4ED9" w:rsidRPr="003567D3">
        <w:rPr>
          <w:rFonts w:ascii="Arial" w:hAnsi="Arial" w:cs="Arial"/>
          <w:color w:val="000000" w:themeColor="text1"/>
          <w:sz w:val="22"/>
          <w:szCs w:val="22"/>
          <w:lang w:val="en-GB"/>
        </w:rPr>
        <w:t>his enthusiasm for dropping ‘magic’ as a moniker</w:t>
      </w:r>
      <w:r w:rsidR="0077566B" w:rsidRPr="003567D3">
        <w:rPr>
          <w:rFonts w:ascii="Arial" w:hAnsi="Arial" w:cs="Arial"/>
          <w:color w:val="000000" w:themeColor="text1"/>
          <w:sz w:val="22"/>
          <w:szCs w:val="22"/>
          <w:lang w:val="en-GB"/>
        </w:rPr>
        <w:t>, Otto’s criticism produces a salient point</w:t>
      </w:r>
      <w:r w:rsidR="003C4ED9" w:rsidRPr="003567D3">
        <w:rPr>
          <w:rFonts w:ascii="Arial" w:hAnsi="Arial" w:cs="Arial"/>
          <w:color w:val="000000" w:themeColor="text1"/>
          <w:sz w:val="22"/>
          <w:szCs w:val="22"/>
          <w:lang w:val="en-GB"/>
        </w:rPr>
        <w:t>:</w:t>
      </w:r>
      <w:r w:rsidR="0077566B" w:rsidRPr="003567D3">
        <w:rPr>
          <w:rFonts w:ascii="Arial" w:hAnsi="Arial" w:cs="Arial"/>
          <w:color w:val="000000" w:themeColor="text1"/>
          <w:sz w:val="22"/>
          <w:szCs w:val="22"/>
          <w:lang w:val="en-GB"/>
        </w:rPr>
        <w:t xml:space="preserve"> without </w:t>
      </w:r>
      <w:r w:rsidR="003C4ED9" w:rsidRPr="003567D3">
        <w:rPr>
          <w:rFonts w:ascii="Arial" w:hAnsi="Arial" w:cs="Arial"/>
          <w:color w:val="000000" w:themeColor="text1"/>
          <w:sz w:val="22"/>
          <w:szCs w:val="22"/>
          <w:lang w:val="en-GB"/>
        </w:rPr>
        <w:t>collectively agreeing</w:t>
      </w:r>
      <w:r w:rsidR="0077566B" w:rsidRPr="003567D3">
        <w:rPr>
          <w:rFonts w:ascii="Arial" w:hAnsi="Arial" w:cs="Arial"/>
          <w:color w:val="000000" w:themeColor="text1"/>
          <w:sz w:val="22"/>
          <w:szCs w:val="22"/>
          <w:lang w:val="en-GB"/>
        </w:rPr>
        <w:t xml:space="preserve"> </w:t>
      </w:r>
      <w:r w:rsidR="003C4ED9" w:rsidRPr="003567D3">
        <w:rPr>
          <w:rFonts w:ascii="Arial" w:hAnsi="Arial" w:cs="Arial"/>
          <w:color w:val="000000" w:themeColor="text1"/>
          <w:sz w:val="22"/>
          <w:szCs w:val="22"/>
          <w:lang w:val="en-GB"/>
        </w:rPr>
        <w:t>on the fundamental nature of</w:t>
      </w:r>
      <w:r w:rsidR="0077566B" w:rsidRPr="003567D3">
        <w:rPr>
          <w:rFonts w:ascii="Arial" w:hAnsi="Arial" w:cs="Arial"/>
          <w:color w:val="000000" w:themeColor="text1"/>
          <w:sz w:val="22"/>
          <w:szCs w:val="22"/>
          <w:lang w:val="en-GB"/>
        </w:rPr>
        <w:t xml:space="preserve"> foundational concepts </w:t>
      </w:r>
      <w:r w:rsidR="003C4ED9" w:rsidRPr="003567D3">
        <w:rPr>
          <w:rFonts w:ascii="Arial" w:hAnsi="Arial" w:cs="Arial"/>
          <w:color w:val="000000" w:themeColor="text1"/>
          <w:sz w:val="22"/>
          <w:szCs w:val="22"/>
          <w:lang w:val="en-GB"/>
        </w:rPr>
        <w:t>(i.e.</w:t>
      </w:r>
      <w:r w:rsidR="0077566B" w:rsidRPr="003567D3">
        <w:rPr>
          <w:rFonts w:ascii="Arial" w:hAnsi="Arial" w:cs="Arial"/>
          <w:color w:val="000000" w:themeColor="text1"/>
          <w:sz w:val="22"/>
          <w:szCs w:val="22"/>
          <w:lang w:val="en-GB"/>
        </w:rPr>
        <w:t xml:space="preserve"> divination</w:t>
      </w:r>
      <w:r w:rsidR="003C4ED9" w:rsidRPr="003567D3">
        <w:rPr>
          <w:rFonts w:ascii="Arial" w:hAnsi="Arial" w:cs="Arial"/>
          <w:color w:val="000000" w:themeColor="text1"/>
          <w:sz w:val="22"/>
          <w:szCs w:val="22"/>
          <w:lang w:val="en-GB"/>
        </w:rPr>
        <w:t>)</w:t>
      </w:r>
      <w:r w:rsidR="0077566B" w:rsidRPr="003567D3">
        <w:rPr>
          <w:rFonts w:ascii="Arial" w:hAnsi="Arial" w:cs="Arial"/>
          <w:color w:val="000000" w:themeColor="text1"/>
          <w:sz w:val="22"/>
          <w:szCs w:val="22"/>
          <w:lang w:val="en-GB"/>
        </w:rPr>
        <w:t xml:space="preserve">, </w:t>
      </w:r>
      <w:r w:rsidR="003C4ED9" w:rsidRPr="003567D3">
        <w:rPr>
          <w:rFonts w:ascii="Arial" w:hAnsi="Arial" w:cs="Arial"/>
          <w:color w:val="000000" w:themeColor="text1"/>
          <w:sz w:val="22"/>
          <w:szCs w:val="22"/>
          <w:lang w:val="en-GB"/>
        </w:rPr>
        <w:t xml:space="preserve">scholars are limited in their ability to articulate and capture important nuances that constellate cultural thought.   </w:t>
      </w:r>
    </w:p>
    <w:p w14:paraId="4118982F" w14:textId="37FF8EF7" w:rsidR="003F5FB1" w:rsidRPr="003567D3" w:rsidRDefault="003F5FB1" w:rsidP="003567D3">
      <w:pPr>
        <w:spacing w:line="276" w:lineRule="auto"/>
        <w:rPr>
          <w:rFonts w:ascii="Arial" w:hAnsi="Arial" w:cs="Arial"/>
          <w:color w:val="000000" w:themeColor="text1"/>
          <w:sz w:val="22"/>
          <w:szCs w:val="22"/>
          <w:lang w:val="en-GB"/>
        </w:rPr>
      </w:pPr>
    </w:p>
    <w:p w14:paraId="621C7092" w14:textId="77777777" w:rsidR="00877FBD" w:rsidRPr="003567D3" w:rsidRDefault="00877FBD" w:rsidP="003567D3">
      <w:pPr>
        <w:spacing w:line="276" w:lineRule="auto"/>
        <w:rPr>
          <w:rFonts w:ascii="Arial" w:hAnsi="Arial" w:cs="Arial"/>
          <w:color w:val="000000" w:themeColor="text1"/>
          <w:sz w:val="22"/>
          <w:szCs w:val="22"/>
          <w:lang w:val="en-GB"/>
        </w:rPr>
      </w:pPr>
    </w:p>
    <w:p w14:paraId="386B88E2" w14:textId="6A02CA23" w:rsidR="00877FBD" w:rsidRPr="003567D3" w:rsidRDefault="00822682" w:rsidP="003567D3">
      <w:pPr>
        <w:spacing w:line="276" w:lineRule="auto"/>
        <w:rPr>
          <w:rFonts w:ascii="Arial" w:hAnsi="Arial" w:cs="Arial"/>
          <w:b/>
          <w:bCs/>
          <w:color w:val="000000" w:themeColor="text1"/>
          <w:sz w:val="22"/>
          <w:szCs w:val="22"/>
          <w:lang w:val="en-GB"/>
        </w:rPr>
      </w:pPr>
      <w:r w:rsidRPr="003567D3">
        <w:rPr>
          <w:rFonts w:ascii="Arial" w:hAnsi="Arial" w:cs="Arial"/>
          <w:b/>
          <w:bCs/>
          <w:color w:val="000000" w:themeColor="text1"/>
          <w:sz w:val="22"/>
          <w:szCs w:val="22"/>
          <w:lang w:val="en-GB"/>
        </w:rPr>
        <w:t xml:space="preserve">Accounting for </w:t>
      </w:r>
      <w:r w:rsidR="004A4DC3" w:rsidRPr="003567D3">
        <w:rPr>
          <w:rFonts w:ascii="Arial" w:hAnsi="Arial" w:cs="Arial"/>
          <w:b/>
          <w:bCs/>
          <w:color w:val="000000" w:themeColor="text1"/>
          <w:sz w:val="22"/>
          <w:szCs w:val="22"/>
          <w:lang w:val="en-GB"/>
        </w:rPr>
        <w:t>I</w:t>
      </w:r>
      <w:r w:rsidRPr="003567D3">
        <w:rPr>
          <w:rFonts w:ascii="Arial" w:hAnsi="Arial" w:cs="Arial"/>
          <w:b/>
          <w:bCs/>
          <w:color w:val="000000" w:themeColor="text1"/>
          <w:sz w:val="22"/>
          <w:szCs w:val="22"/>
          <w:lang w:val="en-GB"/>
        </w:rPr>
        <w:t xml:space="preserve">ndividual and </w:t>
      </w:r>
      <w:r w:rsidR="004A4DC3" w:rsidRPr="003567D3">
        <w:rPr>
          <w:rFonts w:ascii="Arial" w:hAnsi="Arial" w:cs="Arial"/>
          <w:b/>
          <w:bCs/>
          <w:color w:val="000000" w:themeColor="text1"/>
          <w:sz w:val="22"/>
          <w:szCs w:val="22"/>
          <w:lang w:val="en-GB"/>
        </w:rPr>
        <w:t>I</w:t>
      </w:r>
      <w:r w:rsidRPr="003567D3">
        <w:rPr>
          <w:rFonts w:ascii="Arial" w:hAnsi="Arial" w:cs="Arial"/>
          <w:b/>
          <w:bCs/>
          <w:color w:val="000000" w:themeColor="text1"/>
          <w:sz w:val="22"/>
          <w:szCs w:val="22"/>
          <w:lang w:val="en-GB"/>
        </w:rPr>
        <w:t xml:space="preserve">diosyncratic </w:t>
      </w:r>
      <w:r w:rsidR="004A4DC3" w:rsidRPr="003567D3">
        <w:rPr>
          <w:rFonts w:ascii="Arial" w:hAnsi="Arial" w:cs="Arial"/>
          <w:b/>
          <w:bCs/>
          <w:color w:val="000000" w:themeColor="text1"/>
          <w:sz w:val="22"/>
          <w:szCs w:val="22"/>
          <w:lang w:val="en-GB"/>
        </w:rPr>
        <w:t>E</w:t>
      </w:r>
      <w:r w:rsidRPr="003567D3">
        <w:rPr>
          <w:rFonts w:ascii="Arial" w:hAnsi="Arial" w:cs="Arial"/>
          <w:b/>
          <w:bCs/>
          <w:color w:val="000000" w:themeColor="text1"/>
          <w:sz w:val="22"/>
          <w:szCs w:val="22"/>
          <w:lang w:val="en-GB"/>
        </w:rPr>
        <w:t>xperience</w:t>
      </w:r>
    </w:p>
    <w:p w14:paraId="61AA21B9" w14:textId="512E0574" w:rsidR="000E03DE" w:rsidRPr="003567D3" w:rsidRDefault="00877FBD" w:rsidP="003567D3">
      <w:pPr>
        <w:spacing w:line="276" w:lineRule="auto"/>
        <w:ind w:firstLine="720"/>
        <w:rPr>
          <w:rFonts w:ascii="Arial" w:hAnsi="Arial" w:cs="Arial"/>
          <w:color w:val="FF0000"/>
          <w:sz w:val="22"/>
          <w:szCs w:val="22"/>
          <w:lang w:val="en-GB"/>
        </w:rPr>
      </w:pPr>
      <w:r w:rsidRPr="003567D3">
        <w:rPr>
          <w:rFonts w:ascii="Arial" w:hAnsi="Arial" w:cs="Arial"/>
          <w:color w:val="000000" w:themeColor="text1"/>
          <w:sz w:val="22"/>
          <w:szCs w:val="22"/>
          <w:lang w:val="en-GB"/>
        </w:rPr>
        <w:t xml:space="preserve">The challenge of </w:t>
      </w:r>
      <w:r w:rsidR="004A4DC3" w:rsidRPr="003567D3">
        <w:rPr>
          <w:rFonts w:ascii="Arial" w:hAnsi="Arial" w:cs="Arial"/>
          <w:color w:val="000000" w:themeColor="text1"/>
          <w:sz w:val="22"/>
          <w:szCs w:val="22"/>
          <w:lang w:val="en-GB"/>
        </w:rPr>
        <w:t xml:space="preserve">cohesively </w:t>
      </w:r>
      <w:r w:rsidRPr="003567D3">
        <w:rPr>
          <w:rFonts w:ascii="Arial" w:hAnsi="Arial" w:cs="Arial"/>
          <w:color w:val="000000" w:themeColor="text1"/>
          <w:sz w:val="22"/>
          <w:szCs w:val="22"/>
          <w:lang w:val="en-GB"/>
        </w:rPr>
        <w:t xml:space="preserve">defining core concepts </w:t>
      </w:r>
      <w:r w:rsidR="004A4DC3" w:rsidRPr="003567D3">
        <w:rPr>
          <w:rFonts w:ascii="Arial" w:hAnsi="Arial" w:cs="Arial"/>
          <w:color w:val="000000" w:themeColor="text1"/>
          <w:sz w:val="22"/>
          <w:szCs w:val="22"/>
          <w:lang w:val="en-GB"/>
        </w:rPr>
        <w:t>across</w:t>
      </w:r>
      <w:r w:rsidRPr="003567D3">
        <w:rPr>
          <w:rFonts w:ascii="Arial" w:hAnsi="Arial" w:cs="Arial"/>
          <w:color w:val="000000" w:themeColor="text1"/>
          <w:sz w:val="22"/>
          <w:szCs w:val="22"/>
          <w:lang w:val="en-GB"/>
        </w:rPr>
        <w:t xml:space="preserve"> one’s culture anticipates another of Evans-Pritchard important insights</w:t>
      </w:r>
      <w:r w:rsidR="004A4DC3" w:rsidRPr="003567D3">
        <w:rPr>
          <w:rFonts w:ascii="Arial" w:hAnsi="Arial" w:cs="Arial"/>
          <w:color w:val="000000" w:themeColor="text1"/>
          <w:sz w:val="22"/>
          <w:szCs w:val="22"/>
          <w:lang w:val="en-GB"/>
        </w:rPr>
        <w:t xml:space="preserve">: </w:t>
      </w:r>
      <w:r w:rsidRPr="003567D3">
        <w:rPr>
          <w:rFonts w:ascii="Arial" w:hAnsi="Arial" w:cs="Arial"/>
          <w:color w:val="000000" w:themeColor="text1"/>
          <w:sz w:val="22"/>
          <w:szCs w:val="22"/>
          <w:lang w:val="en-GB"/>
        </w:rPr>
        <w:t xml:space="preserve">the need to account for the slippery and subjective nature of reality. </w:t>
      </w:r>
      <w:r w:rsidR="00822682" w:rsidRPr="003567D3">
        <w:rPr>
          <w:rFonts w:ascii="Arial" w:hAnsi="Arial" w:cs="Arial"/>
          <w:color w:val="000000" w:themeColor="text1"/>
          <w:sz w:val="22"/>
          <w:szCs w:val="22"/>
          <w:lang w:val="en-GB"/>
        </w:rPr>
        <w:t>Informed by extensive conversations during his fieldwork, he discovered that not every Zande subscribes to the reality of magic or witchcraft, with some only observing magical rites when social customs demand it.</w:t>
      </w:r>
      <w:r w:rsidR="00822682" w:rsidRPr="003567D3">
        <w:rPr>
          <w:rStyle w:val="FootnoteReference"/>
          <w:rFonts w:ascii="Arial" w:hAnsi="Arial" w:cs="Arial"/>
          <w:color w:val="000000" w:themeColor="text1"/>
          <w:sz w:val="22"/>
          <w:szCs w:val="22"/>
          <w:lang w:val="en-GB"/>
        </w:rPr>
        <w:footnoteReference w:id="32"/>
      </w:r>
      <w:r w:rsidR="00822682" w:rsidRPr="003567D3">
        <w:rPr>
          <w:rFonts w:ascii="Arial" w:hAnsi="Arial" w:cs="Arial"/>
          <w:color w:val="000000" w:themeColor="text1"/>
          <w:sz w:val="22"/>
          <w:szCs w:val="22"/>
          <w:lang w:val="en-GB"/>
        </w:rPr>
        <w:t xml:space="preserve"> This observation in itself underscores the need for scholars to resist the temptation to conflate one person’s </w:t>
      </w:r>
      <w:r w:rsidR="004A4DC3" w:rsidRPr="003567D3">
        <w:rPr>
          <w:rFonts w:ascii="Arial" w:hAnsi="Arial" w:cs="Arial"/>
          <w:color w:val="000000" w:themeColor="text1"/>
          <w:sz w:val="22"/>
          <w:szCs w:val="22"/>
          <w:lang w:val="en-GB"/>
        </w:rPr>
        <w:t xml:space="preserve">(non)belief or </w:t>
      </w:r>
      <w:r w:rsidR="00822682" w:rsidRPr="003567D3">
        <w:rPr>
          <w:rFonts w:ascii="Arial" w:hAnsi="Arial" w:cs="Arial"/>
          <w:color w:val="000000" w:themeColor="text1"/>
          <w:sz w:val="22"/>
          <w:szCs w:val="22"/>
          <w:lang w:val="en-GB"/>
        </w:rPr>
        <w:t>experience with that of an entire society</w:t>
      </w:r>
      <w:r w:rsidR="004A4DC3" w:rsidRPr="003567D3">
        <w:rPr>
          <w:rFonts w:ascii="Arial" w:hAnsi="Arial" w:cs="Arial"/>
          <w:color w:val="000000" w:themeColor="text1"/>
          <w:sz w:val="22"/>
          <w:szCs w:val="22"/>
          <w:lang w:val="en-GB"/>
        </w:rPr>
        <w:t>.</w:t>
      </w:r>
      <w:r w:rsidR="00822682" w:rsidRPr="003567D3">
        <w:rPr>
          <w:rFonts w:ascii="Arial" w:hAnsi="Arial" w:cs="Arial"/>
          <w:color w:val="FF0000"/>
          <w:sz w:val="22"/>
          <w:szCs w:val="22"/>
          <w:lang w:val="en-GB"/>
        </w:rPr>
        <w:t xml:space="preserve"> </w:t>
      </w:r>
    </w:p>
    <w:p w14:paraId="68CAF44B" w14:textId="77777777" w:rsidR="000E03DE" w:rsidRPr="003567D3" w:rsidRDefault="000E03DE" w:rsidP="003567D3">
      <w:pPr>
        <w:spacing w:line="276" w:lineRule="auto"/>
        <w:rPr>
          <w:rFonts w:ascii="Arial" w:hAnsi="Arial" w:cs="Arial"/>
          <w:color w:val="FF0000"/>
          <w:sz w:val="22"/>
          <w:szCs w:val="22"/>
          <w:lang w:val="en-GB"/>
        </w:rPr>
      </w:pPr>
    </w:p>
    <w:p w14:paraId="67A6D4E1" w14:textId="07DFD372" w:rsidR="00C85D5D" w:rsidRPr="003567D3" w:rsidRDefault="000E03DE" w:rsidP="003567D3">
      <w:pPr>
        <w:spacing w:line="276" w:lineRule="auto"/>
        <w:ind w:firstLine="720"/>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In cataloguing the fluidity by which Zande enact divinatory ritual, Evans-Pritchard’s insights  carry </w:t>
      </w:r>
      <w:r w:rsidR="0097074B" w:rsidRPr="003567D3">
        <w:rPr>
          <w:rFonts w:ascii="Arial" w:hAnsi="Arial" w:cs="Arial"/>
          <w:color w:val="000000" w:themeColor="text1"/>
          <w:sz w:val="22"/>
          <w:szCs w:val="22"/>
          <w:lang w:val="en-GB"/>
        </w:rPr>
        <w:t xml:space="preserve">similar </w:t>
      </w:r>
      <w:r w:rsidRPr="003567D3">
        <w:rPr>
          <w:rFonts w:ascii="Arial" w:hAnsi="Arial" w:cs="Arial"/>
          <w:color w:val="000000" w:themeColor="text1"/>
          <w:sz w:val="22"/>
          <w:szCs w:val="22"/>
          <w:lang w:val="en-GB"/>
        </w:rPr>
        <w:t>important implications for the contemporary study of orthopraxy</w:t>
      </w:r>
      <w:r w:rsidR="0097074B" w:rsidRPr="003567D3">
        <w:rPr>
          <w:rFonts w:ascii="Arial" w:hAnsi="Arial" w:cs="Arial"/>
          <w:color w:val="000000" w:themeColor="text1"/>
          <w:sz w:val="22"/>
          <w:szCs w:val="22"/>
          <w:lang w:val="en-GB"/>
        </w:rPr>
        <w:t xml:space="preserve"> (or </w:t>
      </w:r>
      <w:r w:rsidRPr="003567D3">
        <w:rPr>
          <w:rFonts w:ascii="Arial" w:hAnsi="Arial" w:cs="Arial"/>
          <w:color w:val="000000" w:themeColor="text1"/>
          <w:sz w:val="22"/>
          <w:szCs w:val="22"/>
          <w:lang w:val="en-GB"/>
        </w:rPr>
        <w:t>correct liturgical and ethical action</w:t>
      </w:r>
      <w:r w:rsidR="0097074B" w:rsidRPr="003567D3">
        <w:rPr>
          <w:rFonts w:ascii="Arial" w:hAnsi="Arial" w:cs="Arial"/>
          <w:color w:val="000000" w:themeColor="text1"/>
          <w:sz w:val="22"/>
          <w:szCs w:val="22"/>
          <w:lang w:val="en-GB"/>
        </w:rPr>
        <w:t>)</w:t>
      </w:r>
      <w:r w:rsidRPr="003567D3">
        <w:rPr>
          <w:rFonts w:ascii="Arial" w:hAnsi="Arial" w:cs="Arial"/>
          <w:color w:val="000000" w:themeColor="text1"/>
          <w:sz w:val="22"/>
          <w:szCs w:val="22"/>
          <w:lang w:val="en-GB"/>
        </w:rPr>
        <w:t xml:space="preserve"> in ancient Greco-Roman divination. During his fieldwork, he documents how</w:t>
      </w:r>
      <w:r w:rsidR="00C85D5D" w:rsidRPr="003567D3">
        <w:rPr>
          <w:rFonts w:ascii="Arial" w:hAnsi="Arial" w:cs="Arial"/>
          <w:color w:val="000000" w:themeColor="text1"/>
          <w:sz w:val="22"/>
          <w:szCs w:val="22"/>
          <w:lang w:val="en-GB"/>
        </w:rPr>
        <w:t xml:space="preserve"> Azande ritual practice </w:t>
      </w:r>
      <w:r w:rsidR="001B2C9C" w:rsidRPr="003567D3">
        <w:rPr>
          <w:rFonts w:ascii="Arial" w:hAnsi="Arial" w:cs="Arial"/>
          <w:color w:val="000000" w:themeColor="text1"/>
          <w:sz w:val="22"/>
          <w:szCs w:val="22"/>
          <w:lang w:val="en-GB"/>
        </w:rPr>
        <w:t>constantly shifts</w:t>
      </w:r>
      <w:r w:rsidR="00C85D5D" w:rsidRPr="003567D3">
        <w:rPr>
          <w:rFonts w:ascii="Arial" w:hAnsi="Arial" w:cs="Arial"/>
          <w:color w:val="000000" w:themeColor="text1"/>
          <w:sz w:val="22"/>
          <w:szCs w:val="22"/>
          <w:lang w:val="en-GB"/>
        </w:rPr>
        <w:t xml:space="preserve">, elaborating that: </w:t>
      </w:r>
    </w:p>
    <w:p w14:paraId="1EF70AB7" w14:textId="77777777" w:rsidR="00C85D5D" w:rsidRPr="003567D3" w:rsidRDefault="00C85D5D" w:rsidP="003567D3">
      <w:pPr>
        <w:spacing w:line="276" w:lineRule="auto"/>
        <w:ind w:firstLine="720"/>
        <w:rPr>
          <w:rFonts w:ascii="Arial" w:hAnsi="Arial" w:cs="Arial"/>
          <w:color w:val="000000" w:themeColor="text1"/>
          <w:sz w:val="22"/>
          <w:szCs w:val="22"/>
          <w:lang w:val="en-GB"/>
        </w:rPr>
      </w:pPr>
    </w:p>
    <w:p w14:paraId="2FDA8C61" w14:textId="25D6EFDE" w:rsidR="00C85D5D" w:rsidRPr="003567D3" w:rsidRDefault="00C85D5D" w:rsidP="003567D3">
      <w:pPr>
        <w:spacing w:line="276" w:lineRule="auto"/>
        <w:ind w:left="1440" w:right="1440"/>
        <w:rPr>
          <w:rFonts w:ascii="Arial" w:hAnsi="Arial" w:cs="Arial"/>
          <w:color w:val="000000" w:themeColor="text1"/>
          <w:sz w:val="22"/>
          <w:szCs w:val="22"/>
          <w:lang w:val="en-GB"/>
        </w:rPr>
      </w:pPr>
      <w:r w:rsidRPr="003567D3">
        <w:rPr>
          <w:rFonts w:ascii="Arial" w:hAnsi="Arial" w:cs="Arial"/>
          <w:color w:val="000000" w:themeColor="text1"/>
          <w:sz w:val="22"/>
          <w:szCs w:val="22"/>
          <w:lang w:val="en-GB"/>
        </w:rPr>
        <w:t>it is seldom that one observes a particular rite performed in exactly the same way on several occasions. There are usually variations, often large variations, in what is said and done and in the sequence of words and actions.</w:t>
      </w:r>
      <w:r w:rsidRPr="003567D3">
        <w:rPr>
          <w:rStyle w:val="FootnoteReference"/>
          <w:rFonts w:ascii="Arial" w:hAnsi="Arial" w:cs="Arial"/>
          <w:color w:val="000000" w:themeColor="text1"/>
          <w:sz w:val="22"/>
          <w:szCs w:val="22"/>
          <w:lang w:val="en-GB"/>
        </w:rPr>
        <w:footnoteReference w:id="33"/>
      </w:r>
    </w:p>
    <w:p w14:paraId="6515EF05" w14:textId="77777777" w:rsidR="00C85D5D" w:rsidRPr="003567D3" w:rsidRDefault="00C85D5D" w:rsidP="003567D3">
      <w:pPr>
        <w:spacing w:line="276" w:lineRule="auto"/>
        <w:ind w:left="720" w:right="720"/>
        <w:rPr>
          <w:rFonts w:ascii="Arial" w:hAnsi="Arial" w:cs="Arial"/>
          <w:color w:val="000000" w:themeColor="text1"/>
          <w:sz w:val="22"/>
          <w:szCs w:val="22"/>
          <w:lang w:val="en-GB"/>
        </w:rPr>
      </w:pPr>
    </w:p>
    <w:p w14:paraId="0E41E97D" w14:textId="72E8E7D1" w:rsidR="004B2978" w:rsidRPr="003567D3" w:rsidRDefault="001B2C9C"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Amongst the Azande, ritual practices shift to satisfy an individual’s </w:t>
      </w:r>
      <w:r w:rsidR="0097074B" w:rsidRPr="003567D3">
        <w:rPr>
          <w:rFonts w:ascii="Arial" w:hAnsi="Arial" w:cs="Arial"/>
          <w:color w:val="000000" w:themeColor="text1"/>
          <w:sz w:val="22"/>
          <w:szCs w:val="22"/>
          <w:lang w:val="en-GB"/>
        </w:rPr>
        <w:t xml:space="preserve">changing </w:t>
      </w:r>
      <w:r w:rsidRPr="003567D3">
        <w:rPr>
          <w:rFonts w:ascii="Arial" w:hAnsi="Arial" w:cs="Arial"/>
          <w:color w:val="000000" w:themeColor="text1"/>
          <w:sz w:val="22"/>
          <w:szCs w:val="22"/>
          <w:lang w:val="en-GB"/>
        </w:rPr>
        <w:t>sensibilities and situation</w:t>
      </w:r>
      <w:r w:rsidR="00F82C18" w:rsidRPr="003567D3">
        <w:rPr>
          <w:rFonts w:ascii="Arial" w:hAnsi="Arial" w:cs="Arial"/>
          <w:color w:val="000000" w:themeColor="text1"/>
          <w:sz w:val="22"/>
          <w:szCs w:val="22"/>
          <w:lang w:val="en-GB"/>
        </w:rPr>
        <w:t>. This fluidity therefore</w:t>
      </w:r>
      <w:r w:rsidRPr="003567D3">
        <w:rPr>
          <w:rFonts w:ascii="Arial" w:hAnsi="Arial" w:cs="Arial"/>
          <w:color w:val="000000" w:themeColor="text1"/>
          <w:sz w:val="22"/>
          <w:szCs w:val="22"/>
          <w:lang w:val="en-GB"/>
        </w:rPr>
        <w:t xml:space="preserve"> indicate</w:t>
      </w:r>
      <w:r w:rsidR="00F82C18" w:rsidRPr="003567D3">
        <w:rPr>
          <w:rFonts w:ascii="Arial" w:hAnsi="Arial" w:cs="Arial"/>
          <w:color w:val="000000" w:themeColor="text1"/>
          <w:sz w:val="22"/>
          <w:szCs w:val="22"/>
          <w:lang w:val="en-GB"/>
        </w:rPr>
        <w:t>s</w:t>
      </w:r>
      <w:r w:rsidRPr="003567D3">
        <w:rPr>
          <w:rFonts w:ascii="Arial" w:hAnsi="Arial" w:cs="Arial"/>
          <w:color w:val="000000" w:themeColor="text1"/>
          <w:sz w:val="22"/>
          <w:szCs w:val="22"/>
          <w:lang w:val="en-GB"/>
        </w:rPr>
        <w:t xml:space="preserve"> a nuanced understanding and application of orthopraxy within their society</w:t>
      </w:r>
      <w:r w:rsidR="00F82C18" w:rsidRPr="003567D3">
        <w:rPr>
          <w:rFonts w:ascii="Arial" w:hAnsi="Arial" w:cs="Arial"/>
          <w:color w:val="000000" w:themeColor="text1"/>
          <w:sz w:val="22"/>
          <w:szCs w:val="22"/>
          <w:lang w:val="en-GB"/>
        </w:rPr>
        <w:t>,</w:t>
      </w:r>
      <w:r w:rsidRPr="003567D3">
        <w:rPr>
          <w:rFonts w:ascii="Arial" w:hAnsi="Arial" w:cs="Arial"/>
          <w:color w:val="000000" w:themeColor="text1"/>
          <w:sz w:val="22"/>
          <w:szCs w:val="22"/>
          <w:lang w:val="en-GB"/>
        </w:rPr>
        <w:t xml:space="preserve"> </w:t>
      </w:r>
      <w:r w:rsidR="00F82C18" w:rsidRPr="003567D3">
        <w:rPr>
          <w:rFonts w:ascii="Arial" w:hAnsi="Arial" w:cs="Arial"/>
          <w:color w:val="000000" w:themeColor="text1"/>
          <w:sz w:val="22"/>
          <w:szCs w:val="22"/>
          <w:lang w:val="en-GB"/>
        </w:rPr>
        <w:t>f</w:t>
      </w:r>
      <w:r w:rsidRPr="003567D3">
        <w:rPr>
          <w:rFonts w:ascii="Arial" w:hAnsi="Arial" w:cs="Arial"/>
          <w:color w:val="000000" w:themeColor="text1"/>
          <w:sz w:val="22"/>
          <w:szCs w:val="22"/>
          <w:lang w:val="en-GB"/>
        </w:rPr>
        <w:t>or in spite of the variability of enacted ritual, the Azande nonetheless maintain a thorough and cohesive view of taboo which informs</w:t>
      </w:r>
      <w:r w:rsidR="00F82C18" w:rsidRPr="003567D3">
        <w:rPr>
          <w:rFonts w:ascii="Arial" w:hAnsi="Arial" w:cs="Arial"/>
          <w:color w:val="000000" w:themeColor="text1"/>
          <w:sz w:val="22"/>
          <w:szCs w:val="22"/>
          <w:lang w:val="en-GB"/>
        </w:rPr>
        <w:t xml:space="preserve"> </w:t>
      </w:r>
      <w:r w:rsidRPr="003567D3">
        <w:rPr>
          <w:rFonts w:ascii="Arial" w:hAnsi="Arial" w:cs="Arial"/>
          <w:color w:val="000000" w:themeColor="text1"/>
          <w:sz w:val="22"/>
          <w:szCs w:val="22"/>
          <w:lang w:val="en-GB"/>
        </w:rPr>
        <w:t>divinatory and oracular practice. Evans-Pritchard cites the Azande belief that an unclean person (which is to say one who hasn’t properly observed taboo) will destroy the potency of an oracle if they come into contact.</w:t>
      </w:r>
      <w:r w:rsidRPr="003567D3">
        <w:rPr>
          <w:rStyle w:val="FootnoteReference"/>
          <w:rFonts w:ascii="Arial" w:hAnsi="Arial" w:cs="Arial"/>
          <w:color w:val="000000" w:themeColor="text1"/>
          <w:sz w:val="22"/>
          <w:szCs w:val="22"/>
          <w:lang w:val="en-GB"/>
        </w:rPr>
        <w:footnoteReference w:id="34"/>
      </w:r>
      <w:r w:rsidR="00253AC1" w:rsidRPr="003567D3">
        <w:rPr>
          <w:rFonts w:ascii="Arial" w:hAnsi="Arial" w:cs="Arial"/>
          <w:color w:val="000000" w:themeColor="text1"/>
          <w:sz w:val="22"/>
          <w:szCs w:val="22"/>
          <w:lang w:val="en-GB"/>
        </w:rPr>
        <w:t xml:space="preserve"> </w:t>
      </w:r>
      <w:r w:rsidR="00F82C18" w:rsidRPr="003567D3">
        <w:rPr>
          <w:rFonts w:ascii="Arial" w:hAnsi="Arial" w:cs="Arial"/>
          <w:color w:val="000000" w:themeColor="text1"/>
          <w:sz w:val="22"/>
          <w:szCs w:val="22"/>
          <w:lang w:val="en-GB"/>
        </w:rPr>
        <w:t>Drawing from first-hand experience conducting</w:t>
      </w:r>
      <w:r w:rsidR="00253AC1" w:rsidRPr="003567D3">
        <w:rPr>
          <w:rFonts w:ascii="Arial" w:hAnsi="Arial" w:cs="Arial"/>
          <w:color w:val="000000" w:themeColor="text1"/>
          <w:sz w:val="22"/>
          <w:szCs w:val="22"/>
          <w:lang w:val="en-GB"/>
        </w:rPr>
        <w:t>,</w:t>
      </w:r>
      <w:r w:rsidR="00F82C18" w:rsidRPr="003567D3">
        <w:rPr>
          <w:rFonts w:ascii="Arial" w:hAnsi="Arial" w:cs="Arial"/>
          <w:color w:val="000000" w:themeColor="text1"/>
          <w:sz w:val="22"/>
          <w:szCs w:val="22"/>
          <w:lang w:val="en-GB"/>
        </w:rPr>
        <w:t xml:space="preserve"> Evans-Pritchard elaborates that</w:t>
      </w:r>
      <w:r w:rsidR="00253AC1" w:rsidRPr="003567D3">
        <w:rPr>
          <w:rFonts w:ascii="Arial" w:hAnsi="Arial" w:cs="Arial"/>
          <w:color w:val="000000" w:themeColor="text1"/>
          <w:sz w:val="22"/>
          <w:szCs w:val="22"/>
          <w:lang w:val="en-GB"/>
        </w:rPr>
        <w:t xml:space="preserve"> the Azande believe that </w:t>
      </w:r>
      <w:r w:rsidR="003628A7" w:rsidRPr="003567D3">
        <w:rPr>
          <w:rFonts w:ascii="Arial" w:hAnsi="Arial" w:cs="Arial"/>
          <w:color w:val="000000" w:themeColor="text1"/>
          <w:sz w:val="22"/>
          <w:szCs w:val="22"/>
          <w:lang w:val="en-GB"/>
        </w:rPr>
        <w:t>‘</w:t>
      </w:r>
      <w:r w:rsidR="00253AC1" w:rsidRPr="003567D3">
        <w:rPr>
          <w:rFonts w:ascii="Arial" w:hAnsi="Arial" w:cs="Arial"/>
          <w:color w:val="000000" w:themeColor="text1"/>
          <w:sz w:val="22"/>
          <w:szCs w:val="22"/>
          <w:lang w:val="en-GB"/>
        </w:rPr>
        <w:t xml:space="preserve">proper </w:t>
      </w:r>
      <w:proofErr w:type="spellStart"/>
      <w:r w:rsidR="00253AC1" w:rsidRPr="003567D3">
        <w:rPr>
          <w:rFonts w:ascii="Arial" w:hAnsi="Arial" w:cs="Arial"/>
          <w:i/>
          <w:iCs/>
          <w:color w:val="000000" w:themeColor="text1"/>
          <w:sz w:val="22"/>
          <w:szCs w:val="22"/>
          <w:lang w:val="en-GB"/>
        </w:rPr>
        <w:t>benge</w:t>
      </w:r>
      <w:proofErr w:type="spellEnd"/>
      <w:r w:rsidR="00253AC1" w:rsidRPr="003567D3">
        <w:rPr>
          <w:rFonts w:ascii="Arial" w:hAnsi="Arial" w:cs="Arial"/>
          <w:i/>
          <w:iCs/>
          <w:color w:val="000000" w:themeColor="text1"/>
          <w:sz w:val="22"/>
          <w:szCs w:val="22"/>
          <w:lang w:val="en-GB"/>
        </w:rPr>
        <w:t xml:space="preserve"> </w:t>
      </w:r>
      <w:r w:rsidR="00253AC1" w:rsidRPr="003567D3">
        <w:rPr>
          <w:rFonts w:ascii="Arial" w:hAnsi="Arial" w:cs="Arial"/>
          <w:color w:val="000000" w:themeColor="text1"/>
          <w:sz w:val="22"/>
          <w:szCs w:val="22"/>
          <w:lang w:val="en-GB"/>
        </w:rPr>
        <w:t xml:space="preserve">(oracle poison) is endowed with potency by man’s abstinence and his </w:t>
      </w:r>
      <w:r w:rsidR="00253AC1" w:rsidRPr="003567D3">
        <w:rPr>
          <w:rFonts w:ascii="Arial" w:hAnsi="Arial" w:cs="Arial"/>
          <w:color w:val="000000" w:themeColor="text1"/>
          <w:sz w:val="22"/>
          <w:szCs w:val="22"/>
          <w:lang w:val="en-GB"/>
        </w:rPr>
        <w:lastRenderedPageBreak/>
        <w:t>knowledge of tradition and will only function in the conditions of a séance.</w:t>
      </w:r>
      <w:r w:rsidR="003628A7" w:rsidRPr="003567D3">
        <w:rPr>
          <w:rFonts w:ascii="Arial" w:hAnsi="Arial" w:cs="Arial"/>
          <w:color w:val="000000" w:themeColor="text1"/>
          <w:sz w:val="22"/>
          <w:szCs w:val="22"/>
          <w:lang w:val="en-GB"/>
        </w:rPr>
        <w:t>’</w:t>
      </w:r>
      <w:r w:rsidR="00253AC1" w:rsidRPr="003567D3">
        <w:rPr>
          <w:rStyle w:val="FootnoteReference"/>
          <w:rFonts w:ascii="Arial" w:hAnsi="Arial" w:cs="Arial"/>
          <w:color w:val="000000" w:themeColor="text1"/>
          <w:sz w:val="22"/>
          <w:szCs w:val="22"/>
          <w:lang w:val="en-GB"/>
        </w:rPr>
        <w:footnoteReference w:id="35"/>
      </w:r>
      <w:r w:rsidR="00253AC1" w:rsidRPr="003567D3">
        <w:rPr>
          <w:rFonts w:ascii="Arial" w:hAnsi="Arial" w:cs="Arial"/>
          <w:color w:val="000000" w:themeColor="text1"/>
          <w:sz w:val="22"/>
          <w:szCs w:val="22"/>
          <w:lang w:val="en-GB"/>
        </w:rPr>
        <w:t xml:space="preserve"> This not only underscores the importance of observing taboo in context of oracular divination, but also establishes the </w:t>
      </w:r>
      <w:r w:rsidR="00F82C18" w:rsidRPr="003567D3">
        <w:rPr>
          <w:rFonts w:ascii="Arial" w:hAnsi="Arial" w:cs="Arial"/>
          <w:color w:val="000000" w:themeColor="text1"/>
          <w:sz w:val="22"/>
          <w:szCs w:val="22"/>
          <w:lang w:val="en-GB"/>
        </w:rPr>
        <w:t xml:space="preserve">necessity of </w:t>
      </w:r>
      <w:r w:rsidR="00253AC1" w:rsidRPr="003567D3">
        <w:rPr>
          <w:rFonts w:ascii="Arial" w:hAnsi="Arial" w:cs="Arial"/>
          <w:color w:val="000000" w:themeColor="text1"/>
          <w:sz w:val="22"/>
          <w:szCs w:val="22"/>
          <w:lang w:val="en-GB"/>
        </w:rPr>
        <w:t>properly enact</w:t>
      </w:r>
      <w:r w:rsidR="00F82C18" w:rsidRPr="003567D3">
        <w:rPr>
          <w:rFonts w:ascii="Arial" w:hAnsi="Arial" w:cs="Arial"/>
          <w:color w:val="000000" w:themeColor="text1"/>
          <w:sz w:val="22"/>
          <w:szCs w:val="22"/>
          <w:lang w:val="en-GB"/>
        </w:rPr>
        <w:t>ing</w:t>
      </w:r>
      <w:r w:rsidR="00253AC1" w:rsidRPr="003567D3">
        <w:rPr>
          <w:rFonts w:ascii="Arial" w:hAnsi="Arial" w:cs="Arial"/>
          <w:color w:val="000000" w:themeColor="text1"/>
          <w:sz w:val="22"/>
          <w:szCs w:val="22"/>
          <w:lang w:val="en-GB"/>
        </w:rPr>
        <w:t xml:space="preserve"> rites as a prerequisite to a truthful oracle. </w:t>
      </w:r>
      <w:r w:rsidRPr="003567D3">
        <w:rPr>
          <w:rFonts w:ascii="Arial" w:hAnsi="Arial" w:cs="Arial"/>
          <w:color w:val="000000" w:themeColor="text1"/>
          <w:sz w:val="22"/>
          <w:szCs w:val="22"/>
          <w:lang w:val="en-GB"/>
        </w:rPr>
        <w:t xml:space="preserve">In fact, the importance of orthopraxy in Azande culture is so </w:t>
      </w:r>
      <w:r w:rsidR="00253AC1" w:rsidRPr="003567D3">
        <w:rPr>
          <w:rFonts w:ascii="Arial" w:hAnsi="Arial" w:cs="Arial"/>
          <w:color w:val="000000" w:themeColor="text1"/>
          <w:sz w:val="22"/>
          <w:szCs w:val="22"/>
          <w:lang w:val="en-GB"/>
        </w:rPr>
        <w:t xml:space="preserve">engrained that the failure to observe taboo is often </w:t>
      </w:r>
      <w:r w:rsidR="00F82C18" w:rsidRPr="003567D3">
        <w:rPr>
          <w:rFonts w:ascii="Arial" w:hAnsi="Arial" w:cs="Arial"/>
          <w:color w:val="000000" w:themeColor="text1"/>
          <w:sz w:val="22"/>
          <w:szCs w:val="22"/>
          <w:lang w:val="en-GB"/>
        </w:rPr>
        <w:t>attributed in case</w:t>
      </w:r>
      <w:r w:rsidR="003628A7" w:rsidRPr="003567D3">
        <w:rPr>
          <w:rFonts w:ascii="Arial" w:hAnsi="Arial" w:cs="Arial"/>
          <w:color w:val="000000" w:themeColor="text1"/>
          <w:sz w:val="22"/>
          <w:szCs w:val="22"/>
          <w:lang w:val="en-GB"/>
        </w:rPr>
        <w:t>s</w:t>
      </w:r>
      <w:r w:rsidR="00F82C18" w:rsidRPr="003567D3">
        <w:rPr>
          <w:rFonts w:ascii="Arial" w:hAnsi="Arial" w:cs="Arial"/>
          <w:color w:val="000000" w:themeColor="text1"/>
          <w:sz w:val="22"/>
          <w:szCs w:val="22"/>
          <w:lang w:val="en-GB"/>
        </w:rPr>
        <w:t xml:space="preserve"> when oracular readings are</w:t>
      </w:r>
      <w:r w:rsidR="00C8510B" w:rsidRPr="003567D3">
        <w:rPr>
          <w:rFonts w:ascii="Arial" w:hAnsi="Arial" w:cs="Arial"/>
          <w:color w:val="000000" w:themeColor="text1"/>
          <w:sz w:val="22"/>
          <w:szCs w:val="22"/>
          <w:lang w:val="en-GB"/>
        </w:rPr>
        <w:t xml:space="preserve"> determined to be</w:t>
      </w:r>
      <w:r w:rsidR="00253AC1" w:rsidRPr="003567D3">
        <w:rPr>
          <w:rFonts w:ascii="Arial" w:hAnsi="Arial" w:cs="Arial"/>
          <w:color w:val="000000" w:themeColor="text1"/>
          <w:sz w:val="22"/>
          <w:szCs w:val="22"/>
          <w:lang w:val="en-GB"/>
        </w:rPr>
        <w:t xml:space="preserve"> unclear or inaccurate</w:t>
      </w:r>
      <w:r w:rsidR="00F82C18" w:rsidRPr="003567D3">
        <w:rPr>
          <w:rFonts w:ascii="Arial" w:hAnsi="Arial" w:cs="Arial"/>
          <w:color w:val="000000" w:themeColor="text1"/>
          <w:sz w:val="22"/>
          <w:szCs w:val="22"/>
          <w:lang w:val="en-GB"/>
        </w:rPr>
        <w:t>.</w:t>
      </w:r>
      <w:r w:rsidR="00253AC1" w:rsidRPr="003567D3">
        <w:rPr>
          <w:rStyle w:val="FootnoteReference"/>
          <w:rFonts w:ascii="Arial" w:hAnsi="Arial" w:cs="Arial"/>
          <w:color w:val="000000" w:themeColor="text1"/>
          <w:sz w:val="22"/>
          <w:szCs w:val="22"/>
          <w:lang w:val="en-GB"/>
        </w:rPr>
        <w:footnoteReference w:id="36"/>
      </w:r>
      <w:r w:rsidR="00253AC1" w:rsidRPr="003567D3">
        <w:rPr>
          <w:rFonts w:ascii="Arial" w:hAnsi="Arial" w:cs="Arial"/>
          <w:color w:val="000000" w:themeColor="text1"/>
          <w:sz w:val="22"/>
          <w:szCs w:val="22"/>
          <w:lang w:val="en-GB"/>
        </w:rPr>
        <w:t xml:space="preserve"> </w:t>
      </w:r>
      <w:r w:rsidRPr="003567D3">
        <w:rPr>
          <w:rFonts w:ascii="Arial" w:hAnsi="Arial" w:cs="Arial"/>
          <w:color w:val="000000" w:themeColor="text1"/>
          <w:sz w:val="22"/>
          <w:szCs w:val="22"/>
          <w:lang w:val="en-GB"/>
        </w:rPr>
        <w:t xml:space="preserve"> </w:t>
      </w:r>
      <w:r w:rsidR="00E57496" w:rsidRPr="003567D3">
        <w:rPr>
          <w:rFonts w:ascii="Arial" w:hAnsi="Arial" w:cs="Arial"/>
          <w:color w:val="FF0000"/>
          <w:sz w:val="22"/>
          <w:szCs w:val="22"/>
          <w:lang w:val="en-GB"/>
        </w:rPr>
        <w:br/>
      </w:r>
      <w:r w:rsidR="00E57496" w:rsidRPr="003567D3">
        <w:rPr>
          <w:rFonts w:ascii="Arial" w:hAnsi="Arial" w:cs="Arial"/>
          <w:color w:val="FF0000"/>
          <w:sz w:val="22"/>
          <w:szCs w:val="22"/>
          <w:lang w:val="en-GB"/>
        </w:rPr>
        <w:br/>
      </w:r>
      <w:r w:rsidR="00E91F45" w:rsidRPr="003567D3">
        <w:rPr>
          <w:rFonts w:ascii="Arial" w:hAnsi="Arial" w:cs="Arial"/>
          <w:color w:val="000000" w:themeColor="text1"/>
          <w:sz w:val="22"/>
          <w:szCs w:val="22"/>
          <w:lang w:val="en-GB"/>
        </w:rPr>
        <w:tab/>
        <w:t xml:space="preserve">Evans-Pritchard’s observations of the </w:t>
      </w:r>
      <w:r w:rsidR="003B6B79" w:rsidRPr="003567D3">
        <w:rPr>
          <w:rFonts w:ascii="Arial" w:hAnsi="Arial" w:cs="Arial"/>
          <w:color w:val="000000" w:themeColor="text1"/>
          <w:sz w:val="22"/>
          <w:szCs w:val="22"/>
          <w:lang w:val="en-GB"/>
        </w:rPr>
        <w:t>interplay</w:t>
      </w:r>
      <w:r w:rsidR="00E91F45" w:rsidRPr="003567D3">
        <w:rPr>
          <w:rFonts w:ascii="Arial" w:hAnsi="Arial" w:cs="Arial"/>
          <w:color w:val="000000" w:themeColor="text1"/>
          <w:sz w:val="22"/>
          <w:szCs w:val="22"/>
          <w:lang w:val="en-GB"/>
        </w:rPr>
        <w:t xml:space="preserve"> between concepts of orthopraxy and the idiosyncrasies of enacted ritual serve as an important consideration for Classicists studying rites in antiquity. </w:t>
      </w:r>
      <w:r w:rsidR="003B6B79" w:rsidRPr="003567D3">
        <w:rPr>
          <w:rFonts w:ascii="Arial" w:hAnsi="Arial" w:cs="Arial"/>
          <w:color w:val="000000" w:themeColor="text1"/>
          <w:sz w:val="22"/>
          <w:szCs w:val="22"/>
          <w:lang w:val="en-GB"/>
        </w:rPr>
        <w:t xml:space="preserve">Ogden’s comprehensive explorations witchcraft, magic, and ghosts in the ancient Greek and Roman worlds in many ways exemplifies the dubious relationship between orthopraxy and the uncertain realities of individualized ritual. In exploring the concept of necromancy, Ogden points to a particularly detailed description of a ghost summoning ritual as explained in Homer’s </w:t>
      </w:r>
      <w:r w:rsidR="003B6B79" w:rsidRPr="003567D3">
        <w:rPr>
          <w:rFonts w:ascii="Arial" w:hAnsi="Arial" w:cs="Arial"/>
          <w:i/>
          <w:iCs/>
          <w:color w:val="000000" w:themeColor="text1"/>
          <w:sz w:val="22"/>
          <w:szCs w:val="22"/>
          <w:lang w:val="en-GB"/>
        </w:rPr>
        <w:t>Odysseus.</w:t>
      </w:r>
      <w:r w:rsidR="003B6B79" w:rsidRPr="003567D3">
        <w:rPr>
          <w:rFonts w:ascii="Arial" w:hAnsi="Arial" w:cs="Arial"/>
          <w:color w:val="000000" w:themeColor="text1"/>
          <w:sz w:val="22"/>
          <w:szCs w:val="22"/>
          <w:lang w:val="en-GB"/>
        </w:rPr>
        <w:t xml:space="preserve"> Through </w:t>
      </w:r>
      <w:proofErr w:type="gramStart"/>
      <w:r w:rsidR="003B6B79" w:rsidRPr="003567D3">
        <w:rPr>
          <w:rFonts w:ascii="Arial" w:hAnsi="Arial" w:cs="Arial"/>
          <w:color w:val="000000" w:themeColor="text1"/>
          <w:sz w:val="22"/>
          <w:szCs w:val="22"/>
          <w:lang w:val="en-GB"/>
        </w:rPr>
        <w:t>an</w:t>
      </w:r>
      <w:proofErr w:type="gramEnd"/>
      <w:r w:rsidR="009919AE" w:rsidRPr="003567D3">
        <w:rPr>
          <w:rFonts w:ascii="Arial" w:hAnsi="Arial" w:cs="Arial"/>
          <w:color w:val="000000" w:themeColor="text1"/>
          <w:sz w:val="22"/>
          <w:szCs w:val="22"/>
          <w:lang w:val="en-GB"/>
        </w:rPr>
        <w:t xml:space="preserve"> careful</w:t>
      </w:r>
      <w:r w:rsidR="003B6B79" w:rsidRPr="003567D3">
        <w:rPr>
          <w:rFonts w:ascii="Arial" w:hAnsi="Arial" w:cs="Arial"/>
          <w:color w:val="000000" w:themeColor="text1"/>
          <w:sz w:val="22"/>
          <w:szCs w:val="22"/>
          <w:lang w:val="en-GB"/>
        </w:rPr>
        <w:t xml:space="preserve"> reading of the rites performed by Odysseus to garner hidden knowledge from inhabitants of the other realm, Ogden articulates the mechanisms of what he dubs </w:t>
      </w:r>
      <w:r w:rsidR="00AF04D1">
        <w:rPr>
          <w:rFonts w:ascii="Arial" w:hAnsi="Arial" w:cs="Arial"/>
          <w:color w:val="000000" w:themeColor="text1"/>
          <w:sz w:val="22"/>
          <w:szCs w:val="22"/>
          <w:lang w:val="en-GB"/>
        </w:rPr>
        <w:t>‘</w:t>
      </w:r>
      <w:r w:rsidR="003B6B79" w:rsidRPr="003567D3">
        <w:rPr>
          <w:rFonts w:ascii="Arial" w:hAnsi="Arial" w:cs="Arial"/>
          <w:color w:val="000000" w:themeColor="text1"/>
          <w:sz w:val="22"/>
          <w:szCs w:val="22"/>
          <w:lang w:val="en-GB"/>
        </w:rPr>
        <w:t>ghost-evocation technology</w:t>
      </w:r>
      <w:r w:rsidR="00AF04D1">
        <w:rPr>
          <w:rFonts w:ascii="Arial" w:hAnsi="Arial" w:cs="Arial"/>
          <w:color w:val="000000" w:themeColor="text1"/>
          <w:sz w:val="22"/>
          <w:szCs w:val="22"/>
          <w:lang w:val="en-GB"/>
        </w:rPr>
        <w:t>’</w:t>
      </w:r>
      <w:r w:rsidR="009919AE" w:rsidRPr="003567D3">
        <w:rPr>
          <w:rFonts w:ascii="Arial" w:hAnsi="Arial" w:cs="Arial"/>
          <w:color w:val="000000" w:themeColor="text1"/>
          <w:sz w:val="22"/>
          <w:szCs w:val="22"/>
          <w:lang w:val="en-GB"/>
        </w:rPr>
        <w:t xml:space="preserve"> of the ancient Greeks.</w:t>
      </w:r>
      <w:r w:rsidR="003B6B79" w:rsidRPr="003567D3">
        <w:rPr>
          <w:rStyle w:val="FootnoteReference"/>
          <w:rFonts w:ascii="Arial" w:hAnsi="Arial" w:cs="Arial"/>
          <w:color w:val="000000" w:themeColor="text1"/>
          <w:sz w:val="22"/>
          <w:szCs w:val="22"/>
          <w:lang w:val="en-GB"/>
        </w:rPr>
        <w:footnoteReference w:id="37"/>
      </w:r>
      <w:r w:rsidR="009919AE" w:rsidRPr="003567D3">
        <w:rPr>
          <w:rFonts w:ascii="Arial" w:hAnsi="Arial" w:cs="Arial"/>
          <w:color w:val="000000" w:themeColor="text1"/>
          <w:sz w:val="22"/>
          <w:szCs w:val="22"/>
          <w:lang w:val="en-GB"/>
        </w:rPr>
        <w:t xml:space="preserve"> His account includes detailed information regarding when, where, and how to necromantic ritual was—or rather, </w:t>
      </w:r>
      <w:r w:rsidR="009919AE" w:rsidRPr="003567D3">
        <w:rPr>
          <w:rFonts w:ascii="Arial" w:hAnsi="Arial" w:cs="Arial"/>
          <w:i/>
          <w:iCs/>
          <w:color w:val="000000" w:themeColor="text1"/>
          <w:sz w:val="22"/>
          <w:szCs w:val="22"/>
          <w:lang w:val="en-GB"/>
        </w:rPr>
        <w:t>could have been</w:t>
      </w:r>
      <w:r w:rsidR="009919AE" w:rsidRPr="003567D3">
        <w:rPr>
          <w:rFonts w:ascii="Arial" w:hAnsi="Arial" w:cs="Arial"/>
          <w:color w:val="000000" w:themeColor="text1"/>
          <w:sz w:val="22"/>
          <w:szCs w:val="22"/>
          <w:lang w:val="en-GB"/>
        </w:rPr>
        <w:t xml:space="preserve">—enacted in antiquity. However, Ogden acknowledges the limitations of </w:t>
      </w:r>
      <w:r w:rsidR="00E85166" w:rsidRPr="003567D3">
        <w:rPr>
          <w:rFonts w:ascii="Arial" w:hAnsi="Arial" w:cs="Arial"/>
          <w:color w:val="000000" w:themeColor="text1"/>
          <w:sz w:val="22"/>
          <w:szCs w:val="22"/>
          <w:lang w:val="en-GB"/>
        </w:rPr>
        <w:t>this formula</w:t>
      </w:r>
      <w:r w:rsidR="009919AE" w:rsidRPr="003567D3">
        <w:rPr>
          <w:rFonts w:ascii="Arial" w:hAnsi="Arial" w:cs="Arial"/>
          <w:color w:val="000000" w:themeColor="text1"/>
          <w:sz w:val="22"/>
          <w:szCs w:val="22"/>
          <w:lang w:val="en-GB"/>
        </w:rPr>
        <w:t xml:space="preserve">, reflecting that </w:t>
      </w:r>
      <w:r w:rsidR="00E85166" w:rsidRPr="003567D3">
        <w:rPr>
          <w:rFonts w:ascii="Arial" w:hAnsi="Arial" w:cs="Arial"/>
          <w:color w:val="000000" w:themeColor="text1"/>
          <w:sz w:val="22"/>
          <w:szCs w:val="22"/>
          <w:lang w:val="en-GB"/>
        </w:rPr>
        <w:t>it</w:t>
      </w:r>
      <w:r w:rsidR="009919AE" w:rsidRPr="003567D3">
        <w:rPr>
          <w:rFonts w:ascii="Arial" w:hAnsi="Arial" w:cs="Arial"/>
          <w:color w:val="000000" w:themeColor="text1"/>
          <w:sz w:val="22"/>
          <w:szCs w:val="22"/>
          <w:lang w:val="en-GB"/>
        </w:rPr>
        <w:t xml:space="preserve"> merely reveal</w:t>
      </w:r>
      <w:r w:rsidR="00E85166" w:rsidRPr="003567D3">
        <w:rPr>
          <w:rFonts w:ascii="Arial" w:hAnsi="Arial" w:cs="Arial"/>
          <w:color w:val="000000" w:themeColor="text1"/>
          <w:sz w:val="22"/>
          <w:szCs w:val="22"/>
          <w:lang w:val="en-GB"/>
        </w:rPr>
        <w:t>s</w:t>
      </w:r>
      <w:r w:rsidR="009919AE" w:rsidRPr="003567D3">
        <w:rPr>
          <w:rFonts w:ascii="Arial" w:hAnsi="Arial" w:cs="Arial"/>
          <w:color w:val="000000" w:themeColor="text1"/>
          <w:sz w:val="22"/>
          <w:szCs w:val="22"/>
          <w:lang w:val="en-GB"/>
        </w:rPr>
        <w:t xml:space="preserve"> </w:t>
      </w:r>
      <w:r w:rsidR="00E85166" w:rsidRPr="003567D3">
        <w:rPr>
          <w:rFonts w:ascii="Arial" w:hAnsi="Arial" w:cs="Arial"/>
          <w:color w:val="000000" w:themeColor="text1"/>
          <w:sz w:val="22"/>
          <w:szCs w:val="22"/>
          <w:lang w:val="en-GB"/>
        </w:rPr>
        <w:t>‘</w:t>
      </w:r>
      <w:r w:rsidR="009919AE" w:rsidRPr="003567D3">
        <w:rPr>
          <w:rFonts w:ascii="Arial" w:hAnsi="Arial" w:cs="Arial"/>
          <w:color w:val="000000" w:themeColor="text1"/>
          <w:sz w:val="22"/>
          <w:szCs w:val="22"/>
          <w:lang w:val="en-GB"/>
        </w:rPr>
        <w:t>varied and contradictory ideas about the afterlife.</w:t>
      </w:r>
      <w:r w:rsidR="00E85166" w:rsidRPr="003567D3">
        <w:rPr>
          <w:rFonts w:ascii="Arial" w:hAnsi="Arial" w:cs="Arial"/>
          <w:color w:val="000000" w:themeColor="text1"/>
          <w:sz w:val="22"/>
          <w:szCs w:val="22"/>
          <w:lang w:val="en-GB"/>
        </w:rPr>
        <w:t>’</w:t>
      </w:r>
      <w:r w:rsidR="009919AE" w:rsidRPr="003567D3">
        <w:rPr>
          <w:rStyle w:val="FootnoteReference"/>
          <w:rFonts w:ascii="Arial" w:hAnsi="Arial" w:cs="Arial"/>
          <w:color w:val="000000" w:themeColor="text1"/>
          <w:sz w:val="22"/>
          <w:szCs w:val="22"/>
          <w:lang w:val="en-GB"/>
        </w:rPr>
        <w:footnoteReference w:id="38"/>
      </w:r>
      <w:r w:rsidR="009919AE" w:rsidRPr="003567D3">
        <w:rPr>
          <w:rFonts w:ascii="Arial" w:hAnsi="Arial" w:cs="Arial"/>
          <w:color w:val="000000" w:themeColor="text1"/>
          <w:sz w:val="22"/>
          <w:szCs w:val="22"/>
          <w:lang w:val="en-GB"/>
        </w:rPr>
        <w:t xml:space="preserve"> In light of Evans-Pritchard’s insights into the concurrent observance of orthopraxy and individual ritual practice amongst the Azande, one can begin to see the problem with articulating an established methodology for enacting necromantic ritual in antiquity. One challenge is hermeneutic, in that interpretations of ritual as depicted in a narrative context within oral storytelling traditions may not accurately reflect the </w:t>
      </w:r>
      <w:r w:rsidR="004B2978" w:rsidRPr="003567D3">
        <w:rPr>
          <w:rFonts w:ascii="Arial" w:hAnsi="Arial" w:cs="Arial"/>
          <w:color w:val="000000" w:themeColor="text1"/>
          <w:sz w:val="22"/>
          <w:szCs w:val="22"/>
          <w:lang w:val="en-GB"/>
        </w:rPr>
        <w:t xml:space="preserve">realities of experience in antiquity. While this approach is valuable for its imaginative and theoretical explorations, it is also potentially problematic in that it could—when misappropriated—be equivalent to assembling the contemporary American understanding of witchcraft around the escapades of Sabrina Spellman, Samantha Stephens, or Harry Potter. Additionally, the interpretative description of a ritual technology inherently reduces the capacity for individualized and idiosyncratic divinatory practice, which remains </w:t>
      </w:r>
      <w:r w:rsidR="00CA61BE" w:rsidRPr="003567D3">
        <w:rPr>
          <w:rFonts w:ascii="Arial" w:hAnsi="Arial" w:cs="Arial"/>
          <w:color w:val="000000" w:themeColor="text1"/>
          <w:sz w:val="22"/>
          <w:szCs w:val="22"/>
          <w:lang w:val="en-GB"/>
        </w:rPr>
        <w:t xml:space="preserve">both </w:t>
      </w:r>
      <w:r w:rsidR="004B2978" w:rsidRPr="003567D3">
        <w:rPr>
          <w:rFonts w:ascii="Arial" w:hAnsi="Arial" w:cs="Arial"/>
          <w:color w:val="000000" w:themeColor="text1"/>
          <w:sz w:val="22"/>
          <w:szCs w:val="22"/>
          <w:lang w:val="en-GB"/>
        </w:rPr>
        <w:t xml:space="preserve">possible and congruent within systems of orthopraxy as evidenced by Evans-Pritchard’s investigations within Azande oracular traditions. </w:t>
      </w:r>
    </w:p>
    <w:p w14:paraId="4FDE3237" w14:textId="77777777" w:rsidR="004B2978" w:rsidRPr="003567D3" w:rsidRDefault="004B2978" w:rsidP="003567D3">
      <w:pPr>
        <w:spacing w:line="276" w:lineRule="auto"/>
        <w:rPr>
          <w:rFonts w:ascii="Arial" w:hAnsi="Arial" w:cs="Arial"/>
          <w:color w:val="000000" w:themeColor="text1"/>
          <w:sz w:val="22"/>
          <w:szCs w:val="22"/>
          <w:lang w:val="en-GB"/>
        </w:rPr>
      </w:pPr>
    </w:p>
    <w:p w14:paraId="0FAC9F35" w14:textId="2949D7D2" w:rsidR="000E5C72" w:rsidRPr="003567D3" w:rsidRDefault="004B2978"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ab/>
        <w:t xml:space="preserve">In addition to locating the challenge of subjective experience as it manifests across and even within cultures, Evans-Pritchard also locates similar </w:t>
      </w:r>
      <w:r w:rsidR="000E5C72" w:rsidRPr="003567D3">
        <w:rPr>
          <w:rFonts w:ascii="Arial" w:hAnsi="Arial" w:cs="Arial"/>
          <w:color w:val="000000" w:themeColor="text1"/>
          <w:sz w:val="22"/>
          <w:szCs w:val="22"/>
          <w:lang w:val="en-GB"/>
        </w:rPr>
        <w:t>conceptual distortions</w:t>
      </w:r>
      <w:r w:rsidRPr="003567D3">
        <w:rPr>
          <w:rFonts w:ascii="Arial" w:hAnsi="Arial" w:cs="Arial"/>
          <w:color w:val="000000" w:themeColor="text1"/>
          <w:sz w:val="22"/>
          <w:szCs w:val="22"/>
          <w:lang w:val="en-GB"/>
        </w:rPr>
        <w:t xml:space="preserve"> </w:t>
      </w:r>
      <w:r w:rsidR="000E5C72" w:rsidRPr="003567D3">
        <w:rPr>
          <w:rFonts w:ascii="Arial" w:hAnsi="Arial" w:cs="Arial"/>
          <w:color w:val="000000" w:themeColor="text1"/>
          <w:sz w:val="22"/>
          <w:szCs w:val="22"/>
          <w:lang w:val="en-GB"/>
        </w:rPr>
        <w:t>within</w:t>
      </w:r>
      <w:r w:rsidRPr="003567D3">
        <w:rPr>
          <w:rFonts w:ascii="Arial" w:hAnsi="Arial" w:cs="Arial"/>
          <w:color w:val="000000" w:themeColor="text1"/>
          <w:sz w:val="22"/>
          <w:szCs w:val="22"/>
          <w:lang w:val="en-GB"/>
        </w:rPr>
        <w:t xml:space="preserve"> </w:t>
      </w:r>
      <w:r w:rsidR="000E5C72" w:rsidRPr="003567D3">
        <w:rPr>
          <w:rFonts w:ascii="Arial" w:hAnsi="Arial" w:cs="Arial"/>
          <w:color w:val="000000" w:themeColor="text1"/>
          <w:sz w:val="22"/>
          <w:szCs w:val="22"/>
          <w:lang w:val="en-GB"/>
        </w:rPr>
        <w:t xml:space="preserve">the individual. In discussing the fluidity of personal belief structures, he recounts that </w:t>
      </w:r>
      <w:r w:rsidR="00CA61BE" w:rsidRPr="003567D3">
        <w:rPr>
          <w:rFonts w:ascii="Arial" w:hAnsi="Arial" w:cs="Arial"/>
          <w:color w:val="000000" w:themeColor="text1"/>
          <w:sz w:val="22"/>
          <w:szCs w:val="22"/>
          <w:lang w:val="en-GB"/>
        </w:rPr>
        <w:t>‘</w:t>
      </w:r>
      <w:r w:rsidR="000E5C72" w:rsidRPr="003567D3">
        <w:rPr>
          <w:rFonts w:ascii="Arial" w:hAnsi="Arial" w:cs="Arial"/>
          <w:color w:val="000000" w:themeColor="text1"/>
          <w:sz w:val="22"/>
          <w:szCs w:val="22"/>
          <w:lang w:val="en-GB"/>
        </w:rPr>
        <w:t>a</w:t>
      </w:r>
      <w:r w:rsidR="000E5C72" w:rsidRPr="003567D3">
        <w:rPr>
          <w:rFonts w:ascii="Arial" w:hAnsi="Arial" w:cs="Arial"/>
          <w:color w:val="000000" w:themeColor="text1"/>
          <w:sz w:val="22"/>
          <w:szCs w:val="22"/>
          <w:lang w:val="en-GB"/>
        </w:rPr>
        <w:t xml:space="preserve"> man in one situation utilizes what in the beliefs are convenient to him and pays no attention to other elements which he might use in different situations.</w:t>
      </w:r>
      <w:r w:rsidR="00CA61BE" w:rsidRPr="003567D3">
        <w:rPr>
          <w:rFonts w:ascii="Arial" w:hAnsi="Arial" w:cs="Arial"/>
          <w:color w:val="000000" w:themeColor="text1"/>
          <w:sz w:val="22"/>
          <w:szCs w:val="22"/>
          <w:lang w:val="en-GB"/>
        </w:rPr>
        <w:t>’</w:t>
      </w:r>
      <w:r w:rsidR="000E5C72" w:rsidRPr="003567D3">
        <w:rPr>
          <w:rStyle w:val="FootnoteReference"/>
          <w:rFonts w:ascii="Arial" w:hAnsi="Arial" w:cs="Arial"/>
          <w:color w:val="000000" w:themeColor="text1"/>
          <w:sz w:val="22"/>
          <w:szCs w:val="22"/>
          <w:lang w:val="en-GB"/>
        </w:rPr>
        <w:footnoteReference w:id="39"/>
      </w:r>
      <w:r w:rsidR="000E5C72" w:rsidRPr="003567D3">
        <w:rPr>
          <w:rFonts w:ascii="Arial" w:hAnsi="Arial" w:cs="Arial"/>
          <w:color w:val="000000" w:themeColor="text1"/>
          <w:sz w:val="22"/>
          <w:szCs w:val="22"/>
          <w:lang w:val="en-GB"/>
        </w:rPr>
        <w:t xml:space="preserve"> In other words, beliefs can change, even within the believer. The recognition of this mutability also lends itself to considering how and to what extent beliefs shifted and varied within the ancient Greek and Roman worlds, not only on a cultural level, but on an individual one as well. </w:t>
      </w:r>
    </w:p>
    <w:p w14:paraId="0E0353CA" w14:textId="30B23058" w:rsidR="000E5C72" w:rsidRPr="003567D3" w:rsidRDefault="000E5C72" w:rsidP="003567D3">
      <w:pPr>
        <w:spacing w:line="276" w:lineRule="auto"/>
        <w:rPr>
          <w:rFonts w:ascii="Arial" w:hAnsi="Arial" w:cs="Arial"/>
          <w:color w:val="000000" w:themeColor="text1"/>
          <w:sz w:val="22"/>
          <w:szCs w:val="22"/>
          <w:lang w:val="en-GB"/>
        </w:rPr>
      </w:pPr>
    </w:p>
    <w:p w14:paraId="758FA07A" w14:textId="4A13BB48" w:rsidR="000E5C72" w:rsidRPr="003567D3" w:rsidRDefault="000E5C72"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ab/>
        <w:t xml:space="preserve">Evans-Pritchard himself was not immune to the shifting sands of personal belief and ideology. In reconciling his complicated feelings regarding the idea and realities of witchcraft among the Azande, he realizes that that: </w:t>
      </w:r>
      <w:r w:rsidRPr="003567D3">
        <w:rPr>
          <w:rFonts w:ascii="Arial" w:hAnsi="Arial" w:cs="Arial"/>
          <w:color w:val="000000" w:themeColor="text1"/>
          <w:sz w:val="22"/>
          <w:szCs w:val="22"/>
          <w:lang w:val="en-GB"/>
        </w:rPr>
        <w:br/>
      </w:r>
    </w:p>
    <w:p w14:paraId="3EF57024" w14:textId="72049D55" w:rsidR="000E5C72" w:rsidRPr="003567D3" w:rsidRDefault="000E5C72" w:rsidP="003567D3">
      <w:pPr>
        <w:spacing w:line="276" w:lineRule="auto"/>
        <w:ind w:left="1440" w:right="1440"/>
        <w:rPr>
          <w:rFonts w:ascii="Arial" w:hAnsi="Arial" w:cs="Arial"/>
          <w:color w:val="000000" w:themeColor="text1"/>
          <w:sz w:val="22"/>
          <w:szCs w:val="22"/>
          <w:lang w:val="en-GB"/>
        </w:rPr>
      </w:pPr>
      <w:r w:rsidRPr="003567D3">
        <w:rPr>
          <w:rFonts w:ascii="Arial" w:hAnsi="Arial" w:cs="Arial"/>
          <w:color w:val="000000" w:themeColor="text1"/>
          <w:sz w:val="22"/>
          <w:szCs w:val="22"/>
          <w:lang w:val="en-GB"/>
        </w:rPr>
        <w:t>i</w:t>
      </w:r>
      <w:r w:rsidRPr="003567D3">
        <w:rPr>
          <w:rFonts w:ascii="Arial" w:hAnsi="Arial" w:cs="Arial"/>
          <w:color w:val="000000" w:themeColor="text1"/>
          <w:sz w:val="22"/>
          <w:szCs w:val="22"/>
          <w:lang w:val="en-GB"/>
        </w:rPr>
        <w:t xml:space="preserve">n my own culture, in the climate of thought I was born into and brought up in and have been conditioned by, I rejected, I reject, Zande notions of witchcraft. In their culture, in the set of ideas I then lived in, I accepted them; in a kind of </w:t>
      </w:r>
      <w:proofErr w:type="gramStart"/>
      <w:r w:rsidRPr="003567D3">
        <w:rPr>
          <w:rFonts w:ascii="Arial" w:hAnsi="Arial" w:cs="Arial"/>
          <w:color w:val="000000" w:themeColor="text1"/>
          <w:sz w:val="22"/>
          <w:szCs w:val="22"/>
          <w:lang w:val="en-GB"/>
        </w:rPr>
        <w:t>way</w:t>
      </w:r>
      <w:proofErr w:type="gramEnd"/>
      <w:r w:rsidRPr="003567D3">
        <w:rPr>
          <w:rFonts w:ascii="Arial" w:hAnsi="Arial" w:cs="Arial"/>
          <w:color w:val="000000" w:themeColor="text1"/>
          <w:sz w:val="22"/>
          <w:szCs w:val="22"/>
          <w:lang w:val="en-GB"/>
        </w:rPr>
        <w:t xml:space="preserve"> I believed them.</w:t>
      </w:r>
      <w:r w:rsidRPr="003567D3">
        <w:rPr>
          <w:rStyle w:val="FootnoteReference"/>
          <w:rFonts w:ascii="Arial" w:hAnsi="Arial" w:cs="Arial"/>
          <w:color w:val="000000" w:themeColor="text1"/>
          <w:sz w:val="22"/>
          <w:szCs w:val="22"/>
          <w:lang w:val="en-GB"/>
        </w:rPr>
        <w:footnoteReference w:id="40"/>
      </w:r>
      <w:r w:rsidRPr="003567D3">
        <w:rPr>
          <w:rFonts w:ascii="Arial" w:hAnsi="Arial" w:cs="Arial"/>
          <w:color w:val="000000" w:themeColor="text1"/>
          <w:sz w:val="22"/>
          <w:szCs w:val="22"/>
          <w:lang w:val="en-GB"/>
        </w:rPr>
        <w:t xml:space="preserve">  </w:t>
      </w:r>
    </w:p>
    <w:p w14:paraId="3614C076" w14:textId="55284F00" w:rsidR="000E5C72" w:rsidRPr="003567D3" w:rsidRDefault="000E5C72" w:rsidP="003567D3">
      <w:pPr>
        <w:spacing w:line="276" w:lineRule="auto"/>
        <w:ind w:right="720"/>
        <w:rPr>
          <w:rFonts w:ascii="Arial" w:hAnsi="Arial" w:cs="Arial"/>
          <w:color w:val="000000" w:themeColor="text1"/>
          <w:sz w:val="22"/>
          <w:szCs w:val="22"/>
          <w:lang w:val="en-GB"/>
        </w:rPr>
      </w:pPr>
    </w:p>
    <w:p w14:paraId="0C63FE81" w14:textId="4DDFEFFF" w:rsidR="004A5459" w:rsidRPr="003567D3" w:rsidRDefault="000E5C72" w:rsidP="003567D3">
      <w:pPr>
        <w:spacing w:line="276" w:lineRule="auto"/>
        <w:rPr>
          <w:rFonts w:ascii="Arial" w:hAnsi="Arial" w:cs="Arial"/>
          <w:sz w:val="22"/>
          <w:szCs w:val="22"/>
          <w:lang w:val="en-GB"/>
        </w:rPr>
      </w:pPr>
      <w:r w:rsidRPr="003567D3">
        <w:rPr>
          <w:rFonts w:ascii="Arial" w:hAnsi="Arial" w:cs="Arial"/>
          <w:color w:val="000000" w:themeColor="text1"/>
          <w:sz w:val="22"/>
          <w:szCs w:val="22"/>
          <w:lang w:val="en-GB"/>
        </w:rPr>
        <w:t xml:space="preserve">Here, Evans-Prichard suggests the possibility that in addition to generating cognitive dissonance within an anthropologist’s worldview, it also has the capacity to expand it. </w:t>
      </w:r>
      <w:r w:rsidR="00A2155A" w:rsidRPr="003567D3">
        <w:rPr>
          <w:rFonts w:ascii="Arial" w:hAnsi="Arial" w:cs="Arial"/>
          <w:color w:val="000000" w:themeColor="text1"/>
          <w:sz w:val="22"/>
          <w:szCs w:val="22"/>
          <w:lang w:val="en-GB"/>
        </w:rPr>
        <w:t xml:space="preserve">This accounts for the seeming paradox that witchcraft can simultaneously be considered preposterous in an English frame of mind, while it’s concurrently real </w:t>
      </w:r>
      <w:r w:rsidR="00FE5FFC" w:rsidRPr="003567D3">
        <w:rPr>
          <w:rFonts w:ascii="Arial" w:hAnsi="Arial" w:cs="Arial"/>
          <w:color w:val="000000" w:themeColor="text1"/>
          <w:sz w:val="22"/>
          <w:szCs w:val="22"/>
          <w:lang w:val="en-GB"/>
        </w:rPr>
        <w:t>through</w:t>
      </w:r>
      <w:r w:rsidR="00A2155A" w:rsidRPr="003567D3">
        <w:rPr>
          <w:rFonts w:ascii="Arial" w:hAnsi="Arial" w:cs="Arial"/>
          <w:color w:val="000000" w:themeColor="text1"/>
          <w:sz w:val="22"/>
          <w:szCs w:val="22"/>
          <w:lang w:val="en-GB"/>
        </w:rPr>
        <w:t xml:space="preserve"> a Zande lens. It’s through this hybrid reality, by allowing oneself to be influenced by multiple cultural cosmologies, that Evans-Pritchard was able to develop an intimate and cohesive understanding of witchcraft, magic and divination in Azande culture. </w:t>
      </w:r>
      <w:r w:rsidR="00A2155A" w:rsidRPr="00A2155A">
        <w:rPr>
          <w:rFonts w:ascii="Arial" w:hAnsi="Arial" w:cs="Arial"/>
          <w:color w:val="000000" w:themeColor="text1"/>
          <w:sz w:val="22"/>
          <w:szCs w:val="22"/>
          <w:lang w:val="en-GB"/>
        </w:rPr>
        <w:t xml:space="preserve">Had </w:t>
      </w:r>
      <w:r w:rsidR="00A2155A" w:rsidRPr="003567D3">
        <w:rPr>
          <w:rFonts w:ascii="Arial" w:hAnsi="Arial" w:cs="Arial"/>
          <w:color w:val="000000" w:themeColor="text1"/>
          <w:sz w:val="22"/>
          <w:szCs w:val="22"/>
          <w:lang w:val="en-GB"/>
        </w:rPr>
        <w:t xml:space="preserve">he </w:t>
      </w:r>
      <w:r w:rsidR="00A2155A" w:rsidRPr="00A2155A">
        <w:rPr>
          <w:rFonts w:ascii="Arial" w:hAnsi="Arial" w:cs="Arial"/>
          <w:color w:val="000000" w:themeColor="text1"/>
          <w:sz w:val="22"/>
          <w:szCs w:val="22"/>
          <w:lang w:val="en-GB"/>
        </w:rPr>
        <w:t xml:space="preserve">discounted Zande witchcraft based on his own </w:t>
      </w:r>
      <w:r w:rsidR="00A2155A" w:rsidRPr="003567D3">
        <w:rPr>
          <w:rFonts w:ascii="Arial" w:hAnsi="Arial" w:cs="Arial"/>
          <w:color w:val="000000" w:themeColor="text1"/>
          <w:sz w:val="22"/>
          <w:szCs w:val="22"/>
          <w:lang w:val="en-GB"/>
        </w:rPr>
        <w:t>preconceptions</w:t>
      </w:r>
      <w:r w:rsidR="00A2155A" w:rsidRPr="00A2155A">
        <w:rPr>
          <w:rFonts w:ascii="Arial" w:hAnsi="Arial" w:cs="Arial"/>
          <w:color w:val="000000" w:themeColor="text1"/>
          <w:sz w:val="22"/>
          <w:szCs w:val="22"/>
          <w:lang w:val="en-GB"/>
        </w:rPr>
        <w:t>, he would have</w:t>
      </w:r>
      <w:r w:rsidR="00A2155A" w:rsidRPr="003567D3">
        <w:rPr>
          <w:rFonts w:ascii="Arial" w:hAnsi="Arial" w:cs="Arial"/>
          <w:color w:val="000000" w:themeColor="text1"/>
          <w:sz w:val="22"/>
          <w:szCs w:val="22"/>
          <w:lang w:val="en-GB"/>
        </w:rPr>
        <w:t xml:space="preserve"> effectively</w:t>
      </w:r>
      <w:r w:rsidR="00A2155A" w:rsidRPr="00A2155A">
        <w:rPr>
          <w:rFonts w:ascii="Arial" w:hAnsi="Arial" w:cs="Arial"/>
          <w:color w:val="000000" w:themeColor="text1"/>
          <w:sz w:val="22"/>
          <w:szCs w:val="22"/>
          <w:lang w:val="en-GB"/>
        </w:rPr>
        <w:t xml:space="preserve"> prevented himself from accessing Azande worldviews</w:t>
      </w:r>
      <w:r w:rsidR="00A2155A" w:rsidRPr="003567D3">
        <w:rPr>
          <w:rFonts w:ascii="Arial" w:hAnsi="Arial" w:cs="Arial"/>
          <w:color w:val="000000" w:themeColor="text1"/>
          <w:sz w:val="22"/>
          <w:szCs w:val="22"/>
          <w:lang w:val="en-GB"/>
        </w:rPr>
        <w:t>. Therefore, he would have only been able describe the Azande</w:t>
      </w:r>
      <w:r w:rsidR="00A2155A" w:rsidRPr="00A2155A">
        <w:rPr>
          <w:rFonts w:ascii="Arial" w:hAnsi="Arial" w:cs="Arial"/>
          <w:color w:val="000000" w:themeColor="text1"/>
          <w:sz w:val="22"/>
          <w:szCs w:val="22"/>
          <w:lang w:val="en-GB"/>
        </w:rPr>
        <w:t xml:space="preserve"> not </w:t>
      </w:r>
      <w:r w:rsidR="00A2155A" w:rsidRPr="003567D3">
        <w:rPr>
          <w:rFonts w:ascii="Arial" w:hAnsi="Arial" w:cs="Arial"/>
          <w:color w:val="000000" w:themeColor="text1"/>
          <w:sz w:val="22"/>
          <w:szCs w:val="22"/>
          <w:lang w:val="en-GB"/>
        </w:rPr>
        <w:t xml:space="preserve">as they </w:t>
      </w:r>
      <w:r w:rsidR="00A2155A" w:rsidRPr="003567D3">
        <w:rPr>
          <w:rFonts w:ascii="Arial" w:hAnsi="Arial" w:cs="Arial"/>
          <w:i/>
          <w:iCs/>
          <w:color w:val="000000" w:themeColor="text1"/>
          <w:sz w:val="22"/>
          <w:szCs w:val="22"/>
          <w:lang w:val="en-GB"/>
        </w:rPr>
        <w:t>are</w:t>
      </w:r>
      <w:r w:rsidR="00A2155A" w:rsidRPr="00A2155A">
        <w:rPr>
          <w:rFonts w:ascii="Arial" w:hAnsi="Arial" w:cs="Arial"/>
          <w:color w:val="000000" w:themeColor="text1"/>
          <w:sz w:val="22"/>
          <w:szCs w:val="22"/>
          <w:lang w:val="en-GB"/>
        </w:rPr>
        <w:t xml:space="preserve">, but solely in terms of how they </w:t>
      </w:r>
      <w:r w:rsidR="00A2155A" w:rsidRPr="00A2155A">
        <w:rPr>
          <w:rFonts w:ascii="Arial" w:hAnsi="Arial" w:cs="Arial"/>
          <w:i/>
          <w:iCs/>
          <w:color w:val="000000" w:themeColor="text1"/>
          <w:sz w:val="22"/>
          <w:szCs w:val="22"/>
          <w:lang w:val="en-GB"/>
        </w:rPr>
        <w:t xml:space="preserve">aren’t </w:t>
      </w:r>
      <w:r w:rsidR="00A2155A" w:rsidRPr="00A2155A">
        <w:rPr>
          <w:rFonts w:ascii="Arial" w:hAnsi="Arial" w:cs="Arial"/>
          <w:color w:val="000000" w:themeColor="text1"/>
          <w:sz w:val="22"/>
          <w:szCs w:val="22"/>
          <w:lang w:val="en-GB"/>
        </w:rPr>
        <w:t xml:space="preserve">English. </w:t>
      </w:r>
      <w:r w:rsidR="00A2155A" w:rsidRPr="003567D3">
        <w:rPr>
          <w:rFonts w:ascii="Arial" w:hAnsi="Arial" w:cs="Arial"/>
          <w:color w:val="000000" w:themeColor="text1"/>
          <w:sz w:val="22"/>
          <w:szCs w:val="22"/>
          <w:lang w:val="en-GB"/>
        </w:rPr>
        <w:t xml:space="preserve">In referencing to his emic approach, he adds that </w:t>
      </w:r>
      <w:r w:rsidR="009B322C" w:rsidRPr="003567D3">
        <w:rPr>
          <w:rFonts w:ascii="Arial" w:hAnsi="Arial" w:cs="Arial"/>
          <w:color w:val="000000" w:themeColor="text1"/>
          <w:sz w:val="22"/>
          <w:szCs w:val="22"/>
          <w:lang w:val="en-GB"/>
        </w:rPr>
        <w:t>‘</w:t>
      </w:r>
      <w:r w:rsidR="00A2155A" w:rsidRPr="003567D3">
        <w:rPr>
          <w:rFonts w:ascii="Arial" w:hAnsi="Arial" w:cs="Arial"/>
          <w:color w:val="000000" w:themeColor="text1"/>
          <w:sz w:val="22"/>
          <w:szCs w:val="22"/>
          <w:lang w:val="en-GB"/>
        </w:rPr>
        <w:t>i</w:t>
      </w:r>
      <w:r w:rsidR="00A2155A" w:rsidRPr="003567D3">
        <w:rPr>
          <w:rFonts w:ascii="Arial" w:hAnsi="Arial" w:cs="Arial"/>
          <w:color w:val="000000" w:themeColor="text1"/>
          <w:sz w:val="22"/>
          <w:szCs w:val="22"/>
          <w:lang w:val="en-GB"/>
        </w:rPr>
        <w:t>f one must act as though one believed, one ends in believing, or half-believing as one acts.</w:t>
      </w:r>
      <w:r w:rsidR="009B322C" w:rsidRPr="003567D3">
        <w:rPr>
          <w:rFonts w:ascii="Arial" w:hAnsi="Arial" w:cs="Arial"/>
          <w:color w:val="000000" w:themeColor="text1"/>
          <w:sz w:val="22"/>
          <w:szCs w:val="22"/>
          <w:lang w:val="en-GB"/>
        </w:rPr>
        <w:t>’</w:t>
      </w:r>
      <w:r w:rsidR="00A2155A" w:rsidRPr="003567D3">
        <w:rPr>
          <w:rStyle w:val="FootnoteReference"/>
          <w:rFonts w:ascii="Arial" w:hAnsi="Arial" w:cs="Arial"/>
          <w:color w:val="000000" w:themeColor="text1"/>
          <w:sz w:val="22"/>
          <w:szCs w:val="22"/>
          <w:lang w:val="en-GB"/>
        </w:rPr>
        <w:footnoteReference w:id="41"/>
      </w:r>
      <w:r w:rsidR="00A2155A" w:rsidRPr="003567D3">
        <w:rPr>
          <w:rFonts w:ascii="Arial" w:hAnsi="Arial" w:cs="Arial"/>
          <w:color w:val="000000" w:themeColor="text1"/>
          <w:sz w:val="22"/>
          <w:szCs w:val="22"/>
          <w:lang w:val="en-GB"/>
        </w:rPr>
        <w:t xml:space="preserve"> Keeping in mind the limitations of applying an emic approach to antiquity, one can nonetheless understand that the process of </w:t>
      </w:r>
      <w:r w:rsidR="009B322C" w:rsidRPr="003567D3">
        <w:rPr>
          <w:rFonts w:ascii="Arial" w:hAnsi="Arial" w:cs="Arial"/>
          <w:color w:val="000000" w:themeColor="text1"/>
          <w:sz w:val="22"/>
          <w:szCs w:val="22"/>
          <w:lang w:val="en-GB"/>
        </w:rPr>
        <w:t>learning about and engaging with</w:t>
      </w:r>
      <w:r w:rsidR="00A2155A" w:rsidRPr="003567D3">
        <w:rPr>
          <w:rFonts w:ascii="Arial" w:hAnsi="Arial" w:cs="Arial"/>
          <w:color w:val="000000" w:themeColor="text1"/>
          <w:sz w:val="22"/>
          <w:szCs w:val="22"/>
          <w:lang w:val="en-GB"/>
        </w:rPr>
        <w:t xml:space="preserve"> a</w:t>
      </w:r>
      <w:r w:rsidR="009B322C" w:rsidRPr="003567D3">
        <w:rPr>
          <w:rFonts w:ascii="Arial" w:hAnsi="Arial" w:cs="Arial"/>
          <w:color w:val="000000" w:themeColor="text1"/>
          <w:sz w:val="22"/>
          <w:szCs w:val="22"/>
          <w:lang w:val="en-GB"/>
        </w:rPr>
        <w:t>nother</w:t>
      </w:r>
      <w:r w:rsidR="00A2155A" w:rsidRPr="003567D3">
        <w:rPr>
          <w:rFonts w:ascii="Arial" w:hAnsi="Arial" w:cs="Arial"/>
          <w:color w:val="000000" w:themeColor="text1"/>
          <w:sz w:val="22"/>
          <w:szCs w:val="22"/>
          <w:lang w:val="en-GB"/>
        </w:rPr>
        <w:t xml:space="preserve"> culture can change the outlook</w:t>
      </w:r>
      <w:r w:rsidR="00E21F2B" w:rsidRPr="003567D3">
        <w:rPr>
          <w:rFonts w:ascii="Arial" w:hAnsi="Arial" w:cs="Arial"/>
          <w:color w:val="000000" w:themeColor="text1"/>
          <w:sz w:val="22"/>
          <w:szCs w:val="22"/>
          <w:lang w:val="en-GB"/>
        </w:rPr>
        <w:t xml:space="preserve"> of the </w:t>
      </w:r>
      <w:r w:rsidR="00A2155A" w:rsidRPr="003567D3">
        <w:rPr>
          <w:rFonts w:ascii="Arial" w:hAnsi="Arial" w:cs="Arial"/>
          <w:color w:val="000000" w:themeColor="text1"/>
          <w:sz w:val="22"/>
          <w:szCs w:val="22"/>
          <w:lang w:val="en-GB"/>
        </w:rPr>
        <w:t xml:space="preserve">researcher. </w:t>
      </w:r>
      <w:r w:rsidR="00E21F2B" w:rsidRPr="003567D3">
        <w:rPr>
          <w:rFonts w:ascii="Arial" w:hAnsi="Arial" w:cs="Arial"/>
          <w:color w:val="000000" w:themeColor="text1"/>
          <w:sz w:val="22"/>
          <w:szCs w:val="22"/>
          <w:lang w:val="en-GB"/>
        </w:rPr>
        <w:t xml:space="preserve">This possibility is as generative as it can be dangerous, in that while it can reveal new ways of thinking about the world that illuminate new connections and insights, it can just as easily cloud </w:t>
      </w:r>
      <w:r w:rsidR="009B322C" w:rsidRPr="003567D3">
        <w:rPr>
          <w:rFonts w:ascii="Arial" w:hAnsi="Arial" w:cs="Arial"/>
          <w:color w:val="000000" w:themeColor="text1"/>
          <w:sz w:val="22"/>
          <w:szCs w:val="22"/>
          <w:lang w:val="en-GB"/>
        </w:rPr>
        <w:t xml:space="preserve">a scholar’s </w:t>
      </w:r>
      <w:r w:rsidR="00E21F2B" w:rsidRPr="003567D3">
        <w:rPr>
          <w:rFonts w:ascii="Arial" w:hAnsi="Arial" w:cs="Arial"/>
          <w:color w:val="000000" w:themeColor="text1"/>
          <w:sz w:val="22"/>
          <w:szCs w:val="22"/>
          <w:lang w:val="en-GB"/>
        </w:rPr>
        <w:t xml:space="preserve">intentions in regard </w:t>
      </w:r>
      <w:r w:rsidR="009B322C" w:rsidRPr="003567D3">
        <w:rPr>
          <w:rFonts w:ascii="Arial" w:hAnsi="Arial" w:cs="Arial"/>
          <w:color w:val="000000" w:themeColor="text1"/>
          <w:sz w:val="22"/>
          <w:szCs w:val="22"/>
          <w:lang w:val="en-GB"/>
        </w:rPr>
        <w:t>to selectively see(k)</w:t>
      </w:r>
      <w:proofErr w:type="spellStart"/>
      <w:r w:rsidR="009B322C" w:rsidRPr="003567D3">
        <w:rPr>
          <w:rFonts w:ascii="Arial" w:hAnsi="Arial" w:cs="Arial"/>
          <w:color w:val="000000" w:themeColor="text1"/>
          <w:sz w:val="22"/>
          <w:szCs w:val="22"/>
          <w:lang w:val="en-GB"/>
        </w:rPr>
        <w:t>ing</w:t>
      </w:r>
      <w:proofErr w:type="spellEnd"/>
      <w:r w:rsidR="009B322C" w:rsidRPr="003567D3">
        <w:rPr>
          <w:rFonts w:ascii="Arial" w:hAnsi="Arial" w:cs="Arial"/>
          <w:color w:val="000000" w:themeColor="text1"/>
          <w:sz w:val="22"/>
          <w:szCs w:val="22"/>
          <w:lang w:val="en-GB"/>
        </w:rPr>
        <w:t xml:space="preserve"> individual aspects of one’s research in order</w:t>
      </w:r>
      <w:r w:rsidR="00E21F2B" w:rsidRPr="003567D3">
        <w:rPr>
          <w:rFonts w:ascii="Arial" w:hAnsi="Arial" w:cs="Arial"/>
          <w:color w:val="000000" w:themeColor="text1"/>
          <w:sz w:val="22"/>
          <w:szCs w:val="22"/>
          <w:lang w:val="en-GB"/>
        </w:rPr>
        <w:t xml:space="preserve"> to s</w:t>
      </w:r>
      <w:r w:rsidR="009B322C" w:rsidRPr="003567D3">
        <w:rPr>
          <w:rFonts w:ascii="Arial" w:hAnsi="Arial" w:cs="Arial"/>
          <w:color w:val="000000" w:themeColor="text1"/>
          <w:sz w:val="22"/>
          <w:szCs w:val="22"/>
          <w:lang w:val="en-GB"/>
        </w:rPr>
        <w:t>upport</w:t>
      </w:r>
      <w:r w:rsidR="00E21F2B" w:rsidRPr="003567D3">
        <w:rPr>
          <w:rFonts w:ascii="Arial" w:hAnsi="Arial" w:cs="Arial"/>
          <w:color w:val="000000" w:themeColor="text1"/>
          <w:sz w:val="22"/>
          <w:szCs w:val="22"/>
          <w:lang w:val="en-GB"/>
        </w:rPr>
        <w:t xml:space="preserve"> more-than-academic objectives.     </w:t>
      </w:r>
    </w:p>
    <w:p w14:paraId="59A64D21" w14:textId="16667F8B" w:rsidR="003F5FB1" w:rsidRPr="003567D3" w:rsidRDefault="003F5FB1" w:rsidP="003567D3">
      <w:pPr>
        <w:spacing w:line="276" w:lineRule="auto"/>
        <w:ind w:left="720" w:firstLine="720"/>
        <w:rPr>
          <w:rFonts w:ascii="Arial" w:hAnsi="Arial" w:cs="Arial"/>
          <w:color w:val="000000" w:themeColor="text1"/>
          <w:sz w:val="22"/>
          <w:szCs w:val="22"/>
          <w:lang w:val="en-GB"/>
        </w:rPr>
      </w:pPr>
      <w:r w:rsidRPr="003567D3">
        <w:rPr>
          <w:rFonts w:ascii="Arial" w:hAnsi="Arial" w:cs="Arial"/>
          <w:color w:val="000000" w:themeColor="text1"/>
          <w:sz w:val="22"/>
          <w:szCs w:val="22"/>
          <w:lang w:val="en-GB"/>
        </w:rPr>
        <w:tab/>
        <w:t xml:space="preserve"> </w:t>
      </w:r>
    </w:p>
    <w:p w14:paraId="64B78C68" w14:textId="3A17BA4E" w:rsidR="00803BF5" w:rsidRPr="003567D3" w:rsidRDefault="00E21F2B" w:rsidP="003567D3">
      <w:pPr>
        <w:spacing w:line="276" w:lineRule="auto"/>
        <w:rPr>
          <w:rFonts w:ascii="Arial" w:hAnsi="Arial" w:cs="Arial"/>
          <w:sz w:val="22"/>
          <w:szCs w:val="22"/>
          <w:lang w:val="en-GB"/>
        </w:rPr>
      </w:pPr>
      <w:r w:rsidRPr="003567D3">
        <w:rPr>
          <w:rFonts w:ascii="Arial" w:hAnsi="Arial" w:cs="Arial"/>
          <w:sz w:val="22"/>
          <w:szCs w:val="22"/>
          <w:lang w:val="en-GB"/>
        </w:rPr>
        <w:tab/>
        <w:t>Though scholars cannot fully avoid the challenges of individual subjectivity, they might well augment those challenges by courting a multiplicity of experience. In discussing potential training methodologies to develop thoughtful and considered anthropologists, Evans-Pritchard makes a compelling case for the importance of cross-disciplinary and cross-cultural studies, citing the formative role that medieval studies, history of religions, and other academic pursuits played in his ability to conduct effective fieldwork.</w:t>
      </w:r>
      <w:r w:rsidRPr="003567D3">
        <w:rPr>
          <w:rStyle w:val="FootnoteReference"/>
          <w:rFonts w:ascii="Arial" w:hAnsi="Arial" w:cs="Arial"/>
          <w:sz w:val="22"/>
          <w:szCs w:val="22"/>
          <w:lang w:val="en-GB"/>
        </w:rPr>
        <w:footnoteReference w:id="42"/>
      </w:r>
      <w:r w:rsidRPr="003567D3">
        <w:rPr>
          <w:rFonts w:ascii="Arial" w:hAnsi="Arial" w:cs="Arial"/>
          <w:sz w:val="22"/>
          <w:szCs w:val="22"/>
          <w:lang w:val="en-GB"/>
        </w:rPr>
        <w:t xml:space="preserve"> </w:t>
      </w:r>
      <w:r w:rsidR="00803BF5" w:rsidRPr="003567D3">
        <w:rPr>
          <w:rFonts w:ascii="Arial" w:hAnsi="Arial" w:cs="Arial"/>
          <w:sz w:val="22"/>
          <w:szCs w:val="22"/>
          <w:lang w:val="en-GB"/>
        </w:rPr>
        <w:t xml:space="preserve">Applying his experience to the tutelage of subsequent anthropologists, he states that: </w:t>
      </w:r>
    </w:p>
    <w:p w14:paraId="3A238523" w14:textId="77777777" w:rsidR="00803BF5" w:rsidRPr="003567D3" w:rsidRDefault="00803BF5" w:rsidP="003567D3">
      <w:pPr>
        <w:spacing w:line="276" w:lineRule="auto"/>
        <w:rPr>
          <w:rFonts w:ascii="Arial" w:hAnsi="Arial" w:cs="Arial"/>
          <w:sz w:val="22"/>
          <w:szCs w:val="22"/>
          <w:lang w:val="en-GB"/>
        </w:rPr>
      </w:pPr>
    </w:p>
    <w:p w14:paraId="488A21E4" w14:textId="13A8A2BE" w:rsidR="00E21F2B" w:rsidRPr="003567D3" w:rsidRDefault="00803BF5" w:rsidP="003567D3">
      <w:pPr>
        <w:spacing w:line="276" w:lineRule="auto"/>
        <w:ind w:left="1440" w:right="1440"/>
        <w:rPr>
          <w:rFonts w:ascii="Arial" w:hAnsi="Arial" w:cs="Arial"/>
          <w:sz w:val="22"/>
          <w:szCs w:val="22"/>
          <w:lang w:val="en-GB"/>
        </w:rPr>
      </w:pPr>
      <w:r w:rsidRPr="003567D3">
        <w:rPr>
          <w:rFonts w:ascii="Arial" w:hAnsi="Arial" w:cs="Arial"/>
          <w:sz w:val="22"/>
          <w:szCs w:val="22"/>
          <w:lang w:val="en-GB"/>
        </w:rPr>
        <w:t>It is desirable that a student should make a study of more than one society</w:t>
      </w:r>
      <w:r w:rsidRPr="003567D3">
        <w:rPr>
          <w:rFonts w:ascii="Arial" w:hAnsi="Arial" w:cs="Arial"/>
          <w:sz w:val="22"/>
          <w:szCs w:val="22"/>
          <w:lang w:val="en-GB"/>
        </w:rPr>
        <w:t xml:space="preserve"> [for] i</w:t>
      </w:r>
      <w:r w:rsidRPr="003567D3">
        <w:rPr>
          <w:rFonts w:ascii="Arial" w:hAnsi="Arial" w:cs="Arial"/>
          <w:sz w:val="22"/>
          <w:szCs w:val="22"/>
          <w:lang w:val="en-GB"/>
        </w:rPr>
        <w:t xml:space="preserve">f he makes only a single study it is inevitable that he will view its people’s institutions in contrast to his own and their ideas and values in contrast to those of his own culture; and in spite of the corrective given by his previous reading of </w:t>
      </w:r>
      <w:r w:rsidRPr="003567D3">
        <w:rPr>
          <w:rFonts w:ascii="Arial" w:hAnsi="Arial" w:cs="Arial"/>
          <w:sz w:val="22"/>
          <w:szCs w:val="22"/>
          <w:lang w:val="en-GB"/>
        </w:rPr>
        <w:lastRenderedPageBreak/>
        <w:t>anthropological literature. When he makes a study of a second alien society he will approach it and see its people’s culture in the light of his experience of the first—as it were through different lenses, in different perspectives—and this is likely to make his study more objective, or at any rate give him fruitful lines of inquiry which might possibly not otherwise have occurred to him.</w:t>
      </w:r>
      <w:r w:rsidRPr="003567D3">
        <w:rPr>
          <w:rStyle w:val="FootnoteReference"/>
          <w:rFonts w:ascii="Arial" w:hAnsi="Arial" w:cs="Arial"/>
          <w:sz w:val="22"/>
          <w:szCs w:val="22"/>
          <w:lang w:val="en-GB"/>
        </w:rPr>
        <w:footnoteReference w:id="43"/>
      </w:r>
    </w:p>
    <w:p w14:paraId="05A93785" w14:textId="77777777" w:rsidR="00E21F2B" w:rsidRPr="003567D3" w:rsidRDefault="00E21F2B" w:rsidP="003567D3">
      <w:pPr>
        <w:spacing w:line="276" w:lineRule="auto"/>
        <w:rPr>
          <w:rFonts w:ascii="Arial" w:hAnsi="Arial" w:cs="Arial"/>
          <w:sz w:val="22"/>
          <w:szCs w:val="22"/>
          <w:lang w:val="en-GB"/>
        </w:rPr>
      </w:pPr>
    </w:p>
    <w:p w14:paraId="1A270A09" w14:textId="21B15BF7" w:rsidR="00247B7F" w:rsidRPr="003567D3" w:rsidRDefault="00803BF5" w:rsidP="003567D3">
      <w:pPr>
        <w:spacing w:line="276" w:lineRule="auto"/>
        <w:rPr>
          <w:rFonts w:ascii="Arial" w:hAnsi="Arial" w:cs="Arial"/>
          <w:color w:val="000000" w:themeColor="text1"/>
          <w:sz w:val="22"/>
          <w:szCs w:val="22"/>
          <w:lang w:val="en-GB"/>
        </w:rPr>
      </w:pPr>
      <w:r w:rsidRPr="003567D3">
        <w:rPr>
          <w:rFonts w:ascii="Arial" w:hAnsi="Arial" w:cs="Arial"/>
          <w:sz w:val="22"/>
          <w:szCs w:val="22"/>
          <w:lang w:val="en-GB"/>
        </w:rPr>
        <w:t>Here, Evans-Pritchard argues that one way to temper the inevitable challenges of individual subjectivity is to seek out a variety of experiences by which to access new modes of thought. When applying this to how Classical scholars might benefit from such an insight, one can consider</w:t>
      </w:r>
      <w:r w:rsidR="002656C5" w:rsidRPr="003567D3">
        <w:rPr>
          <w:rFonts w:ascii="Arial" w:hAnsi="Arial" w:cs="Arial"/>
          <w:sz w:val="22"/>
          <w:szCs w:val="22"/>
          <w:lang w:val="en-GB"/>
        </w:rPr>
        <w:t xml:space="preserve"> what we might learn through amalgamation when we investigate</w:t>
      </w:r>
      <w:r w:rsidRPr="003567D3">
        <w:rPr>
          <w:rFonts w:ascii="Arial" w:hAnsi="Arial" w:cs="Arial"/>
          <w:sz w:val="22"/>
          <w:szCs w:val="22"/>
          <w:lang w:val="en-GB"/>
        </w:rPr>
        <w:t xml:space="preserve"> the many complementary and diverging</w:t>
      </w:r>
      <w:r w:rsidR="002656C5" w:rsidRPr="003567D3">
        <w:rPr>
          <w:rFonts w:ascii="Arial" w:hAnsi="Arial" w:cs="Arial"/>
          <w:sz w:val="22"/>
          <w:szCs w:val="22"/>
          <w:lang w:val="en-GB"/>
        </w:rPr>
        <w:t xml:space="preserve"> practices</w:t>
      </w:r>
      <w:r w:rsidRPr="003567D3">
        <w:rPr>
          <w:rFonts w:ascii="Arial" w:hAnsi="Arial" w:cs="Arial"/>
          <w:sz w:val="22"/>
          <w:szCs w:val="22"/>
          <w:lang w:val="en-GB"/>
        </w:rPr>
        <w:t xml:space="preserve"> </w:t>
      </w:r>
      <w:r w:rsidR="002656C5" w:rsidRPr="003567D3">
        <w:rPr>
          <w:rFonts w:ascii="Arial" w:hAnsi="Arial" w:cs="Arial"/>
          <w:sz w:val="22"/>
          <w:szCs w:val="22"/>
          <w:lang w:val="en-GB"/>
        </w:rPr>
        <w:t>that operated</w:t>
      </w:r>
      <w:r w:rsidRPr="003567D3">
        <w:rPr>
          <w:rFonts w:ascii="Arial" w:hAnsi="Arial" w:cs="Arial"/>
          <w:sz w:val="22"/>
          <w:szCs w:val="22"/>
          <w:lang w:val="en-GB"/>
        </w:rPr>
        <w:t xml:space="preserve"> throughout antiquity. </w:t>
      </w:r>
      <w:r w:rsidR="002656C5" w:rsidRPr="003567D3">
        <w:rPr>
          <w:rFonts w:ascii="Arial" w:hAnsi="Arial" w:cs="Arial"/>
          <w:sz w:val="22"/>
          <w:szCs w:val="22"/>
          <w:lang w:val="en-GB"/>
        </w:rPr>
        <w:t xml:space="preserve">This approach can also benefit our understanding within a specific divinatory practice, such as the diverse and nuanced practices of ancient astrology. As </w:t>
      </w:r>
      <w:r w:rsidRPr="003567D3">
        <w:rPr>
          <w:rFonts w:ascii="Arial" w:hAnsi="Arial" w:cs="Arial"/>
          <w:sz w:val="22"/>
          <w:szCs w:val="22"/>
          <w:lang w:val="en-GB"/>
        </w:rPr>
        <w:t xml:space="preserve">a laudable example, </w:t>
      </w:r>
      <w:proofErr w:type="spellStart"/>
      <w:r w:rsidR="002656C5" w:rsidRPr="003567D3">
        <w:rPr>
          <w:rFonts w:ascii="Arial" w:hAnsi="Arial" w:cs="Arial"/>
          <w:color w:val="000000" w:themeColor="text1"/>
          <w:sz w:val="22"/>
          <w:szCs w:val="22"/>
          <w:lang w:val="en-GB"/>
        </w:rPr>
        <w:t>Lehoux</w:t>
      </w:r>
      <w:proofErr w:type="spellEnd"/>
      <w:r w:rsidRPr="003567D3">
        <w:rPr>
          <w:rFonts w:ascii="Arial" w:hAnsi="Arial" w:cs="Arial"/>
          <w:color w:val="000000" w:themeColor="text1"/>
          <w:sz w:val="22"/>
          <w:szCs w:val="22"/>
          <w:lang w:val="en-GB"/>
        </w:rPr>
        <w:t xml:space="preserve"> </w:t>
      </w:r>
      <w:r w:rsidRPr="003567D3">
        <w:rPr>
          <w:rFonts w:ascii="Arial" w:hAnsi="Arial" w:cs="Arial"/>
          <w:sz w:val="22"/>
          <w:szCs w:val="22"/>
          <w:lang w:val="en-GB"/>
        </w:rPr>
        <w:t xml:space="preserve">explores </w:t>
      </w:r>
      <w:r w:rsidR="002656C5" w:rsidRPr="003567D3">
        <w:rPr>
          <w:rFonts w:ascii="Arial" w:hAnsi="Arial" w:cs="Arial"/>
          <w:sz w:val="22"/>
          <w:szCs w:val="22"/>
          <w:lang w:val="en-GB"/>
        </w:rPr>
        <w:t xml:space="preserve">ancient conceptions of astrological theory through a variety of ancient conceptual frameworks. By considering the individual </w:t>
      </w:r>
      <w:r w:rsidR="006D198C" w:rsidRPr="003567D3">
        <w:rPr>
          <w:rFonts w:ascii="Arial" w:hAnsi="Arial" w:cs="Arial"/>
          <w:sz w:val="22"/>
          <w:szCs w:val="22"/>
          <w:lang w:val="en-GB"/>
        </w:rPr>
        <w:t>conception</w:t>
      </w:r>
      <w:r w:rsidR="006D198C" w:rsidRPr="003567D3">
        <w:rPr>
          <w:rFonts w:ascii="Arial" w:hAnsi="Arial" w:cs="Arial"/>
          <w:color w:val="000000" w:themeColor="text1"/>
          <w:sz w:val="22"/>
          <w:szCs w:val="22"/>
          <w:lang w:val="en-GB"/>
        </w:rPr>
        <w:t>s</w:t>
      </w:r>
      <w:r w:rsidR="002656C5" w:rsidRPr="003567D3">
        <w:rPr>
          <w:rFonts w:ascii="Arial" w:hAnsi="Arial" w:cs="Arial"/>
          <w:color w:val="000000" w:themeColor="text1"/>
          <w:sz w:val="22"/>
          <w:szCs w:val="22"/>
          <w:lang w:val="en-GB"/>
        </w:rPr>
        <w:t xml:space="preserve"> of astrology through Ptolemy’s </w:t>
      </w:r>
      <w:r w:rsidR="00347D8F" w:rsidRPr="003567D3">
        <w:rPr>
          <w:rFonts w:ascii="Arial" w:hAnsi="Arial" w:cs="Arial"/>
          <w:color w:val="000000" w:themeColor="text1"/>
          <w:sz w:val="22"/>
          <w:szCs w:val="22"/>
          <w:lang w:val="en-GB"/>
        </w:rPr>
        <w:t xml:space="preserve">system of </w:t>
      </w:r>
      <w:r w:rsidR="002656C5" w:rsidRPr="003567D3">
        <w:rPr>
          <w:rFonts w:ascii="Arial" w:hAnsi="Arial" w:cs="Arial"/>
          <w:color w:val="000000" w:themeColor="text1"/>
          <w:sz w:val="22"/>
          <w:szCs w:val="22"/>
          <w:lang w:val="en-GB"/>
        </w:rPr>
        <w:t xml:space="preserve">sympathies and correspondences, </w:t>
      </w:r>
      <w:proofErr w:type="spellStart"/>
      <w:r w:rsidR="002656C5" w:rsidRPr="003567D3">
        <w:rPr>
          <w:rFonts w:ascii="Arial" w:hAnsi="Arial" w:cs="Arial"/>
          <w:color w:val="000000" w:themeColor="text1"/>
          <w:sz w:val="22"/>
          <w:szCs w:val="22"/>
          <w:lang w:val="en-GB"/>
        </w:rPr>
        <w:t>Sextus</w:t>
      </w:r>
      <w:proofErr w:type="spellEnd"/>
      <w:r w:rsidR="002656C5" w:rsidRPr="003567D3">
        <w:rPr>
          <w:rFonts w:ascii="Arial" w:hAnsi="Arial" w:cs="Arial"/>
          <w:color w:val="000000" w:themeColor="text1"/>
          <w:sz w:val="22"/>
          <w:szCs w:val="22"/>
          <w:lang w:val="en-GB"/>
        </w:rPr>
        <w:t xml:space="preserve"> </w:t>
      </w:r>
      <w:proofErr w:type="spellStart"/>
      <w:r w:rsidR="002656C5" w:rsidRPr="003567D3">
        <w:rPr>
          <w:rFonts w:ascii="Arial" w:hAnsi="Arial" w:cs="Arial"/>
          <w:color w:val="000000" w:themeColor="text1"/>
          <w:sz w:val="22"/>
          <w:szCs w:val="22"/>
          <w:lang w:val="en-GB"/>
        </w:rPr>
        <w:t>Empiricus’s</w:t>
      </w:r>
      <w:proofErr w:type="spellEnd"/>
      <w:r w:rsidR="002656C5" w:rsidRPr="003567D3">
        <w:rPr>
          <w:rFonts w:ascii="Arial" w:hAnsi="Arial" w:cs="Arial"/>
          <w:color w:val="000000" w:themeColor="text1"/>
          <w:sz w:val="22"/>
          <w:szCs w:val="22"/>
          <w:lang w:val="en-GB"/>
        </w:rPr>
        <w:t xml:space="preserve"> </w:t>
      </w:r>
      <w:r w:rsidR="00347D8F" w:rsidRPr="003567D3">
        <w:rPr>
          <w:rFonts w:ascii="Arial" w:hAnsi="Arial" w:cs="Arial"/>
          <w:color w:val="000000" w:themeColor="text1"/>
          <w:sz w:val="22"/>
          <w:szCs w:val="22"/>
          <w:lang w:val="en-GB"/>
        </w:rPr>
        <w:t xml:space="preserve">framework of empiricism, </w:t>
      </w:r>
      <w:proofErr w:type="spellStart"/>
      <w:r w:rsidR="00347D8F" w:rsidRPr="003567D3">
        <w:rPr>
          <w:rFonts w:ascii="Arial" w:hAnsi="Arial" w:cs="Arial"/>
          <w:color w:val="000000" w:themeColor="text1"/>
          <w:sz w:val="22"/>
          <w:szCs w:val="22"/>
          <w:lang w:val="en-GB"/>
        </w:rPr>
        <w:t>Geminus</w:t>
      </w:r>
      <w:proofErr w:type="spellEnd"/>
      <w:r w:rsidR="00347D8F" w:rsidRPr="003567D3">
        <w:rPr>
          <w:rFonts w:ascii="Arial" w:hAnsi="Arial" w:cs="Arial"/>
          <w:color w:val="000000" w:themeColor="text1"/>
          <w:sz w:val="22"/>
          <w:szCs w:val="22"/>
          <w:lang w:val="en-GB"/>
        </w:rPr>
        <w:t xml:space="preserve"> of Rhodes’s geophysical schism between Earth and sky, and the Mesopotamian conception of astrology as an expression of divine judgement, </w:t>
      </w:r>
      <w:proofErr w:type="spellStart"/>
      <w:r w:rsidR="00347D8F" w:rsidRPr="003567D3">
        <w:rPr>
          <w:rFonts w:ascii="Arial" w:hAnsi="Arial" w:cs="Arial"/>
          <w:color w:val="000000" w:themeColor="text1"/>
          <w:sz w:val="22"/>
          <w:szCs w:val="22"/>
          <w:lang w:val="en-GB"/>
        </w:rPr>
        <w:t>Lehoux</w:t>
      </w:r>
      <w:proofErr w:type="spellEnd"/>
      <w:r w:rsidR="00347D8F" w:rsidRPr="003567D3">
        <w:rPr>
          <w:rFonts w:ascii="Arial" w:hAnsi="Arial" w:cs="Arial"/>
          <w:color w:val="000000" w:themeColor="text1"/>
          <w:sz w:val="22"/>
          <w:szCs w:val="22"/>
          <w:lang w:val="en-GB"/>
        </w:rPr>
        <w:t xml:space="preserve"> is able to assemble a cohesive picture of the rich and dynamic character of astrological divinatory practice in antiquity.</w:t>
      </w:r>
      <w:r w:rsidR="00347D8F" w:rsidRPr="003567D3">
        <w:rPr>
          <w:rStyle w:val="FootnoteReference"/>
          <w:rFonts w:ascii="Arial" w:hAnsi="Arial" w:cs="Arial"/>
          <w:color w:val="000000" w:themeColor="text1"/>
          <w:sz w:val="22"/>
          <w:szCs w:val="22"/>
          <w:lang w:val="en-GB"/>
        </w:rPr>
        <w:footnoteReference w:id="44"/>
      </w:r>
      <w:r w:rsidR="00347D8F" w:rsidRPr="003567D3">
        <w:rPr>
          <w:rFonts w:ascii="Arial" w:hAnsi="Arial" w:cs="Arial"/>
          <w:color w:val="000000" w:themeColor="text1"/>
          <w:sz w:val="22"/>
          <w:szCs w:val="22"/>
          <w:lang w:val="en-GB"/>
        </w:rPr>
        <w:t xml:space="preserve"> </w:t>
      </w:r>
    </w:p>
    <w:p w14:paraId="2C21C4DC" w14:textId="77777777" w:rsidR="00347D8F" w:rsidRPr="003567D3" w:rsidRDefault="00347D8F" w:rsidP="003567D3">
      <w:pPr>
        <w:spacing w:line="276" w:lineRule="auto"/>
        <w:rPr>
          <w:rFonts w:ascii="Arial" w:hAnsi="Arial" w:cs="Arial"/>
          <w:color w:val="FF0000"/>
          <w:sz w:val="22"/>
          <w:szCs w:val="22"/>
          <w:lang w:val="en-GB"/>
        </w:rPr>
      </w:pPr>
    </w:p>
    <w:p w14:paraId="4CA4997C" w14:textId="497F64D1" w:rsidR="00803BF5" w:rsidRPr="003567D3" w:rsidRDefault="00803BF5" w:rsidP="003567D3">
      <w:pPr>
        <w:spacing w:line="276" w:lineRule="auto"/>
        <w:rPr>
          <w:rFonts w:ascii="Arial" w:hAnsi="Arial" w:cs="Arial"/>
          <w:sz w:val="22"/>
          <w:szCs w:val="22"/>
          <w:lang w:val="en-GB"/>
        </w:rPr>
      </w:pPr>
    </w:p>
    <w:p w14:paraId="669F51CE" w14:textId="15B162F5" w:rsidR="00347D8F" w:rsidRPr="003567D3" w:rsidRDefault="00347D8F" w:rsidP="003567D3">
      <w:pPr>
        <w:spacing w:line="276" w:lineRule="auto"/>
        <w:rPr>
          <w:rFonts w:ascii="Arial" w:hAnsi="Arial" w:cs="Arial"/>
          <w:b/>
          <w:bCs/>
          <w:sz w:val="22"/>
          <w:szCs w:val="22"/>
          <w:lang w:val="en-GB"/>
        </w:rPr>
      </w:pPr>
      <w:r w:rsidRPr="003567D3">
        <w:rPr>
          <w:rFonts w:ascii="Arial" w:hAnsi="Arial" w:cs="Arial"/>
          <w:b/>
          <w:bCs/>
          <w:sz w:val="22"/>
          <w:szCs w:val="22"/>
          <w:lang w:val="en-GB"/>
        </w:rPr>
        <w:t>C</w:t>
      </w:r>
      <w:r w:rsidR="003567D3" w:rsidRPr="003567D3">
        <w:rPr>
          <w:rFonts w:ascii="Arial" w:hAnsi="Arial" w:cs="Arial"/>
          <w:b/>
          <w:bCs/>
          <w:sz w:val="22"/>
          <w:szCs w:val="22"/>
          <w:lang w:val="en-GB"/>
        </w:rPr>
        <w:t>onclusion</w:t>
      </w:r>
    </w:p>
    <w:p w14:paraId="005E65EC" w14:textId="361EC5D7" w:rsidR="004321EF" w:rsidRPr="003567D3" w:rsidRDefault="008F5DBA"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The many insights that Evans-Pritchard gained during his time living with the Azande offer a thorough and </w:t>
      </w:r>
      <w:r w:rsidR="00A61DAC" w:rsidRPr="003567D3">
        <w:rPr>
          <w:rFonts w:ascii="Arial" w:hAnsi="Arial" w:cs="Arial"/>
          <w:sz w:val="22"/>
          <w:szCs w:val="22"/>
          <w:lang w:val="en-GB"/>
        </w:rPr>
        <w:t>resolutely re</w:t>
      </w:r>
      <w:r w:rsidR="00414C48" w:rsidRPr="003567D3">
        <w:rPr>
          <w:rFonts w:ascii="Arial" w:hAnsi="Arial" w:cs="Arial"/>
          <w:sz w:val="22"/>
          <w:szCs w:val="22"/>
          <w:lang w:val="en-GB"/>
        </w:rPr>
        <w:t>levant</w:t>
      </w:r>
      <w:r w:rsidRPr="003567D3">
        <w:rPr>
          <w:rFonts w:ascii="Arial" w:hAnsi="Arial" w:cs="Arial"/>
          <w:sz w:val="22"/>
          <w:szCs w:val="22"/>
          <w:lang w:val="en-GB"/>
        </w:rPr>
        <w:t xml:space="preserve"> framework by which to conduct ethnographic research of </w:t>
      </w:r>
      <w:r w:rsidR="00A61DAC" w:rsidRPr="003567D3">
        <w:rPr>
          <w:rFonts w:ascii="Arial" w:hAnsi="Arial" w:cs="Arial"/>
          <w:sz w:val="22"/>
          <w:szCs w:val="22"/>
          <w:lang w:val="en-GB"/>
        </w:rPr>
        <w:t xml:space="preserve">both </w:t>
      </w:r>
      <w:r w:rsidRPr="003567D3">
        <w:rPr>
          <w:rFonts w:ascii="Arial" w:hAnsi="Arial" w:cs="Arial"/>
          <w:sz w:val="22"/>
          <w:szCs w:val="22"/>
          <w:lang w:val="en-GB"/>
        </w:rPr>
        <w:t xml:space="preserve">living and non-living cultures. His refinement </w:t>
      </w:r>
      <w:r w:rsidR="00F27FF8">
        <w:rPr>
          <w:rFonts w:ascii="Arial" w:hAnsi="Arial" w:cs="Arial"/>
          <w:sz w:val="22"/>
          <w:szCs w:val="22"/>
          <w:lang w:val="en-GB"/>
        </w:rPr>
        <w:t xml:space="preserve">and evolution </w:t>
      </w:r>
      <w:r w:rsidRPr="003567D3">
        <w:rPr>
          <w:rFonts w:ascii="Arial" w:hAnsi="Arial" w:cs="Arial"/>
          <w:sz w:val="22"/>
          <w:szCs w:val="22"/>
          <w:lang w:val="en-GB"/>
        </w:rPr>
        <w:t xml:space="preserve">of emic scholarship </w:t>
      </w:r>
      <w:r w:rsidR="00F27FF8">
        <w:rPr>
          <w:rFonts w:ascii="Arial" w:hAnsi="Arial" w:cs="Arial"/>
          <w:sz w:val="22"/>
          <w:szCs w:val="22"/>
          <w:lang w:val="en-GB"/>
        </w:rPr>
        <w:t xml:space="preserve">implicitly </w:t>
      </w:r>
      <w:r w:rsidRPr="003567D3">
        <w:rPr>
          <w:rFonts w:ascii="Arial" w:hAnsi="Arial" w:cs="Arial"/>
          <w:sz w:val="22"/>
          <w:szCs w:val="22"/>
          <w:lang w:val="en-GB"/>
        </w:rPr>
        <w:t>lauds the impulse of Classical scholars to immerse themselves into the culture(s) of antiquity, but simultaneously asserts the boundaries, limitations, and implications of attempting to participate within a culture that cannot reciprocate. His adept observations in applied linguistics reveal</w:t>
      </w:r>
      <w:r w:rsidR="009C270D" w:rsidRPr="003567D3">
        <w:rPr>
          <w:rFonts w:ascii="Arial" w:hAnsi="Arial" w:cs="Arial"/>
          <w:sz w:val="22"/>
          <w:szCs w:val="22"/>
          <w:lang w:val="en-GB"/>
        </w:rPr>
        <w:t xml:space="preserve"> not only the opportunities, but the necessity for </w:t>
      </w:r>
      <w:r w:rsidRPr="003567D3">
        <w:rPr>
          <w:rFonts w:ascii="Arial" w:hAnsi="Arial" w:cs="Arial"/>
          <w:sz w:val="22"/>
          <w:szCs w:val="22"/>
          <w:lang w:val="en-GB"/>
        </w:rPr>
        <w:t xml:space="preserve">contemporary scholars to </w:t>
      </w:r>
      <w:r w:rsidR="009C270D" w:rsidRPr="003567D3">
        <w:rPr>
          <w:rFonts w:ascii="Arial" w:hAnsi="Arial" w:cs="Arial"/>
          <w:sz w:val="22"/>
          <w:szCs w:val="22"/>
          <w:lang w:val="en-GB"/>
        </w:rPr>
        <w:t>harness</w:t>
      </w:r>
      <w:r w:rsidRPr="003567D3">
        <w:rPr>
          <w:rFonts w:ascii="Arial" w:hAnsi="Arial" w:cs="Arial"/>
          <w:sz w:val="22"/>
          <w:szCs w:val="22"/>
          <w:lang w:val="en-GB"/>
        </w:rPr>
        <w:t xml:space="preserve"> language of the ancient Greco-Roman world as a means to decode rich layers of cultural meaning that would otherwise remain neglected, forgotten, or misunderstood outside of their own </w:t>
      </w:r>
      <w:r w:rsidR="009C270D" w:rsidRPr="003567D3">
        <w:rPr>
          <w:rFonts w:ascii="Arial" w:hAnsi="Arial" w:cs="Arial"/>
          <w:sz w:val="22"/>
          <w:szCs w:val="22"/>
          <w:lang w:val="en-GB"/>
        </w:rPr>
        <w:t>socio</w:t>
      </w:r>
      <w:r w:rsidRPr="003567D3">
        <w:rPr>
          <w:rFonts w:ascii="Arial" w:hAnsi="Arial" w:cs="Arial"/>
          <w:sz w:val="22"/>
          <w:szCs w:val="22"/>
          <w:lang w:val="en-GB"/>
        </w:rPr>
        <w:t>linguistic and cosmological context.</w:t>
      </w:r>
      <w:r w:rsidR="009C270D" w:rsidRPr="003567D3">
        <w:rPr>
          <w:rFonts w:ascii="Arial" w:hAnsi="Arial" w:cs="Arial"/>
          <w:sz w:val="22"/>
          <w:szCs w:val="22"/>
          <w:lang w:val="en-GB"/>
        </w:rPr>
        <w:t xml:space="preserve"> Finally, Evans-Pritchard’s first-hand observations and experiences illuminate the enigmatic realities of subjective experience within a given community, an individual</w:t>
      </w:r>
      <w:r w:rsidR="00F27FF8">
        <w:rPr>
          <w:rFonts w:ascii="Arial" w:hAnsi="Arial" w:cs="Arial"/>
          <w:sz w:val="22"/>
          <w:szCs w:val="22"/>
          <w:lang w:val="en-GB"/>
        </w:rPr>
        <w:t xml:space="preserve"> member thereof</w:t>
      </w:r>
      <w:r w:rsidR="009C270D" w:rsidRPr="003567D3">
        <w:rPr>
          <w:rFonts w:ascii="Arial" w:hAnsi="Arial" w:cs="Arial"/>
          <w:sz w:val="22"/>
          <w:szCs w:val="22"/>
          <w:lang w:val="en-GB"/>
        </w:rPr>
        <w:t>, and even the researcher. By combining these insights into a cohesive ethnographic framework, this approach can enrich contemporary studies of divination in the ancient Greco-Roman world, particularly in cataly</w:t>
      </w:r>
      <w:r w:rsidR="00ED686D" w:rsidRPr="003567D3">
        <w:rPr>
          <w:rFonts w:ascii="Arial" w:hAnsi="Arial" w:cs="Arial"/>
          <w:sz w:val="22"/>
          <w:szCs w:val="22"/>
          <w:lang w:val="en-GB"/>
        </w:rPr>
        <w:t>s</w:t>
      </w:r>
      <w:r w:rsidR="009C270D" w:rsidRPr="003567D3">
        <w:rPr>
          <w:rFonts w:ascii="Arial" w:hAnsi="Arial" w:cs="Arial"/>
          <w:sz w:val="22"/>
          <w:szCs w:val="22"/>
          <w:lang w:val="en-GB"/>
        </w:rPr>
        <w:t xml:space="preserve">ing a more nuanced understanding of </w:t>
      </w:r>
      <w:r w:rsidR="001D075A" w:rsidRPr="003567D3">
        <w:rPr>
          <w:rFonts w:ascii="Arial" w:hAnsi="Arial" w:cs="Arial"/>
          <w:sz w:val="22"/>
          <w:szCs w:val="22"/>
          <w:lang w:val="en-GB"/>
        </w:rPr>
        <w:t>divinatory practice,</w:t>
      </w:r>
      <w:r w:rsidR="009C270D" w:rsidRPr="003567D3">
        <w:rPr>
          <w:rFonts w:ascii="Arial" w:hAnsi="Arial" w:cs="Arial"/>
          <w:sz w:val="22"/>
          <w:szCs w:val="22"/>
          <w:lang w:val="en-GB"/>
        </w:rPr>
        <w:t xml:space="preserve"> principles of causality, oracular veracity, and the </w:t>
      </w:r>
      <w:r w:rsidR="001D075A" w:rsidRPr="003567D3">
        <w:rPr>
          <w:rFonts w:ascii="Arial" w:hAnsi="Arial" w:cs="Arial"/>
          <w:sz w:val="22"/>
          <w:szCs w:val="22"/>
          <w:lang w:val="en-GB"/>
        </w:rPr>
        <w:t>nature</w:t>
      </w:r>
      <w:r w:rsidR="009C270D" w:rsidRPr="003567D3">
        <w:rPr>
          <w:rFonts w:ascii="Arial" w:hAnsi="Arial" w:cs="Arial"/>
          <w:sz w:val="22"/>
          <w:szCs w:val="22"/>
          <w:lang w:val="en-GB"/>
        </w:rPr>
        <w:t xml:space="preserve"> of orthopraxy in antiquity.  </w:t>
      </w:r>
    </w:p>
    <w:p w14:paraId="7B8A6509" w14:textId="41001D2A" w:rsidR="00BC6A0E" w:rsidRPr="003567D3" w:rsidRDefault="00BC6A0E" w:rsidP="003567D3">
      <w:pPr>
        <w:spacing w:line="276" w:lineRule="auto"/>
        <w:rPr>
          <w:rFonts w:ascii="Arial" w:hAnsi="Arial" w:cs="Arial"/>
          <w:color w:val="FF0000"/>
          <w:sz w:val="22"/>
          <w:szCs w:val="22"/>
          <w:u w:val="single"/>
          <w:lang w:val="en-GB"/>
        </w:rPr>
      </w:pPr>
    </w:p>
    <w:p w14:paraId="3C6BB3A4" w14:textId="0AD77D30" w:rsidR="000B71E2" w:rsidRPr="003567D3" w:rsidRDefault="000B71E2" w:rsidP="003567D3">
      <w:pPr>
        <w:spacing w:line="276" w:lineRule="auto"/>
        <w:rPr>
          <w:rFonts w:ascii="Arial" w:hAnsi="Arial" w:cs="Arial"/>
          <w:color w:val="FF0000"/>
          <w:sz w:val="22"/>
          <w:szCs w:val="22"/>
          <w:u w:val="single"/>
          <w:lang w:val="en-GB"/>
        </w:rPr>
      </w:pPr>
    </w:p>
    <w:p w14:paraId="5C39E960" w14:textId="77777777" w:rsidR="00986B82" w:rsidRDefault="00986B82" w:rsidP="003567D3">
      <w:pPr>
        <w:spacing w:line="276" w:lineRule="auto"/>
        <w:rPr>
          <w:rFonts w:ascii="Arial" w:hAnsi="Arial" w:cs="Arial"/>
          <w:color w:val="FF0000"/>
          <w:sz w:val="22"/>
          <w:szCs w:val="22"/>
          <w:u w:val="single"/>
          <w:lang w:val="en-GB"/>
        </w:rPr>
      </w:pPr>
    </w:p>
    <w:p w14:paraId="5342927A" w14:textId="5598A68A" w:rsidR="00B66FAF" w:rsidRPr="003567D3" w:rsidRDefault="002F7737" w:rsidP="003567D3">
      <w:pPr>
        <w:spacing w:line="276" w:lineRule="auto"/>
        <w:rPr>
          <w:rFonts w:ascii="Arial" w:hAnsi="Arial" w:cs="Arial"/>
          <w:b/>
          <w:bCs/>
          <w:sz w:val="22"/>
          <w:szCs w:val="22"/>
          <w:lang w:val="en-GB"/>
        </w:rPr>
      </w:pPr>
      <w:r>
        <w:rPr>
          <w:rFonts w:ascii="Arial" w:hAnsi="Arial" w:cs="Arial"/>
          <w:b/>
          <w:bCs/>
          <w:sz w:val="22"/>
          <w:szCs w:val="22"/>
          <w:lang w:val="en-GB"/>
        </w:rPr>
        <w:lastRenderedPageBreak/>
        <w:t>Reference List</w:t>
      </w:r>
    </w:p>
    <w:p w14:paraId="44DAF883" w14:textId="77777777" w:rsidR="002524EC" w:rsidRPr="003567D3" w:rsidRDefault="002524EC" w:rsidP="003567D3">
      <w:pPr>
        <w:spacing w:line="276" w:lineRule="auto"/>
        <w:rPr>
          <w:rFonts w:ascii="Arial" w:eastAsiaTheme="minorHAnsi" w:hAnsi="Arial" w:cs="Arial"/>
          <w:sz w:val="22"/>
          <w:szCs w:val="22"/>
          <w:lang w:val="en-GB"/>
        </w:rPr>
      </w:pPr>
    </w:p>
    <w:p w14:paraId="7610194F" w14:textId="23F75A80" w:rsidR="00C55A9D" w:rsidRPr="00C55A9D" w:rsidRDefault="00C55A9D" w:rsidP="003567D3">
      <w:pPr>
        <w:spacing w:line="276" w:lineRule="auto"/>
        <w:rPr>
          <w:rFonts w:ascii="Arial" w:eastAsiaTheme="minorHAnsi" w:hAnsi="Arial" w:cs="Arial"/>
          <w:sz w:val="22"/>
          <w:szCs w:val="22"/>
        </w:rPr>
      </w:pPr>
      <w:proofErr w:type="spellStart"/>
      <w:r w:rsidRPr="00C55A9D">
        <w:rPr>
          <w:rFonts w:ascii="Arial" w:eastAsiaTheme="minorHAnsi" w:hAnsi="Arial" w:cs="Arial"/>
          <w:sz w:val="22"/>
          <w:szCs w:val="22"/>
        </w:rPr>
        <w:t>Elorah</w:t>
      </w:r>
      <w:proofErr w:type="spellEnd"/>
      <w:r w:rsidRPr="00C55A9D">
        <w:rPr>
          <w:rFonts w:ascii="Arial" w:eastAsiaTheme="minorHAnsi" w:hAnsi="Arial" w:cs="Arial"/>
          <w:sz w:val="22"/>
          <w:szCs w:val="22"/>
        </w:rPr>
        <w:t xml:space="preserve"> </w:t>
      </w:r>
      <w:proofErr w:type="spellStart"/>
      <w:r w:rsidRPr="00C55A9D">
        <w:rPr>
          <w:rFonts w:ascii="Arial" w:eastAsiaTheme="minorHAnsi" w:hAnsi="Arial" w:cs="Arial"/>
          <w:sz w:val="22"/>
          <w:szCs w:val="22"/>
        </w:rPr>
        <w:t>Fangrad</w:t>
      </w:r>
      <w:proofErr w:type="spellEnd"/>
      <w:r w:rsidRPr="00C55A9D">
        <w:rPr>
          <w:rFonts w:ascii="Arial" w:eastAsiaTheme="minorHAnsi" w:hAnsi="Arial" w:cs="Arial"/>
          <w:sz w:val="22"/>
          <w:szCs w:val="22"/>
        </w:rPr>
        <w:t xml:space="preserve">, Rick Fehr and Christopher </w:t>
      </w:r>
      <w:proofErr w:type="spellStart"/>
      <w:r w:rsidRPr="00C55A9D">
        <w:rPr>
          <w:rFonts w:ascii="Arial" w:eastAsiaTheme="minorHAnsi" w:hAnsi="Arial" w:cs="Arial"/>
          <w:sz w:val="22"/>
          <w:szCs w:val="22"/>
        </w:rPr>
        <w:t>Laursen</w:t>
      </w:r>
      <w:proofErr w:type="spellEnd"/>
      <w:r w:rsidRPr="00C55A9D">
        <w:rPr>
          <w:rFonts w:ascii="Arial" w:eastAsiaTheme="minorHAnsi" w:hAnsi="Arial" w:cs="Arial"/>
          <w:sz w:val="22"/>
          <w:szCs w:val="22"/>
        </w:rPr>
        <w:t xml:space="preserve">, ‘Psychic Naturalism’, in </w:t>
      </w:r>
      <w:r w:rsidRPr="00C55A9D">
        <w:rPr>
          <w:rFonts w:ascii="Arial" w:eastAsiaTheme="minorHAnsi" w:hAnsi="Arial" w:cs="Arial"/>
          <w:i/>
          <w:iCs/>
          <w:sz w:val="22"/>
          <w:szCs w:val="22"/>
        </w:rPr>
        <w:t xml:space="preserve">Greening </w:t>
      </w:r>
      <w:proofErr w:type="gramStart"/>
      <w:r w:rsidRPr="00C55A9D">
        <w:rPr>
          <w:rFonts w:ascii="Arial" w:eastAsiaTheme="minorHAnsi" w:hAnsi="Arial" w:cs="Arial"/>
          <w:i/>
          <w:iCs/>
          <w:sz w:val="22"/>
          <w:szCs w:val="22"/>
        </w:rPr>
        <w:t>The</w:t>
      </w:r>
      <w:proofErr w:type="gramEnd"/>
      <w:r w:rsidRPr="00C55A9D">
        <w:rPr>
          <w:rFonts w:ascii="Arial" w:eastAsiaTheme="minorHAnsi" w:hAnsi="Arial" w:cs="Arial"/>
          <w:i/>
          <w:iCs/>
          <w:sz w:val="22"/>
          <w:szCs w:val="22"/>
        </w:rPr>
        <w:t xml:space="preserve"> Paranormal: Exploring The Ecology </w:t>
      </w:r>
      <w:r w:rsidR="007108DF" w:rsidRPr="003567D3">
        <w:rPr>
          <w:rFonts w:ascii="Arial" w:eastAsiaTheme="minorHAnsi" w:hAnsi="Arial" w:cs="Arial"/>
          <w:i/>
          <w:iCs/>
          <w:sz w:val="22"/>
          <w:szCs w:val="22"/>
        </w:rPr>
        <w:t>O</w:t>
      </w:r>
      <w:r w:rsidRPr="00C55A9D">
        <w:rPr>
          <w:rFonts w:ascii="Arial" w:eastAsiaTheme="minorHAnsi" w:hAnsi="Arial" w:cs="Arial"/>
          <w:i/>
          <w:iCs/>
          <w:sz w:val="22"/>
          <w:szCs w:val="22"/>
        </w:rPr>
        <w:t>f Extraordinary Experience</w:t>
      </w:r>
      <w:r w:rsidRPr="00C55A9D">
        <w:rPr>
          <w:rFonts w:ascii="Arial" w:eastAsiaTheme="minorHAnsi" w:hAnsi="Arial" w:cs="Arial"/>
          <w:sz w:val="22"/>
          <w:szCs w:val="22"/>
        </w:rPr>
        <w:t>, ed. by Jack Hunter (United States of America and the United Kingdom: August Night Press, 2019), pp. 239</w:t>
      </w:r>
      <w:r w:rsidRPr="00C55A9D">
        <w:rPr>
          <w:rFonts w:ascii="Arial" w:eastAsiaTheme="minorHAnsi" w:hAnsi="Arial" w:cs="Arial"/>
          <w:sz w:val="22"/>
          <w:szCs w:val="22"/>
        </w:rPr>
        <w:softHyphen/>
        <w:t>–</w:t>
      </w:r>
      <w:r w:rsidRPr="003567D3">
        <w:rPr>
          <w:rFonts w:ascii="Arial" w:eastAsiaTheme="minorHAnsi" w:hAnsi="Arial" w:cs="Arial"/>
          <w:sz w:val="22"/>
          <w:szCs w:val="22"/>
        </w:rPr>
        <w:t>254.</w:t>
      </w:r>
    </w:p>
    <w:p w14:paraId="47A3E835" w14:textId="77777777" w:rsidR="00C55A9D" w:rsidRPr="003567D3" w:rsidRDefault="00C55A9D" w:rsidP="003567D3">
      <w:pPr>
        <w:spacing w:line="276" w:lineRule="auto"/>
        <w:rPr>
          <w:rFonts w:ascii="Arial" w:eastAsiaTheme="minorHAnsi" w:hAnsi="Arial" w:cs="Arial"/>
          <w:sz w:val="22"/>
          <w:szCs w:val="22"/>
          <w:lang w:val="en-GB"/>
        </w:rPr>
      </w:pPr>
    </w:p>
    <w:p w14:paraId="2A8A8C25" w14:textId="0E0A9933" w:rsidR="00494892" w:rsidRPr="003567D3" w:rsidRDefault="00494892" w:rsidP="003567D3">
      <w:pPr>
        <w:spacing w:line="276" w:lineRule="auto"/>
        <w:rPr>
          <w:rFonts w:ascii="Arial" w:eastAsiaTheme="minorHAnsi" w:hAnsi="Arial" w:cs="Arial"/>
          <w:sz w:val="22"/>
          <w:szCs w:val="22"/>
          <w:lang w:val="en-GB"/>
        </w:rPr>
      </w:pPr>
      <w:r w:rsidRPr="003567D3">
        <w:rPr>
          <w:rFonts w:ascii="Arial" w:eastAsiaTheme="minorHAnsi" w:hAnsi="Arial" w:cs="Arial"/>
          <w:sz w:val="22"/>
          <w:szCs w:val="22"/>
          <w:lang w:val="en-GB"/>
        </w:rPr>
        <w:t>Evans-Pritchard, E.E</w:t>
      </w:r>
      <w:r w:rsidR="002871CA" w:rsidRPr="003567D3">
        <w:rPr>
          <w:rFonts w:ascii="Arial" w:eastAsiaTheme="minorHAnsi" w:hAnsi="Arial" w:cs="Arial"/>
          <w:sz w:val="22"/>
          <w:szCs w:val="22"/>
          <w:lang w:val="en-GB"/>
        </w:rPr>
        <w:t xml:space="preserve">.. </w:t>
      </w:r>
      <w:r w:rsidR="002871CA" w:rsidRPr="003567D3">
        <w:rPr>
          <w:rFonts w:ascii="Arial" w:eastAsiaTheme="minorHAnsi" w:hAnsi="Arial" w:cs="Arial"/>
          <w:i/>
          <w:iCs/>
          <w:sz w:val="22"/>
          <w:szCs w:val="22"/>
          <w:lang w:val="en-GB"/>
        </w:rPr>
        <w:t xml:space="preserve">Witchcraft, Oracles, And Magic Among </w:t>
      </w:r>
      <w:proofErr w:type="gramStart"/>
      <w:r w:rsidR="002871CA" w:rsidRPr="003567D3">
        <w:rPr>
          <w:rFonts w:ascii="Arial" w:eastAsiaTheme="minorHAnsi" w:hAnsi="Arial" w:cs="Arial"/>
          <w:i/>
          <w:iCs/>
          <w:sz w:val="22"/>
          <w:szCs w:val="22"/>
          <w:lang w:val="en-GB"/>
        </w:rPr>
        <w:t>The</w:t>
      </w:r>
      <w:proofErr w:type="gramEnd"/>
      <w:r w:rsidR="002871CA" w:rsidRPr="003567D3">
        <w:rPr>
          <w:rFonts w:ascii="Arial" w:eastAsiaTheme="minorHAnsi" w:hAnsi="Arial" w:cs="Arial"/>
          <w:i/>
          <w:iCs/>
          <w:sz w:val="22"/>
          <w:szCs w:val="22"/>
          <w:lang w:val="en-GB"/>
        </w:rPr>
        <w:t xml:space="preserve"> Azande</w:t>
      </w:r>
      <w:r w:rsidR="002871CA" w:rsidRPr="003567D3">
        <w:rPr>
          <w:rFonts w:ascii="Arial" w:eastAsiaTheme="minorHAnsi" w:hAnsi="Arial" w:cs="Arial"/>
          <w:sz w:val="22"/>
          <w:szCs w:val="22"/>
          <w:lang w:val="en-GB"/>
        </w:rPr>
        <w:t xml:space="preserve">, (Oxford: Clarendon Press, 1976). </w:t>
      </w:r>
    </w:p>
    <w:p w14:paraId="01E76A03" w14:textId="77777777" w:rsidR="004400A6" w:rsidRPr="003567D3" w:rsidRDefault="004400A6" w:rsidP="003567D3">
      <w:pPr>
        <w:spacing w:line="276" w:lineRule="auto"/>
        <w:rPr>
          <w:rFonts w:ascii="Arial" w:hAnsi="Arial" w:cs="Arial"/>
          <w:color w:val="FF0000"/>
          <w:sz w:val="22"/>
          <w:szCs w:val="22"/>
          <w:lang w:val="en-GB"/>
        </w:rPr>
      </w:pPr>
    </w:p>
    <w:p w14:paraId="6DBA6E52" w14:textId="6DCFBFC4" w:rsidR="004400A6" w:rsidRPr="004400A6" w:rsidRDefault="004400A6" w:rsidP="003567D3">
      <w:pPr>
        <w:spacing w:line="276" w:lineRule="auto"/>
        <w:rPr>
          <w:rFonts w:ascii="Arial" w:eastAsiaTheme="minorHAnsi" w:hAnsi="Arial" w:cs="Arial"/>
          <w:sz w:val="22"/>
          <w:szCs w:val="22"/>
          <w:lang w:val="en-GB"/>
        </w:rPr>
      </w:pPr>
      <w:r w:rsidRPr="003567D3">
        <w:rPr>
          <w:rFonts w:ascii="Arial" w:hAnsi="Arial" w:cs="Arial"/>
          <w:sz w:val="22"/>
          <w:szCs w:val="22"/>
          <w:lang w:val="en-GB"/>
        </w:rPr>
        <w:t>Gillies</w:t>
      </w:r>
      <w:r w:rsidRPr="004400A6">
        <w:rPr>
          <w:rFonts w:ascii="Arial" w:hAnsi="Arial" w:cs="Arial"/>
          <w:sz w:val="22"/>
          <w:szCs w:val="22"/>
          <w:lang w:val="en-GB"/>
        </w:rPr>
        <w:t xml:space="preserve">, </w:t>
      </w:r>
      <w:r w:rsidRPr="003567D3">
        <w:rPr>
          <w:rFonts w:ascii="Arial" w:hAnsi="Arial" w:cs="Arial"/>
          <w:sz w:val="22"/>
          <w:szCs w:val="22"/>
          <w:lang w:val="en-GB"/>
        </w:rPr>
        <w:t>Eva</w:t>
      </w:r>
      <w:r w:rsidRPr="004400A6">
        <w:rPr>
          <w:rFonts w:ascii="Arial" w:hAnsi="Arial" w:cs="Arial"/>
          <w:sz w:val="22"/>
          <w:szCs w:val="22"/>
          <w:lang w:val="en-GB"/>
        </w:rPr>
        <w:t>. 19</w:t>
      </w:r>
      <w:r w:rsidRPr="003567D3">
        <w:rPr>
          <w:rFonts w:ascii="Arial" w:hAnsi="Arial" w:cs="Arial"/>
          <w:sz w:val="22"/>
          <w:szCs w:val="22"/>
          <w:lang w:val="en-GB"/>
        </w:rPr>
        <w:t>76</w:t>
      </w:r>
      <w:r w:rsidRPr="004400A6">
        <w:rPr>
          <w:rFonts w:ascii="Arial" w:hAnsi="Arial" w:cs="Arial"/>
          <w:sz w:val="22"/>
          <w:szCs w:val="22"/>
          <w:lang w:val="en-GB"/>
        </w:rPr>
        <w:t xml:space="preserve">. Foreword. In: </w:t>
      </w:r>
      <w:r w:rsidRPr="003567D3">
        <w:rPr>
          <w:rFonts w:ascii="Arial" w:hAnsi="Arial" w:cs="Arial"/>
          <w:sz w:val="22"/>
          <w:szCs w:val="22"/>
          <w:lang w:val="en-GB"/>
        </w:rPr>
        <w:t>Evans-Pritchard</w:t>
      </w:r>
      <w:r w:rsidRPr="004400A6">
        <w:rPr>
          <w:rFonts w:ascii="Arial" w:hAnsi="Arial" w:cs="Arial"/>
          <w:sz w:val="22"/>
          <w:szCs w:val="22"/>
          <w:lang w:val="en-GB"/>
        </w:rPr>
        <w:t xml:space="preserve">, </w:t>
      </w:r>
      <w:r w:rsidRPr="003567D3">
        <w:rPr>
          <w:rFonts w:ascii="Arial" w:hAnsi="Arial" w:cs="Arial"/>
          <w:sz w:val="22"/>
          <w:szCs w:val="22"/>
          <w:lang w:val="en-GB"/>
        </w:rPr>
        <w:t>E.E.</w:t>
      </w:r>
      <w:r w:rsidRPr="004400A6">
        <w:rPr>
          <w:rFonts w:ascii="Arial" w:hAnsi="Arial" w:cs="Arial"/>
          <w:sz w:val="22"/>
          <w:szCs w:val="22"/>
          <w:lang w:val="en-GB"/>
        </w:rPr>
        <w:t>. </w:t>
      </w:r>
      <w:r w:rsidRPr="003567D3">
        <w:rPr>
          <w:rFonts w:ascii="Arial" w:eastAsiaTheme="minorHAnsi" w:hAnsi="Arial" w:cs="Arial"/>
          <w:i/>
          <w:iCs/>
          <w:sz w:val="22"/>
          <w:szCs w:val="22"/>
          <w:lang w:val="en-GB"/>
        </w:rPr>
        <w:t xml:space="preserve">Witchcraft, Oracles, And Magic Among </w:t>
      </w:r>
      <w:proofErr w:type="gramStart"/>
      <w:r w:rsidRPr="003567D3">
        <w:rPr>
          <w:rFonts w:ascii="Arial" w:eastAsiaTheme="minorHAnsi" w:hAnsi="Arial" w:cs="Arial"/>
          <w:i/>
          <w:iCs/>
          <w:sz w:val="22"/>
          <w:szCs w:val="22"/>
          <w:lang w:val="en-GB"/>
        </w:rPr>
        <w:t>The</w:t>
      </w:r>
      <w:proofErr w:type="gramEnd"/>
      <w:r w:rsidRPr="003567D3">
        <w:rPr>
          <w:rFonts w:ascii="Arial" w:eastAsiaTheme="minorHAnsi" w:hAnsi="Arial" w:cs="Arial"/>
          <w:i/>
          <w:iCs/>
          <w:sz w:val="22"/>
          <w:szCs w:val="22"/>
          <w:lang w:val="en-GB"/>
        </w:rPr>
        <w:t xml:space="preserve"> Azande</w:t>
      </w:r>
      <w:r w:rsidRPr="003567D3">
        <w:rPr>
          <w:rFonts w:ascii="Arial" w:eastAsiaTheme="minorHAnsi" w:hAnsi="Arial" w:cs="Arial"/>
          <w:sz w:val="22"/>
          <w:szCs w:val="22"/>
          <w:lang w:val="en-GB"/>
        </w:rPr>
        <w:t>, (Oxford: Clarendon Press, 1976)</w:t>
      </w:r>
      <w:r w:rsidRPr="004400A6">
        <w:rPr>
          <w:rFonts w:ascii="Arial" w:hAnsi="Arial" w:cs="Arial"/>
          <w:sz w:val="22"/>
          <w:szCs w:val="22"/>
          <w:lang w:val="en-GB"/>
        </w:rPr>
        <w:t>.</w:t>
      </w:r>
    </w:p>
    <w:p w14:paraId="74B9E1CB" w14:textId="71E75702" w:rsidR="00B66FAF" w:rsidRPr="003567D3" w:rsidRDefault="00F30E00" w:rsidP="003567D3">
      <w:pPr>
        <w:spacing w:line="276" w:lineRule="auto"/>
        <w:rPr>
          <w:rFonts w:ascii="Arial" w:hAnsi="Arial" w:cs="Arial"/>
          <w:sz w:val="22"/>
          <w:szCs w:val="22"/>
          <w:lang w:val="en-GB"/>
        </w:rPr>
      </w:pPr>
      <w:r w:rsidRPr="003567D3">
        <w:rPr>
          <w:rFonts w:ascii="Arial" w:hAnsi="Arial" w:cs="Arial"/>
          <w:sz w:val="22"/>
          <w:szCs w:val="22"/>
          <w:lang w:val="en-GB"/>
        </w:rPr>
        <w:br/>
        <w:t xml:space="preserve">Jenkins, Thomas E. </w:t>
      </w:r>
      <w:r w:rsidRPr="003567D3">
        <w:rPr>
          <w:rFonts w:ascii="Arial" w:hAnsi="Arial" w:cs="Arial"/>
          <w:i/>
          <w:iCs/>
          <w:sz w:val="22"/>
          <w:szCs w:val="22"/>
          <w:lang w:val="en-GB"/>
        </w:rPr>
        <w:t xml:space="preserve">Antiquity Now. The Classical World </w:t>
      </w:r>
      <w:proofErr w:type="gramStart"/>
      <w:r w:rsidRPr="003567D3">
        <w:rPr>
          <w:rFonts w:ascii="Arial" w:hAnsi="Arial" w:cs="Arial"/>
          <w:i/>
          <w:iCs/>
          <w:sz w:val="22"/>
          <w:szCs w:val="22"/>
          <w:lang w:val="en-GB"/>
        </w:rPr>
        <w:t>In</w:t>
      </w:r>
      <w:proofErr w:type="gramEnd"/>
      <w:r w:rsidRPr="003567D3">
        <w:rPr>
          <w:rFonts w:ascii="Arial" w:hAnsi="Arial" w:cs="Arial"/>
          <w:i/>
          <w:iCs/>
          <w:sz w:val="22"/>
          <w:szCs w:val="22"/>
          <w:lang w:val="en-GB"/>
        </w:rPr>
        <w:t xml:space="preserve"> The Contemporary American Imagination</w:t>
      </w:r>
      <w:r w:rsidRPr="003567D3">
        <w:rPr>
          <w:rFonts w:ascii="Arial" w:hAnsi="Arial" w:cs="Arial"/>
          <w:sz w:val="22"/>
          <w:szCs w:val="22"/>
          <w:lang w:val="en-GB"/>
        </w:rPr>
        <w:t>, (Cambridge: Cambridge University Press, 2017</w:t>
      </w:r>
      <w:r w:rsidR="002871CA" w:rsidRPr="003567D3">
        <w:rPr>
          <w:rFonts w:ascii="Arial" w:hAnsi="Arial" w:cs="Arial"/>
          <w:sz w:val="22"/>
          <w:szCs w:val="22"/>
          <w:lang w:val="en-GB"/>
        </w:rPr>
        <w:t>).</w:t>
      </w:r>
    </w:p>
    <w:p w14:paraId="5301E408" w14:textId="0A95EDF0" w:rsidR="00D5592A" w:rsidRPr="003567D3" w:rsidRDefault="00D5592A" w:rsidP="003567D3">
      <w:pPr>
        <w:spacing w:line="276" w:lineRule="auto"/>
        <w:rPr>
          <w:rFonts w:ascii="Arial" w:hAnsi="Arial" w:cs="Arial"/>
          <w:sz w:val="22"/>
          <w:szCs w:val="22"/>
          <w:lang w:val="en-GB"/>
        </w:rPr>
      </w:pPr>
    </w:p>
    <w:p w14:paraId="5FE77D20" w14:textId="3138CB2A" w:rsidR="003B6B79" w:rsidRPr="003567D3" w:rsidRDefault="00D5592A" w:rsidP="003567D3">
      <w:pPr>
        <w:spacing w:line="276" w:lineRule="auto"/>
        <w:rPr>
          <w:rFonts w:ascii="Arial" w:hAnsi="Arial" w:cs="Arial"/>
          <w:sz w:val="22"/>
          <w:szCs w:val="22"/>
        </w:rPr>
      </w:pPr>
      <w:proofErr w:type="spellStart"/>
      <w:r w:rsidRPr="00D5592A">
        <w:rPr>
          <w:rFonts w:ascii="Arial" w:hAnsi="Arial" w:cs="Arial"/>
          <w:sz w:val="22"/>
          <w:szCs w:val="22"/>
        </w:rPr>
        <w:t>L</w:t>
      </w:r>
      <w:r w:rsidRPr="003567D3">
        <w:rPr>
          <w:rFonts w:ascii="Arial" w:hAnsi="Arial" w:cs="Arial"/>
          <w:sz w:val="22"/>
          <w:szCs w:val="22"/>
        </w:rPr>
        <w:t>ehoux</w:t>
      </w:r>
      <w:proofErr w:type="spellEnd"/>
      <w:r w:rsidRPr="00D5592A">
        <w:rPr>
          <w:rFonts w:ascii="Arial" w:hAnsi="Arial" w:cs="Arial"/>
          <w:sz w:val="22"/>
          <w:szCs w:val="22"/>
        </w:rPr>
        <w:t xml:space="preserve">, </w:t>
      </w:r>
      <w:proofErr w:type="spellStart"/>
      <w:r w:rsidRPr="00D5592A">
        <w:rPr>
          <w:rFonts w:ascii="Arial" w:hAnsi="Arial" w:cs="Arial"/>
          <w:sz w:val="22"/>
          <w:szCs w:val="22"/>
        </w:rPr>
        <w:t>D</w:t>
      </w:r>
      <w:r w:rsidRPr="003567D3">
        <w:rPr>
          <w:rFonts w:ascii="Arial" w:hAnsi="Arial" w:cs="Arial"/>
          <w:sz w:val="22"/>
          <w:szCs w:val="22"/>
        </w:rPr>
        <w:t>aryn</w:t>
      </w:r>
      <w:proofErr w:type="spellEnd"/>
      <w:r w:rsidRPr="00D5592A">
        <w:rPr>
          <w:rFonts w:ascii="Arial" w:hAnsi="Arial" w:cs="Arial"/>
          <w:sz w:val="22"/>
          <w:szCs w:val="22"/>
        </w:rPr>
        <w:t>. “Tomorrow's News Today: Astrology, Fate, and the Way Out.” </w:t>
      </w:r>
      <w:r w:rsidRPr="00D5592A">
        <w:rPr>
          <w:rFonts w:ascii="Arial" w:hAnsi="Arial" w:cs="Arial"/>
          <w:i/>
          <w:iCs/>
          <w:sz w:val="22"/>
          <w:szCs w:val="22"/>
        </w:rPr>
        <w:t>Representations</w:t>
      </w:r>
      <w:r w:rsidRPr="00D5592A">
        <w:rPr>
          <w:rFonts w:ascii="Arial" w:hAnsi="Arial" w:cs="Arial"/>
          <w:sz w:val="22"/>
          <w:szCs w:val="22"/>
        </w:rPr>
        <w:t>, vol. 95, no. 1, 2006, pp. 105–122. </w:t>
      </w:r>
      <w:r w:rsidRPr="00D5592A">
        <w:rPr>
          <w:rFonts w:ascii="Arial" w:hAnsi="Arial" w:cs="Arial"/>
          <w:i/>
          <w:iCs/>
          <w:sz w:val="22"/>
          <w:szCs w:val="22"/>
        </w:rPr>
        <w:t>JSTOR</w:t>
      </w:r>
      <w:r w:rsidR="00D114D6">
        <w:rPr>
          <w:rFonts w:ascii="Arial" w:hAnsi="Arial" w:cs="Arial"/>
          <w:sz w:val="22"/>
          <w:szCs w:val="22"/>
        </w:rPr>
        <w:t>.</w:t>
      </w:r>
    </w:p>
    <w:p w14:paraId="0987F4F2" w14:textId="77777777" w:rsidR="003B6B79" w:rsidRPr="003567D3" w:rsidRDefault="003B6B79" w:rsidP="003567D3">
      <w:pPr>
        <w:spacing w:line="276" w:lineRule="auto"/>
        <w:rPr>
          <w:rFonts w:ascii="Arial" w:hAnsi="Arial" w:cs="Arial"/>
          <w:sz w:val="22"/>
          <w:szCs w:val="22"/>
        </w:rPr>
      </w:pPr>
    </w:p>
    <w:p w14:paraId="09DD7E2E" w14:textId="30DB72CC" w:rsidR="00D5592A" w:rsidRPr="00D5592A" w:rsidRDefault="003B6B79" w:rsidP="003567D3">
      <w:pPr>
        <w:spacing w:line="276" w:lineRule="auto"/>
        <w:rPr>
          <w:rFonts w:ascii="Arial" w:hAnsi="Arial" w:cs="Arial"/>
          <w:sz w:val="22"/>
          <w:szCs w:val="22"/>
        </w:rPr>
      </w:pPr>
      <w:r w:rsidRPr="003567D3">
        <w:rPr>
          <w:rFonts w:ascii="Arial" w:hAnsi="Arial" w:cs="Arial"/>
          <w:sz w:val="22"/>
          <w:szCs w:val="22"/>
        </w:rPr>
        <w:t xml:space="preserve">Ogden, Daniel. </w:t>
      </w:r>
      <w:r w:rsidRPr="003567D3">
        <w:rPr>
          <w:rFonts w:ascii="Arial" w:hAnsi="Arial" w:cs="Arial"/>
          <w:i/>
          <w:iCs/>
          <w:sz w:val="22"/>
          <w:szCs w:val="22"/>
        </w:rPr>
        <w:t xml:space="preserve">Magic, Witchcraft, And Ghosts </w:t>
      </w:r>
      <w:proofErr w:type="gramStart"/>
      <w:r w:rsidRPr="003567D3">
        <w:rPr>
          <w:rFonts w:ascii="Arial" w:hAnsi="Arial" w:cs="Arial"/>
          <w:i/>
          <w:iCs/>
          <w:sz w:val="22"/>
          <w:szCs w:val="22"/>
        </w:rPr>
        <w:t>In</w:t>
      </w:r>
      <w:proofErr w:type="gramEnd"/>
      <w:r w:rsidRPr="003567D3">
        <w:rPr>
          <w:rFonts w:ascii="Arial" w:hAnsi="Arial" w:cs="Arial"/>
          <w:i/>
          <w:iCs/>
          <w:sz w:val="22"/>
          <w:szCs w:val="22"/>
        </w:rPr>
        <w:t xml:space="preserve"> The Greek And Roman Worlds: A Sourcebook, </w:t>
      </w:r>
      <w:r w:rsidRPr="003567D3">
        <w:rPr>
          <w:rFonts w:ascii="Arial" w:hAnsi="Arial" w:cs="Arial"/>
          <w:sz w:val="22"/>
          <w:szCs w:val="22"/>
        </w:rPr>
        <w:t>(Oxford: Oxford University Press, 2002).</w:t>
      </w:r>
    </w:p>
    <w:p w14:paraId="05BEB6AF" w14:textId="00731505" w:rsidR="002524EC" w:rsidRPr="003567D3" w:rsidRDefault="002524EC" w:rsidP="003567D3">
      <w:pPr>
        <w:spacing w:line="276" w:lineRule="auto"/>
        <w:rPr>
          <w:rFonts w:ascii="Arial" w:hAnsi="Arial" w:cs="Arial"/>
          <w:sz w:val="22"/>
          <w:szCs w:val="22"/>
          <w:lang w:val="en-GB"/>
        </w:rPr>
      </w:pPr>
    </w:p>
    <w:p w14:paraId="59FA1231" w14:textId="33B4AD93" w:rsidR="002524EC" w:rsidRPr="003567D3" w:rsidRDefault="002524EC" w:rsidP="003567D3">
      <w:pPr>
        <w:spacing w:line="276" w:lineRule="auto"/>
        <w:rPr>
          <w:rFonts w:ascii="Arial" w:hAnsi="Arial" w:cs="Arial"/>
          <w:sz w:val="22"/>
          <w:szCs w:val="22"/>
        </w:rPr>
      </w:pPr>
      <w:r w:rsidRPr="002524EC">
        <w:rPr>
          <w:rFonts w:ascii="Arial" w:hAnsi="Arial" w:cs="Arial"/>
          <w:sz w:val="22"/>
          <w:szCs w:val="22"/>
        </w:rPr>
        <w:t>Otto, Bernd-Christian. “Towards Historicizing ‘Magic’ in Antiquity.” </w:t>
      </w:r>
      <w:r w:rsidRPr="002524EC">
        <w:rPr>
          <w:rFonts w:ascii="Arial" w:hAnsi="Arial" w:cs="Arial"/>
          <w:i/>
          <w:iCs/>
          <w:sz w:val="22"/>
          <w:szCs w:val="22"/>
        </w:rPr>
        <w:t>Numen</w:t>
      </w:r>
      <w:r w:rsidRPr="002524EC">
        <w:rPr>
          <w:rFonts w:ascii="Arial" w:hAnsi="Arial" w:cs="Arial"/>
          <w:sz w:val="22"/>
          <w:szCs w:val="22"/>
        </w:rPr>
        <w:t>, vol. 60, no. 2/3, 2013, pp. 308–347. </w:t>
      </w:r>
      <w:r w:rsidRPr="002524EC">
        <w:rPr>
          <w:rFonts w:ascii="Arial" w:hAnsi="Arial" w:cs="Arial"/>
          <w:i/>
          <w:iCs/>
          <w:sz w:val="22"/>
          <w:szCs w:val="22"/>
        </w:rPr>
        <w:t>JSTOR</w:t>
      </w:r>
      <w:r w:rsidR="00D114D6">
        <w:rPr>
          <w:rFonts w:ascii="Arial" w:hAnsi="Arial" w:cs="Arial"/>
          <w:sz w:val="22"/>
          <w:szCs w:val="22"/>
        </w:rPr>
        <w:t>.</w:t>
      </w:r>
    </w:p>
    <w:p w14:paraId="18624CDF" w14:textId="0E2BD816" w:rsidR="00E54E5F" w:rsidRPr="003567D3" w:rsidRDefault="00E54E5F" w:rsidP="003567D3">
      <w:pPr>
        <w:spacing w:line="276" w:lineRule="auto"/>
        <w:rPr>
          <w:rFonts w:ascii="Arial" w:hAnsi="Arial" w:cs="Arial"/>
          <w:sz w:val="22"/>
          <w:szCs w:val="22"/>
          <w:lang w:val="en-GB"/>
        </w:rPr>
      </w:pPr>
    </w:p>
    <w:p w14:paraId="2CEADC71" w14:textId="48246611" w:rsidR="00E54E5F" w:rsidRPr="003567D3" w:rsidRDefault="00E54E5F" w:rsidP="003567D3">
      <w:pPr>
        <w:spacing w:line="276" w:lineRule="auto"/>
        <w:rPr>
          <w:rFonts w:ascii="Arial" w:hAnsi="Arial" w:cs="Arial"/>
          <w:sz w:val="22"/>
          <w:szCs w:val="22"/>
          <w:lang w:val="en-GB"/>
        </w:rPr>
      </w:pPr>
      <w:r w:rsidRPr="003567D3">
        <w:rPr>
          <w:rFonts w:ascii="Arial" w:hAnsi="Arial" w:cs="Arial"/>
          <w:sz w:val="22"/>
          <w:szCs w:val="22"/>
          <w:lang w:val="en-GB"/>
        </w:rPr>
        <w:t>Morton, Christopher. ‘</w:t>
      </w:r>
      <w:r w:rsidRPr="003567D3">
        <w:rPr>
          <w:rFonts w:ascii="Arial" w:hAnsi="Arial" w:cs="Arial"/>
          <w:sz w:val="22"/>
          <w:szCs w:val="22"/>
          <w:lang w:val="en-GB"/>
        </w:rPr>
        <w:t xml:space="preserve">Evans-Pritchard </w:t>
      </w:r>
      <w:r w:rsidRPr="003567D3">
        <w:rPr>
          <w:rFonts w:ascii="Arial" w:hAnsi="Arial" w:cs="Arial"/>
          <w:sz w:val="22"/>
          <w:szCs w:val="22"/>
          <w:lang w:val="en-GB"/>
        </w:rPr>
        <w:t>A</w:t>
      </w:r>
      <w:r w:rsidRPr="003567D3">
        <w:rPr>
          <w:rFonts w:ascii="Arial" w:hAnsi="Arial" w:cs="Arial"/>
          <w:sz w:val="22"/>
          <w:szCs w:val="22"/>
          <w:lang w:val="en-GB"/>
        </w:rPr>
        <w:t xml:space="preserve">nd Malinowski: The Roots </w:t>
      </w:r>
      <w:proofErr w:type="gramStart"/>
      <w:r w:rsidRPr="003567D3">
        <w:rPr>
          <w:rFonts w:ascii="Arial" w:hAnsi="Arial" w:cs="Arial"/>
          <w:sz w:val="22"/>
          <w:szCs w:val="22"/>
          <w:lang w:val="en-GB"/>
        </w:rPr>
        <w:t>O</w:t>
      </w:r>
      <w:r w:rsidRPr="003567D3">
        <w:rPr>
          <w:rFonts w:ascii="Arial" w:hAnsi="Arial" w:cs="Arial"/>
          <w:sz w:val="22"/>
          <w:szCs w:val="22"/>
          <w:lang w:val="en-GB"/>
        </w:rPr>
        <w:t>f</w:t>
      </w:r>
      <w:proofErr w:type="gramEnd"/>
      <w:r w:rsidRPr="003567D3">
        <w:rPr>
          <w:rFonts w:ascii="Arial" w:hAnsi="Arial" w:cs="Arial"/>
          <w:sz w:val="22"/>
          <w:szCs w:val="22"/>
          <w:lang w:val="en-GB"/>
        </w:rPr>
        <w:t xml:space="preserve"> </w:t>
      </w:r>
      <w:r w:rsidRPr="003567D3">
        <w:rPr>
          <w:rFonts w:ascii="Arial" w:hAnsi="Arial" w:cs="Arial"/>
          <w:sz w:val="22"/>
          <w:szCs w:val="22"/>
          <w:lang w:val="en-GB"/>
        </w:rPr>
        <w:t>A</w:t>
      </w:r>
      <w:r w:rsidRPr="003567D3">
        <w:rPr>
          <w:rFonts w:ascii="Arial" w:hAnsi="Arial" w:cs="Arial"/>
          <w:sz w:val="22"/>
          <w:szCs w:val="22"/>
          <w:lang w:val="en-GB"/>
        </w:rPr>
        <w:t xml:space="preserve"> Complex Relationship</w:t>
      </w:r>
      <w:r w:rsidRPr="003567D3">
        <w:rPr>
          <w:rFonts w:ascii="Arial" w:hAnsi="Arial" w:cs="Arial"/>
          <w:sz w:val="22"/>
          <w:szCs w:val="22"/>
          <w:lang w:val="en-GB"/>
        </w:rPr>
        <w:t xml:space="preserve">.’ </w:t>
      </w:r>
      <w:r w:rsidRPr="003567D3">
        <w:rPr>
          <w:rFonts w:ascii="Arial" w:hAnsi="Arial" w:cs="Arial"/>
          <w:i/>
          <w:iCs/>
          <w:sz w:val="22"/>
          <w:szCs w:val="22"/>
          <w:lang w:val="en-GB"/>
        </w:rPr>
        <w:t>History of Anthropology Newsletter,</w:t>
      </w:r>
      <w:r w:rsidRPr="003567D3">
        <w:rPr>
          <w:rFonts w:ascii="Arial" w:hAnsi="Arial" w:cs="Arial"/>
          <w:sz w:val="22"/>
          <w:szCs w:val="22"/>
          <w:lang w:val="en-GB"/>
        </w:rPr>
        <w:t xml:space="preserve"> vol. 34, issue 2, 2007, pp. 10–14., </w:t>
      </w:r>
      <w:r w:rsidRPr="003567D3">
        <w:rPr>
          <w:rFonts w:ascii="Arial" w:hAnsi="Arial" w:cs="Arial"/>
          <w:sz w:val="22"/>
          <w:szCs w:val="22"/>
          <w:lang w:val="en-GB"/>
        </w:rPr>
        <w:t>https://repository.upenn.edu/cgi/viewcontent.cgi?article=1770&amp;context=han</w:t>
      </w:r>
      <w:r w:rsidRPr="003567D3">
        <w:rPr>
          <w:rFonts w:ascii="Arial" w:hAnsi="Arial" w:cs="Arial"/>
          <w:sz w:val="22"/>
          <w:szCs w:val="22"/>
          <w:lang w:val="en-GB"/>
        </w:rPr>
        <w:t>. Accessed 27 Apr 2021.</w:t>
      </w:r>
    </w:p>
    <w:p w14:paraId="468E57CF" w14:textId="5DCB825B" w:rsidR="00F14B9B" w:rsidRPr="003567D3" w:rsidRDefault="00F14B9B" w:rsidP="003567D3">
      <w:pPr>
        <w:spacing w:line="276" w:lineRule="auto"/>
        <w:rPr>
          <w:rFonts w:ascii="Arial" w:hAnsi="Arial" w:cs="Arial"/>
          <w:sz w:val="22"/>
          <w:szCs w:val="22"/>
          <w:lang w:val="en-GB"/>
        </w:rPr>
      </w:pPr>
    </w:p>
    <w:p w14:paraId="532F448E" w14:textId="30A63CD0" w:rsidR="00C10C40" w:rsidRPr="003567D3" w:rsidRDefault="00C10C40" w:rsidP="003567D3">
      <w:pPr>
        <w:spacing w:line="276" w:lineRule="auto"/>
        <w:rPr>
          <w:rFonts w:ascii="Arial" w:eastAsiaTheme="minorHAnsi" w:hAnsi="Arial" w:cs="Arial"/>
          <w:sz w:val="22"/>
          <w:szCs w:val="22"/>
          <w:lang w:val="en-GB"/>
        </w:rPr>
      </w:pPr>
      <w:proofErr w:type="spellStart"/>
      <w:r w:rsidRPr="00B66FAF">
        <w:rPr>
          <w:rFonts w:ascii="Arial" w:eastAsiaTheme="minorHAnsi" w:hAnsi="Arial" w:cs="Arial"/>
          <w:sz w:val="22"/>
          <w:szCs w:val="22"/>
          <w:lang w:val="en-GB"/>
        </w:rPr>
        <w:t>Werbner</w:t>
      </w:r>
      <w:proofErr w:type="spellEnd"/>
      <w:r w:rsidRPr="00B66FAF">
        <w:rPr>
          <w:rFonts w:ascii="Arial" w:eastAsiaTheme="minorHAnsi" w:hAnsi="Arial" w:cs="Arial"/>
          <w:sz w:val="22"/>
          <w:szCs w:val="22"/>
          <w:lang w:val="en-GB"/>
        </w:rPr>
        <w:t xml:space="preserve">, Richard. </w:t>
      </w:r>
      <w:r w:rsidRPr="003567D3">
        <w:rPr>
          <w:rFonts w:ascii="Arial" w:eastAsiaTheme="minorHAnsi" w:hAnsi="Arial" w:cs="Arial"/>
          <w:sz w:val="22"/>
          <w:szCs w:val="22"/>
          <w:lang w:val="en-GB"/>
        </w:rPr>
        <w:t>‘T</w:t>
      </w:r>
      <w:r w:rsidRPr="00B66FAF">
        <w:rPr>
          <w:rFonts w:ascii="Arial" w:eastAsiaTheme="minorHAnsi" w:hAnsi="Arial" w:cs="Arial"/>
          <w:sz w:val="22"/>
          <w:szCs w:val="22"/>
          <w:lang w:val="en-GB"/>
        </w:rPr>
        <w:t xml:space="preserve">he Opposite </w:t>
      </w:r>
      <w:proofErr w:type="gramStart"/>
      <w:r w:rsidR="00444E41" w:rsidRPr="003567D3">
        <w:rPr>
          <w:rFonts w:ascii="Arial" w:eastAsiaTheme="minorHAnsi" w:hAnsi="Arial" w:cs="Arial"/>
          <w:sz w:val="22"/>
          <w:szCs w:val="22"/>
          <w:lang w:val="en-GB"/>
        </w:rPr>
        <w:t>O</w:t>
      </w:r>
      <w:r w:rsidRPr="00B66FAF">
        <w:rPr>
          <w:rFonts w:ascii="Arial" w:eastAsiaTheme="minorHAnsi" w:hAnsi="Arial" w:cs="Arial"/>
          <w:sz w:val="22"/>
          <w:szCs w:val="22"/>
          <w:lang w:val="en-GB"/>
        </w:rPr>
        <w:t>f</w:t>
      </w:r>
      <w:proofErr w:type="gramEnd"/>
      <w:r w:rsidRPr="00B66FAF">
        <w:rPr>
          <w:rFonts w:ascii="Arial" w:eastAsiaTheme="minorHAnsi" w:hAnsi="Arial" w:cs="Arial"/>
          <w:sz w:val="22"/>
          <w:szCs w:val="22"/>
          <w:lang w:val="en-GB"/>
        </w:rPr>
        <w:t xml:space="preserve"> Evans-Pritchard.</w:t>
      </w:r>
      <w:r w:rsidRPr="003567D3">
        <w:rPr>
          <w:rFonts w:ascii="Arial" w:eastAsiaTheme="minorHAnsi" w:hAnsi="Arial" w:cs="Arial"/>
          <w:sz w:val="22"/>
          <w:szCs w:val="22"/>
          <w:lang w:val="en-GB"/>
        </w:rPr>
        <w:t>’</w:t>
      </w:r>
      <w:r w:rsidRPr="00B66FAF">
        <w:rPr>
          <w:rFonts w:ascii="Arial" w:eastAsiaTheme="minorHAnsi" w:hAnsi="Arial" w:cs="Arial"/>
          <w:sz w:val="22"/>
          <w:szCs w:val="22"/>
          <w:lang w:val="en-GB"/>
        </w:rPr>
        <w:t> </w:t>
      </w:r>
      <w:r w:rsidRPr="00B66FAF">
        <w:rPr>
          <w:rFonts w:ascii="Arial" w:eastAsiaTheme="minorHAnsi" w:hAnsi="Arial" w:cs="Arial"/>
          <w:i/>
          <w:iCs/>
          <w:sz w:val="22"/>
          <w:szCs w:val="22"/>
          <w:lang w:val="en-GB"/>
        </w:rPr>
        <w:t>The Journal of the Royal Anthropological Institute</w:t>
      </w:r>
      <w:r w:rsidRPr="00B66FAF">
        <w:rPr>
          <w:rFonts w:ascii="Arial" w:eastAsiaTheme="minorHAnsi" w:hAnsi="Arial" w:cs="Arial"/>
          <w:sz w:val="22"/>
          <w:szCs w:val="22"/>
          <w:lang w:val="en-GB"/>
        </w:rPr>
        <w:t>, vol. 19, no. 3, 2013, pp. 650–655.</w:t>
      </w:r>
      <w:r w:rsidR="00D114D6">
        <w:rPr>
          <w:rFonts w:ascii="Arial" w:eastAsiaTheme="minorHAnsi" w:hAnsi="Arial" w:cs="Arial"/>
          <w:sz w:val="22"/>
          <w:szCs w:val="22"/>
          <w:lang w:val="en-GB"/>
        </w:rPr>
        <w:t xml:space="preserve"> </w:t>
      </w:r>
      <w:r w:rsidR="00D114D6">
        <w:rPr>
          <w:rFonts w:ascii="Arial" w:eastAsiaTheme="minorHAnsi" w:hAnsi="Arial" w:cs="Arial"/>
          <w:i/>
          <w:iCs/>
          <w:sz w:val="22"/>
          <w:szCs w:val="22"/>
          <w:lang w:val="en-GB"/>
        </w:rPr>
        <w:t>JSTOR.</w:t>
      </w:r>
    </w:p>
    <w:p w14:paraId="0DF05042" w14:textId="5EE840F8" w:rsidR="00F14B9B" w:rsidRPr="003567D3" w:rsidRDefault="00F14B9B" w:rsidP="003567D3">
      <w:pPr>
        <w:spacing w:line="276" w:lineRule="auto"/>
        <w:rPr>
          <w:rFonts w:ascii="Arial" w:hAnsi="Arial" w:cs="Arial"/>
          <w:iCs/>
          <w:sz w:val="22"/>
          <w:szCs w:val="22"/>
          <w:lang w:val="en-GB"/>
        </w:rPr>
      </w:pPr>
    </w:p>
    <w:p w14:paraId="505D60EF" w14:textId="45B3A6B5" w:rsidR="00444E41" w:rsidRPr="00444E41" w:rsidRDefault="00444E41" w:rsidP="003567D3">
      <w:pPr>
        <w:spacing w:line="276" w:lineRule="auto"/>
        <w:rPr>
          <w:rFonts w:ascii="Arial" w:hAnsi="Arial" w:cs="Arial"/>
          <w:iCs/>
          <w:sz w:val="22"/>
          <w:szCs w:val="22"/>
          <w:lang w:val="en-GB"/>
        </w:rPr>
      </w:pPr>
      <w:r w:rsidRPr="00444E41">
        <w:rPr>
          <w:rFonts w:ascii="Arial" w:hAnsi="Arial" w:cs="Arial"/>
          <w:iCs/>
          <w:sz w:val="22"/>
          <w:szCs w:val="22"/>
          <w:lang w:val="en-GB"/>
        </w:rPr>
        <w:t>W</w:t>
      </w:r>
      <w:r w:rsidRPr="003567D3">
        <w:rPr>
          <w:rFonts w:ascii="Arial" w:hAnsi="Arial" w:cs="Arial"/>
          <w:iCs/>
          <w:sz w:val="22"/>
          <w:szCs w:val="22"/>
          <w:lang w:val="en-GB"/>
        </w:rPr>
        <w:t>horf</w:t>
      </w:r>
      <w:r w:rsidRPr="00444E41">
        <w:rPr>
          <w:rFonts w:ascii="Arial" w:hAnsi="Arial" w:cs="Arial"/>
          <w:iCs/>
          <w:sz w:val="22"/>
          <w:szCs w:val="22"/>
          <w:lang w:val="en-GB"/>
        </w:rPr>
        <w:t>, B</w:t>
      </w:r>
      <w:r w:rsidRPr="003567D3">
        <w:rPr>
          <w:rFonts w:ascii="Arial" w:hAnsi="Arial" w:cs="Arial"/>
          <w:iCs/>
          <w:sz w:val="22"/>
          <w:szCs w:val="22"/>
          <w:lang w:val="en-GB"/>
        </w:rPr>
        <w:t>enjamin</w:t>
      </w:r>
      <w:r w:rsidRPr="00444E41">
        <w:rPr>
          <w:rFonts w:ascii="Arial" w:hAnsi="Arial" w:cs="Arial"/>
          <w:iCs/>
          <w:sz w:val="22"/>
          <w:szCs w:val="22"/>
          <w:lang w:val="en-GB"/>
        </w:rPr>
        <w:t xml:space="preserve"> L</w:t>
      </w:r>
      <w:r w:rsidRPr="003567D3">
        <w:rPr>
          <w:rFonts w:ascii="Arial" w:hAnsi="Arial" w:cs="Arial"/>
          <w:iCs/>
          <w:sz w:val="22"/>
          <w:szCs w:val="22"/>
          <w:lang w:val="en-GB"/>
        </w:rPr>
        <w:t>ee</w:t>
      </w:r>
      <w:r w:rsidRPr="00444E41">
        <w:rPr>
          <w:rFonts w:ascii="Arial" w:hAnsi="Arial" w:cs="Arial"/>
          <w:iCs/>
          <w:sz w:val="22"/>
          <w:szCs w:val="22"/>
          <w:lang w:val="en-GB"/>
        </w:rPr>
        <w:t xml:space="preserve">. </w:t>
      </w:r>
      <w:r w:rsidRPr="003567D3">
        <w:rPr>
          <w:rFonts w:ascii="Arial" w:hAnsi="Arial" w:cs="Arial"/>
          <w:iCs/>
          <w:sz w:val="22"/>
          <w:szCs w:val="22"/>
          <w:lang w:val="en-GB"/>
        </w:rPr>
        <w:t xml:space="preserve">‘Language, Mind </w:t>
      </w:r>
      <w:proofErr w:type="gramStart"/>
      <w:r w:rsidRPr="003567D3">
        <w:rPr>
          <w:rFonts w:ascii="Arial" w:hAnsi="Arial" w:cs="Arial"/>
          <w:iCs/>
          <w:sz w:val="22"/>
          <w:szCs w:val="22"/>
          <w:lang w:val="en-GB"/>
        </w:rPr>
        <w:t>And</w:t>
      </w:r>
      <w:proofErr w:type="gramEnd"/>
      <w:r w:rsidRPr="003567D3">
        <w:rPr>
          <w:rFonts w:ascii="Arial" w:hAnsi="Arial" w:cs="Arial"/>
          <w:iCs/>
          <w:sz w:val="22"/>
          <w:szCs w:val="22"/>
          <w:lang w:val="en-GB"/>
        </w:rPr>
        <w:t xml:space="preserve"> Reality</w:t>
      </w:r>
      <w:r w:rsidRPr="00444E41">
        <w:rPr>
          <w:rFonts w:ascii="Arial" w:hAnsi="Arial" w:cs="Arial"/>
          <w:iCs/>
          <w:sz w:val="22"/>
          <w:szCs w:val="22"/>
          <w:lang w:val="en-GB"/>
        </w:rPr>
        <w:t>” </w:t>
      </w:r>
      <w:r w:rsidRPr="00444E41">
        <w:rPr>
          <w:rFonts w:ascii="Arial" w:hAnsi="Arial" w:cs="Arial"/>
          <w:i/>
          <w:iCs/>
          <w:sz w:val="22"/>
          <w:szCs w:val="22"/>
          <w:lang w:val="en-GB"/>
        </w:rPr>
        <w:t>ETC: A Review of General Semantics</w:t>
      </w:r>
      <w:r w:rsidRPr="00444E41">
        <w:rPr>
          <w:rFonts w:ascii="Arial" w:hAnsi="Arial" w:cs="Arial"/>
          <w:iCs/>
          <w:sz w:val="22"/>
          <w:szCs w:val="22"/>
          <w:lang w:val="en-GB"/>
        </w:rPr>
        <w:t>, vol. 9, no. 3, 1952, pp. 167–188. </w:t>
      </w:r>
      <w:r w:rsidRPr="00444E41">
        <w:rPr>
          <w:rFonts w:ascii="Arial" w:hAnsi="Arial" w:cs="Arial"/>
          <w:i/>
          <w:iCs/>
          <w:sz w:val="22"/>
          <w:szCs w:val="22"/>
          <w:lang w:val="en-GB"/>
        </w:rPr>
        <w:t>JSTOR</w:t>
      </w:r>
      <w:r w:rsidRPr="00444E41">
        <w:rPr>
          <w:rFonts w:ascii="Arial" w:hAnsi="Arial" w:cs="Arial"/>
          <w:iCs/>
          <w:sz w:val="22"/>
          <w:szCs w:val="22"/>
          <w:lang w:val="en-GB"/>
        </w:rPr>
        <w:t>.</w:t>
      </w:r>
    </w:p>
    <w:p w14:paraId="6C8A78F8" w14:textId="5DD9C892" w:rsidR="003464BD" w:rsidRPr="003567D3" w:rsidRDefault="003464BD" w:rsidP="003567D3">
      <w:pPr>
        <w:spacing w:line="276" w:lineRule="auto"/>
        <w:rPr>
          <w:rFonts w:ascii="Arial" w:hAnsi="Arial" w:cs="Arial"/>
          <w:iCs/>
          <w:sz w:val="22"/>
          <w:szCs w:val="22"/>
          <w:lang w:val="en-GB"/>
        </w:rPr>
      </w:pPr>
    </w:p>
    <w:p w14:paraId="06F06A26" w14:textId="54B0B9FF" w:rsidR="00941752" w:rsidRPr="003567D3" w:rsidRDefault="00941752" w:rsidP="003567D3">
      <w:pPr>
        <w:spacing w:line="276" w:lineRule="auto"/>
        <w:rPr>
          <w:rFonts w:ascii="Arial" w:hAnsi="Arial" w:cs="Arial"/>
          <w:iCs/>
          <w:sz w:val="22"/>
          <w:szCs w:val="22"/>
          <w:lang w:val="en-GB"/>
        </w:rPr>
      </w:pPr>
    </w:p>
    <w:sectPr w:rsidR="00941752" w:rsidRPr="003567D3" w:rsidSect="00B776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99B62D" w14:textId="77777777" w:rsidR="0077075E" w:rsidRDefault="0077075E" w:rsidP="00D70E6B">
      <w:r>
        <w:separator/>
      </w:r>
    </w:p>
  </w:endnote>
  <w:endnote w:type="continuationSeparator" w:id="0">
    <w:p w14:paraId="10192E73" w14:textId="77777777" w:rsidR="0077075E" w:rsidRDefault="0077075E" w:rsidP="00D70E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ode">
    <w:altName w:val="Code"/>
    <w:panose1 w:val="020B0604020202020204"/>
    <w:charset w:val="00"/>
    <w:family w:val="swiss"/>
    <w:notTrueType/>
    <w:pitch w:val="default"/>
    <w:sig w:usb0="00000003" w:usb1="00000000" w:usb2="00000000" w:usb3="00000000" w:csb0="00000001"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altName w:val="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233B5B" w14:textId="77777777" w:rsidR="0077075E" w:rsidRDefault="0077075E" w:rsidP="00D70E6B">
      <w:r>
        <w:separator/>
      </w:r>
    </w:p>
  </w:footnote>
  <w:footnote w:type="continuationSeparator" w:id="0">
    <w:p w14:paraId="20CFB5CB" w14:textId="77777777" w:rsidR="0077075E" w:rsidRDefault="0077075E" w:rsidP="00D70E6B">
      <w:r>
        <w:continuationSeparator/>
      </w:r>
    </w:p>
  </w:footnote>
  <w:footnote w:id="1">
    <w:p w14:paraId="6D812B42" w14:textId="4FD79CD7" w:rsidR="005103B6" w:rsidRDefault="005103B6">
      <w:pPr>
        <w:pStyle w:val="FootnoteText"/>
      </w:pPr>
      <w:r>
        <w:rPr>
          <w:rStyle w:val="FootnoteReference"/>
        </w:rPr>
        <w:footnoteRef/>
      </w:r>
      <w:r>
        <w:t xml:space="preserve"> </w:t>
      </w:r>
      <w:r w:rsidRPr="001A7411">
        <w:rPr>
          <w:rFonts w:ascii="Calibri" w:hAnsi="Calibri" w:cs="Calibri"/>
          <w:sz w:val="18"/>
          <w:szCs w:val="18"/>
          <w:lang w:val="en-GB"/>
        </w:rPr>
        <w:t xml:space="preserve">Evans-Pritchard, E.E. </w:t>
      </w:r>
      <w:r w:rsidRPr="001A7411">
        <w:rPr>
          <w:rFonts w:ascii="Calibri" w:hAnsi="Calibri" w:cs="Calibri"/>
          <w:i/>
          <w:iCs/>
          <w:sz w:val="18"/>
          <w:szCs w:val="18"/>
          <w:lang w:val="en-GB"/>
        </w:rPr>
        <w:t xml:space="preserve">Witchcraft, Oracles, And Magic Among </w:t>
      </w:r>
      <w:proofErr w:type="gramStart"/>
      <w:r w:rsidRPr="001A7411">
        <w:rPr>
          <w:rFonts w:ascii="Calibri" w:hAnsi="Calibri" w:cs="Calibri"/>
          <w:i/>
          <w:iCs/>
          <w:sz w:val="18"/>
          <w:szCs w:val="18"/>
          <w:lang w:val="en-GB"/>
        </w:rPr>
        <w:t>The</w:t>
      </w:r>
      <w:proofErr w:type="gramEnd"/>
      <w:r w:rsidRPr="001A7411">
        <w:rPr>
          <w:rFonts w:ascii="Calibri" w:hAnsi="Calibri" w:cs="Calibri"/>
          <w:i/>
          <w:iCs/>
          <w:sz w:val="18"/>
          <w:szCs w:val="18"/>
          <w:lang w:val="en-GB"/>
        </w:rPr>
        <w:t xml:space="preserve"> Azande</w:t>
      </w:r>
      <w:r w:rsidRPr="001A7411">
        <w:rPr>
          <w:rFonts w:ascii="Calibri" w:hAnsi="Calibri" w:cs="Calibri"/>
          <w:sz w:val="18"/>
          <w:szCs w:val="18"/>
          <w:lang w:val="en-GB"/>
        </w:rPr>
        <w:t>, (Oxford: Clarendon Press, 1976), p. 24</w:t>
      </w:r>
      <w:r>
        <w:rPr>
          <w:rFonts w:ascii="Calibri" w:hAnsi="Calibri" w:cs="Calibri"/>
          <w:sz w:val="18"/>
          <w:szCs w:val="18"/>
          <w:lang w:val="en-GB"/>
        </w:rPr>
        <w:t>2</w:t>
      </w:r>
      <w:r w:rsidRPr="001A7411">
        <w:rPr>
          <w:rFonts w:ascii="Calibri" w:hAnsi="Calibri" w:cs="Calibri"/>
          <w:sz w:val="18"/>
          <w:szCs w:val="18"/>
          <w:lang w:val="en-GB"/>
        </w:rPr>
        <w:t>.</w:t>
      </w:r>
    </w:p>
  </w:footnote>
  <w:footnote w:id="2">
    <w:p w14:paraId="60CD0C42" w14:textId="11112E3E" w:rsidR="00AC6BF1" w:rsidRPr="008255D5" w:rsidRDefault="00AC6BF1" w:rsidP="005E1D16">
      <w:pPr>
        <w:rPr>
          <w:rFonts w:ascii="Calibri" w:hAnsi="Calibri" w:cs="Calibri"/>
          <w:sz w:val="18"/>
          <w:szCs w:val="18"/>
        </w:rPr>
      </w:pPr>
      <w:r w:rsidRPr="00826883">
        <w:rPr>
          <w:rStyle w:val="FootnoteReference"/>
          <w:rFonts w:ascii="Calibri" w:hAnsi="Calibri" w:cs="Calibri"/>
          <w:sz w:val="18"/>
          <w:szCs w:val="18"/>
        </w:rPr>
        <w:footnoteRef/>
      </w:r>
      <w:r w:rsidRPr="00826883">
        <w:rPr>
          <w:rFonts w:ascii="Calibri" w:hAnsi="Calibri" w:cs="Calibri"/>
          <w:sz w:val="18"/>
          <w:szCs w:val="18"/>
        </w:rPr>
        <w:t xml:space="preserve"> </w:t>
      </w:r>
      <w:r w:rsidRPr="008255D5">
        <w:rPr>
          <w:rFonts w:ascii="Calibri" w:hAnsi="Calibri" w:cs="Calibri"/>
          <w:sz w:val="18"/>
          <w:szCs w:val="18"/>
          <w:lang w:val="en-GB"/>
        </w:rPr>
        <w:t>Morton, Christopher. ‘</w:t>
      </w:r>
      <w:r w:rsidRPr="008255D5">
        <w:rPr>
          <w:rFonts w:ascii="Calibri" w:hAnsi="Calibri" w:cs="Calibri"/>
          <w:sz w:val="18"/>
          <w:szCs w:val="18"/>
        </w:rPr>
        <w:t xml:space="preserve">Evans-Pritchard And Malinowski: The Roots </w:t>
      </w:r>
      <w:proofErr w:type="gramStart"/>
      <w:r w:rsidRPr="008255D5">
        <w:rPr>
          <w:rFonts w:ascii="Calibri" w:hAnsi="Calibri" w:cs="Calibri"/>
          <w:sz w:val="18"/>
          <w:szCs w:val="18"/>
        </w:rPr>
        <w:t>Of</w:t>
      </w:r>
      <w:proofErr w:type="gramEnd"/>
      <w:r w:rsidRPr="008255D5">
        <w:rPr>
          <w:rFonts w:ascii="Calibri" w:hAnsi="Calibri" w:cs="Calibri"/>
          <w:sz w:val="18"/>
          <w:szCs w:val="18"/>
        </w:rPr>
        <w:t xml:space="preserve"> A Complex Relationship.’ </w:t>
      </w:r>
      <w:r w:rsidRPr="008255D5">
        <w:rPr>
          <w:rFonts w:ascii="Calibri" w:hAnsi="Calibri" w:cs="Calibri"/>
          <w:i/>
          <w:iCs/>
          <w:sz w:val="18"/>
          <w:szCs w:val="18"/>
        </w:rPr>
        <w:t>History of Anthropology Newsletter,</w:t>
      </w:r>
      <w:r w:rsidRPr="008255D5">
        <w:rPr>
          <w:rFonts w:ascii="Calibri" w:hAnsi="Calibri" w:cs="Calibri"/>
          <w:sz w:val="18"/>
          <w:szCs w:val="18"/>
        </w:rPr>
        <w:t xml:space="preserve"> vol. 34, issue 2, 2007, pp. 12</w:t>
      </w:r>
      <w:r w:rsidRPr="008255D5">
        <w:rPr>
          <w:rFonts w:ascii="Calibri" w:hAnsi="Calibri" w:cs="Calibri"/>
          <w:sz w:val="18"/>
          <w:szCs w:val="18"/>
        </w:rPr>
        <w:softHyphen/>
      </w:r>
      <w:r w:rsidRPr="008255D5">
        <w:rPr>
          <w:rFonts w:ascii="Calibri" w:hAnsi="Calibri" w:cs="Calibri"/>
          <w:sz w:val="18"/>
          <w:szCs w:val="18"/>
        </w:rPr>
        <w:softHyphen/>
      </w:r>
      <w:r w:rsidRPr="008255D5">
        <w:rPr>
          <w:rFonts w:ascii="Calibri" w:hAnsi="Calibri" w:cs="Calibri"/>
          <w:sz w:val="18"/>
          <w:szCs w:val="18"/>
        </w:rPr>
        <w:softHyphen/>
      </w:r>
      <w:r w:rsidRPr="008255D5">
        <w:rPr>
          <w:rFonts w:ascii="Calibri" w:hAnsi="Calibri" w:cs="Calibri"/>
          <w:sz w:val="18"/>
          <w:szCs w:val="18"/>
        </w:rPr>
        <w:softHyphen/>
      </w:r>
      <w:r w:rsidRPr="008255D5">
        <w:rPr>
          <w:rFonts w:ascii="Calibri" w:hAnsi="Calibri" w:cs="Calibri"/>
          <w:sz w:val="18"/>
          <w:szCs w:val="18"/>
        </w:rPr>
        <w:softHyphen/>
        <w:t xml:space="preserve">–13., https://repository.upenn.edu/cgi/viewcontent.cgi?article=1770&amp;context=han. </w:t>
      </w:r>
    </w:p>
  </w:footnote>
  <w:footnote w:id="3">
    <w:p w14:paraId="4688EF18" w14:textId="1DA8C118" w:rsidR="00476C12" w:rsidRPr="008255D5" w:rsidRDefault="00476C12" w:rsidP="00476C12">
      <w:pPr>
        <w:pStyle w:val="FootnoteText"/>
        <w:rPr>
          <w:rFonts w:ascii="Calibri" w:hAnsi="Calibri" w:cs="Calibri"/>
          <w:sz w:val="18"/>
          <w:szCs w:val="18"/>
        </w:rPr>
      </w:pPr>
      <w:r w:rsidRPr="008255D5">
        <w:rPr>
          <w:rStyle w:val="FootnoteReference"/>
          <w:rFonts w:ascii="Calibri" w:hAnsi="Calibri" w:cs="Calibri"/>
          <w:sz w:val="18"/>
          <w:szCs w:val="18"/>
        </w:rPr>
        <w:footnoteRef/>
      </w:r>
      <w:r w:rsidRPr="008255D5">
        <w:rPr>
          <w:rFonts w:ascii="Calibri" w:hAnsi="Calibri" w:cs="Calibri"/>
          <w:sz w:val="18"/>
          <w:szCs w:val="18"/>
        </w:rPr>
        <w:t xml:space="preserve"> Gillies</w:t>
      </w:r>
      <w:r w:rsidRPr="004400A6">
        <w:rPr>
          <w:rFonts w:ascii="Calibri" w:hAnsi="Calibri" w:cs="Calibri"/>
          <w:sz w:val="18"/>
          <w:szCs w:val="18"/>
        </w:rPr>
        <w:t xml:space="preserve">, </w:t>
      </w:r>
      <w:r w:rsidRPr="008255D5">
        <w:rPr>
          <w:rFonts w:ascii="Calibri" w:hAnsi="Calibri" w:cs="Calibri"/>
          <w:sz w:val="18"/>
          <w:szCs w:val="18"/>
        </w:rPr>
        <w:t>Eva</w:t>
      </w:r>
      <w:r w:rsidRPr="004400A6">
        <w:rPr>
          <w:rFonts w:ascii="Calibri" w:hAnsi="Calibri" w:cs="Calibri"/>
          <w:sz w:val="18"/>
          <w:szCs w:val="18"/>
        </w:rPr>
        <w:t>. 19</w:t>
      </w:r>
      <w:r w:rsidRPr="008255D5">
        <w:rPr>
          <w:rFonts w:ascii="Calibri" w:hAnsi="Calibri" w:cs="Calibri"/>
          <w:sz w:val="18"/>
          <w:szCs w:val="18"/>
        </w:rPr>
        <w:t>76</w:t>
      </w:r>
      <w:r w:rsidRPr="004400A6">
        <w:rPr>
          <w:rFonts w:ascii="Calibri" w:hAnsi="Calibri" w:cs="Calibri"/>
          <w:sz w:val="18"/>
          <w:szCs w:val="18"/>
        </w:rPr>
        <w:t xml:space="preserve">. Foreword. In: </w:t>
      </w:r>
      <w:r w:rsidRPr="008255D5">
        <w:rPr>
          <w:rFonts w:ascii="Calibri" w:hAnsi="Calibri" w:cs="Calibri"/>
          <w:sz w:val="18"/>
          <w:szCs w:val="18"/>
        </w:rPr>
        <w:t>Evans-Pritchard</w:t>
      </w:r>
      <w:r w:rsidRPr="004400A6">
        <w:rPr>
          <w:rFonts w:ascii="Calibri" w:hAnsi="Calibri" w:cs="Calibri"/>
          <w:sz w:val="18"/>
          <w:szCs w:val="18"/>
        </w:rPr>
        <w:t xml:space="preserve">, </w:t>
      </w:r>
      <w:r w:rsidRPr="008255D5">
        <w:rPr>
          <w:rFonts w:ascii="Calibri" w:hAnsi="Calibri" w:cs="Calibri"/>
          <w:sz w:val="18"/>
          <w:szCs w:val="18"/>
        </w:rPr>
        <w:t>E.E.</w:t>
      </w:r>
      <w:r w:rsidRPr="004400A6">
        <w:rPr>
          <w:rFonts w:ascii="Calibri" w:hAnsi="Calibri" w:cs="Calibri"/>
          <w:sz w:val="18"/>
          <w:szCs w:val="18"/>
        </w:rPr>
        <w:t> </w:t>
      </w:r>
      <w:r w:rsidRPr="008255D5">
        <w:rPr>
          <w:rFonts w:ascii="Calibri" w:hAnsi="Calibri" w:cs="Calibri"/>
          <w:i/>
          <w:iCs/>
          <w:sz w:val="18"/>
          <w:szCs w:val="18"/>
        </w:rPr>
        <w:t xml:space="preserve">Witchcraft, Oracles, And Magic Among </w:t>
      </w:r>
      <w:proofErr w:type="gramStart"/>
      <w:r w:rsidRPr="008255D5">
        <w:rPr>
          <w:rFonts w:ascii="Calibri" w:hAnsi="Calibri" w:cs="Calibri"/>
          <w:i/>
          <w:iCs/>
          <w:sz w:val="18"/>
          <w:szCs w:val="18"/>
        </w:rPr>
        <w:t>The</w:t>
      </w:r>
      <w:proofErr w:type="gramEnd"/>
      <w:r w:rsidRPr="008255D5">
        <w:rPr>
          <w:rFonts w:ascii="Calibri" w:hAnsi="Calibri" w:cs="Calibri"/>
          <w:i/>
          <w:iCs/>
          <w:sz w:val="18"/>
          <w:szCs w:val="18"/>
        </w:rPr>
        <w:t xml:space="preserve"> Azande</w:t>
      </w:r>
      <w:r w:rsidRPr="008255D5">
        <w:rPr>
          <w:rFonts w:ascii="Calibri" w:hAnsi="Calibri" w:cs="Calibri"/>
          <w:sz w:val="18"/>
          <w:szCs w:val="18"/>
        </w:rPr>
        <w:t>, (Oxford: Clarendon Press, 1976)</w:t>
      </w:r>
      <w:r w:rsidRPr="004400A6">
        <w:rPr>
          <w:rFonts w:ascii="Calibri" w:hAnsi="Calibri" w:cs="Calibri"/>
          <w:sz w:val="18"/>
          <w:szCs w:val="18"/>
        </w:rPr>
        <w:t xml:space="preserve">, </w:t>
      </w:r>
      <w:r w:rsidRPr="008255D5">
        <w:rPr>
          <w:rFonts w:ascii="Calibri" w:hAnsi="Calibri" w:cs="Calibri"/>
          <w:sz w:val="18"/>
          <w:szCs w:val="18"/>
        </w:rPr>
        <w:t>xx</w:t>
      </w:r>
      <w:r w:rsidRPr="008255D5">
        <w:rPr>
          <w:rFonts w:ascii="Calibri" w:hAnsi="Calibri" w:cs="Calibri"/>
          <w:sz w:val="18"/>
          <w:szCs w:val="18"/>
        </w:rPr>
        <w:t>–xxi</w:t>
      </w:r>
      <w:r w:rsidRPr="004400A6">
        <w:rPr>
          <w:rFonts w:ascii="Calibri" w:hAnsi="Calibri" w:cs="Calibri"/>
          <w:sz w:val="18"/>
          <w:szCs w:val="18"/>
        </w:rPr>
        <w:t>.</w:t>
      </w:r>
    </w:p>
  </w:footnote>
  <w:footnote w:id="4">
    <w:p w14:paraId="02445E51" w14:textId="49039E13" w:rsidR="008255D5" w:rsidRPr="00696A1D" w:rsidRDefault="008255D5">
      <w:pPr>
        <w:pStyle w:val="FootnoteText"/>
        <w:rPr>
          <w:rFonts w:ascii="Calibri" w:hAnsi="Calibri" w:cs="Calibri"/>
          <w:sz w:val="18"/>
          <w:szCs w:val="18"/>
        </w:rPr>
      </w:pPr>
      <w:r w:rsidRPr="008255D5">
        <w:rPr>
          <w:rStyle w:val="FootnoteReference"/>
          <w:rFonts w:ascii="Calibri" w:hAnsi="Calibri" w:cs="Calibri"/>
          <w:sz w:val="18"/>
          <w:szCs w:val="18"/>
        </w:rPr>
        <w:footnoteRef/>
      </w:r>
      <w:r w:rsidRPr="008255D5">
        <w:rPr>
          <w:rFonts w:ascii="Calibri" w:hAnsi="Calibri" w:cs="Calibri"/>
          <w:sz w:val="18"/>
          <w:szCs w:val="18"/>
        </w:rPr>
        <w:t xml:space="preserve"> Gillies, xxi.</w:t>
      </w:r>
    </w:p>
  </w:footnote>
  <w:footnote w:id="5">
    <w:p w14:paraId="5841DE91" w14:textId="73EA24FB" w:rsidR="005E1D16" w:rsidRPr="00696A1D" w:rsidRDefault="005E1D16">
      <w:pPr>
        <w:pStyle w:val="FootnoteText"/>
        <w:rPr>
          <w:rFonts w:ascii="Calibri" w:hAnsi="Calibri" w:cs="Calibri"/>
          <w:sz w:val="18"/>
          <w:szCs w:val="18"/>
        </w:rPr>
      </w:pPr>
      <w:r w:rsidRPr="00696A1D">
        <w:rPr>
          <w:rStyle w:val="FootnoteReference"/>
          <w:rFonts w:ascii="Calibri" w:hAnsi="Calibri" w:cs="Calibri"/>
          <w:sz w:val="18"/>
          <w:szCs w:val="18"/>
        </w:rPr>
        <w:footnoteRef/>
      </w:r>
      <w:r w:rsidRPr="00696A1D">
        <w:rPr>
          <w:rFonts w:ascii="Calibri" w:hAnsi="Calibri" w:cs="Calibri"/>
          <w:sz w:val="18"/>
          <w:szCs w:val="18"/>
        </w:rPr>
        <w:t xml:space="preserve"> ‘Strangers Abroad: Episode</w:t>
      </w:r>
      <w:r w:rsidRPr="00696A1D">
        <w:rPr>
          <w:rFonts w:ascii="Calibri" w:hAnsi="Calibri" w:cs="Calibri"/>
          <w:i/>
          <w:iCs/>
          <w:sz w:val="18"/>
          <w:szCs w:val="18"/>
        </w:rPr>
        <w:t xml:space="preserve"> </w:t>
      </w:r>
      <w:r w:rsidRPr="00696A1D">
        <w:rPr>
          <w:rFonts w:ascii="Calibri" w:hAnsi="Calibri" w:cs="Calibri"/>
          <w:sz w:val="18"/>
          <w:szCs w:val="18"/>
        </w:rPr>
        <w:t>6’,</w:t>
      </w:r>
      <w:r w:rsidRPr="00696A1D">
        <w:rPr>
          <w:rFonts w:ascii="Calibri" w:hAnsi="Calibri" w:cs="Calibri"/>
          <w:i/>
          <w:iCs/>
          <w:sz w:val="18"/>
          <w:szCs w:val="18"/>
        </w:rPr>
        <w:t xml:space="preserve"> </w:t>
      </w:r>
      <w:r w:rsidRPr="00696A1D">
        <w:rPr>
          <w:rFonts w:ascii="Calibri" w:hAnsi="Calibri" w:cs="Calibri"/>
          <w:i/>
          <w:iCs/>
          <w:sz w:val="18"/>
          <w:szCs w:val="18"/>
        </w:rPr>
        <w:t>Strange Beliefs</w:t>
      </w:r>
      <w:r w:rsidRPr="00696A1D">
        <w:rPr>
          <w:rFonts w:ascii="Calibri" w:hAnsi="Calibri" w:cs="Calibri"/>
          <w:sz w:val="18"/>
          <w:szCs w:val="18"/>
        </w:rPr>
        <w:t xml:space="preserve">, BBC, 1990. </w:t>
      </w:r>
      <w:r w:rsidRPr="00696A1D">
        <w:rPr>
          <w:rFonts w:ascii="Calibri" w:hAnsi="Calibri" w:cs="Calibri"/>
          <w:sz w:val="18"/>
          <w:szCs w:val="18"/>
        </w:rPr>
        <w:t>https://youtu.be/8q9HyONL_10</w:t>
      </w:r>
      <w:r w:rsidRPr="00696A1D">
        <w:rPr>
          <w:rFonts w:ascii="Calibri" w:hAnsi="Calibri" w:cs="Calibri"/>
          <w:sz w:val="18"/>
          <w:szCs w:val="18"/>
        </w:rPr>
        <w:t xml:space="preserve">. </w:t>
      </w:r>
    </w:p>
  </w:footnote>
  <w:footnote w:id="6">
    <w:p w14:paraId="67654500" w14:textId="0113E94F" w:rsidR="004349D7" w:rsidRPr="00210102" w:rsidRDefault="004349D7" w:rsidP="004349D7">
      <w:pPr>
        <w:pStyle w:val="FootnoteText"/>
        <w:rPr>
          <w:rFonts w:ascii="Calibri" w:hAnsi="Calibri" w:cs="Calibri"/>
          <w:sz w:val="18"/>
          <w:szCs w:val="18"/>
          <w:lang w:val="en-GB"/>
        </w:rPr>
      </w:pPr>
      <w:r w:rsidRPr="00696A1D">
        <w:rPr>
          <w:rStyle w:val="FootnoteReference"/>
          <w:rFonts w:ascii="Calibri" w:hAnsi="Calibri" w:cs="Calibri"/>
          <w:sz w:val="18"/>
          <w:szCs w:val="18"/>
        </w:rPr>
        <w:footnoteRef/>
      </w:r>
      <w:r w:rsidRPr="00696A1D">
        <w:rPr>
          <w:rFonts w:ascii="Calibri" w:hAnsi="Calibri" w:cs="Calibri"/>
          <w:sz w:val="18"/>
          <w:szCs w:val="18"/>
        </w:rPr>
        <w:t xml:space="preserve"> </w:t>
      </w:r>
      <w:proofErr w:type="spellStart"/>
      <w:r w:rsidRPr="00B66FAF">
        <w:rPr>
          <w:rFonts w:ascii="Calibri" w:hAnsi="Calibri" w:cs="Calibri"/>
          <w:sz w:val="18"/>
          <w:szCs w:val="18"/>
          <w:lang w:val="en-GB"/>
        </w:rPr>
        <w:t>Werbner</w:t>
      </w:r>
      <w:proofErr w:type="spellEnd"/>
      <w:r w:rsidRPr="00B66FAF">
        <w:rPr>
          <w:rFonts w:ascii="Calibri" w:hAnsi="Calibri" w:cs="Calibri"/>
          <w:sz w:val="18"/>
          <w:szCs w:val="18"/>
          <w:lang w:val="en-GB"/>
        </w:rPr>
        <w:t xml:space="preserve">, Richard. </w:t>
      </w:r>
      <w:r w:rsidRPr="00696A1D">
        <w:rPr>
          <w:rFonts w:ascii="Calibri" w:hAnsi="Calibri" w:cs="Calibri"/>
          <w:sz w:val="18"/>
          <w:szCs w:val="18"/>
          <w:lang w:val="en-GB"/>
        </w:rPr>
        <w:t>‘T</w:t>
      </w:r>
      <w:r w:rsidRPr="00B66FAF">
        <w:rPr>
          <w:rFonts w:ascii="Calibri" w:hAnsi="Calibri" w:cs="Calibri"/>
          <w:sz w:val="18"/>
          <w:szCs w:val="18"/>
          <w:lang w:val="en-GB"/>
        </w:rPr>
        <w:t xml:space="preserve">he Opposite </w:t>
      </w:r>
      <w:proofErr w:type="gramStart"/>
      <w:r w:rsidRPr="00696A1D">
        <w:rPr>
          <w:rFonts w:ascii="Calibri" w:hAnsi="Calibri" w:cs="Calibri"/>
          <w:sz w:val="18"/>
          <w:szCs w:val="18"/>
          <w:lang w:val="en-GB"/>
        </w:rPr>
        <w:t>O</w:t>
      </w:r>
      <w:r w:rsidRPr="00B66FAF">
        <w:rPr>
          <w:rFonts w:ascii="Calibri" w:hAnsi="Calibri" w:cs="Calibri"/>
          <w:sz w:val="18"/>
          <w:szCs w:val="18"/>
          <w:lang w:val="en-GB"/>
        </w:rPr>
        <w:t>f</w:t>
      </w:r>
      <w:proofErr w:type="gramEnd"/>
      <w:r w:rsidRPr="00B66FAF">
        <w:rPr>
          <w:rFonts w:ascii="Calibri" w:hAnsi="Calibri" w:cs="Calibri"/>
          <w:sz w:val="18"/>
          <w:szCs w:val="18"/>
          <w:lang w:val="en-GB"/>
        </w:rPr>
        <w:t xml:space="preserve"> Evans-Pritchard.</w:t>
      </w:r>
      <w:r w:rsidRPr="00696A1D">
        <w:rPr>
          <w:rFonts w:ascii="Calibri" w:hAnsi="Calibri" w:cs="Calibri"/>
          <w:sz w:val="18"/>
          <w:szCs w:val="18"/>
          <w:lang w:val="en-GB"/>
        </w:rPr>
        <w:t>’</w:t>
      </w:r>
      <w:r w:rsidRPr="00B66FAF">
        <w:rPr>
          <w:rFonts w:ascii="Calibri" w:hAnsi="Calibri" w:cs="Calibri"/>
          <w:sz w:val="18"/>
          <w:szCs w:val="18"/>
          <w:lang w:val="en-GB"/>
        </w:rPr>
        <w:t> </w:t>
      </w:r>
      <w:r w:rsidRPr="00B66FAF">
        <w:rPr>
          <w:rFonts w:ascii="Calibri" w:hAnsi="Calibri" w:cs="Calibri"/>
          <w:i/>
          <w:iCs/>
          <w:sz w:val="18"/>
          <w:szCs w:val="18"/>
          <w:lang w:val="en-GB"/>
        </w:rPr>
        <w:t>The Journal of the Royal Anthropological Institute</w:t>
      </w:r>
      <w:r w:rsidRPr="00B66FAF">
        <w:rPr>
          <w:rFonts w:ascii="Calibri" w:hAnsi="Calibri" w:cs="Calibri"/>
          <w:sz w:val="18"/>
          <w:szCs w:val="18"/>
          <w:lang w:val="en-GB"/>
        </w:rPr>
        <w:t>, vol. 19, no. 3, 2013, pp. 65</w:t>
      </w:r>
      <w:r w:rsidRPr="00696A1D">
        <w:rPr>
          <w:rFonts w:ascii="Calibri" w:hAnsi="Calibri" w:cs="Calibri"/>
          <w:sz w:val="18"/>
          <w:szCs w:val="18"/>
          <w:lang w:val="en-GB"/>
        </w:rPr>
        <w:t>2</w:t>
      </w:r>
      <w:r w:rsidRPr="00B66FAF">
        <w:rPr>
          <w:rFonts w:ascii="Calibri" w:hAnsi="Calibri" w:cs="Calibri"/>
          <w:sz w:val="18"/>
          <w:szCs w:val="18"/>
          <w:lang w:val="en-GB"/>
        </w:rPr>
        <w:t xml:space="preserve">., www.jstor.org/stable/42001644. </w:t>
      </w:r>
    </w:p>
  </w:footnote>
  <w:footnote w:id="7">
    <w:p w14:paraId="760A69B5" w14:textId="77777777" w:rsidR="00BC6A0E" w:rsidRPr="00D6649C" w:rsidRDefault="00BC6A0E" w:rsidP="00BC6A0E">
      <w:pPr>
        <w:pStyle w:val="FootnoteText"/>
        <w:rPr>
          <w:rFonts w:ascii="Calibri" w:hAnsi="Calibri" w:cs="Calibri"/>
          <w:sz w:val="18"/>
          <w:szCs w:val="18"/>
        </w:rPr>
      </w:pPr>
      <w:r w:rsidRPr="00C94CE2">
        <w:rPr>
          <w:rStyle w:val="FootnoteReference"/>
          <w:rFonts w:ascii="Calibri" w:hAnsi="Calibri" w:cs="Calibri"/>
          <w:sz w:val="18"/>
          <w:szCs w:val="18"/>
        </w:rPr>
        <w:footnoteRef/>
      </w:r>
      <w:r w:rsidRPr="00C94CE2">
        <w:rPr>
          <w:rFonts w:ascii="Calibri" w:hAnsi="Calibri" w:cs="Calibri"/>
          <w:sz w:val="18"/>
          <w:szCs w:val="18"/>
        </w:rPr>
        <w:t xml:space="preserve"> </w:t>
      </w:r>
      <w:r w:rsidRPr="00D6649C">
        <w:rPr>
          <w:rFonts w:ascii="Calibri" w:hAnsi="Calibri" w:cs="Calibri"/>
          <w:sz w:val="18"/>
          <w:szCs w:val="18"/>
        </w:rPr>
        <w:t>Morton, p. 13.</w:t>
      </w:r>
    </w:p>
  </w:footnote>
  <w:footnote w:id="8">
    <w:p w14:paraId="08863F31" w14:textId="3120BBF6" w:rsidR="00BC6A0E" w:rsidRPr="001A7411" w:rsidRDefault="00BC6A0E" w:rsidP="00BC6A0E">
      <w:pPr>
        <w:pStyle w:val="FootnoteText"/>
        <w:rPr>
          <w:rFonts w:ascii="Calibri" w:hAnsi="Calibri" w:cs="Calibri"/>
          <w:sz w:val="18"/>
          <w:szCs w:val="18"/>
          <w:lang w:val="en-GB"/>
        </w:rPr>
      </w:pPr>
      <w:r w:rsidRPr="00D6649C">
        <w:rPr>
          <w:rStyle w:val="FootnoteReference"/>
          <w:rFonts w:ascii="Calibri" w:hAnsi="Calibri" w:cs="Calibri"/>
          <w:sz w:val="18"/>
          <w:szCs w:val="18"/>
        </w:rPr>
        <w:footnoteRef/>
      </w:r>
      <w:r w:rsidRPr="00D6649C">
        <w:rPr>
          <w:rFonts w:ascii="Calibri" w:hAnsi="Calibri" w:cs="Calibri"/>
          <w:sz w:val="18"/>
          <w:szCs w:val="18"/>
        </w:rPr>
        <w:t xml:space="preserve"> </w:t>
      </w:r>
      <w:r w:rsidRPr="001A7411">
        <w:rPr>
          <w:rFonts w:ascii="Calibri" w:hAnsi="Calibri" w:cs="Calibri"/>
          <w:sz w:val="18"/>
          <w:szCs w:val="18"/>
          <w:lang w:val="en-GB"/>
        </w:rPr>
        <w:t xml:space="preserve">Evans-Pritchard, p. 243. </w:t>
      </w:r>
    </w:p>
  </w:footnote>
  <w:footnote w:id="9">
    <w:p w14:paraId="2E9F1D3F" w14:textId="02BCA7B6" w:rsidR="003D1BE4" w:rsidRPr="003D1BE4" w:rsidRDefault="003D1BE4">
      <w:pPr>
        <w:pStyle w:val="FootnoteText"/>
        <w:rPr>
          <w:rFonts w:ascii="Calibri" w:hAnsi="Calibri"/>
          <w:sz w:val="18"/>
          <w:szCs w:val="18"/>
        </w:rPr>
      </w:pPr>
      <w:r w:rsidRPr="003D1BE4">
        <w:rPr>
          <w:rStyle w:val="FootnoteReference"/>
          <w:rFonts w:ascii="Calibri" w:hAnsi="Calibri"/>
          <w:sz w:val="18"/>
          <w:szCs w:val="18"/>
        </w:rPr>
        <w:footnoteRef/>
      </w:r>
      <w:r w:rsidRPr="003D1BE4">
        <w:rPr>
          <w:rFonts w:ascii="Calibri" w:hAnsi="Calibri"/>
          <w:sz w:val="18"/>
          <w:szCs w:val="18"/>
        </w:rPr>
        <w:t xml:space="preserve"> </w:t>
      </w:r>
      <w:r w:rsidRPr="003D1BE4">
        <w:rPr>
          <w:rFonts w:ascii="Calibri" w:hAnsi="Calibri"/>
          <w:sz w:val="18"/>
          <w:szCs w:val="18"/>
        </w:rPr>
        <w:t xml:space="preserve">Evans-Pritchard, pp. </w:t>
      </w:r>
      <w:r w:rsidRPr="003D1BE4">
        <w:rPr>
          <w:rFonts w:ascii="Calibri" w:hAnsi="Calibri"/>
          <w:sz w:val="18"/>
          <w:szCs w:val="18"/>
        </w:rPr>
        <w:t>161–162</w:t>
      </w:r>
    </w:p>
  </w:footnote>
  <w:footnote w:id="10">
    <w:p w14:paraId="22883F86" w14:textId="159DBD2A" w:rsidR="000A1C66" w:rsidRPr="008B1E5F" w:rsidRDefault="000A1C66" w:rsidP="000A1C66">
      <w:pPr>
        <w:pStyle w:val="FootnoteText"/>
        <w:rPr>
          <w:rFonts w:ascii="Calibri" w:hAnsi="Calibri"/>
          <w:sz w:val="18"/>
          <w:szCs w:val="18"/>
        </w:rPr>
      </w:pPr>
      <w:r w:rsidRPr="008B1E5F">
        <w:rPr>
          <w:rStyle w:val="FootnoteReference"/>
          <w:rFonts w:ascii="Calibri" w:hAnsi="Calibri"/>
          <w:sz w:val="18"/>
          <w:szCs w:val="18"/>
        </w:rPr>
        <w:footnoteRef/>
      </w:r>
      <w:r w:rsidRPr="008B1E5F">
        <w:rPr>
          <w:rFonts w:ascii="Calibri" w:hAnsi="Calibri"/>
          <w:sz w:val="18"/>
          <w:szCs w:val="18"/>
        </w:rPr>
        <w:t xml:space="preserve"> </w:t>
      </w:r>
      <w:r w:rsidR="003D1BE4">
        <w:rPr>
          <w:rFonts w:ascii="Calibri" w:hAnsi="Calibri"/>
          <w:sz w:val="18"/>
          <w:szCs w:val="18"/>
        </w:rPr>
        <w:t>Ibid.</w:t>
      </w:r>
      <w:r w:rsidRPr="008B1E5F">
        <w:rPr>
          <w:rFonts w:ascii="Calibri" w:hAnsi="Calibri"/>
          <w:sz w:val="18"/>
          <w:szCs w:val="18"/>
        </w:rPr>
        <w:t>, pp. 25</w:t>
      </w:r>
    </w:p>
  </w:footnote>
  <w:footnote w:id="11">
    <w:p w14:paraId="494227D9" w14:textId="70EE4ADC" w:rsidR="008B1E5F" w:rsidRPr="001E550A" w:rsidRDefault="008B1E5F">
      <w:pPr>
        <w:pStyle w:val="FootnoteText"/>
        <w:rPr>
          <w:rFonts w:ascii="Calibri" w:hAnsi="Calibri"/>
          <w:sz w:val="18"/>
          <w:szCs w:val="18"/>
        </w:rPr>
      </w:pPr>
      <w:r w:rsidRPr="008B1E5F">
        <w:rPr>
          <w:rStyle w:val="FootnoteReference"/>
          <w:rFonts w:ascii="Calibri" w:hAnsi="Calibri"/>
          <w:sz w:val="18"/>
          <w:szCs w:val="18"/>
        </w:rPr>
        <w:footnoteRef/>
      </w:r>
      <w:r w:rsidRPr="003609DA">
        <w:rPr>
          <w:rFonts w:ascii="Calibri" w:hAnsi="Calibri"/>
          <w:sz w:val="18"/>
          <w:szCs w:val="18"/>
        </w:rPr>
        <w:t xml:space="preserve"> </w:t>
      </w:r>
      <w:r w:rsidR="003609DA" w:rsidRPr="003609DA">
        <w:rPr>
          <w:rFonts w:ascii="Calibri" w:hAnsi="Calibri"/>
          <w:sz w:val="18"/>
          <w:szCs w:val="18"/>
        </w:rPr>
        <w:t>Ibid.</w:t>
      </w:r>
      <w:r w:rsidRPr="003609DA">
        <w:rPr>
          <w:rFonts w:ascii="Calibri" w:hAnsi="Calibri"/>
          <w:sz w:val="18"/>
          <w:szCs w:val="18"/>
        </w:rPr>
        <w:t xml:space="preserve">, </w:t>
      </w:r>
      <w:r w:rsidRPr="001E550A">
        <w:rPr>
          <w:rFonts w:ascii="Calibri" w:hAnsi="Calibri"/>
          <w:sz w:val="18"/>
          <w:szCs w:val="18"/>
        </w:rPr>
        <w:t>pp. 25</w:t>
      </w:r>
      <w:r w:rsidRPr="001E550A">
        <w:rPr>
          <w:rFonts w:ascii="Calibri" w:hAnsi="Calibri"/>
          <w:sz w:val="18"/>
          <w:szCs w:val="18"/>
        </w:rPr>
        <w:t>-26</w:t>
      </w:r>
    </w:p>
  </w:footnote>
  <w:footnote w:id="12">
    <w:p w14:paraId="5036C2C8" w14:textId="0CEE77F6" w:rsidR="001E550A" w:rsidRDefault="001E550A">
      <w:pPr>
        <w:pStyle w:val="FootnoteText"/>
      </w:pPr>
      <w:r w:rsidRPr="001E550A">
        <w:rPr>
          <w:rStyle w:val="FootnoteReference"/>
          <w:rFonts w:ascii="Calibri" w:hAnsi="Calibri"/>
          <w:sz w:val="18"/>
          <w:szCs w:val="18"/>
        </w:rPr>
        <w:footnoteRef/>
      </w:r>
      <w:r w:rsidRPr="001E550A">
        <w:rPr>
          <w:rFonts w:ascii="Calibri" w:hAnsi="Calibri"/>
          <w:sz w:val="18"/>
          <w:szCs w:val="18"/>
        </w:rPr>
        <w:t xml:space="preserve"> </w:t>
      </w:r>
      <w:proofErr w:type="spellStart"/>
      <w:r w:rsidRPr="00D5592A">
        <w:rPr>
          <w:rFonts w:ascii="Calibri" w:hAnsi="Calibri"/>
          <w:sz w:val="18"/>
          <w:szCs w:val="18"/>
        </w:rPr>
        <w:t>L</w:t>
      </w:r>
      <w:r w:rsidRPr="001E550A">
        <w:rPr>
          <w:rFonts w:ascii="Calibri" w:hAnsi="Calibri"/>
          <w:sz w:val="18"/>
          <w:szCs w:val="18"/>
        </w:rPr>
        <w:t>ehoux</w:t>
      </w:r>
      <w:proofErr w:type="spellEnd"/>
      <w:r w:rsidRPr="00D5592A">
        <w:rPr>
          <w:rFonts w:ascii="Calibri" w:hAnsi="Calibri"/>
          <w:sz w:val="18"/>
          <w:szCs w:val="18"/>
        </w:rPr>
        <w:t xml:space="preserve">, </w:t>
      </w:r>
      <w:proofErr w:type="spellStart"/>
      <w:r w:rsidRPr="00D5592A">
        <w:rPr>
          <w:rFonts w:ascii="Calibri" w:hAnsi="Calibri"/>
          <w:sz w:val="18"/>
          <w:szCs w:val="18"/>
        </w:rPr>
        <w:t>D</w:t>
      </w:r>
      <w:r w:rsidRPr="001E550A">
        <w:rPr>
          <w:rFonts w:ascii="Calibri" w:hAnsi="Calibri"/>
          <w:sz w:val="18"/>
          <w:szCs w:val="18"/>
        </w:rPr>
        <w:t>aryn</w:t>
      </w:r>
      <w:proofErr w:type="spellEnd"/>
      <w:r w:rsidRPr="00D5592A">
        <w:rPr>
          <w:rFonts w:ascii="Calibri" w:hAnsi="Calibri"/>
          <w:sz w:val="18"/>
          <w:szCs w:val="18"/>
        </w:rPr>
        <w:t>. “Tomorrow's News Today: Astrology, Fate, and the Way Out.” </w:t>
      </w:r>
      <w:r w:rsidRPr="00D5592A">
        <w:rPr>
          <w:rFonts w:ascii="Calibri" w:hAnsi="Calibri"/>
          <w:i/>
          <w:iCs/>
          <w:sz w:val="18"/>
          <w:szCs w:val="18"/>
        </w:rPr>
        <w:t>Representations</w:t>
      </w:r>
      <w:r w:rsidRPr="00D5592A">
        <w:rPr>
          <w:rFonts w:ascii="Calibri" w:hAnsi="Calibri"/>
          <w:sz w:val="18"/>
          <w:szCs w:val="18"/>
        </w:rPr>
        <w:t xml:space="preserve">, vol. 95, no. 1, 2006, pp. </w:t>
      </w:r>
      <w:r w:rsidRPr="001E550A">
        <w:rPr>
          <w:rFonts w:ascii="Calibri" w:hAnsi="Calibri"/>
          <w:sz w:val="18"/>
          <w:szCs w:val="18"/>
        </w:rPr>
        <w:t>1</w:t>
      </w:r>
      <w:r w:rsidRPr="00D5592A">
        <w:rPr>
          <w:rFonts w:ascii="Calibri" w:hAnsi="Calibri"/>
          <w:sz w:val="18"/>
          <w:szCs w:val="18"/>
        </w:rPr>
        <w:t>. </w:t>
      </w:r>
      <w:r w:rsidRPr="00D5592A">
        <w:rPr>
          <w:rFonts w:ascii="Calibri" w:hAnsi="Calibri"/>
          <w:i/>
          <w:iCs/>
          <w:sz w:val="18"/>
          <w:szCs w:val="18"/>
        </w:rPr>
        <w:t>JSTOR</w:t>
      </w:r>
      <w:r w:rsidRPr="00D5592A">
        <w:rPr>
          <w:rFonts w:ascii="Calibri" w:hAnsi="Calibri"/>
          <w:sz w:val="18"/>
          <w:szCs w:val="18"/>
        </w:rPr>
        <w:t>, www.jstor.org/stable/10.1525/rep.2006.95.1.105.</w:t>
      </w:r>
      <w:r w:rsidRPr="00D5592A">
        <w:t xml:space="preserve"> </w:t>
      </w:r>
    </w:p>
  </w:footnote>
  <w:footnote w:id="13">
    <w:p w14:paraId="2132E6C9" w14:textId="77777777" w:rsidR="00BC6A0E" w:rsidRPr="00290FFB" w:rsidRDefault="00BC6A0E" w:rsidP="00BC6A0E">
      <w:pPr>
        <w:pStyle w:val="FootnoteText"/>
        <w:rPr>
          <w:rFonts w:ascii="Calibri" w:hAnsi="Calibri" w:cs="Calibri"/>
          <w:sz w:val="18"/>
          <w:szCs w:val="18"/>
        </w:rPr>
      </w:pPr>
      <w:r w:rsidRPr="001A7411">
        <w:rPr>
          <w:rStyle w:val="FootnoteReference"/>
          <w:rFonts w:ascii="Calibri" w:hAnsi="Calibri" w:cs="Calibri"/>
          <w:sz w:val="18"/>
          <w:szCs w:val="18"/>
        </w:rPr>
        <w:footnoteRef/>
      </w:r>
      <w:r w:rsidRPr="001A7411">
        <w:rPr>
          <w:rFonts w:ascii="Calibri" w:hAnsi="Calibri" w:cs="Calibri"/>
          <w:sz w:val="18"/>
          <w:szCs w:val="18"/>
        </w:rPr>
        <w:t xml:space="preserve"> </w:t>
      </w:r>
      <w:proofErr w:type="spellStart"/>
      <w:r w:rsidRPr="00C55A9D">
        <w:rPr>
          <w:rFonts w:ascii="Calibri" w:hAnsi="Calibri" w:cs="Calibri"/>
          <w:sz w:val="18"/>
          <w:szCs w:val="18"/>
        </w:rPr>
        <w:t>Elorah</w:t>
      </w:r>
      <w:proofErr w:type="spellEnd"/>
      <w:r w:rsidRPr="00C55A9D">
        <w:rPr>
          <w:rFonts w:ascii="Calibri" w:hAnsi="Calibri" w:cs="Calibri"/>
          <w:sz w:val="18"/>
          <w:szCs w:val="18"/>
        </w:rPr>
        <w:t xml:space="preserve"> </w:t>
      </w:r>
      <w:proofErr w:type="spellStart"/>
      <w:r w:rsidRPr="00C55A9D">
        <w:rPr>
          <w:rFonts w:ascii="Calibri" w:hAnsi="Calibri" w:cs="Calibri"/>
          <w:sz w:val="18"/>
          <w:szCs w:val="18"/>
        </w:rPr>
        <w:t>Fangrad</w:t>
      </w:r>
      <w:proofErr w:type="spellEnd"/>
      <w:r w:rsidRPr="00C55A9D">
        <w:rPr>
          <w:rFonts w:ascii="Calibri" w:hAnsi="Calibri" w:cs="Calibri"/>
          <w:sz w:val="18"/>
          <w:szCs w:val="18"/>
        </w:rPr>
        <w:t xml:space="preserve">, Rick Fehr and Christopher </w:t>
      </w:r>
      <w:proofErr w:type="spellStart"/>
      <w:r w:rsidRPr="00C55A9D">
        <w:rPr>
          <w:rFonts w:ascii="Calibri" w:hAnsi="Calibri" w:cs="Calibri"/>
          <w:sz w:val="18"/>
          <w:szCs w:val="18"/>
        </w:rPr>
        <w:t>Laursen</w:t>
      </w:r>
      <w:proofErr w:type="spellEnd"/>
      <w:r w:rsidRPr="00C55A9D">
        <w:rPr>
          <w:rFonts w:ascii="Calibri" w:hAnsi="Calibri" w:cs="Calibri"/>
          <w:sz w:val="18"/>
          <w:szCs w:val="18"/>
        </w:rPr>
        <w:t xml:space="preserve">, ‘Psychic Naturalism’, in </w:t>
      </w:r>
      <w:r w:rsidRPr="00C55A9D">
        <w:rPr>
          <w:rFonts w:ascii="Calibri" w:hAnsi="Calibri" w:cs="Calibri"/>
          <w:i/>
          <w:iCs/>
          <w:sz w:val="18"/>
          <w:szCs w:val="18"/>
        </w:rPr>
        <w:t xml:space="preserve">Greening </w:t>
      </w:r>
      <w:proofErr w:type="gramStart"/>
      <w:r w:rsidRPr="00C55A9D">
        <w:rPr>
          <w:rFonts w:ascii="Calibri" w:hAnsi="Calibri" w:cs="Calibri"/>
          <w:i/>
          <w:iCs/>
          <w:sz w:val="18"/>
          <w:szCs w:val="18"/>
        </w:rPr>
        <w:t>The</w:t>
      </w:r>
      <w:proofErr w:type="gramEnd"/>
      <w:r w:rsidRPr="00C55A9D">
        <w:rPr>
          <w:rFonts w:ascii="Calibri" w:hAnsi="Calibri" w:cs="Calibri"/>
          <w:i/>
          <w:iCs/>
          <w:sz w:val="18"/>
          <w:szCs w:val="18"/>
        </w:rPr>
        <w:t xml:space="preserve"> Paranormal: Exploring The Ecology </w:t>
      </w:r>
      <w:r w:rsidRPr="001A7411">
        <w:rPr>
          <w:rFonts w:ascii="Calibri" w:hAnsi="Calibri" w:cs="Calibri"/>
          <w:i/>
          <w:iCs/>
          <w:sz w:val="18"/>
          <w:szCs w:val="18"/>
        </w:rPr>
        <w:t>O</w:t>
      </w:r>
      <w:r w:rsidRPr="00C55A9D">
        <w:rPr>
          <w:rFonts w:ascii="Calibri" w:hAnsi="Calibri" w:cs="Calibri"/>
          <w:i/>
          <w:iCs/>
          <w:sz w:val="18"/>
          <w:szCs w:val="18"/>
        </w:rPr>
        <w:t>f Extraordinary Experience</w:t>
      </w:r>
      <w:r w:rsidRPr="00C55A9D">
        <w:rPr>
          <w:rFonts w:ascii="Calibri" w:hAnsi="Calibri" w:cs="Calibri"/>
          <w:sz w:val="18"/>
          <w:szCs w:val="18"/>
        </w:rPr>
        <w:t>, ed. by Jack Hunter (United States of America and the United Kingdom: August Night Press, 2019), pp. 2</w:t>
      </w:r>
      <w:r>
        <w:rPr>
          <w:rFonts w:ascii="Calibri" w:hAnsi="Calibri" w:cs="Calibri"/>
          <w:sz w:val="18"/>
          <w:szCs w:val="18"/>
        </w:rPr>
        <w:t>46</w:t>
      </w:r>
      <w:r w:rsidRPr="001A7411">
        <w:rPr>
          <w:rFonts w:ascii="Calibri" w:hAnsi="Calibri" w:cs="Calibri"/>
          <w:sz w:val="18"/>
          <w:szCs w:val="18"/>
        </w:rPr>
        <w:t>.</w:t>
      </w:r>
    </w:p>
  </w:footnote>
  <w:footnote w:id="14">
    <w:p w14:paraId="38CC7866" w14:textId="77777777" w:rsidR="00BC6A0E" w:rsidRPr="0003764B" w:rsidRDefault="00BC6A0E" w:rsidP="00BC6A0E">
      <w:pPr>
        <w:pStyle w:val="FootnoteText"/>
        <w:rPr>
          <w:rFonts w:ascii="Calibri" w:hAnsi="Calibri" w:cs="Calibri"/>
          <w:sz w:val="18"/>
          <w:szCs w:val="18"/>
        </w:rPr>
      </w:pPr>
      <w:r w:rsidRPr="004F7E49">
        <w:rPr>
          <w:rStyle w:val="FootnoteReference"/>
          <w:rFonts w:ascii="Calibri" w:hAnsi="Calibri" w:cs="Calibri"/>
          <w:sz w:val="18"/>
          <w:szCs w:val="18"/>
        </w:rPr>
        <w:footnoteRef/>
      </w:r>
      <w:r w:rsidRPr="004F7E49">
        <w:rPr>
          <w:rFonts w:ascii="Calibri" w:hAnsi="Calibri" w:cs="Calibri"/>
          <w:sz w:val="18"/>
          <w:szCs w:val="18"/>
        </w:rPr>
        <w:t xml:space="preserve"> </w:t>
      </w:r>
      <w:proofErr w:type="spellStart"/>
      <w:r w:rsidRPr="0003764B">
        <w:rPr>
          <w:rFonts w:ascii="Calibri" w:hAnsi="Calibri" w:cs="Calibri"/>
          <w:sz w:val="18"/>
          <w:szCs w:val="18"/>
        </w:rPr>
        <w:t>Fangrad</w:t>
      </w:r>
      <w:proofErr w:type="spellEnd"/>
      <w:r w:rsidRPr="0003764B">
        <w:rPr>
          <w:rFonts w:ascii="Calibri" w:hAnsi="Calibri" w:cs="Calibri"/>
          <w:sz w:val="18"/>
          <w:szCs w:val="18"/>
        </w:rPr>
        <w:t>, et al. pp. 247</w:t>
      </w:r>
    </w:p>
  </w:footnote>
  <w:footnote w:id="15">
    <w:p w14:paraId="6600A564" w14:textId="5CC334C2" w:rsidR="0003764B" w:rsidRDefault="0003764B">
      <w:pPr>
        <w:pStyle w:val="FootnoteText"/>
      </w:pPr>
      <w:r w:rsidRPr="0003764B">
        <w:rPr>
          <w:rStyle w:val="FootnoteReference"/>
          <w:rFonts w:ascii="Calibri" w:hAnsi="Calibri"/>
          <w:sz w:val="18"/>
          <w:szCs w:val="18"/>
        </w:rPr>
        <w:footnoteRef/>
      </w:r>
      <w:r w:rsidRPr="0003764B">
        <w:rPr>
          <w:rFonts w:ascii="Calibri" w:hAnsi="Calibri"/>
          <w:sz w:val="18"/>
          <w:szCs w:val="18"/>
        </w:rPr>
        <w:t xml:space="preserve"> </w:t>
      </w:r>
      <w:r w:rsidRPr="0003764B">
        <w:rPr>
          <w:rFonts w:ascii="Calibri" w:hAnsi="Calibri" w:cs="Calibri"/>
          <w:sz w:val="18"/>
          <w:szCs w:val="18"/>
          <w:lang w:val="en-GB"/>
        </w:rPr>
        <w:t>Evans-Pritchard</w:t>
      </w:r>
      <w:r w:rsidRPr="00111CAD">
        <w:rPr>
          <w:rFonts w:ascii="Calibri" w:hAnsi="Calibri" w:cs="Calibri"/>
          <w:sz w:val="18"/>
          <w:szCs w:val="18"/>
          <w:lang w:val="en-GB"/>
        </w:rPr>
        <w:t xml:space="preserve">, pp. </w:t>
      </w:r>
      <w:r>
        <w:rPr>
          <w:rFonts w:ascii="Calibri" w:hAnsi="Calibri" w:cs="Calibri"/>
          <w:sz w:val="18"/>
          <w:szCs w:val="18"/>
          <w:lang w:val="en-GB"/>
        </w:rPr>
        <w:t>243</w:t>
      </w:r>
    </w:p>
  </w:footnote>
  <w:footnote w:id="16">
    <w:p w14:paraId="4DAD2D58" w14:textId="3271D4F7" w:rsidR="004F7E49" w:rsidRPr="00111CAD" w:rsidRDefault="004F7E49">
      <w:pPr>
        <w:pStyle w:val="FootnoteText"/>
        <w:rPr>
          <w:rFonts w:ascii="Calibri" w:hAnsi="Calibri" w:cs="Calibri"/>
          <w:sz w:val="18"/>
          <w:szCs w:val="18"/>
        </w:rPr>
      </w:pPr>
      <w:r w:rsidRPr="004F7E49">
        <w:rPr>
          <w:rStyle w:val="FootnoteReference"/>
          <w:rFonts w:ascii="Calibri" w:hAnsi="Calibri" w:cs="Calibri"/>
          <w:sz w:val="18"/>
          <w:szCs w:val="18"/>
        </w:rPr>
        <w:footnoteRef/>
      </w:r>
      <w:r w:rsidRPr="004F7E49">
        <w:rPr>
          <w:rFonts w:ascii="Calibri" w:hAnsi="Calibri" w:cs="Calibri"/>
          <w:sz w:val="18"/>
          <w:szCs w:val="18"/>
        </w:rPr>
        <w:t xml:space="preserve"> </w:t>
      </w:r>
      <w:r w:rsidR="0003764B">
        <w:rPr>
          <w:rFonts w:ascii="Calibri" w:hAnsi="Calibri" w:cs="Calibri"/>
          <w:sz w:val="18"/>
          <w:szCs w:val="18"/>
          <w:lang w:val="en-GB"/>
        </w:rPr>
        <w:t>Ibid.</w:t>
      </w:r>
      <w:r w:rsidRPr="00111CAD">
        <w:rPr>
          <w:rFonts w:ascii="Calibri" w:hAnsi="Calibri" w:cs="Calibri"/>
          <w:sz w:val="18"/>
          <w:szCs w:val="18"/>
          <w:lang w:val="en-GB"/>
        </w:rPr>
        <w:t xml:space="preserve">, pp. </w:t>
      </w:r>
      <w:r w:rsidRPr="00111CAD">
        <w:rPr>
          <w:rFonts w:ascii="Calibri" w:hAnsi="Calibri" w:cs="Calibri"/>
          <w:sz w:val="18"/>
          <w:szCs w:val="18"/>
          <w:lang w:val="en-GB"/>
        </w:rPr>
        <w:t>150</w:t>
      </w:r>
    </w:p>
  </w:footnote>
  <w:footnote w:id="17">
    <w:p w14:paraId="50EB3201" w14:textId="77777777" w:rsidR="00111CAD" w:rsidRDefault="00111CAD" w:rsidP="00111CAD">
      <w:pPr>
        <w:pStyle w:val="FootnoteText"/>
      </w:pPr>
      <w:r w:rsidRPr="00111CAD">
        <w:rPr>
          <w:rStyle w:val="FootnoteReference"/>
          <w:rFonts w:ascii="Calibri" w:hAnsi="Calibri" w:cs="Calibri"/>
          <w:sz w:val="18"/>
          <w:szCs w:val="18"/>
        </w:rPr>
        <w:footnoteRef/>
      </w:r>
      <w:r w:rsidRPr="00111CAD">
        <w:rPr>
          <w:rFonts w:ascii="Calibri" w:hAnsi="Calibri" w:cs="Calibri"/>
          <w:sz w:val="18"/>
          <w:szCs w:val="18"/>
        </w:rPr>
        <w:t xml:space="preserve"> </w:t>
      </w:r>
      <w:r w:rsidRPr="00111CAD">
        <w:rPr>
          <w:rFonts w:ascii="Calibri" w:hAnsi="Calibri" w:cs="Calibri"/>
          <w:sz w:val="18"/>
          <w:szCs w:val="18"/>
          <w:lang w:val="en-GB"/>
        </w:rPr>
        <w:t xml:space="preserve">Jenkins, Thomas E. </w:t>
      </w:r>
      <w:r w:rsidRPr="00111CAD">
        <w:rPr>
          <w:rFonts w:ascii="Calibri" w:hAnsi="Calibri" w:cs="Calibri"/>
          <w:i/>
          <w:iCs/>
          <w:sz w:val="18"/>
          <w:szCs w:val="18"/>
          <w:lang w:val="en-GB"/>
        </w:rPr>
        <w:t xml:space="preserve">Antiquity Now. The Classical World </w:t>
      </w:r>
      <w:proofErr w:type="gramStart"/>
      <w:r w:rsidRPr="00111CAD">
        <w:rPr>
          <w:rFonts w:ascii="Calibri" w:hAnsi="Calibri" w:cs="Calibri"/>
          <w:i/>
          <w:iCs/>
          <w:sz w:val="18"/>
          <w:szCs w:val="18"/>
          <w:lang w:val="en-GB"/>
        </w:rPr>
        <w:t>In</w:t>
      </w:r>
      <w:proofErr w:type="gramEnd"/>
      <w:r w:rsidRPr="00111CAD">
        <w:rPr>
          <w:rFonts w:ascii="Calibri" w:hAnsi="Calibri" w:cs="Calibri"/>
          <w:i/>
          <w:iCs/>
          <w:sz w:val="18"/>
          <w:szCs w:val="18"/>
          <w:lang w:val="en-GB"/>
        </w:rPr>
        <w:t xml:space="preserve"> The Contemporary American Imagination</w:t>
      </w:r>
      <w:r w:rsidRPr="00111CAD">
        <w:rPr>
          <w:rFonts w:ascii="Calibri" w:hAnsi="Calibri" w:cs="Calibri"/>
          <w:sz w:val="18"/>
          <w:szCs w:val="18"/>
          <w:lang w:val="en-GB"/>
        </w:rPr>
        <w:t>, (Cambridge: Cambridge University Press, 2017), pp. 224</w:t>
      </w:r>
    </w:p>
  </w:footnote>
  <w:footnote w:id="18">
    <w:p w14:paraId="4154BE13" w14:textId="15FC95D2" w:rsidR="00ED5F82" w:rsidRPr="004F7E49" w:rsidRDefault="00ED5F82">
      <w:pPr>
        <w:pStyle w:val="FootnoteText"/>
        <w:rPr>
          <w:rFonts w:ascii="Calibri" w:hAnsi="Calibri" w:cs="Calibri"/>
          <w:sz w:val="18"/>
          <w:szCs w:val="18"/>
        </w:rPr>
      </w:pPr>
      <w:r w:rsidRPr="004F7E49">
        <w:rPr>
          <w:rStyle w:val="FootnoteReference"/>
          <w:rFonts w:ascii="Calibri" w:hAnsi="Calibri" w:cs="Calibri"/>
          <w:sz w:val="18"/>
          <w:szCs w:val="18"/>
        </w:rPr>
        <w:footnoteRef/>
      </w:r>
      <w:r w:rsidRPr="004F7E49">
        <w:rPr>
          <w:rFonts w:ascii="Calibri" w:hAnsi="Calibri" w:cs="Calibri"/>
          <w:sz w:val="18"/>
          <w:szCs w:val="18"/>
        </w:rPr>
        <w:t xml:space="preserve"> </w:t>
      </w:r>
      <w:r w:rsidR="002F7737">
        <w:rPr>
          <w:rFonts w:ascii="Calibri" w:hAnsi="Calibri" w:cs="Calibri"/>
          <w:sz w:val="18"/>
          <w:szCs w:val="18"/>
          <w:lang w:val="en-GB"/>
        </w:rPr>
        <w:t>Evans-Pritchard</w:t>
      </w:r>
      <w:r w:rsidR="004F7E49" w:rsidRPr="004F7E49">
        <w:rPr>
          <w:rFonts w:ascii="Calibri" w:hAnsi="Calibri" w:cs="Calibri"/>
          <w:sz w:val="18"/>
          <w:szCs w:val="18"/>
          <w:lang w:val="en-GB"/>
        </w:rPr>
        <w:t>.,</w:t>
      </w:r>
      <w:r w:rsidRPr="004F7E49">
        <w:rPr>
          <w:rFonts w:ascii="Calibri" w:hAnsi="Calibri" w:cs="Calibri"/>
          <w:sz w:val="18"/>
          <w:szCs w:val="18"/>
          <w:lang w:val="en-GB"/>
        </w:rPr>
        <w:t xml:space="preserve"> pp. 253</w:t>
      </w:r>
    </w:p>
  </w:footnote>
  <w:footnote w:id="19">
    <w:p w14:paraId="3F399B28" w14:textId="061D2753" w:rsidR="00550E96" w:rsidRDefault="00550E96">
      <w:pPr>
        <w:pStyle w:val="FootnoteText"/>
      </w:pPr>
      <w:r w:rsidRPr="004F7E49">
        <w:rPr>
          <w:rStyle w:val="FootnoteReference"/>
          <w:rFonts w:ascii="Calibri" w:hAnsi="Calibri" w:cs="Calibri"/>
          <w:sz w:val="18"/>
          <w:szCs w:val="18"/>
        </w:rPr>
        <w:footnoteRef/>
      </w:r>
      <w:r w:rsidRPr="004F7E49">
        <w:rPr>
          <w:rFonts w:ascii="Calibri" w:hAnsi="Calibri" w:cs="Calibri"/>
          <w:sz w:val="18"/>
          <w:szCs w:val="18"/>
        </w:rPr>
        <w:t xml:space="preserve"> Ibid., p</w:t>
      </w:r>
      <w:r w:rsidR="00720F72">
        <w:rPr>
          <w:rFonts w:ascii="Calibri" w:hAnsi="Calibri" w:cs="Calibri"/>
          <w:sz w:val="18"/>
          <w:szCs w:val="18"/>
        </w:rPr>
        <w:t>p</w:t>
      </w:r>
      <w:r w:rsidRPr="004F7E49">
        <w:rPr>
          <w:rFonts w:ascii="Calibri" w:hAnsi="Calibri" w:cs="Calibri"/>
          <w:sz w:val="18"/>
          <w:szCs w:val="18"/>
        </w:rPr>
        <w:t>. 150</w:t>
      </w:r>
    </w:p>
  </w:footnote>
  <w:footnote w:id="20">
    <w:p w14:paraId="47D4510B" w14:textId="34461EAF" w:rsidR="00550E96" w:rsidRPr="004E5BB7" w:rsidRDefault="00550E96" w:rsidP="00A32C08">
      <w:pPr>
        <w:rPr>
          <w:rFonts w:ascii="Calibri" w:hAnsi="Calibri" w:cs="Calibri"/>
          <w:iCs/>
          <w:sz w:val="18"/>
          <w:szCs w:val="18"/>
          <w:lang w:val="en-GB"/>
        </w:rPr>
      </w:pPr>
      <w:r w:rsidRPr="004E5BB7">
        <w:rPr>
          <w:rStyle w:val="FootnoteReference"/>
          <w:rFonts w:ascii="Calibri" w:hAnsi="Calibri" w:cs="Calibri"/>
          <w:sz w:val="18"/>
          <w:szCs w:val="18"/>
        </w:rPr>
        <w:footnoteRef/>
      </w:r>
      <w:r w:rsidRPr="004E5BB7">
        <w:rPr>
          <w:rFonts w:ascii="Calibri" w:hAnsi="Calibri" w:cs="Calibri"/>
          <w:sz w:val="18"/>
          <w:szCs w:val="18"/>
        </w:rPr>
        <w:t xml:space="preserve"> </w:t>
      </w:r>
      <w:r w:rsidRPr="00444E41">
        <w:rPr>
          <w:rFonts w:ascii="Calibri" w:hAnsi="Calibri" w:cs="Calibri"/>
          <w:iCs/>
          <w:sz w:val="18"/>
          <w:szCs w:val="18"/>
          <w:lang w:val="en-GB"/>
        </w:rPr>
        <w:t>W</w:t>
      </w:r>
      <w:r w:rsidRPr="004E5BB7">
        <w:rPr>
          <w:rFonts w:ascii="Calibri" w:hAnsi="Calibri" w:cs="Calibri"/>
          <w:iCs/>
          <w:sz w:val="18"/>
          <w:szCs w:val="18"/>
          <w:lang w:val="en-GB"/>
        </w:rPr>
        <w:t>horf</w:t>
      </w:r>
      <w:r w:rsidRPr="00444E41">
        <w:rPr>
          <w:rFonts w:ascii="Calibri" w:hAnsi="Calibri" w:cs="Calibri"/>
          <w:iCs/>
          <w:sz w:val="18"/>
          <w:szCs w:val="18"/>
          <w:lang w:val="en-GB"/>
        </w:rPr>
        <w:t>, B</w:t>
      </w:r>
      <w:r w:rsidRPr="004E5BB7">
        <w:rPr>
          <w:rFonts w:ascii="Calibri" w:hAnsi="Calibri" w:cs="Calibri"/>
          <w:iCs/>
          <w:sz w:val="18"/>
          <w:szCs w:val="18"/>
          <w:lang w:val="en-GB"/>
        </w:rPr>
        <w:t>enjamin</w:t>
      </w:r>
      <w:r w:rsidRPr="00444E41">
        <w:rPr>
          <w:rFonts w:ascii="Calibri" w:hAnsi="Calibri" w:cs="Calibri"/>
          <w:iCs/>
          <w:sz w:val="18"/>
          <w:szCs w:val="18"/>
          <w:lang w:val="en-GB"/>
        </w:rPr>
        <w:t xml:space="preserve"> L</w:t>
      </w:r>
      <w:r w:rsidRPr="004E5BB7">
        <w:rPr>
          <w:rFonts w:ascii="Calibri" w:hAnsi="Calibri" w:cs="Calibri"/>
          <w:iCs/>
          <w:sz w:val="18"/>
          <w:szCs w:val="18"/>
          <w:lang w:val="en-GB"/>
        </w:rPr>
        <w:t>ee</w:t>
      </w:r>
      <w:r w:rsidRPr="00444E41">
        <w:rPr>
          <w:rFonts w:ascii="Calibri" w:hAnsi="Calibri" w:cs="Calibri"/>
          <w:iCs/>
          <w:sz w:val="18"/>
          <w:szCs w:val="18"/>
          <w:lang w:val="en-GB"/>
        </w:rPr>
        <w:t xml:space="preserve">. </w:t>
      </w:r>
      <w:r w:rsidRPr="004E5BB7">
        <w:rPr>
          <w:rFonts w:ascii="Calibri" w:hAnsi="Calibri" w:cs="Calibri"/>
          <w:iCs/>
          <w:sz w:val="18"/>
          <w:szCs w:val="18"/>
          <w:lang w:val="en-GB"/>
        </w:rPr>
        <w:t xml:space="preserve">‘Language, Mind </w:t>
      </w:r>
      <w:proofErr w:type="gramStart"/>
      <w:r w:rsidRPr="004E5BB7">
        <w:rPr>
          <w:rFonts w:ascii="Calibri" w:hAnsi="Calibri" w:cs="Calibri"/>
          <w:iCs/>
          <w:sz w:val="18"/>
          <w:szCs w:val="18"/>
          <w:lang w:val="en-GB"/>
        </w:rPr>
        <w:t>And</w:t>
      </w:r>
      <w:proofErr w:type="gramEnd"/>
      <w:r w:rsidRPr="004E5BB7">
        <w:rPr>
          <w:rFonts w:ascii="Calibri" w:hAnsi="Calibri" w:cs="Calibri"/>
          <w:iCs/>
          <w:sz w:val="18"/>
          <w:szCs w:val="18"/>
          <w:lang w:val="en-GB"/>
        </w:rPr>
        <w:t xml:space="preserve"> Reality</w:t>
      </w:r>
      <w:r w:rsidRPr="00444E41">
        <w:rPr>
          <w:rFonts w:ascii="Calibri" w:hAnsi="Calibri" w:cs="Calibri"/>
          <w:iCs/>
          <w:sz w:val="18"/>
          <w:szCs w:val="18"/>
          <w:lang w:val="en-GB"/>
        </w:rPr>
        <w:t>” </w:t>
      </w:r>
      <w:r w:rsidRPr="00444E41">
        <w:rPr>
          <w:rFonts w:ascii="Calibri" w:hAnsi="Calibri" w:cs="Calibri"/>
          <w:i/>
          <w:iCs/>
          <w:sz w:val="18"/>
          <w:szCs w:val="18"/>
          <w:lang w:val="en-GB"/>
        </w:rPr>
        <w:t>ETC: A Review of General Semantics</w:t>
      </w:r>
      <w:r w:rsidRPr="00444E41">
        <w:rPr>
          <w:rFonts w:ascii="Calibri" w:hAnsi="Calibri" w:cs="Calibri"/>
          <w:iCs/>
          <w:sz w:val="18"/>
          <w:szCs w:val="18"/>
          <w:lang w:val="en-GB"/>
        </w:rPr>
        <w:t xml:space="preserve">, vol. 9, no. 3, 1952, pp. </w:t>
      </w:r>
      <w:r w:rsidRPr="004E5BB7">
        <w:rPr>
          <w:rFonts w:ascii="Calibri" w:hAnsi="Calibri" w:cs="Calibri"/>
          <w:iCs/>
          <w:sz w:val="18"/>
          <w:szCs w:val="18"/>
          <w:lang w:val="en-GB"/>
        </w:rPr>
        <w:t>174</w:t>
      </w:r>
      <w:r w:rsidRPr="00444E41">
        <w:rPr>
          <w:rFonts w:ascii="Calibri" w:hAnsi="Calibri" w:cs="Calibri"/>
          <w:iCs/>
          <w:sz w:val="18"/>
          <w:szCs w:val="18"/>
          <w:lang w:val="en-GB"/>
        </w:rPr>
        <w:t>. </w:t>
      </w:r>
      <w:r w:rsidRPr="00444E41">
        <w:rPr>
          <w:rFonts w:ascii="Calibri" w:hAnsi="Calibri" w:cs="Calibri"/>
          <w:i/>
          <w:iCs/>
          <w:sz w:val="18"/>
          <w:szCs w:val="18"/>
          <w:lang w:val="en-GB"/>
        </w:rPr>
        <w:t>JSTOR</w:t>
      </w:r>
      <w:r w:rsidRPr="00444E41">
        <w:rPr>
          <w:rFonts w:ascii="Calibri" w:hAnsi="Calibri" w:cs="Calibri"/>
          <w:iCs/>
          <w:sz w:val="18"/>
          <w:szCs w:val="18"/>
          <w:lang w:val="en-GB"/>
        </w:rPr>
        <w:t xml:space="preserve">, www.jstor.org/stable/42581351. </w:t>
      </w:r>
    </w:p>
  </w:footnote>
  <w:footnote w:id="21">
    <w:p w14:paraId="35B68FEC" w14:textId="0AB6EBAE" w:rsidR="00A32C08" w:rsidRPr="00773E32" w:rsidRDefault="00A32C08">
      <w:pPr>
        <w:pStyle w:val="FootnoteText"/>
        <w:rPr>
          <w:rFonts w:ascii="Calibri" w:hAnsi="Calibri" w:cs="Calibri"/>
          <w:sz w:val="18"/>
          <w:szCs w:val="18"/>
        </w:rPr>
      </w:pPr>
      <w:r w:rsidRPr="00773E32">
        <w:rPr>
          <w:rStyle w:val="FootnoteReference"/>
          <w:rFonts w:ascii="Calibri" w:hAnsi="Calibri" w:cs="Calibri"/>
          <w:sz w:val="18"/>
          <w:szCs w:val="18"/>
        </w:rPr>
        <w:footnoteRef/>
      </w:r>
      <w:r w:rsidRPr="00773E32">
        <w:rPr>
          <w:rFonts w:ascii="Calibri" w:hAnsi="Calibri" w:cs="Calibri"/>
          <w:sz w:val="18"/>
          <w:szCs w:val="18"/>
        </w:rPr>
        <w:t xml:space="preserve"> Evans-Pritchard</w:t>
      </w:r>
      <w:r w:rsidR="00720F72">
        <w:rPr>
          <w:rFonts w:ascii="Calibri" w:hAnsi="Calibri" w:cs="Calibri"/>
          <w:sz w:val="18"/>
          <w:szCs w:val="18"/>
        </w:rPr>
        <w:t>,</w:t>
      </w:r>
      <w:r w:rsidRPr="00773E32">
        <w:rPr>
          <w:rFonts w:ascii="Calibri" w:hAnsi="Calibri" w:cs="Calibri"/>
          <w:sz w:val="18"/>
          <w:szCs w:val="18"/>
        </w:rPr>
        <w:t xml:space="preserve"> p. 121</w:t>
      </w:r>
    </w:p>
  </w:footnote>
  <w:footnote w:id="22">
    <w:p w14:paraId="55A640A5" w14:textId="2DF769E4" w:rsidR="004E5BB7" w:rsidRPr="00773E32" w:rsidRDefault="004E5BB7">
      <w:pPr>
        <w:pStyle w:val="FootnoteText"/>
        <w:rPr>
          <w:rFonts w:ascii="Calibri" w:hAnsi="Calibri" w:cs="Calibri"/>
          <w:sz w:val="18"/>
          <w:szCs w:val="18"/>
        </w:rPr>
      </w:pPr>
      <w:r w:rsidRPr="00773E32">
        <w:rPr>
          <w:rStyle w:val="FootnoteReference"/>
          <w:rFonts w:ascii="Calibri" w:hAnsi="Calibri" w:cs="Calibri"/>
          <w:sz w:val="18"/>
          <w:szCs w:val="18"/>
        </w:rPr>
        <w:footnoteRef/>
      </w:r>
      <w:r w:rsidRPr="00773E32">
        <w:rPr>
          <w:rFonts w:ascii="Calibri" w:hAnsi="Calibri" w:cs="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w:t>
      </w:r>
      <w:r w:rsidRPr="00773E32">
        <w:rPr>
          <w:rFonts w:ascii="Calibri" w:hAnsi="Calibri" w:cs="Calibri"/>
          <w:sz w:val="18"/>
          <w:szCs w:val="18"/>
        </w:rPr>
        <w:t xml:space="preserve"> </w:t>
      </w:r>
      <w:r w:rsidR="00773E32" w:rsidRPr="00773E32">
        <w:rPr>
          <w:rFonts w:ascii="Calibri" w:hAnsi="Calibri" w:cs="Calibri"/>
          <w:sz w:val="18"/>
          <w:szCs w:val="18"/>
        </w:rPr>
        <w:t>pp</w:t>
      </w:r>
      <w:r w:rsidRPr="00773E32">
        <w:rPr>
          <w:rFonts w:ascii="Calibri" w:hAnsi="Calibri" w:cs="Calibri"/>
          <w:sz w:val="18"/>
          <w:szCs w:val="18"/>
        </w:rPr>
        <w:t>. 138</w:t>
      </w:r>
      <w:r w:rsidR="002F7737">
        <w:rPr>
          <w:rFonts w:ascii="Calibri" w:hAnsi="Calibri" w:cs="Calibri"/>
          <w:sz w:val="18"/>
          <w:szCs w:val="18"/>
        </w:rPr>
        <w:t xml:space="preserve">: </w:t>
      </w:r>
      <w:r w:rsidRPr="00773E32">
        <w:rPr>
          <w:rFonts w:ascii="Calibri" w:hAnsi="Calibri" w:cs="Calibri"/>
          <w:sz w:val="18"/>
          <w:szCs w:val="18"/>
        </w:rPr>
        <w:t>“</w:t>
      </w:r>
      <w:r w:rsidRPr="00773E32">
        <w:rPr>
          <w:rFonts w:ascii="Calibri" w:hAnsi="Calibri" w:cs="Calibri"/>
          <w:sz w:val="18"/>
          <w:szCs w:val="18"/>
          <w:lang w:val="en-GB"/>
        </w:rPr>
        <w:t>Poison oracle, poison oracle, you are in the throat of the fowl.”</w:t>
      </w:r>
    </w:p>
  </w:footnote>
  <w:footnote w:id="23">
    <w:p w14:paraId="5A900F29" w14:textId="5CBEC842" w:rsidR="00773E32" w:rsidRPr="008E3E2C" w:rsidRDefault="00773E32">
      <w:pPr>
        <w:pStyle w:val="FootnoteText"/>
        <w:rPr>
          <w:rFonts w:ascii="Calibri" w:hAnsi="Calibri" w:cs="Calibri"/>
          <w:sz w:val="18"/>
          <w:szCs w:val="18"/>
        </w:rPr>
      </w:pPr>
      <w:r w:rsidRPr="00773E32">
        <w:rPr>
          <w:rStyle w:val="FootnoteReference"/>
          <w:rFonts w:ascii="Calibri" w:hAnsi="Calibri" w:cs="Calibri"/>
          <w:sz w:val="18"/>
          <w:szCs w:val="18"/>
        </w:rPr>
        <w:footnoteRef/>
      </w:r>
      <w:r w:rsidRPr="00773E32">
        <w:rPr>
          <w:rFonts w:ascii="Calibri" w:hAnsi="Calibri" w:cs="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8E3E2C">
        <w:rPr>
          <w:rFonts w:ascii="Calibri" w:hAnsi="Calibri" w:cs="Calibri"/>
          <w:sz w:val="18"/>
          <w:szCs w:val="18"/>
        </w:rPr>
        <w:t>pp. 138</w:t>
      </w:r>
    </w:p>
  </w:footnote>
  <w:footnote w:id="24">
    <w:p w14:paraId="101E009B" w14:textId="2856EC80" w:rsidR="004E5BB7" w:rsidRPr="00286847" w:rsidRDefault="004E5BB7">
      <w:pPr>
        <w:pStyle w:val="FootnoteText"/>
        <w:rPr>
          <w:rFonts w:ascii="Calibri" w:hAnsi="Calibri"/>
          <w:sz w:val="18"/>
          <w:szCs w:val="18"/>
        </w:rPr>
      </w:pPr>
      <w:r w:rsidRPr="00286847">
        <w:rPr>
          <w:rStyle w:val="FootnoteReference"/>
          <w:rFonts w:ascii="Calibri" w:hAnsi="Calibri" w:cs="Calibri"/>
          <w:sz w:val="18"/>
          <w:szCs w:val="18"/>
        </w:rPr>
        <w:footnoteRef/>
      </w:r>
      <w:r w:rsidRPr="00286847">
        <w:rPr>
          <w:rFonts w:ascii="Calibri" w:hAnsi="Calibri" w:cs="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86847">
        <w:rPr>
          <w:rFonts w:ascii="Calibri" w:hAnsi="Calibri" w:cs="Calibri"/>
          <w:sz w:val="18"/>
          <w:szCs w:val="18"/>
        </w:rPr>
        <w:t>p</w:t>
      </w:r>
      <w:r w:rsidR="00773E32" w:rsidRPr="00286847">
        <w:rPr>
          <w:rFonts w:ascii="Calibri" w:hAnsi="Calibri" w:cs="Calibri"/>
          <w:sz w:val="18"/>
          <w:szCs w:val="18"/>
        </w:rPr>
        <w:t>p</w:t>
      </w:r>
      <w:r w:rsidRPr="00286847">
        <w:rPr>
          <w:rFonts w:ascii="Calibri" w:hAnsi="Calibri" w:cs="Calibri"/>
          <w:sz w:val="18"/>
          <w:szCs w:val="18"/>
        </w:rPr>
        <w:t>. 131</w:t>
      </w:r>
    </w:p>
  </w:footnote>
  <w:footnote w:id="25">
    <w:p w14:paraId="5A7DEC56" w14:textId="20D5CCE5" w:rsidR="008E3E2C" w:rsidRPr="00286847" w:rsidRDefault="008E3E2C">
      <w:pPr>
        <w:pStyle w:val="FootnoteText"/>
        <w:rPr>
          <w:rFonts w:ascii="Calibri" w:hAnsi="Calibri"/>
          <w:sz w:val="18"/>
          <w:szCs w:val="18"/>
        </w:rPr>
      </w:pPr>
      <w:r w:rsidRPr="00286847">
        <w:rPr>
          <w:rStyle w:val="FootnoteReference"/>
          <w:rFonts w:ascii="Calibri" w:hAnsi="Calibri"/>
          <w:sz w:val="18"/>
          <w:szCs w:val="18"/>
        </w:rPr>
        <w:footnoteRef/>
      </w:r>
      <w:r w:rsidRPr="00286847">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86847">
        <w:rPr>
          <w:rFonts w:ascii="Calibri" w:hAnsi="Calibri"/>
          <w:sz w:val="18"/>
          <w:szCs w:val="18"/>
        </w:rPr>
        <w:t>pp. 138</w:t>
      </w:r>
    </w:p>
  </w:footnote>
  <w:footnote w:id="26">
    <w:p w14:paraId="4415221E" w14:textId="4CAD4ADE" w:rsidR="00847124" w:rsidRPr="00286847" w:rsidRDefault="00847124" w:rsidP="00847124">
      <w:pPr>
        <w:pStyle w:val="FootnoteText"/>
        <w:rPr>
          <w:rFonts w:ascii="Calibri" w:hAnsi="Calibri"/>
          <w:sz w:val="18"/>
          <w:szCs w:val="18"/>
        </w:rPr>
      </w:pPr>
      <w:r w:rsidRPr="00286847">
        <w:rPr>
          <w:rStyle w:val="FootnoteReference"/>
          <w:rFonts w:ascii="Calibri" w:hAnsi="Calibri"/>
          <w:sz w:val="18"/>
          <w:szCs w:val="18"/>
        </w:rPr>
        <w:footnoteRef/>
      </w:r>
      <w:r>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86847">
        <w:rPr>
          <w:rFonts w:ascii="Calibri" w:hAnsi="Calibri"/>
          <w:sz w:val="18"/>
          <w:szCs w:val="18"/>
        </w:rPr>
        <w:t>pp. 155</w:t>
      </w:r>
    </w:p>
  </w:footnote>
  <w:footnote w:id="27">
    <w:p w14:paraId="76CC4EE1" w14:textId="2B08C3F9" w:rsidR="008E3E2C" w:rsidRDefault="008E3E2C">
      <w:pPr>
        <w:pStyle w:val="FootnoteText"/>
      </w:pPr>
      <w:r w:rsidRPr="00286847">
        <w:rPr>
          <w:rStyle w:val="FootnoteReference"/>
          <w:rFonts w:ascii="Calibri" w:hAnsi="Calibri"/>
          <w:sz w:val="18"/>
          <w:szCs w:val="18"/>
        </w:rPr>
        <w:footnoteRef/>
      </w:r>
      <w:r w:rsidRPr="00286847">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86847">
        <w:rPr>
          <w:rFonts w:ascii="Calibri" w:hAnsi="Calibri"/>
          <w:sz w:val="18"/>
          <w:szCs w:val="18"/>
        </w:rPr>
        <w:t>pp. 1</w:t>
      </w:r>
      <w:r w:rsidRPr="00286847">
        <w:rPr>
          <w:rFonts w:ascii="Calibri" w:hAnsi="Calibri"/>
          <w:sz w:val="18"/>
          <w:szCs w:val="18"/>
        </w:rPr>
        <w:t>54</w:t>
      </w:r>
    </w:p>
  </w:footnote>
  <w:footnote w:id="28">
    <w:p w14:paraId="22E32F53" w14:textId="267C3580" w:rsidR="003E43BE" w:rsidRPr="009007F9" w:rsidRDefault="003E43BE">
      <w:pPr>
        <w:pStyle w:val="FootnoteText"/>
        <w:rPr>
          <w:rFonts w:ascii="Calibri" w:hAnsi="Calibri"/>
          <w:sz w:val="18"/>
          <w:szCs w:val="18"/>
        </w:rPr>
      </w:pPr>
      <w:r w:rsidRPr="002524EC">
        <w:rPr>
          <w:rStyle w:val="FootnoteReference"/>
          <w:rFonts w:ascii="Calibri" w:hAnsi="Calibri"/>
          <w:sz w:val="18"/>
          <w:szCs w:val="18"/>
        </w:rPr>
        <w:footnoteRef/>
      </w:r>
      <w:r w:rsidRPr="002524EC">
        <w:rPr>
          <w:rFonts w:ascii="Calibri" w:hAnsi="Calibri"/>
          <w:sz w:val="18"/>
          <w:szCs w:val="18"/>
        </w:rPr>
        <w:t xml:space="preserve"> </w:t>
      </w:r>
      <w:proofErr w:type="spellStart"/>
      <w:r w:rsidRPr="009007F9">
        <w:rPr>
          <w:rFonts w:ascii="Calibri" w:hAnsi="Calibri"/>
          <w:sz w:val="18"/>
          <w:szCs w:val="18"/>
        </w:rPr>
        <w:t>Eidinow</w:t>
      </w:r>
      <w:proofErr w:type="spellEnd"/>
      <w:r w:rsidRPr="009007F9">
        <w:rPr>
          <w:rFonts w:ascii="Calibri" w:hAnsi="Calibri"/>
          <w:sz w:val="18"/>
          <w:szCs w:val="18"/>
        </w:rPr>
        <w:t>, E., Oracles, Curses and Risk among the Ancient Greeks, Oxford: Oxford University Press, 2007</w:t>
      </w:r>
      <w:r w:rsidRPr="009007F9">
        <w:rPr>
          <w:rFonts w:ascii="Calibri" w:hAnsi="Calibri"/>
          <w:sz w:val="18"/>
          <w:szCs w:val="18"/>
        </w:rPr>
        <w:t>. pp. 132</w:t>
      </w:r>
    </w:p>
  </w:footnote>
  <w:footnote w:id="29">
    <w:p w14:paraId="6746335B" w14:textId="4046D2E1" w:rsidR="00720F72" w:rsidRPr="009007F9" w:rsidRDefault="00720F72">
      <w:pPr>
        <w:pStyle w:val="FootnoteText"/>
        <w:rPr>
          <w:rFonts w:ascii="Calibri" w:hAnsi="Calibri"/>
          <w:sz w:val="18"/>
          <w:szCs w:val="18"/>
        </w:rPr>
      </w:pPr>
      <w:r w:rsidRPr="009007F9">
        <w:rPr>
          <w:rStyle w:val="FootnoteReference"/>
          <w:rFonts w:ascii="Calibri" w:hAnsi="Calibri"/>
          <w:sz w:val="18"/>
          <w:szCs w:val="18"/>
        </w:rPr>
        <w:footnoteRef/>
      </w:r>
      <w:r w:rsidRPr="009007F9">
        <w:rPr>
          <w:rFonts w:ascii="Calibri" w:hAnsi="Calibri"/>
          <w:sz w:val="18"/>
          <w:szCs w:val="18"/>
        </w:rPr>
        <w:t xml:space="preserve"> </w:t>
      </w:r>
      <w:proofErr w:type="spellStart"/>
      <w:r w:rsidRPr="009007F9">
        <w:rPr>
          <w:rFonts w:ascii="Calibri" w:hAnsi="Calibri"/>
          <w:sz w:val="18"/>
          <w:szCs w:val="18"/>
        </w:rPr>
        <w:t>Eidinow</w:t>
      </w:r>
      <w:proofErr w:type="spellEnd"/>
      <w:r w:rsidRPr="009007F9">
        <w:rPr>
          <w:rFonts w:ascii="Calibri" w:hAnsi="Calibri"/>
          <w:sz w:val="18"/>
          <w:szCs w:val="18"/>
        </w:rPr>
        <w:t xml:space="preserve">. </w:t>
      </w:r>
      <w:r w:rsidR="002524EC" w:rsidRPr="009007F9">
        <w:rPr>
          <w:rFonts w:ascii="Calibri" w:hAnsi="Calibri"/>
          <w:sz w:val="18"/>
          <w:szCs w:val="18"/>
        </w:rPr>
        <w:t>p</w:t>
      </w:r>
      <w:r w:rsidRPr="009007F9">
        <w:rPr>
          <w:rFonts w:ascii="Calibri" w:hAnsi="Calibri"/>
          <w:sz w:val="18"/>
          <w:szCs w:val="18"/>
        </w:rPr>
        <w:t>p. 133</w:t>
      </w:r>
    </w:p>
  </w:footnote>
  <w:footnote w:id="30">
    <w:p w14:paraId="502407CD" w14:textId="5692104A" w:rsidR="002524EC" w:rsidRPr="009007F9" w:rsidRDefault="002524EC">
      <w:pPr>
        <w:pStyle w:val="FootnoteText"/>
        <w:rPr>
          <w:rFonts w:ascii="Calibri" w:hAnsi="Calibri"/>
          <w:sz w:val="18"/>
          <w:szCs w:val="18"/>
        </w:rPr>
      </w:pPr>
      <w:r w:rsidRPr="009007F9">
        <w:rPr>
          <w:rStyle w:val="FootnoteReference"/>
          <w:rFonts w:ascii="Calibri" w:hAnsi="Calibri"/>
          <w:sz w:val="18"/>
          <w:szCs w:val="18"/>
        </w:rPr>
        <w:footnoteRef/>
      </w:r>
      <w:r w:rsidRPr="009007F9">
        <w:rPr>
          <w:rFonts w:ascii="Calibri" w:hAnsi="Calibri"/>
          <w:sz w:val="18"/>
          <w:szCs w:val="18"/>
        </w:rPr>
        <w:t xml:space="preserve"> Evans-Pritchard, pp. 193</w:t>
      </w:r>
    </w:p>
  </w:footnote>
  <w:footnote w:id="31">
    <w:p w14:paraId="028FC99F" w14:textId="247146CA" w:rsidR="0077566B" w:rsidRPr="00822682" w:rsidRDefault="0077566B" w:rsidP="0077566B">
      <w:pPr>
        <w:pStyle w:val="FootnoteText"/>
        <w:rPr>
          <w:rFonts w:ascii="Calibri" w:hAnsi="Calibri"/>
          <w:sz w:val="18"/>
          <w:szCs w:val="18"/>
        </w:rPr>
      </w:pPr>
      <w:r w:rsidRPr="009007F9">
        <w:rPr>
          <w:rStyle w:val="FootnoteReference"/>
          <w:rFonts w:ascii="Calibri" w:hAnsi="Calibri"/>
          <w:sz w:val="18"/>
          <w:szCs w:val="18"/>
        </w:rPr>
        <w:footnoteRef/>
      </w:r>
      <w:r w:rsidRPr="009007F9">
        <w:rPr>
          <w:rFonts w:ascii="Calibri" w:hAnsi="Calibri"/>
          <w:sz w:val="18"/>
          <w:szCs w:val="18"/>
        </w:rPr>
        <w:t xml:space="preserve"> </w:t>
      </w:r>
      <w:r w:rsidRPr="002524EC">
        <w:rPr>
          <w:rFonts w:ascii="Calibri" w:hAnsi="Calibri"/>
          <w:sz w:val="18"/>
          <w:szCs w:val="18"/>
        </w:rPr>
        <w:t>Otto, Bernd-Christian. “Towards Historicizing ‘Magic’ in Antiquity.” </w:t>
      </w:r>
      <w:r w:rsidRPr="002524EC">
        <w:rPr>
          <w:rFonts w:ascii="Calibri" w:hAnsi="Calibri"/>
          <w:i/>
          <w:iCs/>
          <w:sz w:val="18"/>
          <w:szCs w:val="18"/>
        </w:rPr>
        <w:t>Numen</w:t>
      </w:r>
      <w:r w:rsidRPr="002524EC">
        <w:rPr>
          <w:rFonts w:ascii="Calibri" w:hAnsi="Calibri"/>
          <w:sz w:val="18"/>
          <w:szCs w:val="18"/>
        </w:rPr>
        <w:t>, vol. 60, no. 2/3, 2013, pp. 308–347. </w:t>
      </w:r>
      <w:r w:rsidRPr="002524EC">
        <w:rPr>
          <w:rFonts w:ascii="Calibri" w:hAnsi="Calibri"/>
          <w:i/>
          <w:iCs/>
          <w:sz w:val="18"/>
          <w:szCs w:val="18"/>
        </w:rPr>
        <w:t>JSTOR</w:t>
      </w:r>
      <w:r w:rsidRPr="002524EC">
        <w:rPr>
          <w:rFonts w:ascii="Calibri" w:hAnsi="Calibri"/>
          <w:sz w:val="18"/>
          <w:szCs w:val="18"/>
        </w:rPr>
        <w:t xml:space="preserve">, www.jstor.org/stable/24644856. </w:t>
      </w:r>
      <w:r w:rsidRPr="00822682">
        <w:rPr>
          <w:rFonts w:ascii="Calibri" w:hAnsi="Calibri"/>
          <w:sz w:val="18"/>
          <w:szCs w:val="18"/>
        </w:rPr>
        <w:t>pp. 308</w:t>
      </w:r>
    </w:p>
  </w:footnote>
  <w:footnote w:id="32">
    <w:p w14:paraId="28A07FD5" w14:textId="4CF69D38" w:rsidR="00822682" w:rsidRPr="00C85D5D" w:rsidRDefault="00822682">
      <w:pPr>
        <w:pStyle w:val="FootnoteText"/>
        <w:rPr>
          <w:rFonts w:ascii="Calibri" w:hAnsi="Calibri"/>
          <w:sz w:val="18"/>
          <w:szCs w:val="18"/>
        </w:rPr>
      </w:pPr>
      <w:r w:rsidRPr="00C85D5D">
        <w:rPr>
          <w:rStyle w:val="FootnoteReference"/>
          <w:rFonts w:ascii="Calibri" w:hAnsi="Calibri"/>
          <w:sz w:val="18"/>
          <w:szCs w:val="18"/>
        </w:rPr>
        <w:footnoteRef/>
      </w:r>
      <w:r w:rsidRPr="00C85D5D">
        <w:rPr>
          <w:rFonts w:ascii="Calibri" w:hAnsi="Calibri"/>
          <w:sz w:val="18"/>
          <w:szCs w:val="18"/>
        </w:rPr>
        <w:t xml:space="preserve"> </w:t>
      </w:r>
      <w:r w:rsidRPr="00C85D5D">
        <w:rPr>
          <w:rFonts w:ascii="Calibri" w:hAnsi="Calibri"/>
          <w:sz w:val="18"/>
          <w:szCs w:val="18"/>
        </w:rPr>
        <w:t>Evans-Pritchard, pp. 1</w:t>
      </w:r>
      <w:r w:rsidRPr="00C85D5D">
        <w:rPr>
          <w:rFonts w:ascii="Calibri" w:hAnsi="Calibri"/>
          <w:sz w:val="18"/>
          <w:szCs w:val="18"/>
        </w:rPr>
        <w:t>83-184</w:t>
      </w:r>
    </w:p>
  </w:footnote>
  <w:footnote w:id="33">
    <w:p w14:paraId="41BCD324" w14:textId="2D687227" w:rsidR="00C85D5D" w:rsidRPr="001B2C9C" w:rsidRDefault="00C85D5D">
      <w:pPr>
        <w:pStyle w:val="FootnoteText"/>
        <w:rPr>
          <w:rFonts w:ascii="Calibri" w:hAnsi="Calibri"/>
          <w:sz w:val="18"/>
          <w:szCs w:val="18"/>
        </w:rPr>
      </w:pPr>
      <w:r w:rsidRPr="00C85D5D">
        <w:rPr>
          <w:rStyle w:val="FootnoteReference"/>
          <w:rFonts w:ascii="Calibri" w:hAnsi="Calibri"/>
          <w:sz w:val="18"/>
          <w:szCs w:val="18"/>
        </w:rPr>
        <w:footnoteRef/>
      </w:r>
      <w:r w:rsidRPr="00C85D5D">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1B2C9C">
        <w:rPr>
          <w:rFonts w:ascii="Calibri" w:hAnsi="Calibri"/>
          <w:sz w:val="18"/>
          <w:szCs w:val="18"/>
        </w:rPr>
        <w:t>pp. 177</w:t>
      </w:r>
    </w:p>
  </w:footnote>
  <w:footnote w:id="34">
    <w:p w14:paraId="478C07F2" w14:textId="07BFF24B" w:rsidR="001B2C9C" w:rsidRPr="00253AC1" w:rsidRDefault="001B2C9C">
      <w:pPr>
        <w:pStyle w:val="FootnoteText"/>
        <w:rPr>
          <w:rFonts w:ascii="Calibri" w:hAnsi="Calibri"/>
          <w:sz w:val="18"/>
          <w:szCs w:val="18"/>
        </w:rPr>
      </w:pPr>
      <w:r w:rsidRPr="001B2C9C">
        <w:rPr>
          <w:rStyle w:val="FootnoteReference"/>
          <w:rFonts w:ascii="Calibri" w:hAnsi="Calibri"/>
          <w:sz w:val="18"/>
          <w:szCs w:val="18"/>
        </w:rPr>
        <w:footnoteRef/>
      </w:r>
      <w:r w:rsidRPr="001B2C9C">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53AC1">
        <w:rPr>
          <w:rFonts w:ascii="Calibri" w:hAnsi="Calibri"/>
          <w:sz w:val="18"/>
          <w:szCs w:val="18"/>
        </w:rPr>
        <w:t>pp. 132</w:t>
      </w:r>
    </w:p>
  </w:footnote>
  <w:footnote w:id="35">
    <w:p w14:paraId="7C9AA38C" w14:textId="57363B45" w:rsidR="00253AC1" w:rsidRPr="00253AC1" w:rsidRDefault="00253AC1">
      <w:pPr>
        <w:pStyle w:val="FootnoteText"/>
        <w:rPr>
          <w:rFonts w:ascii="Calibri" w:hAnsi="Calibri"/>
          <w:sz w:val="18"/>
          <w:szCs w:val="18"/>
        </w:rPr>
      </w:pPr>
      <w:r w:rsidRPr="00253AC1">
        <w:rPr>
          <w:rStyle w:val="FootnoteReference"/>
          <w:rFonts w:ascii="Calibri" w:hAnsi="Calibri"/>
          <w:sz w:val="18"/>
          <w:szCs w:val="18"/>
        </w:rPr>
        <w:footnoteRef/>
      </w:r>
      <w:r w:rsidRPr="00253AC1">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53AC1">
        <w:rPr>
          <w:rFonts w:ascii="Calibri" w:hAnsi="Calibri"/>
          <w:sz w:val="18"/>
          <w:szCs w:val="18"/>
        </w:rPr>
        <w:t>pp. 147</w:t>
      </w:r>
    </w:p>
  </w:footnote>
  <w:footnote w:id="36">
    <w:p w14:paraId="2A85F5A9" w14:textId="6D356990" w:rsidR="00253AC1" w:rsidRDefault="00253AC1">
      <w:pPr>
        <w:pStyle w:val="FootnoteText"/>
      </w:pPr>
      <w:r w:rsidRPr="00253AC1">
        <w:rPr>
          <w:rStyle w:val="FootnoteReference"/>
          <w:rFonts w:ascii="Calibri" w:hAnsi="Calibri"/>
          <w:sz w:val="18"/>
          <w:szCs w:val="18"/>
        </w:rPr>
        <w:footnoteRef/>
      </w:r>
      <w:r w:rsidRPr="00253AC1">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53AC1">
        <w:rPr>
          <w:rFonts w:ascii="Calibri" w:hAnsi="Calibri"/>
          <w:sz w:val="18"/>
          <w:szCs w:val="18"/>
        </w:rPr>
        <w:t>pp. 159</w:t>
      </w:r>
    </w:p>
  </w:footnote>
  <w:footnote w:id="37">
    <w:p w14:paraId="188A8DA5" w14:textId="53D7C1C3" w:rsidR="003B6B79" w:rsidRPr="009919AE" w:rsidRDefault="003B6B79">
      <w:pPr>
        <w:pStyle w:val="FootnoteText"/>
        <w:rPr>
          <w:rFonts w:ascii="Calibri" w:hAnsi="Calibri"/>
          <w:sz w:val="18"/>
          <w:szCs w:val="18"/>
        </w:rPr>
      </w:pPr>
      <w:r w:rsidRPr="003B6B79">
        <w:rPr>
          <w:rStyle w:val="FootnoteReference"/>
          <w:rFonts w:ascii="Calibri" w:hAnsi="Calibri"/>
          <w:sz w:val="18"/>
          <w:szCs w:val="18"/>
        </w:rPr>
        <w:footnoteRef/>
      </w:r>
      <w:r w:rsidRPr="003B6B79">
        <w:rPr>
          <w:rFonts w:ascii="Calibri" w:hAnsi="Calibri"/>
          <w:sz w:val="18"/>
          <w:szCs w:val="18"/>
        </w:rPr>
        <w:t xml:space="preserve"> </w:t>
      </w:r>
      <w:r w:rsidRPr="003B6B79">
        <w:rPr>
          <w:rFonts w:ascii="Calibri" w:hAnsi="Calibri" w:cs="Calibri"/>
          <w:sz w:val="18"/>
          <w:szCs w:val="18"/>
        </w:rPr>
        <w:t xml:space="preserve">Ogden, Daniel. </w:t>
      </w:r>
      <w:r w:rsidRPr="003B6B79">
        <w:rPr>
          <w:rFonts w:ascii="Calibri" w:hAnsi="Calibri" w:cs="Calibri"/>
          <w:i/>
          <w:iCs/>
          <w:sz w:val="18"/>
          <w:szCs w:val="18"/>
        </w:rPr>
        <w:t xml:space="preserve">Magic, Witchcraft, And Ghosts </w:t>
      </w:r>
      <w:proofErr w:type="gramStart"/>
      <w:r w:rsidRPr="003B6B79">
        <w:rPr>
          <w:rFonts w:ascii="Calibri" w:hAnsi="Calibri" w:cs="Calibri"/>
          <w:i/>
          <w:iCs/>
          <w:sz w:val="18"/>
          <w:szCs w:val="18"/>
        </w:rPr>
        <w:t>In</w:t>
      </w:r>
      <w:proofErr w:type="gramEnd"/>
      <w:r w:rsidRPr="003B6B79">
        <w:rPr>
          <w:rFonts w:ascii="Calibri" w:hAnsi="Calibri" w:cs="Calibri"/>
          <w:i/>
          <w:iCs/>
          <w:sz w:val="18"/>
          <w:szCs w:val="18"/>
        </w:rPr>
        <w:t xml:space="preserve"> The Greek And Roman Worlds: A Sourcebook, </w:t>
      </w:r>
      <w:r w:rsidRPr="003B6B79">
        <w:rPr>
          <w:rFonts w:ascii="Calibri" w:hAnsi="Calibri" w:cs="Calibri"/>
          <w:sz w:val="18"/>
          <w:szCs w:val="18"/>
        </w:rPr>
        <w:t>(Oxford: Oxford University Pres</w:t>
      </w:r>
      <w:r w:rsidRPr="009919AE">
        <w:rPr>
          <w:rFonts w:ascii="Calibri" w:hAnsi="Calibri" w:cs="Calibri"/>
          <w:sz w:val="18"/>
          <w:szCs w:val="18"/>
        </w:rPr>
        <w:t>s, 2002)</w:t>
      </w:r>
      <w:r w:rsidRPr="009919AE">
        <w:rPr>
          <w:rFonts w:ascii="Calibri" w:hAnsi="Calibri" w:cs="Calibri"/>
          <w:sz w:val="18"/>
          <w:szCs w:val="18"/>
        </w:rPr>
        <w:t>, pp. 179.</w:t>
      </w:r>
    </w:p>
  </w:footnote>
  <w:footnote w:id="38">
    <w:p w14:paraId="1530B31E" w14:textId="063DFE45" w:rsidR="009919AE" w:rsidRPr="000E5C72" w:rsidRDefault="009919AE">
      <w:pPr>
        <w:pStyle w:val="FootnoteText"/>
        <w:rPr>
          <w:rFonts w:ascii="Calibri" w:hAnsi="Calibri"/>
          <w:sz w:val="18"/>
          <w:szCs w:val="18"/>
        </w:rPr>
      </w:pPr>
      <w:r w:rsidRPr="009919AE">
        <w:rPr>
          <w:rStyle w:val="FootnoteReference"/>
          <w:rFonts w:ascii="Calibri" w:hAnsi="Calibri"/>
          <w:sz w:val="18"/>
          <w:szCs w:val="18"/>
        </w:rPr>
        <w:footnoteRef/>
      </w:r>
      <w:r w:rsidRPr="009919AE">
        <w:rPr>
          <w:rFonts w:ascii="Calibri" w:hAnsi="Calibri"/>
          <w:sz w:val="18"/>
          <w:szCs w:val="18"/>
        </w:rPr>
        <w:t xml:space="preserve"> </w:t>
      </w:r>
      <w:r w:rsidR="002F7737">
        <w:rPr>
          <w:rFonts w:ascii="Calibri" w:hAnsi="Calibri"/>
          <w:sz w:val="18"/>
          <w:szCs w:val="18"/>
        </w:rPr>
        <w:t>Ogden,</w:t>
      </w:r>
      <w:r w:rsidRPr="009919AE">
        <w:rPr>
          <w:rFonts w:ascii="Calibri" w:hAnsi="Calibri"/>
          <w:sz w:val="18"/>
          <w:szCs w:val="18"/>
        </w:rPr>
        <w:t xml:space="preserve"> pp</w:t>
      </w:r>
      <w:r w:rsidRPr="000E5C72">
        <w:rPr>
          <w:rFonts w:ascii="Calibri" w:hAnsi="Calibri"/>
          <w:sz w:val="18"/>
          <w:szCs w:val="18"/>
        </w:rPr>
        <w:t>. 182</w:t>
      </w:r>
    </w:p>
  </w:footnote>
  <w:footnote w:id="39">
    <w:p w14:paraId="21046886" w14:textId="3EFFB9B7" w:rsidR="000E5C72" w:rsidRPr="000E5C72" w:rsidRDefault="000E5C72">
      <w:pPr>
        <w:pStyle w:val="FootnoteText"/>
        <w:rPr>
          <w:rFonts w:ascii="Calibri" w:hAnsi="Calibri"/>
          <w:sz w:val="18"/>
          <w:szCs w:val="18"/>
        </w:rPr>
      </w:pPr>
      <w:r w:rsidRPr="000E5C72">
        <w:rPr>
          <w:rStyle w:val="FootnoteReference"/>
          <w:rFonts w:ascii="Calibri" w:hAnsi="Calibri"/>
          <w:sz w:val="18"/>
          <w:szCs w:val="18"/>
        </w:rPr>
        <w:footnoteRef/>
      </w:r>
      <w:r w:rsidRPr="000E5C72">
        <w:rPr>
          <w:rFonts w:ascii="Calibri" w:hAnsi="Calibri"/>
          <w:sz w:val="18"/>
          <w:szCs w:val="18"/>
        </w:rPr>
        <w:t xml:space="preserve"> Evans-Pritchard, pp. 221</w:t>
      </w:r>
    </w:p>
  </w:footnote>
  <w:footnote w:id="40">
    <w:p w14:paraId="7F064C0C" w14:textId="0B5F93F9" w:rsidR="000E5C72" w:rsidRPr="00A2155A" w:rsidRDefault="000E5C72">
      <w:pPr>
        <w:pStyle w:val="FootnoteText"/>
        <w:rPr>
          <w:sz w:val="18"/>
          <w:szCs w:val="18"/>
        </w:rPr>
      </w:pPr>
      <w:r w:rsidRPr="00A2155A">
        <w:rPr>
          <w:rStyle w:val="FootnoteReference"/>
          <w:rFonts w:ascii="Calibri" w:hAnsi="Calibri"/>
          <w:sz w:val="18"/>
          <w:szCs w:val="18"/>
        </w:rPr>
        <w:footnoteRef/>
      </w:r>
      <w:r w:rsidRPr="00A2155A">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A2155A">
        <w:rPr>
          <w:rFonts w:ascii="Calibri" w:hAnsi="Calibri"/>
          <w:sz w:val="18"/>
          <w:szCs w:val="18"/>
        </w:rPr>
        <w:t>pp. 244</w:t>
      </w:r>
    </w:p>
  </w:footnote>
  <w:footnote w:id="41">
    <w:p w14:paraId="7400B71E" w14:textId="04DC4A88" w:rsidR="00A2155A" w:rsidRPr="00E21F2B" w:rsidRDefault="00A2155A">
      <w:pPr>
        <w:pStyle w:val="FootnoteText"/>
        <w:rPr>
          <w:rFonts w:ascii="Calibri" w:hAnsi="Calibri"/>
          <w:sz w:val="18"/>
          <w:szCs w:val="18"/>
        </w:rPr>
      </w:pPr>
      <w:r w:rsidRPr="00A2155A">
        <w:rPr>
          <w:rStyle w:val="FootnoteReference"/>
          <w:sz w:val="18"/>
          <w:szCs w:val="18"/>
        </w:rPr>
        <w:footnoteRef/>
      </w:r>
      <w:r w:rsidRPr="00A2155A">
        <w:rPr>
          <w:sz w:val="18"/>
          <w:szCs w:val="18"/>
        </w:rPr>
        <w:t xml:space="preserve"> </w:t>
      </w:r>
      <w:r w:rsidR="00E21F2B">
        <w:rPr>
          <w:rFonts w:ascii="Calibri" w:hAnsi="Calibri"/>
          <w:sz w:val="18"/>
          <w:szCs w:val="18"/>
        </w:rPr>
        <w:t>Evans-</w:t>
      </w:r>
      <w:r w:rsidR="00E21F2B" w:rsidRPr="00E21F2B">
        <w:rPr>
          <w:rFonts w:ascii="Calibri" w:hAnsi="Calibri"/>
          <w:sz w:val="18"/>
          <w:szCs w:val="18"/>
        </w:rPr>
        <w:t>Pritchard</w:t>
      </w:r>
      <w:r w:rsidRPr="00E21F2B">
        <w:rPr>
          <w:rFonts w:ascii="Calibri" w:hAnsi="Calibri"/>
          <w:sz w:val="18"/>
          <w:szCs w:val="18"/>
        </w:rPr>
        <w:t>, pp. 244</w:t>
      </w:r>
    </w:p>
  </w:footnote>
  <w:footnote w:id="42">
    <w:p w14:paraId="00AC8CBA" w14:textId="144DB9C4" w:rsidR="00E21F2B" w:rsidRPr="00803BF5" w:rsidRDefault="00E21F2B">
      <w:pPr>
        <w:pStyle w:val="FootnoteText"/>
        <w:rPr>
          <w:rFonts w:ascii="Calibri" w:hAnsi="Calibri"/>
          <w:sz w:val="18"/>
          <w:szCs w:val="18"/>
        </w:rPr>
      </w:pPr>
      <w:r w:rsidRPr="00E21F2B">
        <w:rPr>
          <w:rStyle w:val="FootnoteReference"/>
          <w:rFonts w:ascii="Calibri" w:hAnsi="Calibri"/>
          <w:sz w:val="18"/>
          <w:szCs w:val="18"/>
        </w:rPr>
        <w:footnoteRef/>
      </w:r>
      <w:r w:rsidRPr="00E21F2B">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803BF5">
        <w:rPr>
          <w:rFonts w:ascii="Calibri" w:hAnsi="Calibri"/>
          <w:sz w:val="18"/>
          <w:szCs w:val="18"/>
        </w:rPr>
        <w:t>pp. 241</w:t>
      </w:r>
    </w:p>
  </w:footnote>
  <w:footnote w:id="43">
    <w:p w14:paraId="4777FCD5" w14:textId="06FA0257" w:rsidR="00803BF5" w:rsidRPr="00347D8F" w:rsidRDefault="00803BF5">
      <w:pPr>
        <w:pStyle w:val="FootnoteText"/>
        <w:rPr>
          <w:rFonts w:ascii="Calibri" w:hAnsi="Calibri"/>
          <w:sz w:val="18"/>
          <w:szCs w:val="18"/>
        </w:rPr>
      </w:pPr>
      <w:r w:rsidRPr="00803BF5">
        <w:rPr>
          <w:rStyle w:val="FootnoteReference"/>
          <w:rFonts w:ascii="Calibri" w:hAnsi="Calibri"/>
          <w:sz w:val="18"/>
          <w:szCs w:val="18"/>
        </w:rPr>
        <w:footnoteRef/>
      </w:r>
      <w:r w:rsidRPr="00803BF5">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347D8F">
        <w:rPr>
          <w:rFonts w:ascii="Calibri" w:hAnsi="Calibri"/>
          <w:sz w:val="18"/>
          <w:szCs w:val="18"/>
        </w:rPr>
        <w:t>pp. 242</w:t>
      </w:r>
    </w:p>
  </w:footnote>
  <w:footnote w:id="44">
    <w:p w14:paraId="311619C8" w14:textId="00FA9A7D" w:rsidR="00347D8F" w:rsidRDefault="00347D8F">
      <w:pPr>
        <w:pStyle w:val="FootnoteText"/>
      </w:pPr>
      <w:r w:rsidRPr="00347D8F">
        <w:rPr>
          <w:rStyle w:val="FootnoteReference"/>
          <w:rFonts w:ascii="Calibri" w:hAnsi="Calibri"/>
          <w:sz w:val="18"/>
          <w:szCs w:val="18"/>
        </w:rPr>
        <w:footnoteRef/>
      </w:r>
      <w:r w:rsidRPr="00347D8F">
        <w:rPr>
          <w:rFonts w:ascii="Calibri" w:hAnsi="Calibri"/>
          <w:sz w:val="18"/>
          <w:szCs w:val="18"/>
        </w:rPr>
        <w:t xml:space="preserve"> </w:t>
      </w:r>
      <w:proofErr w:type="spellStart"/>
      <w:r w:rsidRPr="00347D8F">
        <w:rPr>
          <w:rFonts w:ascii="Calibri" w:hAnsi="Calibri"/>
          <w:sz w:val="18"/>
          <w:szCs w:val="18"/>
        </w:rPr>
        <w:t>Lehoux</w:t>
      </w:r>
      <w:proofErr w:type="spellEnd"/>
      <w:r w:rsidRPr="00347D8F">
        <w:rPr>
          <w:rFonts w:ascii="Calibri" w:hAnsi="Calibri"/>
          <w:sz w:val="18"/>
          <w:szCs w:val="18"/>
        </w:rPr>
        <w:t>, pp. 3–7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135A47"/>
    <w:multiLevelType w:val="hybridMultilevel"/>
    <w:tmpl w:val="6A829DE6"/>
    <w:lvl w:ilvl="0" w:tplc="8F5C511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46F578F5"/>
    <w:multiLevelType w:val="hybridMultilevel"/>
    <w:tmpl w:val="F48649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E64176"/>
    <w:multiLevelType w:val="hybridMultilevel"/>
    <w:tmpl w:val="E318919E"/>
    <w:lvl w:ilvl="0" w:tplc="4706320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2"/>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E6B"/>
    <w:rsid w:val="000245E8"/>
    <w:rsid w:val="0003155D"/>
    <w:rsid w:val="0003764B"/>
    <w:rsid w:val="000536D5"/>
    <w:rsid w:val="00053EAD"/>
    <w:rsid w:val="0005633D"/>
    <w:rsid w:val="000655A3"/>
    <w:rsid w:val="00074F69"/>
    <w:rsid w:val="000A1C66"/>
    <w:rsid w:val="000B2BE5"/>
    <w:rsid w:val="000B59FE"/>
    <w:rsid w:val="000B71E2"/>
    <w:rsid w:val="000C38CA"/>
    <w:rsid w:val="000E03DE"/>
    <w:rsid w:val="000E5C72"/>
    <w:rsid w:val="000E635A"/>
    <w:rsid w:val="0010030F"/>
    <w:rsid w:val="00103890"/>
    <w:rsid w:val="00111CAD"/>
    <w:rsid w:val="001643EA"/>
    <w:rsid w:val="001739FF"/>
    <w:rsid w:val="0017400F"/>
    <w:rsid w:val="00187B5A"/>
    <w:rsid w:val="0019007E"/>
    <w:rsid w:val="001A7411"/>
    <w:rsid w:val="001B1918"/>
    <w:rsid w:val="001B2C9C"/>
    <w:rsid w:val="001D075A"/>
    <w:rsid w:val="001E550A"/>
    <w:rsid w:val="001F166F"/>
    <w:rsid w:val="00210102"/>
    <w:rsid w:val="002131B9"/>
    <w:rsid w:val="002166E2"/>
    <w:rsid w:val="002178B9"/>
    <w:rsid w:val="00241FFF"/>
    <w:rsid w:val="00247B7F"/>
    <w:rsid w:val="002524EC"/>
    <w:rsid w:val="00253AC1"/>
    <w:rsid w:val="002656C5"/>
    <w:rsid w:val="00286847"/>
    <w:rsid w:val="002871CA"/>
    <w:rsid w:val="00290FFB"/>
    <w:rsid w:val="002D1D52"/>
    <w:rsid w:val="002F2886"/>
    <w:rsid w:val="002F66D8"/>
    <w:rsid w:val="002F7737"/>
    <w:rsid w:val="003018BC"/>
    <w:rsid w:val="00306D8D"/>
    <w:rsid w:val="00306EEE"/>
    <w:rsid w:val="00330202"/>
    <w:rsid w:val="003345D5"/>
    <w:rsid w:val="003464BD"/>
    <w:rsid w:val="00347D8F"/>
    <w:rsid w:val="00351B2C"/>
    <w:rsid w:val="003567D3"/>
    <w:rsid w:val="003602D6"/>
    <w:rsid w:val="003609DA"/>
    <w:rsid w:val="003628A7"/>
    <w:rsid w:val="00364037"/>
    <w:rsid w:val="003805FD"/>
    <w:rsid w:val="00390BFB"/>
    <w:rsid w:val="003A790E"/>
    <w:rsid w:val="003B5B60"/>
    <w:rsid w:val="003B6B79"/>
    <w:rsid w:val="003C274E"/>
    <w:rsid w:val="003C4ED9"/>
    <w:rsid w:val="003D1BE4"/>
    <w:rsid w:val="003D2C7F"/>
    <w:rsid w:val="003E43BE"/>
    <w:rsid w:val="003E4477"/>
    <w:rsid w:val="003F5FB1"/>
    <w:rsid w:val="00414C48"/>
    <w:rsid w:val="00427A4E"/>
    <w:rsid w:val="004321EF"/>
    <w:rsid w:val="004349D7"/>
    <w:rsid w:val="004400A6"/>
    <w:rsid w:val="00444E41"/>
    <w:rsid w:val="00472490"/>
    <w:rsid w:val="00476C12"/>
    <w:rsid w:val="00494892"/>
    <w:rsid w:val="00495D5C"/>
    <w:rsid w:val="004A1250"/>
    <w:rsid w:val="004A4DC3"/>
    <w:rsid w:val="004A5459"/>
    <w:rsid w:val="004B2978"/>
    <w:rsid w:val="004E08E1"/>
    <w:rsid w:val="004E5BB7"/>
    <w:rsid w:val="004F748D"/>
    <w:rsid w:val="004F7E49"/>
    <w:rsid w:val="005103B6"/>
    <w:rsid w:val="00517B74"/>
    <w:rsid w:val="0052324C"/>
    <w:rsid w:val="005267C7"/>
    <w:rsid w:val="00531D82"/>
    <w:rsid w:val="005440AB"/>
    <w:rsid w:val="00550E96"/>
    <w:rsid w:val="00551ED0"/>
    <w:rsid w:val="00552CD7"/>
    <w:rsid w:val="005676CD"/>
    <w:rsid w:val="00576C4E"/>
    <w:rsid w:val="005845D9"/>
    <w:rsid w:val="005A3578"/>
    <w:rsid w:val="005A3963"/>
    <w:rsid w:val="005C4CE5"/>
    <w:rsid w:val="005C4D85"/>
    <w:rsid w:val="005C645C"/>
    <w:rsid w:val="005D2701"/>
    <w:rsid w:val="005D7D40"/>
    <w:rsid w:val="005E1D16"/>
    <w:rsid w:val="005F1E6D"/>
    <w:rsid w:val="00604AA2"/>
    <w:rsid w:val="00614043"/>
    <w:rsid w:val="006200A6"/>
    <w:rsid w:val="006251D4"/>
    <w:rsid w:val="00641B38"/>
    <w:rsid w:val="00653039"/>
    <w:rsid w:val="006608E8"/>
    <w:rsid w:val="0067289F"/>
    <w:rsid w:val="00696A1D"/>
    <w:rsid w:val="006A07FE"/>
    <w:rsid w:val="006C08AE"/>
    <w:rsid w:val="006C43DB"/>
    <w:rsid w:val="006C6B98"/>
    <w:rsid w:val="006D198C"/>
    <w:rsid w:val="006D4CEB"/>
    <w:rsid w:val="006E2461"/>
    <w:rsid w:val="006F5880"/>
    <w:rsid w:val="007108DF"/>
    <w:rsid w:val="00714AFD"/>
    <w:rsid w:val="00720F72"/>
    <w:rsid w:val="007255D2"/>
    <w:rsid w:val="00727927"/>
    <w:rsid w:val="00747669"/>
    <w:rsid w:val="0077075E"/>
    <w:rsid w:val="00773E32"/>
    <w:rsid w:val="0077566B"/>
    <w:rsid w:val="00792B0E"/>
    <w:rsid w:val="00796405"/>
    <w:rsid w:val="007B4B1E"/>
    <w:rsid w:val="007D06A3"/>
    <w:rsid w:val="007D47A6"/>
    <w:rsid w:val="0080243F"/>
    <w:rsid w:val="00803BF5"/>
    <w:rsid w:val="008132DF"/>
    <w:rsid w:val="0081560E"/>
    <w:rsid w:val="00822682"/>
    <w:rsid w:val="008255D5"/>
    <w:rsid w:val="00826883"/>
    <w:rsid w:val="00826A80"/>
    <w:rsid w:val="00847124"/>
    <w:rsid w:val="008557A1"/>
    <w:rsid w:val="00876583"/>
    <w:rsid w:val="00877FBD"/>
    <w:rsid w:val="008801F4"/>
    <w:rsid w:val="008925E5"/>
    <w:rsid w:val="008B185A"/>
    <w:rsid w:val="008B1E5F"/>
    <w:rsid w:val="008C2014"/>
    <w:rsid w:val="008E3E2C"/>
    <w:rsid w:val="008F5C75"/>
    <w:rsid w:val="008F5DBA"/>
    <w:rsid w:val="009007F9"/>
    <w:rsid w:val="00916D3B"/>
    <w:rsid w:val="00934546"/>
    <w:rsid w:val="00941752"/>
    <w:rsid w:val="009445BF"/>
    <w:rsid w:val="00944B59"/>
    <w:rsid w:val="00953CBD"/>
    <w:rsid w:val="0097074B"/>
    <w:rsid w:val="00986B82"/>
    <w:rsid w:val="009919AE"/>
    <w:rsid w:val="009B322C"/>
    <w:rsid w:val="009C270D"/>
    <w:rsid w:val="009C6014"/>
    <w:rsid w:val="00A107CF"/>
    <w:rsid w:val="00A17A1A"/>
    <w:rsid w:val="00A2155A"/>
    <w:rsid w:val="00A32C08"/>
    <w:rsid w:val="00A52461"/>
    <w:rsid w:val="00A531E9"/>
    <w:rsid w:val="00A61DAC"/>
    <w:rsid w:val="00A71DD8"/>
    <w:rsid w:val="00A84CBE"/>
    <w:rsid w:val="00A85CB8"/>
    <w:rsid w:val="00A931B7"/>
    <w:rsid w:val="00A944BB"/>
    <w:rsid w:val="00AA6726"/>
    <w:rsid w:val="00AB74A4"/>
    <w:rsid w:val="00AC6BF1"/>
    <w:rsid w:val="00AE7866"/>
    <w:rsid w:val="00AF04D1"/>
    <w:rsid w:val="00B23288"/>
    <w:rsid w:val="00B35559"/>
    <w:rsid w:val="00B621D8"/>
    <w:rsid w:val="00B66FAF"/>
    <w:rsid w:val="00B704FC"/>
    <w:rsid w:val="00B7255A"/>
    <w:rsid w:val="00B7624C"/>
    <w:rsid w:val="00B77686"/>
    <w:rsid w:val="00B9659F"/>
    <w:rsid w:val="00BA007A"/>
    <w:rsid w:val="00BB2E63"/>
    <w:rsid w:val="00BC27C6"/>
    <w:rsid w:val="00BC6A0E"/>
    <w:rsid w:val="00BD77C1"/>
    <w:rsid w:val="00C05E82"/>
    <w:rsid w:val="00C10C40"/>
    <w:rsid w:val="00C13C03"/>
    <w:rsid w:val="00C33BAB"/>
    <w:rsid w:val="00C411F9"/>
    <w:rsid w:val="00C435CD"/>
    <w:rsid w:val="00C43916"/>
    <w:rsid w:val="00C55A9D"/>
    <w:rsid w:val="00C631D6"/>
    <w:rsid w:val="00C8510B"/>
    <w:rsid w:val="00C85D5D"/>
    <w:rsid w:val="00C94CE2"/>
    <w:rsid w:val="00CA61BE"/>
    <w:rsid w:val="00CF1B12"/>
    <w:rsid w:val="00D114D6"/>
    <w:rsid w:val="00D15F8F"/>
    <w:rsid w:val="00D22785"/>
    <w:rsid w:val="00D2643C"/>
    <w:rsid w:val="00D51E88"/>
    <w:rsid w:val="00D5592A"/>
    <w:rsid w:val="00D6649C"/>
    <w:rsid w:val="00D70E6B"/>
    <w:rsid w:val="00D83F61"/>
    <w:rsid w:val="00D97D99"/>
    <w:rsid w:val="00DA28AA"/>
    <w:rsid w:val="00DB0C65"/>
    <w:rsid w:val="00DB666B"/>
    <w:rsid w:val="00DF3C5A"/>
    <w:rsid w:val="00DF7927"/>
    <w:rsid w:val="00E101E6"/>
    <w:rsid w:val="00E17FE4"/>
    <w:rsid w:val="00E21F2B"/>
    <w:rsid w:val="00E236FC"/>
    <w:rsid w:val="00E32882"/>
    <w:rsid w:val="00E344D7"/>
    <w:rsid w:val="00E52193"/>
    <w:rsid w:val="00E522DC"/>
    <w:rsid w:val="00E54E5F"/>
    <w:rsid w:val="00E57496"/>
    <w:rsid w:val="00E75D50"/>
    <w:rsid w:val="00E82056"/>
    <w:rsid w:val="00E84FFF"/>
    <w:rsid w:val="00E85166"/>
    <w:rsid w:val="00E91F45"/>
    <w:rsid w:val="00EB3B11"/>
    <w:rsid w:val="00ED5F82"/>
    <w:rsid w:val="00ED686D"/>
    <w:rsid w:val="00F14B9B"/>
    <w:rsid w:val="00F22EEF"/>
    <w:rsid w:val="00F27FF8"/>
    <w:rsid w:val="00F301D2"/>
    <w:rsid w:val="00F30E00"/>
    <w:rsid w:val="00F334E0"/>
    <w:rsid w:val="00F54912"/>
    <w:rsid w:val="00F628FB"/>
    <w:rsid w:val="00F80A26"/>
    <w:rsid w:val="00F82C18"/>
    <w:rsid w:val="00F91C29"/>
    <w:rsid w:val="00FA35F9"/>
    <w:rsid w:val="00FB3B09"/>
    <w:rsid w:val="00FD4BE3"/>
    <w:rsid w:val="00FE0C1D"/>
    <w:rsid w:val="00FE5F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3CE16"/>
  <w15:chartTrackingRefBased/>
  <w15:docId w15:val="{F4D5DE97-5CEB-E944-AA35-9EAE66B84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4EC"/>
    <w:rPr>
      <w:rFonts w:ascii="Times New Roman" w:eastAsia="Times New Roman" w:hAnsi="Times New Roman" w:cs="Times New Roman"/>
    </w:rPr>
  </w:style>
  <w:style w:type="paragraph" w:styleId="Heading3">
    <w:name w:val="heading 3"/>
    <w:basedOn w:val="Normal"/>
    <w:next w:val="Normal"/>
    <w:link w:val="Heading3Char"/>
    <w:uiPriority w:val="9"/>
    <w:semiHidden/>
    <w:unhideWhenUsed/>
    <w:qFormat/>
    <w:rsid w:val="005D2701"/>
    <w:pPr>
      <w:keepNext/>
      <w:keepLines/>
      <w:spacing w:before="320" w:after="80" w:line="276" w:lineRule="auto"/>
      <w:outlineLvl w:val="2"/>
    </w:pPr>
    <w:rPr>
      <w:rFonts w:ascii="Arial" w:eastAsia="Arial" w:hAnsi="Arial" w:cs="Arial"/>
      <w:color w:val="434343"/>
      <w:sz w:val="28"/>
      <w:szCs w:val="2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E6B"/>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D70E6B"/>
  </w:style>
  <w:style w:type="paragraph" w:styleId="Footer">
    <w:name w:val="footer"/>
    <w:basedOn w:val="Normal"/>
    <w:link w:val="FooterChar"/>
    <w:uiPriority w:val="99"/>
    <w:unhideWhenUsed/>
    <w:rsid w:val="00D70E6B"/>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D70E6B"/>
  </w:style>
  <w:style w:type="character" w:styleId="Hyperlink">
    <w:name w:val="Hyperlink"/>
    <w:basedOn w:val="DefaultParagraphFont"/>
    <w:uiPriority w:val="99"/>
    <w:unhideWhenUsed/>
    <w:rsid w:val="003A790E"/>
    <w:rPr>
      <w:color w:val="0563C1" w:themeColor="hyperlink"/>
      <w:u w:val="single"/>
    </w:rPr>
  </w:style>
  <w:style w:type="character" w:styleId="UnresolvedMention">
    <w:name w:val="Unresolved Mention"/>
    <w:basedOn w:val="DefaultParagraphFont"/>
    <w:uiPriority w:val="99"/>
    <w:semiHidden/>
    <w:unhideWhenUsed/>
    <w:rsid w:val="003A790E"/>
    <w:rPr>
      <w:color w:val="605E5C"/>
      <w:shd w:val="clear" w:color="auto" w:fill="E1DFDD"/>
    </w:rPr>
  </w:style>
  <w:style w:type="character" w:styleId="FollowedHyperlink">
    <w:name w:val="FollowedHyperlink"/>
    <w:basedOn w:val="DefaultParagraphFont"/>
    <w:uiPriority w:val="99"/>
    <w:semiHidden/>
    <w:unhideWhenUsed/>
    <w:rsid w:val="003A790E"/>
    <w:rPr>
      <w:color w:val="954F72" w:themeColor="followedHyperlink"/>
      <w:u w:val="single"/>
    </w:rPr>
  </w:style>
  <w:style w:type="paragraph" w:styleId="ListParagraph">
    <w:name w:val="List Paragraph"/>
    <w:basedOn w:val="Normal"/>
    <w:uiPriority w:val="34"/>
    <w:qFormat/>
    <w:rsid w:val="00934546"/>
    <w:pPr>
      <w:ind w:left="720"/>
      <w:contextualSpacing/>
    </w:pPr>
  </w:style>
  <w:style w:type="paragraph" w:customStyle="1" w:styleId="Default">
    <w:name w:val="Default"/>
    <w:rsid w:val="003C274E"/>
    <w:pPr>
      <w:autoSpaceDE w:val="0"/>
      <w:autoSpaceDN w:val="0"/>
      <w:adjustRightInd w:val="0"/>
    </w:pPr>
    <w:rPr>
      <w:rFonts w:ascii="Code" w:hAnsi="Code" w:cs="Code"/>
      <w:color w:val="000000"/>
    </w:rPr>
  </w:style>
  <w:style w:type="paragraph" w:styleId="FootnoteText">
    <w:name w:val="footnote text"/>
    <w:basedOn w:val="Normal"/>
    <w:link w:val="FootnoteTextChar"/>
    <w:uiPriority w:val="99"/>
    <w:semiHidden/>
    <w:unhideWhenUsed/>
    <w:rsid w:val="00AC6BF1"/>
    <w:rPr>
      <w:sz w:val="20"/>
      <w:szCs w:val="20"/>
    </w:rPr>
  </w:style>
  <w:style w:type="character" w:customStyle="1" w:styleId="FootnoteTextChar">
    <w:name w:val="Footnote Text Char"/>
    <w:basedOn w:val="DefaultParagraphFont"/>
    <w:link w:val="FootnoteText"/>
    <w:uiPriority w:val="99"/>
    <w:semiHidden/>
    <w:rsid w:val="00AC6BF1"/>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AC6BF1"/>
    <w:rPr>
      <w:vertAlign w:val="superscript"/>
    </w:rPr>
  </w:style>
  <w:style w:type="character" w:styleId="CommentReference">
    <w:name w:val="annotation reference"/>
    <w:basedOn w:val="DefaultParagraphFont"/>
    <w:uiPriority w:val="99"/>
    <w:semiHidden/>
    <w:unhideWhenUsed/>
    <w:rsid w:val="00241FFF"/>
    <w:rPr>
      <w:sz w:val="16"/>
      <w:szCs w:val="16"/>
    </w:rPr>
  </w:style>
  <w:style w:type="paragraph" w:styleId="CommentText">
    <w:name w:val="annotation text"/>
    <w:basedOn w:val="Normal"/>
    <w:link w:val="CommentTextChar"/>
    <w:uiPriority w:val="99"/>
    <w:semiHidden/>
    <w:unhideWhenUsed/>
    <w:rsid w:val="00241FFF"/>
    <w:rPr>
      <w:sz w:val="20"/>
      <w:szCs w:val="20"/>
    </w:rPr>
  </w:style>
  <w:style w:type="character" w:customStyle="1" w:styleId="CommentTextChar">
    <w:name w:val="Comment Text Char"/>
    <w:basedOn w:val="DefaultParagraphFont"/>
    <w:link w:val="CommentText"/>
    <w:uiPriority w:val="99"/>
    <w:semiHidden/>
    <w:rsid w:val="00241FF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41FFF"/>
    <w:rPr>
      <w:b/>
      <w:bCs/>
    </w:rPr>
  </w:style>
  <w:style w:type="character" w:customStyle="1" w:styleId="CommentSubjectChar">
    <w:name w:val="Comment Subject Char"/>
    <w:basedOn w:val="CommentTextChar"/>
    <w:link w:val="CommentSubject"/>
    <w:uiPriority w:val="99"/>
    <w:semiHidden/>
    <w:rsid w:val="00241FFF"/>
    <w:rPr>
      <w:rFonts w:ascii="Times New Roman" w:eastAsia="Times New Roman" w:hAnsi="Times New Roman" w:cs="Times New Roman"/>
      <w:b/>
      <w:bCs/>
      <w:sz w:val="20"/>
      <w:szCs w:val="20"/>
    </w:rPr>
  </w:style>
  <w:style w:type="character" w:customStyle="1" w:styleId="Heading3Char">
    <w:name w:val="Heading 3 Char"/>
    <w:basedOn w:val="DefaultParagraphFont"/>
    <w:link w:val="Heading3"/>
    <w:uiPriority w:val="9"/>
    <w:semiHidden/>
    <w:rsid w:val="005D2701"/>
    <w:rPr>
      <w:rFonts w:ascii="Arial" w:eastAsia="Arial" w:hAnsi="Arial" w:cs="Arial"/>
      <w:color w:val="434343"/>
      <w:sz w:val="28"/>
      <w:szCs w:val="28"/>
      <w:lang w:val="en-GB"/>
    </w:rPr>
  </w:style>
  <w:style w:type="paragraph" w:styleId="NormalWeb">
    <w:name w:val="Normal (Web)"/>
    <w:basedOn w:val="Normal"/>
    <w:uiPriority w:val="99"/>
    <w:rsid w:val="005D2701"/>
    <w:pPr>
      <w:spacing w:before="100" w:beforeAutospacing="1" w:after="100" w:afterAutospacing="1"/>
    </w:pPr>
    <w:rPr>
      <w:rFonts w:ascii="Georgia" w:eastAsia="SimSun" w:hAnsi="Georgia"/>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1081">
      <w:bodyDiv w:val="1"/>
      <w:marLeft w:val="0"/>
      <w:marRight w:val="0"/>
      <w:marTop w:val="0"/>
      <w:marBottom w:val="0"/>
      <w:divBdr>
        <w:top w:val="none" w:sz="0" w:space="0" w:color="auto"/>
        <w:left w:val="none" w:sz="0" w:space="0" w:color="auto"/>
        <w:bottom w:val="none" w:sz="0" w:space="0" w:color="auto"/>
        <w:right w:val="none" w:sz="0" w:space="0" w:color="auto"/>
      </w:divBdr>
    </w:div>
    <w:div w:id="12267155">
      <w:bodyDiv w:val="1"/>
      <w:marLeft w:val="0"/>
      <w:marRight w:val="0"/>
      <w:marTop w:val="0"/>
      <w:marBottom w:val="0"/>
      <w:divBdr>
        <w:top w:val="none" w:sz="0" w:space="0" w:color="auto"/>
        <w:left w:val="none" w:sz="0" w:space="0" w:color="auto"/>
        <w:bottom w:val="none" w:sz="0" w:space="0" w:color="auto"/>
        <w:right w:val="none" w:sz="0" w:space="0" w:color="auto"/>
      </w:divBdr>
    </w:div>
    <w:div w:id="240675885">
      <w:bodyDiv w:val="1"/>
      <w:marLeft w:val="0"/>
      <w:marRight w:val="0"/>
      <w:marTop w:val="0"/>
      <w:marBottom w:val="0"/>
      <w:divBdr>
        <w:top w:val="none" w:sz="0" w:space="0" w:color="auto"/>
        <w:left w:val="none" w:sz="0" w:space="0" w:color="auto"/>
        <w:bottom w:val="none" w:sz="0" w:space="0" w:color="auto"/>
        <w:right w:val="none" w:sz="0" w:space="0" w:color="auto"/>
      </w:divBdr>
    </w:div>
    <w:div w:id="265237746">
      <w:bodyDiv w:val="1"/>
      <w:marLeft w:val="0"/>
      <w:marRight w:val="0"/>
      <w:marTop w:val="0"/>
      <w:marBottom w:val="0"/>
      <w:divBdr>
        <w:top w:val="none" w:sz="0" w:space="0" w:color="auto"/>
        <w:left w:val="none" w:sz="0" w:space="0" w:color="auto"/>
        <w:bottom w:val="none" w:sz="0" w:space="0" w:color="auto"/>
        <w:right w:val="none" w:sz="0" w:space="0" w:color="auto"/>
      </w:divBdr>
    </w:div>
    <w:div w:id="696665673">
      <w:bodyDiv w:val="1"/>
      <w:marLeft w:val="0"/>
      <w:marRight w:val="0"/>
      <w:marTop w:val="0"/>
      <w:marBottom w:val="0"/>
      <w:divBdr>
        <w:top w:val="none" w:sz="0" w:space="0" w:color="auto"/>
        <w:left w:val="none" w:sz="0" w:space="0" w:color="auto"/>
        <w:bottom w:val="none" w:sz="0" w:space="0" w:color="auto"/>
        <w:right w:val="none" w:sz="0" w:space="0" w:color="auto"/>
      </w:divBdr>
    </w:div>
    <w:div w:id="728500814">
      <w:bodyDiv w:val="1"/>
      <w:marLeft w:val="0"/>
      <w:marRight w:val="0"/>
      <w:marTop w:val="0"/>
      <w:marBottom w:val="0"/>
      <w:divBdr>
        <w:top w:val="none" w:sz="0" w:space="0" w:color="auto"/>
        <w:left w:val="none" w:sz="0" w:space="0" w:color="auto"/>
        <w:bottom w:val="none" w:sz="0" w:space="0" w:color="auto"/>
        <w:right w:val="none" w:sz="0" w:space="0" w:color="auto"/>
      </w:divBdr>
    </w:div>
    <w:div w:id="1277517420">
      <w:bodyDiv w:val="1"/>
      <w:marLeft w:val="0"/>
      <w:marRight w:val="0"/>
      <w:marTop w:val="0"/>
      <w:marBottom w:val="0"/>
      <w:divBdr>
        <w:top w:val="none" w:sz="0" w:space="0" w:color="auto"/>
        <w:left w:val="none" w:sz="0" w:space="0" w:color="auto"/>
        <w:bottom w:val="none" w:sz="0" w:space="0" w:color="auto"/>
        <w:right w:val="none" w:sz="0" w:space="0" w:color="auto"/>
      </w:divBdr>
    </w:div>
    <w:div w:id="1528371463">
      <w:bodyDiv w:val="1"/>
      <w:marLeft w:val="0"/>
      <w:marRight w:val="0"/>
      <w:marTop w:val="0"/>
      <w:marBottom w:val="0"/>
      <w:divBdr>
        <w:top w:val="none" w:sz="0" w:space="0" w:color="auto"/>
        <w:left w:val="none" w:sz="0" w:space="0" w:color="auto"/>
        <w:bottom w:val="none" w:sz="0" w:space="0" w:color="auto"/>
        <w:right w:val="none" w:sz="0" w:space="0" w:color="auto"/>
      </w:divBdr>
    </w:div>
    <w:div w:id="1537738623">
      <w:bodyDiv w:val="1"/>
      <w:marLeft w:val="0"/>
      <w:marRight w:val="0"/>
      <w:marTop w:val="0"/>
      <w:marBottom w:val="0"/>
      <w:divBdr>
        <w:top w:val="none" w:sz="0" w:space="0" w:color="auto"/>
        <w:left w:val="none" w:sz="0" w:space="0" w:color="auto"/>
        <w:bottom w:val="none" w:sz="0" w:space="0" w:color="auto"/>
        <w:right w:val="none" w:sz="0" w:space="0" w:color="auto"/>
      </w:divBdr>
    </w:div>
    <w:div w:id="1743604639">
      <w:bodyDiv w:val="1"/>
      <w:marLeft w:val="0"/>
      <w:marRight w:val="0"/>
      <w:marTop w:val="0"/>
      <w:marBottom w:val="0"/>
      <w:divBdr>
        <w:top w:val="none" w:sz="0" w:space="0" w:color="auto"/>
        <w:left w:val="none" w:sz="0" w:space="0" w:color="auto"/>
        <w:bottom w:val="none" w:sz="0" w:space="0" w:color="auto"/>
        <w:right w:val="none" w:sz="0" w:space="0" w:color="auto"/>
      </w:divBdr>
    </w:div>
    <w:div w:id="1793160520">
      <w:bodyDiv w:val="1"/>
      <w:marLeft w:val="0"/>
      <w:marRight w:val="0"/>
      <w:marTop w:val="0"/>
      <w:marBottom w:val="0"/>
      <w:divBdr>
        <w:top w:val="none" w:sz="0" w:space="0" w:color="auto"/>
        <w:left w:val="none" w:sz="0" w:space="0" w:color="auto"/>
        <w:bottom w:val="none" w:sz="0" w:space="0" w:color="auto"/>
        <w:right w:val="none" w:sz="0" w:space="0" w:color="auto"/>
      </w:divBdr>
    </w:div>
    <w:div w:id="1940793271">
      <w:bodyDiv w:val="1"/>
      <w:marLeft w:val="0"/>
      <w:marRight w:val="0"/>
      <w:marTop w:val="0"/>
      <w:marBottom w:val="0"/>
      <w:divBdr>
        <w:top w:val="none" w:sz="0" w:space="0" w:color="auto"/>
        <w:left w:val="none" w:sz="0" w:space="0" w:color="auto"/>
        <w:bottom w:val="none" w:sz="0" w:space="0" w:color="auto"/>
        <w:right w:val="none" w:sz="0" w:space="0" w:color="auto"/>
      </w:divBdr>
    </w:div>
    <w:div w:id="1967658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5230</Words>
  <Characters>29813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Eshelman, Jake</dc:creator>
  <cp:keywords/>
  <dc:description/>
  <cp:lastModifiedBy>Eshelman, Jake</cp:lastModifiedBy>
  <cp:revision>2</cp:revision>
  <dcterms:created xsi:type="dcterms:W3CDTF">2021-05-10T20:05:00Z</dcterms:created>
  <dcterms:modified xsi:type="dcterms:W3CDTF">2021-05-10T20:05:00Z</dcterms:modified>
</cp:coreProperties>
</file>