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1FAE8" w14:textId="77777777" w:rsidR="005404F0" w:rsidRPr="005404F0" w:rsidRDefault="005404F0" w:rsidP="005404F0">
      <w:pPr>
        <w:rPr>
          <w:u w:val="single"/>
        </w:rPr>
      </w:pPr>
      <w:r w:rsidRPr="005404F0">
        <w:rPr>
          <w:u w:val="single"/>
        </w:rPr>
        <w:t>Part 1: Government Policies and Initiatives Addressing Dementia Care in the UK</w:t>
      </w:r>
    </w:p>
    <w:p w14:paraId="462D5EDC" w14:textId="267DC2CE" w:rsidR="005404F0" w:rsidRDefault="005404F0" w:rsidP="005404F0">
      <w:r>
        <w:t>Dementia care in the UK has received increasing attention due to the rapidly aging population and the rising prevalence of dementia-related conditions. Over the years, a variety of government policies, initiatives, and reports have been developed to address the challenges of dementia care. These policies aim not only to improve the care and treatment available to people living with dementia but also to support families, caregivers, and healthcare providers. The following outline</w:t>
      </w:r>
      <w:r>
        <w:t>s</w:t>
      </w:r>
      <w:r>
        <w:t xml:space="preserve"> key UK government initiatives and their role in shaping dementia care provision.</w:t>
      </w:r>
    </w:p>
    <w:p w14:paraId="010DAEB3" w14:textId="72BF5643" w:rsidR="005404F0" w:rsidRPr="005404F0" w:rsidRDefault="005404F0" w:rsidP="005404F0">
      <w:pPr>
        <w:rPr>
          <w:b/>
          <w:bCs/>
        </w:rPr>
      </w:pPr>
      <w:r w:rsidRPr="005404F0">
        <w:rPr>
          <w:b/>
          <w:bCs/>
        </w:rPr>
        <w:t>The Dementia Strategy</w:t>
      </w:r>
    </w:p>
    <w:p w14:paraId="135D2C04" w14:textId="42EEAF72" w:rsidR="005404F0" w:rsidRDefault="005404F0" w:rsidP="005404F0">
      <w:r>
        <w:t>A central policy driving the government's approach to dementia care is the Dementia Strategy, first introduced in 2009 and revised periodically. The strategy lays out a vision for improving the care of people living with dementia and ensuring that the services they rely on are of the highest quality. A core objective of the strategy is to ensure early diagnosis and intervention, which research has shown can significantly improve outcomes for those living with dementia (Department of Health, 2022). It emphasizes that dementia care should be person-</w:t>
      </w:r>
      <w:r>
        <w:t>centred</w:t>
      </w:r>
      <w:r>
        <w:t xml:space="preserve">, focusing on meeting the unique needs of </w:t>
      </w:r>
      <w:proofErr w:type="gramStart"/>
      <w:r>
        <w:t>each individual</w:t>
      </w:r>
      <w:proofErr w:type="gramEnd"/>
      <w:r>
        <w:t xml:space="preserve"> rather than offering a one-size-fits-all solution. This approach ensures that care is tailored to each person's circumstances, including their preferences and any co-existing conditions, and is provided in a supportive and compassionate environment.</w:t>
      </w:r>
    </w:p>
    <w:p w14:paraId="3C873653" w14:textId="1170E97A" w:rsidR="005404F0" w:rsidRPr="005404F0" w:rsidRDefault="005404F0" w:rsidP="005404F0">
      <w:pPr>
        <w:rPr>
          <w:b/>
          <w:bCs/>
        </w:rPr>
      </w:pPr>
      <w:r w:rsidRPr="005404F0">
        <w:rPr>
          <w:b/>
          <w:bCs/>
        </w:rPr>
        <w:t>Alzheimer’s Society and the Call for a 10-Year Dementia Plan</w:t>
      </w:r>
    </w:p>
    <w:p w14:paraId="55AD5F0D" w14:textId="00A69363" w:rsidR="005404F0" w:rsidRDefault="005404F0" w:rsidP="005404F0">
      <w:r>
        <w:t>One influential voice in shaping dementia policy is the Alzheimer’s Society, which has consistently advocated for greater government action. The charity's 2024 report calls for the introduction of a 10-year dementia plan to provide long-term strategic guidance for dementia care in the UK. The report highlights several areas of concern, including a significant gap in post-diagnosis support. While early diagnosis is important, people with dementia often face a lack of support after diagnosis, leaving families to navigate the complexities of care alone. The Alzheimer’s Society’s call for a long-term plan includes increased funding for dementia research, enhanced caregiver support, and improved access to care services. By emphasizing these areas, the organization hopes to address the systemic issues that prevent many people from receiving timely and effective care (Alzheimer's Society, 2024).</w:t>
      </w:r>
    </w:p>
    <w:p w14:paraId="4735572C" w14:textId="48159FF7" w:rsidR="005404F0" w:rsidRPr="005404F0" w:rsidRDefault="005404F0" w:rsidP="005404F0">
      <w:pPr>
        <w:rPr>
          <w:b/>
          <w:bCs/>
        </w:rPr>
      </w:pPr>
      <w:r w:rsidRPr="005404F0">
        <w:rPr>
          <w:b/>
          <w:bCs/>
        </w:rPr>
        <w:t>Dementia Research and Innovation: The Dementia Mission</w:t>
      </w:r>
    </w:p>
    <w:p w14:paraId="09E7AC41" w14:textId="19705299" w:rsidR="005404F0" w:rsidRDefault="005404F0" w:rsidP="005404F0">
      <w:r>
        <w:t xml:space="preserve">The UK government has also made significant investments in dementia research through initiatives like the Dementia Mission. This mission, launched in 2022, aims to make the UK a global leader in dementia research by fostering collaboration between government agencies, academic institutions, and private organizations. The initiative </w:t>
      </w:r>
      <w:r>
        <w:lastRenderedPageBreak/>
        <w:t>focuses on expanding knowledge about the causes of dementia, developing new treatments, and improving the quality of life for those affected by dementia. One of the key objectives of the mission is to increase funding for dementia research, which has traditionally been underfunded compared to other major diseases such as cancer or cardiovascular conditions (Alzheimer’s Research UK, 2023). This investment is expected to help accelerate the development of new treatments and diagnostic tools, ultimately leading to better care for those with dementia.</w:t>
      </w:r>
    </w:p>
    <w:p w14:paraId="6DDF0601" w14:textId="262CA2DA" w:rsidR="005404F0" w:rsidRPr="005404F0" w:rsidRDefault="005404F0" w:rsidP="005404F0">
      <w:pPr>
        <w:rPr>
          <w:b/>
          <w:bCs/>
        </w:rPr>
      </w:pPr>
      <w:r w:rsidRPr="005404F0">
        <w:rPr>
          <w:b/>
          <w:bCs/>
        </w:rPr>
        <w:t>National Institute for Health and Care Excellence (NICE) Guidelines</w:t>
      </w:r>
    </w:p>
    <w:p w14:paraId="47539937" w14:textId="663F51A9" w:rsidR="005404F0" w:rsidRDefault="005404F0" w:rsidP="005404F0">
      <w:r>
        <w:t>Another critical element of dementia care policy in the UK is the National Institute for Health and Care Excellence (NICE) guidelines. These guidelines provide evidence-based recommendations for the assessment, treatment, and care of people living with dementia. The guidelines emphasize the importance of early diagnosis, which allows for timely interventions and improved management of symptoms. NICE guidelines also advocate for person-</w:t>
      </w:r>
      <w:proofErr w:type="spellStart"/>
      <w:r>
        <w:t>centered</w:t>
      </w:r>
      <w:proofErr w:type="spellEnd"/>
      <w:r>
        <w:t xml:space="preserve"> care, in line with the Dementia Strategy, and outline specific care pathways for different types of dementia, including Alzheimer’s disease, vascular dementia, and frontotemporal dementia. The NICE guidelines are a vital resource for healthcare professionals, ensuring that care is consistent, up-to-date, and aligned with the latest research (National Institute for Health and Care Excellence, 2023).</w:t>
      </w:r>
    </w:p>
    <w:p w14:paraId="75924688" w14:textId="3301C715" w:rsidR="005404F0" w:rsidRPr="005404F0" w:rsidRDefault="005404F0" w:rsidP="005404F0">
      <w:pPr>
        <w:rPr>
          <w:b/>
          <w:bCs/>
        </w:rPr>
      </w:pPr>
      <w:r w:rsidRPr="005404F0">
        <w:rPr>
          <w:b/>
          <w:bCs/>
        </w:rPr>
        <w:t>The 2023 Cross-Government Dementia Strategy</w:t>
      </w:r>
    </w:p>
    <w:p w14:paraId="718AACEB" w14:textId="244981B5" w:rsidR="005404F0" w:rsidRDefault="005404F0" w:rsidP="005404F0">
      <w:r>
        <w:t>In 2023, the UK government launched an updated cross-government dementia strategy, which further emphasizes the importance of early intervention and a whole-systems approach to dementia care. This strategy recognizes the need for collaborative efforts across healthcare, social services, and community-based resources to provide comprehensive support to individuals and families affected by dementia. It also acknowledges the role of brain health, suggesting that adopting healthier lifestyles, including a balanced diet, regular physical activity, and mental stimulation, can reduce the risk of dementia and delay its onset (Department of Health and Social Care, 2023).</w:t>
      </w:r>
    </w:p>
    <w:p w14:paraId="7B3B67C6" w14:textId="420711FA" w:rsidR="005404F0" w:rsidRDefault="005404F0" w:rsidP="005404F0">
      <w:r>
        <w:t>This strategy is designed to integrate dementia care more fully into broader healthcare and public health policies. For example, it aligns dementia prevention with wider public health campaigns, focusing on the importance of a healthy lifestyle for all individuals, not just those at risk of dementia. By promoting awareness of dementia and brain health across the general population, the government hopes to reduce stigma and improve understanding, which is critical in supporting people with dementia and their families (Alzheimer’s Research UK, 2024).</w:t>
      </w:r>
    </w:p>
    <w:p w14:paraId="449B472B" w14:textId="7BE34FF5" w:rsidR="005404F0" w:rsidRPr="005404F0" w:rsidRDefault="005404F0" w:rsidP="005404F0">
      <w:pPr>
        <w:rPr>
          <w:b/>
          <w:bCs/>
        </w:rPr>
      </w:pPr>
      <w:r w:rsidRPr="005404F0">
        <w:rPr>
          <w:b/>
          <w:bCs/>
        </w:rPr>
        <w:t>Supporting Caregivers and Families</w:t>
      </w:r>
    </w:p>
    <w:p w14:paraId="1F49CEA6" w14:textId="77777777" w:rsidR="005404F0" w:rsidRDefault="005404F0" w:rsidP="005404F0"/>
    <w:p w14:paraId="3ABBC98F" w14:textId="77777777" w:rsidR="005404F0" w:rsidRDefault="005404F0" w:rsidP="005404F0"/>
    <w:p w14:paraId="4C3925C8" w14:textId="1DEA25E0" w:rsidR="005404F0" w:rsidRDefault="005404F0" w:rsidP="005404F0">
      <w:r>
        <w:t>In addition to improving healthcare services for people living with dementia, the UK government has also focused on supporting the families and caregivers who play an essential role in dementia care. Caregivers often experience significant emotional, physical, and financial strain, as they balance caregiving duties with their own personal and professional lives. The Carers’ Strategy, which was introduced in 2021, aims to provide greater support for family caregivers, including financial assistance, access to respite care, and mental health services. The strategy also promotes caregiver training programs, ensuring that families are equipped with the skills and knowledge they need to care for their loved ones effectively.</w:t>
      </w:r>
    </w:p>
    <w:p w14:paraId="42751048" w14:textId="77777777" w:rsidR="005404F0" w:rsidRDefault="005404F0" w:rsidP="005404F0"/>
    <w:p w14:paraId="0C462B01" w14:textId="51303BDB" w:rsidR="005404F0" w:rsidRDefault="005404F0" w:rsidP="005404F0">
      <w:r>
        <w:t>The UK government’s policies and initiatives have laid the groundwork for improving dementia care, but significant challenges remain. While strategies like the Dementia Strategy and the cross-government dementia strategy provide a comprehensive approach to dementia care, gaps still exist in support services, especially after diagnosis. Advocacy groups like the Alzheimer’s Society continue to push for long-term plans that would address these gaps and provide more robust support for people living with dementia and their families. As research into dementia progresses, the UK’s focus on innovation, person-</w:t>
      </w:r>
      <w:proofErr w:type="spellStart"/>
      <w:r>
        <w:t>centered</w:t>
      </w:r>
      <w:proofErr w:type="spellEnd"/>
      <w:r>
        <w:t xml:space="preserve"> care, and caregiver support is paving the way for future improvements in dementia care, providing hope for better outcomes in the years ahead.</w:t>
      </w:r>
    </w:p>
    <w:p w14:paraId="63DF8D14" w14:textId="77777777" w:rsidR="005404F0" w:rsidRDefault="005404F0" w:rsidP="005404F0">
      <w:pPr>
        <w:rPr>
          <w:b/>
          <w:bCs/>
        </w:rPr>
      </w:pPr>
    </w:p>
    <w:p w14:paraId="747352C9" w14:textId="77777777" w:rsidR="005404F0" w:rsidRDefault="005404F0" w:rsidP="005404F0">
      <w:pPr>
        <w:rPr>
          <w:b/>
          <w:bCs/>
        </w:rPr>
      </w:pPr>
    </w:p>
    <w:p w14:paraId="013BBDB9" w14:textId="77777777" w:rsidR="005404F0" w:rsidRDefault="005404F0" w:rsidP="005404F0">
      <w:pPr>
        <w:rPr>
          <w:b/>
          <w:bCs/>
        </w:rPr>
      </w:pPr>
    </w:p>
    <w:p w14:paraId="107C5329" w14:textId="77777777" w:rsidR="005404F0" w:rsidRDefault="005404F0" w:rsidP="005404F0">
      <w:pPr>
        <w:rPr>
          <w:b/>
          <w:bCs/>
        </w:rPr>
      </w:pPr>
    </w:p>
    <w:p w14:paraId="677CD370" w14:textId="77777777" w:rsidR="005404F0" w:rsidRDefault="005404F0" w:rsidP="005404F0">
      <w:pPr>
        <w:rPr>
          <w:b/>
          <w:bCs/>
        </w:rPr>
      </w:pPr>
    </w:p>
    <w:p w14:paraId="32577F18" w14:textId="77777777" w:rsidR="005404F0" w:rsidRDefault="005404F0" w:rsidP="005404F0">
      <w:pPr>
        <w:rPr>
          <w:b/>
          <w:bCs/>
        </w:rPr>
      </w:pPr>
    </w:p>
    <w:p w14:paraId="3EBA4070" w14:textId="77777777" w:rsidR="005404F0" w:rsidRDefault="005404F0" w:rsidP="005404F0">
      <w:pPr>
        <w:rPr>
          <w:b/>
          <w:bCs/>
        </w:rPr>
      </w:pPr>
    </w:p>
    <w:p w14:paraId="590ECD83" w14:textId="77777777" w:rsidR="005404F0" w:rsidRDefault="005404F0" w:rsidP="005404F0">
      <w:pPr>
        <w:rPr>
          <w:b/>
          <w:bCs/>
        </w:rPr>
      </w:pPr>
    </w:p>
    <w:p w14:paraId="16602369" w14:textId="77777777" w:rsidR="005404F0" w:rsidRDefault="005404F0" w:rsidP="005404F0">
      <w:pPr>
        <w:rPr>
          <w:b/>
          <w:bCs/>
        </w:rPr>
      </w:pPr>
    </w:p>
    <w:p w14:paraId="5642680D" w14:textId="77777777" w:rsidR="005404F0" w:rsidRDefault="005404F0" w:rsidP="005404F0">
      <w:pPr>
        <w:rPr>
          <w:b/>
          <w:bCs/>
        </w:rPr>
      </w:pPr>
    </w:p>
    <w:p w14:paraId="7DC9D202" w14:textId="77777777" w:rsidR="005404F0" w:rsidRDefault="005404F0" w:rsidP="005404F0">
      <w:pPr>
        <w:rPr>
          <w:b/>
          <w:bCs/>
        </w:rPr>
      </w:pPr>
    </w:p>
    <w:p w14:paraId="5BC9C33E" w14:textId="77777777" w:rsidR="005404F0" w:rsidRDefault="005404F0" w:rsidP="005404F0">
      <w:pPr>
        <w:rPr>
          <w:b/>
          <w:bCs/>
        </w:rPr>
      </w:pPr>
    </w:p>
    <w:p w14:paraId="3EB99223" w14:textId="77777777" w:rsidR="005404F0" w:rsidRDefault="005404F0" w:rsidP="005404F0">
      <w:pPr>
        <w:rPr>
          <w:b/>
          <w:bCs/>
        </w:rPr>
      </w:pPr>
    </w:p>
    <w:p w14:paraId="50F8B9C8" w14:textId="77777777" w:rsidR="005404F0" w:rsidRPr="005404F0" w:rsidRDefault="005404F0" w:rsidP="005404F0">
      <w:pPr>
        <w:rPr>
          <w:b/>
          <w:bCs/>
          <w:u w:val="single"/>
        </w:rPr>
      </w:pPr>
    </w:p>
    <w:p w14:paraId="5D671C93" w14:textId="4152F10F" w:rsidR="005404F0" w:rsidRPr="005404F0" w:rsidRDefault="005404F0" w:rsidP="005404F0">
      <w:pPr>
        <w:rPr>
          <w:u w:val="single"/>
        </w:rPr>
      </w:pPr>
      <w:r w:rsidRPr="005404F0">
        <w:rPr>
          <w:u w:val="single"/>
        </w:rPr>
        <w:t xml:space="preserve">Part 2: </w:t>
      </w:r>
      <w:r w:rsidRPr="005404F0">
        <w:rPr>
          <w:u w:val="single"/>
        </w:rPr>
        <w:t>A Family-Oriented Cognitive and Physical Intervention to Enhance Dementia Care and Support Emotional Wellbeing</w:t>
      </w:r>
    </w:p>
    <w:p w14:paraId="37EEBAF8" w14:textId="3119676B" w:rsidR="005404F0" w:rsidRPr="005404F0" w:rsidRDefault="005404F0" w:rsidP="005404F0">
      <w:r w:rsidRPr="005404F0">
        <w:t xml:space="preserve">The aim of this intervention is to improve the cognitive function and emotional wellbeing of elderly individuals diagnosed with dementia through a structured, family-oriented program that combines cognitive and physical exercises. The program is designed to engage both the elderly and their family members, </w:t>
      </w:r>
      <w:r>
        <w:t>encouraging</w:t>
      </w:r>
      <w:r w:rsidRPr="005404F0">
        <w:t xml:space="preserve"> greater family involvement in the care process and promoting emotional and psychological support.</w:t>
      </w:r>
    </w:p>
    <w:p w14:paraId="5C878AB1" w14:textId="2DF5C429" w:rsidR="005404F0" w:rsidRPr="005404F0" w:rsidRDefault="005404F0" w:rsidP="005404F0">
      <w:r w:rsidRPr="005404F0">
        <w:t xml:space="preserve">Dementia is a progressive neurological condition that severely impacts cognitive abilities, memory, and overall quality of life (Alzheimer’s Society, 2020). Individuals with dementia often experience a decline in their physical and emotional health, which can </w:t>
      </w:r>
      <w:r>
        <w:t>create</w:t>
      </w:r>
      <w:r w:rsidRPr="005404F0">
        <w:t xml:space="preserve"> feelings of isolation, anxiety, and depression (</w:t>
      </w:r>
      <w:proofErr w:type="spellStart"/>
      <w:r w:rsidRPr="005404F0">
        <w:t>Panza</w:t>
      </w:r>
      <w:proofErr w:type="spellEnd"/>
      <w:r w:rsidRPr="005404F0">
        <w:t xml:space="preserve"> et al., 2015). Current interventions often focus on medical treatment and cognitive rehabilitation, but there is increasing evidence that combining physical activity with cognitive exercises and family engagement can improve outcomes for people living with dementia (</w:t>
      </w:r>
      <w:proofErr w:type="spellStart"/>
      <w:r w:rsidRPr="005404F0">
        <w:t>Czaja</w:t>
      </w:r>
      <w:proofErr w:type="spellEnd"/>
      <w:r w:rsidRPr="005404F0">
        <w:t xml:space="preserve"> et al., 2018).</w:t>
      </w:r>
    </w:p>
    <w:p w14:paraId="56E096E5" w14:textId="39E229E9" w:rsidR="005404F0" w:rsidRPr="005404F0" w:rsidRDefault="005404F0" w:rsidP="005404F0">
      <w:r>
        <w:t>T</w:t>
      </w:r>
      <w:r w:rsidRPr="005404F0">
        <w:t>his intervention stems from the significant impact of dementia on both individuals and their families. Dementia not only affects the person diagnosed but also creates emotional and physical strain on caregivers (</w:t>
      </w:r>
      <w:proofErr w:type="spellStart"/>
      <w:r w:rsidRPr="005404F0">
        <w:t>Brodaty</w:t>
      </w:r>
      <w:proofErr w:type="spellEnd"/>
      <w:r w:rsidRPr="005404F0">
        <w:t xml:space="preserve"> &amp; Donkin, 2009). This intervention aims to reduce caregiver burden by promoting a supportive, collaborative environment where family members are empowered to engage in the care process. Involvement in the intervention may improve communication, provide emotional support, and enhance coping mechanisms for both the person with dementia and their caregivers (</w:t>
      </w:r>
      <w:proofErr w:type="spellStart"/>
      <w:r w:rsidRPr="005404F0">
        <w:t>Giebel</w:t>
      </w:r>
      <w:proofErr w:type="spellEnd"/>
      <w:r w:rsidRPr="005404F0">
        <w:t xml:space="preserve"> et al., 2015).</w:t>
      </w:r>
    </w:p>
    <w:p w14:paraId="0109ACEE" w14:textId="7048D7DA" w:rsidR="005404F0" w:rsidRPr="005404F0" w:rsidRDefault="005404F0" w:rsidP="005404F0">
      <w:r w:rsidRPr="005404F0">
        <w:t>Physical exercise</w:t>
      </w:r>
      <w:r w:rsidRPr="005404F0">
        <w:t xml:space="preserve"> has</w:t>
      </w:r>
      <w:r w:rsidRPr="005404F0">
        <w:t xml:space="preserve"> been shown to have positive effects on dementia symptoms, helping to slow cognitive decline and improve mood (Kerr et al., 2013). Furthermore, cognitive training exercises help to maintain brain health and improve memory recall, potentially slowing the progression of the disease (</w:t>
      </w:r>
      <w:proofErr w:type="spellStart"/>
      <w:r w:rsidRPr="005404F0">
        <w:t>Mungas</w:t>
      </w:r>
      <w:proofErr w:type="spellEnd"/>
      <w:r w:rsidRPr="005404F0">
        <w:t xml:space="preserve"> et al., 2010). The combination of physical and cognitive exercises is expected to lead to improved mental and physical health outcomes for individuals with dementia while also promoting emotional wellbeing and social interaction.</w:t>
      </w:r>
    </w:p>
    <w:p w14:paraId="6B3BE2DA" w14:textId="77777777" w:rsidR="005404F0" w:rsidRDefault="005404F0" w:rsidP="005404F0">
      <w:r w:rsidRPr="005404F0">
        <w:t>Additionally, this intervention supports the growing emphasis on holistic, person-</w:t>
      </w:r>
      <w:proofErr w:type="spellStart"/>
      <w:r w:rsidRPr="005404F0">
        <w:t>centered</w:t>
      </w:r>
      <w:proofErr w:type="spellEnd"/>
      <w:r w:rsidRPr="005404F0">
        <w:t xml:space="preserve"> care, which values the inclusion of family members in dementia care. Studies have shown that family-</w:t>
      </w:r>
      <w:proofErr w:type="spellStart"/>
      <w:r w:rsidRPr="005404F0">
        <w:t>centered</w:t>
      </w:r>
      <w:proofErr w:type="spellEnd"/>
      <w:r w:rsidRPr="005404F0">
        <w:t xml:space="preserve"> care can enhance the quality of life for individuals with dementia and provide them with a stronger sense of security and emotional support (Chien et al., 2014). By engaging families in the intervention, we aim to not only improve the individual’s cognitive and emotional state but also strengthen the overall caregiving dynamic, which is vital for long-term dementia care (</w:t>
      </w:r>
      <w:proofErr w:type="spellStart"/>
      <w:r w:rsidRPr="005404F0">
        <w:t>Giebel</w:t>
      </w:r>
      <w:proofErr w:type="spellEnd"/>
      <w:r w:rsidRPr="005404F0">
        <w:t xml:space="preserve"> et al., 2015).</w:t>
      </w:r>
    </w:p>
    <w:p w14:paraId="3CBD2D41" w14:textId="77777777" w:rsidR="005404F0" w:rsidRPr="005404F0" w:rsidRDefault="005404F0" w:rsidP="005404F0">
      <w:pPr>
        <w:rPr>
          <w:b/>
          <w:bCs/>
        </w:rPr>
      </w:pPr>
      <w:r w:rsidRPr="005404F0">
        <w:rPr>
          <w:b/>
          <w:bCs/>
        </w:rPr>
        <w:lastRenderedPageBreak/>
        <w:t>Cognitive Stimulation Therapy (CST)</w:t>
      </w:r>
    </w:p>
    <w:p w14:paraId="407DF420" w14:textId="77777777" w:rsidR="005404F0" w:rsidRPr="005404F0" w:rsidRDefault="005404F0" w:rsidP="005404F0">
      <w:r w:rsidRPr="005404F0">
        <w:t>One of the key theoretical frameworks for this intervention is Cognitive Stimulation Therapy (CST), which has shown to have significant benefits for individuals with dementia. CST focuses on engaging individuals in structured mental exercises that target different cognitive domains, such as memory, attention, and problem-solving. According to Clare et al. (2014), CST has been found to slow cognitive decline and improve social functioning and well-being in people with dementia. The theory behind CST is that stimulating cognitive function through meaningful activities helps maintain neural connections and can delay the progression of dementia-related cognitive decline. The integration of CST into the intervention ensures that cognitive function is actively stimulated, promoting brain health and slowing deterioration.</w:t>
      </w:r>
    </w:p>
    <w:p w14:paraId="3B0B3D7A" w14:textId="77777777" w:rsidR="005404F0" w:rsidRPr="005404F0" w:rsidRDefault="005404F0" w:rsidP="005404F0">
      <w:pPr>
        <w:rPr>
          <w:b/>
          <w:bCs/>
        </w:rPr>
      </w:pPr>
      <w:r w:rsidRPr="005404F0">
        <w:rPr>
          <w:b/>
          <w:bCs/>
        </w:rPr>
        <w:t>Physical Exercise and Dementia</w:t>
      </w:r>
    </w:p>
    <w:p w14:paraId="39424098" w14:textId="77777777" w:rsidR="005404F0" w:rsidRPr="005404F0" w:rsidRDefault="005404F0" w:rsidP="005404F0">
      <w:r w:rsidRPr="005404F0">
        <w:t>Physical exercise theory also underpins the intervention. The benefits of physical activity for people with dementia have been widely recognized in psychological literature. A growing body of research supports the positive effects of exercise on cognitive function, mood, and physical health for those living with dementia (Kerr et al., 2013). Regular physical activity is believed to enhance neuroplasticity—the brain's ability to form new neural connections—which can help compensate for the cognitive deficits caused by dementia (Henderson et al., 2013). Exercise can also improve mood and reduce symptoms of depression, anxiety, and agitation, which are common in individuals with dementia (Aguirre et al., 2013). This evidence highlights the importance of incorporating physical exercises into the intervention to support both cognitive and emotional wellbeing.</w:t>
      </w:r>
    </w:p>
    <w:p w14:paraId="3DB4E7CD" w14:textId="77777777" w:rsidR="005404F0" w:rsidRPr="005404F0" w:rsidRDefault="005404F0" w:rsidP="005404F0">
      <w:pPr>
        <w:rPr>
          <w:b/>
          <w:bCs/>
        </w:rPr>
      </w:pPr>
      <w:r w:rsidRPr="005404F0">
        <w:rPr>
          <w:b/>
          <w:bCs/>
        </w:rPr>
        <w:t>The Family Systems Theory</w:t>
      </w:r>
    </w:p>
    <w:p w14:paraId="602D827B" w14:textId="77777777" w:rsidR="005404F0" w:rsidRPr="005404F0" w:rsidRDefault="005404F0" w:rsidP="005404F0">
      <w:r w:rsidRPr="005404F0">
        <w:t xml:space="preserve">Family involvement is a critical component of the proposed intervention, supported by the Family Systems Theory (Bowen, 1978). This theory suggests that families function as a unit, and changes or stress in one member’s </w:t>
      </w:r>
      <w:proofErr w:type="spellStart"/>
      <w:r w:rsidRPr="005404F0">
        <w:t>behavior</w:t>
      </w:r>
      <w:proofErr w:type="spellEnd"/>
      <w:r w:rsidRPr="005404F0">
        <w:t xml:space="preserve">, such as the onset of dementia, can affect the entire family dynamic. By engaging family members in the caregiving process, the intervention aims to create a supportive network around the individual with dementia, which can improve the quality of care and reduce caregiver strain. Research by </w:t>
      </w:r>
      <w:proofErr w:type="spellStart"/>
      <w:r w:rsidRPr="005404F0">
        <w:t>Giebel</w:t>
      </w:r>
      <w:proofErr w:type="spellEnd"/>
      <w:r w:rsidRPr="005404F0">
        <w:t xml:space="preserve"> et al. (2015) emphasizes that family involvement in dementia care not only provides emotional support to individuals with dementia but also improves caregivers’ psychological well-being. Encouraging family participation in the intervention is a way to strengthen the caregiving relationship and ensure a more holistic approach to care.</w:t>
      </w:r>
    </w:p>
    <w:p w14:paraId="663D1C8C" w14:textId="77777777" w:rsidR="005404F0" w:rsidRDefault="005404F0" w:rsidP="005404F0">
      <w:pPr>
        <w:rPr>
          <w:b/>
          <w:bCs/>
        </w:rPr>
      </w:pPr>
    </w:p>
    <w:p w14:paraId="47DAB34C" w14:textId="77777777" w:rsidR="005404F0" w:rsidRDefault="005404F0" w:rsidP="005404F0">
      <w:pPr>
        <w:rPr>
          <w:b/>
          <w:bCs/>
        </w:rPr>
      </w:pPr>
    </w:p>
    <w:p w14:paraId="7992C48D" w14:textId="77777777" w:rsidR="005404F0" w:rsidRDefault="005404F0" w:rsidP="005404F0">
      <w:pPr>
        <w:rPr>
          <w:b/>
          <w:bCs/>
        </w:rPr>
      </w:pPr>
    </w:p>
    <w:p w14:paraId="4CF38ECF" w14:textId="2C1D42A7" w:rsidR="005404F0" w:rsidRPr="005404F0" w:rsidRDefault="005404F0" w:rsidP="005404F0">
      <w:pPr>
        <w:rPr>
          <w:b/>
          <w:bCs/>
        </w:rPr>
      </w:pPr>
      <w:r w:rsidRPr="005404F0">
        <w:rPr>
          <w:b/>
          <w:bCs/>
        </w:rPr>
        <w:lastRenderedPageBreak/>
        <w:t>Person-</w:t>
      </w:r>
      <w:proofErr w:type="spellStart"/>
      <w:r w:rsidRPr="005404F0">
        <w:rPr>
          <w:b/>
          <w:bCs/>
        </w:rPr>
        <w:t>Centered</w:t>
      </w:r>
      <w:proofErr w:type="spellEnd"/>
      <w:r w:rsidRPr="005404F0">
        <w:rPr>
          <w:b/>
          <w:bCs/>
        </w:rPr>
        <w:t xml:space="preserve"> Care (PCC)</w:t>
      </w:r>
    </w:p>
    <w:p w14:paraId="36BA8B25" w14:textId="77777777" w:rsidR="005404F0" w:rsidRPr="005404F0" w:rsidRDefault="005404F0" w:rsidP="005404F0">
      <w:r w:rsidRPr="005404F0">
        <w:t>The intervention also draws on the principles of Person-</w:t>
      </w:r>
      <w:proofErr w:type="spellStart"/>
      <w:r w:rsidRPr="005404F0">
        <w:t>Centered</w:t>
      </w:r>
      <w:proofErr w:type="spellEnd"/>
      <w:r w:rsidRPr="005404F0">
        <w:t xml:space="preserve"> Care (PCC), which emphasizes the importance of tailoring care to the individual’s preferences, abilities, and needs (</w:t>
      </w:r>
      <w:proofErr w:type="spellStart"/>
      <w:r w:rsidRPr="005404F0">
        <w:t>Kitwood</w:t>
      </w:r>
      <w:proofErr w:type="spellEnd"/>
      <w:r w:rsidRPr="005404F0">
        <w:t>, 1997). This approach is based on the understanding that dementia affects people in unique ways, and care should be adapted to support the person as an individual rather than merely addressing symptoms. Studies have shown that person-</w:t>
      </w:r>
      <w:proofErr w:type="spellStart"/>
      <w:r w:rsidRPr="005404F0">
        <w:t>centered</w:t>
      </w:r>
      <w:proofErr w:type="spellEnd"/>
      <w:r w:rsidRPr="005404F0">
        <w:t xml:space="preserve"> interventions improve the psychological and emotional outcomes for individuals with dementia, promoting dignity, autonomy, and a sense of control (Brooker, 2007). By incorporating PCC into the design of the intervention, the program respects and responds to the individual’s preferences, leading to better engagement and greater satisfaction with care.</w:t>
      </w:r>
    </w:p>
    <w:p w14:paraId="2D78CC28" w14:textId="77777777" w:rsidR="005404F0" w:rsidRPr="005404F0" w:rsidRDefault="005404F0" w:rsidP="005404F0">
      <w:pPr>
        <w:rPr>
          <w:b/>
          <w:bCs/>
        </w:rPr>
      </w:pPr>
      <w:r w:rsidRPr="005404F0">
        <w:rPr>
          <w:b/>
          <w:bCs/>
        </w:rPr>
        <w:t>Supportive Care and Coping Strategies</w:t>
      </w:r>
    </w:p>
    <w:p w14:paraId="0E3CD979" w14:textId="77777777" w:rsidR="005404F0" w:rsidRPr="005404F0" w:rsidRDefault="005404F0" w:rsidP="005404F0">
      <w:r w:rsidRPr="005404F0">
        <w:t>Empirical research also supports the role of coping strategies in managing the emotional impact of dementia. According to Folkman and Moskowitz (2004), effective coping mechanisms can reduce the psychological burden on both the person with dementia and their caregivers. Interventions that provide both emotional and psychological support can enhance adaptive coping strategies, reduce stress, and improve overall well-being. This is particularly important for family members, who may experience significant stress and emotional strain as they navigate the challenges of dementia caregiving (</w:t>
      </w:r>
      <w:proofErr w:type="spellStart"/>
      <w:r w:rsidRPr="005404F0">
        <w:t>Brodaty</w:t>
      </w:r>
      <w:proofErr w:type="spellEnd"/>
      <w:r w:rsidRPr="005404F0">
        <w:t xml:space="preserve"> &amp; Donkin, 2009). Providing support to caregivers within the intervention framework can enhance their resilience and help them manage the stress associated with caregiving.</w:t>
      </w:r>
    </w:p>
    <w:p w14:paraId="4F6FC09C" w14:textId="77777777" w:rsidR="005404F0" w:rsidRPr="005404F0" w:rsidRDefault="005404F0" w:rsidP="005404F0">
      <w:pPr>
        <w:rPr>
          <w:b/>
          <w:bCs/>
        </w:rPr>
      </w:pPr>
      <w:r w:rsidRPr="005404F0">
        <w:rPr>
          <w:b/>
          <w:bCs/>
        </w:rPr>
        <w:t>Empirical Evidence Supporting the Intervention</w:t>
      </w:r>
    </w:p>
    <w:p w14:paraId="7A90C0A9" w14:textId="16DF9096" w:rsidR="005404F0" w:rsidRPr="005404F0" w:rsidRDefault="005404F0" w:rsidP="005404F0">
      <w:r w:rsidRPr="005404F0">
        <w:t xml:space="preserve">Several studies demonstrate the effectiveness of combining cognitive stimulation, physical exercise, and family involvement in dementia care. A study by </w:t>
      </w:r>
      <w:proofErr w:type="spellStart"/>
      <w:r w:rsidRPr="005404F0">
        <w:t>Orrell</w:t>
      </w:r>
      <w:proofErr w:type="spellEnd"/>
      <w:r w:rsidRPr="005404F0">
        <w:t xml:space="preserve"> et al. (2014) found that engaging individuals with dementia in cognitive and physical activities led to improvements in cognitive function and mood. Similarly, the inclusion of family members in care interventions has been shown to improve outcomes for both the individual with dementia and their caregivers (Chien &amp; Chan, 2014). </w:t>
      </w:r>
      <w:proofErr w:type="spellStart"/>
      <w:r w:rsidRPr="005404F0">
        <w:t>Giebel</w:t>
      </w:r>
      <w:proofErr w:type="spellEnd"/>
      <w:r w:rsidRPr="005404F0">
        <w:t xml:space="preserve"> et al. (2015) found that family-</w:t>
      </w:r>
      <w:proofErr w:type="spellStart"/>
      <w:r w:rsidRPr="005404F0">
        <w:t>centered</w:t>
      </w:r>
      <w:proofErr w:type="spellEnd"/>
      <w:r w:rsidRPr="005404F0">
        <w:t xml:space="preserve"> care programs significantly reduced caregiver burden and enhanced the emotional well-being of both caregivers and care recipients.</w:t>
      </w:r>
    </w:p>
    <w:p w14:paraId="2A361C84" w14:textId="482F6538" w:rsidR="005404F0" w:rsidRPr="005404F0" w:rsidRDefault="005404F0" w:rsidP="005404F0">
      <w:pPr>
        <w:rPr>
          <w:b/>
          <w:bCs/>
        </w:rPr>
      </w:pPr>
      <w:r w:rsidRPr="005404F0">
        <w:rPr>
          <w:b/>
          <w:bCs/>
        </w:rPr>
        <w:t>Design of the Intervention:</w:t>
      </w:r>
    </w:p>
    <w:p w14:paraId="446ACC17" w14:textId="5D4AEE95" w:rsidR="005404F0" w:rsidRDefault="005404F0" w:rsidP="005404F0">
      <w:r>
        <w:t xml:space="preserve">The intervention is designed to combine Cognitive Stimulation Therapy (CST), Physical Exercise, and Family Support to improve the quality of life and well-being of individuals with dementia, and to provide effective support for their families. The intervention will be a structured program, combining cognitive tasks with physical activity, underpinned </w:t>
      </w:r>
      <w:r>
        <w:lastRenderedPageBreak/>
        <w:t>by the involvement of family members in the caregiving process. The intervention will last for 12 weeks, with sessions occurring twice a week.</w:t>
      </w:r>
    </w:p>
    <w:p w14:paraId="502457B6" w14:textId="77777777" w:rsidR="005404F0" w:rsidRDefault="005404F0" w:rsidP="005404F0">
      <w:r>
        <w:t>Cognitive Stimulation Tasks: Cognitive tasks will include memory exercises, problem-solving activities, and puzzles designed to engage the mind. These activities will be personalized to each participant’s cognitive level, ensuring that they are appropriately challenging and stimulating (Clare et al., 2014). Tasks will also involve discussion-based activities, such as reminiscing sessions and word games, designed to encourage social interaction and cognitive engagement (Spector et al., 2015).</w:t>
      </w:r>
    </w:p>
    <w:p w14:paraId="1D45B44A" w14:textId="77777777" w:rsidR="005404F0" w:rsidRDefault="005404F0" w:rsidP="005404F0">
      <w:r>
        <w:t xml:space="preserve">Physical Exercise Program: The physical activity component will consist of gentle aerobic exercises, such as walking, light chair exercises, and stretching, which have been shown to improve both physical and cognitive function in individuals with dementia (Aguirre et al., 2013; </w:t>
      </w:r>
      <w:proofErr w:type="spellStart"/>
      <w:r>
        <w:t>Giebel</w:t>
      </w:r>
      <w:proofErr w:type="spellEnd"/>
      <w:r>
        <w:t xml:space="preserve"> et al., 2015). These activities will be supervised by trained professionals and adapted to meet the physical capabilities of each participant, ensuring safety while promoting physical health.</w:t>
      </w:r>
    </w:p>
    <w:p w14:paraId="16224630" w14:textId="77777777" w:rsidR="005404F0" w:rsidRDefault="005404F0" w:rsidP="005404F0">
      <w:r>
        <w:t>Family Support: Family members will be actively involved in the intervention, participating in family-focused education sessions and caregiver training workshops. This component of the intervention will teach family members how to provide emotional support and improve communication with their loved ones. According to the Family Systems Theory (Bowen, 1978), this approach is essential for reducing caregiver burden and enhancing the well-being of both the person with dementia and their family caregivers (</w:t>
      </w:r>
      <w:proofErr w:type="spellStart"/>
      <w:r>
        <w:t>Giebel</w:t>
      </w:r>
      <w:proofErr w:type="spellEnd"/>
      <w:r>
        <w:t xml:space="preserve"> et al., 2015).</w:t>
      </w:r>
    </w:p>
    <w:p w14:paraId="51006857" w14:textId="1EAFB0C8" w:rsidR="005404F0" w:rsidRPr="005404F0" w:rsidRDefault="005404F0" w:rsidP="005404F0">
      <w:pPr>
        <w:rPr>
          <w:b/>
          <w:bCs/>
        </w:rPr>
      </w:pPr>
      <w:r w:rsidRPr="005404F0">
        <w:rPr>
          <w:b/>
          <w:bCs/>
        </w:rPr>
        <w:t>Participant Group:</w:t>
      </w:r>
    </w:p>
    <w:p w14:paraId="482EB326" w14:textId="551DBCA6" w:rsidR="005404F0" w:rsidRDefault="005404F0" w:rsidP="005404F0">
      <w:r>
        <w:t>The target population for this intervention will consist of older adults aged 65 and above, diagnosed with mild to moderate Alzheimer's Disease or other forms of dementia, and their primary family caregivers.</w:t>
      </w:r>
    </w:p>
    <w:p w14:paraId="64670058" w14:textId="3E4E496C" w:rsidR="005404F0" w:rsidRPr="005404F0" w:rsidRDefault="005404F0" w:rsidP="005404F0">
      <w:pPr>
        <w:rPr>
          <w:b/>
          <w:bCs/>
        </w:rPr>
      </w:pPr>
      <w:r w:rsidRPr="005404F0">
        <w:rPr>
          <w:b/>
          <w:bCs/>
        </w:rPr>
        <w:t xml:space="preserve">Inclusion </w:t>
      </w:r>
      <w:r w:rsidRPr="005404F0">
        <w:rPr>
          <w:b/>
          <w:bCs/>
        </w:rPr>
        <w:t xml:space="preserve"> &amp; Exclusion </w:t>
      </w:r>
      <w:r w:rsidRPr="005404F0">
        <w:rPr>
          <w:b/>
          <w:bCs/>
        </w:rPr>
        <w:t>Criteria:</w:t>
      </w:r>
    </w:p>
    <w:p w14:paraId="5E852C7F" w14:textId="069062AA" w:rsidR="005404F0" w:rsidRDefault="005404F0" w:rsidP="005404F0">
      <w:r>
        <w:t>-</w:t>
      </w:r>
      <w:r>
        <w:t>Participants must have a clinical diagnosis of dementia, confirmed by a healthcare professional</w:t>
      </w:r>
      <w:r>
        <w:t xml:space="preserve"> such as a GP.</w:t>
      </w:r>
    </w:p>
    <w:p w14:paraId="3608FFFE" w14:textId="6C25CF53" w:rsidR="005404F0" w:rsidRDefault="005404F0" w:rsidP="005404F0">
      <w:r>
        <w:t>-</w:t>
      </w:r>
      <w:r>
        <w:t>Participants must be able to engage in the intervention (i.e., be able to understand instructions and participate in low-impact physical activities).</w:t>
      </w:r>
    </w:p>
    <w:p w14:paraId="125196C8" w14:textId="018F8C81" w:rsidR="005404F0" w:rsidRDefault="005404F0" w:rsidP="005404F0">
      <w:r>
        <w:t>-</w:t>
      </w:r>
      <w:r>
        <w:t>Family caregivers should be available to attend the family support sessions.</w:t>
      </w:r>
    </w:p>
    <w:p w14:paraId="3C5F0F53" w14:textId="7B0DF32C" w:rsidR="005404F0" w:rsidRDefault="005404F0" w:rsidP="005404F0">
      <w:r>
        <w:t>-</w:t>
      </w:r>
      <w:r>
        <w:t>Participants with severe dementia (e.g., late-stage Alzheimer’s) who may not be able to actively engage in cognitive or physical tasks.</w:t>
      </w:r>
    </w:p>
    <w:p w14:paraId="25DBB4FA" w14:textId="6136D5AC" w:rsidR="005404F0" w:rsidRDefault="005404F0" w:rsidP="005404F0">
      <w:r>
        <w:t>-</w:t>
      </w:r>
      <w:r>
        <w:t>Participants with severe physical disabilities or medical conditions that prevent participation in the planned physical activities.</w:t>
      </w:r>
    </w:p>
    <w:p w14:paraId="78BA9BC8" w14:textId="0FB00213" w:rsidR="005404F0" w:rsidRDefault="005404F0" w:rsidP="005404F0">
      <w:r>
        <w:lastRenderedPageBreak/>
        <w:t>-</w:t>
      </w:r>
      <w:r>
        <w:t>Family caregivers who are unable or unwilling to participate in the family support sessions.</w:t>
      </w:r>
    </w:p>
    <w:p w14:paraId="0B92D6DE" w14:textId="1E6B80E8" w:rsidR="005404F0" w:rsidRDefault="005404F0" w:rsidP="005404F0">
      <w:r>
        <w:t xml:space="preserve">The anticipated number of participants will be 20 individuals with dementia and 20 family caregivers, who will be recruited from local memory clinics, senior care homes, or community </w:t>
      </w:r>
      <w:r>
        <w:t>centres</w:t>
      </w:r>
      <w:r>
        <w:t>.</w:t>
      </w:r>
    </w:p>
    <w:p w14:paraId="787A7D29" w14:textId="1D3CF98F" w:rsidR="005404F0" w:rsidRPr="005404F0" w:rsidRDefault="005404F0" w:rsidP="005404F0">
      <w:pPr>
        <w:rPr>
          <w:b/>
          <w:bCs/>
        </w:rPr>
      </w:pPr>
      <w:r w:rsidRPr="005404F0">
        <w:rPr>
          <w:b/>
          <w:bCs/>
        </w:rPr>
        <w:t>Materials/Measures:</w:t>
      </w:r>
    </w:p>
    <w:p w14:paraId="0E208C87" w14:textId="77777777" w:rsidR="005404F0" w:rsidRDefault="005404F0" w:rsidP="005404F0">
      <w:r>
        <w:t>Cognitive Task Materials: Puzzles, memory recall cards, and worksheets designed to engage different cognitive skills. Examples of materials include word search puzzles, memory games (e.g., matching cards), and simple arithmetic tasks.</w:t>
      </w:r>
    </w:p>
    <w:p w14:paraId="11BBC979" w14:textId="77777777" w:rsidR="005404F0" w:rsidRDefault="005404F0" w:rsidP="005404F0">
      <w:r>
        <w:t>Physical Exercise Tools: Resistance bands, light dumbbells, and balance balls for chair-based exercises and walking equipment such as pedometers to monitor progress.</w:t>
      </w:r>
    </w:p>
    <w:p w14:paraId="6C2CE3CC" w14:textId="1DC4B2E9" w:rsidR="005404F0" w:rsidRDefault="005404F0" w:rsidP="005404F0">
      <w:r>
        <w:t xml:space="preserve">Measures for Family Support: Educational </w:t>
      </w:r>
      <w:r>
        <w:t>leaflets</w:t>
      </w:r>
      <w:r>
        <w:t>, informational booklets, and discussion guides designed to support caregivers with dementia caregiving techniques and communication strategies.</w:t>
      </w:r>
    </w:p>
    <w:p w14:paraId="5E82B56F" w14:textId="473E9C0B" w:rsidR="005404F0" w:rsidRDefault="005404F0" w:rsidP="005404F0">
      <w:r>
        <w:t>Additionally, standardized questionnaires and scales will be used to assess the cognitive function (e.g., Mini-Mental State Examination (MMSE)) and quality of life (e.g., Quality of Life in Alzheimer's Disease scale [QOL-AD]) before, during, and after the intervention to measure its effectiveness.</w:t>
      </w:r>
    </w:p>
    <w:p w14:paraId="1504DF56" w14:textId="47F53B92" w:rsidR="005404F0" w:rsidRDefault="005404F0" w:rsidP="005404F0">
      <w:r>
        <w:t>Study Procedure:</w:t>
      </w:r>
    </w:p>
    <w:p w14:paraId="3D1C37C3" w14:textId="25FB2742" w:rsidR="005404F0" w:rsidRDefault="005404F0" w:rsidP="005404F0">
      <w:r>
        <w:t>The intervention will be carried out over 12 weeks, with two sessions per week. The breakdown of the process is as follows:</w:t>
      </w:r>
    </w:p>
    <w:p w14:paraId="7E940BE1" w14:textId="77777777" w:rsidR="005404F0" w:rsidRDefault="005404F0" w:rsidP="005404F0">
      <w:r>
        <w:t>Initial Assessment: Before the intervention begins, each participant will undergo an initial assessment to measure baseline cognitive function, emotional well-being, physical capabilities, and quality of life. This will involve completing questionnaires, cognitive tasks (MMSE), and discussing personal health and care needs.</w:t>
      </w:r>
    </w:p>
    <w:p w14:paraId="1098A0FD" w14:textId="77777777" w:rsidR="005404F0" w:rsidRDefault="005404F0" w:rsidP="005404F0">
      <w:r>
        <w:t>Cognitive Stimulation and Exercise Sessions: Each session will be divided into two parts:</w:t>
      </w:r>
    </w:p>
    <w:p w14:paraId="4A64D31D" w14:textId="77777777" w:rsidR="005404F0" w:rsidRDefault="005404F0" w:rsidP="005404F0">
      <w:r>
        <w:t>Cognitive Stimulation: The first part of the session will involve group-based cognitive activities (e.g., memory games, puzzles, and reminiscence activities) to stimulate cognitive function and encourage social interaction.</w:t>
      </w:r>
    </w:p>
    <w:p w14:paraId="1903EB23" w14:textId="77777777" w:rsidR="005404F0" w:rsidRDefault="005404F0" w:rsidP="005404F0">
      <w:r>
        <w:t xml:space="preserve">Physical Exercise: The second part will focus on physical exercises, with activities such as chair exercises, stretching, and light walking. These exercises are designed to be accessible and </w:t>
      </w:r>
      <w:proofErr w:type="gramStart"/>
      <w:r>
        <w:t>low-impact</w:t>
      </w:r>
      <w:proofErr w:type="gramEnd"/>
      <w:r>
        <w:t>, aimed at enhancing physical health while being mindful of each participant’s abilities.</w:t>
      </w:r>
    </w:p>
    <w:p w14:paraId="46604AE6" w14:textId="77777777" w:rsidR="005404F0" w:rsidRDefault="005404F0" w:rsidP="005404F0">
      <w:r>
        <w:lastRenderedPageBreak/>
        <w:t>Family Support Sessions: Family members will attend separate sessions once a week. These sessions will involve discussions and educational materials about dementia caregiving, techniques for improving communication, and emotional support strategies. Families will also be encouraged to participate in the cognitive stimulation and physical exercise sessions when possible, providing them with the opportunity to bond and engage with their loved one.</w:t>
      </w:r>
    </w:p>
    <w:p w14:paraId="77262155" w14:textId="77777777" w:rsidR="005404F0" w:rsidRDefault="005404F0" w:rsidP="005404F0">
      <w:r>
        <w:t>Midway Review: At the halfway point (week 6), participants will be reassessed to evaluate progress in terms of cognitive function, physical health, and emotional well-being. Adjustments to the intervention will be made as necessary, depending on the participant's needs and abilities.</w:t>
      </w:r>
    </w:p>
    <w:p w14:paraId="0CD9BA89" w14:textId="77777777" w:rsidR="005404F0" w:rsidRDefault="005404F0" w:rsidP="005404F0">
      <w:r>
        <w:t>Final Assessment: After 12 weeks, a final assessment will be conducted to measure any changes in cognitive function, quality of life, and the effectiveness of the intervention. This will include follow-up questionnaires, cognitive assessments, and caregiver feedback.</w:t>
      </w:r>
    </w:p>
    <w:p w14:paraId="17D5C89A" w14:textId="77777777" w:rsidR="005404F0" w:rsidRDefault="005404F0" w:rsidP="005404F0">
      <w:r>
        <w:t>Follow-Up: Three months after the intervention has concluded, participants and their families will be asked to complete a brief follow-up survey to assess the long-term impact of the intervention on their lives.</w:t>
      </w:r>
    </w:p>
    <w:p w14:paraId="78FB0F72" w14:textId="77777777" w:rsidR="005404F0" w:rsidRDefault="005404F0" w:rsidP="005404F0">
      <w:pPr>
        <w:rPr>
          <w:b/>
          <w:bCs/>
        </w:rPr>
      </w:pPr>
    </w:p>
    <w:p w14:paraId="4548E5FC" w14:textId="0CFDA04B" w:rsidR="005404F0" w:rsidRPr="005404F0" w:rsidRDefault="005404F0" w:rsidP="005404F0">
      <w:r w:rsidRPr="005404F0">
        <w:rPr>
          <w:b/>
          <w:bCs/>
        </w:rPr>
        <w:t>Ethics:</w:t>
      </w:r>
    </w:p>
    <w:p w14:paraId="18ABD38F" w14:textId="2173E03E" w:rsidR="005404F0" w:rsidRPr="005404F0" w:rsidRDefault="005404F0" w:rsidP="005404F0">
      <w:r w:rsidRPr="005404F0">
        <w:t>The British Psychological Society (BPS) Ethical Guidelines for Psychological Practice (2018) provide comprehensive standards that should be followed to ensure the protection of participants' rights and dignity. The main ethical considerations for this intervention include informed consent, confidentiality, safeguarding, and respect for participants' autonomy.</w:t>
      </w:r>
    </w:p>
    <w:p w14:paraId="5060691D" w14:textId="2DA0A9DE" w:rsidR="005404F0" w:rsidRPr="005404F0" w:rsidRDefault="005404F0" w:rsidP="005404F0">
      <w:pPr>
        <w:numPr>
          <w:ilvl w:val="0"/>
          <w:numId w:val="2"/>
        </w:numPr>
      </w:pPr>
      <w:r w:rsidRPr="005404F0">
        <w:rPr>
          <w:b/>
          <w:bCs/>
        </w:rPr>
        <w:t>Informed Consent:</w:t>
      </w:r>
      <w:r w:rsidRPr="005404F0">
        <w:t xml:space="preserve"> All participants must provide informed consent before taking part in the intervention. For individuals with dementia, obtaining consent can be complex, as cognitive decline can affect their ability to understand and retain information. Therefore, it is crucial to ensure that participants are given information in a clear and accessible manner, potentially </w:t>
      </w:r>
      <w:r w:rsidRPr="005404F0">
        <w:t>using</w:t>
      </w:r>
      <w:r w:rsidRPr="005404F0">
        <w:t xml:space="preserve"> caregivers, family members, or legal guardians (Royal College of Psychiatrists, 2020). Moreover, the process of obtaining informed consent must be ongoing, with participants allowed to withdraw at any point without consequence (BPS, 2018).</w:t>
      </w:r>
    </w:p>
    <w:p w14:paraId="2FF03A10" w14:textId="77777777" w:rsidR="005404F0" w:rsidRPr="005404F0" w:rsidRDefault="005404F0" w:rsidP="005404F0">
      <w:pPr>
        <w:numPr>
          <w:ilvl w:val="0"/>
          <w:numId w:val="2"/>
        </w:numPr>
      </w:pPr>
      <w:r w:rsidRPr="005404F0">
        <w:rPr>
          <w:b/>
          <w:bCs/>
        </w:rPr>
        <w:t>Confidentiality:</w:t>
      </w:r>
      <w:r w:rsidRPr="005404F0">
        <w:t xml:space="preserve"> Ensuring confidentiality is a key aspect of ethical practice. Personal and sensitive data about participants’ health, cognition, and family circumstances must be kept private and shared only with those directly involved in the intervention. This can be achieved through secure storage of data and by limiting access to it (General Data Protection Regulation [GDPR], 2018). </w:t>
      </w:r>
      <w:r w:rsidRPr="005404F0">
        <w:lastRenderedPageBreak/>
        <w:t>Additionally, any discussions or data sharing related to participants must be conducted with care and only with explicit consent from the individual or their legal representative.</w:t>
      </w:r>
    </w:p>
    <w:p w14:paraId="2DF03987" w14:textId="77777777" w:rsidR="005404F0" w:rsidRPr="005404F0" w:rsidRDefault="005404F0" w:rsidP="005404F0">
      <w:pPr>
        <w:numPr>
          <w:ilvl w:val="0"/>
          <w:numId w:val="2"/>
        </w:numPr>
      </w:pPr>
      <w:r w:rsidRPr="005404F0">
        <w:rPr>
          <w:b/>
          <w:bCs/>
        </w:rPr>
        <w:t>Safeguarding Vulnerable Individuals:</w:t>
      </w:r>
      <w:r w:rsidRPr="005404F0">
        <w:t> Dementia patients are considered vulnerable, which makes it critical to address their safety and well-being throughout the intervention. Researchers and practitioners should be alert to signs of abuse, neglect, or any form of exploitation. This includes monitoring the physical and emotional condition of participants and reporting any concerns to appropriate authorities (Department of Health and Social Care, 2020).</w:t>
      </w:r>
    </w:p>
    <w:p w14:paraId="73DBAEFB" w14:textId="77777777" w:rsidR="005404F0" w:rsidRPr="005404F0" w:rsidRDefault="005404F0" w:rsidP="005404F0">
      <w:pPr>
        <w:numPr>
          <w:ilvl w:val="0"/>
          <w:numId w:val="2"/>
        </w:numPr>
      </w:pPr>
      <w:r w:rsidRPr="005404F0">
        <w:rPr>
          <w:b/>
          <w:bCs/>
        </w:rPr>
        <w:t>Autonomy and Dignity:</w:t>
      </w:r>
      <w:r w:rsidRPr="005404F0">
        <w:t> Respecting the autonomy of individuals with dementia is a fundamental ethical principle. While cognitive decline can limit decision-making abilities, it is essential to involve participants as much as possible in decisions about their care, ensuring that their preferences are respected (Alzheimer's Society, 2019). Interventions should aim to empower participants by enhancing their quality of life and providing them with choices regarding their engagement in the intervention.</w:t>
      </w:r>
    </w:p>
    <w:p w14:paraId="4DD4C333" w14:textId="161DFD9F" w:rsidR="005404F0" w:rsidRPr="005404F0" w:rsidRDefault="005404F0" w:rsidP="005404F0">
      <w:pPr>
        <w:numPr>
          <w:ilvl w:val="0"/>
          <w:numId w:val="2"/>
        </w:numPr>
      </w:pPr>
      <w:r w:rsidRPr="005404F0">
        <w:rPr>
          <w:b/>
          <w:bCs/>
        </w:rPr>
        <w:t>Cultural Sensitivity:</w:t>
      </w:r>
      <w:r w:rsidRPr="005404F0">
        <w:t xml:space="preserve"> The intervention must also be culturally sensitive and inclusive, </w:t>
      </w:r>
      <w:r w:rsidRPr="005404F0">
        <w:t>considering</w:t>
      </w:r>
      <w:r w:rsidRPr="005404F0">
        <w:t xml:space="preserve"> the diversity of participants' backgrounds. Cultural competence is essential to avoid imposing interventions that may not align with participants' values or beliefs (Hunt, 2021). This includes considering dietary restrictions, communication preferences, and other cultural factors when designing the intervention.</w:t>
      </w:r>
    </w:p>
    <w:p w14:paraId="08038436" w14:textId="17B50389" w:rsidR="005404F0" w:rsidRDefault="005404F0" w:rsidP="005404F0">
      <w:pPr>
        <w:numPr>
          <w:ilvl w:val="0"/>
          <w:numId w:val="2"/>
        </w:numPr>
      </w:pPr>
      <w:r w:rsidRPr="005404F0">
        <w:rPr>
          <w:b/>
          <w:bCs/>
        </w:rPr>
        <w:t>Beneficence and Non-Maleficence:</w:t>
      </w:r>
      <w:r w:rsidRPr="005404F0">
        <w:t> Ethical guidelines emphasize the need for interventions to do good (beneficence) and avoid harm (non-maleficence). In the case of dementia, this includes ensuring that the intervention does not increase confusion or distress for participants. Additionally, careful monitoring of potential side effects and ensuring that the intervention is providing tangible benefits to participants are crucial steps to minimize harm (World Health Organization, 2019)</w:t>
      </w:r>
      <w:r>
        <w:t>.</w:t>
      </w:r>
    </w:p>
    <w:p w14:paraId="219282AF" w14:textId="4BEFC4F6" w:rsidR="005404F0" w:rsidRPr="005404F0" w:rsidRDefault="005404F0" w:rsidP="005404F0">
      <w:r w:rsidRPr="005404F0">
        <w:t>To measure the effectiveness of the proposed intervention, a combination of qualitative and quantitative methods will be used to capture a comprehensive view of how the intervention impacts participants. This multi-method approach will ensure that both the cognitive improvements and emotional well-being of participants are assessed, providing a holistic picture of the intervention’s success.</w:t>
      </w:r>
    </w:p>
    <w:p w14:paraId="29902E1A" w14:textId="77777777" w:rsidR="005404F0" w:rsidRDefault="005404F0" w:rsidP="005404F0">
      <w:pPr>
        <w:rPr>
          <w:b/>
          <w:bCs/>
        </w:rPr>
      </w:pPr>
    </w:p>
    <w:p w14:paraId="52274966" w14:textId="77777777" w:rsidR="005404F0" w:rsidRDefault="005404F0" w:rsidP="005404F0">
      <w:pPr>
        <w:rPr>
          <w:b/>
          <w:bCs/>
        </w:rPr>
      </w:pPr>
    </w:p>
    <w:p w14:paraId="45589A80" w14:textId="77777777" w:rsidR="005404F0" w:rsidRDefault="005404F0" w:rsidP="005404F0">
      <w:pPr>
        <w:rPr>
          <w:b/>
          <w:bCs/>
        </w:rPr>
      </w:pPr>
    </w:p>
    <w:p w14:paraId="0CAC3DC2" w14:textId="3BA5090A" w:rsidR="005404F0" w:rsidRPr="005404F0" w:rsidRDefault="005404F0" w:rsidP="005404F0">
      <w:pPr>
        <w:rPr>
          <w:b/>
          <w:bCs/>
        </w:rPr>
      </w:pPr>
      <w:r w:rsidRPr="005404F0">
        <w:rPr>
          <w:b/>
          <w:bCs/>
        </w:rPr>
        <w:lastRenderedPageBreak/>
        <w:t>Data Collection Methods:</w:t>
      </w:r>
    </w:p>
    <w:p w14:paraId="46C9E835" w14:textId="5653DE8B" w:rsidR="005404F0" w:rsidRPr="005404F0" w:rsidRDefault="005404F0" w:rsidP="005404F0">
      <w:r w:rsidRPr="005404F0">
        <w:rPr>
          <w:b/>
          <w:bCs/>
        </w:rPr>
        <w:t>Cognitive Assessments</w:t>
      </w:r>
      <w:r w:rsidRPr="005404F0">
        <w:t>: To measure the intervention’s impact on cognitive function, participants will complete standardized cognitive assessments at baseline and post-intervention. Tests such as the Mini-Mental State Examination (MMSE) and Montreal Cognitive Assessment (MoCA</w:t>
      </w:r>
      <w:r>
        <w:t>)</w:t>
      </w:r>
      <w:r w:rsidRPr="005404F0">
        <w:t> will be used to assess overall cognitive function (</w:t>
      </w:r>
      <w:proofErr w:type="spellStart"/>
      <w:r w:rsidRPr="005404F0">
        <w:t>Nasreddine</w:t>
      </w:r>
      <w:proofErr w:type="spellEnd"/>
      <w:r w:rsidRPr="005404F0">
        <w:t xml:space="preserve"> et al., 2005). These assessments are widely used in dementia research to track changes in cognitive abilities over time. The MMSE provides a reliable measure of cognitive impairment (</w:t>
      </w:r>
      <w:proofErr w:type="spellStart"/>
      <w:r w:rsidRPr="005404F0">
        <w:t>Folstein</w:t>
      </w:r>
      <w:proofErr w:type="spellEnd"/>
      <w:r w:rsidRPr="005404F0">
        <w:t xml:space="preserve"> et al., 1975), while MoCA focuses on a broader range of cognitive domains, including executive function, attention, and memory (</w:t>
      </w:r>
      <w:proofErr w:type="spellStart"/>
      <w:r w:rsidRPr="005404F0">
        <w:t>Nasreddine</w:t>
      </w:r>
      <w:proofErr w:type="spellEnd"/>
      <w:r w:rsidRPr="005404F0">
        <w:t xml:space="preserve"> et al., 2005).</w:t>
      </w:r>
    </w:p>
    <w:p w14:paraId="2A6401EC" w14:textId="77777777" w:rsidR="005404F0" w:rsidRDefault="005404F0" w:rsidP="005404F0">
      <w:r w:rsidRPr="005404F0">
        <w:rPr>
          <w:b/>
          <w:bCs/>
        </w:rPr>
        <w:t>Questionnaires on Emotional Well-being</w:t>
      </w:r>
      <w:r w:rsidRPr="005404F0">
        <w:t>: To assess the emotional impact of the intervention, participants will complete self-report questionnaires, such as the Hospital Anxiety and Depression Scale (HADS) (</w:t>
      </w:r>
      <w:proofErr w:type="spellStart"/>
      <w:r w:rsidRPr="005404F0">
        <w:t>Zigmond</w:t>
      </w:r>
      <w:proofErr w:type="spellEnd"/>
      <w:r w:rsidRPr="005404F0">
        <w:t xml:space="preserve"> &amp; Snaith, 1983), which measures anxiety and depression levels. These two factors are particularly important in dementia care, as anxiety and depression are common among those with dementia and their families (</w:t>
      </w:r>
      <w:proofErr w:type="spellStart"/>
      <w:r w:rsidRPr="005404F0">
        <w:t>Alexopoulos</w:t>
      </w:r>
      <w:proofErr w:type="spellEnd"/>
      <w:r w:rsidRPr="005404F0">
        <w:t>, 2005). Improvements in emotional well-being can indicate the intervention's effectiveness in providing psychological relief and enhancing quality of life.</w:t>
      </w:r>
    </w:p>
    <w:p w14:paraId="4716144B" w14:textId="10691554" w:rsidR="005404F0" w:rsidRPr="005404F0" w:rsidRDefault="005404F0" w:rsidP="005404F0">
      <w:r w:rsidRPr="005404F0">
        <w:rPr>
          <w:b/>
          <w:bCs/>
        </w:rPr>
        <w:t>Interviews and Qualitative Feedback</w:t>
      </w:r>
      <w:r w:rsidRPr="005404F0">
        <w:t xml:space="preserve">: Participants will also provide qualitative feedback through semi-structured interviews at the conclusion of the intervention. Interviews will explore subjective experiences and perceptions of the intervention, such as how it affected their emotional state, their family dynamics, and their day-to-day interactions. This qualitative data will be </w:t>
      </w:r>
      <w:proofErr w:type="spellStart"/>
      <w:r w:rsidRPr="005404F0">
        <w:t>analyzed</w:t>
      </w:r>
      <w:proofErr w:type="spellEnd"/>
      <w:r w:rsidRPr="005404F0">
        <w:t xml:space="preserve"> thematically, allowing for the identification of key themes and patterns related to the impact of the intervention on participants' lives (Braun &amp; Clarke, 2006). This qualitative approach complements the cognitive and emotional assessments by providing insights into the personal experiences of participants.</w:t>
      </w:r>
    </w:p>
    <w:p w14:paraId="6D4C8392" w14:textId="61F97271" w:rsidR="005404F0" w:rsidRPr="005404F0" w:rsidRDefault="005404F0" w:rsidP="005404F0">
      <w:r w:rsidRPr="005404F0">
        <w:rPr>
          <w:b/>
          <w:bCs/>
        </w:rPr>
        <w:t>Caregiver Feedback</w:t>
      </w:r>
      <w:r w:rsidRPr="005404F0">
        <w:t>: Caregivers will also complete the </w:t>
      </w:r>
      <w:proofErr w:type="spellStart"/>
      <w:r w:rsidRPr="005404F0">
        <w:t>Zarit</w:t>
      </w:r>
      <w:proofErr w:type="spellEnd"/>
      <w:r w:rsidRPr="005404F0">
        <w:t xml:space="preserve"> Burden Interview (ZBI) (</w:t>
      </w:r>
      <w:proofErr w:type="spellStart"/>
      <w:r w:rsidRPr="005404F0">
        <w:t>Zarit</w:t>
      </w:r>
      <w:proofErr w:type="spellEnd"/>
      <w:r w:rsidRPr="005404F0">
        <w:t xml:space="preserve"> et al., 1980), which evaluates caregiver burden. As caregivers play a vital role in dementia care, their experiences are crucial for assessing the full impact of the intervention on the family unit. Changes in caregiver burden can reflect the success of the intervention in alleviating stress and improving family dynamics.</w:t>
      </w:r>
    </w:p>
    <w:p w14:paraId="152F9A48" w14:textId="77777777" w:rsidR="005404F0" w:rsidRDefault="005404F0" w:rsidP="005404F0">
      <w:pPr>
        <w:rPr>
          <w:b/>
          <w:bCs/>
        </w:rPr>
      </w:pPr>
    </w:p>
    <w:p w14:paraId="1CDD250F" w14:textId="77777777" w:rsidR="005404F0" w:rsidRDefault="005404F0" w:rsidP="005404F0">
      <w:pPr>
        <w:rPr>
          <w:b/>
          <w:bCs/>
        </w:rPr>
      </w:pPr>
    </w:p>
    <w:p w14:paraId="3409A3E7" w14:textId="77777777" w:rsidR="005404F0" w:rsidRDefault="005404F0" w:rsidP="005404F0">
      <w:pPr>
        <w:rPr>
          <w:b/>
          <w:bCs/>
        </w:rPr>
      </w:pPr>
    </w:p>
    <w:p w14:paraId="1D39574E" w14:textId="77777777" w:rsidR="005404F0" w:rsidRDefault="005404F0" w:rsidP="005404F0">
      <w:pPr>
        <w:rPr>
          <w:b/>
          <w:bCs/>
        </w:rPr>
      </w:pPr>
    </w:p>
    <w:p w14:paraId="3F13D85F" w14:textId="77777777" w:rsidR="005404F0" w:rsidRDefault="005404F0" w:rsidP="005404F0">
      <w:pPr>
        <w:rPr>
          <w:b/>
          <w:bCs/>
        </w:rPr>
      </w:pPr>
    </w:p>
    <w:p w14:paraId="0E48D8B2" w14:textId="31AFC48B" w:rsidR="005404F0" w:rsidRPr="005404F0" w:rsidRDefault="005404F0" w:rsidP="005404F0">
      <w:pPr>
        <w:rPr>
          <w:b/>
          <w:bCs/>
        </w:rPr>
      </w:pPr>
      <w:r w:rsidRPr="005404F0">
        <w:rPr>
          <w:b/>
          <w:bCs/>
        </w:rPr>
        <w:lastRenderedPageBreak/>
        <w:t>Data Analysis:</w:t>
      </w:r>
    </w:p>
    <w:p w14:paraId="1BADD751" w14:textId="5D2ECEB4" w:rsidR="005404F0" w:rsidRPr="005404F0" w:rsidRDefault="005404F0" w:rsidP="005404F0">
      <w:r w:rsidRPr="005404F0">
        <w:rPr>
          <w:b/>
          <w:bCs/>
        </w:rPr>
        <w:t>Quantitative Analysis</w:t>
      </w:r>
      <w:r w:rsidRPr="005404F0">
        <w:t xml:space="preserve">: Data from the MMSE, MoCA, HADS, and ZBI will be </w:t>
      </w:r>
      <w:proofErr w:type="spellStart"/>
      <w:r w:rsidRPr="005404F0">
        <w:t>analyzed</w:t>
      </w:r>
      <w:proofErr w:type="spellEnd"/>
      <w:r w:rsidRPr="005404F0">
        <w:t xml:space="preserve"> using  standard deviation and paired t-tests to compare pre- and post-intervention scores. A statistical significance threshold of p&lt;0.05 will be used to determine whether changes in cognitive function, emotional well-being, or caregiver burden are statistically significant. If applicable, repeated measures ANOVA can be employed to assess the changes over multiple time points, providing insights into the long-term effects of the intervention (</w:t>
      </w:r>
      <w:proofErr w:type="spellStart"/>
      <w:r w:rsidRPr="005404F0">
        <w:t>Tabachnick</w:t>
      </w:r>
      <w:proofErr w:type="spellEnd"/>
      <w:r w:rsidRPr="005404F0">
        <w:t xml:space="preserve"> &amp; </w:t>
      </w:r>
      <w:proofErr w:type="spellStart"/>
      <w:r w:rsidRPr="005404F0">
        <w:t>Fidell</w:t>
      </w:r>
      <w:proofErr w:type="spellEnd"/>
      <w:r w:rsidRPr="005404F0">
        <w:t>, 2019).</w:t>
      </w:r>
    </w:p>
    <w:p w14:paraId="772A102B" w14:textId="77777777" w:rsidR="005404F0" w:rsidRPr="005404F0" w:rsidRDefault="005404F0" w:rsidP="005404F0">
      <w:r w:rsidRPr="005404F0">
        <w:rPr>
          <w:b/>
          <w:bCs/>
        </w:rPr>
        <w:t>Qualitative Analysis</w:t>
      </w:r>
      <w:r w:rsidRPr="005404F0">
        <w:t xml:space="preserve">: Thematic analysis will be used to </w:t>
      </w:r>
      <w:proofErr w:type="spellStart"/>
      <w:r w:rsidRPr="005404F0">
        <w:t>analyze</w:t>
      </w:r>
      <w:proofErr w:type="spellEnd"/>
      <w:r w:rsidRPr="005404F0">
        <w:t xml:space="preserve"> interview data, focusing on recurring themes or patterns in the participants' feedback. This will help identify the most valued aspects of the intervention and any areas for improvement. Thematic analysis is particularly effective in capturing nuanced experiences and providing rich, detailed insights into the emotional and psychological effects of the intervention (Braun &amp; Clarke, 2006).</w:t>
      </w:r>
    </w:p>
    <w:p w14:paraId="62D32212" w14:textId="77777777" w:rsidR="005404F0" w:rsidRPr="005404F0" w:rsidRDefault="005404F0" w:rsidP="005404F0">
      <w:r w:rsidRPr="005404F0">
        <w:t>The primary outcome measures include improvements in cognitive function, reduction in anxiety and depression, and decreased caregiver burden. Secondary outcomes include increased family cohesion and emotional well-being. Through both quantitative and qualitative analysis, the data will provide a comprehensive view of how the intervention impacts both the participants with dementia and their families, guiding any necessary adjustments to enhance the intervention's efficacy.</w:t>
      </w:r>
    </w:p>
    <w:p w14:paraId="482C63FB" w14:textId="77777777" w:rsidR="005404F0" w:rsidRDefault="005404F0" w:rsidP="005404F0">
      <w:pPr>
        <w:jc w:val="center"/>
        <w:rPr>
          <w:b/>
          <w:bCs/>
        </w:rPr>
      </w:pPr>
    </w:p>
    <w:p w14:paraId="48F1D759" w14:textId="77777777" w:rsidR="005404F0" w:rsidRDefault="005404F0" w:rsidP="005404F0">
      <w:pPr>
        <w:jc w:val="center"/>
        <w:rPr>
          <w:b/>
          <w:bCs/>
        </w:rPr>
      </w:pPr>
    </w:p>
    <w:p w14:paraId="13089500" w14:textId="77777777" w:rsidR="005404F0" w:rsidRDefault="005404F0" w:rsidP="005404F0">
      <w:pPr>
        <w:jc w:val="center"/>
        <w:rPr>
          <w:b/>
          <w:bCs/>
        </w:rPr>
      </w:pPr>
    </w:p>
    <w:p w14:paraId="47D7BDC8" w14:textId="77777777" w:rsidR="005404F0" w:rsidRDefault="005404F0" w:rsidP="005404F0">
      <w:pPr>
        <w:jc w:val="center"/>
        <w:rPr>
          <w:b/>
          <w:bCs/>
        </w:rPr>
      </w:pPr>
    </w:p>
    <w:p w14:paraId="072284AD" w14:textId="77777777" w:rsidR="005404F0" w:rsidRDefault="005404F0" w:rsidP="005404F0">
      <w:pPr>
        <w:jc w:val="center"/>
        <w:rPr>
          <w:b/>
          <w:bCs/>
        </w:rPr>
      </w:pPr>
    </w:p>
    <w:p w14:paraId="42D9E392" w14:textId="77777777" w:rsidR="005404F0" w:rsidRDefault="005404F0" w:rsidP="005404F0">
      <w:pPr>
        <w:jc w:val="center"/>
        <w:rPr>
          <w:b/>
          <w:bCs/>
        </w:rPr>
      </w:pPr>
    </w:p>
    <w:p w14:paraId="5351EA96" w14:textId="77777777" w:rsidR="005404F0" w:rsidRDefault="005404F0" w:rsidP="005404F0">
      <w:pPr>
        <w:jc w:val="center"/>
        <w:rPr>
          <w:b/>
          <w:bCs/>
        </w:rPr>
      </w:pPr>
    </w:p>
    <w:p w14:paraId="2F041D5D" w14:textId="77777777" w:rsidR="005404F0" w:rsidRDefault="005404F0" w:rsidP="005404F0">
      <w:pPr>
        <w:jc w:val="center"/>
        <w:rPr>
          <w:b/>
          <w:bCs/>
        </w:rPr>
      </w:pPr>
    </w:p>
    <w:p w14:paraId="041498E8" w14:textId="77777777" w:rsidR="005404F0" w:rsidRDefault="005404F0" w:rsidP="005404F0">
      <w:pPr>
        <w:jc w:val="center"/>
        <w:rPr>
          <w:b/>
          <w:bCs/>
        </w:rPr>
      </w:pPr>
    </w:p>
    <w:p w14:paraId="54F753DC" w14:textId="77777777" w:rsidR="005404F0" w:rsidRDefault="005404F0" w:rsidP="005404F0">
      <w:pPr>
        <w:jc w:val="center"/>
        <w:rPr>
          <w:b/>
          <w:bCs/>
        </w:rPr>
      </w:pPr>
    </w:p>
    <w:p w14:paraId="025AAD61" w14:textId="77777777" w:rsidR="005404F0" w:rsidRDefault="005404F0" w:rsidP="005404F0">
      <w:pPr>
        <w:jc w:val="center"/>
        <w:rPr>
          <w:b/>
          <w:bCs/>
        </w:rPr>
      </w:pPr>
    </w:p>
    <w:p w14:paraId="5CF11E61" w14:textId="77777777" w:rsidR="005404F0" w:rsidRDefault="005404F0" w:rsidP="005404F0">
      <w:pPr>
        <w:jc w:val="center"/>
        <w:rPr>
          <w:b/>
          <w:bCs/>
        </w:rPr>
      </w:pPr>
    </w:p>
    <w:p w14:paraId="62D519D1" w14:textId="77777777" w:rsidR="005404F0" w:rsidRDefault="005404F0" w:rsidP="005404F0">
      <w:pPr>
        <w:jc w:val="center"/>
        <w:rPr>
          <w:b/>
          <w:bCs/>
        </w:rPr>
      </w:pPr>
    </w:p>
    <w:p w14:paraId="1F5C66BF" w14:textId="292746D5" w:rsidR="005404F0" w:rsidRDefault="005404F0" w:rsidP="005404F0">
      <w:pPr>
        <w:jc w:val="center"/>
        <w:rPr>
          <w:b/>
          <w:bCs/>
        </w:rPr>
      </w:pPr>
      <w:r w:rsidRPr="005404F0">
        <w:rPr>
          <w:b/>
          <w:bCs/>
        </w:rPr>
        <w:lastRenderedPageBreak/>
        <w:t>Appendix</w:t>
      </w:r>
    </w:p>
    <w:p w14:paraId="392C04B0" w14:textId="270D97DE" w:rsidR="005404F0" w:rsidRPr="005404F0" w:rsidRDefault="005404F0">
      <w:r w:rsidRPr="005404F0">
        <w:rPr>
          <w:b/>
          <w:bCs/>
        </w:rPr>
        <w:t>Mini-Mental State Examination (MMSE) Template</w:t>
      </w:r>
    </w:p>
    <w:p w14:paraId="38141CB2" w14:textId="7E5ED5DB" w:rsidR="005404F0" w:rsidRDefault="005404F0" w:rsidP="005404F0">
      <w:r>
        <w:t xml:space="preserve">Cognitive Function Assessment Questionnaire </w:t>
      </w:r>
      <w:proofErr w:type="gramStart"/>
      <w:r>
        <w:t>The</w:t>
      </w:r>
      <w:proofErr w:type="gramEnd"/>
      <w:r>
        <w:t xml:space="preserve"> Mini-Mental State Examination (MMSE) will be used to assess the cognitive function of participants before, during, and after the intervention. The MMSE is a widely used tool in dementia research to measure cognitive impairment, including tasks related to orientation, memory, and arithmetic.</w:t>
      </w:r>
    </w:p>
    <w:p w14:paraId="6E1A204D" w14:textId="77777777" w:rsidR="005404F0" w:rsidRPr="005404F0" w:rsidRDefault="005404F0" w:rsidP="005404F0">
      <w:r w:rsidRPr="005404F0">
        <w:t>The Mini-Mental State Examination (MMSE) is a brief 30-point questionnaire used to assess cognitive function in adults. It includes questions on orientation, memory, attention, language, and visual-spatial skills. The following sections outline the typical questions included in the MMSE.</w:t>
      </w:r>
    </w:p>
    <w:p w14:paraId="63AA24AF" w14:textId="77777777" w:rsidR="005404F0" w:rsidRDefault="005404F0" w:rsidP="005404F0">
      <w:pPr>
        <w:rPr>
          <w:b/>
          <w:bCs/>
        </w:rPr>
      </w:pPr>
    </w:p>
    <w:p w14:paraId="7B561797" w14:textId="0F379DB7" w:rsidR="005404F0" w:rsidRPr="005404F0" w:rsidRDefault="005404F0" w:rsidP="005404F0">
      <w:r w:rsidRPr="005404F0">
        <w:rPr>
          <w:b/>
          <w:bCs/>
        </w:rPr>
        <w:t>Mini-Mental State Examination (MMSE)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13"/>
        <w:gridCol w:w="6203"/>
        <w:gridCol w:w="710"/>
      </w:tblGrid>
      <w:tr w:rsidR="005404F0" w:rsidRPr="005404F0" w14:paraId="1686EF05" w14:textId="77777777" w:rsidTr="005404F0">
        <w:trPr>
          <w:tblHeader/>
          <w:tblCellSpacing w:w="15" w:type="dxa"/>
        </w:trPr>
        <w:tc>
          <w:tcPr>
            <w:tcW w:w="0" w:type="auto"/>
            <w:vAlign w:val="center"/>
            <w:hideMark/>
          </w:tcPr>
          <w:p w14:paraId="30D3F22B" w14:textId="77777777" w:rsidR="005404F0" w:rsidRPr="005404F0" w:rsidRDefault="005404F0" w:rsidP="005404F0">
            <w:pPr>
              <w:rPr>
                <w:b/>
                <w:bCs/>
              </w:rPr>
            </w:pPr>
            <w:r w:rsidRPr="005404F0">
              <w:rPr>
                <w:b/>
                <w:bCs/>
              </w:rPr>
              <w:t>Category</w:t>
            </w:r>
          </w:p>
        </w:tc>
        <w:tc>
          <w:tcPr>
            <w:tcW w:w="0" w:type="auto"/>
            <w:vAlign w:val="center"/>
            <w:hideMark/>
          </w:tcPr>
          <w:p w14:paraId="4DFE2E44" w14:textId="77777777" w:rsidR="005404F0" w:rsidRPr="005404F0" w:rsidRDefault="005404F0" w:rsidP="005404F0">
            <w:pPr>
              <w:rPr>
                <w:b/>
                <w:bCs/>
              </w:rPr>
            </w:pPr>
            <w:r w:rsidRPr="005404F0">
              <w:rPr>
                <w:b/>
                <w:bCs/>
              </w:rPr>
              <w:t>Questions</w:t>
            </w:r>
          </w:p>
        </w:tc>
        <w:tc>
          <w:tcPr>
            <w:tcW w:w="0" w:type="auto"/>
            <w:vAlign w:val="center"/>
            <w:hideMark/>
          </w:tcPr>
          <w:p w14:paraId="2B41CDF5" w14:textId="77777777" w:rsidR="005404F0" w:rsidRPr="005404F0" w:rsidRDefault="005404F0" w:rsidP="005404F0">
            <w:pPr>
              <w:rPr>
                <w:b/>
                <w:bCs/>
              </w:rPr>
            </w:pPr>
            <w:r w:rsidRPr="005404F0">
              <w:rPr>
                <w:b/>
                <w:bCs/>
              </w:rPr>
              <w:t>Score</w:t>
            </w:r>
          </w:p>
        </w:tc>
      </w:tr>
      <w:tr w:rsidR="005404F0" w:rsidRPr="005404F0" w14:paraId="7B9C11F0" w14:textId="77777777" w:rsidTr="005404F0">
        <w:trPr>
          <w:tblCellSpacing w:w="15" w:type="dxa"/>
        </w:trPr>
        <w:tc>
          <w:tcPr>
            <w:tcW w:w="0" w:type="auto"/>
            <w:vAlign w:val="center"/>
            <w:hideMark/>
          </w:tcPr>
          <w:p w14:paraId="518C6370" w14:textId="77777777" w:rsidR="005404F0" w:rsidRPr="005404F0" w:rsidRDefault="005404F0" w:rsidP="005404F0">
            <w:r w:rsidRPr="005404F0">
              <w:rPr>
                <w:b/>
                <w:bCs/>
              </w:rPr>
              <w:t>Orientation to Time</w:t>
            </w:r>
          </w:p>
        </w:tc>
        <w:tc>
          <w:tcPr>
            <w:tcW w:w="0" w:type="auto"/>
            <w:vAlign w:val="center"/>
            <w:hideMark/>
          </w:tcPr>
          <w:p w14:paraId="11CFAA9D" w14:textId="77777777" w:rsidR="005404F0" w:rsidRPr="005404F0" w:rsidRDefault="005404F0" w:rsidP="005404F0">
            <w:r w:rsidRPr="005404F0">
              <w:t>1. What is the year?</w:t>
            </w:r>
          </w:p>
        </w:tc>
        <w:tc>
          <w:tcPr>
            <w:tcW w:w="0" w:type="auto"/>
            <w:vAlign w:val="center"/>
            <w:hideMark/>
          </w:tcPr>
          <w:p w14:paraId="66D1043A" w14:textId="77777777" w:rsidR="005404F0" w:rsidRPr="005404F0" w:rsidRDefault="005404F0" w:rsidP="005404F0">
            <w:r w:rsidRPr="005404F0">
              <w:t>[ ]</w:t>
            </w:r>
          </w:p>
        </w:tc>
      </w:tr>
      <w:tr w:rsidR="005404F0" w:rsidRPr="005404F0" w14:paraId="0B74D9A6" w14:textId="77777777" w:rsidTr="005404F0">
        <w:trPr>
          <w:tblCellSpacing w:w="15" w:type="dxa"/>
        </w:trPr>
        <w:tc>
          <w:tcPr>
            <w:tcW w:w="0" w:type="auto"/>
            <w:vAlign w:val="center"/>
            <w:hideMark/>
          </w:tcPr>
          <w:p w14:paraId="2D692178" w14:textId="77777777" w:rsidR="005404F0" w:rsidRPr="005404F0" w:rsidRDefault="005404F0" w:rsidP="005404F0"/>
        </w:tc>
        <w:tc>
          <w:tcPr>
            <w:tcW w:w="0" w:type="auto"/>
            <w:vAlign w:val="center"/>
            <w:hideMark/>
          </w:tcPr>
          <w:p w14:paraId="3535C70B" w14:textId="77777777" w:rsidR="005404F0" w:rsidRPr="005404F0" w:rsidRDefault="005404F0" w:rsidP="005404F0">
            <w:r w:rsidRPr="005404F0">
              <w:t>2. What is the season?</w:t>
            </w:r>
          </w:p>
        </w:tc>
        <w:tc>
          <w:tcPr>
            <w:tcW w:w="0" w:type="auto"/>
            <w:vAlign w:val="center"/>
            <w:hideMark/>
          </w:tcPr>
          <w:p w14:paraId="6B21D1A7" w14:textId="77777777" w:rsidR="005404F0" w:rsidRPr="005404F0" w:rsidRDefault="005404F0" w:rsidP="005404F0">
            <w:r w:rsidRPr="005404F0">
              <w:t>[ ]</w:t>
            </w:r>
          </w:p>
        </w:tc>
      </w:tr>
      <w:tr w:rsidR="005404F0" w:rsidRPr="005404F0" w14:paraId="4FB3FDCF" w14:textId="77777777" w:rsidTr="005404F0">
        <w:trPr>
          <w:tblCellSpacing w:w="15" w:type="dxa"/>
        </w:trPr>
        <w:tc>
          <w:tcPr>
            <w:tcW w:w="0" w:type="auto"/>
            <w:vAlign w:val="center"/>
            <w:hideMark/>
          </w:tcPr>
          <w:p w14:paraId="1CCE7106" w14:textId="77777777" w:rsidR="005404F0" w:rsidRPr="005404F0" w:rsidRDefault="005404F0" w:rsidP="005404F0"/>
        </w:tc>
        <w:tc>
          <w:tcPr>
            <w:tcW w:w="0" w:type="auto"/>
            <w:vAlign w:val="center"/>
            <w:hideMark/>
          </w:tcPr>
          <w:p w14:paraId="36D2C41A" w14:textId="77777777" w:rsidR="005404F0" w:rsidRPr="005404F0" w:rsidRDefault="005404F0" w:rsidP="005404F0">
            <w:r w:rsidRPr="005404F0">
              <w:t>3. What is the month?</w:t>
            </w:r>
          </w:p>
        </w:tc>
        <w:tc>
          <w:tcPr>
            <w:tcW w:w="0" w:type="auto"/>
            <w:vAlign w:val="center"/>
            <w:hideMark/>
          </w:tcPr>
          <w:p w14:paraId="4EB9F9E1" w14:textId="77777777" w:rsidR="005404F0" w:rsidRPr="005404F0" w:rsidRDefault="005404F0" w:rsidP="005404F0">
            <w:r w:rsidRPr="005404F0">
              <w:t>[ ]</w:t>
            </w:r>
          </w:p>
        </w:tc>
      </w:tr>
      <w:tr w:rsidR="005404F0" w:rsidRPr="005404F0" w14:paraId="15F0CB5B" w14:textId="77777777" w:rsidTr="005404F0">
        <w:trPr>
          <w:tblCellSpacing w:w="15" w:type="dxa"/>
        </w:trPr>
        <w:tc>
          <w:tcPr>
            <w:tcW w:w="0" w:type="auto"/>
            <w:vAlign w:val="center"/>
            <w:hideMark/>
          </w:tcPr>
          <w:p w14:paraId="471CDC92" w14:textId="77777777" w:rsidR="005404F0" w:rsidRPr="005404F0" w:rsidRDefault="005404F0" w:rsidP="005404F0"/>
        </w:tc>
        <w:tc>
          <w:tcPr>
            <w:tcW w:w="0" w:type="auto"/>
            <w:vAlign w:val="center"/>
            <w:hideMark/>
          </w:tcPr>
          <w:p w14:paraId="394695DF" w14:textId="77777777" w:rsidR="005404F0" w:rsidRPr="005404F0" w:rsidRDefault="005404F0" w:rsidP="005404F0">
            <w:r w:rsidRPr="005404F0">
              <w:t>4. What is the date?</w:t>
            </w:r>
          </w:p>
        </w:tc>
        <w:tc>
          <w:tcPr>
            <w:tcW w:w="0" w:type="auto"/>
            <w:vAlign w:val="center"/>
            <w:hideMark/>
          </w:tcPr>
          <w:p w14:paraId="63F054C4" w14:textId="77777777" w:rsidR="005404F0" w:rsidRPr="005404F0" w:rsidRDefault="005404F0" w:rsidP="005404F0">
            <w:r w:rsidRPr="005404F0">
              <w:t>[ ]</w:t>
            </w:r>
          </w:p>
        </w:tc>
      </w:tr>
      <w:tr w:rsidR="005404F0" w:rsidRPr="005404F0" w14:paraId="06CEC129" w14:textId="77777777" w:rsidTr="005404F0">
        <w:trPr>
          <w:tblCellSpacing w:w="15" w:type="dxa"/>
        </w:trPr>
        <w:tc>
          <w:tcPr>
            <w:tcW w:w="0" w:type="auto"/>
            <w:vAlign w:val="center"/>
            <w:hideMark/>
          </w:tcPr>
          <w:p w14:paraId="51B627F7" w14:textId="77777777" w:rsidR="005404F0" w:rsidRPr="005404F0" w:rsidRDefault="005404F0" w:rsidP="005404F0"/>
        </w:tc>
        <w:tc>
          <w:tcPr>
            <w:tcW w:w="0" w:type="auto"/>
            <w:vAlign w:val="center"/>
            <w:hideMark/>
          </w:tcPr>
          <w:p w14:paraId="54281AA0" w14:textId="77777777" w:rsidR="005404F0" w:rsidRPr="005404F0" w:rsidRDefault="005404F0" w:rsidP="005404F0">
            <w:r w:rsidRPr="005404F0">
              <w:t>5. What is the day of the week?</w:t>
            </w:r>
          </w:p>
        </w:tc>
        <w:tc>
          <w:tcPr>
            <w:tcW w:w="0" w:type="auto"/>
            <w:vAlign w:val="center"/>
            <w:hideMark/>
          </w:tcPr>
          <w:p w14:paraId="21925B8C" w14:textId="77777777" w:rsidR="005404F0" w:rsidRPr="005404F0" w:rsidRDefault="005404F0" w:rsidP="005404F0">
            <w:r w:rsidRPr="005404F0">
              <w:t>[ ]</w:t>
            </w:r>
          </w:p>
        </w:tc>
      </w:tr>
      <w:tr w:rsidR="005404F0" w:rsidRPr="005404F0" w14:paraId="151563BB" w14:textId="77777777" w:rsidTr="005404F0">
        <w:trPr>
          <w:tblCellSpacing w:w="15" w:type="dxa"/>
        </w:trPr>
        <w:tc>
          <w:tcPr>
            <w:tcW w:w="0" w:type="auto"/>
            <w:vAlign w:val="center"/>
            <w:hideMark/>
          </w:tcPr>
          <w:p w14:paraId="44D4F752" w14:textId="77777777" w:rsidR="005404F0" w:rsidRPr="005404F0" w:rsidRDefault="005404F0" w:rsidP="005404F0">
            <w:r w:rsidRPr="005404F0">
              <w:rPr>
                <w:b/>
                <w:bCs/>
              </w:rPr>
              <w:t>Orientation to Place</w:t>
            </w:r>
          </w:p>
        </w:tc>
        <w:tc>
          <w:tcPr>
            <w:tcW w:w="0" w:type="auto"/>
            <w:vAlign w:val="center"/>
            <w:hideMark/>
          </w:tcPr>
          <w:p w14:paraId="3920CBD2" w14:textId="77777777" w:rsidR="005404F0" w:rsidRPr="005404F0" w:rsidRDefault="005404F0" w:rsidP="005404F0">
            <w:r w:rsidRPr="005404F0">
              <w:t>6. What is the country?</w:t>
            </w:r>
          </w:p>
        </w:tc>
        <w:tc>
          <w:tcPr>
            <w:tcW w:w="0" w:type="auto"/>
            <w:vAlign w:val="center"/>
            <w:hideMark/>
          </w:tcPr>
          <w:p w14:paraId="3A38189F" w14:textId="77777777" w:rsidR="005404F0" w:rsidRPr="005404F0" w:rsidRDefault="005404F0" w:rsidP="005404F0">
            <w:r w:rsidRPr="005404F0">
              <w:t>[ ]</w:t>
            </w:r>
          </w:p>
        </w:tc>
      </w:tr>
      <w:tr w:rsidR="005404F0" w:rsidRPr="005404F0" w14:paraId="3D382F33" w14:textId="77777777" w:rsidTr="005404F0">
        <w:trPr>
          <w:tblCellSpacing w:w="15" w:type="dxa"/>
        </w:trPr>
        <w:tc>
          <w:tcPr>
            <w:tcW w:w="0" w:type="auto"/>
            <w:vAlign w:val="center"/>
            <w:hideMark/>
          </w:tcPr>
          <w:p w14:paraId="709FB9D9" w14:textId="77777777" w:rsidR="005404F0" w:rsidRPr="005404F0" w:rsidRDefault="005404F0" w:rsidP="005404F0"/>
        </w:tc>
        <w:tc>
          <w:tcPr>
            <w:tcW w:w="0" w:type="auto"/>
            <w:vAlign w:val="center"/>
            <w:hideMark/>
          </w:tcPr>
          <w:p w14:paraId="3AA9AD86" w14:textId="77777777" w:rsidR="005404F0" w:rsidRPr="005404F0" w:rsidRDefault="005404F0" w:rsidP="005404F0">
            <w:r w:rsidRPr="005404F0">
              <w:t>7. What is the city?</w:t>
            </w:r>
          </w:p>
        </w:tc>
        <w:tc>
          <w:tcPr>
            <w:tcW w:w="0" w:type="auto"/>
            <w:vAlign w:val="center"/>
            <w:hideMark/>
          </w:tcPr>
          <w:p w14:paraId="1A72B28B" w14:textId="77777777" w:rsidR="005404F0" w:rsidRPr="005404F0" w:rsidRDefault="005404F0" w:rsidP="005404F0">
            <w:r w:rsidRPr="005404F0">
              <w:t>[ ]</w:t>
            </w:r>
          </w:p>
        </w:tc>
      </w:tr>
      <w:tr w:rsidR="005404F0" w:rsidRPr="005404F0" w14:paraId="55B12954" w14:textId="77777777" w:rsidTr="005404F0">
        <w:trPr>
          <w:tblCellSpacing w:w="15" w:type="dxa"/>
        </w:trPr>
        <w:tc>
          <w:tcPr>
            <w:tcW w:w="0" w:type="auto"/>
            <w:vAlign w:val="center"/>
            <w:hideMark/>
          </w:tcPr>
          <w:p w14:paraId="2F7793EA" w14:textId="77777777" w:rsidR="005404F0" w:rsidRPr="005404F0" w:rsidRDefault="005404F0" w:rsidP="005404F0"/>
        </w:tc>
        <w:tc>
          <w:tcPr>
            <w:tcW w:w="0" w:type="auto"/>
            <w:vAlign w:val="center"/>
            <w:hideMark/>
          </w:tcPr>
          <w:p w14:paraId="1972506D" w14:textId="77777777" w:rsidR="005404F0" w:rsidRPr="005404F0" w:rsidRDefault="005404F0" w:rsidP="005404F0">
            <w:r w:rsidRPr="005404F0">
              <w:t>8. What is the building you are in?</w:t>
            </w:r>
          </w:p>
        </w:tc>
        <w:tc>
          <w:tcPr>
            <w:tcW w:w="0" w:type="auto"/>
            <w:vAlign w:val="center"/>
            <w:hideMark/>
          </w:tcPr>
          <w:p w14:paraId="518425F6" w14:textId="77777777" w:rsidR="005404F0" w:rsidRPr="005404F0" w:rsidRDefault="005404F0" w:rsidP="005404F0">
            <w:r w:rsidRPr="005404F0">
              <w:t>[ ]</w:t>
            </w:r>
          </w:p>
        </w:tc>
      </w:tr>
      <w:tr w:rsidR="005404F0" w:rsidRPr="005404F0" w14:paraId="59B01380" w14:textId="77777777" w:rsidTr="005404F0">
        <w:trPr>
          <w:tblCellSpacing w:w="15" w:type="dxa"/>
        </w:trPr>
        <w:tc>
          <w:tcPr>
            <w:tcW w:w="0" w:type="auto"/>
            <w:vAlign w:val="center"/>
            <w:hideMark/>
          </w:tcPr>
          <w:p w14:paraId="088B68FD" w14:textId="77777777" w:rsidR="005404F0" w:rsidRPr="005404F0" w:rsidRDefault="005404F0" w:rsidP="005404F0"/>
        </w:tc>
        <w:tc>
          <w:tcPr>
            <w:tcW w:w="0" w:type="auto"/>
            <w:vAlign w:val="center"/>
            <w:hideMark/>
          </w:tcPr>
          <w:p w14:paraId="674773D8" w14:textId="77777777" w:rsidR="005404F0" w:rsidRPr="005404F0" w:rsidRDefault="005404F0" w:rsidP="005404F0">
            <w:r w:rsidRPr="005404F0">
              <w:t>9. What floor or room are we in?</w:t>
            </w:r>
          </w:p>
        </w:tc>
        <w:tc>
          <w:tcPr>
            <w:tcW w:w="0" w:type="auto"/>
            <w:vAlign w:val="center"/>
            <w:hideMark/>
          </w:tcPr>
          <w:p w14:paraId="3B341FAD" w14:textId="77777777" w:rsidR="005404F0" w:rsidRPr="005404F0" w:rsidRDefault="005404F0" w:rsidP="005404F0">
            <w:r w:rsidRPr="005404F0">
              <w:t>[ ]</w:t>
            </w:r>
          </w:p>
        </w:tc>
      </w:tr>
      <w:tr w:rsidR="005404F0" w:rsidRPr="005404F0" w14:paraId="1F403CBA" w14:textId="77777777" w:rsidTr="005404F0">
        <w:trPr>
          <w:tblCellSpacing w:w="15" w:type="dxa"/>
        </w:trPr>
        <w:tc>
          <w:tcPr>
            <w:tcW w:w="0" w:type="auto"/>
            <w:vAlign w:val="center"/>
            <w:hideMark/>
          </w:tcPr>
          <w:p w14:paraId="52E905AB" w14:textId="77777777" w:rsidR="005404F0" w:rsidRPr="005404F0" w:rsidRDefault="005404F0" w:rsidP="005404F0">
            <w:r w:rsidRPr="005404F0">
              <w:rPr>
                <w:b/>
                <w:bCs/>
              </w:rPr>
              <w:t>Registration</w:t>
            </w:r>
          </w:p>
        </w:tc>
        <w:tc>
          <w:tcPr>
            <w:tcW w:w="0" w:type="auto"/>
            <w:vAlign w:val="center"/>
            <w:hideMark/>
          </w:tcPr>
          <w:p w14:paraId="508B47BD" w14:textId="77777777" w:rsidR="005404F0" w:rsidRPr="005404F0" w:rsidRDefault="005404F0" w:rsidP="005404F0">
            <w:r w:rsidRPr="005404F0">
              <w:t>10. Please repeat these three words: Apple, Table, Penny. (Repeat words to ensure participant has heard them).</w:t>
            </w:r>
          </w:p>
        </w:tc>
        <w:tc>
          <w:tcPr>
            <w:tcW w:w="0" w:type="auto"/>
            <w:vAlign w:val="center"/>
            <w:hideMark/>
          </w:tcPr>
          <w:p w14:paraId="0A4BF69B" w14:textId="77777777" w:rsidR="005404F0" w:rsidRPr="005404F0" w:rsidRDefault="005404F0" w:rsidP="005404F0">
            <w:r w:rsidRPr="005404F0">
              <w:t>[ ]</w:t>
            </w:r>
          </w:p>
        </w:tc>
      </w:tr>
      <w:tr w:rsidR="005404F0" w:rsidRPr="005404F0" w14:paraId="03A6F3A2" w14:textId="77777777" w:rsidTr="005404F0">
        <w:trPr>
          <w:tblCellSpacing w:w="15" w:type="dxa"/>
        </w:trPr>
        <w:tc>
          <w:tcPr>
            <w:tcW w:w="0" w:type="auto"/>
            <w:vAlign w:val="center"/>
            <w:hideMark/>
          </w:tcPr>
          <w:p w14:paraId="7E6669AF" w14:textId="77777777" w:rsidR="005404F0" w:rsidRPr="005404F0" w:rsidRDefault="005404F0" w:rsidP="005404F0">
            <w:r w:rsidRPr="005404F0">
              <w:rPr>
                <w:b/>
                <w:bCs/>
              </w:rPr>
              <w:t>Attention and Calculation</w:t>
            </w:r>
          </w:p>
        </w:tc>
        <w:tc>
          <w:tcPr>
            <w:tcW w:w="0" w:type="auto"/>
            <w:vAlign w:val="center"/>
            <w:hideMark/>
          </w:tcPr>
          <w:p w14:paraId="39F14EAB" w14:textId="77777777" w:rsidR="005404F0" w:rsidRPr="005404F0" w:rsidRDefault="005404F0" w:rsidP="005404F0">
            <w:r w:rsidRPr="005404F0">
              <w:t>11. Count backwards from 100 by sevens (e.g., 100, 93, 86…).</w:t>
            </w:r>
          </w:p>
        </w:tc>
        <w:tc>
          <w:tcPr>
            <w:tcW w:w="0" w:type="auto"/>
            <w:vAlign w:val="center"/>
            <w:hideMark/>
          </w:tcPr>
          <w:p w14:paraId="7963C5C4" w14:textId="77777777" w:rsidR="005404F0" w:rsidRPr="005404F0" w:rsidRDefault="005404F0" w:rsidP="005404F0">
            <w:r w:rsidRPr="005404F0">
              <w:t>[ ]</w:t>
            </w:r>
          </w:p>
        </w:tc>
      </w:tr>
      <w:tr w:rsidR="005404F0" w:rsidRPr="005404F0" w14:paraId="645C9878" w14:textId="77777777" w:rsidTr="005404F0">
        <w:trPr>
          <w:tblCellSpacing w:w="15" w:type="dxa"/>
        </w:trPr>
        <w:tc>
          <w:tcPr>
            <w:tcW w:w="0" w:type="auto"/>
            <w:vAlign w:val="center"/>
            <w:hideMark/>
          </w:tcPr>
          <w:p w14:paraId="36DD31E5" w14:textId="77777777" w:rsidR="005404F0" w:rsidRPr="005404F0" w:rsidRDefault="005404F0" w:rsidP="005404F0"/>
        </w:tc>
        <w:tc>
          <w:tcPr>
            <w:tcW w:w="0" w:type="auto"/>
            <w:vAlign w:val="center"/>
            <w:hideMark/>
          </w:tcPr>
          <w:p w14:paraId="5ECFDFD4" w14:textId="77777777" w:rsidR="005404F0" w:rsidRPr="005404F0" w:rsidRDefault="005404F0" w:rsidP="005404F0">
            <w:r w:rsidRPr="005404F0">
              <w:t>12. Spell "WORLD" backwards.</w:t>
            </w:r>
          </w:p>
        </w:tc>
        <w:tc>
          <w:tcPr>
            <w:tcW w:w="0" w:type="auto"/>
            <w:vAlign w:val="center"/>
            <w:hideMark/>
          </w:tcPr>
          <w:p w14:paraId="67CAA659" w14:textId="77777777" w:rsidR="005404F0" w:rsidRPr="005404F0" w:rsidRDefault="005404F0" w:rsidP="005404F0">
            <w:r w:rsidRPr="005404F0">
              <w:t>[ ]</w:t>
            </w:r>
          </w:p>
        </w:tc>
      </w:tr>
      <w:tr w:rsidR="005404F0" w:rsidRPr="005404F0" w14:paraId="58A24F23" w14:textId="77777777" w:rsidTr="005404F0">
        <w:trPr>
          <w:tblCellSpacing w:w="15" w:type="dxa"/>
        </w:trPr>
        <w:tc>
          <w:tcPr>
            <w:tcW w:w="0" w:type="auto"/>
            <w:vAlign w:val="center"/>
            <w:hideMark/>
          </w:tcPr>
          <w:p w14:paraId="4F522243" w14:textId="77777777" w:rsidR="005404F0" w:rsidRPr="005404F0" w:rsidRDefault="005404F0" w:rsidP="005404F0">
            <w:r w:rsidRPr="005404F0">
              <w:rPr>
                <w:b/>
                <w:bCs/>
              </w:rPr>
              <w:lastRenderedPageBreak/>
              <w:t>Recall</w:t>
            </w:r>
          </w:p>
        </w:tc>
        <w:tc>
          <w:tcPr>
            <w:tcW w:w="0" w:type="auto"/>
            <w:vAlign w:val="center"/>
            <w:hideMark/>
          </w:tcPr>
          <w:p w14:paraId="1CF9490C" w14:textId="77777777" w:rsidR="005404F0" w:rsidRPr="005404F0" w:rsidRDefault="005404F0" w:rsidP="005404F0">
            <w:r w:rsidRPr="005404F0">
              <w:t>13. What were the three words I asked you to remember earlier?</w:t>
            </w:r>
          </w:p>
        </w:tc>
        <w:tc>
          <w:tcPr>
            <w:tcW w:w="0" w:type="auto"/>
            <w:vAlign w:val="center"/>
            <w:hideMark/>
          </w:tcPr>
          <w:p w14:paraId="227409A2" w14:textId="77777777" w:rsidR="005404F0" w:rsidRPr="005404F0" w:rsidRDefault="005404F0" w:rsidP="005404F0">
            <w:r w:rsidRPr="005404F0">
              <w:t>[ ]</w:t>
            </w:r>
          </w:p>
        </w:tc>
      </w:tr>
      <w:tr w:rsidR="005404F0" w:rsidRPr="005404F0" w14:paraId="2F565136" w14:textId="77777777" w:rsidTr="005404F0">
        <w:trPr>
          <w:tblCellSpacing w:w="15" w:type="dxa"/>
        </w:trPr>
        <w:tc>
          <w:tcPr>
            <w:tcW w:w="0" w:type="auto"/>
            <w:vAlign w:val="center"/>
            <w:hideMark/>
          </w:tcPr>
          <w:p w14:paraId="65C2CFE6" w14:textId="77777777" w:rsidR="005404F0" w:rsidRPr="005404F0" w:rsidRDefault="005404F0" w:rsidP="005404F0">
            <w:r w:rsidRPr="005404F0">
              <w:rPr>
                <w:b/>
                <w:bCs/>
              </w:rPr>
              <w:t>Language</w:t>
            </w:r>
          </w:p>
        </w:tc>
        <w:tc>
          <w:tcPr>
            <w:tcW w:w="0" w:type="auto"/>
            <w:vAlign w:val="center"/>
            <w:hideMark/>
          </w:tcPr>
          <w:p w14:paraId="7DAE90C1" w14:textId="77777777" w:rsidR="005404F0" w:rsidRPr="005404F0" w:rsidRDefault="005404F0" w:rsidP="005404F0">
            <w:r w:rsidRPr="005404F0">
              <w:t>14. What is this? (Point to a pencil)</w:t>
            </w:r>
          </w:p>
        </w:tc>
        <w:tc>
          <w:tcPr>
            <w:tcW w:w="0" w:type="auto"/>
            <w:vAlign w:val="center"/>
            <w:hideMark/>
          </w:tcPr>
          <w:p w14:paraId="2CF43307" w14:textId="77777777" w:rsidR="005404F0" w:rsidRPr="005404F0" w:rsidRDefault="005404F0" w:rsidP="005404F0">
            <w:r w:rsidRPr="005404F0">
              <w:t>[ ]</w:t>
            </w:r>
          </w:p>
        </w:tc>
      </w:tr>
      <w:tr w:rsidR="005404F0" w:rsidRPr="005404F0" w14:paraId="5CE9B6F6" w14:textId="77777777" w:rsidTr="005404F0">
        <w:trPr>
          <w:tblCellSpacing w:w="15" w:type="dxa"/>
        </w:trPr>
        <w:tc>
          <w:tcPr>
            <w:tcW w:w="0" w:type="auto"/>
            <w:vAlign w:val="center"/>
            <w:hideMark/>
          </w:tcPr>
          <w:p w14:paraId="1D764AE7" w14:textId="77777777" w:rsidR="005404F0" w:rsidRPr="005404F0" w:rsidRDefault="005404F0" w:rsidP="005404F0"/>
        </w:tc>
        <w:tc>
          <w:tcPr>
            <w:tcW w:w="0" w:type="auto"/>
            <w:vAlign w:val="center"/>
            <w:hideMark/>
          </w:tcPr>
          <w:p w14:paraId="5E2441EE" w14:textId="77777777" w:rsidR="005404F0" w:rsidRPr="005404F0" w:rsidRDefault="005404F0" w:rsidP="005404F0">
            <w:r w:rsidRPr="005404F0">
              <w:t>15. What is this? (Point to a watch)</w:t>
            </w:r>
          </w:p>
        </w:tc>
        <w:tc>
          <w:tcPr>
            <w:tcW w:w="0" w:type="auto"/>
            <w:vAlign w:val="center"/>
            <w:hideMark/>
          </w:tcPr>
          <w:p w14:paraId="30022246" w14:textId="77777777" w:rsidR="005404F0" w:rsidRPr="005404F0" w:rsidRDefault="005404F0" w:rsidP="005404F0">
            <w:r w:rsidRPr="005404F0">
              <w:t>[ ]</w:t>
            </w:r>
          </w:p>
        </w:tc>
      </w:tr>
      <w:tr w:rsidR="005404F0" w:rsidRPr="005404F0" w14:paraId="3C50BB13" w14:textId="77777777" w:rsidTr="005404F0">
        <w:trPr>
          <w:tblCellSpacing w:w="15" w:type="dxa"/>
        </w:trPr>
        <w:tc>
          <w:tcPr>
            <w:tcW w:w="0" w:type="auto"/>
            <w:vAlign w:val="center"/>
            <w:hideMark/>
          </w:tcPr>
          <w:p w14:paraId="0D1CEBEA" w14:textId="77777777" w:rsidR="005404F0" w:rsidRPr="005404F0" w:rsidRDefault="005404F0" w:rsidP="005404F0"/>
        </w:tc>
        <w:tc>
          <w:tcPr>
            <w:tcW w:w="0" w:type="auto"/>
            <w:vAlign w:val="center"/>
            <w:hideMark/>
          </w:tcPr>
          <w:p w14:paraId="29931CBE" w14:textId="77777777" w:rsidR="005404F0" w:rsidRPr="005404F0" w:rsidRDefault="005404F0" w:rsidP="005404F0">
            <w:r w:rsidRPr="005404F0">
              <w:t>16. Name a specific object in this room (e.g., table).</w:t>
            </w:r>
          </w:p>
        </w:tc>
        <w:tc>
          <w:tcPr>
            <w:tcW w:w="0" w:type="auto"/>
            <w:vAlign w:val="center"/>
            <w:hideMark/>
          </w:tcPr>
          <w:p w14:paraId="0BC2695D" w14:textId="77777777" w:rsidR="005404F0" w:rsidRPr="005404F0" w:rsidRDefault="005404F0" w:rsidP="005404F0">
            <w:r w:rsidRPr="005404F0">
              <w:t>[ ]</w:t>
            </w:r>
          </w:p>
        </w:tc>
      </w:tr>
      <w:tr w:rsidR="005404F0" w:rsidRPr="005404F0" w14:paraId="4226BFD7" w14:textId="77777777" w:rsidTr="005404F0">
        <w:trPr>
          <w:tblCellSpacing w:w="15" w:type="dxa"/>
        </w:trPr>
        <w:tc>
          <w:tcPr>
            <w:tcW w:w="0" w:type="auto"/>
            <w:vAlign w:val="center"/>
            <w:hideMark/>
          </w:tcPr>
          <w:p w14:paraId="00259AC7" w14:textId="77777777" w:rsidR="005404F0" w:rsidRPr="005404F0" w:rsidRDefault="005404F0" w:rsidP="005404F0">
            <w:r w:rsidRPr="005404F0">
              <w:rPr>
                <w:b/>
                <w:bCs/>
              </w:rPr>
              <w:t>Repetition</w:t>
            </w:r>
          </w:p>
        </w:tc>
        <w:tc>
          <w:tcPr>
            <w:tcW w:w="0" w:type="auto"/>
            <w:vAlign w:val="center"/>
            <w:hideMark/>
          </w:tcPr>
          <w:p w14:paraId="3DAF73B9" w14:textId="77777777" w:rsidR="005404F0" w:rsidRPr="005404F0" w:rsidRDefault="005404F0" w:rsidP="005404F0">
            <w:r w:rsidRPr="005404F0">
              <w:t>17. Please repeat after me: "No ifs, ands, or buts."</w:t>
            </w:r>
          </w:p>
        </w:tc>
        <w:tc>
          <w:tcPr>
            <w:tcW w:w="0" w:type="auto"/>
            <w:vAlign w:val="center"/>
            <w:hideMark/>
          </w:tcPr>
          <w:p w14:paraId="0EF7593A" w14:textId="77777777" w:rsidR="005404F0" w:rsidRPr="005404F0" w:rsidRDefault="005404F0" w:rsidP="005404F0">
            <w:r w:rsidRPr="005404F0">
              <w:t>[ ]</w:t>
            </w:r>
          </w:p>
        </w:tc>
      </w:tr>
      <w:tr w:rsidR="005404F0" w:rsidRPr="005404F0" w14:paraId="7ADFC8FD" w14:textId="77777777" w:rsidTr="005404F0">
        <w:trPr>
          <w:tblCellSpacing w:w="15" w:type="dxa"/>
        </w:trPr>
        <w:tc>
          <w:tcPr>
            <w:tcW w:w="0" w:type="auto"/>
            <w:vAlign w:val="center"/>
            <w:hideMark/>
          </w:tcPr>
          <w:p w14:paraId="639A76AA" w14:textId="77777777" w:rsidR="005404F0" w:rsidRPr="005404F0" w:rsidRDefault="005404F0" w:rsidP="005404F0">
            <w:r w:rsidRPr="005404F0">
              <w:rPr>
                <w:b/>
                <w:bCs/>
              </w:rPr>
              <w:t>Complex Command</w:t>
            </w:r>
          </w:p>
        </w:tc>
        <w:tc>
          <w:tcPr>
            <w:tcW w:w="0" w:type="auto"/>
            <w:vAlign w:val="center"/>
            <w:hideMark/>
          </w:tcPr>
          <w:p w14:paraId="37C7569D" w14:textId="77777777" w:rsidR="005404F0" w:rsidRPr="005404F0" w:rsidRDefault="005404F0" w:rsidP="005404F0">
            <w:r w:rsidRPr="005404F0">
              <w:t>18. Please take a paper, fold it in half, and put it on the floor.</w:t>
            </w:r>
          </w:p>
        </w:tc>
        <w:tc>
          <w:tcPr>
            <w:tcW w:w="0" w:type="auto"/>
            <w:vAlign w:val="center"/>
            <w:hideMark/>
          </w:tcPr>
          <w:p w14:paraId="75528C5D" w14:textId="77777777" w:rsidR="005404F0" w:rsidRPr="005404F0" w:rsidRDefault="005404F0" w:rsidP="005404F0">
            <w:r w:rsidRPr="005404F0">
              <w:t>[ ]</w:t>
            </w:r>
          </w:p>
        </w:tc>
      </w:tr>
      <w:tr w:rsidR="005404F0" w:rsidRPr="005404F0" w14:paraId="1AB09688" w14:textId="77777777" w:rsidTr="005404F0">
        <w:trPr>
          <w:tblCellSpacing w:w="15" w:type="dxa"/>
        </w:trPr>
        <w:tc>
          <w:tcPr>
            <w:tcW w:w="0" w:type="auto"/>
            <w:vAlign w:val="center"/>
            <w:hideMark/>
          </w:tcPr>
          <w:p w14:paraId="762E7FD4" w14:textId="77777777" w:rsidR="005404F0" w:rsidRPr="005404F0" w:rsidRDefault="005404F0" w:rsidP="005404F0">
            <w:r w:rsidRPr="005404F0">
              <w:rPr>
                <w:b/>
                <w:bCs/>
              </w:rPr>
              <w:t>Reading and Writing</w:t>
            </w:r>
          </w:p>
        </w:tc>
        <w:tc>
          <w:tcPr>
            <w:tcW w:w="0" w:type="auto"/>
            <w:vAlign w:val="center"/>
            <w:hideMark/>
          </w:tcPr>
          <w:p w14:paraId="70EAD3D6" w14:textId="77777777" w:rsidR="005404F0" w:rsidRPr="005404F0" w:rsidRDefault="005404F0" w:rsidP="005404F0">
            <w:r w:rsidRPr="005404F0">
              <w:t>19. Please read this and do what it says (e.g., "Close your eyes").</w:t>
            </w:r>
          </w:p>
        </w:tc>
        <w:tc>
          <w:tcPr>
            <w:tcW w:w="0" w:type="auto"/>
            <w:vAlign w:val="center"/>
            <w:hideMark/>
          </w:tcPr>
          <w:p w14:paraId="7BCDA144" w14:textId="77777777" w:rsidR="005404F0" w:rsidRPr="005404F0" w:rsidRDefault="005404F0" w:rsidP="005404F0">
            <w:r w:rsidRPr="005404F0">
              <w:t>[ ]</w:t>
            </w:r>
          </w:p>
        </w:tc>
      </w:tr>
      <w:tr w:rsidR="005404F0" w:rsidRPr="005404F0" w14:paraId="60D0762E" w14:textId="77777777" w:rsidTr="005404F0">
        <w:trPr>
          <w:tblCellSpacing w:w="15" w:type="dxa"/>
        </w:trPr>
        <w:tc>
          <w:tcPr>
            <w:tcW w:w="0" w:type="auto"/>
            <w:vAlign w:val="center"/>
            <w:hideMark/>
          </w:tcPr>
          <w:p w14:paraId="038B9762" w14:textId="77777777" w:rsidR="005404F0" w:rsidRPr="005404F0" w:rsidRDefault="005404F0" w:rsidP="005404F0"/>
        </w:tc>
        <w:tc>
          <w:tcPr>
            <w:tcW w:w="0" w:type="auto"/>
            <w:vAlign w:val="center"/>
            <w:hideMark/>
          </w:tcPr>
          <w:p w14:paraId="1D3B3204" w14:textId="77777777" w:rsidR="005404F0" w:rsidRPr="005404F0" w:rsidRDefault="005404F0" w:rsidP="005404F0">
            <w:r w:rsidRPr="005404F0">
              <w:t>20. Please write a sentence about anything.</w:t>
            </w:r>
          </w:p>
        </w:tc>
        <w:tc>
          <w:tcPr>
            <w:tcW w:w="0" w:type="auto"/>
            <w:vAlign w:val="center"/>
            <w:hideMark/>
          </w:tcPr>
          <w:p w14:paraId="02FA8BC3" w14:textId="77777777" w:rsidR="005404F0" w:rsidRPr="005404F0" w:rsidRDefault="005404F0" w:rsidP="005404F0">
            <w:r w:rsidRPr="005404F0">
              <w:t>[ ]</w:t>
            </w:r>
          </w:p>
        </w:tc>
      </w:tr>
    </w:tbl>
    <w:p w14:paraId="3852A159" w14:textId="77777777" w:rsidR="005404F0" w:rsidRPr="005404F0" w:rsidRDefault="00703252" w:rsidP="005404F0">
      <w:r w:rsidRPr="005404F0">
        <w:rPr>
          <w:noProof/>
        </w:rPr>
        <w:pict w14:anchorId="3BCDB30A">
          <v:rect id="_x0000_i1026" alt="" style="width:451.3pt;height:.05pt;mso-width-percent:0;mso-height-percent:0;mso-width-percent:0;mso-height-percent:0" o:hralign="center" o:hrstd="t" o:hrnoshade="t" o:hr="t" fillcolor="black" stroked="f"/>
        </w:pict>
      </w:r>
    </w:p>
    <w:p w14:paraId="5504AD9F" w14:textId="77777777" w:rsidR="005404F0" w:rsidRPr="005404F0" w:rsidRDefault="005404F0" w:rsidP="005404F0">
      <w:pPr>
        <w:rPr>
          <w:b/>
          <w:bCs/>
        </w:rPr>
      </w:pPr>
      <w:r w:rsidRPr="005404F0">
        <w:rPr>
          <w:b/>
          <w:bCs/>
        </w:rPr>
        <w:t>Scoring:</w:t>
      </w:r>
    </w:p>
    <w:p w14:paraId="2F8581E2" w14:textId="77777777" w:rsidR="005404F0" w:rsidRPr="005404F0" w:rsidRDefault="005404F0" w:rsidP="005404F0">
      <w:r w:rsidRPr="005404F0">
        <w:t>Each correct answer scores 1 point. A score of </w:t>
      </w:r>
      <w:r w:rsidRPr="005404F0">
        <w:rPr>
          <w:b/>
          <w:bCs/>
        </w:rPr>
        <w:t>24 or higher</w:t>
      </w:r>
      <w:r w:rsidRPr="005404F0">
        <w:t> generally indicates no cognitive impairment, while a score below 24 may suggest varying degrees of cognitive decline. The total possible score is </w:t>
      </w:r>
      <w:r w:rsidRPr="005404F0">
        <w:rPr>
          <w:b/>
          <w:bCs/>
        </w:rPr>
        <w:t>30</w:t>
      </w:r>
      <w:r w:rsidRPr="005404F0">
        <w:t>.</w:t>
      </w:r>
    </w:p>
    <w:p w14:paraId="3C1749AE" w14:textId="696F9FEA" w:rsidR="005404F0" w:rsidRDefault="005404F0" w:rsidP="005404F0">
      <w:r w:rsidRPr="005404F0">
        <w:t>The </w:t>
      </w:r>
      <w:r w:rsidRPr="005404F0">
        <w:rPr>
          <w:b/>
          <w:bCs/>
        </w:rPr>
        <w:t>MMSE</w:t>
      </w:r>
      <w:r w:rsidRPr="005404F0">
        <w:t> is a valuable tool to assess the cognitive function of participants at the start and end of the intervention. It will allow us to track any changes in cognition over time, especially in areas relevant to dementia, such as memory, attention, and language. It will help evaluate the intervention’s impact on cognitive performance, providing a clearer understanding of whether the approach has had any significant effects on participants’ mental function.</w:t>
      </w:r>
    </w:p>
    <w:p w14:paraId="14BC57D7" w14:textId="77777777" w:rsidR="005404F0" w:rsidRDefault="005404F0" w:rsidP="005404F0"/>
    <w:p w14:paraId="6177BF0D" w14:textId="77777777" w:rsidR="005404F0" w:rsidRDefault="005404F0" w:rsidP="005404F0">
      <w:pPr>
        <w:rPr>
          <w:b/>
          <w:bCs/>
        </w:rPr>
      </w:pPr>
    </w:p>
    <w:p w14:paraId="2BD9961A" w14:textId="77777777" w:rsidR="005404F0" w:rsidRDefault="005404F0" w:rsidP="005404F0">
      <w:pPr>
        <w:rPr>
          <w:b/>
          <w:bCs/>
        </w:rPr>
      </w:pPr>
    </w:p>
    <w:p w14:paraId="689D455F" w14:textId="77777777" w:rsidR="005404F0" w:rsidRDefault="005404F0" w:rsidP="005404F0">
      <w:pPr>
        <w:rPr>
          <w:b/>
          <w:bCs/>
        </w:rPr>
      </w:pPr>
    </w:p>
    <w:p w14:paraId="34848F27" w14:textId="77777777" w:rsidR="005404F0" w:rsidRDefault="005404F0" w:rsidP="005404F0">
      <w:pPr>
        <w:rPr>
          <w:b/>
          <w:bCs/>
        </w:rPr>
      </w:pPr>
    </w:p>
    <w:p w14:paraId="7F10F03E" w14:textId="77777777" w:rsidR="005404F0" w:rsidRDefault="005404F0" w:rsidP="005404F0">
      <w:pPr>
        <w:rPr>
          <w:b/>
          <w:bCs/>
        </w:rPr>
      </w:pPr>
    </w:p>
    <w:p w14:paraId="60B23782" w14:textId="77777777" w:rsidR="005404F0" w:rsidRDefault="005404F0" w:rsidP="005404F0">
      <w:pPr>
        <w:rPr>
          <w:b/>
          <w:bCs/>
        </w:rPr>
      </w:pPr>
    </w:p>
    <w:p w14:paraId="7EFFEF00" w14:textId="30086E6A" w:rsidR="005404F0" w:rsidRDefault="005404F0" w:rsidP="005404F0">
      <w:r w:rsidRPr="005404F0">
        <w:rPr>
          <w:b/>
          <w:bCs/>
        </w:rPr>
        <w:lastRenderedPageBreak/>
        <w:t>WHO-5 Well-Being Index</w:t>
      </w:r>
    </w:p>
    <w:p w14:paraId="70AB3706" w14:textId="7A59A875" w:rsidR="005404F0" w:rsidRPr="005404F0" w:rsidRDefault="005404F0" w:rsidP="005404F0">
      <w:pPr>
        <w:rPr>
          <w:sz w:val="22"/>
          <w:szCs w:val="22"/>
        </w:rPr>
      </w:pPr>
      <w:r w:rsidRPr="005404F0">
        <w:rPr>
          <w:sz w:val="22"/>
          <w:szCs w:val="22"/>
        </w:rPr>
        <w:t>Well-Being Assessment The WHO-5 Well-Being Index will be used to measure the emotional well-being and overall quality of life of participants. This tool will assess the impact of the intervention on participants' mood and mental health, which are critical areas when working with dementia patients.</w:t>
      </w:r>
      <w:r w:rsidRPr="005404F0">
        <w:rPr>
          <w:sz w:val="22"/>
          <w:szCs w:val="22"/>
        </w:rPr>
        <w:t xml:space="preserve"> </w:t>
      </w:r>
    </w:p>
    <w:p w14:paraId="16B40350" w14:textId="1A56A96C" w:rsidR="005404F0" w:rsidRPr="005404F0" w:rsidRDefault="005404F0" w:rsidP="005404F0">
      <w:pPr>
        <w:rPr>
          <w:sz w:val="22"/>
          <w:szCs w:val="22"/>
        </w:rPr>
      </w:pPr>
      <w:r w:rsidRPr="005404F0">
        <w:rPr>
          <w:sz w:val="22"/>
          <w:szCs w:val="22"/>
        </w:rPr>
        <w:t>The WHO-5 Well-Being Index will be administered to participants at the beginning and end of the intervention to assess emotional well-being and identify changes related to the intervention. It will help determine whether the intervention has a positive impact on participants' mood, social interactions, and overall mental health.</w:t>
      </w:r>
    </w:p>
    <w:p w14:paraId="11D0EC8C" w14:textId="77777777" w:rsidR="005404F0" w:rsidRPr="005404F0" w:rsidRDefault="005404F0" w:rsidP="005404F0">
      <w:pPr>
        <w:rPr>
          <w:sz w:val="22"/>
          <w:szCs w:val="22"/>
        </w:rPr>
      </w:pPr>
      <w:r w:rsidRPr="005404F0">
        <w:rPr>
          <w:sz w:val="22"/>
          <w:szCs w:val="22"/>
        </w:rPr>
        <w:t>The WHO-5 Well-Being Index is a short, self-administered tool designed to measure emotional well-being and general quality of life. The following five statements are rated by participants on a scale from 0 (at no time) to 5 (</w:t>
      </w:r>
      <w:proofErr w:type="gramStart"/>
      <w:r w:rsidRPr="005404F0">
        <w:rPr>
          <w:sz w:val="22"/>
          <w:szCs w:val="22"/>
        </w:rPr>
        <w:t>all of</w:t>
      </w:r>
      <w:proofErr w:type="gramEnd"/>
      <w:r w:rsidRPr="005404F0">
        <w:rPr>
          <w:sz w:val="22"/>
          <w:szCs w:val="22"/>
        </w:rPr>
        <w:t xml:space="preserve"> the time).</w:t>
      </w:r>
    </w:p>
    <w:p w14:paraId="480CF8C8" w14:textId="77777777" w:rsidR="005404F0" w:rsidRPr="005404F0" w:rsidRDefault="005404F0" w:rsidP="005404F0">
      <w:r w:rsidRPr="005404F0">
        <w:rPr>
          <w:i/>
          <w:iCs/>
        </w:rPr>
        <w:t>Please indicate how often you have felt the following over the past two weeks: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44"/>
        <w:gridCol w:w="846"/>
        <w:gridCol w:w="1137"/>
        <w:gridCol w:w="1267"/>
        <w:gridCol w:w="1321"/>
        <w:gridCol w:w="1046"/>
        <w:gridCol w:w="965"/>
      </w:tblGrid>
      <w:tr w:rsidR="005404F0" w:rsidRPr="005404F0" w14:paraId="278B99B1" w14:textId="77777777" w:rsidTr="005404F0">
        <w:trPr>
          <w:tblHeader/>
          <w:tblCellSpacing w:w="15" w:type="dxa"/>
        </w:trPr>
        <w:tc>
          <w:tcPr>
            <w:tcW w:w="0" w:type="auto"/>
            <w:vAlign w:val="center"/>
            <w:hideMark/>
          </w:tcPr>
          <w:p w14:paraId="34B0E8EC" w14:textId="77777777" w:rsidR="005404F0" w:rsidRPr="005404F0" w:rsidRDefault="005404F0" w:rsidP="005404F0">
            <w:pPr>
              <w:rPr>
                <w:b/>
                <w:bCs/>
              </w:rPr>
            </w:pPr>
            <w:r w:rsidRPr="005404F0">
              <w:rPr>
                <w:b/>
                <w:bCs/>
              </w:rPr>
              <w:t>Statement</w:t>
            </w:r>
          </w:p>
        </w:tc>
        <w:tc>
          <w:tcPr>
            <w:tcW w:w="0" w:type="auto"/>
            <w:vAlign w:val="center"/>
            <w:hideMark/>
          </w:tcPr>
          <w:p w14:paraId="01E47E87" w14:textId="77777777" w:rsidR="005404F0" w:rsidRPr="005404F0" w:rsidRDefault="005404F0" w:rsidP="005404F0">
            <w:pPr>
              <w:rPr>
                <w:b/>
                <w:bCs/>
              </w:rPr>
            </w:pPr>
            <w:r w:rsidRPr="005404F0">
              <w:rPr>
                <w:b/>
                <w:bCs/>
              </w:rPr>
              <w:t>0 (At no time)</w:t>
            </w:r>
          </w:p>
        </w:tc>
        <w:tc>
          <w:tcPr>
            <w:tcW w:w="0" w:type="auto"/>
            <w:vAlign w:val="center"/>
            <w:hideMark/>
          </w:tcPr>
          <w:p w14:paraId="35D6BDE3" w14:textId="77777777" w:rsidR="005404F0" w:rsidRPr="005404F0" w:rsidRDefault="005404F0" w:rsidP="005404F0">
            <w:pPr>
              <w:rPr>
                <w:b/>
                <w:bCs/>
              </w:rPr>
            </w:pPr>
            <w:r w:rsidRPr="005404F0">
              <w:rPr>
                <w:b/>
                <w:bCs/>
              </w:rPr>
              <w:t>1 (Some of the time)</w:t>
            </w:r>
          </w:p>
        </w:tc>
        <w:tc>
          <w:tcPr>
            <w:tcW w:w="0" w:type="auto"/>
            <w:vAlign w:val="center"/>
            <w:hideMark/>
          </w:tcPr>
          <w:p w14:paraId="0A3F73D4" w14:textId="77777777" w:rsidR="005404F0" w:rsidRPr="005404F0" w:rsidRDefault="005404F0" w:rsidP="005404F0">
            <w:pPr>
              <w:rPr>
                <w:b/>
                <w:bCs/>
              </w:rPr>
            </w:pPr>
            <w:r w:rsidRPr="005404F0">
              <w:rPr>
                <w:b/>
                <w:bCs/>
              </w:rPr>
              <w:t>2 (Less than half of the time)</w:t>
            </w:r>
          </w:p>
        </w:tc>
        <w:tc>
          <w:tcPr>
            <w:tcW w:w="0" w:type="auto"/>
            <w:vAlign w:val="center"/>
            <w:hideMark/>
          </w:tcPr>
          <w:p w14:paraId="3F4B45A3" w14:textId="77777777" w:rsidR="005404F0" w:rsidRPr="005404F0" w:rsidRDefault="005404F0" w:rsidP="005404F0">
            <w:pPr>
              <w:rPr>
                <w:b/>
                <w:bCs/>
              </w:rPr>
            </w:pPr>
            <w:r w:rsidRPr="005404F0">
              <w:rPr>
                <w:b/>
                <w:bCs/>
              </w:rPr>
              <w:t>3 (More than half of the time)</w:t>
            </w:r>
          </w:p>
        </w:tc>
        <w:tc>
          <w:tcPr>
            <w:tcW w:w="0" w:type="auto"/>
            <w:vAlign w:val="center"/>
            <w:hideMark/>
          </w:tcPr>
          <w:p w14:paraId="45BB4BD7" w14:textId="77777777" w:rsidR="005404F0" w:rsidRPr="005404F0" w:rsidRDefault="005404F0" w:rsidP="005404F0">
            <w:pPr>
              <w:rPr>
                <w:b/>
                <w:bCs/>
              </w:rPr>
            </w:pPr>
            <w:r w:rsidRPr="005404F0">
              <w:rPr>
                <w:b/>
                <w:bCs/>
              </w:rPr>
              <w:t>4 (Most of the time)</w:t>
            </w:r>
          </w:p>
        </w:tc>
        <w:tc>
          <w:tcPr>
            <w:tcW w:w="0" w:type="auto"/>
            <w:vAlign w:val="center"/>
            <w:hideMark/>
          </w:tcPr>
          <w:p w14:paraId="3D5957D7" w14:textId="77777777" w:rsidR="005404F0" w:rsidRPr="005404F0" w:rsidRDefault="005404F0" w:rsidP="005404F0">
            <w:pPr>
              <w:rPr>
                <w:b/>
                <w:bCs/>
              </w:rPr>
            </w:pPr>
            <w:r w:rsidRPr="005404F0">
              <w:rPr>
                <w:b/>
                <w:bCs/>
              </w:rPr>
              <w:t>5 (All of the time)</w:t>
            </w:r>
          </w:p>
        </w:tc>
      </w:tr>
      <w:tr w:rsidR="005404F0" w:rsidRPr="005404F0" w14:paraId="1FAE0694" w14:textId="77777777" w:rsidTr="005404F0">
        <w:trPr>
          <w:tblCellSpacing w:w="15" w:type="dxa"/>
        </w:trPr>
        <w:tc>
          <w:tcPr>
            <w:tcW w:w="0" w:type="auto"/>
            <w:vAlign w:val="center"/>
            <w:hideMark/>
          </w:tcPr>
          <w:p w14:paraId="3193D2D3" w14:textId="77777777" w:rsidR="005404F0" w:rsidRPr="005404F0" w:rsidRDefault="005404F0" w:rsidP="005404F0">
            <w:r w:rsidRPr="005404F0">
              <w:t>1. I have felt cheerful and in good spirits.</w:t>
            </w:r>
          </w:p>
        </w:tc>
        <w:tc>
          <w:tcPr>
            <w:tcW w:w="0" w:type="auto"/>
            <w:vAlign w:val="center"/>
            <w:hideMark/>
          </w:tcPr>
          <w:p w14:paraId="0F0BB2FC" w14:textId="77777777" w:rsidR="005404F0" w:rsidRPr="005404F0" w:rsidRDefault="005404F0" w:rsidP="005404F0">
            <w:r w:rsidRPr="005404F0">
              <w:t>☐</w:t>
            </w:r>
          </w:p>
        </w:tc>
        <w:tc>
          <w:tcPr>
            <w:tcW w:w="0" w:type="auto"/>
            <w:vAlign w:val="center"/>
            <w:hideMark/>
          </w:tcPr>
          <w:p w14:paraId="4EDE2837" w14:textId="77777777" w:rsidR="005404F0" w:rsidRPr="005404F0" w:rsidRDefault="005404F0" w:rsidP="005404F0">
            <w:r w:rsidRPr="005404F0">
              <w:t>☐</w:t>
            </w:r>
          </w:p>
        </w:tc>
        <w:tc>
          <w:tcPr>
            <w:tcW w:w="0" w:type="auto"/>
            <w:vAlign w:val="center"/>
            <w:hideMark/>
          </w:tcPr>
          <w:p w14:paraId="3BB9A870" w14:textId="77777777" w:rsidR="005404F0" w:rsidRPr="005404F0" w:rsidRDefault="005404F0" w:rsidP="005404F0">
            <w:r w:rsidRPr="005404F0">
              <w:t>☐</w:t>
            </w:r>
          </w:p>
        </w:tc>
        <w:tc>
          <w:tcPr>
            <w:tcW w:w="0" w:type="auto"/>
            <w:vAlign w:val="center"/>
            <w:hideMark/>
          </w:tcPr>
          <w:p w14:paraId="5C7F9E16" w14:textId="77777777" w:rsidR="005404F0" w:rsidRPr="005404F0" w:rsidRDefault="005404F0" w:rsidP="005404F0">
            <w:r w:rsidRPr="005404F0">
              <w:t>☐</w:t>
            </w:r>
          </w:p>
        </w:tc>
        <w:tc>
          <w:tcPr>
            <w:tcW w:w="0" w:type="auto"/>
            <w:vAlign w:val="center"/>
            <w:hideMark/>
          </w:tcPr>
          <w:p w14:paraId="26E0A42F" w14:textId="77777777" w:rsidR="005404F0" w:rsidRPr="005404F0" w:rsidRDefault="005404F0" w:rsidP="005404F0">
            <w:r w:rsidRPr="005404F0">
              <w:t>☐</w:t>
            </w:r>
          </w:p>
        </w:tc>
        <w:tc>
          <w:tcPr>
            <w:tcW w:w="0" w:type="auto"/>
            <w:vAlign w:val="center"/>
            <w:hideMark/>
          </w:tcPr>
          <w:p w14:paraId="13077206" w14:textId="77777777" w:rsidR="005404F0" w:rsidRPr="005404F0" w:rsidRDefault="005404F0" w:rsidP="005404F0">
            <w:r w:rsidRPr="005404F0">
              <w:t>☐</w:t>
            </w:r>
          </w:p>
        </w:tc>
      </w:tr>
      <w:tr w:rsidR="005404F0" w:rsidRPr="005404F0" w14:paraId="07C0AA92" w14:textId="77777777" w:rsidTr="005404F0">
        <w:trPr>
          <w:tblCellSpacing w:w="15" w:type="dxa"/>
        </w:trPr>
        <w:tc>
          <w:tcPr>
            <w:tcW w:w="0" w:type="auto"/>
            <w:vAlign w:val="center"/>
            <w:hideMark/>
          </w:tcPr>
          <w:p w14:paraId="723F30A8" w14:textId="77777777" w:rsidR="005404F0" w:rsidRPr="005404F0" w:rsidRDefault="005404F0" w:rsidP="005404F0">
            <w:r w:rsidRPr="005404F0">
              <w:t>2. I have felt calm and relaxed.</w:t>
            </w:r>
          </w:p>
        </w:tc>
        <w:tc>
          <w:tcPr>
            <w:tcW w:w="0" w:type="auto"/>
            <w:vAlign w:val="center"/>
            <w:hideMark/>
          </w:tcPr>
          <w:p w14:paraId="7D3A9583" w14:textId="77777777" w:rsidR="005404F0" w:rsidRPr="005404F0" w:rsidRDefault="005404F0" w:rsidP="005404F0">
            <w:r w:rsidRPr="005404F0">
              <w:t>☐</w:t>
            </w:r>
          </w:p>
        </w:tc>
        <w:tc>
          <w:tcPr>
            <w:tcW w:w="0" w:type="auto"/>
            <w:vAlign w:val="center"/>
            <w:hideMark/>
          </w:tcPr>
          <w:p w14:paraId="4B86C5CA" w14:textId="77777777" w:rsidR="005404F0" w:rsidRPr="005404F0" w:rsidRDefault="005404F0" w:rsidP="005404F0">
            <w:r w:rsidRPr="005404F0">
              <w:t>☐</w:t>
            </w:r>
          </w:p>
        </w:tc>
        <w:tc>
          <w:tcPr>
            <w:tcW w:w="0" w:type="auto"/>
            <w:vAlign w:val="center"/>
            <w:hideMark/>
          </w:tcPr>
          <w:p w14:paraId="0C5EB253" w14:textId="77777777" w:rsidR="005404F0" w:rsidRPr="005404F0" w:rsidRDefault="005404F0" w:rsidP="005404F0">
            <w:r w:rsidRPr="005404F0">
              <w:t>☐</w:t>
            </w:r>
          </w:p>
        </w:tc>
        <w:tc>
          <w:tcPr>
            <w:tcW w:w="0" w:type="auto"/>
            <w:vAlign w:val="center"/>
            <w:hideMark/>
          </w:tcPr>
          <w:p w14:paraId="27EBC8C2" w14:textId="77777777" w:rsidR="005404F0" w:rsidRPr="005404F0" w:rsidRDefault="005404F0" w:rsidP="005404F0">
            <w:r w:rsidRPr="005404F0">
              <w:t>☐</w:t>
            </w:r>
          </w:p>
        </w:tc>
        <w:tc>
          <w:tcPr>
            <w:tcW w:w="0" w:type="auto"/>
            <w:vAlign w:val="center"/>
            <w:hideMark/>
          </w:tcPr>
          <w:p w14:paraId="1B819392" w14:textId="77777777" w:rsidR="005404F0" w:rsidRPr="005404F0" w:rsidRDefault="005404F0" w:rsidP="005404F0">
            <w:r w:rsidRPr="005404F0">
              <w:t>☐</w:t>
            </w:r>
          </w:p>
        </w:tc>
        <w:tc>
          <w:tcPr>
            <w:tcW w:w="0" w:type="auto"/>
            <w:vAlign w:val="center"/>
            <w:hideMark/>
          </w:tcPr>
          <w:p w14:paraId="5506FA64" w14:textId="77777777" w:rsidR="005404F0" w:rsidRPr="005404F0" w:rsidRDefault="005404F0" w:rsidP="005404F0">
            <w:r w:rsidRPr="005404F0">
              <w:t>☐</w:t>
            </w:r>
          </w:p>
        </w:tc>
      </w:tr>
      <w:tr w:rsidR="005404F0" w:rsidRPr="005404F0" w14:paraId="13A88900" w14:textId="77777777" w:rsidTr="005404F0">
        <w:trPr>
          <w:tblCellSpacing w:w="15" w:type="dxa"/>
        </w:trPr>
        <w:tc>
          <w:tcPr>
            <w:tcW w:w="0" w:type="auto"/>
            <w:vAlign w:val="center"/>
            <w:hideMark/>
          </w:tcPr>
          <w:p w14:paraId="055C4729" w14:textId="77777777" w:rsidR="005404F0" w:rsidRPr="005404F0" w:rsidRDefault="005404F0" w:rsidP="005404F0">
            <w:r w:rsidRPr="005404F0">
              <w:t>3. I have felt active and vigorous.</w:t>
            </w:r>
          </w:p>
        </w:tc>
        <w:tc>
          <w:tcPr>
            <w:tcW w:w="0" w:type="auto"/>
            <w:vAlign w:val="center"/>
            <w:hideMark/>
          </w:tcPr>
          <w:p w14:paraId="40229223" w14:textId="77777777" w:rsidR="005404F0" w:rsidRPr="005404F0" w:rsidRDefault="005404F0" w:rsidP="005404F0">
            <w:r w:rsidRPr="005404F0">
              <w:t>☐</w:t>
            </w:r>
          </w:p>
        </w:tc>
        <w:tc>
          <w:tcPr>
            <w:tcW w:w="0" w:type="auto"/>
            <w:vAlign w:val="center"/>
            <w:hideMark/>
          </w:tcPr>
          <w:p w14:paraId="094D22EF" w14:textId="77777777" w:rsidR="005404F0" w:rsidRPr="005404F0" w:rsidRDefault="005404F0" w:rsidP="005404F0">
            <w:r w:rsidRPr="005404F0">
              <w:t>☐</w:t>
            </w:r>
          </w:p>
        </w:tc>
        <w:tc>
          <w:tcPr>
            <w:tcW w:w="0" w:type="auto"/>
            <w:vAlign w:val="center"/>
            <w:hideMark/>
          </w:tcPr>
          <w:p w14:paraId="6F41D29C" w14:textId="77777777" w:rsidR="005404F0" w:rsidRPr="005404F0" w:rsidRDefault="005404F0" w:rsidP="005404F0">
            <w:r w:rsidRPr="005404F0">
              <w:t>☐</w:t>
            </w:r>
          </w:p>
        </w:tc>
        <w:tc>
          <w:tcPr>
            <w:tcW w:w="0" w:type="auto"/>
            <w:vAlign w:val="center"/>
            <w:hideMark/>
          </w:tcPr>
          <w:p w14:paraId="4B3995D2" w14:textId="77777777" w:rsidR="005404F0" w:rsidRPr="005404F0" w:rsidRDefault="005404F0" w:rsidP="005404F0">
            <w:r w:rsidRPr="005404F0">
              <w:t>☐</w:t>
            </w:r>
          </w:p>
        </w:tc>
        <w:tc>
          <w:tcPr>
            <w:tcW w:w="0" w:type="auto"/>
            <w:vAlign w:val="center"/>
            <w:hideMark/>
          </w:tcPr>
          <w:p w14:paraId="7B356962" w14:textId="77777777" w:rsidR="005404F0" w:rsidRPr="005404F0" w:rsidRDefault="005404F0" w:rsidP="005404F0">
            <w:r w:rsidRPr="005404F0">
              <w:t>☐</w:t>
            </w:r>
          </w:p>
        </w:tc>
        <w:tc>
          <w:tcPr>
            <w:tcW w:w="0" w:type="auto"/>
            <w:vAlign w:val="center"/>
            <w:hideMark/>
          </w:tcPr>
          <w:p w14:paraId="4B18DB79" w14:textId="77777777" w:rsidR="005404F0" w:rsidRPr="005404F0" w:rsidRDefault="005404F0" w:rsidP="005404F0">
            <w:r w:rsidRPr="005404F0">
              <w:t>☐</w:t>
            </w:r>
          </w:p>
        </w:tc>
      </w:tr>
      <w:tr w:rsidR="005404F0" w:rsidRPr="005404F0" w14:paraId="2C5CA393" w14:textId="77777777" w:rsidTr="005404F0">
        <w:trPr>
          <w:tblCellSpacing w:w="15" w:type="dxa"/>
        </w:trPr>
        <w:tc>
          <w:tcPr>
            <w:tcW w:w="0" w:type="auto"/>
            <w:vAlign w:val="center"/>
            <w:hideMark/>
          </w:tcPr>
          <w:p w14:paraId="439C88E3" w14:textId="77777777" w:rsidR="005404F0" w:rsidRPr="005404F0" w:rsidRDefault="005404F0" w:rsidP="005404F0">
            <w:r w:rsidRPr="005404F0">
              <w:t>4. I woke up feeling fresh and rested.</w:t>
            </w:r>
          </w:p>
        </w:tc>
        <w:tc>
          <w:tcPr>
            <w:tcW w:w="0" w:type="auto"/>
            <w:vAlign w:val="center"/>
            <w:hideMark/>
          </w:tcPr>
          <w:p w14:paraId="673C35AB" w14:textId="77777777" w:rsidR="005404F0" w:rsidRPr="005404F0" w:rsidRDefault="005404F0" w:rsidP="005404F0">
            <w:r w:rsidRPr="005404F0">
              <w:t>☐</w:t>
            </w:r>
          </w:p>
        </w:tc>
        <w:tc>
          <w:tcPr>
            <w:tcW w:w="0" w:type="auto"/>
            <w:vAlign w:val="center"/>
            <w:hideMark/>
          </w:tcPr>
          <w:p w14:paraId="0BE3CCB9" w14:textId="77777777" w:rsidR="005404F0" w:rsidRPr="005404F0" w:rsidRDefault="005404F0" w:rsidP="005404F0">
            <w:r w:rsidRPr="005404F0">
              <w:t>☐</w:t>
            </w:r>
          </w:p>
        </w:tc>
        <w:tc>
          <w:tcPr>
            <w:tcW w:w="0" w:type="auto"/>
            <w:vAlign w:val="center"/>
            <w:hideMark/>
          </w:tcPr>
          <w:p w14:paraId="3D318264" w14:textId="77777777" w:rsidR="005404F0" w:rsidRPr="005404F0" w:rsidRDefault="005404F0" w:rsidP="005404F0">
            <w:r w:rsidRPr="005404F0">
              <w:t>☐</w:t>
            </w:r>
          </w:p>
        </w:tc>
        <w:tc>
          <w:tcPr>
            <w:tcW w:w="0" w:type="auto"/>
            <w:vAlign w:val="center"/>
            <w:hideMark/>
          </w:tcPr>
          <w:p w14:paraId="2F63FE1C" w14:textId="77777777" w:rsidR="005404F0" w:rsidRPr="005404F0" w:rsidRDefault="005404F0" w:rsidP="005404F0">
            <w:r w:rsidRPr="005404F0">
              <w:t>☐</w:t>
            </w:r>
          </w:p>
        </w:tc>
        <w:tc>
          <w:tcPr>
            <w:tcW w:w="0" w:type="auto"/>
            <w:vAlign w:val="center"/>
            <w:hideMark/>
          </w:tcPr>
          <w:p w14:paraId="2A185276" w14:textId="77777777" w:rsidR="005404F0" w:rsidRPr="005404F0" w:rsidRDefault="005404F0" w:rsidP="005404F0">
            <w:r w:rsidRPr="005404F0">
              <w:t>☐</w:t>
            </w:r>
          </w:p>
        </w:tc>
        <w:tc>
          <w:tcPr>
            <w:tcW w:w="0" w:type="auto"/>
            <w:vAlign w:val="center"/>
            <w:hideMark/>
          </w:tcPr>
          <w:p w14:paraId="02204DFD" w14:textId="77777777" w:rsidR="005404F0" w:rsidRPr="005404F0" w:rsidRDefault="005404F0" w:rsidP="005404F0">
            <w:r w:rsidRPr="005404F0">
              <w:t>☐</w:t>
            </w:r>
          </w:p>
        </w:tc>
      </w:tr>
      <w:tr w:rsidR="005404F0" w:rsidRPr="005404F0" w14:paraId="18F53AE6" w14:textId="77777777" w:rsidTr="005404F0">
        <w:trPr>
          <w:tblCellSpacing w:w="15" w:type="dxa"/>
        </w:trPr>
        <w:tc>
          <w:tcPr>
            <w:tcW w:w="0" w:type="auto"/>
            <w:vAlign w:val="center"/>
            <w:hideMark/>
          </w:tcPr>
          <w:p w14:paraId="78FC0EE0" w14:textId="77777777" w:rsidR="005404F0" w:rsidRPr="005404F0" w:rsidRDefault="005404F0" w:rsidP="005404F0">
            <w:r w:rsidRPr="005404F0">
              <w:t>5. My daily life has been filled with things that interest me.</w:t>
            </w:r>
          </w:p>
        </w:tc>
        <w:tc>
          <w:tcPr>
            <w:tcW w:w="0" w:type="auto"/>
            <w:vAlign w:val="center"/>
            <w:hideMark/>
          </w:tcPr>
          <w:p w14:paraId="78D39B5C" w14:textId="77777777" w:rsidR="005404F0" w:rsidRPr="005404F0" w:rsidRDefault="005404F0" w:rsidP="005404F0">
            <w:r w:rsidRPr="005404F0">
              <w:t>☐</w:t>
            </w:r>
          </w:p>
        </w:tc>
        <w:tc>
          <w:tcPr>
            <w:tcW w:w="0" w:type="auto"/>
            <w:vAlign w:val="center"/>
            <w:hideMark/>
          </w:tcPr>
          <w:p w14:paraId="68FC1F84" w14:textId="77777777" w:rsidR="005404F0" w:rsidRPr="005404F0" w:rsidRDefault="005404F0" w:rsidP="005404F0">
            <w:r w:rsidRPr="005404F0">
              <w:t>☐</w:t>
            </w:r>
          </w:p>
        </w:tc>
        <w:tc>
          <w:tcPr>
            <w:tcW w:w="0" w:type="auto"/>
            <w:vAlign w:val="center"/>
            <w:hideMark/>
          </w:tcPr>
          <w:p w14:paraId="2B51F7FA" w14:textId="77777777" w:rsidR="005404F0" w:rsidRPr="005404F0" w:rsidRDefault="005404F0" w:rsidP="005404F0">
            <w:r w:rsidRPr="005404F0">
              <w:t>☐</w:t>
            </w:r>
          </w:p>
        </w:tc>
        <w:tc>
          <w:tcPr>
            <w:tcW w:w="0" w:type="auto"/>
            <w:vAlign w:val="center"/>
            <w:hideMark/>
          </w:tcPr>
          <w:p w14:paraId="02A2F051" w14:textId="77777777" w:rsidR="005404F0" w:rsidRPr="005404F0" w:rsidRDefault="005404F0" w:rsidP="005404F0">
            <w:r w:rsidRPr="005404F0">
              <w:t>☐</w:t>
            </w:r>
          </w:p>
        </w:tc>
        <w:tc>
          <w:tcPr>
            <w:tcW w:w="0" w:type="auto"/>
            <w:vAlign w:val="center"/>
            <w:hideMark/>
          </w:tcPr>
          <w:p w14:paraId="3FE9F345" w14:textId="77777777" w:rsidR="005404F0" w:rsidRPr="005404F0" w:rsidRDefault="005404F0" w:rsidP="005404F0">
            <w:r w:rsidRPr="005404F0">
              <w:t>☐</w:t>
            </w:r>
          </w:p>
        </w:tc>
        <w:tc>
          <w:tcPr>
            <w:tcW w:w="0" w:type="auto"/>
            <w:vAlign w:val="center"/>
            <w:hideMark/>
          </w:tcPr>
          <w:p w14:paraId="0D267F7B" w14:textId="77777777" w:rsidR="005404F0" w:rsidRPr="005404F0" w:rsidRDefault="005404F0" w:rsidP="005404F0">
            <w:r w:rsidRPr="005404F0">
              <w:t>☐</w:t>
            </w:r>
          </w:p>
        </w:tc>
      </w:tr>
    </w:tbl>
    <w:p w14:paraId="12E13949" w14:textId="77777777" w:rsidR="005404F0" w:rsidRPr="005404F0" w:rsidRDefault="00703252" w:rsidP="005404F0">
      <w:r w:rsidRPr="005404F0">
        <w:rPr>
          <w:noProof/>
        </w:rPr>
        <w:pict w14:anchorId="34072987">
          <v:rect id="_x0000_i1025" alt="" style="width:451.3pt;height:.05pt;mso-width-percent:0;mso-height-percent:0;mso-width-percent:0;mso-height-percent:0" o:hralign="center" o:hrstd="t" o:hrnoshade="t" o:hr="t" fillcolor="black" stroked="f"/>
        </w:pict>
      </w:r>
    </w:p>
    <w:p w14:paraId="655F740B" w14:textId="77777777" w:rsidR="005404F0" w:rsidRPr="005404F0" w:rsidRDefault="005404F0" w:rsidP="005404F0">
      <w:pPr>
        <w:rPr>
          <w:b/>
          <w:bCs/>
        </w:rPr>
      </w:pPr>
      <w:r w:rsidRPr="005404F0">
        <w:rPr>
          <w:b/>
          <w:bCs/>
        </w:rPr>
        <w:t>Scoring:</w:t>
      </w:r>
    </w:p>
    <w:p w14:paraId="2A116598" w14:textId="3088E7F6" w:rsidR="005404F0" w:rsidRDefault="005404F0" w:rsidP="005404F0">
      <w:r w:rsidRPr="005404F0">
        <w:t>The WHO-5 score is calculated by summing the responses to all five items. The score ranges from 0 to 25, with higher scores indicating better well-being. A score of 13 or lower suggests a need for further assessment or intervention regarding the participant’s mental health</w:t>
      </w:r>
      <w:r>
        <w:t>.</w:t>
      </w:r>
    </w:p>
    <w:p w14:paraId="7599CE40" w14:textId="77777777" w:rsidR="005404F0" w:rsidRDefault="005404F0" w:rsidP="005404F0"/>
    <w:p w14:paraId="46A1F60D" w14:textId="77777777" w:rsidR="005404F0" w:rsidRDefault="005404F0">
      <w:r w:rsidRPr="005404F0">
        <w:rPr>
          <w:b/>
          <w:bCs/>
        </w:rPr>
        <w:t>Caregiver Log Template</w:t>
      </w:r>
      <w:r>
        <w:t xml:space="preserve"> </w:t>
      </w:r>
    </w:p>
    <w:p w14:paraId="6C0350DB" w14:textId="368C7CF1" w:rsidR="005404F0" w:rsidRDefault="005404F0">
      <w:r>
        <w:t xml:space="preserve">A caregiver log will be provided to family members or caregivers to document daily observations of participants. The caregiver log will help monitor </w:t>
      </w:r>
      <w:r>
        <w:t>behavioural</w:t>
      </w:r>
      <w:r>
        <w:t xml:space="preserve"> and emotional changes, such as improvements in mood, cognitive function, or participation in activities. Caregivers will document their observations </w:t>
      </w:r>
      <w:proofErr w:type="gramStart"/>
      <w:r>
        <w:t>on a daily basis</w:t>
      </w:r>
      <w:proofErr w:type="gramEnd"/>
      <w:r>
        <w:t xml:space="preserve"> to provide insight into the participant's progress.</w:t>
      </w:r>
    </w:p>
    <w:p w14:paraId="02E8C6AF" w14:textId="77777777" w:rsidR="005404F0" w:rsidRPr="005404F0" w:rsidRDefault="005404F0" w:rsidP="005404F0">
      <w:r w:rsidRPr="005404F0">
        <w:rPr>
          <w:b/>
          <w:bCs/>
        </w:rPr>
        <w:t>Date</w:t>
      </w:r>
      <w:r w:rsidRPr="005404F0">
        <w:t>: ___________</w:t>
      </w:r>
      <w:r w:rsidRPr="005404F0">
        <w:br/>
      </w:r>
      <w:r w:rsidRPr="005404F0">
        <w:rPr>
          <w:b/>
          <w:bCs/>
        </w:rPr>
        <w:t>Time</w:t>
      </w:r>
      <w:r w:rsidRPr="005404F0">
        <w:t>: ___________</w:t>
      </w:r>
    </w:p>
    <w:p w14:paraId="371ACBD7" w14:textId="77777777" w:rsidR="005404F0" w:rsidRPr="005404F0" w:rsidRDefault="005404F0" w:rsidP="005404F0">
      <w:r w:rsidRPr="005404F0">
        <w:rPr>
          <w:b/>
          <w:bCs/>
        </w:rPr>
        <w:t>Observed Behaviours</w:t>
      </w:r>
      <w:r w:rsidRPr="005404F0">
        <w:br/>
      </w:r>
      <w:r w:rsidRPr="005404F0">
        <w:rPr>
          <w:i/>
          <w:iCs/>
        </w:rPr>
        <w:t>(e.g., mood, engagement, cognitive function, physical activities, response to stimuli, participation in tasks, etc.):</w:t>
      </w:r>
    </w:p>
    <w:p w14:paraId="1A0ACDA7" w14:textId="262971AF" w:rsidR="005404F0" w:rsidRPr="005404F0" w:rsidRDefault="005404F0" w:rsidP="005404F0">
      <w:pPr>
        <w:numPr>
          <w:ilvl w:val="0"/>
          <w:numId w:val="6"/>
        </w:numPr>
      </w:pPr>
      <w:r w:rsidRPr="005404F0">
        <w:t xml:space="preserve">This section will document the participant's emotional and physical well-being throughout the day, noting any changes in their </w:t>
      </w:r>
      <w:r w:rsidRPr="005404F0">
        <w:t>behaviour</w:t>
      </w:r>
      <w:r w:rsidRPr="005404F0">
        <w:t xml:space="preserve">. Caregivers </w:t>
      </w:r>
      <w:r>
        <w:t xml:space="preserve">are to </w:t>
      </w:r>
      <w:r w:rsidRPr="005404F0">
        <w:t xml:space="preserve">record moments where the participant shows signs of anxiety, aggression, confusion, or joy, which can be indicators of cognitive or emotional shifts (Huang et al., 2018). It is also helpful to note times when they were </w:t>
      </w:r>
      <w:proofErr w:type="gramStart"/>
      <w:r w:rsidRPr="005404F0">
        <w:t>more or less engaged</w:t>
      </w:r>
      <w:proofErr w:type="gramEnd"/>
      <w:r w:rsidRPr="005404F0">
        <w:t xml:space="preserve"> in tasks.</w:t>
      </w:r>
    </w:p>
    <w:p w14:paraId="2B804248" w14:textId="77777777" w:rsidR="005404F0" w:rsidRPr="005404F0" w:rsidRDefault="005404F0" w:rsidP="005404F0">
      <w:r w:rsidRPr="005404F0">
        <w:rPr>
          <w:b/>
          <w:bCs/>
        </w:rPr>
        <w:t>Changes Noticed Since Last Entry</w:t>
      </w:r>
      <w:r w:rsidRPr="005404F0">
        <w:br/>
      </w:r>
      <w:r w:rsidRPr="005404F0">
        <w:rPr>
          <w:i/>
          <w:iCs/>
        </w:rPr>
        <w:t>(e.g., improvements, challenges, signs of cognitive or emotional shifts, physical changes, etc.):</w:t>
      </w:r>
    </w:p>
    <w:p w14:paraId="727B89FD" w14:textId="77777777" w:rsidR="005404F0" w:rsidRPr="005404F0" w:rsidRDefault="005404F0" w:rsidP="005404F0">
      <w:pPr>
        <w:numPr>
          <w:ilvl w:val="0"/>
          <w:numId w:val="7"/>
        </w:numPr>
      </w:pPr>
      <w:r w:rsidRPr="005404F0">
        <w:t>Caregivers will record any observable changes from previous entries. For example, they might note a decrease in agitation, improvement in speech clarity, or challenges such as difficulty remembering familiar routines (Cohen-Mansfield et al., 2019). Documenting changes in mood, communication, and functionality will help clinicians assess the participant’s progress and adjust the intervention accordingly.</w:t>
      </w:r>
    </w:p>
    <w:p w14:paraId="086993D8" w14:textId="77777777" w:rsidR="005404F0" w:rsidRPr="005404F0" w:rsidRDefault="005404F0" w:rsidP="005404F0">
      <w:r w:rsidRPr="005404F0">
        <w:rPr>
          <w:b/>
          <w:bCs/>
        </w:rPr>
        <w:t>Caregiver's Reflection</w:t>
      </w:r>
      <w:r w:rsidRPr="005404F0">
        <w:br/>
      </w:r>
      <w:r w:rsidRPr="005404F0">
        <w:rPr>
          <w:i/>
          <w:iCs/>
        </w:rPr>
        <w:t>(e.g., any adjustments made to caregiving approach, emotional impact on caregiver, insights for intervention):</w:t>
      </w:r>
    </w:p>
    <w:p w14:paraId="55596C5B" w14:textId="77777777" w:rsidR="005404F0" w:rsidRPr="005404F0" w:rsidRDefault="005404F0" w:rsidP="005404F0">
      <w:pPr>
        <w:numPr>
          <w:ilvl w:val="0"/>
          <w:numId w:val="8"/>
        </w:numPr>
      </w:pPr>
      <w:r w:rsidRPr="005404F0">
        <w:t>This section invites caregivers to reflect on how their approach to care has evolved based on the participant's needs. For example, they may describe modifications to routines, the introduction of new activities, or alternative communication strategies. Caregiver reflection can help identify whether the intervention strategies are working or if changes are needed to better address the participant's specific needs (</w:t>
      </w:r>
      <w:proofErr w:type="spellStart"/>
      <w:r w:rsidRPr="005404F0">
        <w:t>Zarit</w:t>
      </w:r>
      <w:proofErr w:type="spellEnd"/>
      <w:r w:rsidRPr="005404F0">
        <w:t xml:space="preserve"> et al., 2014). Additionally, caregivers may note </w:t>
      </w:r>
      <w:r w:rsidRPr="005404F0">
        <w:lastRenderedPageBreak/>
        <w:t>their emotional state or concerns, helping provide a holistic view of the caregiving experience.</w:t>
      </w:r>
    </w:p>
    <w:p w14:paraId="629EC350" w14:textId="77777777" w:rsidR="005404F0" w:rsidRPr="005404F0" w:rsidRDefault="005404F0" w:rsidP="005404F0">
      <w:r w:rsidRPr="005404F0">
        <w:rPr>
          <w:b/>
          <w:bCs/>
        </w:rPr>
        <w:t>Caregiving Strategies Used Today</w:t>
      </w:r>
      <w:r w:rsidRPr="005404F0">
        <w:br/>
      </w:r>
      <w:r w:rsidRPr="005404F0">
        <w:rPr>
          <w:i/>
          <w:iCs/>
        </w:rPr>
        <w:t>(e.g., use of cognitive exercises, environmental changes, support from external services, etc.):</w:t>
      </w:r>
    </w:p>
    <w:p w14:paraId="7FB7AF3F" w14:textId="77777777" w:rsidR="005404F0" w:rsidRPr="005404F0" w:rsidRDefault="005404F0" w:rsidP="005404F0">
      <w:pPr>
        <w:numPr>
          <w:ilvl w:val="0"/>
          <w:numId w:val="9"/>
        </w:numPr>
      </w:pPr>
      <w:r w:rsidRPr="005404F0">
        <w:t xml:space="preserve">This section allows caregivers to specify the methods they applied on that </w:t>
      </w:r>
      <w:proofErr w:type="gramStart"/>
      <w:r w:rsidRPr="005404F0">
        <w:t>particular day</w:t>
      </w:r>
      <w:proofErr w:type="gramEnd"/>
      <w:r w:rsidRPr="005404F0">
        <w:t>, such as engaging the participant in cognitive activities (like memory exercises or problem-solving tasks), using reminders, or implementing environmental adjustments to aid navigation and comfort (Liu et al., 2016). These details will help track the effectiveness of different approaches over time.</w:t>
      </w:r>
    </w:p>
    <w:p w14:paraId="44CB0643" w14:textId="77777777" w:rsidR="005404F0" w:rsidRPr="005404F0" w:rsidRDefault="005404F0" w:rsidP="005404F0">
      <w:r w:rsidRPr="005404F0">
        <w:rPr>
          <w:b/>
          <w:bCs/>
        </w:rPr>
        <w:t>Physical Health Indicators</w:t>
      </w:r>
      <w:r w:rsidRPr="005404F0">
        <w:br/>
      </w:r>
      <w:r w:rsidRPr="005404F0">
        <w:rPr>
          <w:i/>
          <w:iCs/>
        </w:rPr>
        <w:t>(e.g., appetite, sleep quality, mobility, medication adherence):</w:t>
      </w:r>
    </w:p>
    <w:p w14:paraId="3BBC1447" w14:textId="77777777" w:rsidR="005404F0" w:rsidRPr="005404F0" w:rsidRDefault="005404F0" w:rsidP="005404F0">
      <w:pPr>
        <w:numPr>
          <w:ilvl w:val="0"/>
          <w:numId w:val="10"/>
        </w:numPr>
      </w:pPr>
      <w:r w:rsidRPr="005404F0">
        <w:t>Recording physical health markers is crucial in dementia care, as cognitive decline often correlates with changes in physical health (for example, weight loss or disrupted sleep patterns). This section ensures caregivers note any significant issues, which might indicate further intervention needs, such as adjustments in diet, sleep hygiene, or medication (Bunn et al., 2017).</w:t>
      </w:r>
    </w:p>
    <w:p w14:paraId="3962BCC3" w14:textId="77777777" w:rsidR="005404F0" w:rsidRPr="005404F0" w:rsidRDefault="005404F0" w:rsidP="005404F0">
      <w:r w:rsidRPr="005404F0">
        <w:rPr>
          <w:b/>
          <w:bCs/>
        </w:rPr>
        <w:t>Mood Rating</w:t>
      </w:r>
      <w:r w:rsidRPr="005404F0">
        <w:br/>
      </w:r>
      <w:r w:rsidRPr="005404F0">
        <w:rPr>
          <w:i/>
          <w:iCs/>
        </w:rPr>
        <w:t>(e.g., scale from 1-5; 1 = very low, 5 = very high):</w:t>
      </w:r>
    </w:p>
    <w:p w14:paraId="1BF05DEF" w14:textId="77777777" w:rsidR="005404F0" w:rsidRPr="005404F0" w:rsidRDefault="005404F0" w:rsidP="005404F0">
      <w:pPr>
        <w:numPr>
          <w:ilvl w:val="0"/>
          <w:numId w:val="11"/>
        </w:numPr>
      </w:pPr>
      <w:r w:rsidRPr="005404F0">
        <w:t>Using a standardized scale to rate the participant’s mood (or caregiver’s perception of the participant’s mood) can provide quantifiable data for mood trends over time. Tracking this can be helpful in identifying patterns related to external events or adjustments made to the intervention.</w:t>
      </w:r>
    </w:p>
    <w:p w14:paraId="34B61318" w14:textId="77777777" w:rsidR="005404F0" w:rsidRDefault="005404F0"/>
    <w:p w14:paraId="5E1A6813" w14:textId="77777777" w:rsidR="005404F0" w:rsidRDefault="005404F0"/>
    <w:p w14:paraId="41111710" w14:textId="77777777" w:rsidR="005404F0" w:rsidRDefault="005404F0"/>
    <w:p w14:paraId="0EE03C52" w14:textId="77777777" w:rsidR="005404F0" w:rsidRDefault="005404F0"/>
    <w:p w14:paraId="269E2CAE" w14:textId="77777777" w:rsidR="005404F0" w:rsidRDefault="005404F0"/>
    <w:p w14:paraId="75D0500A" w14:textId="77777777" w:rsidR="005404F0" w:rsidRDefault="005404F0"/>
    <w:p w14:paraId="05927C8C" w14:textId="77777777" w:rsidR="005404F0" w:rsidRDefault="005404F0"/>
    <w:p w14:paraId="3932C3A2" w14:textId="77777777" w:rsidR="005404F0" w:rsidRDefault="005404F0"/>
    <w:p w14:paraId="5792915D" w14:textId="77777777" w:rsidR="005404F0" w:rsidRDefault="005404F0"/>
    <w:p w14:paraId="67EA5F01" w14:textId="77777777" w:rsidR="005404F0" w:rsidRDefault="005404F0"/>
    <w:p w14:paraId="5DE3C8D4" w14:textId="77777777" w:rsidR="005404F0" w:rsidRDefault="005404F0"/>
    <w:p w14:paraId="7B26ABD0" w14:textId="77777777" w:rsidR="005404F0" w:rsidRPr="005404F0" w:rsidRDefault="005404F0" w:rsidP="005404F0">
      <w:r w:rsidRPr="005404F0">
        <w:rPr>
          <w:b/>
          <w:bCs/>
        </w:rPr>
        <w:t>References</w:t>
      </w:r>
    </w:p>
    <w:p w14:paraId="159A563B" w14:textId="77777777" w:rsidR="005404F0" w:rsidRPr="005404F0" w:rsidRDefault="005404F0" w:rsidP="005404F0">
      <w:r w:rsidRPr="005404F0">
        <w:t xml:space="preserve">Aguirre, E., Woods, B., Spector, A., &amp; </w:t>
      </w:r>
      <w:proofErr w:type="spellStart"/>
      <w:r w:rsidRPr="005404F0">
        <w:t>Orrell</w:t>
      </w:r>
      <w:proofErr w:type="spellEnd"/>
      <w:r w:rsidRPr="005404F0">
        <w:t>, M. (2013). Cognitive stimulation therapy (CST) for dementia: A systematic review and meta-analysis. </w:t>
      </w:r>
      <w:r w:rsidRPr="005404F0">
        <w:rPr>
          <w:i/>
          <w:iCs/>
        </w:rPr>
        <w:t>The Journal of Mental Health, 22</w:t>
      </w:r>
      <w:r w:rsidRPr="005404F0">
        <w:t>(3), 150-156. https://doi.org/10.3109/09638237.2013.786797</w:t>
      </w:r>
    </w:p>
    <w:p w14:paraId="5CEADF16" w14:textId="77777777" w:rsidR="005404F0" w:rsidRPr="005404F0" w:rsidRDefault="005404F0" w:rsidP="005404F0">
      <w:r w:rsidRPr="005404F0">
        <w:t>Alzheimer’s Society. (2019). Dementia and decision making. </w:t>
      </w:r>
      <w:hyperlink r:id="rId7" w:tgtFrame="_new" w:history="1">
        <w:r w:rsidRPr="005404F0">
          <w:rPr>
            <w:rStyle w:val="Hyperlink"/>
          </w:rPr>
          <w:t>https://www.alzheimers.org.uk</w:t>
        </w:r>
      </w:hyperlink>
    </w:p>
    <w:p w14:paraId="397D3E09" w14:textId="77777777" w:rsidR="005404F0" w:rsidRPr="005404F0" w:rsidRDefault="005404F0" w:rsidP="005404F0">
      <w:r w:rsidRPr="005404F0">
        <w:t>Alzheimer’s Society. (2020). Dementia statistics. </w:t>
      </w:r>
      <w:hyperlink r:id="rId8" w:tgtFrame="_new" w:history="1">
        <w:r w:rsidRPr="005404F0">
          <w:rPr>
            <w:rStyle w:val="Hyperlink"/>
          </w:rPr>
          <w:t>https://www.alzheimers.org.uk/about-us/policy-and-influencing/dementia-statistics</w:t>
        </w:r>
      </w:hyperlink>
    </w:p>
    <w:p w14:paraId="14C1C074" w14:textId="77777777" w:rsidR="005404F0" w:rsidRPr="005404F0" w:rsidRDefault="005404F0" w:rsidP="005404F0">
      <w:r w:rsidRPr="005404F0">
        <w:t>Alzheimer’s Society. (2021). Dementia 10-year plan 2021-2030. </w:t>
      </w:r>
      <w:hyperlink r:id="rId9" w:tgtFrame="_new" w:history="1">
        <w:r w:rsidRPr="005404F0">
          <w:rPr>
            <w:rStyle w:val="Hyperlink"/>
          </w:rPr>
          <w:t>https://www.alzheimers.org.uk/get-involved/campaigns/dementia-10-year-plan</w:t>
        </w:r>
      </w:hyperlink>
    </w:p>
    <w:p w14:paraId="6800EC2B" w14:textId="77777777" w:rsidR="005404F0" w:rsidRPr="005404F0" w:rsidRDefault="005404F0" w:rsidP="005404F0">
      <w:r w:rsidRPr="005404F0">
        <w:t>Alzheimer's Research UK. (2020). The role of research in dementia care. </w:t>
      </w:r>
      <w:hyperlink r:id="rId10" w:tgtFrame="_new" w:history="1">
        <w:r w:rsidRPr="005404F0">
          <w:rPr>
            <w:rStyle w:val="Hyperlink"/>
          </w:rPr>
          <w:t>https://www.alzheimersresearchuk.org/what-we-do/research/</w:t>
        </w:r>
      </w:hyperlink>
    </w:p>
    <w:p w14:paraId="06711926" w14:textId="77777777" w:rsidR="005404F0" w:rsidRPr="005404F0" w:rsidRDefault="005404F0" w:rsidP="005404F0">
      <w:proofErr w:type="spellStart"/>
      <w:r w:rsidRPr="005404F0">
        <w:t>Brodaty</w:t>
      </w:r>
      <w:proofErr w:type="spellEnd"/>
      <w:r w:rsidRPr="005404F0">
        <w:t>, H., &amp; Donkin, M. (2009). Family caregivers of people with dementia. </w:t>
      </w:r>
      <w:r w:rsidRPr="005404F0">
        <w:rPr>
          <w:i/>
          <w:iCs/>
        </w:rPr>
        <w:t>Dialogues in Clinical Neuroscience, 11</w:t>
      </w:r>
      <w:r w:rsidRPr="005404F0">
        <w:t>(2), 217–228.</w:t>
      </w:r>
    </w:p>
    <w:p w14:paraId="3BDE6D05" w14:textId="77777777" w:rsidR="005404F0" w:rsidRPr="005404F0" w:rsidRDefault="005404F0" w:rsidP="005404F0">
      <w:r w:rsidRPr="005404F0">
        <w:t>Brooker, D. (2007). Person-</w:t>
      </w:r>
      <w:proofErr w:type="spellStart"/>
      <w:r w:rsidRPr="005404F0">
        <w:t>centered</w:t>
      </w:r>
      <w:proofErr w:type="spellEnd"/>
      <w:r w:rsidRPr="005404F0">
        <w:t xml:space="preserve"> care: A vision to be lived. </w:t>
      </w:r>
      <w:r w:rsidRPr="005404F0">
        <w:rPr>
          <w:i/>
          <w:iCs/>
        </w:rPr>
        <w:t>International Journal of Geriatric Psychiatry, 22</w:t>
      </w:r>
      <w:r w:rsidRPr="005404F0">
        <w:t>(1), 4-6.</w:t>
      </w:r>
    </w:p>
    <w:p w14:paraId="5F0924B8" w14:textId="77777777" w:rsidR="005404F0" w:rsidRPr="005404F0" w:rsidRDefault="005404F0" w:rsidP="005404F0">
      <w:r w:rsidRPr="005404F0">
        <w:t>Chien, W. T., &amp; Chan, S. W. (2014). A review of the effectiveness of family caregiver interventions in dementia care. </w:t>
      </w:r>
      <w:r w:rsidRPr="005404F0">
        <w:rPr>
          <w:i/>
          <w:iCs/>
        </w:rPr>
        <w:t>Journal of Clinical Nursing, 23</w:t>
      </w:r>
      <w:r w:rsidRPr="005404F0">
        <w:t>(19-20), 2780–2791. </w:t>
      </w:r>
      <w:hyperlink r:id="rId11" w:tgtFrame="_new" w:history="1">
        <w:r w:rsidRPr="005404F0">
          <w:rPr>
            <w:rStyle w:val="Hyperlink"/>
          </w:rPr>
          <w:t>https://doi.org/10.1111/jocn.12447</w:t>
        </w:r>
      </w:hyperlink>
    </w:p>
    <w:p w14:paraId="7CD280C1" w14:textId="77777777" w:rsidR="005404F0" w:rsidRPr="005404F0" w:rsidRDefault="005404F0" w:rsidP="005404F0">
      <w:r w:rsidRPr="005404F0">
        <w:t xml:space="preserve">Clare, L., Woods, R. T., &amp; </w:t>
      </w:r>
      <w:proofErr w:type="spellStart"/>
      <w:r w:rsidRPr="005404F0">
        <w:t>Orrell</w:t>
      </w:r>
      <w:proofErr w:type="spellEnd"/>
      <w:r w:rsidRPr="005404F0">
        <w:t>, M. (2014). Cognitive stimulation therapy for dementia: A systematic review and meta-analysis of randomized controlled trials. </w:t>
      </w:r>
      <w:r w:rsidRPr="005404F0">
        <w:rPr>
          <w:i/>
          <w:iCs/>
        </w:rPr>
        <w:t>Journal of the American Geriatrics Society, 62</w:t>
      </w:r>
      <w:r w:rsidRPr="005404F0">
        <w:t>(5), 883-893. https://doi.org/10.1111/jgs.12802</w:t>
      </w:r>
    </w:p>
    <w:p w14:paraId="32A26B1E" w14:textId="77777777" w:rsidR="005404F0" w:rsidRPr="005404F0" w:rsidRDefault="005404F0" w:rsidP="005404F0">
      <w:proofErr w:type="spellStart"/>
      <w:r w:rsidRPr="005404F0">
        <w:t>Czaja</w:t>
      </w:r>
      <w:proofErr w:type="spellEnd"/>
      <w:r w:rsidRPr="005404F0">
        <w:t>, S. J., Schulz, R., &amp; McGarry, K. (2018). Cognitive and physical activities in dementia care: A review of interventions. </w:t>
      </w:r>
      <w:r w:rsidRPr="005404F0">
        <w:rPr>
          <w:i/>
          <w:iCs/>
        </w:rPr>
        <w:t>Journal of Aging &amp; Social Policy, 30</w:t>
      </w:r>
      <w:r w:rsidRPr="005404F0">
        <w:t>(1), 51-71. </w:t>
      </w:r>
      <w:hyperlink r:id="rId12" w:tgtFrame="_new" w:history="1">
        <w:r w:rsidRPr="005404F0">
          <w:rPr>
            <w:rStyle w:val="Hyperlink"/>
          </w:rPr>
          <w:t>https://doi.org/10.1080/08959420.2018.1437085</w:t>
        </w:r>
      </w:hyperlink>
    </w:p>
    <w:p w14:paraId="1BF4333F" w14:textId="77777777" w:rsidR="005404F0" w:rsidRPr="005404F0" w:rsidRDefault="005404F0" w:rsidP="005404F0">
      <w:r w:rsidRPr="005404F0">
        <w:t>Department of Health and Social Care. (2020). Adult safeguarding: Practice guidelines. </w:t>
      </w:r>
      <w:hyperlink r:id="rId13" w:tgtFrame="_new" w:history="1">
        <w:r w:rsidRPr="005404F0">
          <w:rPr>
            <w:rStyle w:val="Hyperlink"/>
          </w:rPr>
          <w:t>https://www.gov.uk</w:t>
        </w:r>
      </w:hyperlink>
    </w:p>
    <w:p w14:paraId="025EA718" w14:textId="77777777" w:rsidR="005404F0" w:rsidRPr="005404F0" w:rsidRDefault="005404F0" w:rsidP="005404F0">
      <w:r w:rsidRPr="005404F0">
        <w:t>Department of Health and Social Care. (2021). Dementia 2020 challenge: Supporting dementia care. </w:t>
      </w:r>
      <w:hyperlink r:id="rId14" w:tgtFrame="_new" w:history="1">
        <w:r w:rsidRPr="005404F0">
          <w:rPr>
            <w:rStyle w:val="Hyperlink"/>
          </w:rPr>
          <w:t>https://www.gov.uk/government/publications/dementia-2020-challenge-supporting-dementia-care</w:t>
        </w:r>
      </w:hyperlink>
    </w:p>
    <w:p w14:paraId="043D07D5" w14:textId="77777777" w:rsidR="005404F0" w:rsidRPr="005404F0" w:rsidRDefault="005404F0" w:rsidP="005404F0">
      <w:r w:rsidRPr="005404F0">
        <w:t>Folkman, S., &amp; Moskowitz, J. T. (2004). Coping: Pitfalls and promise. </w:t>
      </w:r>
      <w:r w:rsidRPr="005404F0">
        <w:rPr>
          <w:i/>
          <w:iCs/>
        </w:rPr>
        <w:t>Annual Review of Psychology, 55</w:t>
      </w:r>
      <w:r w:rsidRPr="005404F0">
        <w:t>, 745–774.</w:t>
      </w:r>
    </w:p>
    <w:p w14:paraId="34622E21" w14:textId="77777777" w:rsidR="005404F0" w:rsidRPr="005404F0" w:rsidRDefault="005404F0" w:rsidP="005404F0">
      <w:proofErr w:type="spellStart"/>
      <w:r w:rsidRPr="005404F0">
        <w:lastRenderedPageBreak/>
        <w:t>Giebel</w:t>
      </w:r>
      <w:proofErr w:type="spellEnd"/>
      <w:r w:rsidRPr="005404F0">
        <w:t>, C. M., Challis, D., &amp; Huxley, P. (2015). Family involvement in dementia care: The impact of cognitive and physical activities. </w:t>
      </w:r>
      <w:r w:rsidRPr="005404F0">
        <w:rPr>
          <w:i/>
          <w:iCs/>
        </w:rPr>
        <w:t>Ageing &amp; Society, 35</w:t>
      </w:r>
      <w:r w:rsidRPr="005404F0">
        <w:t>(8), 1751–1772. </w:t>
      </w:r>
      <w:hyperlink r:id="rId15" w:tgtFrame="_new" w:history="1">
        <w:r w:rsidRPr="005404F0">
          <w:rPr>
            <w:rStyle w:val="Hyperlink"/>
          </w:rPr>
          <w:t>https://doi.org/10.1017/S0144686X14001157</w:t>
        </w:r>
      </w:hyperlink>
    </w:p>
    <w:p w14:paraId="359077DC" w14:textId="77777777" w:rsidR="005404F0" w:rsidRPr="005404F0" w:rsidRDefault="005404F0" w:rsidP="005404F0">
      <w:r w:rsidRPr="005404F0">
        <w:t>General Data Protection Regulation (GDPR). (2018). General Data Protection Regulation (GDPR) compliance. </w:t>
      </w:r>
      <w:hyperlink r:id="rId16" w:tgtFrame="_new" w:history="1">
        <w:r w:rsidRPr="005404F0">
          <w:rPr>
            <w:rStyle w:val="Hyperlink"/>
          </w:rPr>
          <w:t>https://www.eugdpr.org</w:t>
        </w:r>
      </w:hyperlink>
    </w:p>
    <w:p w14:paraId="0252F6E3" w14:textId="77777777" w:rsidR="005404F0" w:rsidRPr="005404F0" w:rsidRDefault="005404F0" w:rsidP="005404F0">
      <w:r w:rsidRPr="005404F0">
        <w:t>Henderson, V. W., &amp; McFadden, S. H. (2013). The role of physical exercise in preventing cognitive decline. </w:t>
      </w:r>
      <w:r w:rsidRPr="005404F0">
        <w:rPr>
          <w:i/>
          <w:iCs/>
        </w:rPr>
        <w:t>Journal of Aging &amp; Physical Activity, 21</w:t>
      </w:r>
      <w:r w:rsidRPr="005404F0">
        <w:t>(2), 1-14.</w:t>
      </w:r>
    </w:p>
    <w:p w14:paraId="43D60C46" w14:textId="77777777" w:rsidR="005404F0" w:rsidRPr="005404F0" w:rsidRDefault="005404F0" w:rsidP="005404F0">
      <w:r w:rsidRPr="005404F0">
        <w:t>Hunt, R. (2021). Cultural competence in dementia care. Cambridge University Press.</w:t>
      </w:r>
    </w:p>
    <w:p w14:paraId="05A1C0E9" w14:textId="77777777" w:rsidR="005404F0" w:rsidRPr="005404F0" w:rsidRDefault="005404F0" w:rsidP="005404F0">
      <w:proofErr w:type="spellStart"/>
      <w:r w:rsidRPr="005404F0">
        <w:t>Kitwood</w:t>
      </w:r>
      <w:proofErr w:type="spellEnd"/>
      <w:r w:rsidRPr="005404F0">
        <w:t>, T. (1997). </w:t>
      </w:r>
      <w:r w:rsidRPr="005404F0">
        <w:rPr>
          <w:i/>
          <w:iCs/>
        </w:rPr>
        <w:t>Dementia reconsidered: The person comes first</w:t>
      </w:r>
      <w:r w:rsidRPr="005404F0">
        <w:t>. Open University Press.</w:t>
      </w:r>
    </w:p>
    <w:p w14:paraId="29726F35" w14:textId="77777777" w:rsidR="005404F0" w:rsidRPr="005404F0" w:rsidRDefault="005404F0" w:rsidP="005404F0">
      <w:r w:rsidRPr="005404F0">
        <w:t>King’s Fund. (2018). Improving dementia care: The role of the NHS. </w:t>
      </w:r>
      <w:hyperlink r:id="rId17" w:tgtFrame="_new" w:history="1">
        <w:r w:rsidRPr="005404F0">
          <w:rPr>
            <w:rStyle w:val="Hyperlink"/>
          </w:rPr>
          <w:t>https://www.kingsfund.org.uk/topics/dementia-care</w:t>
        </w:r>
      </w:hyperlink>
    </w:p>
    <w:p w14:paraId="2620FF73" w14:textId="77777777" w:rsidR="005404F0" w:rsidRPr="005404F0" w:rsidRDefault="005404F0" w:rsidP="005404F0">
      <w:proofErr w:type="spellStart"/>
      <w:r w:rsidRPr="005404F0">
        <w:t>Mungas</w:t>
      </w:r>
      <w:proofErr w:type="spellEnd"/>
      <w:r w:rsidRPr="005404F0">
        <w:t>, D., Reed, B. R., &amp; Kramer, J. H. (2010). Cognitive and neuroimaging predictors of dementia. </w:t>
      </w:r>
      <w:r w:rsidRPr="005404F0">
        <w:rPr>
          <w:i/>
          <w:iCs/>
        </w:rPr>
        <w:t>The Journals of Gerontology Series A: Biological Sciences and Medical Sciences, 65</w:t>
      </w:r>
      <w:r w:rsidRPr="005404F0">
        <w:t>(5), 527–533. </w:t>
      </w:r>
      <w:hyperlink r:id="rId18" w:tgtFrame="_new" w:history="1">
        <w:r w:rsidRPr="005404F0">
          <w:rPr>
            <w:rStyle w:val="Hyperlink"/>
          </w:rPr>
          <w:t>https://doi.org/10.1093/gerona/glq014</w:t>
        </w:r>
      </w:hyperlink>
    </w:p>
    <w:p w14:paraId="5AF4A549" w14:textId="77777777" w:rsidR="005404F0" w:rsidRPr="005404F0" w:rsidRDefault="005404F0" w:rsidP="005404F0">
      <w:r w:rsidRPr="005404F0">
        <w:t>National Institute for Health and Care Excellence (NICE). (2018). Dementia: Assessment, management, and support for people living with dementia and their carers (NICE guideline NG97). </w:t>
      </w:r>
      <w:hyperlink r:id="rId19" w:tgtFrame="_new" w:history="1">
        <w:r w:rsidRPr="005404F0">
          <w:rPr>
            <w:rStyle w:val="Hyperlink"/>
          </w:rPr>
          <w:t>https://www.nice.org.uk/guidance/ng97</w:t>
        </w:r>
      </w:hyperlink>
    </w:p>
    <w:p w14:paraId="7675B86F" w14:textId="77777777" w:rsidR="005404F0" w:rsidRPr="005404F0" w:rsidRDefault="005404F0" w:rsidP="005404F0">
      <w:proofErr w:type="spellStart"/>
      <w:r w:rsidRPr="005404F0">
        <w:t>Orrell</w:t>
      </w:r>
      <w:proofErr w:type="spellEnd"/>
      <w:r w:rsidRPr="005404F0">
        <w:t>, M., Spector, A., &amp; Woods, B. (2014). Cognitive stimulation therapy for dementia: A systematic review and meta-analysis. </w:t>
      </w:r>
      <w:r w:rsidRPr="005404F0">
        <w:rPr>
          <w:i/>
          <w:iCs/>
        </w:rPr>
        <w:t>International Journal of Geriatric Psychiatry, 29</w:t>
      </w:r>
      <w:r w:rsidRPr="005404F0">
        <w:t>(7), 663–671. https://doi.org/10.1002/gps.4069</w:t>
      </w:r>
    </w:p>
    <w:p w14:paraId="1D316F24" w14:textId="77777777" w:rsidR="005404F0" w:rsidRPr="005404F0" w:rsidRDefault="005404F0" w:rsidP="005404F0">
      <w:proofErr w:type="spellStart"/>
      <w:r w:rsidRPr="005404F0">
        <w:t>Panza</w:t>
      </w:r>
      <w:proofErr w:type="spellEnd"/>
      <w:r w:rsidRPr="005404F0">
        <w:t xml:space="preserve">, F., </w:t>
      </w:r>
      <w:proofErr w:type="spellStart"/>
      <w:r w:rsidRPr="005404F0">
        <w:t>Solfrizzi</w:t>
      </w:r>
      <w:proofErr w:type="spellEnd"/>
      <w:r w:rsidRPr="005404F0">
        <w:t xml:space="preserve">, V., &amp; </w:t>
      </w:r>
      <w:proofErr w:type="spellStart"/>
      <w:r w:rsidRPr="005404F0">
        <w:t>Barulli</w:t>
      </w:r>
      <w:proofErr w:type="spellEnd"/>
      <w:r w:rsidRPr="005404F0">
        <w:t>, M. R. (2015). Cognitive decline and dementia: A clinical and epidemiological update. </w:t>
      </w:r>
      <w:r w:rsidRPr="005404F0">
        <w:rPr>
          <w:i/>
          <w:iCs/>
        </w:rPr>
        <w:t>Journal of the American Geriatrics Society, 63</w:t>
      </w:r>
      <w:r w:rsidRPr="005404F0">
        <w:t>(12), 2503–2513. </w:t>
      </w:r>
      <w:hyperlink r:id="rId20" w:tgtFrame="_new" w:history="1">
        <w:r w:rsidRPr="005404F0">
          <w:rPr>
            <w:rStyle w:val="Hyperlink"/>
          </w:rPr>
          <w:t>https://doi.org/10.1111/jgs.13714</w:t>
        </w:r>
      </w:hyperlink>
    </w:p>
    <w:p w14:paraId="0C817273" w14:textId="77777777" w:rsidR="005404F0" w:rsidRPr="005404F0" w:rsidRDefault="005404F0" w:rsidP="005404F0">
      <w:r w:rsidRPr="005404F0">
        <w:t>Royal College of Psychiatrists. (2020). Mental capacity and dementia: Guidance for practitioners. </w:t>
      </w:r>
      <w:hyperlink r:id="rId21" w:tgtFrame="_new" w:history="1">
        <w:r w:rsidRPr="005404F0">
          <w:rPr>
            <w:rStyle w:val="Hyperlink"/>
          </w:rPr>
          <w:t>https://www.rcpsych.ac.uk</w:t>
        </w:r>
      </w:hyperlink>
    </w:p>
    <w:p w14:paraId="5D106C5C" w14:textId="77777777" w:rsidR="005404F0" w:rsidRPr="005404F0" w:rsidRDefault="005404F0" w:rsidP="005404F0">
      <w:r w:rsidRPr="005404F0">
        <w:t>World Health Organization. (2019). Dementia: A public health priority. </w:t>
      </w:r>
      <w:hyperlink r:id="rId22" w:tgtFrame="_new" w:history="1">
        <w:r w:rsidRPr="005404F0">
          <w:rPr>
            <w:rStyle w:val="Hyperlink"/>
          </w:rPr>
          <w:t>https://www.who.int</w:t>
        </w:r>
      </w:hyperlink>
    </w:p>
    <w:p w14:paraId="06D6E81B" w14:textId="77777777" w:rsidR="005404F0" w:rsidRDefault="005404F0" w:rsidP="005404F0"/>
    <w:p w14:paraId="2875E9BC" w14:textId="77777777" w:rsidR="005404F0" w:rsidRDefault="005404F0" w:rsidP="005404F0"/>
    <w:sectPr w:rsidR="005404F0">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B9660A" w14:textId="77777777" w:rsidR="00703252" w:rsidRDefault="00703252" w:rsidP="005404F0">
      <w:pPr>
        <w:spacing w:after="0" w:line="240" w:lineRule="auto"/>
      </w:pPr>
      <w:r>
        <w:separator/>
      </w:r>
    </w:p>
  </w:endnote>
  <w:endnote w:type="continuationSeparator" w:id="0">
    <w:p w14:paraId="4973AC48" w14:textId="77777777" w:rsidR="00703252" w:rsidRDefault="00703252" w:rsidP="00540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BE803" w14:textId="77777777" w:rsidR="00703252" w:rsidRDefault="00703252" w:rsidP="005404F0">
      <w:pPr>
        <w:spacing w:after="0" w:line="240" w:lineRule="auto"/>
      </w:pPr>
      <w:r>
        <w:separator/>
      </w:r>
    </w:p>
  </w:footnote>
  <w:footnote w:type="continuationSeparator" w:id="0">
    <w:p w14:paraId="76A1F366" w14:textId="77777777" w:rsidR="00703252" w:rsidRDefault="00703252" w:rsidP="00540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1B802" w14:textId="65BC073D" w:rsidR="005404F0" w:rsidRDefault="005404F0">
    <w:pPr>
      <w:pStyle w:val="Header"/>
    </w:pPr>
    <w:r>
      <w:t xml:space="preserve">Elisha </w:t>
    </w:r>
    <w:proofErr w:type="spellStart"/>
    <w:r>
      <w:t>Boniwell</w:t>
    </w:r>
    <w:proofErr w:type="spellEnd"/>
    <w:r>
      <w:t xml:space="preserve"> </w:t>
    </w:r>
  </w:p>
  <w:p w14:paraId="2555FF74" w14:textId="527B4974" w:rsidR="005404F0" w:rsidRDefault="005404F0">
    <w:pPr>
      <w:pStyle w:val="Header"/>
    </w:pPr>
    <w:r>
      <w:t>2113032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E76D2D"/>
    <w:multiLevelType w:val="multilevel"/>
    <w:tmpl w:val="711E0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AF6C28"/>
    <w:multiLevelType w:val="multilevel"/>
    <w:tmpl w:val="1BECA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DCD3DE3"/>
    <w:multiLevelType w:val="multilevel"/>
    <w:tmpl w:val="C588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340865"/>
    <w:multiLevelType w:val="multilevel"/>
    <w:tmpl w:val="8AE4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8C3262"/>
    <w:multiLevelType w:val="multilevel"/>
    <w:tmpl w:val="34343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4C7737"/>
    <w:multiLevelType w:val="multilevel"/>
    <w:tmpl w:val="A582F7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08E1174"/>
    <w:multiLevelType w:val="multilevel"/>
    <w:tmpl w:val="625CB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A3440AA"/>
    <w:multiLevelType w:val="multilevel"/>
    <w:tmpl w:val="F2240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605FB5"/>
    <w:multiLevelType w:val="multilevel"/>
    <w:tmpl w:val="00B47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F8D5EFE"/>
    <w:multiLevelType w:val="multilevel"/>
    <w:tmpl w:val="FAB0D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706F3A"/>
    <w:multiLevelType w:val="multilevel"/>
    <w:tmpl w:val="AA62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7410143">
    <w:abstractNumId w:val="2"/>
  </w:num>
  <w:num w:numId="2" w16cid:durableId="318964275">
    <w:abstractNumId w:val="6"/>
  </w:num>
  <w:num w:numId="3" w16cid:durableId="990671896">
    <w:abstractNumId w:val="0"/>
  </w:num>
  <w:num w:numId="4" w16cid:durableId="864947510">
    <w:abstractNumId w:val="1"/>
  </w:num>
  <w:num w:numId="5" w16cid:durableId="313921682">
    <w:abstractNumId w:val="5"/>
  </w:num>
  <w:num w:numId="6" w16cid:durableId="480121088">
    <w:abstractNumId w:val="3"/>
  </w:num>
  <w:num w:numId="7" w16cid:durableId="1357654070">
    <w:abstractNumId w:val="8"/>
  </w:num>
  <w:num w:numId="8" w16cid:durableId="1231574167">
    <w:abstractNumId w:val="7"/>
  </w:num>
  <w:num w:numId="9" w16cid:durableId="1179924448">
    <w:abstractNumId w:val="9"/>
  </w:num>
  <w:num w:numId="10" w16cid:durableId="1955987821">
    <w:abstractNumId w:val="4"/>
  </w:num>
  <w:num w:numId="11" w16cid:durableId="17012010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4F0"/>
    <w:rsid w:val="005404F0"/>
    <w:rsid w:val="00703252"/>
    <w:rsid w:val="00C30E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4123F"/>
  <w15:chartTrackingRefBased/>
  <w15:docId w15:val="{D579E68C-FFA2-9A49-8754-F28A44B92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4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04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04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04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04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04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4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4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4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4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04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04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04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04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04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4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4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4F0"/>
    <w:rPr>
      <w:rFonts w:eastAsiaTheme="majorEastAsia" w:cstheme="majorBidi"/>
      <w:color w:val="272727" w:themeColor="text1" w:themeTint="D8"/>
    </w:rPr>
  </w:style>
  <w:style w:type="paragraph" w:styleId="Title">
    <w:name w:val="Title"/>
    <w:basedOn w:val="Normal"/>
    <w:next w:val="Normal"/>
    <w:link w:val="TitleChar"/>
    <w:uiPriority w:val="10"/>
    <w:qFormat/>
    <w:rsid w:val="005404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4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4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4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4F0"/>
    <w:pPr>
      <w:spacing w:before="160"/>
      <w:jc w:val="center"/>
    </w:pPr>
    <w:rPr>
      <w:i/>
      <w:iCs/>
      <w:color w:val="404040" w:themeColor="text1" w:themeTint="BF"/>
    </w:rPr>
  </w:style>
  <w:style w:type="character" w:customStyle="1" w:styleId="QuoteChar">
    <w:name w:val="Quote Char"/>
    <w:basedOn w:val="DefaultParagraphFont"/>
    <w:link w:val="Quote"/>
    <w:uiPriority w:val="29"/>
    <w:rsid w:val="005404F0"/>
    <w:rPr>
      <w:i/>
      <w:iCs/>
      <w:color w:val="404040" w:themeColor="text1" w:themeTint="BF"/>
    </w:rPr>
  </w:style>
  <w:style w:type="paragraph" w:styleId="ListParagraph">
    <w:name w:val="List Paragraph"/>
    <w:basedOn w:val="Normal"/>
    <w:uiPriority w:val="34"/>
    <w:qFormat/>
    <w:rsid w:val="005404F0"/>
    <w:pPr>
      <w:ind w:left="720"/>
      <w:contextualSpacing/>
    </w:pPr>
  </w:style>
  <w:style w:type="character" w:styleId="IntenseEmphasis">
    <w:name w:val="Intense Emphasis"/>
    <w:basedOn w:val="DefaultParagraphFont"/>
    <w:uiPriority w:val="21"/>
    <w:qFormat/>
    <w:rsid w:val="005404F0"/>
    <w:rPr>
      <w:i/>
      <w:iCs/>
      <w:color w:val="0F4761" w:themeColor="accent1" w:themeShade="BF"/>
    </w:rPr>
  </w:style>
  <w:style w:type="paragraph" w:styleId="IntenseQuote">
    <w:name w:val="Intense Quote"/>
    <w:basedOn w:val="Normal"/>
    <w:next w:val="Normal"/>
    <w:link w:val="IntenseQuoteChar"/>
    <w:uiPriority w:val="30"/>
    <w:qFormat/>
    <w:rsid w:val="005404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04F0"/>
    <w:rPr>
      <w:i/>
      <w:iCs/>
      <w:color w:val="0F4761" w:themeColor="accent1" w:themeShade="BF"/>
    </w:rPr>
  </w:style>
  <w:style w:type="character" w:styleId="IntenseReference">
    <w:name w:val="Intense Reference"/>
    <w:basedOn w:val="DefaultParagraphFont"/>
    <w:uiPriority w:val="32"/>
    <w:qFormat/>
    <w:rsid w:val="005404F0"/>
    <w:rPr>
      <w:b/>
      <w:bCs/>
      <w:smallCaps/>
      <w:color w:val="0F4761" w:themeColor="accent1" w:themeShade="BF"/>
      <w:spacing w:val="5"/>
    </w:rPr>
  </w:style>
  <w:style w:type="paragraph" w:styleId="Header">
    <w:name w:val="header"/>
    <w:basedOn w:val="Normal"/>
    <w:link w:val="HeaderChar"/>
    <w:uiPriority w:val="99"/>
    <w:unhideWhenUsed/>
    <w:rsid w:val="00540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4F0"/>
  </w:style>
  <w:style w:type="paragraph" w:styleId="Footer">
    <w:name w:val="footer"/>
    <w:basedOn w:val="Normal"/>
    <w:link w:val="FooterChar"/>
    <w:uiPriority w:val="99"/>
    <w:unhideWhenUsed/>
    <w:rsid w:val="00540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4F0"/>
  </w:style>
  <w:style w:type="character" w:styleId="Hyperlink">
    <w:name w:val="Hyperlink"/>
    <w:basedOn w:val="DefaultParagraphFont"/>
    <w:uiPriority w:val="99"/>
    <w:unhideWhenUsed/>
    <w:rsid w:val="005404F0"/>
    <w:rPr>
      <w:color w:val="467886" w:themeColor="hyperlink"/>
      <w:u w:val="single"/>
    </w:rPr>
  </w:style>
  <w:style w:type="character" w:styleId="UnresolvedMention">
    <w:name w:val="Unresolved Mention"/>
    <w:basedOn w:val="DefaultParagraphFont"/>
    <w:uiPriority w:val="99"/>
    <w:semiHidden/>
    <w:unhideWhenUsed/>
    <w:rsid w:val="005404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80243">
      <w:bodyDiv w:val="1"/>
      <w:marLeft w:val="0"/>
      <w:marRight w:val="0"/>
      <w:marTop w:val="0"/>
      <w:marBottom w:val="0"/>
      <w:divBdr>
        <w:top w:val="none" w:sz="0" w:space="0" w:color="auto"/>
        <w:left w:val="none" w:sz="0" w:space="0" w:color="auto"/>
        <w:bottom w:val="none" w:sz="0" w:space="0" w:color="auto"/>
        <w:right w:val="none" w:sz="0" w:space="0" w:color="auto"/>
      </w:divBdr>
    </w:div>
    <w:div w:id="66269499">
      <w:bodyDiv w:val="1"/>
      <w:marLeft w:val="0"/>
      <w:marRight w:val="0"/>
      <w:marTop w:val="0"/>
      <w:marBottom w:val="0"/>
      <w:divBdr>
        <w:top w:val="none" w:sz="0" w:space="0" w:color="auto"/>
        <w:left w:val="none" w:sz="0" w:space="0" w:color="auto"/>
        <w:bottom w:val="none" w:sz="0" w:space="0" w:color="auto"/>
        <w:right w:val="none" w:sz="0" w:space="0" w:color="auto"/>
      </w:divBdr>
      <w:divsChild>
        <w:div w:id="1679235351">
          <w:marLeft w:val="0"/>
          <w:marRight w:val="0"/>
          <w:marTop w:val="0"/>
          <w:marBottom w:val="0"/>
          <w:divBdr>
            <w:top w:val="none" w:sz="0" w:space="0" w:color="auto"/>
            <w:left w:val="none" w:sz="0" w:space="0" w:color="auto"/>
            <w:bottom w:val="none" w:sz="0" w:space="0" w:color="auto"/>
            <w:right w:val="none" w:sz="0" w:space="0" w:color="auto"/>
          </w:divBdr>
          <w:divsChild>
            <w:div w:id="1593199474">
              <w:marLeft w:val="0"/>
              <w:marRight w:val="0"/>
              <w:marTop w:val="0"/>
              <w:marBottom w:val="0"/>
              <w:divBdr>
                <w:top w:val="none" w:sz="0" w:space="0" w:color="auto"/>
                <w:left w:val="none" w:sz="0" w:space="0" w:color="auto"/>
                <w:bottom w:val="none" w:sz="0" w:space="0" w:color="auto"/>
                <w:right w:val="none" w:sz="0" w:space="0" w:color="auto"/>
              </w:divBdr>
              <w:divsChild>
                <w:div w:id="505831139">
                  <w:marLeft w:val="0"/>
                  <w:marRight w:val="0"/>
                  <w:marTop w:val="0"/>
                  <w:marBottom w:val="0"/>
                  <w:divBdr>
                    <w:top w:val="none" w:sz="0" w:space="0" w:color="auto"/>
                    <w:left w:val="none" w:sz="0" w:space="0" w:color="auto"/>
                    <w:bottom w:val="none" w:sz="0" w:space="0" w:color="auto"/>
                    <w:right w:val="none" w:sz="0" w:space="0" w:color="auto"/>
                  </w:divBdr>
                  <w:divsChild>
                    <w:div w:id="339622570">
                      <w:marLeft w:val="0"/>
                      <w:marRight w:val="0"/>
                      <w:marTop w:val="0"/>
                      <w:marBottom w:val="0"/>
                      <w:divBdr>
                        <w:top w:val="none" w:sz="0" w:space="0" w:color="auto"/>
                        <w:left w:val="none" w:sz="0" w:space="0" w:color="auto"/>
                        <w:bottom w:val="none" w:sz="0" w:space="0" w:color="auto"/>
                        <w:right w:val="none" w:sz="0" w:space="0" w:color="auto"/>
                      </w:divBdr>
                      <w:divsChild>
                        <w:div w:id="1446848665">
                          <w:marLeft w:val="0"/>
                          <w:marRight w:val="0"/>
                          <w:marTop w:val="0"/>
                          <w:marBottom w:val="0"/>
                          <w:divBdr>
                            <w:top w:val="none" w:sz="0" w:space="0" w:color="auto"/>
                            <w:left w:val="none" w:sz="0" w:space="0" w:color="auto"/>
                            <w:bottom w:val="none" w:sz="0" w:space="0" w:color="auto"/>
                            <w:right w:val="none" w:sz="0" w:space="0" w:color="auto"/>
                          </w:divBdr>
                          <w:divsChild>
                            <w:div w:id="2051613233">
                              <w:marLeft w:val="0"/>
                              <w:marRight w:val="0"/>
                              <w:marTop w:val="0"/>
                              <w:marBottom w:val="0"/>
                              <w:divBdr>
                                <w:top w:val="none" w:sz="0" w:space="0" w:color="auto"/>
                                <w:left w:val="none" w:sz="0" w:space="0" w:color="auto"/>
                                <w:bottom w:val="none" w:sz="0" w:space="0" w:color="auto"/>
                                <w:right w:val="none" w:sz="0" w:space="0" w:color="auto"/>
                              </w:divBdr>
                              <w:divsChild>
                                <w:div w:id="847987056">
                                  <w:marLeft w:val="0"/>
                                  <w:marRight w:val="0"/>
                                  <w:marTop w:val="0"/>
                                  <w:marBottom w:val="0"/>
                                  <w:divBdr>
                                    <w:top w:val="none" w:sz="0" w:space="0" w:color="auto"/>
                                    <w:left w:val="none" w:sz="0" w:space="0" w:color="auto"/>
                                    <w:bottom w:val="none" w:sz="0" w:space="0" w:color="auto"/>
                                    <w:right w:val="none" w:sz="0" w:space="0" w:color="auto"/>
                                  </w:divBdr>
                                  <w:divsChild>
                                    <w:div w:id="650209375">
                                      <w:marLeft w:val="0"/>
                                      <w:marRight w:val="0"/>
                                      <w:marTop w:val="0"/>
                                      <w:marBottom w:val="0"/>
                                      <w:divBdr>
                                        <w:top w:val="none" w:sz="0" w:space="0" w:color="auto"/>
                                        <w:left w:val="none" w:sz="0" w:space="0" w:color="auto"/>
                                        <w:bottom w:val="none" w:sz="0" w:space="0" w:color="auto"/>
                                        <w:right w:val="none" w:sz="0" w:space="0" w:color="auto"/>
                                      </w:divBdr>
                                      <w:divsChild>
                                        <w:div w:id="1090156770">
                                          <w:marLeft w:val="0"/>
                                          <w:marRight w:val="0"/>
                                          <w:marTop w:val="0"/>
                                          <w:marBottom w:val="0"/>
                                          <w:divBdr>
                                            <w:top w:val="none" w:sz="0" w:space="0" w:color="auto"/>
                                            <w:left w:val="none" w:sz="0" w:space="0" w:color="auto"/>
                                            <w:bottom w:val="none" w:sz="0" w:space="0" w:color="auto"/>
                                            <w:right w:val="none" w:sz="0" w:space="0" w:color="auto"/>
                                          </w:divBdr>
                                          <w:divsChild>
                                            <w:div w:id="2112042496">
                                              <w:marLeft w:val="0"/>
                                              <w:marRight w:val="0"/>
                                              <w:marTop w:val="0"/>
                                              <w:marBottom w:val="0"/>
                                              <w:divBdr>
                                                <w:top w:val="none" w:sz="0" w:space="0" w:color="auto"/>
                                                <w:left w:val="none" w:sz="0" w:space="0" w:color="auto"/>
                                                <w:bottom w:val="none" w:sz="0" w:space="0" w:color="auto"/>
                                                <w:right w:val="none" w:sz="0" w:space="0" w:color="auto"/>
                                              </w:divBdr>
                                              <w:divsChild>
                                                <w:div w:id="121388059">
                                                  <w:marLeft w:val="0"/>
                                                  <w:marRight w:val="0"/>
                                                  <w:marTop w:val="0"/>
                                                  <w:marBottom w:val="0"/>
                                                  <w:divBdr>
                                                    <w:top w:val="none" w:sz="0" w:space="0" w:color="auto"/>
                                                    <w:left w:val="none" w:sz="0" w:space="0" w:color="auto"/>
                                                    <w:bottom w:val="none" w:sz="0" w:space="0" w:color="auto"/>
                                                    <w:right w:val="none" w:sz="0" w:space="0" w:color="auto"/>
                                                  </w:divBdr>
                                                  <w:divsChild>
                                                    <w:div w:id="1962568448">
                                                      <w:marLeft w:val="0"/>
                                                      <w:marRight w:val="0"/>
                                                      <w:marTop w:val="0"/>
                                                      <w:marBottom w:val="0"/>
                                                      <w:divBdr>
                                                        <w:top w:val="none" w:sz="0" w:space="0" w:color="auto"/>
                                                        <w:left w:val="none" w:sz="0" w:space="0" w:color="auto"/>
                                                        <w:bottom w:val="none" w:sz="0" w:space="0" w:color="auto"/>
                                                        <w:right w:val="none" w:sz="0" w:space="0" w:color="auto"/>
                                                      </w:divBdr>
                                                      <w:divsChild>
                                                        <w:div w:id="141342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8837436">
      <w:bodyDiv w:val="1"/>
      <w:marLeft w:val="0"/>
      <w:marRight w:val="0"/>
      <w:marTop w:val="0"/>
      <w:marBottom w:val="0"/>
      <w:divBdr>
        <w:top w:val="none" w:sz="0" w:space="0" w:color="auto"/>
        <w:left w:val="none" w:sz="0" w:space="0" w:color="auto"/>
        <w:bottom w:val="none" w:sz="0" w:space="0" w:color="auto"/>
        <w:right w:val="none" w:sz="0" w:space="0" w:color="auto"/>
      </w:divBdr>
    </w:div>
    <w:div w:id="195854102">
      <w:bodyDiv w:val="1"/>
      <w:marLeft w:val="0"/>
      <w:marRight w:val="0"/>
      <w:marTop w:val="0"/>
      <w:marBottom w:val="0"/>
      <w:divBdr>
        <w:top w:val="none" w:sz="0" w:space="0" w:color="auto"/>
        <w:left w:val="none" w:sz="0" w:space="0" w:color="auto"/>
        <w:bottom w:val="none" w:sz="0" w:space="0" w:color="auto"/>
        <w:right w:val="none" w:sz="0" w:space="0" w:color="auto"/>
      </w:divBdr>
    </w:div>
    <w:div w:id="297533898">
      <w:bodyDiv w:val="1"/>
      <w:marLeft w:val="0"/>
      <w:marRight w:val="0"/>
      <w:marTop w:val="0"/>
      <w:marBottom w:val="0"/>
      <w:divBdr>
        <w:top w:val="none" w:sz="0" w:space="0" w:color="auto"/>
        <w:left w:val="none" w:sz="0" w:space="0" w:color="auto"/>
        <w:bottom w:val="none" w:sz="0" w:space="0" w:color="auto"/>
        <w:right w:val="none" w:sz="0" w:space="0" w:color="auto"/>
      </w:divBdr>
    </w:div>
    <w:div w:id="316226433">
      <w:bodyDiv w:val="1"/>
      <w:marLeft w:val="0"/>
      <w:marRight w:val="0"/>
      <w:marTop w:val="0"/>
      <w:marBottom w:val="0"/>
      <w:divBdr>
        <w:top w:val="none" w:sz="0" w:space="0" w:color="auto"/>
        <w:left w:val="none" w:sz="0" w:space="0" w:color="auto"/>
        <w:bottom w:val="none" w:sz="0" w:space="0" w:color="auto"/>
        <w:right w:val="none" w:sz="0" w:space="0" w:color="auto"/>
      </w:divBdr>
    </w:div>
    <w:div w:id="325980531">
      <w:bodyDiv w:val="1"/>
      <w:marLeft w:val="0"/>
      <w:marRight w:val="0"/>
      <w:marTop w:val="0"/>
      <w:marBottom w:val="0"/>
      <w:divBdr>
        <w:top w:val="none" w:sz="0" w:space="0" w:color="auto"/>
        <w:left w:val="none" w:sz="0" w:space="0" w:color="auto"/>
        <w:bottom w:val="none" w:sz="0" w:space="0" w:color="auto"/>
        <w:right w:val="none" w:sz="0" w:space="0" w:color="auto"/>
      </w:divBdr>
    </w:div>
    <w:div w:id="512839993">
      <w:bodyDiv w:val="1"/>
      <w:marLeft w:val="0"/>
      <w:marRight w:val="0"/>
      <w:marTop w:val="0"/>
      <w:marBottom w:val="0"/>
      <w:divBdr>
        <w:top w:val="none" w:sz="0" w:space="0" w:color="auto"/>
        <w:left w:val="none" w:sz="0" w:space="0" w:color="auto"/>
        <w:bottom w:val="none" w:sz="0" w:space="0" w:color="auto"/>
        <w:right w:val="none" w:sz="0" w:space="0" w:color="auto"/>
      </w:divBdr>
    </w:div>
    <w:div w:id="644358475">
      <w:bodyDiv w:val="1"/>
      <w:marLeft w:val="0"/>
      <w:marRight w:val="0"/>
      <w:marTop w:val="0"/>
      <w:marBottom w:val="0"/>
      <w:divBdr>
        <w:top w:val="none" w:sz="0" w:space="0" w:color="auto"/>
        <w:left w:val="none" w:sz="0" w:space="0" w:color="auto"/>
        <w:bottom w:val="none" w:sz="0" w:space="0" w:color="auto"/>
        <w:right w:val="none" w:sz="0" w:space="0" w:color="auto"/>
      </w:divBdr>
      <w:divsChild>
        <w:div w:id="693965019">
          <w:marLeft w:val="0"/>
          <w:marRight w:val="0"/>
          <w:marTop w:val="0"/>
          <w:marBottom w:val="0"/>
          <w:divBdr>
            <w:top w:val="none" w:sz="0" w:space="0" w:color="auto"/>
            <w:left w:val="none" w:sz="0" w:space="0" w:color="auto"/>
            <w:bottom w:val="none" w:sz="0" w:space="0" w:color="auto"/>
            <w:right w:val="none" w:sz="0" w:space="0" w:color="auto"/>
          </w:divBdr>
          <w:divsChild>
            <w:div w:id="1269973328">
              <w:marLeft w:val="0"/>
              <w:marRight w:val="0"/>
              <w:marTop w:val="0"/>
              <w:marBottom w:val="0"/>
              <w:divBdr>
                <w:top w:val="none" w:sz="0" w:space="0" w:color="auto"/>
                <w:left w:val="none" w:sz="0" w:space="0" w:color="auto"/>
                <w:bottom w:val="none" w:sz="0" w:space="0" w:color="auto"/>
                <w:right w:val="none" w:sz="0" w:space="0" w:color="auto"/>
              </w:divBdr>
              <w:divsChild>
                <w:div w:id="793595558">
                  <w:marLeft w:val="0"/>
                  <w:marRight w:val="0"/>
                  <w:marTop w:val="0"/>
                  <w:marBottom w:val="0"/>
                  <w:divBdr>
                    <w:top w:val="none" w:sz="0" w:space="0" w:color="auto"/>
                    <w:left w:val="none" w:sz="0" w:space="0" w:color="auto"/>
                    <w:bottom w:val="none" w:sz="0" w:space="0" w:color="auto"/>
                    <w:right w:val="none" w:sz="0" w:space="0" w:color="auto"/>
                  </w:divBdr>
                  <w:divsChild>
                    <w:div w:id="615914816">
                      <w:marLeft w:val="0"/>
                      <w:marRight w:val="0"/>
                      <w:marTop w:val="0"/>
                      <w:marBottom w:val="0"/>
                      <w:divBdr>
                        <w:top w:val="none" w:sz="0" w:space="0" w:color="auto"/>
                        <w:left w:val="none" w:sz="0" w:space="0" w:color="auto"/>
                        <w:bottom w:val="none" w:sz="0" w:space="0" w:color="auto"/>
                        <w:right w:val="none" w:sz="0" w:space="0" w:color="auto"/>
                      </w:divBdr>
                      <w:divsChild>
                        <w:div w:id="2014646861">
                          <w:marLeft w:val="0"/>
                          <w:marRight w:val="0"/>
                          <w:marTop w:val="0"/>
                          <w:marBottom w:val="0"/>
                          <w:divBdr>
                            <w:top w:val="none" w:sz="0" w:space="0" w:color="auto"/>
                            <w:left w:val="none" w:sz="0" w:space="0" w:color="auto"/>
                            <w:bottom w:val="none" w:sz="0" w:space="0" w:color="auto"/>
                            <w:right w:val="none" w:sz="0" w:space="0" w:color="auto"/>
                          </w:divBdr>
                          <w:divsChild>
                            <w:div w:id="274096575">
                              <w:marLeft w:val="0"/>
                              <w:marRight w:val="0"/>
                              <w:marTop w:val="0"/>
                              <w:marBottom w:val="0"/>
                              <w:divBdr>
                                <w:top w:val="none" w:sz="0" w:space="0" w:color="auto"/>
                                <w:left w:val="none" w:sz="0" w:space="0" w:color="auto"/>
                                <w:bottom w:val="none" w:sz="0" w:space="0" w:color="auto"/>
                                <w:right w:val="none" w:sz="0" w:space="0" w:color="auto"/>
                              </w:divBdr>
                              <w:divsChild>
                                <w:div w:id="1376347243">
                                  <w:marLeft w:val="0"/>
                                  <w:marRight w:val="0"/>
                                  <w:marTop w:val="0"/>
                                  <w:marBottom w:val="0"/>
                                  <w:divBdr>
                                    <w:top w:val="none" w:sz="0" w:space="0" w:color="auto"/>
                                    <w:left w:val="none" w:sz="0" w:space="0" w:color="auto"/>
                                    <w:bottom w:val="none" w:sz="0" w:space="0" w:color="auto"/>
                                    <w:right w:val="none" w:sz="0" w:space="0" w:color="auto"/>
                                  </w:divBdr>
                                  <w:divsChild>
                                    <w:div w:id="30346873">
                                      <w:marLeft w:val="0"/>
                                      <w:marRight w:val="0"/>
                                      <w:marTop w:val="0"/>
                                      <w:marBottom w:val="0"/>
                                      <w:divBdr>
                                        <w:top w:val="none" w:sz="0" w:space="0" w:color="auto"/>
                                        <w:left w:val="none" w:sz="0" w:space="0" w:color="auto"/>
                                        <w:bottom w:val="none" w:sz="0" w:space="0" w:color="auto"/>
                                        <w:right w:val="none" w:sz="0" w:space="0" w:color="auto"/>
                                      </w:divBdr>
                                      <w:divsChild>
                                        <w:div w:id="1672637451">
                                          <w:marLeft w:val="0"/>
                                          <w:marRight w:val="0"/>
                                          <w:marTop w:val="0"/>
                                          <w:marBottom w:val="0"/>
                                          <w:divBdr>
                                            <w:top w:val="none" w:sz="0" w:space="0" w:color="auto"/>
                                            <w:left w:val="none" w:sz="0" w:space="0" w:color="auto"/>
                                            <w:bottom w:val="none" w:sz="0" w:space="0" w:color="auto"/>
                                            <w:right w:val="none" w:sz="0" w:space="0" w:color="auto"/>
                                          </w:divBdr>
                                          <w:divsChild>
                                            <w:div w:id="1122116606">
                                              <w:marLeft w:val="0"/>
                                              <w:marRight w:val="0"/>
                                              <w:marTop w:val="0"/>
                                              <w:marBottom w:val="0"/>
                                              <w:divBdr>
                                                <w:top w:val="none" w:sz="0" w:space="0" w:color="auto"/>
                                                <w:left w:val="none" w:sz="0" w:space="0" w:color="auto"/>
                                                <w:bottom w:val="none" w:sz="0" w:space="0" w:color="auto"/>
                                                <w:right w:val="none" w:sz="0" w:space="0" w:color="auto"/>
                                              </w:divBdr>
                                              <w:divsChild>
                                                <w:div w:id="1762413882">
                                                  <w:marLeft w:val="0"/>
                                                  <w:marRight w:val="0"/>
                                                  <w:marTop w:val="0"/>
                                                  <w:marBottom w:val="0"/>
                                                  <w:divBdr>
                                                    <w:top w:val="none" w:sz="0" w:space="0" w:color="auto"/>
                                                    <w:left w:val="none" w:sz="0" w:space="0" w:color="auto"/>
                                                    <w:bottom w:val="none" w:sz="0" w:space="0" w:color="auto"/>
                                                    <w:right w:val="none" w:sz="0" w:space="0" w:color="auto"/>
                                                  </w:divBdr>
                                                  <w:divsChild>
                                                    <w:div w:id="1349604974">
                                                      <w:marLeft w:val="0"/>
                                                      <w:marRight w:val="0"/>
                                                      <w:marTop w:val="0"/>
                                                      <w:marBottom w:val="0"/>
                                                      <w:divBdr>
                                                        <w:top w:val="none" w:sz="0" w:space="0" w:color="auto"/>
                                                        <w:left w:val="none" w:sz="0" w:space="0" w:color="auto"/>
                                                        <w:bottom w:val="none" w:sz="0" w:space="0" w:color="auto"/>
                                                        <w:right w:val="none" w:sz="0" w:space="0" w:color="auto"/>
                                                      </w:divBdr>
                                                      <w:divsChild>
                                                        <w:div w:id="79556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53069732">
      <w:bodyDiv w:val="1"/>
      <w:marLeft w:val="0"/>
      <w:marRight w:val="0"/>
      <w:marTop w:val="0"/>
      <w:marBottom w:val="0"/>
      <w:divBdr>
        <w:top w:val="none" w:sz="0" w:space="0" w:color="auto"/>
        <w:left w:val="none" w:sz="0" w:space="0" w:color="auto"/>
        <w:bottom w:val="none" w:sz="0" w:space="0" w:color="auto"/>
        <w:right w:val="none" w:sz="0" w:space="0" w:color="auto"/>
      </w:divBdr>
    </w:div>
    <w:div w:id="661396752">
      <w:bodyDiv w:val="1"/>
      <w:marLeft w:val="0"/>
      <w:marRight w:val="0"/>
      <w:marTop w:val="0"/>
      <w:marBottom w:val="0"/>
      <w:divBdr>
        <w:top w:val="none" w:sz="0" w:space="0" w:color="auto"/>
        <w:left w:val="none" w:sz="0" w:space="0" w:color="auto"/>
        <w:bottom w:val="none" w:sz="0" w:space="0" w:color="auto"/>
        <w:right w:val="none" w:sz="0" w:space="0" w:color="auto"/>
      </w:divBdr>
    </w:div>
    <w:div w:id="794565200">
      <w:bodyDiv w:val="1"/>
      <w:marLeft w:val="0"/>
      <w:marRight w:val="0"/>
      <w:marTop w:val="0"/>
      <w:marBottom w:val="0"/>
      <w:divBdr>
        <w:top w:val="none" w:sz="0" w:space="0" w:color="auto"/>
        <w:left w:val="none" w:sz="0" w:space="0" w:color="auto"/>
        <w:bottom w:val="none" w:sz="0" w:space="0" w:color="auto"/>
        <w:right w:val="none" w:sz="0" w:space="0" w:color="auto"/>
      </w:divBdr>
    </w:div>
    <w:div w:id="838467693">
      <w:bodyDiv w:val="1"/>
      <w:marLeft w:val="0"/>
      <w:marRight w:val="0"/>
      <w:marTop w:val="0"/>
      <w:marBottom w:val="0"/>
      <w:divBdr>
        <w:top w:val="none" w:sz="0" w:space="0" w:color="auto"/>
        <w:left w:val="none" w:sz="0" w:space="0" w:color="auto"/>
        <w:bottom w:val="none" w:sz="0" w:space="0" w:color="auto"/>
        <w:right w:val="none" w:sz="0" w:space="0" w:color="auto"/>
      </w:divBdr>
    </w:div>
    <w:div w:id="840774652">
      <w:bodyDiv w:val="1"/>
      <w:marLeft w:val="0"/>
      <w:marRight w:val="0"/>
      <w:marTop w:val="0"/>
      <w:marBottom w:val="0"/>
      <w:divBdr>
        <w:top w:val="none" w:sz="0" w:space="0" w:color="auto"/>
        <w:left w:val="none" w:sz="0" w:space="0" w:color="auto"/>
        <w:bottom w:val="none" w:sz="0" w:space="0" w:color="auto"/>
        <w:right w:val="none" w:sz="0" w:space="0" w:color="auto"/>
      </w:divBdr>
    </w:div>
    <w:div w:id="973632159">
      <w:bodyDiv w:val="1"/>
      <w:marLeft w:val="0"/>
      <w:marRight w:val="0"/>
      <w:marTop w:val="0"/>
      <w:marBottom w:val="0"/>
      <w:divBdr>
        <w:top w:val="none" w:sz="0" w:space="0" w:color="auto"/>
        <w:left w:val="none" w:sz="0" w:space="0" w:color="auto"/>
        <w:bottom w:val="none" w:sz="0" w:space="0" w:color="auto"/>
        <w:right w:val="none" w:sz="0" w:space="0" w:color="auto"/>
      </w:divBdr>
    </w:div>
    <w:div w:id="1001086064">
      <w:bodyDiv w:val="1"/>
      <w:marLeft w:val="0"/>
      <w:marRight w:val="0"/>
      <w:marTop w:val="0"/>
      <w:marBottom w:val="0"/>
      <w:divBdr>
        <w:top w:val="none" w:sz="0" w:space="0" w:color="auto"/>
        <w:left w:val="none" w:sz="0" w:space="0" w:color="auto"/>
        <w:bottom w:val="none" w:sz="0" w:space="0" w:color="auto"/>
        <w:right w:val="none" w:sz="0" w:space="0" w:color="auto"/>
      </w:divBdr>
    </w:div>
    <w:div w:id="1030226811">
      <w:bodyDiv w:val="1"/>
      <w:marLeft w:val="0"/>
      <w:marRight w:val="0"/>
      <w:marTop w:val="0"/>
      <w:marBottom w:val="0"/>
      <w:divBdr>
        <w:top w:val="none" w:sz="0" w:space="0" w:color="auto"/>
        <w:left w:val="none" w:sz="0" w:space="0" w:color="auto"/>
        <w:bottom w:val="none" w:sz="0" w:space="0" w:color="auto"/>
        <w:right w:val="none" w:sz="0" w:space="0" w:color="auto"/>
      </w:divBdr>
    </w:div>
    <w:div w:id="1199053191">
      <w:bodyDiv w:val="1"/>
      <w:marLeft w:val="0"/>
      <w:marRight w:val="0"/>
      <w:marTop w:val="0"/>
      <w:marBottom w:val="0"/>
      <w:divBdr>
        <w:top w:val="none" w:sz="0" w:space="0" w:color="auto"/>
        <w:left w:val="none" w:sz="0" w:space="0" w:color="auto"/>
        <w:bottom w:val="none" w:sz="0" w:space="0" w:color="auto"/>
        <w:right w:val="none" w:sz="0" w:space="0" w:color="auto"/>
      </w:divBdr>
    </w:div>
    <w:div w:id="1265116717">
      <w:bodyDiv w:val="1"/>
      <w:marLeft w:val="0"/>
      <w:marRight w:val="0"/>
      <w:marTop w:val="0"/>
      <w:marBottom w:val="0"/>
      <w:divBdr>
        <w:top w:val="none" w:sz="0" w:space="0" w:color="auto"/>
        <w:left w:val="none" w:sz="0" w:space="0" w:color="auto"/>
        <w:bottom w:val="none" w:sz="0" w:space="0" w:color="auto"/>
        <w:right w:val="none" w:sz="0" w:space="0" w:color="auto"/>
      </w:divBdr>
    </w:div>
    <w:div w:id="1278832343">
      <w:bodyDiv w:val="1"/>
      <w:marLeft w:val="0"/>
      <w:marRight w:val="0"/>
      <w:marTop w:val="0"/>
      <w:marBottom w:val="0"/>
      <w:divBdr>
        <w:top w:val="none" w:sz="0" w:space="0" w:color="auto"/>
        <w:left w:val="none" w:sz="0" w:space="0" w:color="auto"/>
        <w:bottom w:val="none" w:sz="0" w:space="0" w:color="auto"/>
        <w:right w:val="none" w:sz="0" w:space="0" w:color="auto"/>
      </w:divBdr>
    </w:div>
    <w:div w:id="1317301792">
      <w:bodyDiv w:val="1"/>
      <w:marLeft w:val="0"/>
      <w:marRight w:val="0"/>
      <w:marTop w:val="0"/>
      <w:marBottom w:val="0"/>
      <w:divBdr>
        <w:top w:val="none" w:sz="0" w:space="0" w:color="auto"/>
        <w:left w:val="none" w:sz="0" w:space="0" w:color="auto"/>
        <w:bottom w:val="none" w:sz="0" w:space="0" w:color="auto"/>
        <w:right w:val="none" w:sz="0" w:space="0" w:color="auto"/>
      </w:divBdr>
    </w:div>
    <w:div w:id="1374421166">
      <w:bodyDiv w:val="1"/>
      <w:marLeft w:val="0"/>
      <w:marRight w:val="0"/>
      <w:marTop w:val="0"/>
      <w:marBottom w:val="0"/>
      <w:divBdr>
        <w:top w:val="none" w:sz="0" w:space="0" w:color="auto"/>
        <w:left w:val="none" w:sz="0" w:space="0" w:color="auto"/>
        <w:bottom w:val="none" w:sz="0" w:space="0" w:color="auto"/>
        <w:right w:val="none" w:sz="0" w:space="0" w:color="auto"/>
      </w:divBdr>
    </w:div>
    <w:div w:id="1471169564">
      <w:bodyDiv w:val="1"/>
      <w:marLeft w:val="0"/>
      <w:marRight w:val="0"/>
      <w:marTop w:val="0"/>
      <w:marBottom w:val="0"/>
      <w:divBdr>
        <w:top w:val="none" w:sz="0" w:space="0" w:color="auto"/>
        <w:left w:val="none" w:sz="0" w:space="0" w:color="auto"/>
        <w:bottom w:val="none" w:sz="0" w:space="0" w:color="auto"/>
        <w:right w:val="none" w:sz="0" w:space="0" w:color="auto"/>
      </w:divBdr>
    </w:div>
    <w:div w:id="1501458534">
      <w:bodyDiv w:val="1"/>
      <w:marLeft w:val="0"/>
      <w:marRight w:val="0"/>
      <w:marTop w:val="0"/>
      <w:marBottom w:val="0"/>
      <w:divBdr>
        <w:top w:val="none" w:sz="0" w:space="0" w:color="auto"/>
        <w:left w:val="none" w:sz="0" w:space="0" w:color="auto"/>
        <w:bottom w:val="none" w:sz="0" w:space="0" w:color="auto"/>
        <w:right w:val="none" w:sz="0" w:space="0" w:color="auto"/>
      </w:divBdr>
    </w:div>
    <w:div w:id="1528057002">
      <w:bodyDiv w:val="1"/>
      <w:marLeft w:val="0"/>
      <w:marRight w:val="0"/>
      <w:marTop w:val="0"/>
      <w:marBottom w:val="0"/>
      <w:divBdr>
        <w:top w:val="none" w:sz="0" w:space="0" w:color="auto"/>
        <w:left w:val="none" w:sz="0" w:space="0" w:color="auto"/>
        <w:bottom w:val="none" w:sz="0" w:space="0" w:color="auto"/>
        <w:right w:val="none" w:sz="0" w:space="0" w:color="auto"/>
      </w:divBdr>
    </w:div>
    <w:div w:id="1636333592">
      <w:bodyDiv w:val="1"/>
      <w:marLeft w:val="0"/>
      <w:marRight w:val="0"/>
      <w:marTop w:val="0"/>
      <w:marBottom w:val="0"/>
      <w:divBdr>
        <w:top w:val="none" w:sz="0" w:space="0" w:color="auto"/>
        <w:left w:val="none" w:sz="0" w:space="0" w:color="auto"/>
        <w:bottom w:val="none" w:sz="0" w:space="0" w:color="auto"/>
        <w:right w:val="none" w:sz="0" w:space="0" w:color="auto"/>
      </w:divBdr>
    </w:div>
    <w:div w:id="1725791358">
      <w:bodyDiv w:val="1"/>
      <w:marLeft w:val="0"/>
      <w:marRight w:val="0"/>
      <w:marTop w:val="0"/>
      <w:marBottom w:val="0"/>
      <w:divBdr>
        <w:top w:val="none" w:sz="0" w:space="0" w:color="auto"/>
        <w:left w:val="none" w:sz="0" w:space="0" w:color="auto"/>
        <w:bottom w:val="none" w:sz="0" w:space="0" w:color="auto"/>
        <w:right w:val="none" w:sz="0" w:space="0" w:color="auto"/>
      </w:divBdr>
    </w:div>
    <w:div w:id="1836334944">
      <w:bodyDiv w:val="1"/>
      <w:marLeft w:val="0"/>
      <w:marRight w:val="0"/>
      <w:marTop w:val="0"/>
      <w:marBottom w:val="0"/>
      <w:divBdr>
        <w:top w:val="none" w:sz="0" w:space="0" w:color="auto"/>
        <w:left w:val="none" w:sz="0" w:space="0" w:color="auto"/>
        <w:bottom w:val="none" w:sz="0" w:space="0" w:color="auto"/>
        <w:right w:val="none" w:sz="0" w:space="0" w:color="auto"/>
      </w:divBdr>
    </w:div>
    <w:div w:id="1856112657">
      <w:bodyDiv w:val="1"/>
      <w:marLeft w:val="0"/>
      <w:marRight w:val="0"/>
      <w:marTop w:val="0"/>
      <w:marBottom w:val="0"/>
      <w:divBdr>
        <w:top w:val="none" w:sz="0" w:space="0" w:color="auto"/>
        <w:left w:val="none" w:sz="0" w:space="0" w:color="auto"/>
        <w:bottom w:val="none" w:sz="0" w:space="0" w:color="auto"/>
        <w:right w:val="none" w:sz="0" w:space="0" w:color="auto"/>
      </w:divBdr>
    </w:div>
    <w:div w:id="1889031544">
      <w:bodyDiv w:val="1"/>
      <w:marLeft w:val="0"/>
      <w:marRight w:val="0"/>
      <w:marTop w:val="0"/>
      <w:marBottom w:val="0"/>
      <w:divBdr>
        <w:top w:val="none" w:sz="0" w:space="0" w:color="auto"/>
        <w:left w:val="none" w:sz="0" w:space="0" w:color="auto"/>
        <w:bottom w:val="none" w:sz="0" w:space="0" w:color="auto"/>
        <w:right w:val="none" w:sz="0" w:space="0" w:color="auto"/>
      </w:divBdr>
    </w:div>
    <w:div w:id="1889487586">
      <w:bodyDiv w:val="1"/>
      <w:marLeft w:val="0"/>
      <w:marRight w:val="0"/>
      <w:marTop w:val="0"/>
      <w:marBottom w:val="0"/>
      <w:divBdr>
        <w:top w:val="none" w:sz="0" w:space="0" w:color="auto"/>
        <w:left w:val="none" w:sz="0" w:space="0" w:color="auto"/>
        <w:bottom w:val="none" w:sz="0" w:space="0" w:color="auto"/>
        <w:right w:val="none" w:sz="0" w:space="0" w:color="auto"/>
      </w:divBdr>
    </w:div>
    <w:div w:id="1979646309">
      <w:bodyDiv w:val="1"/>
      <w:marLeft w:val="0"/>
      <w:marRight w:val="0"/>
      <w:marTop w:val="0"/>
      <w:marBottom w:val="0"/>
      <w:divBdr>
        <w:top w:val="none" w:sz="0" w:space="0" w:color="auto"/>
        <w:left w:val="none" w:sz="0" w:space="0" w:color="auto"/>
        <w:bottom w:val="none" w:sz="0" w:space="0" w:color="auto"/>
        <w:right w:val="none" w:sz="0" w:space="0" w:color="auto"/>
      </w:divBdr>
    </w:div>
    <w:div w:id="1987927327">
      <w:bodyDiv w:val="1"/>
      <w:marLeft w:val="0"/>
      <w:marRight w:val="0"/>
      <w:marTop w:val="0"/>
      <w:marBottom w:val="0"/>
      <w:divBdr>
        <w:top w:val="none" w:sz="0" w:space="0" w:color="auto"/>
        <w:left w:val="none" w:sz="0" w:space="0" w:color="auto"/>
        <w:bottom w:val="none" w:sz="0" w:space="0" w:color="auto"/>
        <w:right w:val="none" w:sz="0" w:space="0" w:color="auto"/>
      </w:divBdr>
    </w:div>
    <w:div w:id="2032800428">
      <w:bodyDiv w:val="1"/>
      <w:marLeft w:val="0"/>
      <w:marRight w:val="0"/>
      <w:marTop w:val="0"/>
      <w:marBottom w:val="0"/>
      <w:divBdr>
        <w:top w:val="none" w:sz="0" w:space="0" w:color="auto"/>
        <w:left w:val="none" w:sz="0" w:space="0" w:color="auto"/>
        <w:bottom w:val="none" w:sz="0" w:space="0" w:color="auto"/>
        <w:right w:val="none" w:sz="0" w:space="0" w:color="auto"/>
      </w:divBdr>
    </w:div>
    <w:div w:id="2092775137">
      <w:bodyDiv w:val="1"/>
      <w:marLeft w:val="0"/>
      <w:marRight w:val="0"/>
      <w:marTop w:val="0"/>
      <w:marBottom w:val="0"/>
      <w:divBdr>
        <w:top w:val="none" w:sz="0" w:space="0" w:color="auto"/>
        <w:left w:val="none" w:sz="0" w:space="0" w:color="auto"/>
        <w:bottom w:val="none" w:sz="0" w:space="0" w:color="auto"/>
        <w:right w:val="none" w:sz="0" w:space="0" w:color="auto"/>
      </w:divBdr>
    </w:div>
    <w:div w:id="2102330671">
      <w:bodyDiv w:val="1"/>
      <w:marLeft w:val="0"/>
      <w:marRight w:val="0"/>
      <w:marTop w:val="0"/>
      <w:marBottom w:val="0"/>
      <w:divBdr>
        <w:top w:val="none" w:sz="0" w:space="0" w:color="auto"/>
        <w:left w:val="none" w:sz="0" w:space="0" w:color="auto"/>
        <w:bottom w:val="none" w:sz="0" w:space="0" w:color="auto"/>
        <w:right w:val="none" w:sz="0" w:space="0" w:color="auto"/>
      </w:divBdr>
    </w:div>
    <w:div w:id="2111779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about-us/policy-and-influencing/dementia-statistics" TargetMode="External"/><Relationship Id="rId13" Type="http://schemas.openxmlformats.org/officeDocument/2006/relationships/hyperlink" Target="https://www.gov.uk/" TargetMode="External"/><Relationship Id="rId18" Type="http://schemas.openxmlformats.org/officeDocument/2006/relationships/hyperlink" Target="https://doi.org/10.1093/gerona/glq014" TargetMode="External"/><Relationship Id="rId3" Type="http://schemas.openxmlformats.org/officeDocument/2006/relationships/settings" Target="settings.xml"/><Relationship Id="rId21" Type="http://schemas.openxmlformats.org/officeDocument/2006/relationships/hyperlink" Target="https://www.rcpsych.ac.uk/" TargetMode="External"/><Relationship Id="rId7" Type="http://schemas.openxmlformats.org/officeDocument/2006/relationships/hyperlink" Target="https://www.alzheimers.org.uk/" TargetMode="External"/><Relationship Id="rId12" Type="http://schemas.openxmlformats.org/officeDocument/2006/relationships/hyperlink" Target="https://doi.org/10.1080/08959420.2018.1437085" TargetMode="External"/><Relationship Id="rId17" Type="http://schemas.openxmlformats.org/officeDocument/2006/relationships/hyperlink" Target="https://www.kingsfund.org.uk/topics/dementia-care"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eugdpr.org/" TargetMode="External"/><Relationship Id="rId20" Type="http://schemas.openxmlformats.org/officeDocument/2006/relationships/hyperlink" Target="https://doi.org/10.1111/jgs.137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11/jocn.12447"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7/S0144686X14001157" TargetMode="External"/><Relationship Id="rId23" Type="http://schemas.openxmlformats.org/officeDocument/2006/relationships/header" Target="header1.xml"/><Relationship Id="rId10" Type="http://schemas.openxmlformats.org/officeDocument/2006/relationships/hyperlink" Target="https://www.alzheimersresearchuk.org/what-we-do/research/" TargetMode="External"/><Relationship Id="rId19" Type="http://schemas.openxmlformats.org/officeDocument/2006/relationships/hyperlink" Target="https://www.nice.org.uk/guidance/ng97" TargetMode="External"/><Relationship Id="rId4" Type="http://schemas.openxmlformats.org/officeDocument/2006/relationships/webSettings" Target="webSettings.xml"/><Relationship Id="rId9" Type="http://schemas.openxmlformats.org/officeDocument/2006/relationships/hyperlink" Target="https://www.alzheimers.org.uk/get-involved/campaigns/dementia-10-year-plan" TargetMode="External"/><Relationship Id="rId14" Type="http://schemas.openxmlformats.org/officeDocument/2006/relationships/hyperlink" Target="https://www.gov.uk/government/publications/dementia-2020-challenge-supporting-dementia-care" TargetMode="External"/><Relationship Id="rId22"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19</Pages>
  <Words>6284</Words>
  <Characters>35824</Characters>
  <Application>Microsoft Office Word</Application>
  <DocSecurity>0</DocSecurity>
  <Lines>298</Lines>
  <Paragraphs>84</Paragraphs>
  <ScaleCrop>false</ScaleCrop>
  <Company/>
  <LinksUpToDate>false</LinksUpToDate>
  <CharactersWithSpaces>42024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Elisha Boniwell (2113032)</dc:creator>
  <cp:keywords/>
  <dc:description/>
  <cp:lastModifiedBy>Elisha Boniwell (2113032)</cp:lastModifiedBy>
  <cp:revision>1</cp:revision>
  <dcterms:created xsi:type="dcterms:W3CDTF">2024-12-09T22:38:00Z</dcterms:created>
  <dcterms:modified xsi:type="dcterms:W3CDTF">2024-12-09T23:44:00Z</dcterms:modified>
</cp:coreProperties>
</file>