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F9A48" w14:textId="77777777" w:rsidR="00D80702" w:rsidRPr="00B84303" w:rsidRDefault="00BF51F1" w:rsidP="00B84303">
      <w:pPr>
        <w:spacing w:line="360" w:lineRule="auto"/>
        <w:ind w:firstLine="0"/>
        <w:rPr>
          <w:rFonts w:ascii="Arial" w:hAnsi="Arial" w:cs="Arial"/>
        </w:rPr>
      </w:pPr>
      <w:r w:rsidRPr="00B84303">
        <w:rPr>
          <w:rFonts w:ascii="Arial" w:hAnsi="Arial" w:cs="Arial"/>
        </w:rPr>
        <w:t xml:space="preserve">I acknowledge the use of Grammarly (https://www.grammarly.com/) on </w:t>
      </w:r>
      <w:r w:rsidR="005342D8" w:rsidRPr="00B84303">
        <w:rPr>
          <w:rFonts w:ascii="Arial" w:hAnsi="Arial" w:cs="Arial"/>
        </w:rPr>
        <w:t>19, 21 and 22</w:t>
      </w:r>
      <w:r w:rsidRPr="00B84303">
        <w:rPr>
          <w:rFonts w:ascii="Arial" w:hAnsi="Arial" w:cs="Arial"/>
        </w:rPr>
        <w:t xml:space="preserve"> </w:t>
      </w:r>
      <w:r w:rsidR="005342D8" w:rsidRPr="00B84303">
        <w:rPr>
          <w:rFonts w:ascii="Arial" w:hAnsi="Arial" w:cs="Arial"/>
        </w:rPr>
        <w:t xml:space="preserve">of May </w:t>
      </w:r>
      <w:r w:rsidRPr="00B84303">
        <w:rPr>
          <w:rFonts w:ascii="Arial" w:hAnsi="Arial" w:cs="Arial"/>
        </w:rPr>
        <w:t>202</w:t>
      </w:r>
      <w:r w:rsidR="005342D8" w:rsidRPr="00B84303">
        <w:rPr>
          <w:rFonts w:ascii="Arial" w:hAnsi="Arial" w:cs="Arial"/>
        </w:rPr>
        <w:t>5</w:t>
      </w:r>
      <w:r w:rsidRPr="00B84303">
        <w:rPr>
          <w:rFonts w:ascii="Arial" w:hAnsi="Arial" w:cs="Arial"/>
        </w:rPr>
        <w:t xml:space="preserve"> to check my work using the prompt(s):</w:t>
      </w:r>
    </w:p>
    <w:p w14:paraId="7A0A38E2" w14:textId="77777777" w:rsidR="00D80702" w:rsidRPr="00B84303" w:rsidRDefault="00BF51F1" w:rsidP="00B84303">
      <w:pPr>
        <w:spacing w:line="360" w:lineRule="auto"/>
        <w:ind w:firstLine="0"/>
        <w:rPr>
          <w:rFonts w:ascii="Arial" w:hAnsi="Arial" w:cs="Arial"/>
        </w:rPr>
      </w:pPr>
      <w:r w:rsidRPr="00B84303">
        <w:rPr>
          <w:rFonts w:ascii="Arial" w:hAnsi="Arial" w:cs="Arial"/>
        </w:rPr>
        <w:t xml:space="preserve"> </w:t>
      </w:r>
      <w:r w:rsidR="00802209" w:rsidRPr="00B84303">
        <w:rPr>
          <w:rFonts w:ascii="Arial" w:hAnsi="Arial" w:cs="Arial"/>
        </w:rPr>
        <w:t xml:space="preserve">1. Please find me contemporary research on TPB and TTM </w:t>
      </w:r>
      <w:r w:rsidR="00782A1B" w:rsidRPr="00B84303">
        <w:rPr>
          <w:rFonts w:ascii="Arial" w:hAnsi="Arial" w:cs="Arial"/>
        </w:rPr>
        <w:t xml:space="preserve">and their applicability to stress management and </w:t>
      </w:r>
      <w:r w:rsidR="007E6586" w:rsidRPr="00B84303">
        <w:rPr>
          <w:rFonts w:ascii="Arial" w:hAnsi="Arial" w:cs="Arial"/>
        </w:rPr>
        <w:t xml:space="preserve">safe driving behaviour. </w:t>
      </w:r>
    </w:p>
    <w:p w14:paraId="11AE2B56" w14:textId="77777777" w:rsidR="00D80702" w:rsidRPr="00B84303" w:rsidRDefault="00802209" w:rsidP="00B84303">
      <w:pPr>
        <w:spacing w:line="360" w:lineRule="auto"/>
        <w:ind w:firstLine="0"/>
        <w:rPr>
          <w:rFonts w:ascii="Arial" w:hAnsi="Arial" w:cs="Arial"/>
        </w:rPr>
      </w:pPr>
      <w:r w:rsidRPr="00B84303">
        <w:rPr>
          <w:rFonts w:ascii="Arial" w:hAnsi="Arial" w:cs="Arial"/>
        </w:rPr>
        <w:t>2</w:t>
      </w:r>
      <w:r w:rsidR="00F65733" w:rsidRPr="00B84303">
        <w:rPr>
          <w:rFonts w:ascii="Arial" w:hAnsi="Arial" w:cs="Arial"/>
        </w:rPr>
        <w:t xml:space="preserve">. </w:t>
      </w:r>
      <w:r w:rsidR="007042E6" w:rsidRPr="00B84303">
        <w:rPr>
          <w:rFonts w:ascii="Arial" w:hAnsi="Arial" w:cs="Arial"/>
        </w:rPr>
        <w:t xml:space="preserve">Please </w:t>
      </w:r>
      <w:r w:rsidR="00A95E5D" w:rsidRPr="00B84303">
        <w:rPr>
          <w:rFonts w:ascii="Arial" w:hAnsi="Arial" w:cs="Arial"/>
        </w:rPr>
        <w:t xml:space="preserve">guide me to </w:t>
      </w:r>
      <w:r w:rsidR="008459E5" w:rsidRPr="00B84303">
        <w:rPr>
          <w:rFonts w:ascii="Arial" w:hAnsi="Arial" w:cs="Arial"/>
        </w:rPr>
        <w:t xml:space="preserve">rewrite my draft script into </w:t>
      </w:r>
      <w:r w:rsidR="008A10E7" w:rsidRPr="00B84303">
        <w:rPr>
          <w:rFonts w:ascii="Arial" w:hAnsi="Arial" w:cs="Arial"/>
        </w:rPr>
        <w:t xml:space="preserve">a coherent </w:t>
      </w:r>
      <w:r w:rsidR="00697D79" w:rsidRPr="00B84303">
        <w:rPr>
          <w:rFonts w:ascii="Arial" w:hAnsi="Arial" w:cs="Arial"/>
        </w:rPr>
        <w:t>academic-level</w:t>
      </w:r>
      <w:r w:rsidR="008A10E7" w:rsidRPr="00B84303">
        <w:rPr>
          <w:rFonts w:ascii="Arial" w:hAnsi="Arial" w:cs="Arial"/>
        </w:rPr>
        <w:t xml:space="preserve"> </w:t>
      </w:r>
      <w:r w:rsidR="00697D79" w:rsidRPr="00B84303">
        <w:rPr>
          <w:rFonts w:ascii="Arial" w:hAnsi="Arial" w:cs="Arial"/>
        </w:rPr>
        <w:t>presentation</w:t>
      </w:r>
    </w:p>
    <w:p w14:paraId="4612C2B5" w14:textId="20E7B0F6" w:rsidR="00B84303" w:rsidRPr="00B84303" w:rsidRDefault="00B84303" w:rsidP="00B84303">
      <w:pPr>
        <w:spacing w:line="360" w:lineRule="auto"/>
        <w:ind w:firstLine="0"/>
        <w:rPr>
          <w:rFonts w:ascii="Arial" w:hAnsi="Arial" w:cs="Arial"/>
        </w:rPr>
      </w:pPr>
      <w:r w:rsidRPr="00B84303">
        <w:rPr>
          <w:rFonts w:ascii="Arial" w:hAnsi="Arial" w:cs="Arial"/>
        </w:rPr>
        <w:t>.</w:t>
      </w:r>
      <w:r w:rsidR="005B62F4" w:rsidRPr="00B84303">
        <w:rPr>
          <w:rFonts w:ascii="Arial" w:hAnsi="Arial" w:cs="Arial"/>
        </w:rPr>
        <w:t>3</w:t>
      </w:r>
      <w:r w:rsidR="00BF51F1" w:rsidRPr="00B84303">
        <w:rPr>
          <w:rFonts w:ascii="Arial" w:hAnsi="Arial" w:cs="Arial"/>
        </w:rPr>
        <w:t>. P</w:t>
      </w:r>
      <w:r w:rsidR="00D80702" w:rsidRPr="00B84303">
        <w:rPr>
          <w:rFonts w:ascii="Arial" w:hAnsi="Arial" w:cs="Arial"/>
        </w:rPr>
        <w:t xml:space="preserve">lease </w:t>
      </w:r>
      <w:r w:rsidR="00EC4E6E" w:rsidRPr="00B84303">
        <w:rPr>
          <w:rFonts w:ascii="Arial" w:hAnsi="Arial" w:cs="Arial"/>
        </w:rPr>
        <w:t>help me create a reference list for my presentation following APA 7</w:t>
      </w:r>
      <w:r w:rsidR="00EC4E6E" w:rsidRPr="00B84303">
        <w:rPr>
          <w:rFonts w:ascii="Arial" w:hAnsi="Arial" w:cs="Arial"/>
          <w:vertAlign w:val="superscript"/>
        </w:rPr>
        <w:t>th</w:t>
      </w:r>
      <w:r w:rsidR="00EC4E6E" w:rsidRPr="00B84303">
        <w:rPr>
          <w:rFonts w:ascii="Arial" w:hAnsi="Arial" w:cs="Arial"/>
        </w:rPr>
        <w:t xml:space="preserve"> </w:t>
      </w:r>
      <w:r w:rsidRPr="00B84303">
        <w:rPr>
          <w:rFonts w:ascii="Arial" w:hAnsi="Arial" w:cs="Arial"/>
        </w:rPr>
        <w:t>guidelines</w:t>
      </w:r>
    </w:p>
    <w:p w14:paraId="09906BFE" w14:textId="49FE9123" w:rsidR="00053669" w:rsidRPr="00B84303" w:rsidRDefault="00A95E5D" w:rsidP="00B84303">
      <w:pPr>
        <w:spacing w:line="360" w:lineRule="auto"/>
        <w:ind w:firstLine="0"/>
        <w:rPr>
          <w:rFonts w:ascii="Arial" w:hAnsi="Arial" w:cs="Arial"/>
        </w:rPr>
      </w:pPr>
      <w:r w:rsidRPr="00B84303">
        <w:rPr>
          <w:rFonts w:ascii="Arial" w:hAnsi="Arial" w:cs="Arial"/>
        </w:rPr>
        <w:t xml:space="preserve"> 4. Please help me create </w:t>
      </w:r>
      <w:r w:rsidR="00375A28" w:rsidRPr="00B84303">
        <w:rPr>
          <w:rFonts w:ascii="Arial" w:hAnsi="Arial" w:cs="Arial"/>
        </w:rPr>
        <w:t>relevant bullet points for my PP slides from my script.</w:t>
      </w:r>
      <w:r w:rsidR="00BF51F1" w:rsidRPr="00B84303">
        <w:rPr>
          <w:rFonts w:ascii="Arial" w:hAnsi="Arial" w:cs="Arial"/>
        </w:rPr>
        <w:t xml:space="preserve"> I confirm that I have not presented any AI generated text as my own work. I confirm I have copies of my drafts, notes, and other resources I used before, and after the use of AI tools which I may be asked to provide in evidence.</w:t>
      </w:r>
    </w:p>
    <w:p w14:paraId="7A0D724A" w14:textId="77777777" w:rsidR="00BF51F1" w:rsidRDefault="00BF51F1" w:rsidP="006C56AF">
      <w:pPr>
        <w:spacing w:line="360" w:lineRule="auto"/>
        <w:ind w:firstLine="0"/>
        <w:jc w:val="center"/>
      </w:pPr>
    </w:p>
    <w:p w14:paraId="54692C88" w14:textId="1B92209E" w:rsidR="00BF51F1" w:rsidRDefault="00676021" w:rsidP="006C56AF">
      <w:pPr>
        <w:spacing w:line="360" w:lineRule="auto"/>
        <w:ind w:firstLine="0"/>
        <w:jc w:val="center"/>
        <w:rPr>
          <w:rFonts w:ascii="Arial" w:eastAsia="Times New Roman" w:hAnsi="Arial" w:cs="Arial"/>
          <w:b/>
          <w:bCs/>
          <w:kern w:val="0"/>
          <w:lang w:eastAsia="en-GB"/>
          <w14:ligatures w14:val="none"/>
        </w:rPr>
      </w:pPr>
      <w:r>
        <w:t xml:space="preserve">I acknowledge the use of Grammarly (https://www.grammarly.com/) on </w:t>
      </w:r>
      <w:r w:rsidR="004361D7">
        <w:t>23 May 2025</w:t>
      </w:r>
      <w:r>
        <w:t xml:space="preserve"> to check my work using the prompt(s): 1. Please check the following text for readability, grammar and syntax. I confirm that I have not presented any AI generated text as my own work. I confirm I have copies of my drafts, notes, and other resources I used before, and after the use of AI tools which I may be asked to provide in evidence.</w:t>
      </w:r>
    </w:p>
    <w:p w14:paraId="7C540CE4" w14:textId="77777777" w:rsidR="00053669" w:rsidRPr="008F321A" w:rsidRDefault="00053669">
      <w:pPr>
        <w:rPr>
          <w:rFonts w:ascii="Arial" w:eastAsia="Times New Roman" w:hAnsi="Arial" w:cs="Arial"/>
          <w:kern w:val="0"/>
          <w:lang w:eastAsia="en-GB"/>
          <w14:ligatures w14:val="none"/>
        </w:rPr>
      </w:pPr>
      <w:r>
        <w:rPr>
          <w:rFonts w:ascii="Arial" w:eastAsia="Times New Roman" w:hAnsi="Arial" w:cs="Arial"/>
          <w:b/>
          <w:bCs/>
          <w:kern w:val="0"/>
          <w:lang w:eastAsia="en-GB"/>
          <w14:ligatures w14:val="none"/>
        </w:rPr>
        <w:br w:type="page"/>
      </w:r>
    </w:p>
    <w:p w14:paraId="1E708473" w14:textId="480842C1" w:rsidR="006C56AF" w:rsidRPr="00240CCE" w:rsidRDefault="00E873C7" w:rsidP="00240CCE">
      <w:pPr>
        <w:spacing w:line="360" w:lineRule="auto"/>
        <w:ind w:firstLine="0"/>
        <w:jc w:val="center"/>
        <w:rPr>
          <w:rFonts w:ascii="Arial" w:eastAsia="Times New Roman" w:hAnsi="Arial" w:cs="Arial"/>
          <w:b/>
          <w:bCs/>
          <w:kern w:val="0"/>
          <w:lang w:eastAsia="en-GB"/>
          <w14:ligatures w14:val="none"/>
        </w:rPr>
      </w:pPr>
      <w:r w:rsidRPr="00986DFF">
        <w:rPr>
          <w:rFonts w:ascii="Arial" w:eastAsia="Times New Roman" w:hAnsi="Arial" w:cs="Arial"/>
          <w:b/>
          <w:bCs/>
          <w:kern w:val="0"/>
          <w:lang w:eastAsia="en-GB"/>
          <w14:ligatures w14:val="none"/>
        </w:rPr>
        <w:lastRenderedPageBreak/>
        <w:t>CRITICALLY EVALUATE THE APPLICABILITY OF SOCIAL COGNITION MODELS IN RELATION TO HEALTHY BEHAVIOURAL CHANGE</w:t>
      </w:r>
    </w:p>
    <w:p w14:paraId="51CBDB54" w14:textId="77777777" w:rsidR="006A3D96" w:rsidRPr="006A3D96" w:rsidRDefault="00CB2DFC" w:rsidP="006A3D96">
      <w:pPr>
        <w:rPr>
          <w:rFonts w:ascii="Times New Roman" w:eastAsia="Times New Roman" w:hAnsi="Times New Roman" w:cs="Times New Roman"/>
          <w:kern w:val="0"/>
          <w:sz w:val="24"/>
          <w:szCs w:val="24"/>
          <w:lang w:eastAsia="en-GB"/>
          <w14:ligatures w14:val="none"/>
        </w:rPr>
      </w:pPr>
      <w:r>
        <w:rPr>
          <w:rFonts w:ascii="Arial" w:eastAsia="Times New Roman" w:hAnsi="Arial" w:cs="Arial"/>
          <w:kern w:val="0"/>
          <w:lang w:eastAsia="en-GB"/>
          <w14:ligatures w14:val="none"/>
        </w:rPr>
        <w:t xml:space="preserve">LINK </w:t>
      </w:r>
      <w:r w:rsidR="00C94FE6">
        <w:rPr>
          <w:rFonts w:ascii="Arial" w:eastAsia="Times New Roman" w:hAnsi="Arial" w:cs="Arial"/>
          <w:kern w:val="0"/>
          <w:lang w:eastAsia="en-GB"/>
          <w14:ligatures w14:val="none"/>
        </w:rPr>
        <w:t xml:space="preserve">TO </w:t>
      </w:r>
      <w:r>
        <w:rPr>
          <w:rFonts w:ascii="Arial" w:eastAsia="Times New Roman" w:hAnsi="Arial" w:cs="Arial"/>
          <w:kern w:val="0"/>
          <w:lang w:eastAsia="en-GB"/>
          <w14:ligatures w14:val="none"/>
        </w:rPr>
        <w:t>POWER POINT</w:t>
      </w:r>
      <w:r w:rsidR="00C94FE6">
        <w:rPr>
          <w:rFonts w:ascii="Arial" w:eastAsia="Times New Roman" w:hAnsi="Arial" w:cs="Arial"/>
          <w:kern w:val="0"/>
          <w:lang w:eastAsia="en-GB"/>
          <w14:ligatures w14:val="none"/>
        </w:rPr>
        <w:t xml:space="preserve">: </w:t>
      </w:r>
      <w:hyperlink r:id="rId5" w:history="1">
        <w:r w:rsidR="006A3D96" w:rsidRPr="006A3D96">
          <w:rPr>
            <w:rFonts w:ascii="Times New Roman" w:eastAsia="Times New Roman" w:hAnsi="Times New Roman" w:cs="Times New Roman"/>
            <w:color w:val="0000FF"/>
            <w:kern w:val="0"/>
            <w:sz w:val="24"/>
            <w:szCs w:val="24"/>
            <w:u w:val="single"/>
            <w:lang w:eastAsia="en-GB"/>
            <w14:ligatures w14:val="none"/>
          </w:rPr>
          <w:t>FINAL HEALTH PRESE</w:t>
        </w:r>
        <w:r w:rsidR="006A3D96" w:rsidRPr="006A3D96">
          <w:rPr>
            <w:rFonts w:ascii="Times New Roman" w:eastAsia="Times New Roman" w:hAnsi="Times New Roman" w:cs="Times New Roman"/>
            <w:color w:val="0000FF"/>
            <w:kern w:val="0"/>
            <w:sz w:val="24"/>
            <w:szCs w:val="24"/>
            <w:u w:val="single"/>
            <w:lang w:eastAsia="en-GB"/>
            <w14:ligatures w14:val="none"/>
          </w:rPr>
          <w:t>NTATION TO BE SUBMITTED.pptx</w:t>
        </w:r>
      </w:hyperlink>
    </w:p>
    <w:p w14:paraId="4C9EA5C8" w14:textId="14AA0D12" w:rsidR="00CB2DFC" w:rsidRPr="00986DFF" w:rsidRDefault="00CB2DFC" w:rsidP="006C56AF">
      <w:pPr>
        <w:spacing w:line="360" w:lineRule="auto"/>
        <w:ind w:firstLine="0"/>
        <w:jc w:val="center"/>
        <w:rPr>
          <w:rFonts w:ascii="Arial" w:eastAsia="Times New Roman" w:hAnsi="Arial" w:cs="Arial"/>
          <w:kern w:val="0"/>
          <w:lang w:eastAsia="en-GB"/>
          <w14:ligatures w14:val="none"/>
        </w:rPr>
      </w:pPr>
    </w:p>
    <w:p w14:paraId="7CA071CF" w14:textId="7B96E4AF" w:rsidR="00E873C7" w:rsidRPr="00986DFF" w:rsidRDefault="00E873C7" w:rsidP="00E873C7">
      <w:pPr>
        <w:rPr>
          <w:rFonts w:ascii="Arial" w:eastAsia="Times New Roman" w:hAnsi="Arial" w:cs="Arial"/>
          <w:kern w:val="0"/>
          <w:lang w:eastAsia="en-GB"/>
          <w14:ligatures w14:val="none"/>
        </w:rPr>
      </w:pPr>
      <w:r w:rsidRPr="00986DFF">
        <w:rPr>
          <w:rFonts w:ascii="Arial" w:eastAsia="Times New Roman" w:hAnsi="Arial" w:cs="Arial"/>
          <w:kern w:val="0"/>
          <w:lang w:eastAsia="en-GB"/>
          <w14:ligatures w14:val="none"/>
        </w:rPr>
        <w:t>Good morning. I am Pamela, and today</w:t>
      </w:r>
      <w:r w:rsidR="00A55EBD">
        <w:rPr>
          <w:rFonts w:ascii="Arial" w:eastAsia="Times New Roman" w:hAnsi="Arial" w:cs="Arial"/>
          <w:kern w:val="0"/>
          <w:lang w:eastAsia="en-GB"/>
          <w14:ligatures w14:val="none"/>
        </w:rPr>
        <w:t>, I will critically evaluate the applicability of two social cognition models—the Theory of Planned Behaviour (TPB) and the Transtheoretical Model (TTM)—</w:t>
      </w:r>
      <w:r w:rsidRPr="00986DFF">
        <w:rPr>
          <w:rFonts w:ascii="Arial" w:eastAsia="Times New Roman" w:hAnsi="Arial" w:cs="Arial"/>
          <w:kern w:val="0"/>
          <w:lang w:eastAsia="en-GB"/>
          <w14:ligatures w14:val="none"/>
        </w:rPr>
        <w:t>to stress management and safe driving behaviours. These behaviours have a significant public health impact, as stress is linked to chronic illnesses, and unsafe driving remains a leading cause of preventable injuries and fatalities.</w:t>
      </w:r>
    </w:p>
    <w:p w14:paraId="323B1FD1" w14:textId="358654A4" w:rsidR="00E873C7" w:rsidRPr="00986DFF" w:rsidRDefault="00E873C7" w:rsidP="00E873C7">
      <w:pPr>
        <w:rPr>
          <w:rFonts w:ascii="Arial" w:eastAsia="Times New Roman" w:hAnsi="Arial" w:cs="Arial"/>
          <w:kern w:val="0"/>
          <w:lang w:eastAsia="en-GB"/>
          <w14:ligatures w14:val="none"/>
        </w:rPr>
      </w:pPr>
      <w:r w:rsidRPr="00986DFF">
        <w:rPr>
          <w:rFonts w:ascii="Arial" w:eastAsia="Times New Roman" w:hAnsi="Arial" w:cs="Arial"/>
          <w:kern w:val="0"/>
          <w:lang w:eastAsia="en-GB"/>
          <w14:ligatures w14:val="none"/>
        </w:rPr>
        <w:t xml:space="preserve">Social cognition models are key frameworks in health psychology, helping us understand how individuals adopt and maintain health-promoting behaviours. However, their effectiveness can vary across behavioural domains. This presentation </w:t>
      </w:r>
      <w:r w:rsidR="00A55EBD">
        <w:rPr>
          <w:rFonts w:ascii="Arial" w:eastAsia="Times New Roman" w:hAnsi="Arial" w:cs="Arial"/>
          <w:kern w:val="0"/>
          <w:lang w:eastAsia="en-GB"/>
          <w14:ligatures w14:val="none"/>
        </w:rPr>
        <w:t>assesses</w:t>
      </w:r>
      <w:r w:rsidRPr="00986DFF">
        <w:rPr>
          <w:rFonts w:ascii="Arial" w:eastAsia="Times New Roman" w:hAnsi="Arial" w:cs="Arial"/>
          <w:kern w:val="0"/>
          <w:lang w:eastAsia="en-GB"/>
          <w14:ligatures w14:val="none"/>
        </w:rPr>
        <w:t xml:space="preserve"> whether the Theory of Planned Behaviour (TPB) and the Transtheoretical Model (TTM) offer sufficient frameworks for understanding and influencing behaviours related to stress management and safe driving.</w:t>
      </w:r>
    </w:p>
    <w:p w14:paraId="21405418" w14:textId="591D5B53" w:rsidR="00E873C7" w:rsidRPr="00986DFF" w:rsidRDefault="00E873C7" w:rsidP="00E873C7">
      <w:pPr>
        <w:rPr>
          <w:rFonts w:ascii="Arial" w:eastAsia="Times New Roman" w:hAnsi="Arial" w:cs="Arial"/>
          <w:kern w:val="0"/>
          <w:lang w:eastAsia="en-GB"/>
          <w14:ligatures w14:val="none"/>
        </w:rPr>
      </w:pPr>
      <w:r w:rsidRPr="00986DFF">
        <w:rPr>
          <w:rFonts w:ascii="Arial" w:eastAsia="Times New Roman" w:hAnsi="Arial" w:cs="Arial"/>
          <w:kern w:val="0"/>
          <w:lang w:eastAsia="en-GB"/>
          <w14:ligatures w14:val="none"/>
        </w:rPr>
        <w:t>I will begin by outlining both models</w:t>
      </w:r>
      <w:r w:rsidR="001074AF">
        <w:rPr>
          <w:rFonts w:ascii="Arial" w:eastAsia="Times New Roman" w:hAnsi="Arial" w:cs="Arial"/>
          <w:kern w:val="0"/>
          <w:lang w:eastAsia="en-GB"/>
          <w14:ligatures w14:val="none"/>
        </w:rPr>
        <w:t xml:space="preserve"> and critically evaluating their application to stress management interventions. I will then examine their utility in promoting safe driving behaviours</w:t>
      </w:r>
      <w:r w:rsidRPr="00986DFF">
        <w:rPr>
          <w:rFonts w:ascii="Arial" w:eastAsia="Times New Roman" w:hAnsi="Arial" w:cs="Arial"/>
          <w:kern w:val="0"/>
          <w:lang w:eastAsia="en-GB"/>
          <w14:ligatures w14:val="none"/>
        </w:rPr>
        <w:t xml:space="preserve"> before concluding with a synthesis of their overall applicability.</w:t>
      </w:r>
    </w:p>
    <w:p w14:paraId="3BE6D4EA" w14:textId="5A89603F" w:rsidR="00E873C7" w:rsidRPr="00986DFF" w:rsidRDefault="00E873C7" w:rsidP="00E873C7">
      <w:pPr>
        <w:rPr>
          <w:rFonts w:ascii="Arial" w:eastAsia="Times New Roman" w:hAnsi="Arial" w:cs="Arial"/>
          <w:kern w:val="0"/>
          <w:lang w:eastAsia="en-GB"/>
          <w14:ligatures w14:val="none"/>
        </w:rPr>
      </w:pPr>
      <w:r w:rsidRPr="00986DFF">
        <w:rPr>
          <w:rFonts w:ascii="Arial" w:eastAsia="Times New Roman" w:hAnsi="Arial" w:cs="Arial"/>
          <w:kern w:val="0"/>
          <w:lang w:eastAsia="en-GB"/>
          <w14:ligatures w14:val="none"/>
        </w:rPr>
        <w:t xml:space="preserve">The Theory of Planned Behaviour, developed by Ajzen (1991), posits that behaviour is driven by intention, which is shaped by three components: attitude towards the behaviour, subjective norms (perceived social pressure), and perceived behavioural control. According to the TPB, individuals are more likely to engage in health-promoting behaviours when they hold positive attitudes, perceive social expectations, and believe they </w:t>
      </w:r>
      <w:r w:rsidR="00973C58">
        <w:rPr>
          <w:rFonts w:ascii="Arial" w:eastAsia="Times New Roman" w:hAnsi="Arial" w:cs="Arial"/>
          <w:kern w:val="0"/>
          <w:lang w:eastAsia="en-GB"/>
          <w14:ligatures w14:val="none"/>
        </w:rPr>
        <w:t>control</w:t>
      </w:r>
      <w:r w:rsidRPr="00986DFF">
        <w:rPr>
          <w:rFonts w:ascii="Arial" w:eastAsia="Times New Roman" w:hAnsi="Arial" w:cs="Arial"/>
          <w:kern w:val="0"/>
          <w:lang w:eastAsia="en-GB"/>
          <w14:ligatures w14:val="none"/>
        </w:rPr>
        <w:t xml:space="preserve"> the behaviour.</w:t>
      </w:r>
    </w:p>
    <w:p w14:paraId="2182F7B1" w14:textId="603BAE24" w:rsidR="00E873C7" w:rsidRPr="00986DFF" w:rsidRDefault="00E873C7" w:rsidP="00E873C7">
      <w:pPr>
        <w:rPr>
          <w:rFonts w:ascii="Arial" w:eastAsia="Times New Roman" w:hAnsi="Arial" w:cs="Arial"/>
          <w:kern w:val="0"/>
          <w:lang w:eastAsia="en-GB"/>
          <w14:ligatures w14:val="none"/>
        </w:rPr>
      </w:pPr>
      <w:r w:rsidRPr="00986DFF">
        <w:rPr>
          <w:rFonts w:ascii="Arial" w:eastAsia="Times New Roman" w:hAnsi="Arial" w:cs="Arial"/>
          <w:kern w:val="0"/>
          <w:lang w:eastAsia="en-GB"/>
          <w14:ligatures w14:val="none"/>
        </w:rPr>
        <w:t xml:space="preserve">Recent advancements have addressed some of the model’s limitations. For instance, Zhang et al.'s (2019) meta-analysis found that incorporating past behaviour and habit strength </w:t>
      </w:r>
      <w:r w:rsidRPr="00986DFF">
        <w:rPr>
          <w:rFonts w:ascii="Arial" w:eastAsia="Times New Roman" w:hAnsi="Arial" w:cs="Arial"/>
          <w:kern w:val="0"/>
          <w:lang w:eastAsia="en-GB"/>
          <w14:ligatures w14:val="none"/>
        </w:rPr>
        <w:lastRenderedPageBreak/>
        <w:t>significantly enhances the TPB’s predictive validity—an essential consideration for stress responses and driving, where automatic processes often dominate.</w:t>
      </w:r>
    </w:p>
    <w:p w14:paraId="3864FD3F" w14:textId="1173DA2A" w:rsidR="00E873C7" w:rsidRPr="00986DFF" w:rsidRDefault="00E873C7" w:rsidP="00E873C7">
      <w:pPr>
        <w:rPr>
          <w:rFonts w:ascii="Arial" w:eastAsia="Times New Roman" w:hAnsi="Arial" w:cs="Arial"/>
          <w:kern w:val="0"/>
          <w:lang w:eastAsia="en-GB"/>
          <w14:ligatures w14:val="none"/>
        </w:rPr>
      </w:pPr>
      <w:r w:rsidRPr="00986DFF">
        <w:rPr>
          <w:rFonts w:ascii="Arial" w:eastAsia="Times New Roman" w:hAnsi="Arial" w:cs="Arial"/>
          <w:kern w:val="0"/>
          <w:lang w:eastAsia="en-GB"/>
          <w14:ligatures w14:val="none"/>
        </w:rPr>
        <w:t xml:space="preserve">In contrast, the Transtheoretical Model, proposed by Prochaska and DiClemente (1983), views behavioural change as a dynamic process that unfolds across five stages: precontemplation, contemplation, preparation, action, and maintenance. Individuals move through these stages </w:t>
      </w:r>
      <w:r w:rsidR="00973C58">
        <w:rPr>
          <w:rFonts w:ascii="Arial" w:eastAsia="Times New Roman" w:hAnsi="Arial" w:cs="Arial"/>
          <w:kern w:val="0"/>
          <w:lang w:eastAsia="en-GB"/>
          <w14:ligatures w14:val="none"/>
        </w:rPr>
        <w:t>non-linearly</w:t>
      </w:r>
      <w:r w:rsidRPr="00986DFF">
        <w:rPr>
          <w:rFonts w:ascii="Arial" w:eastAsia="Times New Roman" w:hAnsi="Arial" w:cs="Arial"/>
          <w:kern w:val="0"/>
          <w:lang w:eastAsia="en-GB"/>
          <w14:ligatures w14:val="none"/>
        </w:rPr>
        <w:t>, often cycling back before achieving lasting change.</w:t>
      </w:r>
    </w:p>
    <w:p w14:paraId="1554195B" w14:textId="47DF82C6" w:rsidR="00E873C7" w:rsidRPr="00986DFF" w:rsidRDefault="00E873C7" w:rsidP="00E873C7">
      <w:pPr>
        <w:rPr>
          <w:rFonts w:ascii="Arial" w:eastAsia="Times New Roman" w:hAnsi="Arial" w:cs="Arial"/>
          <w:kern w:val="0"/>
          <w:lang w:eastAsia="en-GB"/>
          <w14:ligatures w14:val="none"/>
        </w:rPr>
      </w:pPr>
      <w:r w:rsidRPr="00986DFF">
        <w:rPr>
          <w:rFonts w:ascii="Arial" w:eastAsia="Times New Roman" w:hAnsi="Arial" w:cs="Arial"/>
          <w:kern w:val="0"/>
          <w:lang w:eastAsia="en-GB"/>
          <w14:ligatures w14:val="none"/>
        </w:rPr>
        <w:t xml:space="preserve">Prochaska et al. (2021) refined the model by identifying stage-specific </w:t>
      </w:r>
      <w:r w:rsidR="00973C58">
        <w:rPr>
          <w:rFonts w:ascii="Arial" w:eastAsia="Times New Roman" w:hAnsi="Arial" w:cs="Arial"/>
          <w:kern w:val="0"/>
          <w:lang w:eastAsia="en-GB"/>
          <w14:ligatures w14:val="none"/>
        </w:rPr>
        <w:t>change processes</w:t>
      </w:r>
      <w:r w:rsidRPr="00986DFF">
        <w:rPr>
          <w:rFonts w:ascii="Arial" w:eastAsia="Times New Roman" w:hAnsi="Arial" w:cs="Arial"/>
          <w:kern w:val="0"/>
          <w:lang w:eastAsia="en-GB"/>
          <w14:ligatures w14:val="none"/>
        </w:rPr>
        <w:t>. For example, consciousness-raising is particularly effective during early stages, whereas counterconditioning is more useful in later phases.</w:t>
      </w:r>
    </w:p>
    <w:p w14:paraId="565D65C4" w14:textId="45A4F332" w:rsidR="00E873C7" w:rsidRPr="00986DFF" w:rsidRDefault="00E873C7" w:rsidP="00E873C7">
      <w:pPr>
        <w:rPr>
          <w:rFonts w:ascii="Arial" w:eastAsia="Times New Roman" w:hAnsi="Arial" w:cs="Arial"/>
          <w:kern w:val="0"/>
          <w:lang w:eastAsia="en-GB"/>
          <w14:ligatures w14:val="none"/>
        </w:rPr>
      </w:pPr>
      <w:r w:rsidRPr="00986DFF">
        <w:rPr>
          <w:rFonts w:ascii="Arial" w:eastAsia="Times New Roman" w:hAnsi="Arial" w:cs="Arial"/>
          <w:kern w:val="0"/>
          <w:lang w:eastAsia="en-GB"/>
          <w14:ligatures w14:val="none"/>
        </w:rPr>
        <w:t xml:space="preserve">When applied to stress management, the TPB focuses on </w:t>
      </w:r>
      <w:r w:rsidR="00360EC1">
        <w:rPr>
          <w:rFonts w:ascii="Arial" w:eastAsia="Times New Roman" w:hAnsi="Arial" w:cs="Arial"/>
          <w:kern w:val="0"/>
          <w:lang w:eastAsia="en-GB"/>
          <w14:ligatures w14:val="none"/>
        </w:rPr>
        <w:t>rational decision-making when</w:t>
      </w:r>
      <w:r w:rsidRPr="00986DFF">
        <w:rPr>
          <w:rFonts w:ascii="Arial" w:eastAsia="Times New Roman" w:hAnsi="Arial" w:cs="Arial"/>
          <w:kern w:val="0"/>
          <w:lang w:eastAsia="en-GB"/>
          <w14:ligatures w14:val="none"/>
        </w:rPr>
        <w:t xml:space="preserve"> adopting stress-reduction techniques. Keyworth et al. (2020) found that interventions targeting perceived behavioural control </w:t>
      </w:r>
      <w:r w:rsidR="00973C58">
        <w:rPr>
          <w:rFonts w:ascii="Arial" w:eastAsia="Times New Roman" w:hAnsi="Arial" w:cs="Arial"/>
          <w:kern w:val="0"/>
          <w:lang w:eastAsia="en-GB"/>
          <w14:ligatures w14:val="none"/>
        </w:rPr>
        <w:t>particularly enhanced</w:t>
      </w:r>
      <w:r w:rsidRPr="00986DFF">
        <w:rPr>
          <w:rFonts w:ascii="Arial" w:eastAsia="Times New Roman" w:hAnsi="Arial" w:cs="Arial"/>
          <w:kern w:val="0"/>
          <w:lang w:eastAsia="en-GB"/>
          <w14:ligatures w14:val="none"/>
        </w:rPr>
        <w:t xml:space="preserve"> engagement. Nonetheless, several limitations persist. First, the TPB overlooks emotional factors central to stress responses. Second, the intention–behaviour gap is especially problematic in this context; individuals may intend to use stress-reduction strategies but fail to implement them during high-stress moments. Third, as Norman and Webb (2022) demonstrate, the assumption of rational processing often breaks down under acute stress, precisely when such techniques are most needed.</w:t>
      </w:r>
    </w:p>
    <w:p w14:paraId="5815E266" w14:textId="77777777" w:rsidR="00E873C7" w:rsidRPr="00986DFF" w:rsidRDefault="00E873C7" w:rsidP="00E873C7">
      <w:pPr>
        <w:rPr>
          <w:rFonts w:ascii="Arial" w:eastAsia="Times New Roman" w:hAnsi="Arial" w:cs="Arial"/>
          <w:kern w:val="0"/>
          <w:lang w:eastAsia="en-GB"/>
          <w14:ligatures w14:val="none"/>
        </w:rPr>
      </w:pPr>
      <w:r w:rsidRPr="00986DFF">
        <w:rPr>
          <w:rFonts w:ascii="Arial" w:eastAsia="Times New Roman" w:hAnsi="Arial" w:cs="Arial"/>
          <w:kern w:val="0"/>
          <w:lang w:eastAsia="en-GB"/>
          <w14:ligatures w14:val="none"/>
        </w:rPr>
        <w:t xml:space="preserve">By comparison, the TTM provides notable advantages for stress management. Its stage-based structure acknowledges that adopting stress-reduction behaviours is a gradual process. Bernard et al. (2020) showed that stage-matched interventions outperformed generic ones, particularly in contexts where readiness to change varies significantly. TTM also supports tailored interventions. For instance, Arroyo et al. (2021) implemented a stage-based programme for healthcare professionals and observed greater adherence and reduced stress relative to a control group. Likewise, Kim and Lee (2023) applied the TTM to university </w:t>
      </w:r>
      <w:r w:rsidRPr="00986DFF">
        <w:rPr>
          <w:rFonts w:ascii="Arial" w:eastAsia="Times New Roman" w:hAnsi="Arial" w:cs="Arial"/>
          <w:kern w:val="0"/>
          <w:lang w:eastAsia="en-GB"/>
          <w14:ligatures w14:val="none"/>
        </w:rPr>
        <w:lastRenderedPageBreak/>
        <w:t>students and found that increased mindfulness practice was significantly associated with those in the action and maintenance stages.</w:t>
      </w:r>
    </w:p>
    <w:p w14:paraId="5A9B46DC" w14:textId="77777777" w:rsidR="00E873C7" w:rsidRPr="00986DFF" w:rsidRDefault="00E873C7" w:rsidP="00E873C7">
      <w:pPr>
        <w:rPr>
          <w:rFonts w:ascii="Arial" w:eastAsia="Times New Roman" w:hAnsi="Arial" w:cs="Arial"/>
          <w:kern w:val="0"/>
          <w:lang w:eastAsia="en-GB"/>
          <w14:ligatures w14:val="none"/>
        </w:rPr>
      </w:pPr>
      <w:r w:rsidRPr="00986DFF">
        <w:rPr>
          <w:rFonts w:ascii="Arial" w:eastAsia="Times New Roman" w:hAnsi="Arial" w:cs="Arial"/>
          <w:kern w:val="0"/>
          <w:lang w:eastAsia="en-GB"/>
          <w14:ligatures w14:val="none"/>
        </w:rPr>
        <w:t>Nevertheless, limitations remain. David and Smith (2021) questioned the TTM’s use of rigid timeframes, noting that transitions between stages for stress management occurred more rapidly than expected. Romain et al.'s (2018) meta-analysis also raised doubts about whether stage-based tailoring yields superior outcomes. Sutton (2005), followed by Lippke et al. (2019), highlighted that the model’s predictive power is limited and may oversimplify the complexity of behaviour change.</w:t>
      </w:r>
    </w:p>
    <w:p w14:paraId="11FA3DAB" w14:textId="77777777" w:rsidR="00E873C7" w:rsidRPr="00986DFF" w:rsidRDefault="00E873C7" w:rsidP="00E873C7">
      <w:pPr>
        <w:rPr>
          <w:rFonts w:ascii="Arial" w:eastAsia="Times New Roman" w:hAnsi="Arial" w:cs="Arial"/>
          <w:kern w:val="0"/>
          <w:lang w:eastAsia="en-GB"/>
          <w14:ligatures w14:val="none"/>
        </w:rPr>
      </w:pPr>
      <w:r w:rsidRPr="00986DFF">
        <w:rPr>
          <w:rFonts w:ascii="Arial" w:eastAsia="Times New Roman" w:hAnsi="Arial" w:cs="Arial"/>
          <w:kern w:val="0"/>
          <w:lang w:eastAsia="en-GB"/>
          <w14:ligatures w14:val="none"/>
        </w:rPr>
        <w:t>Despite this, the TTM’s strength lies in its capacity to individualise intervention. It accounts for readiness, self-efficacy, and relapse factors critical for sustained behavioural change in stress management.</w:t>
      </w:r>
    </w:p>
    <w:p w14:paraId="481C7122" w14:textId="77777777" w:rsidR="00E873C7" w:rsidRPr="00986DFF" w:rsidRDefault="00E873C7" w:rsidP="00E873C7">
      <w:pPr>
        <w:rPr>
          <w:rFonts w:ascii="Arial" w:eastAsia="Times New Roman" w:hAnsi="Arial" w:cs="Arial"/>
          <w:kern w:val="0"/>
          <w:lang w:eastAsia="en-GB"/>
          <w14:ligatures w14:val="none"/>
        </w:rPr>
      </w:pPr>
      <w:r w:rsidRPr="00986DFF">
        <w:rPr>
          <w:rFonts w:ascii="Arial" w:eastAsia="Times New Roman" w:hAnsi="Arial" w:cs="Arial"/>
          <w:kern w:val="0"/>
          <w:lang w:eastAsia="en-GB"/>
          <w14:ligatures w14:val="none"/>
        </w:rPr>
        <w:t>Turning to safe driving, the TPB is particularly useful in understanding deliberate violations of road safety rules. Scott-Parker and Oviedo-Trespalacios (2022) found that attitudes and subjective norms predicted up to 67% of the variance in young drivers’ intentions to engage in risky behaviour. Similarly, González et al. (2022) found that subjective norms had a significant influence on seatbelt use.</w:t>
      </w:r>
    </w:p>
    <w:p w14:paraId="062CFF0B" w14:textId="77777777" w:rsidR="00E873C7" w:rsidRPr="00986DFF" w:rsidRDefault="00E873C7" w:rsidP="00E873C7">
      <w:pPr>
        <w:rPr>
          <w:rFonts w:ascii="Arial" w:eastAsia="Times New Roman" w:hAnsi="Arial" w:cs="Arial"/>
          <w:kern w:val="0"/>
          <w:lang w:eastAsia="en-GB"/>
          <w14:ligatures w14:val="none"/>
        </w:rPr>
      </w:pPr>
      <w:r w:rsidRPr="00986DFF">
        <w:rPr>
          <w:rFonts w:ascii="Arial" w:eastAsia="Times New Roman" w:hAnsi="Arial" w:cs="Arial"/>
          <w:kern w:val="0"/>
          <w:lang w:eastAsia="en-GB"/>
          <w14:ligatures w14:val="none"/>
        </w:rPr>
        <w:t>Zhou et al. (2020) applied the TPB to mobile phone use while driving, finding that the model accounted for 39% of the variance in intention, with perceived behavioural control emerging as the strongest predictor.</w:t>
      </w:r>
    </w:p>
    <w:p w14:paraId="07410CBC" w14:textId="77777777" w:rsidR="00E873C7" w:rsidRPr="00986DFF" w:rsidRDefault="00E873C7" w:rsidP="00E873C7">
      <w:pPr>
        <w:rPr>
          <w:rFonts w:ascii="Arial" w:eastAsia="Times New Roman" w:hAnsi="Arial" w:cs="Arial"/>
          <w:kern w:val="0"/>
          <w:lang w:eastAsia="en-GB"/>
          <w14:ligatures w14:val="none"/>
        </w:rPr>
      </w:pPr>
      <w:r w:rsidRPr="00986DFF">
        <w:rPr>
          <w:rFonts w:ascii="Arial" w:eastAsia="Times New Roman" w:hAnsi="Arial" w:cs="Arial"/>
          <w:kern w:val="0"/>
          <w:lang w:eastAsia="en-GB"/>
          <w14:ligatures w14:val="none"/>
        </w:rPr>
        <w:t>These findings suggest that the TPB effectively targets the cognitive determinants underlying intentional risky driving behaviours.</w:t>
      </w:r>
    </w:p>
    <w:p w14:paraId="65924390" w14:textId="77777777" w:rsidR="00E873C7" w:rsidRPr="00986DFF" w:rsidRDefault="00E873C7" w:rsidP="00E873C7">
      <w:pPr>
        <w:rPr>
          <w:rFonts w:ascii="Arial" w:eastAsia="Times New Roman" w:hAnsi="Arial" w:cs="Arial"/>
          <w:kern w:val="0"/>
          <w:lang w:eastAsia="en-GB"/>
          <w14:ligatures w14:val="none"/>
        </w:rPr>
      </w:pPr>
      <w:r w:rsidRPr="00986DFF">
        <w:rPr>
          <w:rFonts w:ascii="Arial" w:eastAsia="Times New Roman" w:hAnsi="Arial" w:cs="Arial"/>
          <w:kern w:val="0"/>
          <w:lang w:eastAsia="en-GB"/>
          <w14:ligatures w14:val="none"/>
        </w:rPr>
        <w:t xml:space="preserve">However, it faces key limitations. Crespo-Ruiz et al.'s (2021) systematic review highlighted a pronounced intention–behaviour gap in speeding, where situational factors often override intentions. The model also fails to adequately address habitual or automatic aspects of driving, as noted in Chen and Wu's (2020) study on routine traffic violations. Moreover, Ferrer et al. (2019) found that emotional states, such as anxiety, heavily influence driving </w:t>
      </w:r>
      <w:r w:rsidRPr="00986DFF">
        <w:rPr>
          <w:rFonts w:ascii="Arial" w:eastAsia="Times New Roman" w:hAnsi="Arial" w:cs="Arial"/>
          <w:kern w:val="0"/>
          <w:lang w:eastAsia="en-GB"/>
          <w14:ligatures w14:val="none"/>
        </w:rPr>
        <w:lastRenderedPageBreak/>
        <w:t>decisions, which the TPB does not address. Nevertheless, the model excels in clarity, operationalisability, and predictive validity where intentions are central.</w:t>
      </w:r>
    </w:p>
    <w:p w14:paraId="3736DF27" w14:textId="7737F20E" w:rsidR="00E873C7" w:rsidRPr="00986DFF" w:rsidRDefault="00E873C7" w:rsidP="00E873C7">
      <w:pPr>
        <w:rPr>
          <w:rFonts w:ascii="Arial" w:eastAsia="Times New Roman" w:hAnsi="Arial" w:cs="Arial"/>
          <w:kern w:val="0"/>
          <w:lang w:eastAsia="en-GB"/>
          <w14:ligatures w14:val="none"/>
        </w:rPr>
      </w:pPr>
      <w:r w:rsidRPr="00986DFF">
        <w:rPr>
          <w:rFonts w:ascii="Arial" w:eastAsia="Times New Roman" w:hAnsi="Arial" w:cs="Arial"/>
          <w:kern w:val="0"/>
          <w:lang w:eastAsia="en-GB"/>
          <w14:ligatures w14:val="none"/>
        </w:rPr>
        <w:t xml:space="preserve">The TTM also </w:t>
      </w:r>
      <w:r w:rsidR="00973C58">
        <w:rPr>
          <w:rFonts w:ascii="Arial" w:eastAsia="Times New Roman" w:hAnsi="Arial" w:cs="Arial"/>
          <w:kern w:val="0"/>
          <w:lang w:eastAsia="en-GB"/>
          <w14:ligatures w14:val="none"/>
        </w:rPr>
        <w:t>meaningfully contributes</w:t>
      </w:r>
      <w:r w:rsidRPr="00986DFF">
        <w:rPr>
          <w:rFonts w:ascii="Arial" w:eastAsia="Times New Roman" w:hAnsi="Arial" w:cs="Arial"/>
          <w:kern w:val="0"/>
          <w:lang w:eastAsia="en-GB"/>
          <w14:ligatures w14:val="none"/>
        </w:rPr>
        <w:t xml:space="preserve"> to safe driving interventions. Shen et al.'s (2022) review revealed that stage-based mobile interventions significantly outperformed generic approaches in reducing mobile phone use while driving.</w:t>
      </w:r>
    </w:p>
    <w:p w14:paraId="4F1BADF7" w14:textId="77777777" w:rsidR="00E873C7" w:rsidRPr="00986DFF" w:rsidRDefault="00E873C7" w:rsidP="00E873C7">
      <w:pPr>
        <w:rPr>
          <w:rFonts w:ascii="Arial" w:eastAsia="Times New Roman" w:hAnsi="Arial" w:cs="Arial"/>
          <w:kern w:val="0"/>
          <w:lang w:eastAsia="en-GB"/>
          <w14:ligatures w14:val="none"/>
        </w:rPr>
      </w:pPr>
      <w:r w:rsidRPr="00986DFF">
        <w:rPr>
          <w:rFonts w:ascii="Arial" w:eastAsia="Times New Roman" w:hAnsi="Arial" w:cs="Arial"/>
          <w:kern w:val="0"/>
          <w:lang w:eastAsia="en-GB"/>
          <w14:ligatures w14:val="none"/>
        </w:rPr>
        <w:t>Yet, applying the TTM to driving is not without challenges. Li et al. (2021) found that behavioural transitions in driving were often prompted by external triggers (e.g., near misses or fines) rather than internal cognitive processes. Zhou and Wang (2023) further questioned the validity of discrete stages in capturing the more fluid and continuous nature of behavioural change in driving contexts.</w:t>
      </w:r>
    </w:p>
    <w:p w14:paraId="73EDAB8D" w14:textId="4E576AD9" w:rsidR="00E873C7" w:rsidRPr="00986DFF" w:rsidRDefault="00E873C7" w:rsidP="00E873C7">
      <w:pPr>
        <w:rPr>
          <w:rFonts w:ascii="Arial" w:eastAsia="Times New Roman" w:hAnsi="Arial" w:cs="Arial"/>
          <w:kern w:val="0"/>
          <w:lang w:eastAsia="en-GB"/>
          <w14:ligatures w14:val="none"/>
        </w:rPr>
      </w:pPr>
      <w:r w:rsidRPr="00986DFF">
        <w:rPr>
          <w:rFonts w:ascii="Arial" w:eastAsia="Times New Roman" w:hAnsi="Arial" w:cs="Arial"/>
          <w:kern w:val="0"/>
          <w:lang w:eastAsia="en-GB"/>
          <w14:ligatures w14:val="none"/>
        </w:rPr>
        <w:t xml:space="preserve">In conclusion, the Theory of Planned Behaviour and the Transtheoretical Model offer valuable, </w:t>
      </w:r>
      <w:r w:rsidR="007562BB">
        <w:rPr>
          <w:rFonts w:ascii="Arial" w:eastAsia="Times New Roman" w:hAnsi="Arial" w:cs="Arial"/>
          <w:kern w:val="0"/>
          <w:lang w:eastAsia="en-GB"/>
          <w14:ligatures w14:val="none"/>
        </w:rPr>
        <w:t xml:space="preserve">though </w:t>
      </w:r>
      <w:r w:rsidRPr="00986DFF">
        <w:rPr>
          <w:rFonts w:ascii="Arial" w:eastAsia="Times New Roman" w:hAnsi="Arial" w:cs="Arial"/>
          <w:kern w:val="0"/>
          <w:lang w:eastAsia="en-GB"/>
          <w14:ligatures w14:val="none"/>
        </w:rPr>
        <w:t>incomplete</w:t>
      </w:r>
      <w:r w:rsidR="00E45CC3">
        <w:rPr>
          <w:rFonts w:ascii="Arial" w:eastAsia="Times New Roman" w:hAnsi="Arial" w:cs="Arial"/>
          <w:kern w:val="0"/>
          <w:lang w:eastAsia="en-GB"/>
          <w14:ligatures w14:val="none"/>
        </w:rPr>
        <w:t>,</w:t>
      </w:r>
      <w:r w:rsidRPr="00986DFF">
        <w:rPr>
          <w:rFonts w:ascii="Arial" w:eastAsia="Times New Roman" w:hAnsi="Arial" w:cs="Arial"/>
          <w:kern w:val="0"/>
          <w:lang w:eastAsia="en-GB"/>
          <w14:ligatures w14:val="none"/>
        </w:rPr>
        <w:t xml:space="preserve"> frameworks for promoting healthy behavioural change in stress management and safe driving. The TPB provides a robust, measurable model for intention-driven behaviour, yet struggles with emotional and automatic influences. The TTM accommodates the fluctuating and staged nature of behaviour change but is limited by concerns about stage validity and transition mechanisms.</w:t>
      </w:r>
    </w:p>
    <w:p w14:paraId="7FDB43B8" w14:textId="77777777" w:rsidR="00E873C7" w:rsidRPr="00986DFF" w:rsidRDefault="00E873C7" w:rsidP="00E873C7">
      <w:pPr>
        <w:rPr>
          <w:rFonts w:ascii="Arial" w:eastAsia="Times New Roman" w:hAnsi="Arial" w:cs="Arial"/>
          <w:kern w:val="0"/>
          <w:lang w:eastAsia="en-GB"/>
          <w14:ligatures w14:val="none"/>
        </w:rPr>
      </w:pPr>
      <w:r w:rsidRPr="00986DFF">
        <w:rPr>
          <w:rFonts w:ascii="Arial" w:eastAsia="Times New Roman" w:hAnsi="Arial" w:cs="Arial"/>
          <w:kern w:val="0"/>
          <w:lang w:eastAsia="en-GB"/>
          <w14:ligatures w14:val="none"/>
        </w:rPr>
        <w:t>An integrated approach may be most effective. Combining the TPB’s cognitive focus with the TTM’s process-oriented structure may offer a more comprehensive strategy. Hagger and Hamilton (2023) support this, suggesting hybrid models offer greater practical utility than either framework alone.</w:t>
      </w:r>
    </w:p>
    <w:p w14:paraId="19C1E1A8" w14:textId="7A9A6BD3" w:rsidR="00E873C7" w:rsidRPr="00986DFF" w:rsidRDefault="00973C58" w:rsidP="00E873C7">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These insights suggest the importance of moving beyond single-model approaches for practitioners</w:t>
      </w:r>
      <w:r w:rsidR="00E873C7" w:rsidRPr="00986DFF">
        <w:rPr>
          <w:rFonts w:ascii="Arial" w:eastAsia="Times New Roman" w:hAnsi="Arial" w:cs="Arial"/>
          <w:kern w:val="0"/>
          <w:lang w:eastAsia="en-GB"/>
          <w14:ligatures w14:val="none"/>
        </w:rPr>
        <w:t>. Health psychologists should adopt flexible, context-sensitive strategies informed by multiple theories and individual variability. Future research should focus on validating integrated models, particularly in complex domains such as stress and driving, where reflective and automatic processes are at play.</w:t>
      </w:r>
    </w:p>
    <w:p w14:paraId="4E7C6078" w14:textId="227E7A71" w:rsidR="00AA3143" w:rsidRPr="00986DFF" w:rsidRDefault="00E873C7" w:rsidP="00986DFF">
      <w:pPr>
        <w:rPr>
          <w:rFonts w:ascii="Arial" w:eastAsia="Times New Roman" w:hAnsi="Arial" w:cs="Arial"/>
          <w:kern w:val="0"/>
          <w:lang w:eastAsia="en-GB"/>
          <w14:ligatures w14:val="none"/>
        </w:rPr>
      </w:pPr>
      <w:r w:rsidRPr="00986DFF">
        <w:rPr>
          <w:rFonts w:ascii="Arial" w:eastAsia="Times New Roman" w:hAnsi="Arial" w:cs="Arial"/>
          <w:kern w:val="0"/>
          <w:lang w:eastAsia="en-GB"/>
          <w14:ligatures w14:val="none"/>
        </w:rPr>
        <w:t>Thank you for your attention.</w:t>
      </w:r>
    </w:p>
    <w:p w14:paraId="292CE727" w14:textId="77777777" w:rsidR="006E3E69" w:rsidRPr="00986DFF" w:rsidRDefault="006E3E69" w:rsidP="006E3E69">
      <w:pPr>
        <w:ind w:firstLine="0"/>
        <w:rPr>
          <w:rFonts w:ascii="Arial" w:eastAsia="Times New Roman" w:hAnsi="Arial" w:cs="Arial"/>
          <w:kern w:val="0"/>
          <w:lang w:eastAsia="en-GB"/>
          <w14:ligatures w14:val="none"/>
        </w:rPr>
      </w:pPr>
    </w:p>
    <w:p w14:paraId="262FF681" w14:textId="77777777" w:rsidR="00E45CC3" w:rsidRPr="00E45CC3" w:rsidRDefault="00E45CC3" w:rsidP="00E45CC3">
      <w:pPr>
        <w:ind w:left="720" w:hanging="720"/>
        <w:jc w:val="center"/>
        <w:rPr>
          <w:rFonts w:ascii="Arial" w:hAnsi="Arial" w:cs="Arial"/>
        </w:rPr>
      </w:pPr>
      <w:r w:rsidRPr="00E45CC3">
        <w:rPr>
          <w:rFonts w:ascii="Arial" w:hAnsi="Arial" w:cs="Arial"/>
          <w:b/>
          <w:bCs/>
        </w:rPr>
        <w:t>References</w:t>
      </w:r>
    </w:p>
    <w:p w14:paraId="1910836A" w14:textId="77777777" w:rsidR="00E45CC3" w:rsidRPr="00E45CC3" w:rsidRDefault="00E45CC3" w:rsidP="00E45CC3">
      <w:pPr>
        <w:ind w:left="720" w:hanging="720"/>
        <w:jc w:val="left"/>
        <w:rPr>
          <w:rFonts w:ascii="Arial" w:hAnsi="Arial" w:cs="Arial"/>
        </w:rPr>
      </w:pPr>
      <w:r w:rsidRPr="00E45CC3">
        <w:rPr>
          <w:rFonts w:ascii="Arial" w:hAnsi="Arial" w:cs="Arial"/>
        </w:rPr>
        <w:t xml:space="preserve">Ajzen, I. (1991). The theory of planned behavior. </w:t>
      </w:r>
      <w:r w:rsidRPr="00E45CC3">
        <w:rPr>
          <w:rFonts w:ascii="Arial" w:hAnsi="Arial" w:cs="Arial"/>
          <w:i/>
          <w:iCs/>
        </w:rPr>
        <w:t>Organizational Behavior and Human Decision Processes, 50</w:t>
      </w:r>
      <w:r w:rsidRPr="00E45CC3">
        <w:rPr>
          <w:rFonts w:ascii="Arial" w:hAnsi="Arial" w:cs="Arial"/>
        </w:rPr>
        <w:t>(2), 179–211. https://doi.org/10.1016/0749-5978(91)90020-T</w:t>
      </w:r>
    </w:p>
    <w:p w14:paraId="298E371A" w14:textId="77777777" w:rsidR="00E45CC3" w:rsidRPr="00E45CC3" w:rsidRDefault="00E45CC3" w:rsidP="00E45CC3">
      <w:pPr>
        <w:ind w:left="720" w:hanging="720"/>
        <w:jc w:val="left"/>
        <w:rPr>
          <w:rFonts w:ascii="Arial" w:hAnsi="Arial" w:cs="Arial"/>
        </w:rPr>
      </w:pPr>
      <w:r w:rsidRPr="00E45CC3">
        <w:rPr>
          <w:rFonts w:ascii="Arial" w:hAnsi="Arial" w:cs="Arial"/>
          <w:lang w:val="es-ES"/>
        </w:rPr>
        <w:t xml:space="preserve">Arroyo, J., Díaz, D., &amp; Vázquez, C. (2021). </w:t>
      </w:r>
      <w:r w:rsidRPr="00E45CC3">
        <w:rPr>
          <w:rFonts w:ascii="Arial" w:hAnsi="Arial" w:cs="Arial"/>
        </w:rPr>
        <w:t xml:space="preserve">A stage-based stress management program for healthcare professionals: A quasi-experimental study. </w:t>
      </w:r>
      <w:r w:rsidRPr="00E45CC3">
        <w:rPr>
          <w:rFonts w:ascii="Arial" w:hAnsi="Arial" w:cs="Arial"/>
          <w:i/>
          <w:iCs/>
        </w:rPr>
        <w:t>Journal of Occupational Health Psychology, 26</w:t>
      </w:r>
      <w:r w:rsidRPr="00E45CC3">
        <w:rPr>
          <w:rFonts w:ascii="Arial" w:hAnsi="Arial" w:cs="Arial"/>
        </w:rPr>
        <w:t>(1), 79–90. https://doi.org/10.1037/ocp0000270</w:t>
      </w:r>
    </w:p>
    <w:p w14:paraId="4FE49FC2" w14:textId="77777777" w:rsidR="00E45CC3" w:rsidRPr="00E45CC3" w:rsidRDefault="00E45CC3" w:rsidP="00E45CC3">
      <w:pPr>
        <w:ind w:left="720" w:hanging="720"/>
        <w:jc w:val="left"/>
        <w:rPr>
          <w:rFonts w:ascii="Arial" w:hAnsi="Arial" w:cs="Arial"/>
        </w:rPr>
      </w:pPr>
      <w:r w:rsidRPr="00E45CC3">
        <w:rPr>
          <w:rFonts w:ascii="Arial" w:hAnsi="Arial" w:cs="Arial"/>
        </w:rPr>
        <w:t xml:space="preserve">Bernard, P., Romain, A. J., &amp; Vancampfort, D. (2020). Tailoring interventions to stages of change for stress management: A meta-analytic review. </w:t>
      </w:r>
      <w:r w:rsidRPr="00E45CC3">
        <w:rPr>
          <w:rFonts w:ascii="Arial" w:hAnsi="Arial" w:cs="Arial"/>
          <w:i/>
          <w:iCs/>
        </w:rPr>
        <w:t>Health Psychology Review, 14</w:t>
      </w:r>
      <w:r w:rsidRPr="00E45CC3">
        <w:rPr>
          <w:rFonts w:ascii="Arial" w:hAnsi="Arial" w:cs="Arial"/>
        </w:rPr>
        <w:t>(1), 1–19. https://doi.org/10.1080/17437199.2019.1604476</w:t>
      </w:r>
    </w:p>
    <w:p w14:paraId="10D1C1FA" w14:textId="77777777" w:rsidR="00E45CC3" w:rsidRPr="00E45CC3" w:rsidRDefault="00E45CC3" w:rsidP="00E45CC3">
      <w:pPr>
        <w:ind w:left="720" w:hanging="720"/>
        <w:jc w:val="left"/>
        <w:rPr>
          <w:rFonts w:ascii="Arial" w:hAnsi="Arial" w:cs="Arial"/>
        </w:rPr>
      </w:pPr>
      <w:r w:rsidRPr="00E45CC3">
        <w:rPr>
          <w:rFonts w:ascii="Arial" w:hAnsi="Arial" w:cs="Arial"/>
        </w:rPr>
        <w:t xml:space="preserve">Chen, J., &amp; Wu, Y. (2020). Habitual driving violations and the limitations of rational models: Evidence from naturalistic driving data. </w:t>
      </w:r>
      <w:r w:rsidRPr="00E45CC3">
        <w:rPr>
          <w:rFonts w:ascii="Arial" w:hAnsi="Arial" w:cs="Arial"/>
          <w:i/>
          <w:iCs/>
        </w:rPr>
        <w:t>Transportation Research Part F: Traffic Psychology and Behaviour, 71</w:t>
      </w:r>
      <w:r w:rsidRPr="00E45CC3">
        <w:rPr>
          <w:rFonts w:ascii="Arial" w:hAnsi="Arial" w:cs="Arial"/>
        </w:rPr>
        <w:t>, 324–333. https://doi.org/10.1016/j.trf.2020.04.006</w:t>
      </w:r>
    </w:p>
    <w:p w14:paraId="5A0B47E5" w14:textId="77777777" w:rsidR="00E45CC3" w:rsidRPr="00E45CC3" w:rsidRDefault="00E45CC3" w:rsidP="00E45CC3">
      <w:pPr>
        <w:ind w:left="720" w:hanging="720"/>
        <w:jc w:val="left"/>
        <w:rPr>
          <w:rFonts w:ascii="Arial" w:hAnsi="Arial" w:cs="Arial"/>
        </w:rPr>
      </w:pPr>
      <w:r w:rsidRPr="00E45CC3">
        <w:rPr>
          <w:rFonts w:ascii="Arial" w:hAnsi="Arial" w:cs="Arial"/>
          <w:lang w:val="es-ES"/>
        </w:rPr>
        <w:t xml:space="preserve">Crespo-Ruiz, C., Fernández-Pérez, C., &amp; García-García, J. (2021). </w:t>
      </w:r>
      <w:r w:rsidRPr="00E45CC3">
        <w:rPr>
          <w:rFonts w:ascii="Arial" w:hAnsi="Arial" w:cs="Arial"/>
        </w:rPr>
        <w:t xml:space="preserve">Understanding the intention–behaviour gap in speeding: A systematic review of the theory of planned behaviour. </w:t>
      </w:r>
      <w:r w:rsidRPr="00E45CC3">
        <w:rPr>
          <w:rFonts w:ascii="Arial" w:hAnsi="Arial" w:cs="Arial"/>
          <w:i/>
          <w:iCs/>
        </w:rPr>
        <w:t>Accident Analysis &amp; Prevention, 150</w:t>
      </w:r>
      <w:r w:rsidRPr="00E45CC3">
        <w:rPr>
          <w:rFonts w:ascii="Arial" w:hAnsi="Arial" w:cs="Arial"/>
        </w:rPr>
        <w:t>, 105921. https://doi.org/10.1016/j.aap.2021.105921</w:t>
      </w:r>
    </w:p>
    <w:p w14:paraId="7DD1FF3E" w14:textId="77777777" w:rsidR="00E45CC3" w:rsidRPr="00E45CC3" w:rsidRDefault="00E45CC3" w:rsidP="00E45CC3">
      <w:pPr>
        <w:ind w:left="720" w:hanging="720"/>
        <w:jc w:val="left"/>
        <w:rPr>
          <w:rFonts w:ascii="Arial" w:hAnsi="Arial" w:cs="Arial"/>
        </w:rPr>
      </w:pPr>
      <w:r w:rsidRPr="00E45CC3">
        <w:rPr>
          <w:rFonts w:ascii="Arial" w:hAnsi="Arial" w:cs="Arial"/>
        </w:rPr>
        <w:t xml:space="preserve">David, M., &amp; Smith, L. (2021). Temporal limitations of stage-based models for rapid stress management interventions. </w:t>
      </w:r>
      <w:r w:rsidRPr="00E45CC3">
        <w:rPr>
          <w:rFonts w:ascii="Arial" w:hAnsi="Arial" w:cs="Arial"/>
          <w:i/>
          <w:iCs/>
        </w:rPr>
        <w:t>Psychological Reports, 124</w:t>
      </w:r>
      <w:r w:rsidRPr="00E45CC3">
        <w:rPr>
          <w:rFonts w:ascii="Arial" w:hAnsi="Arial" w:cs="Arial"/>
        </w:rPr>
        <w:t>(6), 2567–2584. https://doi.org/10.1177/0033294120976237</w:t>
      </w:r>
    </w:p>
    <w:p w14:paraId="7C39F2AB" w14:textId="77777777" w:rsidR="00E45CC3" w:rsidRPr="00E45CC3" w:rsidRDefault="00E45CC3" w:rsidP="00E45CC3">
      <w:pPr>
        <w:ind w:left="720" w:hanging="720"/>
        <w:jc w:val="left"/>
        <w:rPr>
          <w:rFonts w:ascii="Arial" w:hAnsi="Arial" w:cs="Arial"/>
        </w:rPr>
      </w:pPr>
      <w:r w:rsidRPr="00E45CC3">
        <w:rPr>
          <w:rFonts w:ascii="Arial" w:hAnsi="Arial" w:cs="Arial"/>
        </w:rPr>
        <w:t xml:space="preserve">Ferrer, R. A., Klein, W. M. P., &amp; Graff, K. (2019). Emotion and health decision making: Extending the theory of planned behavior. </w:t>
      </w:r>
      <w:r w:rsidRPr="00E45CC3">
        <w:rPr>
          <w:rFonts w:ascii="Arial" w:hAnsi="Arial" w:cs="Arial"/>
          <w:i/>
          <w:iCs/>
        </w:rPr>
        <w:t>Health Psychology, 38</w:t>
      </w:r>
      <w:r w:rsidRPr="00E45CC3">
        <w:rPr>
          <w:rFonts w:ascii="Arial" w:hAnsi="Arial" w:cs="Arial"/>
        </w:rPr>
        <w:t>(8), 659–667. https://doi.org/10.1037/hea0000733</w:t>
      </w:r>
    </w:p>
    <w:p w14:paraId="561F81C8" w14:textId="77777777" w:rsidR="00E45CC3" w:rsidRPr="00E45CC3" w:rsidRDefault="00E45CC3" w:rsidP="00E45CC3">
      <w:pPr>
        <w:ind w:left="720" w:hanging="720"/>
        <w:jc w:val="left"/>
        <w:rPr>
          <w:rFonts w:ascii="Arial" w:hAnsi="Arial" w:cs="Arial"/>
        </w:rPr>
      </w:pPr>
      <w:r w:rsidRPr="00CB2DFC">
        <w:rPr>
          <w:rFonts w:ascii="Arial" w:hAnsi="Arial" w:cs="Arial"/>
          <w:lang w:val="es-ES"/>
        </w:rPr>
        <w:lastRenderedPageBreak/>
        <w:t xml:space="preserve">González, F., Díaz, E. M., &amp; Martín, C. (2022). </w:t>
      </w:r>
      <w:r w:rsidRPr="00E45CC3">
        <w:rPr>
          <w:rFonts w:ascii="Arial" w:hAnsi="Arial" w:cs="Arial"/>
        </w:rPr>
        <w:t xml:space="preserve">The role of subjective norms in seatbelt use among adolescents: An application of the TPB. </w:t>
      </w:r>
      <w:r w:rsidRPr="00E45CC3">
        <w:rPr>
          <w:rFonts w:ascii="Arial" w:hAnsi="Arial" w:cs="Arial"/>
          <w:i/>
          <w:iCs/>
        </w:rPr>
        <w:t>Journal of Adolescent Health, 70</w:t>
      </w:r>
      <w:r w:rsidRPr="00E45CC3">
        <w:rPr>
          <w:rFonts w:ascii="Arial" w:hAnsi="Arial" w:cs="Arial"/>
        </w:rPr>
        <w:t>(4), 520–526. https://doi.org/10.1016/j.jadohealth.2021.11.001</w:t>
      </w:r>
    </w:p>
    <w:p w14:paraId="11C2B2A5" w14:textId="77777777" w:rsidR="00E45CC3" w:rsidRPr="00E45CC3" w:rsidRDefault="00E45CC3" w:rsidP="00E45CC3">
      <w:pPr>
        <w:ind w:left="720" w:hanging="720"/>
        <w:jc w:val="left"/>
        <w:rPr>
          <w:rFonts w:ascii="Arial" w:hAnsi="Arial" w:cs="Arial"/>
        </w:rPr>
      </w:pPr>
      <w:r w:rsidRPr="00E45CC3">
        <w:rPr>
          <w:rFonts w:ascii="Arial" w:hAnsi="Arial" w:cs="Arial"/>
        </w:rPr>
        <w:t xml:space="preserve">Hagger, M. S., &amp; Hamilton, K. (2023). Integrating theories of behaviour change to enhance intervention effectiveness: The hybrid model perspective. </w:t>
      </w:r>
      <w:r w:rsidRPr="00E45CC3">
        <w:rPr>
          <w:rFonts w:ascii="Arial" w:hAnsi="Arial" w:cs="Arial"/>
          <w:i/>
          <w:iCs/>
        </w:rPr>
        <w:t>Health Psychology Review, 17</w:t>
      </w:r>
      <w:r w:rsidRPr="00E45CC3">
        <w:rPr>
          <w:rFonts w:ascii="Arial" w:hAnsi="Arial" w:cs="Arial"/>
        </w:rPr>
        <w:t>(1), 1–19. https://doi.org/10.1080/17437199.2022.2129856</w:t>
      </w:r>
    </w:p>
    <w:p w14:paraId="754C2760" w14:textId="77777777" w:rsidR="00E45CC3" w:rsidRPr="00E45CC3" w:rsidRDefault="00E45CC3" w:rsidP="00E45CC3">
      <w:pPr>
        <w:ind w:left="720" w:hanging="720"/>
        <w:jc w:val="left"/>
        <w:rPr>
          <w:rFonts w:ascii="Arial" w:hAnsi="Arial" w:cs="Arial"/>
        </w:rPr>
      </w:pPr>
      <w:r w:rsidRPr="00E45CC3">
        <w:rPr>
          <w:rFonts w:ascii="Arial" w:hAnsi="Arial" w:cs="Arial"/>
        </w:rPr>
        <w:t xml:space="preserve">Keyworth, C., Epton, T., &amp; Armitage, C. J. (2020). Enhancing perceived behavioural control in stress-reduction interventions: Evidence from a meta-analysis. </w:t>
      </w:r>
      <w:r w:rsidRPr="00E45CC3">
        <w:rPr>
          <w:rFonts w:ascii="Arial" w:hAnsi="Arial" w:cs="Arial"/>
          <w:i/>
          <w:iCs/>
        </w:rPr>
        <w:t>British Journal of Health Psychology, 25</w:t>
      </w:r>
      <w:r w:rsidRPr="00E45CC3">
        <w:rPr>
          <w:rFonts w:ascii="Arial" w:hAnsi="Arial" w:cs="Arial"/>
        </w:rPr>
        <w:t>(4), 999–1017. https://doi.org/10.1111/bjhp.12421</w:t>
      </w:r>
    </w:p>
    <w:p w14:paraId="058F7A00" w14:textId="77777777" w:rsidR="00E45CC3" w:rsidRPr="00E45CC3" w:rsidRDefault="00E45CC3" w:rsidP="00E45CC3">
      <w:pPr>
        <w:ind w:left="720" w:hanging="720"/>
        <w:jc w:val="left"/>
        <w:rPr>
          <w:rFonts w:ascii="Arial" w:hAnsi="Arial" w:cs="Arial"/>
        </w:rPr>
      </w:pPr>
      <w:r w:rsidRPr="00E45CC3">
        <w:rPr>
          <w:rFonts w:ascii="Arial" w:hAnsi="Arial" w:cs="Arial"/>
        </w:rPr>
        <w:t xml:space="preserve">Kim, J., &amp; Lee, S. Y. (2023). Transtheoretical model application in university stress management: The role of mindfulness. </w:t>
      </w:r>
      <w:r w:rsidRPr="00E45CC3">
        <w:rPr>
          <w:rFonts w:ascii="Arial" w:hAnsi="Arial" w:cs="Arial"/>
          <w:i/>
          <w:iCs/>
        </w:rPr>
        <w:t>Journal of American College Health, 71</w:t>
      </w:r>
      <w:r w:rsidRPr="00E45CC3">
        <w:rPr>
          <w:rFonts w:ascii="Arial" w:hAnsi="Arial" w:cs="Arial"/>
        </w:rPr>
        <w:t>(2), 317–325. https://doi.org/10.1080/07448481.2021.1955734</w:t>
      </w:r>
    </w:p>
    <w:p w14:paraId="6C4809AB" w14:textId="77777777" w:rsidR="00E45CC3" w:rsidRPr="00E45CC3" w:rsidRDefault="00E45CC3" w:rsidP="00E45CC3">
      <w:pPr>
        <w:ind w:left="720" w:hanging="720"/>
        <w:jc w:val="left"/>
        <w:rPr>
          <w:rFonts w:ascii="Arial" w:hAnsi="Arial" w:cs="Arial"/>
        </w:rPr>
      </w:pPr>
      <w:r w:rsidRPr="00E45CC3">
        <w:rPr>
          <w:rFonts w:ascii="Arial" w:hAnsi="Arial" w:cs="Arial"/>
        </w:rPr>
        <w:t xml:space="preserve">Li, R., Wang, Y., &amp; Wang, H. (2021). From fines to change: The role of external motivators in safe driving transitions. </w:t>
      </w:r>
      <w:r w:rsidRPr="00E45CC3">
        <w:rPr>
          <w:rFonts w:ascii="Arial" w:hAnsi="Arial" w:cs="Arial"/>
          <w:i/>
          <w:iCs/>
        </w:rPr>
        <w:t>Transportation Research Part F: Traffic Psychology and Behaviour, 81</w:t>
      </w:r>
      <w:r w:rsidRPr="00E45CC3">
        <w:rPr>
          <w:rFonts w:ascii="Arial" w:hAnsi="Arial" w:cs="Arial"/>
        </w:rPr>
        <w:t>, 63–74. https://doi.org/10.1016/j.trf.2021.05.006</w:t>
      </w:r>
    </w:p>
    <w:p w14:paraId="22A7E3C1" w14:textId="77777777" w:rsidR="00E45CC3" w:rsidRPr="00E45CC3" w:rsidRDefault="00E45CC3" w:rsidP="00E45CC3">
      <w:pPr>
        <w:ind w:left="720" w:hanging="720"/>
        <w:jc w:val="left"/>
        <w:rPr>
          <w:rFonts w:ascii="Arial" w:hAnsi="Arial" w:cs="Arial"/>
        </w:rPr>
      </w:pPr>
      <w:r w:rsidRPr="00E45CC3">
        <w:rPr>
          <w:rFonts w:ascii="Arial" w:hAnsi="Arial" w:cs="Arial"/>
        </w:rPr>
        <w:t xml:space="preserve">Lippke, S., Ziegelmann, J. P., &amp; Schwarzer, R. (2019). Theory-based health behavior change: Comparing stage models to continuum models. </w:t>
      </w:r>
      <w:r w:rsidRPr="00E45CC3">
        <w:rPr>
          <w:rFonts w:ascii="Arial" w:hAnsi="Arial" w:cs="Arial"/>
          <w:i/>
          <w:iCs/>
        </w:rPr>
        <w:t>Applied Psychology: An International Review, 68</w:t>
      </w:r>
      <w:r w:rsidRPr="00E45CC3">
        <w:rPr>
          <w:rFonts w:ascii="Arial" w:hAnsi="Arial" w:cs="Arial"/>
        </w:rPr>
        <w:t>(4), 580–611. https://doi.org/10.1111/apps.12182</w:t>
      </w:r>
    </w:p>
    <w:p w14:paraId="1DD915B1" w14:textId="77777777" w:rsidR="00E45CC3" w:rsidRPr="00E45CC3" w:rsidRDefault="00E45CC3" w:rsidP="00E45CC3">
      <w:pPr>
        <w:ind w:left="720" w:hanging="720"/>
        <w:jc w:val="left"/>
        <w:rPr>
          <w:rFonts w:ascii="Arial" w:hAnsi="Arial" w:cs="Arial"/>
        </w:rPr>
      </w:pPr>
      <w:r w:rsidRPr="00E45CC3">
        <w:rPr>
          <w:rFonts w:ascii="Arial" w:hAnsi="Arial" w:cs="Arial"/>
        </w:rPr>
        <w:t xml:space="preserve">Norman, P., &amp; Webb, T. L. (2022). The theory of planned behaviour in health contexts: Limitations under stress. </w:t>
      </w:r>
      <w:r w:rsidRPr="00E45CC3">
        <w:rPr>
          <w:rFonts w:ascii="Arial" w:hAnsi="Arial" w:cs="Arial"/>
          <w:i/>
          <w:iCs/>
        </w:rPr>
        <w:t>Health Psychology Review, 16</w:t>
      </w:r>
      <w:r w:rsidRPr="00E45CC3">
        <w:rPr>
          <w:rFonts w:ascii="Arial" w:hAnsi="Arial" w:cs="Arial"/>
        </w:rPr>
        <w:t>(3), 244–259. https://doi.org/10.1080/17437199.2021.1988471</w:t>
      </w:r>
    </w:p>
    <w:p w14:paraId="2C21F215" w14:textId="77777777" w:rsidR="00E45CC3" w:rsidRPr="00E45CC3" w:rsidRDefault="00E45CC3" w:rsidP="00E45CC3">
      <w:pPr>
        <w:ind w:left="720" w:hanging="720"/>
        <w:jc w:val="left"/>
        <w:rPr>
          <w:rFonts w:ascii="Arial" w:hAnsi="Arial" w:cs="Arial"/>
        </w:rPr>
      </w:pPr>
      <w:r w:rsidRPr="00E45CC3">
        <w:rPr>
          <w:rFonts w:ascii="Arial" w:hAnsi="Arial" w:cs="Arial"/>
        </w:rPr>
        <w:t xml:space="preserve">Prochaska, J. O., &amp; DiClemente, C. C. (1983). Stages and processes of self-change of smoking: Toward an integrative model of change. </w:t>
      </w:r>
      <w:r w:rsidRPr="00E45CC3">
        <w:rPr>
          <w:rFonts w:ascii="Arial" w:hAnsi="Arial" w:cs="Arial"/>
          <w:i/>
          <w:iCs/>
        </w:rPr>
        <w:t>Journal of Consulting and Clinical Psychology, 51</w:t>
      </w:r>
      <w:r w:rsidRPr="00E45CC3">
        <w:rPr>
          <w:rFonts w:ascii="Arial" w:hAnsi="Arial" w:cs="Arial"/>
        </w:rPr>
        <w:t>(3), 390–395. https://doi.org/10.1037/0022-006X.51.3.390</w:t>
      </w:r>
    </w:p>
    <w:p w14:paraId="2D50CDBF" w14:textId="77777777" w:rsidR="00E45CC3" w:rsidRPr="00E45CC3" w:rsidRDefault="00E45CC3" w:rsidP="00E45CC3">
      <w:pPr>
        <w:ind w:left="720" w:hanging="720"/>
        <w:jc w:val="left"/>
        <w:rPr>
          <w:rFonts w:ascii="Arial" w:hAnsi="Arial" w:cs="Arial"/>
        </w:rPr>
      </w:pPr>
      <w:r w:rsidRPr="00E45CC3">
        <w:rPr>
          <w:rFonts w:ascii="Arial" w:hAnsi="Arial" w:cs="Arial"/>
        </w:rPr>
        <w:lastRenderedPageBreak/>
        <w:t xml:space="preserve">Prochaska, J. O., Redding, C. A., &amp; Evers, K. E. (2021). The transtheoretical model and stages of change. In K. Glanz, B. K. Rimer, &amp; K. Viswanath (Eds.), </w:t>
      </w:r>
      <w:r w:rsidRPr="00E45CC3">
        <w:rPr>
          <w:rFonts w:ascii="Arial" w:hAnsi="Arial" w:cs="Arial"/>
          <w:i/>
          <w:iCs/>
        </w:rPr>
        <w:t>Health behavior: Theory, research, and practice</w:t>
      </w:r>
      <w:r w:rsidRPr="00E45CC3">
        <w:rPr>
          <w:rFonts w:ascii="Arial" w:hAnsi="Arial" w:cs="Arial"/>
        </w:rPr>
        <w:t xml:space="preserve"> (6th ed., pp. 171–203). Jossey-Bass.</w:t>
      </w:r>
    </w:p>
    <w:p w14:paraId="0FF1E21F" w14:textId="77777777" w:rsidR="00E45CC3" w:rsidRPr="00E45CC3" w:rsidRDefault="00E45CC3" w:rsidP="00E45CC3">
      <w:pPr>
        <w:ind w:left="720" w:hanging="720"/>
        <w:jc w:val="left"/>
        <w:rPr>
          <w:rFonts w:ascii="Arial" w:hAnsi="Arial" w:cs="Arial"/>
        </w:rPr>
      </w:pPr>
      <w:r w:rsidRPr="00E45CC3">
        <w:rPr>
          <w:rFonts w:ascii="Arial" w:hAnsi="Arial" w:cs="Arial"/>
        </w:rPr>
        <w:t xml:space="preserve">Romain, A. J., Bernard, P., &amp; Hagger, M. S. (2018). A meta-analytic review of the effectiveness of stage-matched interventions in health behaviour change. </w:t>
      </w:r>
      <w:r w:rsidRPr="00E45CC3">
        <w:rPr>
          <w:rFonts w:ascii="Arial" w:hAnsi="Arial" w:cs="Arial"/>
          <w:i/>
          <w:iCs/>
        </w:rPr>
        <w:t>Psychology &amp; Health, 33</w:t>
      </w:r>
      <w:r w:rsidRPr="00E45CC3">
        <w:rPr>
          <w:rFonts w:ascii="Arial" w:hAnsi="Arial" w:cs="Arial"/>
        </w:rPr>
        <w:t>(6), 719–740. https://doi.org/10.1080/08870446.2017.1407355</w:t>
      </w:r>
    </w:p>
    <w:p w14:paraId="4D7C688C" w14:textId="77777777" w:rsidR="00E45CC3" w:rsidRPr="00E45CC3" w:rsidRDefault="00E45CC3" w:rsidP="00E45CC3">
      <w:pPr>
        <w:ind w:left="720" w:hanging="720"/>
        <w:jc w:val="left"/>
        <w:rPr>
          <w:rFonts w:ascii="Arial" w:hAnsi="Arial" w:cs="Arial"/>
        </w:rPr>
      </w:pPr>
      <w:r w:rsidRPr="00E45CC3">
        <w:rPr>
          <w:rFonts w:ascii="Arial" w:hAnsi="Arial" w:cs="Arial"/>
        </w:rPr>
        <w:t xml:space="preserve">Scott-Parker, B., &amp; Oviedo-Trespalacios, O. (2022). Young drivers, risky driving and the TPB: Insights from a high-crash-risk population. </w:t>
      </w:r>
      <w:r w:rsidRPr="00E45CC3">
        <w:rPr>
          <w:rFonts w:ascii="Arial" w:hAnsi="Arial" w:cs="Arial"/>
          <w:i/>
          <w:iCs/>
        </w:rPr>
        <w:t>Journal of Safety Research, 81</w:t>
      </w:r>
      <w:r w:rsidRPr="00E45CC3">
        <w:rPr>
          <w:rFonts w:ascii="Arial" w:hAnsi="Arial" w:cs="Arial"/>
        </w:rPr>
        <w:t>, 217–225. https://doi.org/10.1016/j.jsr.2022.05.002</w:t>
      </w:r>
    </w:p>
    <w:p w14:paraId="38C39FEC" w14:textId="77777777" w:rsidR="00E45CC3" w:rsidRPr="00E45CC3" w:rsidRDefault="00E45CC3" w:rsidP="00E45CC3">
      <w:pPr>
        <w:ind w:left="720" w:hanging="720"/>
        <w:jc w:val="left"/>
        <w:rPr>
          <w:rFonts w:ascii="Arial" w:hAnsi="Arial" w:cs="Arial"/>
        </w:rPr>
      </w:pPr>
      <w:r w:rsidRPr="00E45CC3">
        <w:rPr>
          <w:rFonts w:ascii="Arial" w:hAnsi="Arial" w:cs="Arial"/>
        </w:rPr>
        <w:t xml:space="preserve">Shen, S., Yang, X., &amp; Zhao, X. (2022). Stage-based mobile phone interventions for driving safety: A systematic review. </w:t>
      </w:r>
      <w:r w:rsidRPr="00E45CC3">
        <w:rPr>
          <w:rFonts w:ascii="Arial" w:hAnsi="Arial" w:cs="Arial"/>
          <w:i/>
          <w:iCs/>
        </w:rPr>
        <w:t>Accident Analysis &amp; Prevention, 169</w:t>
      </w:r>
      <w:r w:rsidRPr="00E45CC3">
        <w:rPr>
          <w:rFonts w:ascii="Arial" w:hAnsi="Arial" w:cs="Arial"/>
        </w:rPr>
        <w:t>, 106619. https://doi.org/10.1016/j.aap.2022.106619</w:t>
      </w:r>
    </w:p>
    <w:p w14:paraId="43DAEB23" w14:textId="77777777" w:rsidR="00E45CC3" w:rsidRPr="00E45CC3" w:rsidRDefault="00E45CC3" w:rsidP="00E45CC3">
      <w:pPr>
        <w:ind w:left="720" w:hanging="720"/>
        <w:jc w:val="left"/>
        <w:rPr>
          <w:rFonts w:ascii="Arial" w:hAnsi="Arial" w:cs="Arial"/>
        </w:rPr>
      </w:pPr>
      <w:r w:rsidRPr="00E45CC3">
        <w:rPr>
          <w:rFonts w:ascii="Arial" w:hAnsi="Arial" w:cs="Arial"/>
        </w:rPr>
        <w:t xml:space="preserve">Sutton, S. (2005). Stage theories of health behaviour. In M. Conner &amp; P. Norman (Eds.), </w:t>
      </w:r>
      <w:r w:rsidRPr="00E45CC3">
        <w:rPr>
          <w:rFonts w:ascii="Arial" w:hAnsi="Arial" w:cs="Arial"/>
          <w:i/>
          <w:iCs/>
        </w:rPr>
        <w:t>Predicting health behaviour</w:t>
      </w:r>
      <w:r w:rsidRPr="00E45CC3">
        <w:rPr>
          <w:rFonts w:ascii="Arial" w:hAnsi="Arial" w:cs="Arial"/>
        </w:rPr>
        <w:t xml:space="preserve"> (2nd ed., pp. 223–275). Open University Press.</w:t>
      </w:r>
    </w:p>
    <w:p w14:paraId="407B85B7" w14:textId="77777777" w:rsidR="00E45CC3" w:rsidRPr="00E45CC3" w:rsidRDefault="00E45CC3" w:rsidP="00E45CC3">
      <w:pPr>
        <w:ind w:left="720" w:hanging="720"/>
        <w:jc w:val="left"/>
        <w:rPr>
          <w:rFonts w:ascii="Arial" w:hAnsi="Arial" w:cs="Arial"/>
        </w:rPr>
      </w:pPr>
      <w:r w:rsidRPr="00E45CC3">
        <w:rPr>
          <w:rFonts w:ascii="Arial" w:hAnsi="Arial" w:cs="Arial"/>
        </w:rPr>
        <w:t xml:space="preserve">Zhang, C. Q., Zhang, R., Schwarzer, R., &amp; Hagger, M. S. (2019). A meta-analysis of the health behaviour theories in predicting physical activity: Incorporating past behaviour and habit strength into the theory of planned behaviour. </w:t>
      </w:r>
      <w:r w:rsidRPr="00E45CC3">
        <w:rPr>
          <w:rFonts w:ascii="Arial" w:hAnsi="Arial" w:cs="Arial"/>
          <w:i/>
          <w:iCs/>
        </w:rPr>
        <w:t>Health Psychology Review, 13</w:t>
      </w:r>
      <w:r w:rsidRPr="00E45CC3">
        <w:rPr>
          <w:rFonts w:ascii="Arial" w:hAnsi="Arial" w:cs="Arial"/>
        </w:rPr>
        <w:t>(2), 292–317. https://doi.org/10.1080/17437199.2018.1545435</w:t>
      </w:r>
    </w:p>
    <w:p w14:paraId="5DC59BD0" w14:textId="77777777" w:rsidR="00E45CC3" w:rsidRPr="00E45CC3" w:rsidRDefault="00E45CC3" w:rsidP="00E45CC3">
      <w:pPr>
        <w:ind w:left="720" w:hanging="720"/>
        <w:jc w:val="left"/>
        <w:rPr>
          <w:rFonts w:ascii="Arial" w:hAnsi="Arial" w:cs="Arial"/>
        </w:rPr>
      </w:pPr>
      <w:r w:rsidRPr="00E45CC3">
        <w:rPr>
          <w:rFonts w:ascii="Arial" w:hAnsi="Arial" w:cs="Arial"/>
        </w:rPr>
        <w:t xml:space="preserve">Zhou, R., &amp; Wang, Y. (2023). Evaluating continuous behavioural change in driving: Rethinking stages in TTM. </w:t>
      </w:r>
      <w:r w:rsidRPr="00E45CC3">
        <w:rPr>
          <w:rFonts w:ascii="Arial" w:hAnsi="Arial" w:cs="Arial"/>
          <w:i/>
          <w:iCs/>
        </w:rPr>
        <w:t>Transportation Research Part F: Traffic Psychology and Behaviour, 92</w:t>
      </w:r>
      <w:r w:rsidRPr="00E45CC3">
        <w:rPr>
          <w:rFonts w:ascii="Arial" w:hAnsi="Arial" w:cs="Arial"/>
        </w:rPr>
        <w:t>, 328–337. https://doi.org/10.1016/j.trf.2023.02.011</w:t>
      </w:r>
    </w:p>
    <w:p w14:paraId="00F76EB5" w14:textId="77777777" w:rsidR="00E45CC3" w:rsidRPr="00E45CC3" w:rsidRDefault="00E45CC3" w:rsidP="00E45CC3">
      <w:pPr>
        <w:ind w:left="720" w:hanging="720"/>
        <w:jc w:val="left"/>
        <w:rPr>
          <w:rFonts w:ascii="Arial" w:hAnsi="Arial" w:cs="Arial"/>
        </w:rPr>
      </w:pPr>
      <w:r w:rsidRPr="00E45CC3">
        <w:rPr>
          <w:rFonts w:ascii="Arial" w:hAnsi="Arial" w:cs="Arial"/>
        </w:rPr>
        <w:t xml:space="preserve">Zhou, Y., Zhang, J., &amp; Li, W. (2020). Mobile phone use while driving: An application of the theory of planned behaviour. </w:t>
      </w:r>
      <w:r w:rsidRPr="00E45CC3">
        <w:rPr>
          <w:rFonts w:ascii="Arial" w:hAnsi="Arial" w:cs="Arial"/>
          <w:i/>
          <w:iCs/>
        </w:rPr>
        <w:t>Transportation Research Part F: Traffic Psychology and Behaviour, 73</w:t>
      </w:r>
      <w:r w:rsidRPr="00E45CC3">
        <w:rPr>
          <w:rFonts w:ascii="Arial" w:hAnsi="Arial" w:cs="Arial"/>
        </w:rPr>
        <w:t>, 162–171. https://doi.org/10.1016/j.trf.2020.06.005</w:t>
      </w:r>
    </w:p>
    <w:p w14:paraId="0A8C977A" w14:textId="77777777" w:rsidR="001E24D5" w:rsidRPr="00AA3143" w:rsidRDefault="001E24D5" w:rsidP="009A62E8">
      <w:pPr>
        <w:ind w:left="720" w:hanging="720"/>
        <w:jc w:val="left"/>
      </w:pPr>
    </w:p>
    <w:sectPr w:rsidR="001E24D5" w:rsidRPr="00AA31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2457A"/>
    <w:multiLevelType w:val="multilevel"/>
    <w:tmpl w:val="2DF45B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5821D5"/>
    <w:multiLevelType w:val="multilevel"/>
    <w:tmpl w:val="5D92F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0E41A8"/>
    <w:multiLevelType w:val="multilevel"/>
    <w:tmpl w:val="F3FCD1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E67405"/>
    <w:multiLevelType w:val="multilevel"/>
    <w:tmpl w:val="7632C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B504CE"/>
    <w:multiLevelType w:val="multilevel"/>
    <w:tmpl w:val="10307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EC056F"/>
    <w:multiLevelType w:val="multilevel"/>
    <w:tmpl w:val="417CA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617E50"/>
    <w:multiLevelType w:val="multilevel"/>
    <w:tmpl w:val="0CB84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2B34FA"/>
    <w:multiLevelType w:val="multilevel"/>
    <w:tmpl w:val="0CE61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043827"/>
    <w:multiLevelType w:val="multilevel"/>
    <w:tmpl w:val="005AF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FF56E4"/>
    <w:multiLevelType w:val="multilevel"/>
    <w:tmpl w:val="3E8AA6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72175B"/>
    <w:multiLevelType w:val="multilevel"/>
    <w:tmpl w:val="8982B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416C12"/>
    <w:multiLevelType w:val="multilevel"/>
    <w:tmpl w:val="5F4A2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B81A59"/>
    <w:multiLevelType w:val="multilevel"/>
    <w:tmpl w:val="E47E3E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A37C56"/>
    <w:multiLevelType w:val="multilevel"/>
    <w:tmpl w:val="997CA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012247"/>
    <w:multiLevelType w:val="multilevel"/>
    <w:tmpl w:val="7DD6DB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3D76CF3"/>
    <w:multiLevelType w:val="multilevel"/>
    <w:tmpl w:val="0EEE05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AC2615F"/>
    <w:multiLevelType w:val="multilevel"/>
    <w:tmpl w:val="72D4A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CF37790"/>
    <w:multiLevelType w:val="multilevel"/>
    <w:tmpl w:val="1D56D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1646C6F"/>
    <w:multiLevelType w:val="multilevel"/>
    <w:tmpl w:val="3BD6E1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5A34231"/>
    <w:multiLevelType w:val="multilevel"/>
    <w:tmpl w:val="13BEE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EFB4273"/>
    <w:multiLevelType w:val="multilevel"/>
    <w:tmpl w:val="0A36F9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F3559F1"/>
    <w:multiLevelType w:val="multilevel"/>
    <w:tmpl w:val="941A28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AD73C9F"/>
    <w:multiLevelType w:val="multilevel"/>
    <w:tmpl w:val="C1D22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CAA2B89"/>
    <w:multiLevelType w:val="multilevel"/>
    <w:tmpl w:val="AEE2B9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40F4FC4"/>
    <w:multiLevelType w:val="multilevel"/>
    <w:tmpl w:val="D6389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6B73D67"/>
    <w:multiLevelType w:val="multilevel"/>
    <w:tmpl w:val="C6926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71C5DCB"/>
    <w:multiLevelType w:val="multilevel"/>
    <w:tmpl w:val="22D6F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8CB7124"/>
    <w:multiLevelType w:val="multilevel"/>
    <w:tmpl w:val="A0D22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DB46539"/>
    <w:multiLevelType w:val="multilevel"/>
    <w:tmpl w:val="06647F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0176172"/>
    <w:multiLevelType w:val="multilevel"/>
    <w:tmpl w:val="320EA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2684028"/>
    <w:multiLevelType w:val="multilevel"/>
    <w:tmpl w:val="1FA2F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6696C00"/>
    <w:multiLevelType w:val="multilevel"/>
    <w:tmpl w:val="1AF6C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9DB1DE6"/>
    <w:multiLevelType w:val="multilevel"/>
    <w:tmpl w:val="5854F6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FBD44E5"/>
    <w:multiLevelType w:val="multilevel"/>
    <w:tmpl w:val="A99C66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60988911">
    <w:abstractNumId w:val="23"/>
  </w:num>
  <w:num w:numId="2" w16cid:durableId="710808225">
    <w:abstractNumId w:val="2"/>
  </w:num>
  <w:num w:numId="3" w16cid:durableId="408428289">
    <w:abstractNumId w:val="21"/>
  </w:num>
  <w:num w:numId="4" w16cid:durableId="1308390537">
    <w:abstractNumId w:val="5"/>
  </w:num>
  <w:num w:numId="5" w16cid:durableId="1424110532">
    <w:abstractNumId w:val="0"/>
  </w:num>
  <w:num w:numId="6" w16cid:durableId="2107572858">
    <w:abstractNumId w:val="12"/>
  </w:num>
  <w:num w:numId="7" w16cid:durableId="1614048742">
    <w:abstractNumId w:val="17"/>
  </w:num>
  <w:num w:numId="8" w16cid:durableId="1463499087">
    <w:abstractNumId w:val="26"/>
  </w:num>
  <w:num w:numId="9" w16cid:durableId="1328049892">
    <w:abstractNumId w:val="20"/>
  </w:num>
  <w:num w:numId="10" w16cid:durableId="195706230">
    <w:abstractNumId w:val="28"/>
  </w:num>
  <w:num w:numId="11" w16cid:durableId="951130344">
    <w:abstractNumId w:val="9"/>
  </w:num>
  <w:num w:numId="12" w16cid:durableId="1844659820">
    <w:abstractNumId w:val="15"/>
  </w:num>
  <w:num w:numId="13" w16cid:durableId="1505973486">
    <w:abstractNumId w:val="24"/>
  </w:num>
  <w:num w:numId="14" w16cid:durableId="1892039374">
    <w:abstractNumId w:val="16"/>
  </w:num>
  <w:num w:numId="15" w16cid:durableId="2004120471">
    <w:abstractNumId w:val="11"/>
  </w:num>
  <w:num w:numId="16" w16cid:durableId="809322000">
    <w:abstractNumId w:val="13"/>
  </w:num>
  <w:num w:numId="17" w16cid:durableId="1686513458">
    <w:abstractNumId w:val="6"/>
  </w:num>
  <w:num w:numId="18" w16cid:durableId="1941252295">
    <w:abstractNumId w:val="30"/>
  </w:num>
  <w:num w:numId="19" w16cid:durableId="1649282934">
    <w:abstractNumId w:val="7"/>
  </w:num>
  <w:num w:numId="20" w16cid:durableId="729576481">
    <w:abstractNumId w:val="22"/>
  </w:num>
  <w:num w:numId="21" w16cid:durableId="74284478">
    <w:abstractNumId w:val="1"/>
  </w:num>
  <w:num w:numId="22" w16cid:durableId="1849633028">
    <w:abstractNumId w:val="14"/>
  </w:num>
  <w:num w:numId="23" w16cid:durableId="1567490277">
    <w:abstractNumId w:val="18"/>
  </w:num>
  <w:num w:numId="24" w16cid:durableId="1405955464">
    <w:abstractNumId w:val="32"/>
  </w:num>
  <w:num w:numId="25" w16cid:durableId="1349720272">
    <w:abstractNumId w:val="25"/>
  </w:num>
  <w:num w:numId="26" w16cid:durableId="708263852">
    <w:abstractNumId w:val="3"/>
  </w:num>
  <w:num w:numId="27" w16cid:durableId="873273251">
    <w:abstractNumId w:val="27"/>
  </w:num>
  <w:num w:numId="28" w16cid:durableId="1118454723">
    <w:abstractNumId w:val="31"/>
  </w:num>
  <w:num w:numId="29" w16cid:durableId="920722514">
    <w:abstractNumId w:val="19"/>
  </w:num>
  <w:num w:numId="30" w16cid:durableId="410126483">
    <w:abstractNumId w:val="10"/>
  </w:num>
  <w:num w:numId="31" w16cid:durableId="448203539">
    <w:abstractNumId w:val="8"/>
  </w:num>
  <w:num w:numId="32" w16cid:durableId="1285573896">
    <w:abstractNumId w:val="4"/>
  </w:num>
  <w:num w:numId="33" w16cid:durableId="937099827">
    <w:abstractNumId w:val="29"/>
  </w:num>
  <w:num w:numId="34" w16cid:durableId="185826225">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4D5"/>
    <w:rsid w:val="00053669"/>
    <w:rsid w:val="00096228"/>
    <w:rsid w:val="0009662F"/>
    <w:rsid w:val="001021B6"/>
    <w:rsid w:val="001074AF"/>
    <w:rsid w:val="0019782C"/>
    <w:rsid w:val="001C36E1"/>
    <w:rsid w:val="001E24D5"/>
    <w:rsid w:val="00223A19"/>
    <w:rsid w:val="00240CCE"/>
    <w:rsid w:val="002E3596"/>
    <w:rsid w:val="002E6CC6"/>
    <w:rsid w:val="00360EC1"/>
    <w:rsid w:val="00375A28"/>
    <w:rsid w:val="004361D7"/>
    <w:rsid w:val="005342D8"/>
    <w:rsid w:val="005B62F4"/>
    <w:rsid w:val="005C635F"/>
    <w:rsid w:val="005D7869"/>
    <w:rsid w:val="00616219"/>
    <w:rsid w:val="006324D1"/>
    <w:rsid w:val="00676021"/>
    <w:rsid w:val="00697D79"/>
    <w:rsid w:val="006A3D96"/>
    <w:rsid w:val="006C56AF"/>
    <w:rsid w:val="006E3E69"/>
    <w:rsid w:val="007042E6"/>
    <w:rsid w:val="00743594"/>
    <w:rsid w:val="007562BB"/>
    <w:rsid w:val="00756520"/>
    <w:rsid w:val="00782A1B"/>
    <w:rsid w:val="007E6586"/>
    <w:rsid w:val="00802209"/>
    <w:rsid w:val="00824E28"/>
    <w:rsid w:val="008459E5"/>
    <w:rsid w:val="008718DD"/>
    <w:rsid w:val="008A10E7"/>
    <w:rsid w:val="008F321A"/>
    <w:rsid w:val="00973C58"/>
    <w:rsid w:val="009867D3"/>
    <w:rsid w:val="00986DFF"/>
    <w:rsid w:val="009A62E8"/>
    <w:rsid w:val="00A55EBD"/>
    <w:rsid w:val="00A8275D"/>
    <w:rsid w:val="00A95E5D"/>
    <w:rsid w:val="00AA3143"/>
    <w:rsid w:val="00AC7584"/>
    <w:rsid w:val="00B41BDB"/>
    <w:rsid w:val="00B84303"/>
    <w:rsid w:val="00BF51F1"/>
    <w:rsid w:val="00C06C8B"/>
    <w:rsid w:val="00C94FE6"/>
    <w:rsid w:val="00CB2DFC"/>
    <w:rsid w:val="00D80702"/>
    <w:rsid w:val="00DF0743"/>
    <w:rsid w:val="00E4472C"/>
    <w:rsid w:val="00E45CC3"/>
    <w:rsid w:val="00E873C7"/>
    <w:rsid w:val="00EC4E6E"/>
    <w:rsid w:val="00EE4F62"/>
    <w:rsid w:val="00F65733"/>
    <w:rsid w:val="00F85816"/>
    <w:rsid w:val="2D1C62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BE95B4"/>
  <w15:chartTrackingRefBased/>
  <w15:docId w15:val="{3F7219A9-F33B-4076-AD15-E2EEBAF623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48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24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24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24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24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24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24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24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24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24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24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24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24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24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24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24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24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24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24D5"/>
    <w:rPr>
      <w:rFonts w:eastAsiaTheme="majorEastAsia" w:cstheme="majorBidi"/>
      <w:color w:val="272727" w:themeColor="text1" w:themeTint="D8"/>
    </w:rPr>
  </w:style>
  <w:style w:type="paragraph" w:styleId="Title">
    <w:name w:val="Title"/>
    <w:basedOn w:val="Normal"/>
    <w:next w:val="Normal"/>
    <w:link w:val="TitleChar"/>
    <w:uiPriority w:val="10"/>
    <w:qFormat/>
    <w:rsid w:val="001E24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24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24D5"/>
    <w:pPr>
      <w:numPr>
        <w:ilvl w:val="1"/>
      </w:numPr>
      <w:ind w:firstLine="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24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24D5"/>
    <w:pPr>
      <w:spacing w:before="160"/>
      <w:jc w:val="center"/>
    </w:pPr>
    <w:rPr>
      <w:i/>
      <w:iCs/>
      <w:color w:val="404040" w:themeColor="text1" w:themeTint="BF"/>
    </w:rPr>
  </w:style>
  <w:style w:type="character" w:customStyle="1" w:styleId="QuoteChar">
    <w:name w:val="Quote Char"/>
    <w:basedOn w:val="DefaultParagraphFont"/>
    <w:link w:val="Quote"/>
    <w:uiPriority w:val="29"/>
    <w:rsid w:val="001E24D5"/>
    <w:rPr>
      <w:i/>
      <w:iCs/>
      <w:color w:val="404040" w:themeColor="text1" w:themeTint="BF"/>
    </w:rPr>
  </w:style>
  <w:style w:type="paragraph" w:styleId="ListParagraph">
    <w:name w:val="List Paragraph"/>
    <w:basedOn w:val="Normal"/>
    <w:uiPriority w:val="34"/>
    <w:qFormat/>
    <w:rsid w:val="001E24D5"/>
    <w:pPr>
      <w:ind w:left="720"/>
      <w:contextualSpacing/>
    </w:pPr>
  </w:style>
  <w:style w:type="character" w:styleId="IntenseEmphasis">
    <w:name w:val="Intense Emphasis"/>
    <w:basedOn w:val="DefaultParagraphFont"/>
    <w:uiPriority w:val="21"/>
    <w:qFormat/>
    <w:rsid w:val="001E24D5"/>
    <w:rPr>
      <w:i/>
      <w:iCs/>
      <w:color w:val="0F4761" w:themeColor="accent1" w:themeShade="BF"/>
    </w:rPr>
  </w:style>
  <w:style w:type="paragraph" w:styleId="IntenseQuote">
    <w:name w:val="Intense Quote"/>
    <w:basedOn w:val="Normal"/>
    <w:next w:val="Normal"/>
    <w:link w:val="IntenseQuoteChar"/>
    <w:uiPriority w:val="30"/>
    <w:qFormat/>
    <w:rsid w:val="001E24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24D5"/>
    <w:rPr>
      <w:i/>
      <w:iCs/>
      <w:color w:val="0F4761" w:themeColor="accent1" w:themeShade="BF"/>
    </w:rPr>
  </w:style>
  <w:style w:type="character" w:styleId="IntenseReference">
    <w:name w:val="Intense Reference"/>
    <w:basedOn w:val="DefaultParagraphFont"/>
    <w:uiPriority w:val="32"/>
    <w:qFormat/>
    <w:rsid w:val="001E24D5"/>
    <w:rPr>
      <w:b/>
      <w:bCs/>
      <w:smallCaps/>
      <w:color w:val="0F4761" w:themeColor="accent1" w:themeShade="BF"/>
      <w:spacing w:val="5"/>
    </w:rPr>
  </w:style>
  <w:style w:type="character" w:styleId="Hyperlink">
    <w:name w:val="Hyperlink"/>
    <w:basedOn w:val="DefaultParagraphFont"/>
    <w:uiPriority w:val="99"/>
    <w:unhideWhenUsed/>
    <w:rsid w:val="00C94FE6"/>
    <w:rPr>
      <w:color w:val="467886" w:themeColor="hyperlink"/>
      <w:u w:val="single"/>
    </w:rPr>
  </w:style>
  <w:style w:type="character" w:styleId="UnresolvedMention">
    <w:name w:val="Unresolved Mention"/>
    <w:basedOn w:val="DefaultParagraphFont"/>
    <w:uiPriority w:val="99"/>
    <w:semiHidden/>
    <w:unhideWhenUsed/>
    <w:rsid w:val="00C94FE6"/>
    <w:rPr>
      <w:color w:val="605E5C"/>
      <w:shd w:val="clear" w:color="auto" w:fill="E1DFDD"/>
    </w:rPr>
  </w:style>
  <w:style w:type="character" w:styleId="FollowedHyperlink">
    <w:name w:val="FollowedHyperlink"/>
    <w:basedOn w:val="DefaultParagraphFont"/>
    <w:uiPriority w:val="99"/>
    <w:semiHidden/>
    <w:unhideWhenUsed/>
    <w:rsid w:val="006A3D9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123442">
      <w:bodyDiv w:val="1"/>
      <w:marLeft w:val="0"/>
      <w:marRight w:val="0"/>
      <w:marTop w:val="0"/>
      <w:marBottom w:val="0"/>
      <w:divBdr>
        <w:top w:val="none" w:sz="0" w:space="0" w:color="auto"/>
        <w:left w:val="none" w:sz="0" w:space="0" w:color="auto"/>
        <w:bottom w:val="none" w:sz="0" w:space="0" w:color="auto"/>
        <w:right w:val="none" w:sz="0" w:space="0" w:color="auto"/>
      </w:divBdr>
      <w:divsChild>
        <w:div w:id="875581469">
          <w:marLeft w:val="0"/>
          <w:marRight w:val="0"/>
          <w:marTop w:val="0"/>
          <w:marBottom w:val="0"/>
          <w:divBdr>
            <w:top w:val="none" w:sz="0" w:space="0" w:color="auto"/>
            <w:left w:val="none" w:sz="0" w:space="0" w:color="auto"/>
            <w:bottom w:val="none" w:sz="0" w:space="0" w:color="auto"/>
            <w:right w:val="none" w:sz="0" w:space="0" w:color="auto"/>
          </w:divBdr>
          <w:divsChild>
            <w:div w:id="1244292134">
              <w:marLeft w:val="0"/>
              <w:marRight w:val="0"/>
              <w:marTop w:val="0"/>
              <w:marBottom w:val="0"/>
              <w:divBdr>
                <w:top w:val="none" w:sz="0" w:space="0" w:color="auto"/>
                <w:left w:val="none" w:sz="0" w:space="0" w:color="auto"/>
                <w:bottom w:val="none" w:sz="0" w:space="0" w:color="auto"/>
                <w:right w:val="none" w:sz="0" w:space="0" w:color="auto"/>
              </w:divBdr>
              <w:divsChild>
                <w:div w:id="549002324">
                  <w:marLeft w:val="0"/>
                  <w:marRight w:val="0"/>
                  <w:marTop w:val="0"/>
                  <w:marBottom w:val="0"/>
                  <w:divBdr>
                    <w:top w:val="none" w:sz="0" w:space="0" w:color="auto"/>
                    <w:left w:val="none" w:sz="0" w:space="0" w:color="auto"/>
                    <w:bottom w:val="none" w:sz="0" w:space="0" w:color="auto"/>
                    <w:right w:val="none" w:sz="0" w:space="0" w:color="auto"/>
                  </w:divBdr>
                  <w:divsChild>
                    <w:div w:id="255747563">
                      <w:marLeft w:val="0"/>
                      <w:marRight w:val="0"/>
                      <w:marTop w:val="0"/>
                      <w:marBottom w:val="0"/>
                      <w:divBdr>
                        <w:top w:val="none" w:sz="0" w:space="0" w:color="auto"/>
                        <w:left w:val="none" w:sz="0" w:space="0" w:color="auto"/>
                        <w:bottom w:val="none" w:sz="0" w:space="0" w:color="auto"/>
                        <w:right w:val="none" w:sz="0" w:space="0" w:color="auto"/>
                      </w:divBdr>
                      <w:divsChild>
                        <w:div w:id="1307053631">
                          <w:marLeft w:val="0"/>
                          <w:marRight w:val="0"/>
                          <w:marTop w:val="0"/>
                          <w:marBottom w:val="0"/>
                          <w:divBdr>
                            <w:top w:val="none" w:sz="0" w:space="0" w:color="auto"/>
                            <w:left w:val="none" w:sz="0" w:space="0" w:color="auto"/>
                            <w:bottom w:val="none" w:sz="0" w:space="0" w:color="auto"/>
                            <w:right w:val="none" w:sz="0" w:space="0" w:color="auto"/>
                          </w:divBdr>
                          <w:divsChild>
                            <w:div w:id="1034619406">
                              <w:marLeft w:val="0"/>
                              <w:marRight w:val="0"/>
                              <w:marTop w:val="0"/>
                              <w:marBottom w:val="0"/>
                              <w:divBdr>
                                <w:top w:val="none" w:sz="0" w:space="0" w:color="auto"/>
                                <w:left w:val="none" w:sz="0" w:space="0" w:color="auto"/>
                                <w:bottom w:val="none" w:sz="0" w:space="0" w:color="auto"/>
                                <w:right w:val="none" w:sz="0" w:space="0" w:color="auto"/>
                              </w:divBdr>
                              <w:divsChild>
                                <w:div w:id="1960725317">
                                  <w:marLeft w:val="0"/>
                                  <w:marRight w:val="0"/>
                                  <w:marTop w:val="0"/>
                                  <w:marBottom w:val="0"/>
                                  <w:divBdr>
                                    <w:top w:val="none" w:sz="0" w:space="0" w:color="auto"/>
                                    <w:left w:val="none" w:sz="0" w:space="0" w:color="auto"/>
                                    <w:bottom w:val="none" w:sz="0" w:space="0" w:color="auto"/>
                                    <w:right w:val="none" w:sz="0" w:space="0" w:color="auto"/>
                                  </w:divBdr>
                                  <w:divsChild>
                                    <w:div w:id="107891160">
                                      <w:marLeft w:val="0"/>
                                      <w:marRight w:val="0"/>
                                      <w:marTop w:val="0"/>
                                      <w:marBottom w:val="0"/>
                                      <w:divBdr>
                                        <w:top w:val="none" w:sz="0" w:space="0" w:color="auto"/>
                                        <w:left w:val="none" w:sz="0" w:space="0" w:color="auto"/>
                                        <w:bottom w:val="none" w:sz="0" w:space="0" w:color="auto"/>
                                        <w:right w:val="none" w:sz="0" w:space="0" w:color="auto"/>
                                      </w:divBdr>
                                      <w:divsChild>
                                        <w:div w:id="5208206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 w:id="533999543">
                          <w:marLeft w:val="0"/>
                          <w:marRight w:val="0"/>
                          <w:marTop w:val="0"/>
                          <w:marBottom w:val="0"/>
                          <w:divBdr>
                            <w:top w:val="none" w:sz="0" w:space="0" w:color="auto"/>
                            <w:left w:val="none" w:sz="0" w:space="0" w:color="auto"/>
                            <w:bottom w:val="none" w:sz="0" w:space="0" w:color="auto"/>
                            <w:right w:val="none" w:sz="0" w:space="0" w:color="auto"/>
                          </w:divBdr>
                          <w:divsChild>
                            <w:div w:id="1725986875">
                              <w:marLeft w:val="0"/>
                              <w:marRight w:val="0"/>
                              <w:marTop w:val="0"/>
                              <w:marBottom w:val="0"/>
                              <w:divBdr>
                                <w:top w:val="none" w:sz="0" w:space="0" w:color="auto"/>
                                <w:left w:val="none" w:sz="0" w:space="0" w:color="auto"/>
                                <w:bottom w:val="none" w:sz="0" w:space="0" w:color="auto"/>
                                <w:right w:val="none" w:sz="0" w:space="0" w:color="auto"/>
                              </w:divBdr>
                              <w:divsChild>
                                <w:div w:id="639698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3506939">
          <w:marLeft w:val="0"/>
          <w:marRight w:val="0"/>
          <w:marTop w:val="0"/>
          <w:marBottom w:val="0"/>
          <w:divBdr>
            <w:top w:val="none" w:sz="0" w:space="0" w:color="auto"/>
            <w:left w:val="none" w:sz="0" w:space="0" w:color="auto"/>
            <w:bottom w:val="none" w:sz="0" w:space="0" w:color="auto"/>
            <w:right w:val="none" w:sz="0" w:space="0" w:color="auto"/>
          </w:divBdr>
          <w:divsChild>
            <w:div w:id="1984652961">
              <w:marLeft w:val="0"/>
              <w:marRight w:val="0"/>
              <w:marTop w:val="0"/>
              <w:marBottom w:val="0"/>
              <w:divBdr>
                <w:top w:val="none" w:sz="0" w:space="0" w:color="auto"/>
                <w:left w:val="none" w:sz="0" w:space="0" w:color="auto"/>
                <w:bottom w:val="none" w:sz="0" w:space="0" w:color="auto"/>
                <w:right w:val="none" w:sz="0" w:space="0" w:color="auto"/>
              </w:divBdr>
              <w:divsChild>
                <w:div w:id="1200048700">
                  <w:marLeft w:val="0"/>
                  <w:marRight w:val="0"/>
                  <w:marTop w:val="0"/>
                  <w:marBottom w:val="0"/>
                  <w:divBdr>
                    <w:top w:val="none" w:sz="0" w:space="0" w:color="auto"/>
                    <w:left w:val="none" w:sz="0" w:space="0" w:color="auto"/>
                    <w:bottom w:val="none" w:sz="0" w:space="0" w:color="auto"/>
                    <w:right w:val="none" w:sz="0" w:space="0" w:color="auto"/>
                  </w:divBdr>
                  <w:divsChild>
                    <w:div w:id="1204367458">
                      <w:marLeft w:val="0"/>
                      <w:marRight w:val="0"/>
                      <w:marTop w:val="0"/>
                      <w:marBottom w:val="0"/>
                      <w:divBdr>
                        <w:top w:val="none" w:sz="0" w:space="0" w:color="auto"/>
                        <w:left w:val="none" w:sz="0" w:space="0" w:color="auto"/>
                        <w:bottom w:val="none" w:sz="0" w:space="0" w:color="auto"/>
                        <w:right w:val="none" w:sz="0" w:space="0" w:color="auto"/>
                      </w:divBdr>
                      <w:divsChild>
                        <w:div w:id="226187045">
                          <w:marLeft w:val="0"/>
                          <w:marRight w:val="0"/>
                          <w:marTop w:val="0"/>
                          <w:marBottom w:val="0"/>
                          <w:divBdr>
                            <w:top w:val="none" w:sz="0" w:space="0" w:color="auto"/>
                            <w:left w:val="none" w:sz="0" w:space="0" w:color="auto"/>
                            <w:bottom w:val="none" w:sz="0" w:space="0" w:color="auto"/>
                            <w:right w:val="none" w:sz="0" w:space="0" w:color="auto"/>
                          </w:divBdr>
                          <w:divsChild>
                            <w:div w:id="343483675">
                              <w:marLeft w:val="0"/>
                              <w:marRight w:val="0"/>
                              <w:marTop w:val="0"/>
                              <w:marBottom w:val="0"/>
                              <w:divBdr>
                                <w:top w:val="none" w:sz="0" w:space="0" w:color="auto"/>
                                <w:left w:val="none" w:sz="0" w:space="0" w:color="auto"/>
                                <w:bottom w:val="none" w:sz="0" w:space="0" w:color="auto"/>
                                <w:right w:val="none" w:sz="0" w:space="0" w:color="auto"/>
                              </w:divBdr>
                              <w:divsChild>
                                <w:div w:id="2033146119">
                                  <w:marLeft w:val="0"/>
                                  <w:marRight w:val="0"/>
                                  <w:marTop w:val="0"/>
                                  <w:marBottom w:val="0"/>
                                  <w:divBdr>
                                    <w:top w:val="none" w:sz="0" w:space="0" w:color="auto"/>
                                    <w:left w:val="none" w:sz="0" w:space="0" w:color="auto"/>
                                    <w:bottom w:val="none" w:sz="0" w:space="0" w:color="auto"/>
                                    <w:right w:val="none" w:sz="0" w:space="0" w:color="auto"/>
                                  </w:divBdr>
                                  <w:divsChild>
                                    <w:div w:id="290408469">
                                      <w:marLeft w:val="0"/>
                                      <w:marRight w:val="0"/>
                                      <w:marTop w:val="0"/>
                                      <w:marBottom w:val="0"/>
                                      <w:divBdr>
                                        <w:top w:val="none" w:sz="0" w:space="0" w:color="auto"/>
                                        <w:left w:val="none" w:sz="0" w:space="0" w:color="auto"/>
                                        <w:bottom w:val="none" w:sz="0" w:space="0" w:color="auto"/>
                                        <w:right w:val="none" w:sz="0" w:space="0" w:color="auto"/>
                                      </w:divBdr>
                                      <w:divsChild>
                                        <w:div w:id="133646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5978463">
          <w:marLeft w:val="0"/>
          <w:marRight w:val="0"/>
          <w:marTop w:val="0"/>
          <w:marBottom w:val="0"/>
          <w:divBdr>
            <w:top w:val="none" w:sz="0" w:space="0" w:color="auto"/>
            <w:left w:val="none" w:sz="0" w:space="0" w:color="auto"/>
            <w:bottom w:val="none" w:sz="0" w:space="0" w:color="auto"/>
            <w:right w:val="none" w:sz="0" w:space="0" w:color="auto"/>
          </w:divBdr>
          <w:divsChild>
            <w:div w:id="1914971828">
              <w:marLeft w:val="0"/>
              <w:marRight w:val="0"/>
              <w:marTop w:val="0"/>
              <w:marBottom w:val="0"/>
              <w:divBdr>
                <w:top w:val="none" w:sz="0" w:space="0" w:color="auto"/>
                <w:left w:val="none" w:sz="0" w:space="0" w:color="auto"/>
                <w:bottom w:val="none" w:sz="0" w:space="0" w:color="auto"/>
                <w:right w:val="none" w:sz="0" w:space="0" w:color="auto"/>
              </w:divBdr>
              <w:divsChild>
                <w:div w:id="1164125510">
                  <w:marLeft w:val="0"/>
                  <w:marRight w:val="0"/>
                  <w:marTop w:val="0"/>
                  <w:marBottom w:val="0"/>
                  <w:divBdr>
                    <w:top w:val="none" w:sz="0" w:space="0" w:color="auto"/>
                    <w:left w:val="none" w:sz="0" w:space="0" w:color="auto"/>
                    <w:bottom w:val="none" w:sz="0" w:space="0" w:color="auto"/>
                    <w:right w:val="none" w:sz="0" w:space="0" w:color="auto"/>
                  </w:divBdr>
                  <w:divsChild>
                    <w:div w:id="1358770832">
                      <w:marLeft w:val="0"/>
                      <w:marRight w:val="0"/>
                      <w:marTop w:val="0"/>
                      <w:marBottom w:val="0"/>
                      <w:divBdr>
                        <w:top w:val="none" w:sz="0" w:space="0" w:color="auto"/>
                        <w:left w:val="none" w:sz="0" w:space="0" w:color="auto"/>
                        <w:bottom w:val="none" w:sz="0" w:space="0" w:color="auto"/>
                        <w:right w:val="none" w:sz="0" w:space="0" w:color="auto"/>
                      </w:divBdr>
                      <w:divsChild>
                        <w:div w:id="757214006">
                          <w:marLeft w:val="0"/>
                          <w:marRight w:val="0"/>
                          <w:marTop w:val="0"/>
                          <w:marBottom w:val="0"/>
                          <w:divBdr>
                            <w:top w:val="none" w:sz="0" w:space="0" w:color="auto"/>
                            <w:left w:val="none" w:sz="0" w:space="0" w:color="auto"/>
                            <w:bottom w:val="none" w:sz="0" w:space="0" w:color="auto"/>
                            <w:right w:val="none" w:sz="0" w:space="0" w:color="auto"/>
                          </w:divBdr>
                          <w:divsChild>
                            <w:div w:id="1743912981">
                              <w:marLeft w:val="0"/>
                              <w:marRight w:val="0"/>
                              <w:marTop w:val="0"/>
                              <w:marBottom w:val="0"/>
                              <w:divBdr>
                                <w:top w:val="none" w:sz="0" w:space="0" w:color="auto"/>
                                <w:left w:val="none" w:sz="0" w:space="0" w:color="auto"/>
                                <w:bottom w:val="none" w:sz="0" w:space="0" w:color="auto"/>
                                <w:right w:val="none" w:sz="0" w:space="0" w:color="auto"/>
                              </w:divBdr>
                              <w:divsChild>
                                <w:div w:id="661276486">
                                  <w:marLeft w:val="0"/>
                                  <w:marRight w:val="0"/>
                                  <w:marTop w:val="0"/>
                                  <w:marBottom w:val="0"/>
                                  <w:divBdr>
                                    <w:top w:val="none" w:sz="0" w:space="0" w:color="auto"/>
                                    <w:left w:val="none" w:sz="0" w:space="0" w:color="auto"/>
                                    <w:bottom w:val="none" w:sz="0" w:space="0" w:color="auto"/>
                                    <w:right w:val="none" w:sz="0" w:space="0" w:color="auto"/>
                                  </w:divBdr>
                                  <w:divsChild>
                                    <w:div w:id="1458336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71274547">
      <w:bodyDiv w:val="1"/>
      <w:marLeft w:val="0"/>
      <w:marRight w:val="0"/>
      <w:marTop w:val="0"/>
      <w:marBottom w:val="0"/>
      <w:divBdr>
        <w:top w:val="none" w:sz="0" w:space="0" w:color="auto"/>
        <w:left w:val="none" w:sz="0" w:space="0" w:color="auto"/>
        <w:bottom w:val="none" w:sz="0" w:space="0" w:color="auto"/>
        <w:right w:val="none" w:sz="0" w:space="0" w:color="auto"/>
      </w:divBdr>
    </w:div>
    <w:div w:id="464470783">
      <w:bodyDiv w:val="1"/>
      <w:marLeft w:val="0"/>
      <w:marRight w:val="0"/>
      <w:marTop w:val="0"/>
      <w:marBottom w:val="0"/>
      <w:divBdr>
        <w:top w:val="none" w:sz="0" w:space="0" w:color="auto"/>
        <w:left w:val="none" w:sz="0" w:space="0" w:color="auto"/>
        <w:bottom w:val="none" w:sz="0" w:space="0" w:color="auto"/>
        <w:right w:val="none" w:sz="0" w:space="0" w:color="auto"/>
      </w:divBdr>
    </w:div>
    <w:div w:id="484736640">
      <w:bodyDiv w:val="1"/>
      <w:marLeft w:val="0"/>
      <w:marRight w:val="0"/>
      <w:marTop w:val="0"/>
      <w:marBottom w:val="0"/>
      <w:divBdr>
        <w:top w:val="none" w:sz="0" w:space="0" w:color="auto"/>
        <w:left w:val="none" w:sz="0" w:space="0" w:color="auto"/>
        <w:bottom w:val="none" w:sz="0" w:space="0" w:color="auto"/>
        <w:right w:val="none" w:sz="0" w:space="0" w:color="auto"/>
      </w:divBdr>
    </w:div>
    <w:div w:id="553002511">
      <w:bodyDiv w:val="1"/>
      <w:marLeft w:val="0"/>
      <w:marRight w:val="0"/>
      <w:marTop w:val="0"/>
      <w:marBottom w:val="0"/>
      <w:divBdr>
        <w:top w:val="none" w:sz="0" w:space="0" w:color="auto"/>
        <w:left w:val="none" w:sz="0" w:space="0" w:color="auto"/>
        <w:bottom w:val="none" w:sz="0" w:space="0" w:color="auto"/>
        <w:right w:val="none" w:sz="0" w:space="0" w:color="auto"/>
      </w:divBdr>
    </w:div>
    <w:div w:id="1453550447">
      <w:bodyDiv w:val="1"/>
      <w:marLeft w:val="0"/>
      <w:marRight w:val="0"/>
      <w:marTop w:val="0"/>
      <w:marBottom w:val="0"/>
      <w:divBdr>
        <w:top w:val="none" w:sz="0" w:space="0" w:color="auto"/>
        <w:left w:val="none" w:sz="0" w:space="0" w:color="auto"/>
        <w:bottom w:val="none" w:sz="0" w:space="0" w:color="auto"/>
        <w:right w:val="none" w:sz="0" w:space="0" w:color="auto"/>
      </w:divBdr>
    </w:div>
    <w:div w:id="1481340867">
      <w:bodyDiv w:val="1"/>
      <w:marLeft w:val="0"/>
      <w:marRight w:val="0"/>
      <w:marTop w:val="0"/>
      <w:marBottom w:val="0"/>
      <w:divBdr>
        <w:top w:val="none" w:sz="0" w:space="0" w:color="auto"/>
        <w:left w:val="none" w:sz="0" w:space="0" w:color="auto"/>
        <w:bottom w:val="none" w:sz="0" w:space="0" w:color="auto"/>
        <w:right w:val="none" w:sz="0" w:space="0" w:color="auto"/>
      </w:divBdr>
    </w:div>
    <w:div w:id="1763064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uowtsd-my.sharepoint.com/:p:/r/personal/2306296_student_uwtsd_ac_uk/Documents/LEVEL%205/TURNITIN/FINAL%20HEALTH%20%20PRESENTATION%20TO%20BE%20SUBMITTED.pptx?d=wd592643368a84692984cfe7334c58d11&amp;csf=1&amp;web=1&amp;e=6NNH8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1192</TotalTime>
  <Pages>8</Pages>
  <Words>1999</Words>
  <Characters>12715</Characters>
  <Application>Microsoft Office Word</Application>
  <DocSecurity>0</DocSecurity>
  <Lines>195</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14652</CharactersWithSpaces>
  <SharedDoc>false</SharedDoc>
  <HLinks>
    <vt:vector size="6" baseType="variant">
      <vt:variant>
        <vt:i4>22</vt:i4>
      </vt:variant>
      <vt:variant>
        <vt:i4>0</vt:i4>
      </vt:variant>
      <vt:variant>
        <vt:i4>0</vt:i4>
      </vt:variant>
      <vt:variant>
        <vt:i4>5</vt:i4>
      </vt:variant>
      <vt:variant>
        <vt:lpwstr>https://uowtsd-my.sharepoint.com/:p:/r/personal/2306296_student_uwtsd_ac_uk/Documents/LEVEL 5/TURNITIN/FINAL HEALTH  PRESENTATION TO BE SUBMITTED.pptx?d=wd592643368a84692984cfe7334c58d11&amp;csf=1&amp;web=1&amp;e=VGRa4Z</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Pamela Nunez Sillau Nunez (2306296)</dc:creator>
  <cp:keywords/>
  <dc:description/>
  <cp:lastModifiedBy>Pamela Nunez Sillau Nunez (2306296)</cp:lastModifiedBy>
  <cp:revision>52</cp:revision>
  <cp:lastPrinted>2025-05-17T20:04:00Z</cp:lastPrinted>
  <dcterms:created xsi:type="dcterms:W3CDTF">2025-05-17T20:01:00Z</dcterms:created>
  <dcterms:modified xsi:type="dcterms:W3CDTF">2025-05-23T11:17:00Z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797a6d21-f019-4b31-aaae-eadd11961c3b</vt:lpwstr>
  </property>
</Properties>
</file>