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7609A8" w14:textId="77777777" w:rsidR="00EE1686" w:rsidRPr="00EE1686" w:rsidRDefault="00EE1686" w:rsidP="00EE1686">
      <w:pPr>
        <w:spacing w:line="360" w:lineRule="auto"/>
        <w:rPr>
          <w:rFonts w:ascii="Arial" w:hAnsi="Arial" w:cs="Arial"/>
        </w:rPr>
      </w:pPr>
      <w:r w:rsidRPr="00EE1686">
        <w:rPr>
          <w:rFonts w:ascii="Arial" w:hAnsi="Arial" w:cs="Arial"/>
          <w:lang w:val="en-US"/>
        </w:rPr>
        <w:t>Tempany Hartwell - 2416686</w:t>
      </w:r>
      <w:r w:rsidRPr="00EE1686">
        <w:rPr>
          <w:rFonts w:ascii="Arial" w:hAnsi="Arial" w:cs="Arial"/>
        </w:rPr>
        <w:t> </w:t>
      </w:r>
      <w:r w:rsidRPr="00EE1686">
        <w:rPr>
          <w:rFonts w:ascii="Arial" w:hAnsi="Arial" w:cs="Arial"/>
        </w:rPr>
        <w:br/>
      </w:r>
      <w:r w:rsidRPr="00EE1686">
        <w:rPr>
          <w:rFonts w:ascii="Arial" w:hAnsi="Arial" w:cs="Arial"/>
          <w:lang w:val="en-US"/>
        </w:rPr>
        <w:t>(</w:t>
      </w:r>
      <w:r w:rsidRPr="00EE1686">
        <w:rPr>
          <w:rFonts w:ascii="Arial" w:hAnsi="Arial" w:cs="Arial"/>
        </w:rPr>
        <w:t>LCHS4007 </w:t>
      </w:r>
      <w:r w:rsidRPr="00EE1686">
        <w:rPr>
          <w:rFonts w:ascii="Arial" w:hAnsi="Arial" w:cs="Arial"/>
          <w:lang w:val="en-US"/>
        </w:rPr>
        <w:t>_BIRM)</w:t>
      </w:r>
      <w:r w:rsidRPr="00EE1686">
        <w:rPr>
          <w:rFonts w:ascii="Arial" w:hAnsi="Arial" w:cs="Arial"/>
        </w:rPr>
        <w:t> </w:t>
      </w:r>
      <w:r w:rsidRPr="00EE1686">
        <w:rPr>
          <w:rFonts w:ascii="Arial" w:hAnsi="Arial" w:cs="Arial"/>
        </w:rPr>
        <w:br/>
      </w:r>
      <w:r w:rsidRPr="00EE1686">
        <w:rPr>
          <w:rFonts w:ascii="Arial" w:hAnsi="Arial" w:cs="Arial"/>
          <w:lang w:val="en-US"/>
        </w:rPr>
        <w:t>Category: Birmingham Campus</w:t>
      </w:r>
      <w:r w:rsidRPr="00EE1686">
        <w:rPr>
          <w:rFonts w:ascii="Arial" w:hAnsi="Arial" w:cs="Arial"/>
        </w:rPr>
        <w:t> </w:t>
      </w:r>
      <w:r w:rsidRPr="00EE1686">
        <w:rPr>
          <w:rFonts w:ascii="Arial" w:hAnsi="Arial" w:cs="Arial"/>
        </w:rPr>
        <w:br/>
      </w:r>
      <w:r w:rsidRPr="00EE1686">
        <w:rPr>
          <w:rFonts w:ascii="Arial" w:hAnsi="Arial" w:cs="Arial"/>
          <w:lang w:val="en-US"/>
        </w:rPr>
        <w:t>Lecturer – </w:t>
      </w:r>
      <w:r w:rsidRPr="00EE1686">
        <w:rPr>
          <w:rFonts w:ascii="Arial" w:hAnsi="Arial" w:cs="Arial"/>
        </w:rPr>
        <w:t>Hajra Mustasim  </w:t>
      </w:r>
      <w:r w:rsidRPr="00EE1686">
        <w:rPr>
          <w:rFonts w:ascii="Arial" w:hAnsi="Arial" w:cs="Arial"/>
        </w:rPr>
        <w:br/>
      </w:r>
      <w:r w:rsidRPr="00EE1686">
        <w:rPr>
          <w:rFonts w:ascii="Arial" w:hAnsi="Arial" w:cs="Arial"/>
          <w:lang w:val="en-US"/>
        </w:rPr>
        <w:t>Component 2</w:t>
      </w:r>
      <w:r w:rsidRPr="00EE1686">
        <w:rPr>
          <w:rFonts w:ascii="Arial" w:hAnsi="Arial" w:cs="Arial"/>
        </w:rPr>
        <w:t> </w:t>
      </w:r>
    </w:p>
    <w:p w14:paraId="335D1985" w14:textId="77777777" w:rsidR="00EE1686" w:rsidRPr="00EE1686" w:rsidRDefault="00EE1686" w:rsidP="00EE1686">
      <w:pPr>
        <w:spacing w:line="360" w:lineRule="auto"/>
        <w:rPr>
          <w:rFonts w:ascii="Arial" w:hAnsi="Arial" w:cs="Arial"/>
        </w:rPr>
      </w:pPr>
      <w:r w:rsidRPr="00EE1686">
        <w:rPr>
          <w:rFonts w:ascii="Arial" w:hAnsi="Arial" w:cs="Arial"/>
        </w:rPr>
        <w:t> </w:t>
      </w:r>
    </w:p>
    <w:p w14:paraId="15A8D298" w14:textId="3F360D73" w:rsidR="00EE1686" w:rsidRPr="00EE1686" w:rsidRDefault="00EE1686" w:rsidP="00EE1686">
      <w:pPr>
        <w:spacing w:line="360" w:lineRule="auto"/>
        <w:rPr>
          <w:rFonts w:ascii="Arial" w:hAnsi="Arial" w:cs="Arial"/>
        </w:rPr>
      </w:pPr>
    </w:p>
    <w:p w14:paraId="08A3CB71" w14:textId="77777777" w:rsidR="00EE1686" w:rsidRPr="00EE1686" w:rsidRDefault="00EE1686" w:rsidP="00EE1686">
      <w:pPr>
        <w:spacing w:line="360" w:lineRule="auto"/>
        <w:rPr>
          <w:rFonts w:ascii="Arial" w:hAnsi="Arial" w:cs="Arial"/>
        </w:rPr>
      </w:pPr>
      <w:r w:rsidRPr="00EE1686">
        <w:rPr>
          <w:rFonts w:ascii="Arial" w:hAnsi="Arial" w:cs="Arial"/>
        </w:rPr>
        <w:t> </w:t>
      </w:r>
    </w:p>
    <w:p w14:paraId="0EC066B3" w14:textId="77777777" w:rsidR="00EE1686" w:rsidRPr="00EE1686" w:rsidRDefault="00EE1686" w:rsidP="00EE1686">
      <w:pPr>
        <w:spacing w:line="360" w:lineRule="auto"/>
        <w:rPr>
          <w:rFonts w:ascii="Arial" w:hAnsi="Arial" w:cs="Arial"/>
        </w:rPr>
      </w:pPr>
      <w:r w:rsidRPr="00EE1686">
        <w:rPr>
          <w:rFonts w:ascii="Arial" w:hAnsi="Arial" w:cs="Arial"/>
        </w:rPr>
        <w:t> </w:t>
      </w:r>
    </w:p>
    <w:p w14:paraId="0630A0CC" w14:textId="77777777" w:rsidR="00EE1686" w:rsidRPr="00EE1686" w:rsidRDefault="00EE1686" w:rsidP="00EE1686">
      <w:pPr>
        <w:spacing w:line="360" w:lineRule="auto"/>
        <w:rPr>
          <w:rFonts w:ascii="Arial" w:hAnsi="Arial" w:cs="Arial"/>
        </w:rPr>
      </w:pPr>
      <w:r w:rsidRPr="00EE1686">
        <w:rPr>
          <w:rFonts w:ascii="Arial" w:hAnsi="Arial" w:cs="Arial"/>
        </w:rPr>
        <w:t> </w:t>
      </w:r>
    </w:p>
    <w:p w14:paraId="12955554" w14:textId="77777777" w:rsidR="00EE1686" w:rsidRPr="00EE1686" w:rsidRDefault="00EE1686" w:rsidP="00EE1686">
      <w:pPr>
        <w:spacing w:line="360" w:lineRule="auto"/>
        <w:rPr>
          <w:rFonts w:ascii="Arial" w:hAnsi="Arial" w:cs="Arial"/>
        </w:rPr>
      </w:pPr>
      <w:r w:rsidRPr="00EE1686">
        <w:rPr>
          <w:rFonts w:ascii="Arial" w:hAnsi="Arial" w:cs="Arial"/>
        </w:rPr>
        <w:t> </w:t>
      </w:r>
    </w:p>
    <w:p w14:paraId="05F7393B" w14:textId="77777777" w:rsidR="00EE1686" w:rsidRPr="00EE1686" w:rsidRDefault="00EE1686" w:rsidP="00EE1686">
      <w:pPr>
        <w:spacing w:line="360" w:lineRule="auto"/>
        <w:rPr>
          <w:rFonts w:ascii="Arial" w:hAnsi="Arial" w:cs="Arial"/>
        </w:rPr>
      </w:pPr>
      <w:r w:rsidRPr="00EE1686">
        <w:rPr>
          <w:rFonts w:ascii="Arial" w:hAnsi="Arial" w:cs="Arial"/>
        </w:rPr>
        <w:t> </w:t>
      </w:r>
    </w:p>
    <w:p w14:paraId="785B4B5F" w14:textId="77777777" w:rsidR="00EE1686" w:rsidRPr="00EE1686" w:rsidRDefault="00EE1686" w:rsidP="00EE1686">
      <w:pPr>
        <w:spacing w:line="360" w:lineRule="auto"/>
        <w:rPr>
          <w:rFonts w:ascii="Arial" w:hAnsi="Arial" w:cs="Arial"/>
        </w:rPr>
      </w:pPr>
      <w:r w:rsidRPr="00EE1686">
        <w:rPr>
          <w:rFonts w:ascii="Arial" w:hAnsi="Arial" w:cs="Arial"/>
        </w:rPr>
        <w:t> </w:t>
      </w:r>
    </w:p>
    <w:p w14:paraId="61676B87" w14:textId="77777777" w:rsidR="00EE1686" w:rsidRPr="00EE1686" w:rsidRDefault="00EE1686" w:rsidP="00EE1686">
      <w:pPr>
        <w:spacing w:line="360" w:lineRule="auto"/>
        <w:rPr>
          <w:rFonts w:ascii="Arial" w:hAnsi="Arial" w:cs="Arial"/>
        </w:rPr>
      </w:pPr>
      <w:r w:rsidRPr="00EE1686">
        <w:rPr>
          <w:rFonts w:ascii="Arial" w:hAnsi="Arial" w:cs="Arial"/>
        </w:rPr>
        <w:t> </w:t>
      </w:r>
    </w:p>
    <w:p w14:paraId="57950929" w14:textId="77777777" w:rsidR="00EE1686" w:rsidRPr="00EE1686" w:rsidRDefault="00EE1686" w:rsidP="00EE1686">
      <w:pPr>
        <w:spacing w:line="360" w:lineRule="auto"/>
        <w:rPr>
          <w:rFonts w:ascii="Arial" w:hAnsi="Arial" w:cs="Arial"/>
        </w:rPr>
      </w:pPr>
      <w:r w:rsidRPr="00EE1686">
        <w:rPr>
          <w:rFonts w:ascii="Arial" w:hAnsi="Arial" w:cs="Arial"/>
        </w:rPr>
        <w:t> </w:t>
      </w:r>
    </w:p>
    <w:p w14:paraId="0B8D520C" w14:textId="77777777" w:rsidR="00EE1686" w:rsidRPr="00EE1686" w:rsidRDefault="00EE1686" w:rsidP="00EE1686">
      <w:pPr>
        <w:spacing w:line="360" w:lineRule="auto"/>
        <w:rPr>
          <w:rFonts w:ascii="Arial" w:hAnsi="Arial" w:cs="Arial"/>
        </w:rPr>
      </w:pPr>
      <w:r w:rsidRPr="00EE1686">
        <w:rPr>
          <w:rFonts w:ascii="Arial" w:hAnsi="Arial" w:cs="Arial"/>
        </w:rPr>
        <w:t> </w:t>
      </w:r>
    </w:p>
    <w:p w14:paraId="47915C44" w14:textId="77777777" w:rsidR="00EE1686" w:rsidRPr="00EE1686" w:rsidRDefault="00EE1686" w:rsidP="00EE1686">
      <w:pPr>
        <w:spacing w:line="360" w:lineRule="auto"/>
        <w:rPr>
          <w:rFonts w:ascii="Arial" w:hAnsi="Arial" w:cs="Arial"/>
        </w:rPr>
      </w:pPr>
      <w:r w:rsidRPr="00EE1686">
        <w:rPr>
          <w:rFonts w:ascii="Arial" w:hAnsi="Arial" w:cs="Arial"/>
        </w:rPr>
        <w:t> </w:t>
      </w:r>
    </w:p>
    <w:p w14:paraId="2E8D889A" w14:textId="77777777" w:rsidR="00EE1686" w:rsidRPr="00EE1686" w:rsidRDefault="00EE1686" w:rsidP="00EE1686">
      <w:pPr>
        <w:spacing w:line="360" w:lineRule="auto"/>
        <w:rPr>
          <w:rFonts w:ascii="Arial" w:hAnsi="Arial" w:cs="Arial"/>
        </w:rPr>
      </w:pPr>
      <w:r w:rsidRPr="00EE1686">
        <w:rPr>
          <w:rFonts w:ascii="Arial" w:hAnsi="Arial" w:cs="Arial"/>
        </w:rPr>
        <w:t> </w:t>
      </w:r>
    </w:p>
    <w:p w14:paraId="06BE4501" w14:textId="77777777" w:rsidR="00EE1686" w:rsidRPr="00EE1686" w:rsidRDefault="00EE1686" w:rsidP="00EE1686">
      <w:pPr>
        <w:spacing w:line="360" w:lineRule="auto"/>
        <w:rPr>
          <w:rFonts w:ascii="Arial" w:hAnsi="Arial" w:cs="Arial"/>
        </w:rPr>
      </w:pPr>
      <w:r w:rsidRPr="00EE1686">
        <w:rPr>
          <w:rFonts w:ascii="Arial" w:hAnsi="Arial" w:cs="Arial"/>
        </w:rPr>
        <w:t> </w:t>
      </w:r>
    </w:p>
    <w:p w14:paraId="4C69EEA9" w14:textId="77777777" w:rsidR="00EE1686" w:rsidRPr="00EE1686" w:rsidRDefault="00EE1686" w:rsidP="00EE1686">
      <w:pPr>
        <w:spacing w:line="360" w:lineRule="auto"/>
        <w:rPr>
          <w:rFonts w:ascii="Arial" w:hAnsi="Arial" w:cs="Arial"/>
        </w:rPr>
      </w:pPr>
      <w:r w:rsidRPr="00EE1686">
        <w:rPr>
          <w:rFonts w:ascii="Arial" w:hAnsi="Arial" w:cs="Arial"/>
        </w:rPr>
        <w:t> </w:t>
      </w:r>
    </w:p>
    <w:p w14:paraId="16F5A52F" w14:textId="77777777" w:rsidR="00EE1686" w:rsidRPr="00EE1686" w:rsidRDefault="00EE1686" w:rsidP="00EE1686">
      <w:pPr>
        <w:spacing w:line="360" w:lineRule="auto"/>
        <w:rPr>
          <w:rFonts w:ascii="Arial" w:hAnsi="Arial" w:cs="Arial"/>
        </w:rPr>
      </w:pPr>
      <w:r w:rsidRPr="00EE1686">
        <w:rPr>
          <w:rFonts w:ascii="Arial" w:hAnsi="Arial" w:cs="Arial"/>
        </w:rPr>
        <w:t> </w:t>
      </w:r>
    </w:p>
    <w:p w14:paraId="68CEC31B" w14:textId="77777777" w:rsidR="00EE1686" w:rsidRPr="00EE1686" w:rsidRDefault="00EE1686" w:rsidP="00EE1686">
      <w:pPr>
        <w:spacing w:line="360" w:lineRule="auto"/>
        <w:rPr>
          <w:rFonts w:ascii="Arial" w:hAnsi="Arial" w:cs="Arial"/>
        </w:rPr>
      </w:pPr>
      <w:r w:rsidRPr="00EE1686">
        <w:rPr>
          <w:rFonts w:ascii="Arial" w:hAnsi="Arial" w:cs="Arial"/>
        </w:rPr>
        <w:t> </w:t>
      </w:r>
    </w:p>
    <w:p w14:paraId="5F1FC424" w14:textId="77777777" w:rsidR="00EE1686" w:rsidRPr="00EE1686" w:rsidRDefault="00EE1686" w:rsidP="00EE1686">
      <w:pPr>
        <w:spacing w:line="360" w:lineRule="auto"/>
        <w:rPr>
          <w:rFonts w:ascii="Arial" w:hAnsi="Arial" w:cs="Arial"/>
        </w:rPr>
      </w:pPr>
      <w:r w:rsidRPr="00EE1686">
        <w:rPr>
          <w:rFonts w:ascii="Arial" w:hAnsi="Arial" w:cs="Arial"/>
        </w:rPr>
        <w:t> </w:t>
      </w:r>
    </w:p>
    <w:p w14:paraId="60B4710B" w14:textId="77777777" w:rsidR="00EE1686" w:rsidRPr="00EE1686" w:rsidRDefault="00EE1686" w:rsidP="00EE1686">
      <w:pPr>
        <w:spacing w:line="360" w:lineRule="auto"/>
        <w:rPr>
          <w:rFonts w:ascii="Arial" w:hAnsi="Arial" w:cs="Arial"/>
        </w:rPr>
      </w:pPr>
      <w:r w:rsidRPr="00EE1686">
        <w:rPr>
          <w:rFonts w:ascii="Arial" w:hAnsi="Arial" w:cs="Arial"/>
        </w:rPr>
        <w:t> </w:t>
      </w:r>
    </w:p>
    <w:p w14:paraId="05619648" w14:textId="77777777" w:rsidR="00EE1686" w:rsidRPr="00EE1686" w:rsidRDefault="00EE1686" w:rsidP="00EE1686">
      <w:pPr>
        <w:spacing w:line="360" w:lineRule="auto"/>
        <w:rPr>
          <w:rFonts w:ascii="Arial" w:hAnsi="Arial" w:cs="Arial"/>
        </w:rPr>
      </w:pPr>
      <w:r w:rsidRPr="00EE1686">
        <w:rPr>
          <w:rFonts w:ascii="Arial" w:hAnsi="Arial" w:cs="Arial"/>
        </w:rPr>
        <w:t> </w:t>
      </w:r>
    </w:p>
    <w:p w14:paraId="0BCEEF1F" w14:textId="77777777" w:rsidR="00EE1686" w:rsidRPr="00EE1686" w:rsidRDefault="00EE1686" w:rsidP="00EE1686">
      <w:pPr>
        <w:spacing w:line="360" w:lineRule="auto"/>
        <w:rPr>
          <w:rFonts w:ascii="Arial" w:hAnsi="Arial" w:cs="Arial"/>
        </w:rPr>
      </w:pPr>
      <w:r w:rsidRPr="00EE1686">
        <w:rPr>
          <w:rFonts w:ascii="Arial" w:hAnsi="Arial" w:cs="Arial"/>
        </w:rPr>
        <w:t> </w:t>
      </w:r>
    </w:p>
    <w:p w14:paraId="28F14CCC" w14:textId="77777777" w:rsidR="001062B4" w:rsidRDefault="001062B4" w:rsidP="00EE1686">
      <w:pPr>
        <w:spacing w:line="360" w:lineRule="auto"/>
        <w:rPr>
          <w:rFonts w:ascii="Arial" w:hAnsi="Arial" w:cs="Arial"/>
        </w:rPr>
      </w:pPr>
    </w:p>
    <w:p w14:paraId="6550C1A9" w14:textId="4798CA09" w:rsidR="001062B4" w:rsidRPr="001062B4" w:rsidRDefault="001062B4" w:rsidP="00EE1686">
      <w:pPr>
        <w:spacing w:line="360" w:lineRule="auto"/>
        <w:rPr>
          <w:rFonts w:ascii="Arial" w:hAnsi="Arial" w:cs="Arial"/>
          <w:b/>
          <w:bCs/>
          <w:u w:val="single"/>
        </w:rPr>
      </w:pPr>
      <w:r w:rsidRPr="001062B4">
        <w:rPr>
          <w:rFonts w:ascii="Arial" w:hAnsi="Arial" w:cs="Arial"/>
          <w:b/>
          <w:bCs/>
          <w:u w:val="single"/>
        </w:rPr>
        <w:lastRenderedPageBreak/>
        <w:t>The Impact of Social Isolation on Mental Health in Older Adults</w:t>
      </w:r>
    </w:p>
    <w:p w14:paraId="1CB83D20" w14:textId="4C1BE5EE" w:rsidR="00EE1686" w:rsidRPr="00EE1686" w:rsidRDefault="00EE1686" w:rsidP="00EE1686">
      <w:pPr>
        <w:spacing w:line="360" w:lineRule="auto"/>
        <w:rPr>
          <w:rFonts w:ascii="Arial" w:hAnsi="Arial" w:cs="Arial"/>
        </w:rPr>
      </w:pPr>
      <w:r w:rsidRPr="00EE1686">
        <w:rPr>
          <w:rFonts w:ascii="Arial" w:hAnsi="Arial" w:cs="Arial"/>
        </w:rPr>
        <w:t>Social isolation among older adults is a growing concern in the UK’s health and social care sector. With an aging population and increasing life expectancy, many older individuals face loneliness due to bereavement, reduced mobility, and limited social networks. This issue has significant implications for mental health, contributing to depression, anxiety, and cognitive decline. The COVID-19 pandemic further exacerbated isolation, revealing systemic gaps in support services. This report explores the impact of social isolation on mental health in older adults, justifies the need for research, and outlines appropriate methodologies and data collection strategies. The findings aim to inform future social care practices and support the development of targeted interventions to improve wellbeing and quality of life for older adults. </w:t>
      </w:r>
    </w:p>
    <w:p w14:paraId="630DA554"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Identifying the Issue</w:t>
      </w:r>
      <w:r w:rsidRPr="00EE1686">
        <w:rPr>
          <w:rFonts w:ascii="Arial" w:hAnsi="Arial" w:cs="Arial"/>
          <w:u w:val="single"/>
        </w:rPr>
        <w:t> </w:t>
      </w:r>
    </w:p>
    <w:p w14:paraId="1D8C63E8" w14:textId="77777777" w:rsidR="00EE1686" w:rsidRPr="00EE1686" w:rsidRDefault="00EE1686" w:rsidP="00EE1686">
      <w:pPr>
        <w:spacing w:line="360" w:lineRule="auto"/>
        <w:rPr>
          <w:rFonts w:ascii="Arial" w:hAnsi="Arial" w:cs="Arial"/>
        </w:rPr>
      </w:pPr>
      <w:r w:rsidRPr="00EE1686">
        <w:rPr>
          <w:rFonts w:ascii="Arial" w:hAnsi="Arial" w:cs="Arial"/>
        </w:rPr>
        <w:t>Social isolation is defined as a lack of meaningful social contact and relationships. In older adults, it often results from retirement, bereavement, physical limitations, or relocation to care settings. According to Age UK, over 1.4 million older people in England are chronically lonely (Age UK, 2023). This isolation is not merely a social issue—it has profound effects on mental health, increasing the risk of depression, anxiety, and even dementia. </w:t>
      </w:r>
    </w:p>
    <w:p w14:paraId="2DE16D56"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Relevance to Health and Social Care</w:t>
      </w:r>
      <w:r w:rsidRPr="00EE1686">
        <w:rPr>
          <w:rFonts w:ascii="Arial" w:hAnsi="Arial" w:cs="Arial"/>
          <w:u w:val="single"/>
        </w:rPr>
        <w:t> </w:t>
      </w:r>
    </w:p>
    <w:p w14:paraId="3C2C3C9B" w14:textId="77777777" w:rsidR="00EE1686" w:rsidRPr="00EE1686" w:rsidRDefault="00EE1686" w:rsidP="00EE1686">
      <w:pPr>
        <w:spacing w:line="360" w:lineRule="auto"/>
        <w:rPr>
          <w:rFonts w:ascii="Arial" w:hAnsi="Arial" w:cs="Arial"/>
        </w:rPr>
      </w:pPr>
      <w:r w:rsidRPr="00EE1686">
        <w:rPr>
          <w:rFonts w:ascii="Arial" w:hAnsi="Arial" w:cs="Arial"/>
        </w:rPr>
        <w:t>In care homes, community settings, and hospitals, professionals frequently encounter older adults experiencing loneliness. Social isolation can lead to increased GP visits, hospital admissions, and reliance on mental health services. Addressing this issue is essential for improving outcomes and reducing strain on the NHS and social care systems. It also aligns with the goals of integrated care models that promote holistic wellbeing. </w:t>
      </w:r>
    </w:p>
    <w:p w14:paraId="081DE146"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Justification for Research</w:t>
      </w:r>
      <w:r w:rsidRPr="00EE1686">
        <w:rPr>
          <w:rFonts w:ascii="Arial" w:hAnsi="Arial" w:cs="Arial"/>
          <w:u w:val="single"/>
        </w:rPr>
        <w:t> </w:t>
      </w:r>
    </w:p>
    <w:p w14:paraId="7D580189" w14:textId="77777777" w:rsidR="00EE1686" w:rsidRPr="00EE1686" w:rsidRDefault="00EE1686" w:rsidP="00EE1686">
      <w:pPr>
        <w:spacing w:line="360" w:lineRule="auto"/>
        <w:rPr>
          <w:rFonts w:ascii="Arial" w:hAnsi="Arial" w:cs="Arial"/>
        </w:rPr>
      </w:pPr>
      <w:r w:rsidRPr="00EE1686">
        <w:rPr>
          <w:rFonts w:ascii="Arial" w:hAnsi="Arial" w:cs="Arial"/>
        </w:rPr>
        <w:t>This research is necessary for several reasons: </w:t>
      </w:r>
    </w:p>
    <w:p w14:paraId="343FCD12" w14:textId="77777777" w:rsidR="00EE1686" w:rsidRPr="00EE1686" w:rsidRDefault="00EE1686" w:rsidP="00EE1686">
      <w:pPr>
        <w:numPr>
          <w:ilvl w:val="0"/>
          <w:numId w:val="1"/>
        </w:numPr>
        <w:spacing w:line="360" w:lineRule="auto"/>
        <w:rPr>
          <w:rFonts w:ascii="Arial" w:hAnsi="Arial" w:cs="Arial"/>
        </w:rPr>
      </w:pPr>
      <w:r w:rsidRPr="00EE1686">
        <w:rPr>
          <w:rFonts w:ascii="Arial" w:hAnsi="Arial" w:cs="Arial"/>
          <w:b/>
          <w:bCs/>
        </w:rPr>
        <w:t>Policy Alignment</w:t>
      </w:r>
      <w:r w:rsidRPr="00EE1686">
        <w:rPr>
          <w:rFonts w:ascii="Arial" w:hAnsi="Arial" w:cs="Arial"/>
        </w:rPr>
        <w:t>: The Department of Health and Social Care (DHSC) identifies mental health in aging as a priority area for research and intervention (DHSC, 2023). </w:t>
      </w:r>
    </w:p>
    <w:p w14:paraId="0EAAFF63" w14:textId="77777777" w:rsidR="00EE1686" w:rsidRPr="00EE1686" w:rsidRDefault="00EE1686" w:rsidP="00EE1686">
      <w:pPr>
        <w:numPr>
          <w:ilvl w:val="0"/>
          <w:numId w:val="2"/>
        </w:numPr>
        <w:spacing w:line="360" w:lineRule="auto"/>
        <w:rPr>
          <w:rFonts w:ascii="Arial" w:hAnsi="Arial" w:cs="Arial"/>
        </w:rPr>
      </w:pPr>
      <w:r w:rsidRPr="00EE1686">
        <w:rPr>
          <w:rFonts w:ascii="Arial" w:hAnsi="Arial" w:cs="Arial"/>
          <w:b/>
          <w:bCs/>
        </w:rPr>
        <w:t>Service Improvement</w:t>
      </w:r>
      <w:r w:rsidRPr="00EE1686">
        <w:rPr>
          <w:rFonts w:ascii="Arial" w:hAnsi="Arial" w:cs="Arial"/>
        </w:rPr>
        <w:t>: Understanding the emotional impact of isolation can help care providers design more empathetic and effective support systems. </w:t>
      </w:r>
    </w:p>
    <w:p w14:paraId="51143641" w14:textId="77777777" w:rsidR="00EE1686" w:rsidRPr="00EE1686" w:rsidRDefault="00EE1686" w:rsidP="00EE1686">
      <w:pPr>
        <w:numPr>
          <w:ilvl w:val="0"/>
          <w:numId w:val="3"/>
        </w:numPr>
        <w:spacing w:line="360" w:lineRule="auto"/>
        <w:rPr>
          <w:rFonts w:ascii="Arial" w:hAnsi="Arial" w:cs="Arial"/>
        </w:rPr>
      </w:pPr>
      <w:r w:rsidRPr="00EE1686">
        <w:rPr>
          <w:rFonts w:ascii="Arial" w:hAnsi="Arial" w:cs="Arial"/>
          <w:b/>
          <w:bCs/>
        </w:rPr>
        <w:lastRenderedPageBreak/>
        <w:t>Professional Development</w:t>
      </w:r>
      <w:r w:rsidRPr="00EE1686">
        <w:rPr>
          <w:rFonts w:ascii="Arial" w:hAnsi="Arial" w:cs="Arial"/>
        </w:rPr>
        <w:t>: For future social workers and health professionals, this research enhances awareness and equips them with strategies to address isolation in practice. </w:t>
      </w:r>
    </w:p>
    <w:p w14:paraId="0F724BC9"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Selected Information Sources</w:t>
      </w:r>
      <w:r w:rsidRPr="00EE1686">
        <w:rPr>
          <w:rFonts w:ascii="Arial" w:hAnsi="Arial" w:cs="Arial"/>
          <w:u w:val="single"/>
        </w:rPr>
        <w:t> </w:t>
      </w:r>
    </w:p>
    <w:p w14:paraId="2ED20E46" w14:textId="77777777" w:rsidR="00EE1686" w:rsidRPr="00EE1686" w:rsidRDefault="00EE1686" w:rsidP="00EE1686">
      <w:pPr>
        <w:numPr>
          <w:ilvl w:val="0"/>
          <w:numId w:val="4"/>
        </w:numPr>
        <w:spacing w:line="360" w:lineRule="auto"/>
        <w:rPr>
          <w:rFonts w:ascii="Arial" w:hAnsi="Arial" w:cs="Arial"/>
        </w:rPr>
      </w:pPr>
      <w:r w:rsidRPr="00EE1686">
        <w:rPr>
          <w:rFonts w:ascii="Arial" w:hAnsi="Arial" w:cs="Arial"/>
          <w:b/>
          <w:bCs/>
        </w:rPr>
        <w:t>Department of Health and Social Care (2023)</w:t>
      </w:r>
      <w:r w:rsidRPr="00EE1686">
        <w:rPr>
          <w:rFonts w:ascii="Arial" w:hAnsi="Arial" w:cs="Arial"/>
        </w:rPr>
        <w:t> This government publication outlines key areas of research interest, including mental health in older adults. It emphasizes the need for evidence-based strategies to support aging populations and highlights the importance of social care integration. </w:t>
      </w:r>
      <w:r w:rsidRPr="00EE1686">
        <w:rPr>
          <w:rFonts w:ascii="Arial" w:hAnsi="Arial" w:cs="Arial"/>
          <w:i/>
          <w:iCs/>
        </w:rPr>
        <w:t>Justification</w:t>
      </w:r>
      <w:r w:rsidRPr="00EE1686">
        <w:rPr>
          <w:rFonts w:ascii="Arial" w:hAnsi="Arial" w:cs="Arial"/>
        </w:rPr>
        <w:t>: As a policy-level source, it provides authoritative insight into national priorities and supports the relevance of this research topic.  </w:t>
      </w:r>
    </w:p>
    <w:p w14:paraId="4B7A6C5F" w14:textId="77777777" w:rsidR="00EE1686" w:rsidRPr="00EE1686" w:rsidRDefault="00EE1686" w:rsidP="00EE1686">
      <w:pPr>
        <w:numPr>
          <w:ilvl w:val="0"/>
          <w:numId w:val="5"/>
        </w:numPr>
        <w:spacing w:line="360" w:lineRule="auto"/>
        <w:rPr>
          <w:rFonts w:ascii="Arial" w:hAnsi="Arial" w:cs="Arial"/>
        </w:rPr>
      </w:pPr>
      <w:r w:rsidRPr="00EE1686">
        <w:rPr>
          <w:rFonts w:ascii="Arial" w:hAnsi="Arial" w:cs="Arial"/>
          <w:b/>
          <w:bCs/>
        </w:rPr>
        <w:t>National Institute for Health Research (2023)</w:t>
      </w:r>
      <w:r w:rsidRPr="00EE1686">
        <w:rPr>
          <w:rFonts w:ascii="Arial" w:hAnsi="Arial" w:cs="Arial"/>
        </w:rPr>
        <w:t> The NIHR discusses funding gaps and research needs in social care, particularly around mental health and aging. It offers guidance on developing proposals and highlights the importance of qualitative approaches. </w:t>
      </w:r>
      <w:r w:rsidRPr="00EE1686">
        <w:rPr>
          <w:rFonts w:ascii="Arial" w:hAnsi="Arial" w:cs="Arial"/>
          <w:i/>
          <w:iCs/>
        </w:rPr>
        <w:t>Justification</w:t>
      </w:r>
      <w:r w:rsidRPr="00EE1686">
        <w:rPr>
          <w:rFonts w:ascii="Arial" w:hAnsi="Arial" w:cs="Arial"/>
        </w:rPr>
        <w:t>: This source supports the academic and practical relevance of the topic and informs the methodological approach.  </w:t>
      </w:r>
    </w:p>
    <w:p w14:paraId="329C434B" w14:textId="77777777" w:rsidR="00EE1686" w:rsidRPr="00EE1686" w:rsidRDefault="00EE1686" w:rsidP="00EE1686">
      <w:pPr>
        <w:numPr>
          <w:ilvl w:val="0"/>
          <w:numId w:val="6"/>
        </w:numPr>
        <w:spacing w:line="360" w:lineRule="auto"/>
        <w:rPr>
          <w:rFonts w:ascii="Arial" w:hAnsi="Arial" w:cs="Arial"/>
        </w:rPr>
      </w:pPr>
      <w:r w:rsidRPr="00EE1686">
        <w:rPr>
          <w:rFonts w:ascii="Arial" w:hAnsi="Arial" w:cs="Arial"/>
          <w:b/>
          <w:bCs/>
        </w:rPr>
        <w:t>UK Parliament POST note (2025)</w:t>
      </w:r>
      <w:r w:rsidRPr="00EE1686">
        <w:rPr>
          <w:rFonts w:ascii="Arial" w:hAnsi="Arial" w:cs="Arial"/>
        </w:rPr>
        <w:t> This publication reviews winter mortality and the effects of social isolation on older adults. It presents evidence-based findings and discusses interventions to reduce loneliness and improve mental health. </w:t>
      </w:r>
      <w:r w:rsidRPr="00EE1686">
        <w:rPr>
          <w:rFonts w:ascii="Arial" w:hAnsi="Arial" w:cs="Arial"/>
          <w:i/>
          <w:iCs/>
        </w:rPr>
        <w:t>Justification</w:t>
      </w:r>
      <w:r w:rsidRPr="00EE1686">
        <w:rPr>
          <w:rFonts w:ascii="Arial" w:hAnsi="Arial" w:cs="Arial"/>
        </w:rPr>
        <w:t>: As a research-based government source, it provides current data and policy implications, reinforcing the urgency of the issue.  </w:t>
      </w:r>
    </w:p>
    <w:p w14:paraId="2FCE525D" w14:textId="77777777" w:rsidR="00EE1686" w:rsidRPr="00EE1686" w:rsidRDefault="00EE1686" w:rsidP="00EE1686">
      <w:pPr>
        <w:spacing w:line="360" w:lineRule="auto"/>
        <w:rPr>
          <w:rFonts w:ascii="Arial" w:hAnsi="Arial" w:cs="Arial"/>
        </w:rPr>
      </w:pPr>
      <w:r w:rsidRPr="00EE1686">
        <w:rPr>
          <w:rFonts w:ascii="Arial" w:hAnsi="Arial" w:cs="Arial"/>
          <w:b/>
          <w:bCs/>
        </w:rPr>
        <w:t> </w:t>
      </w:r>
      <w:r w:rsidRPr="00EE1686">
        <w:rPr>
          <w:rFonts w:ascii="Arial" w:hAnsi="Arial" w:cs="Arial"/>
        </w:rPr>
        <w:t> </w:t>
      </w:r>
    </w:p>
    <w:p w14:paraId="193A8384" w14:textId="77777777" w:rsidR="00EE1686" w:rsidRPr="00EE1686" w:rsidRDefault="00EE1686" w:rsidP="00EE1686">
      <w:pPr>
        <w:spacing w:line="360" w:lineRule="auto"/>
        <w:rPr>
          <w:rFonts w:ascii="Arial" w:hAnsi="Arial" w:cs="Arial"/>
        </w:rPr>
      </w:pPr>
      <w:r w:rsidRPr="00EE1686">
        <w:rPr>
          <w:rFonts w:ascii="Arial" w:hAnsi="Arial" w:cs="Arial"/>
          <w:b/>
          <w:bCs/>
        </w:rPr>
        <w:t>Quantitative research</w:t>
      </w:r>
      <w:r w:rsidRPr="00EE1686">
        <w:rPr>
          <w:rFonts w:ascii="Arial" w:hAnsi="Arial" w:cs="Arial"/>
        </w:rPr>
        <w:t> involves collecting numerical data to identify patterns, test hypotheses, and generalize. It uses tools like surveys, questionnaires, and statistical analysis. This method is useful for measuring prevalence and comparing variables across populations. </w:t>
      </w:r>
    </w:p>
    <w:p w14:paraId="74D42E99" w14:textId="77777777" w:rsidR="00EE1686" w:rsidRPr="00EE1686" w:rsidRDefault="00EE1686" w:rsidP="00EE1686">
      <w:pPr>
        <w:spacing w:line="360" w:lineRule="auto"/>
        <w:rPr>
          <w:rFonts w:ascii="Arial" w:hAnsi="Arial" w:cs="Arial"/>
        </w:rPr>
      </w:pPr>
      <w:r w:rsidRPr="00EE1686">
        <w:rPr>
          <w:rFonts w:ascii="Arial" w:hAnsi="Arial" w:cs="Arial"/>
          <w:b/>
          <w:bCs/>
        </w:rPr>
        <w:t>Qualitative research</w:t>
      </w:r>
      <w:r w:rsidRPr="00EE1686">
        <w:rPr>
          <w:rFonts w:ascii="Arial" w:hAnsi="Arial" w:cs="Arial"/>
        </w:rPr>
        <w:t>, on the other hand, explores lived experiences, emotions, and perceptions. It uses interviews, focus groups, and thematic analysis to understand complex human behaviours. This approach is ideal for capturing depth and context. </w:t>
      </w:r>
    </w:p>
    <w:p w14:paraId="0B0CA703"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Chosen Methodology: Qualitative Research</w:t>
      </w:r>
      <w:r w:rsidRPr="00EE1686">
        <w:rPr>
          <w:rFonts w:ascii="Arial" w:hAnsi="Arial" w:cs="Arial"/>
          <w:u w:val="single"/>
        </w:rPr>
        <w:t> </w:t>
      </w:r>
    </w:p>
    <w:p w14:paraId="7F6FC247" w14:textId="77777777" w:rsidR="00EE1686" w:rsidRPr="00EE1686" w:rsidRDefault="00EE1686" w:rsidP="00EE1686">
      <w:pPr>
        <w:spacing w:line="360" w:lineRule="auto"/>
        <w:rPr>
          <w:rFonts w:ascii="Arial" w:hAnsi="Arial" w:cs="Arial"/>
        </w:rPr>
      </w:pPr>
      <w:r w:rsidRPr="00EE1686">
        <w:rPr>
          <w:rFonts w:ascii="Arial" w:hAnsi="Arial" w:cs="Arial"/>
        </w:rPr>
        <w:t>For this study, qualitative research is the most appropriate methodology. Social isolation is a deeply personal experience, and its impact on mental health varies across individuals. By conducting semi-structured interviews with older adults, the research can uncover emotional narratives, coping strategies, and unmet needs. </w:t>
      </w:r>
    </w:p>
    <w:p w14:paraId="7D7D13BA" w14:textId="77777777" w:rsidR="00EE1686" w:rsidRPr="00EE1686" w:rsidRDefault="00EE1686" w:rsidP="00EE1686">
      <w:pPr>
        <w:spacing w:line="360" w:lineRule="auto"/>
        <w:rPr>
          <w:rFonts w:ascii="Arial" w:hAnsi="Arial" w:cs="Arial"/>
        </w:rPr>
      </w:pPr>
      <w:r w:rsidRPr="00EE1686">
        <w:rPr>
          <w:rFonts w:ascii="Arial" w:hAnsi="Arial" w:cs="Arial"/>
        </w:rPr>
        <w:lastRenderedPageBreak/>
        <w:t>Qualitative methods allow for flexibility and empathy, which are essential when working with vulnerable populations. They also align with person-centred care principles, which are central to health and social care practice. This approach supports the development of tailored interventions and enhances understanding of the psychological effects of isolation. </w:t>
      </w:r>
    </w:p>
    <w:p w14:paraId="426AC32D"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Data Collection </w:t>
      </w:r>
      <w:r w:rsidRPr="00EE1686">
        <w:rPr>
          <w:rFonts w:ascii="Arial" w:hAnsi="Arial" w:cs="Arial"/>
          <w:u w:val="single"/>
        </w:rPr>
        <w:t> </w:t>
      </w:r>
    </w:p>
    <w:p w14:paraId="14CE71E3"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Primary vs. Secondary Data</w:t>
      </w:r>
      <w:r w:rsidRPr="00EE1686">
        <w:rPr>
          <w:rFonts w:ascii="Arial" w:hAnsi="Arial" w:cs="Arial"/>
          <w:u w:val="single"/>
        </w:rPr>
        <w:t> </w:t>
      </w:r>
    </w:p>
    <w:p w14:paraId="4EF3D174" w14:textId="77777777" w:rsidR="00EE1686" w:rsidRPr="00EE1686" w:rsidRDefault="00EE1686" w:rsidP="00EE1686">
      <w:pPr>
        <w:spacing w:line="360" w:lineRule="auto"/>
        <w:rPr>
          <w:rFonts w:ascii="Arial" w:hAnsi="Arial" w:cs="Arial"/>
        </w:rPr>
      </w:pPr>
      <w:r w:rsidRPr="00EE1686">
        <w:rPr>
          <w:rFonts w:ascii="Arial" w:hAnsi="Arial" w:cs="Arial"/>
          <w:b/>
          <w:bCs/>
        </w:rPr>
        <w:t>Primary data</w:t>
      </w:r>
      <w:r w:rsidRPr="00EE1686">
        <w:rPr>
          <w:rFonts w:ascii="Arial" w:hAnsi="Arial" w:cs="Arial"/>
        </w:rPr>
        <w:t> is collected directly by the researcher through methods such as interviews, surveys, or observations. It provides firsthand insights and is tailored to the specific research question. </w:t>
      </w:r>
    </w:p>
    <w:p w14:paraId="7AB72D9F" w14:textId="77777777" w:rsidR="00EE1686" w:rsidRPr="00EE1686" w:rsidRDefault="00EE1686" w:rsidP="00EE1686">
      <w:pPr>
        <w:spacing w:line="360" w:lineRule="auto"/>
        <w:rPr>
          <w:rFonts w:ascii="Arial" w:hAnsi="Arial" w:cs="Arial"/>
        </w:rPr>
      </w:pPr>
      <w:r w:rsidRPr="00EE1686">
        <w:rPr>
          <w:rFonts w:ascii="Arial" w:hAnsi="Arial" w:cs="Arial"/>
          <w:b/>
          <w:bCs/>
        </w:rPr>
        <w:t>Secondary data</w:t>
      </w:r>
      <w:r w:rsidRPr="00EE1686">
        <w:rPr>
          <w:rFonts w:ascii="Arial" w:hAnsi="Arial" w:cs="Arial"/>
        </w:rPr>
        <w:t> refers to existing information gathered by others, such as government reports, academic articles, or statistical databases. It is useful for background research and comparative analysis. </w:t>
      </w:r>
    </w:p>
    <w:p w14:paraId="605E2ED6" w14:textId="77777777" w:rsidR="00EE1686" w:rsidRPr="00EE1686" w:rsidRDefault="00EE1686" w:rsidP="00EE1686">
      <w:pPr>
        <w:spacing w:line="360" w:lineRule="auto"/>
        <w:rPr>
          <w:rFonts w:ascii="Arial" w:hAnsi="Arial" w:cs="Arial"/>
          <w:u w:val="single"/>
        </w:rPr>
      </w:pPr>
      <w:r w:rsidRPr="00EE1686">
        <w:rPr>
          <w:rFonts w:ascii="Arial" w:hAnsi="Arial" w:cs="Arial"/>
          <w:b/>
          <w:bCs/>
          <w:u w:val="single"/>
        </w:rPr>
        <w:t>Chosen Data Type: Primary Data</w:t>
      </w:r>
      <w:r w:rsidRPr="00EE1686">
        <w:rPr>
          <w:rFonts w:ascii="Arial" w:hAnsi="Arial" w:cs="Arial"/>
          <w:u w:val="single"/>
        </w:rPr>
        <w:t> </w:t>
      </w:r>
    </w:p>
    <w:p w14:paraId="1837AE2C" w14:textId="77777777" w:rsidR="00EE1686" w:rsidRPr="00EE1686" w:rsidRDefault="00EE1686" w:rsidP="00EE1686">
      <w:pPr>
        <w:spacing w:line="360" w:lineRule="auto"/>
        <w:rPr>
          <w:rFonts w:ascii="Arial" w:hAnsi="Arial" w:cs="Arial"/>
        </w:rPr>
      </w:pPr>
      <w:r w:rsidRPr="00EE1686">
        <w:rPr>
          <w:rFonts w:ascii="Arial" w:hAnsi="Arial" w:cs="Arial"/>
        </w:rPr>
        <w:t>This research will use primary data collected through interviews with older adults in care homes and community settings. This approach allows for direct engagement with participants, ensuring that their voices and experiences are central to the findings. </w:t>
      </w:r>
    </w:p>
    <w:p w14:paraId="2B218D13" w14:textId="77777777" w:rsidR="00EE1686" w:rsidRPr="00EE1686" w:rsidRDefault="00EE1686" w:rsidP="00EE1686">
      <w:pPr>
        <w:spacing w:line="360" w:lineRule="auto"/>
        <w:rPr>
          <w:rFonts w:ascii="Arial" w:hAnsi="Arial" w:cs="Arial"/>
        </w:rPr>
      </w:pPr>
      <w:r w:rsidRPr="00EE1686">
        <w:rPr>
          <w:rFonts w:ascii="Arial" w:hAnsi="Arial" w:cs="Arial"/>
        </w:rPr>
        <w:t>Primary data is essential for understanding the emotional and psychological dimensions of social isolation. It enables the researcher to explore themes such as loneliness, coping mechanisms, and the role of social support. Additionally, it supports ethical and person-centred research practices, which are vital in health and social care. </w:t>
      </w:r>
    </w:p>
    <w:p w14:paraId="412DE97E" w14:textId="77777777" w:rsidR="00EE1686" w:rsidRPr="00EE1686" w:rsidRDefault="00EE1686" w:rsidP="00EE1686">
      <w:pPr>
        <w:spacing w:line="360" w:lineRule="auto"/>
        <w:rPr>
          <w:rFonts w:ascii="Arial" w:hAnsi="Arial" w:cs="Arial"/>
        </w:rPr>
      </w:pPr>
      <w:r w:rsidRPr="00EE1686">
        <w:rPr>
          <w:rFonts w:ascii="Arial" w:hAnsi="Arial" w:cs="Arial"/>
        </w:rPr>
        <w:t>While secondary data will be used to contextualize the findings, the core insights will come from qualitative interviews. This combination ensures a balanced and comprehensive understanding of the issue. </w:t>
      </w:r>
    </w:p>
    <w:p w14:paraId="741328A5" w14:textId="77777777" w:rsidR="001062B4" w:rsidRDefault="00EE1686" w:rsidP="00EE1686">
      <w:pPr>
        <w:spacing w:line="360" w:lineRule="auto"/>
        <w:rPr>
          <w:rFonts w:ascii="Arial" w:hAnsi="Arial" w:cs="Arial"/>
        </w:rPr>
      </w:pPr>
      <w:r w:rsidRPr="00EE1686">
        <w:rPr>
          <w:rFonts w:ascii="Arial" w:hAnsi="Arial" w:cs="Arial"/>
        </w:rPr>
        <w:t>Social isolation among older adults is a pressing issue in the UK’s health and social care sector. It has significant implications for mental health and service delivery. This report has identified the need for research into this topic, justified its relevance, and outlined a qualitative methodology using primary data collection. By engaging directly with older adults, the research will uncover personal experiences and inform better care practices. The findings will support future professionals in designing empathetic, effective interventions and contribute to policy development. Ultimately, addressing social isolation is not just a clinical challenge—it’s a moral imperative to ensure dignity, wellbeing, and connection for older members of society. </w:t>
      </w:r>
    </w:p>
    <w:p w14:paraId="610C9C89" w14:textId="2D69000E" w:rsidR="00EE1686" w:rsidRPr="00EE1686" w:rsidRDefault="00EE1686" w:rsidP="00EE1686">
      <w:pPr>
        <w:spacing w:line="360" w:lineRule="auto"/>
        <w:rPr>
          <w:rFonts w:ascii="Arial" w:hAnsi="Arial" w:cs="Arial"/>
        </w:rPr>
      </w:pPr>
      <w:r w:rsidRPr="00EE1686">
        <w:rPr>
          <w:rFonts w:ascii="Arial" w:hAnsi="Arial" w:cs="Arial"/>
        </w:rPr>
        <w:lastRenderedPageBreak/>
        <w:t> </w:t>
      </w:r>
      <w:r w:rsidRPr="00EE1686">
        <w:rPr>
          <w:rFonts w:ascii="Arial" w:hAnsi="Arial" w:cs="Arial"/>
          <w:b/>
          <w:bCs/>
          <w:u w:val="single"/>
        </w:rPr>
        <w:t>References</w:t>
      </w:r>
    </w:p>
    <w:p w14:paraId="3BDE0BF6" w14:textId="77777777" w:rsidR="00EE1686" w:rsidRPr="00EE1686" w:rsidRDefault="00EE1686" w:rsidP="00EE1686">
      <w:pPr>
        <w:numPr>
          <w:ilvl w:val="0"/>
          <w:numId w:val="7"/>
        </w:numPr>
        <w:spacing w:line="360" w:lineRule="auto"/>
        <w:rPr>
          <w:rFonts w:ascii="Arial" w:hAnsi="Arial" w:cs="Arial"/>
        </w:rPr>
      </w:pPr>
      <w:r w:rsidRPr="00EE1686">
        <w:rPr>
          <w:rFonts w:ascii="Arial" w:hAnsi="Arial" w:cs="Arial"/>
        </w:rPr>
        <w:t>Department of Health and Social Care. (2023). </w:t>
      </w:r>
      <w:r w:rsidRPr="00EE1686">
        <w:rPr>
          <w:rFonts w:ascii="Arial" w:hAnsi="Arial" w:cs="Arial"/>
          <w:i/>
          <w:iCs/>
        </w:rPr>
        <w:t>Areas of Research Interest</w:t>
      </w:r>
      <w:r w:rsidRPr="00EE1686">
        <w:rPr>
          <w:rFonts w:ascii="Arial" w:hAnsi="Arial" w:cs="Arial"/>
        </w:rPr>
        <w:t>. Available at: https://www.gov.uk/government/publications/department-of-health-areas-of-research-interest/department-of-health-areas-of-research-interest [Accessed 15 November 2025]. </w:t>
      </w:r>
    </w:p>
    <w:p w14:paraId="507DAE30" w14:textId="77777777" w:rsidR="00EE1686" w:rsidRPr="00EE1686" w:rsidRDefault="00EE1686" w:rsidP="00EE1686">
      <w:pPr>
        <w:numPr>
          <w:ilvl w:val="0"/>
          <w:numId w:val="8"/>
        </w:numPr>
        <w:spacing w:line="360" w:lineRule="auto"/>
        <w:rPr>
          <w:rFonts w:ascii="Arial" w:hAnsi="Arial" w:cs="Arial"/>
        </w:rPr>
      </w:pPr>
      <w:r w:rsidRPr="00EE1686">
        <w:rPr>
          <w:rFonts w:ascii="Arial" w:hAnsi="Arial" w:cs="Arial"/>
        </w:rPr>
        <w:t>National Institute for Health Research. (2023). </w:t>
      </w:r>
      <w:r w:rsidRPr="00EE1686">
        <w:rPr>
          <w:rFonts w:ascii="Arial" w:hAnsi="Arial" w:cs="Arial"/>
          <w:i/>
          <w:iCs/>
        </w:rPr>
        <w:t>DHSC Areas of Research Interest</w:t>
      </w:r>
      <w:r w:rsidRPr="00EE1686">
        <w:rPr>
          <w:rFonts w:ascii="Arial" w:hAnsi="Arial" w:cs="Arial"/>
        </w:rPr>
        <w:t>. Available at: https://www.nihr.ac.uk/department-health-and-social-care-dhsc-areas-research-interest-aris [Accessed 15 November 2025]. </w:t>
      </w:r>
    </w:p>
    <w:p w14:paraId="00904EC5" w14:textId="77777777" w:rsidR="00EE1686" w:rsidRPr="00EE1686" w:rsidRDefault="00EE1686" w:rsidP="00EE1686">
      <w:pPr>
        <w:numPr>
          <w:ilvl w:val="0"/>
          <w:numId w:val="9"/>
        </w:numPr>
        <w:spacing w:line="360" w:lineRule="auto"/>
        <w:rPr>
          <w:rFonts w:ascii="Arial" w:hAnsi="Arial" w:cs="Arial"/>
        </w:rPr>
      </w:pPr>
      <w:r w:rsidRPr="00EE1686">
        <w:rPr>
          <w:rFonts w:ascii="Arial" w:hAnsi="Arial" w:cs="Arial"/>
        </w:rPr>
        <w:t>UK Parliament. (2025). </w:t>
      </w:r>
      <w:r w:rsidRPr="00EE1686">
        <w:rPr>
          <w:rFonts w:ascii="Arial" w:hAnsi="Arial" w:cs="Arial"/>
          <w:i/>
          <w:iCs/>
        </w:rPr>
        <w:t>Health and Social Care Research Publications</w:t>
      </w:r>
      <w:r w:rsidRPr="00EE1686">
        <w:rPr>
          <w:rFonts w:ascii="Arial" w:hAnsi="Arial" w:cs="Arial"/>
        </w:rPr>
        <w:t>. Available at: https://post.parliament.uk/topic/health-and-social-care/ [Accessed 15 November 2025]. </w:t>
      </w:r>
    </w:p>
    <w:p w14:paraId="0A99E971" w14:textId="77777777" w:rsidR="0070111D" w:rsidRPr="00EE1686" w:rsidRDefault="0070111D" w:rsidP="00EE1686">
      <w:pPr>
        <w:spacing w:line="360" w:lineRule="auto"/>
        <w:rPr>
          <w:rFonts w:ascii="Arial" w:hAnsi="Arial" w:cs="Arial"/>
        </w:rPr>
      </w:pPr>
    </w:p>
    <w:sectPr w:rsidR="0070111D" w:rsidRPr="00EE1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2F82"/>
    <w:multiLevelType w:val="multilevel"/>
    <w:tmpl w:val="AC56F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FC025D"/>
    <w:multiLevelType w:val="multilevel"/>
    <w:tmpl w:val="CC8E0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084A82"/>
    <w:multiLevelType w:val="multilevel"/>
    <w:tmpl w:val="246EE5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045C36"/>
    <w:multiLevelType w:val="multilevel"/>
    <w:tmpl w:val="7E76F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F050CE"/>
    <w:multiLevelType w:val="multilevel"/>
    <w:tmpl w:val="74EE7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AA4511"/>
    <w:multiLevelType w:val="multilevel"/>
    <w:tmpl w:val="B792D1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8407E6"/>
    <w:multiLevelType w:val="multilevel"/>
    <w:tmpl w:val="70A86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E617B6"/>
    <w:multiLevelType w:val="multilevel"/>
    <w:tmpl w:val="BC905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FC271A"/>
    <w:multiLevelType w:val="multilevel"/>
    <w:tmpl w:val="A778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6089062">
    <w:abstractNumId w:val="7"/>
  </w:num>
  <w:num w:numId="2" w16cid:durableId="1506508715">
    <w:abstractNumId w:val="3"/>
  </w:num>
  <w:num w:numId="3" w16cid:durableId="1187989526">
    <w:abstractNumId w:val="1"/>
  </w:num>
  <w:num w:numId="4" w16cid:durableId="521166281">
    <w:abstractNumId w:val="4"/>
  </w:num>
  <w:num w:numId="5" w16cid:durableId="207573835">
    <w:abstractNumId w:val="5"/>
  </w:num>
  <w:num w:numId="6" w16cid:durableId="173494686">
    <w:abstractNumId w:val="2"/>
  </w:num>
  <w:num w:numId="7" w16cid:durableId="1946578470">
    <w:abstractNumId w:val="6"/>
  </w:num>
  <w:num w:numId="8" w16cid:durableId="1574007388">
    <w:abstractNumId w:val="0"/>
  </w:num>
  <w:num w:numId="9" w16cid:durableId="9656183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686"/>
    <w:rsid w:val="001062B4"/>
    <w:rsid w:val="005A5071"/>
    <w:rsid w:val="006402A8"/>
    <w:rsid w:val="0070111D"/>
    <w:rsid w:val="0086668C"/>
    <w:rsid w:val="00DF7865"/>
    <w:rsid w:val="00EE1686"/>
    <w:rsid w:val="00FD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F16D2"/>
  <w15:chartTrackingRefBased/>
  <w15:docId w15:val="{F97DE8F0-D4CD-4585-B301-D024EF03E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6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16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16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6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6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6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6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6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6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6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16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16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6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6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6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6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6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686"/>
    <w:rPr>
      <w:rFonts w:eastAsiaTheme="majorEastAsia" w:cstheme="majorBidi"/>
      <w:color w:val="272727" w:themeColor="text1" w:themeTint="D8"/>
    </w:rPr>
  </w:style>
  <w:style w:type="paragraph" w:styleId="Title">
    <w:name w:val="Title"/>
    <w:basedOn w:val="Normal"/>
    <w:next w:val="Normal"/>
    <w:link w:val="TitleChar"/>
    <w:uiPriority w:val="10"/>
    <w:qFormat/>
    <w:rsid w:val="00EE16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6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6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6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686"/>
    <w:pPr>
      <w:spacing w:before="160"/>
      <w:jc w:val="center"/>
    </w:pPr>
    <w:rPr>
      <w:i/>
      <w:iCs/>
      <w:color w:val="404040" w:themeColor="text1" w:themeTint="BF"/>
    </w:rPr>
  </w:style>
  <w:style w:type="character" w:customStyle="1" w:styleId="QuoteChar">
    <w:name w:val="Quote Char"/>
    <w:basedOn w:val="DefaultParagraphFont"/>
    <w:link w:val="Quote"/>
    <w:uiPriority w:val="29"/>
    <w:rsid w:val="00EE1686"/>
    <w:rPr>
      <w:i/>
      <w:iCs/>
      <w:color w:val="404040" w:themeColor="text1" w:themeTint="BF"/>
    </w:rPr>
  </w:style>
  <w:style w:type="paragraph" w:styleId="ListParagraph">
    <w:name w:val="List Paragraph"/>
    <w:basedOn w:val="Normal"/>
    <w:uiPriority w:val="34"/>
    <w:qFormat/>
    <w:rsid w:val="00EE1686"/>
    <w:pPr>
      <w:ind w:left="720"/>
      <w:contextualSpacing/>
    </w:pPr>
  </w:style>
  <w:style w:type="character" w:styleId="IntenseEmphasis">
    <w:name w:val="Intense Emphasis"/>
    <w:basedOn w:val="DefaultParagraphFont"/>
    <w:uiPriority w:val="21"/>
    <w:qFormat/>
    <w:rsid w:val="00EE1686"/>
    <w:rPr>
      <w:i/>
      <w:iCs/>
      <w:color w:val="0F4761" w:themeColor="accent1" w:themeShade="BF"/>
    </w:rPr>
  </w:style>
  <w:style w:type="paragraph" w:styleId="IntenseQuote">
    <w:name w:val="Intense Quote"/>
    <w:basedOn w:val="Normal"/>
    <w:next w:val="Normal"/>
    <w:link w:val="IntenseQuoteChar"/>
    <w:uiPriority w:val="30"/>
    <w:qFormat/>
    <w:rsid w:val="00EE16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686"/>
    <w:rPr>
      <w:i/>
      <w:iCs/>
      <w:color w:val="0F4761" w:themeColor="accent1" w:themeShade="BF"/>
    </w:rPr>
  </w:style>
  <w:style w:type="character" w:styleId="IntenseReference">
    <w:name w:val="Intense Reference"/>
    <w:basedOn w:val="DefaultParagraphFont"/>
    <w:uiPriority w:val="32"/>
    <w:qFormat/>
    <w:rsid w:val="00EE168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1161</Words>
  <Characters>6618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Tempany Hartwell</dc:creator>
  <cp:keywords/>
  <dc:description/>
  <cp:lastModifiedBy>Tempany Hartwell</cp:lastModifiedBy>
  <cp:revision>1</cp:revision>
  <dcterms:created xsi:type="dcterms:W3CDTF">2025-11-23T13:10:00Z</dcterms:created>
  <dcterms:modified xsi:type="dcterms:W3CDTF">2025-11-23T13:26:00Z</dcterms:modified>
</cp:coreProperties>
</file>