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Times New Roman" w:cs="Times New Roman" w:eastAsia="Times New Roman" w:hAnsi="Times New Roman"/>
          <w:color w:val="0b0c0c"/>
          <w:sz w:val="24"/>
          <w:szCs w:val="24"/>
        </w:rPr>
      </w:pPr>
      <w:r w:rsidDel="00000000" w:rsidR="00000000" w:rsidRPr="00000000">
        <w:rPr>
          <w:rFonts w:ascii="Times New Roman" w:cs="Times New Roman" w:eastAsia="Times New Roman" w:hAnsi="Times New Roman"/>
          <w:color w:val="0b0c0c"/>
          <w:sz w:val="24"/>
          <w:szCs w:val="24"/>
          <w:rtl w:val="0"/>
        </w:rPr>
        <w:t xml:space="preserve">Falls and fall-related injuries correspond to an enormous effect on individuals, society and the healthcare system. This essay will discuss the current frequency of falling and fall-related injuries in the UK, how it is related to age and gender and compare and contrast the frequency of fall and fall-related injuries in active and inactive individuals, secondly explore the cost-effectiveness falling has on the healthcare system and society. Each year there are 37.3 million falls which are severe enough to require medical attention (WHO,2021). </w:t>
      </w:r>
    </w:p>
    <w:p w:rsidR="00000000" w:rsidDel="00000000" w:rsidP="00000000" w:rsidRDefault="00000000" w:rsidRPr="00000000" w14:paraId="00000002">
      <w:pPr>
        <w:spacing w:line="360" w:lineRule="auto"/>
        <w:rPr>
          <w:rFonts w:ascii="Times New Roman" w:cs="Times New Roman" w:eastAsia="Times New Roman" w:hAnsi="Times New Roman"/>
          <w:color w:val="0b0c0c"/>
          <w:sz w:val="24"/>
          <w:szCs w:val="24"/>
        </w:rPr>
      </w:pPr>
      <w:r w:rsidDel="00000000" w:rsidR="00000000" w:rsidRPr="00000000">
        <w:rPr>
          <w:rFonts w:ascii="Times New Roman" w:cs="Times New Roman" w:eastAsia="Times New Roman" w:hAnsi="Times New Roman"/>
          <w:color w:val="0b0c0c"/>
          <w:sz w:val="24"/>
          <w:szCs w:val="24"/>
          <w:rtl w:val="0"/>
        </w:rPr>
        <w:t xml:space="preserve">Furthermore, it will explore prevention strategies which should accentuate training, creating safer environments, prioritising fall-related research, education and establishing effective policies to reduce the risk (WHO,2021).</w:t>
      </w:r>
    </w:p>
    <w:p w:rsidR="00000000" w:rsidDel="00000000" w:rsidP="00000000" w:rsidRDefault="00000000" w:rsidRPr="00000000" w14:paraId="00000003">
      <w:pPr>
        <w:spacing w:line="360" w:lineRule="auto"/>
        <w:rPr>
          <w:rFonts w:ascii="Times New Roman" w:cs="Times New Roman" w:eastAsia="Times New Roman" w:hAnsi="Times New Roman"/>
          <w:color w:val="0b0c0c"/>
          <w:sz w:val="24"/>
          <w:szCs w:val="24"/>
        </w:rPr>
      </w:pPr>
      <w:r w:rsidDel="00000000" w:rsidR="00000000" w:rsidRPr="00000000">
        <w:rPr>
          <w:rFonts w:ascii="Times New Roman" w:cs="Times New Roman" w:eastAsia="Times New Roman" w:hAnsi="Times New Roman"/>
          <w:color w:val="0b0c0c"/>
          <w:sz w:val="24"/>
          <w:szCs w:val="24"/>
          <w:rtl w:val="0"/>
        </w:rPr>
        <w:t xml:space="preserve">Having a fall or a fall-related injury can happen to many people; a fall is usually defined as an event which causes an individual to be on the ground or lower level which can be due to a hazardous area or a result of a major intrinsic event (GOV.UK 2022). Age is one of the key risk factors associated with falling, older people have a higher risk of death or injury arising from a fall and this only increases as people get older (WHO, 2021). Consequently when people get older they are prone to fall over more frequently, it is unfortunate and unforeseen although it is a result of human anatomy (GOV.UK 2022).</w:t>
      </w:r>
    </w:p>
    <w:p w:rsidR="00000000" w:rsidDel="00000000" w:rsidP="00000000" w:rsidRDefault="00000000" w:rsidRPr="00000000" w14:paraId="00000004">
      <w:pPr>
        <w:spacing w:line="360" w:lineRule="auto"/>
        <w:rPr>
          <w:rFonts w:ascii="Times New Roman" w:cs="Times New Roman" w:eastAsia="Times New Roman" w:hAnsi="Times New Roman"/>
          <w:color w:val="0b0c0c"/>
          <w:sz w:val="24"/>
          <w:szCs w:val="24"/>
        </w:rPr>
      </w:pPr>
      <w:r w:rsidDel="00000000" w:rsidR="00000000" w:rsidRPr="00000000">
        <w:rPr>
          <w:rFonts w:ascii="Times New Roman" w:cs="Times New Roman" w:eastAsia="Times New Roman" w:hAnsi="Times New Roman"/>
          <w:color w:val="0b0c0c"/>
          <w:sz w:val="24"/>
          <w:szCs w:val="24"/>
          <w:rtl w:val="0"/>
        </w:rPr>
        <w:t xml:space="preserve">The natural ageing process is what defines older people to have  an increased risk of falling they could fall due to many of the following; balance problems and muscle weakness, loss of vision or a long term health condition, a fall is likely to happen if floors are wet, the lighting in a room is too dark, rugs or carpets are not secured properly, an individual being in a rush and is not looking at their surrounding or even reaching to certain areas (NHS 2021).</w:t>
      </w:r>
    </w:p>
    <w:p w:rsidR="00000000" w:rsidDel="00000000" w:rsidP="00000000" w:rsidRDefault="00000000" w:rsidRPr="00000000" w14:paraId="00000005">
      <w:pPr>
        <w:spacing w:line="360" w:lineRule="auto"/>
        <w:rPr>
          <w:rFonts w:ascii="Times New Roman" w:cs="Times New Roman" w:eastAsia="Times New Roman" w:hAnsi="Times New Roman"/>
          <w:color w:val="0b0c0c"/>
          <w:sz w:val="24"/>
          <w:szCs w:val="24"/>
        </w:rPr>
      </w:pPr>
      <w:r w:rsidDel="00000000" w:rsidR="00000000" w:rsidRPr="00000000">
        <w:rPr>
          <w:rFonts w:ascii="Times New Roman" w:cs="Times New Roman" w:eastAsia="Times New Roman" w:hAnsi="Times New Roman"/>
          <w:color w:val="0b0c0c"/>
          <w:sz w:val="24"/>
          <w:szCs w:val="24"/>
          <w:rtl w:val="0"/>
        </w:rPr>
        <w:t xml:space="preserve">When compared to less frequent fallers, more frequent fallers had a decreased risk of injury per fall </w:t>
      </w:r>
      <w:r w:rsidDel="00000000" w:rsidR="00000000" w:rsidRPr="00000000">
        <w:rPr>
          <w:rFonts w:ascii="Times New Roman" w:cs="Times New Roman" w:eastAsia="Times New Roman" w:hAnsi="Times New Roman"/>
          <w:color w:val="0b0c0c"/>
          <w:sz w:val="24"/>
          <w:szCs w:val="24"/>
          <w:highlight w:val="white"/>
          <w:rtl w:val="0"/>
        </w:rPr>
        <w:t xml:space="preserve">(Van Schooten, Yang et al. 2018).</w:t>
      </w:r>
      <w:r w:rsidDel="00000000" w:rsidR="00000000" w:rsidRPr="00000000">
        <w:rPr>
          <w:rFonts w:ascii="Times New Roman" w:cs="Times New Roman" w:eastAsia="Times New Roman" w:hAnsi="Times New Roman"/>
          <w:color w:val="0b0c0c"/>
          <w:sz w:val="24"/>
          <w:szCs w:val="24"/>
          <w:rtl w:val="0"/>
        </w:rPr>
        <w:t xml:space="preserve"> </w:t>
      </w:r>
      <w:r w:rsidDel="00000000" w:rsidR="00000000" w:rsidRPr="00000000">
        <w:rPr>
          <w:rFonts w:ascii="Times New Roman" w:cs="Times New Roman" w:eastAsia="Times New Roman" w:hAnsi="Times New Roman"/>
          <w:color w:val="0b0c0c"/>
          <w:sz w:val="24"/>
          <w:szCs w:val="24"/>
          <w:rtl w:val="0"/>
        </w:rPr>
        <w:t xml:space="preserve">There is no specific frequency of how often someone might fall, however around one and three adults over the age of sixty five and half of people over the age of eighty will have a fall at least once a year according to NHS (2021).</w:t>
      </w:r>
    </w:p>
    <w:p w:rsidR="00000000" w:rsidDel="00000000" w:rsidP="00000000" w:rsidRDefault="00000000" w:rsidRPr="00000000" w14:paraId="00000006">
      <w:pPr>
        <w:spacing w:line="360" w:lineRule="auto"/>
        <w:rPr>
          <w:rFonts w:ascii="Times New Roman" w:cs="Times New Roman" w:eastAsia="Times New Roman" w:hAnsi="Times New Roman"/>
          <w:color w:val="0b0c0c"/>
          <w:sz w:val="24"/>
          <w:szCs w:val="24"/>
          <w:highlight w:val="white"/>
        </w:rPr>
      </w:pPr>
      <w:r w:rsidDel="00000000" w:rsidR="00000000" w:rsidRPr="00000000">
        <w:rPr>
          <w:rFonts w:ascii="Times New Roman" w:cs="Times New Roman" w:eastAsia="Times New Roman" w:hAnsi="Times New Roman"/>
          <w:color w:val="0b0c0c"/>
          <w:sz w:val="24"/>
          <w:szCs w:val="24"/>
          <w:rtl w:val="0"/>
        </w:rPr>
        <w:t xml:space="preserve">Falling is expected to increase further due to the population ageing; injury often occurs within older adults. The fear of falling is also increased once an individual has sustained an injury from falling which may result in reducing one's physical activity in daily life which causes decreased muscle strength which factors an increased fall risk </w:t>
      </w:r>
      <w:r w:rsidDel="00000000" w:rsidR="00000000" w:rsidRPr="00000000">
        <w:rPr>
          <w:rFonts w:ascii="Times New Roman" w:cs="Times New Roman" w:eastAsia="Times New Roman" w:hAnsi="Times New Roman"/>
          <w:color w:val="0b0c0c"/>
          <w:sz w:val="24"/>
          <w:szCs w:val="24"/>
          <w:highlight w:val="white"/>
          <w:rtl w:val="0"/>
        </w:rPr>
        <w:t xml:space="preserve">(Holtermann, Nordestgaard, et al., 2021). </w:t>
      </w:r>
    </w:p>
    <w:p w:rsidR="00000000" w:rsidDel="00000000" w:rsidP="00000000" w:rsidRDefault="00000000" w:rsidRPr="00000000" w14:paraId="00000007">
      <w:pPr>
        <w:spacing w:line="360" w:lineRule="auto"/>
        <w:rPr>
          <w:rFonts w:ascii="Times New Roman" w:cs="Times New Roman" w:eastAsia="Times New Roman" w:hAnsi="Times New Roman"/>
          <w:color w:val="0b0c0c"/>
          <w:sz w:val="24"/>
          <w:szCs w:val="24"/>
          <w:highlight w:val="white"/>
        </w:rPr>
      </w:pPr>
      <w:r w:rsidDel="00000000" w:rsidR="00000000" w:rsidRPr="00000000">
        <w:rPr>
          <w:rFonts w:ascii="Times New Roman" w:cs="Times New Roman" w:eastAsia="Times New Roman" w:hAnsi="Times New Roman"/>
          <w:color w:val="0b0c0c"/>
          <w:sz w:val="24"/>
          <w:szCs w:val="24"/>
          <w:highlight w:val="white"/>
          <w:rtl w:val="0"/>
        </w:rPr>
        <w:t xml:space="preserve">It was reported by the Public Health outcomes framework that there were around 220,160 emergency hospital admissions related to falls amongst patients in 20017 to 2018 (NHS, 2021). Multiple risk factors can result in a fall described as multifactorial, these include poor balance, visual impairment, muscle weakness, environmental hazards or some specific medical conditions which would make a person prone to falling. Fragility fractures are fractures which result from mechanical forces which usually would not  result in fracture. There are over three million people in the UK at much greater risk of fragility fractures due to osteoporosis, The World health organisation (WHO) has quantified this as ‘forces equivalent to a fall from a standing height or less’ (GOV.UK, 2022). </w:t>
      </w:r>
    </w:p>
    <w:p w:rsidR="00000000" w:rsidDel="00000000" w:rsidP="00000000" w:rsidRDefault="00000000" w:rsidRPr="00000000" w14:paraId="00000008">
      <w:pPr>
        <w:spacing w:line="360" w:lineRule="auto"/>
        <w:rPr>
          <w:rFonts w:ascii="Times New Roman" w:cs="Times New Roman" w:eastAsia="Times New Roman" w:hAnsi="Times New Roman"/>
          <w:color w:val="0b0c0c"/>
          <w:sz w:val="24"/>
          <w:szCs w:val="24"/>
        </w:rPr>
      </w:pPr>
      <w:r w:rsidDel="00000000" w:rsidR="00000000" w:rsidRPr="00000000">
        <w:rPr>
          <w:rFonts w:ascii="Times New Roman" w:cs="Times New Roman" w:eastAsia="Times New Roman" w:hAnsi="Times New Roman"/>
          <w:color w:val="0b0c0c"/>
          <w:sz w:val="24"/>
          <w:szCs w:val="24"/>
          <w:highlight w:val="white"/>
          <w:rtl w:val="0"/>
        </w:rPr>
        <w:t xml:space="preserve">Fall and fall related injuries prevalent to </w:t>
      </w:r>
      <w:r w:rsidDel="00000000" w:rsidR="00000000" w:rsidRPr="00000000">
        <w:rPr>
          <w:rFonts w:ascii="Times New Roman" w:cs="Times New Roman" w:eastAsia="Times New Roman" w:hAnsi="Times New Roman"/>
          <w:color w:val="0b0c0c"/>
          <w:sz w:val="24"/>
          <w:szCs w:val="24"/>
          <w:rtl w:val="0"/>
        </w:rPr>
        <w:t xml:space="preserve">gender can be an indicator of different work exposures </w:t>
      </w:r>
      <w:r w:rsidDel="00000000" w:rsidR="00000000" w:rsidRPr="00000000">
        <w:rPr>
          <w:rFonts w:ascii="Times New Roman" w:cs="Times New Roman" w:eastAsia="Times New Roman" w:hAnsi="Times New Roman"/>
          <w:color w:val="0b0c0c"/>
          <w:sz w:val="24"/>
          <w:szCs w:val="24"/>
          <w:highlight w:val="white"/>
          <w:rtl w:val="0"/>
        </w:rPr>
        <w:t xml:space="preserve">(Courtney, Sorock et al. 2001). </w:t>
      </w:r>
      <w:r w:rsidDel="00000000" w:rsidR="00000000" w:rsidRPr="00000000">
        <w:rPr>
          <w:rFonts w:ascii="Times New Roman" w:cs="Times New Roman" w:eastAsia="Times New Roman" w:hAnsi="Times New Roman"/>
          <w:color w:val="0b0c0c"/>
          <w:sz w:val="24"/>
          <w:szCs w:val="24"/>
          <w:rtl w:val="0"/>
        </w:rPr>
        <w:t xml:space="preserve">Non fatal fall-related injuries unduly affected women amongst older adults, with half of women and a third of men aged eighty five  years and older falling annually </w:t>
      </w:r>
      <w:r w:rsidDel="00000000" w:rsidR="00000000" w:rsidRPr="00000000">
        <w:rPr>
          <w:rFonts w:ascii="Times New Roman" w:cs="Times New Roman" w:eastAsia="Times New Roman" w:hAnsi="Times New Roman"/>
          <w:color w:val="0b0c0c"/>
          <w:sz w:val="24"/>
          <w:szCs w:val="24"/>
          <w:highlight w:val="white"/>
          <w:rtl w:val="0"/>
        </w:rPr>
        <w:t xml:space="preserve">(Peel, Kassulke et al. 2002</w:t>
      </w:r>
      <w:r w:rsidDel="00000000" w:rsidR="00000000" w:rsidRPr="00000000">
        <w:rPr>
          <w:rFonts w:ascii="Times New Roman" w:cs="Times New Roman" w:eastAsia="Times New Roman" w:hAnsi="Times New Roman"/>
          <w:color w:val="0b0c0c"/>
          <w:sz w:val="24"/>
          <w:szCs w:val="24"/>
          <w:rtl w:val="0"/>
        </w:rPr>
        <w:t xml:space="preserve">). </w:t>
      </w:r>
    </w:p>
    <w:p w:rsidR="00000000" w:rsidDel="00000000" w:rsidP="00000000" w:rsidRDefault="00000000" w:rsidRPr="00000000" w14:paraId="00000009">
      <w:pPr>
        <w:spacing w:line="360" w:lineRule="auto"/>
        <w:rPr>
          <w:rFonts w:ascii="Times New Roman" w:cs="Times New Roman" w:eastAsia="Times New Roman" w:hAnsi="Times New Roman"/>
          <w:color w:val="0b0c0c"/>
          <w:sz w:val="24"/>
          <w:szCs w:val="24"/>
          <w:highlight w:val="white"/>
        </w:rPr>
      </w:pPr>
      <w:r w:rsidDel="00000000" w:rsidR="00000000" w:rsidRPr="00000000">
        <w:rPr>
          <w:rFonts w:ascii="Times New Roman" w:cs="Times New Roman" w:eastAsia="Times New Roman" w:hAnsi="Times New Roman"/>
          <w:color w:val="0b0c0c"/>
          <w:sz w:val="24"/>
          <w:szCs w:val="24"/>
          <w:rtl w:val="0"/>
        </w:rPr>
        <w:t xml:space="preserve">A representative sample of emergency department (ED) visits for January 2001 through December 2001 based on 22,560 cases an estimated 1.64 million adults older than the age of sixty five were treated for an injury sustained from an unintentional fall. Approximately 70.5% or 1.16 million of these were females; women's injury rates exceeded those of men for all parts of the body. The hospitalisation rate for women was 1.8 times more than for men </w:t>
      </w:r>
      <w:r w:rsidDel="00000000" w:rsidR="00000000" w:rsidRPr="00000000">
        <w:rPr>
          <w:rFonts w:ascii="Times New Roman" w:cs="Times New Roman" w:eastAsia="Times New Roman" w:hAnsi="Times New Roman"/>
          <w:color w:val="0b0c0c"/>
          <w:sz w:val="24"/>
          <w:szCs w:val="24"/>
          <w:highlight w:val="white"/>
          <w:rtl w:val="0"/>
        </w:rPr>
        <w:t xml:space="preserve">(Stevens, Sogolow. 2005). Another common cause for falls, particularly among men, is falling from a ladder, whilst carrying out home maintenance work (NHS, 2021). It has also been noted that males are more likely to die from a fall whilst women suffer more from non-fatal falls, males sustain higher death rates and a possible explanation may be the higher levels of risk taking behaviours and hazards within occupation (WHO, 2021).</w:t>
      </w:r>
    </w:p>
    <w:p w:rsidR="00000000" w:rsidDel="00000000" w:rsidP="00000000" w:rsidRDefault="00000000" w:rsidRPr="00000000" w14:paraId="0000000A">
      <w:pPr>
        <w:shd w:fill="ffffff" w:val="clear"/>
        <w:spacing w:after="160" w:line="360" w:lineRule="auto"/>
        <w:rPr>
          <w:rFonts w:ascii="Times New Roman" w:cs="Times New Roman" w:eastAsia="Times New Roman" w:hAnsi="Times New Roman"/>
          <w:b w:val="1"/>
          <w:color w:val="0b0c0c"/>
          <w:sz w:val="24"/>
          <w:szCs w:val="24"/>
        </w:rPr>
      </w:pPr>
      <w:r w:rsidDel="00000000" w:rsidR="00000000" w:rsidRPr="00000000">
        <w:rPr>
          <w:rFonts w:ascii="Times New Roman" w:cs="Times New Roman" w:eastAsia="Times New Roman" w:hAnsi="Times New Roman"/>
          <w:color w:val="0b0c0c"/>
          <w:sz w:val="24"/>
          <w:szCs w:val="24"/>
          <w:highlight w:val="white"/>
          <w:rtl w:val="0"/>
        </w:rPr>
        <w:t xml:space="preserve">Amongst older adults, fall and fall related injuries are a serious threat to the quality of life and result in considerable healthcare costs (Van Gameren, Bossen et al. 2021). It also accounts for more than 50% of hospital admissions for accidental injury. Michelle Mitchell A charity director at Age UK, said it is costing the NHS  over £4.6 million each day adding up to £1.7 billion per year  (AgeUK, 2010). Aside from health care costs, it needs to be taken into account other costs such as an individual's personal expense due to absence from work (Van Gameren, Bossen et al. 2021). In the home unacknowledged fall hazards are estimated to cost the NHS £435 million in England an estimated $4.4 billion which included £1.1 billion for social care in the UK totalled an annual cost to fragility fractures and hip fractures accounted for around £2billion of this sum (GOV.UK, 2022). There is substantial medical expenditures to treat fall related injuries which is a public health problem, It was estimated in 2015 that medical costs referred to both fatal and non fatal falls was approximately $50 billion. Measuring the medical costs referred to falls can provide insight into the magnitude of the problems and financial impact of effective prevention strategies (Florence, Bergen et al. 2018). Fall prevention strategies have been put into place to control the burden of fall-related injuries and try to reduce healthcare costs (Hartholt, van Beeck et al. 2011). Some factors which include the risk of falling are individuals with poor physical performance especially lower limb and balance problems, being inactive seems to be related to an increase of falling possibly due to muscle weakness and being frail. It is said that frequent physical activity is recommended to reduce health risks such as cardiovascular disease and diabetes and can also reduce falls (Klenk, Kerse et al. 2015). However it can also be said that physical activity carry a risk of increasing fall frequency due to exposure associated to falls, one third to one half of falls amongst people aged sixty five years or older occurred whilst walking, studies should be carried out to determine if the falls during walking is due to the frequency of walking or the speed and a strategy should be implemented to carry out sufficient success without injury.  The relationship between physical activity and risk for falls found inconsistent results when comparing different risks of falling associated with low moderate and higher levels of activity (Jochen, Ngaire 2015). There were strong and consistent evidence reported by the 20018 Pagac Scientific report from RCT highlighting the multicomponent physical activity which is a combination of aerobic, muscle strengthening, balance and flexibility considerably reduced the risk of fall-related injuries by about 32%-40% which included severe falls which would have required medical care. There is strong evidence that suggests physical function can be improved with physical activity among the general ageing population which could improve physical function in older people with frailty (Dipietro, Campbell et al. 2019). </w:t>
      </w:r>
      <w:r w:rsidDel="00000000" w:rsidR="00000000" w:rsidRPr="00000000">
        <w:rPr>
          <w:rFonts w:ascii="Times New Roman" w:cs="Times New Roman" w:eastAsia="Times New Roman" w:hAnsi="Times New Roman"/>
          <w:color w:val="0b0c0c"/>
          <w:sz w:val="24"/>
          <w:szCs w:val="24"/>
          <w:rtl w:val="0"/>
        </w:rPr>
        <w:t xml:space="preserve">Although there are prevention strategies they need to be refined, promoted and implemented, furthermore research should be a requirement to adjust interventions for different populations and to determine gender differences in the underlying causes and circumstances of falls. This information would be beneficial in developing an efficient intervention strategy for fall prevention (Stevens, Sogolow 2005). </w:t>
      </w:r>
      <w:r w:rsidDel="00000000" w:rsidR="00000000" w:rsidRPr="00000000">
        <w:rPr>
          <w:rFonts w:ascii="Times New Roman" w:cs="Times New Roman" w:eastAsia="Times New Roman" w:hAnsi="Times New Roman"/>
          <w:color w:val="0b0c0c"/>
          <w:sz w:val="24"/>
          <w:szCs w:val="24"/>
          <w:highlight w:val="white"/>
          <w:rtl w:val="0"/>
        </w:rPr>
        <w:t xml:space="preserve">Adequate evidence was found by the USPSTF that exercise interventions have a mild benefit in preventing falls in adults who are at an increased risk for falls (Reuben 2018). Evidence suggests 55% of falls can now be reduced with the help of strength and balance programmes. However Age UK is calling for more work to be done due to only one in five older people confessing to being unable to recall the last time they done any exercise, older people falling over is getting dismissed as an inevitable part of the ageing process when in truth there can be numerous prevention strategies to prevent a fall and more should be done to promote and support this (AgeUK, 2017).</w:t>
      </w:r>
      <w:r w:rsidDel="00000000" w:rsidR="00000000" w:rsidRPr="00000000">
        <w:rPr>
          <w:rFonts w:ascii="Times New Roman" w:cs="Times New Roman" w:eastAsia="Times New Roman" w:hAnsi="Times New Roman"/>
          <w:color w:val="0b0c0c"/>
          <w:sz w:val="24"/>
          <w:szCs w:val="24"/>
          <w:rtl w:val="0"/>
        </w:rPr>
        <w:t xml:space="preserve">  A couple examples have been made aware on the NHS Website of some prevention strategies an individual can do around their home to prevent certain fall hazards such as using non-slip mats in the bathroom, finding help when needed to help or move items which are too difficult or too heavy to lift, making sure all rooms are well lit, refrain from leaving clutter around and mop up spills to prevent the floor from being slippery (NHS, 2021). A range of prevention strategies which have been implemented in the workplace to prevent falls are an enforcement of stringent workplace safety in high risk occupations such as construction industry and multicomponent workplace safety programmes (WHO, 2021). There is also a great deal of help from the GP. Furthermore, they could carry out simple tests which could test your balance and review any medication in case there are side effects which are increasing your risk of falling (NHS, 2021). Some fall prevention strategies for older people are Gait, balance and functional training, home assessment and modifications, multifactorial interventions and possibly vitamin D supplements for those who may have deficiencies.</w:t>
      </w:r>
      <w:r w:rsidDel="00000000" w:rsidR="00000000" w:rsidRPr="00000000">
        <w:rPr>
          <w:rtl w:val="0"/>
        </w:rPr>
      </w:r>
    </w:p>
    <w:p w:rsidR="00000000" w:rsidDel="00000000" w:rsidP="00000000" w:rsidRDefault="00000000" w:rsidRPr="00000000" w14:paraId="0000000B">
      <w:pPr>
        <w:shd w:fill="ffffff" w:val="clear"/>
        <w:spacing w:after="160" w:line="360" w:lineRule="auto"/>
        <w:rPr>
          <w:rFonts w:ascii="Times New Roman" w:cs="Times New Roman" w:eastAsia="Times New Roman" w:hAnsi="Times New Roman"/>
          <w:color w:val="0b0c0c"/>
          <w:sz w:val="24"/>
          <w:szCs w:val="24"/>
        </w:rPr>
      </w:pPr>
      <w:r w:rsidDel="00000000" w:rsidR="00000000" w:rsidRPr="00000000">
        <w:rPr>
          <w:rFonts w:ascii="Times New Roman" w:cs="Times New Roman" w:eastAsia="Times New Roman" w:hAnsi="Times New Roman"/>
          <w:color w:val="0b0c0c"/>
          <w:sz w:val="24"/>
          <w:szCs w:val="24"/>
          <w:rtl w:val="0"/>
        </w:rPr>
        <w:t xml:space="preserve">In conclusion it has been estimated that 684,000 fatal falls arise each year which makes it the second leading cause of unintentional injury death (WHO, 2021). It is common to fall but it is often overlooked, around one in three adults over the age of sixty five will have at least one fall a year, most falls do not result in serious injury (NHS, 2021). Women are disproportionately affected with non-fatal fall related injuries. Fall related injuries are age and gender related which leads to reduced quality of life, healthcare consumption and costs, regular physical activity effectively helps older adults improve or delay the loss of physical function and mobility whilst reducing the risk of fall related injuries (Florence, Bergen et al. 2018). Additional research is needed to tailor interventions to determine underlying causes or circumstances of falls such as the difference in population and gender differences, as this information could help to develop and implement targeted fall prevention strategies </w:t>
      </w:r>
      <w:r w:rsidDel="00000000" w:rsidR="00000000" w:rsidRPr="00000000">
        <w:rPr>
          <w:rFonts w:ascii="Times New Roman" w:cs="Times New Roman" w:eastAsia="Times New Roman" w:hAnsi="Times New Roman"/>
          <w:color w:val="0b0c0c"/>
          <w:sz w:val="24"/>
          <w:szCs w:val="24"/>
          <w:highlight w:val="white"/>
          <w:rtl w:val="0"/>
        </w:rPr>
        <w:t xml:space="preserve">(Stevens, Sogolow 2005)</w:t>
      </w:r>
      <w:r w:rsidDel="00000000" w:rsidR="00000000" w:rsidRPr="00000000">
        <w:rPr>
          <w:rFonts w:ascii="Times New Roman" w:cs="Times New Roman" w:eastAsia="Times New Roman" w:hAnsi="Times New Roman"/>
          <w:color w:val="0b0c0c"/>
          <w:sz w:val="24"/>
          <w:szCs w:val="24"/>
          <w:rtl w:val="0"/>
        </w:rPr>
        <w:t xml:space="preserve"> </w:t>
      </w:r>
      <w:r w:rsidDel="00000000" w:rsidR="00000000" w:rsidRPr="00000000">
        <w:rPr>
          <w:rFonts w:ascii="Times New Roman" w:cs="Times New Roman" w:eastAsia="Times New Roman" w:hAnsi="Times New Roman"/>
          <w:color w:val="0b0c0c"/>
          <w:sz w:val="24"/>
          <w:szCs w:val="24"/>
          <w:rtl w:val="0"/>
        </w:rPr>
        <w:t xml:space="preserve">Effectively regular physical activity helps older adults improve or delay the loss of physical function whilst reducing the risk of fall-related injuries (Dipietro, Campbell et al. 2019).</w:t>
      </w: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color w:val="0b0c0c"/>
          <w:sz w:val="24"/>
          <w:szCs w:val="24"/>
        </w:rPr>
      </w:pPr>
      <w:r w:rsidDel="00000000" w:rsidR="00000000" w:rsidRPr="00000000">
        <w:rPr>
          <w:rFonts w:ascii="Times New Roman" w:cs="Times New Roman" w:eastAsia="Times New Roman" w:hAnsi="Times New Roman"/>
          <w:color w:val="0b0c0c"/>
          <w:sz w:val="24"/>
          <w:szCs w:val="24"/>
          <w:rtl w:val="0"/>
        </w:rPr>
        <w:t xml:space="preserve">Word count: 1819</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References:</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widowControl w:val="0"/>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Age UK, 2010. Falls in the over 65s cost NHS £4.6 million a day Available at: </w:t>
      </w:r>
      <w:hyperlink r:id="rId6">
        <w:r w:rsidDel="00000000" w:rsidR="00000000" w:rsidRPr="00000000">
          <w:rPr>
            <w:rFonts w:ascii="Calibri" w:cs="Calibri" w:eastAsia="Calibri" w:hAnsi="Calibri"/>
            <w:color w:val="1155cc"/>
            <w:highlight w:val="white"/>
            <w:u w:val="single"/>
            <w:rtl w:val="0"/>
          </w:rPr>
          <w:t xml:space="preserve">https://www.ageuk.org.uk/latest-press/archive/falls-over-65s-cost-nhs/</w:t>
        </w:r>
      </w:hyperlink>
      <w:r w:rsidDel="00000000" w:rsidR="00000000" w:rsidRPr="00000000">
        <w:rPr>
          <w:rFonts w:ascii="Calibri" w:cs="Calibri" w:eastAsia="Calibri" w:hAnsi="Calibri"/>
          <w:color w:val="1f497d"/>
          <w:highlight w:val="white"/>
          <w:rtl w:val="0"/>
        </w:rPr>
        <w:t xml:space="preserve"> (Accessed on 8th june 2022)</w:t>
      </w:r>
    </w:p>
    <w:p w:rsidR="00000000" w:rsidDel="00000000" w:rsidP="00000000" w:rsidRDefault="00000000" w:rsidRPr="00000000" w14:paraId="00000013">
      <w:pPr>
        <w:widowControl w:val="0"/>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 </w:t>
      </w:r>
    </w:p>
    <w:p w:rsidR="00000000" w:rsidDel="00000000" w:rsidP="00000000" w:rsidRDefault="00000000" w:rsidRPr="00000000" w14:paraId="00000014">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DIPIETRO, L., CAMPBELL, W.W., BUCHNER, D.M., ERICKSON, K.I., POWELL, K.E., BLOODGOOD, B., HUGHES, T., DAY, K.R., PIERCY, K.L., VAUX-BJERKE, A., OLSON, R.D. and 2018 PHYSICAL ACTIVITY GUIDELINES ADVISORY COMMITTEE*, 2019. Physical Activity, Injurious Falls, and Physical Function in Aging: An Umbrella Review. </w:t>
      </w:r>
      <w:r w:rsidDel="00000000" w:rsidR="00000000" w:rsidRPr="00000000">
        <w:rPr>
          <w:rFonts w:ascii="Calibri" w:cs="Calibri" w:eastAsia="Calibri" w:hAnsi="Calibri"/>
          <w:i w:val="1"/>
          <w:color w:val="1f497d"/>
          <w:highlight w:val="white"/>
          <w:rtl w:val="0"/>
        </w:rPr>
        <w:t xml:space="preserve">Medicine and science in sports and exercise, </w:t>
      </w:r>
      <w:r w:rsidDel="00000000" w:rsidR="00000000" w:rsidRPr="00000000">
        <w:rPr>
          <w:rFonts w:ascii="Calibri" w:cs="Calibri" w:eastAsia="Calibri" w:hAnsi="Calibri"/>
          <w:b w:val="1"/>
          <w:color w:val="1f497d"/>
          <w:highlight w:val="white"/>
          <w:rtl w:val="0"/>
        </w:rPr>
        <w:t xml:space="preserve">51</w:t>
      </w:r>
      <w:r w:rsidDel="00000000" w:rsidR="00000000" w:rsidRPr="00000000">
        <w:rPr>
          <w:rFonts w:ascii="Calibri" w:cs="Calibri" w:eastAsia="Calibri" w:hAnsi="Calibri"/>
          <w:color w:val="1f497d"/>
          <w:highlight w:val="white"/>
          <w:rtl w:val="0"/>
        </w:rPr>
        <w:t xml:space="preserve">(6), pp. 1303-1313. Available at:  </w:t>
      </w:r>
      <w:hyperlink r:id="rId7">
        <w:r w:rsidDel="00000000" w:rsidR="00000000" w:rsidRPr="00000000">
          <w:rPr>
            <w:rFonts w:ascii="Calibri" w:cs="Calibri" w:eastAsia="Calibri" w:hAnsi="Calibri"/>
            <w:color w:val="1155cc"/>
            <w:highlight w:val="white"/>
            <w:u w:val="single"/>
            <w:rtl w:val="0"/>
          </w:rPr>
          <w:t xml:space="preserve">https://www.ncbi.nlm.nih.gov/pmc/articles/PMC6527126/</w:t>
        </w:r>
      </w:hyperlink>
      <w:r w:rsidDel="00000000" w:rsidR="00000000" w:rsidRPr="00000000">
        <w:rPr>
          <w:rFonts w:ascii="Calibri" w:cs="Calibri" w:eastAsia="Calibri" w:hAnsi="Calibri"/>
          <w:color w:val="1f497d"/>
          <w:highlight w:val="white"/>
          <w:rtl w:val="0"/>
        </w:rPr>
        <w:t xml:space="preserve"> (Accessed on 9th June 2022)</w:t>
      </w:r>
    </w:p>
    <w:p w:rsidR="00000000" w:rsidDel="00000000" w:rsidP="00000000" w:rsidRDefault="00000000" w:rsidRPr="00000000" w14:paraId="00000015">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 </w:t>
      </w:r>
    </w:p>
    <w:p w:rsidR="00000000" w:rsidDel="00000000" w:rsidP="00000000" w:rsidRDefault="00000000" w:rsidRPr="00000000" w14:paraId="00000016">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FLORENCE, C.S., BERGEN, G., ATHERLY, A., BURNS, E., STEVENS, J. and DRAKE, C., 2018. Medical Costs of Fatal and Nonfatal Falls in Older Adults. </w:t>
      </w:r>
      <w:r w:rsidDel="00000000" w:rsidR="00000000" w:rsidRPr="00000000">
        <w:rPr>
          <w:rFonts w:ascii="Calibri" w:cs="Calibri" w:eastAsia="Calibri" w:hAnsi="Calibri"/>
          <w:i w:val="1"/>
          <w:color w:val="1f497d"/>
          <w:highlight w:val="white"/>
          <w:rtl w:val="0"/>
        </w:rPr>
        <w:t xml:space="preserve">Journal of the American Geriatrics Society, </w:t>
      </w:r>
      <w:r w:rsidDel="00000000" w:rsidR="00000000" w:rsidRPr="00000000">
        <w:rPr>
          <w:rFonts w:ascii="Calibri" w:cs="Calibri" w:eastAsia="Calibri" w:hAnsi="Calibri"/>
          <w:b w:val="1"/>
          <w:color w:val="1f497d"/>
          <w:highlight w:val="white"/>
          <w:rtl w:val="0"/>
        </w:rPr>
        <w:t xml:space="preserve">66</w:t>
      </w:r>
      <w:r w:rsidDel="00000000" w:rsidR="00000000" w:rsidRPr="00000000">
        <w:rPr>
          <w:rFonts w:ascii="Calibri" w:cs="Calibri" w:eastAsia="Calibri" w:hAnsi="Calibri"/>
          <w:color w:val="1f497d"/>
          <w:highlight w:val="white"/>
          <w:rtl w:val="0"/>
        </w:rPr>
        <w:t xml:space="preserve">(4), pp. 693-698. Available at: </w:t>
      </w:r>
      <w:hyperlink r:id="rId8">
        <w:r w:rsidDel="00000000" w:rsidR="00000000" w:rsidRPr="00000000">
          <w:rPr>
            <w:rFonts w:ascii="Calibri" w:cs="Calibri" w:eastAsia="Calibri" w:hAnsi="Calibri"/>
            <w:color w:val="1155cc"/>
            <w:highlight w:val="white"/>
            <w:u w:val="single"/>
            <w:rtl w:val="0"/>
          </w:rPr>
          <w:t xml:space="preserve">https://www.ncbi.nlm.nih.gov/pmc/articles/PMC6089380/</w:t>
        </w:r>
      </w:hyperlink>
      <w:r w:rsidDel="00000000" w:rsidR="00000000" w:rsidRPr="00000000">
        <w:rPr>
          <w:rFonts w:ascii="Calibri" w:cs="Calibri" w:eastAsia="Calibri" w:hAnsi="Calibri"/>
          <w:color w:val="1f497d"/>
          <w:highlight w:val="white"/>
          <w:rtl w:val="0"/>
        </w:rPr>
        <w:t xml:space="preserve"> (Accessed on 8th june 2022)</w:t>
      </w:r>
    </w:p>
    <w:p w:rsidR="00000000" w:rsidDel="00000000" w:rsidP="00000000" w:rsidRDefault="00000000" w:rsidRPr="00000000" w14:paraId="00000017">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 </w:t>
      </w:r>
    </w:p>
    <w:p w:rsidR="00000000" w:rsidDel="00000000" w:rsidP="00000000" w:rsidRDefault="00000000" w:rsidRPr="00000000" w14:paraId="00000018">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FLORENCE, C.S., BERGEN, G., ATHERLY, A., BURNS, E., STEVENS, J. and DRAKE, C., 2018. Medical Costs of Fatal and Nonfatal Falls in Older Adults. </w:t>
      </w:r>
      <w:r w:rsidDel="00000000" w:rsidR="00000000" w:rsidRPr="00000000">
        <w:rPr>
          <w:rFonts w:ascii="Calibri" w:cs="Calibri" w:eastAsia="Calibri" w:hAnsi="Calibri"/>
          <w:i w:val="1"/>
          <w:color w:val="1f497d"/>
          <w:highlight w:val="white"/>
          <w:rtl w:val="0"/>
        </w:rPr>
        <w:t xml:space="preserve">Journal of the American Geriatrics Society, </w:t>
      </w:r>
      <w:r w:rsidDel="00000000" w:rsidR="00000000" w:rsidRPr="00000000">
        <w:rPr>
          <w:rFonts w:ascii="Calibri" w:cs="Calibri" w:eastAsia="Calibri" w:hAnsi="Calibri"/>
          <w:b w:val="1"/>
          <w:color w:val="1f497d"/>
          <w:highlight w:val="white"/>
          <w:rtl w:val="0"/>
        </w:rPr>
        <w:t xml:space="preserve">66</w:t>
      </w:r>
      <w:r w:rsidDel="00000000" w:rsidR="00000000" w:rsidRPr="00000000">
        <w:rPr>
          <w:rFonts w:ascii="Calibri" w:cs="Calibri" w:eastAsia="Calibri" w:hAnsi="Calibri"/>
          <w:color w:val="1f497d"/>
          <w:highlight w:val="white"/>
          <w:rtl w:val="0"/>
        </w:rPr>
        <w:t xml:space="preserve">(4), pp. 693-698. Available at:  </w:t>
      </w:r>
      <w:hyperlink r:id="rId9">
        <w:r w:rsidDel="00000000" w:rsidR="00000000" w:rsidRPr="00000000">
          <w:rPr>
            <w:rFonts w:ascii="Calibri" w:cs="Calibri" w:eastAsia="Calibri" w:hAnsi="Calibri"/>
            <w:color w:val="1155cc"/>
            <w:highlight w:val="white"/>
            <w:u w:val="single"/>
            <w:rtl w:val="0"/>
          </w:rPr>
          <w:t xml:space="preserve">https://www.ncbi.nlm.nih.gov/pmc/articles/PMC6527126/</w:t>
        </w:r>
      </w:hyperlink>
      <w:r w:rsidDel="00000000" w:rsidR="00000000" w:rsidRPr="00000000">
        <w:rPr>
          <w:rFonts w:ascii="Calibri" w:cs="Calibri" w:eastAsia="Calibri" w:hAnsi="Calibri"/>
          <w:color w:val="1f497d"/>
          <w:highlight w:val="white"/>
          <w:rtl w:val="0"/>
        </w:rPr>
        <w:t xml:space="preserve"> (Accessed on 9th June 2022)</w:t>
      </w:r>
    </w:p>
    <w:p w:rsidR="00000000" w:rsidDel="00000000" w:rsidP="00000000" w:rsidRDefault="00000000" w:rsidRPr="00000000" w14:paraId="00000019">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 </w:t>
      </w:r>
    </w:p>
    <w:p w:rsidR="00000000" w:rsidDel="00000000" w:rsidP="00000000" w:rsidRDefault="00000000" w:rsidRPr="00000000" w14:paraId="0000001A">
      <w:pPr>
        <w:widowControl w:val="0"/>
        <w:shd w:fill="ffffff" w:val="clear"/>
        <w:spacing w:line="240" w:lineRule="auto"/>
        <w:rPr>
          <w:rFonts w:ascii="Calibri" w:cs="Calibri" w:eastAsia="Calibri" w:hAnsi="Calibri"/>
          <w:color w:val="1f497d"/>
          <w:highlight w:val="white"/>
        </w:rPr>
      </w:pPr>
      <w:hyperlink r:id="rId10">
        <w:r w:rsidDel="00000000" w:rsidR="00000000" w:rsidRPr="00000000">
          <w:rPr>
            <w:rFonts w:ascii="Calibri" w:cs="Calibri" w:eastAsia="Calibri" w:hAnsi="Calibri"/>
            <w:color w:val="1155cc"/>
            <w:highlight w:val="white"/>
            <w:u w:val="single"/>
            <w:rtl w:val="0"/>
          </w:rPr>
          <w:t xml:space="preserve">GOV.UK</w:t>
        </w:r>
      </w:hyperlink>
      <w:r w:rsidDel="00000000" w:rsidR="00000000" w:rsidRPr="00000000">
        <w:rPr>
          <w:rFonts w:ascii="Calibri" w:cs="Calibri" w:eastAsia="Calibri" w:hAnsi="Calibri"/>
          <w:color w:val="1f497d"/>
          <w:highlight w:val="white"/>
          <w:rtl w:val="0"/>
        </w:rPr>
        <w:t xml:space="preserve"> 2022. Falls:Applying all our health. Available at: </w:t>
      </w:r>
      <w:hyperlink r:id="rId11">
        <w:r w:rsidDel="00000000" w:rsidR="00000000" w:rsidRPr="00000000">
          <w:rPr>
            <w:rFonts w:ascii="Calibri" w:cs="Calibri" w:eastAsia="Calibri" w:hAnsi="Calibri"/>
            <w:color w:val="1155cc"/>
            <w:highlight w:val="white"/>
            <w:u w:val="single"/>
            <w:rtl w:val="0"/>
          </w:rPr>
          <w:t xml:space="preserve">https://www.gov.uk/government/publications/falls-applying-all-our-health/falls-applying-all-our-health</w:t>
        </w:r>
      </w:hyperlink>
      <w:r w:rsidDel="00000000" w:rsidR="00000000" w:rsidRPr="00000000">
        <w:rPr>
          <w:rFonts w:ascii="Calibri" w:cs="Calibri" w:eastAsia="Calibri" w:hAnsi="Calibri"/>
          <w:color w:val="1f497d"/>
          <w:highlight w:val="white"/>
          <w:rtl w:val="0"/>
        </w:rPr>
        <w:t xml:space="preserve"> (Accessed on 8th June 2022)</w:t>
      </w:r>
    </w:p>
    <w:p w:rsidR="00000000" w:rsidDel="00000000" w:rsidP="00000000" w:rsidRDefault="00000000" w:rsidRPr="00000000" w14:paraId="0000001B">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 </w:t>
      </w:r>
    </w:p>
    <w:p w:rsidR="00000000" w:rsidDel="00000000" w:rsidP="00000000" w:rsidRDefault="00000000" w:rsidRPr="00000000" w14:paraId="0000001C">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Gov.UK, (2022) Falls:Applying all our health. Available at:</w:t>
      </w:r>
      <w:hyperlink r:id="rId12">
        <w:r w:rsidDel="00000000" w:rsidR="00000000" w:rsidRPr="00000000">
          <w:rPr>
            <w:rFonts w:ascii="Calibri" w:cs="Calibri" w:eastAsia="Calibri" w:hAnsi="Calibri"/>
            <w:color w:val="1155cc"/>
            <w:highlight w:val="white"/>
            <w:u w:val="single"/>
            <w:rtl w:val="0"/>
          </w:rPr>
          <w:t xml:space="preserve">https://www.gov.uk/government/publications/falls-applying-all-our-health/falls-applying-all-our-health</w:t>
        </w:r>
      </w:hyperlink>
      <w:r w:rsidDel="00000000" w:rsidR="00000000" w:rsidRPr="00000000">
        <w:rPr>
          <w:rFonts w:ascii="Calibri" w:cs="Calibri" w:eastAsia="Calibri" w:hAnsi="Calibri"/>
          <w:color w:val="1f497d"/>
          <w:highlight w:val="white"/>
          <w:rtl w:val="0"/>
        </w:rPr>
        <w:t xml:space="preserve"> (Accessed 7th June 2022).</w:t>
      </w:r>
    </w:p>
    <w:p w:rsidR="00000000" w:rsidDel="00000000" w:rsidP="00000000" w:rsidRDefault="00000000" w:rsidRPr="00000000" w14:paraId="0000001D">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 </w:t>
      </w:r>
    </w:p>
    <w:p w:rsidR="00000000" w:rsidDel="00000000" w:rsidP="00000000" w:rsidRDefault="00000000" w:rsidRPr="00000000" w14:paraId="0000001E">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HARTHOLT, K.A., VAN BEECK, E.F., POLINDER, S., VAN DER VELDE, N., VAN LIESHOUT, ESTHER M. M., PANNEMAN, M.J.M., VAN DER CAMMEN, TISCHA J. M. and PATKA, P., 2011. Societal Consequences of Falls in the Older Population: Injuries, Healthcare Costs, and Long-Term Reduced Quality of Life. </w:t>
      </w:r>
      <w:r w:rsidDel="00000000" w:rsidR="00000000" w:rsidRPr="00000000">
        <w:rPr>
          <w:rFonts w:ascii="Calibri" w:cs="Calibri" w:eastAsia="Calibri" w:hAnsi="Calibri"/>
          <w:i w:val="1"/>
          <w:color w:val="1f497d"/>
          <w:highlight w:val="white"/>
          <w:rtl w:val="0"/>
        </w:rPr>
        <w:t xml:space="preserve">Journal of Trauma and Acute Care Surgery, </w:t>
      </w:r>
      <w:r w:rsidDel="00000000" w:rsidR="00000000" w:rsidRPr="00000000">
        <w:rPr>
          <w:rFonts w:ascii="Calibri" w:cs="Calibri" w:eastAsia="Calibri" w:hAnsi="Calibri"/>
          <w:b w:val="1"/>
          <w:color w:val="1f497d"/>
          <w:highlight w:val="white"/>
          <w:rtl w:val="0"/>
        </w:rPr>
        <w:t xml:space="preserve">71</w:t>
      </w:r>
      <w:r w:rsidDel="00000000" w:rsidR="00000000" w:rsidRPr="00000000">
        <w:rPr>
          <w:rFonts w:ascii="Calibri" w:cs="Calibri" w:eastAsia="Calibri" w:hAnsi="Calibri"/>
          <w:color w:val="1f497d"/>
          <w:highlight w:val="white"/>
          <w:rtl w:val="0"/>
        </w:rPr>
        <w:t xml:space="preserve">(3),. Available at: </w:t>
      </w:r>
      <w:hyperlink r:id="rId13">
        <w:r w:rsidDel="00000000" w:rsidR="00000000" w:rsidRPr="00000000">
          <w:rPr>
            <w:rFonts w:ascii="Calibri" w:cs="Calibri" w:eastAsia="Calibri" w:hAnsi="Calibri"/>
            <w:color w:val="1155cc"/>
            <w:highlight w:val="white"/>
            <w:u w:val="single"/>
            <w:rtl w:val="0"/>
          </w:rPr>
          <w:t xml:space="preserve">https://journals.lww.com/jtrauma/Abstract/2011/09000/Societal_Consequences_of_Falls_in_the_Older.36.aspx</w:t>
        </w:r>
      </w:hyperlink>
      <w:r w:rsidDel="00000000" w:rsidR="00000000" w:rsidRPr="00000000">
        <w:rPr>
          <w:rFonts w:ascii="Calibri" w:cs="Calibri" w:eastAsia="Calibri" w:hAnsi="Calibri"/>
          <w:color w:val="1f497d"/>
          <w:highlight w:val="white"/>
          <w:rtl w:val="0"/>
        </w:rPr>
        <w:t xml:space="preserve"> (Accessed on 8th june 2022)</w:t>
      </w:r>
    </w:p>
    <w:p w:rsidR="00000000" w:rsidDel="00000000" w:rsidP="00000000" w:rsidRDefault="00000000" w:rsidRPr="00000000" w14:paraId="0000001F">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 </w:t>
      </w:r>
    </w:p>
    <w:p w:rsidR="00000000" w:rsidDel="00000000" w:rsidP="00000000" w:rsidRDefault="00000000" w:rsidRPr="00000000" w14:paraId="00000020">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HOLTERMANN, ANDREAS SCHNOHR, PETER NORDESTGAARD, BØRGE GRØNNE MAROTT, JACOB LOUIS, 2021. The physical activity paradox in cardiovascular disease and all-cause mortality: the contemporary Copenhagen General Population Study with 104 046 adults. Available at:</w:t>
      </w:r>
      <w:hyperlink r:id="rId14">
        <w:r w:rsidDel="00000000" w:rsidR="00000000" w:rsidRPr="00000000">
          <w:rPr>
            <w:rFonts w:ascii="Calibri" w:cs="Calibri" w:eastAsia="Calibri" w:hAnsi="Calibri"/>
            <w:color w:val="1155cc"/>
            <w:highlight w:val="white"/>
            <w:u w:val="single"/>
            <w:rtl w:val="0"/>
          </w:rPr>
          <w:t xml:space="preserve">https://link.springer.com/article/10.1186/s12877-021-02334-3#citeas</w:t>
        </w:r>
      </w:hyperlink>
      <w:r w:rsidDel="00000000" w:rsidR="00000000" w:rsidRPr="00000000">
        <w:rPr>
          <w:rFonts w:ascii="Calibri" w:cs="Calibri" w:eastAsia="Calibri" w:hAnsi="Calibri"/>
          <w:color w:val="1f497d"/>
          <w:highlight w:val="white"/>
          <w:rtl w:val="0"/>
        </w:rPr>
        <w:t xml:space="preserve"> (Accessed on 8th June). </w:t>
      </w:r>
    </w:p>
    <w:p w:rsidR="00000000" w:rsidDel="00000000" w:rsidP="00000000" w:rsidRDefault="00000000" w:rsidRPr="00000000" w14:paraId="00000021">
      <w:pPr>
        <w:widowControl w:val="0"/>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Jochen Klenk ,Ngaire Kerse, Kilian Rapp,Thorsten Nikolaus †,Clemens Becker,Dietrich Rothenbacher,Richard Peter,Michael Dieter Denkinger, the ActiFE Study Group. 2015. Physical Activity and Different Concepts of Fall Risk Estimation in Older People–Results of the ActiFE-Ulm Study. Available at : </w:t>
      </w:r>
      <w:hyperlink r:id="rId15">
        <w:r w:rsidDel="00000000" w:rsidR="00000000" w:rsidRPr="00000000">
          <w:rPr>
            <w:rFonts w:ascii="Calibri" w:cs="Calibri" w:eastAsia="Calibri" w:hAnsi="Calibri"/>
            <w:color w:val="1155cc"/>
            <w:highlight w:val="white"/>
            <w:u w:val="single"/>
            <w:rtl w:val="0"/>
          </w:rPr>
          <w:t xml:space="preserve">https://journals.plos.org/plosone/article?id=10.1371/journal.pone.0129098</w:t>
        </w:r>
      </w:hyperlink>
      <w:r w:rsidDel="00000000" w:rsidR="00000000" w:rsidRPr="00000000">
        <w:rPr>
          <w:rFonts w:ascii="Calibri" w:cs="Calibri" w:eastAsia="Calibri" w:hAnsi="Calibri"/>
          <w:color w:val="1f497d"/>
          <w:highlight w:val="white"/>
          <w:rtl w:val="0"/>
        </w:rPr>
        <w:t xml:space="preserve"> (Accessed on 9th June 2022)</w:t>
      </w:r>
    </w:p>
    <w:p w:rsidR="00000000" w:rsidDel="00000000" w:rsidP="00000000" w:rsidRDefault="00000000" w:rsidRPr="00000000" w14:paraId="00000022">
      <w:pPr>
        <w:widowControl w:val="0"/>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KLENK, J., KERSE, N., RAPP, K., NIKOLAUS, T., BECKER, C., ROTHENBACHER, D., PETER, R., DENKINGER, M.D. and ACTIFE, S.G., 2015. Physical Activity and Different Concepts of Fall Risk Estimation in Older People--Results of the ActiFE-Ulm Study. </w:t>
      </w:r>
      <w:r w:rsidDel="00000000" w:rsidR="00000000" w:rsidRPr="00000000">
        <w:rPr>
          <w:rFonts w:ascii="Calibri" w:cs="Calibri" w:eastAsia="Calibri" w:hAnsi="Calibri"/>
          <w:i w:val="1"/>
          <w:color w:val="1f497d"/>
          <w:highlight w:val="white"/>
          <w:rtl w:val="0"/>
        </w:rPr>
        <w:t xml:space="preserve">PloS one, </w:t>
      </w:r>
      <w:r w:rsidDel="00000000" w:rsidR="00000000" w:rsidRPr="00000000">
        <w:rPr>
          <w:rFonts w:ascii="Calibri" w:cs="Calibri" w:eastAsia="Calibri" w:hAnsi="Calibri"/>
          <w:b w:val="1"/>
          <w:color w:val="1f497d"/>
          <w:highlight w:val="white"/>
          <w:rtl w:val="0"/>
        </w:rPr>
        <w:t xml:space="preserve">10</w:t>
      </w:r>
      <w:r w:rsidDel="00000000" w:rsidR="00000000" w:rsidRPr="00000000">
        <w:rPr>
          <w:rFonts w:ascii="Calibri" w:cs="Calibri" w:eastAsia="Calibri" w:hAnsi="Calibri"/>
          <w:color w:val="1f497d"/>
          <w:highlight w:val="white"/>
          <w:rtl w:val="0"/>
        </w:rPr>
        <w:t xml:space="preserve">(6), pp. E0129098. Available at: </w:t>
      </w:r>
      <w:hyperlink r:id="rId16">
        <w:r w:rsidDel="00000000" w:rsidR="00000000" w:rsidRPr="00000000">
          <w:rPr>
            <w:rFonts w:ascii="Calibri" w:cs="Calibri" w:eastAsia="Calibri" w:hAnsi="Calibri"/>
            <w:color w:val="1155cc"/>
            <w:highlight w:val="white"/>
            <w:u w:val="single"/>
            <w:rtl w:val="0"/>
          </w:rPr>
          <w:t xml:space="preserve">https://www.ncbi.nlm.nih.gov/pmc/articles/PMC4461251/</w:t>
        </w:r>
      </w:hyperlink>
      <w:r w:rsidDel="00000000" w:rsidR="00000000" w:rsidRPr="00000000">
        <w:rPr>
          <w:rFonts w:ascii="Calibri" w:cs="Calibri" w:eastAsia="Calibri" w:hAnsi="Calibri"/>
          <w:color w:val="1f497d"/>
          <w:highlight w:val="white"/>
          <w:rtl w:val="0"/>
        </w:rPr>
        <w:t xml:space="preserve"> (Accessed on 9th June)</w:t>
      </w:r>
    </w:p>
    <w:p w:rsidR="00000000" w:rsidDel="00000000" w:rsidP="00000000" w:rsidRDefault="00000000" w:rsidRPr="00000000" w14:paraId="00000023">
      <w:pPr>
        <w:widowControl w:val="0"/>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 </w:t>
      </w:r>
    </w:p>
    <w:p w:rsidR="00000000" w:rsidDel="00000000" w:rsidP="00000000" w:rsidRDefault="00000000" w:rsidRPr="00000000" w14:paraId="00000024">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NHS, (2021) Falls. Available at:</w:t>
      </w:r>
      <w:hyperlink r:id="rId17">
        <w:r w:rsidDel="00000000" w:rsidR="00000000" w:rsidRPr="00000000">
          <w:rPr>
            <w:rFonts w:ascii="Calibri" w:cs="Calibri" w:eastAsia="Calibri" w:hAnsi="Calibri"/>
            <w:color w:val="1155cc"/>
            <w:highlight w:val="white"/>
            <w:u w:val="single"/>
            <w:rtl w:val="0"/>
          </w:rPr>
          <w:t xml:space="preserve">https://www.nhs.uk/conditions/falls/#:~:text=Falls%20are%20a%20common%2C%20but,not%20result%20in%20serious%20injury</w:t>
        </w:r>
      </w:hyperlink>
      <w:r w:rsidDel="00000000" w:rsidR="00000000" w:rsidRPr="00000000">
        <w:rPr>
          <w:rFonts w:ascii="Calibri" w:cs="Calibri" w:eastAsia="Calibri" w:hAnsi="Calibri"/>
          <w:color w:val="1f497d"/>
          <w:highlight w:val="white"/>
          <w:rtl w:val="0"/>
        </w:rPr>
        <w:t xml:space="preserve"> (Accessed 7th June 2022).</w:t>
      </w:r>
    </w:p>
    <w:p w:rsidR="00000000" w:rsidDel="00000000" w:rsidP="00000000" w:rsidRDefault="00000000" w:rsidRPr="00000000" w14:paraId="00000025">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 </w:t>
      </w:r>
    </w:p>
    <w:p w:rsidR="00000000" w:rsidDel="00000000" w:rsidP="00000000" w:rsidRDefault="00000000" w:rsidRPr="00000000" w14:paraId="00000026">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PEEL, N.M., KASSULKE, D.J. and MCCLURE, R.J., 2002. Population based study of hospitalised fall related injuries in older people. </w:t>
      </w:r>
      <w:r w:rsidDel="00000000" w:rsidR="00000000" w:rsidRPr="00000000">
        <w:rPr>
          <w:rFonts w:ascii="Calibri" w:cs="Calibri" w:eastAsia="Calibri" w:hAnsi="Calibri"/>
          <w:i w:val="1"/>
          <w:color w:val="1f497d"/>
          <w:highlight w:val="white"/>
          <w:rtl w:val="0"/>
        </w:rPr>
        <w:t xml:space="preserve">Inj Prev, </w:t>
      </w:r>
      <w:r w:rsidDel="00000000" w:rsidR="00000000" w:rsidRPr="00000000">
        <w:rPr>
          <w:rFonts w:ascii="Calibri" w:cs="Calibri" w:eastAsia="Calibri" w:hAnsi="Calibri"/>
          <w:b w:val="1"/>
          <w:color w:val="1f497d"/>
          <w:highlight w:val="white"/>
          <w:rtl w:val="0"/>
        </w:rPr>
        <w:t xml:space="preserve">8</w:t>
      </w:r>
      <w:r w:rsidDel="00000000" w:rsidR="00000000" w:rsidRPr="00000000">
        <w:rPr>
          <w:rFonts w:ascii="Calibri" w:cs="Calibri" w:eastAsia="Calibri" w:hAnsi="Calibri"/>
          <w:color w:val="1f497d"/>
          <w:highlight w:val="white"/>
          <w:rtl w:val="0"/>
        </w:rPr>
        <w:t xml:space="preserve">(4), pp. 280. Available at: </w:t>
      </w:r>
      <w:hyperlink r:id="rId18">
        <w:r w:rsidDel="00000000" w:rsidR="00000000" w:rsidRPr="00000000">
          <w:rPr>
            <w:rFonts w:ascii="Calibri" w:cs="Calibri" w:eastAsia="Calibri" w:hAnsi="Calibri"/>
            <w:color w:val="1155cc"/>
            <w:highlight w:val="white"/>
            <w:u w:val="single"/>
            <w:rtl w:val="0"/>
          </w:rPr>
          <w:t xml:space="preserve">https://injuryprevention.bmj.com/content/8/4/280</w:t>
        </w:r>
      </w:hyperlink>
      <w:r w:rsidDel="00000000" w:rsidR="00000000" w:rsidRPr="00000000">
        <w:rPr>
          <w:rFonts w:ascii="Calibri" w:cs="Calibri" w:eastAsia="Calibri" w:hAnsi="Calibri"/>
          <w:color w:val="1f497d"/>
          <w:highlight w:val="white"/>
          <w:rtl w:val="0"/>
        </w:rPr>
        <w:t xml:space="preserve"> (Accessed on 8th June 2022)</w:t>
      </w:r>
    </w:p>
    <w:p w:rsidR="00000000" w:rsidDel="00000000" w:rsidP="00000000" w:rsidRDefault="00000000" w:rsidRPr="00000000" w14:paraId="00000027">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 </w:t>
      </w:r>
    </w:p>
    <w:p w:rsidR="00000000" w:rsidDel="00000000" w:rsidP="00000000" w:rsidRDefault="00000000" w:rsidRPr="00000000" w14:paraId="00000028">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REUBEN, D.B., 2018. New Prevention Guidelines for Falls and Fractures—Looking Beyond the Letters. </w:t>
      </w:r>
      <w:r w:rsidDel="00000000" w:rsidR="00000000" w:rsidRPr="00000000">
        <w:rPr>
          <w:rFonts w:ascii="Calibri" w:cs="Calibri" w:eastAsia="Calibri" w:hAnsi="Calibri"/>
          <w:i w:val="1"/>
          <w:color w:val="1f497d"/>
          <w:highlight w:val="white"/>
          <w:rtl w:val="0"/>
        </w:rPr>
        <w:t xml:space="preserve">JAMA Internal Medicine, </w:t>
      </w:r>
      <w:r w:rsidDel="00000000" w:rsidR="00000000" w:rsidRPr="00000000">
        <w:rPr>
          <w:rFonts w:ascii="Calibri" w:cs="Calibri" w:eastAsia="Calibri" w:hAnsi="Calibri"/>
          <w:b w:val="1"/>
          <w:color w:val="1f497d"/>
          <w:highlight w:val="white"/>
          <w:rtl w:val="0"/>
        </w:rPr>
        <w:t xml:space="preserve">178</w:t>
      </w:r>
      <w:r w:rsidDel="00000000" w:rsidR="00000000" w:rsidRPr="00000000">
        <w:rPr>
          <w:rFonts w:ascii="Calibri" w:cs="Calibri" w:eastAsia="Calibri" w:hAnsi="Calibri"/>
          <w:color w:val="1f497d"/>
          <w:highlight w:val="white"/>
          <w:rtl w:val="0"/>
        </w:rPr>
        <w:t xml:space="preserve">(7), pp. 892-893. Available at: </w:t>
      </w:r>
      <w:hyperlink r:id="rId19">
        <w:r w:rsidDel="00000000" w:rsidR="00000000" w:rsidRPr="00000000">
          <w:rPr>
            <w:rFonts w:ascii="Calibri" w:cs="Calibri" w:eastAsia="Calibri" w:hAnsi="Calibri"/>
            <w:color w:val="1155cc"/>
            <w:highlight w:val="white"/>
            <w:u w:val="single"/>
            <w:rtl w:val="0"/>
          </w:rPr>
          <w:t xml:space="preserve">https://jamanetwork.com/journals/jamainternalmedicine/article-abstract/2678987?utm_campaign=articlePDF&amp;utm_medium=articlePDFlink&amp;utm_source=articlePDF&amp;utm_content=jama.2018.3097</w:t>
        </w:r>
      </w:hyperlink>
      <w:r w:rsidDel="00000000" w:rsidR="00000000" w:rsidRPr="00000000">
        <w:rPr>
          <w:rFonts w:ascii="Calibri" w:cs="Calibri" w:eastAsia="Calibri" w:hAnsi="Calibri"/>
          <w:color w:val="1f497d"/>
          <w:highlight w:val="white"/>
          <w:rtl w:val="0"/>
        </w:rPr>
        <w:t xml:space="preserve"> (Accessed on 9th June 2022)</w:t>
      </w:r>
    </w:p>
    <w:p w:rsidR="00000000" w:rsidDel="00000000" w:rsidP="00000000" w:rsidRDefault="00000000" w:rsidRPr="00000000" w14:paraId="00000029">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 </w:t>
      </w:r>
    </w:p>
    <w:p w:rsidR="00000000" w:rsidDel="00000000" w:rsidP="00000000" w:rsidRDefault="00000000" w:rsidRPr="00000000" w14:paraId="0000002A">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STEVENS, J.A. and SOGOLOW, E.D., 2005. Gender differences for non-fatal unintentional fall related injuries among older adults. </w:t>
      </w:r>
      <w:r w:rsidDel="00000000" w:rsidR="00000000" w:rsidRPr="00000000">
        <w:rPr>
          <w:rFonts w:ascii="Calibri" w:cs="Calibri" w:eastAsia="Calibri" w:hAnsi="Calibri"/>
          <w:i w:val="1"/>
          <w:color w:val="1f497d"/>
          <w:highlight w:val="white"/>
          <w:rtl w:val="0"/>
        </w:rPr>
        <w:t xml:space="preserve">Inj Prev, </w:t>
      </w:r>
      <w:r w:rsidDel="00000000" w:rsidR="00000000" w:rsidRPr="00000000">
        <w:rPr>
          <w:rFonts w:ascii="Calibri" w:cs="Calibri" w:eastAsia="Calibri" w:hAnsi="Calibri"/>
          <w:b w:val="1"/>
          <w:color w:val="1f497d"/>
          <w:highlight w:val="white"/>
          <w:rtl w:val="0"/>
        </w:rPr>
        <w:t xml:space="preserve">11</w:t>
      </w:r>
      <w:r w:rsidDel="00000000" w:rsidR="00000000" w:rsidRPr="00000000">
        <w:rPr>
          <w:rFonts w:ascii="Calibri" w:cs="Calibri" w:eastAsia="Calibri" w:hAnsi="Calibri"/>
          <w:color w:val="1f497d"/>
          <w:highlight w:val="white"/>
          <w:rtl w:val="0"/>
        </w:rPr>
        <w:t xml:space="preserve">(2), pp. 115. Available at:</w:t>
      </w:r>
      <w:hyperlink r:id="rId20">
        <w:r w:rsidDel="00000000" w:rsidR="00000000" w:rsidRPr="00000000">
          <w:rPr>
            <w:rFonts w:ascii="Calibri" w:cs="Calibri" w:eastAsia="Calibri" w:hAnsi="Calibri"/>
            <w:color w:val="1155cc"/>
            <w:highlight w:val="white"/>
            <w:u w:val="single"/>
            <w:rtl w:val="0"/>
          </w:rPr>
          <w:t xml:space="preserve">https://injuryprevention.bmj.com/content/11/2/115</w:t>
        </w:r>
      </w:hyperlink>
      <w:r w:rsidDel="00000000" w:rsidR="00000000" w:rsidRPr="00000000">
        <w:rPr>
          <w:rFonts w:ascii="Calibri" w:cs="Calibri" w:eastAsia="Calibri" w:hAnsi="Calibri"/>
          <w:color w:val="1f497d"/>
          <w:highlight w:val="white"/>
          <w:rtl w:val="0"/>
        </w:rPr>
        <w:t xml:space="preserve"> (Accessed 8th JUne 2022).</w:t>
      </w:r>
    </w:p>
    <w:p w:rsidR="00000000" w:rsidDel="00000000" w:rsidP="00000000" w:rsidRDefault="00000000" w:rsidRPr="00000000" w14:paraId="0000002B">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 </w:t>
      </w:r>
    </w:p>
    <w:p w:rsidR="00000000" w:rsidDel="00000000" w:rsidP="00000000" w:rsidRDefault="00000000" w:rsidRPr="00000000" w14:paraId="0000002C">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VAN GAMEREN, M., BOSSEN, D., BOSMANS, J.E., VISSER, B., FRAZER, S.W.T. and PIJNAPPELS, M., 2021. The (cost-)effectiveness of an implemented fall prevention intervention on falls and fall-related injuries among community-dwelling older adults with an increased risk of falls: protocol for the in balance randomised controlled trial. </w:t>
      </w:r>
      <w:r w:rsidDel="00000000" w:rsidR="00000000" w:rsidRPr="00000000">
        <w:rPr>
          <w:rFonts w:ascii="Calibri" w:cs="Calibri" w:eastAsia="Calibri" w:hAnsi="Calibri"/>
          <w:i w:val="1"/>
          <w:color w:val="1f497d"/>
          <w:highlight w:val="white"/>
          <w:rtl w:val="0"/>
        </w:rPr>
        <w:t xml:space="preserve">BMC geriatrics, </w:t>
      </w:r>
      <w:r w:rsidDel="00000000" w:rsidR="00000000" w:rsidRPr="00000000">
        <w:rPr>
          <w:rFonts w:ascii="Calibri" w:cs="Calibri" w:eastAsia="Calibri" w:hAnsi="Calibri"/>
          <w:b w:val="1"/>
          <w:color w:val="1f497d"/>
          <w:highlight w:val="white"/>
          <w:rtl w:val="0"/>
        </w:rPr>
        <w:t xml:space="preserve">21</w:t>
      </w:r>
      <w:r w:rsidDel="00000000" w:rsidR="00000000" w:rsidRPr="00000000">
        <w:rPr>
          <w:rFonts w:ascii="Calibri" w:cs="Calibri" w:eastAsia="Calibri" w:hAnsi="Calibri"/>
          <w:color w:val="1f497d"/>
          <w:highlight w:val="white"/>
          <w:rtl w:val="0"/>
        </w:rPr>
        <w:t xml:space="preserve">(1), pp. 381-3. Available at: </w:t>
      </w:r>
      <w:hyperlink r:id="rId21">
        <w:r w:rsidDel="00000000" w:rsidR="00000000" w:rsidRPr="00000000">
          <w:rPr>
            <w:rFonts w:ascii="Calibri" w:cs="Calibri" w:eastAsia="Calibri" w:hAnsi="Calibri"/>
            <w:color w:val="1155cc"/>
            <w:highlight w:val="white"/>
            <w:u w:val="single"/>
            <w:rtl w:val="0"/>
          </w:rPr>
          <w:t xml:space="preserve">https://pubmed.ncbi.nlm.nih.gov/34162353/</w:t>
        </w:r>
      </w:hyperlink>
      <w:r w:rsidDel="00000000" w:rsidR="00000000" w:rsidRPr="00000000">
        <w:rPr>
          <w:rFonts w:ascii="Calibri" w:cs="Calibri" w:eastAsia="Calibri" w:hAnsi="Calibri"/>
          <w:color w:val="1f497d"/>
          <w:highlight w:val="white"/>
          <w:rtl w:val="0"/>
        </w:rPr>
        <w:t xml:space="preserve"> (Accessed on 8th june 2022)</w:t>
      </w:r>
    </w:p>
    <w:p w:rsidR="00000000" w:rsidDel="00000000" w:rsidP="00000000" w:rsidRDefault="00000000" w:rsidRPr="00000000" w14:paraId="0000002D">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 </w:t>
      </w:r>
    </w:p>
    <w:p w:rsidR="00000000" w:rsidDel="00000000" w:rsidP="00000000" w:rsidRDefault="00000000" w:rsidRPr="00000000" w14:paraId="0000002E">
      <w:pPr>
        <w:widowControl w:val="0"/>
        <w:shd w:fill="ffffff" w:val="clear"/>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VAN SCHOOTEN, K.S., YANG, Y., FELDMAN, F., LEUNG, M., MCKAY, H., SIMS-GOULD, J. and ROBINOVITCH, S.N., 2018. The Association Between Fall Frequency, Injury Risk, and Characteristics of Falls in Older Residents of Long-Term Care: Do Recurrent Fallers Fall More Safely? </w:t>
      </w:r>
      <w:r w:rsidDel="00000000" w:rsidR="00000000" w:rsidRPr="00000000">
        <w:rPr>
          <w:rFonts w:ascii="Calibri" w:cs="Calibri" w:eastAsia="Calibri" w:hAnsi="Calibri"/>
          <w:i w:val="1"/>
          <w:color w:val="1f497d"/>
          <w:highlight w:val="white"/>
          <w:rtl w:val="0"/>
        </w:rPr>
        <w:t xml:space="preserve">The journals of gerontology.Series A, Biological sciences and medical sciences, </w:t>
      </w:r>
      <w:r w:rsidDel="00000000" w:rsidR="00000000" w:rsidRPr="00000000">
        <w:rPr>
          <w:rFonts w:ascii="Calibri" w:cs="Calibri" w:eastAsia="Calibri" w:hAnsi="Calibri"/>
          <w:b w:val="1"/>
          <w:color w:val="1f497d"/>
          <w:highlight w:val="white"/>
          <w:rtl w:val="0"/>
        </w:rPr>
        <w:t xml:space="preserve">73</w:t>
      </w:r>
      <w:r w:rsidDel="00000000" w:rsidR="00000000" w:rsidRPr="00000000">
        <w:rPr>
          <w:rFonts w:ascii="Calibri" w:cs="Calibri" w:eastAsia="Calibri" w:hAnsi="Calibri"/>
          <w:color w:val="1f497d"/>
          <w:highlight w:val="white"/>
          <w:rtl w:val="0"/>
        </w:rPr>
        <w:t xml:space="preserve">(6), pp. 786-791.Available at:  </w:t>
      </w:r>
      <w:hyperlink r:id="rId22">
        <w:r w:rsidDel="00000000" w:rsidR="00000000" w:rsidRPr="00000000">
          <w:rPr>
            <w:rFonts w:ascii="Calibri" w:cs="Calibri" w:eastAsia="Calibri" w:hAnsi="Calibri"/>
            <w:color w:val="1155cc"/>
            <w:highlight w:val="white"/>
            <w:u w:val="single"/>
            <w:rtl w:val="0"/>
          </w:rPr>
          <w:t xml:space="preserve">https://pubmed.ncbi.nlm.nih.gov/29040497/</w:t>
        </w:r>
      </w:hyperlink>
      <w:r w:rsidDel="00000000" w:rsidR="00000000" w:rsidRPr="00000000">
        <w:rPr>
          <w:rFonts w:ascii="Calibri" w:cs="Calibri" w:eastAsia="Calibri" w:hAnsi="Calibri"/>
          <w:color w:val="1f497d"/>
          <w:highlight w:val="white"/>
          <w:rtl w:val="0"/>
        </w:rPr>
        <w:t xml:space="preserve"> (Accessed on 9th June 2022)</w:t>
      </w:r>
    </w:p>
    <w:p w:rsidR="00000000" w:rsidDel="00000000" w:rsidP="00000000" w:rsidRDefault="00000000" w:rsidRPr="00000000" w14:paraId="0000002F">
      <w:pPr>
        <w:widowControl w:val="0"/>
        <w:spacing w:line="240" w:lineRule="auto"/>
        <w:rPr>
          <w:rFonts w:ascii="Calibri" w:cs="Calibri" w:eastAsia="Calibri" w:hAnsi="Calibri"/>
          <w:color w:val="1f497d"/>
          <w:highlight w:val="white"/>
        </w:rPr>
      </w:pPr>
      <w:r w:rsidDel="00000000" w:rsidR="00000000" w:rsidRPr="00000000">
        <w:rPr>
          <w:rtl w:val="0"/>
        </w:rPr>
      </w:r>
    </w:p>
    <w:p w:rsidR="00000000" w:rsidDel="00000000" w:rsidP="00000000" w:rsidRDefault="00000000" w:rsidRPr="00000000" w14:paraId="00000030">
      <w:pPr>
        <w:widowControl w:val="0"/>
        <w:spacing w:line="240" w:lineRule="auto"/>
        <w:rPr>
          <w:rFonts w:ascii="Calibri" w:cs="Calibri" w:eastAsia="Calibri" w:hAnsi="Calibri"/>
          <w:color w:val="1f497d"/>
          <w:highlight w:val="white"/>
        </w:rPr>
      </w:pPr>
      <w:r w:rsidDel="00000000" w:rsidR="00000000" w:rsidRPr="00000000">
        <w:rPr>
          <w:rFonts w:ascii="Calibri" w:cs="Calibri" w:eastAsia="Calibri" w:hAnsi="Calibri"/>
          <w:color w:val="1f497d"/>
          <w:highlight w:val="white"/>
          <w:rtl w:val="0"/>
        </w:rPr>
        <w:t xml:space="preserve">World Health Organisation, 2021, Falls. Available at: </w:t>
      </w:r>
      <w:hyperlink r:id="rId23">
        <w:r w:rsidDel="00000000" w:rsidR="00000000" w:rsidRPr="00000000">
          <w:rPr>
            <w:rFonts w:ascii="Calibri" w:cs="Calibri" w:eastAsia="Calibri" w:hAnsi="Calibri"/>
            <w:color w:val="1155cc"/>
            <w:highlight w:val="white"/>
            <w:u w:val="single"/>
            <w:rtl w:val="0"/>
          </w:rPr>
          <w:t xml:space="preserve">https://www.who.int/news-room/fact-sheets/detail/falls</w:t>
        </w:r>
      </w:hyperlink>
      <w:r w:rsidDel="00000000" w:rsidR="00000000" w:rsidRPr="00000000">
        <w:rPr>
          <w:rFonts w:ascii="Calibri" w:cs="Calibri" w:eastAsia="Calibri" w:hAnsi="Calibri"/>
          <w:color w:val="1f497d"/>
          <w:highlight w:val="white"/>
          <w:rtl w:val="0"/>
        </w:rPr>
        <w:t xml:space="preserve"> (Accessed on 9th June 2022)</w:t>
      </w:r>
    </w:p>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3F">
      <w:pPr>
        <w:widowControl w:val="0"/>
        <w:spacing w:after="240" w:before="240" w:line="240" w:lineRule="auto"/>
        <w:jc w:val="both"/>
        <w:rPr/>
      </w:pPr>
      <w:r w:rsidDel="00000000" w:rsidR="00000000" w:rsidRPr="00000000">
        <w:rPr>
          <w:rtl w:val="0"/>
        </w:rPr>
      </w:r>
    </w:p>
    <w:tbl>
      <w:tblPr>
        <w:tblStyle w:val="Table1"/>
        <w:tblW w:w="9025.511811023624"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025.511811023624"/>
        <w:tblGridChange w:id="0">
          <w:tblGrid>
            <w:gridCol w:w="9025.511811023624"/>
          </w:tblGrid>
        </w:tblGridChange>
      </w:tblGrid>
      <w:tr>
        <w:trPr>
          <w:cantSplit w:val="0"/>
          <w:trHeight w:val="710" w:hRule="atLeast"/>
          <w:tblHeader w:val="0"/>
        </w:trPr>
        <w:tc>
          <w:tcPr>
            <w:tcBorders>
              <w:top w:color="000000" w:space="0" w:sz="0" w:val="nil"/>
              <w:left w:color="000000" w:space="0" w:sz="0" w:val="nil"/>
              <w:bottom w:color="000000" w:space="0" w:sz="0" w:val="nil"/>
              <w:right w:color="000000" w:space="0" w:sz="0" w:val="nil"/>
            </w:tcBorders>
            <w:shd w:fill="bfbfbf" w:val="clear"/>
            <w:tcMar>
              <w:top w:w="100.0" w:type="dxa"/>
              <w:left w:w="100.0" w:type="dxa"/>
              <w:bottom w:w="100.0" w:type="dxa"/>
              <w:right w:w="100.0" w:type="dxa"/>
            </w:tcMar>
            <w:vAlign w:val="top"/>
          </w:tcPr>
          <w:p w:rsidR="00000000" w:rsidDel="00000000" w:rsidP="00000000" w:rsidRDefault="00000000" w:rsidRPr="00000000" w14:paraId="00000040">
            <w:pPr>
              <w:widowControl w:val="0"/>
              <w:spacing w:after="240" w:before="240" w:line="240" w:lineRule="auto"/>
              <w:rPr>
                <w:b w:val="1"/>
                <w:sz w:val="40"/>
                <w:szCs w:val="40"/>
              </w:rPr>
            </w:pPr>
            <w:r w:rsidDel="00000000" w:rsidR="00000000" w:rsidRPr="00000000">
              <w:rPr>
                <w:b w:val="1"/>
                <w:sz w:val="40"/>
                <w:szCs w:val="40"/>
                <w:rtl w:val="0"/>
              </w:rPr>
              <w:t xml:space="preserve">Student FEEDBACK FORM</w:t>
            </w:r>
          </w:p>
        </w:tc>
      </w:tr>
    </w:tbl>
    <w:p w:rsidR="00000000" w:rsidDel="00000000" w:rsidP="00000000" w:rsidRDefault="00000000" w:rsidRPr="00000000" w14:paraId="00000041">
      <w:pPr>
        <w:widowControl w:val="0"/>
        <w:spacing w:after="240" w:before="240" w:line="240" w:lineRule="auto"/>
        <w:rPr/>
      </w:pPr>
      <w:r w:rsidDel="00000000" w:rsidR="00000000" w:rsidRPr="00000000">
        <w:rPr>
          <w:rtl w:val="0"/>
        </w:rPr>
      </w:r>
    </w:p>
    <w:p w:rsidR="00000000" w:rsidDel="00000000" w:rsidP="00000000" w:rsidRDefault="00000000" w:rsidRPr="00000000" w14:paraId="00000042">
      <w:pPr>
        <w:widowControl w:val="0"/>
        <w:spacing w:after="240" w:before="240" w:line="240" w:lineRule="auto"/>
        <w:jc w:val="both"/>
        <w:rPr>
          <w:sz w:val="20"/>
          <w:szCs w:val="20"/>
        </w:rPr>
      </w:pPr>
      <w:r w:rsidDel="00000000" w:rsidR="00000000" w:rsidRPr="00000000">
        <w:rPr>
          <w:sz w:val="20"/>
          <w:szCs w:val="20"/>
          <w:rtl w:val="0"/>
        </w:rPr>
        <w:t xml:space="preserve">This section details the </w:t>
      </w:r>
      <w:r w:rsidDel="00000000" w:rsidR="00000000" w:rsidRPr="00000000">
        <w:rPr>
          <w:i w:val="1"/>
          <w:sz w:val="20"/>
          <w:szCs w:val="20"/>
          <w:rtl w:val="0"/>
        </w:rPr>
        <w:t xml:space="preserve">extent</w:t>
      </w:r>
      <w:r w:rsidDel="00000000" w:rsidR="00000000" w:rsidRPr="00000000">
        <w:rPr>
          <w:sz w:val="20"/>
          <w:szCs w:val="20"/>
          <w:rtl w:val="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000000" w:rsidDel="00000000" w:rsidP="00000000" w:rsidRDefault="00000000" w:rsidRPr="00000000" w14:paraId="00000043">
      <w:pPr>
        <w:widowControl w:val="0"/>
        <w:spacing w:after="240" w:before="240" w:line="240" w:lineRule="auto"/>
        <w:rPr>
          <w:b w:val="1"/>
        </w:rPr>
      </w:pPr>
      <w:r w:rsidDel="00000000" w:rsidR="00000000" w:rsidRPr="00000000">
        <w:rPr>
          <w:rtl w:val="0"/>
        </w:rPr>
      </w:r>
    </w:p>
    <w:p w:rsidR="00000000" w:rsidDel="00000000" w:rsidP="00000000" w:rsidRDefault="00000000" w:rsidRPr="00000000" w14:paraId="00000044">
      <w:pPr>
        <w:widowControl w:val="0"/>
        <w:spacing w:after="240" w:before="240" w:line="240" w:lineRule="auto"/>
        <w:rPr>
          <w:b w:val="1"/>
        </w:rPr>
      </w:pPr>
      <w:r w:rsidDel="00000000" w:rsidR="00000000" w:rsidRPr="00000000">
        <w:rPr>
          <w:rtl w:val="0"/>
        </w:rPr>
      </w:r>
    </w:p>
    <w:tbl>
      <w:tblPr>
        <w:tblStyle w:val="Table2"/>
        <w:tblW w:w="9025.511811023622"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7145.1968503937005"/>
        <w:gridCol w:w="909.1632776672147"/>
        <w:gridCol w:w="971.1516829627067"/>
        <w:tblGridChange w:id="0">
          <w:tblGrid>
            <w:gridCol w:w="7145.1968503937005"/>
            <w:gridCol w:w="909.1632776672147"/>
            <w:gridCol w:w="971.1516829627067"/>
          </w:tblGrid>
        </w:tblGridChange>
      </w:tblGrid>
      <w:tr>
        <w:trPr>
          <w:cantSplit w:val="0"/>
          <w:trHeight w:val="1220" w:hRule="atLeast"/>
          <w:tblHeader w:val="0"/>
        </w:trPr>
        <w:tc>
          <w:tcPr>
            <w:tcBorders>
              <w:top w:color="000000" w:space="0" w:sz="8" w:val="single"/>
              <w:left w:color="000000" w:space="0" w:sz="8" w:val="single"/>
              <w:bottom w:color="000000" w:space="0" w:sz="0" w:val="nil"/>
              <w:right w:color="000000" w:space="0" w:sz="8" w:val="single"/>
            </w:tcBorders>
            <w:shd w:fill="bfbfbf" w:val="clear"/>
            <w:tcMar>
              <w:top w:w="100.0" w:type="dxa"/>
              <w:left w:w="100.0" w:type="dxa"/>
              <w:bottom w:w="100.0" w:type="dxa"/>
              <w:right w:w="100.0" w:type="dxa"/>
            </w:tcMar>
            <w:vAlign w:val="center"/>
          </w:tcPr>
          <w:p w:rsidR="00000000" w:rsidDel="00000000" w:rsidP="00000000" w:rsidRDefault="00000000" w:rsidRPr="00000000" w14:paraId="00000045">
            <w:pPr>
              <w:widowControl w:val="0"/>
              <w:spacing w:after="240" w:before="240" w:line="240" w:lineRule="auto"/>
              <w:rPr>
                <w:b w:val="1"/>
              </w:rPr>
            </w:pPr>
            <w:r w:rsidDel="00000000" w:rsidR="00000000" w:rsidRPr="00000000">
              <w:rPr>
                <w:b w:val="1"/>
                <w:rtl w:val="0"/>
              </w:rPr>
              <w:t xml:space="preserve">Generic Assessment Criteria</w:t>
            </w:r>
          </w:p>
        </w:tc>
        <w:tc>
          <w:tcPr>
            <w:tcBorders>
              <w:top w:color="000000" w:space="0" w:sz="8" w:val="single"/>
              <w:left w:color="000000" w:space="0" w:sz="8" w:val="single"/>
              <w:bottom w:color="000000" w:space="0" w:sz="0" w:val="nil"/>
              <w:right w:color="000000" w:space="0" w:sz="8" w:val="single"/>
            </w:tcBorders>
            <w:shd w:fill="bfbfbf" w:val="clear"/>
            <w:tcMar>
              <w:top w:w="100.0" w:type="dxa"/>
              <w:left w:w="100.0" w:type="dxa"/>
              <w:bottom w:w="100.0" w:type="dxa"/>
              <w:right w:w="100.0" w:type="dxa"/>
            </w:tcMar>
            <w:vAlign w:val="top"/>
          </w:tcPr>
          <w:p w:rsidR="00000000" w:rsidDel="00000000" w:rsidP="00000000" w:rsidRDefault="00000000" w:rsidRPr="00000000" w14:paraId="00000046">
            <w:pPr>
              <w:widowControl w:val="0"/>
              <w:spacing w:after="240" w:before="240" w:line="240" w:lineRule="auto"/>
              <w:ind w:left="40" w:right="120" w:firstLine="0"/>
              <w:jc w:val="center"/>
              <w:rPr>
                <w:b w:val="1"/>
                <w:sz w:val="18"/>
                <w:szCs w:val="18"/>
              </w:rPr>
            </w:pPr>
            <w:r w:rsidDel="00000000" w:rsidR="00000000" w:rsidRPr="00000000">
              <w:rPr>
                <w:b w:val="1"/>
                <w:sz w:val="18"/>
                <w:szCs w:val="18"/>
                <w:rtl w:val="0"/>
              </w:rPr>
              <w:t xml:space="preserve">Marks available</w:t>
            </w:r>
          </w:p>
        </w:tc>
        <w:tc>
          <w:tcPr>
            <w:tcBorders>
              <w:top w:color="000000" w:space="0" w:sz="8" w:val="single"/>
              <w:left w:color="000000" w:space="0" w:sz="8" w:val="single"/>
              <w:bottom w:color="000000" w:space="0" w:sz="8" w:val="single"/>
              <w:right w:color="000000" w:space="0" w:sz="8" w:val="single"/>
            </w:tcBorders>
            <w:shd w:fill="bfbfbf" w:val="clear"/>
            <w:tcMar>
              <w:top w:w="100.0" w:type="dxa"/>
              <w:left w:w="100.0" w:type="dxa"/>
              <w:bottom w:w="100.0" w:type="dxa"/>
              <w:right w:w="100.0" w:type="dxa"/>
            </w:tcMar>
            <w:vAlign w:val="center"/>
          </w:tcPr>
          <w:p w:rsidR="00000000" w:rsidDel="00000000" w:rsidP="00000000" w:rsidRDefault="00000000" w:rsidRPr="00000000" w14:paraId="00000047">
            <w:pPr>
              <w:widowControl w:val="0"/>
              <w:spacing w:after="240" w:before="240" w:line="240" w:lineRule="auto"/>
              <w:ind w:left="120" w:right="120" w:firstLine="0"/>
              <w:jc w:val="center"/>
              <w:rPr>
                <w:b w:val="1"/>
                <w:sz w:val="18"/>
                <w:szCs w:val="18"/>
              </w:rPr>
            </w:pPr>
            <w:r w:rsidDel="00000000" w:rsidR="00000000" w:rsidRPr="00000000">
              <w:rPr>
                <w:b w:val="1"/>
                <w:sz w:val="18"/>
                <w:szCs w:val="18"/>
                <w:rtl w:val="0"/>
              </w:rPr>
              <w:t xml:space="preserve">Marks</w:t>
            </w:r>
          </w:p>
          <w:p w:rsidR="00000000" w:rsidDel="00000000" w:rsidP="00000000" w:rsidRDefault="00000000" w:rsidRPr="00000000" w14:paraId="00000048">
            <w:pPr>
              <w:widowControl w:val="0"/>
              <w:spacing w:after="240" w:before="240" w:line="240" w:lineRule="auto"/>
              <w:ind w:left="120" w:right="120" w:firstLine="0"/>
              <w:jc w:val="center"/>
              <w:rPr>
                <w:b w:val="1"/>
                <w:sz w:val="18"/>
                <w:szCs w:val="18"/>
              </w:rPr>
            </w:pPr>
            <w:r w:rsidDel="00000000" w:rsidR="00000000" w:rsidRPr="00000000">
              <w:rPr>
                <w:b w:val="1"/>
                <w:sz w:val="18"/>
                <w:szCs w:val="18"/>
                <w:rtl w:val="0"/>
              </w:rPr>
              <w:t xml:space="preserve">awarded</w:t>
            </w:r>
          </w:p>
        </w:tc>
      </w:tr>
      <w:tr>
        <w:trPr>
          <w:cantSplit w:val="0"/>
          <w:trHeight w:val="1100" w:hRule="atLeast"/>
          <w:tblHeader w:val="0"/>
        </w:trPr>
        <w:tc>
          <w:tcPr>
            <w:tcBorders>
              <w:top w:color="000000" w:space="0" w:sz="8" w:val="single"/>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49">
            <w:pPr>
              <w:widowControl w:val="0"/>
              <w:spacing w:after="240" w:before="240" w:line="240" w:lineRule="auto"/>
              <w:rPr>
                <w:b w:val="1"/>
              </w:rPr>
            </w:pPr>
            <w:r w:rsidDel="00000000" w:rsidR="00000000" w:rsidRPr="00000000">
              <w:rPr>
                <w:b w:val="1"/>
                <w:sz w:val="16"/>
                <w:szCs w:val="16"/>
                <w:rtl w:val="0"/>
              </w:rPr>
              <w:t xml:space="preserve">1. </w:t>
            </w:r>
            <w:r w:rsidDel="00000000" w:rsidR="00000000" w:rsidRPr="00000000">
              <w:rPr>
                <w:b w:val="1"/>
                <w:rtl w:val="0"/>
              </w:rPr>
              <w:t xml:space="preserve">Engagement with Literature Skills</w:t>
            </w:r>
          </w:p>
          <w:p w:rsidR="00000000" w:rsidDel="00000000" w:rsidP="00000000" w:rsidRDefault="00000000" w:rsidRPr="00000000" w14:paraId="0000004A">
            <w:pPr>
              <w:widowControl w:val="0"/>
              <w:pBdr>
                <w:bottom w:color="auto" w:space="6" w:sz="0" w:val="none"/>
              </w:pBdr>
              <w:spacing w:after="240" w:before="240" w:line="240" w:lineRule="auto"/>
              <w:rPr>
                <w:sz w:val="14"/>
                <w:szCs w:val="14"/>
              </w:rPr>
            </w:pPr>
            <w:r w:rsidDel="00000000" w:rsidR="00000000" w:rsidRPr="00000000">
              <w:rPr>
                <w:sz w:val="14"/>
                <w:szCs w:val="14"/>
                <w:rtl w:val="0"/>
              </w:rPr>
              <w:t xml:space="preserve">.</w:t>
            </w:r>
          </w:p>
        </w:tc>
        <w:tc>
          <w:tcPr>
            <w:tcBorders>
              <w:top w:color="000000" w:space="0" w:sz="8" w:val="single"/>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4B">
            <w:pPr>
              <w:widowControl w:val="0"/>
              <w:spacing w:after="240" w:before="240" w:line="240" w:lineRule="auto"/>
              <w:jc w:val="center"/>
              <w:rPr>
                <w:sz w:val="32"/>
                <w:szCs w:val="32"/>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4C">
            <w:pPr>
              <w:widowControl w:val="0"/>
              <w:spacing w:after="240" w:before="240" w:line="240" w:lineRule="auto"/>
              <w:jc w:val="center"/>
              <w:rPr>
                <w:sz w:val="32"/>
                <w:szCs w:val="32"/>
              </w:rPr>
            </w:pPr>
            <w:r w:rsidDel="00000000" w:rsidR="00000000" w:rsidRPr="00000000">
              <w:rPr>
                <w:rtl w:val="0"/>
              </w:rPr>
            </w:r>
          </w:p>
        </w:tc>
      </w:tr>
      <w:tr>
        <w:trPr>
          <w:cantSplit w:val="0"/>
          <w:trHeight w:val="1715" w:hRule="atLeast"/>
          <w:tblHeader w:val="0"/>
        </w:trPr>
        <w:tc>
          <w:tcPr>
            <w:vMerge w:val="restart"/>
            <w:tcBorders>
              <w:top w:color="000000" w:space="0" w:sz="8" w:val="single"/>
              <w:left w:color="000000" w:space="0" w:sz="8" w:val="single"/>
              <w:bottom w:color="000000" w:space="0" w:sz="0" w:val="nil"/>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4D">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4E">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4F">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50">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51">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52">
            <w:pPr>
              <w:widowControl w:val="0"/>
              <w:pBdr>
                <w:bottom w:color="auto" w:space="6" w:sz="0" w:val="none"/>
              </w:pBdr>
              <w:spacing w:after="240" w:before="240" w:line="240" w:lineRule="auto"/>
              <w:rPr>
                <w:sz w:val="14"/>
                <w:szCs w:val="14"/>
              </w:rPr>
            </w:pPr>
            <w:r w:rsidDel="00000000" w:rsidR="00000000" w:rsidRPr="00000000">
              <w:rPr>
                <w:rtl w:val="0"/>
              </w:rPr>
            </w:r>
          </w:p>
        </w:tc>
        <w:tc>
          <w:tcPr>
            <w:tcBorders>
              <w:top w:color="000000" w:space="0" w:sz="8" w:val="single"/>
              <w:left w:color="000000" w:space="0" w:sz="8" w:val="single"/>
              <w:bottom w:color="000000" w:space="0" w:sz="0" w:val="nil"/>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53">
            <w:pPr>
              <w:widowControl w:val="0"/>
              <w:spacing w:after="240" w:before="240" w:line="240" w:lineRule="auto"/>
              <w:jc w:val="center"/>
              <w:rPr>
                <w:sz w:val="32"/>
                <w:szCs w:val="32"/>
              </w:rPr>
            </w:pPr>
            <w:r w:rsidDel="00000000" w:rsidR="00000000" w:rsidRPr="00000000">
              <w:rPr>
                <w:rtl w:val="0"/>
              </w:rPr>
            </w:r>
          </w:p>
        </w:tc>
        <w:tc>
          <w:tcPr>
            <w:vMerge w:val="restart"/>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54">
            <w:pPr>
              <w:widowControl w:val="0"/>
              <w:spacing w:after="240" w:before="240" w:line="240" w:lineRule="auto"/>
              <w:jc w:val="center"/>
              <w:rPr>
                <w:sz w:val="32"/>
                <w:szCs w:val="32"/>
              </w:rPr>
            </w:pPr>
            <w:r w:rsidDel="00000000" w:rsidR="00000000" w:rsidRPr="00000000">
              <w:rPr>
                <w:rtl w:val="0"/>
              </w:rPr>
            </w:r>
          </w:p>
        </w:tc>
      </w:tr>
      <w:tr>
        <w:trPr>
          <w:cantSplit w:val="0"/>
          <w:trHeight w:val="1715" w:hRule="atLeast"/>
          <w:tblHeader w:val="0"/>
        </w:trPr>
        <w:tc>
          <w:tcPr>
            <w:vMerge w:val="continue"/>
            <w:tcBorders>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5">
            <w:pPr>
              <w:widowControl w:val="0"/>
              <w:spacing w:line="240" w:lineRule="auto"/>
              <w:rPr/>
            </w:pPr>
            <w:r w:rsidDel="00000000" w:rsidR="00000000" w:rsidRPr="00000000">
              <w:rPr>
                <w:rtl w:val="0"/>
              </w:rPr>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6">
            <w:pPr>
              <w:widowControl w:val="0"/>
              <w:spacing w:after="240" w:before="240" w:line="240" w:lineRule="auto"/>
              <w:jc w:val="center"/>
              <w:rPr>
                <w:sz w:val="32"/>
                <w:szCs w:val="32"/>
              </w:rPr>
            </w:pPr>
            <w:r w:rsidDel="00000000" w:rsidR="00000000" w:rsidRPr="00000000">
              <w:rPr>
                <w:sz w:val="32"/>
                <w:szCs w:val="32"/>
                <w:rtl w:val="0"/>
              </w:rPr>
              <w:t xml:space="preserve">20</w:t>
            </w:r>
          </w:p>
        </w:tc>
        <w:tc>
          <w:tcPr>
            <w:vMerge w:val="continue"/>
            <w:tcBorders>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7">
            <w:pPr>
              <w:widowControl w:val="0"/>
              <w:spacing w:line="240" w:lineRule="auto"/>
              <w:rPr/>
            </w:pPr>
            <w:r w:rsidDel="00000000" w:rsidR="00000000" w:rsidRPr="00000000">
              <w:rPr>
                <w:rtl w:val="0"/>
              </w:rPr>
            </w:r>
          </w:p>
        </w:tc>
      </w:tr>
      <w:tr>
        <w:trPr>
          <w:cantSplit w:val="0"/>
          <w:trHeight w:val="1100" w:hRule="atLeast"/>
          <w:tblHeader w:val="0"/>
        </w:trPr>
        <w:tc>
          <w:tcPr>
            <w:tcBorders>
              <w:top w:color="000000" w:space="0" w:sz="8" w:val="single"/>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58">
            <w:pPr>
              <w:widowControl w:val="0"/>
              <w:spacing w:after="240" w:before="240" w:line="240" w:lineRule="auto"/>
              <w:rPr>
                <w:b w:val="1"/>
              </w:rPr>
            </w:pPr>
            <w:r w:rsidDel="00000000" w:rsidR="00000000" w:rsidRPr="00000000">
              <w:rPr>
                <w:b w:val="1"/>
                <w:sz w:val="16"/>
                <w:szCs w:val="16"/>
                <w:rtl w:val="0"/>
              </w:rPr>
              <w:t xml:space="preserve">2. </w:t>
            </w:r>
            <w:r w:rsidDel="00000000" w:rsidR="00000000" w:rsidRPr="00000000">
              <w:rPr>
                <w:b w:val="1"/>
                <w:rtl w:val="0"/>
              </w:rPr>
              <w:t xml:space="preserve">Knowledge and Understanding Skills</w:t>
            </w:r>
          </w:p>
          <w:p w:rsidR="00000000" w:rsidDel="00000000" w:rsidP="00000000" w:rsidRDefault="00000000" w:rsidRPr="00000000" w14:paraId="00000059">
            <w:pPr>
              <w:widowControl w:val="0"/>
              <w:pBdr>
                <w:bottom w:color="auto" w:space="6" w:sz="0" w:val="none"/>
              </w:pBdr>
              <w:spacing w:after="240" w:before="240" w:line="240" w:lineRule="auto"/>
              <w:rPr>
                <w:sz w:val="14"/>
                <w:szCs w:val="14"/>
              </w:rPr>
            </w:pPr>
            <w:r w:rsidDel="00000000" w:rsidR="00000000" w:rsidRPr="00000000">
              <w:rPr>
                <w:rtl w:val="0"/>
              </w:rPr>
            </w:r>
          </w:p>
        </w:tc>
        <w:tc>
          <w:tcPr>
            <w:tcBorders>
              <w:top w:color="000000" w:space="0" w:sz="8" w:val="single"/>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5A">
            <w:pPr>
              <w:widowControl w:val="0"/>
              <w:spacing w:after="240" w:before="240" w:line="240" w:lineRule="auto"/>
              <w:jc w:val="center"/>
              <w:rPr>
                <w:sz w:val="32"/>
                <w:szCs w:val="32"/>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5B">
            <w:pPr>
              <w:widowControl w:val="0"/>
              <w:spacing w:after="240" w:before="240" w:line="240" w:lineRule="auto"/>
              <w:jc w:val="center"/>
              <w:rPr>
                <w:sz w:val="32"/>
                <w:szCs w:val="32"/>
              </w:rPr>
            </w:pPr>
            <w:r w:rsidDel="00000000" w:rsidR="00000000" w:rsidRPr="00000000">
              <w:rPr>
                <w:rtl w:val="0"/>
              </w:rPr>
            </w:r>
          </w:p>
        </w:tc>
      </w:tr>
      <w:tr>
        <w:trPr>
          <w:cantSplit w:val="0"/>
          <w:trHeight w:val="1715" w:hRule="atLeast"/>
          <w:tblHeader w:val="0"/>
        </w:trPr>
        <w:tc>
          <w:tcPr>
            <w:vMerge w:val="restart"/>
            <w:tcBorders>
              <w:top w:color="000000" w:space="0" w:sz="8" w:val="single"/>
              <w:left w:color="000000" w:space="0" w:sz="8" w:val="single"/>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C">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5D">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5E">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5F">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60">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61">
            <w:pPr>
              <w:widowControl w:val="0"/>
              <w:pBdr>
                <w:bottom w:color="auto" w:space="6" w:sz="0" w:val="none"/>
              </w:pBdr>
              <w:spacing w:after="240" w:before="240" w:line="240" w:lineRule="auto"/>
              <w:rPr>
                <w:sz w:val="14"/>
                <w:szCs w:val="14"/>
              </w:rPr>
            </w:pPr>
            <w:r w:rsidDel="00000000" w:rsidR="00000000" w:rsidRPr="00000000">
              <w:rPr>
                <w:rtl w:val="0"/>
              </w:rPr>
            </w:r>
          </w:p>
        </w:tc>
        <w:tc>
          <w:tcPr>
            <w:tcBorders>
              <w:top w:color="000000" w:space="0" w:sz="8" w:val="single"/>
              <w:left w:color="000000" w:space="0" w:sz="8" w:val="single"/>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2">
            <w:pPr>
              <w:widowControl w:val="0"/>
              <w:spacing w:after="240" w:before="240" w:line="240" w:lineRule="auto"/>
              <w:jc w:val="center"/>
              <w:rPr>
                <w:sz w:val="32"/>
                <w:szCs w:val="32"/>
              </w:rPr>
            </w:pPr>
            <w:r w:rsidDel="00000000" w:rsidR="00000000" w:rsidRPr="00000000">
              <w:rPr>
                <w:rtl w:val="0"/>
              </w:rPr>
            </w:r>
          </w:p>
        </w:tc>
        <w:tc>
          <w:tcPr>
            <w:vMerge w:val="restart"/>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3">
            <w:pPr>
              <w:widowControl w:val="0"/>
              <w:spacing w:after="240" w:before="240" w:line="240" w:lineRule="auto"/>
              <w:jc w:val="center"/>
              <w:rPr>
                <w:sz w:val="32"/>
                <w:szCs w:val="32"/>
              </w:rPr>
            </w:pPr>
            <w:r w:rsidDel="00000000" w:rsidR="00000000" w:rsidRPr="00000000">
              <w:rPr>
                <w:rtl w:val="0"/>
              </w:rPr>
            </w:r>
          </w:p>
        </w:tc>
      </w:tr>
      <w:tr>
        <w:trPr>
          <w:cantSplit w:val="0"/>
          <w:trHeight w:val="1715" w:hRule="atLeast"/>
          <w:tblHeader w:val="0"/>
        </w:trPr>
        <w:tc>
          <w:tcPr>
            <w:vMerge w:val="continue"/>
            <w:tcBorders>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4">
            <w:pPr>
              <w:widowControl w:val="0"/>
              <w:spacing w:line="240" w:lineRule="auto"/>
              <w:rPr/>
            </w:pPr>
            <w:r w:rsidDel="00000000" w:rsidR="00000000" w:rsidRPr="00000000">
              <w:rPr>
                <w:rtl w:val="0"/>
              </w:rPr>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5">
            <w:pPr>
              <w:widowControl w:val="0"/>
              <w:spacing w:after="240" w:before="240" w:line="240" w:lineRule="auto"/>
              <w:jc w:val="center"/>
              <w:rPr>
                <w:sz w:val="32"/>
                <w:szCs w:val="32"/>
              </w:rPr>
            </w:pPr>
            <w:r w:rsidDel="00000000" w:rsidR="00000000" w:rsidRPr="00000000">
              <w:rPr>
                <w:sz w:val="32"/>
                <w:szCs w:val="32"/>
                <w:rtl w:val="0"/>
              </w:rPr>
              <w:t xml:space="preserve">40</w:t>
            </w:r>
          </w:p>
        </w:tc>
        <w:tc>
          <w:tcPr>
            <w:vMerge w:val="continue"/>
            <w:tcBorders>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6">
            <w:pPr>
              <w:widowControl w:val="0"/>
              <w:spacing w:line="240" w:lineRule="auto"/>
              <w:rPr/>
            </w:pPr>
            <w:r w:rsidDel="00000000" w:rsidR="00000000" w:rsidRPr="00000000">
              <w:rPr>
                <w:rtl w:val="0"/>
              </w:rPr>
            </w:r>
          </w:p>
        </w:tc>
      </w:tr>
      <w:tr>
        <w:trPr>
          <w:cantSplit w:val="0"/>
          <w:trHeight w:val="1100" w:hRule="atLeast"/>
          <w:tblHeader w:val="0"/>
        </w:trPr>
        <w:tc>
          <w:tcPr>
            <w:tcBorders>
              <w:top w:color="000000" w:space="0" w:sz="8" w:val="single"/>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67">
            <w:pPr>
              <w:widowControl w:val="0"/>
              <w:spacing w:after="240" w:before="240" w:line="240" w:lineRule="auto"/>
              <w:rPr>
                <w:b w:val="1"/>
              </w:rPr>
            </w:pPr>
            <w:r w:rsidDel="00000000" w:rsidR="00000000" w:rsidRPr="00000000">
              <w:rPr>
                <w:b w:val="1"/>
                <w:sz w:val="16"/>
                <w:szCs w:val="16"/>
                <w:rtl w:val="0"/>
              </w:rPr>
              <w:t xml:space="preserve">3. </w:t>
            </w:r>
            <w:r w:rsidDel="00000000" w:rsidR="00000000" w:rsidRPr="00000000">
              <w:rPr>
                <w:b w:val="1"/>
                <w:rtl w:val="0"/>
              </w:rPr>
              <w:t xml:space="preserve">Cognitive and Intellectual Skills</w:t>
            </w:r>
          </w:p>
          <w:p w:rsidR="00000000" w:rsidDel="00000000" w:rsidP="00000000" w:rsidRDefault="00000000" w:rsidRPr="00000000" w14:paraId="00000068">
            <w:pPr>
              <w:widowControl w:val="0"/>
              <w:pBdr>
                <w:bottom w:color="auto" w:space="6" w:sz="0" w:val="none"/>
              </w:pBdr>
              <w:spacing w:after="240" w:before="240" w:line="240" w:lineRule="auto"/>
              <w:rPr>
                <w:sz w:val="14"/>
                <w:szCs w:val="14"/>
              </w:rPr>
            </w:pPr>
            <w:r w:rsidDel="00000000" w:rsidR="00000000" w:rsidRPr="00000000">
              <w:rPr>
                <w:rtl w:val="0"/>
              </w:rPr>
            </w:r>
          </w:p>
        </w:tc>
        <w:tc>
          <w:tcPr>
            <w:tcBorders>
              <w:top w:color="000000" w:space="0" w:sz="8" w:val="single"/>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69">
            <w:pPr>
              <w:widowControl w:val="0"/>
              <w:spacing w:after="240" w:before="240" w:line="240" w:lineRule="auto"/>
              <w:jc w:val="center"/>
              <w:rPr>
                <w:sz w:val="32"/>
                <w:szCs w:val="32"/>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6A">
            <w:pPr>
              <w:widowControl w:val="0"/>
              <w:spacing w:after="240" w:before="240" w:line="240" w:lineRule="auto"/>
              <w:jc w:val="center"/>
              <w:rPr>
                <w:sz w:val="32"/>
                <w:szCs w:val="32"/>
              </w:rPr>
            </w:pPr>
            <w:r w:rsidDel="00000000" w:rsidR="00000000" w:rsidRPr="00000000">
              <w:rPr>
                <w:rtl w:val="0"/>
              </w:rPr>
            </w:r>
          </w:p>
        </w:tc>
      </w:tr>
      <w:tr>
        <w:trPr>
          <w:cantSplit w:val="0"/>
          <w:trHeight w:val="1715" w:hRule="atLeast"/>
          <w:tblHeader w:val="0"/>
        </w:trPr>
        <w:tc>
          <w:tcPr>
            <w:vMerge w:val="restart"/>
            <w:tcBorders>
              <w:top w:color="000000" w:space="0" w:sz="8" w:val="single"/>
              <w:left w:color="000000" w:space="0" w:sz="8" w:val="single"/>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B">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6C">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6D">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6E">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6F">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70">
            <w:pPr>
              <w:widowControl w:val="0"/>
              <w:pBdr>
                <w:bottom w:color="auto" w:space="6" w:sz="0" w:val="none"/>
              </w:pBdr>
              <w:spacing w:after="240" w:before="240" w:line="240" w:lineRule="auto"/>
              <w:rPr>
                <w:sz w:val="14"/>
                <w:szCs w:val="14"/>
              </w:rPr>
            </w:pPr>
            <w:r w:rsidDel="00000000" w:rsidR="00000000" w:rsidRPr="00000000">
              <w:rPr>
                <w:rtl w:val="0"/>
              </w:rPr>
            </w:r>
          </w:p>
        </w:tc>
        <w:tc>
          <w:tcPr>
            <w:tcBorders>
              <w:top w:color="000000" w:space="0" w:sz="8" w:val="single"/>
              <w:left w:color="000000" w:space="0" w:sz="8" w:val="single"/>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1">
            <w:pPr>
              <w:widowControl w:val="0"/>
              <w:spacing w:after="240" w:before="240" w:line="240" w:lineRule="auto"/>
              <w:jc w:val="center"/>
              <w:rPr>
                <w:sz w:val="32"/>
                <w:szCs w:val="32"/>
              </w:rPr>
            </w:pPr>
            <w:r w:rsidDel="00000000" w:rsidR="00000000" w:rsidRPr="00000000">
              <w:rPr>
                <w:rtl w:val="0"/>
              </w:rPr>
            </w:r>
          </w:p>
        </w:tc>
        <w:tc>
          <w:tcPr>
            <w:vMerge w:val="restart"/>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2">
            <w:pPr>
              <w:widowControl w:val="0"/>
              <w:spacing w:after="240" w:before="240" w:line="240" w:lineRule="auto"/>
              <w:jc w:val="center"/>
              <w:rPr>
                <w:sz w:val="32"/>
                <w:szCs w:val="32"/>
              </w:rPr>
            </w:pPr>
            <w:r w:rsidDel="00000000" w:rsidR="00000000" w:rsidRPr="00000000">
              <w:rPr>
                <w:rtl w:val="0"/>
              </w:rPr>
            </w:r>
          </w:p>
        </w:tc>
      </w:tr>
      <w:tr>
        <w:trPr>
          <w:cantSplit w:val="0"/>
          <w:trHeight w:val="1715" w:hRule="atLeast"/>
          <w:tblHeader w:val="0"/>
        </w:trPr>
        <w:tc>
          <w:tcPr>
            <w:vMerge w:val="continue"/>
            <w:tcBorders>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3">
            <w:pPr>
              <w:widowControl w:val="0"/>
              <w:spacing w:line="240" w:lineRule="auto"/>
              <w:rPr/>
            </w:pPr>
            <w:r w:rsidDel="00000000" w:rsidR="00000000" w:rsidRPr="00000000">
              <w:rPr>
                <w:rtl w:val="0"/>
              </w:rPr>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4">
            <w:pPr>
              <w:widowControl w:val="0"/>
              <w:spacing w:after="240" w:before="240" w:line="240" w:lineRule="auto"/>
              <w:jc w:val="center"/>
              <w:rPr>
                <w:sz w:val="32"/>
                <w:szCs w:val="32"/>
              </w:rPr>
            </w:pPr>
            <w:r w:rsidDel="00000000" w:rsidR="00000000" w:rsidRPr="00000000">
              <w:rPr>
                <w:sz w:val="32"/>
                <w:szCs w:val="32"/>
                <w:rtl w:val="0"/>
              </w:rPr>
              <w:t xml:space="preserve">30</w:t>
            </w:r>
          </w:p>
        </w:tc>
        <w:tc>
          <w:tcPr>
            <w:vMerge w:val="continue"/>
            <w:tcBorders>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5">
            <w:pPr>
              <w:widowControl w:val="0"/>
              <w:spacing w:line="240" w:lineRule="auto"/>
              <w:rPr/>
            </w:pPr>
            <w:r w:rsidDel="00000000" w:rsidR="00000000" w:rsidRPr="00000000">
              <w:rPr>
                <w:rtl w:val="0"/>
              </w:rPr>
            </w:r>
          </w:p>
        </w:tc>
      </w:tr>
      <w:tr>
        <w:trPr>
          <w:cantSplit w:val="0"/>
          <w:trHeight w:val="1100" w:hRule="atLeast"/>
          <w:tblHeader w:val="0"/>
        </w:trPr>
        <w:tc>
          <w:tcPr>
            <w:tcBorders>
              <w:top w:color="000000" w:space="0" w:sz="8" w:val="single"/>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76">
            <w:pPr>
              <w:widowControl w:val="0"/>
              <w:spacing w:after="240" w:before="240" w:line="240" w:lineRule="auto"/>
              <w:rPr>
                <w:b w:val="1"/>
              </w:rPr>
            </w:pPr>
            <w:r w:rsidDel="00000000" w:rsidR="00000000" w:rsidRPr="00000000">
              <w:rPr>
                <w:b w:val="1"/>
                <w:sz w:val="16"/>
                <w:szCs w:val="16"/>
                <w:rtl w:val="0"/>
              </w:rPr>
              <w:t xml:space="preserve">4. </w:t>
            </w:r>
            <w:r w:rsidDel="00000000" w:rsidR="00000000" w:rsidRPr="00000000">
              <w:rPr>
                <w:b w:val="1"/>
                <w:rtl w:val="0"/>
              </w:rPr>
              <w:t xml:space="preserve">Practical Application Skills</w:t>
            </w:r>
          </w:p>
          <w:p w:rsidR="00000000" w:rsidDel="00000000" w:rsidP="00000000" w:rsidRDefault="00000000" w:rsidRPr="00000000" w14:paraId="00000077">
            <w:pPr>
              <w:widowControl w:val="0"/>
              <w:pBdr>
                <w:bottom w:color="auto" w:space="6" w:sz="0" w:val="none"/>
              </w:pBdr>
              <w:spacing w:after="240" w:before="240" w:line="240" w:lineRule="auto"/>
              <w:rPr>
                <w:sz w:val="14"/>
                <w:szCs w:val="14"/>
              </w:rPr>
            </w:pPr>
            <w:r w:rsidDel="00000000" w:rsidR="00000000" w:rsidRPr="00000000">
              <w:rPr>
                <w:rtl w:val="0"/>
              </w:rPr>
            </w:r>
          </w:p>
        </w:tc>
        <w:tc>
          <w:tcPr>
            <w:tcBorders>
              <w:top w:color="000000" w:space="0" w:sz="8" w:val="single"/>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78">
            <w:pPr>
              <w:widowControl w:val="0"/>
              <w:spacing w:after="240" w:before="240" w:line="240" w:lineRule="auto"/>
              <w:jc w:val="center"/>
              <w:rPr>
                <w:sz w:val="32"/>
                <w:szCs w:val="32"/>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79">
            <w:pPr>
              <w:widowControl w:val="0"/>
              <w:spacing w:after="240" w:before="240" w:line="240" w:lineRule="auto"/>
              <w:jc w:val="center"/>
              <w:rPr>
                <w:sz w:val="32"/>
                <w:szCs w:val="32"/>
              </w:rPr>
            </w:pPr>
            <w:r w:rsidDel="00000000" w:rsidR="00000000" w:rsidRPr="00000000">
              <w:rPr>
                <w:rtl w:val="0"/>
              </w:rPr>
            </w:r>
          </w:p>
        </w:tc>
      </w:tr>
      <w:tr>
        <w:trPr>
          <w:cantSplit w:val="0"/>
          <w:trHeight w:val="1715" w:hRule="atLeast"/>
          <w:tblHeader w:val="0"/>
        </w:trPr>
        <w:tc>
          <w:tcPr>
            <w:vMerge w:val="restart"/>
            <w:tcBorders>
              <w:top w:color="000000" w:space="0" w:sz="8" w:val="single"/>
              <w:left w:color="000000" w:space="0" w:sz="8" w:val="single"/>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A">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7B">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7C">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7D">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7E">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7F">
            <w:pPr>
              <w:widowControl w:val="0"/>
              <w:pBdr>
                <w:bottom w:color="auto" w:space="6" w:sz="0" w:val="none"/>
              </w:pBdr>
              <w:spacing w:after="240" w:before="240" w:line="240" w:lineRule="auto"/>
              <w:rPr>
                <w:sz w:val="14"/>
                <w:szCs w:val="14"/>
              </w:rPr>
            </w:pPr>
            <w:r w:rsidDel="00000000" w:rsidR="00000000" w:rsidRPr="00000000">
              <w:rPr>
                <w:rtl w:val="0"/>
              </w:rPr>
            </w:r>
          </w:p>
        </w:tc>
        <w:tc>
          <w:tcPr>
            <w:tcBorders>
              <w:top w:color="000000" w:space="0" w:sz="8" w:val="single"/>
              <w:left w:color="000000" w:space="0" w:sz="8" w:val="single"/>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0">
            <w:pPr>
              <w:widowControl w:val="0"/>
              <w:spacing w:after="240" w:before="240" w:line="240" w:lineRule="auto"/>
              <w:jc w:val="center"/>
              <w:rPr>
                <w:sz w:val="32"/>
                <w:szCs w:val="32"/>
              </w:rPr>
            </w:pPr>
            <w:r w:rsidDel="00000000" w:rsidR="00000000" w:rsidRPr="00000000">
              <w:rPr>
                <w:rtl w:val="0"/>
              </w:rPr>
            </w:r>
          </w:p>
        </w:tc>
        <w:tc>
          <w:tcPr>
            <w:vMerge w:val="restart"/>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1">
            <w:pPr>
              <w:widowControl w:val="0"/>
              <w:spacing w:after="240" w:before="240" w:line="240" w:lineRule="auto"/>
              <w:jc w:val="center"/>
              <w:rPr>
                <w:sz w:val="32"/>
                <w:szCs w:val="32"/>
              </w:rPr>
            </w:pPr>
            <w:r w:rsidDel="00000000" w:rsidR="00000000" w:rsidRPr="00000000">
              <w:rPr>
                <w:rtl w:val="0"/>
              </w:rPr>
            </w:r>
          </w:p>
        </w:tc>
      </w:tr>
      <w:tr>
        <w:trPr>
          <w:cantSplit w:val="0"/>
          <w:trHeight w:val="1715" w:hRule="atLeast"/>
          <w:tblHeader w:val="0"/>
        </w:trPr>
        <w:tc>
          <w:tcPr>
            <w:vMerge w:val="continue"/>
            <w:tcBorders>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2">
            <w:pPr>
              <w:widowControl w:val="0"/>
              <w:spacing w:line="240" w:lineRule="auto"/>
              <w:rPr/>
            </w:pPr>
            <w:r w:rsidDel="00000000" w:rsidR="00000000" w:rsidRPr="00000000">
              <w:rPr>
                <w:rtl w:val="0"/>
              </w:rPr>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3">
            <w:pPr>
              <w:widowControl w:val="0"/>
              <w:spacing w:after="240" w:before="240" w:line="240" w:lineRule="auto"/>
              <w:jc w:val="center"/>
              <w:rPr>
                <w:sz w:val="32"/>
                <w:szCs w:val="32"/>
              </w:rPr>
            </w:pPr>
            <w:r w:rsidDel="00000000" w:rsidR="00000000" w:rsidRPr="00000000">
              <w:rPr>
                <w:rtl w:val="0"/>
              </w:rPr>
            </w:r>
          </w:p>
        </w:tc>
        <w:tc>
          <w:tcPr>
            <w:vMerge w:val="continue"/>
            <w:tcBorders>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4">
            <w:pPr>
              <w:widowControl w:val="0"/>
              <w:spacing w:line="240" w:lineRule="auto"/>
              <w:rPr/>
            </w:pPr>
            <w:r w:rsidDel="00000000" w:rsidR="00000000" w:rsidRPr="00000000">
              <w:rPr>
                <w:rtl w:val="0"/>
              </w:rPr>
            </w:r>
          </w:p>
        </w:tc>
      </w:tr>
      <w:tr>
        <w:trPr>
          <w:cantSplit w:val="0"/>
          <w:trHeight w:val="1100" w:hRule="atLeast"/>
          <w:tblHeader w:val="0"/>
        </w:trPr>
        <w:tc>
          <w:tcPr>
            <w:tcBorders>
              <w:top w:color="000000" w:space="0" w:sz="8" w:val="single"/>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85">
            <w:pPr>
              <w:widowControl w:val="0"/>
              <w:spacing w:after="240" w:before="240" w:line="240" w:lineRule="auto"/>
              <w:rPr>
                <w:b w:val="1"/>
              </w:rPr>
            </w:pPr>
            <w:r w:rsidDel="00000000" w:rsidR="00000000" w:rsidRPr="00000000">
              <w:rPr>
                <w:b w:val="1"/>
                <w:sz w:val="16"/>
                <w:szCs w:val="16"/>
                <w:rtl w:val="0"/>
              </w:rPr>
              <w:t xml:space="preserve">5. </w:t>
            </w:r>
            <w:r w:rsidDel="00000000" w:rsidR="00000000" w:rsidRPr="00000000">
              <w:rPr>
                <w:b w:val="1"/>
                <w:rtl w:val="0"/>
              </w:rPr>
              <w:t xml:space="preserve">Transferable Skills for Life and Professional Practice</w:t>
            </w:r>
          </w:p>
          <w:p w:rsidR="00000000" w:rsidDel="00000000" w:rsidP="00000000" w:rsidRDefault="00000000" w:rsidRPr="00000000" w14:paraId="00000086">
            <w:pPr>
              <w:widowControl w:val="0"/>
              <w:pBdr>
                <w:bottom w:color="auto" w:space="6" w:sz="0" w:val="none"/>
              </w:pBdr>
              <w:spacing w:after="240" w:before="240" w:line="240" w:lineRule="auto"/>
              <w:rPr>
                <w:sz w:val="14"/>
                <w:szCs w:val="14"/>
              </w:rPr>
            </w:pPr>
            <w:r w:rsidDel="00000000" w:rsidR="00000000" w:rsidRPr="00000000">
              <w:rPr>
                <w:rtl w:val="0"/>
              </w:rPr>
            </w:r>
          </w:p>
        </w:tc>
        <w:tc>
          <w:tcPr>
            <w:tcBorders>
              <w:top w:color="000000" w:space="0" w:sz="8" w:val="single"/>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87">
            <w:pPr>
              <w:widowControl w:val="0"/>
              <w:spacing w:after="240" w:before="240" w:line="240" w:lineRule="auto"/>
              <w:jc w:val="center"/>
              <w:rPr>
                <w:sz w:val="32"/>
                <w:szCs w:val="32"/>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88">
            <w:pPr>
              <w:widowControl w:val="0"/>
              <w:spacing w:after="240" w:before="240" w:line="240" w:lineRule="auto"/>
              <w:jc w:val="center"/>
              <w:rPr>
                <w:sz w:val="32"/>
                <w:szCs w:val="32"/>
              </w:rPr>
            </w:pPr>
            <w:r w:rsidDel="00000000" w:rsidR="00000000" w:rsidRPr="00000000">
              <w:rPr>
                <w:rtl w:val="0"/>
              </w:rPr>
            </w:r>
          </w:p>
        </w:tc>
      </w:tr>
      <w:tr>
        <w:trPr>
          <w:cantSplit w:val="0"/>
          <w:trHeight w:val="665" w:hRule="atLeast"/>
          <w:tblHeader w:val="0"/>
        </w:trPr>
        <w:tc>
          <w:tcPr>
            <w:vMerge w:val="restart"/>
            <w:tcBorders>
              <w:top w:color="000000" w:space="0" w:sz="8" w:val="single"/>
              <w:left w:color="000000" w:space="0" w:sz="8" w:val="single"/>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9">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8A">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8B">
            <w:pPr>
              <w:widowControl w:val="0"/>
              <w:pBdr>
                <w:bottom w:color="auto" w:space="6" w:sz="0" w:val="none"/>
              </w:pBdr>
              <w:spacing w:after="240" w:before="240" w:line="240" w:lineRule="auto"/>
              <w:rPr>
                <w:sz w:val="14"/>
                <w:szCs w:val="14"/>
              </w:rPr>
            </w:pPr>
            <w:r w:rsidDel="00000000" w:rsidR="00000000" w:rsidRPr="00000000">
              <w:rPr>
                <w:rtl w:val="0"/>
              </w:rPr>
            </w:r>
          </w:p>
          <w:p w:rsidR="00000000" w:rsidDel="00000000" w:rsidP="00000000" w:rsidRDefault="00000000" w:rsidRPr="00000000" w14:paraId="0000008C">
            <w:pPr>
              <w:widowControl w:val="0"/>
              <w:pBdr>
                <w:bottom w:color="auto" w:space="6" w:sz="0" w:val="none"/>
              </w:pBdr>
              <w:spacing w:after="240" w:before="240" w:line="240" w:lineRule="auto"/>
              <w:rPr>
                <w:sz w:val="14"/>
                <w:szCs w:val="14"/>
              </w:rPr>
            </w:pPr>
            <w:r w:rsidDel="00000000" w:rsidR="00000000" w:rsidRPr="00000000">
              <w:rPr>
                <w:rtl w:val="0"/>
              </w:rPr>
            </w:r>
          </w:p>
        </w:tc>
        <w:tc>
          <w:tcPr>
            <w:tcBorders>
              <w:top w:color="000000" w:space="0" w:sz="8" w:val="single"/>
              <w:left w:color="000000" w:space="0" w:sz="8" w:val="single"/>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D">
            <w:pPr>
              <w:widowControl w:val="0"/>
              <w:spacing w:after="240" w:before="240" w:line="240" w:lineRule="auto"/>
              <w:jc w:val="center"/>
              <w:rPr>
                <w:sz w:val="32"/>
                <w:szCs w:val="32"/>
              </w:rPr>
            </w:pPr>
            <w:r w:rsidDel="00000000" w:rsidR="00000000" w:rsidRPr="00000000">
              <w:rPr>
                <w:rtl w:val="0"/>
              </w:rPr>
            </w:r>
          </w:p>
        </w:tc>
        <w:tc>
          <w:tcPr>
            <w:vMerge w:val="restart"/>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E">
            <w:pPr>
              <w:widowControl w:val="0"/>
              <w:spacing w:after="240" w:before="240" w:line="240" w:lineRule="auto"/>
              <w:jc w:val="center"/>
              <w:rPr>
                <w:sz w:val="32"/>
                <w:szCs w:val="32"/>
              </w:rPr>
            </w:pPr>
            <w:r w:rsidDel="00000000" w:rsidR="00000000" w:rsidRPr="00000000">
              <w:rPr>
                <w:rtl w:val="0"/>
              </w:rPr>
            </w:r>
          </w:p>
        </w:tc>
      </w:tr>
      <w:tr>
        <w:trPr>
          <w:cantSplit w:val="0"/>
          <w:trHeight w:val="1685" w:hRule="atLeast"/>
          <w:tblHeader w:val="0"/>
        </w:trPr>
        <w:tc>
          <w:tcPr>
            <w:vMerge w:val="continue"/>
            <w:tcBorders>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F">
            <w:pPr>
              <w:widowControl w:val="0"/>
              <w:spacing w:line="240" w:lineRule="auto"/>
              <w:rPr/>
            </w:pPr>
            <w:r w:rsidDel="00000000" w:rsidR="00000000" w:rsidRPr="00000000">
              <w:rPr>
                <w:rtl w:val="0"/>
              </w:rPr>
            </w:r>
          </w:p>
        </w:tc>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0">
            <w:pPr>
              <w:widowControl w:val="0"/>
              <w:spacing w:after="240" w:before="240" w:line="240" w:lineRule="auto"/>
              <w:jc w:val="center"/>
              <w:rPr>
                <w:sz w:val="32"/>
                <w:szCs w:val="32"/>
              </w:rPr>
            </w:pPr>
            <w:r w:rsidDel="00000000" w:rsidR="00000000" w:rsidRPr="00000000">
              <w:rPr>
                <w:sz w:val="32"/>
                <w:szCs w:val="32"/>
                <w:rtl w:val="0"/>
              </w:rPr>
              <w:t xml:space="preserve">10</w:t>
            </w:r>
          </w:p>
        </w:tc>
        <w:tc>
          <w:tcPr>
            <w:vMerge w:val="continue"/>
            <w:tcBorders>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1">
            <w:pPr>
              <w:widowControl w:val="0"/>
              <w:spacing w:line="240" w:lineRule="auto"/>
              <w:rPr/>
            </w:pPr>
            <w:r w:rsidDel="00000000" w:rsidR="00000000" w:rsidRPr="00000000">
              <w:rPr>
                <w:rtl w:val="0"/>
              </w:rPr>
            </w:r>
          </w:p>
        </w:tc>
      </w:tr>
    </w:tbl>
    <w:p w:rsidR="00000000" w:rsidDel="00000000" w:rsidP="00000000" w:rsidRDefault="00000000" w:rsidRPr="00000000" w14:paraId="00000092">
      <w:pPr>
        <w:widowControl w:val="0"/>
        <w:spacing w:after="240" w:before="240" w:line="240" w:lineRule="auto"/>
        <w:jc w:val="center"/>
        <w:rPr>
          <w:b w:val="1"/>
        </w:rPr>
      </w:pPr>
      <w:r w:rsidDel="00000000" w:rsidR="00000000" w:rsidRPr="00000000">
        <w:rPr>
          <w:rtl w:val="0"/>
        </w:rPr>
        <w:t xml:space="preserve">Page </w:t>
      </w:r>
      <w:r w:rsidDel="00000000" w:rsidR="00000000" w:rsidRPr="00000000">
        <w:rPr>
          <w:b w:val="1"/>
          <w:rtl w:val="0"/>
        </w:rPr>
        <w:t xml:space="preserve">5</w:t>
      </w:r>
      <w:r w:rsidDel="00000000" w:rsidR="00000000" w:rsidRPr="00000000">
        <w:rPr>
          <w:rtl w:val="0"/>
        </w:rPr>
        <w:t xml:space="preserve"> of </w:t>
      </w:r>
      <w:r w:rsidDel="00000000" w:rsidR="00000000" w:rsidRPr="00000000">
        <w:rPr>
          <w:b w:val="1"/>
          <w:rtl w:val="0"/>
        </w:rPr>
        <w:t xml:space="preserve">13</w:t>
      </w:r>
    </w:p>
    <w:p w:rsidR="00000000" w:rsidDel="00000000" w:rsidP="00000000" w:rsidRDefault="00000000" w:rsidRPr="00000000" w14:paraId="00000093">
      <w:pPr>
        <w:widowControl w:val="0"/>
        <w:spacing w:after="240" w:before="240" w:line="240" w:lineRule="auto"/>
        <w:jc w:val="right"/>
        <w:rPr>
          <w:sz w:val="16"/>
          <w:szCs w:val="16"/>
        </w:rPr>
      </w:pPr>
      <w:r w:rsidDel="00000000" w:rsidR="00000000" w:rsidRPr="00000000">
        <w:rPr>
          <w:rtl w:val="0"/>
        </w:rPr>
      </w:r>
    </w:p>
    <w:p w:rsidR="00000000" w:rsidDel="00000000" w:rsidP="00000000" w:rsidRDefault="00000000" w:rsidRPr="00000000" w14:paraId="00000094">
      <w:pPr>
        <w:widowControl w:val="0"/>
        <w:spacing w:after="240" w:before="240" w:line="240" w:lineRule="auto"/>
        <w:ind w:left="280" w:right="540" w:firstLine="0"/>
        <w:rPr>
          <w:b w:val="1"/>
          <w:sz w:val="16"/>
          <w:szCs w:val="16"/>
        </w:rPr>
      </w:pPr>
      <w:r w:rsidDel="00000000" w:rsidR="00000000" w:rsidRPr="00000000">
        <w:rPr>
          <w:rtl w:val="0"/>
        </w:rPr>
      </w:r>
    </w:p>
    <w:tbl>
      <w:tblPr>
        <w:tblStyle w:val="Table3"/>
        <w:tblW w:w="9025.511811023624"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929.1947823292285"/>
        <w:gridCol w:w="2442.5741813329237"/>
        <w:gridCol w:w="664.7005149201071"/>
        <w:gridCol w:w="989.0423324413642"/>
        <w:tblGridChange w:id="0">
          <w:tblGrid>
            <w:gridCol w:w="4929.1947823292285"/>
            <w:gridCol w:w="2442.5741813329237"/>
            <w:gridCol w:w="664.7005149201071"/>
            <w:gridCol w:w="989.0423324413642"/>
          </w:tblGrid>
        </w:tblGridChange>
      </w:tblGrid>
      <w:tr>
        <w:trPr>
          <w:cantSplit w:val="0"/>
          <w:trHeight w:val="440" w:hRule="atLeast"/>
          <w:tblHeader w:val="0"/>
        </w:trPr>
        <w:tc>
          <w:tcPr>
            <w:vMerge w:val="restart"/>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center"/>
          </w:tcPr>
          <w:p w:rsidR="00000000" w:rsidDel="00000000" w:rsidP="00000000" w:rsidRDefault="00000000" w:rsidRPr="00000000" w14:paraId="00000095">
            <w:pPr>
              <w:widowControl w:val="0"/>
              <w:spacing w:after="240" w:before="240" w:line="240" w:lineRule="auto"/>
              <w:rPr>
                <w:sz w:val="16"/>
                <w:szCs w:val="16"/>
              </w:rPr>
            </w:pPr>
            <w:r w:rsidDel="00000000" w:rsidR="00000000" w:rsidRPr="00000000">
              <w:rPr>
                <w:b w:val="1"/>
                <w:rtl w:val="0"/>
              </w:rPr>
              <w:t xml:space="preserve">Assessment Mark </w:t>
            </w:r>
            <w:r w:rsidDel="00000000" w:rsidR="00000000" w:rsidRPr="00000000">
              <w:rPr>
                <w:rtl w:val="0"/>
              </w:rPr>
              <w:t xml:space="preserve">(</w:t>
            </w:r>
            <w:r w:rsidDel="00000000" w:rsidR="00000000" w:rsidRPr="00000000">
              <w:rPr>
                <w:sz w:val="16"/>
                <w:szCs w:val="16"/>
                <w:rtl w:val="0"/>
              </w:rPr>
              <w:t xml:space="preserve">Assessment marks are subject to ratification at the Exam Board. These comments and marks are to give feedback on module work and are for guidance only until they are confirmed. )</w:t>
            </w:r>
          </w:p>
        </w:tc>
        <w:tc>
          <w:tcPr>
            <w:gridSpan w:val="2"/>
            <w:tcBorders>
              <w:top w:color="000000" w:space="0" w:sz="0" w:val="nil"/>
              <w:left w:color="000000" w:space="0" w:sz="0" w:val="nil"/>
              <w:bottom w:color="000000" w:space="0" w:sz="8" w:val="single"/>
              <w:right w:color="000000" w:space="0" w:sz="0" w:val="nil"/>
            </w:tcBorders>
            <w:shd w:fill="auto" w:val="clear"/>
            <w:tcMar>
              <w:top w:w="100.0" w:type="dxa"/>
              <w:left w:w="100.0" w:type="dxa"/>
              <w:bottom w:w="100.0" w:type="dxa"/>
              <w:right w:w="100.0" w:type="dxa"/>
            </w:tcMar>
            <w:vAlign w:val="bottom"/>
          </w:tcPr>
          <w:p w:rsidR="00000000" w:rsidDel="00000000" w:rsidP="00000000" w:rsidRDefault="00000000" w:rsidRPr="00000000" w14:paraId="00000096">
            <w:pPr>
              <w:widowControl w:val="0"/>
              <w:spacing w:after="240" w:before="240" w:line="240" w:lineRule="auto"/>
              <w:rPr>
                <w:b w:val="1"/>
                <w:sz w:val="16"/>
                <w:szCs w:val="16"/>
              </w:rPr>
            </w:pPr>
            <w:r w:rsidDel="00000000" w:rsidR="00000000" w:rsidRPr="00000000">
              <w:rPr>
                <w:b w:val="1"/>
                <w:sz w:val="16"/>
                <w:szCs w:val="16"/>
                <w:rtl w:val="0"/>
              </w:rPr>
              <w:t xml:space="preserve">Late Submission Penalties (tick if appropriate)</w:t>
            </w:r>
          </w:p>
        </w:tc>
        <w:tc>
          <w:tcPr>
            <w:vMerge w:val="restart"/>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center"/>
          </w:tcPr>
          <w:p w:rsidR="00000000" w:rsidDel="00000000" w:rsidP="00000000" w:rsidRDefault="00000000" w:rsidRPr="00000000" w14:paraId="00000098">
            <w:pPr>
              <w:widowControl w:val="0"/>
              <w:spacing w:after="240" w:before="240" w:line="240" w:lineRule="auto"/>
              <w:jc w:val="right"/>
              <w:rPr>
                <w:b w:val="1"/>
              </w:rPr>
            </w:pPr>
            <w:r w:rsidDel="00000000" w:rsidR="00000000" w:rsidRPr="00000000">
              <w:rPr>
                <w:b w:val="1"/>
                <w:rtl w:val="0"/>
              </w:rPr>
              <w:t xml:space="preserve">%</w:t>
            </w:r>
          </w:p>
        </w:tc>
      </w:tr>
      <w:tr>
        <w:trPr>
          <w:cantSplit w:val="0"/>
          <w:trHeight w:val="440" w:hRule="atLeast"/>
          <w:tblHeader w:val="0"/>
        </w:trPr>
        <w:tc>
          <w:tcPr>
            <w:vMerge w:val="continue"/>
            <w:tcBorders>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99">
            <w:pPr>
              <w:widowControl w:val="0"/>
              <w:spacing w:line="240" w:lineRule="auto"/>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bottom"/>
          </w:tcPr>
          <w:p w:rsidR="00000000" w:rsidDel="00000000" w:rsidP="00000000" w:rsidRDefault="00000000" w:rsidRPr="00000000" w14:paraId="0000009A">
            <w:pPr>
              <w:widowControl w:val="0"/>
              <w:spacing w:after="240" w:before="240" w:line="240" w:lineRule="auto"/>
              <w:rPr>
                <w:sz w:val="12"/>
                <w:szCs w:val="12"/>
              </w:rPr>
            </w:pPr>
            <w:r w:rsidDel="00000000" w:rsidR="00000000" w:rsidRPr="00000000">
              <w:rPr>
                <w:sz w:val="16"/>
                <w:szCs w:val="16"/>
                <w:rtl w:val="0"/>
              </w:rPr>
              <w:t xml:space="preserve">Up to 1 week late (</w:t>
            </w:r>
            <w:r w:rsidDel="00000000" w:rsidR="00000000" w:rsidRPr="00000000">
              <w:rPr>
                <w:sz w:val="12"/>
                <w:szCs w:val="12"/>
                <w:rtl w:val="0"/>
              </w:rPr>
              <w:t xml:space="preserve">40% Max)</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bottom"/>
          </w:tcPr>
          <w:p w:rsidR="00000000" w:rsidDel="00000000" w:rsidP="00000000" w:rsidRDefault="00000000" w:rsidRPr="00000000" w14:paraId="0000009B">
            <w:pPr>
              <w:widowControl w:val="0"/>
              <w:spacing w:after="240" w:before="240" w:line="240" w:lineRule="auto"/>
              <w:jc w:val="center"/>
              <w:rPr>
                <w:sz w:val="12"/>
                <w:szCs w:val="12"/>
              </w:rPr>
            </w:pPr>
            <w:r w:rsidDel="00000000" w:rsidR="00000000" w:rsidRPr="00000000">
              <w:rPr>
                <w:rtl w:val="0"/>
              </w:rPr>
            </w:r>
          </w:p>
        </w:tc>
        <w:tc>
          <w:tcPr>
            <w:vMerge w:val="continue"/>
            <w:tcBorders>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9C">
            <w:pPr>
              <w:widowControl w:val="0"/>
              <w:spacing w:line="240" w:lineRule="auto"/>
              <w:rPr/>
            </w:pPr>
            <w:r w:rsidDel="00000000" w:rsidR="00000000" w:rsidRPr="00000000">
              <w:rPr>
                <w:rtl w:val="0"/>
              </w:rPr>
            </w:r>
          </w:p>
        </w:tc>
      </w:tr>
      <w:tr>
        <w:trPr>
          <w:cantSplit w:val="0"/>
          <w:trHeight w:val="440" w:hRule="atLeast"/>
          <w:tblHeader w:val="0"/>
        </w:trPr>
        <w:tc>
          <w:tcPr>
            <w:vMerge w:val="continue"/>
            <w:tcBorders>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9D">
            <w:pPr>
              <w:widowControl w:val="0"/>
              <w:spacing w:line="240" w:lineRule="auto"/>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bottom"/>
          </w:tcPr>
          <w:p w:rsidR="00000000" w:rsidDel="00000000" w:rsidP="00000000" w:rsidRDefault="00000000" w:rsidRPr="00000000" w14:paraId="0000009E">
            <w:pPr>
              <w:widowControl w:val="0"/>
              <w:spacing w:after="240" w:before="240" w:line="240" w:lineRule="auto"/>
              <w:rPr>
                <w:sz w:val="12"/>
                <w:szCs w:val="12"/>
              </w:rPr>
            </w:pPr>
            <w:r w:rsidDel="00000000" w:rsidR="00000000" w:rsidRPr="00000000">
              <w:rPr>
                <w:sz w:val="16"/>
                <w:szCs w:val="16"/>
                <w:rtl w:val="0"/>
              </w:rPr>
              <w:t xml:space="preserve">Over 1 week late (</w:t>
            </w:r>
            <w:r w:rsidDel="00000000" w:rsidR="00000000" w:rsidRPr="00000000">
              <w:rPr>
                <w:sz w:val="12"/>
                <w:szCs w:val="12"/>
                <w:rtl w:val="0"/>
              </w:rPr>
              <w:t xml:space="preserve">0%)</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bottom"/>
          </w:tcPr>
          <w:p w:rsidR="00000000" w:rsidDel="00000000" w:rsidP="00000000" w:rsidRDefault="00000000" w:rsidRPr="00000000" w14:paraId="0000009F">
            <w:pPr>
              <w:widowControl w:val="0"/>
              <w:spacing w:after="240" w:before="240" w:line="240" w:lineRule="auto"/>
              <w:jc w:val="center"/>
              <w:rPr>
                <w:sz w:val="12"/>
                <w:szCs w:val="12"/>
              </w:rPr>
            </w:pPr>
            <w:r w:rsidDel="00000000" w:rsidR="00000000" w:rsidRPr="00000000">
              <w:rPr>
                <w:rtl w:val="0"/>
              </w:rPr>
            </w:r>
          </w:p>
        </w:tc>
        <w:tc>
          <w:tcPr>
            <w:vMerge w:val="continue"/>
            <w:tcBorders>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A0">
            <w:pPr>
              <w:widowControl w:val="0"/>
              <w:spacing w:line="240" w:lineRule="auto"/>
              <w:rPr/>
            </w:pPr>
            <w:r w:rsidDel="00000000" w:rsidR="00000000" w:rsidRPr="00000000">
              <w:rPr>
                <w:rtl w:val="0"/>
              </w:rPr>
            </w:r>
          </w:p>
        </w:tc>
      </w:tr>
    </w:tbl>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sectPr>
      <w:headerReference r:id="rId24" w:type="default"/>
      <w:footerReference r:id="rId25"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7">
    <w:pPr>
      <w:rPr>
        <w:rFonts w:ascii="Roboto" w:cs="Roboto" w:eastAsia="Roboto" w:hAnsi="Roboto"/>
      </w:rPr>
    </w:pPr>
    <w:r w:rsidDel="00000000" w:rsidR="00000000" w:rsidRPr="00000000">
      <w:rPr>
        <w:rFonts w:ascii="Roboto" w:cs="Roboto" w:eastAsia="Roboto" w:hAnsi="Roboto"/>
        <w:rtl w:val="0"/>
      </w:rPr>
      <w:t xml:space="preserve">Name: Stacy Rees                          Module Code: </w:t>
    </w:r>
    <w:r w:rsidDel="00000000" w:rsidR="00000000" w:rsidRPr="00000000">
      <w:rPr>
        <w:rFonts w:ascii="Roboto" w:cs="Roboto" w:eastAsia="Roboto" w:hAnsi="Roboto"/>
        <w:color w:val="373a3c"/>
        <w:sz w:val="24"/>
        <w:szCs w:val="24"/>
        <w:shd w:fill="fbf7f5" w:val="clear"/>
        <w:rtl w:val="0"/>
      </w:rPr>
      <w:t xml:space="preserve">BMHN400                    Student ID:1809144</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injuryprevention.bmj.com/content/11/2/115" TargetMode="External"/><Relationship Id="rId22" Type="http://schemas.openxmlformats.org/officeDocument/2006/relationships/hyperlink" Target="https://pubmed.ncbi.nlm.nih.gov/29040497/" TargetMode="External"/><Relationship Id="rId21" Type="http://schemas.openxmlformats.org/officeDocument/2006/relationships/hyperlink" Target="https://pubmed.ncbi.nlm.nih.gov/34162353/" TargetMode="External"/><Relationship Id="rId24" Type="http://schemas.openxmlformats.org/officeDocument/2006/relationships/header" Target="header1.xml"/><Relationship Id="rId23" Type="http://schemas.openxmlformats.org/officeDocument/2006/relationships/hyperlink" Target="https://www.who.int/news-room/fact-sheets/detail/fall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cbi.nlm.nih.gov/pmc/articles/PMC6527126/" TargetMode="External"/><Relationship Id="rId25"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ageuk.org.uk/latest-press/archive/falls-over-65s-cost-nhs/" TargetMode="External"/><Relationship Id="rId7" Type="http://schemas.openxmlformats.org/officeDocument/2006/relationships/hyperlink" Target="https://www.ncbi.nlm.nih.gov/pmc/articles/PMC6527126/" TargetMode="External"/><Relationship Id="rId8" Type="http://schemas.openxmlformats.org/officeDocument/2006/relationships/hyperlink" Target="https://www.ncbi.nlm.nih.gov/pmc/articles/PMC6089380/" TargetMode="External"/><Relationship Id="rId11" Type="http://schemas.openxmlformats.org/officeDocument/2006/relationships/hyperlink" Target="https://www.gov.uk/government/publications/falls-applying-all-our-health/falls-applying-all-our-health" TargetMode="External"/><Relationship Id="rId10" Type="http://schemas.openxmlformats.org/officeDocument/2006/relationships/hyperlink" Target="http://gov.uk/" TargetMode="External"/><Relationship Id="rId13" Type="http://schemas.openxmlformats.org/officeDocument/2006/relationships/hyperlink" Target="https://journals.lww.com/jtrauma/Abstract/2011/09000/Societal_Consequences_of_Falls_in_the_Older.36.aspx" TargetMode="External"/><Relationship Id="rId12" Type="http://schemas.openxmlformats.org/officeDocument/2006/relationships/hyperlink" Target="https://www.gov.uk/government/publications/falls-applying-all-our-health/falls-applying-all-our-health" TargetMode="External"/><Relationship Id="rId15" Type="http://schemas.openxmlformats.org/officeDocument/2006/relationships/hyperlink" Target="https://journals.plos.org/plosone/article?id=10.1371/journal.pone.0129098" TargetMode="External"/><Relationship Id="rId14" Type="http://schemas.openxmlformats.org/officeDocument/2006/relationships/hyperlink" Target="https://link.springer.com/article/10.1186/s12877-021-02334-3#citeas" TargetMode="External"/><Relationship Id="rId17" Type="http://schemas.openxmlformats.org/officeDocument/2006/relationships/hyperlink" Target="https://www.nhs.uk/conditions/falls/#:~:text=Falls%20are%20a%20common%2C%20but,not%20result%20in%20serious%20injury" TargetMode="External"/><Relationship Id="rId16" Type="http://schemas.openxmlformats.org/officeDocument/2006/relationships/hyperlink" Target="https://www.ncbi.nlm.nih.gov/pmc/articles/PMC4461251/" TargetMode="External"/><Relationship Id="rId19" Type="http://schemas.openxmlformats.org/officeDocument/2006/relationships/hyperlink" Target="https://jamanetwork.com/journals/jamainternalmedicine/article-abstract/2678987?utm_campaign=articlePDF&amp;utm_medium=articlePDFlink&amp;utm_source=articlePDF&amp;utm_content=jama.2018.3097" TargetMode="External"/><Relationship Id="rId18" Type="http://schemas.openxmlformats.org/officeDocument/2006/relationships/hyperlink" Target="https://injuryprevention.bmj.com/content/8/4/28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