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59017" w14:textId="0FE23337" w:rsidR="009F10D6" w:rsidRDefault="009F10D6" w:rsidP="005B7121">
      <w:pPr>
        <w:spacing w:after="0" w:line="360" w:lineRule="auto"/>
        <w:rPr>
          <w:rFonts w:cstheme="minorHAnsi"/>
          <w:b/>
          <w:bCs/>
          <w:color w:val="000000" w:themeColor="text1"/>
          <w:sz w:val="32"/>
          <w:szCs w:val="32"/>
        </w:rPr>
      </w:pPr>
      <w:r>
        <w:rPr>
          <w:rFonts w:cstheme="minorHAnsi"/>
          <w:b/>
          <w:bCs/>
          <w:color w:val="000000" w:themeColor="text1"/>
          <w:sz w:val="32"/>
          <w:szCs w:val="32"/>
        </w:rPr>
        <w:t xml:space="preserve">BSc Health and Social Care </w:t>
      </w:r>
    </w:p>
    <w:p w14:paraId="43A7FC91" w14:textId="08BECB9A" w:rsidR="0047F7D9" w:rsidRPr="005B7121" w:rsidRDefault="0047F7D9"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Module:</w:t>
      </w:r>
      <w:r w:rsidRPr="005B7121">
        <w:rPr>
          <w:rFonts w:cstheme="minorHAnsi"/>
          <w:color w:val="000000" w:themeColor="text1"/>
          <w:sz w:val="32"/>
          <w:szCs w:val="32"/>
        </w:rPr>
        <w:t xml:space="preserve"> BMHP5019 – Introduction to Independent Research Skills</w:t>
      </w:r>
    </w:p>
    <w:p w14:paraId="28AAF911" w14:textId="4B4803A5" w:rsidR="0047F7D9" w:rsidRPr="005B7121" w:rsidRDefault="0047F7D9"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Student Name:</w:t>
      </w:r>
      <w:r w:rsidRPr="005B7121">
        <w:rPr>
          <w:rFonts w:cstheme="minorHAnsi"/>
          <w:color w:val="000000" w:themeColor="text1"/>
          <w:sz w:val="32"/>
          <w:szCs w:val="32"/>
        </w:rPr>
        <w:t xml:space="preserve"> Misba Mahmood</w:t>
      </w:r>
    </w:p>
    <w:p w14:paraId="0C732C62" w14:textId="7FFB604F" w:rsidR="0047F7D9" w:rsidRPr="005B7121" w:rsidRDefault="0047F7D9"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Student Number:</w:t>
      </w:r>
      <w:r w:rsidRPr="005B7121">
        <w:rPr>
          <w:rFonts w:cstheme="minorHAnsi"/>
          <w:color w:val="000000" w:themeColor="text1"/>
          <w:sz w:val="32"/>
          <w:szCs w:val="32"/>
        </w:rPr>
        <w:t xml:space="preserve"> 2413669</w:t>
      </w:r>
    </w:p>
    <w:p w14:paraId="61B618DD" w14:textId="785D1ECF" w:rsidR="03275AA1" w:rsidRPr="005B7121" w:rsidRDefault="03275AA1"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Lecturer</w:t>
      </w:r>
      <w:r w:rsidRPr="005B7121">
        <w:rPr>
          <w:rFonts w:cstheme="minorHAnsi"/>
          <w:color w:val="000000" w:themeColor="text1"/>
          <w:sz w:val="32"/>
          <w:szCs w:val="32"/>
        </w:rPr>
        <w:t xml:space="preserve">: Philip Jones </w:t>
      </w:r>
    </w:p>
    <w:p w14:paraId="33DEDA6E" w14:textId="66E5F241" w:rsidR="03275AA1" w:rsidRPr="005B7121" w:rsidRDefault="03275AA1"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Assignment title:</w:t>
      </w:r>
      <w:r w:rsidR="71925824" w:rsidRPr="005B7121">
        <w:rPr>
          <w:rFonts w:cstheme="minorHAnsi"/>
          <w:b/>
          <w:bCs/>
          <w:color w:val="000000" w:themeColor="text1"/>
          <w:sz w:val="32"/>
          <w:szCs w:val="32"/>
        </w:rPr>
        <w:t xml:space="preserve"> </w:t>
      </w:r>
      <w:r w:rsidR="71925824" w:rsidRPr="005B7121">
        <w:rPr>
          <w:rFonts w:cstheme="minorHAnsi"/>
          <w:color w:val="000000" w:themeColor="text1"/>
          <w:sz w:val="32"/>
          <w:szCs w:val="32"/>
        </w:rPr>
        <w:t xml:space="preserve">Written assignment – Research Report </w:t>
      </w:r>
    </w:p>
    <w:p w14:paraId="164032F8" w14:textId="220CF04B" w:rsidR="22018B77" w:rsidRPr="005B7121" w:rsidRDefault="03275AA1" w:rsidP="005B7121">
      <w:pPr>
        <w:spacing w:after="0" w:line="360" w:lineRule="auto"/>
        <w:rPr>
          <w:rFonts w:cstheme="minorHAnsi"/>
          <w:color w:val="000000" w:themeColor="text1"/>
          <w:sz w:val="32"/>
          <w:szCs w:val="32"/>
        </w:rPr>
      </w:pPr>
      <w:r w:rsidRPr="005B7121">
        <w:rPr>
          <w:rFonts w:cstheme="minorHAnsi"/>
          <w:b/>
          <w:bCs/>
          <w:color w:val="000000" w:themeColor="text1"/>
          <w:sz w:val="32"/>
          <w:szCs w:val="32"/>
        </w:rPr>
        <w:t xml:space="preserve">Submission Date: </w:t>
      </w:r>
      <w:r w:rsidRPr="005B7121">
        <w:rPr>
          <w:rFonts w:cstheme="minorHAnsi"/>
          <w:color w:val="000000" w:themeColor="text1"/>
          <w:sz w:val="32"/>
          <w:szCs w:val="32"/>
        </w:rPr>
        <w:t>Monday 20</w:t>
      </w:r>
      <w:r w:rsidRPr="005B7121">
        <w:rPr>
          <w:rFonts w:cstheme="minorHAnsi"/>
          <w:color w:val="000000" w:themeColor="text1"/>
          <w:sz w:val="32"/>
          <w:szCs w:val="32"/>
          <w:vertAlign w:val="superscript"/>
        </w:rPr>
        <w:t>th</w:t>
      </w:r>
      <w:r w:rsidRPr="005B7121">
        <w:rPr>
          <w:rFonts w:cstheme="minorHAnsi"/>
          <w:color w:val="000000" w:themeColor="text1"/>
          <w:sz w:val="32"/>
          <w:szCs w:val="32"/>
        </w:rPr>
        <w:t xml:space="preserve"> July 2026</w:t>
      </w:r>
    </w:p>
    <w:p w14:paraId="7E7E1EF4" w14:textId="77777777" w:rsidR="005B7121" w:rsidRDefault="005B7121" w:rsidP="005B7121">
      <w:pPr>
        <w:spacing w:after="0" w:line="360" w:lineRule="auto"/>
        <w:rPr>
          <w:rFonts w:cstheme="minorHAnsi"/>
          <w:color w:val="000000" w:themeColor="text1"/>
          <w:sz w:val="32"/>
          <w:szCs w:val="32"/>
        </w:rPr>
      </w:pPr>
    </w:p>
    <w:p w14:paraId="23281CD3" w14:textId="77777777" w:rsidR="001548D4" w:rsidRDefault="001548D4" w:rsidP="005B7121">
      <w:pPr>
        <w:spacing w:after="0" w:line="360" w:lineRule="auto"/>
        <w:rPr>
          <w:rFonts w:cstheme="minorHAnsi"/>
          <w:color w:val="000000" w:themeColor="text1"/>
          <w:sz w:val="32"/>
          <w:szCs w:val="32"/>
        </w:rPr>
      </w:pPr>
    </w:p>
    <w:p w14:paraId="297BC9EC" w14:textId="77777777" w:rsidR="001548D4" w:rsidRDefault="001548D4" w:rsidP="005B7121">
      <w:pPr>
        <w:spacing w:after="0" w:line="360" w:lineRule="auto"/>
        <w:rPr>
          <w:rFonts w:cstheme="minorHAnsi"/>
          <w:color w:val="000000" w:themeColor="text1"/>
          <w:sz w:val="32"/>
          <w:szCs w:val="32"/>
        </w:rPr>
      </w:pPr>
    </w:p>
    <w:p w14:paraId="0BD1D9D8" w14:textId="77777777" w:rsidR="001548D4" w:rsidRDefault="001548D4" w:rsidP="005B7121">
      <w:pPr>
        <w:spacing w:after="0" w:line="360" w:lineRule="auto"/>
        <w:rPr>
          <w:rFonts w:cstheme="minorHAnsi"/>
          <w:color w:val="000000" w:themeColor="text1"/>
          <w:sz w:val="32"/>
          <w:szCs w:val="32"/>
        </w:rPr>
      </w:pPr>
    </w:p>
    <w:p w14:paraId="46006FBE" w14:textId="77777777" w:rsidR="001548D4" w:rsidRDefault="001548D4" w:rsidP="005B7121">
      <w:pPr>
        <w:spacing w:after="0" w:line="360" w:lineRule="auto"/>
        <w:rPr>
          <w:rFonts w:cstheme="minorHAnsi"/>
          <w:color w:val="000000" w:themeColor="text1"/>
          <w:sz w:val="32"/>
          <w:szCs w:val="32"/>
        </w:rPr>
      </w:pPr>
    </w:p>
    <w:p w14:paraId="35255B45" w14:textId="77777777" w:rsidR="001548D4" w:rsidRDefault="001548D4" w:rsidP="005B7121">
      <w:pPr>
        <w:spacing w:after="0" w:line="360" w:lineRule="auto"/>
        <w:rPr>
          <w:rFonts w:cstheme="minorHAnsi"/>
          <w:color w:val="000000" w:themeColor="text1"/>
          <w:sz w:val="32"/>
          <w:szCs w:val="32"/>
        </w:rPr>
      </w:pPr>
    </w:p>
    <w:p w14:paraId="1300E9D7" w14:textId="77777777" w:rsidR="001548D4" w:rsidRDefault="001548D4" w:rsidP="005B7121">
      <w:pPr>
        <w:spacing w:after="0" w:line="360" w:lineRule="auto"/>
        <w:rPr>
          <w:rFonts w:cstheme="minorHAnsi"/>
          <w:color w:val="000000" w:themeColor="text1"/>
          <w:sz w:val="32"/>
          <w:szCs w:val="32"/>
        </w:rPr>
      </w:pPr>
    </w:p>
    <w:p w14:paraId="177C4E7D" w14:textId="77777777" w:rsidR="001548D4" w:rsidRDefault="001548D4" w:rsidP="005B7121">
      <w:pPr>
        <w:spacing w:after="0" w:line="360" w:lineRule="auto"/>
        <w:rPr>
          <w:rFonts w:cstheme="minorHAnsi"/>
          <w:color w:val="000000" w:themeColor="text1"/>
          <w:sz w:val="32"/>
          <w:szCs w:val="32"/>
        </w:rPr>
      </w:pPr>
    </w:p>
    <w:p w14:paraId="0A05B428" w14:textId="77777777" w:rsidR="001548D4" w:rsidRDefault="001548D4" w:rsidP="005B7121">
      <w:pPr>
        <w:spacing w:after="0" w:line="360" w:lineRule="auto"/>
        <w:rPr>
          <w:rFonts w:cstheme="minorHAnsi"/>
          <w:color w:val="000000" w:themeColor="text1"/>
          <w:sz w:val="32"/>
          <w:szCs w:val="32"/>
        </w:rPr>
      </w:pPr>
    </w:p>
    <w:p w14:paraId="160FAE82" w14:textId="77777777" w:rsidR="001548D4" w:rsidRDefault="001548D4" w:rsidP="005B7121">
      <w:pPr>
        <w:spacing w:after="0" w:line="360" w:lineRule="auto"/>
        <w:rPr>
          <w:rFonts w:cstheme="minorHAnsi"/>
          <w:color w:val="000000" w:themeColor="text1"/>
          <w:sz w:val="32"/>
          <w:szCs w:val="32"/>
        </w:rPr>
      </w:pPr>
    </w:p>
    <w:p w14:paraId="749A5D40" w14:textId="77777777" w:rsidR="001548D4" w:rsidRDefault="001548D4" w:rsidP="005B7121">
      <w:pPr>
        <w:spacing w:after="0" w:line="360" w:lineRule="auto"/>
        <w:rPr>
          <w:rFonts w:cstheme="minorHAnsi"/>
          <w:color w:val="000000" w:themeColor="text1"/>
          <w:sz w:val="32"/>
          <w:szCs w:val="32"/>
        </w:rPr>
      </w:pPr>
    </w:p>
    <w:p w14:paraId="30A23608" w14:textId="77777777" w:rsidR="001548D4" w:rsidRDefault="001548D4" w:rsidP="005B7121">
      <w:pPr>
        <w:spacing w:after="0" w:line="360" w:lineRule="auto"/>
        <w:rPr>
          <w:rFonts w:cstheme="minorHAnsi"/>
          <w:color w:val="000000" w:themeColor="text1"/>
          <w:sz w:val="32"/>
          <w:szCs w:val="32"/>
        </w:rPr>
      </w:pPr>
    </w:p>
    <w:p w14:paraId="3D91723A" w14:textId="77777777" w:rsidR="001548D4" w:rsidRDefault="001548D4" w:rsidP="005B7121">
      <w:pPr>
        <w:spacing w:after="0" w:line="360" w:lineRule="auto"/>
        <w:rPr>
          <w:rFonts w:cstheme="minorHAnsi"/>
          <w:color w:val="000000" w:themeColor="text1"/>
          <w:sz w:val="32"/>
          <w:szCs w:val="32"/>
        </w:rPr>
      </w:pPr>
    </w:p>
    <w:p w14:paraId="6A264876" w14:textId="77777777" w:rsidR="001548D4" w:rsidRDefault="001548D4" w:rsidP="005B7121">
      <w:pPr>
        <w:spacing w:after="0" w:line="360" w:lineRule="auto"/>
        <w:rPr>
          <w:rFonts w:cstheme="minorHAnsi"/>
          <w:color w:val="000000" w:themeColor="text1"/>
          <w:sz w:val="32"/>
          <w:szCs w:val="32"/>
        </w:rPr>
      </w:pPr>
    </w:p>
    <w:p w14:paraId="54FE4F60" w14:textId="77777777" w:rsidR="001548D4" w:rsidRPr="005B7121" w:rsidRDefault="001548D4" w:rsidP="005B7121">
      <w:pPr>
        <w:spacing w:after="0" w:line="360" w:lineRule="auto"/>
        <w:rPr>
          <w:rFonts w:cstheme="minorHAnsi"/>
          <w:color w:val="000000" w:themeColor="text1"/>
          <w:sz w:val="32"/>
          <w:szCs w:val="32"/>
        </w:rPr>
      </w:pPr>
    </w:p>
    <w:p w14:paraId="26FF0B1D" w14:textId="77777777" w:rsidR="005B7121" w:rsidRDefault="005B7121" w:rsidP="005B7121">
      <w:pPr>
        <w:spacing w:after="0" w:line="360" w:lineRule="auto"/>
        <w:rPr>
          <w:rFonts w:cstheme="minorHAnsi"/>
          <w:color w:val="000000" w:themeColor="text1"/>
          <w:sz w:val="22"/>
          <w:szCs w:val="22"/>
        </w:rPr>
      </w:pPr>
    </w:p>
    <w:p w14:paraId="19CC3C94" w14:textId="77777777" w:rsidR="005B7121" w:rsidRDefault="005B7121" w:rsidP="005B7121">
      <w:pPr>
        <w:spacing w:after="0" w:line="360" w:lineRule="auto"/>
        <w:rPr>
          <w:rFonts w:cstheme="minorHAnsi"/>
          <w:color w:val="000000" w:themeColor="text1"/>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489"/>
        <w:gridCol w:w="601"/>
      </w:tblGrid>
      <w:tr w:rsidR="001548D4" w:rsidRPr="001548D4" w14:paraId="43FC0B05" w14:textId="77777777">
        <w:trPr>
          <w:tblHeader/>
          <w:tblCellSpacing w:w="15" w:type="dxa"/>
        </w:trPr>
        <w:tc>
          <w:tcPr>
            <w:tcW w:w="0" w:type="auto"/>
            <w:vAlign w:val="center"/>
            <w:hideMark/>
          </w:tcPr>
          <w:p w14:paraId="481A7FB2" w14:textId="77777777" w:rsidR="001548D4" w:rsidRPr="001548D4" w:rsidRDefault="001548D4" w:rsidP="001548D4">
            <w:pPr>
              <w:spacing w:after="0" w:line="360" w:lineRule="auto"/>
              <w:rPr>
                <w:rFonts w:cstheme="minorHAnsi"/>
                <w:b/>
                <w:bCs/>
                <w:color w:val="000000" w:themeColor="text1"/>
                <w:sz w:val="22"/>
                <w:szCs w:val="22"/>
                <w:lang w:val="en-GB"/>
              </w:rPr>
            </w:pPr>
            <w:r w:rsidRPr="001548D4">
              <w:rPr>
                <w:rFonts w:cstheme="minorHAnsi"/>
                <w:b/>
                <w:bCs/>
                <w:color w:val="000000" w:themeColor="text1"/>
                <w:sz w:val="22"/>
                <w:szCs w:val="22"/>
                <w:lang w:val="en-GB"/>
              </w:rPr>
              <w:t>Contents</w:t>
            </w:r>
          </w:p>
        </w:tc>
        <w:tc>
          <w:tcPr>
            <w:tcW w:w="0" w:type="auto"/>
            <w:vAlign w:val="center"/>
            <w:hideMark/>
          </w:tcPr>
          <w:p w14:paraId="3BA1A9CE" w14:textId="77777777" w:rsidR="001548D4" w:rsidRPr="001548D4" w:rsidRDefault="001548D4" w:rsidP="001548D4">
            <w:pPr>
              <w:spacing w:after="0" w:line="360" w:lineRule="auto"/>
              <w:rPr>
                <w:rFonts w:cstheme="minorHAnsi"/>
                <w:b/>
                <w:bCs/>
                <w:color w:val="000000" w:themeColor="text1"/>
                <w:sz w:val="22"/>
                <w:szCs w:val="22"/>
                <w:lang w:val="en-GB"/>
              </w:rPr>
            </w:pPr>
            <w:r w:rsidRPr="001548D4">
              <w:rPr>
                <w:rFonts w:cstheme="minorHAnsi"/>
                <w:b/>
                <w:bCs/>
                <w:color w:val="000000" w:themeColor="text1"/>
                <w:sz w:val="22"/>
                <w:szCs w:val="22"/>
                <w:lang w:val="en-GB"/>
              </w:rPr>
              <w:t>Page</w:t>
            </w:r>
          </w:p>
        </w:tc>
      </w:tr>
      <w:tr w:rsidR="001548D4" w:rsidRPr="001548D4" w14:paraId="7DA5F57D" w14:textId="77777777">
        <w:trPr>
          <w:tblCellSpacing w:w="15" w:type="dxa"/>
        </w:trPr>
        <w:tc>
          <w:tcPr>
            <w:tcW w:w="0" w:type="auto"/>
            <w:vAlign w:val="center"/>
            <w:hideMark/>
          </w:tcPr>
          <w:p w14:paraId="373F87B9"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Abstract</w:t>
            </w:r>
          </w:p>
        </w:tc>
        <w:tc>
          <w:tcPr>
            <w:tcW w:w="0" w:type="auto"/>
            <w:vAlign w:val="center"/>
            <w:hideMark/>
          </w:tcPr>
          <w:p w14:paraId="1B4693EF" w14:textId="3B37FFAD" w:rsidR="001548D4" w:rsidRPr="001548D4" w:rsidRDefault="001548D4"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4</w:t>
            </w:r>
          </w:p>
        </w:tc>
      </w:tr>
      <w:tr w:rsidR="001548D4" w:rsidRPr="001548D4" w14:paraId="3746576C" w14:textId="77777777">
        <w:trPr>
          <w:tblCellSpacing w:w="15" w:type="dxa"/>
        </w:trPr>
        <w:tc>
          <w:tcPr>
            <w:tcW w:w="0" w:type="auto"/>
            <w:vAlign w:val="center"/>
            <w:hideMark/>
          </w:tcPr>
          <w:p w14:paraId="62C7A90E"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1. Introduction</w:t>
            </w:r>
          </w:p>
        </w:tc>
        <w:tc>
          <w:tcPr>
            <w:tcW w:w="0" w:type="auto"/>
            <w:vAlign w:val="center"/>
            <w:hideMark/>
          </w:tcPr>
          <w:p w14:paraId="20AD669D" w14:textId="6E58559A" w:rsidR="001548D4" w:rsidRPr="001548D4" w:rsidRDefault="001548D4"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5</w:t>
            </w:r>
          </w:p>
        </w:tc>
      </w:tr>
      <w:tr w:rsidR="001548D4" w:rsidRPr="001548D4" w14:paraId="4B7E5682" w14:textId="77777777">
        <w:trPr>
          <w:tblCellSpacing w:w="15" w:type="dxa"/>
        </w:trPr>
        <w:tc>
          <w:tcPr>
            <w:tcW w:w="0" w:type="auto"/>
            <w:vAlign w:val="center"/>
            <w:hideMark/>
          </w:tcPr>
          <w:p w14:paraId="2094A187"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1.1 Definitions of Key Concepts</w:t>
            </w:r>
          </w:p>
        </w:tc>
        <w:tc>
          <w:tcPr>
            <w:tcW w:w="0" w:type="auto"/>
            <w:vAlign w:val="center"/>
            <w:hideMark/>
          </w:tcPr>
          <w:p w14:paraId="010582FA" w14:textId="02F3E455" w:rsidR="001548D4" w:rsidRPr="001548D4" w:rsidRDefault="00EF14ED"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5</w:t>
            </w:r>
          </w:p>
        </w:tc>
      </w:tr>
      <w:tr w:rsidR="001548D4" w:rsidRPr="001548D4" w14:paraId="6B82B7FC" w14:textId="77777777">
        <w:trPr>
          <w:tblCellSpacing w:w="15" w:type="dxa"/>
        </w:trPr>
        <w:tc>
          <w:tcPr>
            <w:tcW w:w="0" w:type="auto"/>
            <w:vAlign w:val="center"/>
            <w:hideMark/>
          </w:tcPr>
          <w:p w14:paraId="48C9A114"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1.2 Rationale</w:t>
            </w:r>
          </w:p>
        </w:tc>
        <w:tc>
          <w:tcPr>
            <w:tcW w:w="0" w:type="auto"/>
            <w:vAlign w:val="center"/>
            <w:hideMark/>
          </w:tcPr>
          <w:p w14:paraId="7A355820" w14:textId="618B3EE2" w:rsidR="001548D4" w:rsidRPr="001548D4" w:rsidRDefault="00EF14ED"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5</w:t>
            </w:r>
          </w:p>
        </w:tc>
      </w:tr>
      <w:tr w:rsidR="001548D4" w:rsidRPr="001548D4" w14:paraId="55A47877" w14:textId="77777777">
        <w:trPr>
          <w:tblCellSpacing w:w="15" w:type="dxa"/>
        </w:trPr>
        <w:tc>
          <w:tcPr>
            <w:tcW w:w="0" w:type="auto"/>
            <w:vAlign w:val="center"/>
            <w:hideMark/>
          </w:tcPr>
          <w:p w14:paraId="10D94233"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1.3 Review Question</w:t>
            </w:r>
          </w:p>
        </w:tc>
        <w:tc>
          <w:tcPr>
            <w:tcW w:w="0" w:type="auto"/>
            <w:vAlign w:val="center"/>
            <w:hideMark/>
          </w:tcPr>
          <w:p w14:paraId="79CD578B" w14:textId="35F8522D" w:rsidR="001548D4" w:rsidRPr="001548D4" w:rsidRDefault="00EF14ED"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6</w:t>
            </w:r>
          </w:p>
        </w:tc>
      </w:tr>
      <w:tr w:rsidR="001548D4" w:rsidRPr="001548D4" w14:paraId="7010E9D1" w14:textId="77777777">
        <w:trPr>
          <w:tblCellSpacing w:w="15" w:type="dxa"/>
        </w:trPr>
        <w:tc>
          <w:tcPr>
            <w:tcW w:w="0" w:type="auto"/>
            <w:vAlign w:val="center"/>
            <w:hideMark/>
          </w:tcPr>
          <w:p w14:paraId="21AE4892"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1.4 Objectives</w:t>
            </w:r>
          </w:p>
        </w:tc>
        <w:tc>
          <w:tcPr>
            <w:tcW w:w="0" w:type="auto"/>
            <w:vAlign w:val="center"/>
            <w:hideMark/>
          </w:tcPr>
          <w:p w14:paraId="3622CCA0" w14:textId="12754C50" w:rsidR="001548D4" w:rsidRPr="001548D4" w:rsidRDefault="00EF14ED"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6</w:t>
            </w:r>
          </w:p>
        </w:tc>
      </w:tr>
      <w:tr w:rsidR="001548D4" w:rsidRPr="001548D4" w14:paraId="101E32CD" w14:textId="77777777">
        <w:trPr>
          <w:tblCellSpacing w:w="15" w:type="dxa"/>
        </w:trPr>
        <w:tc>
          <w:tcPr>
            <w:tcW w:w="0" w:type="auto"/>
            <w:vAlign w:val="center"/>
            <w:hideMark/>
          </w:tcPr>
          <w:p w14:paraId="53E6F302"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2. Background</w:t>
            </w:r>
          </w:p>
        </w:tc>
        <w:tc>
          <w:tcPr>
            <w:tcW w:w="0" w:type="auto"/>
            <w:vAlign w:val="center"/>
            <w:hideMark/>
          </w:tcPr>
          <w:p w14:paraId="5E0565C6" w14:textId="38FD42E0" w:rsidR="001548D4" w:rsidRPr="001548D4" w:rsidRDefault="00EF14ED"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7</w:t>
            </w:r>
          </w:p>
        </w:tc>
      </w:tr>
      <w:tr w:rsidR="001548D4" w:rsidRPr="001548D4" w14:paraId="73209AB3" w14:textId="77777777">
        <w:trPr>
          <w:tblCellSpacing w:w="15" w:type="dxa"/>
        </w:trPr>
        <w:tc>
          <w:tcPr>
            <w:tcW w:w="0" w:type="auto"/>
            <w:vAlign w:val="center"/>
            <w:hideMark/>
          </w:tcPr>
          <w:p w14:paraId="718F9C17"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2.1 Context of Bereavement and Mental Health in the UK</w:t>
            </w:r>
          </w:p>
        </w:tc>
        <w:tc>
          <w:tcPr>
            <w:tcW w:w="0" w:type="auto"/>
            <w:vAlign w:val="center"/>
            <w:hideMark/>
          </w:tcPr>
          <w:p w14:paraId="2D641259" w14:textId="2B1C5AFC"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7</w:t>
            </w:r>
          </w:p>
        </w:tc>
      </w:tr>
      <w:tr w:rsidR="001548D4" w:rsidRPr="001548D4" w14:paraId="4059690A" w14:textId="77777777">
        <w:trPr>
          <w:tblCellSpacing w:w="15" w:type="dxa"/>
        </w:trPr>
        <w:tc>
          <w:tcPr>
            <w:tcW w:w="0" w:type="auto"/>
            <w:vAlign w:val="center"/>
            <w:hideMark/>
          </w:tcPr>
          <w:p w14:paraId="44DBB1F9"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2.2 Policy and Legislation</w:t>
            </w:r>
          </w:p>
        </w:tc>
        <w:tc>
          <w:tcPr>
            <w:tcW w:w="0" w:type="auto"/>
            <w:vAlign w:val="center"/>
            <w:hideMark/>
          </w:tcPr>
          <w:p w14:paraId="3B477B7E" w14:textId="79DB4797"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7</w:t>
            </w:r>
          </w:p>
        </w:tc>
      </w:tr>
      <w:tr w:rsidR="001548D4" w:rsidRPr="001548D4" w14:paraId="695B6468" w14:textId="77777777">
        <w:trPr>
          <w:tblCellSpacing w:w="15" w:type="dxa"/>
        </w:trPr>
        <w:tc>
          <w:tcPr>
            <w:tcW w:w="0" w:type="auto"/>
            <w:vAlign w:val="center"/>
            <w:hideMark/>
          </w:tcPr>
          <w:p w14:paraId="411F7D6C"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2.3 Current State of Knowledge</w:t>
            </w:r>
          </w:p>
        </w:tc>
        <w:tc>
          <w:tcPr>
            <w:tcW w:w="0" w:type="auto"/>
            <w:vAlign w:val="center"/>
            <w:hideMark/>
          </w:tcPr>
          <w:p w14:paraId="701B7B70" w14:textId="6C566816"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8</w:t>
            </w:r>
          </w:p>
        </w:tc>
      </w:tr>
      <w:tr w:rsidR="001548D4" w:rsidRPr="001548D4" w14:paraId="7051A85F" w14:textId="77777777">
        <w:trPr>
          <w:tblCellSpacing w:w="15" w:type="dxa"/>
        </w:trPr>
        <w:tc>
          <w:tcPr>
            <w:tcW w:w="0" w:type="auto"/>
            <w:vAlign w:val="center"/>
            <w:hideMark/>
          </w:tcPr>
          <w:p w14:paraId="7227D932"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3. Methods</w:t>
            </w:r>
          </w:p>
        </w:tc>
        <w:tc>
          <w:tcPr>
            <w:tcW w:w="0" w:type="auto"/>
            <w:vAlign w:val="center"/>
            <w:hideMark/>
          </w:tcPr>
          <w:p w14:paraId="7DC4572F" w14:textId="49E3F420"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9</w:t>
            </w:r>
          </w:p>
        </w:tc>
      </w:tr>
      <w:tr w:rsidR="001548D4" w:rsidRPr="001548D4" w14:paraId="7CD4026C" w14:textId="77777777">
        <w:trPr>
          <w:tblCellSpacing w:w="15" w:type="dxa"/>
        </w:trPr>
        <w:tc>
          <w:tcPr>
            <w:tcW w:w="0" w:type="auto"/>
            <w:vAlign w:val="center"/>
            <w:hideMark/>
          </w:tcPr>
          <w:p w14:paraId="07B53FEC"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3.1 Review Framework</w:t>
            </w:r>
          </w:p>
        </w:tc>
        <w:tc>
          <w:tcPr>
            <w:tcW w:w="0" w:type="auto"/>
            <w:vAlign w:val="center"/>
            <w:hideMark/>
          </w:tcPr>
          <w:p w14:paraId="4F61FA81" w14:textId="49194B43"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9</w:t>
            </w:r>
          </w:p>
        </w:tc>
      </w:tr>
      <w:tr w:rsidR="001548D4" w:rsidRPr="001548D4" w14:paraId="3717F3BA" w14:textId="77777777">
        <w:trPr>
          <w:tblCellSpacing w:w="15" w:type="dxa"/>
        </w:trPr>
        <w:tc>
          <w:tcPr>
            <w:tcW w:w="0" w:type="auto"/>
            <w:vAlign w:val="center"/>
            <w:hideMark/>
          </w:tcPr>
          <w:p w14:paraId="6C6DE816"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3.2 Search Strategy</w:t>
            </w:r>
          </w:p>
        </w:tc>
        <w:tc>
          <w:tcPr>
            <w:tcW w:w="0" w:type="auto"/>
            <w:vAlign w:val="center"/>
            <w:hideMark/>
          </w:tcPr>
          <w:p w14:paraId="4F6D81C3" w14:textId="6A6928CC" w:rsidR="001548D4" w:rsidRPr="001548D4" w:rsidRDefault="009F71A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9</w:t>
            </w:r>
          </w:p>
        </w:tc>
      </w:tr>
      <w:tr w:rsidR="001548D4" w:rsidRPr="001548D4" w14:paraId="0367C4F4" w14:textId="77777777">
        <w:trPr>
          <w:tblCellSpacing w:w="15" w:type="dxa"/>
        </w:trPr>
        <w:tc>
          <w:tcPr>
            <w:tcW w:w="0" w:type="auto"/>
            <w:vAlign w:val="center"/>
            <w:hideMark/>
          </w:tcPr>
          <w:p w14:paraId="2CEDF0E7"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3.3 Inclusion and Exclusion Criteria</w:t>
            </w:r>
          </w:p>
        </w:tc>
        <w:tc>
          <w:tcPr>
            <w:tcW w:w="0" w:type="auto"/>
            <w:vAlign w:val="center"/>
            <w:hideMark/>
          </w:tcPr>
          <w:p w14:paraId="3F3F8896" w14:textId="39385002"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9</w:t>
            </w:r>
          </w:p>
        </w:tc>
      </w:tr>
      <w:tr w:rsidR="001548D4" w:rsidRPr="001548D4" w14:paraId="23AD5895" w14:textId="77777777">
        <w:trPr>
          <w:tblCellSpacing w:w="15" w:type="dxa"/>
        </w:trPr>
        <w:tc>
          <w:tcPr>
            <w:tcW w:w="0" w:type="auto"/>
            <w:vAlign w:val="center"/>
            <w:hideMark/>
          </w:tcPr>
          <w:p w14:paraId="3EFB6BAE"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Table 1. Inclusion and Exclusion Criteria</w:t>
            </w:r>
          </w:p>
        </w:tc>
        <w:tc>
          <w:tcPr>
            <w:tcW w:w="0" w:type="auto"/>
            <w:vAlign w:val="center"/>
            <w:hideMark/>
          </w:tcPr>
          <w:p w14:paraId="4E5EBE0A" w14:textId="1F4E4575"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w:t>
            </w:r>
            <w:r w:rsidR="008C5553">
              <w:rPr>
                <w:rFonts w:cstheme="minorHAnsi"/>
                <w:color w:val="000000" w:themeColor="text1"/>
                <w:sz w:val="22"/>
                <w:szCs w:val="22"/>
                <w:lang w:val="en-GB"/>
              </w:rPr>
              <w:t>0</w:t>
            </w:r>
          </w:p>
        </w:tc>
      </w:tr>
      <w:tr w:rsidR="001548D4" w:rsidRPr="001548D4" w14:paraId="2874CE50" w14:textId="77777777">
        <w:trPr>
          <w:tblCellSpacing w:w="15" w:type="dxa"/>
        </w:trPr>
        <w:tc>
          <w:tcPr>
            <w:tcW w:w="0" w:type="auto"/>
            <w:vAlign w:val="center"/>
            <w:hideMark/>
          </w:tcPr>
          <w:p w14:paraId="4C2C0287"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3.4 Study Selection</w:t>
            </w:r>
          </w:p>
        </w:tc>
        <w:tc>
          <w:tcPr>
            <w:tcW w:w="0" w:type="auto"/>
            <w:vAlign w:val="center"/>
            <w:hideMark/>
          </w:tcPr>
          <w:p w14:paraId="4F69C9F0" w14:textId="5DAA615A"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10</w:t>
            </w:r>
          </w:p>
        </w:tc>
      </w:tr>
      <w:tr w:rsidR="001548D4" w:rsidRPr="001548D4" w14:paraId="4FBB9CDA" w14:textId="77777777">
        <w:trPr>
          <w:tblCellSpacing w:w="15" w:type="dxa"/>
        </w:trPr>
        <w:tc>
          <w:tcPr>
            <w:tcW w:w="0" w:type="auto"/>
            <w:vAlign w:val="center"/>
            <w:hideMark/>
          </w:tcPr>
          <w:p w14:paraId="241B898A"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3.5 Data Analysis</w:t>
            </w:r>
          </w:p>
        </w:tc>
        <w:tc>
          <w:tcPr>
            <w:tcW w:w="0" w:type="auto"/>
            <w:vAlign w:val="center"/>
            <w:hideMark/>
          </w:tcPr>
          <w:p w14:paraId="4F7828A2" w14:textId="12D09E4D"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11</w:t>
            </w:r>
          </w:p>
        </w:tc>
      </w:tr>
      <w:tr w:rsidR="001548D4" w:rsidRPr="001548D4" w14:paraId="4D6B4F18" w14:textId="77777777">
        <w:trPr>
          <w:tblCellSpacing w:w="15" w:type="dxa"/>
        </w:trPr>
        <w:tc>
          <w:tcPr>
            <w:tcW w:w="0" w:type="auto"/>
            <w:vAlign w:val="center"/>
            <w:hideMark/>
          </w:tcPr>
          <w:p w14:paraId="6B7D3467"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3.6 Ethical Considerations</w:t>
            </w:r>
          </w:p>
        </w:tc>
        <w:tc>
          <w:tcPr>
            <w:tcW w:w="0" w:type="auto"/>
            <w:vAlign w:val="center"/>
            <w:hideMark/>
          </w:tcPr>
          <w:p w14:paraId="3D50521F" w14:textId="3C0F9A8C"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11</w:t>
            </w:r>
          </w:p>
        </w:tc>
      </w:tr>
      <w:tr w:rsidR="001548D4" w:rsidRPr="001548D4" w14:paraId="2AA90955" w14:textId="77777777">
        <w:trPr>
          <w:tblCellSpacing w:w="15" w:type="dxa"/>
        </w:trPr>
        <w:tc>
          <w:tcPr>
            <w:tcW w:w="0" w:type="auto"/>
            <w:vAlign w:val="center"/>
            <w:hideMark/>
          </w:tcPr>
          <w:p w14:paraId="28C631C6"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4. Results</w:t>
            </w:r>
          </w:p>
        </w:tc>
        <w:tc>
          <w:tcPr>
            <w:tcW w:w="0" w:type="auto"/>
            <w:vAlign w:val="center"/>
            <w:hideMark/>
          </w:tcPr>
          <w:p w14:paraId="56703B8A" w14:textId="0FE9C68C"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11</w:t>
            </w:r>
          </w:p>
        </w:tc>
      </w:tr>
      <w:tr w:rsidR="001548D4" w:rsidRPr="001548D4" w14:paraId="0FB05825" w14:textId="77777777">
        <w:trPr>
          <w:tblCellSpacing w:w="15" w:type="dxa"/>
        </w:trPr>
        <w:tc>
          <w:tcPr>
            <w:tcW w:w="0" w:type="auto"/>
            <w:vAlign w:val="center"/>
            <w:hideMark/>
          </w:tcPr>
          <w:p w14:paraId="31D7C072"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4.1 Overview of Included Studies</w:t>
            </w:r>
          </w:p>
        </w:tc>
        <w:tc>
          <w:tcPr>
            <w:tcW w:w="0" w:type="auto"/>
            <w:vAlign w:val="center"/>
            <w:hideMark/>
          </w:tcPr>
          <w:p w14:paraId="3CFEA297" w14:textId="4F0F3469" w:rsidR="001548D4" w:rsidRPr="001548D4" w:rsidRDefault="007D66E9"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w:t>
            </w:r>
            <w:r w:rsidR="008C5553">
              <w:rPr>
                <w:rFonts w:cstheme="minorHAnsi"/>
                <w:color w:val="000000" w:themeColor="text1"/>
                <w:sz w:val="22"/>
                <w:szCs w:val="22"/>
                <w:lang w:val="en-GB"/>
              </w:rPr>
              <w:t>1</w:t>
            </w:r>
          </w:p>
        </w:tc>
      </w:tr>
      <w:tr w:rsidR="001548D4" w:rsidRPr="001548D4" w14:paraId="25365C7B" w14:textId="77777777">
        <w:trPr>
          <w:tblCellSpacing w:w="15" w:type="dxa"/>
        </w:trPr>
        <w:tc>
          <w:tcPr>
            <w:tcW w:w="0" w:type="auto"/>
            <w:vAlign w:val="center"/>
            <w:hideMark/>
          </w:tcPr>
          <w:p w14:paraId="7B323C62"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Table 2. Summary of Included Studies</w:t>
            </w:r>
          </w:p>
        </w:tc>
        <w:tc>
          <w:tcPr>
            <w:tcW w:w="0" w:type="auto"/>
            <w:vAlign w:val="center"/>
            <w:hideMark/>
          </w:tcPr>
          <w:p w14:paraId="51437D9A" w14:textId="49AAB9DE" w:rsidR="001548D4" w:rsidRPr="001548D4" w:rsidRDefault="008C5553"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12</w:t>
            </w:r>
          </w:p>
        </w:tc>
      </w:tr>
      <w:tr w:rsidR="001548D4" w:rsidRPr="001548D4" w14:paraId="725CC4EF" w14:textId="77777777">
        <w:trPr>
          <w:tblCellSpacing w:w="15" w:type="dxa"/>
        </w:trPr>
        <w:tc>
          <w:tcPr>
            <w:tcW w:w="0" w:type="auto"/>
            <w:vAlign w:val="center"/>
            <w:hideMark/>
          </w:tcPr>
          <w:p w14:paraId="3186A4DD"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Table 3. Summary of Themes Identified</w:t>
            </w:r>
          </w:p>
        </w:tc>
        <w:tc>
          <w:tcPr>
            <w:tcW w:w="0" w:type="auto"/>
            <w:vAlign w:val="center"/>
            <w:hideMark/>
          </w:tcPr>
          <w:p w14:paraId="156F8562" w14:textId="3BE094FD" w:rsidR="001548D4" w:rsidRPr="001548D4" w:rsidRDefault="008C5553"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12</w:t>
            </w:r>
          </w:p>
        </w:tc>
      </w:tr>
      <w:tr w:rsidR="001548D4" w:rsidRPr="001548D4" w14:paraId="413DBD8F" w14:textId="77777777">
        <w:trPr>
          <w:tblCellSpacing w:w="15" w:type="dxa"/>
        </w:trPr>
        <w:tc>
          <w:tcPr>
            <w:tcW w:w="0" w:type="auto"/>
            <w:vAlign w:val="center"/>
            <w:hideMark/>
          </w:tcPr>
          <w:p w14:paraId="6BFBF7D6"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4.2 Theme 1 – Increased Vulnerability to Bereavement-Related Psychological Distress</w:t>
            </w:r>
          </w:p>
        </w:tc>
        <w:tc>
          <w:tcPr>
            <w:tcW w:w="0" w:type="auto"/>
            <w:vAlign w:val="center"/>
            <w:hideMark/>
          </w:tcPr>
          <w:p w14:paraId="3C5FC60D" w14:textId="47E2DF2A" w:rsidR="001548D4" w:rsidRPr="001548D4" w:rsidRDefault="008C5553"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12</w:t>
            </w:r>
          </w:p>
        </w:tc>
      </w:tr>
      <w:tr w:rsidR="001548D4" w:rsidRPr="001548D4" w14:paraId="5EBEE899" w14:textId="77777777">
        <w:trPr>
          <w:tblCellSpacing w:w="15" w:type="dxa"/>
        </w:trPr>
        <w:tc>
          <w:tcPr>
            <w:tcW w:w="0" w:type="auto"/>
            <w:vAlign w:val="center"/>
            <w:hideMark/>
          </w:tcPr>
          <w:p w14:paraId="789DF2CF"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4.3 Theme 2 – Cultural and Structural Barriers to Accessing Mental Health Support</w:t>
            </w:r>
          </w:p>
        </w:tc>
        <w:tc>
          <w:tcPr>
            <w:tcW w:w="0" w:type="auto"/>
            <w:vAlign w:val="center"/>
            <w:hideMark/>
          </w:tcPr>
          <w:p w14:paraId="5E78E390" w14:textId="0AE47575" w:rsidR="001548D4" w:rsidRPr="001548D4" w:rsidRDefault="008C5553"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12</w:t>
            </w:r>
          </w:p>
        </w:tc>
      </w:tr>
      <w:tr w:rsidR="001548D4" w:rsidRPr="001548D4" w14:paraId="1DC996B1" w14:textId="77777777">
        <w:trPr>
          <w:tblCellSpacing w:w="15" w:type="dxa"/>
        </w:trPr>
        <w:tc>
          <w:tcPr>
            <w:tcW w:w="0" w:type="auto"/>
            <w:vAlign w:val="center"/>
            <w:hideMark/>
          </w:tcPr>
          <w:p w14:paraId="5CEE14E4"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4.4 Theme 3 – Gaps in Bereavement and Mental Health Service Provision</w:t>
            </w:r>
          </w:p>
        </w:tc>
        <w:tc>
          <w:tcPr>
            <w:tcW w:w="0" w:type="auto"/>
            <w:vAlign w:val="center"/>
            <w:hideMark/>
          </w:tcPr>
          <w:p w14:paraId="34A44A77" w14:textId="21E1C047" w:rsidR="001548D4" w:rsidRPr="001548D4" w:rsidRDefault="005E7828"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13</w:t>
            </w:r>
          </w:p>
        </w:tc>
      </w:tr>
      <w:tr w:rsidR="001548D4" w:rsidRPr="001548D4" w14:paraId="45A4A029" w14:textId="77777777">
        <w:trPr>
          <w:tblCellSpacing w:w="15" w:type="dxa"/>
        </w:trPr>
        <w:tc>
          <w:tcPr>
            <w:tcW w:w="0" w:type="auto"/>
            <w:vAlign w:val="center"/>
            <w:hideMark/>
          </w:tcPr>
          <w:p w14:paraId="59A6C783"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5. Discussion</w:t>
            </w:r>
          </w:p>
        </w:tc>
        <w:tc>
          <w:tcPr>
            <w:tcW w:w="0" w:type="auto"/>
            <w:vAlign w:val="center"/>
            <w:hideMark/>
          </w:tcPr>
          <w:p w14:paraId="6E40C3CE" w14:textId="1D1B548E" w:rsidR="001548D4" w:rsidRPr="001548D4" w:rsidRDefault="005E7828"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14</w:t>
            </w:r>
          </w:p>
        </w:tc>
      </w:tr>
      <w:tr w:rsidR="001548D4" w:rsidRPr="001548D4" w14:paraId="0E15887B" w14:textId="77777777">
        <w:trPr>
          <w:tblCellSpacing w:w="15" w:type="dxa"/>
        </w:trPr>
        <w:tc>
          <w:tcPr>
            <w:tcW w:w="0" w:type="auto"/>
            <w:vAlign w:val="center"/>
            <w:hideMark/>
          </w:tcPr>
          <w:p w14:paraId="57A11524"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5.1 Increased Vulnerability to Bereavement-Related Psychological Distress</w:t>
            </w:r>
          </w:p>
        </w:tc>
        <w:tc>
          <w:tcPr>
            <w:tcW w:w="0" w:type="auto"/>
            <w:vAlign w:val="center"/>
            <w:hideMark/>
          </w:tcPr>
          <w:p w14:paraId="59B4F485" w14:textId="60DFD751" w:rsidR="001548D4" w:rsidRPr="001548D4" w:rsidRDefault="005E7828"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14</w:t>
            </w:r>
          </w:p>
        </w:tc>
      </w:tr>
      <w:tr w:rsidR="001548D4" w:rsidRPr="001548D4" w14:paraId="3CBE051A" w14:textId="77777777">
        <w:trPr>
          <w:tblCellSpacing w:w="15" w:type="dxa"/>
        </w:trPr>
        <w:tc>
          <w:tcPr>
            <w:tcW w:w="0" w:type="auto"/>
            <w:vAlign w:val="center"/>
            <w:hideMark/>
          </w:tcPr>
          <w:p w14:paraId="6B219B51"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lastRenderedPageBreak/>
              <w:t>5.2 Cultural and Structural Barriers to Accessing Mental Health Support</w:t>
            </w:r>
          </w:p>
        </w:tc>
        <w:tc>
          <w:tcPr>
            <w:tcW w:w="0" w:type="auto"/>
            <w:vAlign w:val="center"/>
            <w:hideMark/>
          </w:tcPr>
          <w:p w14:paraId="03505AF4" w14:textId="61389612" w:rsidR="001548D4" w:rsidRPr="001548D4" w:rsidRDefault="005E7828"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 xml:space="preserve">   15</w:t>
            </w:r>
          </w:p>
        </w:tc>
      </w:tr>
      <w:tr w:rsidR="001548D4" w:rsidRPr="001548D4" w14:paraId="47F59B09" w14:textId="77777777">
        <w:trPr>
          <w:tblCellSpacing w:w="15" w:type="dxa"/>
        </w:trPr>
        <w:tc>
          <w:tcPr>
            <w:tcW w:w="0" w:type="auto"/>
            <w:vAlign w:val="center"/>
            <w:hideMark/>
          </w:tcPr>
          <w:p w14:paraId="60D694B5"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5.3 Need for Culturally Responsive Bereavement and Mental Health Services</w:t>
            </w:r>
          </w:p>
        </w:tc>
        <w:tc>
          <w:tcPr>
            <w:tcW w:w="0" w:type="auto"/>
            <w:vAlign w:val="center"/>
            <w:hideMark/>
          </w:tcPr>
          <w:p w14:paraId="2313C191" w14:textId="1EBE524A" w:rsidR="001548D4" w:rsidRPr="001548D4" w:rsidRDefault="005E7828"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16</w:t>
            </w:r>
          </w:p>
        </w:tc>
      </w:tr>
      <w:tr w:rsidR="001548D4" w:rsidRPr="001548D4" w14:paraId="5306D659" w14:textId="77777777">
        <w:trPr>
          <w:tblCellSpacing w:w="15" w:type="dxa"/>
        </w:trPr>
        <w:tc>
          <w:tcPr>
            <w:tcW w:w="0" w:type="auto"/>
            <w:vAlign w:val="center"/>
            <w:hideMark/>
          </w:tcPr>
          <w:p w14:paraId="34498D6C"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5.4 Implications for Health and Social Care Practice</w:t>
            </w:r>
          </w:p>
        </w:tc>
        <w:tc>
          <w:tcPr>
            <w:tcW w:w="0" w:type="auto"/>
            <w:vAlign w:val="center"/>
            <w:hideMark/>
          </w:tcPr>
          <w:p w14:paraId="04C34A52" w14:textId="4BB82B93" w:rsidR="001548D4" w:rsidRPr="001548D4" w:rsidRDefault="00755340"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17</w:t>
            </w:r>
          </w:p>
        </w:tc>
      </w:tr>
      <w:tr w:rsidR="001548D4" w:rsidRPr="001548D4" w14:paraId="004F6FCE" w14:textId="77777777">
        <w:trPr>
          <w:tblCellSpacing w:w="15" w:type="dxa"/>
        </w:trPr>
        <w:tc>
          <w:tcPr>
            <w:tcW w:w="0" w:type="auto"/>
            <w:vAlign w:val="center"/>
            <w:hideMark/>
          </w:tcPr>
          <w:p w14:paraId="4859F4C4"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5.5 Strengths and Limitations</w:t>
            </w:r>
          </w:p>
        </w:tc>
        <w:tc>
          <w:tcPr>
            <w:tcW w:w="0" w:type="auto"/>
            <w:vAlign w:val="center"/>
            <w:hideMark/>
          </w:tcPr>
          <w:p w14:paraId="3E0FD447" w14:textId="59684932" w:rsidR="001548D4" w:rsidRPr="001548D4" w:rsidRDefault="00755340"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17</w:t>
            </w:r>
          </w:p>
        </w:tc>
      </w:tr>
      <w:tr w:rsidR="001548D4" w:rsidRPr="001548D4" w14:paraId="5494D1E1" w14:textId="77777777">
        <w:trPr>
          <w:tblCellSpacing w:w="15" w:type="dxa"/>
        </w:trPr>
        <w:tc>
          <w:tcPr>
            <w:tcW w:w="0" w:type="auto"/>
            <w:vAlign w:val="center"/>
            <w:hideMark/>
          </w:tcPr>
          <w:p w14:paraId="0280D44F"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b/>
                <w:bCs/>
                <w:color w:val="000000" w:themeColor="text1"/>
                <w:sz w:val="22"/>
                <w:szCs w:val="22"/>
                <w:lang w:val="en-GB"/>
              </w:rPr>
              <w:t>6. Conclusion and Recommendations</w:t>
            </w:r>
          </w:p>
        </w:tc>
        <w:tc>
          <w:tcPr>
            <w:tcW w:w="0" w:type="auto"/>
            <w:vAlign w:val="center"/>
            <w:hideMark/>
          </w:tcPr>
          <w:p w14:paraId="235D7D18" w14:textId="20160C37" w:rsidR="001548D4" w:rsidRPr="001548D4" w:rsidRDefault="00755340"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18</w:t>
            </w:r>
          </w:p>
        </w:tc>
      </w:tr>
      <w:tr w:rsidR="001548D4" w:rsidRPr="001548D4" w14:paraId="48F589F3" w14:textId="77777777">
        <w:trPr>
          <w:tblCellSpacing w:w="15" w:type="dxa"/>
        </w:trPr>
        <w:tc>
          <w:tcPr>
            <w:tcW w:w="0" w:type="auto"/>
            <w:vAlign w:val="center"/>
            <w:hideMark/>
          </w:tcPr>
          <w:p w14:paraId="6C448C53"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6.1 Conclusion</w:t>
            </w:r>
          </w:p>
        </w:tc>
        <w:tc>
          <w:tcPr>
            <w:tcW w:w="0" w:type="auto"/>
            <w:vAlign w:val="center"/>
            <w:hideMark/>
          </w:tcPr>
          <w:p w14:paraId="1CC83DBF" w14:textId="7DA7C543" w:rsidR="001548D4" w:rsidRPr="001548D4" w:rsidRDefault="00755340"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18</w:t>
            </w:r>
          </w:p>
        </w:tc>
      </w:tr>
      <w:tr w:rsidR="001548D4" w:rsidRPr="001548D4" w14:paraId="6AEF3509" w14:textId="77777777">
        <w:trPr>
          <w:tblCellSpacing w:w="15" w:type="dxa"/>
        </w:trPr>
        <w:tc>
          <w:tcPr>
            <w:tcW w:w="0" w:type="auto"/>
            <w:vAlign w:val="center"/>
            <w:hideMark/>
          </w:tcPr>
          <w:p w14:paraId="0EBA06A6"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6.2 Recommendations for Health and Social Care Practice</w:t>
            </w:r>
          </w:p>
        </w:tc>
        <w:tc>
          <w:tcPr>
            <w:tcW w:w="0" w:type="auto"/>
            <w:vAlign w:val="center"/>
            <w:hideMark/>
          </w:tcPr>
          <w:p w14:paraId="119DB9D7" w14:textId="0B9877FF" w:rsidR="001548D4" w:rsidRPr="001548D4" w:rsidRDefault="009F10D6"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18</w:t>
            </w:r>
          </w:p>
        </w:tc>
      </w:tr>
      <w:tr w:rsidR="001548D4" w:rsidRPr="001548D4" w14:paraId="1980ADD0" w14:textId="77777777">
        <w:trPr>
          <w:tblCellSpacing w:w="15" w:type="dxa"/>
        </w:trPr>
        <w:tc>
          <w:tcPr>
            <w:tcW w:w="0" w:type="auto"/>
            <w:vAlign w:val="center"/>
            <w:hideMark/>
          </w:tcPr>
          <w:p w14:paraId="75D2827E"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6.3 Recommendations for Policy</w:t>
            </w:r>
          </w:p>
        </w:tc>
        <w:tc>
          <w:tcPr>
            <w:tcW w:w="0" w:type="auto"/>
            <w:vAlign w:val="center"/>
            <w:hideMark/>
          </w:tcPr>
          <w:p w14:paraId="27E50F17" w14:textId="001BACDB" w:rsidR="001548D4" w:rsidRPr="001548D4" w:rsidRDefault="009F10D6"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19</w:t>
            </w:r>
          </w:p>
        </w:tc>
      </w:tr>
      <w:tr w:rsidR="001548D4" w:rsidRPr="001548D4" w14:paraId="5C1D589C" w14:textId="77777777">
        <w:trPr>
          <w:tblCellSpacing w:w="15" w:type="dxa"/>
        </w:trPr>
        <w:tc>
          <w:tcPr>
            <w:tcW w:w="0" w:type="auto"/>
            <w:vAlign w:val="center"/>
            <w:hideMark/>
          </w:tcPr>
          <w:p w14:paraId="7898D0D6"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6.4 Recommendations for Future Research</w:t>
            </w:r>
          </w:p>
        </w:tc>
        <w:tc>
          <w:tcPr>
            <w:tcW w:w="0" w:type="auto"/>
            <w:vAlign w:val="center"/>
            <w:hideMark/>
          </w:tcPr>
          <w:p w14:paraId="19909E80" w14:textId="146D438C" w:rsidR="001548D4" w:rsidRPr="001548D4" w:rsidRDefault="009F10D6"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19</w:t>
            </w:r>
          </w:p>
        </w:tc>
      </w:tr>
      <w:tr w:rsidR="001548D4" w:rsidRPr="001548D4" w14:paraId="6A368092" w14:textId="77777777">
        <w:trPr>
          <w:tblCellSpacing w:w="15" w:type="dxa"/>
        </w:trPr>
        <w:tc>
          <w:tcPr>
            <w:tcW w:w="0" w:type="auto"/>
            <w:vAlign w:val="center"/>
            <w:hideMark/>
          </w:tcPr>
          <w:p w14:paraId="6CDD36C8" w14:textId="77777777" w:rsidR="001548D4" w:rsidRPr="001548D4" w:rsidRDefault="001548D4" w:rsidP="001548D4">
            <w:pPr>
              <w:spacing w:after="0" w:line="360" w:lineRule="auto"/>
              <w:rPr>
                <w:rFonts w:cstheme="minorHAnsi"/>
                <w:color w:val="000000" w:themeColor="text1"/>
                <w:sz w:val="22"/>
                <w:szCs w:val="22"/>
                <w:lang w:val="en-GB"/>
              </w:rPr>
            </w:pPr>
            <w:r w:rsidRPr="001548D4">
              <w:rPr>
                <w:rFonts w:cstheme="minorHAnsi"/>
                <w:color w:val="000000" w:themeColor="text1"/>
                <w:sz w:val="22"/>
                <w:szCs w:val="22"/>
                <w:lang w:val="en-GB"/>
              </w:rPr>
              <w:t>References</w:t>
            </w:r>
          </w:p>
        </w:tc>
        <w:tc>
          <w:tcPr>
            <w:tcW w:w="0" w:type="auto"/>
            <w:vAlign w:val="center"/>
            <w:hideMark/>
          </w:tcPr>
          <w:p w14:paraId="7D8B75E3" w14:textId="2B80D6D7" w:rsidR="001548D4" w:rsidRPr="001548D4" w:rsidRDefault="009F10D6" w:rsidP="001548D4">
            <w:pPr>
              <w:spacing w:after="0" w:line="360" w:lineRule="auto"/>
              <w:rPr>
                <w:rFonts w:cstheme="minorHAnsi"/>
                <w:color w:val="000000" w:themeColor="text1"/>
                <w:sz w:val="22"/>
                <w:szCs w:val="22"/>
                <w:lang w:val="en-GB"/>
              </w:rPr>
            </w:pPr>
            <w:r>
              <w:rPr>
                <w:rFonts w:cstheme="minorHAnsi"/>
                <w:color w:val="000000" w:themeColor="text1"/>
                <w:sz w:val="22"/>
                <w:szCs w:val="22"/>
                <w:lang w:val="en-GB"/>
              </w:rPr>
              <w:t>20</w:t>
            </w:r>
          </w:p>
        </w:tc>
      </w:tr>
    </w:tbl>
    <w:p w14:paraId="7455B818" w14:textId="77777777" w:rsidR="005B7121" w:rsidRDefault="005B7121" w:rsidP="005B7121">
      <w:pPr>
        <w:spacing w:after="0" w:line="360" w:lineRule="auto"/>
        <w:rPr>
          <w:rFonts w:cstheme="minorHAnsi"/>
          <w:color w:val="000000" w:themeColor="text1"/>
          <w:sz w:val="22"/>
          <w:szCs w:val="22"/>
        </w:rPr>
      </w:pPr>
    </w:p>
    <w:p w14:paraId="4DE18B95" w14:textId="77777777" w:rsidR="005B7121" w:rsidRDefault="005B7121" w:rsidP="005B7121">
      <w:pPr>
        <w:spacing w:after="0" w:line="360" w:lineRule="auto"/>
        <w:rPr>
          <w:rFonts w:cstheme="minorHAnsi"/>
          <w:color w:val="000000" w:themeColor="text1"/>
          <w:sz w:val="22"/>
          <w:szCs w:val="22"/>
        </w:rPr>
      </w:pPr>
    </w:p>
    <w:p w14:paraId="10538123" w14:textId="77777777" w:rsidR="005B7121" w:rsidRDefault="005B7121" w:rsidP="005B7121">
      <w:pPr>
        <w:spacing w:after="0" w:line="360" w:lineRule="auto"/>
        <w:rPr>
          <w:rFonts w:cstheme="minorHAnsi"/>
          <w:color w:val="000000" w:themeColor="text1"/>
          <w:sz w:val="22"/>
          <w:szCs w:val="22"/>
        </w:rPr>
      </w:pPr>
    </w:p>
    <w:p w14:paraId="52692FED" w14:textId="77777777" w:rsidR="005B7121" w:rsidRDefault="005B7121" w:rsidP="005B7121">
      <w:pPr>
        <w:spacing w:after="0" w:line="360" w:lineRule="auto"/>
        <w:rPr>
          <w:rFonts w:cstheme="minorHAnsi"/>
          <w:color w:val="000000" w:themeColor="text1"/>
          <w:sz w:val="22"/>
          <w:szCs w:val="22"/>
        </w:rPr>
      </w:pPr>
    </w:p>
    <w:p w14:paraId="6FF635DF" w14:textId="77777777" w:rsidR="00B9665F" w:rsidRDefault="00B9665F" w:rsidP="005B7121">
      <w:pPr>
        <w:spacing w:after="0" w:line="360" w:lineRule="auto"/>
        <w:rPr>
          <w:rFonts w:cstheme="minorHAnsi"/>
          <w:color w:val="000000" w:themeColor="text1"/>
          <w:sz w:val="22"/>
          <w:szCs w:val="22"/>
        </w:rPr>
      </w:pPr>
    </w:p>
    <w:p w14:paraId="14730C1E" w14:textId="347126BB" w:rsidR="00B9665F" w:rsidRDefault="00B9665F" w:rsidP="005B7121">
      <w:pPr>
        <w:spacing w:after="0" w:line="360" w:lineRule="auto"/>
        <w:rPr>
          <w:rFonts w:cstheme="minorHAnsi"/>
          <w:color w:val="000000" w:themeColor="text1"/>
          <w:sz w:val="22"/>
          <w:szCs w:val="22"/>
        </w:rPr>
      </w:pPr>
    </w:p>
    <w:p w14:paraId="1A20D319" w14:textId="77777777" w:rsidR="005B7121" w:rsidRDefault="005B7121" w:rsidP="005B7121">
      <w:pPr>
        <w:spacing w:after="0" w:line="360" w:lineRule="auto"/>
        <w:rPr>
          <w:rFonts w:cstheme="minorHAnsi"/>
          <w:color w:val="000000" w:themeColor="text1"/>
          <w:sz w:val="22"/>
          <w:szCs w:val="22"/>
        </w:rPr>
      </w:pPr>
    </w:p>
    <w:p w14:paraId="11266B80" w14:textId="77777777" w:rsidR="005B7121" w:rsidRDefault="005B7121" w:rsidP="005B7121">
      <w:pPr>
        <w:spacing w:after="0" w:line="360" w:lineRule="auto"/>
        <w:rPr>
          <w:rFonts w:cstheme="minorHAnsi"/>
          <w:color w:val="000000" w:themeColor="text1"/>
          <w:sz w:val="22"/>
          <w:szCs w:val="22"/>
        </w:rPr>
      </w:pPr>
    </w:p>
    <w:p w14:paraId="595913DF" w14:textId="77777777" w:rsidR="005B7121" w:rsidRDefault="005B7121" w:rsidP="005B7121">
      <w:pPr>
        <w:spacing w:after="0" w:line="360" w:lineRule="auto"/>
        <w:rPr>
          <w:rFonts w:cstheme="minorHAnsi"/>
          <w:color w:val="000000" w:themeColor="text1"/>
          <w:sz w:val="22"/>
          <w:szCs w:val="22"/>
        </w:rPr>
      </w:pPr>
    </w:p>
    <w:p w14:paraId="7294BEA3" w14:textId="77777777" w:rsidR="005B7121" w:rsidRDefault="005B7121" w:rsidP="005B7121">
      <w:pPr>
        <w:spacing w:after="0" w:line="360" w:lineRule="auto"/>
        <w:rPr>
          <w:rFonts w:cstheme="minorHAnsi"/>
          <w:color w:val="000000" w:themeColor="text1"/>
          <w:sz w:val="22"/>
          <w:szCs w:val="22"/>
        </w:rPr>
      </w:pPr>
    </w:p>
    <w:p w14:paraId="0D4934C3" w14:textId="77777777" w:rsidR="005B7121" w:rsidRDefault="005B7121" w:rsidP="005B7121">
      <w:pPr>
        <w:spacing w:after="0" w:line="360" w:lineRule="auto"/>
        <w:rPr>
          <w:rFonts w:cstheme="minorHAnsi"/>
          <w:color w:val="000000" w:themeColor="text1"/>
          <w:sz w:val="22"/>
          <w:szCs w:val="22"/>
        </w:rPr>
      </w:pPr>
    </w:p>
    <w:p w14:paraId="789E2091" w14:textId="77777777" w:rsidR="005B7121" w:rsidRDefault="005B7121" w:rsidP="005B7121">
      <w:pPr>
        <w:spacing w:after="0" w:line="360" w:lineRule="auto"/>
        <w:rPr>
          <w:rFonts w:cstheme="minorHAnsi"/>
          <w:color w:val="000000" w:themeColor="text1"/>
          <w:sz w:val="22"/>
          <w:szCs w:val="22"/>
        </w:rPr>
      </w:pPr>
    </w:p>
    <w:p w14:paraId="717F8C47" w14:textId="77777777" w:rsidR="005B7121" w:rsidRDefault="005B7121" w:rsidP="005B7121">
      <w:pPr>
        <w:spacing w:after="0" w:line="360" w:lineRule="auto"/>
        <w:rPr>
          <w:rFonts w:cstheme="minorHAnsi"/>
          <w:color w:val="000000" w:themeColor="text1"/>
          <w:sz w:val="22"/>
          <w:szCs w:val="22"/>
        </w:rPr>
      </w:pPr>
    </w:p>
    <w:p w14:paraId="2D2671DF" w14:textId="77777777" w:rsidR="005B7121" w:rsidRDefault="005B7121" w:rsidP="005B7121">
      <w:pPr>
        <w:spacing w:after="0" w:line="360" w:lineRule="auto"/>
        <w:rPr>
          <w:rFonts w:cstheme="minorHAnsi"/>
          <w:color w:val="000000" w:themeColor="text1"/>
          <w:sz w:val="22"/>
          <w:szCs w:val="22"/>
        </w:rPr>
      </w:pPr>
    </w:p>
    <w:p w14:paraId="7868BB23" w14:textId="77777777" w:rsidR="005B7121" w:rsidRDefault="005B7121" w:rsidP="005B7121">
      <w:pPr>
        <w:spacing w:after="0" w:line="360" w:lineRule="auto"/>
        <w:rPr>
          <w:rFonts w:cstheme="minorHAnsi"/>
          <w:color w:val="000000" w:themeColor="text1"/>
          <w:sz w:val="22"/>
          <w:szCs w:val="22"/>
        </w:rPr>
      </w:pPr>
    </w:p>
    <w:p w14:paraId="06D2C79C" w14:textId="77777777" w:rsidR="005B7121" w:rsidRDefault="005B7121" w:rsidP="005B7121">
      <w:pPr>
        <w:spacing w:after="0" w:line="360" w:lineRule="auto"/>
        <w:rPr>
          <w:rFonts w:cstheme="minorHAnsi"/>
          <w:color w:val="000000" w:themeColor="text1"/>
          <w:sz w:val="22"/>
          <w:szCs w:val="22"/>
        </w:rPr>
      </w:pPr>
    </w:p>
    <w:p w14:paraId="414D4079" w14:textId="77777777" w:rsidR="005B7121" w:rsidRDefault="005B7121" w:rsidP="005B7121">
      <w:pPr>
        <w:spacing w:after="0" w:line="360" w:lineRule="auto"/>
        <w:rPr>
          <w:rFonts w:cstheme="minorHAnsi"/>
          <w:color w:val="000000" w:themeColor="text1"/>
          <w:sz w:val="22"/>
          <w:szCs w:val="22"/>
        </w:rPr>
      </w:pPr>
    </w:p>
    <w:p w14:paraId="270CF3FD" w14:textId="77777777" w:rsidR="005B7121" w:rsidRDefault="005B7121" w:rsidP="005B7121">
      <w:pPr>
        <w:spacing w:after="0" w:line="360" w:lineRule="auto"/>
        <w:rPr>
          <w:rFonts w:cstheme="minorHAnsi"/>
          <w:color w:val="000000" w:themeColor="text1"/>
          <w:sz w:val="22"/>
          <w:szCs w:val="22"/>
        </w:rPr>
      </w:pPr>
    </w:p>
    <w:p w14:paraId="074FC544" w14:textId="77777777" w:rsidR="005B7121" w:rsidRDefault="005B7121" w:rsidP="005B7121">
      <w:pPr>
        <w:spacing w:after="0" w:line="360" w:lineRule="auto"/>
        <w:rPr>
          <w:rFonts w:cstheme="minorHAnsi"/>
          <w:color w:val="000000" w:themeColor="text1"/>
          <w:sz w:val="22"/>
          <w:szCs w:val="22"/>
        </w:rPr>
      </w:pPr>
    </w:p>
    <w:p w14:paraId="77A23C9C" w14:textId="77777777" w:rsidR="005B7121" w:rsidRPr="005B7121" w:rsidRDefault="005B7121" w:rsidP="005B7121">
      <w:pPr>
        <w:spacing w:after="0" w:line="360" w:lineRule="auto"/>
        <w:rPr>
          <w:rFonts w:cstheme="minorHAnsi"/>
          <w:color w:val="000000" w:themeColor="text1"/>
          <w:sz w:val="22"/>
          <w:szCs w:val="22"/>
        </w:rPr>
      </w:pPr>
    </w:p>
    <w:p w14:paraId="52BE39C8" w14:textId="188A5E25" w:rsidR="22018B77" w:rsidRPr="005B7121" w:rsidRDefault="22018B77" w:rsidP="005B7121">
      <w:pPr>
        <w:spacing w:line="360" w:lineRule="auto"/>
        <w:rPr>
          <w:rFonts w:cstheme="minorHAnsi"/>
          <w:sz w:val="22"/>
          <w:szCs w:val="22"/>
        </w:rPr>
      </w:pPr>
    </w:p>
    <w:p w14:paraId="357D22B6" w14:textId="71AF87EE" w:rsidR="1333D861" w:rsidRPr="005B7121" w:rsidRDefault="1333D861" w:rsidP="005B7121">
      <w:pPr>
        <w:pStyle w:val="Heading1"/>
        <w:spacing w:before="0" w:after="0" w:line="360" w:lineRule="auto"/>
        <w:rPr>
          <w:rFonts w:asciiTheme="minorHAnsi" w:eastAsiaTheme="minorEastAsia" w:hAnsiTheme="minorHAnsi" w:cstheme="minorHAnsi"/>
          <w:b/>
          <w:bCs/>
          <w:color w:val="000000" w:themeColor="text1"/>
          <w:sz w:val="28"/>
          <w:szCs w:val="28"/>
        </w:rPr>
      </w:pPr>
      <w:r w:rsidRPr="005B7121">
        <w:rPr>
          <w:rFonts w:asciiTheme="minorHAnsi" w:eastAsiaTheme="minorEastAsia" w:hAnsiTheme="minorHAnsi" w:cstheme="minorHAnsi"/>
          <w:b/>
          <w:bCs/>
          <w:color w:val="000000" w:themeColor="text1"/>
          <w:sz w:val="28"/>
          <w:szCs w:val="28"/>
        </w:rPr>
        <w:lastRenderedPageBreak/>
        <w:t>A Scoping Review of PTSD Following Bereavement Among Ethnic Minority Women in the UK: Cultural Barriers and Access to Mental Health Support</w:t>
      </w:r>
    </w:p>
    <w:p w14:paraId="2F36A217" w14:textId="0C08856F" w:rsidR="22018B77" w:rsidRPr="005B7121" w:rsidRDefault="22018B77" w:rsidP="005B7121">
      <w:pPr>
        <w:spacing w:line="360" w:lineRule="auto"/>
        <w:rPr>
          <w:rFonts w:cstheme="minorHAnsi"/>
          <w:sz w:val="22"/>
          <w:szCs w:val="22"/>
        </w:rPr>
      </w:pPr>
    </w:p>
    <w:p w14:paraId="190E12D8" w14:textId="002B8985" w:rsidR="22018B77" w:rsidRPr="005B7121" w:rsidRDefault="22018B77" w:rsidP="005B7121">
      <w:pPr>
        <w:spacing w:line="360" w:lineRule="auto"/>
        <w:rPr>
          <w:rFonts w:cstheme="minorHAnsi"/>
          <w:sz w:val="22"/>
          <w:szCs w:val="22"/>
        </w:rPr>
      </w:pPr>
    </w:p>
    <w:p w14:paraId="799FF986" w14:textId="757B835F" w:rsidR="0047F7D9" w:rsidRPr="005B7121" w:rsidRDefault="0047F7D9" w:rsidP="005B7121">
      <w:pPr>
        <w:pStyle w:val="Heading2"/>
        <w:spacing w:before="0" w:after="0" w:line="360" w:lineRule="auto"/>
        <w:rPr>
          <w:rFonts w:asciiTheme="minorHAnsi" w:eastAsiaTheme="minorEastAsia" w:hAnsiTheme="minorHAnsi" w:cstheme="minorHAnsi"/>
          <w:b/>
          <w:bCs/>
          <w:color w:val="000000" w:themeColor="text1"/>
          <w:sz w:val="24"/>
          <w:szCs w:val="24"/>
        </w:rPr>
      </w:pPr>
      <w:r w:rsidRPr="005B7121">
        <w:rPr>
          <w:rFonts w:asciiTheme="minorHAnsi" w:eastAsiaTheme="minorEastAsia" w:hAnsiTheme="minorHAnsi" w:cstheme="minorHAnsi"/>
          <w:b/>
          <w:bCs/>
          <w:color w:val="000000" w:themeColor="text1"/>
          <w:sz w:val="24"/>
          <w:szCs w:val="24"/>
        </w:rPr>
        <w:t>Abstract</w:t>
      </w:r>
    </w:p>
    <w:p w14:paraId="145CC44B" w14:textId="775BDCBC" w:rsidR="22018B77" w:rsidRDefault="005B7121" w:rsidP="005B7121">
      <w:pPr>
        <w:spacing w:line="360" w:lineRule="auto"/>
        <w:rPr>
          <w:rFonts w:cstheme="minorHAnsi"/>
          <w:sz w:val="22"/>
          <w:szCs w:val="22"/>
          <w:lang w:val="en-GB"/>
        </w:rPr>
      </w:pPr>
      <w:r w:rsidRPr="005B7121">
        <w:rPr>
          <w:rFonts w:cstheme="minorHAnsi"/>
          <w:sz w:val="22"/>
          <w:szCs w:val="22"/>
          <w:lang w:val="en-GB"/>
        </w:rPr>
        <w:t>Bereavement is a significant life event that can trigger psychological distress, including post-traumatic stress disorder (PTSD), depression and prolonged grief. For ethnic minority women in the UK, these experiences are shaped by the intersection of gender, culture and wider systemic inequalities, potentially increasing vulnerability while reducing access to appropriate mental health support. This scoping review aimed to map the existing evidence relating to PTSD and other bereavement-related mental health difficulties among ethnic minority women in the UK, while identifying cultural barriers that influence access to support services. Guided by the framework developed by Arksey and O'Malley (2005) and the Joanna Briggs Institute guidance for scoping reviews (Peters et al., 2020), searches were conducted across the UWTSD Library Search, PubMed, EBSCOhost, Sage Journals and Google Scholar for studies published between 2005 and 2026. Five peer-reviewed studies met the inclusion criteria. Thematic analysis identified three overarching themes: increased vulnerability to bereavement-related psychological distress, cultural and structural barriers to accessing mental health support, and gaps in culturally responsive bereavement services. The findings indicate that bereavement may increase vulnerability to PTSD and prolonged grief, while stigma, language barriers and systemic inequalities continue to limit access to appropriate mental health support. The review concludes by identifying implications for health and social care practice and providing recommendations for policy development and future research aimed at reducing mental health inequalities among ethnic minority women</w:t>
      </w:r>
    </w:p>
    <w:p w14:paraId="10BD96CA" w14:textId="77777777" w:rsidR="005B7121" w:rsidRDefault="005B7121" w:rsidP="005B7121">
      <w:pPr>
        <w:spacing w:line="360" w:lineRule="auto"/>
        <w:rPr>
          <w:rFonts w:cstheme="minorHAnsi"/>
          <w:sz w:val="22"/>
          <w:szCs w:val="22"/>
          <w:lang w:val="en-GB"/>
        </w:rPr>
      </w:pPr>
    </w:p>
    <w:p w14:paraId="5FABB92E" w14:textId="77777777" w:rsidR="005B7121" w:rsidRDefault="005B7121" w:rsidP="005B7121">
      <w:pPr>
        <w:spacing w:line="360" w:lineRule="auto"/>
        <w:rPr>
          <w:rFonts w:cstheme="minorHAnsi"/>
          <w:sz w:val="22"/>
          <w:szCs w:val="22"/>
          <w:lang w:val="en-GB"/>
        </w:rPr>
      </w:pPr>
    </w:p>
    <w:p w14:paraId="4F5AD252" w14:textId="77777777" w:rsidR="005B7121" w:rsidRDefault="005B7121" w:rsidP="005B7121">
      <w:pPr>
        <w:spacing w:line="360" w:lineRule="auto"/>
        <w:rPr>
          <w:rFonts w:cstheme="minorHAnsi"/>
          <w:sz w:val="22"/>
          <w:szCs w:val="22"/>
          <w:lang w:val="en-GB"/>
        </w:rPr>
      </w:pPr>
    </w:p>
    <w:p w14:paraId="387E0367" w14:textId="77777777" w:rsidR="005B7121" w:rsidRPr="005B7121" w:rsidRDefault="005B7121" w:rsidP="005B7121">
      <w:pPr>
        <w:spacing w:line="360" w:lineRule="auto"/>
        <w:rPr>
          <w:rFonts w:cstheme="minorHAnsi"/>
          <w:sz w:val="22"/>
          <w:szCs w:val="22"/>
          <w:lang w:val="en-GB"/>
        </w:rPr>
      </w:pPr>
    </w:p>
    <w:p w14:paraId="158F1F56" w14:textId="2B3AC38F" w:rsidR="0047F7D9" w:rsidRPr="005B7121" w:rsidRDefault="0047F7D9" w:rsidP="005B7121">
      <w:pPr>
        <w:pStyle w:val="Heading2"/>
        <w:spacing w:before="0" w:after="0" w:line="360" w:lineRule="auto"/>
        <w:rPr>
          <w:rFonts w:asciiTheme="minorHAnsi" w:eastAsiaTheme="minorEastAsia" w:hAnsiTheme="minorHAnsi" w:cstheme="minorHAnsi"/>
          <w:b/>
          <w:bCs/>
          <w:color w:val="000000" w:themeColor="text1"/>
          <w:sz w:val="24"/>
          <w:szCs w:val="24"/>
        </w:rPr>
      </w:pPr>
      <w:r w:rsidRPr="005B7121">
        <w:rPr>
          <w:rFonts w:asciiTheme="minorHAnsi" w:eastAsiaTheme="minorEastAsia" w:hAnsiTheme="minorHAnsi" w:cstheme="minorHAnsi"/>
          <w:b/>
          <w:bCs/>
          <w:color w:val="000000" w:themeColor="text1"/>
          <w:sz w:val="24"/>
          <w:szCs w:val="24"/>
        </w:rPr>
        <w:lastRenderedPageBreak/>
        <w:t>1. Introduction</w:t>
      </w:r>
    </w:p>
    <w:p w14:paraId="6B53B63B" w14:textId="77777777" w:rsidR="005B7121" w:rsidRPr="005B7121" w:rsidRDefault="005B7121" w:rsidP="005B7121">
      <w:pPr>
        <w:spacing w:line="360" w:lineRule="auto"/>
        <w:jc w:val="both"/>
        <w:rPr>
          <w:rFonts w:cstheme="minorHAnsi"/>
          <w:b/>
          <w:bCs/>
          <w:lang w:val="en-GB"/>
        </w:rPr>
      </w:pPr>
      <w:r w:rsidRPr="005B7121">
        <w:rPr>
          <w:rFonts w:cstheme="minorHAnsi"/>
          <w:b/>
          <w:bCs/>
          <w:lang w:val="en-GB"/>
        </w:rPr>
        <w:t>1.1 Definitions of Key Concepts</w:t>
      </w:r>
    </w:p>
    <w:p w14:paraId="0582F7AA"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To establish clarity and ensure consistency throughout this review, the following key concepts are defined:</w:t>
      </w:r>
    </w:p>
    <w:p w14:paraId="0C63DC8C" w14:textId="77777777" w:rsidR="005B7121" w:rsidRPr="005B7121" w:rsidRDefault="005B7121" w:rsidP="005B7121">
      <w:pPr>
        <w:numPr>
          <w:ilvl w:val="0"/>
          <w:numId w:val="34"/>
        </w:numPr>
        <w:spacing w:line="360" w:lineRule="auto"/>
        <w:jc w:val="both"/>
        <w:rPr>
          <w:rFonts w:ascii="Arial" w:hAnsi="Arial" w:cs="Arial"/>
          <w:sz w:val="22"/>
          <w:szCs w:val="22"/>
          <w:lang w:val="en-GB"/>
        </w:rPr>
      </w:pPr>
      <w:r w:rsidRPr="005B7121">
        <w:rPr>
          <w:rFonts w:ascii="Arial" w:hAnsi="Arial" w:cs="Arial"/>
          <w:sz w:val="22"/>
          <w:szCs w:val="22"/>
          <w:lang w:val="en-GB"/>
        </w:rPr>
        <w:t xml:space="preserve">Bereavement: The experience of losing a significant person through death, involving emotional, cognitive, behavioural and social adjustment. Bereavement is recognised as a major life event that can affect psychological wellbeing and everyday functioning (Morina </w:t>
      </w:r>
      <w:r w:rsidRPr="005B7121">
        <w:rPr>
          <w:rFonts w:ascii="Arial" w:hAnsi="Arial" w:cs="Arial"/>
          <w:i/>
          <w:iCs/>
          <w:sz w:val="22"/>
          <w:szCs w:val="22"/>
          <w:lang w:val="en-GB"/>
        </w:rPr>
        <w:t>et al</w:t>
      </w:r>
      <w:r w:rsidRPr="005B7121">
        <w:rPr>
          <w:rFonts w:ascii="Arial" w:hAnsi="Arial" w:cs="Arial"/>
          <w:sz w:val="22"/>
          <w:szCs w:val="22"/>
          <w:lang w:val="en-GB"/>
        </w:rPr>
        <w:t xml:space="preserve">., 2010). </w:t>
      </w:r>
    </w:p>
    <w:p w14:paraId="6E10ABA4" w14:textId="77777777" w:rsidR="005B7121" w:rsidRPr="005B7121" w:rsidRDefault="005B7121" w:rsidP="005B7121">
      <w:pPr>
        <w:numPr>
          <w:ilvl w:val="0"/>
          <w:numId w:val="34"/>
        </w:numPr>
        <w:spacing w:line="360" w:lineRule="auto"/>
        <w:jc w:val="both"/>
        <w:rPr>
          <w:rFonts w:ascii="Arial" w:hAnsi="Arial" w:cs="Arial"/>
          <w:sz w:val="22"/>
          <w:szCs w:val="22"/>
          <w:lang w:val="en-GB"/>
        </w:rPr>
      </w:pPr>
      <w:r w:rsidRPr="005B7121">
        <w:rPr>
          <w:rFonts w:ascii="Arial" w:hAnsi="Arial" w:cs="Arial"/>
          <w:sz w:val="22"/>
          <w:szCs w:val="22"/>
          <w:lang w:val="en-GB"/>
        </w:rPr>
        <w:t xml:space="preserve">Post-Traumatic Stress Disorder (PTSD): A mental health condition that may develop following exposure to a traumatic event. It is characterised by intrusive memories, avoidance behaviours, negative changes in mood and cognition, and heightened arousal or reactivity (National Institute for Health and Care Excellence, 2018). </w:t>
      </w:r>
    </w:p>
    <w:p w14:paraId="1095A90B" w14:textId="77777777" w:rsidR="005B7121" w:rsidRPr="005B7121" w:rsidRDefault="005B7121" w:rsidP="005B7121">
      <w:pPr>
        <w:numPr>
          <w:ilvl w:val="0"/>
          <w:numId w:val="34"/>
        </w:numPr>
        <w:spacing w:line="360" w:lineRule="auto"/>
        <w:jc w:val="both"/>
        <w:rPr>
          <w:rFonts w:ascii="Arial" w:hAnsi="Arial" w:cs="Arial"/>
          <w:sz w:val="22"/>
          <w:szCs w:val="22"/>
          <w:lang w:val="en-GB"/>
        </w:rPr>
      </w:pPr>
      <w:r w:rsidRPr="005B7121">
        <w:rPr>
          <w:rFonts w:ascii="Arial" w:hAnsi="Arial" w:cs="Arial"/>
          <w:sz w:val="22"/>
          <w:szCs w:val="22"/>
          <w:lang w:val="en-GB"/>
        </w:rPr>
        <w:t xml:space="preserve">Ethnic Minority Women: Women belonging to ethnic groups other than White British, including South Asian, Black, Mixed and other minority ethnic communities. Within this review, the term acknowledges that experiences of health and healthcare are influenced by the intersection of ethnicity, gender and wider social determinants of health (Schnyder </w:t>
      </w:r>
      <w:r w:rsidRPr="005B7121">
        <w:rPr>
          <w:rFonts w:ascii="Arial" w:hAnsi="Arial" w:cs="Arial"/>
          <w:i/>
          <w:iCs/>
          <w:sz w:val="22"/>
          <w:szCs w:val="22"/>
          <w:lang w:val="en-GB"/>
        </w:rPr>
        <w:t>et al</w:t>
      </w:r>
      <w:r w:rsidRPr="005B7121">
        <w:rPr>
          <w:rFonts w:ascii="Arial" w:hAnsi="Arial" w:cs="Arial"/>
          <w:sz w:val="22"/>
          <w:szCs w:val="22"/>
          <w:lang w:val="en-GB"/>
        </w:rPr>
        <w:t xml:space="preserve">., 2016). </w:t>
      </w:r>
    </w:p>
    <w:p w14:paraId="5882C537" w14:textId="77777777" w:rsidR="005B7121" w:rsidRPr="005B7121" w:rsidRDefault="005B7121" w:rsidP="005B7121">
      <w:pPr>
        <w:numPr>
          <w:ilvl w:val="0"/>
          <w:numId w:val="34"/>
        </w:numPr>
        <w:spacing w:line="360" w:lineRule="auto"/>
        <w:jc w:val="both"/>
        <w:rPr>
          <w:rFonts w:ascii="Arial" w:hAnsi="Arial" w:cs="Arial"/>
          <w:sz w:val="22"/>
          <w:szCs w:val="22"/>
          <w:lang w:val="en-GB"/>
        </w:rPr>
      </w:pPr>
      <w:r w:rsidRPr="005B7121">
        <w:rPr>
          <w:rFonts w:ascii="Arial" w:hAnsi="Arial" w:cs="Arial"/>
          <w:sz w:val="22"/>
          <w:szCs w:val="22"/>
          <w:lang w:val="en-GB"/>
        </w:rPr>
        <w:t xml:space="preserve">Cultural Barriers: Differences in cultural beliefs, values, language, traditions and social norms that may influence how psychological distress is recognised, expressed and managed. These barriers may reduce engagement with formal healthcare services and limit access to appropriate mental health support (Mayland </w:t>
      </w:r>
      <w:r w:rsidRPr="005B7121">
        <w:rPr>
          <w:rFonts w:ascii="Arial" w:hAnsi="Arial" w:cs="Arial"/>
          <w:i/>
          <w:iCs/>
          <w:sz w:val="22"/>
          <w:szCs w:val="22"/>
          <w:lang w:val="en-GB"/>
        </w:rPr>
        <w:t>et al</w:t>
      </w:r>
      <w:r w:rsidRPr="005B7121">
        <w:rPr>
          <w:rFonts w:ascii="Arial" w:hAnsi="Arial" w:cs="Arial"/>
          <w:sz w:val="22"/>
          <w:szCs w:val="22"/>
          <w:lang w:val="en-GB"/>
        </w:rPr>
        <w:t xml:space="preserve">., 2021). </w:t>
      </w:r>
    </w:p>
    <w:p w14:paraId="2BD4ADFE" w14:textId="24179A6B" w:rsidR="005B7121" w:rsidRPr="005B7121" w:rsidRDefault="005B7121" w:rsidP="005B7121">
      <w:pPr>
        <w:spacing w:line="360" w:lineRule="auto"/>
        <w:jc w:val="both"/>
        <w:rPr>
          <w:rFonts w:ascii="Arial" w:hAnsi="Arial" w:cs="Arial"/>
          <w:sz w:val="22"/>
          <w:szCs w:val="22"/>
          <w:lang w:val="en-GB"/>
        </w:rPr>
      </w:pPr>
    </w:p>
    <w:p w14:paraId="1923A90A" w14:textId="77777777" w:rsidR="005B7121" w:rsidRPr="005B7121" w:rsidRDefault="005B7121" w:rsidP="005B7121">
      <w:pPr>
        <w:spacing w:line="360" w:lineRule="auto"/>
        <w:jc w:val="both"/>
        <w:rPr>
          <w:rFonts w:ascii="Arial" w:hAnsi="Arial" w:cs="Arial"/>
          <w:b/>
          <w:bCs/>
          <w:sz w:val="22"/>
          <w:szCs w:val="22"/>
          <w:lang w:val="en-GB"/>
        </w:rPr>
      </w:pPr>
      <w:r w:rsidRPr="005B7121">
        <w:rPr>
          <w:rFonts w:ascii="Arial" w:hAnsi="Arial" w:cs="Arial"/>
          <w:b/>
          <w:bCs/>
          <w:sz w:val="22"/>
          <w:szCs w:val="22"/>
          <w:lang w:val="en-GB"/>
        </w:rPr>
        <w:t>1.2 Rationale</w:t>
      </w:r>
    </w:p>
    <w:p w14:paraId="0818AE37"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Bereavement is a universal life experience; however, its psychological impact varies considerably between individuals and communities. Research suggests that women are generally at greater risk of developing prolonged grief, depression and trauma-related symptoms following bereavement, particularly where emotional or social support is limited (</w:t>
      </w:r>
      <w:proofErr w:type="spellStart"/>
      <w:r w:rsidRPr="005B7121">
        <w:rPr>
          <w:rFonts w:ascii="Arial" w:hAnsi="Arial" w:cs="Arial"/>
          <w:sz w:val="22"/>
          <w:szCs w:val="22"/>
          <w:lang w:val="en-GB"/>
        </w:rPr>
        <w:t>Boelen</w:t>
      </w:r>
      <w:proofErr w:type="spellEnd"/>
      <w:r w:rsidRPr="005B7121">
        <w:rPr>
          <w:rFonts w:ascii="Arial" w:hAnsi="Arial" w:cs="Arial"/>
          <w:sz w:val="22"/>
          <w:szCs w:val="22"/>
          <w:lang w:val="en-GB"/>
        </w:rPr>
        <w:t xml:space="preserve"> </w:t>
      </w:r>
      <w:r w:rsidRPr="005B7121">
        <w:rPr>
          <w:rFonts w:ascii="Arial" w:hAnsi="Arial" w:cs="Arial"/>
          <w:i/>
          <w:iCs/>
          <w:sz w:val="22"/>
          <w:szCs w:val="22"/>
          <w:lang w:val="en-GB"/>
        </w:rPr>
        <w:t>et al</w:t>
      </w:r>
      <w:r w:rsidRPr="005B7121">
        <w:rPr>
          <w:rFonts w:ascii="Arial" w:hAnsi="Arial" w:cs="Arial"/>
          <w:sz w:val="22"/>
          <w:szCs w:val="22"/>
          <w:lang w:val="en-GB"/>
        </w:rPr>
        <w:t xml:space="preserve">., 2020). For ethnic minority women in the UK, this vulnerability may be further increased by cultural expectations, structural inequalities and disparities in access to mental health services (Roberts </w:t>
      </w:r>
      <w:r w:rsidRPr="005B7121">
        <w:rPr>
          <w:rFonts w:ascii="Arial" w:hAnsi="Arial" w:cs="Arial"/>
          <w:i/>
          <w:iCs/>
          <w:sz w:val="22"/>
          <w:szCs w:val="22"/>
          <w:lang w:val="en-GB"/>
        </w:rPr>
        <w:t>et al</w:t>
      </w:r>
      <w:r w:rsidRPr="005B7121">
        <w:rPr>
          <w:rFonts w:ascii="Arial" w:hAnsi="Arial" w:cs="Arial"/>
          <w:sz w:val="22"/>
          <w:szCs w:val="22"/>
          <w:lang w:val="en-GB"/>
        </w:rPr>
        <w:t>., 2011).</w:t>
      </w:r>
    </w:p>
    <w:p w14:paraId="35E035B2"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lastRenderedPageBreak/>
        <w:t xml:space="preserve">Cultural beliefs strongly influence how grief is experienced, expressed and supported. Within some communities, bereavement may be viewed primarily as a private family or religious matter rather than an issue requiring professional mental health intervention (Koffman </w:t>
      </w:r>
      <w:r w:rsidRPr="005B7121">
        <w:rPr>
          <w:rFonts w:ascii="Arial" w:hAnsi="Arial" w:cs="Arial"/>
          <w:i/>
          <w:iCs/>
          <w:sz w:val="22"/>
          <w:szCs w:val="22"/>
          <w:lang w:val="en-GB"/>
        </w:rPr>
        <w:t>et al</w:t>
      </w:r>
      <w:r w:rsidRPr="005B7121">
        <w:rPr>
          <w:rFonts w:ascii="Arial" w:hAnsi="Arial" w:cs="Arial"/>
          <w:sz w:val="22"/>
          <w:szCs w:val="22"/>
          <w:lang w:val="en-GB"/>
        </w:rPr>
        <w:t>., 2005). Consequently, symptoms associated with PTSD or prolonged grief may remain unrecognised, be interpreted as a normal part of bereavement, or be attributed to alternative cultural or spiritual explanations. These factors may contribute to delayed recognition of psychological distress and reduced engagement with mental health services.</w:t>
      </w:r>
    </w:p>
    <w:p w14:paraId="7578AC9A"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Although national guidance, including the National Institute for Health and Care Excellence (2018), advocates culturally sensitive and trauma-informed care, there remains limited evidence specifically examining bereavement-related PTSD among ethnic minority women in the UK. This scoping review therefore aims to map the available evidence, identify barriers to accessing mental health support and highlight implications for health and social care practice.</w:t>
      </w:r>
    </w:p>
    <w:p w14:paraId="31827FF7" w14:textId="401F3295" w:rsidR="005B7121" w:rsidRPr="005B7121" w:rsidRDefault="005B7121" w:rsidP="005B7121">
      <w:pPr>
        <w:spacing w:line="360" w:lineRule="auto"/>
        <w:jc w:val="both"/>
        <w:rPr>
          <w:rFonts w:ascii="Arial" w:hAnsi="Arial" w:cs="Arial"/>
          <w:sz w:val="22"/>
          <w:szCs w:val="22"/>
          <w:lang w:val="en-GB"/>
        </w:rPr>
      </w:pPr>
    </w:p>
    <w:p w14:paraId="7673EF7C" w14:textId="77777777" w:rsidR="005B7121" w:rsidRPr="005B7121" w:rsidRDefault="005B7121" w:rsidP="005B7121">
      <w:pPr>
        <w:spacing w:line="360" w:lineRule="auto"/>
        <w:jc w:val="both"/>
        <w:rPr>
          <w:rFonts w:ascii="Arial" w:hAnsi="Arial" w:cs="Arial"/>
          <w:b/>
          <w:bCs/>
          <w:sz w:val="22"/>
          <w:szCs w:val="22"/>
          <w:lang w:val="en-GB"/>
        </w:rPr>
      </w:pPr>
      <w:r w:rsidRPr="005B7121">
        <w:rPr>
          <w:rFonts w:ascii="Arial" w:hAnsi="Arial" w:cs="Arial"/>
          <w:b/>
          <w:bCs/>
          <w:sz w:val="22"/>
          <w:szCs w:val="22"/>
          <w:lang w:val="en-GB"/>
        </w:rPr>
        <w:t>1.3 Review Question</w:t>
      </w:r>
    </w:p>
    <w:p w14:paraId="58B75032"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What evidence exists regarding PTSD and other bereavement-related mental health difficulties among ethnic minority women in the UK, and what cultural barriers influence access to mental health support services?</w:t>
      </w:r>
    </w:p>
    <w:p w14:paraId="0B8C7A97" w14:textId="5D988B27" w:rsidR="005B7121" w:rsidRPr="005B7121" w:rsidRDefault="005B7121" w:rsidP="005B7121">
      <w:pPr>
        <w:spacing w:line="360" w:lineRule="auto"/>
        <w:jc w:val="both"/>
        <w:rPr>
          <w:rFonts w:ascii="Arial" w:hAnsi="Arial" w:cs="Arial"/>
          <w:sz w:val="22"/>
          <w:szCs w:val="22"/>
          <w:lang w:val="en-GB"/>
        </w:rPr>
      </w:pPr>
    </w:p>
    <w:p w14:paraId="27479FF7" w14:textId="77777777" w:rsidR="005B7121" w:rsidRPr="005B7121" w:rsidRDefault="005B7121" w:rsidP="005B7121">
      <w:pPr>
        <w:spacing w:line="360" w:lineRule="auto"/>
        <w:jc w:val="both"/>
        <w:rPr>
          <w:rFonts w:ascii="Arial" w:hAnsi="Arial" w:cs="Arial"/>
          <w:b/>
          <w:bCs/>
          <w:sz w:val="22"/>
          <w:szCs w:val="22"/>
          <w:lang w:val="en-GB"/>
        </w:rPr>
      </w:pPr>
      <w:r w:rsidRPr="005B7121">
        <w:rPr>
          <w:rFonts w:ascii="Arial" w:hAnsi="Arial" w:cs="Arial"/>
          <w:b/>
          <w:bCs/>
          <w:sz w:val="22"/>
          <w:szCs w:val="22"/>
          <w:lang w:val="en-GB"/>
        </w:rPr>
        <w:t>1.4 Objectives</w:t>
      </w:r>
    </w:p>
    <w:p w14:paraId="01D0878C"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The objectives of this scoping review are:</w:t>
      </w:r>
    </w:p>
    <w:p w14:paraId="37ECBDE8" w14:textId="77777777" w:rsidR="005B7121" w:rsidRPr="005B7121" w:rsidRDefault="005B7121" w:rsidP="005B7121">
      <w:pPr>
        <w:numPr>
          <w:ilvl w:val="0"/>
          <w:numId w:val="35"/>
        </w:numPr>
        <w:spacing w:line="360" w:lineRule="auto"/>
        <w:jc w:val="both"/>
        <w:rPr>
          <w:rFonts w:ascii="Arial" w:hAnsi="Arial" w:cs="Arial"/>
          <w:sz w:val="22"/>
          <w:szCs w:val="22"/>
          <w:lang w:val="en-GB"/>
        </w:rPr>
      </w:pPr>
      <w:r w:rsidRPr="005B7121">
        <w:rPr>
          <w:rFonts w:ascii="Arial" w:hAnsi="Arial" w:cs="Arial"/>
          <w:sz w:val="22"/>
          <w:szCs w:val="22"/>
          <w:lang w:val="en-GB"/>
        </w:rPr>
        <w:t xml:space="preserve">To identify key themes relating to PTSD and other bereavement-related mental health difficulties among ethnic minority women in the UK. </w:t>
      </w:r>
    </w:p>
    <w:p w14:paraId="103E4208" w14:textId="77777777" w:rsidR="005B7121" w:rsidRPr="005B7121" w:rsidRDefault="005B7121" w:rsidP="005B7121">
      <w:pPr>
        <w:numPr>
          <w:ilvl w:val="0"/>
          <w:numId w:val="35"/>
        </w:numPr>
        <w:spacing w:line="360" w:lineRule="auto"/>
        <w:jc w:val="both"/>
        <w:rPr>
          <w:rFonts w:ascii="Arial" w:hAnsi="Arial" w:cs="Arial"/>
          <w:sz w:val="22"/>
          <w:szCs w:val="22"/>
          <w:lang w:val="en-GB"/>
        </w:rPr>
      </w:pPr>
      <w:r w:rsidRPr="005B7121">
        <w:rPr>
          <w:rFonts w:ascii="Arial" w:hAnsi="Arial" w:cs="Arial"/>
          <w:sz w:val="22"/>
          <w:szCs w:val="22"/>
          <w:lang w:val="en-GB"/>
        </w:rPr>
        <w:t xml:space="preserve">To explore the cultural, social and structural barriers that influence access to mental health support following bereavement. </w:t>
      </w:r>
    </w:p>
    <w:p w14:paraId="3F77E1BB" w14:textId="77777777" w:rsidR="005B7121" w:rsidRDefault="005B7121" w:rsidP="005B7121">
      <w:pPr>
        <w:numPr>
          <w:ilvl w:val="0"/>
          <w:numId w:val="35"/>
        </w:numPr>
        <w:spacing w:line="360" w:lineRule="auto"/>
        <w:jc w:val="both"/>
        <w:rPr>
          <w:rFonts w:ascii="Arial" w:hAnsi="Arial" w:cs="Arial"/>
          <w:sz w:val="22"/>
          <w:szCs w:val="22"/>
          <w:lang w:val="en-GB"/>
        </w:rPr>
      </w:pPr>
      <w:r w:rsidRPr="005B7121">
        <w:rPr>
          <w:rFonts w:ascii="Arial" w:hAnsi="Arial" w:cs="Arial"/>
          <w:sz w:val="22"/>
          <w:szCs w:val="22"/>
          <w:lang w:val="en-GB"/>
        </w:rPr>
        <w:t>To identify gaps within the existing evidence base and consider the implications for health and social care practice and future research.</w:t>
      </w:r>
    </w:p>
    <w:p w14:paraId="6A5F1AEB" w14:textId="77777777" w:rsidR="005B7121" w:rsidRPr="005B7121" w:rsidRDefault="005B7121" w:rsidP="005B7121">
      <w:pPr>
        <w:spacing w:line="360" w:lineRule="auto"/>
        <w:ind w:left="720"/>
        <w:jc w:val="both"/>
        <w:rPr>
          <w:rFonts w:ascii="Arial" w:hAnsi="Arial" w:cs="Arial"/>
          <w:sz w:val="22"/>
          <w:szCs w:val="22"/>
          <w:lang w:val="en-GB"/>
        </w:rPr>
      </w:pPr>
    </w:p>
    <w:p w14:paraId="0126FC4A" w14:textId="3245B53B" w:rsidR="22018B77" w:rsidRPr="005B7121" w:rsidRDefault="22018B77" w:rsidP="005B7121">
      <w:pPr>
        <w:spacing w:line="360" w:lineRule="auto"/>
        <w:jc w:val="both"/>
        <w:rPr>
          <w:rFonts w:cstheme="minorHAnsi"/>
          <w:b/>
          <w:bCs/>
          <w:sz w:val="22"/>
          <w:szCs w:val="22"/>
        </w:rPr>
      </w:pPr>
    </w:p>
    <w:p w14:paraId="7BAF74C1" w14:textId="5E388084" w:rsidR="0047F7D9" w:rsidRPr="005B7121" w:rsidRDefault="0047F7D9" w:rsidP="005B7121">
      <w:pPr>
        <w:pStyle w:val="Heading2"/>
        <w:spacing w:before="0" w:after="0" w:line="360" w:lineRule="auto"/>
        <w:jc w:val="both"/>
        <w:rPr>
          <w:rFonts w:asciiTheme="minorHAnsi" w:eastAsiaTheme="minorEastAsia" w:hAnsiTheme="minorHAnsi" w:cstheme="minorHAnsi"/>
          <w:b/>
          <w:bCs/>
          <w:color w:val="000000" w:themeColor="text1"/>
          <w:sz w:val="22"/>
          <w:szCs w:val="22"/>
        </w:rPr>
      </w:pPr>
      <w:r w:rsidRPr="005B7121">
        <w:rPr>
          <w:rFonts w:asciiTheme="minorHAnsi" w:eastAsiaTheme="minorEastAsia" w:hAnsiTheme="minorHAnsi" w:cstheme="minorHAnsi"/>
          <w:b/>
          <w:bCs/>
          <w:color w:val="000000" w:themeColor="text1"/>
          <w:sz w:val="22"/>
          <w:szCs w:val="22"/>
        </w:rPr>
        <w:lastRenderedPageBreak/>
        <w:t>2. Background</w:t>
      </w:r>
    </w:p>
    <w:p w14:paraId="0D0E1650" w14:textId="77777777" w:rsidR="005B7121" w:rsidRPr="005B7121" w:rsidRDefault="005B7121" w:rsidP="005B7121">
      <w:pPr>
        <w:spacing w:line="360" w:lineRule="auto"/>
        <w:rPr>
          <w:rFonts w:cstheme="minorHAnsi"/>
          <w:b/>
          <w:bCs/>
          <w:sz w:val="22"/>
          <w:szCs w:val="22"/>
          <w:lang w:val="en-GB"/>
        </w:rPr>
      </w:pPr>
      <w:r w:rsidRPr="005B7121">
        <w:rPr>
          <w:rFonts w:cstheme="minorHAnsi"/>
          <w:b/>
          <w:bCs/>
          <w:sz w:val="22"/>
          <w:szCs w:val="22"/>
          <w:lang w:val="en-GB"/>
        </w:rPr>
        <w:t>2.1 Context of Bereavement and Mental Health in the UK</w:t>
      </w:r>
    </w:p>
    <w:p w14:paraId="2B9396C7" w14:textId="77777777" w:rsidR="00433560" w:rsidRPr="00433560" w:rsidRDefault="00433560" w:rsidP="00433560">
      <w:pPr>
        <w:spacing w:line="360" w:lineRule="auto"/>
        <w:rPr>
          <w:rFonts w:cstheme="minorHAnsi"/>
          <w:sz w:val="22"/>
          <w:szCs w:val="22"/>
          <w:lang w:val="en-GB"/>
        </w:rPr>
      </w:pPr>
      <w:r w:rsidRPr="00433560">
        <w:rPr>
          <w:rFonts w:cstheme="minorHAnsi"/>
          <w:sz w:val="22"/>
          <w:szCs w:val="22"/>
          <w:lang w:val="en-GB"/>
        </w:rPr>
        <w:t>The UK is becoming increasingly ethnically diverse, with the 2021 Census reporting that approximately 18% of people in England and Wales identify as belonging to an ethnic minority group (Office for National Statistics, 2022). Despite efforts to reduce health inequalities, disparities in access to mental health services remain across many ethnic minority communities. The Adult Psychiatric Morbidity Survey (NHS Digital, 2023) reported that although common mental health conditions occur across all ethnic groups, differences persist in service access, treatment experiences and mental health outcomes.</w:t>
      </w:r>
    </w:p>
    <w:p w14:paraId="580C23E9" w14:textId="77777777" w:rsidR="00433560" w:rsidRPr="00433560" w:rsidRDefault="00433560" w:rsidP="00433560">
      <w:pPr>
        <w:spacing w:line="360" w:lineRule="auto"/>
        <w:rPr>
          <w:rFonts w:cstheme="minorHAnsi"/>
          <w:sz w:val="22"/>
          <w:szCs w:val="22"/>
          <w:lang w:val="en-GB"/>
        </w:rPr>
      </w:pPr>
      <w:r w:rsidRPr="00433560">
        <w:rPr>
          <w:rFonts w:cstheme="minorHAnsi"/>
          <w:sz w:val="22"/>
          <w:szCs w:val="22"/>
          <w:lang w:val="en-GB"/>
        </w:rPr>
        <w:t xml:space="preserve">Bereavement is a significant life event that may lead to prolonged grief disorder, depression and post-traumatic stress disorder (PTSD) (Morina et al., 2010; </w:t>
      </w:r>
      <w:proofErr w:type="spellStart"/>
      <w:r w:rsidRPr="00433560">
        <w:rPr>
          <w:rFonts w:cstheme="minorHAnsi"/>
          <w:sz w:val="22"/>
          <w:szCs w:val="22"/>
          <w:lang w:val="en-GB"/>
        </w:rPr>
        <w:t>Prigerson</w:t>
      </w:r>
      <w:proofErr w:type="spellEnd"/>
      <w:r w:rsidRPr="00433560">
        <w:rPr>
          <w:rFonts w:cstheme="minorHAnsi"/>
          <w:sz w:val="22"/>
          <w:szCs w:val="22"/>
          <w:lang w:val="en-GB"/>
        </w:rPr>
        <w:t xml:space="preserve"> et al., 2009). While many individuals gradually adapt following bereavement, others experience persistent psychological distress that affects daily functioning and quality of life (Stroebe et al., 2007). The risk of prolonged or complicated grief may increase when the death is sudden or traumatic, or where emotional and social support is limited (</w:t>
      </w:r>
      <w:proofErr w:type="spellStart"/>
      <w:r w:rsidRPr="00433560">
        <w:rPr>
          <w:rFonts w:cstheme="minorHAnsi"/>
          <w:sz w:val="22"/>
          <w:szCs w:val="22"/>
          <w:lang w:val="en-GB"/>
        </w:rPr>
        <w:t>Boelen</w:t>
      </w:r>
      <w:proofErr w:type="spellEnd"/>
      <w:r w:rsidRPr="00433560">
        <w:rPr>
          <w:rFonts w:cstheme="minorHAnsi"/>
          <w:sz w:val="22"/>
          <w:szCs w:val="22"/>
          <w:lang w:val="en-GB"/>
        </w:rPr>
        <w:t xml:space="preserve"> et al., 2020).</w:t>
      </w:r>
    </w:p>
    <w:p w14:paraId="64CA96C1" w14:textId="77777777" w:rsidR="00433560" w:rsidRPr="00433560" w:rsidRDefault="00433560" w:rsidP="00433560">
      <w:pPr>
        <w:spacing w:line="360" w:lineRule="auto"/>
        <w:rPr>
          <w:rFonts w:cstheme="minorHAnsi"/>
          <w:sz w:val="22"/>
          <w:szCs w:val="22"/>
          <w:lang w:val="en-GB"/>
        </w:rPr>
      </w:pPr>
      <w:r w:rsidRPr="00433560">
        <w:rPr>
          <w:rFonts w:cstheme="minorHAnsi"/>
          <w:sz w:val="22"/>
          <w:szCs w:val="22"/>
          <w:lang w:val="en-GB"/>
        </w:rPr>
        <w:t>For ethnic minority women, bereavement may be further influenced by cultural beliefs, religious practices, family expectations and wider social inequalities. Cultural traditions shape how grief is understood and expressed, while mental health stigma may discourage discussion of emotional distress or professional help-seeking (Mayland et al., 2021). Caregiving responsibilities and expectations to maintain family cohesion may also increase emotional burden and delay access to support (Schnyder et al., 2016). These interacting factors highlight the importance of considering both cultural and structural influences when examining bereavement-related mental health among ethnic minority women.</w:t>
      </w:r>
    </w:p>
    <w:p w14:paraId="28EC9BB5" w14:textId="061564EF" w:rsidR="005B7121" w:rsidRPr="005B7121" w:rsidRDefault="005B7121" w:rsidP="005B7121">
      <w:pPr>
        <w:spacing w:line="360" w:lineRule="auto"/>
        <w:rPr>
          <w:rFonts w:cstheme="minorHAnsi"/>
          <w:sz w:val="22"/>
          <w:szCs w:val="22"/>
          <w:lang w:val="en-GB"/>
        </w:rPr>
      </w:pPr>
    </w:p>
    <w:p w14:paraId="181E3304" w14:textId="77777777" w:rsidR="005B7121" w:rsidRPr="005B7121" w:rsidRDefault="005B7121" w:rsidP="005B7121">
      <w:pPr>
        <w:spacing w:line="360" w:lineRule="auto"/>
        <w:rPr>
          <w:rFonts w:cstheme="minorHAnsi"/>
          <w:b/>
          <w:bCs/>
          <w:sz w:val="22"/>
          <w:szCs w:val="22"/>
          <w:lang w:val="en-GB"/>
        </w:rPr>
      </w:pPr>
      <w:r w:rsidRPr="005B7121">
        <w:rPr>
          <w:rFonts w:cstheme="minorHAnsi"/>
          <w:b/>
          <w:bCs/>
          <w:sz w:val="22"/>
          <w:szCs w:val="22"/>
          <w:lang w:val="en-GB"/>
        </w:rPr>
        <w:t>2.2 Policy and Legislation</w:t>
      </w:r>
    </w:p>
    <w:p w14:paraId="5997E623"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Several national policies and legislative frameworks support the provision of equitable, person-centred mental health care within the United Kingdom.</w:t>
      </w:r>
    </w:p>
    <w:p w14:paraId="3364A3B5" w14:textId="0C68B250"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The </w:t>
      </w:r>
      <w:r w:rsidRPr="005B7121">
        <w:rPr>
          <w:rFonts w:cstheme="minorHAnsi"/>
          <w:b/>
          <w:bCs/>
          <w:sz w:val="22"/>
          <w:szCs w:val="22"/>
          <w:lang w:val="en-GB"/>
        </w:rPr>
        <w:t>Equality Act 2010</w:t>
      </w:r>
      <w:r w:rsidRPr="005B7121">
        <w:rPr>
          <w:rFonts w:cstheme="minorHAnsi"/>
          <w:sz w:val="22"/>
          <w:szCs w:val="22"/>
          <w:lang w:val="en-GB"/>
        </w:rPr>
        <w:t xml:space="preserve"> protects individuals from discrimination on the grounds of protected characteristics, including race, sex and religion, and places a legal duty on public services to promote equality and reduce discrimination (HM Government, 2010). Similarly, the </w:t>
      </w:r>
      <w:r w:rsidRPr="004A4336">
        <w:rPr>
          <w:rFonts w:cstheme="minorHAnsi"/>
          <w:sz w:val="22"/>
          <w:szCs w:val="22"/>
          <w:lang w:val="en-GB"/>
        </w:rPr>
        <w:t>Health and</w:t>
      </w:r>
      <w:r w:rsidRPr="005B7121">
        <w:rPr>
          <w:rFonts w:cstheme="minorHAnsi"/>
          <w:b/>
          <w:bCs/>
          <w:sz w:val="22"/>
          <w:szCs w:val="22"/>
          <w:lang w:val="en-GB"/>
        </w:rPr>
        <w:t xml:space="preserve"> </w:t>
      </w:r>
      <w:r w:rsidRPr="004A4336">
        <w:rPr>
          <w:rFonts w:cstheme="minorHAnsi"/>
          <w:sz w:val="22"/>
          <w:szCs w:val="22"/>
          <w:lang w:val="en-GB"/>
        </w:rPr>
        <w:lastRenderedPageBreak/>
        <w:t>Social Care Act 2012</w:t>
      </w:r>
      <w:r w:rsidRPr="005B7121">
        <w:rPr>
          <w:rFonts w:cstheme="minorHAnsi"/>
          <w:sz w:val="22"/>
          <w:szCs w:val="22"/>
          <w:lang w:val="en-GB"/>
        </w:rPr>
        <w:t xml:space="preserve"> </w:t>
      </w:r>
      <w:proofErr w:type="gramStart"/>
      <w:r w:rsidRPr="005B7121">
        <w:rPr>
          <w:rFonts w:cstheme="minorHAnsi"/>
          <w:sz w:val="22"/>
          <w:szCs w:val="22"/>
          <w:lang w:val="en-GB"/>
        </w:rPr>
        <w:t>require</w:t>
      </w:r>
      <w:r w:rsidR="00BF46C6">
        <w:rPr>
          <w:rFonts w:cstheme="minorHAnsi"/>
          <w:sz w:val="22"/>
          <w:szCs w:val="22"/>
          <w:lang w:val="en-GB"/>
        </w:rPr>
        <w:t>s</w:t>
      </w:r>
      <w:proofErr w:type="gramEnd"/>
      <w:r w:rsidR="00BF46C6">
        <w:rPr>
          <w:rFonts w:cstheme="minorHAnsi"/>
          <w:sz w:val="22"/>
          <w:szCs w:val="22"/>
          <w:lang w:val="en-GB"/>
        </w:rPr>
        <w:t xml:space="preserve"> </w:t>
      </w:r>
      <w:r w:rsidRPr="005B7121">
        <w:rPr>
          <w:rFonts w:cstheme="minorHAnsi"/>
          <w:sz w:val="22"/>
          <w:szCs w:val="22"/>
          <w:lang w:val="en-GB"/>
        </w:rPr>
        <w:t>NHS organisations to reduce health inequalities and improve access to healthcare for disadvantaged and marginalised populations (HM Government, 2012).</w:t>
      </w:r>
    </w:p>
    <w:p w14:paraId="36E92C2C"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The </w:t>
      </w:r>
      <w:r w:rsidRPr="004A4336">
        <w:rPr>
          <w:rFonts w:cstheme="minorHAnsi"/>
          <w:sz w:val="22"/>
          <w:szCs w:val="22"/>
          <w:lang w:val="en-GB"/>
        </w:rPr>
        <w:t>NHS Long Term Plan</w:t>
      </w:r>
      <w:r w:rsidRPr="005B7121">
        <w:rPr>
          <w:rFonts w:cstheme="minorHAnsi"/>
          <w:sz w:val="22"/>
          <w:szCs w:val="22"/>
          <w:lang w:val="en-GB"/>
        </w:rPr>
        <w:t xml:space="preserve"> (NHS England, 2019) identifies reducing inequalities in mental health care as a national priority and highlights the importance of improving access to culturally appropriate services for diverse communities. In addition, </w:t>
      </w:r>
      <w:r w:rsidRPr="004A4336">
        <w:rPr>
          <w:rFonts w:cstheme="minorHAnsi"/>
          <w:sz w:val="22"/>
          <w:szCs w:val="22"/>
          <w:lang w:val="en-GB"/>
        </w:rPr>
        <w:t>National Institute for Health and</w:t>
      </w:r>
      <w:r w:rsidRPr="005B7121">
        <w:rPr>
          <w:rFonts w:cstheme="minorHAnsi"/>
          <w:b/>
          <w:bCs/>
          <w:sz w:val="22"/>
          <w:szCs w:val="22"/>
          <w:lang w:val="en-GB"/>
        </w:rPr>
        <w:t xml:space="preserve"> </w:t>
      </w:r>
      <w:r w:rsidRPr="004A4336">
        <w:rPr>
          <w:rFonts w:cstheme="minorHAnsi"/>
          <w:sz w:val="22"/>
          <w:szCs w:val="22"/>
          <w:lang w:val="en-GB"/>
        </w:rPr>
        <w:t>Care Excellence Guideline NG116</w:t>
      </w:r>
      <w:r w:rsidRPr="005B7121">
        <w:rPr>
          <w:rFonts w:cstheme="minorHAnsi"/>
          <w:sz w:val="22"/>
          <w:szCs w:val="22"/>
          <w:lang w:val="en-GB"/>
        </w:rPr>
        <w:t xml:space="preserve"> recommends that assessment and treatment of PTSD should consider cultural, linguistic and individual needs to ensure that care remains person-centred and accessible (National Institute for Health and Care Excellence, 2018).</w:t>
      </w:r>
    </w:p>
    <w:p w14:paraId="2A507086"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Despite these policy commitments, evidence suggests that inequalities in access to mental health support continue to affect many ethnic minority communities. Roberts </w:t>
      </w:r>
      <w:r w:rsidRPr="005B7121">
        <w:rPr>
          <w:rFonts w:cstheme="minorHAnsi"/>
          <w:i/>
          <w:iCs/>
          <w:sz w:val="22"/>
          <w:szCs w:val="22"/>
          <w:lang w:val="en-GB"/>
        </w:rPr>
        <w:t>et al.</w:t>
      </w:r>
      <w:r w:rsidRPr="005B7121">
        <w:rPr>
          <w:rFonts w:cstheme="minorHAnsi"/>
          <w:sz w:val="22"/>
          <w:szCs w:val="22"/>
          <w:lang w:val="en-GB"/>
        </w:rPr>
        <w:t xml:space="preserve"> (2011) found that individuals from ethnic minority backgrounds were less likely to seek or receive treatment for PTSD despite experiencing comparable levels of trauma exposure. These findings suggest that policy alone is insufficient and that continued efforts are required to ensure equitable access to culturally responsive mental health services.</w:t>
      </w:r>
    </w:p>
    <w:p w14:paraId="6AF984AB" w14:textId="7DCDE688" w:rsidR="005B7121" w:rsidRPr="005B7121" w:rsidRDefault="005B7121" w:rsidP="005B7121">
      <w:pPr>
        <w:spacing w:line="360" w:lineRule="auto"/>
        <w:rPr>
          <w:rFonts w:cstheme="minorHAnsi"/>
          <w:sz w:val="22"/>
          <w:szCs w:val="22"/>
          <w:lang w:val="en-GB"/>
        </w:rPr>
      </w:pPr>
    </w:p>
    <w:p w14:paraId="0163729C" w14:textId="77777777" w:rsidR="005B7121" w:rsidRPr="005B7121" w:rsidRDefault="005B7121" w:rsidP="005B7121">
      <w:pPr>
        <w:spacing w:line="360" w:lineRule="auto"/>
        <w:rPr>
          <w:rFonts w:cstheme="minorHAnsi"/>
          <w:b/>
          <w:bCs/>
          <w:sz w:val="22"/>
          <w:szCs w:val="22"/>
          <w:lang w:val="en-GB"/>
        </w:rPr>
      </w:pPr>
      <w:r w:rsidRPr="005B7121">
        <w:rPr>
          <w:rFonts w:cstheme="minorHAnsi"/>
          <w:b/>
          <w:bCs/>
          <w:sz w:val="22"/>
          <w:szCs w:val="22"/>
          <w:lang w:val="en-GB"/>
        </w:rPr>
        <w:t>2.3 Current State of Knowledge</w:t>
      </w:r>
    </w:p>
    <w:p w14:paraId="5F308018"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Existing evidence demonstrates that bereavement experiences differ across cultural groups and may be influenced by wider social and structural factors. Koffman </w:t>
      </w:r>
      <w:r w:rsidRPr="005B7121">
        <w:rPr>
          <w:rFonts w:cstheme="minorHAnsi"/>
          <w:i/>
          <w:iCs/>
          <w:sz w:val="22"/>
          <w:szCs w:val="22"/>
          <w:lang w:val="en-GB"/>
        </w:rPr>
        <w:t>et al.</w:t>
      </w:r>
      <w:r w:rsidRPr="005B7121">
        <w:rPr>
          <w:rFonts w:cstheme="minorHAnsi"/>
          <w:sz w:val="22"/>
          <w:szCs w:val="22"/>
          <w:lang w:val="en-GB"/>
        </w:rPr>
        <w:t xml:space="preserve"> (2005) reported that bereaved Black Caribbean participants living in London experienced higher levels of anxiety and depression than White British participants despite reporting similar levels of grief. The authors suggested that wider social disadvantages, including financial pressures, housing difficulties and limited culturally appropriate support, contributed to poorer psychological outcomes.</w:t>
      </w:r>
    </w:p>
    <w:p w14:paraId="62AF061D"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Mayland </w:t>
      </w:r>
      <w:r w:rsidRPr="005B7121">
        <w:rPr>
          <w:rFonts w:cstheme="minorHAnsi"/>
          <w:i/>
          <w:iCs/>
          <w:sz w:val="22"/>
          <w:szCs w:val="22"/>
          <w:lang w:val="en-GB"/>
        </w:rPr>
        <w:t>et al.</w:t>
      </w:r>
      <w:r w:rsidRPr="005B7121">
        <w:rPr>
          <w:rFonts w:cstheme="minorHAnsi"/>
          <w:sz w:val="22"/>
          <w:szCs w:val="22"/>
          <w:lang w:val="en-GB"/>
        </w:rPr>
        <w:t xml:space="preserve"> (2021) further identified that bereavement support services are often underused by ethnic minority communities because of barriers including stigma, language differences, limited awareness of available services and concerns that mainstream care does not adequately reflect cultural or religious values. These findings suggest that improving access requires more than increasing service availability; services must also be culturally responsive and developed in partnership with the communities they intend to support.</w:t>
      </w:r>
    </w:p>
    <w:p w14:paraId="6F8A7354" w14:textId="77777777" w:rsidR="005B7121" w:rsidRPr="005B7121" w:rsidRDefault="005B7121" w:rsidP="005B7121">
      <w:pPr>
        <w:spacing w:line="360" w:lineRule="auto"/>
        <w:rPr>
          <w:rFonts w:cstheme="minorHAnsi"/>
          <w:sz w:val="22"/>
          <w:szCs w:val="22"/>
          <w:lang w:val="en-GB"/>
        </w:rPr>
      </w:pPr>
      <w:r w:rsidRPr="005B7121">
        <w:rPr>
          <w:rFonts w:cstheme="minorHAnsi"/>
          <w:sz w:val="22"/>
          <w:szCs w:val="22"/>
          <w:lang w:val="en-GB"/>
        </w:rPr>
        <w:t xml:space="preserve">Although previous research has explored bereavement, PTSD and mental health inequalities separately, relatively little evidence has specifically examined PTSD following bereavement among ethnic minority women in the UK. Furthermore, there remains limited synthesis of how </w:t>
      </w:r>
      <w:r w:rsidRPr="005B7121">
        <w:rPr>
          <w:rFonts w:cstheme="minorHAnsi"/>
          <w:sz w:val="22"/>
          <w:szCs w:val="22"/>
          <w:lang w:val="en-GB"/>
        </w:rPr>
        <w:lastRenderedPageBreak/>
        <w:t>gender, ethnicity and wider social determinants interact to influence psychological distress and help-seeking following bereavement. This review therefore seeks to address this gap by mapping the available evidence and identifying implications for future health and social care practice.</w:t>
      </w:r>
    </w:p>
    <w:p w14:paraId="46EBA50A" w14:textId="76118CAC" w:rsidR="22018B77" w:rsidRPr="005B7121" w:rsidRDefault="22018B77" w:rsidP="005B7121">
      <w:pPr>
        <w:spacing w:line="360" w:lineRule="auto"/>
        <w:jc w:val="both"/>
        <w:rPr>
          <w:rFonts w:cstheme="minorHAnsi"/>
          <w:b/>
          <w:bCs/>
          <w:sz w:val="22"/>
          <w:szCs w:val="22"/>
        </w:rPr>
      </w:pPr>
    </w:p>
    <w:p w14:paraId="1E94C120" w14:textId="1B872CC8" w:rsidR="0047F7D9" w:rsidRPr="005B7121" w:rsidRDefault="0047F7D9" w:rsidP="005B7121">
      <w:pPr>
        <w:pStyle w:val="Heading2"/>
        <w:spacing w:before="0" w:after="0" w:line="360" w:lineRule="auto"/>
        <w:jc w:val="both"/>
        <w:rPr>
          <w:rFonts w:asciiTheme="minorHAnsi" w:eastAsiaTheme="minorEastAsia" w:hAnsiTheme="minorHAnsi" w:cstheme="minorHAnsi"/>
          <w:b/>
          <w:bCs/>
          <w:color w:val="000000" w:themeColor="text1"/>
          <w:sz w:val="22"/>
          <w:szCs w:val="22"/>
        </w:rPr>
      </w:pPr>
      <w:r w:rsidRPr="005B7121">
        <w:rPr>
          <w:rFonts w:asciiTheme="minorHAnsi" w:eastAsiaTheme="minorEastAsia" w:hAnsiTheme="minorHAnsi" w:cstheme="minorHAnsi"/>
          <w:b/>
          <w:bCs/>
          <w:color w:val="000000" w:themeColor="text1"/>
          <w:sz w:val="22"/>
          <w:szCs w:val="22"/>
        </w:rPr>
        <w:t>3. Methods</w:t>
      </w:r>
    </w:p>
    <w:p w14:paraId="7C677175" w14:textId="77777777" w:rsidR="005B7121" w:rsidRPr="005B7121" w:rsidRDefault="005B7121" w:rsidP="005B7121">
      <w:pPr>
        <w:spacing w:after="0" w:line="360" w:lineRule="auto"/>
        <w:jc w:val="both"/>
        <w:rPr>
          <w:rFonts w:cstheme="minorHAnsi"/>
          <w:b/>
          <w:bCs/>
          <w:color w:val="000000" w:themeColor="text1"/>
          <w:sz w:val="22"/>
          <w:szCs w:val="22"/>
          <w:lang w:val="en-GB"/>
        </w:rPr>
      </w:pPr>
      <w:r w:rsidRPr="005B7121">
        <w:rPr>
          <w:rFonts w:cstheme="minorHAnsi"/>
          <w:b/>
          <w:bCs/>
          <w:color w:val="000000" w:themeColor="text1"/>
          <w:sz w:val="22"/>
          <w:szCs w:val="22"/>
          <w:lang w:val="en-GB"/>
        </w:rPr>
        <w:t>3.1 Review Framework</w:t>
      </w:r>
    </w:p>
    <w:p w14:paraId="27787D35"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This scoping review was conducted using the five-stage methodological framework developed by Arksey and O'Malley (2005), which provides a systematic and transparent approach to mapping existing evidence and identifying gaps within the literature. The review also followed the guidance provided by the Joanna Briggs Institute (Peters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2020), which supports methodological rigour and consistency in the planning, conduct and reporting of scoping reviews. A scoping review methodology was considered appropriate because the aim of this study was to explore the breadth of existing evidence rather than evaluate the effectiveness of specific interventions.</w:t>
      </w:r>
    </w:p>
    <w:p w14:paraId="54681CB7" w14:textId="36FB54E6" w:rsidR="005B7121" w:rsidRPr="005B7121" w:rsidRDefault="005B7121" w:rsidP="005B7121">
      <w:pPr>
        <w:spacing w:after="0" w:line="360" w:lineRule="auto"/>
        <w:jc w:val="both"/>
        <w:rPr>
          <w:rFonts w:cstheme="minorHAnsi"/>
          <w:color w:val="000000" w:themeColor="text1"/>
          <w:sz w:val="22"/>
          <w:szCs w:val="22"/>
          <w:lang w:val="en-GB"/>
        </w:rPr>
      </w:pPr>
    </w:p>
    <w:p w14:paraId="392276BE" w14:textId="77777777" w:rsidR="005B7121" w:rsidRPr="005B7121" w:rsidRDefault="005B7121" w:rsidP="005B7121">
      <w:pPr>
        <w:spacing w:after="0" w:line="360" w:lineRule="auto"/>
        <w:jc w:val="both"/>
        <w:rPr>
          <w:rFonts w:cstheme="minorHAnsi"/>
          <w:b/>
          <w:bCs/>
          <w:color w:val="000000" w:themeColor="text1"/>
          <w:sz w:val="22"/>
          <w:szCs w:val="22"/>
          <w:lang w:val="en-GB"/>
        </w:rPr>
      </w:pPr>
      <w:r w:rsidRPr="005B7121">
        <w:rPr>
          <w:rFonts w:cstheme="minorHAnsi"/>
          <w:b/>
          <w:bCs/>
          <w:color w:val="000000" w:themeColor="text1"/>
          <w:sz w:val="22"/>
          <w:szCs w:val="22"/>
          <w:lang w:val="en-GB"/>
        </w:rPr>
        <w:t>3.2 Search Strategy</w:t>
      </w:r>
    </w:p>
    <w:p w14:paraId="7A321DD4"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A structured literature search was undertaken during June 2026 using the following electronic databases:</w:t>
      </w:r>
    </w:p>
    <w:p w14:paraId="6FAF40CE" w14:textId="77777777" w:rsidR="005B7121" w:rsidRPr="005B7121" w:rsidRDefault="005B7121" w:rsidP="005B7121">
      <w:pPr>
        <w:numPr>
          <w:ilvl w:val="0"/>
          <w:numId w:val="36"/>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UWTSD Library Search </w:t>
      </w:r>
    </w:p>
    <w:p w14:paraId="3156032B" w14:textId="77777777" w:rsidR="005B7121" w:rsidRPr="005B7121" w:rsidRDefault="005B7121" w:rsidP="005B7121">
      <w:pPr>
        <w:numPr>
          <w:ilvl w:val="0"/>
          <w:numId w:val="36"/>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PubMed </w:t>
      </w:r>
    </w:p>
    <w:p w14:paraId="4BC4447D" w14:textId="77777777" w:rsidR="005B7121" w:rsidRPr="005B7121" w:rsidRDefault="005B7121" w:rsidP="005B7121">
      <w:pPr>
        <w:numPr>
          <w:ilvl w:val="0"/>
          <w:numId w:val="36"/>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EBSCOhost </w:t>
      </w:r>
    </w:p>
    <w:p w14:paraId="43844E45" w14:textId="77777777" w:rsidR="005B7121" w:rsidRPr="005B7121" w:rsidRDefault="005B7121" w:rsidP="005B7121">
      <w:pPr>
        <w:numPr>
          <w:ilvl w:val="0"/>
          <w:numId w:val="36"/>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Sage Journals </w:t>
      </w:r>
    </w:p>
    <w:p w14:paraId="45BB8542" w14:textId="77777777" w:rsidR="005B7121" w:rsidRPr="005B7121" w:rsidRDefault="005B7121" w:rsidP="005B7121">
      <w:pPr>
        <w:numPr>
          <w:ilvl w:val="0"/>
          <w:numId w:val="36"/>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Google Scholar </w:t>
      </w:r>
    </w:p>
    <w:p w14:paraId="45F406CC"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The search strategy combined keywords and Boolean operators to identify relevant peer-reviewed literature relating to bereavement, PTSD, ethnicity and access to mental health support. The main search terms included:</w:t>
      </w:r>
    </w:p>
    <w:p w14:paraId="3DB5A770"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b/>
          <w:bCs/>
          <w:color w:val="000000" w:themeColor="text1"/>
          <w:sz w:val="22"/>
          <w:szCs w:val="22"/>
          <w:lang w:val="en-GB"/>
        </w:rPr>
        <w:t>PTSD, bereavement, grief, trauma, ethnic minority women, South Asian women, mental health, barriers, cultural competence, access to services and the United Kingdom.</w:t>
      </w:r>
    </w:p>
    <w:p w14:paraId="7CE539AB"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Boolean operators were used to broaden and refine the search strategy:</w:t>
      </w:r>
    </w:p>
    <w:p w14:paraId="00E247FE"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b/>
          <w:bCs/>
          <w:color w:val="000000" w:themeColor="text1"/>
          <w:sz w:val="22"/>
          <w:szCs w:val="22"/>
          <w:lang w:val="en-GB"/>
        </w:rPr>
        <w:t>("PTSD" OR "grief" OR "bereavement") AND ("ethnic minority" OR "South Asian") AND ("women") AND ("United Kingdom" OR "UK") AND ("mental health" OR "barriers" OR "access")</w:t>
      </w:r>
    </w:p>
    <w:p w14:paraId="03F079EC"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The following search limits were applied:</w:t>
      </w:r>
    </w:p>
    <w:p w14:paraId="3B821160" w14:textId="77777777" w:rsidR="005B7121" w:rsidRPr="005B7121" w:rsidRDefault="005B7121" w:rsidP="005B7121">
      <w:pPr>
        <w:numPr>
          <w:ilvl w:val="0"/>
          <w:numId w:val="37"/>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lastRenderedPageBreak/>
        <w:t xml:space="preserve">Publication date: 2005–2026 </w:t>
      </w:r>
    </w:p>
    <w:p w14:paraId="07E16F85" w14:textId="77777777" w:rsidR="005B7121" w:rsidRPr="005B7121" w:rsidRDefault="005B7121" w:rsidP="005B7121">
      <w:pPr>
        <w:numPr>
          <w:ilvl w:val="0"/>
          <w:numId w:val="37"/>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English language only </w:t>
      </w:r>
    </w:p>
    <w:p w14:paraId="6E7FFB29" w14:textId="77777777" w:rsidR="005B7121" w:rsidRPr="005B7121" w:rsidRDefault="005B7121" w:rsidP="005B7121">
      <w:pPr>
        <w:numPr>
          <w:ilvl w:val="0"/>
          <w:numId w:val="37"/>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Peer-reviewed primary or secondary research studies </w:t>
      </w:r>
    </w:p>
    <w:p w14:paraId="3ED3366D" w14:textId="77777777" w:rsidR="005B7121" w:rsidRPr="005B7121" w:rsidRDefault="005B7121" w:rsidP="005B7121">
      <w:pPr>
        <w:numPr>
          <w:ilvl w:val="0"/>
          <w:numId w:val="37"/>
        </w:num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Studies relevant to health and social care practice</w:t>
      </w:r>
    </w:p>
    <w:p w14:paraId="6C4E6CA3" w14:textId="56519B77" w:rsidR="22018B77" w:rsidRPr="005B7121" w:rsidRDefault="22018B77" w:rsidP="005B7121">
      <w:pPr>
        <w:spacing w:after="0" w:line="360" w:lineRule="auto"/>
        <w:jc w:val="both"/>
        <w:rPr>
          <w:rFonts w:cstheme="minorHAnsi"/>
          <w:color w:val="000000" w:themeColor="text1"/>
          <w:sz w:val="22"/>
          <w:szCs w:val="22"/>
        </w:rPr>
      </w:pPr>
    </w:p>
    <w:p w14:paraId="267D3E1D" w14:textId="6B513B9E" w:rsidR="0047F7D9" w:rsidRPr="005B7121" w:rsidRDefault="0047F7D9" w:rsidP="005B7121">
      <w:pPr>
        <w:pStyle w:val="Heading3"/>
        <w:spacing w:before="0" w:after="0" w:line="360" w:lineRule="auto"/>
        <w:jc w:val="both"/>
        <w:rPr>
          <w:rFonts w:eastAsiaTheme="minorEastAsia" w:cstheme="minorHAnsi"/>
          <w:b/>
          <w:bCs/>
          <w:color w:val="000000" w:themeColor="text1"/>
          <w:sz w:val="22"/>
          <w:szCs w:val="22"/>
        </w:rPr>
      </w:pPr>
      <w:r w:rsidRPr="005B7121">
        <w:rPr>
          <w:rFonts w:eastAsiaTheme="minorEastAsia" w:cstheme="minorHAnsi"/>
          <w:b/>
          <w:bCs/>
          <w:color w:val="000000" w:themeColor="text1"/>
          <w:sz w:val="22"/>
          <w:szCs w:val="22"/>
        </w:rPr>
        <w:t>3.3 Inclusion and Exclusion Criteria</w:t>
      </w:r>
    </w:p>
    <w:p w14:paraId="4F8D28A2" w14:textId="62F51E60" w:rsidR="0047F7D9" w:rsidRPr="005B7121" w:rsidRDefault="0047F7D9" w:rsidP="005B7121">
      <w:pPr>
        <w:spacing w:after="0" w:line="360" w:lineRule="auto"/>
        <w:jc w:val="both"/>
        <w:rPr>
          <w:rFonts w:cstheme="minorHAnsi"/>
          <w:b/>
          <w:bCs/>
          <w:color w:val="000000" w:themeColor="text1"/>
          <w:sz w:val="22"/>
          <w:szCs w:val="22"/>
        </w:rPr>
      </w:pPr>
      <w:r w:rsidRPr="005B7121">
        <w:rPr>
          <w:rFonts w:cstheme="minorHAnsi"/>
          <w:b/>
          <w:bCs/>
          <w:color w:val="000000" w:themeColor="text1"/>
          <w:sz w:val="22"/>
          <w:szCs w:val="22"/>
        </w:rPr>
        <w:t>Table</w:t>
      </w:r>
      <w:r w:rsidR="005B7121">
        <w:rPr>
          <w:rFonts w:cstheme="minorHAnsi"/>
          <w:b/>
          <w:bCs/>
          <w:color w:val="000000" w:themeColor="text1"/>
          <w:sz w:val="22"/>
          <w:szCs w:val="22"/>
        </w:rPr>
        <w:t xml:space="preserve"> 1</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3270"/>
        <w:gridCol w:w="6060"/>
      </w:tblGrid>
      <w:tr w:rsidR="22018B77" w:rsidRPr="005B7121" w14:paraId="530F3717" w14:textId="77777777" w:rsidTr="22018B77">
        <w:trPr>
          <w:trHeight w:val="300"/>
        </w:trPr>
        <w:tc>
          <w:tcPr>
            <w:tcW w:w="3279" w:type="dxa"/>
            <w:vAlign w:val="center"/>
          </w:tcPr>
          <w:p w14:paraId="016C2E28" w14:textId="6AFB012B" w:rsidR="22018B77" w:rsidRPr="005B7121" w:rsidRDefault="22018B77" w:rsidP="005B7121">
            <w:pPr>
              <w:spacing w:after="0" w:line="360" w:lineRule="auto"/>
              <w:jc w:val="both"/>
              <w:rPr>
                <w:rFonts w:cstheme="minorHAnsi"/>
                <w:b/>
                <w:bCs/>
                <w:color w:val="000000" w:themeColor="text1"/>
                <w:sz w:val="22"/>
                <w:szCs w:val="22"/>
              </w:rPr>
            </w:pPr>
            <w:r w:rsidRPr="005B7121">
              <w:rPr>
                <w:rFonts w:cstheme="minorHAnsi"/>
                <w:b/>
                <w:bCs/>
                <w:color w:val="000000" w:themeColor="text1"/>
                <w:sz w:val="22"/>
                <w:szCs w:val="22"/>
              </w:rPr>
              <w:t>Inclusion Criteria</w:t>
            </w:r>
          </w:p>
        </w:tc>
        <w:tc>
          <w:tcPr>
            <w:tcW w:w="6081" w:type="dxa"/>
            <w:vAlign w:val="center"/>
          </w:tcPr>
          <w:p w14:paraId="54D4DC67" w14:textId="329C178E" w:rsidR="22018B77" w:rsidRPr="005B7121" w:rsidRDefault="22018B77" w:rsidP="005B7121">
            <w:pPr>
              <w:spacing w:after="0" w:line="360" w:lineRule="auto"/>
              <w:jc w:val="both"/>
              <w:rPr>
                <w:rFonts w:cstheme="minorHAnsi"/>
                <w:b/>
                <w:bCs/>
                <w:color w:val="000000" w:themeColor="text1"/>
                <w:sz w:val="22"/>
                <w:szCs w:val="22"/>
              </w:rPr>
            </w:pPr>
            <w:r w:rsidRPr="005B7121">
              <w:rPr>
                <w:rFonts w:cstheme="minorHAnsi"/>
                <w:b/>
                <w:bCs/>
                <w:color w:val="000000" w:themeColor="text1"/>
                <w:sz w:val="22"/>
                <w:szCs w:val="22"/>
              </w:rPr>
              <w:t>Exclusion Criteria</w:t>
            </w:r>
          </w:p>
        </w:tc>
      </w:tr>
      <w:tr w:rsidR="22018B77" w:rsidRPr="005B7121" w14:paraId="57293B76" w14:textId="77777777" w:rsidTr="22018B77">
        <w:trPr>
          <w:trHeight w:val="300"/>
        </w:trPr>
        <w:tc>
          <w:tcPr>
            <w:tcW w:w="3279" w:type="dxa"/>
            <w:vAlign w:val="center"/>
          </w:tcPr>
          <w:p w14:paraId="54F0F549" w14:textId="1A49A518"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Peer-reviewed primary or secondary research studies</w:t>
            </w:r>
          </w:p>
        </w:tc>
        <w:tc>
          <w:tcPr>
            <w:tcW w:w="6081" w:type="dxa"/>
            <w:vAlign w:val="center"/>
          </w:tcPr>
          <w:p w14:paraId="01B73EEA" w14:textId="2694ACBF"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Non-peer-reviewed materials: policy papers, guidelines, editorials, conference proceedings, commentaries</w:t>
            </w:r>
          </w:p>
        </w:tc>
      </w:tr>
      <w:tr w:rsidR="22018B77" w:rsidRPr="005B7121" w14:paraId="5AF59575" w14:textId="77777777" w:rsidTr="22018B77">
        <w:trPr>
          <w:trHeight w:val="300"/>
        </w:trPr>
        <w:tc>
          <w:tcPr>
            <w:tcW w:w="3279" w:type="dxa"/>
            <w:vAlign w:val="center"/>
          </w:tcPr>
          <w:p w14:paraId="54307E1C" w14:textId="44254F76"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Published in English</w:t>
            </w:r>
          </w:p>
        </w:tc>
        <w:tc>
          <w:tcPr>
            <w:tcW w:w="6081" w:type="dxa"/>
            <w:vAlign w:val="center"/>
          </w:tcPr>
          <w:p w14:paraId="5BBCCDB9" w14:textId="50681EAC"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Articles not available in English</w:t>
            </w:r>
          </w:p>
        </w:tc>
      </w:tr>
      <w:tr w:rsidR="22018B77" w:rsidRPr="005B7121" w14:paraId="024C5F07" w14:textId="77777777" w:rsidTr="22018B77">
        <w:trPr>
          <w:trHeight w:val="300"/>
        </w:trPr>
        <w:tc>
          <w:tcPr>
            <w:tcW w:w="3279" w:type="dxa"/>
            <w:vAlign w:val="center"/>
          </w:tcPr>
          <w:p w14:paraId="5635C02C" w14:textId="0E9773D1"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Published between 2005 and 2026</w:t>
            </w:r>
          </w:p>
        </w:tc>
        <w:tc>
          <w:tcPr>
            <w:tcW w:w="6081" w:type="dxa"/>
            <w:vAlign w:val="center"/>
          </w:tcPr>
          <w:p w14:paraId="66FFF71D" w14:textId="1896BD7B"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Studies published before 2005</w:t>
            </w:r>
          </w:p>
        </w:tc>
      </w:tr>
      <w:tr w:rsidR="22018B77" w:rsidRPr="005B7121" w14:paraId="20D647F5" w14:textId="77777777" w:rsidTr="22018B77">
        <w:trPr>
          <w:trHeight w:val="300"/>
        </w:trPr>
        <w:tc>
          <w:tcPr>
            <w:tcW w:w="3279" w:type="dxa"/>
            <w:vAlign w:val="center"/>
          </w:tcPr>
          <w:p w14:paraId="3AB27C05" w14:textId="6A977FB0"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Focus on PTSD, bereavement, or grief-related distress</w:t>
            </w:r>
          </w:p>
        </w:tc>
        <w:tc>
          <w:tcPr>
            <w:tcW w:w="6081" w:type="dxa"/>
            <w:vAlign w:val="center"/>
          </w:tcPr>
          <w:p w14:paraId="72705C42" w14:textId="1C3DD07B"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Studies unrelated to loss or trauma</w:t>
            </w:r>
          </w:p>
        </w:tc>
      </w:tr>
      <w:tr w:rsidR="22018B77" w:rsidRPr="005B7121" w14:paraId="364791D0" w14:textId="77777777" w:rsidTr="22018B77">
        <w:trPr>
          <w:trHeight w:val="300"/>
        </w:trPr>
        <w:tc>
          <w:tcPr>
            <w:tcW w:w="3279" w:type="dxa"/>
            <w:vAlign w:val="center"/>
          </w:tcPr>
          <w:p w14:paraId="6D4F4A46" w14:textId="6746E6B0"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Addresses ethnicity, culture, or gender dimensions</w:t>
            </w:r>
          </w:p>
        </w:tc>
        <w:tc>
          <w:tcPr>
            <w:tcW w:w="6081" w:type="dxa"/>
            <w:vAlign w:val="center"/>
          </w:tcPr>
          <w:p w14:paraId="0FDB58BC" w14:textId="0449C355"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No relevance to ethnic minority populations or women</w:t>
            </w:r>
          </w:p>
        </w:tc>
      </w:tr>
      <w:tr w:rsidR="22018B77" w:rsidRPr="005B7121" w14:paraId="4FF50173" w14:textId="77777777" w:rsidTr="22018B77">
        <w:trPr>
          <w:trHeight w:val="300"/>
        </w:trPr>
        <w:tc>
          <w:tcPr>
            <w:tcW w:w="3279" w:type="dxa"/>
            <w:vAlign w:val="center"/>
          </w:tcPr>
          <w:p w14:paraId="5AD29FF0" w14:textId="31937C3C"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Conducted in the UK or directly applicable to UK practice</w:t>
            </w:r>
          </w:p>
        </w:tc>
        <w:tc>
          <w:tcPr>
            <w:tcW w:w="6081" w:type="dxa"/>
            <w:vAlign w:val="center"/>
          </w:tcPr>
          <w:p w14:paraId="21FE6F65" w14:textId="7C99798B"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Studies set entirely outside the UK without transferable findings</w:t>
            </w:r>
          </w:p>
        </w:tc>
      </w:tr>
      <w:tr w:rsidR="22018B77" w:rsidRPr="005B7121" w14:paraId="5BA2C57C" w14:textId="77777777" w:rsidTr="22018B77">
        <w:trPr>
          <w:trHeight w:val="300"/>
        </w:trPr>
        <w:tc>
          <w:tcPr>
            <w:tcW w:w="3279" w:type="dxa"/>
            <w:vAlign w:val="center"/>
          </w:tcPr>
          <w:p w14:paraId="3D395A7D" w14:textId="42BFEF16"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Relevant to health and social care service provision</w:t>
            </w:r>
          </w:p>
        </w:tc>
        <w:tc>
          <w:tcPr>
            <w:tcW w:w="6081" w:type="dxa"/>
            <w:vAlign w:val="center"/>
          </w:tcPr>
          <w:p w14:paraId="25777FF9" w14:textId="37AEC52A" w:rsidR="22018B77" w:rsidRPr="005B7121" w:rsidRDefault="22018B77"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Studies focused only on biological or pharmacological outcomes without social context</w:t>
            </w:r>
          </w:p>
        </w:tc>
      </w:tr>
    </w:tbl>
    <w:p w14:paraId="1BBC3800" w14:textId="6740C6E8" w:rsidR="22018B77" w:rsidRDefault="22018B77" w:rsidP="005B7121">
      <w:pPr>
        <w:pStyle w:val="Heading3"/>
        <w:spacing w:before="0" w:after="0" w:line="360" w:lineRule="auto"/>
        <w:rPr>
          <w:rFonts w:eastAsiaTheme="minorEastAsia" w:cstheme="minorHAnsi"/>
          <w:color w:val="000000" w:themeColor="text1"/>
          <w:sz w:val="22"/>
          <w:szCs w:val="22"/>
        </w:rPr>
      </w:pPr>
    </w:p>
    <w:p w14:paraId="63F948E4" w14:textId="77777777" w:rsidR="005B7121" w:rsidRPr="005B7121" w:rsidRDefault="005B7121" w:rsidP="005B7121"/>
    <w:p w14:paraId="4EE7F58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3.4 Study Selection</w:t>
      </w:r>
    </w:p>
    <w:p w14:paraId="33C3BEFF" w14:textId="77777777" w:rsid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The database search identified </w:t>
      </w:r>
      <w:r w:rsidRPr="00211C16">
        <w:rPr>
          <w:rFonts w:cstheme="minorHAnsi"/>
          <w:color w:val="000000" w:themeColor="text1"/>
          <w:sz w:val="22"/>
          <w:szCs w:val="22"/>
          <w:lang w:val="en-GB"/>
        </w:rPr>
        <w:t>118</w:t>
      </w:r>
      <w:r w:rsidRPr="005B7121">
        <w:rPr>
          <w:rFonts w:cstheme="minorHAnsi"/>
          <w:color w:val="000000" w:themeColor="text1"/>
          <w:sz w:val="22"/>
          <w:szCs w:val="22"/>
          <w:lang w:val="en-GB"/>
        </w:rPr>
        <w:t xml:space="preserve"> records. Following the removal of duplicate records,</w:t>
      </w:r>
      <w:r w:rsidRPr="00211C16">
        <w:rPr>
          <w:rFonts w:cstheme="minorHAnsi"/>
          <w:color w:val="000000" w:themeColor="text1"/>
          <w:sz w:val="22"/>
          <w:szCs w:val="22"/>
          <w:lang w:val="en-GB"/>
        </w:rPr>
        <w:t xml:space="preserve"> 97</w:t>
      </w:r>
      <w:r w:rsidRPr="005B7121">
        <w:rPr>
          <w:rFonts w:cstheme="minorHAnsi"/>
          <w:color w:val="000000" w:themeColor="text1"/>
          <w:sz w:val="22"/>
          <w:szCs w:val="22"/>
          <w:lang w:val="en-GB"/>
        </w:rPr>
        <w:t xml:space="preserve"> studies remained for title and abstract screening. Application of the predefined inclusion and exclusion criteria resulted in</w:t>
      </w:r>
      <w:r w:rsidRPr="00211C16">
        <w:rPr>
          <w:rFonts w:cstheme="minorHAnsi"/>
          <w:color w:val="000000" w:themeColor="text1"/>
          <w:sz w:val="22"/>
          <w:szCs w:val="22"/>
          <w:lang w:val="en-GB"/>
        </w:rPr>
        <w:t xml:space="preserve"> 21</w:t>
      </w:r>
      <w:r w:rsidRPr="005B7121">
        <w:rPr>
          <w:rFonts w:cstheme="minorHAnsi"/>
          <w:color w:val="000000" w:themeColor="text1"/>
          <w:sz w:val="22"/>
          <w:szCs w:val="22"/>
          <w:lang w:val="en-GB"/>
        </w:rPr>
        <w:t xml:space="preserve"> potentially relevant studies progressing to full-text review. After full-text assessment, </w:t>
      </w:r>
      <w:r w:rsidRPr="00211C16">
        <w:rPr>
          <w:rFonts w:cstheme="minorHAnsi"/>
          <w:color w:val="000000" w:themeColor="text1"/>
          <w:sz w:val="22"/>
          <w:szCs w:val="22"/>
          <w:lang w:val="en-GB"/>
        </w:rPr>
        <w:t xml:space="preserve">five </w:t>
      </w:r>
      <w:r w:rsidRPr="005B7121">
        <w:rPr>
          <w:rFonts w:cstheme="minorHAnsi"/>
          <w:color w:val="000000" w:themeColor="text1"/>
          <w:sz w:val="22"/>
          <w:szCs w:val="22"/>
          <w:lang w:val="en-GB"/>
        </w:rPr>
        <w:t>peer-reviewed studies met the eligibility criteria and were included within the final scoping review.</w:t>
      </w:r>
    </w:p>
    <w:p w14:paraId="0DC5B32B" w14:textId="77777777" w:rsidR="005B7121" w:rsidRDefault="005B7121" w:rsidP="005B7121">
      <w:pPr>
        <w:spacing w:after="0" w:line="360" w:lineRule="auto"/>
        <w:rPr>
          <w:rFonts w:cstheme="minorHAnsi"/>
          <w:color w:val="000000" w:themeColor="text1"/>
          <w:sz w:val="22"/>
          <w:szCs w:val="22"/>
          <w:lang w:val="en-GB"/>
        </w:rPr>
      </w:pPr>
    </w:p>
    <w:p w14:paraId="1C6A7B2B" w14:textId="77777777" w:rsidR="005B7121" w:rsidRPr="005B7121" w:rsidRDefault="005B7121" w:rsidP="005B7121">
      <w:pPr>
        <w:spacing w:after="0" w:line="360" w:lineRule="auto"/>
        <w:rPr>
          <w:rFonts w:cstheme="minorHAnsi"/>
          <w:color w:val="000000" w:themeColor="text1"/>
          <w:sz w:val="22"/>
          <w:szCs w:val="22"/>
          <w:lang w:val="en-GB"/>
        </w:rPr>
      </w:pPr>
    </w:p>
    <w:p w14:paraId="77830CE2" w14:textId="6180D004" w:rsidR="005B7121" w:rsidRDefault="005B7121" w:rsidP="005B7121">
      <w:pPr>
        <w:spacing w:after="0" w:line="360" w:lineRule="auto"/>
        <w:rPr>
          <w:rFonts w:cstheme="minorHAnsi"/>
          <w:color w:val="000000" w:themeColor="text1"/>
          <w:sz w:val="22"/>
          <w:szCs w:val="22"/>
          <w:lang w:val="en-GB"/>
        </w:rPr>
      </w:pPr>
    </w:p>
    <w:p w14:paraId="67B86779" w14:textId="77777777" w:rsidR="00A10DF8" w:rsidRPr="005B7121" w:rsidRDefault="00A10DF8" w:rsidP="005B7121">
      <w:pPr>
        <w:spacing w:after="0" w:line="360" w:lineRule="auto"/>
        <w:rPr>
          <w:rFonts w:cstheme="minorHAnsi"/>
          <w:color w:val="000000" w:themeColor="text1"/>
          <w:sz w:val="22"/>
          <w:szCs w:val="22"/>
          <w:lang w:val="en-GB"/>
        </w:rPr>
      </w:pPr>
    </w:p>
    <w:p w14:paraId="7992288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lastRenderedPageBreak/>
        <w:t>3.5 Data Analysis</w:t>
      </w:r>
    </w:p>
    <w:p w14:paraId="772A52CE"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Data were extracted using a standardised data extraction form to ensure consistency across the included studies. Information recorded included the author, publication year, study design, participant characteristics, study setting, research aims and key findings. The findings were analysed using thematic analysis as described by Aveyard (2019). This involved identifying recurring concepts across the included studies, grouping similar findings into codes and developing broader themes that addressed the review question.</w:t>
      </w:r>
    </w:p>
    <w:p w14:paraId="2DB7A1D9" w14:textId="25B91BDF" w:rsidR="005B7121" w:rsidRPr="005B7121" w:rsidRDefault="005B7121" w:rsidP="005B7121">
      <w:pPr>
        <w:spacing w:after="0" w:line="360" w:lineRule="auto"/>
        <w:rPr>
          <w:rFonts w:cstheme="minorHAnsi"/>
          <w:color w:val="000000" w:themeColor="text1"/>
          <w:sz w:val="22"/>
          <w:szCs w:val="22"/>
          <w:lang w:val="en-GB"/>
        </w:rPr>
      </w:pPr>
    </w:p>
    <w:p w14:paraId="78C8C2C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3.6 Ethical Considerations</w:t>
      </w:r>
    </w:p>
    <w:p w14:paraId="48E5D218"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As this study involved a review of previously published literature, ethical approval was not required because no primary data were collected from human participants. Nevertheless, ethical principles were maintained throughout the review by:</w:t>
      </w:r>
    </w:p>
    <w:p w14:paraId="33B9AF5F" w14:textId="77777777" w:rsidR="005B7121" w:rsidRPr="005B7121" w:rsidRDefault="005B7121" w:rsidP="005B7121">
      <w:pPr>
        <w:numPr>
          <w:ilvl w:val="0"/>
          <w:numId w:val="38"/>
        </w:num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including only publicly available peer-reviewed research; </w:t>
      </w:r>
    </w:p>
    <w:p w14:paraId="7589A261" w14:textId="77777777" w:rsidR="005B7121" w:rsidRPr="005B7121" w:rsidRDefault="005B7121" w:rsidP="005B7121">
      <w:pPr>
        <w:numPr>
          <w:ilvl w:val="0"/>
          <w:numId w:val="38"/>
        </w:num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accurately representing the findings of the included studies; </w:t>
      </w:r>
    </w:p>
    <w:p w14:paraId="3C275F65" w14:textId="77777777" w:rsidR="005B7121" w:rsidRPr="005B7121" w:rsidRDefault="005B7121" w:rsidP="005B7121">
      <w:pPr>
        <w:numPr>
          <w:ilvl w:val="0"/>
          <w:numId w:val="38"/>
        </w:num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acknowledging all sources through appropriate Harvard referencing; </w:t>
      </w:r>
    </w:p>
    <w:p w14:paraId="4D837EC8" w14:textId="77777777" w:rsidR="005B7121" w:rsidRPr="005B7121" w:rsidRDefault="005B7121" w:rsidP="005B7121">
      <w:pPr>
        <w:numPr>
          <w:ilvl w:val="0"/>
          <w:numId w:val="38"/>
        </w:num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avoiding plagiarism through original academic writing and correct citation of published evidence; and </w:t>
      </w:r>
    </w:p>
    <w:p w14:paraId="48A3975F" w14:textId="77777777" w:rsidR="005B7121" w:rsidRPr="005B7121" w:rsidRDefault="005B7121" w:rsidP="005B7121">
      <w:pPr>
        <w:numPr>
          <w:ilvl w:val="0"/>
          <w:numId w:val="38"/>
        </w:num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adhering to the University's guidance on academic integrity and research ethics. </w:t>
      </w:r>
    </w:p>
    <w:p w14:paraId="295AD104" w14:textId="77777777" w:rsidR="005B7121" w:rsidRPr="005B7121" w:rsidRDefault="005B7121" w:rsidP="005B7121">
      <w:pPr>
        <w:spacing w:after="0" w:line="360" w:lineRule="auto"/>
        <w:rPr>
          <w:rFonts w:cstheme="minorHAnsi"/>
          <w:b/>
          <w:bCs/>
          <w:color w:val="000000" w:themeColor="text1"/>
          <w:sz w:val="22"/>
          <w:szCs w:val="22"/>
        </w:rPr>
      </w:pPr>
    </w:p>
    <w:p w14:paraId="6B1A64E0"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4. Results</w:t>
      </w:r>
    </w:p>
    <w:p w14:paraId="6E9CD28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4.1 Overview of Included Studies</w:t>
      </w:r>
    </w:p>
    <w:p w14:paraId="1146115D" w14:textId="42131882"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A total of 118 records were identified through database searching. Following the removal of duplicate records, 97 studies remained for title and abstract screening. Application of the predefined inclusion and exclusion criteria resulted in 21 potentially relevant articles progressing to full-text review. Following full-text assessment, five peer-reviewed studies met the eligibility criteria and were included in the final scoping review. The included studies comprised quantitative, qualitative and systematic review designs, providing evidence relating to bereavement-related psychological distress, cultural influences and barriers to accessing mental health support among ethnic minority communities. The characteristics of the included studies are presented in Table </w:t>
      </w:r>
      <w:r>
        <w:rPr>
          <w:rFonts w:cstheme="minorHAnsi"/>
          <w:color w:val="000000" w:themeColor="text1"/>
          <w:sz w:val="22"/>
          <w:szCs w:val="22"/>
          <w:lang w:val="en-GB"/>
        </w:rPr>
        <w:t>2.</w:t>
      </w:r>
    </w:p>
    <w:p w14:paraId="5A131DC8" w14:textId="77777777" w:rsidR="005B7121" w:rsidRPr="005B7121" w:rsidRDefault="005B7121" w:rsidP="005B7121">
      <w:pPr>
        <w:spacing w:after="0" w:line="360" w:lineRule="auto"/>
        <w:rPr>
          <w:rFonts w:cstheme="minorHAnsi"/>
          <w:b/>
          <w:bCs/>
          <w:color w:val="000000" w:themeColor="text1"/>
          <w:sz w:val="22"/>
          <w:szCs w:val="22"/>
          <w:lang w:val="en-GB"/>
        </w:rPr>
      </w:pPr>
    </w:p>
    <w:p w14:paraId="05D70ECF" w14:textId="77777777" w:rsidR="005B7121" w:rsidRDefault="005B7121" w:rsidP="005B7121">
      <w:pPr>
        <w:spacing w:after="0" w:line="360" w:lineRule="auto"/>
        <w:rPr>
          <w:rFonts w:cstheme="minorHAnsi"/>
          <w:b/>
          <w:bCs/>
          <w:color w:val="000000" w:themeColor="text1"/>
          <w:sz w:val="22"/>
          <w:szCs w:val="22"/>
        </w:rPr>
      </w:pPr>
    </w:p>
    <w:p w14:paraId="226D2A82" w14:textId="77777777" w:rsidR="005B7121" w:rsidRDefault="005B7121" w:rsidP="005B7121">
      <w:pPr>
        <w:spacing w:after="0" w:line="360" w:lineRule="auto"/>
        <w:rPr>
          <w:rFonts w:cstheme="minorHAnsi"/>
          <w:b/>
          <w:bCs/>
          <w:color w:val="000000" w:themeColor="text1"/>
          <w:sz w:val="22"/>
          <w:szCs w:val="22"/>
        </w:rPr>
      </w:pPr>
    </w:p>
    <w:p w14:paraId="7C1FFB67" w14:textId="77777777" w:rsidR="005B7121" w:rsidRDefault="005B7121" w:rsidP="005B7121">
      <w:pPr>
        <w:spacing w:after="0" w:line="360" w:lineRule="auto"/>
        <w:rPr>
          <w:rFonts w:cstheme="minorHAnsi"/>
          <w:b/>
          <w:bCs/>
          <w:color w:val="000000" w:themeColor="text1"/>
          <w:sz w:val="22"/>
          <w:szCs w:val="22"/>
        </w:rPr>
      </w:pPr>
    </w:p>
    <w:p w14:paraId="039172BA" w14:textId="77777777" w:rsidR="005B7121" w:rsidRDefault="005B7121" w:rsidP="005B7121">
      <w:pPr>
        <w:spacing w:after="0" w:line="360" w:lineRule="auto"/>
        <w:rPr>
          <w:rFonts w:cstheme="minorHAnsi"/>
          <w:b/>
          <w:bCs/>
          <w:color w:val="000000" w:themeColor="text1"/>
          <w:sz w:val="22"/>
          <w:szCs w:val="22"/>
        </w:rPr>
      </w:pPr>
    </w:p>
    <w:p w14:paraId="13EB7DD7" w14:textId="77777777" w:rsidR="00A10DF8" w:rsidRDefault="00A10DF8" w:rsidP="005B7121">
      <w:pPr>
        <w:spacing w:after="0" w:line="360" w:lineRule="auto"/>
        <w:rPr>
          <w:rFonts w:cstheme="minorHAnsi"/>
          <w:b/>
          <w:bCs/>
          <w:color w:val="000000" w:themeColor="text1"/>
          <w:sz w:val="22"/>
          <w:szCs w:val="22"/>
        </w:rPr>
      </w:pPr>
    </w:p>
    <w:p w14:paraId="548F705E" w14:textId="57AC2EEF" w:rsidR="005B7121" w:rsidRPr="005B7121" w:rsidRDefault="005B7121" w:rsidP="005B7121">
      <w:pPr>
        <w:spacing w:after="0" w:line="360" w:lineRule="auto"/>
        <w:rPr>
          <w:rFonts w:cstheme="minorHAnsi"/>
          <w:b/>
          <w:bCs/>
          <w:color w:val="000000" w:themeColor="text1"/>
        </w:rPr>
      </w:pPr>
      <w:r w:rsidRPr="005B7121">
        <w:rPr>
          <w:rFonts w:cstheme="minorHAnsi"/>
          <w:b/>
          <w:bCs/>
          <w:color w:val="000000" w:themeColor="text1"/>
        </w:rPr>
        <w:t>Table 2</w:t>
      </w:r>
    </w:p>
    <w:tbl>
      <w:tblPr>
        <w:tblStyle w:val="TableGrid"/>
        <w:tblW w:w="10207" w:type="dxa"/>
        <w:tblInd w:w="-431" w:type="dxa"/>
        <w:tblLook w:val="04A0" w:firstRow="1" w:lastRow="0" w:firstColumn="1" w:lastColumn="0" w:noHBand="0" w:noVBand="1"/>
      </w:tblPr>
      <w:tblGrid>
        <w:gridCol w:w="988"/>
        <w:gridCol w:w="1206"/>
        <w:gridCol w:w="1493"/>
        <w:gridCol w:w="1559"/>
        <w:gridCol w:w="1559"/>
        <w:gridCol w:w="3402"/>
      </w:tblGrid>
      <w:tr w:rsidR="005B7121" w:rsidRPr="005B7121" w14:paraId="0E251987" w14:textId="77777777" w:rsidTr="005B7121">
        <w:trPr>
          <w:trHeight w:val="898"/>
        </w:trPr>
        <w:tc>
          <w:tcPr>
            <w:tcW w:w="988" w:type="dxa"/>
            <w:hideMark/>
          </w:tcPr>
          <w:p w14:paraId="0E1DD393"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Study ID</w:t>
            </w:r>
          </w:p>
        </w:tc>
        <w:tc>
          <w:tcPr>
            <w:tcW w:w="1206" w:type="dxa"/>
            <w:hideMark/>
          </w:tcPr>
          <w:p w14:paraId="294A6DB8"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Author(s) &amp; Year</w:t>
            </w:r>
          </w:p>
        </w:tc>
        <w:tc>
          <w:tcPr>
            <w:tcW w:w="1493" w:type="dxa"/>
            <w:hideMark/>
          </w:tcPr>
          <w:p w14:paraId="275FF1FA"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Study Design</w:t>
            </w:r>
          </w:p>
        </w:tc>
        <w:tc>
          <w:tcPr>
            <w:tcW w:w="1559" w:type="dxa"/>
            <w:hideMark/>
          </w:tcPr>
          <w:p w14:paraId="26D2DE43"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Setting &amp; Sample</w:t>
            </w:r>
          </w:p>
        </w:tc>
        <w:tc>
          <w:tcPr>
            <w:tcW w:w="1559" w:type="dxa"/>
            <w:hideMark/>
          </w:tcPr>
          <w:p w14:paraId="02A56D09" w14:textId="77777777" w:rsidR="005B7121" w:rsidRPr="005B7121" w:rsidRDefault="005B7121" w:rsidP="005B7121">
            <w:pPr>
              <w:spacing w:line="360" w:lineRule="auto"/>
              <w:rPr>
                <w:rFonts w:cstheme="minorHAnsi"/>
                <w:b/>
                <w:bCs/>
                <w:color w:val="000000" w:themeColor="text1"/>
                <w:sz w:val="22"/>
                <w:szCs w:val="22"/>
                <w:lang w:val="en-GB"/>
              </w:rPr>
            </w:pPr>
            <w:proofErr w:type="gramStart"/>
            <w:r w:rsidRPr="005B7121">
              <w:rPr>
                <w:rFonts w:cstheme="minorHAnsi"/>
                <w:b/>
                <w:bCs/>
                <w:color w:val="000000" w:themeColor="text1"/>
                <w:sz w:val="22"/>
                <w:szCs w:val="22"/>
                <w:lang w:val="en-GB"/>
              </w:rPr>
              <w:t>Main Focus</w:t>
            </w:r>
            <w:proofErr w:type="gramEnd"/>
          </w:p>
        </w:tc>
        <w:tc>
          <w:tcPr>
            <w:tcW w:w="3402" w:type="dxa"/>
            <w:hideMark/>
          </w:tcPr>
          <w:p w14:paraId="1F54AAB1"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Key Findings</w:t>
            </w:r>
          </w:p>
        </w:tc>
      </w:tr>
      <w:tr w:rsidR="005B7121" w:rsidRPr="005B7121" w14:paraId="6ECDD40E" w14:textId="77777777" w:rsidTr="005B7121">
        <w:tc>
          <w:tcPr>
            <w:tcW w:w="988" w:type="dxa"/>
            <w:hideMark/>
          </w:tcPr>
          <w:p w14:paraId="405116A0"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1</w:t>
            </w:r>
          </w:p>
        </w:tc>
        <w:tc>
          <w:tcPr>
            <w:tcW w:w="1206" w:type="dxa"/>
            <w:hideMark/>
          </w:tcPr>
          <w:p w14:paraId="01DDD604"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Koffman et al. (2005)</w:t>
            </w:r>
          </w:p>
        </w:tc>
        <w:tc>
          <w:tcPr>
            <w:tcW w:w="1493" w:type="dxa"/>
            <w:hideMark/>
          </w:tcPr>
          <w:p w14:paraId="3667FB6B"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Quantitative cohort study</w:t>
            </w:r>
          </w:p>
        </w:tc>
        <w:tc>
          <w:tcPr>
            <w:tcW w:w="1559" w:type="dxa"/>
            <w:hideMark/>
          </w:tcPr>
          <w:p w14:paraId="4E2518E8"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London, UK; Black Caribbean and White British bereaved adults</w:t>
            </w:r>
          </w:p>
        </w:tc>
        <w:tc>
          <w:tcPr>
            <w:tcW w:w="1559" w:type="dxa"/>
            <w:hideMark/>
          </w:tcPr>
          <w:p w14:paraId="00394F62"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Bereavement outcomes across ethnic groups</w:t>
            </w:r>
          </w:p>
        </w:tc>
        <w:tc>
          <w:tcPr>
            <w:tcW w:w="3402" w:type="dxa"/>
            <w:hideMark/>
          </w:tcPr>
          <w:p w14:paraId="31A70093"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Black Caribbean participants reported higher levels of anxiety and depression despite similar grief intensity. Social disadvantage and limited culturally appropriate support influenced bereavement experiences.</w:t>
            </w:r>
          </w:p>
        </w:tc>
      </w:tr>
      <w:tr w:rsidR="005B7121" w:rsidRPr="005B7121" w14:paraId="4BEB8A7E" w14:textId="77777777" w:rsidTr="005B7121">
        <w:tc>
          <w:tcPr>
            <w:tcW w:w="988" w:type="dxa"/>
            <w:hideMark/>
          </w:tcPr>
          <w:p w14:paraId="694CFE57"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2</w:t>
            </w:r>
          </w:p>
        </w:tc>
        <w:tc>
          <w:tcPr>
            <w:tcW w:w="1206" w:type="dxa"/>
            <w:hideMark/>
          </w:tcPr>
          <w:p w14:paraId="49C6471E"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Mayland et al. (2021)</w:t>
            </w:r>
          </w:p>
        </w:tc>
        <w:tc>
          <w:tcPr>
            <w:tcW w:w="1493" w:type="dxa"/>
            <w:hideMark/>
          </w:tcPr>
          <w:p w14:paraId="56A318DF"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Systematic review</w:t>
            </w:r>
          </w:p>
        </w:tc>
        <w:tc>
          <w:tcPr>
            <w:tcW w:w="1559" w:type="dxa"/>
            <w:hideMark/>
          </w:tcPr>
          <w:p w14:paraId="49FE0E15"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32 studies involving ethnic minority communities</w:t>
            </w:r>
          </w:p>
        </w:tc>
        <w:tc>
          <w:tcPr>
            <w:tcW w:w="1559" w:type="dxa"/>
            <w:hideMark/>
          </w:tcPr>
          <w:p w14:paraId="326F2B20"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Access to and quality of bereavement care</w:t>
            </w:r>
          </w:p>
        </w:tc>
        <w:tc>
          <w:tcPr>
            <w:tcW w:w="3402" w:type="dxa"/>
            <w:hideMark/>
          </w:tcPr>
          <w:p w14:paraId="6DD628E3"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Bereavement services were underused because of stigma, language barriers, limited awareness of services and lack of culturally appropriate care.</w:t>
            </w:r>
          </w:p>
        </w:tc>
      </w:tr>
      <w:tr w:rsidR="005B7121" w:rsidRPr="005B7121" w14:paraId="728E65F9" w14:textId="77777777" w:rsidTr="005B7121">
        <w:tc>
          <w:tcPr>
            <w:tcW w:w="988" w:type="dxa"/>
            <w:hideMark/>
          </w:tcPr>
          <w:p w14:paraId="262CF1B2"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3</w:t>
            </w:r>
          </w:p>
        </w:tc>
        <w:tc>
          <w:tcPr>
            <w:tcW w:w="1206" w:type="dxa"/>
            <w:hideMark/>
          </w:tcPr>
          <w:p w14:paraId="2540FF0D"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Garcia et al. (2020)</w:t>
            </w:r>
          </w:p>
        </w:tc>
        <w:tc>
          <w:tcPr>
            <w:tcW w:w="1493" w:type="dxa"/>
            <w:hideMark/>
          </w:tcPr>
          <w:p w14:paraId="498550D7"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Qualitative study</w:t>
            </w:r>
          </w:p>
        </w:tc>
        <w:tc>
          <w:tcPr>
            <w:tcW w:w="1559" w:type="dxa"/>
            <w:hideMark/>
          </w:tcPr>
          <w:p w14:paraId="1A7B2E03"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Luton, UK; Pakistani, Bangladeshi and White British mothers following stillbirth</w:t>
            </w:r>
          </w:p>
        </w:tc>
        <w:tc>
          <w:tcPr>
            <w:tcW w:w="1559" w:type="dxa"/>
            <w:hideMark/>
          </w:tcPr>
          <w:p w14:paraId="02A0DDC5"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Bereavement experiences and support following stillbirth</w:t>
            </w:r>
          </w:p>
        </w:tc>
        <w:tc>
          <w:tcPr>
            <w:tcW w:w="3402" w:type="dxa"/>
            <w:hideMark/>
          </w:tcPr>
          <w:p w14:paraId="70687647"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Bereavement experiences were influenced by cultural beliefs, family expectations and communication with healthcare professionals. Participants highlighted the need for culturally sensitive bereavement care.</w:t>
            </w:r>
          </w:p>
        </w:tc>
      </w:tr>
      <w:tr w:rsidR="005B7121" w:rsidRPr="005B7121" w14:paraId="37E7034D" w14:textId="77777777" w:rsidTr="005B7121">
        <w:tc>
          <w:tcPr>
            <w:tcW w:w="988" w:type="dxa"/>
            <w:hideMark/>
          </w:tcPr>
          <w:p w14:paraId="5BEAECAE"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4</w:t>
            </w:r>
          </w:p>
        </w:tc>
        <w:tc>
          <w:tcPr>
            <w:tcW w:w="1206" w:type="dxa"/>
            <w:hideMark/>
          </w:tcPr>
          <w:p w14:paraId="5E86A65A"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Morina et al. (2010)</w:t>
            </w:r>
          </w:p>
        </w:tc>
        <w:tc>
          <w:tcPr>
            <w:tcW w:w="1493" w:type="dxa"/>
            <w:hideMark/>
          </w:tcPr>
          <w:p w14:paraId="6EA8AE0C"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Cross-sectional study</w:t>
            </w:r>
          </w:p>
        </w:tc>
        <w:tc>
          <w:tcPr>
            <w:tcW w:w="1559" w:type="dxa"/>
            <w:hideMark/>
          </w:tcPr>
          <w:p w14:paraId="5829FD04"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Bereaved adults</w:t>
            </w:r>
          </w:p>
        </w:tc>
        <w:tc>
          <w:tcPr>
            <w:tcW w:w="1559" w:type="dxa"/>
            <w:hideMark/>
          </w:tcPr>
          <w:p w14:paraId="5DDC69A1"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Relationship between prolonged grief, PTSD and depression</w:t>
            </w:r>
          </w:p>
        </w:tc>
        <w:tc>
          <w:tcPr>
            <w:tcW w:w="3402" w:type="dxa"/>
            <w:hideMark/>
          </w:tcPr>
          <w:p w14:paraId="6BCD23E5"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Bereaved individuals commonly experienced overlapping symptoms of prolonged grief, PTSD and depression, demonstrating the psychological impact of bereavement.</w:t>
            </w:r>
          </w:p>
        </w:tc>
      </w:tr>
      <w:tr w:rsidR="005B7121" w:rsidRPr="005B7121" w14:paraId="25E5DA3A" w14:textId="77777777" w:rsidTr="005B7121">
        <w:tc>
          <w:tcPr>
            <w:tcW w:w="988" w:type="dxa"/>
            <w:hideMark/>
          </w:tcPr>
          <w:p w14:paraId="3476653C"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5</w:t>
            </w:r>
          </w:p>
        </w:tc>
        <w:tc>
          <w:tcPr>
            <w:tcW w:w="1206" w:type="dxa"/>
            <w:hideMark/>
          </w:tcPr>
          <w:p w14:paraId="3D16747B"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Roberts et al. (2011)</w:t>
            </w:r>
          </w:p>
        </w:tc>
        <w:tc>
          <w:tcPr>
            <w:tcW w:w="1493" w:type="dxa"/>
            <w:hideMark/>
          </w:tcPr>
          <w:p w14:paraId="217F69AD"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Cross-sectional study</w:t>
            </w:r>
          </w:p>
        </w:tc>
        <w:tc>
          <w:tcPr>
            <w:tcW w:w="1559" w:type="dxa"/>
            <w:hideMark/>
          </w:tcPr>
          <w:p w14:paraId="3005E744"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Adults from different ethnic groups</w:t>
            </w:r>
          </w:p>
        </w:tc>
        <w:tc>
          <w:tcPr>
            <w:tcW w:w="1559" w:type="dxa"/>
            <w:hideMark/>
          </w:tcPr>
          <w:p w14:paraId="6D85F83D"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Ethnicity, PTSD and treatment-seeking</w:t>
            </w:r>
          </w:p>
        </w:tc>
        <w:tc>
          <w:tcPr>
            <w:tcW w:w="3402" w:type="dxa"/>
            <w:hideMark/>
          </w:tcPr>
          <w:p w14:paraId="47912283" w14:textId="77777777" w:rsidR="005B7121" w:rsidRPr="005B7121" w:rsidRDefault="005B7121" w:rsidP="005B7121">
            <w:pPr>
              <w:spacing w:line="360" w:lineRule="auto"/>
              <w:rPr>
                <w:rFonts w:cstheme="minorHAnsi"/>
                <w:color w:val="000000" w:themeColor="text1"/>
                <w:sz w:val="20"/>
                <w:szCs w:val="20"/>
                <w:lang w:val="en-GB"/>
              </w:rPr>
            </w:pPr>
            <w:r w:rsidRPr="005B7121">
              <w:rPr>
                <w:rFonts w:cstheme="minorHAnsi"/>
                <w:color w:val="000000" w:themeColor="text1"/>
                <w:sz w:val="20"/>
                <w:szCs w:val="20"/>
                <w:lang w:val="en-GB"/>
              </w:rPr>
              <w:t>Ethnic minority groups were less likely to seek or receive treatment for PTSD despite experiencing similar trauma exposure, highlighting inequalities in access to mental health care.</w:t>
            </w:r>
          </w:p>
        </w:tc>
      </w:tr>
    </w:tbl>
    <w:p w14:paraId="4AB10079" w14:textId="77777777" w:rsidR="005B7121" w:rsidRDefault="005B7121" w:rsidP="005B7121">
      <w:pPr>
        <w:spacing w:after="0" w:line="360" w:lineRule="auto"/>
        <w:rPr>
          <w:rFonts w:cstheme="minorHAnsi"/>
          <w:b/>
          <w:bCs/>
          <w:color w:val="000000" w:themeColor="text1"/>
          <w:sz w:val="22"/>
          <w:szCs w:val="22"/>
        </w:rPr>
      </w:pPr>
    </w:p>
    <w:p w14:paraId="71AA2232" w14:textId="77777777" w:rsidR="005B7121" w:rsidRDefault="005B7121" w:rsidP="005B7121">
      <w:pPr>
        <w:spacing w:after="0" w:line="360" w:lineRule="auto"/>
        <w:rPr>
          <w:rFonts w:cstheme="minorHAnsi"/>
          <w:b/>
          <w:bCs/>
          <w:color w:val="000000" w:themeColor="text1"/>
          <w:sz w:val="22"/>
          <w:szCs w:val="22"/>
        </w:rPr>
      </w:pPr>
    </w:p>
    <w:p w14:paraId="515E253A" w14:textId="2A9ADB19" w:rsidR="005B7121" w:rsidRPr="005B7121" w:rsidRDefault="005B7121"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 xml:space="preserve">The thematic analysis identified three overarching themes across the included studies. These themes are </w:t>
      </w:r>
      <w:proofErr w:type="spellStart"/>
      <w:r w:rsidRPr="005B7121">
        <w:rPr>
          <w:rFonts w:cstheme="minorHAnsi"/>
          <w:color w:val="000000" w:themeColor="text1"/>
          <w:sz w:val="22"/>
          <w:szCs w:val="22"/>
        </w:rPr>
        <w:t>summarised</w:t>
      </w:r>
      <w:proofErr w:type="spellEnd"/>
      <w:r w:rsidRPr="005B7121">
        <w:rPr>
          <w:rFonts w:cstheme="minorHAnsi"/>
          <w:color w:val="000000" w:themeColor="text1"/>
          <w:sz w:val="22"/>
          <w:szCs w:val="22"/>
        </w:rPr>
        <w:t xml:space="preserve"> in Table 3 and discussed in the following sections.</w:t>
      </w:r>
    </w:p>
    <w:p w14:paraId="259815DA" w14:textId="77777777" w:rsidR="005B7121" w:rsidRDefault="005B7121" w:rsidP="005B7121">
      <w:pPr>
        <w:spacing w:after="0" w:line="360" w:lineRule="auto"/>
        <w:rPr>
          <w:rFonts w:cstheme="minorHAnsi"/>
          <w:b/>
          <w:bCs/>
          <w:color w:val="000000" w:themeColor="text1"/>
          <w:sz w:val="22"/>
          <w:szCs w:val="22"/>
        </w:rPr>
      </w:pPr>
    </w:p>
    <w:p w14:paraId="3CD130E0" w14:textId="40745BCC" w:rsidR="005B7121" w:rsidRDefault="005B7121" w:rsidP="005B7121">
      <w:pPr>
        <w:spacing w:after="0" w:line="360" w:lineRule="auto"/>
        <w:rPr>
          <w:rFonts w:cstheme="minorHAnsi"/>
          <w:b/>
          <w:bCs/>
          <w:color w:val="000000" w:themeColor="text1"/>
          <w:sz w:val="22"/>
          <w:szCs w:val="22"/>
        </w:rPr>
      </w:pPr>
      <w:r>
        <w:rPr>
          <w:rFonts w:cstheme="minorHAnsi"/>
          <w:b/>
          <w:bCs/>
          <w:color w:val="000000" w:themeColor="text1"/>
          <w:sz w:val="22"/>
          <w:szCs w:val="22"/>
        </w:rPr>
        <w:t>Table 3</w:t>
      </w:r>
    </w:p>
    <w:tbl>
      <w:tblPr>
        <w:tblStyle w:val="TableGrid"/>
        <w:tblW w:w="0" w:type="auto"/>
        <w:tblLook w:val="04A0" w:firstRow="1" w:lastRow="0" w:firstColumn="1" w:lastColumn="0" w:noHBand="0" w:noVBand="1"/>
      </w:tblPr>
      <w:tblGrid>
        <w:gridCol w:w="3063"/>
        <w:gridCol w:w="4688"/>
        <w:gridCol w:w="1599"/>
      </w:tblGrid>
      <w:tr w:rsidR="005B7121" w:rsidRPr="005B7121" w14:paraId="2F05B9C2" w14:textId="77777777" w:rsidTr="005B7121">
        <w:tc>
          <w:tcPr>
            <w:tcW w:w="0" w:type="auto"/>
            <w:hideMark/>
          </w:tcPr>
          <w:p w14:paraId="1119442D"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Theme</w:t>
            </w:r>
          </w:p>
        </w:tc>
        <w:tc>
          <w:tcPr>
            <w:tcW w:w="0" w:type="auto"/>
            <w:hideMark/>
          </w:tcPr>
          <w:p w14:paraId="115920E2"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Brief Description</w:t>
            </w:r>
          </w:p>
        </w:tc>
        <w:tc>
          <w:tcPr>
            <w:tcW w:w="0" w:type="auto"/>
            <w:hideMark/>
          </w:tcPr>
          <w:p w14:paraId="234F29DD" w14:textId="77777777" w:rsidR="005B7121" w:rsidRPr="005B7121" w:rsidRDefault="005B7121" w:rsidP="005B7121">
            <w:pPr>
              <w:spacing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Supporting Study</w:t>
            </w:r>
          </w:p>
        </w:tc>
      </w:tr>
      <w:tr w:rsidR="005B7121" w:rsidRPr="005B7121" w14:paraId="5B889FA8" w14:textId="77777777" w:rsidTr="005B7121">
        <w:tc>
          <w:tcPr>
            <w:tcW w:w="0" w:type="auto"/>
            <w:hideMark/>
          </w:tcPr>
          <w:p w14:paraId="09B42358"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Theme 1: Increased vulnerability to bereavement-related psychological distress</w:t>
            </w:r>
          </w:p>
        </w:tc>
        <w:tc>
          <w:tcPr>
            <w:tcW w:w="0" w:type="auto"/>
            <w:hideMark/>
          </w:tcPr>
          <w:p w14:paraId="5EBC8E9B"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Bereavement was associated with PTSD, prolonged grief, depression and wider psychological distress among ethnic minority women.</w:t>
            </w:r>
          </w:p>
        </w:tc>
        <w:tc>
          <w:tcPr>
            <w:tcW w:w="0" w:type="auto"/>
            <w:hideMark/>
          </w:tcPr>
          <w:p w14:paraId="02B7AD86"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Koffman et al. (2005)</w:t>
            </w:r>
          </w:p>
        </w:tc>
      </w:tr>
      <w:tr w:rsidR="005B7121" w:rsidRPr="005B7121" w14:paraId="0697217D" w14:textId="77777777" w:rsidTr="005B7121">
        <w:tc>
          <w:tcPr>
            <w:tcW w:w="0" w:type="auto"/>
            <w:hideMark/>
          </w:tcPr>
          <w:p w14:paraId="2361CFCB"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Theme 2: Cultural and structural barriers to accessing mental health support</w:t>
            </w:r>
          </w:p>
        </w:tc>
        <w:tc>
          <w:tcPr>
            <w:tcW w:w="0" w:type="auto"/>
            <w:hideMark/>
          </w:tcPr>
          <w:p w14:paraId="7A6D6E77"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Stigma, language barriers, cultural beliefs and inequalities reduced engagement with mental health and bereavement services.</w:t>
            </w:r>
          </w:p>
        </w:tc>
        <w:tc>
          <w:tcPr>
            <w:tcW w:w="0" w:type="auto"/>
            <w:hideMark/>
          </w:tcPr>
          <w:p w14:paraId="5333D59F"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Mayland et al. (2021)</w:t>
            </w:r>
          </w:p>
        </w:tc>
      </w:tr>
      <w:tr w:rsidR="005B7121" w:rsidRPr="005B7121" w14:paraId="5F1E115B" w14:textId="77777777" w:rsidTr="005B7121">
        <w:tc>
          <w:tcPr>
            <w:tcW w:w="0" w:type="auto"/>
            <w:hideMark/>
          </w:tcPr>
          <w:p w14:paraId="6EEC5B06"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Theme 3: Gaps in culturally responsive bereavement services</w:t>
            </w:r>
          </w:p>
        </w:tc>
        <w:tc>
          <w:tcPr>
            <w:tcW w:w="0" w:type="auto"/>
            <w:hideMark/>
          </w:tcPr>
          <w:p w14:paraId="7C6CF23B"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Existing services often failed to meet the cultural and religious needs of ethnic minority communities, highlighting the need for culturally responsive care.</w:t>
            </w:r>
          </w:p>
        </w:tc>
        <w:tc>
          <w:tcPr>
            <w:tcW w:w="0" w:type="auto"/>
            <w:hideMark/>
          </w:tcPr>
          <w:p w14:paraId="7A95C7C7" w14:textId="77777777" w:rsidR="005B7121" w:rsidRPr="005B7121" w:rsidRDefault="005B7121" w:rsidP="005B7121">
            <w:pPr>
              <w:spacing w:line="360" w:lineRule="auto"/>
              <w:rPr>
                <w:rFonts w:cstheme="minorHAnsi"/>
                <w:color w:val="000000" w:themeColor="text1"/>
                <w:sz w:val="22"/>
                <w:szCs w:val="22"/>
                <w:lang w:val="en-GB"/>
              </w:rPr>
            </w:pPr>
            <w:r w:rsidRPr="005B7121">
              <w:rPr>
                <w:rFonts w:cstheme="minorHAnsi"/>
                <w:color w:val="000000" w:themeColor="text1"/>
                <w:sz w:val="22"/>
                <w:szCs w:val="22"/>
                <w:lang w:val="en-GB"/>
              </w:rPr>
              <w:t>Garcia et al. (2020)</w:t>
            </w:r>
          </w:p>
        </w:tc>
      </w:tr>
    </w:tbl>
    <w:p w14:paraId="30F8820A" w14:textId="77777777" w:rsidR="005B7121" w:rsidRDefault="005B7121" w:rsidP="005B7121">
      <w:pPr>
        <w:spacing w:after="0" w:line="360" w:lineRule="auto"/>
        <w:rPr>
          <w:rFonts w:cstheme="minorHAnsi"/>
          <w:b/>
          <w:bCs/>
          <w:color w:val="000000" w:themeColor="text1"/>
          <w:sz w:val="22"/>
          <w:szCs w:val="22"/>
        </w:rPr>
      </w:pPr>
    </w:p>
    <w:p w14:paraId="42EAA724" w14:textId="77777777" w:rsidR="005B7121" w:rsidRPr="005B7121" w:rsidRDefault="005B7121" w:rsidP="005B7121">
      <w:pPr>
        <w:spacing w:after="0" w:line="360" w:lineRule="auto"/>
        <w:rPr>
          <w:rFonts w:cstheme="minorHAnsi"/>
          <w:b/>
          <w:bCs/>
          <w:color w:val="000000" w:themeColor="text1"/>
          <w:sz w:val="22"/>
          <w:szCs w:val="22"/>
        </w:rPr>
      </w:pPr>
    </w:p>
    <w:p w14:paraId="00C1B169"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4.2 Theme 1 – Increased Vulnerability to Bereavement-Related Psychological Distress</w:t>
      </w:r>
    </w:p>
    <w:p w14:paraId="21BFB6B4"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Across the included studies, bereavement was consistently associated with increased psychological distress, including PTSD, prolonged grief, anxiety and depression. Participants described both psychological and physical symptoms, including sleep disturbance, fatigue and reduced daily functioning. Bereavement experiences were also influenced by social and cultural factors such as family responsibilities, caregiving roles and socioeconomic disadvantage. Overall, the findings suggest that bereavement may increase vulnerability to psychological distress among ethnic minority women, particularly where cultural and structural barriers limit access to appropriate support (Koffman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2005; Morina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2010).</w:t>
      </w:r>
    </w:p>
    <w:p w14:paraId="52D0DBA7" w14:textId="72496E32" w:rsidR="005B7121" w:rsidRPr="005B7121" w:rsidRDefault="005B7121" w:rsidP="005B7121">
      <w:pPr>
        <w:spacing w:after="0" w:line="360" w:lineRule="auto"/>
        <w:rPr>
          <w:rFonts w:cstheme="minorHAnsi"/>
          <w:b/>
          <w:bCs/>
          <w:color w:val="000000" w:themeColor="text1"/>
          <w:sz w:val="22"/>
          <w:szCs w:val="22"/>
          <w:lang w:val="en-GB"/>
        </w:rPr>
      </w:pPr>
    </w:p>
    <w:p w14:paraId="318766D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4.3 Theme 2 – Cultural and Structural Barriers to Accessing Mental Health Support</w:t>
      </w:r>
    </w:p>
    <w:p w14:paraId="32819ECD"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The second theme identified cultural and structural barriers affecting access to mental health support following bereavement. Common barriers included stigma, concerns about family </w:t>
      </w:r>
      <w:r w:rsidRPr="005B7121">
        <w:rPr>
          <w:rFonts w:cstheme="minorHAnsi"/>
          <w:color w:val="000000" w:themeColor="text1"/>
          <w:sz w:val="22"/>
          <w:szCs w:val="22"/>
          <w:lang w:val="en-GB"/>
        </w:rPr>
        <w:lastRenderedPageBreak/>
        <w:t xml:space="preserve">shame, language differences and limited awareness of available services. Participants also reported difficulties accessing culturally appropriate information and communicating with healthcare professionals, reducing engagement with formal support. Overall, the evidence suggests that cultural expectations and wider structural inequalities continue to limit access to bereavement and mental health services among ethnic minority communities (Mayland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2021; Roberts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2011).</w:t>
      </w:r>
    </w:p>
    <w:p w14:paraId="31B5DDA3" w14:textId="2F051D7F" w:rsidR="005B7121" w:rsidRPr="005B7121" w:rsidRDefault="005B7121" w:rsidP="005B7121">
      <w:pPr>
        <w:spacing w:after="0" w:line="360" w:lineRule="auto"/>
        <w:rPr>
          <w:rFonts w:cstheme="minorHAnsi"/>
          <w:b/>
          <w:bCs/>
          <w:color w:val="000000" w:themeColor="text1"/>
          <w:sz w:val="22"/>
          <w:szCs w:val="22"/>
          <w:lang w:val="en-GB"/>
        </w:rPr>
      </w:pPr>
    </w:p>
    <w:p w14:paraId="290494C7"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4.4 Theme 3 – Gaps in Bereavement and Mental Health Service Provision</w:t>
      </w:r>
    </w:p>
    <w:p w14:paraId="41B32DE6" w14:textId="4FC1AD72" w:rsidR="005B7121" w:rsidRPr="005B7121" w:rsidRDefault="005B7121" w:rsidP="005B7121">
      <w:pPr>
        <w:spacing w:after="0" w:line="360" w:lineRule="auto"/>
        <w:jc w:val="both"/>
        <w:rPr>
          <w:rFonts w:cstheme="minorHAnsi"/>
          <w:color w:val="000000" w:themeColor="text1"/>
          <w:sz w:val="22"/>
          <w:szCs w:val="22"/>
        </w:rPr>
      </w:pPr>
      <w:r w:rsidRPr="005B7121">
        <w:rPr>
          <w:rFonts w:cstheme="minorHAnsi"/>
          <w:color w:val="000000" w:themeColor="text1"/>
          <w:sz w:val="22"/>
          <w:szCs w:val="22"/>
        </w:rPr>
        <w:t xml:space="preserve">The final theme highlighted gaps in bereavement and mental health services for ethnic minority communities. The included studies suggested that many services do not fully reflect the cultural, religious and social needs of diverse communities. Participants reported that support was often not culturally responsive, while culturally sensitive communication and care were identified as important aspects of positive bereavement experiences (Garcia </w:t>
      </w:r>
      <w:r w:rsidRPr="005B7121">
        <w:rPr>
          <w:rFonts w:cstheme="minorHAnsi"/>
          <w:i/>
          <w:iCs/>
          <w:color w:val="000000" w:themeColor="text1"/>
          <w:sz w:val="22"/>
          <w:szCs w:val="22"/>
        </w:rPr>
        <w:t>et al</w:t>
      </w:r>
      <w:r w:rsidRPr="005B7121">
        <w:rPr>
          <w:rFonts w:cstheme="minorHAnsi"/>
          <w:color w:val="000000" w:themeColor="text1"/>
          <w:sz w:val="22"/>
          <w:szCs w:val="22"/>
        </w:rPr>
        <w:t xml:space="preserve">., 2020; Mayland </w:t>
      </w:r>
      <w:r w:rsidRPr="005B7121">
        <w:rPr>
          <w:rFonts w:cstheme="minorHAnsi"/>
          <w:i/>
          <w:iCs/>
          <w:color w:val="000000" w:themeColor="text1"/>
          <w:sz w:val="22"/>
          <w:szCs w:val="22"/>
        </w:rPr>
        <w:t>et al</w:t>
      </w:r>
      <w:r w:rsidRPr="005B7121">
        <w:rPr>
          <w:rFonts w:cstheme="minorHAnsi"/>
          <w:color w:val="000000" w:themeColor="text1"/>
          <w:sz w:val="22"/>
          <w:szCs w:val="22"/>
        </w:rPr>
        <w:t>., 2021). These findings highlight the need for further research and more equitable service development.</w:t>
      </w:r>
    </w:p>
    <w:p w14:paraId="6A063BED" w14:textId="77777777" w:rsidR="00784662" w:rsidRDefault="00784662" w:rsidP="00784662">
      <w:pPr>
        <w:spacing w:after="0" w:line="360" w:lineRule="auto"/>
        <w:rPr>
          <w:rFonts w:cstheme="minorHAnsi"/>
          <w:b/>
          <w:bCs/>
          <w:color w:val="000000" w:themeColor="text1"/>
          <w:sz w:val="22"/>
          <w:szCs w:val="22"/>
        </w:rPr>
      </w:pPr>
    </w:p>
    <w:p w14:paraId="2FC52F0A" w14:textId="0A0EE1D1" w:rsidR="00784662" w:rsidRPr="00784662" w:rsidRDefault="00784662" w:rsidP="00784662">
      <w:pPr>
        <w:spacing w:after="0" w:line="360" w:lineRule="auto"/>
        <w:rPr>
          <w:rFonts w:cstheme="minorHAnsi"/>
          <w:b/>
          <w:bCs/>
          <w:color w:val="000000" w:themeColor="text1"/>
          <w:sz w:val="22"/>
          <w:szCs w:val="22"/>
          <w:lang w:val="en-GB"/>
        </w:rPr>
      </w:pPr>
      <w:r>
        <w:rPr>
          <w:rFonts w:cstheme="minorHAnsi"/>
          <w:b/>
          <w:bCs/>
          <w:color w:val="000000" w:themeColor="text1"/>
          <w:sz w:val="22"/>
          <w:szCs w:val="22"/>
        </w:rPr>
        <w:t>5.</w:t>
      </w:r>
      <w:r w:rsidR="005B7121" w:rsidRPr="00784662">
        <w:rPr>
          <w:rFonts w:cstheme="minorHAnsi"/>
          <w:b/>
          <w:bCs/>
          <w:color w:val="000000" w:themeColor="text1"/>
          <w:sz w:val="22"/>
          <w:szCs w:val="22"/>
          <w:lang w:val="en-GB"/>
        </w:rPr>
        <w:t>Discussion</w:t>
      </w:r>
    </w:p>
    <w:p w14:paraId="405BFC9F"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5.1 Increased Vulnerability to Bereavement-Related Psychological Distress</w:t>
      </w:r>
    </w:p>
    <w:p w14:paraId="23F725D2"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The findings of this scoping review suggest that bereavement can have a significant psychological impact on ethnic minority women, increasing the risk of PTSD, prolonged grief and depression. Although bereavement is a universal experience, its psychological effects are influenced by cultural, social and structural factors. Participants described emotional distress alongside physical symptoms such as sleep disturbance, fatigue and reduced daily functioning, demonstrating that grief may be experienced differently depending on individual circumstances and cultural context.</w:t>
      </w:r>
    </w:p>
    <w:p w14:paraId="5B72BCC2" w14:textId="0F9BEE31"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These findings are consistent with Morina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(2010), who reported that prolonged grief, PTSD and depression frequently coexist following bereavement. Likewise, Koffman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(2005) found poorer psychological outcomes among bereaved ethnic minority participants despite similar levels of grief, suggesting that wider social inequalities and limited access to support contribute to poorer mental health outcomes.</w:t>
      </w:r>
      <w:r w:rsidR="00B47736">
        <w:rPr>
          <w:rFonts w:cstheme="minorHAnsi"/>
          <w:color w:val="000000" w:themeColor="text1"/>
          <w:sz w:val="22"/>
          <w:szCs w:val="22"/>
          <w:lang w:val="en-GB"/>
        </w:rPr>
        <w:t xml:space="preserve"> </w:t>
      </w:r>
      <w:r w:rsidR="00B47736" w:rsidRPr="00A416A5">
        <w:rPr>
          <w:rFonts w:cstheme="minorHAnsi"/>
          <w:color w:val="000000" w:themeColor="text1"/>
          <w:sz w:val="22"/>
          <w:szCs w:val="22"/>
        </w:rPr>
        <w:t xml:space="preserve">However, the strength of this evidence should be interpreted with caution. Morina et al. (2010) used a cross-sectional design, which identifies associations but cannot establish causality, while Koffman et al. (2005) included a relatively small sample from London, limiting the </w:t>
      </w:r>
      <w:proofErr w:type="spellStart"/>
      <w:r w:rsidR="00B47736" w:rsidRPr="00A416A5">
        <w:rPr>
          <w:rFonts w:cstheme="minorHAnsi"/>
          <w:color w:val="000000" w:themeColor="text1"/>
          <w:sz w:val="22"/>
          <w:szCs w:val="22"/>
        </w:rPr>
        <w:t>generalisability</w:t>
      </w:r>
      <w:proofErr w:type="spellEnd"/>
      <w:r w:rsidR="00B47736" w:rsidRPr="00A416A5">
        <w:rPr>
          <w:rFonts w:cstheme="minorHAnsi"/>
          <w:color w:val="000000" w:themeColor="text1"/>
          <w:sz w:val="22"/>
          <w:szCs w:val="22"/>
        </w:rPr>
        <w:t xml:space="preserve"> of the findings to all ethnic minority women across the UK.</w:t>
      </w:r>
    </w:p>
    <w:p w14:paraId="5BC045A7"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lastRenderedPageBreak/>
        <w:t xml:space="preserve">The review also indicates that vulnerability following bereavement is shaped by multiple interacting factors. Family responsibilities, caregiving roles and socioeconomic disadvantage may increase emotional burden and delay help-seeking. This reflects the concept of intersectionality, which recognises that ethnicity, gender and wider social circumstances influence health experiences and access to care (Schnyder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2016).</w:t>
      </w:r>
    </w:p>
    <w:p w14:paraId="7A3CF613" w14:textId="0DE6CDF4"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Although UK guidance recommends early recognition and treatment of PTSD (National Institute for Health and Care Excellence, 2018), trauma-related symptoms among ethnic minority women may not always be recognised because distress is sometimes expressed through physical symptoms, spiritual beliefs or culturally specific understandings of grief. These findings highlight the importance of culturally informed assessment and person-centred care. Overall, bereavement-related psychological distress should be understood as the result of interacting psychological, cultural and social influences rather than bereavement alone (Morina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2010; Koffman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2005).</w:t>
      </w:r>
      <w:r w:rsidR="00A416A5">
        <w:rPr>
          <w:rFonts w:cstheme="minorHAnsi"/>
          <w:color w:val="000000" w:themeColor="text1"/>
          <w:sz w:val="22"/>
          <w:szCs w:val="22"/>
          <w:lang w:val="en-GB"/>
        </w:rPr>
        <w:t xml:space="preserve"> </w:t>
      </w:r>
    </w:p>
    <w:p w14:paraId="0FB93203" w14:textId="2350E40C" w:rsidR="005B7121" w:rsidRPr="005B7121" w:rsidRDefault="005B7121" w:rsidP="005B7121">
      <w:pPr>
        <w:spacing w:after="0" w:line="360" w:lineRule="auto"/>
        <w:rPr>
          <w:rFonts w:cstheme="minorHAnsi"/>
          <w:color w:val="000000" w:themeColor="text1"/>
          <w:sz w:val="22"/>
          <w:szCs w:val="22"/>
          <w:lang w:val="en-GB"/>
        </w:rPr>
      </w:pPr>
    </w:p>
    <w:p w14:paraId="4EC06159"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5.2 Cultural and Structural Barriers to Accessing Mental Health Support</w:t>
      </w:r>
    </w:p>
    <w:p w14:paraId="45637F61" w14:textId="77777777" w:rsid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The findings identified cultural and structural barriers as important influences on access to mental health support following bereavement. Although services are available within the UK, access is shaped by cultural beliefs, family expectations and wider structural inequalities rather than individual choice alone.</w:t>
      </w:r>
    </w:p>
    <w:p w14:paraId="7CAB818B" w14:textId="093DBE39"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rPr>
        <w:t xml:space="preserve">Mental health stigma was one of the most consistent barriers. Within some ethnic minority communities, emotional distress may be viewed as a private family matter or interpreted through cultural or religious beliefs rather than </w:t>
      </w:r>
      <w:proofErr w:type="spellStart"/>
      <w:r w:rsidRPr="005B7121">
        <w:rPr>
          <w:rFonts w:cstheme="minorHAnsi"/>
          <w:color w:val="000000" w:themeColor="text1"/>
          <w:sz w:val="22"/>
          <w:szCs w:val="22"/>
        </w:rPr>
        <w:t>recognised</w:t>
      </w:r>
      <w:proofErr w:type="spellEnd"/>
      <w:r w:rsidRPr="005B7121">
        <w:rPr>
          <w:rFonts w:cstheme="minorHAnsi"/>
          <w:color w:val="000000" w:themeColor="text1"/>
          <w:sz w:val="22"/>
          <w:szCs w:val="22"/>
        </w:rPr>
        <w:t xml:space="preserve"> as a mental health condition. Consequently, women may delay seeking help because of concerns about shame or family reputation. Similar barriers relating to stigma, cultural expectations and limited awareness of services have also been reported among ethnic minority women accessing mental health services (Watson et al., 2019). Mayland et al. (2021) similarly reported that stigma and limited awareness of bereavement services reduced engagement with available support.</w:t>
      </w:r>
    </w:p>
    <w:p w14:paraId="352943DA" w14:textId="346AD702"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Communication barriers also limited access to care. Participants described difficulties accessing culturally appropriate information and interpreting services, while Roberts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(2011) suggested that previous experiences of discrimination and mistrust of healthcare services discouraged engagement with mental health support.</w:t>
      </w:r>
      <w:r w:rsidR="00EA408D">
        <w:rPr>
          <w:rFonts w:cstheme="minorHAnsi"/>
          <w:color w:val="000000" w:themeColor="text1"/>
          <w:sz w:val="22"/>
          <w:szCs w:val="22"/>
          <w:lang w:val="en-GB"/>
        </w:rPr>
        <w:t xml:space="preserve"> </w:t>
      </w:r>
      <w:r w:rsidR="00EA408D" w:rsidRPr="00EA408D">
        <w:rPr>
          <w:rFonts w:cstheme="minorHAnsi"/>
          <w:color w:val="000000" w:themeColor="text1"/>
          <w:sz w:val="22"/>
          <w:szCs w:val="22"/>
        </w:rPr>
        <w:t xml:space="preserve">The included studies also differed in design and participant selection. Mayland et al. (2021) </w:t>
      </w:r>
      <w:proofErr w:type="spellStart"/>
      <w:r w:rsidR="00EA408D" w:rsidRPr="00EA408D">
        <w:rPr>
          <w:rFonts w:cstheme="minorHAnsi"/>
          <w:color w:val="000000" w:themeColor="text1"/>
          <w:sz w:val="22"/>
          <w:szCs w:val="22"/>
        </w:rPr>
        <w:t>synthesised</w:t>
      </w:r>
      <w:proofErr w:type="spellEnd"/>
      <w:r w:rsidR="00EA408D" w:rsidRPr="00EA408D">
        <w:rPr>
          <w:rFonts w:cstheme="minorHAnsi"/>
          <w:color w:val="000000" w:themeColor="text1"/>
          <w:sz w:val="22"/>
          <w:szCs w:val="22"/>
        </w:rPr>
        <w:t xml:space="preserve"> evidence from 32 studies, providing a broad overview of barriers to bereavement care, whereas Roberts et al. (2011) used cross-sectional survey data. While these approaches strengthen understanding of common </w:t>
      </w:r>
      <w:r w:rsidR="00EA408D" w:rsidRPr="00EA408D">
        <w:rPr>
          <w:rFonts w:cstheme="minorHAnsi"/>
          <w:color w:val="000000" w:themeColor="text1"/>
          <w:sz w:val="22"/>
          <w:szCs w:val="22"/>
        </w:rPr>
        <w:lastRenderedPageBreak/>
        <w:t>barriers, they cannot determine how experiences change over time or establish cause-and-effect relationships.</w:t>
      </w:r>
    </w:p>
    <w:p w14:paraId="6D999248" w14:textId="1B66AE6D" w:rsidR="005B7121" w:rsidRDefault="005B7121" w:rsidP="005B7121">
      <w:pPr>
        <w:spacing w:after="0" w:line="360" w:lineRule="auto"/>
        <w:rPr>
          <w:rFonts w:cstheme="minorHAnsi"/>
          <w:color w:val="000000" w:themeColor="text1"/>
          <w:sz w:val="22"/>
          <w:szCs w:val="22"/>
        </w:rPr>
      </w:pPr>
      <w:r w:rsidRPr="005B7121">
        <w:rPr>
          <w:rFonts w:cstheme="minorHAnsi"/>
          <w:color w:val="000000" w:themeColor="text1"/>
          <w:sz w:val="22"/>
          <w:szCs w:val="22"/>
        </w:rPr>
        <w:t xml:space="preserve">Overall, the evidence suggests that improving access requires both culturally competent practice and </w:t>
      </w:r>
      <w:proofErr w:type="spellStart"/>
      <w:r w:rsidRPr="005B7121">
        <w:rPr>
          <w:rFonts w:cstheme="minorHAnsi"/>
          <w:color w:val="000000" w:themeColor="text1"/>
          <w:sz w:val="22"/>
          <w:szCs w:val="22"/>
        </w:rPr>
        <w:t>organisational</w:t>
      </w:r>
      <w:proofErr w:type="spellEnd"/>
      <w:r w:rsidRPr="005B7121">
        <w:rPr>
          <w:rFonts w:cstheme="minorHAnsi"/>
          <w:color w:val="000000" w:themeColor="text1"/>
          <w:sz w:val="22"/>
          <w:szCs w:val="22"/>
        </w:rPr>
        <w:t xml:space="preserve"> change to ensure services are inclusive and accessible (Mayland et al., 2021; Roberts et al., 2011; Conneely et al., 2023).</w:t>
      </w:r>
    </w:p>
    <w:p w14:paraId="261FC0F6" w14:textId="77777777" w:rsidR="005B7121" w:rsidRPr="005B7121" w:rsidRDefault="005B7121" w:rsidP="005B7121">
      <w:pPr>
        <w:spacing w:after="0" w:line="360" w:lineRule="auto"/>
        <w:rPr>
          <w:rFonts w:cstheme="minorHAnsi"/>
          <w:color w:val="000000" w:themeColor="text1"/>
          <w:sz w:val="22"/>
          <w:szCs w:val="22"/>
          <w:lang w:val="en-GB"/>
        </w:rPr>
      </w:pPr>
    </w:p>
    <w:p w14:paraId="378DD901"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5.3 Need for Culturally Responsive Bereavement and Mental Health Services</w:t>
      </w:r>
    </w:p>
    <w:p w14:paraId="57CAD726"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The findings emphasise the need for bereavement and mental health services that are culturally responsive to the needs of ethnic minority women. Although national policies promote equitable access to healthcare, many services continue to reflect approaches that do not fully recognise differing cultural, religious and social understandings of grief. Consequently, some bereaved women may perceive mainstream services as inaccessible or insufficiently responsive.</w:t>
      </w:r>
    </w:p>
    <w:p w14:paraId="1BACBA34" w14:textId="188E45C2"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xml:space="preserve"> (2021) reported that many bereavement services are based on Western models of grief, which may not always reflect the beliefs and coping strategies of ethnic minority communities. Some women therefore seek support from family members, faith leaders or community organisations rather than formal healthcare services.</w:t>
      </w:r>
      <w:r w:rsidR="00BE4738">
        <w:rPr>
          <w:rFonts w:cstheme="minorHAnsi"/>
          <w:color w:val="000000" w:themeColor="text1"/>
          <w:sz w:val="22"/>
          <w:szCs w:val="22"/>
          <w:lang w:val="en-GB"/>
        </w:rPr>
        <w:t xml:space="preserve"> </w:t>
      </w:r>
      <w:r w:rsidR="00BE4738" w:rsidRPr="00BE4738">
        <w:rPr>
          <w:rFonts w:cstheme="minorHAnsi"/>
          <w:color w:val="000000" w:themeColor="text1"/>
          <w:sz w:val="22"/>
          <w:szCs w:val="22"/>
        </w:rPr>
        <w:t>Garcia et al. (2020) provides valuable insight into culturally sensitive bereavement care through qualitative interviews with Pakistani, Bangladeshi and White British mothers following stillbirth. Although the qualitative design offers rich accounts of participants' experiences, the findings are based on a relatively small sample from one UK location and may not represent the experiences of all ethnic minority women.</w:t>
      </w:r>
    </w:p>
    <w:p w14:paraId="4C7017DC" w14:textId="77777777" w:rsidR="005B7121" w:rsidRP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Improving cultural competence may strengthen communication, trust and therapeutic relationships between professionals and service users. This requires ongoing education, effective communication and meaningful engagement with local communities.</w:t>
      </w:r>
    </w:p>
    <w:p w14:paraId="03502AE4" w14:textId="77777777" w:rsidR="005B7121" w:rsidRDefault="005B7121" w:rsidP="005B7121">
      <w:pPr>
        <w:spacing w:after="0" w:line="360" w:lineRule="auto"/>
        <w:jc w:val="both"/>
        <w:rPr>
          <w:rFonts w:cstheme="minorHAnsi"/>
          <w:color w:val="000000" w:themeColor="text1"/>
          <w:sz w:val="22"/>
          <w:szCs w:val="22"/>
          <w:lang w:val="en-GB"/>
        </w:rPr>
      </w:pPr>
      <w:r w:rsidRPr="005B7121">
        <w:rPr>
          <w:rFonts w:cstheme="minorHAnsi"/>
          <w:color w:val="000000" w:themeColor="text1"/>
          <w:sz w:val="22"/>
          <w:szCs w:val="22"/>
          <w:lang w:val="en-GB"/>
        </w:rPr>
        <w:t xml:space="preserve">The NHS Long Term Plan (NHS England, 2019) identifies reducing health inequalities as a national priority, while the Equality Act 2010 requires public services to provide equitable and non-discriminatory care (HM Government, 2010). However, translating these commitments into routine practice remains a challenge. Overall, culturally responsive care should be regarded as an essential component of high-quality bereavement support, with the potential to improve patient experiences and reduce mental health inequalities among ethnic minority women (Mayland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2021; NHS England, 2019).</w:t>
      </w:r>
    </w:p>
    <w:p w14:paraId="459812B2" w14:textId="77777777" w:rsidR="005E7828" w:rsidRDefault="005E7828" w:rsidP="005B7121">
      <w:pPr>
        <w:spacing w:after="0" w:line="360" w:lineRule="auto"/>
        <w:jc w:val="both"/>
        <w:rPr>
          <w:rFonts w:cstheme="minorHAnsi"/>
          <w:color w:val="000000" w:themeColor="text1"/>
          <w:sz w:val="22"/>
          <w:szCs w:val="22"/>
          <w:lang w:val="en-GB"/>
        </w:rPr>
      </w:pPr>
    </w:p>
    <w:p w14:paraId="2B32F784" w14:textId="77777777" w:rsidR="005E7828" w:rsidRPr="005B7121" w:rsidRDefault="005E7828" w:rsidP="005B7121">
      <w:pPr>
        <w:spacing w:after="0" w:line="360" w:lineRule="auto"/>
        <w:jc w:val="both"/>
        <w:rPr>
          <w:rFonts w:cstheme="minorHAnsi"/>
          <w:color w:val="000000" w:themeColor="text1"/>
          <w:sz w:val="22"/>
          <w:szCs w:val="22"/>
          <w:lang w:val="en-GB"/>
        </w:rPr>
      </w:pPr>
    </w:p>
    <w:p w14:paraId="65DAA69B" w14:textId="1F4BC696" w:rsidR="005B7121" w:rsidRPr="005B7121" w:rsidRDefault="005B7121" w:rsidP="005B7121">
      <w:pPr>
        <w:spacing w:after="0" w:line="360" w:lineRule="auto"/>
        <w:rPr>
          <w:rFonts w:cstheme="minorHAnsi"/>
          <w:color w:val="000000" w:themeColor="text1"/>
          <w:sz w:val="22"/>
          <w:szCs w:val="22"/>
          <w:lang w:val="en-GB"/>
        </w:rPr>
      </w:pPr>
    </w:p>
    <w:p w14:paraId="103682AB"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lastRenderedPageBreak/>
        <w:t>5.4 Implications for Health and Social Care Practice</w:t>
      </w:r>
    </w:p>
    <w:p w14:paraId="163FA55A"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The findings of this review have several implications for health and social care practice. Healthcare professionals should recognise that bereavement experiences are influenced by cultural beliefs, language, family expectations and wider social circumstances rather than assuming that grief is experienced uniformly across different communities (Mayland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2021).</w:t>
      </w:r>
    </w:p>
    <w:p w14:paraId="72363282" w14:textId="77777777" w:rsidR="005B7121" w:rsidRPr="005B7121" w:rsidRDefault="005B7121" w:rsidP="005B7121">
      <w:pPr>
        <w:spacing w:after="0" w:line="360" w:lineRule="auto"/>
        <w:rPr>
          <w:rFonts w:cstheme="minorHAnsi"/>
          <w:color w:val="000000" w:themeColor="text1"/>
          <w:sz w:val="22"/>
          <w:szCs w:val="22"/>
          <w:lang w:val="en-GB"/>
        </w:rPr>
      </w:pPr>
    </w:p>
    <w:p w14:paraId="4161CFA6" w14:textId="5AA6DCE3"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Improving cultural competence through education and training may enhance communication, reduce misunderstandings and support more accurate recognition of PTSD and prolonged grief symptoms. Early identification of psychological distress, together with timely referral to appropriate services, may improve outcomes for bereaved ethnic minority women (National Institute for Health and Care Excellence, 2018).</w:t>
      </w:r>
    </w:p>
    <w:p w14:paraId="689CCE57"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Partnership working between statutory services, voluntary organisations and faith communities may also improve awareness of available support, reduce stigma and encourage earlier engagement with bereavement services. Such collaborative approaches are consistent with person-centred care and may contribute to more accessible and equitable mental health support (Mayland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2021; NHS England, 2019).</w:t>
      </w:r>
    </w:p>
    <w:p w14:paraId="62A4D7DD" w14:textId="6067E1AE" w:rsidR="005B7121" w:rsidRPr="005B7121" w:rsidRDefault="005B7121" w:rsidP="005B7121">
      <w:pPr>
        <w:spacing w:after="0" w:line="360" w:lineRule="auto"/>
        <w:rPr>
          <w:rFonts w:cstheme="minorHAnsi"/>
          <w:b/>
          <w:bCs/>
          <w:color w:val="000000" w:themeColor="text1"/>
          <w:sz w:val="22"/>
          <w:szCs w:val="22"/>
          <w:lang w:val="en-GB"/>
        </w:rPr>
      </w:pPr>
    </w:p>
    <w:p w14:paraId="68FA2794" w14:textId="77777777"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5.5 Strengths and Limitations</w:t>
      </w:r>
    </w:p>
    <w:p w14:paraId="0107C6A8" w14:textId="7C118DA9"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This review has several strengths. It explores an under-researched area by synthesising evidence relating to bereavement, PTSD and access to mental health support among ethnic minority women in the UK. The use of a scoping review methodology enabled the inclusion of qualitative, quantitative and systematic review evidence, providing a broad overview of the available literature. Following the framework proposed by Arksey and O'Malley (2005), together with guidance from the Joanna Briggs Institute (Peters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2020), strengthened the transparency and consistency of the review process.</w:t>
      </w:r>
      <w:r w:rsidR="00CD2076">
        <w:rPr>
          <w:rFonts w:cstheme="minorHAnsi"/>
          <w:color w:val="000000" w:themeColor="text1"/>
          <w:sz w:val="22"/>
          <w:szCs w:val="22"/>
          <w:lang w:val="en-GB"/>
        </w:rPr>
        <w:t xml:space="preserve"> </w:t>
      </w:r>
      <w:r w:rsidR="00CD2076" w:rsidRPr="00CD2076">
        <w:rPr>
          <w:rFonts w:cstheme="minorHAnsi"/>
          <w:color w:val="000000" w:themeColor="text1"/>
          <w:sz w:val="22"/>
          <w:szCs w:val="22"/>
        </w:rPr>
        <w:t xml:space="preserve">Another strength is that the included studies used a range of research designs, including qualitative, quantitative and systematic review methods, allowing evidence from different perspectives to be </w:t>
      </w:r>
      <w:proofErr w:type="spellStart"/>
      <w:r w:rsidR="00CD2076" w:rsidRPr="00CD2076">
        <w:rPr>
          <w:rFonts w:cstheme="minorHAnsi"/>
          <w:color w:val="000000" w:themeColor="text1"/>
          <w:sz w:val="22"/>
          <w:szCs w:val="22"/>
        </w:rPr>
        <w:t>synthesised</w:t>
      </w:r>
      <w:proofErr w:type="spellEnd"/>
      <w:r w:rsidR="00CD2076" w:rsidRPr="00CD2076">
        <w:rPr>
          <w:rFonts w:cstheme="minorHAnsi"/>
          <w:color w:val="000000" w:themeColor="text1"/>
          <w:sz w:val="22"/>
          <w:szCs w:val="22"/>
        </w:rPr>
        <w:t xml:space="preserve">. However, the small number of </w:t>
      </w:r>
      <w:proofErr w:type="gramStart"/>
      <w:r w:rsidR="00CD2076" w:rsidRPr="00CD2076">
        <w:rPr>
          <w:rFonts w:cstheme="minorHAnsi"/>
          <w:color w:val="000000" w:themeColor="text1"/>
          <w:sz w:val="22"/>
          <w:szCs w:val="22"/>
        </w:rPr>
        <w:t>included studies</w:t>
      </w:r>
      <w:proofErr w:type="gramEnd"/>
      <w:r w:rsidR="00CD2076" w:rsidRPr="00CD2076">
        <w:rPr>
          <w:rFonts w:cstheme="minorHAnsi"/>
          <w:color w:val="000000" w:themeColor="text1"/>
          <w:sz w:val="22"/>
          <w:szCs w:val="22"/>
        </w:rPr>
        <w:t xml:space="preserve"> and variation in study design and participant populations limited direct comparison of findings.</w:t>
      </w:r>
    </w:p>
    <w:p w14:paraId="60431D26"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However, several limitations should be acknowledged. The number of studies specifically examining PTSD following bereavement among ethnic minority women in the UK remains limited, meaning some included studies explored bereavement or mental health inequalities more broadly. Restricting the search to English-language, peer-reviewed publications may also </w:t>
      </w:r>
      <w:r w:rsidRPr="005B7121">
        <w:rPr>
          <w:rFonts w:cstheme="minorHAnsi"/>
          <w:color w:val="000000" w:themeColor="text1"/>
          <w:sz w:val="22"/>
          <w:szCs w:val="22"/>
          <w:lang w:val="en-GB"/>
        </w:rPr>
        <w:lastRenderedPageBreak/>
        <w:t xml:space="preserve">have excluded relevant evidence published in other languages or within the grey literature. Furthermore, as this review aimed to map the available evidence rather than evaluate methodological quality, no formal critical appraisal of the included studies was undertaken (Arksey and O'Malley, 2005; Peters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2020). Consequently, the findings should be interpreted as an overview of the current evidence rather than definitive evidence of effectiveness.</w:t>
      </w:r>
    </w:p>
    <w:p w14:paraId="09C22296" w14:textId="77777777" w:rsidR="005B7121" w:rsidRPr="005B7121" w:rsidRDefault="005B7121" w:rsidP="005B7121">
      <w:pPr>
        <w:spacing w:after="0" w:line="360" w:lineRule="auto"/>
        <w:rPr>
          <w:rFonts w:cstheme="minorHAnsi"/>
          <w:color w:val="000000" w:themeColor="text1"/>
          <w:sz w:val="22"/>
          <w:szCs w:val="22"/>
          <w:lang w:val="en-GB"/>
        </w:rPr>
      </w:pPr>
      <w:r w:rsidRPr="005B7121">
        <w:rPr>
          <w:rFonts w:cstheme="minorHAnsi"/>
          <w:color w:val="000000" w:themeColor="text1"/>
          <w:sz w:val="22"/>
          <w:szCs w:val="22"/>
          <w:lang w:val="en-GB"/>
        </w:rPr>
        <w:t xml:space="preserve">Overall, this review contributes to understanding bereavement-related mental health among ethnic minority women while highlighting important gaps that require further investigation. Future research should continue to explore culturally responsive bereavement support and PTSD following bereavement to strengthen the evidence base and inform future health and social care practice (Mayland </w:t>
      </w:r>
      <w:r w:rsidRPr="005B7121">
        <w:rPr>
          <w:rFonts w:cstheme="minorHAnsi"/>
          <w:i/>
          <w:iCs/>
          <w:color w:val="000000" w:themeColor="text1"/>
          <w:sz w:val="22"/>
          <w:szCs w:val="22"/>
          <w:lang w:val="en-GB"/>
        </w:rPr>
        <w:t>et al</w:t>
      </w:r>
      <w:r w:rsidRPr="005B7121">
        <w:rPr>
          <w:rFonts w:cstheme="minorHAnsi"/>
          <w:color w:val="000000" w:themeColor="text1"/>
          <w:sz w:val="22"/>
          <w:szCs w:val="22"/>
          <w:lang w:val="en-GB"/>
        </w:rPr>
        <w:t>., 2021).</w:t>
      </w:r>
    </w:p>
    <w:p w14:paraId="2DB2EBE0" w14:textId="77777777" w:rsidR="005B7121" w:rsidRDefault="005B7121" w:rsidP="005B7121">
      <w:pPr>
        <w:spacing w:after="0" w:line="360" w:lineRule="auto"/>
        <w:rPr>
          <w:rFonts w:cstheme="minorHAnsi"/>
          <w:color w:val="000000" w:themeColor="text1"/>
          <w:sz w:val="22"/>
          <w:szCs w:val="22"/>
          <w:lang w:val="en-GB"/>
        </w:rPr>
      </w:pPr>
    </w:p>
    <w:p w14:paraId="364E52A3" w14:textId="77777777" w:rsidR="0065556B" w:rsidRPr="005B7121" w:rsidRDefault="0065556B" w:rsidP="005B7121">
      <w:pPr>
        <w:spacing w:after="0" w:line="360" w:lineRule="auto"/>
        <w:rPr>
          <w:rFonts w:cstheme="minorHAnsi"/>
          <w:b/>
          <w:bCs/>
          <w:color w:val="000000" w:themeColor="text1"/>
          <w:sz w:val="22"/>
          <w:szCs w:val="22"/>
          <w:lang w:val="en-GB"/>
        </w:rPr>
      </w:pPr>
    </w:p>
    <w:p w14:paraId="1A252625" w14:textId="77777777" w:rsid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6. Conclusion and Recommendations</w:t>
      </w:r>
    </w:p>
    <w:p w14:paraId="207D422E" w14:textId="77777777" w:rsidR="0065556B" w:rsidRPr="005B7121" w:rsidRDefault="0065556B" w:rsidP="005B7121">
      <w:pPr>
        <w:spacing w:after="0" w:line="360" w:lineRule="auto"/>
        <w:rPr>
          <w:rFonts w:cstheme="minorHAnsi"/>
          <w:b/>
          <w:bCs/>
          <w:color w:val="000000" w:themeColor="text1"/>
          <w:sz w:val="22"/>
          <w:szCs w:val="22"/>
          <w:lang w:val="en-GB"/>
        </w:rPr>
      </w:pPr>
    </w:p>
    <w:p w14:paraId="2A0A0E91" w14:textId="5EDD9A2E" w:rsidR="005B7121" w:rsidRPr="005B7121" w:rsidRDefault="005B7121" w:rsidP="005B7121">
      <w:pPr>
        <w:spacing w:after="0" w:line="360" w:lineRule="auto"/>
        <w:rPr>
          <w:rFonts w:cstheme="minorHAnsi"/>
          <w:b/>
          <w:bCs/>
          <w:color w:val="000000" w:themeColor="text1"/>
          <w:sz w:val="22"/>
          <w:szCs w:val="22"/>
          <w:lang w:val="en-GB"/>
        </w:rPr>
      </w:pPr>
      <w:r w:rsidRPr="005B7121">
        <w:rPr>
          <w:rFonts w:cstheme="minorHAnsi"/>
          <w:b/>
          <w:bCs/>
          <w:color w:val="000000" w:themeColor="text1"/>
          <w:sz w:val="22"/>
          <w:szCs w:val="22"/>
          <w:lang w:val="en-GB"/>
        </w:rPr>
        <w:t>6.1 Conclusion</w:t>
      </w:r>
    </w:p>
    <w:p w14:paraId="6B19AAE7" w14:textId="77777777" w:rsidR="0065556B" w:rsidRPr="0065556B" w:rsidRDefault="0065556B" w:rsidP="0065556B">
      <w:pPr>
        <w:spacing w:after="0" w:line="360" w:lineRule="auto"/>
        <w:jc w:val="both"/>
        <w:rPr>
          <w:rFonts w:ascii="Arial" w:hAnsi="Arial" w:cs="Arial"/>
          <w:color w:val="000000" w:themeColor="text1"/>
          <w:sz w:val="22"/>
          <w:szCs w:val="22"/>
          <w:lang w:val="en-GB"/>
        </w:rPr>
      </w:pPr>
      <w:r w:rsidRPr="0065556B">
        <w:rPr>
          <w:rFonts w:ascii="Arial" w:hAnsi="Arial" w:cs="Arial"/>
          <w:color w:val="000000" w:themeColor="text1"/>
          <w:sz w:val="22"/>
          <w:szCs w:val="22"/>
          <w:lang w:val="en-GB"/>
        </w:rPr>
        <w:t>This scoping review explored the available evidence relating to PTSD and other bereavement-related mental health difficulties among ethnic minority women in the UK, with a particular focus on cultural and structural barriers to accessing mental health support. The findings suggest that bereavement may contribute to PTSD, prolonged grief and depression, while cultural beliefs, gender roles and wider social inequalities influence how psychological distress is recognised and how support is accessed (Morina et al., 2010; Koffman et al., 2005; Roberts et al., 2011).</w:t>
      </w:r>
    </w:p>
    <w:p w14:paraId="52BE581A" w14:textId="77777777" w:rsidR="0065556B" w:rsidRPr="0065556B" w:rsidRDefault="0065556B" w:rsidP="0065556B">
      <w:pPr>
        <w:spacing w:after="0" w:line="360" w:lineRule="auto"/>
        <w:jc w:val="both"/>
        <w:rPr>
          <w:rFonts w:ascii="Arial" w:hAnsi="Arial" w:cs="Arial"/>
          <w:color w:val="000000" w:themeColor="text1"/>
          <w:sz w:val="22"/>
          <w:szCs w:val="22"/>
          <w:lang w:val="en-GB"/>
        </w:rPr>
      </w:pPr>
      <w:r w:rsidRPr="0065556B">
        <w:rPr>
          <w:rFonts w:ascii="Arial" w:hAnsi="Arial" w:cs="Arial"/>
          <w:color w:val="000000" w:themeColor="text1"/>
          <w:sz w:val="22"/>
          <w:szCs w:val="22"/>
          <w:lang w:val="en-GB"/>
        </w:rPr>
        <w:t>Three key themes emerged: increased psychological vulnerability following bereavement, cultural and structural barriers to accessing mental health support, and gaps in culturally responsive bereavement services (Koffman et al., 2005; Morina et al., 2010; Mayland et al., 2021). Although the available evidence remains limited, this review highlights the need for further research, culturally responsive service development and continued efforts to reduce inequalities in mental health care. The findings may help inform future health and social care policy, practice and research aimed at improving bereavement support for ethnic minority women.</w:t>
      </w:r>
    </w:p>
    <w:p w14:paraId="5A2145B3" w14:textId="7670B7D1" w:rsidR="005B7121" w:rsidRPr="005B7121" w:rsidRDefault="005B7121" w:rsidP="005B7121">
      <w:pPr>
        <w:spacing w:after="0" w:line="360" w:lineRule="auto"/>
        <w:rPr>
          <w:rFonts w:cstheme="minorHAnsi"/>
          <w:color w:val="000000" w:themeColor="text1"/>
          <w:sz w:val="22"/>
          <w:szCs w:val="22"/>
          <w:lang w:val="en-GB"/>
        </w:rPr>
      </w:pPr>
    </w:p>
    <w:p w14:paraId="3F4D8519" w14:textId="77777777" w:rsidR="00A10DF8" w:rsidRPr="00A10DF8" w:rsidRDefault="00A10DF8" w:rsidP="00A10DF8">
      <w:pPr>
        <w:spacing w:after="0" w:line="360" w:lineRule="auto"/>
        <w:rPr>
          <w:rFonts w:cstheme="minorHAnsi"/>
          <w:b/>
          <w:bCs/>
          <w:color w:val="000000" w:themeColor="text1"/>
          <w:sz w:val="22"/>
          <w:szCs w:val="22"/>
          <w:lang w:val="en-GB"/>
        </w:rPr>
      </w:pPr>
      <w:r w:rsidRPr="00A10DF8">
        <w:rPr>
          <w:rFonts w:cstheme="minorHAnsi"/>
          <w:b/>
          <w:bCs/>
          <w:color w:val="000000" w:themeColor="text1"/>
          <w:sz w:val="22"/>
          <w:szCs w:val="22"/>
          <w:lang w:val="en-GB"/>
        </w:rPr>
        <w:t>6.2 Recommendations</w:t>
      </w:r>
    </w:p>
    <w:p w14:paraId="1BF7DE29" w14:textId="77777777" w:rsidR="00A10DF8" w:rsidRPr="00A10DF8" w:rsidRDefault="00A10DF8" w:rsidP="00A10DF8">
      <w:pPr>
        <w:spacing w:after="0" w:line="360" w:lineRule="auto"/>
        <w:rPr>
          <w:rFonts w:ascii="Arial" w:hAnsi="Arial" w:cs="Arial"/>
          <w:color w:val="000000" w:themeColor="text1"/>
          <w:sz w:val="22"/>
          <w:szCs w:val="22"/>
          <w:lang w:val="en-GB"/>
        </w:rPr>
      </w:pPr>
      <w:r w:rsidRPr="00A10DF8">
        <w:rPr>
          <w:rFonts w:ascii="Arial" w:hAnsi="Arial" w:cs="Arial"/>
          <w:color w:val="000000" w:themeColor="text1"/>
          <w:sz w:val="22"/>
          <w:szCs w:val="22"/>
          <w:lang w:val="en-GB"/>
        </w:rPr>
        <w:t>Recommendations for Health and Social Care Practice</w:t>
      </w:r>
    </w:p>
    <w:p w14:paraId="0F1288B7" w14:textId="77777777" w:rsidR="00A10DF8" w:rsidRPr="00A10DF8" w:rsidRDefault="00A10DF8" w:rsidP="00A10DF8">
      <w:pPr>
        <w:spacing w:after="0" w:line="360" w:lineRule="auto"/>
        <w:rPr>
          <w:rFonts w:ascii="Arial" w:hAnsi="Arial" w:cs="Arial"/>
          <w:color w:val="000000" w:themeColor="text1"/>
          <w:sz w:val="22"/>
          <w:szCs w:val="22"/>
          <w:lang w:val="en-GB"/>
        </w:rPr>
      </w:pPr>
      <w:r w:rsidRPr="00A10DF8">
        <w:rPr>
          <w:rFonts w:ascii="Arial" w:hAnsi="Arial" w:cs="Arial"/>
          <w:color w:val="000000" w:themeColor="text1"/>
          <w:sz w:val="22"/>
          <w:szCs w:val="22"/>
          <w:lang w:val="en-GB"/>
        </w:rPr>
        <w:t xml:space="preserve">Health and social care organisations should strengthen cultural competence through regular education and training to improve professionals' understanding of diverse cultural beliefs </w:t>
      </w:r>
      <w:r w:rsidRPr="00A10DF8">
        <w:rPr>
          <w:rFonts w:ascii="Arial" w:hAnsi="Arial" w:cs="Arial"/>
          <w:color w:val="000000" w:themeColor="text1"/>
          <w:sz w:val="22"/>
          <w:szCs w:val="22"/>
          <w:lang w:val="en-GB"/>
        </w:rPr>
        <w:lastRenderedPageBreak/>
        <w:t>surrounding bereavement, grief and mental health (NHS England, 2019). Professionals should adopt person-centred approaches that recognise the influence of cultural, religious and social factors while ensuring assessments remain sensitive to individual needs (National Institute for Health and Care Excellence, 2018). Services should also improve access to professional interpreters, culturally appropriate information and collaborative working with community and faith organisations to encourage earlier engagement with bereavement support (Mayland et al., 2021).</w:t>
      </w:r>
    </w:p>
    <w:p w14:paraId="2A36D1C6" w14:textId="77777777" w:rsidR="00A10DF8" w:rsidRPr="00A10DF8" w:rsidRDefault="00A10DF8" w:rsidP="00A10DF8">
      <w:pPr>
        <w:spacing w:after="0" w:line="360" w:lineRule="auto"/>
        <w:rPr>
          <w:rFonts w:cstheme="minorHAnsi"/>
          <w:b/>
          <w:bCs/>
          <w:color w:val="000000" w:themeColor="text1"/>
          <w:sz w:val="22"/>
          <w:szCs w:val="22"/>
          <w:lang w:val="en-GB"/>
        </w:rPr>
      </w:pPr>
    </w:p>
    <w:p w14:paraId="55138256" w14:textId="501F58D8" w:rsidR="00A10DF8" w:rsidRPr="00A10DF8" w:rsidRDefault="00A10DF8" w:rsidP="00A10DF8">
      <w:pPr>
        <w:spacing w:after="0" w:line="360" w:lineRule="auto"/>
        <w:rPr>
          <w:rFonts w:cstheme="minorHAnsi"/>
          <w:b/>
          <w:bCs/>
          <w:color w:val="000000" w:themeColor="text1"/>
          <w:sz w:val="22"/>
          <w:szCs w:val="22"/>
          <w:lang w:val="en-GB"/>
        </w:rPr>
      </w:pPr>
      <w:r>
        <w:rPr>
          <w:rFonts w:cstheme="minorHAnsi"/>
          <w:b/>
          <w:bCs/>
          <w:color w:val="000000" w:themeColor="text1"/>
          <w:sz w:val="22"/>
          <w:szCs w:val="22"/>
          <w:lang w:val="en-GB"/>
        </w:rPr>
        <w:t xml:space="preserve">6.3 </w:t>
      </w:r>
      <w:r w:rsidRPr="00A10DF8">
        <w:rPr>
          <w:rFonts w:cstheme="minorHAnsi"/>
          <w:b/>
          <w:bCs/>
          <w:color w:val="000000" w:themeColor="text1"/>
          <w:sz w:val="22"/>
          <w:szCs w:val="22"/>
          <w:lang w:val="en-GB"/>
        </w:rPr>
        <w:t>Recommendations for Policy</w:t>
      </w:r>
    </w:p>
    <w:p w14:paraId="687BFD5F" w14:textId="77777777" w:rsidR="00A10DF8" w:rsidRDefault="00A10DF8" w:rsidP="00A10DF8">
      <w:pPr>
        <w:spacing w:after="0" w:line="360" w:lineRule="auto"/>
        <w:rPr>
          <w:rFonts w:cstheme="minorHAnsi"/>
          <w:b/>
          <w:bCs/>
          <w:color w:val="000000" w:themeColor="text1"/>
          <w:sz w:val="22"/>
          <w:szCs w:val="22"/>
          <w:lang w:val="en-GB"/>
        </w:rPr>
      </w:pPr>
      <w:r w:rsidRPr="00A10DF8">
        <w:rPr>
          <w:rFonts w:cstheme="minorHAnsi"/>
          <w:color w:val="000000" w:themeColor="text1"/>
          <w:sz w:val="22"/>
          <w:szCs w:val="22"/>
          <w:lang w:val="en-GB"/>
        </w:rPr>
        <w:t>Policy makers should continue to reduce inequalities in access to bereavement and mental health services for ethnic minority communities in line with the Equality Act 2010 and the NHS Long Term Plan (HM Government, 2010; NHS England, 2019). Healthcare organisations should monitor service accessibility and outcomes across ethnic groups to identify inequalities and inform service improvement (Roberts et al., 2011). National policy should continue to promote culturally responsive care and meaningful engagement with local communities during the planning and delivery of bereavement services (National Institute for Health and Care Excellence, 2018).</w:t>
      </w:r>
    </w:p>
    <w:p w14:paraId="52B523A3" w14:textId="77777777" w:rsidR="00A10DF8" w:rsidRPr="00A10DF8" w:rsidRDefault="00A10DF8" w:rsidP="00A10DF8">
      <w:pPr>
        <w:spacing w:after="0" w:line="360" w:lineRule="auto"/>
        <w:rPr>
          <w:rFonts w:cstheme="minorHAnsi"/>
          <w:b/>
          <w:bCs/>
          <w:color w:val="000000" w:themeColor="text1"/>
          <w:sz w:val="22"/>
          <w:szCs w:val="22"/>
          <w:lang w:val="en-GB"/>
        </w:rPr>
      </w:pPr>
    </w:p>
    <w:p w14:paraId="77B4276F" w14:textId="0174A043" w:rsidR="00A10DF8" w:rsidRPr="00A10DF8" w:rsidRDefault="00A10DF8" w:rsidP="00A10DF8">
      <w:pPr>
        <w:spacing w:after="0" w:line="360" w:lineRule="auto"/>
        <w:rPr>
          <w:rFonts w:cstheme="minorHAnsi"/>
          <w:b/>
          <w:bCs/>
          <w:color w:val="000000" w:themeColor="text1"/>
          <w:sz w:val="22"/>
          <w:szCs w:val="22"/>
          <w:lang w:val="en-GB"/>
        </w:rPr>
      </w:pPr>
      <w:r>
        <w:rPr>
          <w:rFonts w:cstheme="minorHAnsi"/>
          <w:b/>
          <w:bCs/>
          <w:color w:val="000000" w:themeColor="text1"/>
          <w:sz w:val="22"/>
          <w:szCs w:val="22"/>
          <w:lang w:val="en-GB"/>
        </w:rPr>
        <w:t xml:space="preserve">6.4 </w:t>
      </w:r>
      <w:r w:rsidRPr="00A10DF8">
        <w:rPr>
          <w:rFonts w:cstheme="minorHAnsi"/>
          <w:b/>
          <w:bCs/>
          <w:color w:val="000000" w:themeColor="text1"/>
          <w:sz w:val="22"/>
          <w:szCs w:val="22"/>
          <w:lang w:val="en-GB"/>
        </w:rPr>
        <w:t>Recommendations for Future Research</w:t>
      </w:r>
    </w:p>
    <w:p w14:paraId="5559CC2D" w14:textId="77777777" w:rsidR="00A10DF8" w:rsidRPr="00A10DF8" w:rsidRDefault="00A10DF8" w:rsidP="00A10DF8">
      <w:pPr>
        <w:spacing w:after="0" w:line="360" w:lineRule="auto"/>
        <w:rPr>
          <w:rFonts w:cstheme="minorHAnsi"/>
          <w:b/>
          <w:bCs/>
          <w:color w:val="000000" w:themeColor="text1"/>
          <w:sz w:val="22"/>
          <w:szCs w:val="22"/>
          <w:lang w:val="en-GB"/>
        </w:rPr>
      </w:pPr>
      <w:r w:rsidRPr="00A10DF8">
        <w:rPr>
          <w:rFonts w:ascii="Arial" w:hAnsi="Arial" w:cs="Arial"/>
          <w:color w:val="000000" w:themeColor="text1"/>
          <w:sz w:val="22"/>
          <w:szCs w:val="22"/>
          <w:lang w:val="en-GB"/>
        </w:rPr>
        <w:t xml:space="preserve">Future research should investigate bereavement-related PTSD and prolonged grief </w:t>
      </w:r>
      <w:r w:rsidRPr="00A10DF8">
        <w:rPr>
          <w:rFonts w:cstheme="minorHAnsi"/>
          <w:color w:val="000000" w:themeColor="text1"/>
          <w:sz w:val="22"/>
          <w:szCs w:val="22"/>
          <w:lang w:val="en-GB"/>
        </w:rPr>
        <w:t>among ethnic minority women using larger and more diverse UK populations. Additional qualitative and quantitative studies are needed to examine the long-term psychological impact of bereavement, identify barriers to support and evaluate culturally adapted bereavement interventions (Mayland et al., 2021; Morina et al., 2010). Strengthening the evidence base will support more equitable policies and improve bereavement and mental health services for ethnically diverse communities.</w:t>
      </w:r>
    </w:p>
    <w:p w14:paraId="560A08C9" w14:textId="77777777" w:rsidR="005B7121" w:rsidRPr="005B7121" w:rsidRDefault="005B7121" w:rsidP="005B7121">
      <w:pPr>
        <w:spacing w:after="0" w:line="360" w:lineRule="auto"/>
        <w:rPr>
          <w:rFonts w:cstheme="minorHAnsi"/>
          <w:b/>
          <w:bCs/>
          <w:color w:val="000000" w:themeColor="text1"/>
          <w:sz w:val="22"/>
          <w:szCs w:val="22"/>
        </w:rPr>
      </w:pPr>
    </w:p>
    <w:p w14:paraId="47795412" w14:textId="77777777" w:rsidR="005B7121" w:rsidRPr="005B7121" w:rsidRDefault="005B7121" w:rsidP="005B7121">
      <w:pPr>
        <w:spacing w:after="0" w:line="360" w:lineRule="auto"/>
        <w:rPr>
          <w:rFonts w:cstheme="minorHAnsi"/>
          <w:b/>
          <w:bCs/>
          <w:color w:val="000000" w:themeColor="text1"/>
          <w:sz w:val="22"/>
          <w:szCs w:val="22"/>
        </w:rPr>
      </w:pPr>
    </w:p>
    <w:p w14:paraId="1A071F7A" w14:textId="77777777" w:rsidR="005B7121" w:rsidRPr="005B7121" w:rsidRDefault="005B7121" w:rsidP="005B7121">
      <w:pPr>
        <w:spacing w:after="0" w:line="360" w:lineRule="auto"/>
        <w:rPr>
          <w:rFonts w:cstheme="minorHAnsi"/>
          <w:b/>
          <w:bCs/>
          <w:color w:val="000000" w:themeColor="text1"/>
          <w:sz w:val="22"/>
          <w:szCs w:val="22"/>
        </w:rPr>
      </w:pPr>
    </w:p>
    <w:p w14:paraId="618D8541" w14:textId="77777777" w:rsidR="005B7121" w:rsidRPr="005B7121" w:rsidRDefault="005B7121" w:rsidP="005B7121">
      <w:pPr>
        <w:spacing w:after="0" w:line="360" w:lineRule="auto"/>
        <w:rPr>
          <w:rFonts w:cstheme="minorHAnsi"/>
          <w:b/>
          <w:bCs/>
          <w:color w:val="000000" w:themeColor="text1"/>
          <w:sz w:val="22"/>
          <w:szCs w:val="22"/>
        </w:rPr>
      </w:pPr>
    </w:p>
    <w:p w14:paraId="1C5BCCAF" w14:textId="77777777" w:rsidR="005B7121" w:rsidRPr="005B7121" w:rsidRDefault="005B7121" w:rsidP="005B7121">
      <w:pPr>
        <w:spacing w:after="0" w:line="360" w:lineRule="auto"/>
        <w:rPr>
          <w:rFonts w:cstheme="minorHAnsi"/>
          <w:b/>
          <w:bCs/>
          <w:color w:val="000000" w:themeColor="text1"/>
          <w:sz w:val="22"/>
          <w:szCs w:val="22"/>
        </w:rPr>
      </w:pPr>
    </w:p>
    <w:p w14:paraId="7F7A0D96" w14:textId="77777777" w:rsidR="005B7121" w:rsidRPr="005B7121" w:rsidRDefault="005B7121" w:rsidP="005B7121">
      <w:pPr>
        <w:spacing w:after="0" w:line="360" w:lineRule="auto"/>
        <w:rPr>
          <w:rFonts w:cstheme="minorHAnsi"/>
          <w:b/>
          <w:bCs/>
          <w:color w:val="000000" w:themeColor="text1"/>
          <w:sz w:val="22"/>
          <w:szCs w:val="22"/>
        </w:rPr>
      </w:pPr>
    </w:p>
    <w:p w14:paraId="1FF5EC73" w14:textId="77777777" w:rsidR="005B7121" w:rsidRPr="005B7121" w:rsidRDefault="005B7121" w:rsidP="005B7121">
      <w:pPr>
        <w:spacing w:after="0" w:line="360" w:lineRule="auto"/>
        <w:rPr>
          <w:rFonts w:cstheme="minorHAnsi"/>
          <w:b/>
          <w:bCs/>
          <w:color w:val="000000" w:themeColor="text1"/>
          <w:sz w:val="22"/>
          <w:szCs w:val="22"/>
        </w:rPr>
      </w:pPr>
    </w:p>
    <w:p w14:paraId="04389DAC" w14:textId="77777777" w:rsidR="005B7121" w:rsidRPr="005B7121" w:rsidRDefault="005B7121" w:rsidP="005B7121">
      <w:pPr>
        <w:spacing w:after="0" w:line="360" w:lineRule="auto"/>
        <w:rPr>
          <w:rFonts w:cstheme="minorHAnsi"/>
          <w:b/>
          <w:bCs/>
          <w:color w:val="000000" w:themeColor="text1"/>
          <w:sz w:val="22"/>
          <w:szCs w:val="22"/>
        </w:rPr>
      </w:pPr>
    </w:p>
    <w:p w14:paraId="321F68A3" w14:textId="77777777" w:rsidR="005B7121" w:rsidRPr="005B7121" w:rsidRDefault="005B7121" w:rsidP="005B7121">
      <w:pPr>
        <w:spacing w:after="0" w:line="360" w:lineRule="auto"/>
        <w:rPr>
          <w:rFonts w:cstheme="minorHAnsi"/>
          <w:b/>
          <w:bCs/>
          <w:color w:val="000000" w:themeColor="text1"/>
          <w:sz w:val="22"/>
          <w:szCs w:val="22"/>
        </w:rPr>
      </w:pPr>
    </w:p>
    <w:p w14:paraId="2BBB10A6" w14:textId="0AF46031" w:rsidR="22018B77" w:rsidRPr="005B7121" w:rsidRDefault="22018B77" w:rsidP="005B7121">
      <w:pPr>
        <w:pStyle w:val="Heading2"/>
        <w:spacing w:before="0" w:after="0" w:line="360" w:lineRule="auto"/>
        <w:rPr>
          <w:rFonts w:asciiTheme="minorHAnsi" w:eastAsiaTheme="minorEastAsia" w:hAnsiTheme="minorHAnsi" w:cstheme="minorHAnsi"/>
          <w:color w:val="000000" w:themeColor="text1"/>
          <w:sz w:val="24"/>
          <w:szCs w:val="24"/>
        </w:rPr>
      </w:pPr>
    </w:p>
    <w:p w14:paraId="2DC64FDC" w14:textId="33322079" w:rsidR="1D8BF0DD" w:rsidRPr="005B7121" w:rsidRDefault="1D8BF0DD" w:rsidP="005B7121">
      <w:pPr>
        <w:pStyle w:val="Heading2"/>
        <w:spacing w:before="0" w:after="0" w:line="360" w:lineRule="auto"/>
        <w:rPr>
          <w:rFonts w:asciiTheme="minorHAnsi" w:eastAsiaTheme="minorEastAsia" w:hAnsiTheme="minorHAnsi" w:cstheme="minorHAnsi"/>
          <w:b/>
          <w:bCs/>
          <w:color w:val="000000" w:themeColor="text1"/>
          <w:sz w:val="24"/>
          <w:szCs w:val="24"/>
        </w:rPr>
      </w:pPr>
      <w:r w:rsidRPr="005B7121">
        <w:rPr>
          <w:rFonts w:asciiTheme="minorHAnsi" w:eastAsiaTheme="minorEastAsia" w:hAnsiTheme="minorHAnsi" w:cstheme="minorHAnsi"/>
          <w:b/>
          <w:bCs/>
          <w:color w:val="000000" w:themeColor="text1"/>
          <w:sz w:val="24"/>
          <w:szCs w:val="24"/>
        </w:rPr>
        <w:t xml:space="preserve">References </w:t>
      </w:r>
    </w:p>
    <w:p w14:paraId="5D9A9F51"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Arksey, H. and O'Malley, L. (2005) ‘Scoping studies: towards a methodological framework’, </w:t>
      </w:r>
      <w:r w:rsidRPr="005B7121">
        <w:rPr>
          <w:rFonts w:ascii="Arial" w:hAnsi="Arial" w:cs="Arial"/>
          <w:i/>
          <w:iCs/>
          <w:sz w:val="22"/>
          <w:szCs w:val="22"/>
          <w:lang w:val="en-GB"/>
        </w:rPr>
        <w:t>International Journal of Social Research Methodology</w:t>
      </w:r>
      <w:r w:rsidRPr="005B7121">
        <w:rPr>
          <w:rFonts w:ascii="Arial" w:hAnsi="Arial" w:cs="Arial"/>
          <w:sz w:val="22"/>
          <w:szCs w:val="22"/>
          <w:lang w:val="en-GB"/>
        </w:rPr>
        <w:t>, 8(1), pp. 19–32.</w:t>
      </w:r>
    </w:p>
    <w:p w14:paraId="0FDEC9B6"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Aveyard, H. (2019) </w:t>
      </w:r>
      <w:r w:rsidRPr="005B7121">
        <w:rPr>
          <w:rFonts w:ascii="Arial" w:hAnsi="Arial" w:cs="Arial"/>
          <w:i/>
          <w:iCs/>
          <w:sz w:val="22"/>
          <w:szCs w:val="22"/>
          <w:lang w:val="en-GB"/>
        </w:rPr>
        <w:t>Doing a Literature Review in Health and Social Care: A Practical Guide</w:t>
      </w:r>
      <w:r w:rsidRPr="005B7121">
        <w:rPr>
          <w:rFonts w:ascii="Arial" w:hAnsi="Arial" w:cs="Arial"/>
          <w:sz w:val="22"/>
          <w:szCs w:val="22"/>
          <w:lang w:val="en-GB"/>
        </w:rPr>
        <w:t xml:space="preserve">. 4th </w:t>
      </w:r>
      <w:proofErr w:type="spellStart"/>
      <w:r w:rsidRPr="005B7121">
        <w:rPr>
          <w:rFonts w:ascii="Arial" w:hAnsi="Arial" w:cs="Arial"/>
          <w:sz w:val="22"/>
          <w:szCs w:val="22"/>
          <w:lang w:val="en-GB"/>
        </w:rPr>
        <w:t>edn</w:t>
      </w:r>
      <w:proofErr w:type="spellEnd"/>
      <w:r w:rsidRPr="005B7121">
        <w:rPr>
          <w:rFonts w:ascii="Arial" w:hAnsi="Arial" w:cs="Arial"/>
          <w:sz w:val="22"/>
          <w:szCs w:val="22"/>
          <w:lang w:val="en-GB"/>
        </w:rPr>
        <w:t>. Maidenhead: Open University Press.</w:t>
      </w:r>
    </w:p>
    <w:p w14:paraId="70ECF214" w14:textId="77777777" w:rsidR="005B7121" w:rsidRPr="005B7121" w:rsidRDefault="005B7121" w:rsidP="005B7121">
      <w:pPr>
        <w:spacing w:line="360" w:lineRule="auto"/>
        <w:jc w:val="both"/>
        <w:rPr>
          <w:rFonts w:ascii="Arial" w:hAnsi="Arial" w:cs="Arial"/>
          <w:sz w:val="22"/>
          <w:szCs w:val="22"/>
          <w:lang w:val="en-GB"/>
        </w:rPr>
      </w:pPr>
      <w:proofErr w:type="spellStart"/>
      <w:r w:rsidRPr="005B7121">
        <w:rPr>
          <w:rFonts w:ascii="Arial" w:hAnsi="Arial" w:cs="Arial"/>
          <w:sz w:val="22"/>
          <w:szCs w:val="22"/>
          <w:lang w:val="en-GB"/>
        </w:rPr>
        <w:t>Boelen</w:t>
      </w:r>
      <w:proofErr w:type="spellEnd"/>
      <w:r w:rsidRPr="005B7121">
        <w:rPr>
          <w:rFonts w:ascii="Arial" w:hAnsi="Arial" w:cs="Arial"/>
          <w:sz w:val="22"/>
          <w:szCs w:val="22"/>
          <w:lang w:val="en-GB"/>
        </w:rPr>
        <w:t xml:space="preserve">, P.A., </w:t>
      </w:r>
      <w:proofErr w:type="spellStart"/>
      <w:r w:rsidRPr="005B7121">
        <w:rPr>
          <w:rFonts w:ascii="Arial" w:hAnsi="Arial" w:cs="Arial"/>
          <w:sz w:val="22"/>
          <w:szCs w:val="22"/>
          <w:lang w:val="en-GB"/>
        </w:rPr>
        <w:t>Lenferink</w:t>
      </w:r>
      <w:proofErr w:type="spellEnd"/>
      <w:r w:rsidRPr="005B7121">
        <w:rPr>
          <w:rFonts w:ascii="Arial" w:hAnsi="Arial" w:cs="Arial"/>
          <w:sz w:val="22"/>
          <w:szCs w:val="22"/>
          <w:lang w:val="en-GB"/>
        </w:rPr>
        <w:t xml:space="preserve">, L.I.M., Nickerson, A. and Smid, G.E. (2020) ‘Evaluation of distinctiveness of symptoms of prolonged grief, PTSD and depression after bereavement’, </w:t>
      </w:r>
      <w:r w:rsidRPr="005B7121">
        <w:rPr>
          <w:rFonts w:ascii="Arial" w:hAnsi="Arial" w:cs="Arial"/>
          <w:i/>
          <w:iCs/>
          <w:sz w:val="22"/>
          <w:szCs w:val="22"/>
          <w:lang w:val="en-GB"/>
        </w:rPr>
        <w:t>Journal of Affective Disorders</w:t>
      </w:r>
      <w:r w:rsidRPr="005B7121">
        <w:rPr>
          <w:rFonts w:ascii="Arial" w:hAnsi="Arial" w:cs="Arial"/>
          <w:sz w:val="22"/>
          <w:szCs w:val="22"/>
          <w:lang w:val="en-GB"/>
        </w:rPr>
        <w:t>, 268, pp. 1–7. Available at: https://doi.org/10.1016/j.jad.2020.02.016</w:t>
      </w:r>
    </w:p>
    <w:p w14:paraId="4D0FD47D"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Conneely, M., Packer, K.C., Bicknell, S., Janković, J., </w:t>
      </w:r>
      <w:proofErr w:type="spellStart"/>
      <w:r w:rsidRPr="005B7121">
        <w:rPr>
          <w:rFonts w:ascii="Arial" w:hAnsi="Arial" w:cs="Arial"/>
          <w:sz w:val="22"/>
          <w:szCs w:val="22"/>
          <w:lang w:val="en-GB"/>
        </w:rPr>
        <w:t>Sihre</w:t>
      </w:r>
      <w:proofErr w:type="spellEnd"/>
      <w:r w:rsidRPr="005B7121">
        <w:rPr>
          <w:rFonts w:ascii="Arial" w:hAnsi="Arial" w:cs="Arial"/>
          <w:sz w:val="22"/>
          <w:szCs w:val="22"/>
          <w:lang w:val="en-GB"/>
        </w:rPr>
        <w:t xml:space="preserve">, H.K., McCabe, R., Copello, A., Bains, K., Priebe, S., Spruce, A. and Jovanović, N. (2023) ‘Exploring Black and South Asian women’s experiences of help-seeking and engagement in perinatal mental health services in the UK’, </w:t>
      </w:r>
      <w:r w:rsidRPr="005B7121">
        <w:rPr>
          <w:rFonts w:ascii="Arial" w:hAnsi="Arial" w:cs="Arial"/>
          <w:i/>
          <w:iCs/>
          <w:sz w:val="22"/>
          <w:szCs w:val="22"/>
          <w:lang w:val="en-GB"/>
        </w:rPr>
        <w:t>Frontiers in Psychiatry</w:t>
      </w:r>
      <w:r w:rsidRPr="005B7121">
        <w:rPr>
          <w:rFonts w:ascii="Arial" w:hAnsi="Arial" w:cs="Arial"/>
          <w:sz w:val="22"/>
          <w:szCs w:val="22"/>
          <w:lang w:val="en-GB"/>
        </w:rPr>
        <w:t xml:space="preserve">, 14, 1119998. Available at: </w:t>
      </w:r>
      <w:hyperlink r:id="rId8" w:tgtFrame="_new" w:history="1">
        <w:r w:rsidRPr="005B7121">
          <w:rPr>
            <w:rStyle w:val="Hyperlink"/>
            <w:rFonts w:ascii="Arial" w:hAnsi="Arial" w:cs="Arial"/>
            <w:sz w:val="22"/>
            <w:szCs w:val="22"/>
            <w:lang w:val="en-GB"/>
          </w:rPr>
          <w:t>https://doi.org/10.3389/fpsyt.2023.1119998</w:t>
        </w:r>
      </w:hyperlink>
    </w:p>
    <w:p w14:paraId="7357968D"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Garcia, R., Ali, N., Griffiths, M. and Randhawa, G. (2020) ‘A qualitative study exploring the experiences of bereavement after stillbirth in Pakistani, Bangladeshi and White British mothers living in Luton, UK’, </w:t>
      </w:r>
      <w:r w:rsidRPr="005B7121">
        <w:rPr>
          <w:rFonts w:ascii="Arial" w:hAnsi="Arial" w:cs="Arial"/>
          <w:i/>
          <w:iCs/>
          <w:sz w:val="22"/>
          <w:szCs w:val="22"/>
          <w:lang w:val="en-GB"/>
        </w:rPr>
        <w:t>Midwifery</w:t>
      </w:r>
      <w:r w:rsidRPr="005B7121">
        <w:rPr>
          <w:rFonts w:ascii="Arial" w:hAnsi="Arial" w:cs="Arial"/>
          <w:sz w:val="22"/>
          <w:szCs w:val="22"/>
          <w:lang w:val="en-GB"/>
        </w:rPr>
        <w:t>, 91, 102833. Available at: https://doi.org/10.1016/j.midw.2020.102833</w:t>
      </w:r>
    </w:p>
    <w:p w14:paraId="02378295"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HM Government (2010) </w:t>
      </w:r>
      <w:r w:rsidRPr="005B7121">
        <w:rPr>
          <w:rFonts w:ascii="Arial" w:hAnsi="Arial" w:cs="Arial"/>
          <w:i/>
          <w:iCs/>
          <w:sz w:val="22"/>
          <w:szCs w:val="22"/>
          <w:lang w:val="en-GB"/>
        </w:rPr>
        <w:t>Equality Act 2010</w:t>
      </w:r>
      <w:r w:rsidRPr="005B7121">
        <w:rPr>
          <w:rFonts w:ascii="Arial" w:hAnsi="Arial" w:cs="Arial"/>
          <w:sz w:val="22"/>
          <w:szCs w:val="22"/>
          <w:lang w:val="en-GB"/>
        </w:rPr>
        <w:t xml:space="preserve">. Available at: </w:t>
      </w:r>
      <w:hyperlink r:id="rId9" w:tgtFrame="_new" w:history="1">
        <w:r w:rsidRPr="005B7121">
          <w:rPr>
            <w:rStyle w:val="Hyperlink"/>
            <w:rFonts w:ascii="Arial" w:hAnsi="Arial" w:cs="Arial"/>
            <w:sz w:val="22"/>
            <w:szCs w:val="22"/>
            <w:lang w:val="en-GB"/>
          </w:rPr>
          <w:t>https://www.legislation.gov.uk/ukpga/2010/15/contents</w:t>
        </w:r>
      </w:hyperlink>
      <w:r w:rsidRPr="005B7121">
        <w:rPr>
          <w:rFonts w:ascii="Arial" w:hAnsi="Arial" w:cs="Arial"/>
          <w:sz w:val="22"/>
          <w:szCs w:val="22"/>
          <w:lang w:val="en-GB"/>
        </w:rPr>
        <w:t xml:space="preserve"> (Accessed: 17 July 2026).</w:t>
      </w:r>
    </w:p>
    <w:p w14:paraId="26993C36"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HM Government (2012) </w:t>
      </w:r>
      <w:r w:rsidRPr="005B7121">
        <w:rPr>
          <w:rFonts w:ascii="Arial" w:hAnsi="Arial" w:cs="Arial"/>
          <w:i/>
          <w:iCs/>
          <w:sz w:val="22"/>
          <w:szCs w:val="22"/>
          <w:lang w:val="en-GB"/>
        </w:rPr>
        <w:t>Health and Social Care Act 2012</w:t>
      </w:r>
      <w:r w:rsidRPr="005B7121">
        <w:rPr>
          <w:rFonts w:ascii="Arial" w:hAnsi="Arial" w:cs="Arial"/>
          <w:sz w:val="22"/>
          <w:szCs w:val="22"/>
          <w:lang w:val="en-GB"/>
        </w:rPr>
        <w:t xml:space="preserve">. Available at: </w:t>
      </w:r>
      <w:hyperlink r:id="rId10" w:tgtFrame="_new" w:history="1">
        <w:r w:rsidRPr="005B7121">
          <w:rPr>
            <w:rStyle w:val="Hyperlink"/>
            <w:rFonts w:ascii="Arial" w:hAnsi="Arial" w:cs="Arial"/>
            <w:sz w:val="22"/>
            <w:szCs w:val="22"/>
            <w:lang w:val="en-GB"/>
          </w:rPr>
          <w:t>https://www.legislation.gov.uk/ukpga/2012/7/contents</w:t>
        </w:r>
      </w:hyperlink>
      <w:r w:rsidRPr="005B7121">
        <w:rPr>
          <w:rFonts w:ascii="Arial" w:hAnsi="Arial" w:cs="Arial"/>
          <w:sz w:val="22"/>
          <w:szCs w:val="22"/>
          <w:lang w:val="en-GB"/>
        </w:rPr>
        <w:t xml:space="preserve"> (Accessed: 17 July 2026).</w:t>
      </w:r>
    </w:p>
    <w:p w14:paraId="5FA7B24B"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Koffman, J., Donaldson, N., </w:t>
      </w:r>
      <w:proofErr w:type="spellStart"/>
      <w:r w:rsidRPr="005B7121">
        <w:rPr>
          <w:rFonts w:ascii="Arial" w:hAnsi="Arial" w:cs="Arial"/>
          <w:sz w:val="22"/>
          <w:szCs w:val="22"/>
          <w:lang w:val="en-GB"/>
        </w:rPr>
        <w:t>Hotopf</w:t>
      </w:r>
      <w:proofErr w:type="spellEnd"/>
      <w:r w:rsidRPr="005B7121">
        <w:rPr>
          <w:rFonts w:ascii="Arial" w:hAnsi="Arial" w:cs="Arial"/>
          <w:sz w:val="22"/>
          <w:szCs w:val="22"/>
          <w:lang w:val="en-GB"/>
        </w:rPr>
        <w:t xml:space="preserve">, M. and Higginson, I.J. (2005) ‘Does ethnicity matter? Bereavement outcomes in two ethnic groups living in the United Kingdom’, </w:t>
      </w:r>
      <w:r w:rsidRPr="005B7121">
        <w:rPr>
          <w:rFonts w:ascii="Arial" w:hAnsi="Arial" w:cs="Arial"/>
          <w:i/>
          <w:iCs/>
          <w:sz w:val="22"/>
          <w:szCs w:val="22"/>
          <w:lang w:val="en-GB"/>
        </w:rPr>
        <w:t>Palliative and Supportive Care</w:t>
      </w:r>
      <w:r w:rsidRPr="005B7121">
        <w:rPr>
          <w:rFonts w:ascii="Arial" w:hAnsi="Arial" w:cs="Arial"/>
          <w:sz w:val="22"/>
          <w:szCs w:val="22"/>
          <w:lang w:val="en-GB"/>
        </w:rPr>
        <w:t>, 3(3), pp. 183–190. Available at: https://doi.org/10.1017/S1478951505050290</w:t>
      </w:r>
    </w:p>
    <w:p w14:paraId="3F6FCD73"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Mayland, C.R., Powell, R.A., Clarke, G.C., </w:t>
      </w:r>
      <w:proofErr w:type="spellStart"/>
      <w:r w:rsidRPr="005B7121">
        <w:rPr>
          <w:rFonts w:ascii="Arial" w:hAnsi="Arial" w:cs="Arial"/>
          <w:sz w:val="22"/>
          <w:szCs w:val="22"/>
          <w:lang w:val="en-GB"/>
        </w:rPr>
        <w:t>Ebenso</w:t>
      </w:r>
      <w:proofErr w:type="spellEnd"/>
      <w:r w:rsidRPr="005B7121">
        <w:rPr>
          <w:rFonts w:ascii="Arial" w:hAnsi="Arial" w:cs="Arial"/>
          <w:sz w:val="22"/>
          <w:szCs w:val="22"/>
          <w:lang w:val="en-GB"/>
        </w:rPr>
        <w:t xml:space="preserve">, B. and Allsop, M.J. (2021) ‘Bereavement care for ethnic minority communities: A systematic review of access to, models of, outcomes from, and satisfaction with service provision’, </w:t>
      </w:r>
      <w:r w:rsidRPr="005B7121">
        <w:rPr>
          <w:rFonts w:ascii="Arial" w:hAnsi="Arial" w:cs="Arial"/>
          <w:i/>
          <w:iCs/>
          <w:sz w:val="22"/>
          <w:szCs w:val="22"/>
          <w:lang w:val="en-GB"/>
        </w:rPr>
        <w:t>PLOS ONE</w:t>
      </w:r>
      <w:r w:rsidRPr="005B7121">
        <w:rPr>
          <w:rFonts w:ascii="Arial" w:hAnsi="Arial" w:cs="Arial"/>
          <w:sz w:val="22"/>
          <w:szCs w:val="22"/>
          <w:lang w:val="en-GB"/>
        </w:rPr>
        <w:t xml:space="preserve">, 16(6), e0252188. Available at: </w:t>
      </w:r>
      <w:hyperlink r:id="rId11" w:tgtFrame="_new" w:history="1">
        <w:r w:rsidRPr="005B7121">
          <w:rPr>
            <w:rStyle w:val="Hyperlink"/>
            <w:rFonts w:ascii="Arial" w:hAnsi="Arial" w:cs="Arial"/>
            <w:sz w:val="22"/>
            <w:szCs w:val="22"/>
            <w:lang w:val="en-GB"/>
          </w:rPr>
          <w:t>https://doi.org/10.1371/journal.pone.0252188</w:t>
        </w:r>
      </w:hyperlink>
    </w:p>
    <w:p w14:paraId="3F298553"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lastRenderedPageBreak/>
        <w:t xml:space="preserve">Morina, N., Rudari, V., Bleichhardt, G. and </w:t>
      </w:r>
      <w:proofErr w:type="spellStart"/>
      <w:r w:rsidRPr="005B7121">
        <w:rPr>
          <w:rFonts w:ascii="Arial" w:hAnsi="Arial" w:cs="Arial"/>
          <w:sz w:val="22"/>
          <w:szCs w:val="22"/>
          <w:lang w:val="en-GB"/>
        </w:rPr>
        <w:t>Prigerson</w:t>
      </w:r>
      <w:proofErr w:type="spellEnd"/>
      <w:r w:rsidRPr="005B7121">
        <w:rPr>
          <w:rFonts w:ascii="Arial" w:hAnsi="Arial" w:cs="Arial"/>
          <w:sz w:val="22"/>
          <w:szCs w:val="22"/>
          <w:lang w:val="en-GB"/>
        </w:rPr>
        <w:t xml:space="preserve">, H.G. (2010) ‘Prolonged grief disorder, depression and PTSD among bereaved survivors’, </w:t>
      </w:r>
      <w:r w:rsidRPr="005B7121">
        <w:rPr>
          <w:rFonts w:ascii="Arial" w:hAnsi="Arial" w:cs="Arial"/>
          <w:i/>
          <w:iCs/>
          <w:sz w:val="22"/>
          <w:szCs w:val="22"/>
          <w:lang w:val="en-GB"/>
        </w:rPr>
        <w:t>BMC Psychiatry</w:t>
      </w:r>
      <w:r w:rsidRPr="005B7121">
        <w:rPr>
          <w:rFonts w:ascii="Arial" w:hAnsi="Arial" w:cs="Arial"/>
          <w:sz w:val="22"/>
          <w:szCs w:val="22"/>
          <w:lang w:val="en-GB"/>
        </w:rPr>
        <w:t xml:space="preserve">, 10, p. 88. Available at: </w:t>
      </w:r>
      <w:hyperlink r:id="rId12" w:tgtFrame="_new" w:history="1">
        <w:r w:rsidRPr="005B7121">
          <w:rPr>
            <w:rStyle w:val="Hyperlink"/>
            <w:rFonts w:ascii="Arial" w:hAnsi="Arial" w:cs="Arial"/>
            <w:sz w:val="22"/>
            <w:szCs w:val="22"/>
            <w:lang w:val="en-GB"/>
          </w:rPr>
          <w:t>https://doi.org/10.1186/1471-244X-10-88</w:t>
        </w:r>
      </w:hyperlink>
    </w:p>
    <w:p w14:paraId="36ECA51C"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National Institute for Health and Care Excellence (2018) </w:t>
      </w:r>
      <w:r w:rsidRPr="005B7121">
        <w:rPr>
          <w:rFonts w:ascii="Arial" w:hAnsi="Arial" w:cs="Arial"/>
          <w:i/>
          <w:iCs/>
          <w:sz w:val="22"/>
          <w:szCs w:val="22"/>
          <w:lang w:val="en-GB"/>
        </w:rPr>
        <w:t>Post-traumatic stress disorder (NG116).</w:t>
      </w:r>
      <w:r w:rsidRPr="005B7121">
        <w:rPr>
          <w:rFonts w:ascii="Arial" w:hAnsi="Arial" w:cs="Arial"/>
          <w:sz w:val="22"/>
          <w:szCs w:val="22"/>
          <w:lang w:val="en-GB"/>
        </w:rPr>
        <w:t xml:space="preserve"> Available at: </w:t>
      </w:r>
      <w:hyperlink r:id="rId13" w:tgtFrame="_new" w:history="1">
        <w:r w:rsidRPr="005B7121">
          <w:rPr>
            <w:rStyle w:val="Hyperlink"/>
            <w:rFonts w:ascii="Arial" w:hAnsi="Arial" w:cs="Arial"/>
            <w:sz w:val="22"/>
            <w:szCs w:val="22"/>
            <w:lang w:val="en-GB"/>
          </w:rPr>
          <w:t>https://www.nice.org.uk/guidance/ng116</w:t>
        </w:r>
      </w:hyperlink>
      <w:r w:rsidRPr="005B7121">
        <w:rPr>
          <w:rFonts w:ascii="Arial" w:hAnsi="Arial" w:cs="Arial"/>
          <w:sz w:val="22"/>
          <w:szCs w:val="22"/>
          <w:lang w:val="en-GB"/>
        </w:rPr>
        <w:t xml:space="preserve"> (Accessed: 17 July 2026).</w:t>
      </w:r>
    </w:p>
    <w:p w14:paraId="2F86E27D"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NHS Digital (2023) </w:t>
      </w:r>
      <w:r w:rsidRPr="005B7121">
        <w:rPr>
          <w:rFonts w:ascii="Arial" w:hAnsi="Arial" w:cs="Arial"/>
          <w:i/>
          <w:iCs/>
          <w:sz w:val="22"/>
          <w:szCs w:val="22"/>
          <w:lang w:val="en-GB"/>
        </w:rPr>
        <w:t>Adult Psychiatric Morbidity Survey: Mental health and wellbeing in England</w:t>
      </w:r>
      <w:r w:rsidRPr="005B7121">
        <w:rPr>
          <w:rFonts w:ascii="Arial" w:hAnsi="Arial" w:cs="Arial"/>
          <w:sz w:val="22"/>
          <w:szCs w:val="22"/>
          <w:lang w:val="en-GB"/>
        </w:rPr>
        <w:t xml:space="preserve">. Available at: </w:t>
      </w:r>
      <w:hyperlink r:id="rId14" w:tgtFrame="_new" w:history="1">
        <w:r w:rsidRPr="005B7121">
          <w:rPr>
            <w:rStyle w:val="Hyperlink"/>
            <w:rFonts w:ascii="Arial" w:hAnsi="Arial" w:cs="Arial"/>
            <w:sz w:val="22"/>
            <w:szCs w:val="22"/>
            <w:lang w:val="en-GB"/>
          </w:rPr>
          <w:t>https://digital.nhs.uk</w:t>
        </w:r>
      </w:hyperlink>
      <w:r w:rsidRPr="005B7121">
        <w:rPr>
          <w:rFonts w:ascii="Arial" w:hAnsi="Arial" w:cs="Arial"/>
          <w:sz w:val="22"/>
          <w:szCs w:val="22"/>
          <w:lang w:val="en-GB"/>
        </w:rPr>
        <w:t xml:space="preserve"> (Accessed: 17 July 2026).</w:t>
      </w:r>
    </w:p>
    <w:p w14:paraId="64AB9B8B"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NHS England (2019) </w:t>
      </w:r>
      <w:r w:rsidRPr="005B7121">
        <w:rPr>
          <w:rFonts w:ascii="Arial" w:hAnsi="Arial" w:cs="Arial"/>
          <w:i/>
          <w:iCs/>
          <w:sz w:val="22"/>
          <w:szCs w:val="22"/>
          <w:lang w:val="en-GB"/>
        </w:rPr>
        <w:t>The NHS Long Term Plan</w:t>
      </w:r>
      <w:r w:rsidRPr="005B7121">
        <w:rPr>
          <w:rFonts w:ascii="Arial" w:hAnsi="Arial" w:cs="Arial"/>
          <w:sz w:val="22"/>
          <w:szCs w:val="22"/>
          <w:lang w:val="en-GB"/>
        </w:rPr>
        <w:t xml:space="preserve">. Available at: </w:t>
      </w:r>
      <w:hyperlink r:id="rId15" w:tgtFrame="_new" w:history="1">
        <w:r w:rsidRPr="005B7121">
          <w:rPr>
            <w:rStyle w:val="Hyperlink"/>
            <w:rFonts w:ascii="Arial" w:hAnsi="Arial" w:cs="Arial"/>
            <w:sz w:val="22"/>
            <w:szCs w:val="22"/>
            <w:lang w:val="en-GB"/>
          </w:rPr>
          <w:t>https://www.longtermplan.nhs.uk</w:t>
        </w:r>
      </w:hyperlink>
      <w:r w:rsidRPr="005B7121">
        <w:rPr>
          <w:rFonts w:ascii="Arial" w:hAnsi="Arial" w:cs="Arial"/>
          <w:sz w:val="22"/>
          <w:szCs w:val="22"/>
          <w:lang w:val="en-GB"/>
        </w:rPr>
        <w:t xml:space="preserve"> (Accessed: 17 July 2026).</w:t>
      </w:r>
    </w:p>
    <w:p w14:paraId="267AFDF0"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Office for National Statistics (2022) </w:t>
      </w:r>
      <w:r w:rsidRPr="005B7121">
        <w:rPr>
          <w:rFonts w:ascii="Arial" w:hAnsi="Arial" w:cs="Arial"/>
          <w:i/>
          <w:iCs/>
          <w:sz w:val="22"/>
          <w:szCs w:val="22"/>
          <w:lang w:val="en-GB"/>
        </w:rPr>
        <w:t>Ethnic group and religion in England and Wales: Census 2021</w:t>
      </w:r>
      <w:r w:rsidRPr="005B7121">
        <w:rPr>
          <w:rFonts w:ascii="Arial" w:hAnsi="Arial" w:cs="Arial"/>
          <w:sz w:val="22"/>
          <w:szCs w:val="22"/>
          <w:lang w:val="en-GB"/>
        </w:rPr>
        <w:t xml:space="preserve">. Available at: </w:t>
      </w:r>
      <w:hyperlink r:id="rId16" w:tgtFrame="_new" w:history="1">
        <w:r w:rsidRPr="005B7121">
          <w:rPr>
            <w:rStyle w:val="Hyperlink"/>
            <w:rFonts w:ascii="Arial" w:hAnsi="Arial" w:cs="Arial"/>
            <w:sz w:val="22"/>
            <w:szCs w:val="22"/>
            <w:lang w:val="en-GB"/>
          </w:rPr>
          <w:t>https://www.ons.gov.uk</w:t>
        </w:r>
      </w:hyperlink>
      <w:r w:rsidRPr="005B7121">
        <w:rPr>
          <w:rFonts w:ascii="Arial" w:hAnsi="Arial" w:cs="Arial"/>
          <w:sz w:val="22"/>
          <w:szCs w:val="22"/>
          <w:lang w:val="en-GB"/>
        </w:rPr>
        <w:t xml:space="preserve"> (Accessed: 17 July 2026).</w:t>
      </w:r>
    </w:p>
    <w:p w14:paraId="576C9CE1"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Peters, M.D.J., Godfrey, C., McInerney, P., Munn, Z., </w:t>
      </w:r>
      <w:proofErr w:type="spellStart"/>
      <w:r w:rsidRPr="005B7121">
        <w:rPr>
          <w:rFonts w:ascii="Arial" w:hAnsi="Arial" w:cs="Arial"/>
          <w:sz w:val="22"/>
          <w:szCs w:val="22"/>
          <w:lang w:val="en-GB"/>
        </w:rPr>
        <w:t>Tricco</w:t>
      </w:r>
      <w:proofErr w:type="spellEnd"/>
      <w:r w:rsidRPr="005B7121">
        <w:rPr>
          <w:rFonts w:ascii="Arial" w:hAnsi="Arial" w:cs="Arial"/>
          <w:sz w:val="22"/>
          <w:szCs w:val="22"/>
          <w:lang w:val="en-GB"/>
        </w:rPr>
        <w:t xml:space="preserve">, A.C. and Khalil, H. (2020) ‘Chapter 11: Scoping Reviews’, in </w:t>
      </w:r>
      <w:proofErr w:type="spellStart"/>
      <w:r w:rsidRPr="005B7121">
        <w:rPr>
          <w:rFonts w:ascii="Arial" w:hAnsi="Arial" w:cs="Arial"/>
          <w:sz w:val="22"/>
          <w:szCs w:val="22"/>
          <w:lang w:val="en-GB"/>
        </w:rPr>
        <w:t>Aromataris</w:t>
      </w:r>
      <w:proofErr w:type="spellEnd"/>
      <w:r w:rsidRPr="005B7121">
        <w:rPr>
          <w:rFonts w:ascii="Arial" w:hAnsi="Arial" w:cs="Arial"/>
          <w:sz w:val="22"/>
          <w:szCs w:val="22"/>
          <w:lang w:val="en-GB"/>
        </w:rPr>
        <w:t xml:space="preserve">, E. and Munn, Z. (eds.) </w:t>
      </w:r>
      <w:r w:rsidRPr="005B7121">
        <w:rPr>
          <w:rFonts w:ascii="Arial" w:hAnsi="Arial" w:cs="Arial"/>
          <w:i/>
          <w:iCs/>
          <w:sz w:val="22"/>
          <w:szCs w:val="22"/>
          <w:lang w:val="en-GB"/>
        </w:rPr>
        <w:t>JBI Manual for Evidence Synthesis</w:t>
      </w:r>
      <w:r w:rsidRPr="005B7121">
        <w:rPr>
          <w:rFonts w:ascii="Arial" w:hAnsi="Arial" w:cs="Arial"/>
          <w:sz w:val="22"/>
          <w:szCs w:val="22"/>
          <w:lang w:val="en-GB"/>
        </w:rPr>
        <w:t xml:space="preserve">. Available at: </w:t>
      </w:r>
      <w:hyperlink r:id="rId17" w:tgtFrame="_new" w:history="1">
        <w:r w:rsidRPr="005B7121">
          <w:rPr>
            <w:rStyle w:val="Hyperlink"/>
            <w:rFonts w:ascii="Arial" w:hAnsi="Arial" w:cs="Arial"/>
            <w:sz w:val="22"/>
            <w:szCs w:val="22"/>
            <w:lang w:val="en-GB"/>
          </w:rPr>
          <w:t>https://doi.org/10.46658/JBIMES-20-12</w:t>
        </w:r>
      </w:hyperlink>
    </w:p>
    <w:p w14:paraId="7CCB4285" w14:textId="77777777" w:rsidR="005B7121" w:rsidRPr="005B7121" w:rsidRDefault="005B7121" w:rsidP="005B7121">
      <w:pPr>
        <w:spacing w:line="360" w:lineRule="auto"/>
        <w:jc w:val="both"/>
        <w:rPr>
          <w:rFonts w:ascii="Arial" w:hAnsi="Arial" w:cs="Arial"/>
          <w:sz w:val="22"/>
          <w:szCs w:val="22"/>
          <w:lang w:val="en-GB"/>
        </w:rPr>
      </w:pPr>
      <w:proofErr w:type="spellStart"/>
      <w:r w:rsidRPr="005B7121">
        <w:rPr>
          <w:rFonts w:ascii="Arial" w:hAnsi="Arial" w:cs="Arial"/>
          <w:sz w:val="22"/>
          <w:szCs w:val="22"/>
          <w:lang w:val="en-GB"/>
        </w:rPr>
        <w:t>Prigerson</w:t>
      </w:r>
      <w:proofErr w:type="spellEnd"/>
      <w:r w:rsidRPr="005B7121">
        <w:rPr>
          <w:rFonts w:ascii="Arial" w:hAnsi="Arial" w:cs="Arial"/>
          <w:sz w:val="22"/>
          <w:szCs w:val="22"/>
          <w:lang w:val="en-GB"/>
        </w:rPr>
        <w:t xml:space="preserve">, H.G., Horowitz, M.J., Jacobs, S.C., Parkes, C.M., Aslan, M., Goodkin, K., Raphael, B., </w:t>
      </w:r>
      <w:proofErr w:type="spellStart"/>
      <w:r w:rsidRPr="005B7121">
        <w:rPr>
          <w:rFonts w:ascii="Arial" w:hAnsi="Arial" w:cs="Arial"/>
          <w:sz w:val="22"/>
          <w:szCs w:val="22"/>
          <w:lang w:val="en-GB"/>
        </w:rPr>
        <w:t>Marwit</w:t>
      </w:r>
      <w:proofErr w:type="spellEnd"/>
      <w:r w:rsidRPr="005B7121">
        <w:rPr>
          <w:rFonts w:ascii="Arial" w:hAnsi="Arial" w:cs="Arial"/>
          <w:sz w:val="22"/>
          <w:szCs w:val="22"/>
          <w:lang w:val="en-GB"/>
        </w:rPr>
        <w:t xml:space="preserve">, S.J., Wortman, C., Neimeyer, R.A., Bonanno, G.A., Block, S.D., Kissane, D.W., </w:t>
      </w:r>
      <w:proofErr w:type="spellStart"/>
      <w:r w:rsidRPr="005B7121">
        <w:rPr>
          <w:rFonts w:ascii="Arial" w:hAnsi="Arial" w:cs="Arial"/>
          <w:sz w:val="22"/>
          <w:szCs w:val="22"/>
          <w:lang w:val="en-GB"/>
        </w:rPr>
        <w:t>Boelen</w:t>
      </w:r>
      <w:proofErr w:type="spellEnd"/>
      <w:r w:rsidRPr="005B7121">
        <w:rPr>
          <w:rFonts w:ascii="Arial" w:hAnsi="Arial" w:cs="Arial"/>
          <w:sz w:val="22"/>
          <w:szCs w:val="22"/>
          <w:lang w:val="en-GB"/>
        </w:rPr>
        <w:t xml:space="preserve">, P.A., </w:t>
      </w:r>
      <w:proofErr w:type="spellStart"/>
      <w:r w:rsidRPr="005B7121">
        <w:rPr>
          <w:rFonts w:ascii="Arial" w:hAnsi="Arial" w:cs="Arial"/>
          <w:sz w:val="22"/>
          <w:szCs w:val="22"/>
          <w:lang w:val="en-GB"/>
        </w:rPr>
        <w:t>Maercker</w:t>
      </w:r>
      <w:proofErr w:type="spellEnd"/>
      <w:r w:rsidRPr="005B7121">
        <w:rPr>
          <w:rFonts w:ascii="Arial" w:hAnsi="Arial" w:cs="Arial"/>
          <w:sz w:val="22"/>
          <w:szCs w:val="22"/>
          <w:lang w:val="en-GB"/>
        </w:rPr>
        <w:t xml:space="preserve">, A., Litz, B.T., Johnson, J.G., First, M.B. and Maciejewski, P.K. (2009) ‘Prolonged grief disorder: Psychometric validation of criteria proposed for DSM-V and ICD-11’, </w:t>
      </w:r>
      <w:proofErr w:type="spellStart"/>
      <w:r w:rsidRPr="005B7121">
        <w:rPr>
          <w:rFonts w:ascii="Arial" w:hAnsi="Arial" w:cs="Arial"/>
          <w:i/>
          <w:iCs/>
          <w:sz w:val="22"/>
          <w:szCs w:val="22"/>
          <w:lang w:val="en-GB"/>
        </w:rPr>
        <w:t>PLoS</w:t>
      </w:r>
      <w:proofErr w:type="spellEnd"/>
      <w:r w:rsidRPr="005B7121">
        <w:rPr>
          <w:rFonts w:ascii="Arial" w:hAnsi="Arial" w:cs="Arial"/>
          <w:i/>
          <w:iCs/>
          <w:sz w:val="22"/>
          <w:szCs w:val="22"/>
          <w:lang w:val="en-GB"/>
        </w:rPr>
        <w:t xml:space="preserve"> Medicine</w:t>
      </w:r>
      <w:r w:rsidRPr="005B7121">
        <w:rPr>
          <w:rFonts w:ascii="Arial" w:hAnsi="Arial" w:cs="Arial"/>
          <w:sz w:val="22"/>
          <w:szCs w:val="22"/>
          <w:lang w:val="en-GB"/>
        </w:rPr>
        <w:t>, 6(8), e1000121. Available at: https://doi.org/10.1371/journal.pmed.1000121</w:t>
      </w:r>
    </w:p>
    <w:p w14:paraId="1CC3DFE8"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Roberts, A.L., Gilman, S.E., Breslau, J., Breslau, N. and Koenen, K.C. (2011) ‘Race/ethnic differences in exposure to traumatic events, development of PTSD and treatment-seeking for PTSD’, </w:t>
      </w:r>
      <w:r w:rsidRPr="005B7121">
        <w:rPr>
          <w:rFonts w:ascii="Arial" w:hAnsi="Arial" w:cs="Arial"/>
          <w:i/>
          <w:iCs/>
          <w:sz w:val="22"/>
          <w:szCs w:val="22"/>
          <w:lang w:val="en-GB"/>
        </w:rPr>
        <w:t>Psychological Medicine</w:t>
      </w:r>
      <w:r w:rsidRPr="005B7121">
        <w:rPr>
          <w:rFonts w:ascii="Arial" w:hAnsi="Arial" w:cs="Arial"/>
          <w:sz w:val="22"/>
          <w:szCs w:val="22"/>
          <w:lang w:val="en-GB"/>
        </w:rPr>
        <w:t>, 41(1), pp. 71–83. Available at: https://doi.org/10.1017/S0033291710000409</w:t>
      </w:r>
    </w:p>
    <w:p w14:paraId="217176DD"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Schnyder, U., Bryant, R.A., Ehlers, A., Foa, E.B., Hasanović, M., </w:t>
      </w:r>
      <w:proofErr w:type="spellStart"/>
      <w:r w:rsidRPr="005B7121">
        <w:rPr>
          <w:rFonts w:ascii="Arial" w:hAnsi="Arial" w:cs="Arial"/>
          <w:sz w:val="22"/>
          <w:szCs w:val="22"/>
          <w:lang w:val="en-GB"/>
        </w:rPr>
        <w:t>Hinkka</w:t>
      </w:r>
      <w:proofErr w:type="spellEnd"/>
      <w:r w:rsidRPr="005B7121">
        <w:rPr>
          <w:rFonts w:ascii="Arial" w:hAnsi="Arial" w:cs="Arial"/>
          <w:sz w:val="22"/>
          <w:szCs w:val="22"/>
          <w:lang w:val="en-GB"/>
        </w:rPr>
        <w:t xml:space="preserve">, S. and Nickerson, A. (2016) ‘Culture-sensitive </w:t>
      </w:r>
      <w:proofErr w:type="spellStart"/>
      <w:r w:rsidRPr="005B7121">
        <w:rPr>
          <w:rFonts w:ascii="Arial" w:hAnsi="Arial" w:cs="Arial"/>
          <w:sz w:val="22"/>
          <w:szCs w:val="22"/>
          <w:lang w:val="en-GB"/>
        </w:rPr>
        <w:t>psychotraumatology</w:t>
      </w:r>
      <w:proofErr w:type="spellEnd"/>
      <w:r w:rsidRPr="005B7121">
        <w:rPr>
          <w:rFonts w:ascii="Arial" w:hAnsi="Arial" w:cs="Arial"/>
          <w:sz w:val="22"/>
          <w:szCs w:val="22"/>
          <w:lang w:val="en-GB"/>
        </w:rPr>
        <w:t xml:space="preserve">’, </w:t>
      </w:r>
      <w:r w:rsidRPr="005B7121">
        <w:rPr>
          <w:rFonts w:ascii="Arial" w:hAnsi="Arial" w:cs="Arial"/>
          <w:i/>
          <w:iCs/>
          <w:sz w:val="22"/>
          <w:szCs w:val="22"/>
          <w:lang w:val="en-GB"/>
        </w:rPr>
        <w:t xml:space="preserve">European Journal of </w:t>
      </w:r>
      <w:proofErr w:type="spellStart"/>
      <w:r w:rsidRPr="005B7121">
        <w:rPr>
          <w:rFonts w:ascii="Arial" w:hAnsi="Arial" w:cs="Arial"/>
          <w:i/>
          <w:iCs/>
          <w:sz w:val="22"/>
          <w:szCs w:val="22"/>
          <w:lang w:val="en-GB"/>
        </w:rPr>
        <w:t>Psychotraumatology</w:t>
      </w:r>
      <w:proofErr w:type="spellEnd"/>
      <w:r w:rsidRPr="005B7121">
        <w:rPr>
          <w:rFonts w:ascii="Arial" w:hAnsi="Arial" w:cs="Arial"/>
          <w:sz w:val="22"/>
          <w:szCs w:val="22"/>
          <w:lang w:val="en-GB"/>
        </w:rPr>
        <w:t>, 7(1), 31179. Available at: https://doi.org/10.3402/ejpt.v7.31179</w:t>
      </w:r>
    </w:p>
    <w:p w14:paraId="18E9BCE0" w14:textId="77777777"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t xml:space="preserve">Stroebe, M., Schut, H. and Stroebe, W. (2007) ‘Health outcomes of bereavement’, </w:t>
      </w:r>
      <w:r w:rsidRPr="005B7121">
        <w:rPr>
          <w:rFonts w:ascii="Arial" w:hAnsi="Arial" w:cs="Arial"/>
          <w:i/>
          <w:iCs/>
          <w:sz w:val="22"/>
          <w:szCs w:val="22"/>
          <w:lang w:val="en-GB"/>
        </w:rPr>
        <w:t>The Lancet</w:t>
      </w:r>
      <w:r w:rsidRPr="005B7121">
        <w:rPr>
          <w:rFonts w:ascii="Arial" w:hAnsi="Arial" w:cs="Arial"/>
          <w:sz w:val="22"/>
          <w:szCs w:val="22"/>
          <w:lang w:val="en-GB"/>
        </w:rPr>
        <w:t>, 370(9603), pp. 1960–1973. Available at: https://doi.org/10.1016/S0140-6736(07)61816-9</w:t>
      </w:r>
    </w:p>
    <w:p w14:paraId="59FFA6E1" w14:textId="503EB062" w:rsidR="005B7121" w:rsidRPr="005B7121" w:rsidRDefault="005B7121" w:rsidP="005B7121">
      <w:pPr>
        <w:spacing w:line="360" w:lineRule="auto"/>
        <w:jc w:val="both"/>
        <w:rPr>
          <w:rFonts w:ascii="Arial" w:hAnsi="Arial" w:cs="Arial"/>
          <w:sz w:val="22"/>
          <w:szCs w:val="22"/>
          <w:lang w:val="en-GB"/>
        </w:rPr>
      </w:pPr>
      <w:r w:rsidRPr="005B7121">
        <w:rPr>
          <w:rFonts w:ascii="Arial" w:hAnsi="Arial" w:cs="Arial"/>
          <w:sz w:val="22"/>
          <w:szCs w:val="22"/>
          <w:lang w:val="en-GB"/>
        </w:rPr>
        <w:lastRenderedPageBreak/>
        <w:t xml:space="preserve">Watson, H., Harrop, D., Walton, E., Young, A. and Soltani, H. (2019) ‘A systematic review of ethnic minority women’s experiences of perinatal mental health conditions and services in Europe’, </w:t>
      </w:r>
      <w:r w:rsidRPr="005B7121">
        <w:rPr>
          <w:rFonts w:ascii="Arial" w:hAnsi="Arial" w:cs="Arial"/>
          <w:i/>
          <w:iCs/>
          <w:sz w:val="22"/>
          <w:szCs w:val="22"/>
          <w:lang w:val="en-GB"/>
        </w:rPr>
        <w:t>PLOS ONE</w:t>
      </w:r>
      <w:r w:rsidRPr="005B7121">
        <w:rPr>
          <w:rFonts w:ascii="Arial" w:hAnsi="Arial" w:cs="Arial"/>
          <w:sz w:val="22"/>
          <w:szCs w:val="22"/>
          <w:lang w:val="en-GB"/>
        </w:rPr>
        <w:t>, 14(1), e0210587. Available at:</w:t>
      </w:r>
      <w:r>
        <w:rPr>
          <w:rFonts w:ascii="Arial" w:hAnsi="Arial" w:cs="Arial"/>
          <w:sz w:val="22"/>
          <w:szCs w:val="22"/>
          <w:lang w:val="en-GB"/>
        </w:rPr>
        <w:t xml:space="preserve"> </w:t>
      </w:r>
      <w:r w:rsidRPr="005B7121">
        <w:rPr>
          <w:rFonts w:ascii="Arial" w:hAnsi="Arial" w:cs="Arial"/>
          <w:sz w:val="22"/>
          <w:szCs w:val="22"/>
          <w:lang w:val="en-GB"/>
        </w:rPr>
        <w:t>https://doi.org/10.1371/journal.pone.0210587</w:t>
      </w:r>
    </w:p>
    <w:p w14:paraId="385FEE67" w14:textId="2F94845A" w:rsidR="005B7121" w:rsidRPr="005B7121" w:rsidRDefault="005B7121" w:rsidP="005B7121">
      <w:pPr>
        <w:spacing w:line="360" w:lineRule="auto"/>
        <w:jc w:val="both"/>
        <w:rPr>
          <w:rFonts w:ascii="Arial" w:hAnsi="Arial" w:cs="Arial"/>
          <w:sz w:val="22"/>
          <w:szCs w:val="22"/>
          <w:lang w:val="en-GB"/>
        </w:rPr>
      </w:pPr>
    </w:p>
    <w:p w14:paraId="3023BA74" w14:textId="55966394" w:rsidR="22018B77" w:rsidRPr="005B7121" w:rsidRDefault="22018B77" w:rsidP="005B7121">
      <w:pPr>
        <w:spacing w:line="360" w:lineRule="auto"/>
        <w:jc w:val="both"/>
        <w:rPr>
          <w:rFonts w:cstheme="minorHAnsi"/>
          <w:sz w:val="22"/>
          <w:szCs w:val="22"/>
        </w:rPr>
      </w:pPr>
    </w:p>
    <w:p w14:paraId="035429ED" w14:textId="77777777" w:rsidR="00D90C7C" w:rsidRPr="005B7121" w:rsidRDefault="00D90C7C" w:rsidP="005B7121">
      <w:pPr>
        <w:spacing w:line="360" w:lineRule="auto"/>
        <w:jc w:val="both"/>
        <w:rPr>
          <w:rFonts w:cstheme="minorHAnsi"/>
          <w:sz w:val="22"/>
          <w:szCs w:val="22"/>
        </w:rPr>
      </w:pPr>
    </w:p>
    <w:p w14:paraId="7B4F37E2" w14:textId="77777777" w:rsidR="00D90C7C" w:rsidRPr="005B7121" w:rsidRDefault="00D90C7C" w:rsidP="005B7121">
      <w:pPr>
        <w:spacing w:line="360" w:lineRule="auto"/>
        <w:jc w:val="both"/>
        <w:rPr>
          <w:rFonts w:cstheme="minorHAnsi"/>
          <w:sz w:val="22"/>
          <w:szCs w:val="22"/>
        </w:rPr>
      </w:pPr>
    </w:p>
    <w:p w14:paraId="2B9FEC98" w14:textId="77777777" w:rsidR="00D90C7C" w:rsidRPr="005B7121" w:rsidRDefault="00D90C7C" w:rsidP="005B7121">
      <w:pPr>
        <w:spacing w:line="360" w:lineRule="auto"/>
        <w:jc w:val="both"/>
        <w:rPr>
          <w:rFonts w:cstheme="minorHAnsi"/>
          <w:sz w:val="22"/>
          <w:szCs w:val="22"/>
        </w:rPr>
      </w:pPr>
    </w:p>
    <w:p w14:paraId="26317FF1" w14:textId="77777777" w:rsidR="00D90C7C" w:rsidRPr="005B7121" w:rsidRDefault="00D90C7C" w:rsidP="005B7121">
      <w:pPr>
        <w:spacing w:line="360" w:lineRule="auto"/>
        <w:jc w:val="both"/>
        <w:rPr>
          <w:rFonts w:cstheme="minorHAnsi"/>
          <w:sz w:val="22"/>
          <w:szCs w:val="22"/>
        </w:rPr>
      </w:pPr>
    </w:p>
    <w:sectPr w:rsidR="00D90C7C" w:rsidRPr="005B712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0A63D" w14:textId="77777777" w:rsidR="008B4FC5" w:rsidRDefault="008B4FC5" w:rsidP="00BB76AD">
      <w:pPr>
        <w:spacing w:after="0" w:line="240" w:lineRule="auto"/>
      </w:pPr>
      <w:r>
        <w:separator/>
      </w:r>
    </w:p>
  </w:endnote>
  <w:endnote w:type="continuationSeparator" w:id="0">
    <w:p w14:paraId="4DB4B432" w14:textId="77777777" w:rsidR="008B4FC5" w:rsidRDefault="008B4FC5" w:rsidP="00BB7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151231"/>
      <w:docPartObj>
        <w:docPartGallery w:val="Page Numbers (Bottom of Page)"/>
        <w:docPartUnique/>
      </w:docPartObj>
    </w:sdtPr>
    <w:sdtEndPr>
      <w:rPr>
        <w:noProof/>
      </w:rPr>
    </w:sdtEndPr>
    <w:sdtContent>
      <w:p w14:paraId="4C0A79E9" w14:textId="09326CE7" w:rsidR="00BB76AD" w:rsidRDefault="00BB76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2E1FCC" w14:textId="77777777" w:rsidR="00BB76AD" w:rsidRDefault="00BB7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EE4FD" w14:textId="77777777" w:rsidR="008B4FC5" w:rsidRDefault="008B4FC5" w:rsidP="00BB76AD">
      <w:pPr>
        <w:spacing w:after="0" w:line="240" w:lineRule="auto"/>
      </w:pPr>
      <w:r>
        <w:separator/>
      </w:r>
    </w:p>
  </w:footnote>
  <w:footnote w:type="continuationSeparator" w:id="0">
    <w:p w14:paraId="0F3E3B89" w14:textId="77777777" w:rsidR="008B4FC5" w:rsidRDefault="008B4FC5" w:rsidP="00BB7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2487"/>
    <w:multiLevelType w:val="hybridMultilevel"/>
    <w:tmpl w:val="CD4C7B42"/>
    <w:lvl w:ilvl="0" w:tplc="0E08CEF8">
      <w:start w:val="1"/>
      <w:numFmt w:val="bullet"/>
      <w:lvlText w:val=""/>
      <w:lvlJc w:val="left"/>
      <w:pPr>
        <w:ind w:left="720" w:hanging="360"/>
      </w:pPr>
      <w:rPr>
        <w:rFonts w:ascii="Symbol" w:hAnsi="Symbol" w:hint="default"/>
      </w:rPr>
    </w:lvl>
    <w:lvl w:ilvl="1" w:tplc="87149ED2">
      <w:start w:val="1"/>
      <w:numFmt w:val="bullet"/>
      <w:lvlText w:val="o"/>
      <w:lvlJc w:val="left"/>
      <w:pPr>
        <w:ind w:left="1440" w:hanging="360"/>
      </w:pPr>
      <w:rPr>
        <w:rFonts w:ascii="Courier New" w:hAnsi="Courier New" w:hint="default"/>
      </w:rPr>
    </w:lvl>
    <w:lvl w:ilvl="2" w:tplc="582CF0A2">
      <w:start w:val="1"/>
      <w:numFmt w:val="bullet"/>
      <w:lvlText w:val=""/>
      <w:lvlJc w:val="left"/>
      <w:pPr>
        <w:ind w:left="2160" w:hanging="360"/>
      </w:pPr>
      <w:rPr>
        <w:rFonts w:ascii="Wingdings" w:hAnsi="Wingdings" w:hint="default"/>
      </w:rPr>
    </w:lvl>
    <w:lvl w:ilvl="3" w:tplc="1054A4D0">
      <w:start w:val="1"/>
      <w:numFmt w:val="bullet"/>
      <w:lvlText w:val=""/>
      <w:lvlJc w:val="left"/>
      <w:pPr>
        <w:ind w:left="2880" w:hanging="360"/>
      </w:pPr>
      <w:rPr>
        <w:rFonts w:ascii="Symbol" w:hAnsi="Symbol" w:hint="default"/>
      </w:rPr>
    </w:lvl>
    <w:lvl w:ilvl="4" w:tplc="3A38D2EA">
      <w:start w:val="1"/>
      <w:numFmt w:val="bullet"/>
      <w:lvlText w:val="o"/>
      <w:lvlJc w:val="left"/>
      <w:pPr>
        <w:ind w:left="3600" w:hanging="360"/>
      </w:pPr>
      <w:rPr>
        <w:rFonts w:ascii="Courier New" w:hAnsi="Courier New" w:hint="default"/>
      </w:rPr>
    </w:lvl>
    <w:lvl w:ilvl="5" w:tplc="18665EEE">
      <w:start w:val="1"/>
      <w:numFmt w:val="bullet"/>
      <w:lvlText w:val=""/>
      <w:lvlJc w:val="left"/>
      <w:pPr>
        <w:ind w:left="4320" w:hanging="360"/>
      </w:pPr>
      <w:rPr>
        <w:rFonts w:ascii="Wingdings" w:hAnsi="Wingdings" w:hint="default"/>
      </w:rPr>
    </w:lvl>
    <w:lvl w:ilvl="6" w:tplc="55BEF30A">
      <w:start w:val="1"/>
      <w:numFmt w:val="bullet"/>
      <w:lvlText w:val=""/>
      <w:lvlJc w:val="left"/>
      <w:pPr>
        <w:ind w:left="5040" w:hanging="360"/>
      </w:pPr>
      <w:rPr>
        <w:rFonts w:ascii="Symbol" w:hAnsi="Symbol" w:hint="default"/>
      </w:rPr>
    </w:lvl>
    <w:lvl w:ilvl="7" w:tplc="73A645D2">
      <w:start w:val="1"/>
      <w:numFmt w:val="bullet"/>
      <w:lvlText w:val="o"/>
      <w:lvlJc w:val="left"/>
      <w:pPr>
        <w:ind w:left="5760" w:hanging="360"/>
      </w:pPr>
      <w:rPr>
        <w:rFonts w:ascii="Courier New" w:hAnsi="Courier New" w:hint="default"/>
      </w:rPr>
    </w:lvl>
    <w:lvl w:ilvl="8" w:tplc="FA040A64">
      <w:start w:val="1"/>
      <w:numFmt w:val="bullet"/>
      <w:lvlText w:val=""/>
      <w:lvlJc w:val="left"/>
      <w:pPr>
        <w:ind w:left="6480" w:hanging="360"/>
      </w:pPr>
      <w:rPr>
        <w:rFonts w:ascii="Wingdings" w:hAnsi="Wingdings" w:hint="default"/>
      </w:rPr>
    </w:lvl>
  </w:abstractNum>
  <w:abstractNum w:abstractNumId="1" w15:restartNumberingAfterBreak="0">
    <w:nsid w:val="0321C39E"/>
    <w:multiLevelType w:val="hybridMultilevel"/>
    <w:tmpl w:val="024C9712"/>
    <w:lvl w:ilvl="0" w:tplc="0BDEAFF0">
      <w:start w:val="1"/>
      <w:numFmt w:val="bullet"/>
      <w:lvlText w:val=""/>
      <w:lvlJc w:val="left"/>
      <w:pPr>
        <w:ind w:left="720" w:hanging="360"/>
      </w:pPr>
      <w:rPr>
        <w:rFonts w:ascii="Symbol" w:hAnsi="Symbol" w:hint="default"/>
      </w:rPr>
    </w:lvl>
    <w:lvl w:ilvl="1" w:tplc="325C499C">
      <w:start w:val="1"/>
      <w:numFmt w:val="bullet"/>
      <w:lvlText w:val="o"/>
      <w:lvlJc w:val="left"/>
      <w:pPr>
        <w:ind w:left="1440" w:hanging="360"/>
      </w:pPr>
      <w:rPr>
        <w:rFonts w:ascii="Courier New" w:hAnsi="Courier New" w:hint="default"/>
      </w:rPr>
    </w:lvl>
    <w:lvl w:ilvl="2" w:tplc="4C5E0D38">
      <w:start w:val="1"/>
      <w:numFmt w:val="bullet"/>
      <w:lvlText w:val=""/>
      <w:lvlJc w:val="left"/>
      <w:pPr>
        <w:ind w:left="2160" w:hanging="360"/>
      </w:pPr>
      <w:rPr>
        <w:rFonts w:ascii="Wingdings" w:hAnsi="Wingdings" w:hint="default"/>
      </w:rPr>
    </w:lvl>
    <w:lvl w:ilvl="3" w:tplc="93E8B7E8">
      <w:start w:val="1"/>
      <w:numFmt w:val="bullet"/>
      <w:lvlText w:val=""/>
      <w:lvlJc w:val="left"/>
      <w:pPr>
        <w:ind w:left="2880" w:hanging="360"/>
      </w:pPr>
      <w:rPr>
        <w:rFonts w:ascii="Symbol" w:hAnsi="Symbol" w:hint="default"/>
      </w:rPr>
    </w:lvl>
    <w:lvl w:ilvl="4" w:tplc="C07C09BE">
      <w:start w:val="1"/>
      <w:numFmt w:val="bullet"/>
      <w:lvlText w:val="o"/>
      <w:lvlJc w:val="left"/>
      <w:pPr>
        <w:ind w:left="3600" w:hanging="360"/>
      </w:pPr>
      <w:rPr>
        <w:rFonts w:ascii="Courier New" w:hAnsi="Courier New" w:hint="default"/>
      </w:rPr>
    </w:lvl>
    <w:lvl w:ilvl="5" w:tplc="4288C6E4">
      <w:start w:val="1"/>
      <w:numFmt w:val="bullet"/>
      <w:lvlText w:val=""/>
      <w:lvlJc w:val="left"/>
      <w:pPr>
        <w:ind w:left="4320" w:hanging="360"/>
      </w:pPr>
      <w:rPr>
        <w:rFonts w:ascii="Wingdings" w:hAnsi="Wingdings" w:hint="default"/>
      </w:rPr>
    </w:lvl>
    <w:lvl w:ilvl="6" w:tplc="B46ADAE0">
      <w:start w:val="1"/>
      <w:numFmt w:val="bullet"/>
      <w:lvlText w:val=""/>
      <w:lvlJc w:val="left"/>
      <w:pPr>
        <w:ind w:left="5040" w:hanging="360"/>
      </w:pPr>
      <w:rPr>
        <w:rFonts w:ascii="Symbol" w:hAnsi="Symbol" w:hint="default"/>
      </w:rPr>
    </w:lvl>
    <w:lvl w:ilvl="7" w:tplc="7162607A">
      <w:start w:val="1"/>
      <w:numFmt w:val="bullet"/>
      <w:lvlText w:val="o"/>
      <w:lvlJc w:val="left"/>
      <w:pPr>
        <w:ind w:left="5760" w:hanging="360"/>
      </w:pPr>
      <w:rPr>
        <w:rFonts w:ascii="Courier New" w:hAnsi="Courier New" w:hint="default"/>
      </w:rPr>
    </w:lvl>
    <w:lvl w:ilvl="8" w:tplc="B052AE0C">
      <w:start w:val="1"/>
      <w:numFmt w:val="bullet"/>
      <w:lvlText w:val=""/>
      <w:lvlJc w:val="left"/>
      <w:pPr>
        <w:ind w:left="6480" w:hanging="360"/>
      </w:pPr>
      <w:rPr>
        <w:rFonts w:ascii="Wingdings" w:hAnsi="Wingdings" w:hint="default"/>
      </w:rPr>
    </w:lvl>
  </w:abstractNum>
  <w:abstractNum w:abstractNumId="2" w15:restartNumberingAfterBreak="0">
    <w:nsid w:val="076EB3FA"/>
    <w:multiLevelType w:val="hybridMultilevel"/>
    <w:tmpl w:val="3F6446AE"/>
    <w:lvl w:ilvl="0" w:tplc="122699CA">
      <w:start w:val="1"/>
      <w:numFmt w:val="bullet"/>
      <w:lvlText w:val=""/>
      <w:lvlJc w:val="left"/>
      <w:pPr>
        <w:ind w:left="720" w:hanging="360"/>
      </w:pPr>
      <w:rPr>
        <w:rFonts w:ascii="Symbol" w:hAnsi="Symbol" w:hint="default"/>
      </w:rPr>
    </w:lvl>
    <w:lvl w:ilvl="1" w:tplc="759AF1F0">
      <w:start w:val="1"/>
      <w:numFmt w:val="bullet"/>
      <w:lvlText w:val="o"/>
      <w:lvlJc w:val="left"/>
      <w:pPr>
        <w:ind w:left="1440" w:hanging="360"/>
      </w:pPr>
      <w:rPr>
        <w:rFonts w:ascii="Courier New" w:hAnsi="Courier New" w:hint="default"/>
      </w:rPr>
    </w:lvl>
    <w:lvl w:ilvl="2" w:tplc="3B36FC9E">
      <w:start w:val="1"/>
      <w:numFmt w:val="bullet"/>
      <w:lvlText w:val=""/>
      <w:lvlJc w:val="left"/>
      <w:pPr>
        <w:ind w:left="2160" w:hanging="360"/>
      </w:pPr>
      <w:rPr>
        <w:rFonts w:ascii="Wingdings" w:hAnsi="Wingdings" w:hint="default"/>
      </w:rPr>
    </w:lvl>
    <w:lvl w:ilvl="3" w:tplc="C01EF250">
      <w:start w:val="1"/>
      <w:numFmt w:val="bullet"/>
      <w:lvlText w:val=""/>
      <w:lvlJc w:val="left"/>
      <w:pPr>
        <w:ind w:left="2880" w:hanging="360"/>
      </w:pPr>
      <w:rPr>
        <w:rFonts w:ascii="Symbol" w:hAnsi="Symbol" w:hint="default"/>
      </w:rPr>
    </w:lvl>
    <w:lvl w:ilvl="4" w:tplc="99AE45A4">
      <w:start w:val="1"/>
      <w:numFmt w:val="bullet"/>
      <w:lvlText w:val="o"/>
      <w:lvlJc w:val="left"/>
      <w:pPr>
        <w:ind w:left="3600" w:hanging="360"/>
      </w:pPr>
      <w:rPr>
        <w:rFonts w:ascii="Courier New" w:hAnsi="Courier New" w:hint="default"/>
      </w:rPr>
    </w:lvl>
    <w:lvl w:ilvl="5" w:tplc="01161776">
      <w:start w:val="1"/>
      <w:numFmt w:val="bullet"/>
      <w:lvlText w:val=""/>
      <w:lvlJc w:val="left"/>
      <w:pPr>
        <w:ind w:left="4320" w:hanging="360"/>
      </w:pPr>
      <w:rPr>
        <w:rFonts w:ascii="Wingdings" w:hAnsi="Wingdings" w:hint="default"/>
      </w:rPr>
    </w:lvl>
    <w:lvl w:ilvl="6" w:tplc="8AE84C02">
      <w:start w:val="1"/>
      <w:numFmt w:val="bullet"/>
      <w:lvlText w:val=""/>
      <w:lvlJc w:val="left"/>
      <w:pPr>
        <w:ind w:left="5040" w:hanging="360"/>
      </w:pPr>
      <w:rPr>
        <w:rFonts w:ascii="Symbol" w:hAnsi="Symbol" w:hint="default"/>
      </w:rPr>
    </w:lvl>
    <w:lvl w:ilvl="7" w:tplc="7BFCDB76">
      <w:start w:val="1"/>
      <w:numFmt w:val="bullet"/>
      <w:lvlText w:val="o"/>
      <w:lvlJc w:val="left"/>
      <w:pPr>
        <w:ind w:left="5760" w:hanging="360"/>
      </w:pPr>
      <w:rPr>
        <w:rFonts w:ascii="Courier New" w:hAnsi="Courier New" w:hint="default"/>
      </w:rPr>
    </w:lvl>
    <w:lvl w:ilvl="8" w:tplc="D9BC9374">
      <w:start w:val="1"/>
      <w:numFmt w:val="bullet"/>
      <w:lvlText w:val=""/>
      <w:lvlJc w:val="left"/>
      <w:pPr>
        <w:ind w:left="6480" w:hanging="360"/>
      </w:pPr>
      <w:rPr>
        <w:rFonts w:ascii="Wingdings" w:hAnsi="Wingdings" w:hint="default"/>
      </w:rPr>
    </w:lvl>
  </w:abstractNum>
  <w:abstractNum w:abstractNumId="3" w15:restartNumberingAfterBreak="0">
    <w:nsid w:val="07724ACD"/>
    <w:multiLevelType w:val="multilevel"/>
    <w:tmpl w:val="AC78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6237FF"/>
    <w:multiLevelType w:val="multilevel"/>
    <w:tmpl w:val="F9E45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D051BC"/>
    <w:multiLevelType w:val="multilevel"/>
    <w:tmpl w:val="A5867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587060"/>
    <w:multiLevelType w:val="multilevel"/>
    <w:tmpl w:val="BCDA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06393C"/>
    <w:multiLevelType w:val="multilevel"/>
    <w:tmpl w:val="0A58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580DBE"/>
    <w:multiLevelType w:val="multilevel"/>
    <w:tmpl w:val="D4A8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2F3301"/>
    <w:multiLevelType w:val="hybridMultilevel"/>
    <w:tmpl w:val="8B2A3EDA"/>
    <w:lvl w:ilvl="0" w:tplc="A914CEA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69B7D4D"/>
    <w:multiLevelType w:val="multilevel"/>
    <w:tmpl w:val="AF887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BF5D52"/>
    <w:multiLevelType w:val="multilevel"/>
    <w:tmpl w:val="9D7AC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619672"/>
    <w:multiLevelType w:val="hybridMultilevel"/>
    <w:tmpl w:val="57BC3930"/>
    <w:lvl w:ilvl="0" w:tplc="47749B44">
      <w:start w:val="1"/>
      <w:numFmt w:val="decimal"/>
      <w:lvlText w:val="%1."/>
      <w:lvlJc w:val="left"/>
      <w:pPr>
        <w:ind w:left="720" w:hanging="360"/>
      </w:pPr>
    </w:lvl>
    <w:lvl w:ilvl="1" w:tplc="EC4A6130">
      <w:start w:val="1"/>
      <w:numFmt w:val="lowerLetter"/>
      <w:lvlText w:val="%2."/>
      <w:lvlJc w:val="left"/>
      <w:pPr>
        <w:ind w:left="1440" w:hanging="360"/>
      </w:pPr>
    </w:lvl>
    <w:lvl w:ilvl="2" w:tplc="CDC200CC">
      <w:start w:val="1"/>
      <w:numFmt w:val="lowerRoman"/>
      <w:lvlText w:val="%3."/>
      <w:lvlJc w:val="right"/>
      <w:pPr>
        <w:ind w:left="2160" w:hanging="180"/>
      </w:pPr>
    </w:lvl>
    <w:lvl w:ilvl="3" w:tplc="E23E05E2">
      <w:start w:val="1"/>
      <w:numFmt w:val="decimal"/>
      <w:lvlText w:val="%4."/>
      <w:lvlJc w:val="left"/>
      <w:pPr>
        <w:ind w:left="2880" w:hanging="360"/>
      </w:pPr>
    </w:lvl>
    <w:lvl w:ilvl="4" w:tplc="06788E2E">
      <w:start w:val="1"/>
      <w:numFmt w:val="lowerLetter"/>
      <w:lvlText w:val="%5."/>
      <w:lvlJc w:val="left"/>
      <w:pPr>
        <w:ind w:left="3600" w:hanging="360"/>
      </w:pPr>
    </w:lvl>
    <w:lvl w:ilvl="5" w:tplc="12F0D9AA">
      <w:start w:val="1"/>
      <w:numFmt w:val="lowerRoman"/>
      <w:lvlText w:val="%6."/>
      <w:lvlJc w:val="right"/>
      <w:pPr>
        <w:ind w:left="4320" w:hanging="180"/>
      </w:pPr>
    </w:lvl>
    <w:lvl w:ilvl="6" w:tplc="FA80C386">
      <w:start w:val="1"/>
      <w:numFmt w:val="decimal"/>
      <w:lvlText w:val="%7."/>
      <w:lvlJc w:val="left"/>
      <w:pPr>
        <w:ind w:left="5040" w:hanging="360"/>
      </w:pPr>
    </w:lvl>
    <w:lvl w:ilvl="7" w:tplc="83FE2270">
      <w:start w:val="1"/>
      <w:numFmt w:val="lowerLetter"/>
      <w:lvlText w:val="%8."/>
      <w:lvlJc w:val="left"/>
      <w:pPr>
        <w:ind w:left="5760" w:hanging="360"/>
      </w:pPr>
    </w:lvl>
    <w:lvl w:ilvl="8" w:tplc="AB08DB8E">
      <w:start w:val="1"/>
      <w:numFmt w:val="lowerRoman"/>
      <w:lvlText w:val="%9."/>
      <w:lvlJc w:val="right"/>
      <w:pPr>
        <w:ind w:left="6480" w:hanging="180"/>
      </w:pPr>
    </w:lvl>
  </w:abstractNum>
  <w:abstractNum w:abstractNumId="13" w15:restartNumberingAfterBreak="0">
    <w:nsid w:val="21A20FF8"/>
    <w:multiLevelType w:val="hybridMultilevel"/>
    <w:tmpl w:val="1B469CDC"/>
    <w:lvl w:ilvl="0" w:tplc="2E7EE95E">
      <w:start w:val="1"/>
      <w:numFmt w:val="bullet"/>
      <w:lvlText w:val=""/>
      <w:lvlJc w:val="left"/>
      <w:pPr>
        <w:ind w:left="720" w:hanging="360"/>
      </w:pPr>
      <w:rPr>
        <w:rFonts w:ascii="Symbol" w:hAnsi="Symbol" w:hint="default"/>
      </w:rPr>
    </w:lvl>
    <w:lvl w:ilvl="1" w:tplc="5D444EE8">
      <w:start w:val="1"/>
      <w:numFmt w:val="bullet"/>
      <w:lvlText w:val="o"/>
      <w:lvlJc w:val="left"/>
      <w:pPr>
        <w:ind w:left="1440" w:hanging="360"/>
      </w:pPr>
      <w:rPr>
        <w:rFonts w:ascii="Courier New" w:hAnsi="Courier New" w:hint="default"/>
      </w:rPr>
    </w:lvl>
    <w:lvl w:ilvl="2" w:tplc="9788D824">
      <w:start w:val="1"/>
      <w:numFmt w:val="bullet"/>
      <w:lvlText w:val=""/>
      <w:lvlJc w:val="left"/>
      <w:pPr>
        <w:ind w:left="2160" w:hanging="360"/>
      </w:pPr>
      <w:rPr>
        <w:rFonts w:ascii="Wingdings" w:hAnsi="Wingdings" w:hint="default"/>
      </w:rPr>
    </w:lvl>
    <w:lvl w:ilvl="3" w:tplc="9E327B1E">
      <w:start w:val="1"/>
      <w:numFmt w:val="bullet"/>
      <w:lvlText w:val=""/>
      <w:lvlJc w:val="left"/>
      <w:pPr>
        <w:ind w:left="2880" w:hanging="360"/>
      </w:pPr>
      <w:rPr>
        <w:rFonts w:ascii="Symbol" w:hAnsi="Symbol" w:hint="default"/>
      </w:rPr>
    </w:lvl>
    <w:lvl w:ilvl="4" w:tplc="ACC202E2">
      <w:start w:val="1"/>
      <w:numFmt w:val="bullet"/>
      <w:lvlText w:val="o"/>
      <w:lvlJc w:val="left"/>
      <w:pPr>
        <w:ind w:left="3600" w:hanging="360"/>
      </w:pPr>
      <w:rPr>
        <w:rFonts w:ascii="Courier New" w:hAnsi="Courier New" w:hint="default"/>
      </w:rPr>
    </w:lvl>
    <w:lvl w:ilvl="5" w:tplc="FF701076">
      <w:start w:val="1"/>
      <w:numFmt w:val="bullet"/>
      <w:lvlText w:val=""/>
      <w:lvlJc w:val="left"/>
      <w:pPr>
        <w:ind w:left="4320" w:hanging="360"/>
      </w:pPr>
      <w:rPr>
        <w:rFonts w:ascii="Wingdings" w:hAnsi="Wingdings" w:hint="default"/>
      </w:rPr>
    </w:lvl>
    <w:lvl w:ilvl="6" w:tplc="CA1E7592">
      <w:start w:val="1"/>
      <w:numFmt w:val="bullet"/>
      <w:lvlText w:val=""/>
      <w:lvlJc w:val="left"/>
      <w:pPr>
        <w:ind w:left="5040" w:hanging="360"/>
      </w:pPr>
      <w:rPr>
        <w:rFonts w:ascii="Symbol" w:hAnsi="Symbol" w:hint="default"/>
      </w:rPr>
    </w:lvl>
    <w:lvl w:ilvl="7" w:tplc="E2403F60">
      <w:start w:val="1"/>
      <w:numFmt w:val="bullet"/>
      <w:lvlText w:val="o"/>
      <w:lvlJc w:val="left"/>
      <w:pPr>
        <w:ind w:left="5760" w:hanging="360"/>
      </w:pPr>
      <w:rPr>
        <w:rFonts w:ascii="Courier New" w:hAnsi="Courier New" w:hint="default"/>
      </w:rPr>
    </w:lvl>
    <w:lvl w:ilvl="8" w:tplc="9624818E">
      <w:start w:val="1"/>
      <w:numFmt w:val="bullet"/>
      <w:lvlText w:val=""/>
      <w:lvlJc w:val="left"/>
      <w:pPr>
        <w:ind w:left="6480" w:hanging="360"/>
      </w:pPr>
      <w:rPr>
        <w:rFonts w:ascii="Wingdings" w:hAnsi="Wingdings" w:hint="default"/>
      </w:rPr>
    </w:lvl>
  </w:abstractNum>
  <w:abstractNum w:abstractNumId="14" w15:restartNumberingAfterBreak="0">
    <w:nsid w:val="21D6730B"/>
    <w:multiLevelType w:val="hybridMultilevel"/>
    <w:tmpl w:val="707E0022"/>
    <w:lvl w:ilvl="0" w:tplc="54C0A2AC">
      <w:start w:val="1"/>
      <w:numFmt w:val="bullet"/>
      <w:lvlText w:val=""/>
      <w:lvlJc w:val="left"/>
      <w:pPr>
        <w:ind w:left="720" w:hanging="360"/>
      </w:pPr>
      <w:rPr>
        <w:rFonts w:ascii="Symbol" w:hAnsi="Symbol" w:hint="default"/>
      </w:rPr>
    </w:lvl>
    <w:lvl w:ilvl="1" w:tplc="0A8CEEA8">
      <w:start w:val="1"/>
      <w:numFmt w:val="bullet"/>
      <w:lvlText w:val="o"/>
      <w:lvlJc w:val="left"/>
      <w:pPr>
        <w:ind w:left="1440" w:hanging="360"/>
      </w:pPr>
      <w:rPr>
        <w:rFonts w:ascii="Courier New" w:hAnsi="Courier New" w:hint="default"/>
      </w:rPr>
    </w:lvl>
    <w:lvl w:ilvl="2" w:tplc="4424A97C">
      <w:start w:val="1"/>
      <w:numFmt w:val="bullet"/>
      <w:lvlText w:val=""/>
      <w:lvlJc w:val="left"/>
      <w:pPr>
        <w:ind w:left="2160" w:hanging="360"/>
      </w:pPr>
      <w:rPr>
        <w:rFonts w:ascii="Wingdings" w:hAnsi="Wingdings" w:hint="default"/>
      </w:rPr>
    </w:lvl>
    <w:lvl w:ilvl="3" w:tplc="998AAFDC">
      <w:start w:val="1"/>
      <w:numFmt w:val="bullet"/>
      <w:lvlText w:val=""/>
      <w:lvlJc w:val="left"/>
      <w:pPr>
        <w:ind w:left="2880" w:hanging="360"/>
      </w:pPr>
      <w:rPr>
        <w:rFonts w:ascii="Symbol" w:hAnsi="Symbol" w:hint="default"/>
      </w:rPr>
    </w:lvl>
    <w:lvl w:ilvl="4" w:tplc="3A66C8A2">
      <w:start w:val="1"/>
      <w:numFmt w:val="bullet"/>
      <w:lvlText w:val="o"/>
      <w:lvlJc w:val="left"/>
      <w:pPr>
        <w:ind w:left="3600" w:hanging="360"/>
      </w:pPr>
      <w:rPr>
        <w:rFonts w:ascii="Courier New" w:hAnsi="Courier New" w:hint="default"/>
      </w:rPr>
    </w:lvl>
    <w:lvl w:ilvl="5" w:tplc="6C0A15DE">
      <w:start w:val="1"/>
      <w:numFmt w:val="bullet"/>
      <w:lvlText w:val=""/>
      <w:lvlJc w:val="left"/>
      <w:pPr>
        <w:ind w:left="4320" w:hanging="360"/>
      </w:pPr>
      <w:rPr>
        <w:rFonts w:ascii="Wingdings" w:hAnsi="Wingdings" w:hint="default"/>
      </w:rPr>
    </w:lvl>
    <w:lvl w:ilvl="6" w:tplc="361C42FE">
      <w:start w:val="1"/>
      <w:numFmt w:val="bullet"/>
      <w:lvlText w:val=""/>
      <w:lvlJc w:val="left"/>
      <w:pPr>
        <w:ind w:left="5040" w:hanging="360"/>
      </w:pPr>
      <w:rPr>
        <w:rFonts w:ascii="Symbol" w:hAnsi="Symbol" w:hint="default"/>
      </w:rPr>
    </w:lvl>
    <w:lvl w:ilvl="7" w:tplc="82A2FECE">
      <w:start w:val="1"/>
      <w:numFmt w:val="bullet"/>
      <w:lvlText w:val="o"/>
      <w:lvlJc w:val="left"/>
      <w:pPr>
        <w:ind w:left="5760" w:hanging="360"/>
      </w:pPr>
      <w:rPr>
        <w:rFonts w:ascii="Courier New" w:hAnsi="Courier New" w:hint="default"/>
      </w:rPr>
    </w:lvl>
    <w:lvl w:ilvl="8" w:tplc="DDBE79E0">
      <w:start w:val="1"/>
      <w:numFmt w:val="bullet"/>
      <w:lvlText w:val=""/>
      <w:lvlJc w:val="left"/>
      <w:pPr>
        <w:ind w:left="6480" w:hanging="360"/>
      </w:pPr>
      <w:rPr>
        <w:rFonts w:ascii="Wingdings" w:hAnsi="Wingdings" w:hint="default"/>
      </w:rPr>
    </w:lvl>
  </w:abstractNum>
  <w:abstractNum w:abstractNumId="15" w15:restartNumberingAfterBreak="0">
    <w:nsid w:val="25670E2A"/>
    <w:multiLevelType w:val="multilevel"/>
    <w:tmpl w:val="0122D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64530A"/>
    <w:multiLevelType w:val="hybridMultilevel"/>
    <w:tmpl w:val="01521C22"/>
    <w:lvl w:ilvl="0" w:tplc="B6DA47F2">
      <w:start w:val="1"/>
      <w:numFmt w:val="bullet"/>
      <w:lvlText w:val=""/>
      <w:lvlJc w:val="left"/>
      <w:pPr>
        <w:ind w:left="720" w:hanging="360"/>
      </w:pPr>
      <w:rPr>
        <w:rFonts w:ascii="Symbol" w:hAnsi="Symbol" w:hint="default"/>
      </w:rPr>
    </w:lvl>
    <w:lvl w:ilvl="1" w:tplc="99AE470A">
      <w:start w:val="1"/>
      <w:numFmt w:val="bullet"/>
      <w:lvlText w:val="o"/>
      <w:lvlJc w:val="left"/>
      <w:pPr>
        <w:ind w:left="1440" w:hanging="360"/>
      </w:pPr>
      <w:rPr>
        <w:rFonts w:ascii="Courier New" w:hAnsi="Courier New" w:hint="default"/>
      </w:rPr>
    </w:lvl>
    <w:lvl w:ilvl="2" w:tplc="BBDA4868">
      <w:start w:val="1"/>
      <w:numFmt w:val="bullet"/>
      <w:lvlText w:val=""/>
      <w:lvlJc w:val="left"/>
      <w:pPr>
        <w:ind w:left="2160" w:hanging="360"/>
      </w:pPr>
      <w:rPr>
        <w:rFonts w:ascii="Wingdings" w:hAnsi="Wingdings" w:hint="default"/>
      </w:rPr>
    </w:lvl>
    <w:lvl w:ilvl="3" w:tplc="4E5A5F26">
      <w:start w:val="1"/>
      <w:numFmt w:val="bullet"/>
      <w:lvlText w:val=""/>
      <w:lvlJc w:val="left"/>
      <w:pPr>
        <w:ind w:left="2880" w:hanging="360"/>
      </w:pPr>
      <w:rPr>
        <w:rFonts w:ascii="Symbol" w:hAnsi="Symbol" w:hint="default"/>
      </w:rPr>
    </w:lvl>
    <w:lvl w:ilvl="4" w:tplc="CC4AEEEA">
      <w:start w:val="1"/>
      <w:numFmt w:val="bullet"/>
      <w:lvlText w:val="o"/>
      <w:lvlJc w:val="left"/>
      <w:pPr>
        <w:ind w:left="3600" w:hanging="360"/>
      </w:pPr>
      <w:rPr>
        <w:rFonts w:ascii="Courier New" w:hAnsi="Courier New" w:hint="default"/>
      </w:rPr>
    </w:lvl>
    <w:lvl w:ilvl="5" w:tplc="2BD62AAE">
      <w:start w:val="1"/>
      <w:numFmt w:val="bullet"/>
      <w:lvlText w:val=""/>
      <w:lvlJc w:val="left"/>
      <w:pPr>
        <w:ind w:left="4320" w:hanging="360"/>
      </w:pPr>
      <w:rPr>
        <w:rFonts w:ascii="Wingdings" w:hAnsi="Wingdings" w:hint="default"/>
      </w:rPr>
    </w:lvl>
    <w:lvl w:ilvl="6" w:tplc="BF8876D8">
      <w:start w:val="1"/>
      <w:numFmt w:val="bullet"/>
      <w:lvlText w:val=""/>
      <w:lvlJc w:val="left"/>
      <w:pPr>
        <w:ind w:left="5040" w:hanging="360"/>
      </w:pPr>
      <w:rPr>
        <w:rFonts w:ascii="Symbol" w:hAnsi="Symbol" w:hint="default"/>
      </w:rPr>
    </w:lvl>
    <w:lvl w:ilvl="7" w:tplc="B6B27CA6">
      <w:start w:val="1"/>
      <w:numFmt w:val="bullet"/>
      <w:lvlText w:val="o"/>
      <w:lvlJc w:val="left"/>
      <w:pPr>
        <w:ind w:left="5760" w:hanging="360"/>
      </w:pPr>
      <w:rPr>
        <w:rFonts w:ascii="Courier New" w:hAnsi="Courier New" w:hint="default"/>
      </w:rPr>
    </w:lvl>
    <w:lvl w:ilvl="8" w:tplc="4A703586">
      <w:start w:val="1"/>
      <w:numFmt w:val="bullet"/>
      <w:lvlText w:val=""/>
      <w:lvlJc w:val="left"/>
      <w:pPr>
        <w:ind w:left="6480" w:hanging="360"/>
      </w:pPr>
      <w:rPr>
        <w:rFonts w:ascii="Wingdings" w:hAnsi="Wingdings" w:hint="default"/>
      </w:rPr>
    </w:lvl>
  </w:abstractNum>
  <w:abstractNum w:abstractNumId="17" w15:restartNumberingAfterBreak="0">
    <w:nsid w:val="27E90367"/>
    <w:multiLevelType w:val="hybridMultilevel"/>
    <w:tmpl w:val="D4822990"/>
    <w:lvl w:ilvl="0" w:tplc="C35294C6">
      <w:start w:val="1"/>
      <w:numFmt w:val="bullet"/>
      <w:lvlText w:val=""/>
      <w:lvlJc w:val="left"/>
      <w:pPr>
        <w:ind w:left="720" w:hanging="360"/>
      </w:pPr>
      <w:rPr>
        <w:rFonts w:ascii="Symbol" w:hAnsi="Symbol" w:hint="default"/>
      </w:rPr>
    </w:lvl>
    <w:lvl w:ilvl="1" w:tplc="F37C5FC0">
      <w:start w:val="1"/>
      <w:numFmt w:val="bullet"/>
      <w:lvlText w:val="o"/>
      <w:lvlJc w:val="left"/>
      <w:pPr>
        <w:ind w:left="1440" w:hanging="360"/>
      </w:pPr>
      <w:rPr>
        <w:rFonts w:ascii="Courier New" w:hAnsi="Courier New" w:hint="default"/>
      </w:rPr>
    </w:lvl>
    <w:lvl w:ilvl="2" w:tplc="B66E4712">
      <w:start w:val="1"/>
      <w:numFmt w:val="bullet"/>
      <w:lvlText w:val=""/>
      <w:lvlJc w:val="left"/>
      <w:pPr>
        <w:ind w:left="2160" w:hanging="360"/>
      </w:pPr>
      <w:rPr>
        <w:rFonts w:ascii="Wingdings" w:hAnsi="Wingdings" w:hint="default"/>
      </w:rPr>
    </w:lvl>
    <w:lvl w:ilvl="3" w:tplc="10165796">
      <w:start w:val="1"/>
      <w:numFmt w:val="bullet"/>
      <w:lvlText w:val=""/>
      <w:lvlJc w:val="left"/>
      <w:pPr>
        <w:ind w:left="2880" w:hanging="360"/>
      </w:pPr>
      <w:rPr>
        <w:rFonts w:ascii="Symbol" w:hAnsi="Symbol" w:hint="default"/>
      </w:rPr>
    </w:lvl>
    <w:lvl w:ilvl="4" w:tplc="74C4EE00">
      <w:start w:val="1"/>
      <w:numFmt w:val="bullet"/>
      <w:lvlText w:val="o"/>
      <w:lvlJc w:val="left"/>
      <w:pPr>
        <w:ind w:left="3600" w:hanging="360"/>
      </w:pPr>
      <w:rPr>
        <w:rFonts w:ascii="Courier New" w:hAnsi="Courier New" w:hint="default"/>
      </w:rPr>
    </w:lvl>
    <w:lvl w:ilvl="5" w:tplc="F39AF414">
      <w:start w:val="1"/>
      <w:numFmt w:val="bullet"/>
      <w:lvlText w:val=""/>
      <w:lvlJc w:val="left"/>
      <w:pPr>
        <w:ind w:left="4320" w:hanging="360"/>
      </w:pPr>
      <w:rPr>
        <w:rFonts w:ascii="Wingdings" w:hAnsi="Wingdings" w:hint="default"/>
      </w:rPr>
    </w:lvl>
    <w:lvl w:ilvl="6" w:tplc="3F1C66B8">
      <w:start w:val="1"/>
      <w:numFmt w:val="bullet"/>
      <w:lvlText w:val=""/>
      <w:lvlJc w:val="left"/>
      <w:pPr>
        <w:ind w:left="5040" w:hanging="360"/>
      </w:pPr>
      <w:rPr>
        <w:rFonts w:ascii="Symbol" w:hAnsi="Symbol" w:hint="default"/>
      </w:rPr>
    </w:lvl>
    <w:lvl w:ilvl="7" w:tplc="05A4DF04">
      <w:start w:val="1"/>
      <w:numFmt w:val="bullet"/>
      <w:lvlText w:val="o"/>
      <w:lvlJc w:val="left"/>
      <w:pPr>
        <w:ind w:left="5760" w:hanging="360"/>
      </w:pPr>
      <w:rPr>
        <w:rFonts w:ascii="Courier New" w:hAnsi="Courier New" w:hint="default"/>
      </w:rPr>
    </w:lvl>
    <w:lvl w:ilvl="8" w:tplc="2CD09B24">
      <w:start w:val="1"/>
      <w:numFmt w:val="bullet"/>
      <w:lvlText w:val=""/>
      <w:lvlJc w:val="left"/>
      <w:pPr>
        <w:ind w:left="6480" w:hanging="360"/>
      </w:pPr>
      <w:rPr>
        <w:rFonts w:ascii="Wingdings" w:hAnsi="Wingdings" w:hint="default"/>
      </w:rPr>
    </w:lvl>
  </w:abstractNum>
  <w:abstractNum w:abstractNumId="18" w15:restartNumberingAfterBreak="0">
    <w:nsid w:val="29553C7D"/>
    <w:multiLevelType w:val="hybridMultilevel"/>
    <w:tmpl w:val="D5B41682"/>
    <w:lvl w:ilvl="0" w:tplc="D5861790">
      <w:start w:val="1"/>
      <w:numFmt w:val="bullet"/>
      <w:lvlText w:val=""/>
      <w:lvlJc w:val="left"/>
      <w:pPr>
        <w:ind w:left="720" w:hanging="360"/>
      </w:pPr>
      <w:rPr>
        <w:rFonts w:ascii="Symbol" w:hAnsi="Symbol" w:hint="default"/>
      </w:rPr>
    </w:lvl>
    <w:lvl w:ilvl="1" w:tplc="3C3637EA">
      <w:start w:val="1"/>
      <w:numFmt w:val="bullet"/>
      <w:lvlText w:val="o"/>
      <w:lvlJc w:val="left"/>
      <w:pPr>
        <w:ind w:left="1440" w:hanging="360"/>
      </w:pPr>
      <w:rPr>
        <w:rFonts w:ascii="Courier New" w:hAnsi="Courier New" w:hint="default"/>
      </w:rPr>
    </w:lvl>
    <w:lvl w:ilvl="2" w:tplc="7A0CB4EE">
      <w:start w:val="1"/>
      <w:numFmt w:val="bullet"/>
      <w:lvlText w:val=""/>
      <w:lvlJc w:val="left"/>
      <w:pPr>
        <w:ind w:left="2160" w:hanging="360"/>
      </w:pPr>
      <w:rPr>
        <w:rFonts w:ascii="Wingdings" w:hAnsi="Wingdings" w:hint="default"/>
      </w:rPr>
    </w:lvl>
    <w:lvl w:ilvl="3" w:tplc="A9886616">
      <w:start w:val="1"/>
      <w:numFmt w:val="bullet"/>
      <w:lvlText w:val=""/>
      <w:lvlJc w:val="left"/>
      <w:pPr>
        <w:ind w:left="2880" w:hanging="360"/>
      </w:pPr>
      <w:rPr>
        <w:rFonts w:ascii="Symbol" w:hAnsi="Symbol" w:hint="default"/>
      </w:rPr>
    </w:lvl>
    <w:lvl w:ilvl="4" w:tplc="EE0280F4">
      <w:start w:val="1"/>
      <w:numFmt w:val="bullet"/>
      <w:lvlText w:val="o"/>
      <w:lvlJc w:val="left"/>
      <w:pPr>
        <w:ind w:left="3600" w:hanging="360"/>
      </w:pPr>
      <w:rPr>
        <w:rFonts w:ascii="Courier New" w:hAnsi="Courier New" w:hint="default"/>
      </w:rPr>
    </w:lvl>
    <w:lvl w:ilvl="5" w:tplc="88C80AA2">
      <w:start w:val="1"/>
      <w:numFmt w:val="bullet"/>
      <w:lvlText w:val=""/>
      <w:lvlJc w:val="left"/>
      <w:pPr>
        <w:ind w:left="4320" w:hanging="360"/>
      </w:pPr>
      <w:rPr>
        <w:rFonts w:ascii="Wingdings" w:hAnsi="Wingdings" w:hint="default"/>
      </w:rPr>
    </w:lvl>
    <w:lvl w:ilvl="6" w:tplc="2BD29904">
      <w:start w:val="1"/>
      <w:numFmt w:val="bullet"/>
      <w:lvlText w:val=""/>
      <w:lvlJc w:val="left"/>
      <w:pPr>
        <w:ind w:left="5040" w:hanging="360"/>
      </w:pPr>
      <w:rPr>
        <w:rFonts w:ascii="Symbol" w:hAnsi="Symbol" w:hint="default"/>
      </w:rPr>
    </w:lvl>
    <w:lvl w:ilvl="7" w:tplc="AD3AF746">
      <w:start w:val="1"/>
      <w:numFmt w:val="bullet"/>
      <w:lvlText w:val="o"/>
      <w:lvlJc w:val="left"/>
      <w:pPr>
        <w:ind w:left="5760" w:hanging="360"/>
      </w:pPr>
      <w:rPr>
        <w:rFonts w:ascii="Courier New" w:hAnsi="Courier New" w:hint="default"/>
      </w:rPr>
    </w:lvl>
    <w:lvl w:ilvl="8" w:tplc="EE3E638E">
      <w:start w:val="1"/>
      <w:numFmt w:val="bullet"/>
      <w:lvlText w:val=""/>
      <w:lvlJc w:val="left"/>
      <w:pPr>
        <w:ind w:left="6480" w:hanging="360"/>
      </w:pPr>
      <w:rPr>
        <w:rFonts w:ascii="Wingdings" w:hAnsi="Wingdings" w:hint="default"/>
      </w:rPr>
    </w:lvl>
  </w:abstractNum>
  <w:abstractNum w:abstractNumId="19" w15:restartNumberingAfterBreak="0">
    <w:nsid w:val="3B683424"/>
    <w:multiLevelType w:val="multilevel"/>
    <w:tmpl w:val="2878E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B16D70"/>
    <w:multiLevelType w:val="multilevel"/>
    <w:tmpl w:val="8366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275DA0"/>
    <w:multiLevelType w:val="hybridMultilevel"/>
    <w:tmpl w:val="D3781AF8"/>
    <w:lvl w:ilvl="0" w:tplc="E2FA5626">
      <w:start w:val="1"/>
      <w:numFmt w:val="decimal"/>
      <w:lvlText w:val="%1."/>
      <w:lvlJc w:val="left"/>
      <w:pPr>
        <w:ind w:left="720" w:hanging="360"/>
      </w:pPr>
    </w:lvl>
    <w:lvl w:ilvl="1" w:tplc="656C3DA0">
      <w:start w:val="1"/>
      <w:numFmt w:val="lowerLetter"/>
      <w:lvlText w:val="%2."/>
      <w:lvlJc w:val="left"/>
      <w:pPr>
        <w:ind w:left="1440" w:hanging="360"/>
      </w:pPr>
    </w:lvl>
    <w:lvl w:ilvl="2" w:tplc="9D4616CC">
      <w:start w:val="1"/>
      <w:numFmt w:val="lowerRoman"/>
      <w:lvlText w:val="%3."/>
      <w:lvlJc w:val="right"/>
      <w:pPr>
        <w:ind w:left="2160" w:hanging="180"/>
      </w:pPr>
    </w:lvl>
    <w:lvl w:ilvl="3" w:tplc="E5E40E9C">
      <w:start w:val="1"/>
      <w:numFmt w:val="decimal"/>
      <w:lvlText w:val="%4."/>
      <w:lvlJc w:val="left"/>
      <w:pPr>
        <w:ind w:left="2880" w:hanging="360"/>
      </w:pPr>
    </w:lvl>
    <w:lvl w:ilvl="4" w:tplc="F196B30E">
      <w:start w:val="1"/>
      <w:numFmt w:val="lowerLetter"/>
      <w:lvlText w:val="%5."/>
      <w:lvlJc w:val="left"/>
      <w:pPr>
        <w:ind w:left="3600" w:hanging="360"/>
      </w:pPr>
    </w:lvl>
    <w:lvl w:ilvl="5" w:tplc="9B848D70">
      <w:start w:val="1"/>
      <w:numFmt w:val="lowerRoman"/>
      <w:lvlText w:val="%6."/>
      <w:lvlJc w:val="right"/>
      <w:pPr>
        <w:ind w:left="4320" w:hanging="180"/>
      </w:pPr>
    </w:lvl>
    <w:lvl w:ilvl="6" w:tplc="6C1CFB38">
      <w:start w:val="1"/>
      <w:numFmt w:val="decimal"/>
      <w:lvlText w:val="%7."/>
      <w:lvlJc w:val="left"/>
      <w:pPr>
        <w:ind w:left="5040" w:hanging="360"/>
      </w:pPr>
    </w:lvl>
    <w:lvl w:ilvl="7" w:tplc="3618B512">
      <w:start w:val="1"/>
      <w:numFmt w:val="lowerLetter"/>
      <w:lvlText w:val="%8."/>
      <w:lvlJc w:val="left"/>
      <w:pPr>
        <w:ind w:left="5760" w:hanging="360"/>
      </w:pPr>
    </w:lvl>
    <w:lvl w:ilvl="8" w:tplc="FBCA3184">
      <w:start w:val="1"/>
      <w:numFmt w:val="lowerRoman"/>
      <w:lvlText w:val="%9."/>
      <w:lvlJc w:val="right"/>
      <w:pPr>
        <w:ind w:left="6480" w:hanging="180"/>
      </w:pPr>
    </w:lvl>
  </w:abstractNum>
  <w:abstractNum w:abstractNumId="22" w15:restartNumberingAfterBreak="0">
    <w:nsid w:val="44F22B62"/>
    <w:multiLevelType w:val="hybridMultilevel"/>
    <w:tmpl w:val="D5E8D420"/>
    <w:lvl w:ilvl="0" w:tplc="6C3826FC">
      <w:start w:val="1"/>
      <w:numFmt w:val="bullet"/>
      <w:lvlText w:val=""/>
      <w:lvlJc w:val="left"/>
      <w:pPr>
        <w:ind w:left="720" w:hanging="360"/>
      </w:pPr>
      <w:rPr>
        <w:rFonts w:ascii="Symbol" w:hAnsi="Symbol" w:hint="default"/>
      </w:rPr>
    </w:lvl>
    <w:lvl w:ilvl="1" w:tplc="11F2E2E8">
      <w:start w:val="1"/>
      <w:numFmt w:val="bullet"/>
      <w:lvlText w:val="o"/>
      <w:lvlJc w:val="left"/>
      <w:pPr>
        <w:ind w:left="1440" w:hanging="360"/>
      </w:pPr>
      <w:rPr>
        <w:rFonts w:ascii="Courier New" w:hAnsi="Courier New" w:hint="default"/>
      </w:rPr>
    </w:lvl>
    <w:lvl w:ilvl="2" w:tplc="781E879E">
      <w:start w:val="1"/>
      <w:numFmt w:val="bullet"/>
      <w:lvlText w:val=""/>
      <w:lvlJc w:val="left"/>
      <w:pPr>
        <w:ind w:left="2160" w:hanging="360"/>
      </w:pPr>
      <w:rPr>
        <w:rFonts w:ascii="Wingdings" w:hAnsi="Wingdings" w:hint="default"/>
      </w:rPr>
    </w:lvl>
    <w:lvl w:ilvl="3" w:tplc="4D7E50C8">
      <w:start w:val="1"/>
      <w:numFmt w:val="bullet"/>
      <w:lvlText w:val=""/>
      <w:lvlJc w:val="left"/>
      <w:pPr>
        <w:ind w:left="2880" w:hanging="360"/>
      </w:pPr>
      <w:rPr>
        <w:rFonts w:ascii="Symbol" w:hAnsi="Symbol" w:hint="default"/>
      </w:rPr>
    </w:lvl>
    <w:lvl w:ilvl="4" w:tplc="8594E50A">
      <w:start w:val="1"/>
      <w:numFmt w:val="bullet"/>
      <w:lvlText w:val="o"/>
      <w:lvlJc w:val="left"/>
      <w:pPr>
        <w:ind w:left="3600" w:hanging="360"/>
      </w:pPr>
      <w:rPr>
        <w:rFonts w:ascii="Courier New" w:hAnsi="Courier New" w:hint="default"/>
      </w:rPr>
    </w:lvl>
    <w:lvl w:ilvl="5" w:tplc="472262E2">
      <w:start w:val="1"/>
      <w:numFmt w:val="bullet"/>
      <w:lvlText w:val=""/>
      <w:lvlJc w:val="left"/>
      <w:pPr>
        <w:ind w:left="4320" w:hanging="360"/>
      </w:pPr>
      <w:rPr>
        <w:rFonts w:ascii="Wingdings" w:hAnsi="Wingdings" w:hint="default"/>
      </w:rPr>
    </w:lvl>
    <w:lvl w:ilvl="6" w:tplc="D6E24A78">
      <w:start w:val="1"/>
      <w:numFmt w:val="bullet"/>
      <w:lvlText w:val=""/>
      <w:lvlJc w:val="left"/>
      <w:pPr>
        <w:ind w:left="5040" w:hanging="360"/>
      </w:pPr>
      <w:rPr>
        <w:rFonts w:ascii="Symbol" w:hAnsi="Symbol" w:hint="default"/>
      </w:rPr>
    </w:lvl>
    <w:lvl w:ilvl="7" w:tplc="4F222BF6">
      <w:start w:val="1"/>
      <w:numFmt w:val="bullet"/>
      <w:lvlText w:val="o"/>
      <w:lvlJc w:val="left"/>
      <w:pPr>
        <w:ind w:left="5760" w:hanging="360"/>
      </w:pPr>
      <w:rPr>
        <w:rFonts w:ascii="Courier New" w:hAnsi="Courier New" w:hint="default"/>
      </w:rPr>
    </w:lvl>
    <w:lvl w:ilvl="8" w:tplc="01D0C374">
      <w:start w:val="1"/>
      <w:numFmt w:val="bullet"/>
      <w:lvlText w:val=""/>
      <w:lvlJc w:val="left"/>
      <w:pPr>
        <w:ind w:left="6480" w:hanging="360"/>
      </w:pPr>
      <w:rPr>
        <w:rFonts w:ascii="Wingdings" w:hAnsi="Wingdings" w:hint="default"/>
      </w:rPr>
    </w:lvl>
  </w:abstractNum>
  <w:abstractNum w:abstractNumId="23" w15:restartNumberingAfterBreak="0">
    <w:nsid w:val="474E2C86"/>
    <w:multiLevelType w:val="multilevel"/>
    <w:tmpl w:val="8D684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6BA280"/>
    <w:multiLevelType w:val="hybridMultilevel"/>
    <w:tmpl w:val="4E708722"/>
    <w:lvl w:ilvl="0" w:tplc="A27C0C3A">
      <w:start w:val="1"/>
      <w:numFmt w:val="bullet"/>
      <w:lvlText w:val=""/>
      <w:lvlJc w:val="left"/>
      <w:pPr>
        <w:ind w:left="720" w:hanging="360"/>
      </w:pPr>
      <w:rPr>
        <w:rFonts w:ascii="Symbol" w:hAnsi="Symbol" w:hint="default"/>
      </w:rPr>
    </w:lvl>
    <w:lvl w:ilvl="1" w:tplc="568A5D4C">
      <w:start w:val="1"/>
      <w:numFmt w:val="bullet"/>
      <w:lvlText w:val="o"/>
      <w:lvlJc w:val="left"/>
      <w:pPr>
        <w:ind w:left="1440" w:hanging="360"/>
      </w:pPr>
      <w:rPr>
        <w:rFonts w:ascii="Courier New" w:hAnsi="Courier New" w:hint="default"/>
      </w:rPr>
    </w:lvl>
    <w:lvl w:ilvl="2" w:tplc="B2A046D0">
      <w:start w:val="1"/>
      <w:numFmt w:val="bullet"/>
      <w:lvlText w:val=""/>
      <w:lvlJc w:val="left"/>
      <w:pPr>
        <w:ind w:left="2160" w:hanging="360"/>
      </w:pPr>
      <w:rPr>
        <w:rFonts w:ascii="Wingdings" w:hAnsi="Wingdings" w:hint="default"/>
      </w:rPr>
    </w:lvl>
    <w:lvl w:ilvl="3" w:tplc="2CCC0058">
      <w:start w:val="1"/>
      <w:numFmt w:val="bullet"/>
      <w:lvlText w:val=""/>
      <w:lvlJc w:val="left"/>
      <w:pPr>
        <w:ind w:left="2880" w:hanging="360"/>
      </w:pPr>
      <w:rPr>
        <w:rFonts w:ascii="Symbol" w:hAnsi="Symbol" w:hint="default"/>
      </w:rPr>
    </w:lvl>
    <w:lvl w:ilvl="4" w:tplc="9976CE08">
      <w:start w:val="1"/>
      <w:numFmt w:val="bullet"/>
      <w:lvlText w:val="o"/>
      <w:lvlJc w:val="left"/>
      <w:pPr>
        <w:ind w:left="3600" w:hanging="360"/>
      </w:pPr>
      <w:rPr>
        <w:rFonts w:ascii="Courier New" w:hAnsi="Courier New" w:hint="default"/>
      </w:rPr>
    </w:lvl>
    <w:lvl w:ilvl="5" w:tplc="821A94D8">
      <w:start w:val="1"/>
      <w:numFmt w:val="bullet"/>
      <w:lvlText w:val=""/>
      <w:lvlJc w:val="left"/>
      <w:pPr>
        <w:ind w:left="4320" w:hanging="360"/>
      </w:pPr>
      <w:rPr>
        <w:rFonts w:ascii="Wingdings" w:hAnsi="Wingdings" w:hint="default"/>
      </w:rPr>
    </w:lvl>
    <w:lvl w:ilvl="6" w:tplc="9918C56A">
      <w:start w:val="1"/>
      <w:numFmt w:val="bullet"/>
      <w:lvlText w:val=""/>
      <w:lvlJc w:val="left"/>
      <w:pPr>
        <w:ind w:left="5040" w:hanging="360"/>
      </w:pPr>
      <w:rPr>
        <w:rFonts w:ascii="Symbol" w:hAnsi="Symbol" w:hint="default"/>
      </w:rPr>
    </w:lvl>
    <w:lvl w:ilvl="7" w:tplc="29E21D2A">
      <w:start w:val="1"/>
      <w:numFmt w:val="bullet"/>
      <w:lvlText w:val="o"/>
      <w:lvlJc w:val="left"/>
      <w:pPr>
        <w:ind w:left="5760" w:hanging="360"/>
      </w:pPr>
      <w:rPr>
        <w:rFonts w:ascii="Courier New" w:hAnsi="Courier New" w:hint="default"/>
      </w:rPr>
    </w:lvl>
    <w:lvl w:ilvl="8" w:tplc="3F0CFC2C">
      <w:start w:val="1"/>
      <w:numFmt w:val="bullet"/>
      <w:lvlText w:val=""/>
      <w:lvlJc w:val="left"/>
      <w:pPr>
        <w:ind w:left="6480" w:hanging="360"/>
      </w:pPr>
      <w:rPr>
        <w:rFonts w:ascii="Wingdings" w:hAnsi="Wingdings" w:hint="default"/>
      </w:rPr>
    </w:lvl>
  </w:abstractNum>
  <w:abstractNum w:abstractNumId="25" w15:restartNumberingAfterBreak="0">
    <w:nsid w:val="57A31F22"/>
    <w:multiLevelType w:val="hybridMultilevel"/>
    <w:tmpl w:val="5B7C15E0"/>
    <w:lvl w:ilvl="0" w:tplc="B3B83E1C">
      <w:start w:val="1"/>
      <w:numFmt w:val="bullet"/>
      <w:lvlText w:val=""/>
      <w:lvlJc w:val="left"/>
      <w:pPr>
        <w:ind w:left="720" w:hanging="360"/>
      </w:pPr>
      <w:rPr>
        <w:rFonts w:ascii="Symbol" w:hAnsi="Symbol" w:hint="default"/>
      </w:rPr>
    </w:lvl>
    <w:lvl w:ilvl="1" w:tplc="10B40582">
      <w:start w:val="1"/>
      <w:numFmt w:val="bullet"/>
      <w:lvlText w:val="o"/>
      <w:lvlJc w:val="left"/>
      <w:pPr>
        <w:ind w:left="1440" w:hanging="360"/>
      </w:pPr>
      <w:rPr>
        <w:rFonts w:ascii="Courier New" w:hAnsi="Courier New" w:hint="default"/>
      </w:rPr>
    </w:lvl>
    <w:lvl w:ilvl="2" w:tplc="8D289BE0">
      <w:start w:val="1"/>
      <w:numFmt w:val="bullet"/>
      <w:lvlText w:val=""/>
      <w:lvlJc w:val="left"/>
      <w:pPr>
        <w:ind w:left="2160" w:hanging="360"/>
      </w:pPr>
      <w:rPr>
        <w:rFonts w:ascii="Wingdings" w:hAnsi="Wingdings" w:hint="default"/>
      </w:rPr>
    </w:lvl>
    <w:lvl w:ilvl="3" w:tplc="73EA7C26">
      <w:start w:val="1"/>
      <w:numFmt w:val="bullet"/>
      <w:lvlText w:val=""/>
      <w:lvlJc w:val="left"/>
      <w:pPr>
        <w:ind w:left="2880" w:hanging="360"/>
      </w:pPr>
      <w:rPr>
        <w:rFonts w:ascii="Symbol" w:hAnsi="Symbol" w:hint="default"/>
      </w:rPr>
    </w:lvl>
    <w:lvl w:ilvl="4" w:tplc="65B442FC">
      <w:start w:val="1"/>
      <w:numFmt w:val="bullet"/>
      <w:lvlText w:val="o"/>
      <w:lvlJc w:val="left"/>
      <w:pPr>
        <w:ind w:left="3600" w:hanging="360"/>
      </w:pPr>
      <w:rPr>
        <w:rFonts w:ascii="Courier New" w:hAnsi="Courier New" w:hint="default"/>
      </w:rPr>
    </w:lvl>
    <w:lvl w:ilvl="5" w:tplc="1DCC845A">
      <w:start w:val="1"/>
      <w:numFmt w:val="bullet"/>
      <w:lvlText w:val=""/>
      <w:lvlJc w:val="left"/>
      <w:pPr>
        <w:ind w:left="4320" w:hanging="360"/>
      </w:pPr>
      <w:rPr>
        <w:rFonts w:ascii="Wingdings" w:hAnsi="Wingdings" w:hint="default"/>
      </w:rPr>
    </w:lvl>
    <w:lvl w:ilvl="6" w:tplc="1762944E">
      <w:start w:val="1"/>
      <w:numFmt w:val="bullet"/>
      <w:lvlText w:val=""/>
      <w:lvlJc w:val="left"/>
      <w:pPr>
        <w:ind w:left="5040" w:hanging="360"/>
      </w:pPr>
      <w:rPr>
        <w:rFonts w:ascii="Symbol" w:hAnsi="Symbol" w:hint="default"/>
      </w:rPr>
    </w:lvl>
    <w:lvl w:ilvl="7" w:tplc="F086DD60">
      <w:start w:val="1"/>
      <w:numFmt w:val="bullet"/>
      <w:lvlText w:val="o"/>
      <w:lvlJc w:val="left"/>
      <w:pPr>
        <w:ind w:left="5760" w:hanging="360"/>
      </w:pPr>
      <w:rPr>
        <w:rFonts w:ascii="Courier New" w:hAnsi="Courier New" w:hint="default"/>
      </w:rPr>
    </w:lvl>
    <w:lvl w:ilvl="8" w:tplc="678822EC">
      <w:start w:val="1"/>
      <w:numFmt w:val="bullet"/>
      <w:lvlText w:val=""/>
      <w:lvlJc w:val="left"/>
      <w:pPr>
        <w:ind w:left="6480" w:hanging="360"/>
      </w:pPr>
      <w:rPr>
        <w:rFonts w:ascii="Wingdings" w:hAnsi="Wingdings" w:hint="default"/>
      </w:rPr>
    </w:lvl>
  </w:abstractNum>
  <w:abstractNum w:abstractNumId="26" w15:restartNumberingAfterBreak="0">
    <w:nsid w:val="58A277D5"/>
    <w:multiLevelType w:val="multilevel"/>
    <w:tmpl w:val="E124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7A32C1"/>
    <w:multiLevelType w:val="hybridMultilevel"/>
    <w:tmpl w:val="C86C7CEA"/>
    <w:lvl w:ilvl="0" w:tplc="912E3ED4">
      <w:start w:val="1"/>
      <w:numFmt w:val="bullet"/>
      <w:lvlText w:val=""/>
      <w:lvlJc w:val="left"/>
      <w:pPr>
        <w:ind w:left="720" w:hanging="360"/>
      </w:pPr>
      <w:rPr>
        <w:rFonts w:ascii="Symbol" w:hAnsi="Symbol" w:hint="default"/>
      </w:rPr>
    </w:lvl>
    <w:lvl w:ilvl="1" w:tplc="A998E018">
      <w:start w:val="1"/>
      <w:numFmt w:val="bullet"/>
      <w:lvlText w:val="o"/>
      <w:lvlJc w:val="left"/>
      <w:pPr>
        <w:ind w:left="1440" w:hanging="360"/>
      </w:pPr>
      <w:rPr>
        <w:rFonts w:ascii="Courier New" w:hAnsi="Courier New" w:hint="default"/>
      </w:rPr>
    </w:lvl>
    <w:lvl w:ilvl="2" w:tplc="B71E8FC0">
      <w:start w:val="1"/>
      <w:numFmt w:val="bullet"/>
      <w:lvlText w:val=""/>
      <w:lvlJc w:val="left"/>
      <w:pPr>
        <w:ind w:left="2160" w:hanging="360"/>
      </w:pPr>
      <w:rPr>
        <w:rFonts w:ascii="Wingdings" w:hAnsi="Wingdings" w:hint="default"/>
      </w:rPr>
    </w:lvl>
    <w:lvl w:ilvl="3" w:tplc="319C7BBE">
      <w:start w:val="1"/>
      <w:numFmt w:val="bullet"/>
      <w:lvlText w:val=""/>
      <w:lvlJc w:val="left"/>
      <w:pPr>
        <w:ind w:left="2880" w:hanging="360"/>
      </w:pPr>
      <w:rPr>
        <w:rFonts w:ascii="Symbol" w:hAnsi="Symbol" w:hint="default"/>
      </w:rPr>
    </w:lvl>
    <w:lvl w:ilvl="4" w:tplc="B01A64EC">
      <w:start w:val="1"/>
      <w:numFmt w:val="bullet"/>
      <w:lvlText w:val="o"/>
      <w:lvlJc w:val="left"/>
      <w:pPr>
        <w:ind w:left="3600" w:hanging="360"/>
      </w:pPr>
      <w:rPr>
        <w:rFonts w:ascii="Courier New" w:hAnsi="Courier New" w:hint="default"/>
      </w:rPr>
    </w:lvl>
    <w:lvl w:ilvl="5" w:tplc="3CDE852A">
      <w:start w:val="1"/>
      <w:numFmt w:val="bullet"/>
      <w:lvlText w:val=""/>
      <w:lvlJc w:val="left"/>
      <w:pPr>
        <w:ind w:left="4320" w:hanging="360"/>
      </w:pPr>
      <w:rPr>
        <w:rFonts w:ascii="Wingdings" w:hAnsi="Wingdings" w:hint="default"/>
      </w:rPr>
    </w:lvl>
    <w:lvl w:ilvl="6" w:tplc="00728CAE">
      <w:start w:val="1"/>
      <w:numFmt w:val="bullet"/>
      <w:lvlText w:val=""/>
      <w:lvlJc w:val="left"/>
      <w:pPr>
        <w:ind w:left="5040" w:hanging="360"/>
      </w:pPr>
      <w:rPr>
        <w:rFonts w:ascii="Symbol" w:hAnsi="Symbol" w:hint="default"/>
      </w:rPr>
    </w:lvl>
    <w:lvl w:ilvl="7" w:tplc="8ED61478">
      <w:start w:val="1"/>
      <w:numFmt w:val="bullet"/>
      <w:lvlText w:val="o"/>
      <w:lvlJc w:val="left"/>
      <w:pPr>
        <w:ind w:left="5760" w:hanging="360"/>
      </w:pPr>
      <w:rPr>
        <w:rFonts w:ascii="Courier New" w:hAnsi="Courier New" w:hint="default"/>
      </w:rPr>
    </w:lvl>
    <w:lvl w:ilvl="8" w:tplc="C5F85C6C">
      <w:start w:val="1"/>
      <w:numFmt w:val="bullet"/>
      <w:lvlText w:val=""/>
      <w:lvlJc w:val="left"/>
      <w:pPr>
        <w:ind w:left="6480" w:hanging="360"/>
      </w:pPr>
      <w:rPr>
        <w:rFonts w:ascii="Wingdings" w:hAnsi="Wingdings" w:hint="default"/>
      </w:rPr>
    </w:lvl>
  </w:abstractNum>
  <w:abstractNum w:abstractNumId="28" w15:restartNumberingAfterBreak="0">
    <w:nsid w:val="5CEA1814"/>
    <w:multiLevelType w:val="hybridMultilevel"/>
    <w:tmpl w:val="9528AE14"/>
    <w:lvl w:ilvl="0" w:tplc="E47E5A54">
      <w:start w:val="1"/>
      <w:numFmt w:val="bullet"/>
      <w:lvlText w:val=""/>
      <w:lvlJc w:val="left"/>
      <w:pPr>
        <w:ind w:left="720" w:hanging="360"/>
      </w:pPr>
      <w:rPr>
        <w:rFonts w:ascii="Symbol" w:hAnsi="Symbol" w:hint="default"/>
      </w:rPr>
    </w:lvl>
    <w:lvl w:ilvl="1" w:tplc="E2162C3E">
      <w:start w:val="1"/>
      <w:numFmt w:val="bullet"/>
      <w:lvlText w:val="o"/>
      <w:lvlJc w:val="left"/>
      <w:pPr>
        <w:ind w:left="1440" w:hanging="360"/>
      </w:pPr>
      <w:rPr>
        <w:rFonts w:ascii="Courier New" w:hAnsi="Courier New" w:hint="default"/>
      </w:rPr>
    </w:lvl>
    <w:lvl w:ilvl="2" w:tplc="A2CE6512">
      <w:start w:val="1"/>
      <w:numFmt w:val="bullet"/>
      <w:lvlText w:val=""/>
      <w:lvlJc w:val="left"/>
      <w:pPr>
        <w:ind w:left="2160" w:hanging="360"/>
      </w:pPr>
      <w:rPr>
        <w:rFonts w:ascii="Wingdings" w:hAnsi="Wingdings" w:hint="default"/>
      </w:rPr>
    </w:lvl>
    <w:lvl w:ilvl="3" w:tplc="E7986B6E">
      <w:start w:val="1"/>
      <w:numFmt w:val="bullet"/>
      <w:lvlText w:val=""/>
      <w:lvlJc w:val="left"/>
      <w:pPr>
        <w:ind w:left="2880" w:hanging="360"/>
      </w:pPr>
      <w:rPr>
        <w:rFonts w:ascii="Symbol" w:hAnsi="Symbol" w:hint="default"/>
      </w:rPr>
    </w:lvl>
    <w:lvl w:ilvl="4" w:tplc="B2367198">
      <w:start w:val="1"/>
      <w:numFmt w:val="bullet"/>
      <w:lvlText w:val="o"/>
      <w:lvlJc w:val="left"/>
      <w:pPr>
        <w:ind w:left="3600" w:hanging="360"/>
      </w:pPr>
      <w:rPr>
        <w:rFonts w:ascii="Courier New" w:hAnsi="Courier New" w:hint="default"/>
      </w:rPr>
    </w:lvl>
    <w:lvl w:ilvl="5" w:tplc="54F80CFC">
      <w:start w:val="1"/>
      <w:numFmt w:val="bullet"/>
      <w:lvlText w:val=""/>
      <w:lvlJc w:val="left"/>
      <w:pPr>
        <w:ind w:left="4320" w:hanging="360"/>
      </w:pPr>
      <w:rPr>
        <w:rFonts w:ascii="Wingdings" w:hAnsi="Wingdings" w:hint="default"/>
      </w:rPr>
    </w:lvl>
    <w:lvl w:ilvl="6" w:tplc="5A40C934">
      <w:start w:val="1"/>
      <w:numFmt w:val="bullet"/>
      <w:lvlText w:val=""/>
      <w:lvlJc w:val="left"/>
      <w:pPr>
        <w:ind w:left="5040" w:hanging="360"/>
      </w:pPr>
      <w:rPr>
        <w:rFonts w:ascii="Symbol" w:hAnsi="Symbol" w:hint="default"/>
      </w:rPr>
    </w:lvl>
    <w:lvl w:ilvl="7" w:tplc="6CCEA4A6">
      <w:start w:val="1"/>
      <w:numFmt w:val="bullet"/>
      <w:lvlText w:val="o"/>
      <w:lvlJc w:val="left"/>
      <w:pPr>
        <w:ind w:left="5760" w:hanging="360"/>
      </w:pPr>
      <w:rPr>
        <w:rFonts w:ascii="Courier New" w:hAnsi="Courier New" w:hint="default"/>
      </w:rPr>
    </w:lvl>
    <w:lvl w:ilvl="8" w:tplc="14600842">
      <w:start w:val="1"/>
      <w:numFmt w:val="bullet"/>
      <w:lvlText w:val=""/>
      <w:lvlJc w:val="left"/>
      <w:pPr>
        <w:ind w:left="6480" w:hanging="360"/>
      </w:pPr>
      <w:rPr>
        <w:rFonts w:ascii="Wingdings" w:hAnsi="Wingdings" w:hint="default"/>
      </w:rPr>
    </w:lvl>
  </w:abstractNum>
  <w:abstractNum w:abstractNumId="29" w15:restartNumberingAfterBreak="0">
    <w:nsid w:val="60073018"/>
    <w:multiLevelType w:val="multilevel"/>
    <w:tmpl w:val="7542F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703FD7"/>
    <w:multiLevelType w:val="hybridMultilevel"/>
    <w:tmpl w:val="ED9C0FDC"/>
    <w:lvl w:ilvl="0" w:tplc="E41219C0">
      <w:start w:val="1"/>
      <w:numFmt w:val="bullet"/>
      <w:lvlText w:val=""/>
      <w:lvlJc w:val="left"/>
      <w:pPr>
        <w:ind w:left="720" w:hanging="360"/>
      </w:pPr>
      <w:rPr>
        <w:rFonts w:ascii="Symbol" w:hAnsi="Symbol" w:hint="default"/>
      </w:rPr>
    </w:lvl>
    <w:lvl w:ilvl="1" w:tplc="5F98D13E">
      <w:start w:val="1"/>
      <w:numFmt w:val="bullet"/>
      <w:lvlText w:val="o"/>
      <w:lvlJc w:val="left"/>
      <w:pPr>
        <w:ind w:left="1440" w:hanging="360"/>
      </w:pPr>
      <w:rPr>
        <w:rFonts w:ascii="Courier New" w:hAnsi="Courier New" w:hint="default"/>
      </w:rPr>
    </w:lvl>
    <w:lvl w:ilvl="2" w:tplc="B93CC338">
      <w:start w:val="1"/>
      <w:numFmt w:val="bullet"/>
      <w:lvlText w:val=""/>
      <w:lvlJc w:val="left"/>
      <w:pPr>
        <w:ind w:left="2160" w:hanging="360"/>
      </w:pPr>
      <w:rPr>
        <w:rFonts w:ascii="Wingdings" w:hAnsi="Wingdings" w:hint="default"/>
      </w:rPr>
    </w:lvl>
    <w:lvl w:ilvl="3" w:tplc="EFE4A036">
      <w:start w:val="1"/>
      <w:numFmt w:val="bullet"/>
      <w:lvlText w:val=""/>
      <w:lvlJc w:val="left"/>
      <w:pPr>
        <w:ind w:left="2880" w:hanging="360"/>
      </w:pPr>
      <w:rPr>
        <w:rFonts w:ascii="Symbol" w:hAnsi="Symbol" w:hint="default"/>
      </w:rPr>
    </w:lvl>
    <w:lvl w:ilvl="4" w:tplc="B60A38BA">
      <w:start w:val="1"/>
      <w:numFmt w:val="bullet"/>
      <w:lvlText w:val="o"/>
      <w:lvlJc w:val="left"/>
      <w:pPr>
        <w:ind w:left="3600" w:hanging="360"/>
      </w:pPr>
      <w:rPr>
        <w:rFonts w:ascii="Courier New" w:hAnsi="Courier New" w:hint="default"/>
      </w:rPr>
    </w:lvl>
    <w:lvl w:ilvl="5" w:tplc="84DC83D0">
      <w:start w:val="1"/>
      <w:numFmt w:val="bullet"/>
      <w:lvlText w:val=""/>
      <w:lvlJc w:val="left"/>
      <w:pPr>
        <w:ind w:left="4320" w:hanging="360"/>
      </w:pPr>
      <w:rPr>
        <w:rFonts w:ascii="Wingdings" w:hAnsi="Wingdings" w:hint="default"/>
      </w:rPr>
    </w:lvl>
    <w:lvl w:ilvl="6" w:tplc="3E64E936">
      <w:start w:val="1"/>
      <w:numFmt w:val="bullet"/>
      <w:lvlText w:val=""/>
      <w:lvlJc w:val="left"/>
      <w:pPr>
        <w:ind w:left="5040" w:hanging="360"/>
      </w:pPr>
      <w:rPr>
        <w:rFonts w:ascii="Symbol" w:hAnsi="Symbol" w:hint="default"/>
      </w:rPr>
    </w:lvl>
    <w:lvl w:ilvl="7" w:tplc="3FFE46E4">
      <w:start w:val="1"/>
      <w:numFmt w:val="bullet"/>
      <w:lvlText w:val="o"/>
      <w:lvlJc w:val="left"/>
      <w:pPr>
        <w:ind w:left="5760" w:hanging="360"/>
      </w:pPr>
      <w:rPr>
        <w:rFonts w:ascii="Courier New" w:hAnsi="Courier New" w:hint="default"/>
      </w:rPr>
    </w:lvl>
    <w:lvl w:ilvl="8" w:tplc="1266322E">
      <w:start w:val="1"/>
      <w:numFmt w:val="bullet"/>
      <w:lvlText w:val=""/>
      <w:lvlJc w:val="left"/>
      <w:pPr>
        <w:ind w:left="6480" w:hanging="360"/>
      </w:pPr>
      <w:rPr>
        <w:rFonts w:ascii="Wingdings" w:hAnsi="Wingdings" w:hint="default"/>
      </w:rPr>
    </w:lvl>
  </w:abstractNum>
  <w:abstractNum w:abstractNumId="31" w15:restartNumberingAfterBreak="0">
    <w:nsid w:val="68A1277C"/>
    <w:multiLevelType w:val="multilevel"/>
    <w:tmpl w:val="19068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3211B35"/>
    <w:multiLevelType w:val="multilevel"/>
    <w:tmpl w:val="00CE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91F9E8"/>
    <w:multiLevelType w:val="hybridMultilevel"/>
    <w:tmpl w:val="F384B46E"/>
    <w:lvl w:ilvl="0" w:tplc="712AE684">
      <w:start w:val="1"/>
      <w:numFmt w:val="decimal"/>
      <w:lvlText w:val="%1."/>
      <w:lvlJc w:val="left"/>
      <w:pPr>
        <w:ind w:left="720" w:hanging="360"/>
      </w:pPr>
    </w:lvl>
    <w:lvl w:ilvl="1" w:tplc="EFA65238">
      <w:start w:val="1"/>
      <w:numFmt w:val="lowerLetter"/>
      <w:lvlText w:val="%2."/>
      <w:lvlJc w:val="left"/>
      <w:pPr>
        <w:ind w:left="1440" w:hanging="360"/>
      </w:pPr>
    </w:lvl>
    <w:lvl w:ilvl="2" w:tplc="8C1A6BFC">
      <w:start w:val="1"/>
      <w:numFmt w:val="lowerRoman"/>
      <w:lvlText w:val="%3."/>
      <w:lvlJc w:val="right"/>
      <w:pPr>
        <w:ind w:left="2160" w:hanging="180"/>
      </w:pPr>
    </w:lvl>
    <w:lvl w:ilvl="3" w:tplc="2C5E64A8">
      <w:start w:val="1"/>
      <w:numFmt w:val="decimal"/>
      <w:lvlText w:val="%4."/>
      <w:lvlJc w:val="left"/>
      <w:pPr>
        <w:ind w:left="2880" w:hanging="360"/>
      </w:pPr>
    </w:lvl>
    <w:lvl w:ilvl="4" w:tplc="13CE1D3E">
      <w:start w:val="1"/>
      <w:numFmt w:val="lowerLetter"/>
      <w:lvlText w:val="%5."/>
      <w:lvlJc w:val="left"/>
      <w:pPr>
        <w:ind w:left="3600" w:hanging="360"/>
      </w:pPr>
    </w:lvl>
    <w:lvl w:ilvl="5" w:tplc="4B625202">
      <w:start w:val="1"/>
      <w:numFmt w:val="lowerRoman"/>
      <w:lvlText w:val="%6."/>
      <w:lvlJc w:val="right"/>
      <w:pPr>
        <w:ind w:left="4320" w:hanging="180"/>
      </w:pPr>
    </w:lvl>
    <w:lvl w:ilvl="6" w:tplc="6AD4CB10">
      <w:start w:val="1"/>
      <w:numFmt w:val="decimal"/>
      <w:lvlText w:val="%7."/>
      <w:lvlJc w:val="left"/>
      <w:pPr>
        <w:ind w:left="5040" w:hanging="360"/>
      </w:pPr>
    </w:lvl>
    <w:lvl w:ilvl="7" w:tplc="BDACF322">
      <w:start w:val="1"/>
      <w:numFmt w:val="lowerLetter"/>
      <w:lvlText w:val="%8."/>
      <w:lvlJc w:val="left"/>
      <w:pPr>
        <w:ind w:left="5760" w:hanging="360"/>
      </w:pPr>
    </w:lvl>
    <w:lvl w:ilvl="8" w:tplc="0D409E64">
      <w:start w:val="1"/>
      <w:numFmt w:val="lowerRoman"/>
      <w:lvlText w:val="%9."/>
      <w:lvlJc w:val="right"/>
      <w:pPr>
        <w:ind w:left="6480" w:hanging="180"/>
      </w:pPr>
    </w:lvl>
  </w:abstractNum>
  <w:abstractNum w:abstractNumId="34" w15:restartNumberingAfterBreak="0">
    <w:nsid w:val="750339A8"/>
    <w:multiLevelType w:val="hybridMultilevel"/>
    <w:tmpl w:val="F412DE0C"/>
    <w:lvl w:ilvl="0" w:tplc="31ACDF1C">
      <w:start w:val="1"/>
      <w:numFmt w:val="bullet"/>
      <w:lvlText w:val=""/>
      <w:lvlJc w:val="left"/>
      <w:pPr>
        <w:ind w:left="720" w:hanging="360"/>
      </w:pPr>
      <w:rPr>
        <w:rFonts w:ascii="Symbol" w:hAnsi="Symbol" w:hint="default"/>
      </w:rPr>
    </w:lvl>
    <w:lvl w:ilvl="1" w:tplc="B5EEE02E">
      <w:start w:val="1"/>
      <w:numFmt w:val="bullet"/>
      <w:lvlText w:val="o"/>
      <w:lvlJc w:val="left"/>
      <w:pPr>
        <w:ind w:left="1440" w:hanging="360"/>
      </w:pPr>
      <w:rPr>
        <w:rFonts w:ascii="Courier New" w:hAnsi="Courier New" w:hint="default"/>
      </w:rPr>
    </w:lvl>
    <w:lvl w:ilvl="2" w:tplc="D84A1DCA">
      <w:start w:val="1"/>
      <w:numFmt w:val="bullet"/>
      <w:lvlText w:val=""/>
      <w:lvlJc w:val="left"/>
      <w:pPr>
        <w:ind w:left="2160" w:hanging="360"/>
      </w:pPr>
      <w:rPr>
        <w:rFonts w:ascii="Wingdings" w:hAnsi="Wingdings" w:hint="default"/>
      </w:rPr>
    </w:lvl>
    <w:lvl w:ilvl="3" w:tplc="1458EC9E">
      <w:start w:val="1"/>
      <w:numFmt w:val="bullet"/>
      <w:lvlText w:val=""/>
      <w:lvlJc w:val="left"/>
      <w:pPr>
        <w:ind w:left="2880" w:hanging="360"/>
      </w:pPr>
      <w:rPr>
        <w:rFonts w:ascii="Symbol" w:hAnsi="Symbol" w:hint="default"/>
      </w:rPr>
    </w:lvl>
    <w:lvl w:ilvl="4" w:tplc="2D101D34">
      <w:start w:val="1"/>
      <w:numFmt w:val="bullet"/>
      <w:lvlText w:val="o"/>
      <w:lvlJc w:val="left"/>
      <w:pPr>
        <w:ind w:left="3600" w:hanging="360"/>
      </w:pPr>
      <w:rPr>
        <w:rFonts w:ascii="Courier New" w:hAnsi="Courier New" w:hint="default"/>
      </w:rPr>
    </w:lvl>
    <w:lvl w:ilvl="5" w:tplc="D0B0B13E">
      <w:start w:val="1"/>
      <w:numFmt w:val="bullet"/>
      <w:lvlText w:val=""/>
      <w:lvlJc w:val="left"/>
      <w:pPr>
        <w:ind w:left="4320" w:hanging="360"/>
      </w:pPr>
      <w:rPr>
        <w:rFonts w:ascii="Wingdings" w:hAnsi="Wingdings" w:hint="default"/>
      </w:rPr>
    </w:lvl>
    <w:lvl w:ilvl="6" w:tplc="3340A44C">
      <w:start w:val="1"/>
      <w:numFmt w:val="bullet"/>
      <w:lvlText w:val=""/>
      <w:lvlJc w:val="left"/>
      <w:pPr>
        <w:ind w:left="5040" w:hanging="360"/>
      </w:pPr>
      <w:rPr>
        <w:rFonts w:ascii="Symbol" w:hAnsi="Symbol" w:hint="default"/>
      </w:rPr>
    </w:lvl>
    <w:lvl w:ilvl="7" w:tplc="892E1524">
      <w:start w:val="1"/>
      <w:numFmt w:val="bullet"/>
      <w:lvlText w:val="o"/>
      <w:lvlJc w:val="left"/>
      <w:pPr>
        <w:ind w:left="5760" w:hanging="360"/>
      </w:pPr>
      <w:rPr>
        <w:rFonts w:ascii="Courier New" w:hAnsi="Courier New" w:hint="default"/>
      </w:rPr>
    </w:lvl>
    <w:lvl w:ilvl="8" w:tplc="55E2132A">
      <w:start w:val="1"/>
      <w:numFmt w:val="bullet"/>
      <w:lvlText w:val=""/>
      <w:lvlJc w:val="left"/>
      <w:pPr>
        <w:ind w:left="6480" w:hanging="360"/>
      </w:pPr>
      <w:rPr>
        <w:rFonts w:ascii="Wingdings" w:hAnsi="Wingdings" w:hint="default"/>
      </w:rPr>
    </w:lvl>
  </w:abstractNum>
  <w:abstractNum w:abstractNumId="35" w15:restartNumberingAfterBreak="0">
    <w:nsid w:val="76E44930"/>
    <w:multiLevelType w:val="multilevel"/>
    <w:tmpl w:val="CFDA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439B8A"/>
    <w:multiLevelType w:val="hybridMultilevel"/>
    <w:tmpl w:val="34A63744"/>
    <w:lvl w:ilvl="0" w:tplc="92DEB520">
      <w:start w:val="1"/>
      <w:numFmt w:val="decimal"/>
      <w:lvlText w:val="%1."/>
      <w:lvlJc w:val="left"/>
      <w:pPr>
        <w:ind w:left="720" w:hanging="360"/>
      </w:pPr>
    </w:lvl>
    <w:lvl w:ilvl="1" w:tplc="11486F0E">
      <w:start w:val="1"/>
      <w:numFmt w:val="lowerLetter"/>
      <w:lvlText w:val="%2."/>
      <w:lvlJc w:val="left"/>
      <w:pPr>
        <w:ind w:left="1440" w:hanging="360"/>
      </w:pPr>
    </w:lvl>
    <w:lvl w:ilvl="2" w:tplc="DBB413C2">
      <w:start w:val="1"/>
      <w:numFmt w:val="lowerRoman"/>
      <w:lvlText w:val="%3."/>
      <w:lvlJc w:val="right"/>
      <w:pPr>
        <w:ind w:left="2160" w:hanging="180"/>
      </w:pPr>
    </w:lvl>
    <w:lvl w:ilvl="3" w:tplc="3C68CC88">
      <w:start w:val="1"/>
      <w:numFmt w:val="decimal"/>
      <w:lvlText w:val="%4."/>
      <w:lvlJc w:val="left"/>
      <w:pPr>
        <w:ind w:left="2880" w:hanging="360"/>
      </w:pPr>
    </w:lvl>
    <w:lvl w:ilvl="4" w:tplc="1AA0C3A6">
      <w:start w:val="1"/>
      <w:numFmt w:val="lowerLetter"/>
      <w:lvlText w:val="%5."/>
      <w:lvlJc w:val="left"/>
      <w:pPr>
        <w:ind w:left="3600" w:hanging="360"/>
      </w:pPr>
    </w:lvl>
    <w:lvl w:ilvl="5" w:tplc="495E267E">
      <w:start w:val="1"/>
      <w:numFmt w:val="lowerRoman"/>
      <w:lvlText w:val="%6."/>
      <w:lvlJc w:val="right"/>
      <w:pPr>
        <w:ind w:left="4320" w:hanging="180"/>
      </w:pPr>
    </w:lvl>
    <w:lvl w:ilvl="6" w:tplc="0C929BFC">
      <w:start w:val="1"/>
      <w:numFmt w:val="decimal"/>
      <w:lvlText w:val="%7."/>
      <w:lvlJc w:val="left"/>
      <w:pPr>
        <w:ind w:left="5040" w:hanging="360"/>
      </w:pPr>
    </w:lvl>
    <w:lvl w:ilvl="7" w:tplc="9C3401BE">
      <w:start w:val="1"/>
      <w:numFmt w:val="lowerLetter"/>
      <w:lvlText w:val="%8."/>
      <w:lvlJc w:val="left"/>
      <w:pPr>
        <w:ind w:left="5760" w:hanging="360"/>
      </w:pPr>
    </w:lvl>
    <w:lvl w:ilvl="8" w:tplc="1A6E3C86">
      <w:start w:val="1"/>
      <w:numFmt w:val="lowerRoman"/>
      <w:lvlText w:val="%9."/>
      <w:lvlJc w:val="right"/>
      <w:pPr>
        <w:ind w:left="6480" w:hanging="180"/>
      </w:pPr>
    </w:lvl>
  </w:abstractNum>
  <w:abstractNum w:abstractNumId="37" w15:restartNumberingAfterBreak="0">
    <w:nsid w:val="7F00699A"/>
    <w:multiLevelType w:val="multilevel"/>
    <w:tmpl w:val="1666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90DFBF"/>
    <w:multiLevelType w:val="hybridMultilevel"/>
    <w:tmpl w:val="042204C4"/>
    <w:lvl w:ilvl="0" w:tplc="32C65382">
      <w:start w:val="1"/>
      <w:numFmt w:val="bullet"/>
      <w:lvlText w:val=""/>
      <w:lvlJc w:val="left"/>
      <w:pPr>
        <w:ind w:left="720" w:hanging="360"/>
      </w:pPr>
      <w:rPr>
        <w:rFonts w:ascii="Symbol" w:hAnsi="Symbol" w:hint="default"/>
      </w:rPr>
    </w:lvl>
    <w:lvl w:ilvl="1" w:tplc="092C1916">
      <w:start w:val="1"/>
      <w:numFmt w:val="bullet"/>
      <w:lvlText w:val="o"/>
      <w:lvlJc w:val="left"/>
      <w:pPr>
        <w:ind w:left="1440" w:hanging="360"/>
      </w:pPr>
      <w:rPr>
        <w:rFonts w:ascii="Courier New" w:hAnsi="Courier New" w:hint="default"/>
      </w:rPr>
    </w:lvl>
    <w:lvl w:ilvl="2" w:tplc="E5A0E9EA">
      <w:start w:val="1"/>
      <w:numFmt w:val="bullet"/>
      <w:lvlText w:val=""/>
      <w:lvlJc w:val="left"/>
      <w:pPr>
        <w:ind w:left="2160" w:hanging="360"/>
      </w:pPr>
      <w:rPr>
        <w:rFonts w:ascii="Wingdings" w:hAnsi="Wingdings" w:hint="default"/>
      </w:rPr>
    </w:lvl>
    <w:lvl w:ilvl="3" w:tplc="359AE6C6">
      <w:start w:val="1"/>
      <w:numFmt w:val="bullet"/>
      <w:lvlText w:val=""/>
      <w:lvlJc w:val="left"/>
      <w:pPr>
        <w:ind w:left="2880" w:hanging="360"/>
      </w:pPr>
      <w:rPr>
        <w:rFonts w:ascii="Symbol" w:hAnsi="Symbol" w:hint="default"/>
      </w:rPr>
    </w:lvl>
    <w:lvl w:ilvl="4" w:tplc="FED85FFC">
      <w:start w:val="1"/>
      <w:numFmt w:val="bullet"/>
      <w:lvlText w:val="o"/>
      <w:lvlJc w:val="left"/>
      <w:pPr>
        <w:ind w:left="3600" w:hanging="360"/>
      </w:pPr>
      <w:rPr>
        <w:rFonts w:ascii="Courier New" w:hAnsi="Courier New" w:hint="default"/>
      </w:rPr>
    </w:lvl>
    <w:lvl w:ilvl="5" w:tplc="DFC65CCC">
      <w:start w:val="1"/>
      <w:numFmt w:val="bullet"/>
      <w:lvlText w:val=""/>
      <w:lvlJc w:val="left"/>
      <w:pPr>
        <w:ind w:left="4320" w:hanging="360"/>
      </w:pPr>
      <w:rPr>
        <w:rFonts w:ascii="Wingdings" w:hAnsi="Wingdings" w:hint="default"/>
      </w:rPr>
    </w:lvl>
    <w:lvl w:ilvl="6" w:tplc="802A2960">
      <w:start w:val="1"/>
      <w:numFmt w:val="bullet"/>
      <w:lvlText w:val=""/>
      <w:lvlJc w:val="left"/>
      <w:pPr>
        <w:ind w:left="5040" w:hanging="360"/>
      </w:pPr>
      <w:rPr>
        <w:rFonts w:ascii="Symbol" w:hAnsi="Symbol" w:hint="default"/>
      </w:rPr>
    </w:lvl>
    <w:lvl w:ilvl="7" w:tplc="AAF2700A">
      <w:start w:val="1"/>
      <w:numFmt w:val="bullet"/>
      <w:lvlText w:val="o"/>
      <w:lvlJc w:val="left"/>
      <w:pPr>
        <w:ind w:left="5760" w:hanging="360"/>
      </w:pPr>
      <w:rPr>
        <w:rFonts w:ascii="Courier New" w:hAnsi="Courier New" w:hint="default"/>
      </w:rPr>
    </w:lvl>
    <w:lvl w:ilvl="8" w:tplc="CE540124">
      <w:start w:val="1"/>
      <w:numFmt w:val="bullet"/>
      <w:lvlText w:val=""/>
      <w:lvlJc w:val="left"/>
      <w:pPr>
        <w:ind w:left="6480" w:hanging="360"/>
      </w:pPr>
      <w:rPr>
        <w:rFonts w:ascii="Wingdings" w:hAnsi="Wingdings" w:hint="default"/>
      </w:rPr>
    </w:lvl>
  </w:abstractNum>
  <w:num w:numId="1" w16cid:durableId="1929314914">
    <w:abstractNumId w:val="27"/>
  </w:num>
  <w:num w:numId="2" w16cid:durableId="55324116">
    <w:abstractNumId w:val="17"/>
  </w:num>
  <w:num w:numId="3" w16cid:durableId="326324697">
    <w:abstractNumId w:val="0"/>
  </w:num>
  <w:num w:numId="4" w16cid:durableId="675546625">
    <w:abstractNumId w:val="16"/>
  </w:num>
  <w:num w:numId="5" w16cid:durableId="787554827">
    <w:abstractNumId w:val="25"/>
  </w:num>
  <w:num w:numId="6" w16cid:durableId="709914582">
    <w:abstractNumId w:val="22"/>
  </w:num>
  <w:num w:numId="7" w16cid:durableId="1359044567">
    <w:abstractNumId w:val="38"/>
  </w:num>
  <w:num w:numId="8" w16cid:durableId="866680163">
    <w:abstractNumId w:val="24"/>
  </w:num>
  <w:num w:numId="9" w16cid:durableId="211776333">
    <w:abstractNumId w:val="30"/>
  </w:num>
  <w:num w:numId="10" w16cid:durableId="104234880">
    <w:abstractNumId w:val="28"/>
  </w:num>
  <w:num w:numId="11" w16cid:durableId="944266527">
    <w:abstractNumId w:val="34"/>
  </w:num>
  <w:num w:numId="12" w16cid:durableId="1833908547">
    <w:abstractNumId w:val="13"/>
  </w:num>
  <w:num w:numId="13" w16cid:durableId="992099536">
    <w:abstractNumId w:val="12"/>
  </w:num>
  <w:num w:numId="14" w16cid:durableId="358357273">
    <w:abstractNumId w:val="1"/>
  </w:num>
  <w:num w:numId="15" w16cid:durableId="387612434">
    <w:abstractNumId w:val="21"/>
  </w:num>
  <w:num w:numId="16" w16cid:durableId="690496391">
    <w:abstractNumId w:val="36"/>
  </w:num>
  <w:num w:numId="17" w16cid:durableId="685403155">
    <w:abstractNumId w:val="14"/>
  </w:num>
  <w:num w:numId="18" w16cid:durableId="1433670259">
    <w:abstractNumId w:val="18"/>
  </w:num>
  <w:num w:numId="19" w16cid:durableId="1861314742">
    <w:abstractNumId w:val="2"/>
  </w:num>
  <w:num w:numId="20" w16cid:durableId="1663384466">
    <w:abstractNumId w:val="33"/>
  </w:num>
  <w:num w:numId="21" w16cid:durableId="32115768">
    <w:abstractNumId w:val="23"/>
  </w:num>
  <w:num w:numId="22" w16cid:durableId="256444342">
    <w:abstractNumId w:val="31"/>
  </w:num>
  <w:num w:numId="23" w16cid:durableId="616369726">
    <w:abstractNumId w:val="4"/>
  </w:num>
  <w:num w:numId="24" w16cid:durableId="714548823">
    <w:abstractNumId w:val="6"/>
  </w:num>
  <w:num w:numId="25" w16cid:durableId="1380470279">
    <w:abstractNumId w:val="11"/>
  </w:num>
  <w:num w:numId="26" w16cid:durableId="1196306300">
    <w:abstractNumId w:val="32"/>
  </w:num>
  <w:num w:numId="27" w16cid:durableId="2105102669">
    <w:abstractNumId w:val="26"/>
  </w:num>
  <w:num w:numId="28" w16cid:durableId="439448193">
    <w:abstractNumId w:val="29"/>
  </w:num>
  <w:num w:numId="29" w16cid:durableId="994869169">
    <w:abstractNumId w:val="7"/>
  </w:num>
  <w:num w:numId="30" w16cid:durableId="1279407808">
    <w:abstractNumId w:val="3"/>
  </w:num>
  <w:num w:numId="31" w16cid:durableId="326129909">
    <w:abstractNumId w:val="15"/>
  </w:num>
  <w:num w:numId="32" w16cid:durableId="1961375260">
    <w:abstractNumId w:val="35"/>
  </w:num>
  <w:num w:numId="33" w16cid:durableId="485634606">
    <w:abstractNumId w:val="37"/>
  </w:num>
  <w:num w:numId="34" w16cid:durableId="1522163167">
    <w:abstractNumId w:val="20"/>
  </w:num>
  <w:num w:numId="35" w16cid:durableId="1656253125">
    <w:abstractNumId w:val="5"/>
  </w:num>
  <w:num w:numId="36" w16cid:durableId="711803508">
    <w:abstractNumId w:val="19"/>
  </w:num>
  <w:num w:numId="37" w16cid:durableId="60255234">
    <w:abstractNumId w:val="8"/>
  </w:num>
  <w:num w:numId="38" w16cid:durableId="1134447974">
    <w:abstractNumId w:val="10"/>
  </w:num>
  <w:num w:numId="39" w16cid:durableId="4198369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262C1C"/>
    <w:rsid w:val="001548D4"/>
    <w:rsid w:val="00211C16"/>
    <w:rsid w:val="002D0C71"/>
    <w:rsid w:val="00433560"/>
    <w:rsid w:val="0047F7D9"/>
    <w:rsid w:val="004A4336"/>
    <w:rsid w:val="005B7121"/>
    <w:rsid w:val="005E7828"/>
    <w:rsid w:val="0065556B"/>
    <w:rsid w:val="00725ED7"/>
    <w:rsid w:val="00755340"/>
    <w:rsid w:val="00784662"/>
    <w:rsid w:val="007D66E9"/>
    <w:rsid w:val="008B4FC5"/>
    <w:rsid w:val="008C5553"/>
    <w:rsid w:val="009F10D6"/>
    <w:rsid w:val="009F71A9"/>
    <w:rsid w:val="00A10DF8"/>
    <w:rsid w:val="00A416A5"/>
    <w:rsid w:val="00B47736"/>
    <w:rsid w:val="00B9665F"/>
    <w:rsid w:val="00BB76AD"/>
    <w:rsid w:val="00BE4738"/>
    <w:rsid w:val="00BF46C6"/>
    <w:rsid w:val="00CB1EA9"/>
    <w:rsid w:val="00CD2076"/>
    <w:rsid w:val="00D90C7C"/>
    <w:rsid w:val="00E37E56"/>
    <w:rsid w:val="00EA408D"/>
    <w:rsid w:val="00EF14ED"/>
    <w:rsid w:val="03275AA1"/>
    <w:rsid w:val="046B9B2C"/>
    <w:rsid w:val="0A92ADC4"/>
    <w:rsid w:val="0B9D17F4"/>
    <w:rsid w:val="0C6B1CC5"/>
    <w:rsid w:val="127FA0F1"/>
    <w:rsid w:val="1333D861"/>
    <w:rsid w:val="146EA354"/>
    <w:rsid w:val="1C145FDC"/>
    <w:rsid w:val="1D8BF0DD"/>
    <w:rsid w:val="22018B77"/>
    <w:rsid w:val="25F6CB4B"/>
    <w:rsid w:val="28480283"/>
    <w:rsid w:val="2907C171"/>
    <w:rsid w:val="2AF99E34"/>
    <w:rsid w:val="2C45E1EA"/>
    <w:rsid w:val="2D7FEE72"/>
    <w:rsid w:val="2DE3B570"/>
    <w:rsid w:val="2ED454DD"/>
    <w:rsid w:val="31C0AC83"/>
    <w:rsid w:val="35C23897"/>
    <w:rsid w:val="364D1C8F"/>
    <w:rsid w:val="3B30B780"/>
    <w:rsid w:val="3E7D8418"/>
    <w:rsid w:val="3F637CEC"/>
    <w:rsid w:val="46BFA4FD"/>
    <w:rsid w:val="4A5FD258"/>
    <w:rsid w:val="4AB208B1"/>
    <w:rsid w:val="4FD3692D"/>
    <w:rsid w:val="5085ED33"/>
    <w:rsid w:val="51C2CB82"/>
    <w:rsid w:val="51D81398"/>
    <w:rsid w:val="56371817"/>
    <w:rsid w:val="5C8DCB75"/>
    <w:rsid w:val="5EA29981"/>
    <w:rsid w:val="61CCC96C"/>
    <w:rsid w:val="626D2954"/>
    <w:rsid w:val="62DC80F1"/>
    <w:rsid w:val="636C66EF"/>
    <w:rsid w:val="6AD57CA8"/>
    <w:rsid w:val="6DE52F81"/>
    <w:rsid w:val="6DF237A0"/>
    <w:rsid w:val="6F962A51"/>
    <w:rsid w:val="6FD718EC"/>
    <w:rsid w:val="71925824"/>
    <w:rsid w:val="71FA5C98"/>
    <w:rsid w:val="74C7E5DB"/>
    <w:rsid w:val="7A262C1C"/>
    <w:rsid w:val="7DA98ECD"/>
    <w:rsid w:val="7E05C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8CC7A"/>
  <w15:chartTrackingRefBased/>
  <w15:docId w15:val="{22C727C7-E4AD-4C34-89F3-3FF6C30FE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018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2018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2018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22018B77"/>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2018B77"/>
    <w:pPr>
      <w:ind w:left="720"/>
      <w:contextualSpacing/>
    </w:pPr>
  </w:style>
  <w:style w:type="character" w:styleId="Hyperlink">
    <w:name w:val="Hyperlink"/>
    <w:basedOn w:val="DefaultParagraphFont"/>
    <w:uiPriority w:val="99"/>
    <w:unhideWhenUsed/>
    <w:rsid w:val="22018B7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90C7C"/>
    <w:rPr>
      <w:color w:val="605E5C"/>
      <w:shd w:val="clear" w:color="auto" w:fill="E1DFDD"/>
    </w:rPr>
  </w:style>
  <w:style w:type="table" w:styleId="TableGridLight">
    <w:name w:val="Grid Table Light"/>
    <w:basedOn w:val="TableNormal"/>
    <w:uiPriority w:val="40"/>
    <w:rsid w:val="005B71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B71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B712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B71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BB76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6AD"/>
  </w:style>
  <w:style w:type="paragraph" w:styleId="Footer">
    <w:name w:val="footer"/>
    <w:basedOn w:val="Normal"/>
    <w:link w:val="FooterChar"/>
    <w:uiPriority w:val="99"/>
    <w:unhideWhenUsed/>
    <w:rsid w:val="00BB76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6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3.1119998" TargetMode="External"/><Relationship Id="rId13" Type="http://schemas.openxmlformats.org/officeDocument/2006/relationships/hyperlink" Target="https://www.nice.org.uk/guidance/ng11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1471-244X-10-88" TargetMode="External"/><Relationship Id="rId17" Type="http://schemas.openxmlformats.org/officeDocument/2006/relationships/hyperlink" Target="https://doi.org/10.46658/JBIMES-20-12" TargetMode="External"/><Relationship Id="rId2" Type="http://schemas.openxmlformats.org/officeDocument/2006/relationships/numbering" Target="numbering.xml"/><Relationship Id="rId16" Type="http://schemas.openxmlformats.org/officeDocument/2006/relationships/hyperlink" Target="https://www.ons.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one.0252188" TargetMode="External"/><Relationship Id="rId5" Type="http://schemas.openxmlformats.org/officeDocument/2006/relationships/webSettings" Target="webSettings.xml"/><Relationship Id="rId15" Type="http://schemas.openxmlformats.org/officeDocument/2006/relationships/hyperlink" Target="https://www.longtermplan.nhs.uk" TargetMode="External"/><Relationship Id="rId10" Type="http://schemas.openxmlformats.org/officeDocument/2006/relationships/hyperlink" Target="https://www.legislation.gov.uk/ukpga/2012/7/cont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1FDAB-8A4C-4266-9ED9-76867F09C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22</Pages>
  <Words>6177</Words>
  <Characters>35214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Mahmood (2413669)</dc:creator>
  <cp:keywords/>
  <dc:description/>
  <cp:lastModifiedBy>Misba Mahmood (2413669)</cp:lastModifiedBy>
  <cp:revision>25</cp:revision>
  <dcterms:created xsi:type="dcterms:W3CDTF">2026-07-17T20:17:00Z</dcterms:created>
  <dcterms:modified xsi:type="dcterms:W3CDTF">2026-07-23T13:51:00Z</dcterms:modified>
</cp:coreProperties>
</file>