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4C7188" w:rsidRPr="001739F6" w:rsidRDefault="004C7188" w:rsidP="001739F6">
      <w:pPr>
        <w:spacing w:after="160" w:line="259" w:lineRule="auto"/>
        <w:ind w:firstLine="0"/>
      </w:pPr>
    </w:p>
    <w:p w:rsidR="006F7C86" w:rsidRPr="00DF7684" w:rsidRDefault="006F7C86" w:rsidP="006F7C86">
      <w:pPr>
        <w:pStyle w:val="Heading1"/>
        <w:rPr>
          <w:u w:val="single"/>
        </w:rPr>
      </w:pPr>
      <w:r w:rsidRPr="00DF7684">
        <w:rPr>
          <w:rFonts w:asciiTheme="minorHAnsi" w:hAnsiTheme="minorHAnsi"/>
          <w:b w:val="0"/>
          <w:i w:val="0"/>
          <w:szCs w:val="24"/>
          <w:u w:val="single"/>
        </w:rPr>
        <w:t>Essay 3000 words</w:t>
      </w:r>
    </w:p>
    <w:p w:rsidR="00B46680" w:rsidRPr="00DF7684" w:rsidRDefault="00B46680" w:rsidP="00B46680">
      <w:pPr>
        <w:ind w:firstLine="0"/>
        <w:rPr>
          <w:rFonts w:asciiTheme="minorHAnsi" w:eastAsiaTheme="minorEastAsia" w:hAnsiTheme="minorHAnsi"/>
          <w:sz w:val="22"/>
          <w:u w:val="single"/>
          <w:lang w:eastAsia="en-GB"/>
        </w:rPr>
      </w:pPr>
    </w:p>
    <w:p w:rsidR="00B46680" w:rsidRPr="00DF7684" w:rsidRDefault="00B46680" w:rsidP="00B46680">
      <w:pPr>
        <w:ind w:firstLine="0"/>
        <w:rPr>
          <w:rFonts w:asciiTheme="minorHAnsi" w:eastAsiaTheme="minorEastAsia" w:hAnsiTheme="minorHAnsi"/>
          <w:sz w:val="22"/>
          <w:u w:val="single"/>
          <w:lang w:eastAsia="en-GB"/>
        </w:rPr>
      </w:pPr>
      <w:r w:rsidRPr="00DF7684">
        <w:rPr>
          <w:rFonts w:asciiTheme="minorHAnsi" w:eastAsiaTheme="minorEastAsia" w:hAnsiTheme="minorHAnsi"/>
          <w:sz w:val="22"/>
          <w:u w:val="single"/>
          <w:lang w:eastAsia="en-GB"/>
        </w:rPr>
        <w:t xml:space="preserve">Critically analyse the strategies for promoting inclusivity in the Foundation Phase.  </w:t>
      </w:r>
    </w:p>
    <w:p w:rsidR="006F7C86" w:rsidRPr="006F7C86" w:rsidRDefault="006F7C86" w:rsidP="00B46680">
      <w:pPr>
        <w:ind w:firstLine="0"/>
      </w:pPr>
    </w:p>
    <w:p w:rsidR="000024DF" w:rsidRPr="00734ABE" w:rsidRDefault="000715DA" w:rsidP="001739F6">
      <w:pPr>
        <w:ind w:firstLine="0"/>
        <w:rPr>
          <w:rFonts w:asciiTheme="minorHAnsi" w:hAnsiTheme="minorHAnsi"/>
          <w:szCs w:val="24"/>
        </w:rPr>
      </w:pPr>
      <w:r w:rsidRPr="00734ABE">
        <w:rPr>
          <w:rFonts w:asciiTheme="minorHAnsi" w:hAnsiTheme="minorHAnsi"/>
          <w:szCs w:val="24"/>
        </w:rPr>
        <w:t xml:space="preserve">The curriculum is often a major focus of education. What program should we offer students? Educators and teachers are concerned about what decisions should be made regarding the content and methods of teaching. Parents </w:t>
      </w:r>
      <w:r w:rsidR="00B10837" w:rsidRPr="00734ABE">
        <w:rPr>
          <w:rFonts w:asciiTheme="minorHAnsi" w:hAnsiTheme="minorHAnsi"/>
          <w:szCs w:val="24"/>
        </w:rPr>
        <w:t xml:space="preserve">and carers </w:t>
      </w:r>
      <w:r w:rsidRPr="00734ABE">
        <w:rPr>
          <w:rFonts w:asciiTheme="minorHAnsi" w:hAnsiTheme="minorHAnsi"/>
          <w:szCs w:val="24"/>
        </w:rPr>
        <w:t>want to know what their children are learning. Students are also concerned about the type of material they will have in class. Curriculum seems to be commonly understood as teaching by teachers and, in other words, what students learn. In fact, the curriculum is closely related to how students learn</w:t>
      </w:r>
      <w:r w:rsidR="00F86952" w:rsidRPr="00734ABE">
        <w:rPr>
          <w:rFonts w:asciiTheme="minorHAnsi" w:hAnsiTheme="minorHAnsi"/>
          <w:szCs w:val="24"/>
        </w:rPr>
        <w:t xml:space="preserve"> and what their </w:t>
      </w:r>
      <w:r w:rsidRPr="00734ABE">
        <w:rPr>
          <w:rFonts w:asciiTheme="minorHAnsi" w:hAnsiTheme="minorHAnsi"/>
          <w:szCs w:val="24"/>
        </w:rPr>
        <w:t>results. Th</w:t>
      </w:r>
      <w:r w:rsidR="00A27304" w:rsidRPr="00734ABE">
        <w:rPr>
          <w:rFonts w:asciiTheme="minorHAnsi" w:hAnsiTheme="minorHAnsi"/>
          <w:szCs w:val="24"/>
        </w:rPr>
        <w:t>e</w:t>
      </w:r>
      <w:r w:rsidRPr="00734ABE">
        <w:rPr>
          <w:rFonts w:asciiTheme="minorHAnsi" w:hAnsiTheme="minorHAnsi"/>
          <w:szCs w:val="24"/>
        </w:rPr>
        <w:t xml:space="preserve"> curriculum as a general term encompasses many subjects such as curriculum, exam calendar, administrative calendar, and hidden calendar. This article provides relevant literature related to the term curriculum to help clarify the entity to interact within a school context</w:t>
      </w:r>
      <w:r w:rsidR="00BE41F8" w:rsidRPr="00734ABE">
        <w:rPr>
          <w:rFonts w:asciiTheme="minorHAnsi" w:hAnsiTheme="minorHAnsi"/>
          <w:szCs w:val="24"/>
        </w:rPr>
        <w:t>.</w:t>
      </w:r>
    </w:p>
    <w:p w:rsidR="00BE41F8" w:rsidRPr="00734ABE" w:rsidRDefault="00BE41F8" w:rsidP="000715DA">
      <w:pPr>
        <w:rPr>
          <w:rFonts w:asciiTheme="minorHAnsi" w:hAnsiTheme="minorHAnsi"/>
          <w:szCs w:val="24"/>
        </w:rPr>
      </w:pPr>
    </w:p>
    <w:p w:rsidR="00BE41F8" w:rsidRPr="00734ABE" w:rsidRDefault="000715DA" w:rsidP="001B3CC0">
      <w:pPr>
        <w:ind w:firstLine="0"/>
        <w:rPr>
          <w:rFonts w:asciiTheme="minorHAnsi" w:hAnsiTheme="minorHAnsi"/>
          <w:szCs w:val="24"/>
        </w:rPr>
      </w:pPr>
      <w:r w:rsidRPr="00734ABE">
        <w:rPr>
          <w:rFonts w:asciiTheme="minorHAnsi" w:hAnsiTheme="minorHAnsi"/>
          <w:szCs w:val="24"/>
        </w:rPr>
        <w:t xml:space="preserve">What does the term "curriculum" mean? The answer to the question is not final. There are a number of definitions associated with the term curriculum. It can be argued that it is therefore necessary to </w:t>
      </w:r>
      <w:r w:rsidR="00E31079" w:rsidRPr="00734ABE">
        <w:rPr>
          <w:rFonts w:asciiTheme="minorHAnsi" w:hAnsiTheme="minorHAnsi"/>
          <w:szCs w:val="24"/>
        </w:rPr>
        <w:t>understand</w:t>
      </w:r>
      <w:r w:rsidRPr="00734ABE">
        <w:rPr>
          <w:rFonts w:asciiTheme="minorHAnsi" w:hAnsiTheme="minorHAnsi"/>
          <w:szCs w:val="24"/>
        </w:rPr>
        <w:t xml:space="preserve"> the concept of the term curriculum before </w:t>
      </w:r>
      <w:r w:rsidR="00E31079" w:rsidRPr="00734ABE">
        <w:rPr>
          <w:rFonts w:asciiTheme="minorHAnsi" w:hAnsiTheme="minorHAnsi"/>
          <w:szCs w:val="24"/>
        </w:rPr>
        <w:t>taking</w:t>
      </w:r>
      <w:r w:rsidRPr="00734ABE">
        <w:rPr>
          <w:rFonts w:asciiTheme="minorHAnsi" w:hAnsiTheme="minorHAnsi"/>
          <w:szCs w:val="24"/>
        </w:rPr>
        <w:t xml:space="preserve"> any program-related activities such as planning, implementing, evaluating and researching the curriculum. </w:t>
      </w:r>
      <w:r w:rsidR="004C7188" w:rsidRPr="00734ABE">
        <w:rPr>
          <w:rFonts w:asciiTheme="minorHAnsi" w:hAnsiTheme="minorHAnsi"/>
          <w:szCs w:val="24"/>
        </w:rPr>
        <w:t>Research</w:t>
      </w:r>
      <w:r w:rsidRPr="00734ABE">
        <w:rPr>
          <w:rFonts w:asciiTheme="minorHAnsi" w:hAnsiTheme="minorHAnsi"/>
          <w:szCs w:val="24"/>
        </w:rPr>
        <w:t xml:space="preserve"> by administrators, teachers, researchers and evaluators. With this in mind, this </w:t>
      </w:r>
      <w:r w:rsidR="00F81F79" w:rsidRPr="00734ABE">
        <w:rPr>
          <w:rFonts w:asciiTheme="minorHAnsi" w:hAnsiTheme="minorHAnsi"/>
          <w:szCs w:val="24"/>
        </w:rPr>
        <w:t>essay</w:t>
      </w:r>
      <w:r w:rsidRPr="00734ABE">
        <w:rPr>
          <w:rFonts w:asciiTheme="minorHAnsi" w:hAnsiTheme="minorHAnsi"/>
          <w:szCs w:val="24"/>
        </w:rPr>
        <w:t xml:space="preserve"> </w:t>
      </w:r>
      <w:r w:rsidR="001C3239" w:rsidRPr="00734ABE">
        <w:rPr>
          <w:rFonts w:asciiTheme="minorHAnsi" w:hAnsiTheme="minorHAnsi"/>
          <w:szCs w:val="24"/>
        </w:rPr>
        <w:t xml:space="preserve">looks at </w:t>
      </w:r>
      <w:r w:rsidRPr="00734ABE">
        <w:rPr>
          <w:rFonts w:asciiTheme="minorHAnsi" w:hAnsiTheme="minorHAnsi"/>
          <w:szCs w:val="24"/>
        </w:rPr>
        <w:t>some of the concep</w:t>
      </w:r>
      <w:r w:rsidR="00BA61B1" w:rsidRPr="00734ABE">
        <w:rPr>
          <w:rFonts w:asciiTheme="minorHAnsi" w:hAnsiTheme="minorHAnsi"/>
          <w:szCs w:val="24"/>
        </w:rPr>
        <w:t>ts of the term</w:t>
      </w:r>
      <w:r w:rsidR="00F548D8" w:rsidRPr="00734ABE">
        <w:rPr>
          <w:rFonts w:asciiTheme="minorHAnsi" w:hAnsiTheme="minorHAnsi"/>
          <w:szCs w:val="24"/>
        </w:rPr>
        <w:t xml:space="preserve"> curricul</w:t>
      </w:r>
      <w:r w:rsidR="00AF175E" w:rsidRPr="00734ABE">
        <w:rPr>
          <w:rFonts w:asciiTheme="minorHAnsi" w:hAnsiTheme="minorHAnsi"/>
          <w:szCs w:val="24"/>
        </w:rPr>
        <w:t>um</w:t>
      </w:r>
      <w:r w:rsidR="00BA61B1" w:rsidRPr="00734ABE">
        <w:rPr>
          <w:rFonts w:asciiTheme="minorHAnsi" w:hAnsiTheme="minorHAnsi"/>
          <w:szCs w:val="24"/>
        </w:rPr>
        <w:t xml:space="preserve">. </w:t>
      </w:r>
      <w:r w:rsidRPr="00734ABE">
        <w:rPr>
          <w:rFonts w:asciiTheme="minorHAnsi" w:hAnsiTheme="minorHAnsi"/>
          <w:szCs w:val="24"/>
        </w:rPr>
        <w:t xml:space="preserve">Barrow and Milburn (1990) and Beauchamp (1977) </w:t>
      </w:r>
      <w:r w:rsidR="00117DD4" w:rsidRPr="00734ABE">
        <w:rPr>
          <w:rFonts w:asciiTheme="minorHAnsi" w:hAnsiTheme="minorHAnsi"/>
          <w:szCs w:val="24"/>
        </w:rPr>
        <w:t>look at</w:t>
      </w:r>
      <w:r w:rsidRPr="00734ABE">
        <w:rPr>
          <w:rFonts w:asciiTheme="minorHAnsi" w:hAnsiTheme="minorHAnsi"/>
          <w:szCs w:val="24"/>
        </w:rPr>
        <w:t xml:space="preserve"> how the term curriculum is used in some cases in a very limited context and in others in a very wide context. To some extent, the author of this article takes Beauchamp's position on the concept to explore the term curriculum in order from narrow to broad</w:t>
      </w:r>
      <w:r w:rsidR="00295A59" w:rsidRPr="00734ABE">
        <w:rPr>
          <w:rFonts w:asciiTheme="minorHAnsi" w:hAnsiTheme="minorHAnsi"/>
          <w:szCs w:val="24"/>
        </w:rPr>
        <w:t xml:space="preserve"> </w:t>
      </w:r>
      <w:r w:rsidR="00E50E02" w:rsidRPr="00734ABE">
        <w:rPr>
          <w:rFonts w:asciiTheme="minorHAnsi" w:hAnsiTheme="minorHAnsi"/>
          <w:szCs w:val="24"/>
        </w:rPr>
        <w:fldChar w:fldCharType="begin" w:fldLock="1"/>
      </w:r>
      <w:r w:rsidR="00E50E02" w:rsidRPr="00734ABE">
        <w:rPr>
          <w:rFonts w:asciiTheme="minorHAnsi" w:hAnsiTheme="minorHAnsi"/>
          <w:szCs w:val="24"/>
        </w:rPr>
        <w:instrText>ADDIN CSL_CITATION {"citationItems":[{"id":"ITEM-1","itemData":{"abstract":"The foundation programme curriculum 2016 (the curriculum) sets out the framework for educational progression that will support the first two years of professional development, following graduation from medical school. This edition of the curriculum updates the curriculum published in 2012 and includes minor revisions from the 2014 and 2015 editions.","author":[{"dropping-particle":"","family":"UKFP","given":"UK Foundation Programme Office","non-dropping-particle":"","parse-names":false,"suffix":""}],"container-title":"The Foundation Programme Curriculum 2016","id":"ITEM-1","issued":{"date-parts":[["2016"]]},"title":"The Foundation Programme Curriculum 2016","type":"article-journal"},"uris":["http://www.mendeley.com/documents/?uuid=718c9f15-0685-4735-b2bf-6cee409b3eff","http://www.mendeley.com/documents/?uuid=8f661139-aca2-4691-9eeb-7ba6b1e0b01e"]}],"mendeley":{"formattedCitation":"(UKFP, 2016)","plainTextFormattedCitation":"(UKFP, 2016)","previouslyFormattedCitation":"(UKFP, 2016)"},"properties":{"noteIndex":0},"schema":"https://github.com/citation-style-language/schema/raw/master/csl-citation.json"}</w:instrText>
      </w:r>
      <w:r w:rsidR="00E50E02" w:rsidRPr="00734ABE">
        <w:rPr>
          <w:rFonts w:asciiTheme="minorHAnsi" w:hAnsiTheme="minorHAnsi"/>
          <w:szCs w:val="24"/>
        </w:rPr>
        <w:fldChar w:fldCharType="separate"/>
      </w:r>
      <w:r w:rsidR="00E50E02" w:rsidRPr="00734ABE">
        <w:rPr>
          <w:rFonts w:asciiTheme="minorHAnsi" w:hAnsiTheme="minorHAnsi"/>
          <w:noProof/>
          <w:szCs w:val="24"/>
        </w:rPr>
        <w:t>(UKFP, 2016)</w:t>
      </w:r>
      <w:r w:rsidR="00E50E02" w:rsidRPr="00734ABE">
        <w:rPr>
          <w:rFonts w:asciiTheme="minorHAnsi" w:hAnsiTheme="minorHAnsi"/>
          <w:szCs w:val="24"/>
        </w:rPr>
        <w:fldChar w:fldCharType="end"/>
      </w:r>
      <w:r w:rsidRPr="00734ABE">
        <w:rPr>
          <w:rFonts w:asciiTheme="minorHAnsi" w:hAnsiTheme="minorHAnsi"/>
          <w:szCs w:val="24"/>
        </w:rPr>
        <w:t>. Definitions have been provided by various researchers in order to better understand the structure of the curriculum</w:t>
      </w:r>
      <w:r w:rsidR="00BE41F8" w:rsidRPr="00734ABE">
        <w:rPr>
          <w:rFonts w:asciiTheme="minorHAnsi" w:hAnsiTheme="minorHAnsi"/>
          <w:szCs w:val="24"/>
        </w:rPr>
        <w:t xml:space="preserve">. </w:t>
      </w:r>
    </w:p>
    <w:p w:rsidR="00BE41F8" w:rsidRPr="00734ABE" w:rsidRDefault="00BE41F8" w:rsidP="000715DA">
      <w:pPr>
        <w:rPr>
          <w:rFonts w:asciiTheme="minorHAnsi" w:hAnsiTheme="minorHAnsi"/>
          <w:szCs w:val="24"/>
        </w:rPr>
      </w:pPr>
    </w:p>
    <w:p w:rsidR="006D4982" w:rsidRPr="00734ABE" w:rsidRDefault="000715DA" w:rsidP="0004087D">
      <w:pPr>
        <w:ind w:firstLine="0"/>
        <w:rPr>
          <w:rFonts w:asciiTheme="minorHAnsi" w:hAnsiTheme="minorHAnsi"/>
          <w:szCs w:val="24"/>
        </w:rPr>
      </w:pPr>
      <w:r w:rsidRPr="00734ABE">
        <w:rPr>
          <w:rFonts w:asciiTheme="minorHAnsi" w:hAnsiTheme="minorHAnsi"/>
          <w:szCs w:val="24"/>
        </w:rPr>
        <w:t xml:space="preserve">The curriculum can be seen as a way to achieve specific educational goals and objectives. In this sense, the program can be seen as a checklist with desired outcomes. During curriculum development, objectives are usually clear and specific in terms of </w:t>
      </w:r>
      <w:r w:rsidR="00BA61B1" w:rsidRPr="00734ABE">
        <w:rPr>
          <w:rFonts w:asciiTheme="minorHAnsi" w:hAnsiTheme="minorHAnsi"/>
          <w:szCs w:val="24"/>
        </w:rPr>
        <w:t>behaviour</w:t>
      </w:r>
      <w:r w:rsidRPr="00734ABE">
        <w:rPr>
          <w:rFonts w:asciiTheme="minorHAnsi" w:hAnsiTheme="minorHAnsi"/>
          <w:szCs w:val="24"/>
        </w:rPr>
        <w:t xml:space="preserve"> and </w:t>
      </w:r>
      <w:r w:rsidR="00F373B6" w:rsidRPr="00734ABE">
        <w:rPr>
          <w:rFonts w:asciiTheme="minorHAnsi" w:hAnsiTheme="minorHAnsi"/>
          <w:szCs w:val="24"/>
        </w:rPr>
        <w:t>observation</w:t>
      </w:r>
      <w:r w:rsidRPr="00734ABE">
        <w:rPr>
          <w:rFonts w:asciiTheme="minorHAnsi" w:hAnsiTheme="minorHAnsi"/>
          <w:szCs w:val="24"/>
        </w:rPr>
        <w:t xml:space="preserve">. The aim is to </w:t>
      </w:r>
      <w:r w:rsidR="00FE6192" w:rsidRPr="00734ABE">
        <w:rPr>
          <w:rFonts w:asciiTheme="minorHAnsi" w:hAnsiTheme="minorHAnsi"/>
          <w:szCs w:val="24"/>
        </w:rPr>
        <w:t>characterise</w:t>
      </w:r>
      <w:r w:rsidRPr="00734ABE">
        <w:rPr>
          <w:rFonts w:asciiTheme="minorHAnsi" w:hAnsiTheme="minorHAnsi"/>
          <w:szCs w:val="24"/>
        </w:rPr>
        <w:t xml:space="preserve"> an objective programming model. In this sense, the focus is on products or goals and on teachers or administration. </w:t>
      </w:r>
      <w:r w:rsidR="0004087D" w:rsidRPr="00734ABE">
        <w:rPr>
          <w:rFonts w:asciiTheme="minorHAnsi" w:hAnsiTheme="minorHAnsi"/>
          <w:szCs w:val="24"/>
        </w:rPr>
        <w:t>P</w:t>
      </w:r>
      <w:r w:rsidRPr="00734ABE">
        <w:rPr>
          <w:rFonts w:asciiTheme="minorHAnsi" w:hAnsiTheme="minorHAnsi"/>
          <w:szCs w:val="24"/>
        </w:rPr>
        <w:t>oliticians design</w:t>
      </w:r>
      <w:r w:rsidR="0004087D" w:rsidRPr="00734ABE">
        <w:rPr>
          <w:rFonts w:asciiTheme="minorHAnsi" w:hAnsiTheme="minorHAnsi"/>
          <w:szCs w:val="24"/>
        </w:rPr>
        <w:t>ed</w:t>
      </w:r>
      <w:r w:rsidRPr="00734ABE">
        <w:rPr>
          <w:rFonts w:asciiTheme="minorHAnsi" w:hAnsiTheme="minorHAnsi"/>
          <w:szCs w:val="24"/>
        </w:rPr>
        <w:t xml:space="preserve"> the curriculum without consulting the teachers, and few teachers believe that they are the subject they are forced to teach</w:t>
      </w:r>
      <w:r w:rsidR="00BE41F8" w:rsidRPr="00734ABE">
        <w:rPr>
          <w:rFonts w:asciiTheme="minorHAnsi" w:hAnsiTheme="minorHAnsi"/>
          <w:szCs w:val="24"/>
        </w:rPr>
        <w:t xml:space="preserve">. </w:t>
      </w:r>
      <w:r w:rsidR="00320381" w:rsidRPr="00734ABE">
        <w:rPr>
          <w:rFonts w:asciiTheme="minorHAnsi" w:hAnsiTheme="minorHAnsi"/>
          <w:szCs w:val="24"/>
        </w:rPr>
        <w:t>The curriculum can be understood as the process of choosing programs or subjects (Beauchamp, 1977</w:t>
      </w:r>
      <w:r w:rsidR="00AD6C12" w:rsidRPr="00734ABE">
        <w:rPr>
          <w:rFonts w:asciiTheme="minorHAnsi" w:hAnsiTheme="minorHAnsi"/>
          <w:szCs w:val="24"/>
        </w:rPr>
        <w:t>,</w:t>
      </w:r>
      <w:r w:rsidR="00320381" w:rsidRPr="00734ABE">
        <w:rPr>
          <w:rFonts w:asciiTheme="minorHAnsi" w:hAnsiTheme="minorHAnsi"/>
          <w:szCs w:val="24"/>
        </w:rPr>
        <w:t xml:space="preserve"> Wood and Davis, 1978). In this sense, the curriculum describes the content and objectives of formal education, but puts educational resources at the front. Although this use of a program is similar to the definition mentioned above programs as a set of goals</w:t>
      </w:r>
      <w:r w:rsidR="00B21475" w:rsidRPr="00734ABE">
        <w:rPr>
          <w:rFonts w:asciiTheme="minorHAnsi" w:hAnsiTheme="minorHAnsi"/>
          <w:szCs w:val="24"/>
        </w:rPr>
        <w:t>,</w:t>
      </w:r>
      <w:r w:rsidR="00320381" w:rsidRPr="00734ABE">
        <w:rPr>
          <w:rFonts w:asciiTheme="minorHAnsi" w:hAnsiTheme="minorHAnsi"/>
          <w:szCs w:val="24"/>
        </w:rPr>
        <w:t xml:space="preserve"> in terms of calculating goals, there is actually a different approach. The first definition </w:t>
      </w:r>
      <w:r w:rsidR="00B21475" w:rsidRPr="00734ABE">
        <w:rPr>
          <w:rFonts w:asciiTheme="minorHAnsi" w:hAnsiTheme="minorHAnsi"/>
          <w:szCs w:val="24"/>
        </w:rPr>
        <w:t>emphasises</w:t>
      </w:r>
      <w:r w:rsidR="00320381" w:rsidRPr="00734ABE">
        <w:rPr>
          <w:rFonts w:asciiTheme="minorHAnsi" w:hAnsiTheme="minorHAnsi"/>
          <w:szCs w:val="24"/>
        </w:rPr>
        <w:t xml:space="preserve"> the specification of learning objectives, while the definition here focuses more on course content than learning objectives. Prices vary in size and scope. This definition can be illustrated with the terminology of Wood and Davis (1978) in their monograph on the design and evaluation of higher education programs at the University of California, Berkeley. They understand </w:t>
      </w:r>
      <w:r w:rsidR="00032A47" w:rsidRPr="00734ABE">
        <w:rPr>
          <w:rFonts w:asciiTheme="minorHAnsi" w:hAnsiTheme="minorHAnsi"/>
          <w:szCs w:val="24"/>
        </w:rPr>
        <w:t xml:space="preserve">that </w:t>
      </w:r>
      <w:r w:rsidR="00320381" w:rsidRPr="00734ABE">
        <w:rPr>
          <w:rFonts w:asciiTheme="minorHAnsi" w:hAnsiTheme="minorHAnsi"/>
          <w:szCs w:val="24"/>
        </w:rPr>
        <w:t xml:space="preserve">the curriculum </w:t>
      </w:r>
      <w:r w:rsidR="00402051" w:rsidRPr="00734ABE">
        <w:rPr>
          <w:rFonts w:asciiTheme="minorHAnsi" w:hAnsiTheme="minorHAnsi"/>
          <w:szCs w:val="24"/>
        </w:rPr>
        <w:t>h</w:t>
      </w:r>
      <w:r w:rsidR="00320381" w:rsidRPr="00734ABE">
        <w:rPr>
          <w:rFonts w:asciiTheme="minorHAnsi" w:hAnsiTheme="minorHAnsi"/>
          <w:szCs w:val="24"/>
        </w:rPr>
        <w:t>as “a set of courses consisting of a curriculum offered by an institution or followed by a student”</w:t>
      </w:r>
      <w:r w:rsidR="00E50E02" w:rsidRPr="00734ABE">
        <w:rPr>
          <w:rFonts w:asciiTheme="minorHAnsi" w:hAnsiTheme="minorHAnsi"/>
          <w:szCs w:val="24"/>
        </w:rPr>
        <w:t xml:space="preserve"> </w:t>
      </w:r>
      <w:r w:rsidR="00E50E02" w:rsidRPr="00734ABE">
        <w:rPr>
          <w:rFonts w:asciiTheme="minorHAnsi" w:hAnsiTheme="minorHAnsi"/>
          <w:szCs w:val="24"/>
        </w:rPr>
        <w:fldChar w:fldCharType="begin" w:fldLock="1"/>
      </w:r>
      <w:r w:rsidR="00E50E02" w:rsidRPr="00734ABE">
        <w:rPr>
          <w:rFonts w:asciiTheme="minorHAnsi" w:hAnsiTheme="minorHAnsi"/>
          <w:szCs w:val="24"/>
        </w:rPr>
        <w:instrText>ADDIN CSL_CITATION {"citationItems":[{"id":"ITEM-1","itemData":{"DOI":"10.3109/0142159X.2010.507711","ISSN":"0142159X","PMID":"20874013","abstract":"Background: Integration of curriculum is meant to make the teaching/learning activities meaningful; however, the interpretation of 'integration' varies in different institutions and among individuals. Many medical schools find it hard to change their existing curriculum or develop a new integrated curriculum mainly because of lack of will, infrastructure and understanding the process of change. Aim: Drawn from experience, these 12 tips relating to staff development, establishing working groups, organizing the teaching/learning materials under themes and developing some innovative teaching/learning and assessment strategies, are the techniques that a teaching institution can use to change the existing curriculum to an integrated one or develop a new curriculum. Conclusion: Knowing about the different levels of integration and steps for developing an integrated curriculum can make it easier to integrate an existing curriculum or develop a new one. © 2011 Informa UK Ltd All rights reserved.","author":[{"dropping-particle":"","family":"Malik","given":"Alam Sher","non-dropping-particle":"","parse-names":false,"suffix":""},{"dropping-particle":"","family":"Malik","given":"Rukhsana Hussain","non-dropping-particle":"","parse-names":false,"suffix":""}],"container-title":"Medical Teacher","id":"ITEM-1","issued":{"date-parts":[["2011"]]},"title":"Twelve tips for developing an integrated curriculum","type":"article-journal"},"uris":["http://www.mendeley.com/documents/?uuid=70cf96d2-efe9-4caa-b858-8dfd535e5785","http://www.mendeley.com/documents/?uuid=d877c96a-bb85-432f-a9f1-635916483f84"]}],"mendeley":{"formattedCitation":"(Malik and Malik, 2011)","plainTextFormattedCitation":"(Malik and Malik, 2011)","previouslyFormattedCitation":"(Malik and Malik, 2011)"},"properties":{"noteIndex":0},"schema":"https://github.com/citation-style-language/schema/raw/master/csl-citation.json"}</w:instrText>
      </w:r>
      <w:r w:rsidR="00E50E02" w:rsidRPr="00734ABE">
        <w:rPr>
          <w:rFonts w:asciiTheme="minorHAnsi" w:hAnsiTheme="minorHAnsi"/>
          <w:szCs w:val="24"/>
        </w:rPr>
        <w:fldChar w:fldCharType="separate"/>
      </w:r>
      <w:r w:rsidR="00E50E02" w:rsidRPr="00734ABE">
        <w:rPr>
          <w:rFonts w:asciiTheme="minorHAnsi" w:hAnsiTheme="minorHAnsi"/>
          <w:noProof/>
          <w:szCs w:val="24"/>
        </w:rPr>
        <w:t>(Malik and Malik, 2011)</w:t>
      </w:r>
      <w:r w:rsidR="00E50E02" w:rsidRPr="00734ABE">
        <w:rPr>
          <w:rFonts w:asciiTheme="minorHAnsi" w:hAnsiTheme="minorHAnsi"/>
          <w:szCs w:val="24"/>
        </w:rPr>
        <w:fldChar w:fldCharType="end"/>
      </w:r>
      <w:r w:rsidR="00320381" w:rsidRPr="00734ABE">
        <w:rPr>
          <w:rFonts w:asciiTheme="minorHAnsi" w:hAnsiTheme="minorHAnsi"/>
          <w:szCs w:val="24"/>
        </w:rPr>
        <w:t>.</w:t>
      </w:r>
    </w:p>
    <w:p w:rsidR="00320381" w:rsidRPr="00734ABE" w:rsidRDefault="00320381" w:rsidP="000715DA">
      <w:pPr>
        <w:rPr>
          <w:rFonts w:asciiTheme="minorHAnsi" w:hAnsiTheme="minorHAnsi"/>
          <w:szCs w:val="24"/>
        </w:rPr>
      </w:pPr>
    </w:p>
    <w:p w:rsidR="00BE41F8" w:rsidRPr="00734ABE" w:rsidRDefault="00320381" w:rsidP="00402051">
      <w:pPr>
        <w:ind w:firstLine="0"/>
        <w:rPr>
          <w:rFonts w:asciiTheme="minorHAnsi" w:hAnsiTheme="minorHAnsi"/>
          <w:szCs w:val="24"/>
        </w:rPr>
      </w:pPr>
      <w:r w:rsidRPr="00734ABE">
        <w:rPr>
          <w:rFonts w:asciiTheme="minorHAnsi" w:hAnsiTheme="minorHAnsi"/>
          <w:szCs w:val="24"/>
        </w:rPr>
        <w:lastRenderedPageBreak/>
        <w:t xml:space="preserve">The program can be seen as a kind of plan or model for the systematic conduct of educational activities. The meaning of the term integrates content with teaching methods and </w:t>
      </w:r>
      <w:r w:rsidR="00816B29" w:rsidRPr="00734ABE">
        <w:rPr>
          <w:rFonts w:asciiTheme="minorHAnsi" w:hAnsiTheme="minorHAnsi"/>
          <w:szCs w:val="24"/>
        </w:rPr>
        <w:t>this</w:t>
      </w:r>
      <w:r w:rsidRPr="00734ABE">
        <w:rPr>
          <w:rFonts w:asciiTheme="minorHAnsi" w:hAnsiTheme="minorHAnsi"/>
          <w:szCs w:val="24"/>
        </w:rPr>
        <w:t xml:space="preserve"> has a wider </w:t>
      </w:r>
      <w:r w:rsidR="00816B29" w:rsidRPr="00734ABE">
        <w:rPr>
          <w:rFonts w:asciiTheme="minorHAnsi" w:hAnsiTheme="minorHAnsi"/>
          <w:szCs w:val="24"/>
        </w:rPr>
        <w:t>range</w:t>
      </w:r>
      <w:r w:rsidRPr="00734ABE">
        <w:rPr>
          <w:rFonts w:asciiTheme="minorHAnsi" w:hAnsiTheme="minorHAnsi"/>
          <w:szCs w:val="24"/>
        </w:rPr>
        <w:t xml:space="preserve"> than the first two prayers of the curriculum due to the inclusion of methods. In this sense, Tom (1984) views the curriculum as a </w:t>
      </w:r>
      <w:r w:rsidR="002B1A0A" w:rsidRPr="00734ABE">
        <w:rPr>
          <w:rFonts w:asciiTheme="minorHAnsi" w:hAnsiTheme="minorHAnsi"/>
          <w:szCs w:val="24"/>
        </w:rPr>
        <w:t>“</w:t>
      </w:r>
      <w:r w:rsidRPr="00734ABE">
        <w:rPr>
          <w:rFonts w:asciiTheme="minorHAnsi" w:hAnsiTheme="minorHAnsi"/>
          <w:szCs w:val="24"/>
        </w:rPr>
        <w:t>teaching or learning plan</w:t>
      </w:r>
      <w:r w:rsidR="002B1A0A" w:rsidRPr="00734ABE">
        <w:rPr>
          <w:rFonts w:asciiTheme="minorHAnsi" w:hAnsiTheme="minorHAnsi"/>
          <w:szCs w:val="24"/>
        </w:rPr>
        <w:t>”</w:t>
      </w:r>
      <w:r w:rsidRPr="00734ABE">
        <w:rPr>
          <w:rFonts w:asciiTheme="minorHAnsi" w:hAnsiTheme="minorHAnsi"/>
          <w:szCs w:val="24"/>
        </w:rPr>
        <w:t xml:space="preserve"> </w:t>
      </w:r>
      <w:r w:rsidR="00BA61B1" w:rsidRPr="00734ABE">
        <w:rPr>
          <w:rFonts w:asciiTheme="minorHAnsi" w:hAnsiTheme="minorHAnsi"/>
          <w:szCs w:val="24"/>
        </w:rPr>
        <w:t xml:space="preserve">(p. 89). </w:t>
      </w:r>
      <w:r w:rsidR="002B1A0A" w:rsidRPr="00734ABE">
        <w:rPr>
          <w:rFonts w:asciiTheme="minorHAnsi" w:hAnsiTheme="minorHAnsi"/>
          <w:szCs w:val="24"/>
        </w:rPr>
        <w:t>In the same way</w:t>
      </w:r>
      <w:r w:rsidR="00BA61B1" w:rsidRPr="00734ABE">
        <w:rPr>
          <w:rFonts w:asciiTheme="minorHAnsi" w:hAnsiTheme="minorHAnsi"/>
          <w:szCs w:val="24"/>
        </w:rPr>
        <w:t xml:space="preserve">, one </w:t>
      </w:r>
      <w:r w:rsidRPr="00734ABE">
        <w:rPr>
          <w:rFonts w:asciiTheme="minorHAnsi" w:hAnsiTheme="minorHAnsi"/>
          <w:szCs w:val="24"/>
        </w:rPr>
        <w:t>views it as a “model for sustainab</w:t>
      </w:r>
      <w:r w:rsidR="00BA61B1" w:rsidRPr="00734ABE">
        <w:rPr>
          <w:rFonts w:asciiTheme="minorHAnsi" w:hAnsiTheme="minorHAnsi"/>
          <w:szCs w:val="24"/>
        </w:rPr>
        <w:t>le teaching and learning”</w:t>
      </w:r>
      <w:r w:rsidRPr="00734ABE">
        <w:rPr>
          <w:rFonts w:asciiTheme="minorHAnsi" w:hAnsiTheme="minorHAnsi"/>
          <w:szCs w:val="24"/>
        </w:rPr>
        <w:t xml:space="preserve"> with a particular emphasis on the content and process of teaching and learning. It should be noted that this view of the curriculum hardly </w:t>
      </w:r>
      <w:r w:rsidR="00A243DE" w:rsidRPr="00734ABE">
        <w:rPr>
          <w:rFonts w:asciiTheme="minorHAnsi" w:hAnsiTheme="minorHAnsi"/>
          <w:szCs w:val="24"/>
        </w:rPr>
        <w:t>is understood</w:t>
      </w:r>
      <w:r w:rsidRPr="00734ABE">
        <w:rPr>
          <w:rFonts w:asciiTheme="minorHAnsi" w:hAnsiTheme="minorHAnsi"/>
          <w:szCs w:val="24"/>
        </w:rPr>
        <w:t xml:space="preserve"> with the methods themselves in action. Pratt (1994) further explains this by saying that “actual teaching and learning are not curricula because curriculum refers to pedagog</w:t>
      </w:r>
      <w:r w:rsidR="00BA61B1" w:rsidRPr="00734ABE">
        <w:rPr>
          <w:rFonts w:asciiTheme="minorHAnsi" w:hAnsiTheme="minorHAnsi"/>
          <w:szCs w:val="24"/>
        </w:rPr>
        <w:t xml:space="preserve">ical action plans, not actions. </w:t>
      </w:r>
      <w:r w:rsidRPr="00734ABE">
        <w:rPr>
          <w:rFonts w:asciiTheme="minorHAnsi" w:hAnsiTheme="minorHAnsi"/>
          <w:szCs w:val="24"/>
        </w:rPr>
        <w:t>From this point of view, programs can be compared. Since the plan itself is not a building, i</w:t>
      </w:r>
      <w:r w:rsidR="00BA61B1" w:rsidRPr="00734ABE">
        <w:rPr>
          <w:rFonts w:asciiTheme="minorHAnsi" w:hAnsiTheme="minorHAnsi"/>
          <w:szCs w:val="24"/>
        </w:rPr>
        <w:t xml:space="preserve">t is not a curriculum in itself. </w:t>
      </w:r>
    </w:p>
    <w:p w:rsidR="006D4982" w:rsidRPr="00734ABE" w:rsidRDefault="006D4982" w:rsidP="000715DA">
      <w:pPr>
        <w:rPr>
          <w:rFonts w:asciiTheme="minorHAnsi" w:hAnsiTheme="minorHAnsi"/>
          <w:szCs w:val="24"/>
        </w:rPr>
      </w:pPr>
    </w:p>
    <w:p w:rsidR="006D4982" w:rsidRPr="00734ABE" w:rsidRDefault="00320381" w:rsidP="00A243DE">
      <w:pPr>
        <w:ind w:firstLine="0"/>
        <w:rPr>
          <w:rFonts w:asciiTheme="minorHAnsi" w:hAnsiTheme="minorHAnsi"/>
          <w:szCs w:val="24"/>
        </w:rPr>
      </w:pPr>
      <w:r w:rsidRPr="00734ABE">
        <w:rPr>
          <w:rFonts w:asciiTheme="minorHAnsi" w:hAnsiTheme="minorHAnsi"/>
          <w:szCs w:val="24"/>
        </w:rPr>
        <w:t>Others, like Brady (1995), view the curriculum as a document</w:t>
      </w:r>
      <w:r w:rsidR="00A243DE" w:rsidRPr="00734ABE">
        <w:rPr>
          <w:rFonts w:asciiTheme="minorHAnsi" w:hAnsiTheme="minorHAnsi"/>
          <w:szCs w:val="24"/>
        </w:rPr>
        <w:t>,</w:t>
      </w:r>
      <w:r w:rsidRPr="00734ABE">
        <w:rPr>
          <w:rFonts w:asciiTheme="minorHAnsi" w:hAnsiTheme="minorHAnsi"/>
          <w:szCs w:val="24"/>
        </w:rPr>
        <w:t xml:space="preserve"> an outline of a course written on a piece of paper. For example, the program included official written curricula published by </w:t>
      </w:r>
      <w:r w:rsidR="005C70D5" w:rsidRPr="00734ABE">
        <w:rPr>
          <w:rFonts w:asciiTheme="minorHAnsi" w:hAnsiTheme="minorHAnsi"/>
          <w:szCs w:val="24"/>
        </w:rPr>
        <w:t>the Go</w:t>
      </w:r>
      <w:r w:rsidR="00540AE1" w:rsidRPr="00734ABE">
        <w:rPr>
          <w:rFonts w:asciiTheme="minorHAnsi" w:hAnsiTheme="minorHAnsi"/>
          <w:szCs w:val="24"/>
        </w:rPr>
        <w:t>vernment</w:t>
      </w:r>
      <w:r w:rsidRPr="00734ABE">
        <w:rPr>
          <w:rFonts w:asciiTheme="minorHAnsi" w:hAnsiTheme="minorHAnsi"/>
          <w:szCs w:val="24"/>
        </w:rPr>
        <w:t xml:space="preserve"> or </w:t>
      </w:r>
      <w:r w:rsidR="00540AE1" w:rsidRPr="00734ABE">
        <w:rPr>
          <w:rFonts w:asciiTheme="minorHAnsi" w:hAnsiTheme="minorHAnsi"/>
          <w:szCs w:val="24"/>
        </w:rPr>
        <w:t xml:space="preserve">the </w:t>
      </w:r>
      <w:r w:rsidRPr="00734ABE">
        <w:rPr>
          <w:rFonts w:asciiTheme="minorHAnsi" w:hAnsiTheme="minorHAnsi"/>
          <w:szCs w:val="24"/>
        </w:rPr>
        <w:t>departments of education, local authorities or education boards, and commercial companies or groups of education professionals working o</w:t>
      </w:r>
      <w:r w:rsidR="00BA61B1" w:rsidRPr="00734ABE">
        <w:rPr>
          <w:rFonts w:asciiTheme="minorHAnsi" w:hAnsiTheme="minorHAnsi"/>
          <w:szCs w:val="24"/>
        </w:rPr>
        <w:t xml:space="preserve">n specially funded projects ''. </w:t>
      </w:r>
      <w:r w:rsidRPr="00734ABE">
        <w:rPr>
          <w:rFonts w:asciiTheme="minorHAnsi" w:hAnsiTheme="minorHAnsi"/>
          <w:szCs w:val="24"/>
        </w:rPr>
        <w:t>This kind of written visual document accompanying the curriculum arises from the need, especially during the design and implementation stages of the curriculum, in writing to include a statement of objectives, content, method and assessment. The presentation of the document aims to give teachers a role model in the educational process. In this sense, curriculum</w:t>
      </w:r>
      <w:r w:rsidR="00BA61B1" w:rsidRPr="00734ABE">
        <w:rPr>
          <w:rFonts w:asciiTheme="minorHAnsi" w:hAnsiTheme="minorHAnsi"/>
          <w:szCs w:val="24"/>
        </w:rPr>
        <w:t xml:space="preserve"> is synonymous with curriculum</w:t>
      </w:r>
      <w:r w:rsidR="00E50E02" w:rsidRPr="00734ABE">
        <w:rPr>
          <w:rFonts w:asciiTheme="minorHAnsi" w:hAnsiTheme="minorHAnsi"/>
          <w:szCs w:val="24"/>
        </w:rPr>
        <w:t xml:space="preserve"> </w:t>
      </w:r>
      <w:r w:rsidR="00E50E02" w:rsidRPr="00734ABE">
        <w:rPr>
          <w:rFonts w:asciiTheme="minorHAnsi" w:hAnsiTheme="minorHAnsi"/>
          <w:szCs w:val="24"/>
        </w:rPr>
        <w:fldChar w:fldCharType="begin" w:fldLock="1"/>
      </w:r>
      <w:r w:rsidR="00E50E02" w:rsidRPr="00734ABE">
        <w:rPr>
          <w:rFonts w:asciiTheme="minorHAnsi" w:hAnsiTheme="minorHAnsi"/>
          <w:szCs w:val="24"/>
        </w:rPr>
        <w:instrText>ADDIN CSL_CITATION {"citationItems":[{"id":"ITEM-1","itemData":{"DOI":"10.3109/0142159X.2013.828153","ISSN":"0142159X","PMID":"24004029","abstract":"There are many theories that explain how adults learn and each has its own merits. This Guide explains and explores the more commonly used ones and how they can be used to enhance student and faculty learning. The Guide presents a model that combines many of the theories into a flow diagram which can be followed by anyone planning learning. The schema can be used at curriculum planning level, or at the level of individual learning. At each stage of the model, the Guide identifies the responsibilities of both learner and educator. The role of the institution is to ensure that the time and resources are available to allow effective learning to happen. The Guide is designed for those new to education, in the hope that it can unravel the difficulties in understanding and applying the common learning theories, whilst also creating opportunities for debate as to the best way they should be used. © 2013 Informa UK Ltd.","author":[{"dropping-particle":"","family":"Taylor","given":"David C.M.","non-dropping-particle":"","parse-names":false,"suffix":""},{"dropping-particle":"","family":"Hamdy","given":"Hossam","non-dropping-particle":"","parse-names":false,"suffix":""}],"container-title":"Medical Teacher","id":"ITEM-1","issued":{"date-parts":[["2013"]]},"title":"Adult learning theories: Implications for learning and teaching in medical education: AMEE Guide No. 83","type":"article-journal"},"uris":["http://www.mendeley.com/documents/?uuid=15a672c0-8235-46ce-ae9b-21b196ee5558","http://www.mendeley.com/documents/?uuid=9d54b588-54ca-422c-b4f6-a48d6b4f31a3"]}],"mendeley":{"formattedCitation":"(Taylor and Hamdy, 2013)","plainTextFormattedCitation":"(Taylor and Hamdy, 2013)","previouslyFormattedCitation":"(Taylor and Hamdy, 2013)"},"properties":{"noteIndex":0},"schema":"https://github.com/citation-style-language/schema/raw/master/csl-citation.json"}</w:instrText>
      </w:r>
      <w:r w:rsidR="00E50E02" w:rsidRPr="00734ABE">
        <w:rPr>
          <w:rFonts w:asciiTheme="minorHAnsi" w:hAnsiTheme="minorHAnsi"/>
          <w:szCs w:val="24"/>
        </w:rPr>
        <w:fldChar w:fldCharType="separate"/>
      </w:r>
      <w:r w:rsidR="00E50E02" w:rsidRPr="00734ABE">
        <w:rPr>
          <w:rFonts w:asciiTheme="minorHAnsi" w:hAnsiTheme="minorHAnsi"/>
          <w:noProof/>
          <w:szCs w:val="24"/>
        </w:rPr>
        <w:t>(Taylor and Hamdy, 2013)</w:t>
      </w:r>
      <w:r w:rsidR="00E50E02" w:rsidRPr="00734ABE">
        <w:rPr>
          <w:rFonts w:asciiTheme="minorHAnsi" w:hAnsiTheme="minorHAnsi"/>
          <w:szCs w:val="24"/>
        </w:rPr>
        <w:fldChar w:fldCharType="end"/>
      </w:r>
      <w:r w:rsidR="00BA61B1" w:rsidRPr="00734ABE">
        <w:rPr>
          <w:rFonts w:asciiTheme="minorHAnsi" w:hAnsiTheme="minorHAnsi"/>
          <w:szCs w:val="24"/>
        </w:rPr>
        <w:t>.</w:t>
      </w:r>
    </w:p>
    <w:p w:rsidR="00320381" w:rsidRPr="00734ABE" w:rsidRDefault="00320381" w:rsidP="000715DA">
      <w:pPr>
        <w:rPr>
          <w:rFonts w:asciiTheme="minorHAnsi" w:hAnsiTheme="minorHAnsi"/>
          <w:szCs w:val="24"/>
        </w:rPr>
      </w:pPr>
    </w:p>
    <w:p w:rsidR="00320381" w:rsidRPr="00734ABE" w:rsidRDefault="00320381" w:rsidP="008337C7">
      <w:pPr>
        <w:ind w:firstLine="0"/>
        <w:rPr>
          <w:rFonts w:asciiTheme="minorHAnsi" w:hAnsiTheme="minorHAnsi"/>
          <w:szCs w:val="24"/>
        </w:rPr>
      </w:pPr>
      <w:r w:rsidRPr="00734ABE">
        <w:rPr>
          <w:rFonts w:asciiTheme="minorHAnsi" w:hAnsiTheme="minorHAnsi"/>
          <w:szCs w:val="24"/>
        </w:rPr>
        <w:t>Rather than viewing programs as formal lesson content or learning objectives, it can be helpful to think of them as more holistic than experiential programs. According to this definition, what Marsh (1997) publishes in the curriculum can be remembered as “a set of interdependent plans and experiences that compl</w:t>
      </w:r>
      <w:r w:rsidR="00BA61B1" w:rsidRPr="00734ABE">
        <w:rPr>
          <w:rFonts w:asciiTheme="minorHAnsi" w:hAnsiTheme="minorHAnsi"/>
          <w:szCs w:val="24"/>
        </w:rPr>
        <w:t>ement student-led school”</w:t>
      </w:r>
      <w:r w:rsidRPr="00734ABE">
        <w:rPr>
          <w:rFonts w:asciiTheme="minorHAnsi" w:hAnsiTheme="minorHAnsi"/>
          <w:szCs w:val="24"/>
        </w:rPr>
        <w:t xml:space="preserve">. This means that the relationship between "plans and experiences" is closely related to "plans" assigned to pre-planned programs and "experiences" related to unforeseen events in the classroom. While planning is a </w:t>
      </w:r>
      <w:r w:rsidR="00F87E5E" w:rsidRPr="00734ABE">
        <w:rPr>
          <w:rFonts w:asciiTheme="minorHAnsi" w:hAnsiTheme="minorHAnsi"/>
          <w:szCs w:val="24"/>
        </w:rPr>
        <w:t>person</w:t>
      </w:r>
      <w:r w:rsidRPr="00734ABE">
        <w:rPr>
          <w:rFonts w:asciiTheme="minorHAnsi" w:hAnsiTheme="minorHAnsi"/>
          <w:szCs w:val="24"/>
        </w:rPr>
        <w:t xml:space="preserve"> of action, it is important to understand that unexpected events often occur in the classroom.</w:t>
      </w:r>
    </w:p>
    <w:p w:rsidR="00A22A29" w:rsidRPr="00734ABE" w:rsidRDefault="00A22A29" w:rsidP="008337C7">
      <w:pPr>
        <w:ind w:firstLine="0"/>
        <w:rPr>
          <w:rFonts w:asciiTheme="minorHAnsi" w:hAnsiTheme="minorHAnsi"/>
          <w:szCs w:val="24"/>
        </w:rPr>
      </w:pPr>
    </w:p>
    <w:p w:rsidR="00A22A29" w:rsidRPr="00D82225" w:rsidRDefault="009F5338" w:rsidP="008337C7">
      <w:pPr>
        <w:ind w:firstLine="0"/>
        <w:rPr>
          <w:rFonts w:asciiTheme="minorHAnsi" w:eastAsiaTheme="minorEastAsia" w:hAnsiTheme="minorHAnsi"/>
          <w:szCs w:val="24"/>
          <w:lang w:eastAsia="en-GB"/>
        </w:rPr>
      </w:pPr>
      <w:r>
        <w:rPr>
          <w:rFonts w:asciiTheme="minorHAnsi" w:eastAsiaTheme="minorEastAsia" w:hAnsiTheme="minorHAnsi"/>
          <w:szCs w:val="24"/>
          <w:lang w:eastAsia="en-GB"/>
        </w:rPr>
        <w:t>“</w:t>
      </w:r>
      <w:r w:rsidR="00734ABE" w:rsidRPr="00734ABE">
        <w:rPr>
          <w:rFonts w:asciiTheme="minorHAnsi" w:eastAsiaTheme="minorEastAsia" w:hAnsiTheme="minorHAnsi"/>
          <w:szCs w:val="24"/>
          <w:lang w:eastAsia="en-GB"/>
        </w:rPr>
        <w:t>Inclusive education has been adopted worldwide in order to provide effective and inclusive teaching to all learners, including those who experience barriers to learning in mainstream schools. Teachers are central in this change in ensuring that all learners are accommodated in the inclusive classroom.</w:t>
      </w:r>
      <w:r w:rsidR="00D82225">
        <w:rPr>
          <w:rFonts w:asciiTheme="minorHAnsi" w:eastAsiaTheme="minorEastAsia" w:hAnsiTheme="minorHAnsi"/>
          <w:szCs w:val="24"/>
          <w:lang w:eastAsia="en-GB"/>
        </w:rPr>
        <w:t xml:space="preserve"> </w:t>
      </w:r>
      <w:r w:rsidR="00734ABE" w:rsidRPr="00734ABE">
        <w:rPr>
          <w:rFonts w:asciiTheme="minorHAnsi" w:eastAsiaTheme="minorEastAsia" w:hAnsiTheme="minorHAnsi"/>
          <w:szCs w:val="24"/>
          <w:lang w:eastAsia="en-GB"/>
        </w:rPr>
        <w:t>The purpose of this study was to explore effective inclusive Foundation Phase teaching strategies in schools that could benefit every learner in an inclusive education setting. Teaching strategies in the context of this study were not limited to strategies for learning, teaching and assessing content but included classroom management, creating positive learning environments, ensuring participation, selecting resources, modifying the curriculum and creating opportunities for collaborating with colleagues and parents</w:t>
      </w:r>
      <w:r>
        <w:rPr>
          <w:rFonts w:asciiTheme="minorHAnsi" w:eastAsiaTheme="minorEastAsia" w:hAnsiTheme="minorHAnsi"/>
          <w:szCs w:val="24"/>
          <w:lang w:eastAsia="en-GB"/>
        </w:rPr>
        <w:t>” (</w:t>
      </w:r>
      <w:proofErr w:type="spellStart"/>
      <w:r w:rsidR="00C32D00">
        <w:rPr>
          <w:rFonts w:asciiTheme="minorHAnsi" w:eastAsiaTheme="minorEastAsia" w:hAnsiTheme="minorHAnsi"/>
          <w:szCs w:val="24"/>
          <w:lang w:eastAsia="en-GB"/>
        </w:rPr>
        <w:t>Wahl</w:t>
      </w:r>
      <w:proofErr w:type="spellEnd"/>
      <w:r w:rsidR="00C32D00">
        <w:rPr>
          <w:rFonts w:asciiTheme="minorHAnsi" w:eastAsiaTheme="minorEastAsia" w:hAnsiTheme="minorHAnsi"/>
          <w:szCs w:val="24"/>
          <w:lang w:eastAsia="en-GB"/>
        </w:rPr>
        <w:t xml:space="preserve">, 2017). </w:t>
      </w:r>
    </w:p>
    <w:p w:rsidR="005C1848" w:rsidRPr="00734ABE" w:rsidRDefault="005C1848" w:rsidP="005C1848">
      <w:pPr>
        <w:ind w:firstLine="0"/>
        <w:rPr>
          <w:rFonts w:asciiTheme="minorHAnsi" w:hAnsiTheme="minorHAnsi"/>
          <w:szCs w:val="24"/>
        </w:rPr>
      </w:pPr>
    </w:p>
    <w:p w:rsidR="00320381" w:rsidRPr="00734ABE" w:rsidRDefault="00320381" w:rsidP="00A360EC">
      <w:pPr>
        <w:ind w:firstLine="0"/>
        <w:rPr>
          <w:rFonts w:asciiTheme="minorHAnsi" w:hAnsiTheme="minorHAnsi"/>
          <w:szCs w:val="24"/>
        </w:rPr>
      </w:pPr>
      <w:r w:rsidRPr="00734ABE">
        <w:rPr>
          <w:rFonts w:asciiTheme="minorHAnsi" w:hAnsiTheme="minorHAnsi"/>
          <w:szCs w:val="24"/>
        </w:rPr>
        <w:t>For this reason, Marsh (1997) argues that “real-life programs in the classroom are a collection of p</w:t>
      </w:r>
      <w:r w:rsidR="00BA61B1" w:rsidRPr="00734ABE">
        <w:rPr>
          <w:rFonts w:asciiTheme="minorHAnsi" w:hAnsiTheme="minorHAnsi"/>
          <w:szCs w:val="24"/>
        </w:rPr>
        <w:t>lans and experiences”</w:t>
      </w:r>
      <w:r w:rsidRPr="00734ABE">
        <w:rPr>
          <w:rFonts w:asciiTheme="minorHAnsi" w:hAnsiTheme="minorHAnsi"/>
          <w:szCs w:val="24"/>
        </w:rPr>
        <w:t xml:space="preserve">. In other words, learning is rarely completely </w:t>
      </w:r>
      <w:r w:rsidR="00192F70" w:rsidRPr="00734ABE">
        <w:rPr>
          <w:rFonts w:asciiTheme="minorHAnsi" w:hAnsiTheme="minorHAnsi"/>
          <w:szCs w:val="24"/>
        </w:rPr>
        <w:t>unplanned</w:t>
      </w:r>
      <w:r w:rsidRPr="00734ABE">
        <w:rPr>
          <w:rFonts w:asciiTheme="minorHAnsi" w:hAnsiTheme="minorHAnsi"/>
          <w:szCs w:val="24"/>
        </w:rPr>
        <w:t xml:space="preserve"> or planned, it is a distraction between impulse and intention</w:t>
      </w:r>
      <w:r w:rsidR="00192F70" w:rsidRPr="00734ABE">
        <w:rPr>
          <w:rFonts w:asciiTheme="minorHAnsi" w:hAnsiTheme="minorHAnsi"/>
          <w:szCs w:val="24"/>
        </w:rPr>
        <w:t xml:space="preserve">, </w:t>
      </w:r>
      <w:r w:rsidR="00BA61B1" w:rsidRPr="00734ABE">
        <w:rPr>
          <w:rFonts w:asciiTheme="minorHAnsi" w:hAnsiTheme="minorHAnsi"/>
          <w:szCs w:val="24"/>
        </w:rPr>
        <w:t>the</w:t>
      </w:r>
      <w:r w:rsidRPr="00734ABE">
        <w:rPr>
          <w:rFonts w:asciiTheme="minorHAnsi" w:hAnsiTheme="minorHAnsi"/>
          <w:szCs w:val="24"/>
        </w:rPr>
        <w:t xml:space="preserve"> learning experience outside the classroom extends to extracurricular activities (Marsh, 1997). In this sense, experience refers to potential contacts to explore experiences in which learners </w:t>
      </w:r>
      <w:r w:rsidRPr="00734ABE">
        <w:rPr>
          <w:rFonts w:asciiTheme="minorHAnsi" w:hAnsiTheme="minorHAnsi"/>
          <w:szCs w:val="24"/>
        </w:rPr>
        <w:lastRenderedPageBreak/>
        <w:t>participate in or outside the classroom.</w:t>
      </w:r>
      <w:r w:rsidR="00A912A1" w:rsidRPr="00734ABE">
        <w:rPr>
          <w:rFonts w:asciiTheme="minorHAnsi" w:hAnsiTheme="minorHAnsi"/>
          <w:szCs w:val="24"/>
        </w:rPr>
        <w:t xml:space="preserve"> Outdoor environments are beneficial for the children to have a range of different activ</w:t>
      </w:r>
      <w:r w:rsidR="00A360EC" w:rsidRPr="00734ABE">
        <w:rPr>
          <w:rFonts w:asciiTheme="minorHAnsi" w:hAnsiTheme="minorHAnsi"/>
          <w:szCs w:val="24"/>
        </w:rPr>
        <w:t xml:space="preserve">ities.   </w:t>
      </w:r>
      <w:r w:rsidRPr="00734ABE">
        <w:rPr>
          <w:rFonts w:asciiTheme="minorHAnsi" w:hAnsiTheme="minorHAnsi"/>
          <w:szCs w:val="24"/>
        </w:rPr>
        <w:t xml:space="preserve">From this perspective, teaching and learning can be seen as extracurricular activities. Likewise, the American Association for Educational Research </w:t>
      </w:r>
      <w:r w:rsidR="00BA61B1" w:rsidRPr="00734ABE">
        <w:rPr>
          <w:rFonts w:asciiTheme="minorHAnsi" w:hAnsiTheme="minorHAnsi"/>
          <w:szCs w:val="24"/>
        </w:rPr>
        <w:t>Encyclopaedia</w:t>
      </w:r>
      <w:r w:rsidRPr="00734ABE">
        <w:rPr>
          <w:rFonts w:asciiTheme="minorHAnsi" w:hAnsiTheme="minorHAnsi"/>
          <w:szCs w:val="24"/>
        </w:rPr>
        <w:t xml:space="preserve"> of Educational Research defines this program as “the school-led experience of all students” Kearney</w:t>
      </w:r>
      <w:r w:rsidR="004D4CD8" w:rsidRPr="00734ABE">
        <w:rPr>
          <w:rFonts w:asciiTheme="minorHAnsi" w:hAnsiTheme="minorHAnsi"/>
          <w:szCs w:val="24"/>
        </w:rPr>
        <w:t xml:space="preserve"> and </w:t>
      </w:r>
      <w:r w:rsidRPr="00734ABE">
        <w:rPr>
          <w:rFonts w:asciiTheme="minorHAnsi" w:hAnsiTheme="minorHAnsi"/>
          <w:szCs w:val="24"/>
        </w:rPr>
        <w:t xml:space="preserve">Cook, </w:t>
      </w:r>
      <w:r w:rsidR="00B0457C" w:rsidRPr="00734ABE">
        <w:rPr>
          <w:rFonts w:asciiTheme="minorHAnsi" w:hAnsiTheme="minorHAnsi"/>
          <w:szCs w:val="24"/>
        </w:rPr>
        <w:t>(</w:t>
      </w:r>
      <w:r w:rsidRPr="00734ABE">
        <w:rPr>
          <w:rFonts w:asciiTheme="minorHAnsi" w:hAnsiTheme="minorHAnsi"/>
          <w:szCs w:val="24"/>
        </w:rPr>
        <w:t>1961</w:t>
      </w:r>
      <w:r w:rsidR="00B0457C" w:rsidRPr="00734ABE">
        <w:rPr>
          <w:rFonts w:asciiTheme="minorHAnsi" w:hAnsiTheme="minorHAnsi"/>
          <w:szCs w:val="24"/>
        </w:rPr>
        <w:t>)</w:t>
      </w:r>
      <w:r w:rsidRPr="00734ABE">
        <w:rPr>
          <w:rFonts w:asciiTheme="minorHAnsi" w:hAnsiTheme="minorHAnsi"/>
          <w:szCs w:val="24"/>
        </w:rPr>
        <w:t xml:space="preserve">. Barrow and Milburn (1990) </w:t>
      </w:r>
      <w:r w:rsidR="004D4CD8" w:rsidRPr="00734ABE">
        <w:rPr>
          <w:rFonts w:asciiTheme="minorHAnsi" w:hAnsiTheme="minorHAnsi"/>
          <w:szCs w:val="24"/>
        </w:rPr>
        <w:t xml:space="preserve">states that </w:t>
      </w:r>
      <w:r w:rsidRPr="00734ABE">
        <w:rPr>
          <w:rFonts w:asciiTheme="minorHAnsi" w:hAnsiTheme="minorHAnsi"/>
          <w:szCs w:val="24"/>
        </w:rPr>
        <w:t xml:space="preserve">the curriculum </w:t>
      </w:r>
      <w:r w:rsidR="004D4CD8" w:rsidRPr="00734ABE">
        <w:rPr>
          <w:rFonts w:asciiTheme="minorHAnsi" w:hAnsiTheme="minorHAnsi"/>
          <w:szCs w:val="24"/>
        </w:rPr>
        <w:t>is</w:t>
      </w:r>
      <w:r w:rsidRPr="00734ABE">
        <w:rPr>
          <w:rFonts w:asciiTheme="minorHAnsi" w:hAnsiTheme="minorHAnsi"/>
          <w:szCs w:val="24"/>
        </w:rPr>
        <w:t xml:space="preserve"> “the entire experience of a child in school” (p. 85). </w:t>
      </w:r>
      <w:r w:rsidR="001213AA" w:rsidRPr="00734ABE">
        <w:rPr>
          <w:rFonts w:asciiTheme="minorHAnsi" w:hAnsiTheme="minorHAnsi"/>
          <w:szCs w:val="24"/>
        </w:rPr>
        <w:t>T</w:t>
      </w:r>
      <w:r w:rsidRPr="00734ABE">
        <w:rPr>
          <w:rFonts w:asciiTheme="minorHAnsi" w:hAnsiTheme="minorHAnsi"/>
          <w:szCs w:val="24"/>
        </w:rPr>
        <w:t xml:space="preserve">he material presented to the students, the actions of teachers (attitudes and motivations) in the class, the actions of the students (reactions, attitudes and stimuli) and </w:t>
      </w:r>
      <w:r w:rsidR="00307143" w:rsidRPr="00734ABE">
        <w:rPr>
          <w:rFonts w:asciiTheme="minorHAnsi" w:hAnsiTheme="minorHAnsi"/>
          <w:szCs w:val="24"/>
        </w:rPr>
        <w:t>education</w:t>
      </w:r>
      <w:r w:rsidRPr="00734ABE">
        <w:rPr>
          <w:rFonts w:asciiTheme="minorHAnsi" w:hAnsiTheme="minorHAnsi"/>
          <w:szCs w:val="24"/>
        </w:rPr>
        <w:t xml:space="preserve"> material can be considered as aspects of the program of experience. The definitions can be expressed in algebraic equations as follows</w:t>
      </w:r>
      <w:r w:rsidR="00E50E02" w:rsidRPr="00734ABE">
        <w:rPr>
          <w:rFonts w:asciiTheme="minorHAnsi" w:hAnsiTheme="minorHAnsi"/>
          <w:szCs w:val="24"/>
        </w:rPr>
        <w:t xml:space="preserve"> </w:t>
      </w:r>
      <w:r w:rsidR="00E50E02" w:rsidRPr="00734ABE">
        <w:rPr>
          <w:rFonts w:asciiTheme="minorHAnsi" w:hAnsiTheme="minorHAnsi"/>
          <w:szCs w:val="24"/>
        </w:rPr>
        <w:fldChar w:fldCharType="begin" w:fldLock="1"/>
      </w:r>
      <w:r w:rsidR="00E50E02" w:rsidRPr="00734ABE">
        <w:rPr>
          <w:rFonts w:asciiTheme="minorHAnsi" w:hAnsiTheme="minorHAnsi"/>
          <w:szCs w:val="24"/>
        </w:rPr>
        <w:instrText>ADDIN CSL_CITATION {"citationItems":[{"id":"ITEM-1","itemData":{"DOI":"10.3109/13561820.2012.736888","ISSN":"13561820","PMID":"23137295","abstract":"International policy has emphasized the development of interprofessional education (IPE) to reinforce interprofessional practice. This study explored the extent to which IPE initiatives in the UK are based on sound theoretical frameworks. Findings from semi-structured interviews with lead IPE curriculum developers at eight higher education institutions are presented which identified curriculum developers' developmental approaches to IPE. The findings reveal a notable lack of explicit theoretical basis for models of IPE. In many cases, senior managers determined the institutional approach to IPE which academic staff then needed to deliver. Curriculum developers reported adopting a largely practical approach to IPE curriculum development. However, questioning that focused on learning and teaching methods revealed that a range of learning theories was used implicitly. The significance of these findings is discussed with recommendations to inform future curriculum development of IPE initiatives. © 2013 Informa UK, Ltd.","author":[{"dropping-particle":"","family":"Craddock","given":"Deborah","non-dropping-particle":"","parse-names":false,"suffix":""},{"dropping-particle":"","family":"O'Halloran","given":"Cath","non-dropping-particle":"","parse-names":false,"suffix":""},{"dropping-particle":"","family":"McPherson","given":"Kathryn","non-dropping-particle":"","parse-names":false,"suffix":""},{"dropping-particle":"","family":"Hean","given":"Sarah","non-dropping-particle":"","parse-names":false,"suffix":""},{"dropping-particle":"","family":"Hammick","given":"Marilyn","non-dropping-particle":"","parse-names":false,"suffix":""}],"container-title":"Journal of Interprofessional Care","id":"ITEM-1","issued":{"date-parts":[["2013"]]},"title":"A top-down approach impedes the use of theory? Interprofessional educational leaders' approaches to curriculum development and the use of learning theory","type":"article-journal"},"uris":["http://www.mendeley.com/documents/?uuid=f5711a9e-88ef-4f72-8f58-30437e281de3","http://www.mendeley.com/documents/?uuid=5f9d1294-6219-4c57-8f59-d326d6c628e1"]}],"mendeley":{"formattedCitation":"(Craddock &lt;i&gt;et al.&lt;/i&gt;, 2013)","plainTextFormattedCitation":"(Craddock et al., 2013)","previouslyFormattedCitation":"(Craddock &lt;i&gt;et al.&lt;/i&gt;, 2013)"},"properties":{"noteIndex":0},"schema":"https://github.com/citation-style-language/schema/raw/master/csl-citation.json"}</w:instrText>
      </w:r>
      <w:r w:rsidR="00E50E02" w:rsidRPr="00734ABE">
        <w:rPr>
          <w:rFonts w:asciiTheme="minorHAnsi" w:hAnsiTheme="minorHAnsi"/>
          <w:szCs w:val="24"/>
        </w:rPr>
        <w:fldChar w:fldCharType="separate"/>
      </w:r>
      <w:r w:rsidR="00E50E02" w:rsidRPr="00734ABE">
        <w:rPr>
          <w:rFonts w:asciiTheme="minorHAnsi" w:hAnsiTheme="minorHAnsi"/>
          <w:noProof/>
          <w:szCs w:val="24"/>
        </w:rPr>
        <w:t>Craddock et al</w:t>
      </w:r>
      <w:r w:rsidR="00EC06AD" w:rsidRPr="00734ABE">
        <w:rPr>
          <w:rFonts w:asciiTheme="minorHAnsi" w:hAnsiTheme="minorHAnsi"/>
          <w:noProof/>
          <w:szCs w:val="24"/>
        </w:rPr>
        <w:t>,</w:t>
      </w:r>
      <w:r w:rsidR="00E50E02" w:rsidRPr="00734ABE">
        <w:rPr>
          <w:rFonts w:asciiTheme="minorHAnsi" w:hAnsiTheme="minorHAnsi"/>
          <w:noProof/>
          <w:szCs w:val="24"/>
        </w:rPr>
        <w:t xml:space="preserve"> </w:t>
      </w:r>
      <w:r w:rsidR="00311755" w:rsidRPr="00734ABE">
        <w:rPr>
          <w:rFonts w:asciiTheme="minorHAnsi" w:hAnsiTheme="minorHAnsi"/>
          <w:noProof/>
          <w:szCs w:val="24"/>
        </w:rPr>
        <w:t>(</w:t>
      </w:r>
      <w:r w:rsidR="00E50E02" w:rsidRPr="00734ABE">
        <w:rPr>
          <w:rFonts w:asciiTheme="minorHAnsi" w:hAnsiTheme="minorHAnsi"/>
          <w:noProof/>
          <w:szCs w:val="24"/>
        </w:rPr>
        <w:t>2013)</w:t>
      </w:r>
      <w:r w:rsidR="00E50E02" w:rsidRPr="00734ABE">
        <w:rPr>
          <w:rFonts w:asciiTheme="minorHAnsi" w:hAnsiTheme="minorHAnsi"/>
          <w:szCs w:val="24"/>
        </w:rPr>
        <w:fldChar w:fldCharType="end"/>
      </w:r>
      <w:r w:rsidRPr="00734ABE">
        <w:rPr>
          <w:rFonts w:asciiTheme="minorHAnsi" w:hAnsiTheme="minorHAnsi"/>
          <w:szCs w:val="24"/>
        </w:rPr>
        <w:t>.</w:t>
      </w:r>
    </w:p>
    <w:p w:rsidR="00320381" w:rsidRPr="00734ABE" w:rsidRDefault="00320381" w:rsidP="00BA61B1">
      <w:pPr>
        <w:pStyle w:val="ListParagraph"/>
        <w:numPr>
          <w:ilvl w:val="0"/>
          <w:numId w:val="13"/>
        </w:numPr>
        <w:ind w:left="284" w:hanging="284"/>
        <w:rPr>
          <w:rFonts w:asciiTheme="minorHAnsi" w:hAnsiTheme="minorHAnsi"/>
          <w:szCs w:val="24"/>
        </w:rPr>
      </w:pPr>
      <w:r w:rsidRPr="00734ABE">
        <w:rPr>
          <w:rFonts w:asciiTheme="minorHAnsi" w:hAnsiTheme="minorHAnsi"/>
          <w:szCs w:val="24"/>
        </w:rPr>
        <w:t>Summary as a set of goals = goals or objectives</w:t>
      </w:r>
    </w:p>
    <w:p w:rsidR="00320381" w:rsidRPr="00734ABE" w:rsidRDefault="00320381" w:rsidP="00BA61B1">
      <w:pPr>
        <w:pStyle w:val="ListParagraph"/>
        <w:numPr>
          <w:ilvl w:val="0"/>
          <w:numId w:val="13"/>
        </w:numPr>
        <w:ind w:left="284" w:hanging="284"/>
        <w:rPr>
          <w:rFonts w:asciiTheme="minorHAnsi" w:hAnsiTheme="minorHAnsi"/>
          <w:szCs w:val="24"/>
        </w:rPr>
      </w:pPr>
      <w:r w:rsidRPr="00734ABE">
        <w:rPr>
          <w:rFonts w:asciiTheme="minorHAnsi" w:hAnsiTheme="minorHAnsi"/>
          <w:szCs w:val="24"/>
        </w:rPr>
        <w:t>Training courses as training or as a subject = subject + goals</w:t>
      </w:r>
    </w:p>
    <w:p w:rsidR="00320381" w:rsidRPr="00734ABE" w:rsidRDefault="00320381" w:rsidP="00BA61B1">
      <w:pPr>
        <w:pStyle w:val="ListParagraph"/>
        <w:numPr>
          <w:ilvl w:val="0"/>
          <w:numId w:val="13"/>
        </w:numPr>
        <w:ind w:left="284" w:hanging="284"/>
        <w:rPr>
          <w:rFonts w:asciiTheme="minorHAnsi" w:hAnsiTheme="minorHAnsi"/>
          <w:szCs w:val="24"/>
        </w:rPr>
      </w:pPr>
      <w:r w:rsidRPr="00734ABE">
        <w:rPr>
          <w:rFonts w:asciiTheme="minorHAnsi" w:hAnsiTheme="minorHAnsi"/>
          <w:szCs w:val="24"/>
        </w:rPr>
        <w:t>Programs such as plans = content + goals + teaching methods.</w:t>
      </w:r>
    </w:p>
    <w:p w:rsidR="00320381" w:rsidRPr="00734ABE" w:rsidRDefault="00320381" w:rsidP="00BA61B1">
      <w:pPr>
        <w:pStyle w:val="ListParagraph"/>
        <w:numPr>
          <w:ilvl w:val="0"/>
          <w:numId w:val="13"/>
        </w:numPr>
        <w:ind w:left="284" w:hanging="284"/>
        <w:rPr>
          <w:rFonts w:asciiTheme="minorHAnsi" w:hAnsiTheme="minorHAnsi"/>
          <w:szCs w:val="24"/>
        </w:rPr>
      </w:pPr>
      <w:r w:rsidRPr="00734ABE">
        <w:rPr>
          <w:rFonts w:asciiTheme="minorHAnsi" w:hAnsiTheme="minorHAnsi"/>
          <w:szCs w:val="24"/>
        </w:rPr>
        <w:t>Curriculum as documents = content + objectives + methods + assessment</w:t>
      </w:r>
    </w:p>
    <w:p w:rsidR="00320381" w:rsidRPr="00734ABE" w:rsidRDefault="00320381" w:rsidP="00BA61B1">
      <w:pPr>
        <w:pStyle w:val="ListParagraph"/>
        <w:numPr>
          <w:ilvl w:val="0"/>
          <w:numId w:val="13"/>
        </w:numPr>
        <w:ind w:left="284" w:hanging="284"/>
        <w:rPr>
          <w:rFonts w:asciiTheme="minorHAnsi" w:hAnsiTheme="minorHAnsi"/>
          <w:szCs w:val="24"/>
        </w:rPr>
      </w:pPr>
      <w:r w:rsidRPr="00734ABE">
        <w:rPr>
          <w:rFonts w:asciiTheme="minorHAnsi" w:hAnsiTheme="minorHAnsi"/>
          <w:szCs w:val="24"/>
        </w:rPr>
        <w:t>Programs as experiences = content + goals + methods + evaluation + extracurricular activities and learning environment + hidden agenda + culture</w:t>
      </w:r>
    </w:p>
    <w:p w:rsidR="00320381" w:rsidRPr="00734ABE" w:rsidRDefault="00320381" w:rsidP="00320381">
      <w:pPr>
        <w:rPr>
          <w:rFonts w:asciiTheme="minorHAnsi" w:hAnsiTheme="minorHAnsi"/>
          <w:szCs w:val="24"/>
        </w:rPr>
      </w:pPr>
      <w:r w:rsidRPr="00734ABE">
        <w:rPr>
          <w:rFonts w:asciiTheme="minorHAnsi" w:hAnsiTheme="minorHAnsi"/>
          <w:szCs w:val="24"/>
        </w:rPr>
        <w:t>Linear alignment of definitions allows you to capture the meaning of a term in various ways.</w:t>
      </w:r>
    </w:p>
    <w:p w:rsidR="00320381" w:rsidRPr="00734ABE" w:rsidRDefault="00320381" w:rsidP="00320381">
      <w:pPr>
        <w:rPr>
          <w:rFonts w:asciiTheme="minorHAnsi" w:hAnsiTheme="minorHAnsi"/>
          <w:szCs w:val="24"/>
        </w:rPr>
      </w:pPr>
    </w:p>
    <w:p w:rsidR="00BE41F8" w:rsidRPr="00734ABE" w:rsidRDefault="00BE41F8" w:rsidP="00BE41F8">
      <w:pPr>
        <w:jc w:val="center"/>
        <w:rPr>
          <w:rFonts w:asciiTheme="minorHAnsi" w:hAnsiTheme="minorHAnsi"/>
          <w:szCs w:val="24"/>
        </w:rPr>
      </w:pPr>
      <w:r w:rsidRPr="00734ABE">
        <w:rPr>
          <w:rFonts w:asciiTheme="minorHAnsi" w:hAnsiTheme="minorHAnsi"/>
          <w:noProof/>
          <w:szCs w:val="24"/>
          <w:lang w:eastAsia="en-GB"/>
        </w:rPr>
        <w:drawing>
          <wp:inline distT="0" distB="0" distL="0" distR="0" wp14:anchorId="49BB6DB6" wp14:editId="06D79FF6">
            <wp:extent cx="4476750" cy="914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476750" cy="914400"/>
                    </a:xfrm>
                    <a:prstGeom prst="rect">
                      <a:avLst/>
                    </a:prstGeom>
                  </pic:spPr>
                </pic:pic>
              </a:graphicData>
            </a:graphic>
          </wp:inline>
        </w:drawing>
      </w:r>
    </w:p>
    <w:p w:rsidR="006D4982" w:rsidRPr="00734ABE" w:rsidRDefault="006D4982" w:rsidP="001A437D">
      <w:pPr>
        <w:ind w:firstLine="0"/>
        <w:rPr>
          <w:rFonts w:asciiTheme="minorHAnsi" w:hAnsiTheme="minorHAnsi"/>
          <w:szCs w:val="24"/>
        </w:rPr>
      </w:pPr>
    </w:p>
    <w:p w:rsidR="006D4982" w:rsidRPr="00734ABE" w:rsidRDefault="006D4982" w:rsidP="00866219">
      <w:pPr>
        <w:ind w:firstLine="0"/>
        <w:rPr>
          <w:rFonts w:asciiTheme="minorHAnsi" w:hAnsiTheme="minorHAnsi"/>
          <w:szCs w:val="24"/>
        </w:rPr>
      </w:pPr>
      <w:r w:rsidRPr="00734ABE">
        <w:rPr>
          <w:rFonts w:asciiTheme="minorHAnsi" w:hAnsiTheme="minorHAnsi"/>
          <w:szCs w:val="24"/>
        </w:rPr>
        <w:t>Philosophy can</w:t>
      </w:r>
      <w:r w:rsidR="00866219" w:rsidRPr="00734ABE">
        <w:rPr>
          <w:rFonts w:asciiTheme="minorHAnsi" w:hAnsiTheme="minorHAnsi"/>
          <w:szCs w:val="24"/>
        </w:rPr>
        <w:t xml:space="preserve"> </w:t>
      </w:r>
      <w:r w:rsidRPr="00734ABE">
        <w:rPr>
          <w:rFonts w:asciiTheme="minorHAnsi" w:hAnsiTheme="minorHAnsi"/>
          <w:szCs w:val="24"/>
        </w:rPr>
        <w:t>not be learned but we learn to philosophize. We can say that philosophy is a critical reflection.</w:t>
      </w:r>
      <w:r w:rsidR="00866219" w:rsidRPr="00734ABE">
        <w:rPr>
          <w:rFonts w:asciiTheme="minorHAnsi" w:hAnsiTheme="minorHAnsi"/>
          <w:szCs w:val="24"/>
        </w:rPr>
        <w:t xml:space="preserve">  </w:t>
      </w:r>
      <w:r w:rsidRPr="00734ABE">
        <w:rPr>
          <w:rFonts w:asciiTheme="minorHAnsi" w:hAnsiTheme="minorHAnsi"/>
          <w:szCs w:val="24"/>
        </w:rPr>
        <w:t>Greek philosophy is the scientist, that is to say the one who knows things. In the days of ancient Greece, knowledge and reflection were not distinct. With modernity, philosophy separates from science to reflect on several things:</w:t>
      </w:r>
    </w:p>
    <w:p w:rsidR="006D4982" w:rsidRPr="00734ABE" w:rsidRDefault="006D4982" w:rsidP="00761FBF">
      <w:pPr>
        <w:pStyle w:val="ListParagraph"/>
        <w:numPr>
          <w:ilvl w:val="0"/>
          <w:numId w:val="10"/>
        </w:numPr>
        <w:ind w:left="284" w:hanging="284"/>
        <w:rPr>
          <w:rFonts w:asciiTheme="minorHAnsi" w:hAnsiTheme="minorHAnsi"/>
          <w:szCs w:val="24"/>
        </w:rPr>
      </w:pPr>
      <w:r w:rsidRPr="00734ABE">
        <w:rPr>
          <w:rFonts w:asciiTheme="minorHAnsi" w:hAnsiTheme="minorHAnsi"/>
          <w:szCs w:val="24"/>
        </w:rPr>
        <w:t>The foundations of knowledge,</w:t>
      </w:r>
    </w:p>
    <w:p w:rsidR="006D4982" w:rsidRPr="00734ABE" w:rsidRDefault="006D4982" w:rsidP="00761FBF">
      <w:pPr>
        <w:pStyle w:val="ListParagraph"/>
        <w:numPr>
          <w:ilvl w:val="0"/>
          <w:numId w:val="10"/>
        </w:numPr>
        <w:ind w:left="284" w:hanging="284"/>
        <w:rPr>
          <w:rFonts w:asciiTheme="minorHAnsi" w:hAnsiTheme="minorHAnsi"/>
          <w:szCs w:val="24"/>
        </w:rPr>
      </w:pPr>
      <w:r w:rsidRPr="00734ABE">
        <w:rPr>
          <w:rFonts w:asciiTheme="minorHAnsi" w:hAnsiTheme="minorHAnsi"/>
          <w:szCs w:val="24"/>
        </w:rPr>
        <w:t>Values ​​susceptible to found the company</w:t>
      </w:r>
    </w:p>
    <w:p w:rsidR="00B86C1C" w:rsidRPr="00734ABE" w:rsidRDefault="00B86C1C" w:rsidP="00B86C1C">
      <w:pPr>
        <w:ind w:firstLine="0"/>
        <w:rPr>
          <w:rFonts w:asciiTheme="minorHAnsi" w:hAnsiTheme="minorHAnsi"/>
          <w:szCs w:val="24"/>
          <w:lang w:eastAsia="en-GB"/>
        </w:rPr>
      </w:pPr>
    </w:p>
    <w:p w:rsidR="00D148E8" w:rsidRPr="00734ABE" w:rsidRDefault="006D4982" w:rsidP="005002A9">
      <w:pPr>
        <w:ind w:firstLine="0"/>
        <w:rPr>
          <w:rFonts w:asciiTheme="minorHAnsi" w:hAnsiTheme="minorHAnsi"/>
          <w:szCs w:val="24"/>
          <w:lang w:eastAsia="en-GB"/>
        </w:rPr>
      </w:pPr>
      <w:r w:rsidRPr="00734ABE">
        <w:rPr>
          <w:rFonts w:asciiTheme="minorHAnsi" w:hAnsiTheme="minorHAnsi"/>
          <w:szCs w:val="24"/>
          <w:lang w:eastAsia="en-GB"/>
        </w:rPr>
        <w:t xml:space="preserve">Philosophy refuses to take opinion into account as the foundations of communication and </w:t>
      </w:r>
      <w:r w:rsidR="003E560B" w:rsidRPr="00734ABE">
        <w:rPr>
          <w:rFonts w:asciiTheme="minorHAnsi" w:hAnsiTheme="minorHAnsi"/>
          <w:szCs w:val="24"/>
          <w:lang w:eastAsia="en-GB"/>
        </w:rPr>
        <w:t>criticises</w:t>
      </w:r>
      <w:r w:rsidRPr="00734ABE">
        <w:rPr>
          <w:rFonts w:asciiTheme="minorHAnsi" w:hAnsiTheme="minorHAnsi"/>
          <w:szCs w:val="24"/>
          <w:lang w:eastAsia="en-GB"/>
        </w:rPr>
        <w:t xml:space="preserve"> it severely. To philosophize, you have to make the effort to question once in your life everything that until </w:t>
      </w:r>
      <w:r w:rsidR="00D148E8" w:rsidRPr="00734ABE">
        <w:rPr>
          <w:rFonts w:asciiTheme="minorHAnsi" w:hAnsiTheme="minorHAnsi"/>
          <w:szCs w:val="24"/>
          <w:lang w:eastAsia="en-GB"/>
        </w:rPr>
        <w:t>then, had been held to be true.</w:t>
      </w:r>
      <w:r w:rsidR="00096EDE" w:rsidRPr="00734ABE">
        <w:rPr>
          <w:rFonts w:asciiTheme="minorHAnsi" w:hAnsiTheme="minorHAnsi"/>
          <w:szCs w:val="24"/>
          <w:lang w:eastAsia="en-GB"/>
        </w:rPr>
        <w:t xml:space="preserve">  </w:t>
      </w:r>
      <w:r w:rsidRPr="00734ABE">
        <w:rPr>
          <w:rFonts w:asciiTheme="minorHAnsi" w:hAnsiTheme="minorHAnsi"/>
          <w:szCs w:val="24"/>
          <w:lang w:eastAsia="en-GB"/>
        </w:rPr>
        <w:t xml:space="preserve">If thought is a natural activity that requires no effort, then </w:t>
      </w:r>
      <w:r w:rsidR="00096EDE" w:rsidRPr="00734ABE">
        <w:rPr>
          <w:rFonts w:asciiTheme="minorHAnsi" w:hAnsiTheme="minorHAnsi"/>
          <w:szCs w:val="24"/>
          <w:lang w:eastAsia="en-GB"/>
        </w:rPr>
        <w:t>philosophising</w:t>
      </w:r>
      <w:r w:rsidRPr="00734ABE">
        <w:rPr>
          <w:rFonts w:asciiTheme="minorHAnsi" w:hAnsiTheme="minorHAnsi"/>
          <w:szCs w:val="24"/>
          <w:lang w:eastAsia="en-GB"/>
        </w:rPr>
        <w:t xml:space="preserve"> implies the need to go beyond appearances, </w:t>
      </w:r>
      <w:r w:rsidR="00D148E8" w:rsidRPr="00734ABE">
        <w:rPr>
          <w:rFonts w:asciiTheme="minorHAnsi" w:hAnsiTheme="minorHAnsi"/>
          <w:szCs w:val="24"/>
          <w:lang w:eastAsia="en-GB"/>
        </w:rPr>
        <w:t>to desire something more solid.</w:t>
      </w:r>
      <w:r w:rsidR="005002A9" w:rsidRPr="00734ABE">
        <w:rPr>
          <w:rFonts w:asciiTheme="minorHAnsi" w:hAnsiTheme="minorHAnsi"/>
          <w:szCs w:val="24"/>
          <w:lang w:eastAsia="en-GB"/>
        </w:rPr>
        <w:t xml:space="preserve">  </w:t>
      </w:r>
      <w:r w:rsidRPr="00734ABE">
        <w:rPr>
          <w:rFonts w:asciiTheme="minorHAnsi" w:hAnsiTheme="minorHAnsi"/>
          <w:szCs w:val="24"/>
          <w:lang w:eastAsia="en-GB"/>
        </w:rPr>
        <w:t>With Nietzsche to philosophize, one must rise to a certain height, not to constant what is but to modify r</w:t>
      </w:r>
      <w:r w:rsidR="00D148E8" w:rsidRPr="00734ABE">
        <w:rPr>
          <w:rFonts w:asciiTheme="minorHAnsi" w:hAnsiTheme="minorHAnsi"/>
          <w:szCs w:val="24"/>
          <w:lang w:eastAsia="en-GB"/>
        </w:rPr>
        <w:t xml:space="preserve">eality by the power of thought. </w:t>
      </w:r>
      <w:r w:rsidRPr="00734ABE">
        <w:rPr>
          <w:rFonts w:asciiTheme="minorHAnsi" w:hAnsiTheme="minorHAnsi"/>
          <w:szCs w:val="24"/>
          <w:lang w:eastAsia="en-GB"/>
        </w:rPr>
        <w:t>Philosophy therefore leads man from ignorance to knowledge</w:t>
      </w:r>
      <w:r w:rsidR="00E50E02" w:rsidRPr="00734ABE">
        <w:rPr>
          <w:rFonts w:asciiTheme="minorHAnsi" w:hAnsiTheme="minorHAnsi"/>
          <w:szCs w:val="24"/>
          <w:lang w:eastAsia="en-GB"/>
        </w:rPr>
        <w:t xml:space="preserve"> </w:t>
      </w:r>
      <w:r w:rsidR="00E50E02" w:rsidRPr="00734ABE">
        <w:rPr>
          <w:rFonts w:asciiTheme="minorHAnsi" w:hAnsiTheme="minorHAnsi"/>
          <w:szCs w:val="24"/>
          <w:lang w:eastAsia="en-GB"/>
        </w:rPr>
        <w:fldChar w:fldCharType="begin" w:fldLock="1"/>
      </w:r>
      <w:r w:rsidR="00E50E02" w:rsidRPr="00734ABE">
        <w:rPr>
          <w:rFonts w:asciiTheme="minorHAnsi" w:hAnsiTheme="minorHAnsi"/>
          <w:szCs w:val="24"/>
          <w:lang w:eastAsia="en-GB"/>
        </w:rPr>
        <w:instrText>ADDIN CSL_CITATION {"citationItems":[{"id":"ITEM-1","itemData":{"DOI":"10.3109/0142159X.2012.655610","ISSN":"0142159X","PMID":"22289014","abstract":"Professional values and behaviours are intrinsic to all medical practice, yet remain one of the most difficult subjects to integrate explicitly into a curriculum. Professionalism for the twenty-first century raises challenges not only to adapting the course to changing societal values but also for instilling skills of ongoing self-directed continuous development in trainees for future revalidation. This Guide is based on the contemporary available literature and focuses on instilling Professionalism positively into both undergraduate and postgraduate training deliberately avoiding the more negative aspects of Fitness to Practise. The literature on Professionalism is extensive. An evidence-based approach has been taken throughout. We have selected only some of the available publications to offer practical advice. Comprehensive reviews are available elsewhere (van Mook et al. 2009ag). This Guide takes a structured stepwise approach and sequentially addresses: (i) agreeing an institutional definition, (ii) structuring the curriculum to integrate learning across all years, (iii) suggesting learning models, (iv) harnessing the impact of the formal, informal and hidden curricula and (v) assessing the learning. Finally, a few well-evaluated case studies for both teaching and assessment have been selected to illustrate our recommendations. © 2012 Informa UK Ltd All rights reserved: reproduction in whole or part not permitted.","author":[{"dropping-particle":"","family":"O'Sullivan","given":"Helen","non-dropping-particle":"","parse-names":false,"suffix":""},{"dropping-particle":"","family":"Mook","given":"Walther","non-dropping-particle":"Van","parse-names":false,"suffix":""},{"dropping-particle":"","family":"Fewtrell","given":"Ray","non-dropping-particle":"","parse-names":false,"suffix":""},{"dropping-particle":"","family":"Wass","given":"Val","non-dropping-particle":"","parse-names":false,"suffix":""}],"container-title":"Medical Teacher","id":"ITEM-1","issued":{"date-parts":[["2012"]]},"title":"Integrating professionalism into the curriculum: AMEE Guide No. 61","type":"article-journal"},"uris":["http://www.mendeley.com/documents/?uuid=9de839ad-835b-4209-859d-4e495e5b86b4","http://www.mendeley.com/documents/?uuid=3b9f55ae-9191-4c76-b8b5-cee8733c260e"]}],"mendeley":{"formattedCitation":"(O’Sullivan &lt;i&gt;et al.&lt;/i&gt;, 2012a)","plainTextFormattedCitation":"(O’Sullivan et al., 2012a)","previouslyFormattedCitation":"(O’Sullivan &lt;i&gt;et al.&lt;/i&gt;, 2012a)"},"properties":{"noteIndex":0},"schema":"https://github.com/citation-style-language/schema/raw/master/csl-citation.json"}</w:instrText>
      </w:r>
      <w:r w:rsidR="00E50E02" w:rsidRPr="00734ABE">
        <w:rPr>
          <w:rFonts w:asciiTheme="minorHAnsi" w:hAnsiTheme="minorHAnsi"/>
          <w:szCs w:val="24"/>
          <w:lang w:eastAsia="en-GB"/>
        </w:rPr>
        <w:fldChar w:fldCharType="separate"/>
      </w:r>
      <w:r w:rsidR="00E50E02" w:rsidRPr="00734ABE">
        <w:rPr>
          <w:rFonts w:asciiTheme="minorHAnsi" w:hAnsiTheme="minorHAnsi"/>
          <w:noProof/>
          <w:szCs w:val="24"/>
          <w:lang w:eastAsia="en-GB"/>
        </w:rPr>
        <w:t xml:space="preserve">O’Sullivan et al, </w:t>
      </w:r>
      <w:r w:rsidR="005002A9" w:rsidRPr="00734ABE">
        <w:rPr>
          <w:rFonts w:asciiTheme="minorHAnsi" w:hAnsiTheme="minorHAnsi"/>
          <w:noProof/>
          <w:szCs w:val="24"/>
          <w:lang w:eastAsia="en-GB"/>
        </w:rPr>
        <w:t>(</w:t>
      </w:r>
      <w:r w:rsidR="00E50E02" w:rsidRPr="00734ABE">
        <w:rPr>
          <w:rFonts w:asciiTheme="minorHAnsi" w:hAnsiTheme="minorHAnsi"/>
          <w:noProof/>
          <w:szCs w:val="24"/>
          <w:lang w:eastAsia="en-GB"/>
        </w:rPr>
        <w:t>2012a)</w:t>
      </w:r>
      <w:r w:rsidR="00E50E02" w:rsidRPr="00734ABE">
        <w:rPr>
          <w:rFonts w:asciiTheme="minorHAnsi" w:hAnsiTheme="minorHAnsi"/>
          <w:szCs w:val="24"/>
          <w:lang w:eastAsia="en-GB"/>
        </w:rPr>
        <w:fldChar w:fldCharType="end"/>
      </w:r>
      <w:r w:rsidRPr="00734ABE">
        <w:rPr>
          <w:rFonts w:asciiTheme="minorHAnsi" w:hAnsiTheme="minorHAnsi"/>
          <w:szCs w:val="24"/>
          <w:lang w:eastAsia="en-GB"/>
        </w:rPr>
        <w:t>.</w:t>
      </w:r>
    </w:p>
    <w:p w:rsidR="00D148E8" w:rsidRPr="00734ABE" w:rsidRDefault="00D148E8" w:rsidP="00D148E8">
      <w:pPr>
        <w:rPr>
          <w:rFonts w:asciiTheme="minorHAnsi" w:hAnsiTheme="minorHAnsi"/>
          <w:szCs w:val="24"/>
          <w:lang w:eastAsia="en-GB"/>
        </w:rPr>
      </w:pPr>
    </w:p>
    <w:p w:rsidR="006D4982" w:rsidRPr="00734ABE" w:rsidRDefault="006D4982" w:rsidP="00E96230">
      <w:pPr>
        <w:ind w:firstLine="0"/>
        <w:rPr>
          <w:rFonts w:asciiTheme="minorHAnsi" w:hAnsiTheme="minorHAnsi"/>
          <w:szCs w:val="24"/>
          <w:lang w:eastAsia="en-GB"/>
        </w:rPr>
      </w:pPr>
      <w:r w:rsidRPr="00734ABE">
        <w:rPr>
          <w:rFonts w:asciiTheme="minorHAnsi" w:hAnsiTheme="minorHAnsi"/>
          <w:szCs w:val="24"/>
          <w:lang w:eastAsia="en-GB"/>
        </w:rPr>
        <w:t>Astonishment is the condition for the possibility of philosophical reflec</w:t>
      </w:r>
      <w:r w:rsidR="00D148E8" w:rsidRPr="00734ABE">
        <w:rPr>
          <w:rFonts w:asciiTheme="minorHAnsi" w:hAnsiTheme="minorHAnsi"/>
          <w:szCs w:val="24"/>
          <w:lang w:eastAsia="en-GB"/>
        </w:rPr>
        <w:t>tion, but it is not philosophy.</w:t>
      </w:r>
      <w:r w:rsidR="00E96230" w:rsidRPr="00734ABE">
        <w:rPr>
          <w:rFonts w:asciiTheme="minorHAnsi" w:hAnsiTheme="minorHAnsi"/>
          <w:szCs w:val="24"/>
          <w:lang w:eastAsia="en-GB"/>
        </w:rPr>
        <w:t xml:space="preserve">  </w:t>
      </w:r>
      <w:r w:rsidRPr="00734ABE">
        <w:rPr>
          <w:rFonts w:asciiTheme="minorHAnsi" w:hAnsiTheme="minorHAnsi"/>
          <w:szCs w:val="24"/>
          <w:lang w:eastAsia="en-GB"/>
        </w:rPr>
        <w:t>As astonishment reveals a not knowing then it is necessary to go beyond it to produce a philosophical discourse (giving the answer</w:t>
      </w:r>
      <w:r w:rsidR="00D148E8" w:rsidRPr="00734ABE">
        <w:rPr>
          <w:rFonts w:asciiTheme="minorHAnsi" w:hAnsiTheme="minorHAnsi"/>
          <w:szCs w:val="24"/>
          <w:lang w:eastAsia="en-GB"/>
        </w:rPr>
        <w:t>s, asking the right questions).</w:t>
      </w:r>
    </w:p>
    <w:p w:rsidR="00D148E8" w:rsidRPr="00734ABE" w:rsidRDefault="00D148E8" w:rsidP="00D148E8">
      <w:pPr>
        <w:rPr>
          <w:rFonts w:asciiTheme="minorHAnsi" w:hAnsiTheme="minorHAnsi"/>
          <w:szCs w:val="24"/>
          <w:lang w:eastAsia="en-GB"/>
        </w:rPr>
      </w:pPr>
    </w:p>
    <w:p w:rsidR="006D4982" w:rsidRPr="00734ABE" w:rsidRDefault="006D4982" w:rsidP="00D148E8">
      <w:pPr>
        <w:pStyle w:val="Heading2"/>
        <w:rPr>
          <w:rFonts w:asciiTheme="minorHAnsi" w:hAnsiTheme="minorHAnsi"/>
          <w:bCs w:val="0"/>
          <w:i w:val="0"/>
          <w:szCs w:val="24"/>
        </w:rPr>
      </w:pPr>
      <w:bookmarkStart w:id="0" w:name="_Toc57665862"/>
      <w:r w:rsidRPr="00734ABE">
        <w:rPr>
          <w:rFonts w:asciiTheme="minorHAnsi" w:hAnsiTheme="minorHAnsi"/>
          <w:bCs w:val="0"/>
          <w:i w:val="0"/>
          <w:szCs w:val="24"/>
        </w:rPr>
        <w:t>The method</w:t>
      </w:r>
      <w:bookmarkEnd w:id="0"/>
    </w:p>
    <w:p w:rsidR="006D4982" w:rsidRPr="00734ABE" w:rsidRDefault="006D4982" w:rsidP="00D148E8">
      <w:pPr>
        <w:pStyle w:val="ListParagraph"/>
        <w:numPr>
          <w:ilvl w:val="0"/>
          <w:numId w:val="8"/>
        </w:numPr>
        <w:ind w:left="284" w:hanging="284"/>
        <w:rPr>
          <w:rFonts w:asciiTheme="minorHAnsi" w:hAnsiTheme="minorHAnsi"/>
          <w:szCs w:val="24"/>
          <w:lang w:eastAsia="en-GB"/>
        </w:rPr>
      </w:pPr>
      <w:r w:rsidRPr="00734ABE">
        <w:rPr>
          <w:rFonts w:asciiTheme="minorHAnsi" w:hAnsiTheme="minorHAnsi"/>
          <w:szCs w:val="24"/>
          <w:lang w:eastAsia="en-GB"/>
        </w:rPr>
        <w:t>A ge</w:t>
      </w:r>
      <w:r w:rsidR="00D148E8" w:rsidRPr="00734ABE">
        <w:rPr>
          <w:rFonts w:asciiTheme="minorHAnsi" w:hAnsiTheme="minorHAnsi"/>
          <w:szCs w:val="24"/>
          <w:lang w:eastAsia="en-GB"/>
        </w:rPr>
        <w:t xml:space="preserve">neral meaning: to </w:t>
      </w:r>
      <w:r w:rsidR="00E96230" w:rsidRPr="00734ABE">
        <w:rPr>
          <w:rFonts w:asciiTheme="minorHAnsi" w:hAnsiTheme="minorHAnsi"/>
          <w:szCs w:val="24"/>
          <w:lang w:eastAsia="en-GB"/>
        </w:rPr>
        <w:t>conceptualise</w:t>
      </w:r>
    </w:p>
    <w:p w:rsidR="00E96230" w:rsidRPr="00734ABE" w:rsidRDefault="006D4982" w:rsidP="00E96230">
      <w:pPr>
        <w:pStyle w:val="ListParagraph"/>
        <w:numPr>
          <w:ilvl w:val="0"/>
          <w:numId w:val="8"/>
        </w:numPr>
        <w:ind w:left="284" w:hanging="284"/>
        <w:rPr>
          <w:rFonts w:asciiTheme="minorHAnsi" w:hAnsiTheme="minorHAnsi"/>
          <w:szCs w:val="24"/>
          <w:lang w:eastAsia="en-GB"/>
        </w:rPr>
      </w:pPr>
      <w:r w:rsidRPr="00734ABE">
        <w:rPr>
          <w:rFonts w:asciiTheme="minorHAnsi" w:hAnsiTheme="minorHAnsi"/>
          <w:szCs w:val="24"/>
          <w:lang w:eastAsia="en-GB"/>
        </w:rPr>
        <w:t>Meaning which encompasses and exc</w:t>
      </w:r>
      <w:r w:rsidR="00D148E8" w:rsidRPr="00734ABE">
        <w:rPr>
          <w:rFonts w:asciiTheme="minorHAnsi" w:hAnsiTheme="minorHAnsi"/>
          <w:szCs w:val="24"/>
          <w:lang w:eastAsia="en-GB"/>
        </w:rPr>
        <w:t>eeds all particular cases.</w:t>
      </w:r>
    </w:p>
    <w:p w:rsidR="006D4982" w:rsidRDefault="006D4982" w:rsidP="00E96230">
      <w:pPr>
        <w:pStyle w:val="ListParagraph"/>
        <w:numPr>
          <w:ilvl w:val="0"/>
          <w:numId w:val="8"/>
        </w:numPr>
        <w:ind w:left="284" w:hanging="284"/>
        <w:rPr>
          <w:rFonts w:asciiTheme="minorHAnsi" w:hAnsiTheme="minorHAnsi"/>
          <w:szCs w:val="24"/>
          <w:lang w:eastAsia="en-GB"/>
        </w:rPr>
      </w:pPr>
      <w:r w:rsidRPr="00734ABE">
        <w:rPr>
          <w:rFonts w:asciiTheme="minorHAnsi" w:hAnsiTheme="minorHAnsi"/>
          <w:szCs w:val="24"/>
          <w:lang w:eastAsia="en-GB"/>
        </w:rPr>
        <w:lastRenderedPageBreak/>
        <w:t>Philosophy is opposed to doxa (= opinion) because the latter is an affirmation because it has not been subjected to a critical examination. It is received for truth without the mind</w:t>
      </w:r>
      <w:r w:rsidRPr="00734ABE">
        <w:rPr>
          <w:rFonts w:asciiTheme="minorHAnsi" w:hAnsiTheme="minorHAnsi"/>
          <w:szCs w:val="24"/>
          <w:lang w:eastAsia="en-GB"/>
        </w:rPr>
        <w:br/>
        <w:t>being conce</w:t>
      </w:r>
      <w:r w:rsidR="00D148E8" w:rsidRPr="00734ABE">
        <w:rPr>
          <w:rFonts w:asciiTheme="minorHAnsi" w:hAnsiTheme="minorHAnsi"/>
          <w:szCs w:val="24"/>
          <w:lang w:eastAsia="en-GB"/>
        </w:rPr>
        <w:t>rned with its truth or falsity.</w:t>
      </w:r>
    </w:p>
    <w:p w:rsidR="00F461CF" w:rsidRPr="00734ABE" w:rsidRDefault="00F461CF" w:rsidP="00F461CF">
      <w:pPr>
        <w:pStyle w:val="ListParagraph"/>
        <w:ind w:left="284" w:firstLine="0"/>
        <w:rPr>
          <w:rFonts w:asciiTheme="minorHAnsi" w:hAnsiTheme="minorHAnsi"/>
          <w:szCs w:val="24"/>
          <w:lang w:eastAsia="en-GB"/>
        </w:rPr>
      </w:pPr>
    </w:p>
    <w:p w:rsidR="00397B41" w:rsidRPr="00734ABE" w:rsidRDefault="006D4982" w:rsidP="00B81FAB">
      <w:pPr>
        <w:ind w:firstLine="0"/>
        <w:rPr>
          <w:rFonts w:asciiTheme="minorHAnsi" w:hAnsiTheme="minorHAnsi"/>
          <w:szCs w:val="24"/>
        </w:rPr>
      </w:pPr>
      <w:r w:rsidRPr="00734ABE">
        <w:rPr>
          <w:rFonts w:asciiTheme="minorHAnsi" w:hAnsiTheme="minorHAnsi"/>
          <w:szCs w:val="24"/>
          <w:lang w:eastAsia="en-GB"/>
        </w:rPr>
        <w:t xml:space="preserve">It is therefore not a question of adhering to what one believes in philosophy but of </w:t>
      </w:r>
      <w:r w:rsidR="00E744C7" w:rsidRPr="00734ABE">
        <w:rPr>
          <w:rFonts w:asciiTheme="minorHAnsi" w:hAnsiTheme="minorHAnsi"/>
          <w:szCs w:val="24"/>
          <w:lang w:eastAsia="en-GB"/>
        </w:rPr>
        <w:t>criticising</w:t>
      </w:r>
      <w:r w:rsidRPr="00734ABE">
        <w:rPr>
          <w:rFonts w:asciiTheme="minorHAnsi" w:hAnsiTheme="minorHAnsi"/>
          <w:szCs w:val="24"/>
          <w:lang w:eastAsia="en-GB"/>
        </w:rPr>
        <w:t>, that is to say, of examining the validity of the discourse. We systematically ask ourselves if we have the right to think what we think. The goal is to arrive at a perfect knowledge or to produce a discourse which</w:t>
      </w:r>
      <w:r w:rsidR="00D148E8" w:rsidRPr="00734ABE">
        <w:rPr>
          <w:rFonts w:asciiTheme="minorHAnsi" w:hAnsiTheme="minorHAnsi"/>
          <w:szCs w:val="24"/>
          <w:lang w:eastAsia="en-GB"/>
        </w:rPr>
        <w:t xml:space="preserve"> engages an ordered reflection.</w:t>
      </w:r>
      <w:r w:rsidR="007053C2" w:rsidRPr="00734ABE">
        <w:rPr>
          <w:rFonts w:asciiTheme="minorHAnsi" w:hAnsiTheme="minorHAnsi"/>
          <w:szCs w:val="24"/>
          <w:lang w:eastAsia="en-GB"/>
        </w:rPr>
        <w:t xml:space="preserve">  </w:t>
      </w:r>
      <w:r w:rsidRPr="00734ABE">
        <w:rPr>
          <w:rFonts w:asciiTheme="minorHAnsi" w:hAnsiTheme="minorHAnsi"/>
          <w:szCs w:val="24"/>
          <w:lang w:eastAsia="en-GB"/>
        </w:rPr>
        <w:t xml:space="preserve">Philosophy is more a movement of the mind more than an outcome. It is not a completed, universal, systematic knowledge. It is an effort to grasp the true, the beautiful, </w:t>
      </w:r>
      <w:r w:rsidR="00D148E8" w:rsidRPr="00734ABE">
        <w:rPr>
          <w:rFonts w:asciiTheme="minorHAnsi" w:hAnsiTheme="minorHAnsi"/>
          <w:szCs w:val="24"/>
          <w:lang w:eastAsia="en-GB"/>
        </w:rPr>
        <w:t>and the</w:t>
      </w:r>
      <w:r w:rsidRPr="00734ABE">
        <w:rPr>
          <w:rFonts w:asciiTheme="minorHAnsi" w:hAnsiTheme="minorHAnsi"/>
          <w:szCs w:val="24"/>
          <w:lang w:eastAsia="en-GB"/>
        </w:rPr>
        <w:t xml:space="preserve"> good through everyday life</w:t>
      </w:r>
      <w:r w:rsidR="00B81FAB" w:rsidRPr="00734ABE">
        <w:rPr>
          <w:rFonts w:asciiTheme="minorHAnsi" w:hAnsiTheme="minorHAnsi"/>
          <w:szCs w:val="24"/>
          <w:lang w:eastAsia="en-GB"/>
        </w:rPr>
        <w:t xml:space="preserve">.  </w:t>
      </w:r>
    </w:p>
    <w:p w:rsidR="00B81FAB" w:rsidRPr="00734ABE" w:rsidRDefault="00B81FAB" w:rsidP="00B81FAB">
      <w:pPr>
        <w:ind w:firstLine="0"/>
        <w:rPr>
          <w:rFonts w:asciiTheme="minorHAnsi" w:hAnsiTheme="minorHAnsi"/>
          <w:szCs w:val="24"/>
        </w:rPr>
      </w:pPr>
    </w:p>
    <w:p w:rsidR="00397B41" w:rsidRPr="00734ABE" w:rsidRDefault="00397B41" w:rsidP="00B81FAB">
      <w:pPr>
        <w:ind w:firstLine="0"/>
        <w:rPr>
          <w:rFonts w:asciiTheme="minorHAnsi" w:hAnsiTheme="minorHAnsi"/>
          <w:szCs w:val="24"/>
        </w:rPr>
      </w:pPr>
      <w:r w:rsidRPr="00734ABE">
        <w:rPr>
          <w:rFonts w:asciiTheme="minorHAnsi" w:hAnsiTheme="minorHAnsi"/>
          <w:szCs w:val="24"/>
        </w:rPr>
        <w:t xml:space="preserve">It is increasingly </w:t>
      </w:r>
      <w:r w:rsidR="00AC3C1F" w:rsidRPr="00734ABE">
        <w:rPr>
          <w:rFonts w:asciiTheme="minorHAnsi" w:hAnsiTheme="minorHAnsi"/>
          <w:szCs w:val="24"/>
        </w:rPr>
        <w:t>recognised</w:t>
      </w:r>
      <w:r w:rsidRPr="00734ABE">
        <w:rPr>
          <w:rFonts w:asciiTheme="minorHAnsi" w:hAnsiTheme="minorHAnsi"/>
          <w:szCs w:val="24"/>
        </w:rPr>
        <w:t xml:space="preserve"> that a process of interpretation based on the understanding of individual actions is an essential phase of any sociological analysis. It is indeed important to anchor the sociological explanation or diagnosis in </w:t>
      </w:r>
      <w:r w:rsidR="00054FA5" w:rsidRPr="00734ABE">
        <w:rPr>
          <w:rFonts w:asciiTheme="minorHAnsi" w:hAnsiTheme="minorHAnsi"/>
          <w:szCs w:val="24"/>
        </w:rPr>
        <w:t>reasonable</w:t>
      </w:r>
      <w:r w:rsidRPr="00734ABE">
        <w:rPr>
          <w:rFonts w:asciiTheme="minorHAnsi" w:hAnsiTheme="minorHAnsi"/>
          <w:szCs w:val="24"/>
        </w:rPr>
        <w:t xml:space="preserve"> behavioural sequences. </w:t>
      </w:r>
      <w:r w:rsidR="00C142A5" w:rsidRPr="00734ABE">
        <w:rPr>
          <w:rFonts w:asciiTheme="minorHAnsi" w:hAnsiTheme="minorHAnsi"/>
          <w:szCs w:val="24"/>
        </w:rPr>
        <w:t xml:space="preserve"> </w:t>
      </w:r>
      <w:r w:rsidRPr="00734ABE">
        <w:rPr>
          <w:rFonts w:asciiTheme="minorHAnsi" w:hAnsiTheme="minorHAnsi"/>
          <w:szCs w:val="24"/>
        </w:rPr>
        <w:t>In this sense, as Dominique Schnapper notes, sociological understanding replaces the confusion of reality "by an intelligible, coherent a</w:t>
      </w:r>
      <w:r w:rsidR="00BA61B1" w:rsidRPr="00734ABE">
        <w:rPr>
          <w:rFonts w:asciiTheme="minorHAnsi" w:hAnsiTheme="minorHAnsi"/>
          <w:szCs w:val="24"/>
        </w:rPr>
        <w:t>nd rational whole"</w:t>
      </w:r>
      <w:r w:rsidRPr="00734ABE">
        <w:rPr>
          <w:rFonts w:asciiTheme="minorHAnsi" w:hAnsiTheme="minorHAnsi"/>
          <w:szCs w:val="24"/>
        </w:rPr>
        <w:t xml:space="preserve">. The </w:t>
      </w:r>
      <w:r w:rsidR="00E05FC2" w:rsidRPr="00734ABE">
        <w:rPr>
          <w:rFonts w:asciiTheme="minorHAnsi" w:hAnsiTheme="minorHAnsi"/>
          <w:szCs w:val="24"/>
        </w:rPr>
        <w:t>quality</w:t>
      </w:r>
      <w:r w:rsidRPr="00734ABE">
        <w:rPr>
          <w:rFonts w:asciiTheme="minorHAnsi" w:hAnsiTheme="minorHAnsi"/>
          <w:szCs w:val="24"/>
        </w:rPr>
        <w:t xml:space="preserve"> of a </w:t>
      </w:r>
      <w:r w:rsidR="00BA61B1" w:rsidRPr="00734ABE">
        <w:rPr>
          <w:rFonts w:asciiTheme="minorHAnsi" w:hAnsiTheme="minorHAnsi"/>
          <w:szCs w:val="24"/>
        </w:rPr>
        <w:t>behavioural</w:t>
      </w:r>
      <w:r w:rsidRPr="00734ABE">
        <w:rPr>
          <w:rFonts w:asciiTheme="minorHAnsi" w:hAnsiTheme="minorHAnsi"/>
          <w:szCs w:val="24"/>
        </w:rPr>
        <w:t xml:space="preserve"> sequence imposes itself with the force of the evidence when the logic of the actor becomes accessible to the researcher, not that this one necessarily admits the merits of the adopted </w:t>
      </w:r>
      <w:r w:rsidR="00BA61B1" w:rsidRPr="00734ABE">
        <w:rPr>
          <w:rFonts w:asciiTheme="minorHAnsi" w:hAnsiTheme="minorHAnsi"/>
          <w:szCs w:val="24"/>
        </w:rPr>
        <w:t>behaviour</w:t>
      </w:r>
      <w:r w:rsidRPr="00734ABE">
        <w:rPr>
          <w:rFonts w:asciiTheme="minorHAnsi" w:hAnsiTheme="minorHAnsi"/>
          <w:szCs w:val="24"/>
        </w:rPr>
        <w:t xml:space="preserve"> or that he accepts it. </w:t>
      </w:r>
      <w:r w:rsidR="00BA61B1" w:rsidRPr="00734ABE">
        <w:rPr>
          <w:rFonts w:asciiTheme="minorHAnsi" w:hAnsiTheme="minorHAnsi"/>
          <w:szCs w:val="24"/>
        </w:rPr>
        <w:t>The</w:t>
      </w:r>
      <w:r w:rsidRPr="00734ABE">
        <w:rPr>
          <w:rFonts w:asciiTheme="minorHAnsi" w:hAnsiTheme="minorHAnsi"/>
          <w:szCs w:val="24"/>
        </w:rPr>
        <w:t xml:space="preserve"> justifications but that he can at least imagine how they unfold without feeling a feeling of inconsistency or </w:t>
      </w:r>
      <w:r w:rsidR="0002247F" w:rsidRPr="00734ABE">
        <w:rPr>
          <w:rFonts w:asciiTheme="minorHAnsi" w:hAnsiTheme="minorHAnsi"/>
          <w:szCs w:val="24"/>
        </w:rPr>
        <w:t>unreasonable</w:t>
      </w:r>
      <w:r w:rsidR="00E50E02" w:rsidRPr="00734ABE">
        <w:rPr>
          <w:rFonts w:asciiTheme="minorHAnsi" w:hAnsiTheme="minorHAnsi"/>
          <w:szCs w:val="24"/>
        </w:rPr>
        <w:t xml:space="preserve"> </w:t>
      </w:r>
      <w:r w:rsidR="00E50E02" w:rsidRPr="00734ABE">
        <w:rPr>
          <w:rFonts w:asciiTheme="minorHAnsi" w:hAnsiTheme="minorHAnsi"/>
          <w:szCs w:val="24"/>
        </w:rPr>
        <w:fldChar w:fldCharType="begin" w:fldLock="1"/>
      </w:r>
      <w:r w:rsidR="00E50E02" w:rsidRPr="00734ABE">
        <w:rPr>
          <w:rFonts w:asciiTheme="minorHAnsi" w:hAnsiTheme="minorHAnsi"/>
          <w:szCs w:val="24"/>
        </w:rPr>
        <w:instrText>ADDIN CSL_CITATION {"citationItems":[{"id":"ITEM-1","itemData":{"DOI":"10.1080/09585176.2011.627213","ISSN":"09585176","abstract":"This article extends currently reported theory and practice in the use of learning goals or targets with students in secondary and further education. Goal-setting and action-planning constructs are employed in personal development plans (PDPs) and personal learning plans (PLPs) and are advocated as practice within the English national policy agenda with its focus on personalisation. The article argues that frameworks widely used for goal setting and action planning by UK educational practitioners, in particular SMART targets or goals, have yet to be rigorously examined in the light of relevant theory and practice. Doing so is important given contemporary emphasis on the dimensions of the learner experience regarded by 'learning to learn' practitioners as underpinning effective learning in the modern classroom. The article draws from social cognitive theory and achievement goal theory, including Zimmerman's criteria for appropriate goals, to suggest an alternative framework for goal or target setting - 'well-formed outcomes', a construct from the field of neuro-linguistic programming (NLP). In comparison with SMART targets, the authors argue that well-formed outcomes offer a more rigorous and holistic approach, by taking greater account of the learner's identity, affective dimensions (feelings and emotions), social relations and values, as well as encouraging mental rehearsal. © 2011 Copyright Taylor and Francis Group, LLC.","author":[{"dropping-particle":"","family":"Day","given":"Trevor","non-dropping-particle":"","parse-names":false,"suffix":""},{"dropping-particle":"","family":"Tosey","given":"Paul","non-dropping-particle":"","parse-names":false,"suffix":""}],"container-title":"Curriculum Journal","id":"ITEM-1","issued":{"date-parts":[["2011"]]},"title":"Beyond SMART? A new framework for goal setting","type":"article-journal"},"uris":["http://www.mendeley.com/documents/?uuid=433c1b4f-b34c-47f6-9318-614619045661","http://www.mendeley.com/documents/?uuid=c326fa73-0a9d-443c-80ac-8c7bc90b9a20"]}],"mendeley":{"formattedCitation":"(Day and Tosey, 2011)","plainTextFormattedCitation":"(Day and Tosey, 2011)","previouslyFormattedCitation":"(Day and Tosey, 2011)"},"properties":{"noteIndex":0},"schema":"https://github.com/citation-style-language/schema/raw/master/csl-citation.json"}</w:instrText>
      </w:r>
      <w:r w:rsidR="00E50E02" w:rsidRPr="00734ABE">
        <w:rPr>
          <w:rFonts w:asciiTheme="minorHAnsi" w:hAnsiTheme="minorHAnsi"/>
          <w:szCs w:val="24"/>
        </w:rPr>
        <w:fldChar w:fldCharType="separate"/>
      </w:r>
      <w:r w:rsidR="00E50E02" w:rsidRPr="00734ABE">
        <w:rPr>
          <w:rFonts w:asciiTheme="minorHAnsi" w:hAnsiTheme="minorHAnsi"/>
          <w:noProof/>
          <w:szCs w:val="24"/>
        </w:rPr>
        <w:t>(Day and Tosey, 2011)</w:t>
      </w:r>
      <w:r w:rsidR="00E50E02" w:rsidRPr="00734ABE">
        <w:rPr>
          <w:rFonts w:asciiTheme="minorHAnsi" w:hAnsiTheme="minorHAnsi"/>
          <w:szCs w:val="24"/>
        </w:rPr>
        <w:fldChar w:fldCharType="end"/>
      </w:r>
      <w:r w:rsidRPr="00734ABE">
        <w:rPr>
          <w:rFonts w:asciiTheme="minorHAnsi" w:hAnsiTheme="minorHAnsi"/>
          <w:szCs w:val="24"/>
        </w:rPr>
        <w:t>.</w:t>
      </w:r>
    </w:p>
    <w:p w:rsidR="00397B41" w:rsidRPr="00734ABE" w:rsidRDefault="00397B41" w:rsidP="00397B41">
      <w:pPr>
        <w:ind w:firstLine="0"/>
        <w:rPr>
          <w:rFonts w:asciiTheme="minorHAnsi" w:hAnsiTheme="minorHAnsi"/>
          <w:szCs w:val="24"/>
        </w:rPr>
      </w:pPr>
    </w:p>
    <w:p w:rsidR="00F028CB" w:rsidRPr="00734ABE" w:rsidRDefault="00397B41" w:rsidP="00AE6763">
      <w:pPr>
        <w:ind w:firstLine="0"/>
        <w:rPr>
          <w:rFonts w:asciiTheme="minorHAnsi" w:hAnsiTheme="minorHAnsi"/>
          <w:szCs w:val="24"/>
        </w:rPr>
      </w:pPr>
      <w:r w:rsidRPr="00734ABE">
        <w:rPr>
          <w:rFonts w:asciiTheme="minorHAnsi" w:hAnsiTheme="minorHAnsi"/>
          <w:szCs w:val="24"/>
        </w:rPr>
        <w:t xml:space="preserve">The operation of reconstruction of meaning which we call "comprehension" presupposes that an attitude of </w:t>
      </w:r>
      <w:r w:rsidR="0007076E" w:rsidRPr="00734ABE">
        <w:rPr>
          <w:rFonts w:asciiTheme="minorHAnsi" w:hAnsiTheme="minorHAnsi"/>
          <w:szCs w:val="24"/>
        </w:rPr>
        <w:t>displacement</w:t>
      </w:r>
      <w:r w:rsidRPr="00734ABE">
        <w:rPr>
          <w:rFonts w:asciiTheme="minorHAnsi" w:hAnsiTheme="minorHAnsi"/>
          <w:szCs w:val="24"/>
        </w:rPr>
        <w:t xml:space="preserve"> combined with an adequate search for relevant information must allow the sociologist to overcome social or cultural distance, or even historical distance, in order to find his place. </w:t>
      </w:r>
      <w:r w:rsidR="00BA61B1" w:rsidRPr="00734ABE">
        <w:rPr>
          <w:rFonts w:asciiTheme="minorHAnsi" w:hAnsiTheme="minorHAnsi"/>
          <w:szCs w:val="24"/>
        </w:rPr>
        <w:t>Mentally</w:t>
      </w:r>
      <w:r w:rsidRPr="00734ABE">
        <w:rPr>
          <w:rFonts w:asciiTheme="minorHAnsi" w:hAnsiTheme="minorHAnsi"/>
          <w:szCs w:val="24"/>
        </w:rPr>
        <w:t xml:space="preserve"> in a logic of action and in a situational context sometimes very far from what it may be a </w:t>
      </w:r>
      <w:r w:rsidR="00BA61B1" w:rsidRPr="00734ABE">
        <w:rPr>
          <w:rFonts w:asciiTheme="minorHAnsi" w:hAnsiTheme="minorHAnsi"/>
          <w:szCs w:val="24"/>
        </w:rPr>
        <w:t>prior tempted</w:t>
      </w:r>
      <w:r w:rsidRPr="00734ABE">
        <w:rPr>
          <w:rFonts w:asciiTheme="minorHAnsi" w:hAnsiTheme="minorHAnsi"/>
          <w:szCs w:val="24"/>
        </w:rPr>
        <w:t xml:space="preserve"> to take it implicitly for granted. This implies a bet on the existence of fundamental mechanisms of life in society and of invariants of human </w:t>
      </w:r>
      <w:r w:rsidR="00BA61B1" w:rsidRPr="00734ABE">
        <w:rPr>
          <w:rFonts w:asciiTheme="minorHAnsi" w:hAnsiTheme="minorHAnsi"/>
          <w:szCs w:val="24"/>
        </w:rPr>
        <w:t>behaviour</w:t>
      </w:r>
      <w:r w:rsidRPr="00734ABE">
        <w:rPr>
          <w:rFonts w:asciiTheme="minorHAnsi" w:hAnsiTheme="minorHAnsi"/>
          <w:szCs w:val="24"/>
        </w:rPr>
        <w:t xml:space="preserve"> allowing the researcher to understand the motives of the actor by projecting reasons for acting which transcend eras and cultures. </w:t>
      </w:r>
      <w:r w:rsidR="000951BA" w:rsidRPr="00734ABE">
        <w:rPr>
          <w:rFonts w:asciiTheme="minorHAnsi" w:hAnsiTheme="minorHAnsi"/>
          <w:szCs w:val="24"/>
        </w:rPr>
        <w:t xml:space="preserve"> </w:t>
      </w:r>
      <w:r w:rsidRPr="00734ABE">
        <w:rPr>
          <w:rFonts w:asciiTheme="minorHAnsi" w:hAnsiTheme="minorHAnsi"/>
          <w:szCs w:val="24"/>
        </w:rPr>
        <w:t xml:space="preserve">This bet in fact concerns the conditions for implementing the </w:t>
      </w:r>
      <w:r w:rsidR="000951BA" w:rsidRPr="00734ABE">
        <w:rPr>
          <w:rFonts w:asciiTheme="minorHAnsi" w:hAnsiTheme="minorHAnsi"/>
          <w:szCs w:val="24"/>
        </w:rPr>
        <w:t>generalising</w:t>
      </w:r>
      <w:r w:rsidRPr="00734ABE">
        <w:rPr>
          <w:rFonts w:asciiTheme="minorHAnsi" w:hAnsiTheme="minorHAnsi"/>
          <w:szCs w:val="24"/>
        </w:rPr>
        <w:t xml:space="preserve"> intention of sociology. In this way, he calls into question the very existence of sociology as a scientific project. The insistence on the need for a phase of comprehension should not therefore lead to an unstable practice of sociological research, leading to </w:t>
      </w:r>
      <w:r w:rsidR="00BA61B1" w:rsidRPr="00734ABE">
        <w:rPr>
          <w:rFonts w:asciiTheme="minorHAnsi" w:hAnsiTheme="minorHAnsi"/>
          <w:szCs w:val="24"/>
        </w:rPr>
        <w:t>essayist</w:t>
      </w:r>
      <w:r w:rsidRPr="00734ABE">
        <w:rPr>
          <w:rFonts w:asciiTheme="minorHAnsi" w:hAnsiTheme="minorHAnsi"/>
          <w:szCs w:val="24"/>
        </w:rPr>
        <w:t xml:space="preserve">; on the contrary, it is closely linked to </w:t>
      </w:r>
      <w:r w:rsidR="00BA61B1" w:rsidRPr="00734ABE">
        <w:rPr>
          <w:rFonts w:asciiTheme="minorHAnsi" w:hAnsiTheme="minorHAnsi"/>
          <w:szCs w:val="24"/>
        </w:rPr>
        <w:t>a</w:t>
      </w:r>
      <w:r w:rsidRPr="00734ABE">
        <w:rPr>
          <w:rFonts w:asciiTheme="minorHAnsi" w:hAnsiTheme="minorHAnsi"/>
          <w:szCs w:val="24"/>
        </w:rPr>
        <w:t xml:space="preserve"> “scientific intention” which is not satisfied with relations between variables that cannot be the subject of an attribution of meaning. Research programs which naively seek to avoid the stage of understanding by non-selective linking of variables generally do not give conclusive results and sometimes confuse researchers. The computer tools that we currently have make it very easy to cross "everything with everything" but there is no surer way to make yourself look ridiculous.</w:t>
      </w:r>
      <w:r w:rsidR="000B10C7" w:rsidRPr="00734ABE">
        <w:rPr>
          <w:rFonts w:asciiTheme="minorHAnsi" w:hAnsiTheme="minorHAnsi"/>
          <w:szCs w:val="24"/>
        </w:rPr>
        <w:t xml:space="preserve"> </w:t>
      </w:r>
      <w:r w:rsidRPr="00734ABE">
        <w:rPr>
          <w:rFonts w:asciiTheme="minorHAnsi" w:hAnsiTheme="minorHAnsi"/>
          <w:szCs w:val="24"/>
        </w:rPr>
        <w:t xml:space="preserve">If the mental operation of understanding through the effort of identification with others appears to be a necessary part of any research, we must nevertheless </w:t>
      </w:r>
      <w:r w:rsidR="000B10C7" w:rsidRPr="00734ABE">
        <w:rPr>
          <w:rFonts w:asciiTheme="minorHAnsi" w:hAnsiTheme="minorHAnsi"/>
          <w:szCs w:val="24"/>
        </w:rPr>
        <w:t>recognise</w:t>
      </w:r>
      <w:r w:rsidRPr="00734ABE">
        <w:rPr>
          <w:rFonts w:asciiTheme="minorHAnsi" w:hAnsiTheme="minorHAnsi"/>
          <w:szCs w:val="24"/>
        </w:rPr>
        <w:t xml:space="preserve"> that it remains one of the weak</w:t>
      </w:r>
      <w:r w:rsidR="00135D9D" w:rsidRPr="00734ABE">
        <w:rPr>
          <w:rFonts w:asciiTheme="minorHAnsi" w:hAnsiTheme="minorHAnsi"/>
          <w:szCs w:val="24"/>
        </w:rPr>
        <w:t xml:space="preserve"> links in sociological analysis.</w:t>
      </w:r>
      <w:r w:rsidRPr="00734ABE">
        <w:rPr>
          <w:rFonts w:asciiTheme="minorHAnsi" w:hAnsiTheme="minorHAnsi"/>
          <w:szCs w:val="24"/>
        </w:rPr>
        <w:t xml:space="preserve"> It relies at least in part on the application of a </w:t>
      </w:r>
      <w:r w:rsidR="000B10C7" w:rsidRPr="00734ABE">
        <w:rPr>
          <w:rFonts w:asciiTheme="minorHAnsi" w:hAnsiTheme="minorHAnsi"/>
          <w:szCs w:val="24"/>
        </w:rPr>
        <w:t>generalisation</w:t>
      </w:r>
      <w:r w:rsidRPr="00734ABE">
        <w:rPr>
          <w:rFonts w:asciiTheme="minorHAnsi" w:hAnsiTheme="minorHAnsi"/>
          <w:szCs w:val="24"/>
        </w:rPr>
        <w:t xml:space="preserve"> based on our own experience or on our personal sense of the obvious</w:t>
      </w:r>
      <w:r w:rsidR="000B10C7" w:rsidRPr="00734ABE">
        <w:rPr>
          <w:rFonts w:asciiTheme="minorHAnsi" w:hAnsiTheme="minorHAnsi"/>
          <w:szCs w:val="24"/>
        </w:rPr>
        <w:t xml:space="preserve">, </w:t>
      </w:r>
      <w:r w:rsidRPr="00734ABE">
        <w:rPr>
          <w:rFonts w:asciiTheme="minorHAnsi" w:hAnsiTheme="minorHAnsi"/>
          <w:szCs w:val="24"/>
        </w:rPr>
        <w:t xml:space="preserve">Abel, </w:t>
      </w:r>
      <w:r w:rsidR="000B10C7" w:rsidRPr="00734ABE">
        <w:rPr>
          <w:rFonts w:asciiTheme="minorHAnsi" w:hAnsiTheme="minorHAnsi"/>
          <w:szCs w:val="24"/>
        </w:rPr>
        <w:t>(</w:t>
      </w:r>
      <w:r w:rsidRPr="00734ABE">
        <w:rPr>
          <w:rFonts w:asciiTheme="minorHAnsi" w:hAnsiTheme="minorHAnsi"/>
          <w:szCs w:val="24"/>
        </w:rPr>
        <w:t>1948</w:t>
      </w:r>
      <w:r w:rsidR="000B10C7" w:rsidRPr="00734ABE">
        <w:rPr>
          <w:rFonts w:asciiTheme="minorHAnsi" w:hAnsiTheme="minorHAnsi"/>
          <w:szCs w:val="24"/>
        </w:rPr>
        <w:t>)</w:t>
      </w:r>
      <w:r w:rsidR="00B147F2" w:rsidRPr="00734ABE">
        <w:rPr>
          <w:rFonts w:asciiTheme="minorHAnsi" w:hAnsiTheme="minorHAnsi"/>
          <w:szCs w:val="24"/>
        </w:rPr>
        <w:t xml:space="preserve">.  </w:t>
      </w:r>
    </w:p>
    <w:p w:rsidR="00B147F2" w:rsidRPr="00734ABE" w:rsidRDefault="00B147F2" w:rsidP="00B147F2">
      <w:pPr>
        <w:ind w:firstLine="0"/>
        <w:rPr>
          <w:rFonts w:asciiTheme="minorHAnsi" w:hAnsiTheme="minorHAnsi"/>
          <w:szCs w:val="24"/>
        </w:rPr>
      </w:pPr>
    </w:p>
    <w:p w:rsidR="00397B41" w:rsidRPr="00734ABE" w:rsidRDefault="00397B41" w:rsidP="00B147F2">
      <w:pPr>
        <w:ind w:firstLine="0"/>
        <w:rPr>
          <w:rFonts w:asciiTheme="minorHAnsi" w:hAnsiTheme="minorHAnsi"/>
          <w:szCs w:val="24"/>
        </w:rPr>
      </w:pPr>
      <w:r w:rsidRPr="00734ABE">
        <w:rPr>
          <w:rFonts w:asciiTheme="minorHAnsi" w:hAnsiTheme="minorHAnsi"/>
          <w:szCs w:val="24"/>
        </w:rPr>
        <w:lastRenderedPageBreak/>
        <w:t xml:space="preserve">Despite the most rigorous intellectual </w:t>
      </w:r>
      <w:r w:rsidR="00B147F2" w:rsidRPr="00734ABE">
        <w:rPr>
          <w:rFonts w:asciiTheme="minorHAnsi" w:hAnsiTheme="minorHAnsi"/>
          <w:szCs w:val="24"/>
        </w:rPr>
        <w:t>self discipline</w:t>
      </w:r>
      <w:r w:rsidRPr="00734ABE">
        <w:rPr>
          <w:rFonts w:asciiTheme="minorHAnsi" w:hAnsiTheme="minorHAnsi"/>
          <w:szCs w:val="24"/>
        </w:rPr>
        <w:t xml:space="preserve">, the risk is always present of attributing to the actor a </w:t>
      </w:r>
      <w:r w:rsidR="00320381" w:rsidRPr="00734ABE">
        <w:rPr>
          <w:rFonts w:asciiTheme="minorHAnsi" w:hAnsiTheme="minorHAnsi"/>
          <w:szCs w:val="24"/>
        </w:rPr>
        <w:t>behavioural</w:t>
      </w:r>
      <w:r w:rsidRPr="00734ABE">
        <w:rPr>
          <w:rFonts w:asciiTheme="minorHAnsi" w:hAnsiTheme="minorHAnsi"/>
          <w:szCs w:val="24"/>
        </w:rPr>
        <w:t xml:space="preserve"> logic whose universal scope is judged even though it is linked to a particular socio-cultural context</w:t>
      </w:r>
      <w:r w:rsidR="00E50E02" w:rsidRPr="00734ABE">
        <w:rPr>
          <w:rFonts w:asciiTheme="minorHAnsi" w:hAnsiTheme="minorHAnsi"/>
          <w:szCs w:val="24"/>
        </w:rPr>
        <w:t xml:space="preserve"> </w:t>
      </w:r>
      <w:r w:rsidR="00E50E02" w:rsidRPr="00734ABE">
        <w:rPr>
          <w:rFonts w:asciiTheme="minorHAnsi" w:hAnsiTheme="minorHAnsi"/>
          <w:szCs w:val="24"/>
        </w:rPr>
        <w:fldChar w:fldCharType="begin" w:fldLock="1"/>
      </w:r>
      <w:r w:rsidR="00E50E02" w:rsidRPr="00734ABE">
        <w:rPr>
          <w:rFonts w:asciiTheme="minorHAnsi" w:hAnsiTheme="minorHAnsi"/>
          <w:szCs w:val="24"/>
        </w:rPr>
        <w:instrText>ADDIN CSL_CITATION {"citationItems":[{"id":"ITEM-1","itemData":{"DOI":"10.1111/medu.12072","ISSN":"03080110","PMID":"23323652","abstract":"CONTEXT  Major influences on learning about medical professionalism come from the hidden curriculum. These influences can contribute positively or negatively towards the professional enculturation of clinical students. The fact that there is no validated method for identifying the components of the hidden curriculum poses problems for educators considering professionalism. The aim of this study was to analyse whether a cultural web, adapted from a business context, might assist in the identification of elements of the hidden curriculum at a UK veterinary school. METHODS  A qualitative approach was used. Seven focus groups consisting of three staff groups and four student groups were organised. Questioning was framed using the cultural web, which is a model used by business owners to assess their environment and consider how it affects their employees and customers. The focus group discussions were recorded, transcribed and analysed thematically using a combination of a priori and emergent themes. RESULTS  The cultural web identified elements of the hidden curriculum for both students and staff. These included: core assumptions; routines; rituals; control systems; organisational factors; power structures, and symbols. Discussions occurred about how and where these issues may affect students' professional identity development. CONCLUSIONS  The cultural web framework functioned well to help participants identify elements of the hidden curriculum. These aspects aligned broadly with previously described factors such as role models and institutional slang. The influence of these issues on a student's development of a professional identity requires discussion amongst faculty staff, and could be used to develop learning opportunities for students. The framework is promising for the analysis of the hidden curriculum and could be developed as an instrument for implementation in other clinical teaching environments. Discuss ideas arising from this article at 'discuss' © Blackwell Publishing Ltd 2013.","author":[{"dropping-particle":"","family":"Mossop","given":"Liz","non-dropping-particle":"","parse-names":false,"suffix":""},{"dropping-particle":"","family":"Dennick","given":"Reg","non-dropping-particle":"","parse-names":false,"suffix":""},{"dropping-particle":"","family":"Hammond","given":"Richard","non-dropping-particle":"","parse-names":false,"suffix":""},{"dropping-particle":"","family":"Robbé","given":"Iain","non-dropping-particle":"","parse-names":false,"suffix":""}],"container-title":"Medical Education","id":"ITEM-1","issued":{"date-parts":[["2013"]]},"title":"Analysing the hidden curriculum: Use of a cultural web","type":"article-journal"},"uris":["http://www.mendeley.com/documents/?uuid=286929df-0e5b-48d4-b31d-18da086e31aa","http://www.mendeley.com/documents/?uuid=e5225901-fe0c-43a3-97ad-b5c93367beaa"]}],"mendeley":{"formattedCitation":"(Mossop &lt;i&gt;et al.&lt;/i&gt;, 2013)","plainTextFormattedCitation":"(Mossop et al., 2013)","previouslyFormattedCitation":"(Mossop &lt;i&gt;et al.&lt;/i&gt;, 2013)"},"properties":{"noteIndex":0},"schema":"https://github.com/citation-style-language/schema/raw/master/csl-citation.json"}</w:instrText>
      </w:r>
      <w:r w:rsidR="00E50E02" w:rsidRPr="00734ABE">
        <w:rPr>
          <w:rFonts w:asciiTheme="minorHAnsi" w:hAnsiTheme="minorHAnsi"/>
          <w:szCs w:val="24"/>
        </w:rPr>
        <w:fldChar w:fldCharType="separate"/>
      </w:r>
      <w:r w:rsidR="00E50E02" w:rsidRPr="00734ABE">
        <w:rPr>
          <w:rFonts w:asciiTheme="minorHAnsi" w:hAnsiTheme="minorHAnsi"/>
          <w:noProof/>
          <w:szCs w:val="24"/>
        </w:rPr>
        <w:t>Mossop et al</w:t>
      </w:r>
      <w:r w:rsidR="00F85E53" w:rsidRPr="00734ABE">
        <w:rPr>
          <w:rFonts w:asciiTheme="minorHAnsi" w:hAnsiTheme="minorHAnsi"/>
          <w:noProof/>
          <w:szCs w:val="24"/>
        </w:rPr>
        <w:t xml:space="preserve">, </w:t>
      </w:r>
      <w:r w:rsidR="00E50E02" w:rsidRPr="00734ABE">
        <w:rPr>
          <w:rFonts w:asciiTheme="minorHAnsi" w:hAnsiTheme="minorHAnsi"/>
          <w:noProof/>
          <w:szCs w:val="24"/>
        </w:rPr>
        <w:t xml:space="preserve"> </w:t>
      </w:r>
      <w:r w:rsidR="00F85E53" w:rsidRPr="00734ABE">
        <w:rPr>
          <w:rFonts w:asciiTheme="minorHAnsi" w:hAnsiTheme="minorHAnsi"/>
          <w:noProof/>
          <w:szCs w:val="24"/>
        </w:rPr>
        <w:t>(</w:t>
      </w:r>
      <w:r w:rsidR="00E50E02" w:rsidRPr="00734ABE">
        <w:rPr>
          <w:rFonts w:asciiTheme="minorHAnsi" w:hAnsiTheme="minorHAnsi"/>
          <w:noProof/>
          <w:szCs w:val="24"/>
        </w:rPr>
        <w:t>2013)</w:t>
      </w:r>
      <w:r w:rsidR="00E50E02" w:rsidRPr="00734ABE">
        <w:rPr>
          <w:rFonts w:asciiTheme="minorHAnsi" w:hAnsiTheme="minorHAnsi"/>
          <w:szCs w:val="24"/>
        </w:rPr>
        <w:fldChar w:fldCharType="end"/>
      </w:r>
      <w:r w:rsidR="00F85E53" w:rsidRPr="00734ABE">
        <w:rPr>
          <w:rFonts w:asciiTheme="minorHAnsi" w:hAnsiTheme="minorHAnsi"/>
          <w:szCs w:val="24"/>
        </w:rPr>
        <w:t xml:space="preserve">. </w:t>
      </w:r>
      <w:r w:rsidRPr="00734ABE">
        <w:rPr>
          <w:rFonts w:asciiTheme="minorHAnsi" w:hAnsiTheme="minorHAnsi"/>
          <w:szCs w:val="24"/>
        </w:rPr>
        <w:t> Certainly, there is no lack of constructed examples which suggest an easy understanding of the actor's subjectivity. We can bet that the attitude of the pedestrian looking left and right before crossing the street will retain for some time its power of fascination on certain theorists. But there is also no shortage of examples of interpretations which reflect the subjectivity of the researcher much more than that of the actor</w:t>
      </w:r>
      <w:r w:rsidR="00D6490C" w:rsidRPr="00734ABE">
        <w:rPr>
          <w:rFonts w:asciiTheme="minorHAnsi" w:hAnsiTheme="minorHAnsi"/>
          <w:szCs w:val="24"/>
        </w:rPr>
        <w:t xml:space="preserve"> </w:t>
      </w:r>
      <w:r w:rsidRPr="00734ABE">
        <w:rPr>
          <w:rFonts w:asciiTheme="minorHAnsi" w:hAnsiTheme="minorHAnsi"/>
          <w:szCs w:val="24"/>
        </w:rPr>
        <w:t>aktuelles Verstehen, based on the direct perception of meaning or on the direct observation of actio</w:t>
      </w:r>
      <w:r w:rsidR="00BA61B1" w:rsidRPr="00734ABE">
        <w:rPr>
          <w:rFonts w:asciiTheme="minorHAnsi" w:hAnsiTheme="minorHAnsi"/>
          <w:szCs w:val="24"/>
        </w:rPr>
        <w:t>ns</w:t>
      </w:r>
      <w:r w:rsidRPr="00734ABE">
        <w:rPr>
          <w:rFonts w:asciiTheme="minorHAnsi" w:hAnsiTheme="minorHAnsi"/>
          <w:szCs w:val="24"/>
        </w:rPr>
        <w:t>. As Raymond Aron underlines in his commentary on the Weberian point of view on the matter</w:t>
      </w:r>
      <w:r w:rsidR="00312C61" w:rsidRPr="00734ABE">
        <w:rPr>
          <w:rFonts w:asciiTheme="minorHAnsi" w:hAnsiTheme="minorHAnsi"/>
          <w:szCs w:val="24"/>
        </w:rPr>
        <w:t xml:space="preserve">.  </w:t>
      </w:r>
      <w:r w:rsidRPr="00734ABE">
        <w:rPr>
          <w:rFonts w:asciiTheme="minorHAnsi" w:hAnsiTheme="minorHAnsi"/>
          <w:szCs w:val="24"/>
        </w:rPr>
        <w:t>This implies the rejection of uncontrolled intuition as a principle of understanding. Intuition could only be a sufficient support for comprehension if any directly observable act were immediately comprehensible</w:t>
      </w:r>
    </w:p>
    <w:p w:rsidR="0045240F" w:rsidRPr="00734ABE" w:rsidRDefault="0045240F" w:rsidP="00761FBF">
      <w:pPr>
        <w:ind w:firstLine="0"/>
        <w:rPr>
          <w:rFonts w:asciiTheme="minorHAnsi" w:hAnsiTheme="minorHAnsi"/>
          <w:szCs w:val="24"/>
        </w:rPr>
      </w:pPr>
    </w:p>
    <w:p w:rsidR="0045240F" w:rsidRPr="00734ABE" w:rsidRDefault="0045240F" w:rsidP="00312C61">
      <w:pPr>
        <w:ind w:firstLine="0"/>
        <w:rPr>
          <w:rFonts w:asciiTheme="minorHAnsi" w:hAnsiTheme="minorHAnsi"/>
          <w:szCs w:val="24"/>
        </w:rPr>
      </w:pPr>
      <w:r w:rsidRPr="00734ABE">
        <w:rPr>
          <w:rFonts w:asciiTheme="minorHAnsi" w:hAnsiTheme="minorHAnsi"/>
          <w:szCs w:val="24"/>
        </w:rPr>
        <w:t xml:space="preserve">Reducing the North-South digital divide is at the top of international agendas. International development institutions are indeed expecting, like the countries of Southeast Asia, the </w:t>
      </w:r>
      <w:r w:rsidR="00FA64D8" w:rsidRPr="00734ABE">
        <w:rPr>
          <w:rFonts w:asciiTheme="minorHAnsi" w:hAnsiTheme="minorHAnsi"/>
          <w:szCs w:val="24"/>
        </w:rPr>
        <w:t>ac</w:t>
      </w:r>
      <w:r w:rsidR="00F80527" w:rsidRPr="00734ABE">
        <w:rPr>
          <w:rFonts w:asciiTheme="minorHAnsi" w:hAnsiTheme="minorHAnsi"/>
          <w:szCs w:val="24"/>
        </w:rPr>
        <w:t>tion</w:t>
      </w:r>
      <w:r w:rsidRPr="00734ABE">
        <w:rPr>
          <w:rFonts w:asciiTheme="minorHAnsi" w:hAnsiTheme="minorHAnsi"/>
          <w:szCs w:val="24"/>
        </w:rPr>
        <w:t xml:space="preserve"> of a process of emergence that would extend to all peripheral countries. Indeed, a study carried out by UNCTAD on the use of ICT concludes that the use of ICT for developing countries could have repercussions on productivity at the same level as that measured in developing </w:t>
      </w:r>
      <w:r w:rsidR="00D97EDE" w:rsidRPr="00734ABE">
        <w:rPr>
          <w:rFonts w:asciiTheme="minorHAnsi" w:hAnsiTheme="minorHAnsi"/>
          <w:szCs w:val="24"/>
        </w:rPr>
        <w:t>countries. </w:t>
      </w:r>
      <w:r w:rsidRPr="00734ABE">
        <w:rPr>
          <w:rFonts w:asciiTheme="minorHAnsi" w:hAnsiTheme="minorHAnsi"/>
          <w:szCs w:val="24"/>
        </w:rPr>
        <w:t>Thus, UNCTAD</w:t>
      </w:r>
      <w:r w:rsidR="00D97EDE" w:rsidRPr="00734ABE">
        <w:rPr>
          <w:rFonts w:asciiTheme="minorHAnsi" w:hAnsiTheme="minorHAnsi"/>
          <w:szCs w:val="24"/>
        </w:rPr>
        <w:t xml:space="preserve"> </w:t>
      </w:r>
      <w:r w:rsidRPr="00734ABE">
        <w:rPr>
          <w:rFonts w:asciiTheme="minorHAnsi" w:hAnsiTheme="minorHAnsi"/>
          <w:szCs w:val="24"/>
        </w:rPr>
        <w:t xml:space="preserve">she specifies that, theoretically, the introduction of ICT should improve the productivity of companies, provided however that they make the appropriate </w:t>
      </w:r>
      <w:r w:rsidR="00E77C89" w:rsidRPr="00734ABE">
        <w:rPr>
          <w:rFonts w:asciiTheme="minorHAnsi" w:hAnsiTheme="minorHAnsi"/>
          <w:szCs w:val="24"/>
        </w:rPr>
        <w:t>organisational</w:t>
      </w:r>
      <w:r w:rsidRPr="00734ABE">
        <w:rPr>
          <w:rFonts w:asciiTheme="minorHAnsi" w:hAnsiTheme="minorHAnsi"/>
          <w:szCs w:val="24"/>
        </w:rPr>
        <w:t xml:space="preserve"> changes. The gains are linked to a better responsiveness of the company to changes in its environment</w:t>
      </w:r>
      <w:r w:rsidR="004A7447" w:rsidRPr="00734ABE">
        <w:rPr>
          <w:rFonts w:asciiTheme="minorHAnsi" w:hAnsiTheme="minorHAnsi"/>
          <w:szCs w:val="24"/>
        </w:rPr>
        <w:t xml:space="preserve">, </w:t>
      </w:r>
      <w:r w:rsidRPr="00734ABE">
        <w:rPr>
          <w:rFonts w:asciiTheme="minorHAnsi" w:hAnsiTheme="minorHAnsi"/>
          <w:szCs w:val="24"/>
        </w:rPr>
        <w:t xml:space="preserve">management of suppliers and customers, expansion of the product range, </w:t>
      </w:r>
      <w:r w:rsidR="004A7447" w:rsidRPr="00734ABE">
        <w:rPr>
          <w:rFonts w:asciiTheme="minorHAnsi" w:hAnsiTheme="minorHAnsi"/>
          <w:szCs w:val="24"/>
        </w:rPr>
        <w:t>customisation</w:t>
      </w:r>
      <w:r w:rsidRPr="00734ABE">
        <w:rPr>
          <w:rFonts w:asciiTheme="minorHAnsi" w:hAnsiTheme="minorHAnsi"/>
          <w:szCs w:val="24"/>
        </w:rPr>
        <w:t xml:space="preserve"> of the services offered and, overall, better consideration of the specificities of the business. </w:t>
      </w:r>
      <w:r w:rsidR="00D97EDE" w:rsidRPr="00734ABE">
        <w:rPr>
          <w:rFonts w:asciiTheme="minorHAnsi" w:hAnsiTheme="minorHAnsi"/>
          <w:szCs w:val="24"/>
        </w:rPr>
        <w:t>Demand</w:t>
      </w:r>
      <w:r w:rsidRPr="00734ABE">
        <w:rPr>
          <w:rFonts w:asciiTheme="minorHAnsi" w:hAnsiTheme="minorHAnsi"/>
          <w:szCs w:val="24"/>
        </w:rPr>
        <w:t xml:space="preserve"> and production </w:t>
      </w:r>
      <w:r w:rsidR="004A7447" w:rsidRPr="00734ABE">
        <w:rPr>
          <w:rFonts w:asciiTheme="minorHAnsi" w:hAnsiTheme="minorHAnsi"/>
          <w:szCs w:val="24"/>
        </w:rPr>
        <w:t>optimisation</w:t>
      </w:r>
      <w:r w:rsidR="00E50E02" w:rsidRPr="00734ABE">
        <w:rPr>
          <w:rFonts w:asciiTheme="minorHAnsi" w:hAnsiTheme="minorHAnsi"/>
          <w:szCs w:val="24"/>
        </w:rPr>
        <w:t xml:space="preserve"> </w:t>
      </w:r>
      <w:r w:rsidR="00E50E02" w:rsidRPr="00734ABE">
        <w:rPr>
          <w:rFonts w:asciiTheme="minorHAnsi" w:hAnsiTheme="minorHAnsi"/>
          <w:szCs w:val="24"/>
        </w:rPr>
        <w:fldChar w:fldCharType="begin" w:fldLock="1"/>
      </w:r>
      <w:r w:rsidR="00E50E02" w:rsidRPr="00734ABE">
        <w:rPr>
          <w:rFonts w:asciiTheme="minorHAnsi" w:hAnsiTheme="minorHAnsi"/>
          <w:szCs w:val="24"/>
        </w:rPr>
        <w:instrText>ADDIN CSL_CITATION {"citationItems":[{"id":"ITEM-1","itemData":{"DOI":"10.3109/0142159X.2011.595600","ISSN":"0142159X","PMID":"22288994","abstract":"Professional values and behaviours are intrinsic to all medical practice yet remain one of the most difficult subjects to integrate explicitly into a curriculum. Professionalism in the twenty-first century raises challenges not only for the adaptation of the medical training programme to changing societal values but also for ensuring that trainees gain the skills for self-directed continuous development and future revalidation. This article is an introduction to the AMEE Guide in Medical Education No 61: Integrating Professionalism into the Curriculum (www.amee.org), which is based on the extensive contemporary available literature. An evidence-based approach has been taken throughout the Guide as it focuses on instilling professionalism positively into both undergraduate and postgraduate training. It takes a structured, stepwise approach and sequentially addresses: (i) agreeing an institutional definition, (ii) structuring the curriculum to integrate learning across all years, (iii) suggesting learning models, (iv) harnessing the impact of the formal, informal and hidden curricula and (v) assessing the learning of the trainee. A few well-evaluated case studies for both teaching and assessment have been selected to illustrate the recommendations. © 2012 Informa UK Ltd All rights reserved: reproduction in whole or part not permitted.","author":[{"dropping-particle":"","family":"O'Sullivan","given":"Helen","non-dropping-particle":"","parse-names":false,"suffix":""},{"dropping-particle":"","family":"Mook","given":"Walther","non-dropping-particle":"Van","parse-names":false,"suffix":""},{"dropping-particle":"","family":"Fewtrell","given":"Ray","non-dropping-particle":"","parse-names":false,"suffix":""},{"dropping-particle":"","family":"Wass","given":"Val","non-dropping-particle":"","parse-names":false,"suffix":""}],"container-title":"Medical Teacher","id":"ITEM-1","issued":{"date-parts":[["2012"]]},"title":"Integrating professionalism into the curriculum","type":"article-journal"},"uris":["http://www.mendeley.com/documents/?uuid=0d4dda87-d524-4cde-95aa-471989df9505","http://www.mendeley.com/documents/?uuid=a64f07c1-217d-47f6-94d6-9b9f78e0a014"]}],"mendeley":{"formattedCitation":"(O’Sullivan &lt;i&gt;et al.&lt;/i&gt;, 2012b)","plainTextFormattedCitation":"(O’Sullivan et al., 2012b)","previouslyFormattedCitation":"(O’Sullivan &lt;i&gt;et al.&lt;/i&gt;, 2012b)"},"properties":{"noteIndex":0},"schema":"https://github.com/citation-style-language/schema/raw/master/csl-citation.json"}</w:instrText>
      </w:r>
      <w:r w:rsidR="00E50E02" w:rsidRPr="00734ABE">
        <w:rPr>
          <w:rFonts w:asciiTheme="minorHAnsi" w:hAnsiTheme="minorHAnsi"/>
          <w:szCs w:val="24"/>
        </w:rPr>
        <w:fldChar w:fldCharType="separate"/>
      </w:r>
      <w:r w:rsidR="00E50E02" w:rsidRPr="00734ABE">
        <w:rPr>
          <w:rFonts w:asciiTheme="minorHAnsi" w:hAnsiTheme="minorHAnsi"/>
          <w:noProof/>
          <w:szCs w:val="24"/>
        </w:rPr>
        <w:t xml:space="preserve">O’Sullivan et al, </w:t>
      </w:r>
      <w:r w:rsidR="004A7447" w:rsidRPr="00734ABE">
        <w:rPr>
          <w:rFonts w:asciiTheme="minorHAnsi" w:hAnsiTheme="minorHAnsi"/>
          <w:noProof/>
          <w:szCs w:val="24"/>
        </w:rPr>
        <w:t>(</w:t>
      </w:r>
      <w:r w:rsidR="00E50E02" w:rsidRPr="00734ABE">
        <w:rPr>
          <w:rFonts w:asciiTheme="minorHAnsi" w:hAnsiTheme="minorHAnsi"/>
          <w:noProof/>
          <w:szCs w:val="24"/>
        </w:rPr>
        <w:t>2012)</w:t>
      </w:r>
      <w:r w:rsidR="00E50E02" w:rsidRPr="00734ABE">
        <w:rPr>
          <w:rFonts w:asciiTheme="minorHAnsi" w:hAnsiTheme="minorHAnsi"/>
          <w:szCs w:val="24"/>
        </w:rPr>
        <w:fldChar w:fldCharType="end"/>
      </w:r>
      <w:r w:rsidRPr="00734ABE">
        <w:rPr>
          <w:rFonts w:asciiTheme="minorHAnsi" w:hAnsiTheme="minorHAnsi"/>
          <w:szCs w:val="24"/>
        </w:rPr>
        <w:t>.</w:t>
      </w:r>
    </w:p>
    <w:p w:rsidR="007F5FCD" w:rsidRPr="00734ABE" w:rsidRDefault="007F5FCD" w:rsidP="007F5FCD">
      <w:pPr>
        <w:ind w:firstLine="0"/>
        <w:rPr>
          <w:rFonts w:asciiTheme="minorHAnsi" w:hAnsiTheme="minorHAnsi"/>
          <w:szCs w:val="24"/>
        </w:rPr>
      </w:pPr>
    </w:p>
    <w:p w:rsidR="0045240F" w:rsidRPr="00734ABE" w:rsidRDefault="0045240F" w:rsidP="007F5FCD">
      <w:pPr>
        <w:ind w:firstLine="0"/>
        <w:rPr>
          <w:rFonts w:asciiTheme="minorHAnsi" w:hAnsiTheme="minorHAnsi"/>
          <w:szCs w:val="24"/>
        </w:rPr>
      </w:pPr>
      <w:r w:rsidRPr="00734ABE">
        <w:rPr>
          <w:rFonts w:asciiTheme="minorHAnsi" w:hAnsiTheme="minorHAnsi"/>
          <w:szCs w:val="24"/>
        </w:rPr>
        <w:t>The assessment of the impact of ICT on productivity by UNCTAD was carried out in Thailand. This case shows a significant difference in productivity for companies that use IT and in proportions that are close to those observed in developed countries. The diffusion of ICT makes it possible to reduce transaction costs and generates a better match between supply and demand</w:t>
      </w:r>
      <w:r w:rsidR="009D1CB4" w:rsidRPr="00734ABE">
        <w:rPr>
          <w:rFonts w:asciiTheme="minorHAnsi" w:hAnsiTheme="minorHAnsi"/>
          <w:szCs w:val="24"/>
        </w:rPr>
        <w:t>.</w:t>
      </w:r>
      <w:r w:rsidR="00EB15CB" w:rsidRPr="00734ABE">
        <w:rPr>
          <w:rFonts w:asciiTheme="minorHAnsi" w:hAnsiTheme="minorHAnsi"/>
          <w:szCs w:val="24"/>
        </w:rPr>
        <w:t xml:space="preserve"> </w:t>
      </w:r>
      <w:r w:rsidRPr="00734ABE">
        <w:rPr>
          <w:rFonts w:asciiTheme="minorHAnsi" w:hAnsiTheme="minorHAnsi"/>
          <w:szCs w:val="24"/>
        </w:rPr>
        <w:t>But these induced effects are p</w:t>
      </w:r>
      <w:r w:rsidR="00BA61B1" w:rsidRPr="00734ABE">
        <w:rPr>
          <w:rFonts w:asciiTheme="minorHAnsi" w:hAnsiTheme="minorHAnsi"/>
          <w:szCs w:val="24"/>
        </w:rPr>
        <w:t>articularly difficult to assess</w:t>
      </w:r>
      <w:r w:rsidRPr="00734ABE">
        <w:rPr>
          <w:rFonts w:asciiTheme="minorHAnsi" w:hAnsiTheme="minorHAnsi"/>
          <w:szCs w:val="24"/>
        </w:rPr>
        <w:t xml:space="preserve">. In the context of development economics, ICTs must allow the emergence of new economic opportunities by facilitating the diversification of production and exported goods, by contributing to a rise in the value chain. An improvement in the banking system could be enabled by the adoption of ICT, which could improve customer information and allow part of the financial sector to move away from informality, which generates transaction costs. This reduction in costs would also allow an increase in the amounts allocated to investment. A final element consists of the production of collective knowledge and the use of collective knowledge thanks to free software. This element of free education is an element </w:t>
      </w:r>
      <w:r w:rsidR="00D97EDE" w:rsidRPr="00734ABE">
        <w:rPr>
          <w:rFonts w:asciiTheme="minorHAnsi" w:hAnsiTheme="minorHAnsi"/>
          <w:szCs w:val="24"/>
        </w:rPr>
        <w:t>favourable</w:t>
      </w:r>
      <w:r w:rsidRPr="00734ABE">
        <w:rPr>
          <w:rFonts w:asciiTheme="minorHAnsi" w:hAnsiTheme="minorHAnsi"/>
          <w:szCs w:val="24"/>
        </w:rPr>
        <w:t xml:space="preserve"> to catching up in poor countries. </w:t>
      </w:r>
      <w:r w:rsidR="00C5029E" w:rsidRPr="00734ABE">
        <w:rPr>
          <w:rFonts w:asciiTheme="minorHAnsi" w:hAnsiTheme="minorHAnsi"/>
          <w:szCs w:val="24"/>
        </w:rPr>
        <w:t>On the other h</w:t>
      </w:r>
      <w:r w:rsidR="00647625" w:rsidRPr="00734ABE">
        <w:rPr>
          <w:rFonts w:asciiTheme="minorHAnsi" w:hAnsiTheme="minorHAnsi"/>
          <w:szCs w:val="24"/>
        </w:rPr>
        <w:t>and</w:t>
      </w:r>
      <w:r w:rsidRPr="00734ABE">
        <w:rPr>
          <w:rFonts w:asciiTheme="minorHAnsi" w:hAnsiTheme="minorHAnsi"/>
          <w:szCs w:val="24"/>
        </w:rPr>
        <w:t>, there is the question of property rights over proprietary software and the need to adopt a regime for poor countries. But the TRIPS </w:t>
      </w:r>
      <w:r w:rsidR="00D97EDE" w:rsidRPr="00734ABE">
        <w:rPr>
          <w:rFonts w:asciiTheme="minorHAnsi" w:hAnsiTheme="minorHAnsi"/>
          <w:szCs w:val="24"/>
        </w:rPr>
        <w:t>agreement may</w:t>
      </w:r>
      <w:r w:rsidRPr="00734ABE">
        <w:rPr>
          <w:rFonts w:asciiTheme="minorHAnsi" w:hAnsiTheme="minorHAnsi"/>
          <w:szCs w:val="24"/>
        </w:rPr>
        <w:t xml:space="preserve"> suggest such a situation. However, all these potential improvements are not without posing new problems</w:t>
      </w:r>
      <w:r w:rsidR="004D7188" w:rsidRPr="00734ABE">
        <w:rPr>
          <w:rFonts w:asciiTheme="minorHAnsi" w:hAnsiTheme="minorHAnsi"/>
          <w:szCs w:val="24"/>
        </w:rPr>
        <w:t>,</w:t>
      </w:r>
      <w:r w:rsidRPr="00734ABE">
        <w:rPr>
          <w:rFonts w:asciiTheme="minorHAnsi" w:hAnsiTheme="minorHAnsi"/>
          <w:szCs w:val="24"/>
        </w:rPr>
        <w:t xml:space="preserve"> the new services generated can be at the origin of new difficulties such as the production of trust within the framework of </w:t>
      </w:r>
      <w:r w:rsidR="004D7188" w:rsidRPr="00734ABE">
        <w:rPr>
          <w:rFonts w:asciiTheme="minorHAnsi" w:hAnsiTheme="minorHAnsi"/>
          <w:szCs w:val="24"/>
        </w:rPr>
        <w:t>computerised</w:t>
      </w:r>
      <w:r w:rsidRPr="00734ABE">
        <w:rPr>
          <w:rFonts w:asciiTheme="minorHAnsi" w:hAnsiTheme="minorHAnsi"/>
          <w:szCs w:val="24"/>
        </w:rPr>
        <w:t xml:space="preserve"> transactions as well as their security. </w:t>
      </w:r>
      <w:r w:rsidR="004D7188" w:rsidRPr="00734ABE">
        <w:rPr>
          <w:rFonts w:asciiTheme="minorHAnsi" w:hAnsiTheme="minorHAnsi"/>
          <w:szCs w:val="24"/>
        </w:rPr>
        <w:t>How</w:t>
      </w:r>
      <w:r w:rsidR="00B017CB" w:rsidRPr="00734ABE">
        <w:rPr>
          <w:rFonts w:asciiTheme="minorHAnsi" w:hAnsiTheme="minorHAnsi"/>
          <w:szCs w:val="24"/>
        </w:rPr>
        <w:t>ever</w:t>
      </w:r>
      <w:r w:rsidRPr="00734ABE">
        <w:rPr>
          <w:rFonts w:asciiTheme="minorHAnsi" w:hAnsiTheme="minorHAnsi"/>
          <w:szCs w:val="24"/>
        </w:rPr>
        <w:t xml:space="preserve">, the very decreasing costs of these mechanisms can constitute an obstacle to their </w:t>
      </w:r>
      <w:r w:rsidR="0071219B" w:rsidRPr="00734ABE">
        <w:rPr>
          <w:rFonts w:asciiTheme="minorHAnsi" w:hAnsiTheme="minorHAnsi"/>
          <w:szCs w:val="24"/>
        </w:rPr>
        <w:t>action</w:t>
      </w:r>
      <w:r w:rsidRPr="00734ABE">
        <w:rPr>
          <w:rFonts w:asciiTheme="minorHAnsi" w:hAnsiTheme="minorHAnsi"/>
          <w:szCs w:val="24"/>
        </w:rPr>
        <w:t xml:space="preserve">, which is why UNCTAD plans to </w:t>
      </w:r>
      <w:r w:rsidRPr="00734ABE">
        <w:rPr>
          <w:rFonts w:asciiTheme="minorHAnsi" w:hAnsiTheme="minorHAnsi"/>
          <w:szCs w:val="24"/>
        </w:rPr>
        <w:lastRenderedPageBreak/>
        <w:t>take this issue into account in the implementation of its development policy</w:t>
      </w:r>
      <w:r w:rsidR="00E50E02" w:rsidRPr="00734ABE">
        <w:rPr>
          <w:rFonts w:asciiTheme="minorHAnsi" w:hAnsiTheme="minorHAnsi"/>
          <w:szCs w:val="24"/>
        </w:rPr>
        <w:t xml:space="preserve"> </w:t>
      </w:r>
      <w:r w:rsidR="00E50E02" w:rsidRPr="00734ABE">
        <w:rPr>
          <w:rFonts w:asciiTheme="minorHAnsi" w:hAnsiTheme="minorHAnsi"/>
          <w:szCs w:val="24"/>
        </w:rPr>
        <w:fldChar w:fldCharType="begin" w:fldLock="1"/>
      </w:r>
      <w:r w:rsidR="00E50E02" w:rsidRPr="00734ABE">
        <w:rPr>
          <w:rFonts w:asciiTheme="minorHAnsi" w:hAnsiTheme="minorHAnsi"/>
          <w:szCs w:val="24"/>
        </w:rPr>
        <w:instrText>ADDIN CSL_CITATION {"citationItems":[{"id":"ITEM-1","itemData":{"DOI":"10.3109/0142159X.2011.595435","ISSN":"0142159X","PMID":"22225433","abstract":"Self-determination Theory (SDT), designed by Edward Deci and Richard Ryan, serves among the current major motivational theories in psychology. SDT research has been conducted in many areas, among which are education and health care, but its applications in medical education are rare. The potential of SDT to help understand processes in medical education justifies this Guide. SDT is explained in seven principles, one of which is the distinction of three innate psychological needs of human beings: for competence, for autonomy and for relatedness. Further, SDT elaborates how humans tend to internalise regulation of behaviour that initially has been external, in order to develop autonomous, self-determined behaviour. Implications of SDT for medical education are discussed with reference to preparation and selection, curriculum structure, classroom teaching, assessments and examinations, self-directed learning, clinical teaching, students as teachers and researchers, continuing professional development, faculty development and stress among trainees. © 2011 Informa UK Ltd.","author":[{"dropping-particle":"","family":"Cate","given":"Th J.","non-dropping-particle":"Ten","parse-names":false,"suffix":""},{"dropping-particle":"","family":"Kusurkar","given":"Rashmi A.","non-dropping-particle":"","parse-names":false,"suffix":""},{"dropping-particle":"","family":"Williams","given":"Geoffrey C.","non-dropping-particle":"","parse-names":false,"suffix":""}],"container-title":"Medical Teacher","id":"ITEM-1","issued":{"date-parts":[["2011"]]},"title":"How self-determination theory can assist our understanding of the teaching and learning processes in medical education. AMEE Guide No. 59","type":"article-journal"},"uris":["http://www.mendeley.com/documents/?uuid=ef3334d7-f88c-4f92-87ac-987fdf5215c4","http://www.mendeley.com/documents/?uuid=f6c7891b-59f4-4fe9-846c-ce296916b67e"]}],"mendeley":{"formattedCitation":"(Ten Cate, Kusurkar and Williams, 2011)","plainTextFormattedCitation":"(Ten Cate, Kusurkar and Williams, 2011)","previouslyFormattedCitation":"(Ten Cate, Kusurkar and Williams, 2011)"},"properties":{"noteIndex":0},"schema":"https://github.com/citation-style-language/schema/raw/master/csl-citation.json"}</w:instrText>
      </w:r>
      <w:r w:rsidR="00E50E02" w:rsidRPr="00734ABE">
        <w:rPr>
          <w:rFonts w:asciiTheme="minorHAnsi" w:hAnsiTheme="minorHAnsi"/>
          <w:szCs w:val="24"/>
        </w:rPr>
        <w:fldChar w:fldCharType="separate"/>
      </w:r>
      <w:r w:rsidR="00E50E02" w:rsidRPr="00734ABE">
        <w:rPr>
          <w:rFonts w:asciiTheme="minorHAnsi" w:hAnsiTheme="minorHAnsi"/>
          <w:noProof/>
          <w:szCs w:val="24"/>
        </w:rPr>
        <w:t xml:space="preserve">Ten Cate, Kusurkar and Williams, </w:t>
      </w:r>
      <w:r w:rsidR="00391405" w:rsidRPr="00734ABE">
        <w:rPr>
          <w:rFonts w:asciiTheme="minorHAnsi" w:hAnsiTheme="minorHAnsi"/>
          <w:noProof/>
          <w:szCs w:val="24"/>
        </w:rPr>
        <w:t>(</w:t>
      </w:r>
      <w:r w:rsidR="00E50E02" w:rsidRPr="00734ABE">
        <w:rPr>
          <w:rFonts w:asciiTheme="minorHAnsi" w:hAnsiTheme="minorHAnsi"/>
          <w:noProof/>
          <w:szCs w:val="24"/>
        </w:rPr>
        <w:t>2011)</w:t>
      </w:r>
      <w:r w:rsidR="00E50E02" w:rsidRPr="00734ABE">
        <w:rPr>
          <w:rFonts w:asciiTheme="minorHAnsi" w:hAnsiTheme="minorHAnsi"/>
          <w:szCs w:val="24"/>
        </w:rPr>
        <w:fldChar w:fldCharType="end"/>
      </w:r>
      <w:r w:rsidRPr="00734ABE">
        <w:rPr>
          <w:rFonts w:asciiTheme="minorHAnsi" w:hAnsiTheme="minorHAnsi"/>
          <w:szCs w:val="24"/>
        </w:rPr>
        <w:t>.</w:t>
      </w:r>
    </w:p>
    <w:p w:rsidR="00391405" w:rsidRPr="00734ABE" w:rsidRDefault="00391405" w:rsidP="00391405">
      <w:pPr>
        <w:ind w:firstLine="0"/>
        <w:rPr>
          <w:rFonts w:asciiTheme="minorHAnsi" w:hAnsiTheme="minorHAnsi"/>
          <w:szCs w:val="24"/>
        </w:rPr>
      </w:pPr>
    </w:p>
    <w:p w:rsidR="0045240F" w:rsidRPr="00734ABE" w:rsidRDefault="0045240F" w:rsidP="00391405">
      <w:pPr>
        <w:ind w:firstLine="0"/>
        <w:rPr>
          <w:rFonts w:asciiTheme="minorHAnsi" w:hAnsiTheme="minorHAnsi"/>
          <w:szCs w:val="24"/>
        </w:rPr>
      </w:pPr>
      <w:r w:rsidRPr="00734ABE">
        <w:rPr>
          <w:rFonts w:asciiTheme="minorHAnsi" w:hAnsiTheme="minorHAnsi"/>
          <w:szCs w:val="24"/>
        </w:rPr>
        <w:t xml:space="preserve">Finally, ICT goods are often dependent on complementary services and products to function properly, it is the existence of network effects. As UNCTAD points </w:t>
      </w:r>
      <w:r w:rsidR="00D97EDE" w:rsidRPr="00734ABE">
        <w:rPr>
          <w:rFonts w:asciiTheme="minorHAnsi" w:hAnsiTheme="minorHAnsi"/>
          <w:szCs w:val="24"/>
        </w:rPr>
        <w:t>out,</w:t>
      </w:r>
      <w:r w:rsidRPr="00734ABE">
        <w:rPr>
          <w:rFonts w:asciiTheme="minorHAnsi" w:hAnsiTheme="minorHAnsi"/>
          <w:szCs w:val="24"/>
        </w:rPr>
        <w:t xml:space="preserve"> the progress made by ICT seems to depend very much on the industrial and commercial context. The use of distance selling via the Internet presupposes the presence of numerous preconditions which may be absent in many developing countries and particularly for the countries of Sub-Saharan Africa. Thus, the report underlines the importance of complementary factors and political factors in achieving productivity gains from the uses of </w:t>
      </w:r>
      <w:r w:rsidR="00D97EDE" w:rsidRPr="00734ABE">
        <w:rPr>
          <w:rFonts w:asciiTheme="minorHAnsi" w:hAnsiTheme="minorHAnsi"/>
          <w:szCs w:val="24"/>
        </w:rPr>
        <w:t>ICT. </w:t>
      </w:r>
      <w:r w:rsidRPr="00734ABE">
        <w:rPr>
          <w:rFonts w:asciiTheme="minorHAnsi" w:hAnsiTheme="minorHAnsi"/>
          <w:szCs w:val="24"/>
        </w:rPr>
        <w:t>Mastery of ICT</w:t>
      </w:r>
      <w:r w:rsidR="00D97EDE" w:rsidRPr="00734ABE">
        <w:rPr>
          <w:rFonts w:asciiTheme="minorHAnsi" w:hAnsiTheme="minorHAnsi"/>
          <w:szCs w:val="24"/>
        </w:rPr>
        <w:t xml:space="preserve"> </w:t>
      </w:r>
      <w:r w:rsidRPr="00734ABE">
        <w:rPr>
          <w:rFonts w:asciiTheme="minorHAnsi" w:hAnsiTheme="minorHAnsi"/>
          <w:szCs w:val="24"/>
        </w:rPr>
        <w:t xml:space="preserve">requires skills, knowledge and appropriate training without which ICTs cannot manifest their benefits “Several institutional issues must be taken into account such as the establishment of an intellectual property regime </w:t>
      </w:r>
      <w:r w:rsidR="00D97EDE" w:rsidRPr="00734ABE">
        <w:rPr>
          <w:rFonts w:asciiTheme="minorHAnsi" w:hAnsiTheme="minorHAnsi"/>
          <w:szCs w:val="24"/>
        </w:rPr>
        <w:t>favourable</w:t>
      </w:r>
      <w:r w:rsidRPr="00734ABE">
        <w:rPr>
          <w:rFonts w:asciiTheme="minorHAnsi" w:hAnsiTheme="minorHAnsi"/>
          <w:szCs w:val="24"/>
        </w:rPr>
        <w:t xml:space="preserve"> to innovations and a competition policy, strengthening of the education system as well as the research system, the creation of public “knowledge” structures, the development of information and communication infrastructure, the creation of an environment that generates confidence in the use of ICTs and proper functioning of financial markets. </w:t>
      </w:r>
    </w:p>
    <w:p w:rsidR="003E6719" w:rsidRPr="00734ABE" w:rsidRDefault="003E6719" w:rsidP="001A437D">
      <w:pPr>
        <w:pStyle w:val="Heading1"/>
        <w:rPr>
          <w:rFonts w:asciiTheme="minorHAnsi" w:hAnsiTheme="minorHAnsi"/>
          <w:b w:val="0"/>
          <w:i w:val="0"/>
          <w:szCs w:val="24"/>
        </w:rPr>
      </w:pPr>
    </w:p>
    <w:p w:rsidR="004D44E8" w:rsidRPr="00734ABE" w:rsidRDefault="004D44E8" w:rsidP="003E6719">
      <w:pPr>
        <w:pStyle w:val="Heading2"/>
        <w:rPr>
          <w:rFonts w:asciiTheme="minorHAnsi" w:hAnsiTheme="minorHAnsi"/>
          <w:bCs w:val="0"/>
          <w:i w:val="0"/>
          <w:szCs w:val="24"/>
        </w:rPr>
      </w:pPr>
      <w:bookmarkStart w:id="1" w:name="_Toc57665867"/>
      <w:r w:rsidRPr="00734ABE">
        <w:rPr>
          <w:rFonts w:asciiTheme="minorHAnsi" w:hAnsiTheme="minorHAnsi"/>
          <w:bCs w:val="0"/>
          <w:i w:val="0"/>
          <w:szCs w:val="24"/>
        </w:rPr>
        <w:t>Curriculum</w:t>
      </w:r>
      <w:bookmarkEnd w:id="1"/>
    </w:p>
    <w:p w:rsidR="00320381" w:rsidRPr="00734ABE" w:rsidRDefault="00320381" w:rsidP="004137C4">
      <w:pPr>
        <w:pStyle w:val="ListParagraph"/>
        <w:numPr>
          <w:ilvl w:val="0"/>
          <w:numId w:val="17"/>
        </w:numPr>
        <w:rPr>
          <w:rFonts w:asciiTheme="minorHAnsi" w:hAnsiTheme="minorHAnsi"/>
          <w:szCs w:val="24"/>
        </w:rPr>
      </w:pPr>
      <w:r w:rsidRPr="00734ABE">
        <w:rPr>
          <w:rFonts w:asciiTheme="minorHAnsi" w:hAnsiTheme="minorHAnsi"/>
          <w:szCs w:val="24"/>
        </w:rPr>
        <w:t>Changes to program structure are rarely beneficial.</w:t>
      </w:r>
    </w:p>
    <w:p w:rsidR="00320381" w:rsidRPr="00734ABE" w:rsidRDefault="00320381" w:rsidP="004137C4">
      <w:pPr>
        <w:pStyle w:val="ListParagraph"/>
        <w:numPr>
          <w:ilvl w:val="0"/>
          <w:numId w:val="17"/>
        </w:numPr>
        <w:rPr>
          <w:rFonts w:asciiTheme="minorHAnsi" w:hAnsiTheme="minorHAnsi"/>
          <w:szCs w:val="24"/>
        </w:rPr>
      </w:pPr>
      <w:r w:rsidRPr="00734ABE">
        <w:rPr>
          <w:rFonts w:asciiTheme="minorHAnsi" w:hAnsiTheme="minorHAnsi"/>
          <w:szCs w:val="24"/>
        </w:rPr>
        <w:t>There is no doubt that the concept of the new program was a desire to rebalance the STEM approach. The problem is that there is no evidence that curriculum change is beneficial.</w:t>
      </w:r>
    </w:p>
    <w:p w:rsidR="004D44E8" w:rsidRPr="00734ABE" w:rsidRDefault="00320381" w:rsidP="004D6395">
      <w:pPr>
        <w:ind w:firstLine="0"/>
        <w:rPr>
          <w:rFonts w:asciiTheme="minorHAnsi" w:hAnsiTheme="minorHAnsi"/>
          <w:szCs w:val="24"/>
        </w:rPr>
      </w:pPr>
      <w:r w:rsidRPr="00734ABE">
        <w:rPr>
          <w:rFonts w:asciiTheme="minorHAnsi" w:hAnsiTheme="minorHAnsi"/>
          <w:szCs w:val="24"/>
        </w:rPr>
        <w:t>Hattie seems distracted - all the effort goes into planning and structure. However, the benefits usually appear and manifest much later.</w:t>
      </w:r>
      <w:r w:rsidR="004D6395" w:rsidRPr="00734ABE">
        <w:rPr>
          <w:rFonts w:asciiTheme="minorHAnsi" w:hAnsiTheme="minorHAnsi"/>
          <w:szCs w:val="24"/>
        </w:rPr>
        <w:t xml:space="preserve"> </w:t>
      </w:r>
      <w:r w:rsidRPr="00734ABE">
        <w:rPr>
          <w:rFonts w:asciiTheme="minorHAnsi" w:hAnsiTheme="minorHAnsi"/>
          <w:szCs w:val="24"/>
        </w:rPr>
        <w:t>Analysis of the impact of introducing "custom" programs shows that this is not the best way forward. Due to structural weaknesses, lack of context, and high training and development requirements, the simplest solution is the exact opposite</w:t>
      </w:r>
      <w:r w:rsidR="00E50E02" w:rsidRPr="00734ABE">
        <w:rPr>
          <w:rFonts w:asciiTheme="minorHAnsi" w:hAnsiTheme="minorHAnsi"/>
          <w:szCs w:val="24"/>
        </w:rPr>
        <w:t xml:space="preserve"> </w:t>
      </w:r>
      <w:r w:rsidR="00E50E02" w:rsidRPr="00734ABE">
        <w:rPr>
          <w:rFonts w:asciiTheme="minorHAnsi" w:hAnsiTheme="minorHAnsi"/>
          <w:szCs w:val="24"/>
        </w:rPr>
        <w:fldChar w:fldCharType="begin" w:fldLock="1"/>
      </w:r>
      <w:r w:rsidR="00E50E02" w:rsidRPr="00734ABE">
        <w:rPr>
          <w:rFonts w:asciiTheme="minorHAnsi" w:hAnsiTheme="minorHAnsi"/>
          <w:szCs w:val="24"/>
        </w:rPr>
        <w:instrText>ADDIN CSL_CITATION {"citationItems":[{"id":"ITEM-1","itemData":{"DOI":"10.1016/j.pec.2018.04.013","ISSN":"18735134","PMID":"29706382","abstract":"Objectives: Clinical communication is a core component of undergraduate medical training. A consensus statement on the essential elements of the communication curriculum was co-produced in 2008 by the communication leads of UK medical schools. This paper discusses the relational, contextual and technological changes which have affected clinical communication since then and presents an updated curriculum for communication in undergraduate medicine. Method: The consensus was developed through an iterative consultation process with the communication leads who represent their medical schools on the UK Council of Clinical Communication in Undergraduate Medical Education. Results: The updated curriculum defines the underpinning values, core components and skills required within the context of contemporary medical care. It incorporates the evolving relational issues associated with the more prominent role of the patient in the consultation, reflected through legal precedent and changing societal expectations. The impact on clinical communication of the increased focus on patient safety, the professional duty of candour and digital medicine are discussed. Conclusion: Changes in the way medicine is practised should lead rapidly to adjustments to the content of curricula. Practice implications: The updated curriculum provides a model of best practice to help medical schools develop their teaching and argue for resources.","author":[{"dropping-particle":"","family":"Noble","given":"Lorraine M.","non-dropping-particle":"","parse-names":false,"suffix":""},{"dropping-particle":"","family":"Scott-Smith","given":"Wesley","non-dropping-particle":"","parse-names":false,"suffix":""},{"dropping-particle":"","family":"O'Neill","given":"Bernadette","non-dropping-particle":"","parse-names":false,"suffix":""},{"dropping-particle":"","family":"Salisbury","given":"Helen","non-dropping-particle":"","parse-names":false,"suffix":""}],"container-title":"Patient Education and Counseling","id":"ITEM-1","issued":{"date-parts":[["2018"]]},"title":"Consensus statement on an updated core communication curriculum for UK undergraduate medical education","type":"article"},"uris":["http://www.mendeley.com/documents/?uuid=13bf57f0-298b-45cc-a35c-111de7494867","http://www.mendeley.com/documents/?uuid=00e054e9-5a11-4acd-910e-9ad7734766e1"]}],"mendeley":{"formattedCitation":"(Noble &lt;i&gt;et al.&lt;/i&gt;, 2018)","plainTextFormattedCitation":"(Noble et al., 2018)","previouslyFormattedCitation":"(Noble &lt;i&gt;et al.&lt;/i&gt;, 2018)"},"properties":{"noteIndex":0},"schema":"https://github.com/citation-style-language/schema/raw/master/csl-citation.json"}</w:instrText>
      </w:r>
      <w:r w:rsidR="00E50E02" w:rsidRPr="00734ABE">
        <w:rPr>
          <w:rFonts w:asciiTheme="minorHAnsi" w:hAnsiTheme="minorHAnsi"/>
          <w:szCs w:val="24"/>
        </w:rPr>
        <w:fldChar w:fldCharType="separate"/>
      </w:r>
      <w:r w:rsidR="00E50E02" w:rsidRPr="00734ABE">
        <w:rPr>
          <w:rFonts w:asciiTheme="minorHAnsi" w:hAnsiTheme="minorHAnsi"/>
          <w:noProof/>
          <w:szCs w:val="24"/>
        </w:rPr>
        <w:t xml:space="preserve">Noble et al, </w:t>
      </w:r>
      <w:r w:rsidR="00D93FAA" w:rsidRPr="00734ABE">
        <w:rPr>
          <w:rFonts w:asciiTheme="minorHAnsi" w:hAnsiTheme="minorHAnsi"/>
          <w:noProof/>
          <w:szCs w:val="24"/>
        </w:rPr>
        <w:t>(</w:t>
      </w:r>
      <w:r w:rsidR="00E50E02" w:rsidRPr="00734ABE">
        <w:rPr>
          <w:rFonts w:asciiTheme="minorHAnsi" w:hAnsiTheme="minorHAnsi"/>
          <w:noProof/>
          <w:szCs w:val="24"/>
        </w:rPr>
        <w:t>2018)</w:t>
      </w:r>
      <w:r w:rsidR="00E50E02" w:rsidRPr="00734ABE">
        <w:rPr>
          <w:rFonts w:asciiTheme="minorHAnsi" w:hAnsiTheme="minorHAnsi"/>
          <w:szCs w:val="24"/>
        </w:rPr>
        <w:fldChar w:fldCharType="end"/>
      </w:r>
      <w:r w:rsidR="004D44E8" w:rsidRPr="00734ABE">
        <w:rPr>
          <w:rFonts w:asciiTheme="minorHAnsi" w:hAnsiTheme="minorHAnsi"/>
          <w:szCs w:val="24"/>
        </w:rPr>
        <w:t>.</w:t>
      </w:r>
    </w:p>
    <w:p w:rsidR="003E6719" w:rsidRPr="00734ABE" w:rsidRDefault="003E6719" w:rsidP="004D44E8">
      <w:pPr>
        <w:ind w:firstLine="0"/>
        <w:rPr>
          <w:rFonts w:asciiTheme="minorHAnsi" w:hAnsiTheme="minorHAnsi"/>
          <w:szCs w:val="24"/>
        </w:rPr>
      </w:pPr>
    </w:p>
    <w:p w:rsidR="003E6719" w:rsidRPr="00734ABE" w:rsidRDefault="003E6719" w:rsidP="004D44E8">
      <w:pPr>
        <w:ind w:firstLine="0"/>
        <w:rPr>
          <w:rFonts w:asciiTheme="minorHAnsi" w:hAnsiTheme="minorHAnsi"/>
          <w:szCs w:val="24"/>
        </w:rPr>
      </w:pPr>
    </w:p>
    <w:p w:rsidR="004D44E8" w:rsidRPr="00734ABE" w:rsidRDefault="00320381" w:rsidP="001F6B73">
      <w:pPr>
        <w:ind w:firstLine="0"/>
        <w:rPr>
          <w:rFonts w:asciiTheme="minorHAnsi" w:hAnsiTheme="minorHAnsi"/>
          <w:szCs w:val="24"/>
        </w:rPr>
      </w:pPr>
      <w:r w:rsidRPr="00734ABE">
        <w:rPr>
          <w:rFonts w:asciiTheme="minorHAnsi" w:hAnsiTheme="minorHAnsi"/>
          <w:szCs w:val="24"/>
        </w:rPr>
        <w:t>Application Science is an underdeveloped concept in education</w:t>
      </w:r>
      <w:r w:rsidR="00944A38" w:rsidRPr="00734ABE">
        <w:rPr>
          <w:rFonts w:asciiTheme="minorHAnsi" w:hAnsiTheme="minorHAnsi"/>
          <w:szCs w:val="24"/>
        </w:rPr>
        <w:t>, t</w:t>
      </w:r>
      <w:r w:rsidRPr="00734ABE">
        <w:rPr>
          <w:rFonts w:asciiTheme="minorHAnsi" w:hAnsiTheme="minorHAnsi"/>
          <w:szCs w:val="24"/>
        </w:rPr>
        <w:t xml:space="preserve">here is no white canvas to highlight. We are expected to rebuild the model and aircraft in flight. </w:t>
      </w:r>
      <w:r w:rsidR="007D45AE" w:rsidRPr="00734ABE">
        <w:rPr>
          <w:rFonts w:asciiTheme="minorHAnsi" w:hAnsiTheme="minorHAnsi"/>
          <w:szCs w:val="24"/>
        </w:rPr>
        <w:t>T</w:t>
      </w:r>
      <w:r w:rsidRPr="00734ABE">
        <w:rPr>
          <w:rFonts w:asciiTheme="minorHAnsi" w:hAnsiTheme="minorHAnsi"/>
          <w:szCs w:val="24"/>
        </w:rPr>
        <w:t>eachers who have managed to take a school out of a new school believe renovations will be critical if they adapt their approach to reality. For these students and teachers in the system, the adjustment has implications for clarity and potential results.</w:t>
      </w:r>
      <w:r w:rsidR="001F6B73" w:rsidRPr="00734ABE">
        <w:rPr>
          <w:rFonts w:asciiTheme="minorHAnsi" w:hAnsiTheme="minorHAnsi"/>
          <w:szCs w:val="24"/>
        </w:rPr>
        <w:t xml:space="preserve">  </w:t>
      </w:r>
      <w:r w:rsidRPr="00734ABE">
        <w:rPr>
          <w:rFonts w:asciiTheme="minorHAnsi" w:hAnsiTheme="minorHAnsi"/>
          <w:szCs w:val="24"/>
        </w:rPr>
        <w:t>The incredible progress made in bridging the gap is expected to continue as the more comprehensive program is implemented</w:t>
      </w:r>
      <w:r w:rsidR="00E50E02" w:rsidRPr="00734ABE">
        <w:rPr>
          <w:rFonts w:asciiTheme="minorHAnsi" w:hAnsiTheme="minorHAnsi"/>
          <w:szCs w:val="24"/>
        </w:rPr>
        <w:t xml:space="preserve"> </w:t>
      </w:r>
      <w:r w:rsidR="00E50E02" w:rsidRPr="00734ABE">
        <w:rPr>
          <w:rFonts w:asciiTheme="minorHAnsi" w:hAnsiTheme="minorHAnsi"/>
          <w:szCs w:val="24"/>
        </w:rPr>
        <w:fldChar w:fldCharType="begin" w:fldLock="1"/>
      </w:r>
      <w:r w:rsidR="00E50E02" w:rsidRPr="00734ABE">
        <w:rPr>
          <w:rFonts w:asciiTheme="minorHAnsi" w:hAnsiTheme="minorHAnsi"/>
          <w:szCs w:val="24"/>
        </w:rPr>
        <w:instrText>ADDIN CSL_CITATION {"citationItems":[{"id":"ITEM-1","itemData":{"DOI":"10.1080/01421590902825149","ISSN":"0142159X","PMID":"19811128","abstract":"This Guide, a combined work by three authors from different countries, provides perspectives into the history of teaching gross anatomy, briefly, from the earliest of times, through to a detailed examination of curricula in both traditional didactic approaches and Problem-Based Learning (PBL) curricula. The delivery of a module within a curriculum in tertiary education is interplay between the content (knowledge and skills) of a subject, the teaching staff involved, the students and their approaches to learning, and the philosophy underpinning the delivery of the learning material. The work is divided into sections that deal with approaches to learning anatomy from the perspective of students, to delivery of the content of the curriculum by lecturers, including the assessment of knowledge, and itemises the topics that could be considered important for an appropriate anatomy module in an integrated course, delivered in a way that emphasises clinical application. The work concludes by looking to the future, and considering what measures may need to be addressed to ensure the continued development of anatomy as a clinically relevant subject in any medical curriculum. © 2009 Informa UK Ltd.","author":[{"dropping-particle":"","family":"Louw","given":"Graham","non-dropping-particle":"","parse-names":false,"suffix":""},{"dropping-particle":"","family":"Eizenberg","given":"Norman","non-dropping-particle":"","parse-names":false,"suffix":""},{"dropping-particle":"","family":"Carmichael","given":"Stephen W.","non-dropping-particle":"","parse-names":false,"suffix":""}],"container-title":"Medical Teacher","id":"ITEM-1","issued":{"date-parts":[["2009"]]},"title":"The place of anatomy in medical education: AMEE Guide no 41","type":"article"},"uris":["http://www.mendeley.com/documents/?uuid=73140f57-0782-481b-9b31-5c796372e928","http://www.mendeley.com/documents/?uuid=b9fe406a-83e9-4e2f-812f-5b24886b89f7"]}],"mendeley":{"formattedCitation":"(Louw, Eizenberg and Carmichael, 2009)","plainTextFormattedCitation":"(Louw, Eizenberg and Carmichael, 2009)","previouslyFormattedCitation":"(Louw, Eizenberg and Carmichael, 2009)"},"properties":{"noteIndex":0},"schema":"https://github.com/citation-style-language/schema/raw/master/csl-citation.json"}</w:instrText>
      </w:r>
      <w:r w:rsidR="00E50E02" w:rsidRPr="00734ABE">
        <w:rPr>
          <w:rFonts w:asciiTheme="minorHAnsi" w:hAnsiTheme="minorHAnsi"/>
          <w:szCs w:val="24"/>
        </w:rPr>
        <w:fldChar w:fldCharType="separate"/>
      </w:r>
      <w:r w:rsidR="00E50E02" w:rsidRPr="00734ABE">
        <w:rPr>
          <w:rFonts w:asciiTheme="minorHAnsi" w:hAnsiTheme="minorHAnsi"/>
          <w:noProof/>
          <w:szCs w:val="24"/>
        </w:rPr>
        <w:t xml:space="preserve">Louw, Eizenberg and Carmichael, </w:t>
      </w:r>
      <w:r w:rsidR="007D45AE" w:rsidRPr="00734ABE">
        <w:rPr>
          <w:rFonts w:asciiTheme="minorHAnsi" w:hAnsiTheme="minorHAnsi"/>
          <w:noProof/>
          <w:szCs w:val="24"/>
        </w:rPr>
        <w:t>(</w:t>
      </w:r>
      <w:r w:rsidR="00E50E02" w:rsidRPr="00734ABE">
        <w:rPr>
          <w:rFonts w:asciiTheme="minorHAnsi" w:hAnsiTheme="minorHAnsi"/>
          <w:noProof/>
          <w:szCs w:val="24"/>
        </w:rPr>
        <w:t>2009)</w:t>
      </w:r>
      <w:r w:rsidR="00E50E02" w:rsidRPr="00734ABE">
        <w:rPr>
          <w:rFonts w:asciiTheme="minorHAnsi" w:hAnsiTheme="minorHAnsi"/>
          <w:szCs w:val="24"/>
        </w:rPr>
        <w:fldChar w:fldCharType="end"/>
      </w:r>
      <w:r w:rsidRPr="00734ABE">
        <w:rPr>
          <w:rFonts w:asciiTheme="minorHAnsi" w:hAnsiTheme="minorHAnsi"/>
          <w:szCs w:val="24"/>
        </w:rPr>
        <w:t>.</w:t>
      </w:r>
      <w:r w:rsidR="001F6B73" w:rsidRPr="00734ABE">
        <w:rPr>
          <w:rFonts w:asciiTheme="minorHAnsi" w:hAnsiTheme="minorHAnsi"/>
          <w:szCs w:val="24"/>
        </w:rPr>
        <w:t xml:space="preserve">  </w:t>
      </w:r>
      <w:r w:rsidRPr="00734ABE">
        <w:rPr>
          <w:rFonts w:asciiTheme="minorHAnsi" w:hAnsiTheme="minorHAnsi"/>
          <w:szCs w:val="24"/>
        </w:rPr>
        <w:t xml:space="preserve">The term "clutter" is often used to describe the realities of implementation in schools. This is one of the main reasons why what has been tested and observed in laboratories is so difficult to put into practice. Take, for example, the growth mind-set: It's a great idea and can be seen in behaviour, but implementation has little effect in "trivial" reality </w:t>
      </w:r>
      <w:r w:rsidR="00BA61B1" w:rsidRPr="00734ABE">
        <w:rPr>
          <w:rFonts w:asciiTheme="minorHAnsi" w:hAnsiTheme="minorHAnsi"/>
          <w:szCs w:val="24"/>
        </w:rPr>
        <w:t>when measured empirically</w:t>
      </w:r>
      <w:r w:rsidR="00F028CB" w:rsidRPr="00734ABE">
        <w:rPr>
          <w:rFonts w:asciiTheme="minorHAnsi" w:hAnsiTheme="minorHAnsi"/>
          <w:szCs w:val="24"/>
        </w:rPr>
        <w:t xml:space="preserve">. </w:t>
      </w:r>
      <w:r w:rsidRPr="00734ABE">
        <w:rPr>
          <w:rFonts w:asciiTheme="minorHAnsi" w:hAnsiTheme="minorHAnsi"/>
          <w:szCs w:val="24"/>
        </w:rPr>
        <w:t>Implementing a new program is a huge task</w:t>
      </w:r>
      <w:r w:rsidR="004D44E8" w:rsidRPr="00734ABE">
        <w:rPr>
          <w:rFonts w:asciiTheme="minorHAnsi" w:hAnsiTheme="minorHAnsi"/>
          <w:szCs w:val="24"/>
        </w:rPr>
        <w:t>.</w:t>
      </w:r>
    </w:p>
    <w:p w:rsidR="003E6719" w:rsidRPr="00734ABE" w:rsidRDefault="003E6719" w:rsidP="004D44E8">
      <w:pPr>
        <w:ind w:firstLine="0"/>
        <w:rPr>
          <w:rFonts w:asciiTheme="minorHAnsi" w:hAnsiTheme="minorHAnsi"/>
          <w:szCs w:val="24"/>
        </w:rPr>
      </w:pPr>
    </w:p>
    <w:p w:rsidR="004D44E8" w:rsidRPr="00734ABE" w:rsidRDefault="00320381" w:rsidP="0091165F">
      <w:pPr>
        <w:ind w:firstLine="0"/>
        <w:rPr>
          <w:rFonts w:asciiTheme="minorHAnsi" w:hAnsiTheme="minorHAnsi"/>
          <w:szCs w:val="24"/>
        </w:rPr>
      </w:pPr>
      <w:r w:rsidRPr="00734ABE">
        <w:rPr>
          <w:rFonts w:asciiTheme="minorHAnsi" w:hAnsiTheme="minorHAnsi"/>
          <w:szCs w:val="24"/>
        </w:rPr>
        <w:t>Deep learning takes time and requires completely different learning strategies to gain a superficial understanding. The transition from "surface" to "depth" and "displacement" is in great demand.</w:t>
      </w:r>
      <w:r w:rsidR="00262EAC" w:rsidRPr="00734ABE">
        <w:rPr>
          <w:rFonts w:asciiTheme="minorHAnsi" w:hAnsiTheme="minorHAnsi"/>
          <w:szCs w:val="24"/>
        </w:rPr>
        <w:t xml:space="preserve">  </w:t>
      </w:r>
      <w:r w:rsidRPr="00734ABE">
        <w:rPr>
          <w:rFonts w:asciiTheme="minorHAnsi" w:hAnsiTheme="minorHAnsi"/>
          <w:szCs w:val="24"/>
        </w:rPr>
        <w:t xml:space="preserve">Currently, about 95% of primary schooling is superficial. The teacher's speech lasts an average of 89% of the class time (look for visible classrooms in over 4,000 </w:t>
      </w:r>
      <w:r w:rsidRPr="00734ABE">
        <w:rPr>
          <w:rFonts w:asciiTheme="minorHAnsi" w:hAnsiTheme="minorHAnsi"/>
          <w:szCs w:val="24"/>
        </w:rPr>
        <w:lastRenderedPageBreak/>
        <w:t>lessons). This preserves the surface, but is less effective.</w:t>
      </w:r>
      <w:r w:rsidR="006833A5" w:rsidRPr="00734ABE">
        <w:rPr>
          <w:rFonts w:asciiTheme="minorHAnsi" w:hAnsiTheme="minorHAnsi"/>
          <w:szCs w:val="24"/>
        </w:rPr>
        <w:t xml:space="preserve">  </w:t>
      </w:r>
      <w:r w:rsidRPr="00734ABE">
        <w:rPr>
          <w:rFonts w:asciiTheme="minorHAnsi" w:hAnsiTheme="minorHAnsi"/>
          <w:szCs w:val="24"/>
        </w:rPr>
        <w:t xml:space="preserve">While there are proven models that can facilitate deepening, current practice in primary </w:t>
      </w:r>
      <w:r w:rsidR="00F028CB" w:rsidRPr="00734ABE">
        <w:rPr>
          <w:rFonts w:asciiTheme="minorHAnsi" w:hAnsiTheme="minorHAnsi"/>
          <w:szCs w:val="24"/>
        </w:rPr>
        <w:t>schools is very limited in use.</w:t>
      </w:r>
      <w:r w:rsidR="0091165F" w:rsidRPr="00734ABE">
        <w:rPr>
          <w:rFonts w:asciiTheme="minorHAnsi" w:hAnsiTheme="minorHAnsi"/>
          <w:szCs w:val="24"/>
        </w:rPr>
        <w:t xml:space="preserve"> </w:t>
      </w:r>
      <w:r w:rsidRPr="00734ABE">
        <w:rPr>
          <w:rFonts w:asciiTheme="minorHAnsi" w:hAnsiTheme="minorHAnsi"/>
          <w:szCs w:val="24"/>
        </w:rPr>
        <w:t xml:space="preserve">Depth should be central to the design of any curriculum. This requires a deep dive into </w:t>
      </w:r>
      <w:r w:rsidR="00841D9E" w:rsidRPr="00734ABE">
        <w:rPr>
          <w:rFonts w:asciiTheme="minorHAnsi" w:hAnsiTheme="minorHAnsi"/>
          <w:szCs w:val="24"/>
        </w:rPr>
        <w:t xml:space="preserve">the </w:t>
      </w:r>
      <w:r w:rsidRPr="00734ABE">
        <w:rPr>
          <w:rFonts w:asciiTheme="minorHAnsi" w:hAnsiTheme="minorHAnsi"/>
          <w:szCs w:val="24"/>
        </w:rPr>
        <w:t>data, SOLO taxonomy, and other support strategies, all of which require significant investment to develop the experience</w:t>
      </w:r>
      <w:r w:rsidR="004D44E8" w:rsidRPr="00734ABE">
        <w:rPr>
          <w:rFonts w:asciiTheme="minorHAnsi" w:hAnsiTheme="minorHAnsi"/>
          <w:szCs w:val="24"/>
        </w:rPr>
        <w:t>.</w:t>
      </w:r>
    </w:p>
    <w:p w:rsidR="003E6719" w:rsidRPr="00734ABE" w:rsidRDefault="003E6719" w:rsidP="004D44E8">
      <w:pPr>
        <w:ind w:firstLine="0"/>
        <w:rPr>
          <w:rFonts w:asciiTheme="minorHAnsi" w:hAnsiTheme="minorHAnsi"/>
          <w:szCs w:val="24"/>
        </w:rPr>
      </w:pPr>
    </w:p>
    <w:p w:rsidR="00320381" w:rsidRPr="00734ABE" w:rsidRDefault="00320381" w:rsidP="0091165F">
      <w:pPr>
        <w:ind w:firstLine="0"/>
        <w:rPr>
          <w:rFonts w:asciiTheme="minorHAnsi" w:hAnsiTheme="minorHAnsi"/>
          <w:szCs w:val="24"/>
        </w:rPr>
      </w:pPr>
      <w:r w:rsidRPr="00734ABE">
        <w:rPr>
          <w:rFonts w:asciiTheme="minorHAnsi" w:hAnsiTheme="minorHAnsi"/>
          <w:szCs w:val="24"/>
        </w:rPr>
        <w:t>Currently, the assessment is not too poorly designed to support a larger program. It is too long, unconscious (too often students judge what they already know rather than advance on what they have learned), and it complements rather than is central to the learning process.</w:t>
      </w:r>
    </w:p>
    <w:p w:rsidR="004D44E8" w:rsidRPr="00734ABE" w:rsidRDefault="00320381" w:rsidP="00607CC2">
      <w:pPr>
        <w:ind w:firstLine="0"/>
        <w:rPr>
          <w:rFonts w:asciiTheme="minorHAnsi" w:hAnsiTheme="minorHAnsi"/>
          <w:szCs w:val="24"/>
        </w:rPr>
      </w:pPr>
      <w:r w:rsidRPr="00734ABE">
        <w:rPr>
          <w:rFonts w:asciiTheme="minorHAnsi" w:hAnsiTheme="minorHAnsi"/>
          <w:szCs w:val="24"/>
        </w:rPr>
        <w:t>According to current regulations, teachers and students are considered rude. (William estimates accuracy is 50 %.) Interesting testing schemes were largely accompanied by the transition from levels to knowledge and mastery of skills. Workout is still a relatively ineffective supplement. It could be implementation or timing related. It's true that the move to triple labelling did</w:t>
      </w:r>
      <w:r w:rsidR="00004048" w:rsidRPr="00734ABE">
        <w:rPr>
          <w:rFonts w:asciiTheme="minorHAnsi" w:hAnsiTheme="minorHAnsi"/>
          <w:szCs w:val="24"/>
        </w:rPr>
        <w:t xml:space="preserve"> no</w:t>
      </w:r>
      <w:r w:rsidR="00753374" w:rsidRPr="00734ABE">
        <w:rPr>
          <w:rFonts w:asciiTheme="minorHAnsi" w:hAnsiTheme="minorHAnsi"/>
          <w:szCs w:val="24"/>
        </w:rPr>
        <w:t>t</w:t>
      </w:r>
      <w:r w:rsidRPr="00734ABE">
        <w:rPr>
          <w:rFonts w:asciiTheme="minorHAnsi" w:hAnsiTheme="minorHAnsi"/>
          <w:szCs w:val="24"/>
        </w:rPr>
        <w:t xml:space="preserve"> help with either workload or progress. Professional and comparative judgment takes time, practice and moderation, which significantly increases the workload, but does not necessarily lead to results</w:t>
      </w:r>
      <w:r w:rsidR="00E50E02" w:rsidRPr="00734ABE">
        <w:rPr>
          <w:rFonts w:asciiTheme="minorHAnsi" w:hAnsiTheme="minorHAnsi"/>
          <w:szCs w:val="24"/>
        </w:rPr>
        <w:t xml:space="preserve"> </w:t>
      </w:r>
      <w:r w:rsidR="00E50E02" w:rsidRPr="00734ABE">
        <w:rPr>
          <w:rFonts w:asciiTheme="minorHAnsi" w:hAnsiTheme="minorHAnsi"/>
          <w:szCs w:val="24"/>
        </w:rPr>
        <w:fldChar w:fldCharType="begin" w:fldLock="1"/>
      </w:r>
      <w:r w:rsidR="00E50E02" w:rsidRPr="00734ABE">
        <w:rPr>
          <w:rFonts w:asciiTheme="minorHAnsi" w:hAnsiTheme="minorHAnsi"/>
          <w:szCs w:val="24"/>
        </w:rPr>
        <w:instrText>ADDIN CSL_CITATION {"citationItems":[{"id":"ITEM-1","itemData":{"DOI":"10.1080/09585176.2012.678500","ISSN":"09585176","abstract":"Within the UK, physical education finds itself, as a curriculum subject, in a contested space with felt pressures from competing discourses and policy areas. This paper contests that over time within this nexus, physical education has become disconnected in four specific ways: from the wider movement culture, from other curriculum subjects, within the curriculum between different age phases and between training and teacher needs. The paper discusses each of these disconnections and, importantly, offers suggestions about how reconnections might be found. © 2012 Copyright Taylor and Francis Group, LLC.","author":[{"dropping-particle":"","family":"Griggs","given":"Gerald","non-dropping-particle":"","parse-names":false,"suffix":""},{"dropping-particle":"","family":"Ward","given":"Gavin","non-dropping-particle":"","parse-names":false,"suffix":""}],"container-title":"Curriculum Journal","id":"ITEM-1","issued":{"date-parts":[["2012"]]},"title":"Physical Education in the UK: Disconnections and reconnections","type":"article-journal"},"uris":["http://www.mendeley.com/documents/?uuid=e3e5a489-2fad-4e1c-a13f-93b2cafa65d7","http://www.mendeley.com/documents/?uuid=81d7fb4e-a128-4019-a711-df182f9917a5"]}],"mendeley":{"formattedCitation":"(Griggs and Ward, 2012)","plainTextFormattedCitation":"(Griggs and Ward, 2012)","previouslyFormattedCitation":"(Griggs and Ward, 2012)"},"properties":{"noteIndex":0},"schema":"https://github.com/citation-style-language/schema/raw/master/csl-citation.json"}</w:instrText>
      </w:r>
      <w:r w:rsidR="00E50E02" w:rsidRPr="00734ABE">
        <w:rPr>
          <w:rFonts w:asciiTheme="minorHAnsi" w:hAnsiTheme="minorHAnsi"/>
          <w:szCs w:val="24"/>
        </w:rPr>
        <w:fldChar w:fldCharType="separate"/>
      </w:r>
      <w:r w:rsidR="00E50E02" w:rsidRPr="00734ABE">
        <w:rPr>
          <w:rFonts w:asciiTheme="minorHAnsi" w:hAnsiTheme="minorHAnsi"/>
          <w:noProof/>
          <w:szCs w:val="24"/>
        </w:rPr>
        <w:t xml:space="preserve">Griggs and Ward, </w:t>
      </w:r>
      <w:r w:rsidR="00753374" w:rsidRPr="00734ABE">
        <w:rPr>
          <w:rFonts w:asciiTheme="minorHAnsi" w:hAnsiTheme="minorHAnsi"/>
          <w:noProof/>
          <w:szCs w:val="24"/>
        </w:rPr>
        <w:t>(</w:t>
      </w:r>
      <w:r w:rsidR="00E50E02" w:rsidRPr="00734ABE">
        <w:rPr>
          <w:rFonts w:asciiTheme="minorHAnsi" w:hAnsiTheme="minorHAnsi"/>
          <w:noProof/>
          <w:szCs w:val="24"/>
        </w:rPr>
        <w:t>2012)</w:t>
      </w:r>
      <w:r w:rsidR="00E50E02" w:rsidRPr="00734ABE">
        <w:rPr>
          <w:rFonts w:asciiTheme="minorHAnsi" w:hAnsiTheme="minorHAnsi"/>
          <w:szCs w:val="24"/>
        </w:rPr>
        <w:fldChar w:fldCharType="end"/>
      </w:r>
      <w:r w:rsidRPr="00734ABE">
        <w:rPr>
          <w:rFonts w:asciiTheme="minorHAnsi" w:hAnsiTheme="minorHAnsi"/>
          <w:szCs w:val="24"/>
        </w:rPr>
        <w:t>.</w:t>
      </w:r>
      <w:r w:rsidR="00753374" w:rsidRPr="00734ABE">
        <w:rPr>
          <w:rFonts w:asciiTheme="minorHAnsi" w:hAnsiTheme="minorHAnsi"/>
          <w:szCs w:val="24"/>
        </w:rPr>
        <w:t xml:space="preserve"> </w:t>
      </w:r>
      <w:r w:rsidRPr="00734ABE">
        <w:rPr>
          <w:rFonts w:asciiTheme="minorHAnsi" w:hAnsiTheme="minorHAnsi"/>
          <w:szCs w:val="24"/>
        </w:rPr>
        <w:t>An assessment approach is needed and is an integral part of program design. One who puts an end to the false contradiction between formative and summative, one who accepts rubric and learning progress? A system that enhances students' ability to assess. One that exceeds expectations and clearly defines the next steps.</w:t>
      </w:r>
      <w:r w:rsidR="00607CC2" w:rsidRPr="00734ABE">
        <w:rPr>
          <w:rFonts w:asciiTheme="minorHAnsi" w:hAnsiTheme="minorHAnsi"/>
          <w:szCs w:val="24"/>
        </w:rPr>
        <w:t xml:space="preserve"> </w:t>
      </w:r>
      <w:r w:rsidRPr="00734ABE">
        <w:rPr>
          <w:rFonts w:asciiTheme="minorHAnsi" w:hAnsiTheme="minorHAnsi"/>
          <w:szCs w:val="24"/>
        </w:rPr>
        <w:t xml:space="preserve">There are international models that can be </w:t>
      </w:r>
      <w:r w:rsidR="00607CC2" w:rsidRPr="00734ABE">
        <w:rPr>
          <w:rFonts w:asciiTheme="minorHAnsi" w:hAnsiTheme="minorHAnsi"/>
          <w:szCs w:val="24"/>
        </w:rPr>
        <w:t>customised</w:t>
      </w:r>
      <w:r w:rsidRPr="00734ABE">
        <w:rPr>
          <w:rFonts w:asciiTheme="minorHAnsi" w:hAnsiTheme="minorHAnsi"/>
          <w:szCs w:val="24"/>
        </w:rPr>
        <w:t>. With the political threat to THS, scheduling uncertainty is a shaky relationship</w:t>
      </w:r>
      <w:r w:rsidR="004D44E8" w:rsidRPr="00734ABE">
        <w:rPr>
          <w:rFonts w:asciiTheme="minorHAnsi" w:hAnsiTheme="minorHAnsi"/>
          <w:szCs w:val="24"/>
        </w:rPr>
        <w:t>.</w:t>
      </w:r>
    </w:p>
    <w:p w:rsidR="003E6719" w:rsidRPr="00734ABE" w:rsidRDefault="003E6719" w:rsidP="004D44E8">
      <w:pPr>
        <w:ind w:firstLine="0"/>
        <w:rPr>
          <w:rFonts w:asciiTheme="minorHAnsi" w:hAnsiTheme="minorHAnsi"/>
          <w:szCs w:val="24"/>
        </w:rPr>
      </w:pPr>
    </w:p>
    <w:p w:rsidR="00432777" w:rsidRPr="00734ABE" w:rsidRDefault="00320381" w:rsidP="0037735E">
      <w:pPr>
        <w:ind w:firstLine="0"/>
        <w:rPr>
          <w:rFonts w:asciiTheme="minorHAnsi" w:hAnsiTheme="minorHAnsi"/>
          <w:szCs w:val="24"/>
        </w:rPr>
      </w:pPr>
      <w:r w:rsidRPr="00734ABE">
        <w:rPr>
          <w:rFonts w:asciiTheme="minorHAnsi" w:hAnsiTheme="minorHAnsi"/>
          <w:szCs w:val="24"/>
        </w:rPr>
        <w:t xml:space="preserve">The new </w:t>
      </w:r>
      <w:r w:rsidR="00607CC2" w:rsidRPr="00734ABE">
        <w:rPr>
          <w:rFonts w:asciiTheme="minorHAnsi" w:hAnsiTheme="minorHAnsi"/>
          <w:szCs w:val="24"/>
        </w:rPr>
        <w:t>child</w:t>
      </w:r>
      <w:r w:rsidRPr="00734ABE">
        <w:rPr>
          <w:rFonts w:asciiTheme="minorHAnsi" w:hAnsiTheme="minorHAnsi"/>
          <w:szCs w:val="24"/>
        </w:rPr>
        <w:t xml:space="preserve"> has a real impact on the learning block design. Impact cycles, magnitude of impact and emphasis on assessment are still in their infancy. All evidence suggests that the greatest impact occurs when it is based on the collective effectiveness of teachers.</w:t>
      </w:r>
      <w:r w:rsidR="00607CC2" w:rsidRPr="00734ABE">
        <w:rPr>
          <w:rFonts w:asciiTheme="minorHAnsi" w:hAnsiTheme="minorHAnsi"/>
          <w:szCs w:val="24"/>
        </w:rPr>
        <w:t xml:space="preserve"> </w:t>
      </w:r>
      <w:r w:rsidRPr="00734ABE">
        <w:rPr>
          <w:rFonts w:asciiTheme="minorHAnsi" w:hAnsiTheme="minorHAnsi"/>
          <w:szCs w:val="24"/>
        </w:rPr>
        <w:t>To date, we have reached areas of highly probable strategies based on the work of Hattie, Marzano, EEF, and other advocates of educational research. While this is just the beginning, many people misunderstand the key message of influence. This leads to a lot of confusion about correct teaching, reinforced by formal teaching behaviour, observation of lessons, and activities such as learning to walk and managing academic performance. The judgment can easily become rampant.</w:t>
      </w:r>
      <w:r w:rsidR="00D87A4B" w:rsidRPr="00734ABE">
        <w:rPr>
          <w:rFonts w:asciiTheme="minorHAnsi" w:hAnsiTheme="minorHAnsi"/>
          <w:szCs w:val="24"/>
        </w:rPr>
        <w:t xml:space="preserve"> </w:t>
      </w:r>
      <w:r w:rsidRPr="00734ABE">
        <w:rPr>
          <w:rFonts w:asciiTheme="minorHAnsi" w:hAnsiTheme="minorHAnsi"/>
          <w:szCs w:val="24"/>
        </w:rPr>
        <w:t>While this may eliminate some of the worst practices, most of them are a shift in emphasis from development to impact on the material productivity of teachers.</w:t>
      </w:r>
      <w:r w:rsidR="00D87A4B" w:rsidRPr="00734ABE">
        <w:rPr>
          <w:rFonts w:asciiTheme="minorHAnsi" w:hAnsiTheme="minorHAnsi"/>
          <w:szCs w:val="24"/>
        </w:rPr>
        <w:t xml:space="preserve"> </w:t>
      </w:r>
      <w:r w:rsidRPr="00734ABE">
        <w:rPr>
          <w:rFonts w:asciiTheme="minorHAnsi" w:hAnsiTheme="minorHAnsi"/>
          <w:szCs w:val="24"/>
        </w:rPr>
        <w:t>For impact to work as a process, it must primarily focus on learning and engaging all parties together</w:t>
      </w:r>
      <w:r w:rsidR="00E50E02" w:rsidRPr="00734ABE">
        <w:rPr>
          <w:rFonts w:asciiTheme="minorHAnsi" w:hAnsiTheme="minorHAnsi"/>
          <w:szCs w:val="24"/>
        </w:rPr>
        <w:t xml:space="preserve"> </w:t>
      </w:r>
      <w:r w:rsidR="00E50E02" w:rsidRPr="00734ABE">
        <w:rPr>
          <w:rFonts w:asciiTheme="minorHAnsi" w:hAnsiTheme="minorHAnsi"/>
          <w:szCs w:val="24"/>
        </w:rPr>
        <w:fldChar w:fldCharType="begin" w:fldLock="1"/>
      </w:r>
      <w:r w:rsidR="00E50E02" w:rsidRPr="00734ABE">
        <w:rPr>
          <w:rFonts w:asciiTheme="minorHAnsi" w:hAnsiTheme="minorHAnsi"/>
          <w:szCs w:val="24"/>
        </w:rPr>
        <w:instrText>ADDIN CSL_CITATION {"citationItems":[{"id":"ITEM-1","itemData":{"DOI":"10.3109/0142159X.2012.668245","ISSN":"0142159X","PMID":"22449268","abstract":"Background: The millennial learner is reliant on technology to gain knowledge. Social media in the form of Twitter and Facebook provide a unique way to reach these learners. Aims: To demonstrate a supplement to a curriculum using \"push technology\" via Twitter and Facebook to deliver educational content to mobile devices. Methods: A curriculum consisting of high-yield ultrasound concepts was developed and posted to Twitter @EDUltrasound daily. Followers received tweets \"pushed\" directly to their mobile devices. Following the year-long program, followers were surveyed regarding the program's effectiveness. To determine the ways in which tweets were reaching users, followers were categorized demographically. Results: Daily \"tweets\" were posted each morning beginning on July 1, 2010. By the end of the year, there were 87 followers on Twitter and 78 on Facebook. The majority of followers (55.6%) had not previously used Twitter. The majority of followers (88.9%) found Twitter user-friendly, while most (81.5%) found the information useful. Conclusions: Due to ease of use and widespread applicability, Twitter and Facebook are excellent applications of \"push technology\" as a means to deliver educational content. This pilot project demonstrates the potential of social media to both supplement and enhance traditional educational methods. © 2012 Informa UK Ltd.","author":[{"dropping-particle":"","family":"Bahner","given":"David P.","non-dropping-particle":"","parse-names":false,"suffix":""},{"dropping-particle":"","family":"Adkins","given":"Eric","non-dropping-particle":"","parse-names":false,"suffix":""},{"dropping-particle":"","family":"Patel","given":"Nilesh","non-dropping-particle":"","parse-names":false,"suffix":""},{"dropping-particle":"","family":"Donley","given":"Chad","non-dropping-particle":"","parse-names":false,"suffix":""},{"dropping-particle":"","family":"Nagel","given":"Rollin","non-dropping-particle":"","parse-names":false,"suffix":""},{"dropping-particle":"","family":"Kman","given":"Nicholas E.","non-dropping-particle":"","parse-names":false,"suffix":""}],"container-title":"Medical Teacher","id":"ITEM-1","issued":{"date-parts":[["2012"]]},"title":"How we use social media to supplement a novel curriculum in medical education","type":"article-journal"},"uris":["http://www.mendeley.com/documents/?uuid=b6310dc6-c337-4daf-a5b5-6b4ee0a6f0bb","http://www.mendeley.com/documents/?uuid=b1a20b7f-047c-4503-b3a4-ac5bb329aff9"]}],"mendeley":{"formattedCitation":"(Bahner &lt;i&gt;et al.&lt;/i&gt;, 2012)","plainTextFormattedCitation":"(Bahner et al., 2012)","previouslyFormattedCitation":"(Bahner &lt;i&gt;et al.&lt;/i&gt;, 2012)"},"properties":{"noteIndex":0},"schema":"https://github.com/citation-style-language/schema/raw/master/csl-citation.json"}</w:instrText>
      </w:r>
      <w:r w:rsidR="00E50E02" w:rsidRPr="00734ABE">
        <w:rPr>
          <w:rFonts w:asciiTheme="minorHAnsi" w:hAnsiTheme="minorHAnsi"/>
          <w:szCs w:val="24"/>
        </w:rPr>
        <w:fldChar w:fldCharType="separate"/>
      </w:r>
      <w:r w:rsidR="00E50E02" w:rsidRPr="00734ABE">
        <w:rPr>
          <w:rFonts w:asciiTheme="minorHAnsi" w:hAnsiTheme="minorHAnsi"/>
          <w:noProof/>
          <w:szCs w:val="24"/>
        </w:rPr>
        <w:t>Bahner et al</w:t>
      </w:r>
      <w:r w:rsidR="00D87A4B" w:rsidRPr="00734ABE">
        <w:rPr>
          <w:rFonts w:asciiTheme="minorHAnsi" w:hAnsiTheme="minorHAnsi"/>
          <w:noProof/>
          <w:szCs w:val="24"/>
        </w:rPr>
        <w:t>,</w:t>
      </w:r>
      <w:r w:rsidR="0037735E" w:rsidRPr="00734ABE">
        <w:rPr>
          <w:rFonts w:asciiTheme="minorHAnsi" w:hAnsiTheme="minorHAnsi"/>
          <w:noProof/>
          <w:szCs w:val="24"/>
        </w:rPr>
        <w:t xml:space="preserve"> (</w:t>
      </w:r>
      <w:r w:rsidR="00E50E02" w:rsidRPr="00734ABE">
        <w:rPr>
          <w:rFonts w:asciiTheme="minorHAnsi" w:hAnsiTheme="minorHAnsi"/>
          <w:noProof/>
          <w:szCs w:val="24"/>
        </w:rPr>
        <w:t>2012)</w:t>
      </w:r>
      <w:r w:rsidR="00E50E02" w:rsidRPr="00734ABE">
        <w:rPr>
          <w:rFonts w:asciiTheme="minorHAnsi" w:hAnsiTheme="minorHAnsi"/>
          <w:szCs w:val="24"/>
        </w:rPr>
        <w:fldChar w:fldCharType="end"/>
      </w:r>
      <w:r w:rsidR="0037735E" w:rsidRPr="00734ABE">
        <w:rPr>
          <w:rFonts w:asciiTheme="minorHAnsi" w:hAnsiTheme="minorHAnsi"/>
          <w:szCs w:val="24"/>
        </w:rPr>
        <w:t xml:space="preserve">.  </w:t>
      </w:r>
      <w:r w:rsidRPr="00734ABE">
        <w:rPr>
          <w:rFonts w:asciiTheme="minorHAnsi" w:hAnsiTheme="minorHAnsi"/>
          <w:szCs w:val="24"/>
        </w:rPr>
        <w:t>There are no easy answers. For all the political uncertainty and labour pressure, schools should be making changes over a longer period of time</w:t>
      </w:r>
      <w:r w:rsidR="004D44E8" w:rsidRPr="00734ABE">
        <w:rPr>
          <w:rFonts w:asciiTheme="minorHAnsi" w:hAnsiTheme="minorHAnsi"/>
          <w:szCs w:val="24"/>
        </w:rPr>
        <w:t>.</w:t>
      </w:r>
    </w:p>
    <w:p w:rsidR="0037735E" w:rsidRPr="00734ABE" w:rsidRDefault="0037735E" w:rsidP="0037735E">
      <w:pPr>
        <w:ind w:firstLine="0"/>
        <w:rPr>
          <w:rFonts w:asciiTheme="minorHAnsi" w:hAnsiTheme="minorHAnsi"/>
          <w:szCs w:val="24"/>
        </w:rPr>
      </w:pPr>
    </w:p>
    <w:p w:rsidR="0037735E" w:rsidRPr="00734ABE" w:rsidRDefault="0037735E" w:rsidP="0037735E">
      <w:pPr>
        <w:ind w:firstLine="0"/>
        <w:rPr>
          <w:rFonts w:asciiTheme="minorHAnsi" w:hAnsiTheme="minorHAnsi"/>
          <w:szCs w:val="24"/>
        </w:rPr>
      </w:pPr>
      <w:r w:rsidRPr="00734ABE">
        <w:rPr>
          <w:rFonts w:asciiTheme="minorHAnsi" w:hAnsiTheme="minorHAnsi"/>
          <w:szCs w:val="24"/>
        </w:rPr>
        <w:t>To conclude, it is clear to see that there are different factors to be considered w</w:t>
      </w:r>
      <w:r w:rsidR="0006341A" w:rsidRPr="00734ABE">
        <w:rPr>
          <w:rFonts w:asciiTheme="minorHAnsi" w:hAnsiTheme="minorHAnsi"/>
          <w:szCs w:val="24"/>
        </w:rPr>
        <w:t xml:space="preserve">ith the curriculum in wales, whilst looking at different areas, it is clear to see ICT is the main factor throughout.  </w:t>
      </w:r>
      <w:r w:rsidR="00290454" w:rsidRPr="00734ABE">
        <w:rPr>
          <w:rFonts w:asciiTheme="minorHAnsi" w:hAnsiTheme="minorHAnsi"/>
          <w:szCs w:val="24"/>
        </w:rPr>
        <w:t xml:space="preserve">Also whilst looking at the different techniques used, it is clear to see that </w:t>
      </w:r>
      <w:r w:rsidR="00C67A01" w:rsidRPr="00734ABE">
        <w:rPr>
          <w:rFonts w:asciiTheme="minorHAnsi" w:hAnsiTheme="minorHAnsi"/>
          <w:szCs w:val="24"/>
        </w:rPr>
        <w:t>the cur</w:t>
      </w:r>
      <w:r w:rsidR="00E05621" w:rsidRPr="00734ABE">
        <w:rPr>
          <w:rFonts w:asciiTheme="minorHAnsi" w:hAnsiTheme="minorHAnsi"/>
          <w:szCs w:val="24"/>
        </w:rPr>
        <w:t xml:space="preserve">riculum covers different areas.  </w:t>
      </w:r>
      <w:r w:rsidR="00E46FC6">
        <w:rPr>
          <w:rFonts w:asciiTheme="minorHAnsi" w:hAnsiTheme="minorHAnsi"/>
          <w:szCs w:val="24"/>
        </w:rPr>
        <w:t xml:space="preserve">Whilst looking at the different factors it is clear to see there are many straggles in which the curriculum promotes inclusivity. </w:t>
      </w:r>
    </w:p>
    <w:p w:rsidR="00432777" w:rsidRPr="00734ABE" w:rsidRDefault="00432777">
      <w:pPr>
        <w:spacing w:after="160" w:line="259" w:lineRule="auto"/>
        <w:ind w:firstLine="0"/>
        <w:rPr>
          <w:rFonts w:asciiTheme="minorHAnsi" w:hAnsiTheme="minorHAnsi"/>
          <w:szCs w:val="24"/>
        </w:rPr>
      </w:pPr>
      <w:r w:rsidRPr="00734ABE">
        <w:rPr>
          <w:rFonts w:asciiTheme="minorHAnsi" w:hAnsiTheme="minorHAnsi"/>
          <w:szCs w:val="24"/>
        </w:rPr>
        <w:br w:type="page"/>
      </w:r>
    </w:p>
    <w:p w:rsidR="007C214E" w:rsidRPr="006F7C86" w:rsidRDefault="007C214E" w:rsidP="006B57CF">
      <w:pPr>
        <w:widowControl w:val="0"/>
        <w:autoSpaceDE w:val="0"/>
        <w:autoSpaceDN w:val="0"/>
        <w:adjustRightInd w:val="0"/>
        <w:ind w:left="709" w:hanging="709"/>
        <w:rPr>
          <w:rFonts w:asciiTheme="minorHAnsi" w:hAnsiTheme="minorHAnsi"/>
          <w:u w:val="single"/>
        </w:rPr>
      </w:pPr>
      <w:r w:rsidRPr="006F7C86">
        <w:rPr>
          <w:rFonts w:asciiTheme="minorHAnsi" w:hAnsiTheme="minorHAnsi"/>
          <w:u w:val="single"/>
        </w:rPr>
        <w:lastRenderedPageBreak/>
        <w:t>Reference list</w:t>
      </w:r>
    </w:p>
    <w:p w:rsidR="006F7C86" w:rsidRDefault="006F7C86" w:rsidP="006B57CF">
      <w:pPr>
        <w:widowControl w:val="0"/>
        <w:autoSpaceDE w:val="0"/>
        <w:autoSpaceDN w:val="0"/>
        <w:adjustRightInd w:val="0"/>
        <w:ind w:left="709" w:hanging="709"/>
        <w:rPr>
          <w:rFonts w:asciiTheme="minorHAnsi" w:hAnsiTheme="minorHAnsi"/>
        </w:rPr>
      </w:pPr>
    </w:p>
    <w:p w:rsidR="00E50E02" w:rsidRPr="00387405" w:rsidRDefault="00E50E02" w:rsidP="006B57CF">
      <w:pPr>
        <w:widowControl w:val="0"/>
        <w:autoSpaceDE w:val="0"/>
        <w:autoSpaceDN w:val="0"/>
        <w:adjustRightInd w:val="0"/>
        <w:ind w:firstLine="0"/>
        <w:rPr>
          <w:rFonts w:asciiTheme="minorHAnsi" w:hAnsiTheme="minorHAnsi" w:cs="Times New Roman"/>
          <w:noProof/>
          <w:szCs w:val="24"/>
        </w:rPr>
      </w:pPr>
      <w:r w:rsidRPr="00387405">
        <w:rPr>
          <w:rFonts w:asciiTheme="minorHAnsi" w:hAnsiTheme="minorHAnsi"/>
        </w:rPr>
        <w:fldChar w:fldCharType="begin" w:fldLock="1"/>
      </w:r>
      <w:r w:rsidRPr="00387405">
        <w:rPr>
          <w:rFonts w:asciiTheme="minorHAnsi" w:hAnsiTheme="minorHAnsi"/>
        </w:rPr>
        <w:instrText xml:space="preserve">ADDIN Mendeley Bibliography CSL_BIBLIOGRAPHY </w:instrText>
      </w:r>
      <w:r w:rsidRPr="00387405">
        <w:rPr>
          <w:rFonts w:asciiTheme="minorHAnsi" w:hAnsiTheme="minorHAnsi"/>
        </w:rPr>
        <w:fldChar w:fldCharType="separate"/>
      </w:r>
      <w:r w:rsidRPr="00387405">
        <w:rPr>
          <w:rFonts w:asciiTheme="minorHAnsi" w:hAnsiTheme="minorHAnsi" w:cs="Times New Roman"/>
          <w:noProof/>
          <w:szCs w:val="24"/>
        </w:rPr>
        <w:t>Bahner, D. P. et al. (2012) ‘How we use social media to supplement a novel curriculum in</w:t>
      </w:r>
      <w:r w:rsidR="00A47DF7">
        <w:rPr>
          <w:rFonts w:asciiTheme="minorHAnsi" w:hAnsiTheme="minorHAnsi" w:cs="Times New Roman"/>
          <w:noProof/>
          <w:szCs w:val="24"/>
        </w:rPr>
        <w:t xml:space="preserve"> </w:t>
      </w:r>
      <w:r w:rsidRPr="00387405">
        <w:rPr>
          <w:rFonts w:asciiTheme="minorHAnsi" w:hAnsiTheme="minorHAnsi" w:cs="Times New Roman"/>
          <w:noProof/>
          <w:szCs w:val="24"/>
        </w:rPr>
        <w:t>medical education’, Medical Teacher. doi: 10.3109/0142159X.2012.668245.</w:t>
      </w:r>
    </w:p>
    <w:p w:rsidR="00EC0450" w:rsidRPr="00387405" w:rsidRDefault="00EC0450" w:rsidP="006B57CF">
      <w:pPr>
        <w:widowControl w:val="0"/>
        <w:autoSpaceDE w:val="0"/>
        <w:autoSpaceDN w:val="0"/>
        <w:adjustRightInd w:val="0"/>
        <w:ind w:left="1418" w:firstLine="0"/>
        <w:rPr>
          <w:rFonts w:asciiTheme="minorHAnsi" w:hAnsiTheme="minorHAnsi" w:cs="Times New Roman"/>
          <w:noProof/>
          <w:szCs w:val="24"/>
        </w:rPr>
      </w:pPr>
    </w:p>
    <w:p w:rsidR="00E50E02" w:rsidRPr="00387405" w:rsidRDefault="00E50E02" w:rsidP="00A47DF7">
      <w:pPr>
        <w:widowControl w:val="0"/>
        <w:autoSpaceDE w:val="0"/>
        <w:autoSpaceDN w:val="0"/>
        <w:adjustRightInd w:val="0"/>
        <w:ind w:firstLine="0"/>
        <w:rPr>
          <w:rFonts w:asciiTheme="minorHAnsi" w:hAnsiTheme="minorHAnsi" w:cs="Times New Roman"/>
          <w:noProof/>
          <w:szCs w:val="24"/>
        </w:rPr>
      </w:pPr>
      <w:r w:rsidRPr="00387405">
        <w:rPr>
          <w:rFonts w:asciiTheme="minorHAnsi" w:hAnsiTheme="minorHAnsi" w:cs="Times New Roman"/>
          <w:noProof/>
          <w:szCs w:val="24"/>
        </w:rPr>
        <w:t>Craddock, D. et al. (2013) ‘A top-down approach impedes the use of theory? Interprofessional</w:t>
      </w:r>
      <w:r w:rsidR="001D2E7F">
        <w:rPr>
          <w:rFonts w:asciiTheme="minorHAnsi" w:hAnsiTheme="minorHAnsi" w:cs="Times New Roman"/>
          <w:noProof/>
          <w:szCs w:val="24"/>
        </w:rPr>
        <w:t xml:space="preserve"> </w:t>
      </w:r>
      <w:r w:rsidRPr="00387405">
        <w:rPr>
          <w:rFonts w:asciiTheme="minorHAnsi" w:hAnsiTheme="minorHAnsi" w:cs="Times New Roman"/>
          <w:noProof/>
          <w:szCs w:val="24"/>
        </w:rPr>
        <w:t>educational leaders’ approaches to curriculum development and the use of learning theory’, Journal of Interprofessional Care. doi: 10.3109/13561820.2012.736888.</w:t>
      </w:r>
    </w:p>
    <w:p w:rsidR="00EC0450" w:rsidRPr="00387405" w:rsidRDefault="00EC0450" w:rsidP="006B57CF">
      <w:pPr>
        <w:widowControl w:val="0"/>
        <w:autoSpaceDE w:val="0"/>
        <w:autoSpaceDN w:val="0"/>
        <w:adjustRightInd w:val="0"/>
        <w:ind w:left="1418" w:firstLine="0"/>
        <w:rPr>
          <w:rFonts w:asciiTheme="minorHAnsi" w:hAnsiTheme="minorHAnsi" w:cs="Times New Roman"/>
          <w:noProof/>
          <w:szCs w:val="24"/>
        </w:rPr>
      </w:pPr>
    </w:p>
    <w:p w:rsidR="00E50E02" w:rsidRPr="00387405" w:rsidRDefault="00E50E02" w:rsidP="00A47DF7">
      <w:pPr>
        <w:widowControl w:val="0"/>
        <w:autoSpaceDE w:val="0"/>
        <w:autoSpaceDN w:val="0"/>
        <w:adjustRightInd w:val="0"/>
        <w:ind w:firstLine="0"/>
        <w:rPr>
          <w:rFonts w:asciiTheme="minorHAnsi" w:hAnsiTheme="minorHAnsi" w:cs="Times New Roman"/>
          <w:noProof/>
          <w:szCs w:val="24"/>
        </w:rPr>
      </w:pPr>
      <w:r w:rsidRPr="00387405">
        <w:rPr>
          <w:rFonts w:asciiTheme="minorHAnsi" w:hAnsiTheme="minorHAnsi" w:cs="Times New Roman"/>
          <w:noProof/>
          <w:szCs w:val="24"/>
        </w:rPr>
        <w:t>Day, T. and Tosey, P. (2011) ‘Beyond SMART? A new framework for goal setting’, Curriculum Journal. doi: 10.1080/09585176.2011.627213.</w:t>
      </w:r>
    </w:p>
    <w:p w:rsidR="00EC0450" w:rsidRPr="00387405" w:rsidRDefault="00EC0450" w:rsidP="006B57CF">
      <w:pPr>
        <w:widowControl w:val="0"/>
        <w:autoSpaceDE w:val="0"/>
        <w:autoSpaceDN w:val="0"/>
        <w:adjustRightInd w:val="0"/>
        <w:ind w:left="1418" w:firstLine="0"/>
        <w:rPr>
          <w:rFonts w:asciiTheme="minorHAnsi" w:hAnsiTheme="minorHAnsi" w:cs="Times New Roman"/>
          <w:noProof/>
          <w:szCs w:val="24"/>
        </w:rPr>
      </w:pPr>
    </w:p>
    <w:p w:rsidR="00E50E02" w:rsidRPr="00387405" w:rsidRDefault="00E50E02" w:rsidP="00A47DF7">
      <w:pPr>
        <w:widowControl w:val="0"/>
        <w:autoSpaceDE w:val="0"/>
        <w:autoSpaceDN w:val="0"/>
        <w:adjustRightInd w:val="0"/>
        <w:ind w:firstLine="0"/>
        <w:rPr>
          <w:rFonts w:asciiTheme="minorHAnsi" w:hAnsiTheme="minorHAnsi" w:cs="Times New Roman"/>
          <w:noProof/>
          <w:szCs w:val="24"/>
        </w:rPr>
      </w:pPr>
      <w:r w:rsidRPr="00387405">
        <w:rPr>
          <w:rFonts w:asciiTheme="minorHAnsi" w:hAnsiTheme="minorHAnsi" w:cs="Times New Roman"/>
          <w:noProof/>
          <w:szCs w:val="24"/>
        </w:rPr>
        <w:t>Griggs, G. and Ward, G. (2012) ‘Physical Education in the UK: Disconnections and reconnections’, Curriculum Journal. doi: 10.1080/09585176.2012.678500.</w:t>
      </w:r>
    </w:p>
    <w:p w:rsidR="00EC0450" w:rsidRPr="00387405" w:rsidRDefault="00EC0450" w:rsidP="006B57CF">
      <w:pPr>
        <w:widowControl w:val="0"/>
        <w:autoSpaceDE w:val="0"/>
        <w:autoSpaceDN w:val="0"/>
        <w:adjustRightInd w:val="0"/>
        <w:ind w:left="1418" w:firstLine="0"/>
        <w:rPr>
          <w:rFonts w:asciiTheme="minorHAnsi" w:hAnsiTheme="minorHAnsi" w:cs="Times New Roman"/>
          <w:noProof/>
          <w:szCs w:val="24"/>
        </w:rPr>
      </w:pPr>
    </w:p>
    <w:p w:rsidR="00E50E02" w:rsidRPr="00387405" w:rsidRDefault="00E50E02" w:rsidP="00A47DF7">
      <w:pPr>
        <w:widowControl w:val="0"/>
        <w:autoSpaceDE w:val="0"/>
        <w:autoSpaceDN w:val="0"/>
        <w:adjustRightInd w:val="0"/>
        <w:ind w:firstLine="0"/>
        <w:rPr>
          <w:rFonts w:asciiTheme="minorHAnsi" w:hAnsiTheme="minorHAnsi" w:cs="Times New Roman"/>
          <w:noProof/>
          <w:szCs w:val="24"/>
        </w:rPr>
      </w:pPr>
      <w:r w:rsidRPr="00387405">
        <w:rPr>
          <w:rFonts w:asciiTheme="minorHAnsi" w:hAnsiTheme="minorHAnsi" w:cs="Times New Roman"/>
          <w:noProof/>
          <w:szCs w:val="24"/>
        </w:rPr>
        <w:t>Louw, G., Eizenberg, N. and Carmichael, S. W. (2009) ‘The place of anatomy in medical education: AMEE Guide no 41’, Medical Teacher. doi: 10.1080/01421590902825149.</w:t>
      </w:r>
    </w:p>
    <w:p w:rsidR="00963724" w:rsidRPr="00387405" w:rsidRDefault="00963724" w:rsidP="006B57CF">
      <w:pPr>
        <w:widowControl w:val="0"/>
        <w:autoSpaceDE w:val="0"/>
        <w:autoSpaceDN w:val="0"/>
        <w:adjustRightInd w:val="0"/>
        <w:ind w:left="1418" w:firstLine="0"/>
        <w:rPr>
          <w:rFonts w:asciiTheme="minorHAnsi" w:hAnsiTheme="minorHAnsi" w:cs="Times New Roman"/>
          <w:noProof/>
          <w:szCs w:val="24"/>
        </w:rPr>
      </w:pPr>
    </w:p>
    <w:p w:rsidR="00E50E02" w:rsidRPr="00387405" w:rsidRDefault="00E50E02" w:rsidP="00A47DF7">
      <w:pPr>
        <w:widowControl w:val="0"/>
        <w:autoSpaceDE w:val="0"/>
        <w:autoSpaceDN w:val="0"/>
        <w:adjustRightInd w:val="0"/>
        <w:ind w:firstLine="0"/>
        <w:rPr>
          <w:rFonts w:asciiTheme="minorHAnsi" w:hAnsiTheme="minorHAnsi" w:cs="Times New Roman"/>
          <w:noProof/>
          <w:szCs w:val="24"/>
        </w:rPr>
      </w:pPr>
      <w:r w:rsidRPr="00387405">
        <w:rPr>
          <w:rFonts w:asciiTheme="minorHAnsi" w:hAnsiTheme="minorHAnsi" w:cs="Times New Roman"/>
          <w:noProof/>
          <w:szCs w:val="24"/>
        </w:rPr>
        <w:t>Malik, A. S. and Malik, R. H. (2011) ‘Twelve tips for developing an integrated curriculum’, Medical Teacher. doi: 10.3109/0142159X.2010.507711.</w:t>
      </w:r>
    </w:p>
    <w:p w:rsidR="00963724" w:rsidRPr="00387405" w:rsidRDefault="00963724" w:rsidP="006B57CF">
      <w:pPr>
        <w:widowControl w:val="0"/>
        <w:autoSpaceDE w:val="0"/>
        <w:autoSpaceDN w:val="0"/>
        <w:adjustRightInd w:val="0"/>
        <w:ind w:left="1418" w:firstLine="0"/>
        <w:rPr>
          <w:rFonts w:asciiTheme="minorHAnsi" w:hAnsiTheme="minorHAnsi" w:cs="Times New Roman"/>
          <w:noProof/>
          <w:szCs w:val="24"/>
        </w:rPr>
      </w:pPr>
    </w:p>
    <w:p w:rsidR="00E50E02" w:rsidRPr="00387405" w:rsidRDefault="00E50E02" w:rsidP="00A47DF7">
      <w:pPr>
        <w:widowControl w:val="0"/>
        <w:autoSpaceDE w:val="0"/>
        <w:autoSpaceDN w:val="0"/>
        <w:adjustRightInd w:val="0"/>
        <w:ind w:firstLine="0"/>
        <w:rPr>
          <w:rFonts w:asciiTheme="minorHAnsi" w:hAnsiTheme="minorHAnsi" w:cs="Times New Roman"/>
          <w:noProof/>
          <w:szCs w:val="24"/>
        </w:rPr>
      </w:pPr>
      <w:r w:rsidRPr="00387405">
        <w:rPr>
          <w:rFonts w:asciiTheme="minorHAnsi" w:hAnsiTheme="minorHAnsi" w:cs="Times New Roman"/>
          <w:noProof/>
          <w:szCs w:val="24"/>
        </w:rPr>
        <w:t>Mossop, L. et al. (2013) ‘Analysing the hidden curriculum: Use of a cultural web’, Medical Education. doi: 10.1111/medu.12072.</w:t>
      </w:r>
    </w:p>
    <w:p w:rsidR="00963724" w:rsidRPr="00387405" w:rsidRDefault="00963724" w:rsidP="006B57CF">
      <w:pPr>
        <w:widowControl w:val="0"/>
        <w:autoSpaceDE w:val="0"/>
        <w:autoSpaceDN w:val="0"/>
        <w:adjustRightInd w:val="0"/>
        <w:ind w:left="1418" w:firstLine="0"/>
        <w:rPr>
          <w:rFonts w:asciiTheme="minorHAnsi" w:hAnsiTheme="minorHAnsi" w:cs="Times New Roman"/>
          <w:noProof/>
          <w:szCs w:val="24"/>
        </w:rPr>
      </w:pPr>
    </w:p>
    <w:p w:rsidR="00E50E02" w:rsidRPr="00387405" w:rsidRDefault="00E50E02" w:rsidP="00A47DF7">
      <w:pPr>
        <w:widowControl w:val="0"/>
        <w:autoSpaceDE w:val="0"/>
        <w:autoSpaceDN w:val="0"/>
        <w:adjustRightInd w:val="0"/>
        <w:ind w:firstLine="0"/>
        <w:rPr>
          <w:rFonts w:asciiTheme="minorHAnsi" w:hAnsiTheme="minorHAnsi" w:cs="Times New Roman"/>
          <w:noProof/>
          <w:szCs w:val="24"/>
        </w:rPr>
      </w:pPr>
      <w:r w:rsidRPr="00387405">
        <w:rPr>
          <w:rFonts w:asciiTheme="minorHAnsi" w:hAnsiTheme="minorHAnsi" w:cs="Times New Roman"/>
          <w:noProof/>
          <w:szCs w:val="24"/>
        </w:rPr>
        <w:t>Noble, L. M. et al. (2018) ‘Consensus statement on an updated core communication curriculum for UK undergraduate medical education’, Patient Education and Counseling. doi: 10.1016/j.pec.2018.04.013.</w:t>
      </w:r>
    </w:p>
    <w:p w:rsidR="00963724" w:rsidRPr="00387405" w:rsidRDefault="00963724" w:rsidP="006B57CF">
      <w:pPr>
        <w:widowControl w:val="0"/>
        <w:autoSpaceDE w:val="0"/>
        <w:autoSpaceDN w:val="0"/>
        <w:adjustRightInd w:val="0"/>
        <w:ind w:left="1429" w:firstLine="0"/>
        <w:rPr>
          <w:rFonts w:asciiTheme="minorHAnsi" w:hAnsiTheme="minorHAnsi" w:cs="Times New Roman"/>
          <w:noProof/>
          <w:szCs w:val="24"/>
        </w:rPr>
      </w:pPr>
    </w:p>
    <w:p w:rsidR="00E50E02" w:rsidRPr="00387405" w:rsidRDefault="00E50E02" w:rsidP="00A47DF7">
      <w:pPr>
        <w:widowControl w:val="0"/>
        <w:autoSpaceDE w:val="0"/>
        <w:autoSpaceDN w:val="0"/>
        <w:adjustRightInd w:val="0"/>
        <w:ind w:firstLine="0"/>
        <w:rPr>
          <w:rFonts w:asciiTheme="minorHAnsi" w:hAnsiTheme="minorHAnsi" w:cs="Times New Roman"/>
          <w:noProof/>
          <w:szCs w:val="24"/>
        </w:rPr>
      </w:pPr>
      <w:r w:rsidRPr="00387405">
        <w:rPr>
          <w:rFonts w:asciiTheme="minorHAnsi" w:hAnsiTheme="minorHAnsi" w:cs="Times New Roman"/>
          <w:noProof/>
          <w:szCs w:val="24"/>
        </w:rPr>
        <w:t>O’Sullivan, H. et al. (2012a) ‘Integrating professionalism into the curriculum: AMEE Guide No. 61’, Medical Teacher. doi: 10.3109/0142159X.2012.655610.</w:t>
      </w:r>
    </w:p>
    <w:p w:rsidR="00A47DF7" w:rsidRDefault="00A47DF7" w:rsidP="00A47DF7">
      <w:pPr>
        <w:widowControl w:val="0"/>
        <w:autoSpaceDE w:val="0"/>
        <w:autoSpaceDN w:val="0"/>
        <w:adjustRightInd w:val="0"/>
        <w:ind w:firstLine="0"/>
        <w:rPr>
          <w:rFonts w:asciiTheme="minorHAnsi" w:hAnsiTheme="minorHAnsi" w:cs="Times New Roman"/>
          <w:noProof/>
          <w:szCs w:val="24"/>
        </w:rPr>
      </w:pPr>
    </w:p>
    <w:p w:rsidR="00E50E02" w:rsidRPr="00387405" w:rsidRDefault="00E50E02" w:rsidP="00A47DF7">
      <w:pPr>
        <w:widowControl w:val="0"/>
        <w:autoSpaceDE w:val="0"/>
        <w:autoSpaceDN w:val="0"/>
        <w:adjustRightInd w:val="0"/>
        <w:ind w:firstLine="0"/>
        <w:rPr>
          <w:rFonts w:asciiTheme="minorHAnsi" w:hAnsiTheme="minorHAnsi" w:cs="Times New Roman"/>
          <w:noProof/>
          <w:szCs w:val="24"/>
        </w:rPr>
      </w:pPr>
      <w:r w:rsidRPr="00387405">
        <w:rPr>
          <w:rFonts w:asciiTheme="minorHAnsi" w:hAnsiTheme="minorHAnsi" w:cs="Times New Roman"/>
          <w:noProof/>
          <w:szCs w:val="24"/>
        </w:rPr>
        <w:t>O’Sullivan, H. et al. (2012b) ‘Integrating professionalism into the curriculum’, Medical Teacher. doi: 10.3109/0142159X.2011.595600.</w:t>
      </w:r>
    </w:p>
    <w:p w:rsidR="00E160BF" w:rsidRDefault="00E160BF" w:rsidP="00E160BF">
      <w:pPr>
        <w:widowControl w:val="0"/>
        <w:autoSpaceDE w:val="0"/>
        <w:autoSpaceDN w:val="0"/>
        <w:adjustRightInd w:val="0"/>
        <w:ind w:firstLine="0"/>
        <w:rPr>
          <w:rFonts w:asciiTheme="minorHAnsi" w:hAnsiTheme="minorHAnsi" w:cs="Times New Roman"/>
          <w:noProof/>
          <w:szCs w:val="24"/>
        </w:rPr>
      </w:pPr>
    </w:p>
    <w:p w:rsidR="00E50E02" w:rsidRDefault="00E50E02" w:rsidP="00E160BF">
      <w:pPr>
        <w:widowControl w:val="0"/>
        <w:autoSpaceDE w:val="0"/>
        <w:autoSpaceDN w:val="0"/>
        <w:adjustRightInd w:val="0"/>
        <w:ind w:firstLine="0"/>
        <w:rPr>
          <w:rFonts w:asciiTheme="minorHAnsi" w:hAnsiTheme="minorHAnsi" w:cs="Times New Roman"/>
          <w:noProof/>
          <w:szCs w:val="24"/>
        </w:rPr>
      </w:pPr>
      <w:r w:rsidRPr="00387405">
        <w:rPr>
          <w:rFonts w:asciiTheme="minorHAnsi" w:hAnsiTheme="minorHAnsi" w:cs="Times New Roman"/>
          <w:noProof/>
          <w:szCs w:val="24"/>
        </w:rPr>
        <w:t>Taylor, D. C. M. and Hamdy, H. (2013) ‘Adult learning theories: Implications for learning and teaching in medical education: AMEE Guide No. 83’, Medical Teacher. doi: 10.3109/0142159X.2013.828153.</w:t>
      </w:r>
    </w:p>
    <w:p w:rsidR="00E160BF" w:rsidRDefault="00E160BF" w:rsidP="00E160BF">
      <w:pPr>
        <w:widowControl w:val="0"/>
        <w:autoSpaceDE w:val="0"/>
        <w:autoSpaceDN w:val="0"/>
        <w:adjustRightInd w:val="0"/>
        <w:ind w:firstLine="0"/>
        <w:rPr>
          <w:rFonts w:asciiTheme="minorHAnsi" w:hAnsiTheme="minorHAnsi" w:cs="Times New Roman"/>
          <w:noProof/>
          <w:szCs w:val="24"/>
        </w:rPr>
      </w:pPr>
    </w:p>
    <w:p w:rsidR="007F3FBB" w:rsidRPr="00387405" w:rsidRDefault="007F3FBB" w:rsidP="00E160BF">
      <w:pPr>
        <w:widowControl w:val="0"/>
        <w:autoSpaceDE w:val="0"/>
        <w:autoSpaceDN w:val="0"/>
        <w:adjustRightInd w:val="0"/>
        <w:ind w:firstLine="0"/>
        <w:rPr>
          <w:rFonts w:asciiTheme="minorHAnsi" w:hAnsiTheme="minorHAnsi" w:cs="Times New Roman"/>
          <w:noProof/>
          <w:szCs w:val="24"/>
        </w:rPr>
      </w:pPr>
      <w:r w:rsidRPr="00387405">
        <w:rPr>
          <w:rFonts w:asciiTheme="minorHAnsi" w:hAnsiTheme="minorHAnsi" w:cs="Times New Roman"/>
          <w:noProof/>
          <w:szCs w:val="24"/>
        </w:rPr>
        <w:t>Ten Cate, T. J., Kusurkar, R. A. and Williams, G. C. (2011) ‘How self-determination theory can assist our understanding of the teaching and learning processes in medical education. AMEE Guide No. 59’, Medical Teacher. doi: 10.3109/0142159X.2011.595435.</w:t>
      </w:r>
    </w:p>
    <w:p w:rsidR="00E160BF" w:rsidRDefault="00E160BF" w:rsidP="00E160BF">
      <w:pPr>
        <w:widowControl w:val="0"/>
        <w:autoSpaceDE w:val="0"/>
        <w:autoSpaceDN w:val="0"/>
        <w:adjustRightInd w:val="0"/>
        <w:ind w:firstLine="0"/>
        <w:rPr>
          <w:rFonts w:asciiTheme="minorHAnsi" w:hAnsiTheme="minorHAnsi" w:cs="Times New Roman"/>
          <w:noProof/>
          <w:szCs w:val="24"/>
        </w:rPr>
      </w:pPr>
    </w:p>
    <w:p w:rsidR="00E50E02" w:rsidRPr="00387405" w:rsidRDefault="00E50E02" w:rsidP="00E160BF">
      <w:pPr>
        <w:widowControl w:val="0"/>
        <w:autoSpaceDE w:val="0"/>
        <w:autoSpaceDN w:val="0"/>
        <w:adjustRightInd w:val="0"/>
        <w:ind w:firstLine="0"/>
        <w:rPr>
          <w:rFonts w:asciiTheme="minorHAnsi" w:hAnsiTheme="minorHAnsi" w:cs="Times New Roman"/>
          <w:noProof/>
          <w:szCs w:val="24"/>
        </w:rPr>
      </w:pPr>
      <w:r w:rsidRPr="00387405">
        <w:rPr>
          <w:rFonts w:asciiTheme="minorHAnsi" w:hAnsiTheme="minorHAnsi" w:cs="Times New Roman"/>
          <w:noProof/>
          <w:szCs w:val="24"/>
        </w:rPr>
        <w:t>UKFP, U. F. P. O. (2016) ‘The Foundation Programme Curriculum 2016’, The Foundation Programme Curriculum 2016.</w:t>
      </w:r>
    </w:p>
    <w:p w:rsidR="00E160BF" w:rsidRDefault="00E160BF" w:rsidP="00E160BF">
      <w:pPr>
        <w:widowControl w:val="0"/>
        <w:autoSpaceDE w:val="0"/>
        <w:autoSpaceDN w:val="0"/>
        <w:adjustRightInd w:val="0"/>
        <w:ind w:firstLine="0"/>
        <w:rPr>
          <w:rFonts w:asciiTheme="minorHAnsi" w:hAnsiTheme="minorHAnsi" w:cs="Times New Roman"/>
          <w:noProof/>
          <w:szCs w:val="24"/>
        </w:rPr>
      </w:pPr>
    </w:p>
    <w:p w:rsidR="00EC0450" w:rsidRPr="00387405" w:rsidRDefault="008206B5" w:rsidP="00E160BF">
      <w:pPr>
        <w:widowControl w:val="0"/>
        <w:autoSpaceDE w:val="0"/>
        <w:autoSpaceDN w:val="0"/>
        <w:adjustRightInd w:val="0"/>
        <w:ind w:firstLine="0"/>
        <w:rPr>
          <w:rFonts w:asciiTheme="minorHAnsi" w:hAnsiTheme="minorHAnsi" w:cs="Times New Roman"/>
          <w:noProof/>
        </w:rPr>
      </w:pPr>
      <w:r>
        <w:rPr>
          <w:rFonts w:asciiTheme="minorHAnsi" w:hAnsiTheme="minorHAnsi" w:cs="Times New Roman"/>
          <w:noProof/>
          <w:szCs w:val="24"/>
        </w:rPr>
        <w:t xml:space="preserve">Welsh Government (2015) ‘Foundation Phase’. Available at: </w:t>
      </w:r>
      <w:r w:rsidR="00640789" w:rsidRPr="00640789">
        <w:rPr>
          <w:rFonts w:asciiTheme="minorHAnsi" w:hAnsiTheme="minorHAnsi" w:cs="Times New Roman"/>
          <w:noProof/>
          <w:szCs w:val="24"/>
        </w:rPr>
        <w:t>https://gov.wales/sites/default/files/publications/2018-02/foundation-phase-framework-</w:t>
      </w:r>
      <w:r w:rsidR="00640789" w:rsidRPr="00640789">
        <w:rPr>
          <w:rFonts w:asciiTheme="minorHAnsi" w:hAnsiTheme="minorHAnsi" w:cs="Times New Roman"/>
          <w:noProof/>
          <w:szCs w:val="24"/>
        </w:rPr>
        <w:lastRenderedPageBreak/>
        <w:t>revised-2015.pdf</w:t>
      </w:r>
      <w:r w:rsidR="00640789">
        <w:rPr>
          <w:rFonts w:asciiTheme="minorHAnsi" w:hAnsiTheme="minorHAnsi" w:cs="Times New Roman"/>
          <w:noProof/>
          <w:szCs w:val="24"/>
        </w:rPr>
        <w:t xml:space="preserve">. (Accessed: 30th November 2020).  </w:t>
      </w:r>
    </w:p>
    <w:p w:rsidR="00E160BF" w:rsidRDefault="00E50E02" w:rsidP="00E160BF">
      <w:pPr>
        <w:ind w:firstLine="0"/>
        <w:rPr>
          <w:rFonts w:asciiTheme="minorHAnsi" w:hAnsiTheme="minorHAnsi"/>
        </w:rPr>
      </w:pPr>
      <w:r w:rsidRPr="00387405">
        <w:rPr>
          <w:rFonts w:asciiTheme="minorHAnsi" w:hAnsiTheme="minorHAnsi"/>
        </w:rPr>
        <w:fldChar w:fldCharType="end"/>
      </w:r>
    </w:p>
    <w:p w:rsidR="0045240F" w:rsidRPr="008414EE" w:rsidRDefault="00402D06" w:rsidP="00E160BF">
      <w:pPr>
        <w:ind w:firstLine="0"/>
      </w:pPr>
      <w:proofErr w:type="spellStart"/>
      <w:r>
        <w:rPr>
          <w:rFonts w:asciiTheme="minorHAnsi" w:hAnsiTheme="minorHAnsi"/>
        </w:rPr>
        <w:t>W</w:t>
      </w:r>
      <w:r w:rsidR="00D6659F">
        <w:rPr>
          <w:rFonts w:asciiTheme="minorHAnsi" w:hAnsiTheme="minorHAnsi"/>
        </w:rPr>
        <w:t>ahl</w:t>
      </w:r>
      <w:proofErr w:type="spellEnd"/>
      <w:r w:rsidR="00D6659F">
        <w:rPr>
          <w:rFonts w:asciiTheme="minorHAnsi" w:hAnsiTheme="minorHAnsi"/>
        </w:rPr>
        <w:t>, R. (2017) ‘</w:t>
      </w:r>
      <w:r w:rsidR="00E168A8" w:rsidRPr="00E168A8">
        <w:rPr>
          <w:rFonts w:asciiTheme="minorHAnsi" w:hAnsiTheme="minorHAnsi"/>
        </w:rPr>
        <w:t>Exploring effective teaching strategies for foundation phase teachers in mainstream primary schools to effect inclusive education</w:t>
      </w:r>
      <w:r w:rsidR="00E168A8">
        <w:rPr>
          <w:rFonts w:asciiTheme="minorHAnsi" w:hAnsiTheme="minorHAnsi"/>
        </w:rPr>
        <w:t xml:space="preserve">’. (Available at: </w:t>
      </w:r>
      <w:r w:rsidR="00001E7C" w:rsidRPr="00001E7C">
        <w:rPr>
          <w:rFonts w:asciiTheme="minorHAnsi" w:hAnsiTheme="minorHAnsi"/>
        </w:rPr>
        <w:t>https://repository.nwu.ac.za/handle/10394/24868?show=full</w:t>
      </w:r>
      <w:r w:rsidR="00001E7C">
        <w:rPr>
          <w:rFonts w:asciiTheme="minorHAnsi" w:hAnsiTheme="minorHAnsi"/>
        </w:rPr>
        <w:t>. (</w:t>
      </w:r>
      <w:r w:rsidR="004F0CD5">
        <w:rPr>
          <w:rFonts w:asciiTheme="minorHAnsi" w:hAnsiTheme="minorHAnsi"/>
        </w:rPr>
        <w:t xml:space="preserve">Accessed: 30th November 2020).  </w:t>
      </w:r>
    </w:p>
    <w:sectPr w:rsidR="0045240F" w:rsidRPr="008414EE" w:rsidSect="00A066BA">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B3705D" w:rsidRDefault="00B3705D" w:rsidP="00A066BA">
      <w:r>
        <w:separator/>
      </w:r>
    </w:p>
  </w:endnote>
  <w:endnote w:type="continuationSeparator" w:id="0">
    <w:p w:rsidR="00B3705D" w:rsidRDefault="00B3705D" w:rsidP="00A066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066BA" w:rsidRDefault="00A066BA" w:rsidP="003F1708">
    <w:pPr>
      <w:pStyle w:val="Footer"/>
      <w:pBdr>
        <w:top w:val="single" w:sz="4" w:space="1" w:color="D9D9D9" w:themeColor="background1" w:themeShade="D9"/>
      </w:pBdr>
      <w:ind w:firstLine="0"/>
    </w:pPr>
  </w:p>
  <w:p w:rsidR="00A066BA" w:rsidRDefault="00A066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B3705D" w:rsidRDefault="00B3705D" w:rsidP="00A066BA">
      <w:r>
        <w:separator/>
      </w:r>
    </w:p>
  </w:footnote>
  <w:footnote w:type="continuationSeparator" w:id="0">
    <w:p w:rsidR="00B3705D" w:rsidRDefault="00B3705D" w:rsidP="00A066B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751A0"/>
    <w:multiLevelType w:val="hybridMultilevel"/>
    <w:tmpl w:val="53E26E32"/>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 w15:restartNumberingAfterBreak="0">
    <w:nsid w:val="09FF301E"/>
    <w:multiLevelType w:val="hybridMultilevel"/>
    <w:tmpl w:val="2CA2B8A8"/>
    <w:lvl w:ilvl="0" w:tplc="3586C17C">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 w15:restartNumberingAfterBreak="0">
    <w:nsid w:val="0EF32E64"/>
    <w:multiLevelType w:val="hybridMultilevel"/>
    <w:tmpl w:val="22349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8B46E8"/>
    <w:multiLevelType w:val="hybridMultilevel"/>
    <w:tmpl w:val="547A3D1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9741E0"/>
    <w:multiLevelType w:val="hybridMultilevel"/>
    <w:tmpl w:val="C5C0F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884DD6"/>
    <w:multiLevelType w:val="hybridMultilevel"/>
    <w:tmpl w:val="A100287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5646B40"/>
    <w:multiLevelType w:val="hybridMultilevel"/>
    <w:tmpl w:val="A37C3FEA"/>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7" w15:restartNumberingAfterBreak="0">
    <w:nsid w:val="36BF6CCE"/>
    <w:multiLevelType w:val="hybridMultilevel"/>
    <w:tmpl w:val="AD2CE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9A6F33"/>
    <w:multiLevelType w:val="hybridMultilevel"/>
    <w:tmpl w:val="04E04AE2"/>
    <w:lvl w:ilvl="0" w:tplc="540E293A">
      <w:start w:val="5"/>
      <w:numFmt w:val="bullet"/>
      <w:lvlText w:val="•"/>
      <w:lvlJc w:val="left"/>
      <w:pPr>
        <w:ind w:left="1069" w:hanging="360"/>
      </w:pPr>
      <w:rPr>
        <w:rFonts w:ascii="Times New Roman" w:eastAsiaTheme="minorHAnsi" w:hAnsi="Times New Roman" w:cs="Times New Roman"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9" w15:restartNumberingAfterBreak="0">
    <w:nsid w:val="3B1A26F5"/>
    <w:multiLevelType w:val="multilevel"/>
    <w:tmpl w:val="812E4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44549D0"/>
    <w:multiLevelType w:val="multilevel"/>
    <w:tmpl w:val="0C1AB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1057C4C"/>
    <w:multiLevelType w:val="multilevel"/>
    <w:tmpl w:val="A5926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CCA478E"/>
    <w:multiLevelType w:val="hybridMultilevel"/>
    <w:tmpl w:val="CEA8A308"/>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3" w15:restartNumberingAfterBreak="0">
    <w:nsid w:val="6D1D3BD2"/>
    <w:multiLevelType w:val="hybridMultilevel"/>
    <w:tmpl w:val="489C1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161C01"/>
    <w:multiLevelType w:val="multilevel"/>
    <w:tmpl w:val="FB349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428617A"/>
    <w:multiLevelType w:val="hybridMultilevel"/>
    <w:tmpl w:val="8CD2D5A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6" w15:restartNumberingAfterBreak="0">
    <w:nsid w:val="769864AE"/>
    <w:multiLevelType w:val="hybridMultilevel"/>
    <w:tmpl w:val="6FA8EBE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3"/>
  </w:num>
  <w:num w:numId="2">
    <w:abstractNumId w:val="9"/>
  </w:num>
  <w:num w:numId="3">
    <w:abstractNumId w:val="11"/>
  </w:num>
  <w:num w:numId="4">
    <w:abstractNumId w:val="10"/>
  </w:num>
  <w:num w:numId="5">
    <w:abstractNumId w:val="5"/>
  </w:num>
  <w:num w:numId="6">
    <w:abstractNumId w:val="16"/>
  </w:num>
  <w:num w:numId="7">
    <w:abstractNumId w:val="13"/>
  </w:num>
  <w:num w:numId="8">
    <w:abstractNumId w:val="15"/>
  </w:num>
  <w:num w:numId="9">
    <w:abstractNumId w:val="4"/>
  </w:num>
  <w:num w:numId="10">
    <w:abstractNumId w:val="12"/>
  </w:num>
  <w:num w:numId="11">
    <w:abstractNumId w:val="7"/>
  </w:num>
  <w:num w:numId="12">
    <w:abstractNumId w:val="14"/>
  </w:num>
  <w:num w:numId="13">
    <w:abstractNumId w:val="0"/>
  </w:num>
  <w:num w:numId="14">
    <w:abstractNumId w:val="1"/>
  </w:num>
  <w:num w:numId="15">
    <w:abstractNumId w:val="6"/>
  </w:num>
  <w:num w:numId="16">
    <w:abstractNumId w:val="8"/>
  </w:num>
  <w:num w:numId="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4DC4"/>
    <w:rsid w:val="00001E7C"/>
    <w:rsid w:val="000024DF"/>
    <w:rsid w:val="00004048"/>
    <w:rsid w:val="0001432A"/>
    <w:rsid w:val="0002247F"/>
    <w:rsid w:val="00032A47"/>
    <w:rsid w:val="0004087D"/>
    <w:rsid w:val="00054FA5"/>
    <w:rsid w:val="0006341A"/>
    <w:rsid w:val="00065292"/>
    <w:rsid w:val="0007076E"/>
    <w:rsid w:val="000715DA"/>
    <w:rsid w:val="000951BA"/>
    <w:rsid w:val="00096EDE"/>
    <w:rsid w:val="000B10C7"/>
    <w:rsid w:val="000B53AF"/>
    <w:rsid w:val="000B5BB5"/>
    <w:rsid w:val="00117DD4"/>
    <w:rsid w:val="001213AA"/>
    <w:rsid w:val="00135D9D"/>
    <w:rsid w:val="001739F6"/>
    <w:rsid w:val="00192F70"/>
    <w:rsid w:val="001A437D"/>
    <w:rsid w:val="001B3CC0"/>
    <w:rsid w:val="001C3239"/>
    <w:rsid w:val="001D2E7F"/>
    <w:rsid w:val="001F0490"/>
    <w:rsid w:val="001F6B73"/>
    <w:rsid w:val="00204DC4"/>
    <w:rsid w:val="00262EAC"/>
    <w:rsid w:val="00266B95"/>
    <w:rsid w:val="00290454"/>
    <w:rsid w:val="00295A59"/>
    <w:rsid w:val="002A40C6"/>
    <w:rsid w:val="002B1A0A"/>
    <w:rsid w:val="00307143"/>
    <w:rsid w:val="00311755"/>
    <w:rsid w:val="00312C61"/>
    <w:rsid w:val="00320381"/>
    <w:rsid w:val="00356032"/>
    <w:rsid w:val="0037735E"/>
    <w:rsid w:val="0038232A"/>
    <w:rsid w:val="00387405"/>
    <w:rsid w:val="00391405"/>
    <w:rsid w:val="00393AE8"/>
    <w:rsid w:val="00397B41"/>
    <w:rsid w:val="003E560B"/>
    <w:rsid w:val="003E6719"/>
    <w:rsid w:val="003F1708"/>
    <w:rsid w:val="00402051"/>
    <w:rsid w:val="00402D06"/>
    <w:rsid w:val="004137C4"/>
    <w:rsid w:val="00427513"/>
    <w:rsid w:val="00432777"/>
    <w:rsid w:val="0045240F"/>
    <w:rsid w:val="004A7447"/>
    <w:rsid w:val="004C7188"/>
    <w:rsid w:val="004D44E8"/>
    <w:rsid w:val="004D4CD8"/>
    <w:rsid w:val="004D6395"/>
    <w:rsid w:val="004D7188"/>
    <w:rsid w:val="004F0CD5"/>
    <w:rsid w:val="005002A9"/>
    <w:rsid w:val="00540AE1"/>
    <w:rsid w:val="005C1848"/>
    <w:rsid w:val="005C70D5"/>
    <w:rsid w:val="005E2C28"/>
    <w:rsid w:val="00607CC2"/>
    <w:rsid w:val="0061113E"/>
    <w:rsid w:val="00640789"/>
    <w:rsid w:val="00647625"/>
    <w:rsid w:val="0066136C"/>
    <w:rsid w:val="006833A5"/>
    <w:rsid w:val="006B57CF"/>
    <w:rsid w:val="006D4982"/>
    <w:rsid w:val="006E1575"/>
    <w:rsid w:val="006F7C86"/>
    <w:rsid w:val="007053C2"/>
    <w:rsid w:val="0071219B"/>
    <w:rsid w:val="0072720A"/>
    <w:rsid w:val="00734ABE"/>
    <w:rsid w:val="00746167"/>
    <w:rsid w:val="00750010"/>
    <w:rsid w:val="00753374"/>
    <w:rsid w:val="00761FBF"/>
    <w:rsid w:val="00790C02"/>
    <w:rsid w:val="007C214E"/>
    <w:rsid w:val="007D35A2"/>
    <w:rsid w:val="007D45AE"/>
    <w:rsid w:val="007E6087"/>
    <w:rsid w:val="007F3FBB"/>
    <w:rsid w:val="007F5FCD"/>
    <w:rsid w:val="00816B29"/>
    <w:rsid w:val="008206B5"/>
    <w:rsid w:val="008337C7"/>
    <w:rsid w:val="008414EE"/>
    <w:rsid w:val="00841D9E"/>
    <w:rsid w:val="00866219"/>
    <w:rsid w:val="0091165F"/>
    <w:rsid w:val="00931F1F"/>
    <w:rsid w:val="00944A38"/>
    <w:rsid w:val="00963724"/>
    <w:rsid w:val="009956B1"/>
    <w:rsid w:val="009B0E70"/>
    <w:rsid w:val="009D1CB4"/>
    <w:rsid w:val="009F0205"/>
    <w:rsid w:val="009F5338"/>
    <w:rsid w:val="00A066BA"/>
    <w:rsid w:val="00A12AFF"/>
    <w:rsid w:val="00A1769B"/>
    <w:rsid w:val="00A22A29"/>
    <w:rsid w:val="00A243DE"/>
    <w:rsid w:val="00A27304"/>
    <w:rsid w:val="00A360EC"/>
    <w:rsid w:val="00A47DF7"/>
    <w:rsid w:val="00A912A1"/>
    <w:rsid w:val="00AC3C1F"/>
    <w:rsid w:val="00AD0E69"/>
    <w:rsid w:val="00AD6C12"/>
    <w:rsid w:val="00AE6763"/>
    <w:rsid w:val="00AF175E"/>
    <w:rsid w:val="00B017CB"/>
    <w:rsid w:val="00B0457C"/>
    <w:rsid w:val="00B10837"/>
    <w:rsid w:val="00B147F2"/>
    <w:rsid w:val="00B21475"/>
    <w:rsid w:val="00B3705D"/>
    <w:rsid w:val="00B46680"/>
    <w:rsid w:val="00B536BD"/>
    <w:rsid w:val="00B66CB1"/>
    <w:rsid w:val="00B713E0"/>
    <w:rsid w:val="00B81FAB"/>
    <w:rsid w:val="00B8230C"/>
    <w:rsid w:val="00B86C1C"/>
    <w:rsid w:val="00BA61B1"/>
    <w:rsid w:val="00BC2C9F"/>
    <w:rsid w:val="00BE41F8"/>
    <w:rsid w:val="00C142A5"/>
    <w:rsid w:val="00C32D00"/>
    <w:rsid w:val="00C5029E"/>
    <w:rsid w:val="00C62B70"/>
    <w:rsid w:val="00C67A01"/>
    <w:rsid w:val="00CB3897"/>
    <w:rsid w:val="00CC228D"/>
    <w:rsid w:val="00D04044"/>
    <w:rsid w:val="00D148E8"/>
    <w:rsid w:val="00D43892"/>
    <w:rsid w:val="00D6490C"/>
    <w:rsid w:val="00D6659F"/>
    <w:rsid w:val="00D722B5"/>
    <w:rsid w:val="00D82225"/>
    <w:rsid w:val="00D87A4B"/>
    <w:rsid w:val="00D93FAA"/>
    <w:rsid w:val="00D97EDE"/>
    <w:rsid w:val="00DF7684"/>
    <w:rsid w:val="00E05621"/>
    <w:rsid w:val="00E05FC2"/>
    <w:rsid w:val="00E160BF"/>
    <w:rsid w:val="00E168A8"/>
    <w:rsid w:val="00E31079"/>
    <w:rsid w:val="00E46FC6"/>
    <w:rsid w:val="00E50E02"/>
    <w:rsid w:val="00E744C7"/>
    <w:rsid w:val="00E77C89"/>
    <w:rsid w:val="00E77FB8"/>
    <w:rsid w:val="00E96230"/>
    <w:rsid w:val="00EB15CB"/>
    <w:rsid w:val="00EB2F68"/>
    <w:rsid w:val="00EC0450"/>
    <w:rsid w:val="00EC06AD"/>
    <w:rsid w:val="00F028CB"/>
    <w:rsid w:val="00F373B6"/>
    <w:rsid w:val="00F461CF"/>
    <w:rsid w:val="00F548D8"/>
    <w:rsid w:val="00F55843"/>
    <w:rsid w:val="00F66640"/>
    <w:rsid w:val="00F80527"/>
    <w:rsid w:val="00F81F79"/>
    <w:rsid w:val="00F85E53"/>
    <w:rsid w:val="00F86952"/>
    <w:rsid w:val="00F87ACF"/>
    <w:rsid w:val="00F87E5E"/>
    <w:rsid w:val="00FA64D8"/>
    <w:rsid w:val="00FB6F85"/>
    <w:rsid w:val="00FD73FC"/>
    <w:rsid w:val="00FE61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E6905"/>
  <w15:chartTrackingRefBased/>
  <w15:docId w15:val="{8ECE1CE4-0F9F-4D8E-8963-FFF76ABA46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4982"/>
    <w:pPr>
      <w:spacing w:after="0" w:line="240" w:lineRule="auto"/>
      <w:ind w:firstLine="709"/>
    </w:pPr>
    <w:rPr>
      <w:rFonts w:ascii="Times New Roman" w:hAnsi="Times New Roman"/>
      <w:sz w:val="24"/>
    </w:rPr>
  </w:style>
  <w:style w:type="paragraph" w:styleId="Heading1">
    <w:name w:val="heading 1"/>
    <w:basedOn w:val="Normal"/>
    <w:next w:val="Normal"/>
    <w:link w:val="Heading1Char"/>
    <w:uiPriority w:val="9"/>
    <w:qFormat/>
    <w:rsid w:val="006D4982"/>
    <w:pPr>
      <w:keepNext/>
      <w:keepLines/>
      <w:ind w:firstLine="0"/>
      <w:outlineLvl w:val="0"/>
    </w:pPr>
    <w:rPr>
      <w:rFonts w:eastAsiaTheme="majorEastAsia" w:cstheme="majorBidi"/>
      <w:b/>
      <w:i/>
      <w:color w:val="000000" w:themeColor="text1"/>
      <w:szCs w:val="32"/>
    </w:rPr>
  </w:style>
  <w:style w:type="paragraph" w:styleId="Heading2">
    <w:name w:val="heading 2"/>
    <w:basedOn w:val="Normal"/>
    <w:link w:val="Heading2Char"/>
    <w:uiPriority w:val="9"/>
    <w:qFormat/>
    <w:rsid w:val="006D4982"/>
    <w:pPr>
      <w:ind w:firstLine="0"/>
      <w:outlineLvl w:val="1"/>
    </w:pPr>
    <w:rPr>
      <w:rFonts w:eastAsia="Times New Roman" w:cs="Times New Roman"/>
      <w:bCs/>
      <w:i/>
      <w:szCs w:val="36"/>
      <w:lang w:eastAsia="en-GB"/>
    </w:rPr>
  </w:style>
  <w:style w:type="paragraph" w:styleId="Heading3">
    <w:name w:val="heading 3"/>
    <w:basedOn w:val="Normal"/>
    <w:link w:val="Heading3Char"/>
    <w:uiPriority w:val="9"/>
    <w:qFormat/>
    <w:rsid w:val="006D4982"/>
    <w:pPr>
      <w:spacing w:before="100" w:beforeAutospacing="1" w:after="100" w:afterAutospacing="1"/>
      <w:outlineLvl w:val="2"/>
    </w:pPr>
    <w:rPr>
      <w:rFonts w:eastAsia="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41F8"/>
    <w:pPr>
      <w:ind w:left="720"/>
      <w:contextualSpacing/>
    </w:pPr>
  </w:style>
  <w:style w:type="character" w:styleId="Hyperlink">
    <w:name w:val="Hyperlink"/>
    <w:basedOn w:val="DefaultParagraphFont"/>
    <w:uiPriority w:val="99"/>
    <w:unhideWhenUsed/>
    <w:rsid w:val="006D4982"/>
    <w:rPr>
      <w:color w:val="0563C1" w:themeColor="hyperlink"/>
      <w:u w:val="single"/>
    </w:rPr>
  </w:style>
  <w:style w:type="character" w:customStyle="1" w:styleId="Heading2Char">
    <w:name w:val="Heading 2 Char"/>
    <w:basedOn w:val="DefaultParagraphFont"/>
    <w:link w:val="Heading2"/>
    <w:uiPriority w:val="9"/>
    <w:rsid w:val="006D4982"/>
    <w:rPr>
      <w:rFonts w:ascii="Times New Roman" w:eastAsia="Times New Roman" w:hAnsi="Times New Roman" w:cs="Times New Roman"/>
      <w:bCs/>
      <w:i/>
      <w:sz w:val="24"/>
      <w:szCs w:val="36"/>
      <w:lang w:eastAsia="en-GB"/>
    </w:rPr>
  </w:style>
  <w:style w:type="character" w:customStyle="1" w:styleId="Heading3Char">
    <w:name w:val="Heading 3 Char"/>
    <w:basedOn w:val="DefaultParagraphFont"/>
    <w:link w:val="Heading3"/>
    <w:uiPriority w:val="9"/>
    <w:rsid w:val="006D4982"/>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6D4982"/>
    <w:pPr>
      <w:spacing w:before="100" w:beforeAutospacing="1" w:after="100" w:afterAutospacing="1"/>
    </w:pPr>
    <w:rPr>
      <w:rFonts w:eastAsia="Times New Roman" w:cs="Times New Roman"/>
      <w:szCs w:val="24"/>
      <w:lang w:eastAsia="en-GB"/>
    </w:rPr>
  </w:style>
  <w:style w:type="character" w:styleId="Strong">
    <w:name w:val="Strong"/>
    <w:basedOn w:val="DefaultParagraphFont"/>
    <w:uiPriority w:val="22"/>
    <w:qFormat/>
    <w:rsid w:val="006D4982"/>
    <w:rPr>
      <w:b/>
      <w:bCs/>
    </w:rPr>
  </w:style>
  <w:style w:type="character" w:customStyle="1" w:styleId="Heading1Char">
    <w:name w:val="Heading 1 Char"/>
    <w:basedOn w:val="DefaultParagraphFont"/>
    <w:link w:val="Heading1"/>
    <w:uiPriority w:val="9"/>
    <w:rsid w:val="006D4982"/>
    <w:rPr>
      <w:rFonts w:ascii="Times New Roman" w:eastAsiaTheme="majorEastAsia" w:hAnsi="Times New Roman" w:cstheme="majorBidi"/>
      <w:b/>
      <w:i/>
      <w:color w:val="000000" w:themeColor="text1"/>
      <w:sz w:val="24"/>
      <w:szCs w:val="32"/>
    </w:rPr>
  </w:style>
  <w:style w:type="paragraph" w:styleId="TOCHeading">
    <w:name w:val="TOC Heading"/>
    <w:basedOn w:val="Heading1"/>
    <w:next w:val="Normal"/>
    <w:uiPriority w:val="39"/>
    <w:unhideWhenUsed/>
    <w:qFormat/>
    <w:rsid w:val="004C7188"/>
    <w:pPr>
      <w:spacing w:before="240" w:line="259" w:lineRule="auto"/>
      <w:outlineLvl w:val="9"/>
    </w:pPr>
    <w:rPr>
      <w:rFonts w:asciiTheme="majorHAnsi" w:hAnsiTheme="majorHAnsi"/>
      <w:b w:val="0"/>
      <w:i w:val="0"/>
      <w:color w:val="2E74B5" w:themeColor="accent1" w:themeShade="BF"/>
      <w:sz w:val="32"/>
      <w:lang w:val="en-US"/>
    </w:rPr>
  </w:style>
  <w:style w:type="paragraph" w:styleId="TOC1">
    <w:name w:val="toc 1"/>
    <w:basedOn w:val="Normal"/>
    <w:next w:val="Normal"/>
    <w:autoRedefine/>
    <w:uiPriority w:val="39"/>
    <w:unhideWhenUsed/>
    <w:rsid w:val="004C7188"/>
    <w:pPr>
      <w:spacing w:after="100"/>
    </w:pPr>
  </w:style>
  <w:style w:type="paragraph" w:styleId="TOC2">
    <w:name w:val="toc 2"/>
    <w:basedOn w:val="Normal"/>
    <w:next w:val="Normal"/>
    <w:autoRedefine/>
    <w:uiPriority w:val="39"/>
    <w:unhideWhenUsed/>
    <w:rsid w:val="004C7188"/>
    <w:pPr>
      <w:spacing w:after="100"/>
      <w:ind w:left="240"/>
    </w:pPr>
  </w:style>
  <w:style w:type="paragraph" w:styleId="Header">
    <w:name w:val="header"/>
    <w:basedOn w:val="Normal"/>
    <w:link w:val="HeaderChar"/>
    <w:uiPriority w:val="99"/>
    <w:unhideWhenUsed/>
    <w:rsid w:val="00A066BA"/>
    <w:pPr>
      <w:tabs>
        <w:tab w:val="center" w:pos="4513"/>
        <w:tab w:val="right" w:pos="9026"/>
      </w:tabs>
    </w:pPr>
  </w:style>
  <w:style w:type="character" w:customStyle="1" w:styleId="HeaderChar">
    <w:name w:val="Header Char"/>
    <w:basedOn w:val="DefaultParagraphFont"/>
    <w:link w:val="Header"/>
    <w:uiPriority w:val="99"/>
    <w:rsid w:val="00A066BA"/>
    <w:rPr>
      <w:rFonts w:ascii="Times New Roman" w:hAnsi="Times New Roman"/>
      <w:sz w:val="24"/>
    </w:rPr>
  </w:style>
  <w:style w:type="paragraph" w:styleId="Footer">
    <w:name w:val="footer"/>
    <w:basedOn w:val="Normal"/>
    <w:link w:val="FooterChar"/>
    <w:uiPriority w:val="99"/>
    <w:unhideWhenUsed/>
    <w:rsid w:val="00A066BA"/>
    <w:pPr>
      <w:tabs>
        <w:tab w:val="center" w:pos="4513"/>
        <w:tab w:val="right" w:pos="9026"/>
      </w:tabs>
    </w:pPr>
  </w:style>
  <w:style w:type="character" w:customStyle="1" w:styleId="FooterChar">
    <w:name w:val="Footer Char"/>
    <w:basedOn w:val="DefaultParagraphFont"/>
    <w:link w:val="Footer"/>
    <w:uiPriority w:val="99"/>
    <w:rsid w:val="00A066BA"/>
    <w:rPr>
      <w:rFonts w:ascii="Times New Roman" w:hAnsi="Times New Roman"/>
      <w:sz w:val="24"/>
    </w:rPr>
  </w:style>
  <w:style w:type="paragraph" w:styleId="EndnoteText">
    <w:name w:val="endnote text"/>
    <w:basedOn w:val="Normal"/>
    <w:link w:val="EndnoteTextChar"/>
    <w:uiPriority w:val="99"/>
    <w:semiHidden/>
    <w:unhideWhenUsed/>
    <w:rsid w:val="001F0490"/>
    <w:rPr>
      <w:sz w:val="20"/>
      <w:szCs w:val="20"/>
    </w:rPr>
  </w:style>
  <w:style w:type="character" w:customStyle="1" w:styleId="EndnoteTextChar">
    <w:name w:val="Endnote Text Char"/>
    <w:basedOn w:val="DefaultParagraphFont"/>
    <w:link w:val="EndnoteText"/>
    <w:uiPriority w:val="99"/>
    <w:semiHidden/>
    <w:rsid w:val="001F0490"/>
    <w:rPr>
      <w:rFonts w:ascii="Times New Roman" w:hAnsi="Times New Roman"/>
      <w:sz w:val="20"/>
      <w:szCs w:val="20"/>
    </w:rPr>
  </w:style>
  <w:style w:type="character" w:styleId="EndnoteReference">
    <w:name w:val="endnote reference"/>
    <w:basedOn w:val="DefaultParagraphFont"/>
    <w:uiPriority w:val="99"/>
    <w:semiHidden/>
    <w:unhideWhenUsed/>
    <w:rsid w:val="001F0490"/>
    <w:rPr>
      <w:vertAlign w:val="superscript"/>
    </w:rPr>
  </w:style>
  <w:style w:type="character" w:styleId="UnresolvedMention">
    <w:name w:val="Unresolved Mention"/>
    <w:basedOn w:val="DefaultParagraphFont"/>
    <w:uiPriority w:val="99"/>
    <w:semiHidden/>
    <w:unhideWhenUsed/>
    <w:rsid w:val="00001E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6992540">
      <w:bodyDiv w:val="1"/>
      <w:marLeft w:val="0"/>
      <w:marRight w:val="0"/>
      <w:marTop w:val="0"/>
      <w:marBottom w:val="0"/>
      <w:divBdr>
        <w:top w:val="none" w:sz="0" w:space="0" w:color="auto"/>
        <w:left w:val="none" w:sz="0" w:space="0" w:color="auto"/>
        <w:bottom w:val="none" w:sz="0" w:space="0" w:color="auto"/>
        <w:right w:val="none" w:sz="0" w:space="0" w:color="auto"/>
      </w:divBdr>
      <w:divsChild>
        <w:div w:id="388965298">
          <w:marLeft w:val="0"/>
          <w:marRight w:val="0"/>
          <w:marTop w:val="0"/>
          <w:marBottom w:val="0"/>
          <w:divBdr>
            <w:top w:val="none" w:sz="0" w:space="0" w:color="auto"/>
            <w:left w:val="none" w:sz="0" w:space="0" w:color="auto"/>
            <w:bottom w:val="none" w:sz="0" w:space="0" w:color="auto"/>
            <w:right w:val="none" w:sz="0" w:space="0" w:color="auto"/>
          </w:divBdr>
          <w:divsChild>
            <w:div w:id="1077824428">
              <w:marLeft w:val="0"/>
              <w:marRight w:val="0"/>
              <w:marTop w:val="0"/>
              <w:marBottom w:val="0"/>
              <w:divBdr>
                <w:top w:val="none" w:sz="0" w:space="0" w:color="auto"/>
                <w:left w:val="none" w:sz="0" w:space="0" w:color="auto"/>
                <w:bottom w:val="none" w:sz="0" w:space="0" w:color="auto"/>
                <w:right w:val="none" w:sz="0" w:space="0" w:color="auto"/>
              </w:divBdr>
              <w:divsChild>
                <w:div w:id="1747805568">
                  <w:marLeft w:val="0"/>
                  <w:marRight w:val="0"/>
                  <w:marTop w:val="0"/>
                  <w:marBottom w:val="0"/>
                  <w:divBdr>
                    <w:top w:val="none" w:sz="0" w:space="0" w:color="auto"/>
                    <w:left w:val="none" w:sz="0" w:space="0" w:color="auto"/>
                    <w:bottom w:val="none" w:sz="0" w:space="0" w:color="auto"/>
                    <w:right w:val="none" w:sz="0" w:space="0" w:color="auto"/>
                  </w:divBdr>
                </w:div>
                <w:div w:id="988047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470782">
      <w:bodyDiv w:val="1"/>
      <w:marLeft w:val="0"/>
      <w:marRight w:val="0"/>
      <w:marTop w:val="0"/>
      <w:marBottom w:val="0"/>
      <w:divBdr>
        <w:top w:val="none" w:sz="0" w:space="0" w:color="auto"/>
        <w:left w:val="none" w:sz="0" w:space="0" w:color="auto"/>
        <w:bottom w:val="none" w:sz="0" w:space="0" w:color="auto"/>
        <w:right w:val="none" w:sz="0" w:space="0" w:color="auto"/>
      </w:divBdr>
    </w:div>
    <w:div w:id="334919578">
      <w:bodyDiv w:val="1"/>
      <w:marLeft w:val="0"/>
      <w:marRight w:val="0"/>
      <w:marTop w:val="0"/>
      <w:marBottom w:val="0"/>
      <w:divBdr>
        <w:top w:val="none" w:sz="0" w:space="0" w:color="auto"/>
        <w:left w:val="none" w:sz="0" w:space="0" w:color="auto"/>
        <w:bottom w:val="none" w:sz="0" w:space="0" w:color="auto"/>
        <w:right w:val="none" w:sz="0" w:space="0" w:color="auto"/>
      </w:divBdr>
    </w:div>
    <w:div w:id="427239141">
      <w:bodyDiv w:val="1"/>
      <w:marLeft w:val="0"/>
      <w:marRight w:val="0"/>
      <w:marTop w:val="0"/>
      <w:marBottom w:val="0"/>
      <w:divBdr>
        <w:top w:val="none" w:sz="0" w:space="0" w:color="auto"/>
        <w:left w:val="none" w:sz="0" w:space="0" w:color="auto"/>
        <w:bottom w:val="none" w:sz="0" w:space="0" w:color="auto"/>
        <w:right w:val="none" w:sz="0" w:space="0" w:color="auto"/>
      </w:divBdr>
    </w:div>
    <w:div w:id="473983229">
      <w:bodyDiv w:val="1"/>
      <w:marLeft w:val="0"/>
      <w:marRight w:val="0"/>
      <w:marTop w:val="0"/>
      <w:marBottom w:val="0"/>
      <w:divBdr>
        <w:top w:val="none" w:sz="0" w:space="0" w:color="auto"/>
        <w:left w:val="none" w:sz="0" w:space="0" w:color="auto"/>
        <w:bottom w:val="none" w:sz="0" w:space="0" w:color="auto"/>
        <w:right w:val="none" w:sz="0" w:space="0" w:color="auto"/>
      </w:divBdr>
    </w:div>
    <w:div w:id="493838538">
      <w:bodyDiv w:val="1"/>
      <w:marLeft w:val="0"/>
      <w:marRight w:val="0"/>
      <w:marTop w:val="0"/>
      <w:marBottom w:val="0"/>
      <w:divBdr>
        <w:top w:val="none" w:sz="0" w:space="0" w:color="auto"/>
        <w:left w:val="none" w:sz="0" w:space="0" w:color="auto"/>
        <w:bottom w:val="none" w:sz="0" w:space="0" w:color="auto"/>
        <w:right w:val="none" w:sz="0" w:space="0" w:color="auto"/>
      </w:divBdr>
    </w:div>
    <w:div w:id="886527347">
      <w:bodyDiv w:val="1"/>
      <w:marLeft w:val="0"/>
      <w:marRight w:val="0"/>
      <w:marTop w:val="0"/>
      <w:marBottom w:val="0"/>
      <w:divBdr>
        <w:top w:val="none" w:sz="0" w:space="0" w:color="auto"/>
        <w:left w:val="none" w:sz="0" w:space="0" w:color="auto"/>
        <w:bottom w:val="none" w:sz="0" w:space="0" w:color="auto"/>
        <w:right w:val="none" w:sz="0" w:space="0" w:color="auto"/>
      </w:divBdr>
    </w:div>
    <w:div w:id="1200782582">
      <w:bodyDiv w:val="1"/>
      <w:marLeft w:val="0"/>
      <w:marRight w:val="0"/>
      <w:marTop w:val="0"/>
      <w:marBottom w:val="0"/>
      <w:divBdr>
        <w:top w:val="none" w:sz="0" w:space="0" w:color="auto"/>
        <w:left w:val="none" w:sz="0" w:space="0" w:color="auto"/>
        <w:bottom w:val="none" w:sz="0" w:space="0" w:color="auto"/>
        <w:right w:val="none" w:sz="0" w:space="0" w:color="auto"/>
      </w:divBdr>
      <w:divsChild>
        <w:div w:id="1175143918">
          <w:marLeft w:val="0"/>
          <w:marRight w:val="0"/>
          <w:marTop w:val="0"/>
          <w:marBottom w:val="0"/>
          <w:divBdr>
            <w:top w:val="none" w:sz="0" w:space="0" w:color="auto"/>
            <w:left w:val="none" w:sz="0" w:space="0" w:color="auto"/>
            <w:bottom w:val="none" w:sz="0" w:space="0" w:color="auto"/>
            <w:right w:val="none" w:sz="0" w:space="0" w:color="auto"/>
          </w:divBdr>
          <w:divsChild>
            <w:div w:id="221259313">
              <w:marLeft w:val="0"/>
              <w:marRight w:val="0"/>
              <w:marTop w:val="0"/>
              <w:marBottom w:val="0"/>
              <w:divBdr>
                <w:top w:val="none" w:sz="0" w:space="0" w:color="auto"/>
                <w:left w:val="none" w:sz="0" w:space="0" w:color="auto"/>
                <w:bottom w:val="none" w:sz="0" w:space="0" w:color="auto"/>
                <w:right w:val="none" w:sz="0" w:space="0" w:color="auto"/>
              </w:divBdr>
              <w:divsChild>
                <w:div w:id="94448156">
                  <w:marLeft w:val="0"/>
                  <w:marRight w:val="0"/>
                  <w:marTop w:val="0"/>
                  <w:marBottom w:val="0"/>
                  <w:divBdr>
                    <w:top w:val="none" w:sz="0" w:space="0" w:color="auto"/>
                    <w:left w:val="none" w:sz="0" w:space="0" w:color="auto"/>
                    <w:bottom w:val="none" w:sz="0" w:space="0" w:color="auto"/>
                    <w:right w:val="none" w:sz="0" w:space="0" w:color="auto"/>
                  </w:divBdr>
                </w:div>
                <w:div w:id="930234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7513635">
      <w:bodyDiv w:val="1"/>
      <w:marLeft w:val="0"/>
      <w:marRight w:val="0"/>
      <w:marTop w:val="0"/>
      <w:marBottom w:val="0"/>
      <w:divBdr>
        <w:top w:val="none" w:sz="0" w:space="0" w:color="auto"/>
        <w:left w:val="none" w:sz="0" w:space="0" w:color="auto"/>
        <w:bottom w:val="none" w:sz="0" w:space="0" w:color="auto"/>
        <w:right w:val="none" w:sz="0" w:space="0" w:color="auto"/>
      </w:divBdr>
    </w:div>
    <w:div w:id="1956138679">
      <w:bodyDiv w:val="1"/>
      <w:marLeft w:val="0"/>
      <w:marRight w:val="0"/>
      <w:marTop w:val="0"/>
      <w:marBottom w:val="0"/>
      <w:divBdr>
        <w:top w:val="none" w:sz="0" w:space="0" w:color="auto"/>
        <w:left w:val="none" w:sz="0" w:space="0" w:color="auto"/>
        <w:bottom w:val="none" w:sz="0" w:space="0" w:color="auto"/>
        <w:right w:val="none" w:sz="0" w:space="0" w:color="auto"/>
      </w:divBdr>
    </w:div>
    <w:div w:id="2070959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EA8CC1-525F-487A-8542-29DFBF91D3B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225</TotalTime>
  <Pages>9</Pages>
  <Words>8626</Words>
  <Characters>49174</Characters>
  <Application>Microsoft Office Word</Application>
  <DocSecurity>0</DocSecurity>
  <Lines>409</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Chloe Marie Harries (1803550)</cp:lastModifiedBy>
  <cp:revision>172</cp:revision>
  <dcterms:created xsi:type="dcterms:W3CDTF">2020-11-30T14:48:00Z</dcterms:created>
  <dcterms:modified xsi:type="dcterms:W3CDTF">2020-11-30T21:47:00Z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http://www.zotero.org/styles/harvard1</vt:lpwstr>
  </property>
  <property fmtid="{D5CDD505-2E9C-101B-9397-08002B2CF9AE}" pid="15" name="Mendeley Recent Style Name 6_1">
    <vt:lpwstr>Harvard reference format 1 (deprecated)</vt:lpwstr>
  </property>
  <property fmtid="{D5CDD505-2E9C-101B-9397-08002B2CF9AE}" pid="16" name="Mendeley Recent Style Id 7_1">
    <vt:lpwstr>http://www.zotero.org/styles/ieee</vt:lpwstr>
  </property>
  <property fmtid="{D5CDD505-2E9C-101B-9397-08002B2CF9AE}" pid="17" name="Mendeley Recent Style Name 7_1">
    <vt:lpwstr>IEEE</vt:lpwstr>
  </property>
  <property fmtid="{D5CDD505-2E9C-101B-9397-08002B2CF9AE}" pid="18" name="Mendeley Recent Style Id 8_1">
    <vt:lpwstr>http://www.zotero.org/styles/modern-humanities-research-association</vt:lpwstr>
  </property>
  <property fmtid="{D5CDD505-2E9C-101B-9397-08002B2CF9AE}" pid="19" name="Mendeley Recent Style Name 8_1">
    <vt:lpwstr>Modern Humanities Research Association 3rd edition (note with bibliography)</vt:lpwstr>
  </property>
  <property fmtid="{D5CDD505-2E9C-101B-9397-08002B2CF9AE}" pid="20" name="Mendeley Recent Style Id 9_1">
    <vt:lpwstr>http://www.zotero.org/styles/oscola</vt:lpwstr>
  </property>
  <property fmtid="{D5CDD505-2E9C-101B-9397-08002B2CF9AE}" pid="21" name="Mendeley Recent Style Name 9_1">
    <vt:lpwstr>OSCOLA (Oxford University Standard for Citation of Legal Authorities)</vt:lpwstr>
  </property>
  <property fmtid="{D5CDD505-2E9C-101B-9397-08002B2CF9AE}" pid="22" name="Mendeley Document_1">
    <vt:lpwstr>True</vt:lpwstr>
  </property>
  <property fmtid="{D5CDD505-2E9C-101B-9397-08002B2CF9AE}" pid="23" name="Mendeley Unique User Id_1">
    <vt:lpwstr>1b07f276-91b5-3402-9ad0-806541576c01</vt:lpwstr>
  </property>
  <property fmtid="{D5CDD505-2E9C-101B-9397-08002B2CF9AE}" pid="24" name="Mendeley Citation Style_1">
    <vt:lpwstr>http://www.zotero.org/styles/harvard1</vt:lpwstr>
  </property>
</Properties>
</file>