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480" w:lineRule="auto"/>
        <w:jc w:val="center"/>
        <w:rPr>
          <w:b w:val="1"/>
          <w:sz w:val="40"/>
          <w:szCs w:val="40"/>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pStyle w:val="Title"/>
        <w:spacing w:line="480" w:lineRule="auto"/>
        <w:jc w:val="center"/>
        <w:rPr>
          <w:b w:val="1"/>
          <w:sz w:val="40"/>
          <w:szCs w:val="40"/>
        </w:rPr>
      </w:pPr>
      <w:r w:rsidDel="00000000" w:rsidR="00000000" w:rsidRPr="00000000">
        <w:rPr>
          <w:rtl w:val="0"/>
        </w:rPr>
      </w:r>
    </w:p>
    <w:p w:rsidR="00000000" w:rsidDel="00000000" w:rsidP="00000000" w:rsidRDefault="00000000" w:rsidRPr="00000000" w14:paraId="00000003">
      <w:pPr>
        <w:pStyle w:val="Title"/>
        <w:spacing w:line="480" w:lineRule="auto"/>
        <w:jc w:val="center"/>
        <w:rPr>
          <w:b w:val="1"/>
          <w:sz w:val="40"/>
          <w:szCs w:val="40"/>
        </w:rPr>
      </w:pPr>
      <w:r w:rsidDel="00000000" w:rsidR="00000000" w:rsidRPr="00000000">
        <w:rPr>
          <w:rtl w:val="0"/>
        </w:rPr>
      </w:r>
    </w:p>
    <w:p w:rsidR="00000000" w:rsidDel="00000000" w:rsidP="00000000" w:rsidRDefault="00000000" w:rsidRPr="00000000" w14:paraId="00000004">
      <w:pPr>
        <w:pStyle w:val="Title"/>
        <w:spacing w:line="480" w:lineRule="auto"/>
        <w:jc w:val="center"/>
        <w:rPr>
          <w:b w:val="1"/>
          <w:sz w:val="40"/>
          <w:szCs w:val="40"/>
        </w:rPr>
      </w:pPr>
      <w:r w:rsidDel="00000000" w:rsidR="00000000" w:rsidRPr="00000000">
        <w:rPr>
          <w:b w:val="1"/>
          <w:sz w:val="40"/>
          <w:szCs w:val="40"/>
          <w:rtl w:val="0"/>
        </w:rPr>
        <w:t xml:space="preserve">MANAGING PEOPLE ASSESSMENT 1</w:t>
      </w:r>
    </w:p>
    <w:p w:rsidR="00000000" w:rsidDel="00000000" w:rsidP="00000000" w:rsidRDefault="00000000" w:rsidRPr="00000000" w14:paraId="00000005">
      <w:pPr>
        <w:pStyle w:val="Title"/>
        <w:spacing w:line="480" w:lineRule="auto"/>
        <w:jc w:val="center"/>
        <w:rPr>
          <w:color w:val="222222"/>
          <w:highlight w:val="white"/>
        </w:rPr>
      </w:pPr>
      <w:r w:rsidDel="00000000" w:rsidR="00000000" w:rsidRPr="00000000">
        <w:rPr>
          <w:rtl w:val="0"/>
        </w:rPr>
      </w:r>
    </w:p>
    <w:p w:rsidR="00000000" w:rsidDel="00000000" w:rsidP="00000000" w:rsidRDefault="00000000" w:rsidRPr="00000000" w14:paraId="00000006">
      <w:pPr>
        <w:pStyle w:val="Title"/>
        <w:spacing w:line="480" w:lineRule="auto"/>
        <w:jc w:val="center"/>
        <w:rPr>
          <w:b w:val="1"/>
          <w:i w:val="1"/>
          <w:sz w:val="40"/>
          <w:szCs w:val="40"/>
          <w:highlight w:val="white"/>
        </w:rPr>
      </w:pPr>
      <w:r w:rsidDel="00000000" w:rsidR="00000000" w:rsidRPr="00000000">
        <w:rPr>
          <w:b w:val="1"/>
          <w:i w:val="1"/>
          <w:sz w:val="40"/>
          <w:szCs w:val="40"/>
          <w:highlight w:val="white"/>
          <w:rtl w:val="0"/>
        </w:rPr>
        <w:t xml:space="preserve">Name: Iliya Georgiev Radichev </w:t>
      </w:r>
    </w:p>
    <w:p w:rsidR="00000000" w:rsidDel="00000000" w:rsidP="00000000" w:rsidRDefault="00000000" w:rsidRPr="00000000" w14:paraId="00000007">
      <w:pPr>
        <w:pStyle w:val="Title"/>
        <w:spacing w:line="480" w:lineRule="auto"/>
        <w:jc w:val="center"/>
        <w:rPr>
          <w:b w:val="1"/>
          <w:i w:val="1"/>
          <w:sz w:val="40"/>
          <w:szCs w:val="40"/>
          <w:highlight w:val="white"/>
        </w:rPr>
      </w:pPr>
      <w:r w:rsidDel="00000000" w:rsidR="00000000" w:rsidRPr="00000000">
        <w:rPr>
          <w:b w:val="1"/>
          <w:i w:val="1"/>
          <w:sz w:val="40"/>
          <w:szCs w:val="40"/>
          <w:highlight w:val="white"/>
          <w:rtl w:val="0"/>
        </w:rPr>
        <w:t xml:space="preserve">Module Code : LCBB5004  </w:t>
      </w:r>
    </w:p>
    <w:p w:rsidR="00000000" w:rsidDel="00000000" w:rsidP="00000000" w:rsidRDefault="00000000" w:rsidRPr="00000000" w14:paraId="00000008">
      <w:pPr>
        <w:pStyle w:val="Title"/>
        <w:spacing w:line="480" w:lineRule="auto"/>
        <w:jc w:val="center"/>
        <w:rPr>
          <w:b w:val="1"/>
          <w:sz w:val="40"/>
          <w:szCs w:val="40"/>
        </w:rPr>
      </w:pPr>
      <w:r w:rsidDel="00000000" w:rsidR="00000000" w:rsidRPr="00000000">
        <w:rPr>
          <w:b w:val="1"/>
          <w:i w:val="1"/>
          <w:sz w:val="40"/>
          <w:szCs w:val="40"/>
          <w:highlight w:val="white"/>
          <w:rtl w:val="0"/>
        </w:rPr>
        <w:t xml:space="preserve">Student number : 2023563</w:t>
      </w:r>
      <w:r w:rsidDel="00000000" w:rsidR="00000000" w:rsidRPr="00000000">
        <w:rPr>
          <w:color w:val="222222"/>
          <w:highlight w:val="white"/>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09">
      <w:pPr>
        <w:spacing w:line="480" w:lineRule="auto"/>
        <w:jc w:val="center"/>
        <w:rPr>
          <w:b w:val="1"/>
        </w:rPr>
      </w:pPr>
      <w:r w:rsidDel="00000000" w:rsidR="00000000" w:rsidRPr="00000000">
        <w:rPr>
          <w:b w:val="1"/>
          <w:rtl w:val="0"/>
        </w:rPr>
        <w:t xml:space="preserve">Table of Content </w:t>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Advantages of flexible working concerning diversity and inclusion at work</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Analysing the role of Human Resources in promoting diversity and inclusion in flexible working</w:t>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Disadvantages of flexible working concerning inequality at work</w:t>
              <w:tab/>
              <w:t xml:space="preserve">7</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Analysing the role of Human Resources in addressing the concerns of inequality that may arise from flexible working</w:t>
              <w:tab/>
              <w:t xml:space="preserve">9</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276"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w:t>
              <w:tab/>
              <w:t xml:space="preserve">12</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spacing w:line="480" w:lineRule="auto"/>
        <w:jc w:val="center"/>
        <w:rPr>
          <w:b w:val="1"/>
        </w:rPr>
      </w:pPr>
      <w:r w:rsidDel="00000000" w:rsidR="00000000" w:rsidRPr="00000000">
        <w:rPr>
          <w:rtl w:val="0"/>
        </w:rPr>
      </w:r>
    </w:p>
    <w:p w:rsidR="00000000" w:rsidDel="00000000" w:rsidP="00000000" w:rsidRDefault="00000000" w:rsidRPr="00000000" w14:paraId="00000014">
      <w:pPr>
        <w:spacing w:line="480" w:lineRule="auto"/>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line="480" w:lineRule="auto"/>
        <w:jc w:val="both"/>
        <w:rPr/>
      </w:pPr>
      <w:bookmarkStart w:colFirst="0" w:colLast="0" w:name="_heading=h.30j0zll" w:id="1"/>
      <w:bookmarkEnd w:id="1"/>
      <w:r w:rsidDel="00000000" w:rsidR="00000000" w:rsidRPr="00000000">
        <w:rPr>
          <w:rtl w:val="0"/>
        </w:rPr>
        <w:t xml:space="preserve">Introduction </w:t>
      </w:r>
    </w:p>
    <w:p w:rsidR="00000000" w:rsidDel="00000000" w:rsidP="00000000" w:rsidRDefault="00000000" w:rsidRPr="00000000" w14:paraId="00000016">
      <w:pPr>
        <w:spacing w:line="480" w:lineRule="auto"/>
        <w:rPr/>
      </w:pPr>
      <w:r w:rsidDel="00000000" w:rsidR="00000000" w:rsidRPr="00000000">
        <w:rPr>
          <w:rtl w:val="0"/>
        </w:rPr>
        <w:t xml:space="preserve">The emergence of the COVID-19 has given rise to the development of the arrangements of flexible working conduct in organisations all across the world. This approach has helped the organisations conduct their business operations efficiently even with the imposing of the lockdowns and the quarantines by the government. There have been several arrangements made by the organisations to conduct this kind of working process efficiently. Human Resource Management plays a great role in the efficient managerial conduct of the organisation maintaining this kind of working operations (</w:t>
      </w:r>
      <w:r w:rsidDel="00000000" w:rsidR="00000000" w:rsidRPr="00000000">
        <w:rPr>
          <w:color w:val="222222"/>
          <w:highlight w:val="white"/>
          <w:rtl w:val="0"/>
        </w:rPr>
        <w:t xml:space="preserve">Groen</w:t>
      </w:r>
      <w:r w:rsidDel="00000000" w:rsidR="00000000" w:rsidRPr="00000000">
        <w:rPr>
          <w:i w:val="1"/>
          <w:color w:val="222222"/>
          <w:highlight w:val="white"/>
          <w:rtl w:val="0"/>
        </w:rPr>
        <w:t xml:space="preserve"> et al</w:t>
      </w:r>
      <w:r w:rsidDel="00000000" w:rsidR="00000000" w:rsidRPr="00000000">
        <w:rPr>
          <w:color w:val="222222"/>
          <w:highlight w:val="white"/>
          <w:rtl w:val="0"/>
        </w:rPr>
        <w:t xml:space="preserve">., 2018, p. 735)</w:t>
      </w:r>
      <w:r w:rsidDel="00000000" w:rsidR="00000000" w:rsidRPr="00000000">
        <w:rPr>
          <w:rtl w:val="0"/>
        </w:rPr>
        <w:t xml:space="preserve">. However, the emergence of the lockdowns and the quarantines had impacted the communication conduct among the employees of the organisation. Even though this kind of working conduct had been framed and arranged for the efficient conduct of organisational operations yet several disadvantages have come up into the picture. This assessment aims at highlighting all the significant aspects that are needed to be focused on for the efficient execution of the process and how Human Resource Management plays a great role in it (</w:t>
      </w:r>
      <w:r w:rsidDel="00000000" w:rsidR="00000000" w:rsidRPr="00000000">
        <w:rPr>
          <w:color w:val="222222"/>
          <w:highlight w:val="white"/>
          <w:rtl w:val="0"/>
        </w:rPr>
        <w:t xml:space="preserve">Chandola</w:t>
      </w:r>
      <w:r w:rsidDel="00000000" w:rsidR="00000000" w:rsidRPr="00000000">
        <w:rPr>
          <w:i w:val="1"/>
          <w:color w:val="222222"/>
          <w:highlight w:val="white"/>
          <w:rtl w:val="0"/>
        </w:rPr>
        <w:t xml:space="preserve"> et al</w:t>
      </w:r>
      <w:r w:rsidDel="00000000" w:rsidR="00000000" w:rsidRPr="00000000">
        <w:rPr>
          <w:color w:val="222222"/>
          <w:highlight w:val="white"/>
          <w:rtl w:val="0"/>
        </w:rPr>
        <w:t xml:space="preserve">., 2019, p. 785)</w:t>
      </w:r>
      <w:r w:rsidDel="00000000" w:rsidR="00000000" w:rsidRPr="00000000">
        <w:rPr>
          <w:rtl w:val="0"/>
        </w:rPr>
        <w:t xml:space="preserve">. The organisation that has been referred to in this assessment is </w:t>
      </w:r>
      <w:r w:rsidDel="00000000" w:rsidR="00000000" w:rsidRPr="00000000">
        <w:rPr>
          <w:color w:val="ff0000"/>
          <w:rtl w:val="0"/>
        </w:rPr>
        <w:t xml:space="preserve">Sainsbury’s</w:t>
      </w:r>
      <w:r w:rsidDel="00000000" w:rsidR="00000000" w:rsidRPr="00000000">
        <w:rPr>
          <w:rtl w:val="0"/>
        </w:rPr>
        <w:t xml:space="preserve">. This assessment emphasises the advantages of flexible working concerning the maintenance of diversity and inclusiveness within the organisation. Again, it also emphasises the disadvantages of flexible working and how it is related to inequality in the organisation. The assessment mainly stresses the roles and responsibilities of the Human Resource in the organisation. </w:t>
      </w:r>
    </w:p>
    <w:p w:rsidR="00000000" w:rsidDel="00000000" w:rsidP="00000000" w:rsidRDefault="00000000" w:rsidRPr="00000000" w14:paraId="00000017">
      <w:pPr>
        <w:pStyle w:val="Heading1"/>
        <w:spacing w:line="480" w:lineRule="auto"/>
        <w:jc w:val="both"/>
        <w:rPr/>
      </w:pPr>
      <w:bookmarkStart w:colFirst="0" w:colLast="0" w:name="_heading=h.1fob9te" w:id="2"/>
      <w:bookmarkEnd w:id="2"/>
      <w:r w:rsidDel="00000000" w:rsidR="00000000" w:rsidRPr="00000000">
        <w:rPr>
          <w:rtl w:val="0"/>
        </w:rPr>
        <w:t xml:space="preserve">Advantages of flexible working concerning diversity and inclusion at work</w:t>
      </w:r>
    </w:p>
    <w:p w:rsidR="00000000" w:rsidDel="00000000" w:rsidP="00000000" w:rsidRDefault="00000000" w:rsidRPr="00000000" w14:paraId="00000018">
      <w:pPr>
        <w:spacing w:line="480" w:lineRule="auto"/>
        <w:rPr/>
      </w:pPr>
      <w:r w:rsidDel="00000000" w:rsidR="00000000" w:rsidRPr="00000000">
        <w:rPr>
          <w:rtl w:val="0"/>
        </w:rPr>
        <w:t xml:space="preserve">The emergence and the arrangement of the flexible working conduct can bring several advantages to </w:t>
      </w:r>
      <w:r w:rsidDel="00000000" w:rsidR="00000000" w:rsidRPr="00000000">
        <w:rPr>
          <w:color w:val="ff0000"/>
          <w:rtl w:val="0"/>
        </w:rPr>
        <w:t xml:space="preserve">the operational conduct of Sainsbury’s</w:t>
      </w:r>
      <w:r w:rsidDel="00000000" w:rsidR="00000000" w:rsidRPr="00000000">
        <w:rPr>
          <w:rtl w:val="0"/>
        </w:rPr>
        <w:t xml:space="preserve">. One of the most significant advantages was the rise in the productivity level of the organisational operations. The flexible working conduct of the organisation will provide the employees with the benefit of working at their convenience. This working conduct will also provide them with the liberty to work even outside the scheduled working hours of the organisation. Second is the reduction in burnouts and stress. The flexible working conduct will help release the employees </w:t>
      </w:r>
      <w:r w:rsidDel="00000000" w:rsidR="00000000" w:rsidRPr="00000000">
        <w:rPr>
          <w:color w:val="ff0000"/>
          <w:rtl w:val="0"/>
        </w:rPr>
        <w:t xml:space="preserve">at Sainsbury’s</w:t>
      </w:r>
      <w:r w:rsidDel="00000000" w:rsidR="00000000" w:rsidRPr="00000000">
        <w:rPr>
          <w:rtl w:val="0"/>
        </w:rPr>
        <w:t xml:space="preserve"> of the stress of completing work within the strict time frame. This ensures the well-being of the employees and also keeps their mental health stable. The third advantage is the promotion of a healthy balance between work-life and personal life. This kind of working approach will benefit the employees to spend more quality time with their families which allows them to release stress, burnout and dissatisfaction. Fourth is an increase in job satisfaction (</w:t>
      </w:r>
      <w:r w:rsidDel="00000000" w:rsidR="00000000" w:rsidRPr="00000000">
        <w:rPr>
          <w:color w:val="222222"/>
          <w:highlight w:val="white"/>
          <w:rtl w:val="0"/>
        </w:rPr>
        <w:t xml:space="preserve">Fuller and Hirsh, 2019, p. 25)</w:t>
      </w:r>
      <w:r w:rsidDel="00000000" w:rsidR="00000000" w:rsidRPr="00000000">
        <w:rPr>
          <w:rtl w:val="0"/>
        </w:rPr>
        <w:t xml:space="preserve">. The flexibility of the working hours has provided ultimate satisfaction of the jobs increasing the rate of retention of the employees. Lastly, the flexible working approach also attracts new talents to the organisation. The business industries in the United Kingdom </w:t>
      </w:r>
      <w:r w:rsidDel="00000000" w:rsidR="00000000" w:rsidRPr="00000000">
        <w:rPr>
          <w:color w:val="ff0000"/>
          <w:rtl w:val="0"/>
        </w:rPr>
        <w:t xml:space="preserve">like Sainsbury’s</w:t>
      </w:r>
      <w:r w:rsidDel="00000000" w:rsidR="00000000" w:rsidRPr="00000000">
        <w:rPr>
          <w:rtl w:val="0"/>
        </w:rPr>
        <w:t xml:space="preserve"> use this strategy to gain the attention and interest of new employees in the organisation.</w:t>
      </w:r>
    </w:p>
    <w:p w:rsidR="00000000" w:rsidDel="00000000" w:rsidP="00000000" w:rsidRDefault="00000000" w:rsidRPr="00000000" w14:paraId="00000019">
      <w:pPr>
        <w:spacing w:line="480" w:lineRule="auto"/>
        <w:rPr/>
      </w:pPr>
      <w:r w:rsidDel="00000000" w:rsidR="00000000" w:rsidRPr="00000000">
        <w:rPr>
          <w:rtl w:val="0"/>
        </w:rPr>
        <w:t xml:space="preserve">The maintenance of diversity among the employees in an organisation increases the smart thought process of the employees as well as collective thinking. A flexible mode of working also improves the level of diversity in the workplace by attracting employees from various locations. If </w:t>
      </w:r>
      <w:r w:rsidDel="00000000" w:rsidR="00000000" w:rsidRPr="00000000">
        <w:rPr>
          <w:color w:val="ff0000"/>
          <w:rtl w:val="0"/>
        </w:rPr>
        <w:t xml:space="preserve">Sainsbury’s</w:t>
      </w:r>
      <w:r w:rsidDel="00000000" w:rsidR="00000000" w:rsidRPr="00000000">
        <w:rPr>
          <w:rtl w:val="0"/>
        </w:rPr>
        <w:t xml:space="preserve"> pools its employees from a single area, then that limits the rate of talented candidates they could attract. Homogeneity in the locality also decreases the diversity in the workplace. Even when the organisation pays the candidate for relocation, they are still asking them to become a part of a community with low rates of diversity. This could create a turn off in the organisation and lead to a major miss out. According to reports it has been found that organisations that have high rates of diversity at work are much more productive than the ones with low rates of diversity. They have teams that have great performance potential. The approach of the organisation to employ candidates from diverse locations will lead them to employ the most potential employees. Flexible and remote working facilities not only help the organisations employ the most potential employees but also bring significant improvement in their production rate and organisational image. Flexible working conduct has a strong relation to the establishment of an inclusive workforce in every organisation (</w:t>
      </w:r>
      <w:r w:rsidDel="00000000" w:rsidR="00000000" w:rsidRPr="00000000">
        <w:rPr>
          <w:color w:val="222222"/>
          <w:highlight w:val="white"/>
          <w:rtl w:val="0"/>
        </w:rPr>
        <w:t xml:space="preserve">Hunter, 2019)</w:t>
      </w:r>
      <w:r w:rsidDel="00000000" w:rsidR="00000000" w:rsidRPr="00000000">
        <w:rPr>
          <w:rtl w:val="0"/>
        </w:rPr>
        <w:t xml:space="preserve">. There are employees all around the world who might not be physically fit or even mentally to work in an organisation at normal hours who are in good health of mind and body. Thus, a flexible working culture allows these kinds of employees to make an effective contribution to the </w:t>
      </w:r>
      <w:r w:rsidDel="00000000" w:rsidR="00000000" w:rsidRPr="00000000">
        <w:rPr>
          <w:color w:val="ff0000"/>
          <w:rtl w:val="0"/>
        </w:rPr>
        <w:t xml:space="preserve">operational conduct of Sainsbury’s</w:t>
      </w:r>
      <w:r w:rsidDel="00000000" w:rsidR="00000000" w:rsidRPr="00000000">
        <w:rPr>
          <w:rtl w:val="0"/>
        </w:rPr>
        <w:t xml:space="preserve"> per their convenience of time. Flexibility in working culture helps the organisations retain their female staff the most who have personal commitments, it also provides the single parents with the opportunity to maintain a career as well as take care of their children efficiently. Companies, </w:t>
      </w:r>
      <w:r w:rsidDel="00000000" w:rsidR="00000000" w:rsidRPr="00000000">
        <w:rPr>
          <w:color w:val="ff0000"/>
          <w:rtl w:val="0"/>
        </w:rPr>
        <w:t xml:space="preserve">like Sainsbury’s,</w:t>
      </w:r>
      <w:r w:rsidDel="00000000" w:rsidR="00000000" w:rsidRPr="00000000">
        <w:rPr>
          <w:rtl w:val="0"/>
        </w:rPr>
        <w:t xml:space="preserve"> all around the world have thus taken the initiative to identify the necessities for the incorporation and the arrangement of the flexible working approach within the organisational culture so that they could increase the level of productivity and employee engagement. </w:t>
      </w:r>
    </w:p>
    <w:p w:rsidR="00000000" w:rsidDel="00000000" w:rsidP="00000000" w:rsidRDefault="00000000" w:rsidRPr="00000000" w14:paraId="0000001A">
      <w:pPr>
        <w:pStyle w:val="Heading1"/>
        <w:spacing w:line="480" w:lineRule="auto"/>
        <w:jc w:val="both"/>
        <w:rPr/>
      </w:pPr>
      <w:bookmarkStart w:colFirst="0" w:colLast="0" w:name="_heading=h.3znysh7" w:id="3"/>
      <w:bookmarkEnd w:id="3"/>
      <w:r w:rsidDel="00000000" w:rsidR="00000000" w:rsidRPr="00000000">
        <w:rPr>
          <w:rtl w:val="0"/>
        </w:rPr>
        <w:t xml:space="preserve">Analysing the role of Human Resources in promoting diversity and inclusion in flexible working</w:t>
      </w:r>
    </w:p>
    <w:p w:rsidR="00000000" w:rsidDel="00000000" w:rsidP="00000000" w:rsidRDefault="00000000" w:rsidRPr="00000000" w14:paraId="0000001B">
      <w:pPr>
        <w:spacing w:line="480" w:lineRule="auto"/>
        <w:rPr/>
      </w:pPr>
      <w:r w:rsidDel="00000000" w:rsidR="00000000" w:rsidRPr="00000000">
        <w:rPr>
          <w:rtl w:val="0"/>
        </w:rPr>
        <w:t xml:space="preserve">Human Resource Management in an organisation plays a very crucial role in promoting diversity and inclusiveness with the efficient conduct of flexible working. The emerging needs of the employees at all corners of the world have imposed a threat on the traditional 9-5 jobs. Thus, it has been essential for </w:t>
      </w:r>
      <w:r w:rsidDel="00000000" w:rsidR="00000000" w:rsidRPr="00000000">
        <w:rPr>
          <w:color w:val="ff0000"/>
          <w:rtl w:val="0"/>
        </w:rPr>
        <w:t xml:space="preserve">Sainsbury’s</w:t>
      </w:r>
      <w:r w:rsidDel="00000000" w:rsidR="00000000" w:rsidRPr="00000000">
        <w:rPr>
          <w:rtl w:val="0"/>
        </w:rPr>
        <w:t xml:space="preserve"> to make dynamic arrangements that can satisfy the needs of the employee. This will eventually help them to attract new talent to the organisation and improve the productivity level as well. The HRM of the organisation keeps the employees motivated and ensures their well-being. It also reduces the number of sick leaves along with the employee turnover rates. The arrangement of such dynamic working conduct has eventually benefited both parties as it helps to attract talented employees who cannot manage to work within regular working hours (</w:t>
      </w:r>
      <w:r w:rsidDel="00000000" w:rsidR="00000000" w:rsidRPr="00000000">
        <w:rPr>
          <w:color w:val="222222"/>
          <w:highlight w:val="white"/>
          <w:rtl w:val="0"/>
        </w:rPr>
        <w:t xml:space="preserve">Murabula, 2022)</w:t>
      </w:r>
      <w:r w:rsidDel="00000000" w:rsidR="00000000" w:rsidRPr="00000000">
        <w:rPr>
          <w:rtl w:val="0"/>
        </w:rPr>
        <w:t xml:space="preserve">. </w:t>
      </w:r>
    </w:p>
    <w:p w:rsidR="00000000" w:rsidDel="00000000" w:rsidP="00000000" w:rsidRDefault="00000000" w:rsidRPr="00000000" w14:paraId="0000001C">
      <w:pPr>
        <w:spacing w:line="480" w:lineRule="auto"/>
        <w:rPr/>
      </w:pPr>
      <w:r w:rsidDel="00000000" w:rsidR="00000000" w:rsidRPr="00000000">
        <w:rPr>
          <w:rtl w:val="0"/>
        </w:rPr>
        <w:t xml:space="preserve">For the efficient management of the flexible working conduct </w:t>
      </w:r>
      <w:r w:rsidDel="00000000" w:rsidR="00000000" w:rsidRPr="00000000">
        <w:rPr>
          <w:color w:val="ff0000"/>
          <w:rtl w:val="0"/>
        </w:rPr>
        <w:t xml:space="preserve">at Sainsbury’s</w:t>
      </w:r>
      <w:r w:rsidDel="00000000" w:rsidR="00000000" w:rsidRPr="00000000">
        <w:rPr>
          <w:rtl w:val="0"/>
        </w:rPr>
        <w:t xml:space="preserve">, the HRM needs to offer the employees a flexible time for starting their work and another one for ending it. It is essential to consult these times with the employees so they can agree to the core hours when they have to present at their desks or workstations and work. This will help the management, as well as the organisation, exclude the occurrence of negativity at work that might dwell due to absenteeism. The HRM also drafts a policy for the efficient conduct of remote working and initiates the employees and the management to use it. It is also necessary to adjust the times of the events and other social conduct </w:t>
      </w:r>
      <w:r w:rsidDel="00000000" w:rsidR="00000000" w:rsidRPr="00000000">
        <w:rPr>
          <w:color w:val="ff0000"/>
          <w:rtl w:val="0"/>
        </w:rPr>
        <w:t xml:space="preserve">at Sainsbury’s</w:t>
      </w:r>
      <w:r w:rsidDel="00000000" w:rsidR="00000000" w:rsidRPr="00000000">
        <w:rPr>
          <w:rtl w:val="0"/>
        </w:rPr>
        <w:t xml:space="preserve">. It is also essential for considering the times for the ones who have other commitments and responsibilities. The organisation also needs to advertise employment opportunities that are flexible and have part-time opportunities. It is also essential for providing the shares of the job and mentioning the working hours. The organisation should also recruit from a broader location. It is also essential for the HRM to consider various patterns of working. Some employees enjoy working after gym so organisations need to analyse how it can help with the needs of the business. The organisational management and officials should have an approach of accepting the requests of the employees to work flexibly. They should also be open to accepting the requests. Certain factors are needed to be kept track of by the organisational management (</w:t>
      </w:r>
      <w:r w:rsidDel="00000000" w:rsidR="00000000" w:rsidRPr="00000000">
        <w:rPr>
          <w:color w:val="222222"/>
          <w:highlight w:val="white"/>
          <w:rtl w:val="0"/>
        </w:rPr>
        <w:t xml:space="preserve">Kumar</w:t>
      </w:r>
      <w:r w:rsidDel="00000000" w:rsidR="00000000" w:rsidRPr="00000000">
        <w:rPr>
          <w:i w:val="1"/>
          <w:color w:val="222222"/>
          <w:highlight w:val="white"/>
          <w:rtl w:val="0"/>
        </w:rPr>
        <w:t xml:space="preserve"> et al</w:t>
      </w:r>
      <w:r w:rsidDel="00000000" w:rsidR="00000000" w:rsidRPr="00000000">
        <w:rPr>
          <w:color w:val="222222"/>
          <w:highlight w:val="white"/>
          <w:rtl w:val="0"/>
        </w:rPr>
        <w:t xml:space="preserve">., 2021)</w:t>
      </w:r>
      <w:r w:rsidDel="00000000" w:rsidR="00000000" w:rsidRPr="00000000">
        <w:rPr>
          <w:rtl w:val="0"/>
        </w:rPr>
        <w:t xml:space="preserve">. The management needs to look after that they not only provide a flexible working approach to the needy employees but also the others who have an interest in it. It is also essential to build trust among the managers and the team members to make the arrangement a success. It is also essential to grant the same level of flexibility to the carers just like the parents and the single parents. </w:t>
      </w:r>
      <w:r w:rsidDel="00000000" w:rsidR="00000000" w:rsidRPr="00000000">
        <w:rPr>
          <w:color w:val="ff0000"/>
          <w:rtl w:val="0"/>
        </w:rPr>
        <w:t xml:space="preserve">Sainsbury’s</w:t>
      </w:r>
      <w:r w:rsidDel="00000000" w:rsidR="00000000" w:rsidRPr="00000000">
        <w:rPr>
          <w:rtl w:val="0"/>
        </w:rPr>
        <w:t xml:space="preserve"> should be prepared to accept the requests of the employees on working flexibly after 26 weeks of working. The HRM also needs to empower the managers by training them to make effective decisions to conduct a flexible working approach. Following all these approaches would help the Human Resource officials to promote diversity and inclusiveness at work. For the maintenance of this working approach in the long run it is important to encourage them to share their experience in this working process. People should be allowed to share job opportunities with others. It is also essential to ensure the setting up of all the technologies and systems that will help conduct the process efficiently. </w:t>
      </w:r>
    </w:p>
    <w:p w:rsidR="00000000" w:rsidDel="00000000" w:rsidP="00000000" w:rsidRDefault="00000000" w:rsidRPr="00000000" w14:paraId="0000001D">
      <w:pPr>
        <w:pStyle w:val="Heading1"/>
        <w:spacing w:line="480" w:lineRule="auto"/>
        <w:jc w:val="both"/>
        <w:rPr/>
      </w:pPr>
      <w:bookmarkStart w:colFirst="0" w:colLast="0" w:name="_heading=h.2et92p0" w:id="4"/>
      <w:bookmarkEnd w:id="4"/>
      <w:r w:rsidDel="00000000" w:rsidR="00000000" w:rsidRPr="00000000">
        <w:rPr>
          <w:rtl w:val="0"/>
        </w:rPr>
        <w:t xml:space="preserve">Disadvantages of flexible working concerning inequality at work </w:t>
      </w:r>
    </w:p>
    <w:p w:rsidR="00000000" w:rsidDel="00000000" w:rsidP="00000000" w:rsidRDefault="00000000" w:rsidRPr="00000000" w14:paraId="0000001E">
      <w:pPr>
        <w:spacing w:line="480" w:lineRule="auto"/>
        <w:rPr/>
      </w:pPr>
      <w:r w:rsidDel="00000000" w:rsidR="00000000" w:rsidRPr="00000000">
        <w:rPr>
          <w:rtl w:val="0"/>
        </w:rPr>
        <w:t xml:space="preserve">Even if the flexible working approach has several significant advantages yet several disadvantages also dwell in the organisation due to this arrangement. Even if the arrangement of this working conduct only benefits the employees to stay at home while working, it also tends to take up the time that could have been used for leisure or completing some household courses. Working from home also tends to develop a sense of isolation among the employees as they do not maintain regular interaction with the employees. Flexible working conduct also makes the employees contact their managers at odd hours which are difficult to ignore at times. There is also a high level of communication gap that went on </w:t>
      </w:r>
      <w:r w:rsidDel="00000000" w:rsidR="00000000" w:rsidRPr="00000000">
        <w:rPr>
          <w:color w:val="ff0000"/>
          <w:rtl w:val="0"/>
        </w:rPr>
        <w:t xml:space="preserve">at Sainsbury’s</w:t>
      </w:r>
      <w:r w:rsidDel="00000000" w:rsidR="00000000" w:rsidRPr="00000000">
        <w:rPr>
          <w:rtl w:val="0"/>
        </w:rPr>
        <w:t xml:space="preserve"> due to flexible working approaches. This is due to the unavailability of all the employees at the standard working hours (</w:t>
      </w:r>
      <w:r w:rsidDel="00000000" w:rsidR="00000000" w:rsidRPr="00000000">
        <w:rPr>
          <w:color w:val="222222"/>
          <w:highlight w:val="white"/>
          <w:rtl w:val="0"/>
        </w:rPr>
        <w:t xml:space="preserve">Choi, 2018, p. 27)</w:t>
      </w:r>
      <w:r w:rsidDel="00000000" w:rsidR="00000000" w:rsidRPr="00000000">
        <w:rPr>
          <w:rtl w:val="0"/>
        </w:rPr>
        <w:t xml:space="preserve">. One of the most significant disadvantages of the flexible mode of working is the inequality in the pay scales as well as the additional benefits and promotions. Part-time working approach and working for the reduced hours can have a low rate of payment in comparison to the full-time employees. These workers might also have access to limited benefits. There will be a reduction in the pension rates and also the holiday expenses. The flexible and part-time employees also get excluded from the in-house events and occasions that are organised in the company premises. They might also miss out on some training sessions and workshops. Flexible employees who provided part-time services to the organisation also have limited scopes of promotions. There is also a huge amount of inequality in the payments concerning the gender gaps. Some organisations often pay women employees much less than men employees. On many occasions, it has also been found that the remote employees are often side-lined from the core operational conduct of the organisation such as management meetings and other kinds of discussion. They are often excluded from such discussions unlike the full-time employees and the ones who work from the organisational premises. The employees who miss the sessions of training and workshop often lose the opportunities of learning and developing new skills. This eventually leads to instability in their contributions to the </w:t>
      </w:r>
      <w:r w:rsidDel="00000000" w:rsidR="00000000" w:rsidRPr="00000000">
        <w:rPr>
          <w:color w:val="ff0000"/>
          <w:rtl w:val="0"/>
        </w:rPr>
        <w:t xml:space="preserve">operational conduct of Sainsbury’s</w:t>
      </w:r>
      <w:r w:rsidDel="00000000" w:rsidR="00000000" w:rsidRPr="00000000">
        <w:rPr>
          <w:rtl w:val="0"/>
        </w:rPr>
        <w:t xml:space="preserve">. There are organisations who often tend to make low rates of investment to the employees who work flexibly resulting in them missing out on the employ learning sources, this eventually impacts the productivity level of the organisation (</w:t>
      </w:r>
      <w:r w:rsidDel="00000000" w:rsidR="00000000" w:rsidRPr="00000000">
        <w:rPr>
          <w:color w:val="222222"/>
          <w:highlight w:val="white"/>
          <w:rtl w:val="0"/>
        </w:rPr>
        <w:t xml:space="preserve">Ferreira</w:t>
      </w:r>
      <w:r w:rsidDel="00000000" w:rsidR="00000000" w:rsidRPr="00000000">
        <w:rPr>
          <w:i w:val="1"/>
          <w:color w:val="222222"/>
          <w:highlight w:val="white"/>
          <w:rtl w:val="0"/>
        </w:rPr>
        <w:t xml:space="preserve"> et al</w:t>
      </w:r>
      <w:r w:rsidDel="00000000" w:rsidR="00000000" w:rsidRPr="00000000">
        <w:rPr>
          <w:color w:val="222222"/>
          <w:highlight w:val="white"/>
          <w:rtl w:val="0"/>
        </w:rPr>
        <w:t xml:space="preserve">., 2021, p. 70)</w:t>
      </w:r>
      <w:r w:rsidDel="00000000" w:rsidR="00000000" w:rsidRPr="00000000">
        <w:rPr>
          <w:rtl w:val="0"/>
        </w:rPr>
        <w:t xml:space="preserve">. Flexibility in the labour market also develops insecurity among the employees regarding their jobs as well as the wages due to the rising inequality. There is also a great deal of inequality regarding the contractual management and conduct between the insiders of the organisation and the outsiders. The organisations also show the signs of inequality in the employee relationships with the conduct of flexible working. This is because the regular employees who work from the office premises maintain a great level of interaction and interpersonal relations. However, the employees working from remote locations do not get the opportunity to do that. </w:t>
      </w:r>
    </w:p>
    <w:p w:rsidR="00000000" w:rsidDel="00000000" w:rsidP="00000000" w:rsidRDefault="00000000" w:rsidRPr="00000000" w14:paraId="0000001F">
      <w:pPr>
        <w:pStyle w:val="Heading1"/>
        <w:spacing w:line="480" w:lineRule="auto"/>
        <w:jc w:val="both"/>
        <w:rPr/>
      </w:pPr>
      <w:bookmarkStart w:colFirst="0" w:colLast="0" w:name="_heading=h.tyjcwt" w:id="5"/>
      <w:bookmarkEnd w:id="5"/>
      <w:r w:rsidDel="00000000" w:rsidR="00000000" w:rsidRPr="00000000">
        <w:rPr>
          <w:rtl w:val="0"/>
        </w:rPr>
        <w:t xml:space="preserve">Analysing the role of Human Resources in addressing the concerns of inequality that may arise from flexible working </w:t>
      </w:r>
    </w:p>
    <w:p w:rsidR="00000000" w:rsidDel="00000000" w:rsidP="00000000" w:rsidRDefault="00000000" w:rsidRPr="00000000" w14:paraId="00000020">
      <w:pPr>
        <w:spacing w:line="480" w:lineRule="auto"/>
        <w:rPr/>
      </w:pPr>
      <w:r w:rsidDel="00000000" w:rsidR="00000000" w:rsidRPr="00000000">
        <w:rPr>
          <w:rtl w:val="0"/>
        </w:rPr>
        <w:t xml:space="preserve">The arrangement of flexible working conduct can give rise to significant signs of inequality in organisations. The team of Human Resource Management needs to take the responsibility to frame the strategic methods and processes that can help with the efficient conduct of the arrangement. The HRM team is responsible for collecting feedback and reviews from the employees to understand their experience along with their vulnerabilities. This will also give them knowledge on the need for improvement in the operational conduct of this mode of working. The HRM needs to take into consideration the rising cases of inequality within </w:t>
      </w:r>
      <w:r w:rsidDel="00000000" w:rsidR="00000000" w:rsidRPr="00000000">
        <w:rPr>
          <w:color w:val="ff0000"/>
          <w:rtl w:val="0"/>
        </w:rPr>
        <w:t xml:space="preserve">Sainsbury’s</w:t>
      </w:r>
      <w:r w:rsidDel="00000000" w:rsidR="00000000" w:rsidRPr="00000000">
        <w:rPr>
          <w:rtl w:val="0"/>
        </w:rPr>
        <w:t xml:space="preserve"> and how it is impacting the emotional and financial aspects of the employees. The employees need to have a sense of reliability so that they can make effective contributions to the organisations (</w:t>
      </w:r>
      <w:r w:rsidDel="00000000" w:rsidR="00000000" w:rsidRPr="00000000">
        <w:rPr>
          <w:color w:val="222222"/>
          <w:highlight w:val="white"/>
          <w:rtl w:val="0"/>
        </w:rPr>
        <w:t xml:space="preserve">Beigi</w:t>
      </w:r>
      <w:r w:rsidDel="00000000" w:rsidR="00000000" w:rsidRPr="00000000">
        <w:rPr>
          <w:i w:val="1"/>
          <w:color w:val="222222"/>
          <w:highlight w:val="white"/>
          <w:rtl w:val="0"/>
        </w:rPr>
        <w:t xml:space="preserve"> et al</w:t>
      </w:r>
      <w:r w:rsidDel="00000000" w:rsidR="00000000" w:rsidRPr="00000000">
        <w:rPr>
          <w:color w:val="222222"/>
          <w:highlight w:val="white"/>
          <w:rtl w:val="0"/>
        </w:rPr>
        <w:t xml:space="preserve">., 2018, p. 325)</w:t>
      </w:r>
      <w:r w:rsidDel="00000000" w:rsidR="00000000" w:rsidRPr="00000000">
        <w:rPr>
          <w:rtl w:val="0"/>
        </w:rPr>
        <w:t xml:space="preserve">. The HRM needs to conduct meetings and events where they can involve the remote workers and encourage them to participate. This will eventually develop a sense of inclusiveness among the employees as well. The organisation should also take initiative into organising training sessions and workshops for the employees who work at flexible hours by having a consultation with them on their availability so they can join it. This will allow them to learn the same things and gain the knowledge that all the other employees have gained already. These kinds of initiatives taken by the organisation can also develop a sense of loyalty and security among the employees towards the organisation and regarding their jobs as well. This is because of the organisations who help their employees to learn to get the biggest outcome from their performance. To promote more gender equality within </w:t>
      </w:r>
      <w:r w:rsidDel="00000000" w:rsidR="00000000" w:rsidRPr="00000000">
        <w:rPr>
          <w:color w:val="ff0000"/>
          <w:rtl w:val="0"/>
        </w:rPr>
        <w:t xml:space="preserve">Sainsbury’s</w:t>
      </w:r>
      <w:r w:rsidDel="00000000" w:rsidR="00000000" w:rsidRPr="00000000">
        <w:rPr>
          <w:rtl w:val="0"/>
        </w:rPr>
        <w:t xml:space="preserve"> Human Resource should take into consideration the payment process and its differences concerning women and men employees. Differences in wages can often lead to the development of a bad reputation for the organisations (</w:t>
      </w:r>
      <w:r w:rsidDel="00000000" w:rsidR="00000000" w:rsidRPr="00000000">
        <w:rPr>
          <w:color w:val="222222"/>
          <w:highlight w:val="white"/>
          <w:rtl w:val="0"/>
        </w:rPr>
        <w:t xml:space="preserve">Ipsen</w:t>
      </w:r>
      <w:r w:rsidDel="00000000" w:rsidR="00000000" w:rsidRPr="00000000">
        <w:rPr>
          <w:i w:val="1"/>
          <w:color w:val="222222"/>
          <w:highlight w:val="white"/>
          <w:rtl w:val="0"/>
        </w:rPr>
        <w:t xml:space="preserve"> et al</w:t>
      </w:r>
      <w:r w:rsidDel="00000000" w:rsidR="00000000" w:rsidRPr="00000000">
        <w:rPr>
          <w:color w:val="222222"/>
          <w:highlight w:val="white"/>
          <w:rtl w:val="0"/>
        </w:rPr>
        <w:t xml:space="preserve">., 2021, p. 1826)</w:t>
      </w:r>
      <w:r w:rsidDel="00000000" w:rsidR="00000000" w:rsidRPr="00000000">
        <w:rPr>
          <w:rtl w:val="0"/>
        </w:rPr>
        <w:t xml:space="preserve">. Thus, it is essential to pay them equally per their level of contribution. Again, the HRM also needs to make an approach to reducing the rate of employee side-lining. They need to host meetings with a hybrid model of working where the employee can present both physically and virtually. This will eventually develop and strengthen the sense of collaboration and trust within the work environment. This will also reduce the rate of employee isolation and help build some kind of interaction among all the employees. Since the main purpose of the management of Human Resources is to keep track of the satisfaction and interests of the employees thus the implementation of the measures will also help them fulfil the purpose and also mitigate the inequality rates at work. </w:t>
      </w:r>
    </w:p>
    <w:p w:rsidR="00000000" w:rsidDel="00000000" w:rsidP="00000000" w:rsidRDefault="00000000" w:rsidRPr="00000000" w14:paraId="00000021">
      <w:pPr>
        <w:pStyle w:val="Heading1"/>
        <w:spacing w:line="480" w:lineRule="auto"/>
        <w:jc w:val="both"/>
        <w:rPr/>
      </w:pPr>
      <w:bookmarkStart w:colFirst="0" w:colLast="0" w:name="_heading=h.3dy6vkm" w:id="6"/>
      <w:bookmarkEnd w:id="6"/>
      <w:r w:rsidDel="00000000" w:rsidR="00000000" w:rsidRPr="00000000">
        <w:rPr>
          <w:rtl w:val="0"/>
        </w:rPr>
        <w:t xml:space="preserve">Conclusion </w:t>
      </w:r>
    </w:p>
    <w:p w:rsidR="00000000" w:rsidDel="00000000" w:rsidP="00000000" w:rsidRDefault="00000000" w:rsidRPr="00000000" w14:paraId="00000022">
      <w:pPr>
        <w:spacing w:line="480" w:lineRule="auto"/>
        <w:rPr/>
      </w:pPr>
      <w:r w:rsidDel="00000000" w:rsidR="00000000" w:rsidRPr="00000000">
        <w:rPr>
          <w:rtl w:val="0"/>
        </w:rPr>
        <w:t xml:space="preserve">Coming to the end of the assessment it is well understood that the concept of flexible working requires a good amount of effort and arrangements from the Human Resource of Management for the efficient conduct of the work. The flexible mode of working had given rise to several significant benefits to the employees as well as the </w:t>
      </w:r>
      <w:r w:rsidDel="00000000" w:rsidR="00000000" w:rsidRPr="00000000">
        <w:rPr>
          <w:color w:val="ff0000"/>
          <w:rtl w:val="0"/>
        </w:rPr>
        <w:t xml:space="preserve">operational conduct of Sainsbury’s</w:t>
      </w:r>
      <w:r w:rsidDel="00000000" w:rsidR="00000000" w:rsidRPr="00000000">
        <w:rPr>
          <w:rtl w:val="0"/>
        </w:rPr>
        <w:t xml:space="preserve">. The analysis of all the factors gives a clear idea of why this mode of working is somewhat the future of the corporate world. However, certain significant disadvantages have emerged into the picture with the conduct of this mode of working. The analysis of all the terms and conditions and the significant impact of the advantages and disadvantages on the operational conduct of the organisation also gives knowledge on how the efficient strategies developed by the Human Resource Management can maintain the conduct. Thus, </w:t>
      </w:r>
      <w:r w:rsidDel="00000000" w:rsidR="00000000" w:rsidRPr="00000000">
        <w:rPr>
          <w:color w:val="ff0000"/>
          <w:rtl w:val="0"/>
        </w:rPr>
        <w:t xml:space="preserve">Sainsbury’s</w:t>
      </w:r>
      <w:r w:rsidDel="00000000" w:rsidR="00000000" w:rsidRPr="00000000">
        <w:rPr>
          <w:rtl w:val="0"/>
        </w:rPr>
        <w:t xml:space="preserve"> need to consider all the factors and make the necessary changes in their management and working approaches as well. </w:t>
      </w:r>
    </w:p>
    <w:p w:rsidR="00000000" w:rsidDel="00000000" w:rsidP="00000000" w:rsidRDefault="00000000" w:rsidRPr="00000000" w14:paraId="00000023">
      <w:pPr>
        <w:pStyle w:val="Heading1"/>
        <w:spacing w:line="480" w:lineRule="auto"/>
        <w:jc w:val="both"/>
        <w:rPr/>
      </w:pPr>
      <w:bookmarkStart w:colFirst="0" w:colLast="0" w:name="_heading=h.1t3h5sf" w:id="7"/>
      <w:bookmarkEnd w:id="7"/>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spacing w:line="480" w:lineRule="auto"/>
        <w:jc w:val="both"/>
        <w:rPr/>
      </w:pPr>
      <w:bookmarkStart w:colFirst="0" w:colLast="0" w:name="_heading=h.4d34og8" w:id="8"/>
      <w:bookmarkEnd w:id="8"/>
      <w:r w:rsidDel="00000000" w:rsidR="00000000" w:rsidRPr="00000000">
        <w:rPr>
          <w:rtl w:val="0"/>
        </w:rPr>
        <w:t xml:space="preserve">Reference </w:t>
      </w:r>
    </w:p>
    <w:p w:rsidR="00000000" w:rsidDel="00000000" w:rsidP="00000000" w:rsidRDefault="00000000" w:rsidRPr="00000000" w14:paraId="00000025">
      <w:pPr>
        <w:spacing w:line="480" w:lineRule="auto"/>
        <w:rPr>
          <w:color w:val="222222"/>
          <w:highlight w:val="white"/>
        </w:rPr>
      </w:pPr>
      <w:r w:rsidDel="00000000" w:rsidR="00000000" w:rsidRPr="00000000">
        <w:rPr>
          <w:color w:val="222222"/>
          <w:highlight w:val="white"/>
          <w:rtl w:val="0"/>
        </w:rPr>
        <w:t xml:space="preserve">Beigi, M., Shirmohammadi, M. and Stewart, J., 2018. Flexible work arrangements and work–family conflict: A metasynthesis of qualitative studies among academics. </w:t>
      </w:r>
      <w:r w:rsidDel="00000000" w:rsidR="00000000" w:rsidRPr="00000000">
        <w:rPr>
          <w:i w:val="1"/>
          <w:color w:val="222222"/>
          <w:highlight w:val="white"/>
          <w:rtl w:val="0"/>
        </w:rPr>
        <w:t xml:space="preserve">Human Resource Development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17</w:t>
      </w:r>
      <w:r w:rsidDel="00000000" w:rsidR="00000000" w:rsidRPr="00000000">
        <w:rPr>
          <w:color w:val="222222"/>
          <w:highlight w:val="white"/>
          <w:rtl w:val="0"/>
        </w:rPr>
        <w:t xml:space="preserve">(3), pp.314-336.</w:t>
      </w:r>
      <w:hyperlink r:id="rId7">
        <w:r w:rsidDel="00000000" w:rsidR="00000000" w:rsidRPr="00000000">
          <w:rPr>
            <w:color w:val="1155cc"/>
            <w:highlight w:val="white"/>
            <w:u w:val="single"/>
            <w:rtl w:val="0"/>
          </w:rPr>
          <w:t xml:space="preserve">https://journals.sagepub.com/doi/abs/10.1177/1534484318787628</w:t>
        </w:r>
      </w:hyperlink>
      <w:r w:rsidDel="00000000" w:rsidR="00000000" w:rsidRPr="00000000">
        <w:rPr>
          <w:rtl w:val="0"/>
        </w:rPr>
      </w:r>
    </w:p>
    <w:p w:rsidR="00000000" w:rsidDel="00000000" w:rsidP="00000000" w:rsidRDefault="00000000" w:rsidRPr="00000000" w14:paraId="00000026">
      <w:pPr>
        <w:spacing w:line="480" w:lineRule="auto"/>
        <w:rPr>
          <w:color w:val="222222"/>
          <w:highlight w:val="white"/>
        </w:rPr>
      </w:pPr>
      <w:r w:rsidDel="00000000" w:rsidR="00000000" w:rsidRPr="00000000">
        <w:rPr>
          <w:color w:val="222222"/>
          <w:highlight w:val="white"/>
          <w:rtl w:val="0"/>
        </w:rPr>
        <w:t xml:space="preserve">Chandola, T., Booker, C.L., Kumari, M. and Benzeval, M., 2019. Are flexible work arrangements associated with lower levels of chronic stress-related biomarkers? A study of 6025 employees in the UK household longitudinal study. </w:t>
      </w:r>
      <w:r w:rsidDel="00000000" w:rsidR="00000000" w:rsidRPr="00000000">
        <w:rPr>
          <w:i w:val="1"/>
          <w:color w:val="222222"/>
          <w:highlight w:val="white"/>
          <w:rtl w:val="0"/>
        </w:rPr>
        <w:t xml:space="preserve">Sociology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53</w:t>
      </w:r>
      <w:r w:rsidDel="00000000" w:rsidR="00000000" w:rsidRPr="00000000">
        <w:rPr>
          <w:color w:val="222222"/>
          <w:highlight w:val="white"/>
          <w:rtl w:val="0"/>
        </w:rPr>
        <w:t xml:space="preserve">(4), pp.779-799.</w:t>
      </w:r>
      <w:hyperlink r:id="rId8">
        <w:r w:rsidDel="00000000" w:rsidR="00000000" w:rsidRPr="00000000">
          <w:rPr>
            <w:color w:val="1155cc"/>
            <w:highlight w:val="white"/>
            <w:u w:val="single"/>
            <w:rtl w:val="0"/>
          </w:rPr>
          <w:t xml:space="preserve">https://journals.sagepub.com/doi/abs/10.1177/0038038519826014</w:t>
        </w:r>
      </w:hyperlink>
      <w:r w:rsidDel="00000000" w:rsidR="00000000" w:rsidRPr="00000000">
        <w:rPr>
          <w:rtl w:val="0"/>
        </w:rPr>
      </w:r>
    </w:p>
    <w:p w:rsidR="00000000" w:rsidDel="00000000" w:rsidP="00000000" w:rsidRDefault="00000000" w:rsidRPr="00000000" w14:paraId="00000027">
      <w:pPr>
        <w:spacing w:line="480" w:lineRule="auto"/>
        <w:rPr>
          <w:color w:val="222222"/>
          <w:highlight w:val="white"/>
        </w:rPr>
      </w:pPr>
      <w:r w:rsidDel="00000000" w:rsidR="00000000" w:rsidRPr="00000000">
        <w:rPr>
          <w:color w:val="222222"/>
          <w:highlight w:val="white"/>
          <w:rtl w:val="0"/>
        </w:rPr>
        <w:t xml:space="preserve">Choi, S., 2018. Managing flexible work arrangements in government: Testing the effects of institutional and managerial support. </w:t>
      </w:r>
      <w:r w:rsidDel="00000000" w:rsidR="00000000" w:rsidRPr="00000000">
        <w:rPr>
          <w:i w:val="1"/>
          <w:color w:val="222222"/>
          <w:highlight w:val="white"/>
          <w:rtl w:val="0"/>
        </w:rPr>
        <w:t xml:space="preserve">Public Personnel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47</w:t>
      </w:r>
      <w:r w:rsidDel="00000000" w:rsidR="00000000" w:rsidRPr="00000000">
        <w:rPr>
          <w:color w:val="222222"/>
          <w:highlight w:val="white"/>
          <w:rtl w:val="0"/>
        </w:rPr>
        <w:t xml:space="preserve">(1), pp.26-50.</w:t>
      </w:r>
      <w:hyperlink r:id="rId9">
        <w:r w:rsidDel="00000000" w:rsidR="00000000" w:rsidRPr="00000000">
          <w:rPr>
            <w:color w:val="1155cc"/>
            <w:highlight w:val="white"/>
            <w:u w:val="single"/>
            <w:rtl w:val="0"/>
          </w:rPr>
          <w:t xml:space="preserve">https://journals.sagepub.com/doi/abs/10.1177/0091026017738540</w:t>
        </w:r>
      </w:hyperlink>
      <w:r w:rsidDel="00000000" w:rsidR="00000000" w:rsidRPr="00000000">
        <w:rPr>
          <w:rtl w:val="0"/>
        </w:rPr>
      </w:r>
    </w:p>
    <w:p w:rsidR="00000000" w:rsidDel="00000000" w:rsidP="00000000" w:rsidRDefault="00000000" w:rsidRPr="00000000" w14:paraId="00000028">
      <w:pPr>
        <w:spacing w:line="480" w:lineRule="auto"/>
        <w:rPr>
          <w:color w:val="222222"/>
          <w:highlight w:val="white"/>
        </w:rPr>
      </w:pPr>
      <w:r w:rsidDel="00000000" w:rsidR="00000000" w:rsidRPr="00000000">
        <w:rPr>
          <w:color w:val="222222"/>
          <w:highlight w:val="white"/>
          <w:rtl w:val="0"/>
        </w:rPr>
        <w:t xml:space="preserve">Ferreira, R., Pereira, R., Bianchi, I.S. and da Silva, M.M., 2021. Decision factors for remote work adoption: Advantages, disadvantages, driving forces and challenges. </w:t>
      </w:r>
      <w:r w:rsidDel="00000000" w:rsidR="00000000" w:rsidRPr="00000000">
        <w:rPr>
          <w:i w:val="1"/>
          <w:color w:val="222222"/>
          <w:highlight w:val="white"/>
          <w:rtl w:val="0"/>
        </w:rPr>
        <w:t xml:space="preserve">Journal of Open Innovation: Technology, Market, and Complexity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w:t>
      </w:r>
      <w:r w:rsidDel="00000000" w:rsidR="00000000" w:rsidRPr="00000000">
        <w:rPr>
          <w:color w:val="222222"/>
          <w:highlight w:val="white"/>
          <w:rtl w:val="0"/>
        </w:rPr>
        <w:t xml:space="preserve">(1), p.70.</w:t>
      </w:r>
      <w:hyperlink r:id="rId10">
        <w:r w:rsidDel="00000000" w:rsidR="00000000" w:rsidRPr="00000000">
          <w:rPr>
            <w:color w:val="1155cc"/>
            <w:highlight w:val="white"/>
            <w:u w:val="single"/>
            <w:rtl w:val="0"/>
          </w:rPr>
          <w:t xml:space="preserve">https://www.mdpi.com/1006420</w:t>
        </w:r>
      </w:hyperlink>
      <w:r w:rsidDel="00000000" w:rsidR="00000000" w:rsidRPr="00000000">
        <w:rPr>
          <w:rtl w:val="0"/>
        </w:rPr>
      </w:r>
    </w:p>
    <w:p w:rsidR="00000000" w:rsidDel="00000000" w:rsidP="00000000" w:rsidRDefault="00000000" w:rsidRPr="00000000" w14:paraId="00000029">
      <w:pPr>
        <w:spacing w:line="480" w:lineRule="auto"/>
        <w:rPr>
          <w:color w:val="222222"/>
          <w:highlight w:val="white"/>
        </w:rPr>
      </w:pPr>
      <w:r w:rsidDel="00000000" w:rsidR="00000000" w:rsidRPr="00000000">
        <w:rPr>
          <w:color w:val="222222"/>
          <w:highlight w:val="white"/>
          <w:rtl w:val="0"/>
        </w:rPr>
        <w:t xml:space="preserve">Fuller, S. and Hirsh, C.E., 2019. “Family-friendly” jobs and motherhood pay penalties: The impact of flexible work arrangements across the educational spectrum. </w:t>
      </w:r>
      <w:r w:rsidDel="00000000" w:rsidR="00000000" w:rsidRPr="00000000">
        <w:rPr>
          <w:i w:val="1"/>
          <w:color w:val="222222"/>
          <w:highlight w:val="white"/>
          <w:rtl w:val="0"/>
        </w:rPr>
        <w:t xml:space="preserve">Work and Occupations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46</w:t>
      </w:r>
      <w:r w:rsidDel="00000000" w:rsidR="00000000" w:rsidRPr="00000000">
        <w:rPr>
          <w:color w:val="222222"/>
          <w:highlight w:val="white"/>
          <w:rtl w:val="0"/>
        </w:rPr>
        <w:t xml:space="preserve">(1), pp.3-44.</w:t>
      </w:r>
      <w:hyperlink r:id="rId11">
        <w:r w:rsidDel="00000000" w:rsidR="00000000" w:rsidRPr="00000000">
          <w:rPr>
            <w:color w:val="1155cc"/>
            <w:highlight w:val="white"/>
            <w:u w:val="single"/>
            <w:rtl w:val="0"/>
          </w:rPr>
          <w:t xml:space="preserve">https://journals.sagepub.com/doi/abs/10.1177/0730888418771116</w:t>
        </w:r>
      </w:hyperlink>
      <w:r w:rsidDel="00000000" w:rsidR="00000000" w:rsidRPr="00000000">
        <w:rPr>
          <w:rtl w:val="0"/>
        </w:rPr>
      </w:r>
    </w:p>
    <w:p w:rsidR="00000000" w:rsidDel="00000000" w:rsidP="00000000" w:rsidRDefault="00000000" w:rsidRPr="00000000" w14:paraId="0000002A">
      <w:pPr>
        <w:spacing w:line="480" w:lineRule="auto"/>
        <w:rPr>
          <w:color w:val="222222"/>
          <w:highlight w:val="white"/>
        </w:rPr>
      </w:pPr>
      <w:r w:rsidDel="00000000" w:rsidR="00000000" w:rsidRPr="00000000">
        <w:rPr>
          <w:color w:val="222222"/>
          <w:highlight w:val="white"/>
          <w:rtl w:val="0"/>
        </w:rPr>
        <w:t xml:space="preserve">Groen, B.A., Van Triest, S.P., Coers, M. and Wtenweerde, N., 2018. Managing flexible work arrangements: Teleworking and output controls. </w:t>
      </w:r>
      <w:r w:rsidDel="00000000" w:rsidR="00000000" w:rsidRPr="00000000">
        <w:rPr>
          <w:i w:val="1"/>
          <w:color w:val="222222"/>
          <w:highlight w:val="white"/>
          <w:rtl w:val="0"/>
        </w:rPr>
        <w:t xml:space="preserve">European Management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36</w:t>
      </w:r>
      <w:r w:rsidDel="00000000" w:rsidR="00000000" w:rsidRPr="00000000">
        <w:rPr>
          <w:color w:val="222222"/>
          <w:highlight w:val="white"/>
          <w:rtl w:val="0"/>
        </w:rPr>
        <w:t xml:space="preserve">(6), pp.727-735.</w:t>
      </w:r>
      <w:hyperlink r:id="rId12">
        <w:r w:rsidDel="00000000" w:rsidR="00000000" w:rsidRPr="00000000">
          <w:rPr>
            <w:color w:val="1155cc"/>
            <w:highlight w:val="white"/>
            <w:u w:val="single"/>
            <w:rtl w:val="0"/>
          </w:rPr>
          <w:t xml:space="preserve">https://www.sciencedirect.com/science/article/pii/S0263237318300215</w:t>
        </w:r>
      </w:hyperlink>
      <w:r w:rsidDel="00000000" w:rsidR="00000000" w:rsidRPr="00000000">
        <w:rPr>
          <w:rtl w:val="0"/>
        </w:rPr>
      </w:r>
    </w:p>
    <w:p w:rsidR="00000000" w:rsidDel="00000000" w:rsidP="00000000" w:rsidRDefault="00000000" w:rsidRPr="00000000" w14:paraId="0000002B">
      <w:pPr>
        <w:spacing w:line="480" w:lineRule="auto"/>
        <w:rPr>
          <w:color w:val="222222"/>
          <w:highlight w:val="white"/>
        </w:rPr>
      </w:pPr>
      <w:r w:rsidDel="00000000" w:rsidR="00000000" w:rsidRPr="00000000">
        <w:rPr>
          <w:color w:val="222222"/>
          <w:highlight w:val="white"/>
          <w:rtl w:val="0"/>
        </w:rPr>
        <w:t xml:space="preserve">Hunter, P., 2019. Remote working in research: An increasing usage of flexible work arrangements can improve productivity and creativity. </w:t>
      </w:r>
      <w:r w:rsidDel="00000000" w:rsidR="00000000" w:rsidRPr="00000000">
        <w:rPr>
          <w:i w:val="1"/>
          <w:color w:val="222222"/>
          <w:highlight w:val="white"/>
          <w:rtl w:val="0"/>
        </w:rPr>
        <w:t xml:space="preserve">EMBO reports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20</w:t>
      </w:r>
      <w:r w:rsidDel="00000000" w:rsidR="00000000" w:rsidRPr="00000000">
        <w:rPr>
          <w:color w:val="222222"/>
          <w:highlight w:val="white"/>
          <w:rtl w:val="0"/>
        </w:rPr>
        <w:t xml:space="preserve">(1), p.e47435.</w:t>
      </w:r>
      <w:hyperlink r:id="rId13">
        <w:r w:rsidDel="00000000" w:rsidR="00000000" w:rsidRPr="00000000">
          <w:rPr>
            <w:color w:val="1155cc"/>
            <w:highlight w:val="white"/>
            <w:u w:val="single"/>
            <w:rtl w:val="0"/>
          </w:rPr>
          <w:t xml:space="preserve">https://www.embopress.org/doi/abs/10.15252/embr.201847435</w:t>
        </w:r>
      </w:hyperlink>
      <w:r w:rsidDel="00000000" w:rsidR="00000000" w:rsidRPr="00000000">
        <w:rPr>
          <w:rtl w:val="0"/>
        </w:rPr>
      </w:r>
    </w:p>
    <w:p w:rsidR="00000000" w:rsidDel="00000000" w:rsidP="00000000" w:rsidRDefault="00000000" w:rsidRPr="00000000" w14:paraId="0000002C">
      <w:pPr>
        <w:spacing w:line="480" w:lineRule="auto"/>
        <w:rPr>
          <w:color w:val="222222"/>
          <w:highlight w:val="white"/>
        </w:rPr>
      </w:pPr>
      <w:r w:rsidDel="00000000" w:rsidR="00000000" w:rsidRPr="00000000">
        <w:rPr>
          <w:color w:val="222222"/>
          <w:highlight w:val="white"/>
          <w:rtl w:val="0"/>
        </w:rPr>
        <w:t xml:space="preserve">Ipsen, C., van Veldhoven, M., Kirchner, K. and Hansen, J.P., 2021. Six key advantages and disadvantages of working from home in Europe during COVID-19. </w:t>
      </w:r>
      <w:r w:rsidDel="00000000" w:rsidR="00000000" w:rsidRPr="00000000">
        <w:rPr>
          <w:i w:val="1"/>
          <w:color w:val="222222"/>
          <w:highlight w:val="white"/>
          <w:rtl w:val="0"/>
        </w:rPr>
        <w:t xml:space="preserve">International Journal of Environmental Research and Public Health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18</w:t>
      </w:r>
      <w:r w:rsidDel="00000000" w:rsidR="00000000" w:rsidRPr="00000000">
        <w:rPr>
          <w:color w:val="222222"/>
          <w:highlight w:val="white"/>
          <w:rtl w:val="0"/>
        </w:rPr>
        <w:t xml:space="preserve">(4), p.1826.</w:t>
      </w:r>
      <w:hyperlink r:id="rId14">
        <w:r w:rsidDel="00000000" w:rsidR="00000000" w:rsidRPr="00000000">
          <w:rPr>
            <w:color w:val="1155cc"/>
            <w:highlight w:val="white"/>
            <w:u w:val="single"/>
            <w:rtl w:val="0"/>
          </w:rPr>
          <w:t xml:space="preserve">https://www.mdpi.com/997612</w:t>
        </w:r>
      </w:hyperlink>
      <w:r w:rsidDel="00000000" w:rsidR="00000000" w:rsidRPr="00000000">
        <w:rPr>
          <w:rtl w:val="0"/>
        </w:rPr>
      </w:r>
    </w:p>
    <w:p w:rsidR="00000000" w:rsidDel="00000000" w:rsidP="00000000" w:rsidRDefault="00000000" w:rsidRPr="00000000" w14:paraId="0000002D">
      <w:pPr>
        <w:spacing w:line="480" w:lineRule="auto"/>
        <w:rPr>
          <w:color w:val="222222"/>
          <w:highlight w:val="white"/>
        </w:rPr>
      </w:pPr>
      <w:r w:rsidDel="00000000" w:rsidR="00000000" w:rsidRPr="00000000">
        <w:rPr>
          <w:color w:val="222222"/>
          <w:highlight w:val="white"/>
          <w:rtl w:val="0"/>
        </w:rPr>
        <w:t xml:space="preserve">Kumar, S., Sarkar, S. and Chahar, B., 2021. A systematic review of work-life integration and role of flexible work arrangements. </w:t>
      </w:r>
      <w:r w:rsidDel="00000000" w:rsidR="00000000" w:rsidRPr="00000000">
        <w:rPr>
          <w:i w:val="1"/>
          <w:color w:val="222222"/>
          <w:highlight w:val="white"/>
          <w:rtl w:val="0"/>
        </w:rPr>
        <w:t xml:space="preserve">International Journal of Organizational Analysis</w:t>
      </w:r>
      <w:r w:rsidDel="00000000" w:rsidR="00000000" w:rsidRPr="00000000">
        <w:rPr>
          <w:color w:val="222222"/>
          <w:highlight w:val="white"/>
          <w:rtl w:val="0"/>
        </w:rPr>
        <w:t xml:space="preserve">.</w:t>
      </w:r>
      <w:hyperlink r:id="rId15">
        <w:r w:rsidDel="00000000" w:rsidR="00000000" w:rsidRPr="00000000">
          <w:rPr>
            <w:color w:val="1155cc"/>
            <w:highlight w:val="white"/>
            <w:u w:val="single"/>
            <w:rtl w:val="0"/>
          </w:rPr>
          <w:t xml:space="preserve">https://www.emerald.com/insight/content/doi/10.1108/IJOA-07-2021-2855/full/html</w:t>
        </w:r>
      </w:hyperlink>
      <w:r w:rsidDel="00000000" w:rsidR="00000000" w:rsidRPr="00000000">
        <w:rPr>
          <w:rtl w:val="0"/>
        </w:rPr>
      </w:r>
    </w:p>
    <w:p w:rsidR="00000000" w:rsidDel="00000000" w:rsidP="00000000" w:rsidRDefault="00000000" w:rsidRPr="00000000" w14:paraId="0000002E">
      <w:pPr>
        <w:spacing w:line="480" w:lineRule="auto"/>
        <w:rPr>
          <w:color w:val="222222"/>
          <w:highlight w:val="white"/>
        </w:rPr>
      </w:pPr>
      <w:r w:rsidDel="00000000" w:rsidR="00000000" w:rsidRPr="00000000">
        <w:rPr>
          <w:color w:val="222222"/>
          <w:highlight w:val="white"/>
          <w:rtl w:val="0"/>
        </w:rPr>
        <w:t xml:space="preserve">Murabula, P., 2022. </w:t>
      </w:r>
      <w:r w:rsidDel="00000000" w:rsidR="00000000" w:rsidRPr="00000000">
        <w:rPr>
          <w:i w:val="1"/>
          <w:color w:val="222222"/>
          <w:highlight w:val="white"/>
          <w:rtl w:val="0"/>
        </w:rPr>
        <w:t xml:space="preserve">The Worklife/Progression Trade-Off: How Flexible Work Arrangements Relate to Job Satisfaction and Career Success</w:t>
      </w:r>
      <w:r w:rsidDel="00000000" w:rsidR="00000000" w:rsidRPr="00000000">
        <w:rPr>
          <w:color w:val="222222"/>
          <w:highlight w:val="white"/>
          <w:rtl w:val="0"/>
        </w:rPr>
        <w:t xml:space="preserve"> (Doctoral dissertation, Auckland University of Technology).</w:t>
      </w:r>
      <w:hyperlink r:id="rId16">
        <w:r w:rsidDel="00000000" w:rsidR="00000000" w:rsidRPr="00000000">
          <w:rPr>
            <w:color w:val="1155cc"/>
            <w:highlight w:val="white"/>
            <w:u w:val="single"/>
            <w:rtl w:val="0"/>
          </w:rPr>
          <w:t xml:space="preserve">https://openrepository.aut.ac.nz/handle/10292/14945</w:t>
        </w:r>
      </w:hyperlink>
      <w:r w:rsidDel="00000000" w:rsidR="00000000" w:rsidRPr="00000000">
        <w:rPr>
          <w:rtl w:val="0"/>
        </w:rPr>
      </w:r>
    </w:p>
    <w:sectPr>
      <w:headerReference r:id="rId17" w:type="default"/>
      <w:footerReference r:id="rId18"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Page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of </w:t>
    </w:r>
    <w:r w:rsidDel="00000000" w:rsidR="00000000" w:rsidRPr="00000000">
      <w:rPr>
        <w:rFonts w:ascii="Arial" w:cs="Arial" w:eastAsia="Arial" w:hAnsi="Arial"/>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222222"/>
        <w:sz w:val="24"/>
        <w:szCs w:val="24"/>
        <w:highlight w:val="white"/>
        <w:u w:val="none"/>
        <w:vertAlign w:val="baseline"/>
        <w:rtl w:val="0"/>
      </w:rPr>
      <w:t xml:space="preserve">Managing People Assessment 1- Iliya Georgiev Radichev - Module Code : LCBB5004 - Student number : 2023563 </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276"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jc w:val="center"/>
    </w:pPr>
    <w:rPr>
      <w:b w:val="1"/>
      <w:sz w:val="28"/>
      <w:szCs w:val="28"/>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rsid w:val="007E1313"/>
    <w:rPr>
      <w:lang w:val="en-GB"/>
    </w:rPr>
  </w:style>
  <w:style w:type="paragraph" w:styleId="Heading1">
    <w:name w:val="heading 1"/>
    <w:basedOn w:val="Normal"/>
    <w:next w:val="Normal"/>
    <w:rsid w:val="007E1313"/>
    <w:pPr>
      <w:keepNext w:val="1"/>
      <w:keepLines w:val="1"/>
      <w:jc w:val="center"/>
      <w:outlineLvl w:val="0"/>
    </w:pPr>
    <w:rPr>
      <w:b w:val="1"/>
      <w:sz w:val="28"/>
      <w:szCs w:val="28"/>
    </w:rPr>
  </w:style>
  <w:style w:type="paragraph" w:styleId="Heading2">
    <w:name w:val="heading 2"/>
    <w:basedOn w:val="Normal"/>
    <w:next w:val="Normal"/>
    <w:rsid w:val="007E1313"/>
    <w:pPr>
      <w:keepNext w:val="1"/>
      <w:keepLines w:val="1"/>
      <w:spacing w:after="120" w:before="360"/>
      <w:outlineLvl w:val="1"/>
    </w:pPr>
    <w:rPr>
      <w:sz w:val="32"/>
      <w:szCs w:val="32"/>
    </w:rPr>
  </w:style>
  <w:style w:type="paragraph" w:styleId="Heading3">
    <w:name w:val="heading 3"/>
    <w:basedOn w:val="Normal"/>
    <w:next w:val="Normal"/>
    <w:rsid w:val="007E1313"/>
    <w:pPr>
      <w:keepNext w:val="1"/>
      <w:keepLines w:val="1"/>
      <w:spacing w:after="80" w:before="320"/>
      <w:outlineLvl w:val="2"/>
    </w:pPr>
    <w:rPr>
      <w:color w:val="434343"/>
      <w:sz w:val="28"/>
      <w:szCs w:val="28"/>
    </w:rPr>
  </w:style>
  <w:style w:type="paragraph" w:styleId="Heading4">
    <w:name w:val="heading 4"/>
    <w:basedOn w:val="Normal"/>
    <w:next w:val="Normal"/>
    <w:rsid w:val="007E1313"/>
    <w:pPr>
      <w:keepNext w:val="1"/>
      <w:keepLines w:val="1"/>
      <w:spacing w:after="80" w:before="280"/>
      <w:outlineLvl w:val="3"/>
    </w:pPr>
    <w:rPr>
      <w:color w:val="666666"/>
    </w:rPr>
  </w:style>
  <w:style w:type="paragraph" w:styleId="Heading5">
    <w:name w:val="heading 5"/>
    <w:basedOn w:val="Normal"/>
    <w:next w:val="Normal"/>
    <w:rsid w:val="007E1313"/>
    <w:pPr>
      <w:keepNext w:val="1"/>
      <w:keepLines w:val="1"/>
      <w:spacing w:after="80" w:before="240"/>
      <w:outlineLvl w:val="4"/>
    </w:pPr>
    <w:rPr>
      <w:color w:val="666666"/>
      <w:sz w:val="22"/>
      <w:szCs w:val="22"/>
    </w:rPr>
  </w:style>
  <w:style w:type="paragraph" w:styleId="Heading6">
    <w:name w:val="heading 6"/>
    <w:basedOn w:val="Normal"/>
    <w:next w:val="Normal"/>
    <w:rsid w:val="007E1313"/>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rsid w:val="007E1313"/>
    <w:pPr>
      <w:keepNext w:val="1"/>
      <w:keepLines w:val="1"/>
      <w:spacing w:after="60"/>
    </w:pPr>
    <w:rPr>
      <w:sz w:val="52"/>
      <w:szCs w:val="52"/>
    </w:rPr>
  </w:style>
  <w:style w:type="paragraph" w:styleId="Subtitle">
    <w:name w:val="Subtitle"/>
    <w:basedOn w:val="Normal"/>
    <w:next w:val="Normal"/>
    <w:rsid w:val="007E1313"/>
    <w:pPr>
      <w:keepNext w:val="1"/>
      <w:keepLines w:val="1"/>
      <w:spacing w:after="320"/>
    </w:pPr>
    <w:rPr>
      <w:color w:val="666666"/>
      <w:sz w:val="30"/>
      <w:szCs w:val="30"/>
    </w:rPr>
  </w:style>
  <w:style w:type="paragraph" w:styleId="Header">
    <w:name w:val="header"/>
    <w:basedOn w:val="Normal"/>
    <w:link w:val="HeaderChar"/>
    <w:uiPriority w:val="99"/>
    <w:semiHidden w:val="1"/>
    <w:unhideWhenUsed w:val="1"/>
    <w:rsid w:val="00A01054"/>
    <w:pPr>
      <w:tabs>
        <w:tab w:val="center" w:pos="4680"/>
        <w:tab w:val="right" w:pos="9360"/>
      </w:tabs>
      <w:spacing w:line="240" w:lineRule="auto"/>
    </w:pPr>
  </w:style>
  <w:style w:type="character" w:styleId="HeaderChar" w:customStyle="1">
    <w:name w:val="Header Char"/>
    <w:basedOn w:val="DefaultParagraphFont"/>
    <w:link w:val="Header"/>
    <w:uiPriority w:val="99"/>
    <w:semiHidden w:val="1"/>
    <w:rsid w:val="00A01054"/>
  </w:style>
  <w:style w:type="paragraph" w:styleId="Footer">
    <w:name w:val="footer"/>
    <w:basedOn w:val="Normal"/>
    <w:link w:val="FooterChar"/>
    <w:uiPriority w:val="99"/>
    <w:unhideWhenUsed w:val="1"/>
    <w:rsid w:val="00A01054"/>
    <w:pPr>
      <w:tabs>
        <w:tab w:val="center" w:pos="4680"/>
        <w:tab w:val="right" w:pos="9360"/>
      </w:tabs>
      <w:spacing w:line="240" w:lineRule="auto"/>
    </w:pPr>
  </w:style>
  <w:style w:type="character" w:styleId="FooterChar" w:customStyle="1">
    <w:name w:val="Footer Char"/>
    <w:basedOn w:val="DefaultParagraphFont"/>
    <w:link w:val="Footer"/>
    <w:uiPriority w:val="99"/>
    <w:rsid w:val="00A01054"/>
  </w:style>
  <w:style w:type="paragraph" w:styleId="TOCHeading">
    <w:name w:val="TOC Heading"/>
    <w:basedOn w:val="Heading1"/>
    <w:next w:val="Normal"/>
    <w:uiPriority w:val="39"/>
    <w:semiHidden w:val="1"/>
    <w:unhideWhenUsed w:val="1"/>
    <w:qFormat w:val="1"/>
    <w:rsid w:val="00A01054"/>
    <w:pPr>
      <w:spacing w:before="480"/>
      <w:jc w:val="left"/>
      <w:outlineLvl w:val="9"/>
    </w:pPr>
    <w:rPr>
      <w:rFonts w:asciiTheme="majorHAnsi" w:cstheme="majorBidi" w:eastAsiaTheme="majorEastAsia" w:hAnsiTheme="majorHAnsi"/>
      <w:bCs w:val="1"/>
      <w:color w:val="365f91" w:themeColor="accent1" w:themeShade="0000BF"/>
    </w:rPr>
  </w:style>
  <w:style w:type="paragraph" w:styleId="TOC1">
    <w:name w:val="toc 1"/>
    <w:basedOn w:val="Normal"/>
    <w:next w:val="Normal"/>
    <w:autoRedefine w:val="1"/>
    <w:uiPriority w:val="39"/>
    <w:unhideWhenUsed w:val="1"/>
    <w:rsid w:val="00A01054"/>
    <w:pPr>
      <w:spacing w:after="100"/>
    </w:pPr>
  </w:style>
  <w:style w:type="character" w:styleId="Hyperlink">
    <w:name w:val="Hyperlink"/>
    <w:basedOn w:val="DefaultParagraphFont"/>
    <w:uiPriority w:val="99"/>
    <w:unhideWhenUsed w:val="1"/>
    <w:rsid w:val="00A01054"/>
    <w:rPr>
      <w:color w:val="0000ff" w:themeColor="hyperlink"/>
      <w:u w:val="single"/>
    </w:rPr>
  </w:style>
  <w:style w:type="paragraph" w:styleId="BalloonText">
    <w:name w:val="Balloon Text"/>
    <w:basedOn w:val="Normal"/>
    <w:link w:val="BalloonTextChar"/>
    <w:uiPriority w:val="99"/>
    <w:semiHidden w:val="1"/>
    <w:unhideWhenUsed w:val="1"/>
    <w:rsid w:val="00A01054"/>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A01054"/>
    <w:rPr>
      <w:rFonts w:ascii="Tahoma" w:cs="Tahoma" w:hAnsi="Tahoma"/>
      <w:sz w:val="16"/>
      <w:szCs w:val="16"/>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journals.sagepub.com/doi/abs/10.1177/0730888418771116" TargetMode="External"/><Relationship Id="rId10" Type="http://schemas.openxmlformats.org/officeDocument/2006/relationships/hyperlink" Target="https://www.mdpi.com/1006420" TargetMode="External"/><Relationship Id="rId13" Type="http://schemas.openxmlformats.org/officeDocument/2006/relationships/hyperlink" Target="https://www.embopress.org/doi/abs/10.15252/embr.201847435" TargetMode="External"/><Relationship Id="rId12" Type="http://schemas.openxmlformats.org/officeDocument/2006/relationships/hyperlink" Target="https://www.sciencedirect.com/science/article/pii/S026323731830021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ournals.sagepub.com/doi/abs/10.1177/0091026017738540" TargetMode="External"/><Relationship Id="rId15" Type="http://schemas.openxmlformats.org/officeDocument/2006/relationships/hyperlink" Target="https://www.emerald.com/insight/content/doi/10.1108/IJOA-07-2021-2855/full/html" TargetMode="External"/><Relationship Id="rId14" Type="http://schemas.openxmlformats.org/officeDocument/2006/relationships/hyperlink" Target="https://www.mdpi.com/997612" TargetMode="External"/><Relationship Id="rId17" Type="http://schemas.openxmlformats.org/officeDocument/2006/relationships/header" Target="header1.xml"/><Relationship Id="rId16" Type="http://schemas.openxmlformats.org/officeDocument/2006/relationships/hyperlink" Target="https://openrepository.aut.ac.nz/handle/10292/14945"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footer" Target="footer1.xml"/><Relationship Id="rId7" Type="http://schemas.openxmlformats.org/officeDocument/2006/relationships/hyperlink" Target="https://journals.sagepub.com/doi/abs/10.1177/1534484318787628" TargetMode="External"/><Relationship Id="rId8" Type="http://schemas.openxmlformats.org/officeDocument/2006/relationships/hyperlink" Target="https://journals.sagepub.com/doi/abs/10.1177/0038038519826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TmPArO/SkLuBzTKdAhNJPYomNHw==">AMUW2mVl16rWdLQzatQxs6BUBaZabC7k+OhfY2aKLu5S2RU7oYHBS56hKHY/ZLWoP3IUxpTAN4oXkcV6zOl/7prURuU+iT0PaziRsp99j2oLrdTPoYf98wC7DK6ivCs1v4w3fyrcYsj3smszbi9ZY4or19dOJ9+nRC+JBjZvWEEC3q+1NdZltK/eAVjsvXeRHfuTW8nXmm97T6TL8pY4/WzdhHkfbrKVN0N73I1gpvxBVqLCQ65cQ2Q=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2022-04-28T07:33:00Z</dcterms:created>
</cp:coreProperties>
</file>