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486F4" w14:textId="77777777" w:rsidR="00F91F54" w:rsidRPr="00323868" w:rsidRDefault="00F91F54" w:rsidP="00323868">
      <w:pPr>
        <w:pStyle w:val="Normal1"/>
        <w:spacing w:before="200" w:line="360" w:lineRule="auto"/>
        <w:jc w:val="both"/>
        <w:rPr>
          <w:rFonts w:eastAsia="Times New Roman"/>
        </w:rPr>
      </w:pPr>
    </w:p>
    <w:p w14:paraId="015E7BD4" w14:textId="77777777" w:rsidR="00CF788D" w:rsidRPr="00943AA4" w:rsidRDefault="00CF788D" w:rsidP="00CF788D">
      <w:pPr>
        <w:rPr>
          <w:b/>
          <w:sz w:val="32"/>
          <w:szCs w:val="32"/>
          <w:lang w:val="en-GB"/>
        </w:rPr>
      </w:pPr>
      <w:r>
        <w:rPr>
          <w:noProof/>
        </w:rPr>
        <w:drawing>
          <wp:inline distT="0" distB="0" distL="0" distR="0" wp14:anchorId="3E69D411" wp14:editId="7CF96B06">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09750" cy="600075"/>
                    </a:xfrm>
                    <a:prstGeom prst="rect">
                      <a:avLst/>
                    </a:prstGeom>
                  </pic:spPr>
                </pic:pic>
              </a:graphicData>
            </a:graphic>
          </wp:inline>
        </w:drawing>
      </w:r>
      <w:r>
        <w:br/>
      </w:r>
      <w:r>
        <w:br/>
      </w:r>
      <w:r>
        <w:br/>
      </w:r>
    </w:p>
    <w:p w14:paraId="20C11E34" w14:textId="77777777" w:rsidR="00CF788D" w:rsidRPr="00943AA4" w:rsidRDefault="00CF788D" w:rsidP="00CF788D">
      <w:pPr>
        <w:jc w:val="center"/>
        <w:rPr>
          <w:b/>
          <w:sz w:val="32"/>
          <w:szCs w:val="32"/>
          <w:lang w:val="en-GB"/>
        </w:rPr>
      </w:pPr>
      <w:r w:rsidRPr="00FF3A93">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Bachelor of Arts Business Management</w:t>
      </w:r>
      <w:r w:rsidRPr="00446FB0">
        <w:rPr>
          <w:color w:val="000000" w:themeColor="text1"/>
          <w:sz w:val="44"/>
          <w:szCs w:val="44"/>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44"/>
          <w:szCs w:val="44"/>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Module: </w:t>
      </w:r>
      <w:r w:rsidRPr="003B4E44">
        <w:rPr>
          <w:rStyle w:val="normaltextrun"/>
          <w:b/>
          <w:bCs/>
          <w:color w:val="000000"/>
          <w:sz w:val="36"/>
          <w:szCs w:val="36"/>
          <w:shd w:val="clear" w:color="auto" w:fill="FFFFFF"/>
        </w:rPr>
        <w:t>Accounting fundamentals</w:t>
      </w:r>
      <w:r>
        <w:rPr>
          <w:rStyle w:val="normaltextrun"/>
          <w:color w:val="000000"/>
          <w:sz w:val="36"/>
          <w:szCs w:val="36"/>
          <w:shd w:val="clear" w:color="auto" w:fill="FFFFFF"/>
        </w:rPr>
        <w:t xml:space="preserve">- </w:t>
      </w:r>
      <w:r w:rsidRPr="003B4E44">
        <w:rPr>
          <w:b/>
          <w:sz w:val="32"/>
          <w:szCs w:val="32"/>
        </w:rPr>
        <w:t>LCBB 4001</w:t>
      </w:r>
      <w:r>
        <w:br/>
      </w:r>
      <w:r>
        <w:br/>
      </w:r>
      <w:r>
        <w:br/>
      </w:r>
      <w:r>
        <w:rPr>
          <w:b/>
          <w:sz w:val="32"/>
          <w:szCs w:val="32"/>
          <w:lang w:val="en-GB"/>
        </w:rPr>
        <w:t>Academic Report:</w:t>
      </w:r>
      <w:r>
        <w:rPr>
          <w:b/>
          <w:sz w:val="32"/>
          <w:szCs w:val="32"/>
          <w:lang w:val="en-GB"/>
        </w:rPr>
        <w:br/>
      </w:r>
    </w:p>
    <w:p w14:paraId="2BB06E7C" w14:textId="77777777" w:rsidR="00CF788D" w:rsidRPr="00446FB0" w:rsidRDefault="00CF788D" w:rsidP="00CF788D">
      <w:pPr>
        <w:jc w:val="center"/>
        <w:rPr>
          <w:bCs/>
          <w:sz w:val="32"/>
          <w:szCs w:val="32"/>
          <w:lang w:val="en-GB"/>
        </w:rPr>
      </w:pPr>
      <w:r w:rsidRPr="00EB015C">
        <w:rPr>
          <w:bCs/>
          <w:sz w:val="40"/>
          <w:szCs w:val="40"/>
          <w:lang w:val="en-GB"/>
        </w:rPr>
        <w:t>Essay on Accounting Fundamentals</w:t>
      </w:r>
      <w:r>
        <w:rPr>
          <w:b/>
          <w:sz w:val="32"/>
          <w:szCs w:val="32"/>
          <w:lang w:val="en-GB"/>
        </w:rPr>
        <w:t xml:space="preserve"> </w:t>
      </w:r>
      <w:r>
        <w:rPr>
          <w:b/>
          <w:sz w:val="32"/>
          <w:szCs w:val="32"/>
          <w:lang w:val="en-GB"/>
        </w:rPr>
        <w:br/>
      </w:r>
      <w:r>
        <w:rPr>
          <w:b/>
          <w:sz w:val="32"/>
          <w:szCs w:val="32"/>
          <w:lang w:val="en-GB"/>
        </w:rPr>
        <w:br/>
      </w:r>
      <w:r>
        <w:rPr>
          <w:b/>
          <w:sz w:val="32"/>
          <w:szCs w:val="32"/>
          <w:lang w:val="en-GB"/>
        </w:rPr>
        <w:br/>
      </w:r>
      <w:r w:rsidRPr="00FF3A93">
        <w:rPr>
          <w:bCs/>
          <w:sz w:val="32"/>
          <w:szCs w:val="32"/>
          <w:lang w:val="en-GB"/>
        </w:rPr>
        <w:t>Student name: Veronica Cusciac</w:t>
      </w:r>
      <w:r>
        <w:rPr>
          <w:bCs/>
          <w:sz w:val="32"/>
          <w:szCs w:val="32"/>
          <w:lang w:val="en-GB"/>
        </w:rPr>
        <w:br/>
        <w:t>Student ID: 2123297</w:t>
      </w:r>
      <w:r>
        <w:rPr>
          <w:bCs/>
          <w:sz w:val="32"/>
          <w:szCs w:val="32"/>
          <w:lang w:val="en-GB"/>
        </w:rPr>
        <w:br/>
      </w:r>
      <w:r w:rsidRPr="00FF3A93">
        <w:rPr>
          <w:bCs/>
          <w:sz w:val="32"/>
          <w:szCs w:val="32"/>
          <w:lang w:val="en-GB"/>
        </w:rPr>
        <w:br/>
      </w:r>
      <w:r>
        <w:rPr>
          <w:bCs/>
          <w:sz w:val="32"/>
          <w:szCs w:val="32"/>
          <w:lang w:val="en-GB"/>
        </w:rPr>
        <w:t xml:space="preserve">Module Lecturer: </w:t>
      </w:r>
      <w:proofErr w:type="spellStart"/>
      <w:r>
        <w:rPr>
          <w:bCs/>
          <w:sz w:val="32"/>
          <w:szCs w:val="32"/>
          <w:lang w:val="en-GB"/>
        </w:rPr>
        <w:t>Dr.</w:t>
      </w:r>
      <w:proofErr w:type="spellEnd"/>
      <w:r>
        <w:rPr>
          <w:bCs/>
          <w:sz w:val="32"/>
          <w:szCs w:val="32"/>
          <w:lang w:val="en-GB"/>
        </w:rPr>
        <w:t xml:space="preserve"> Khaza Ahmed</w:t>
      </w:r>
    </w:p>
    <w:p w14:paraId="2A8B55DD" w14:textId="4CC7834A" w:rsidR="00CF788D" w:rsidRDefault="00CF788D" w:rsidP="00CF788D">
      <w:pPr>
        <w:jc w:val="center"/>
        <w:rPr>
          <w:sz w:val="32"/>
          <w:szCs w:val="32"/>
          <w:lang w:val="en-GB"/>
        </w:rPr>
      </w:pPr>
      <w:r>
        <w:rPr>
          <w:sz w:val="32"/>
          <w:szCs w:val="32"/>
          <w:lang w:val="en-GB"/>
        </w:rPr>
        <w:t xml:space="preserve">Module Coordinator: </w:t>
      </w:r>
      <w:proofErr w:type="spellStart"/>
      <w:r>
        <w:rPr>
          <w:sz w:val="32"/>
          <w:szCs w:val="32"/>
          <w:lang w:val="en-GB"/>
        </w:rPr>
        <w:t>Dr.</w:t>
      </w:r>
      <w:proofErr w:type="spellEnd"/>
      <w:r>
        <w:rPr>
          <w:sz w:val="32"/>
          <w:szCs w:val="32"/>
          <w:lang w:val="en-GB"/>
        </w:rPr>
        <w:t xml:space="preserve"> Isaiah </w:t>
      </w:r>
      <w:proofErr w:type="spellStart"/>
      <w:r>
        <w:rPr>
          <w:sz w:val="32"/>
          <w:szCs w:val="32"/>
          <w:lang w:val="en-GB"/>
        </w:rPr>
        <w:t>Oino</w:t>
      </w:r>
      <w:proofErr w:type="spellEnd"/>
      <w:r>
        <w:rPr>
          <w:b/>
        </w:rPr>
        <w:t xml:space="preserve"> </w:t>
      </w:r>
      <w:r w:rsidR="00AD4ABE">
        <w:rPr>
          <w:b/>
        </w:rPr>
        <w:br/>
      </w:r>
    </w:p>
    <w:p w14:paraId="637A25D1" w14:textId="1C835984" w:rsidR="00F91F54" w:rsidRPr="00AD4ABE" w:rsidRDefault="00AD4ABE" w:rsidP="00AD4ABE">
      <w:pPr>
        <w:pStyle w:val="Normal1"/>
        <w:spacing w:before="200" w:line="360" w:lineRule="auto"/>
        <w:jc w:val="center"/>
        <w:rPr>
          <w:rFonts w:eastAsia="Times New Roman"/>
          <w:sz w:val="28"/>
          <w:szCs w:val="28"/>
        </w:rPr>
      </w:pPr>
      <w:r w:rsidRPr="00AD4ABE">
        <w:rPr>
          <w:rFonts w:eastAsia="Times New Roman"/>
          <w:sz w:val="28"/>
          <w:szCs w:val="28"/>
        </w:rPr>
        <w:t>Submission deadline: 02/03/2022</w:t>
      </w:r>
    </w:p>
    <w:p w14:paraId="6009A155" w14:textId="77777777" w:rsidR="00F91F54" w:rsidRPr="00323868" w:rsidRDefault="00F91F54" w:rsidP="00323868">
      <w:pPr>
        <w:pStyle w:val="Normal1"/>
        <w:spacing w:before="200" w:line="360" w:lineRule="auto"/>
        <w:jc w:val="both"/>
        <w:rPr>
          <w:rFonts w:eastAsia="Times New Roman"/>
        </w:rPr>
      </w:pPr>
    </w:p>
    <w:p w14:paraId="6C7F34FC" w14:textId="77777777" w:rsidR="00F91F54" w:rsidRPr="00323868" w:rsidRDefault="00F91F54" w:rsidP="00323868">
      <w:pPr>
        <w:pStyle w:val="Normal1"/>
        <w:spacing w:before="200" w:line="360" w:lineRule="auto"/>
        <w:jc w:val="both"/>
        <w:rPr>
          <w:rFonts w:eastAsia="Times New Roman"/>
        </w:rPr>
      </w:pPr>
    </w:p>
    <w:p w14:paraId="67209218" w14:textId="77777777" w:rsidR="00323868" w:rsidRDefault="00323868" w:rsidP="00323868">
      <w:pPr>
        <w:pStyle w:val="Normal1"/>
        <w:spacing w:before="200" w:line="360" w:lineRule="auto"/>
        <w:jc w:val="center"/>
        <w:rPr>
          <w:rFonts w:eastAsia="Times New Roman"/>
          <w:b/>
          <w:sz w:val="32"/>
          <w:szCs w:val="32"/>
        </w:rPr>
      </w:pPr>
    </w:p>
    <w:p w14:paraId="68186887" w14:textId="1B6C3A98" w:rsidR="00F91F54" w:rsidRPr="00323868" w:rsidRDefault="00CF788D" w:rsidP="00323868">
      <w:pPr>
        <w:pStyle w:val="Normal1"/>
        <w:spacing w:before="200" w:line="360" w:lineRule="auto"/>
        <w:jc w:val="both"/>
        <w:rPr>
          <w:rFonts w:eastAsia="Times New Roman"/>
        </w:rPr>
      </w:pPr>
      <w:r>
        <w:rPr>
          <w:rFonts w:eastAsia="Times New Roman"/>
        </w:rPr>
        <w:lastRenderedPageBreak/>
        <w:br/>
      </w:r>
    </w:p>
    <w:sdt>
      <w:sdtPr>
        <w:rPr>
          <w:rFonts w:ascii="Arial" w:eastAsia="Arial" w:hAnsi="Arial" w:cs="Arial"/>
          <w:b w:val="0"/>
          <w:bCs w:val="0"/>
          <w:color w:val="auto"/>
          <w:sz w:val="22"/>
          <w:szCs w:val="22"/>
          <w:lang w:val="en-IN"/>
        </w:rPr>
        <w:id w:val="13259371"/>
        <w:docPartObj>
          <w:docPartGallery w:val="Table of Contents"/>
          <w:docPartUnique/>
        </w:docPartObj>
      </w:sdtPr>
      <w:sdtEndPr/>
      <w:sdtContent>
        <w:p w14:paraId="0B6F032D" w14:textId="77777777" w:rsidR="002C0570" w:rsidRPr="00323868" w:rsidRDefault="002C0570" w:rsidP="00323868">
          <w:pPr>
            <w:pStyle w:val="TOCHeading"/>
            <w:spacing w:line="360" w:lineRule="auto"/>
            <w:jc w:val="center"/>
            <w:rPr>
              <w:rFonts w:ascii="Arial" w:hAnsi="Arial" w:cs="Arial"/>
              <w:sz w:val="22"/>
              <w:szCs w:val="22"/>
            </w:rPr>
          </w:pPr>
          <w:r w:rsidRPr="00323868">
            <w:rPr>
              <w:rFonts w:ascii="Arial" w:hAnsi="Arial" w:cs="Arial"/>
              <w:color w:val="000000" w:themeColor="text1"/>
              <w:sz w:val="22"/>
              <w:szCs w:val="22"/>
            </w:rPr>
            <w:t>Table of Contents</w:t>
          </w:r>
        </w:p>
        <w:p w14:paraId="3CD979B0" w14:textId="77777777" w:rsidR="00323868" w:rsidRPr="00323868" w:rsidRDefault="0020658D" w:rsidP="00323868">
          <w:pPr>
            <w:pStyle w:val="TOC1"/>
            <w:tabs>
              <w:tab w:val="right" w:leader="dot" w:pos="9350"/>
            </w:tabs>
            <w:spacing w:line="360" w:lineRule="auto"/>
            <w:jc w:val="both"/>
            <w:rPr>
              <w:rFonts w:asciiTheme="minorHAnsi" w:eastAsiaTheme="minorEastAsia" w:hAnsiTheme="minorHAnsi" w:cstheme="minorBidi"/>
              <w:noProof/>
              <w:lang w:eastAsia="en-IN"/>
            </w:rPr>
          </w:pPr>
          <w:r w:rsidRPr="00323868">
            <w:fldChar w:fldCharType="begin"/>
          </w:r>
          <w:r w:rsidR="002C0570" w:rsidRPr="00323868">
            <w:instrText xml:space="preserve"> TOC \o "1-3" \h \z \u </w:instrText>
          </w:r>
          <w:r w:rsidRPr="00323868">
            <w:fldChar w:fldCharType="separate"/>
          </w:r>
          <w:hyperlink w:anchor="_Toc97036885" w:history="1">
            <w:r w:rsidR="00323868" w:rsidRPr="00323868">
              <w:rPr>
                <w:rStyle w:val="Hyperlink"/>
                <w:noProof/>
              </w:rPr>
              <w:t>Introduction</w:t>
            </w:r>
            <w:r w:rsidR="00323868" w:rsidRPr="00323868">
              <w:rPr>
                <w:noProof/>
                <w:webHidden/>
              </w:rPr>
              <w:tab/>
            </w:r>
            <w:r w:rsidRPr="00323868">
              <w:rPr>
                <w:noProof/>
                <w:webHidden/>
              </w:rPr>
              <w:fldChar w:fldCharType="begin"/>
            </w:r>
            <w:r w:rsidR="00323868" w:rsidRPr="00323868">
              <w:rPr>
                <w:noProof/>
                <w:webHidden/>
              </w:rPr>
              <w:instrText xml:space="preserve"> PAGEREF _Toc97036885 \h </w:instrText>
            </w:r>
            <w:r w:rsidRPr="00323868">
              <w:rPr>
                <w:noProof/>
                <w:webHidden/>
              </w:rPr>
            </w:r>
            <w:r w:rsidRPr="00323868">
              <w:rPr>
                <w:noProof/>
                <w:webHidden/>
              </w:rPr>
              <w:fldChar w:fldCharType="separate"/>
            </w:r>
            <w:r w:rsidR="00323868" w:rsidRPr="00323868">
              <w:rPr>
                <w:noProof/>
                <w:webHidden/>
              </w:rPr>
              <w:t>3</w:t>
            </w:r>
            <w:r w:rsidRPr="00323868">
              <w:rPr>
                <w:noProof/>
                <w:webHidden/>
              </w:rPr>
              <w:fldChar w:fldCharType="end"/>
            </w:r>
          </w:hyperlink>
        </w:p>
        <w:p w14:paraId="7E1E3272" w14:textId="797BC079" w:rsidR="00323868" w:rsidRPr="00323868" w:rsidRDefault="009D603F" w:rsidP="00323868">
          <w:pPr>
            <w:pStyle w:val="TOC1"/>
            <w:tabs>
              <w:tab w:val="right" w:leader="dot" w:pos="9350"/>
            </w:tabs>
            <w:spacing w:line="360" w:lineRule="auto"/>
            <w:jc w:val="both"/>
            <w:rPr>
              <w:rFonts w:asciiTheme="minorHAnsi" w:eastAsiaTheme="minorEastAsia" w:hAnsiTheme="minorHAnsi" w:cstheme="minorBidi"/>
              <w:noProof/>
              <w:lang w:eastAsia="en-IN"/>
            </w:rPr>
          </w:pPr>
          <w:hyperlink w:anchor="_Toc97036886" w:history="1">
            <w:r w:rsidR="00323868" w:rsidRPr="00323868">
              <w:rPr>
                <w:rStyle w:val="Hyperlink"/>
                <w:noProof/>
              </w:rPr>
              <w:t>1. Preparation of Financial Statements</w:t>
            </w:r>
            <w:r w:rsidR="00323868" w:rsidRPr="00323868">
              <w:rPr>
                <w:noProof/>
                <w:webHidden/>
              </w:rPr>
              <w:tab/>
            </w:r>
            <w:r w:rsidR="00CF788D">
              <w:rPr>
                <w:noProof/>
                <w:webHidden/>
              </w:rPr>
              <w:t>4</w:t>
            </w:r>
          </w:hyperlink>
        </w:p>
        <w:p w14:paraId="678233A0" w14:textId="456E1BB0" w:rsidR="00323868" w:rsidRPr="00323868" w:rsidRDefault="009D603F" w:rsidP="00323868">
          <w:pPr>
            <w:pStyle w:val="TOC2"/>
            <w:tabs>
              <w:tab w:val="right" w:leader="dot" w:pos="9350"/>
            </w:tabs>
            <w:spacing w:line="360" w:lineRule="auto"/>
            <w:jc w:val="both"/>
            <w:rPr>
              <w:noProof/>
            </w:rPr>
          </w:pPr>
          <w:hyperlink w:anchor="_Toc97036887" w:history="1">
            <w:r w:rsidR="00323868" w:rsidRPr="00323868">
              <w:rPr>
                <w:rStyle w:val="Hyperlink"/>
                <w:noProof/>
              </w:rPr>
              <w:t>a. Trial balance (TB)</w:t>
            </w:r>
            <w:r w:rsidR="00323868" w:rsidRPr="00323868">
              <w:rPr>
                <w:noProof/>
                <w:webHidden/>
              </w:rPr>
              <w:tab/>
            </w:r>
            <w:r w:rsidR="00CF788D">
              <w:rPr>
                <w:noProof/>
                <w:webHidden/>
              </w:rPr>
              <w:t>4</w:t>
            </w:r>
          </w:hyperlink>
          <w:r w:rsidR="00CF788D">
            <w:rPr>
              <w:noProof/>
            </w:rPr>
            <w:br/>
            <w:t xml:space="preserve">    TB1 Adjustments……………………………………………………………………………………</w:t>
          </w:r>
          <w:r w:rsidR="00CF6A21">
            <w:rPr>
              <w:noProof/>
            </w:rPr>
            <w:t>.</w:t>
          </w:r>
          <w:r w:rsidR="00CF788D">
            <w:rPr>
              <w:noProof/>
            </w:rPr>
            <w:t>5</w:t>
          </w:r>
        </w:p>
        <w:p w14:paraId="090376D7" w14:textId="77777777" w:rsidR="00323868" w:rsidRPr="00323868" w:rsidRDefault="009D603F" w:rsidP="00323868">
          <w:pPr>
            <w:pStyle w:val="TOC2"/>
            <w:tabs>
              <w:tab w:val="right" w:leader="dot" w:pos="9350"/>
            </w:tabs>
            <w:spacing w:line="360" w:lineRule="auto"/>
            <w:jc w:val="both"/>
            <w:rPr>
              <w:noProof/>
            </w:rPr>
          </w:pPr>
          <w:hyperlink w:anchor="_Toc97036888" w:history="1">
            <w:r w:rsidR="00323868" w:rsidRPr="00323868">
              <w:rPr>
                <w:rStyle w:val="Hyperlink"/>
                <w:noProof/>
              </w:rPr>
              <w:t>b. Income Statement (IS)</w:t>
            </w:r>
            <w:r w:rsidR="00323868" w:rsidRPr="00323868">
              <w:rPr>
                <w:noProof/>
                <w:webHidden/>
              </w:rPr>
              <w:tab/>
            </w:r>
            <w:r w:rsidR="0020658D" w:rsidRPr="00323868">
              <w:rPr>
                <w:noProof/>
                <w:webHidden/>
              </w:rPr>
              <w:fldChar w:fldCharType="begin"/>
            </w:r>
            <w:r w:rsidR="00323868" w:rsidRPr="00323868">
              <w:rPr>
                <w:noProof/>
                <w:webHidden/>
              </w:rPr>
              <w:instrText xml:space="preserve"> PAGEREF _Toc97036888 \h </w:instrText>
            </w:r>
            <w:r w:rsidR="0020658D" w:rsidRPr="00323868">
              <w:rPr>
                <w:noProof/>
                <w:webHidden/>
              </w:rPr>
            </w:r>
            <w:r w:rsidR="0020658D" w:rsidRPr="00323868">
              <w:rPr>
                <w:noProof/>
                <w:webHidden/>
              </w:rPr>
              <w:fldChar w:fldCharType="separate"/>
            </w:r>
            <w:r w:rsidR="00323868" w:rsidRPr="00323868">
              <w:rPr>
                <w:noProof/>
                <w:webHidden/>
              </w:rPr>
              <w:t>6</w:t>
            </w:r>
            <w:r w:rsidR="0020658D" w:rsidRPr="00323868">
              <w:rPr>
                <w:noProof/>
                <w:webHidden/>
              </w:rPr>
              <w:fldChar w:fldCharType="end"/>
            </w:r>
          </w:hyperlink>
        </w:p>
        <w:p w14:paraId="64F2D74B" w14:textId="027EF245" w:rsidR="00323868" w:rsidRPr="00323868" w:rsidRDefault="009D603F" w:rsidP="00323868">
          <w:pPr>
            <w:pStyle w:val="TOC2"/>
            <w:tabs>
              <w:tab w:val="right" w:leader="dot" w:pos="9350"/>
            </w:tabs>
            <w:spacing w:line="360" w:lineRule="auto"/>
            <w:jc w:val="both"/>
            <w:rPr>
              <w:noProof/>
            </w:rPr>
          </w:pPr>
          <w:hyperlink w:anchor="_Toc97036889" w:history="1">
            <w:r w:rsidR="00323868" w:rsidRPr="00323868">
              <w:rPr>
                <w:rStyle w:val="Hyperlink"/>
                <w:noProof/>
              </w:rPr>
              <w:t>c. Balance sheet (BS)</w:t>
            </w:r>
            <w:r w:rsidR="00323868" w:rsidRPr="00323868">
              <w:rPr>
                <w:noProof/>
                <w:webHidden/>
              </w:rPr>
              <w:tab/>
            </w:r>
            <w:r w:rsidR="0020658D" w:rsidRPr="00323868">
              <w:rPr>
                <w:noProof/>
                <w:webHidden/>
              </w:rPr>
              <w:fldChar w:fldCharType="begin"/>
            </w:r>
            <w:r w:rsidR="00323868" w:rsidRPr="00323868">
              <w:rPr>
                <w:noProof/>
                <w:webHidden/>
              </w:rPr>
              <w:instrText xml:space="preserve"> PAGEREF _Toc97036889 \h </w:instrText>
            </w:r>
            <w:r w:rsidR="0020658D" w:rsidRPr="00323868">
              <w:rPr>
                <w:noProof/>
                <w:webHidden/>
              </w:rPr>
            </w:r>
            <w:r w:rsidR="0020658D" w:rsidRPr="00323868">
              <w:rPr>
                <w:noProof/>
                <w:webHidden/>
              </w:rPr>
              <w:fldChar w:fldCharType="separate"/>
            </w:r>
            <w:r w:rsidR="00323868" w:rsidRPr="00323868">
              <w:rPr>
                <w:noProof/>
                <w:webHidden/>
              </w:rPr>
              <w:t>7</w:t>
            </w:r>
            <w:r w:rsidR="0020658D" w:rsidRPr="00323868">
              <w:rPr>
                <w:noProof/>
                <w:webHidden/>
              </w:rPr>
              <w:fldChar w:fldCharType="end"/>
            </w:r>
          </w:hyperlink>
          <w:r w:rsidR="00CF6A21">
            <w:rPr>
              <w:noProof/>
            </w:rPr>
            <w:br/>
            <w:t xml:space="preserve">    TB3 Computation……………………………………………………………………………………8</w:t>
          </w:r>
        </w:p>
        <w:p w14:paraId="533A3322" w14:textId="77777777" w:rsidR="00323868" w:rsidRPr="00323868" w:rsidRDefault="009D603F" w:rsidP="00323868">
          <w:pPr>
            <w:pStyle w:val="TOC1"/>
            <w:tabs>
              <w:tab w:val="right" w:leader="dot" w:pos="9350"/>
            </w:tabs>
            <w:spacing w:line="360" w:lineRule="auto"/>
            <w:jc w:val="both"/>
            <w:rPr>
              <w:rFonts w:asciiTheme="minorHAnsi" w:eastAsiaTheme="minorEastAsia" w:hAnsiTheme="minorHAnsi" w:cstheme="minorBidi"/>
              <w:noProof/>
              <w:lang w:eastAsia="en-IN"/>
            </w:rPr>
          </w:pPr>
          <w:hyperlink w:anchor="_Toc97036890" w:history="1">
            <w:r w:rsidR="00323868" w:rsidRPr="00323868">
              <w:rPr>
                <w:rStyle w:val="Hyperlink"/>
                <w:noProof/>
              </w:rPr>
              <w:t>Question 2</w:t>
            </w:r>
            <w:r w:rsidR="00323868" w:rsidRPr="00323868">
              <w:rPr>
                <w:noProof/>
                <w:webHidden/>
              </w:rPr>
              <w:tab/>
            </w:r>
            <w:r w:rsidR="0020658D" w:rsidRPr="00323868">
              <w:rPr>
                <w:noProof/>
                <w:webHidden/>
              </w:rPr>
              <w:fldChar w:fldCharType="begin"/>
            </w:r>
            <w:r w:rsidR="00323868" w:rsidRPr="00323868">
              <w:rPr>
                <w:noProof/>
                <w:webHidden/>
              </w:rPr>
              <w:instrText xml:space="preserve"> PAGEREF _Toc97036890 \h </w:instrText>
            </w:r>
            <w:r w:rsidR="0020658D" w:rsidRPr="00323868">
              <w:rPr>
                <w:noProof/>
                <w:webHidden/>
              </w:rPr>
            </w:r>
            <w:r w:rsidR="0020658D" w:rsidRPr="00323868">
              <w:rPr>
                <w:noProof/>
                <w:webHidden/>
              </w:rPr>
              <w:fldChar w:fldCharType="separate"/>
            </w:r>
            <w:r w:rsidR="00323868" w:rsidRPr="00323868">
              <w:rPr>
                <w:noProof/>
                <w:webHidden/>
              </w:rPr>
              <w:t>9</w:t>
            </w:r>
            <w:r w:rsidR="0020658D" w:rsidRPr="00323868">
              <w:rPr>
                <w:noProof/>
                <w:webHidden/>
              </w:rPr>
              <w:fldChar w:fldCharType="end"/>
            </w:r>
          </w:hyperlink>
        </w:p>
        <w:p w14:paraId="7AC885DA" w14:textId="77777777" w:rsidR="00323868" w:rsidRPr="00323868" w:rsidRDefault="009D603F" w:rsidP="00323868">
          <w:pPr>
            <w:pStyle w:val="TOC1"/>
            <w:tabs>
              <w:tab w:val="right" w:leader="dot" w:pos="9350"/>
            </w:tabs>
            <w:spacing w:line="360" w:lineRule="auto"/>
            <w:jc w:val="both"/>
            <w:rPr>
              <w:rFonts w:asciiTheme="minorHAnsi" w:eastAsiaTheme="minorEastAsia" w:hAnsiTheme="minorHAnsi" w:cstheme="minorBidi"/>
              <w:noProof/>
              <w:lang w:eastAsia="en-IN"/>
            </w:rPr>
          </w:pPr>
          <w:hyperlink w:anchor="_Toc97036891" w:history="1">
            <w:r w:rsidR="00323868" w:rsidRPr="00323868">
              <w:rPr>
                <w:rStyle w:val="Hyperlink"/>
                <w:noProof/>
              </w:rPr>
              <w:t>Conclusion</w:t>
            </w:r>
            <w:r w:rsidR="00323868" w:rsidRPr="00323868">
              <w:rPr>
                <w:noProof/>
                <w:webHidden/>
              </w:rPr>
              <w:tab/>
            </w:r>
            <w:r w:rsidR="0020658D" w:rsidRPr="00323868">
              <w:rPr>
                <w:noProof/>
                <w:webHidden/>
              </w:rPr>
              <w:fldChar w:fldCharType="begin"/>
            </w:r>
            <w:r w:rsidR="00323868" w:rsidRPr="00323868">
              <w:rPr>
                <w:noProof/>
                <w:webHidden/>
              </w:rPr>
              <w:instrText xml:space="preserve"> PAGEREF _Toc97036891 \h </w:instrText>
            </w:r>
            <w:r w:rsidR="0020658D" w:rsidRPr="00323868">
              <w:rPr>
                <w:noProof/>
                <w:webHidden/>
              </w:rPr>
            </w:r>
            <w:r w:rsidR="0020658D" w:rsidRPr="00323868">
              <w:rPr>
                <w:noProof/>
                <w:webHidden/>
              </w:rPr>
              <w:fldChar w:fldCharType="separate"/>
            </w:r>
            <w:r w:rsidR="00323868" w:rsidRPr="00323868">
              <w:rPr>
                <w:noProof/>
                <w:webHidden/>
              </w:rPr>
              <w:t>11</w:t>
            </w:r>
            <w:r w:rsidR="0020658D" w:rsidRPr="00323868">
              <w:rPr>
                <w:noProof/>
                <w:webHidden/>
              </w:rPr>
              <w:fldChar w:fldCharType="end"/>
            </w:r>
          </w:hyperlink>
        </w:p>
        <w:p w14:paraId="79C3E89D" w14:textId="77777777" w:rsidR="00323868" w:rsidRPr="00323868" w:rsidRDefault="009D603F" w:rsidP="00323868">
          <w:pPr>
            <w:pStyle w:val="TOC1"/>
            <w:tabs>
              <w:tab w:val="right" w:leader="dot" w:pos="9350"/>
            </w:tabs>
            <w:spacing w:line="360" w:lineRule="auto"/>
            <w:jc w:val="both"/>
            <w:rPr>
              <w:rFonts w:asciiTheme="minorHAnsi" w:eastAsiaTheme="minorEastAsia" w:hAnsiTheme="minorHAnsi" w:cstheme="minorBidi"/>
              <w:noProof/>
              <w:lang w:eastAsia="en-IN"/>
            </w:rPr>
          </w:pPr>
          <w:hyperlink w:anchor="_Toc97036892" w:history="1">
            <w:r w:rsidR="00323868" w:rsidRPr="00323868">
              <w:rPr>
                <w:rStyle w:val="Hyperlink"/>
                <w:noProof/>
              </w:rPr>
              <w:t>References</w:t>
            </w:r>
            <w:r w:rsidR="00323868" w:rsidRPr="00323868">
              <w:rPr>
                <w:noProof/>
                <w:webHidden/>
              </w:rPr>
              <w:tab/>
            </w:r>
            <w:r w:rsidR="0020658D" w:rsidRPr="00323868">
              <w:rPr>
                <w:noProof/>
                <w:webHidden/>
              </w:rPr>
              <w:fldChar w:fldCharType="begin"/>
            </w:r>
            <w:r w:rsidR="00323868" w:rsidRPr="00323868">
              <w:rPr>
                <w:noProof/>
                <w:webHidden/>
              </w:rPr>
              <w:instrText xml:space="preserve"> PAGEREF _Toc97036892 \h </w:instrText>
            </w:r>
            <w:r w:rsidR="0020658D" w:rsidRPr="00323868">
              <w:rPr>
                <w:noProof/>
                <w:webHidden/>
              </w:rPr>
            </w:r>
            <w:r w:rsidR="0020658D" w:rsidRPr="00323868">
              <w:rPr>
                <w:noProof/>
                <w:webHidden/>
              </w:rPr>
              <w:fldChar w:fldCharType="separate"/>
            </w:r>
            <w:r w:rsidR="00323868" w:rsidRPr="00323868">
              <w:rPr>
                <w:noProof/>
                <w:webHidden/>
              </w:rPr>
              <w:t>12</w:t>
            </w:r>
            <w:r w:rsidR="0020658D" w:rsidRPr="00323868">
              <w:rPr>
                <w:noProof/>
                <w:webHidden/>
              </w:rPr>
              <w:fldChar w:fldCharType="end"/>
            </w:r>
          </w:hyperlink>
        </w:p>
        <w:p w14:paraId="6BBFC8F1" w14:textId="77777777" w:rsidR="00323868" w:rsidRPr="00323868" w:rsidRDefault="009D603F" w:rsidP="00323868">
          <w:pPr>
            <w:pStyle w:val="TOC1"/>
            <w:tabs>
              <w:tab w:val="right" w:leader="dot" w:pos="9350"/>
            </w:tabs>
            <w:spacing w:line="360" w:lineRule="auto"/>
            <w:jc w:val="both"/>
            <w:rPr>
              <w:rFonts w:asciiTheme="minorHAnsi" w:eastAsiaTheme="minorEastAsia" w:hAnsiTheme="minorHAnsi" w:cstheme="minorBidi"/>
              <w:noProof/>
              <w:lang w:eastAsia="en-IN"/>
            </w:rPr>
          </w:pPr>
          <w:hyperlink w:anchor="_Toc97036893" w:history="1">
            <w:r w:rsidR="00323868" w:rsidRPr="00323868">
              <w:rPr>
                <w:rStyle w:val="Hyperlink"/>
                <w:noProof/>
              </w:rPr>
              <w:t>Bibliography</w:t>
            </w:r>
            <w:r w:rsidR="00323868" w:rsidRPr="00323868">
              <w:rPr>
                <w:noProof/>
                <w:webHidden/>
              </w:rPr>
              <w:tab/>
            </w:r>
            <w:r w:rsidR="0020658D" w:rsidRPr="00323868">
              <w:rPr>
                <w:noProof/>
                <w:webHidden/>
              </w:rPr>
              <w:fldChar w:fldCharType="begin"/>
            </w:r>
            <w:r w:rsidR="00323868" w:rsidRPr="00323868">
              <w:rPr>
                <w:noProof/>
                <w:webHidden/>
              </w:rPr>
              <w:instrText xml:space="preserve"> PAGEREF _Toc97036893 \h </w:instrText>
            </w:r>
            <w:r w:rsidR="0020658D" w:rsidRPr="00323868">
              <w:rPr>
                <w:noProof/>
                <w:webHidden/>
              </w:rPr>
            </w:r>
            <w:r w:rsidR="0020658D" w:rsidRPr="00323868">
              <w:rPr>
                <w:noProof/>
                <w:webHidden/>
              </w:rPr>
              <w:fldChar w:fldCharType="separate"/>
            </w:r>
            <w:r w:rsidR="00323868" w:rsidRPr="00323868">
              <w:rPr>
                <w:noProof/>
                <w:webHidden/>
              </w:rPr>
              <w:t>13</w:t>
            </w:r>
            <w:r w:rsidR="0020658D" w:rsidRPr="00323868">
              <w:rPr>
                <w:noProof/>
                <w:webHidden/>
              </w:rPr>
              <w:fldChar w:fldCharType="end"/>
            </w:r>
          </w:hyperlink>
        </w:p>
        <w:p w14:paraId="378CB3C5" w14:textId="77777777" w:rsidR="002C0570" w:rsidRPr="00323868" w:rsidRDefault="0020658D" w:rsidP="00323868">
          <w:pPr>
            <w:spacing w:line="360" w:lineRule="auto"/>
            <w:jc w:val="both"/>
          </w:pPr>
          <w:r w:rsidRPr="00323868">
            <w:fldChar w:fldCharType="end"/>
          </w:r>
        </w:p>
      </w:sdtContent>
    </w:sdt>
    <w:p w14:paraId="2BD96DE6" w14:textId="77777777" w:rsidR="00652AD4" w:rsidRPr="00323868" w:rsidRDefault="00652AD4" w:rsidP="00323868">
      <w:pPr>
        <w:pStyle w:val="Normal1"/>
        <w:spacing w:before="200" w:line="360" w:lineRule="auto"/>
        <w:jc w:val="both"/>
        <w:rPr>
          <w:rFonts w:eastAsia="Times New Roman"/>
        </w:rPr>
      </w:pPr>
    </w:p>
    <w:p w14:paraId="4F59E885" w14:textId="77777777" w:rsidR="002C0570" w:rsidRPr="00323868" w:rsidRDefault="002C0570" w:rsidP="00323868">
      <w:pPr>
        <w:spacing w:line="360" w:lineRule="auto"/>
        <w:jc w:val="both"/>
        <w:rPr>
          <w:rFonts w:eastAsia="Times New Roman"/>
        </w:rPr>
      </w:pPr>
      <w:r w:rsidRPr="00323868">
        <w:br w:type="page"/>
      </w:r>
    </w:p>
    <w:p w14:paraId="473A1999" w14:textId="77777777" w:rsidR="00F91F54" w:rsidRPr="00323868" w:rsidRDefault="002328E0" w:rsidP="00323868">
      <w:pPr>
        <w:pStyle w:val="Heading1"/>
        <w:rPr>
          <w:rFonts w:ascii="Arial" w:hAnsi="Arial" w:cs="Arial"/>
          <w:sz w:val="22"/>
          <w:szCs w:val="22"/>
        </w:rPr>
      </w:pPr>
      <w:bookmarkStart w:id="0" w:name="_Toc97036885"/>
      <w:r w:rsidRPr="00323868">
        <w:rPr>
          <w:rFonts w:ascii="Arial" w:hAnsi="Arial" w:cs="Arial"/>
          <w:sz w:val="22"/>
          <w:szCs w:val="22"/>
        </w:rPr>
        <w:lastRenderedPageBreak/>
        <w:t>Introduction</w:t>
      </w:r>
      <w:bookmarkEnd w:id="0"/>
    </w:p>
    <w:p w14:paraId="1AF4CFE9"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Accounting is one of the key systematic approaches that </w:t>
      </w:r>
      <w:r w:rsidR="003D0615" w:rsidRPr="00323868">
        <w:rPr>
          <w:rFonts w:eastAsia="Times New Roman"/>
        </w:rPr>
        <w:t>allow</w:t>
      </w:r>
      <w:r w:rsidRPr="00323868">
        <w:rPr>
          <w:rFonts w:eastAsia="Times New Roman"/>
        </w:rPr>
        <w:t xml:space="preserve"> an individual to successfully collect, report, and </w:t>
      </w:r>
      <w:proofErr w:type="spellStart"/>
      <w:r w:rsidRPr="00323868">
        <w:rPr>
          <w:rFonts w:eastAsia="Times New Roman"/>
        </w:rPr>
        <w:t>analyze</w:t>
      </w:r>
      <w:proofErr w:type="spellEnd"/>
      <w:r w:rsidRPr="00323868">
        <w:rPr>
          <w:rFonts w:eastAsia="Times New Roman"/>
        </w:rPr>
        <w:t xml:space="preserve"> the crucial financial transaction within a business.  Furthermore, accounting also helps the manager to depict the relative financial stability of a business within the competitive market as well. The following assignment thus reflects the relevance of accounting principles along with a suitable construction of a financial statement based on the provided information of the company. </w:t>
      </w:r>
    </w:p>
    <w:p w14:paraId="3CD8E281" w14:textId="77777777" w:rsidR="00060FFC" w:rsidRDefault="00060FFC">
      <w:pPr>
        <w:rPr>
          <w:rFonts w:eastAsia="Times New Roman"/>
          <w:b/>
        </w:rPr>
      </w:pPr>
      <w:bookmarkStart w:id="1" w:name="_Toc97036597"/>
      <w:bookmarkStart w:id="2" w:name="_Toc97036886"/>
      <w:r>
        <w:br w:type="page"/>
      </w:r>
    </w:p>
    <w:p w14:paraId="3F6597D9" w14:textId="611D2688" w:rsidR="00323868" w:rsidRPr="00CF788D" w:rsidRDefault="00323868" w:rsidP="00CF788D">
      <w:pPr>
        <w:pStyle w:val="Heading1"/>
        <w:jc w:val="left"/>
        <w:rPr>
          <w:rFonts w:ascii="Arial" w:hAnsi="Arial" w:cs="Arial"/>
          <w:sz w:val="22"/>
          <w:szCs w:val="22"/>
        </w:rPr>
      </w:pPr>
      <w:r w:rsidRPr="00323868">
        <w:rPr>
          <w:rFonts w:ascii="Arial" w:hAnsi="Arial" w:cs="Arial"/>
          <w:sz w:val="22"/>
          <w:szCs w:val="22"/>
        </w:rPr>
        <w:lastRenderedPageBreak/>
        <w:t>1. Preparation of Financial Statements</w:t>
      </w:r>
      <w:bookmarkStart w:id="3" w:name="_Toc97036598"/>
      <w:bookmarkStart w:id="4" w:name="_Toc97036887"/>
      <w:bookmarkEnd w:id="1"/>
      <w:bookmarkEnd w:id="2"/>
      <w:r w:rsidR="00CF788D">
        <w:rPr>
          <w:rFonts w:ascii="Arial" w:hAnsi="Arial" w:cs="Arial"/>
          <w:sz w:val="22"/>
          <w:szCs w:val="22"/>
        </w:rPr>
        <w:br/>
      </w:r>
      <w:r w:rsidRPr="00CF788D">
        <w:rPr>
          <w:rFonts w:ascii="Arial" w:hAnsi="Arial" w:cs="Arial"/>
          <w:sz w:val="22"/>
          <w:szCs w:val="22"/>
        </w:rPr>
        <w:t>a. Trial balance (TB</w:t>
      </w:r>
      <w:r w:rsidRPr="00323868">
        <w:rPr>
          <w:sz w:val="22"/>
          <w:szCs w:val="22"/>
        </w:rPr>
        <w:t>)</w:t>
      </w:r>
      <w:bookmarkEnd w:id="3"/>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1"/>
        <w:gridCol w:w="1935"/>
        <w:gridCol w:w="1934"/>
      </w:tblGrid>
      <w:tr w:rsidR="00060FFC" w:rsidRPr="00060FFC" w14:paraId="269DAF9E" w14:textId="77777777" w:rsidTr="00060FFC">
        <w:trPr>
          <w:trHeight w:val="300"/>
        </w:trPr>
        <w:tc>
          <w:tcPr>
            <w:tcW w:w="5000" w:type="pct"/>
            <w:gridSpan w:val="3"/>
            <w:shd w:val="clear" w:color="auto" w:fill="auto"/>
            <w:noWrap/>
            <w:vAlign w:val="bottom"/>
            <w:hideMark/>
          </w:tcPr>
          <w:p w14:paraId="377F3840" w14:textId="77777777" w:rsidR="00060FFC" w:rsidRPr="00060FFC" w:rsidRDefault="00060FFC" w:rsidP="00060FFC">
            <w:pPr>
              <w:spacing w:line="240" w:lineRule="auto"/>
              <w:jc w:val="center"/>
              <w:rPr>
                <w:rFonts w:eastAsia="Times New Roman"/>
                <w:b/>
                <w:bCs/>
                <w:color w:val="000000"/>
                <w:lang w:val="en-US"/>
              </w:rPr>
            </w:pPr>
            <w:r w:rsidRPr="00060FFC">
              <w:rPr>
                <w:rFonts w:eastAsia="Times New Roman"/>
                <w:b/>
                <w:bCs/>
                <w:color w:val="000000"/>
                <w:lang w:val="en-US"/>
              </w:rPr>
              <w:t>Trial Balance</w:t>
            </w:r>
          </w:p>
        </w:tc>
      </w:tr>
      <w:tr w:rsidR="00060FFC" w:rsidRPr="00060FFC" w14:paraId="2BCFB205" w14:textId="77777777" w:rsidTr="00060FFC">
        <w:trPr>
          <w:trHeight w:val="300"/>
        </w:trPr>
        <w:tc>
          <w:tcPr>
            <w:tcW w:w="2931" w:type="pct"/>
            <w:shd w:val="clear" w:color="auto" w:fill="auto"/>
            <w:noWrap/>
            <w:vAlign w:val="bottom"/>
            <w:hideMark/>
          </w:tcPr>
          <w:p w14:paraId="0A66F500" w14:textId="77777777" w:rsidR="00060FFC" w:rsidRPr="00060FFC" w:rsidRDefault="00060FFC" w:rsidP="00060FFC">
            <w:pPr>
              <w:spacing w:line="240" w:lineRule="auto"/>
              <w:rPr>
                <w:rFonts w:eastAsia="Times New Roman"/>
                <w:b/>
                <w:bCs/>
                <w:color w:val="000000"/>
                <w:lang w:val="en-US"/>
              </w:rPr>
            </w:pPr>
            <w:r w:rsidRPr="00060FFC">
              <w:rPr>
                <w:rFonts w:eastAsia="Times New Roman"/>
                <w:b/>
                <w:bCs/>
                <w:color w:val="000000"/>
                <w:lang w:val="en-US"/>
              </w:rPr>
              <w:t>Particulars</w:t>
            </w:r>
          </w:p>
        </w:tc>
        <w:tc>
          <w:tcPr>
            <w:tcW w:w="1035" w:type="pct"/>
            <w:shd w:val="clear" w:color="auto" w:fill="auto"/>
            <w:noWrap/>
            <w:vAlign w:val="bottom"/>
            <w:hideMark/>
          </w:tcPr>
          <w:p w14:paraId="2AD1C81C" w14:textId="77777777" w:rsidR="00060FFC" w:rsidRPr="00060FFC" w:rsidRDefault="00060FFC" w:rsidP="00060FFC">
            <w:pPr>
              <w:spacing w:line="240" w:lineRule="auto"/>
              <w:rPr>
                <w:rFonts w:eastAsia="Times New Roman"/>
                <w:b/>
                <w:bCs/>
                <w:color w:val="000000"/>
                <w:lang w:val="en-US"/>
              </w:rPr>
            </w:pPr>
            <w:r w:rsidRPr="00060FFC">
              <w:rPr>
                <w:rFonts w:eastAsia="Times New Roman"/>
                <w:b/>
                <w:bCs/>
                <w:color w:val="000000"/>
                <w:lang w:val="en-US"/>
              </w:rPr>
              <w:t>Amount (Dr)</w:t>
            </w:r>
          </w:p>
        </w:tc>
        <w:tc>
          <w:tcPr>
            <w:tcW w:w="1035" w:type="pct"/>
            <w:shd w:val="clear" w:color="auto" w:fill="auto"/>
            <w:noWrap/>
            <w:vAlign w:val="bottom"/>
            <w:hideMark/>
          </w:tcPr>
          <w:p w14:paraId="4CF69C1C" w14:textId="77777777" w:rsidR="00060FFC" w:rsidRPr="00060FFC" w:rsidRDefault="00060FFC" w:rsidP="00060FFC">
            <w:pPr>
              <w:spacing w:line="240" w:lineRule="auto"/>
              <w:rPr>
                <w:rFonts w:eastAsia="Times New Roman"/>
                <w:b/>
                <w:bCs/>
                <w:color w:val="000000"/>
                <w:lang w:val="en-US"/>
              </w:rPr>
            </w:pPr>
            <w:r w:rsidRPr="00060FFC">
              <w:rPr>
                <w:rFonts w:eastAsia="Times New Roman"/>
                <w:b/>
                <w:bCs/>
                <w:color w:val="000000"/>
                <w:lang w:val="en-US"/>
              </w:rPr>
              <w:t>Amount (Cr)</w:t>
            </w:r>
          </w:p>
        </w:tc>
      </w:tr>
      <w:tr w:rsidR="00060FFC" w:rsidRPr="00060FFC" w14:paraId="2F8F70A1" w14:textId="77777777" w:rsidTr="00060FFC">
        <w:trPr>
          <w:trHeight w:val="300"/>
        </w:trPr>
        <w:tc>
          <w:tcPr>
            <w:tcW w:w="2931" w:type="pct"/>
            <w:shd w:val="clear" w:color="auto" w:fill="auto"/>
            <w:noWrap/>
            <w:vAlign w:val="bottom"/>
            <w:hideMark/>
          </w:tcPr>
          <w:p w14:paraId="59ED271B"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Finance Income</w:t>
            </w:r>
          </w:p>
        </w:tc>
        <w:tc>
          <w:tcPr>
            <w:tcW w:w="1035" w:type="pct"/>
            <w:shd w:val="clear" w:color="auto" w:fill="auto"/>
            <w:noWrap/>
            <w:vAlign w:val="bottom"/>
            <w:hideMark/>
          </w:tcPr>
          <w:p w14:paraId="7A0226F9"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3F9E1B70"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4000</w:t>
            </w:r>
          </w:p>
        </w:tc>
      </w:tr>
      <w:tr w:rsidR="00060FFC" w:rsidRPr="00060FFC" w14:paraId="77F3367B" w14:textId="77777777" w:rsidTr="00060FFC">
        <w:trPr>
          <w:trHeight w:val="300"/>
        </w:trPr>
        <w:tc>
          <w:tcPr>
            <w:tcW w:w="2931" w:type="pct"/>
            <w:shd w:val="clear" w:color="auto" w:fill="auto"/>
            <w:noWrap/>
            <w:vAlign w:val="bottom"/>
            <w:hideMark/>
          </w:tcPr>
          <w:p w14:paraId="2CE09B45" w14:textId="77777777" w:rsidR="00060FFC" w:rsidRPr="00060FFC" w:rsidRDefault="00060FFC" w:rsidP="00060FFC">
            <w:pPr>
              <w:spacing w:line="240" w:lineRule="auto"/>
              <w:rPr>
                <w:rFonts w:eastAsia="Times New Roman"/>
                <w:color w:val="000000"/>
                <w:lang w:val="en-US"/>
              </w:rPr>
            </w:pPr>
            <w:proofErr w:type="spellStart"/>
            <w:r w:rsidRPr="00060FFC">
              <w:rPr>
                <w:rFonts w:eastAsia="Times New Roman"/>
                <w:color w:val="000000"/>
                <w:lang w:val="en-US"/>
              </w:rPr>
              <w:t>Fianace</w:t>
            </w:r>
            <w:proofErr w:type="spellEnd"/>
            <w:r w:rsidRPr="00060FFC">
              <w:rPr>
                <w:rFonts w:eastAsia="Times New Roman"/>
                <w:color w:val="000000"/>
                <w:lang w:val="en-US"/>
              </w:rPr>
              <w:t xml:space="preserve"> expense</w:t>
            </w:r>
          </w:p>
        </w:tc>
        <w:tc>
          <w:tcPr>
            <w:tcW w:w="1035" w:type="pct"/>
            <w:shd w:val="clear" w:color="auto" w:fill="auto"/>
            <w:noWrap/>
            <w:vAlign w:val="bottom"/>
            <w:hideMark/>
          </w:tcPr>
          <w:p w14:paraId="3FB1642F"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16000</w:t>
            </w:r>
          </w:p>
        </w:tc>
        <w:tc>
          <w:tcPr>
            <w:tcW w:w="1035" w:type="pct"/>
            <w:shd w:val="clear" w:color="auto" w:fill="auto"/>
            <w:noWrap/>
            <w:vAlign w:val="bottom"/>
            <w:hideMark/>
          </w:tcPr>
          <w:p w14:paraId="135D28C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682C2088" w14:textId="77777777" w:rsidTr="00060FFC">
        <w:trPr>
          <w:trHeight w:val="300"/>
        </w:trPr>
        <w:tc>
          <w:tcPr>
            <w:tcW w:w="2931" w:type="pct"/>
            <w:shd w:val="clear" w:color="auto" w:fill="auto"/>
            <w:noWrap/>
            <w:vAlign w:val="bottom"/>
            <w:hideMark/>
          </w:tcPr>
          <w:p w14:paraId="487E101C"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Share capital</w:t>
            </w:r>
          </w:p>
        </w:tc>
        <w:tc>
          <w:tcPr>
            <w:tcW w:w="1035" w:type="pct"/>
            <w:shd w:val="clear" w:color="auto" w:fill="auto"/>
            <w:noWrap/>
            <w:vAlign w:val="bottom"/>
            <w:hideMark/>
          </w:tcPr>
          <w:p w14:paraId="273CCCBA"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6286CB24"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347900</w:t>
            </w:r>
          </w:p>
        </w:tc>
      </w:tr>
      <w:tr w:rsidR="00060FFC" w:rsidRPr="00060FFC" w14:paraId="108FB4E7" w14:textId="77777777" w:rsidTr="00060FFC">
        <w:trPr>
          <w:trHeight w:val="300"/>
        </w:trPr>
        <w:tc>
          <w:tcPr>
            <w:tcW w:w="2931" w:type="pct"/>
            <w:shd w:val="clear" w:color="auto" w:fill="auto"/>
            <w:noWrap/>
            <w:vAlign w:val="bottom"/>
            <w:hideMark/>
          </w:tcPr>
          <w:p w14:paraId="7FE8F64A"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Bank</w:t>
            </w:r>
          </w:p>
        </w:tc>
        <w:tc>
          <w:tcPr>
            <w:tcW w:w="1035" w:type="pct"/>
            <w:shd w:val="clear" w:color="auto" w:fill="auto"/>
            <w:noWrap/>
            <w:vAlign w:val="bottom"/>
            <w:hideMark/>
          </w:tcPr>
          <w:p w14:paraId="273D82E0"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7DD286F1"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2000</w:t>
            </w:r>
          </w:p>
        </w:tc>
      </w:tr>
      <w:tr w:rsidR="00060FFC" w:rsidRPr="00060FFC" w14:paraId="125216DF" w14:textId="77777777" w:rsidTr="00060FFC">
        <w:trPr>
          <w:trHeight w:val="300"/>
        </w:trPr>
        <w:tc>
          <w:tcPr>
            <w:tcW w:w="2931" w:type="pct"/>
            <w:shd w:val="clear" w:color="auto" w:fill="auto"/>
            <w:noWrap/>
            <w:vAlign w:val="bottom"/>
            <w:hideMark/>
          </w:tcPr>
          <w:p w14:paraId="741BC460"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Opening inventory</w:t>
            </w:r>
          </w:p>
        </w:tc>
        <w:tc>
          <w:tcPr>
            <w:tcW w:w="1035" w:type="pct"/>
            <w:shd w:val="clear" w:color="auto" w:fill="auto"/>
            <w:noWrap/>
            <w:vAlign w:val="bottom"/>
            <w:hideMark/>
          </w:tcPr>
          <w:p w14:paraId="68499B7F"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90000</w:t>
            </w:r>
          </w:p>
        </w:tc>
        <w:tc>
          <w:tcPr>
            <w:tcW w:w="1035" w:type="pct"/>
            <w:shd w:val="clear" w:color="auto" w:fill="auto"/>
            <w:noWrap/>
            <w:vAlign w:val="bottom"/>
            <w:hideMark/>
          </w:tcPr>
          <w:p w14:paraId="6ADF4474"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085A3846" w14:textId="77777777" w:rsidTr="00060FFC">
        <w:trPr>
          <w:trHeight w:val="300"/>
        </w:trPr>
        <w:tc>
          <w:tcPr>
            <w:tcW w:w="2931" w:type="pct"/>
            <w:shd w:val="clear" w:color="auto" w:fill="auto"/>
            <w:noWrap/>
            <w:vAlign w:val="bottom"/>
            <w:hideMark/>
          </w:tcPr>
          <w:p w14:paraId="72441EE2"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Machinery</w:t>
            </w:r>
          </w:p>
        </w:tc>
        <w:tc>
          <w:tcPr>
            <w:tcW w:w="1035" w:type="pct"/>
            <w:shd w:val="clear" w:color="auto" w:fill="auto"/>
            <w:noWrap/>
            <w:vAlign w:val="bottom"/>
            <w:hideMark/>
          </w:tcPr>
          <w:p w14:paraId="3A61B4F2"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90000</w:t>
            </w:r>
          </w:p>
        </w:tc>
        <w:tc>
          <w:tcPr>
            <w:tcW w:w="1035" w:type="pct"/>
            <w:shd w:val="clear" w:color="auto" w:fill="auto"/>
            <w:noWrap/>
            <w:vAlign w:val="bottom"/>
            <w:hideMark/>
          </w:tcPr>
          <w:p w14:paraId="516770AB"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74933A02" w14:textId="77777777" w:rsidTr="00060FFC">
        <w:trPr>
          <w:trHeight w:val="300"/>
        </w:trPr>
        <w:tc>
          <w:tcPr>
            <w:tcW w:w="2931" w:type="pct"/>
            <w:shd w:val="clear" w:color="auto" w:fill="auto"/>
            <w:noWrap/>
            <w:vAlign w:val="bottom"/>
            <w:hideMark/>
          </w:tcPr>
          <w:p w14:paraId="082D9B57"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Building</w:t>
            </w:r>
          </w:p>
        </w:tc>
        <w:tc>
          <w:tcPr>
            <w:tcW w:w="1035" w:type="pct"/>
            <w:shd w:val="clear" w:color="auto" w:fill="auto"/>
            <w:noWrap/>
            <w:vAlign w:val="bottom"/>
            <w:hideMark/>
          </w:tcPr>
          <w:p w14:paraId="58AD1E23"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712500</w:t>
            </w:r>
          </w:p>
        </w:tc>
        <w:tc>
          <w:tcPr>
            <w:tcW w:w="1035" w:type="pct"/>
            <w:shd w:val="clear" w:color="auto" w:fill="auto"/>
            <w:noWrap/>
            <w:vAlign w:val="bottom"/>
            <w:hideMark/>
          </w:tcPr>
          <w:p w14:paraId="046A1423"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3E429569" w14:textId="77777777" w:rsidTr="00060FFC">
        <w:trPr>
          <w:trHeight w:val="300"/>
        </w:trPr>
        <w:tc>
          <w:tcPr>
            <w:tcW w:w="2931" w:type="pct"/>
            <w:shd w:val="clear" w:color="auto" w:fill="auto"/>
            <w:noWrap/>
            <w:vAlign w:val="bottom"/>
            <w:hideMark/>
          </w:tcPr>
          <w:p w14:paraId="4F2560E0"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Depreciation on Building</w:t>
            </w:r>
          </w:p>
        </w:tc>
        <w:tc>
          <w:tcPr>
            <w:tcW w:w="1035" w:type="pct"/>
            <w:shd w:val="clear" w:color="auto" w:fill="auto"/>
            <w:noWrap/>
            <w:vAlign w:val="bottom"/>
            <w:hideMark/>
          </w:tcPr>
          <w:p w14:paraId="68025ED8"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37500</w:t>
            </w:r>
          </w:p>
        </w:tc>
        <w:tc>
          <w:tcPr>
            <w:tcW w:w="1035" w:type="pct"/>
            <w:shd w:val="clear" w:color="auto" w:fill="auto"/>
            <w:noWrap/>
            <w:vAlign w:val="bottom"/>
            <w:hideMark/>
          </w:tcPr>
          <w:p w14:paraId="3DFD6CC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0FF8B916" w14:textId="77777777" w:rsidTr="00060FFC">
        <w:trPr>
          <w:trHeight w:val="300"/>
        </w:trPr>
        <w:tc>
          <w:tcPr>
            <w:tcW w:w="2931" w:type="pct"/>
            <w:shd w:val="clear" w:color="auto" w:fill="auto"/>
            <w:noWrap/>
            <w:vAlign w:val="bottom"/>
            <w:hideMark/>
          </w:tcPr>
          <w:p w14:paraId="1B6AC0CD"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Depreciation on machinery</w:t>
            </w:r>
          </w:p>
        </w:tc>
        <w:tc>
          <w:tcPr>
            <w:tcW w:w="1035" w:type="pct"/>
            <w:shd w:val="clear" w:color="auto" w:fill="auto"/>
            <w:noWrap/>
            <w:vAlign w:val="bottom"/>
            <w:hideMark/>
          </w:tcPr>
          <w:p w14:paraId="69734246"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30000</w:t>
            </w:r>
          </w:p>
        </w:tc>
        <w:tc>
          <w:tcPr>
            <w:tcW w:w="1035" w:type="pct"/>
            <w:shd w:val="clear" w:color="auto" w:fill="auto"/>
            <w:noWrap/>
            <w:vAlign w:val="bottom"/>
            <w:hideMark/>
          </w:tcPr>
          <w:p w14:paraId="05C2746A"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4B2E7101" w14:textId="77777777" w:rsidTr="00060FFC">
        <w:trPr>
          <w:trHeight w:val="300"/>
        </w:trPr>
        <w:tc>
          <w:tcPr>
            <w:tcW w:w="2931" w:type="pct"/>
            <w:shd w:val="clear" w:color="auto" w:fill="auto"/>
            <w:noWrap/>
            <w:vAlign w:val="bottom"/>
            <w:hideMark/>
          </w:tcPr>
          <w:p w14:paraId="53E14BC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Provision for depreciation - machinery</w:t>
            </w:r>
          </w:p>
        </w:tc>
        <w:tc>
          <w:tcPr>
            <w:tcW w:w="1035" w:type="pct"/>
            <w:shd w:val="clear" w:color="auto" w:fill="auto"/>
            <w:noWrap/>
            <w:vAlign w:val="bottom"/>
            <w:hideMark/>
          </w:tcPr>
          <w:p w14:paraId="0524A90D"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6A75FB16"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-5000</w:t>
            </w:r>
          </w:p>
        </w:tc>
      </w:tr>
      <w:tr w:rsidR="00060FFC" w:rsidRPr="00060FFC" w14:paraId="5EA59655" w14:textId="77777777" w:rsidTr="00060FFC">
        <w:trPr>
          <w:trHeight w:val="300"/>
        </w:trPr>
        <w:tc>
          <w:tcPr>
            <w:tcW w:w="2931" w:type="pct"/>
            <w:shd w:val="clear" w:color="auto" w:fill="auto"/>
            <w:noWrap/>
            <w:vAlign w:val="bottom"/>
            <w:hideMark/>
          </w:tcPr>
          <w:p w14:paraId="4FB2106C"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Provision for depreciation - buildings</w:t>
            </w:r>
          </w:p>
        </w:tc>
        <w:tc>
          <w:tcPr>
            <w:tcW w:w="1035" w:type="pct"/>
            <w:shd w:val="clear" w:color="auto" w:fill="auto"/>
            <w:noWrap/>
            <w:vAlign w:val="bottom"/>
            <w:hideMark/>
          </w:tcPr>
          <w:p w14:paraId="7D2CEFF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40001800"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62500</w:t>
            </w:r>
          </w:p>
        </w:tc>
      </w:tr>
      <w:tr w:rsidR="00060FFC" w:rsidRPr="00060FFC" w14:paraId="5F405A5D" w14:textId="77777777" w:rsidTr="00060FFC">
        <w:trPr>
          <w:trHeight w:val="300"/>
        </w:trPr>
        <w:tc>
          <w:tcPr>
            <w:tcW w:w="2931" w:type="pct"/>
            <w:shd w:val="clear" w:color="auto" w:fill="auto"/>
            <w:noWrap/>
            <w:vAlign w:val="bottom"/>
            <w:hideMark/>
          </w:tcPr>
          <w:p w14:paraId="11852F0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xml:space="preserve">P &amp; L </w:t>
            </w:r>
            <w:proofErr w:type="spellStart"/>
            <w:r w:rsidRPr="00060FFC">
              <w:rPr>
                <w:rFonts w:eastAsia="Times New Roman"/>
                <w:color w:val="000000"/>
                <w:lang w:val="en-US"/>
              </w:rPr>
              <w:t>alc</w:t>
            </w:r>
            <w:proofErr w:type="spellEnd"/>
            <w:r w:rsidRPr="00060FFC">
              <w:rPr>
                <w:rFonts w:eastAsia="Times New Roman"/>
                <w:color w:val="000000"/>
                <w:lang w:val="en-US"/>
              </w:rPr>
              <w:t xml:space="preserve"> </w:t>
            </w:r>
          </w:p>
        </w:tc>
        <w:tc>
          <w:tcPr>
            <w:tcW w:w="1035" w:type="pct"/>
            <w:shd w:val="clear" w:color="auto" w:fill="auto"/>
            <w:noWrap/>
            <w:vAlign w:val="bottom"/>
            <w:hideMark/>
          </w:tcPr>
          <w:p w14:paraId="3D699B1F"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5000</w:t>
            </w:r>
          </w:p>
        </w:tc>
        <w:tc>
          <w:tcPr>
            <w:tcW w:w="1035" w:type="pct"/>
            <w:shd w:val="clear" w:color="auto" w:fill="auto"/>
            <w:noWrap/>
            <w:vAlign w:val="bottom"/>
            <w:hideMark/>
          </w:tcPr>
          <w:p w14:paraId="1770D8F8"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19BDC083" w14:textId="77777777" w:rsidTr="00060FFC">
        <w:trPr>
          <w:trHeight w:val="300"/>
        </w:trPr>
        <w:tc>
          <w:tcPr>
            <w:tcW w:w="2931" w:type="pct"/>
            <w:shd w:val="clear" w:color="auto" w:fill="auto"/>
            <w:noWrap/>
            <w:vAlign w:val="bottom"/>
            <w:hideMark/>
          </w:tcPr>
          <w:p w14:paraId="42D78B6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Legal expenses</w:t>
            </w:r>
          </w:p>
        </w:tc>
        <w:tc>
          <w:tcPr>
            <w:tcW w:w="1035" w:type="pct"/>
            <w:shd w:val="clear" w:color="auto" w:fill="auto"/>
            <w:noWrap/>
            <w:vAlign w:val="bottom"/>
            <w:hideMark/>
          </w:tcPr>
          <w:p w14:paraId="620CFF82"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7000</w:t>
            </w:r>
          </w:p>
        </w:tc>
        <w:tc>
          <w:tcPr>
            <w:tcW w:w="1035" w:type="pct"/>
            <w:shd w:val="clear" w:color="auto" w:fill="auto"/>
            <w:noWrap/>
            <w:vAlign w:val="bottom"/>
            <w:hideMark/>
          </w:tcPr>
          <w:p w14:paraId="27B3046E"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22AF384F" w14:textId="77777777" w:rsidTr="00060FFC">
        <w:trPr>
          <w:trHeight w:val="300"/>
        </w:trPr>
        <w:tc>
          <w:tcPr>
            <w:tcW w:w="2931" w:type="pct"/>
            <w:shd w:val="clear" w:color="auto" w:fill="auto"/>
            <w:noWrap/>
            <w:vAlign w:val="bottom"/>
            <w:hideMark/>
          </w:tcPr>
          <w:p w14:paraId="1F8F1F2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heating and lighting</w:t>
            </w:r>
          </w:p>
        </w:tc>
        <w:tc>
          <w:tcPr>
            <w:tcW w:w="1035" w:type="pct"/>
            <w:shd w:val="clear" w:color="auto" w:fill="auto"/>
            <w:noWrap/>
            <w:vAlign w:val="bottom"/>
            <w:hideMark/>
          </w:tcPr>
          <w:p w14:paraId="50AC0D63"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10000</w:t>
            </w:r>
          </w:p>
        </w:tc>
        <w:tc>
          <w:tcPr>
            <w:tcW w:w="1035" w:type="pct"/>
            <w:shd w:val="clear" w:color="auto" w:fill="auto"/>
            <w:noWrap/>
            <w:vAlign w:val="bottom"/>
            <w:hideMark/>
          </w:tcPr>
          <w:p w14:paraId="738A7B7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723DA7B2" w14:textId="77777777" w:rsidTr="00060FFC">
        <w:trPr>
          <w:trHeight w:val="300"/>
        </w:trPr>
        <w:tc>
          <w:tcPr>
            <w:tcW w:w="2931" w:type="pct"/>
            <w:shd w:val="clear" w:color="auto" w:fill="auto"/>
            <w:noWrap/>
            <w:vAlign w:val="bottom"/>
            <w:hideMark/>
          </w:tcPr>
          <w:p w14:paraId="370FEB78"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Long term loans</w:t>
            </w:r>
          </w:p>
        </w:tc>
        <w:tc>
          <w:tcPr>
            <w:tcW w:w="1035" w:type="pct"/>
            <w:shd w:val="clear" w:color="auto" w:fill="auto"/>
            <w:noWrap/>
            <w:vAlign w:val="bottom"/>
            <w:hideMark/>
          </w:tcPr>
          <w:p w14:paraId="78C919FB"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55F6A5A6"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200000</w:t>
            </w:r>
          </w:p>
        </w:tc>
      </w:tr>
      <w:tr w:rsidR="00060FFC" w:rsidRPr="00060FFC" w14:paraId="72C237EE" w14:textId="77777777" w:rsidTr="00060FFC">
        <w:trPr>
          <w:trHeight w:val="300"/>
        </w:trPr>
        <w:tc>
          <w:tcPr>
            <w:tcW w:w="2931" w:type="pct"/>
            <w:shd w:val="clear" w:color="auto" w:fill="auto"/>
            <w:noWrap/>
            <w:vAlign w:val="bottom"/>
            <w:hideMark/>
          </w:tcPr>
          <w:p w14:paraId="42574210"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Rent and Rates</w:t>
            </w:r>
          </w:p>
        </w:tc>
        <w:tc>
          <w:tcPr>
            <w:tcW w:w="1035" w:type="pct"/>
            <w:shd w:val="clear" w:color="auto" w:fill="auto"/>
            <w:noWrap/>
            <w:vAlign w:val="bottom"/>
            <w:hideMark/>
          </w:tcPr>
          <w:p w14:paraId="288E36F5"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24780</w:t>
            </w:r>
          </w:p>
        </w:tc>
        <w:tc>
          <w:tcPr>
            <w:tcW w:w="1035" w:type="pct"/>
            <w:shd w:val="clear" w:color="auto" w:fill="auto"/>
            <w:noWrap/>
            <w:vAlign w:val="bottom"/>
            <w:hideMark/>
          </w:tcPr>
          <w:p w14:paraId="72DF11FE"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5AF90E16" w14:textId="77777777" w:rsidTr="00060FFC">
        <w:trPr>
          <w:trHeight w:val="300"/>
        </w:trPr>
        <w:tc>
          <w:tcPr>
            <w:tcW w:w="2931" w:type="pct"/>
            <w:shd w:val="clear" w:color="auto" w:fill="auto"/>
            <w:noWrap/>
            <w:vAlign w:val="bottom"/>
            <w:hideMark/>
          </w:tcPr>
          <w:p w14:paraId="1FE88CA4"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xml:space="preserve">Insurance </w:t>
            </w:r>
          </w:p>
        </w:tc>
        <w:tc>
          <w:tcPr>
            <w:tcW w:w="1035" w:type="pct"/>
            <w:shd w:val="clear" w:color="auto" w:fill="auto"/>
            <w:noWrap/>
            <w:vAlign w:val="bottom"/>
            <w:hideMark/>
          </w:tcPr>
          <w:p w14:paraId="376827B3"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1520</w:t>
            </w:r>
          </w:p>
        </w:tc>
        <w:tc>
          <w:tcPr>
            <w:tcW w:w="1035" w:type="pct"/>
            <w:shd w:val="clear" w:color="auto" w:fill="auto"/>
            <w:noWrap/>
            <w:vAlign w:val="bottom"/>
            <w:hideMark/>
          </w:tcPr>
          <w:p w14:paraId="31C7D9BE"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5EC65E30" w14:textId="77777777" w:rsidTr="00060FFC">
        <w:trPr>
          <w:trHeight w:val="300"/>
        </w:trPr>
        <w:tc>
          <w:tcPr>
            <w:tcW w:w="2931" w:type="pct"/>
            <w:shd w:val="clear" w:color="auto" w:fill="auto"/>
            <w:noWrap/>
            <w:vAlign w:val="bottom"/>
            <w:hideMark/>
          </w:tcPr>
          <w:p w14:paraId="1F9E4773"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Postage and stationery</w:t>
            </w:r>
          </w:p>
        </w:tc>
        <w:tc>
          <w:tcPr>
            <w:tcW w:w="1035" w:type="pct"/>
            <w:shd w:val="clear" w:color="auto" w:fill="auto"/>
            <w:noWrap/>
            <w:vAlign w:val="bottom"/>
            <w:hideMark/>
          </w:tcPr>
          <w:p w14:paraId="1627B802"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6000</w:t>
            </w:r>
          </w:p>
        </w:tc>
        <w:tc>
          <w:tcPr>
            <w:tcW w:w="1035" w:type="pct"/>
            <w:shd w:val="clear" w:color="auto" w:fill="auto"/>
            <w:noWrap/>
            <w:vAlign w:val="bottom"/>
            <w:hideMark/>
          </w:tcPr>
          <w:p w14:paraId="0CCAE52B"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406263E8" w14:textId="77777777" w:rsidTr="00060FFC">
        <w:trPr>
          <w:trHeight w:val="300"/>
        </w:trPr>
        <w:tc>
          <w:tcPr>
            <w:tcW w:w="2931" w:type="pct"/>
            <w:shd w:val="clear" w:color="auto" w:fill="auto"/>
            <w:noWrap/>
            <w:vAlign w:val="bottom"/>
            <w:hideMark/>
          </w:tcPr>
          <w:p w14:paraId="7B1840C9"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share premium</w:t>
            </w:r>
          </w:p>
        </w:tc>
        <w:tc>
          <w:tcPr>
            <w:tcW w:w="1035" w:type="pct"/>
            <w:shd w:val="clear" w:color="auto" w:fill="auto"/>
            <w:noWrap/>
            <w:vAlign w:val="bottom"/>
            <w:hideMark/>
          </w:tcPr>
          <w:p w14:paraId="6C7A47B1"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2A1D4810"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100000</w:t>
            </w:r>
          </w:p>
        </w:tc>
      </w:tr>
      <w:tr w:rsidR="00060FFC" w:rsidRPr="00060FFC" w14:paraId="6D550E96" w14:textId="77777777" w:rsidTr="00060FFC">
        <w:trPr>
          <w:trHeight w:val="300"/>
        </w:trPr>
        <w:tc>
          <w:tcPr>
            <w:tcW w:w="2931" w:type="pct"/>
            <w:shd w:val="clear" w:color="auto" w:fill="auto"/>
            <w:noWrap/>
            <w:vAlign w:val="bottom"/>
            <w:hideMark/>
          </w:tcPr>
          <w:p w14:paraId="199F89C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Sales revenue</w:t>
            </w:r>
          </w:p>
        </w:tc>
        <w:tc>
          <w:tcPr>
            <w:tcW w:w="1035" w:type="pct"/>
            <w:shd w:val="clear" w:color="auto" w:fill="auto"/>
            <w:noWrap/>
            <w:vAlign w:val="bottom"/>
            <w:hideMark/>
          </w:tcPr>
          <w:p w14:paraId="18768B77"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16D10FBA"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900000</w:t>
            </w:r>
          </w:p>
        </w:tc>
      </w:tr>
      <w:tr w:rsidR="00060FFC" w:rsidRPr="00060FFC" w14:paraId="734FDA6E" w14:textId="77777777" w:rsidTr="00060FFC">
        <w:trPr>
          <w:trHeight w:val="300"/>
        </w:trPr>
        <w:tc>
          <w:tcPr>
            <w:tcW w:w="2931" w:type="pct"/>
            <w:shd w:val="clear" w:color="auto" w:fill="auto"/>
            <w:noWrap/>
            <w:vAlign w:val="bottom"/>
            <w:hideMark/>
          </w:tcPr>
          <w:p w14:paraId="731D7D49"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Retained profits</w:t>
            </w:r>
          </w:p>
        </w:tc>
        <w:tc>
          <w:tcPr>
            <w:tcW w:w="1035" w:type="pct"/>
            <w:shd w:val="clear" w:color="auto" w:fill="auto"/>
            <w:noWrap/>
            <w:vAlign w:val="bottom"/>
            <w:hideMark/>
          </w:tcPr>
          <w:p w14:paraId="4D5C4FD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696F7106"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50000</w:t>
            </w:r>
          </w:p>
        </w:tc>
      </w:tr>
      <w:tr w:rsidR="00060FFC" w:rsidRPr="00060FFC" w14:paraId="0BD4B3B9" w14:textId="77777777" w:rsidTr="00060FFC">
        <w:trPr>
          <w:trHeight w:val="300"/>
        </w:trPr>
        <w:tc>
          <w:tcPr>
            <w:tcW w:w="2931" w:type="pct"/>
            <w:shd w:val="clear" w:color="auto" w:fill="auto"/>
            <w:noWrap/>
            <w:vAlign w:val="bottom"/>
            <w:hideMark/>
          </w:tcPr>
          <w:p w14:paraId="597B9356"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Travelling expenses</w:t>
            </w:r>
          </w:p>
        </w:tc>
        <w:tc>
          <w:tcPr>
            <w:tcW w:w="1035" w:type="pct"/>
            <w:shd w:val="clear" w:color="auto" w:fill="auto"/>
            <w:noWrap/>
            <w:vAlign w:val="bottom"/>
            <w:hideMark/>
          </w:tcPr>
          <w:p w14:paraId="74D0414D"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5000</w:t>
            </w:r>
          </w:p>
        </w:tc>
        <w:tc>
          <w:tcPr>
            <w:tcW w:w="1035" w:type="pct"/>
            <w:shd w:val="clear" w:color="auto" w:fill="auto"/>
            <w:noWrap/>
            <w:vAlign w:val="bottom"/>
            <w:hideMark/>
          </w:tcPr>
          <w:p w14:paraId="746618DC"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314F6A7B" w14:textId="77777777" w:rsidTr="00060FFC">
        <w:trPr>
          <w:trHeight w:val="300"/>
        </w:trPr>
        <w:tc>
          <w:tcPr>
            <w:tcW w:w="2931" w:type="pct"/>
            <w:shd w:val="clear" w:color="auto" w:fill="auto"/>
            <w:noWrap/>
            <w:vAlign w:val="bottom"/>
            <w:hideMark/>
          </w:tcPr>
          <w:p w14:paraId="79FF8729"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motor running expenses</w:t>
            </w:r>
          </w:p>
        </w:tc>
        <w:tc>
          <w:tcPr>
            <w:tcW w:w="1035" w:type="pct"/>
            <w:shd w:val="clear" w:color="auto" w:fill="auto"/>
            <w:noWrap/>
            <w:vAlign w:val="bottom"/>
            <w:hideMark/>
          </w:tcPr>
          <w:p w14:paraId="5AF1309F"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8700</w:t>
            </w:r>
          </w:p>
        </w:tc>
        <w:tc>
          <w:tcPr>
            <w:tcW w:w="1035" w:type="pct"/>
            <w:shd w:val="clear" w:color="auto" w:fill="auto"/>
            <w:noWrap/>
            <w:vAlign w:val="bottom"/>
            <w:hideMark/>
          </w:tcPr>
          <w:p w14:paraId="71E31FF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626871FC" w14:textId="77777777" w:rsidTr="00060FFC">
        <w:trPr>
          <w:trHeight w:val="300"/>
        </w:trPr>
        <w:tc>
          <w:tcPr>
            <w:tcW w:w="2931" w:type="pct"/>
            <w:shd w:val="clear" w:color="auto" w:fill="auto"/>
            <w:noWrap/>
            <w:vAlign w:val="bottom"/>
            <w:hideMark/>
          </w:tcPr>
          <w:p w14:paraId="4EB4B970"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Salaries and wages</w:t>
            </w:r>
          </w:p>
        </w:tc>
        <w:tc>
          <w:tcPr>
            <w:tcW w:w="1035" w:type="pct"/>
            <w:shd w:val="clear" w:color="auto" w:fill="auto"/>
            <w:noWrap/>
            <w:vAlign w:val="bottom"/>
            <w:hideMark/>
          </w:tcPr>
          <w:p w14:paraId="063AE5D7"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150000</w:t>
            </w:r>
          </w:p>
        </w:tc>
        <w:tc>
          <w:tcPr>
            <w:tcW w:w="1035" w:type="pct"/>
            <w:shd w:val="clear" w:color="auto" w:fill="auto"/>
            <w:noWrap/>
            <w:vAlign w:val="bottom"/>
            <w:hideMark/>
          </w:tcPr>
          <w:p w14:paraId="1C902F04"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784E21ED" w14:textId="77777777" w:rsidTr="00060FFC">
        <w:trPr>
          <w:trHeight w:val="300"/>
        </w:trPr>
        <w:tc>
          <w:tcPr>
            <w:tcW w:w="2931" w:type="pct"/>
            <w:shd w:val="clear" w:color="auto" w:fill="auto"/>
            <w:noWrap/>
            <w:vAlign w:val="bottom"/>
            <w:hideMark/>
          </w:tcPr>
          <w:p w14:paraId="5BE9BFF7"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Bad debt</w:t>
            </w:r>
          </w:p>
        </w:tc>
        <w:tc>
          <w:tcPr>
            <w:tcW w:w="1035" w:type="pct"/>
            <w:shd w:val="clear" w:color="auto" w:fill="auto"/>
            <w:noWrap/>
            <w:vAlign w:val="bottom"/>
            <w:hideMark/>
          </w:tcPr>
          <w:p w14:paraId="31764464"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4000</w:t>
            </w:r>
          </w:p>
        </w:tc>
        <w:tc>
          <w:tcPr>
            <w:tcW w:w="1035" w:type="pct"/>
            <w:shd w:val="clear" w:color="auto" w:fill="auto"/>
            <w:noWrap/>
            <w:vAlign w:val="bottom"/>
            <w:hideMark/>
          </w:tcPr>
          <w:p w14:paraId="212A8C1E"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6C18A86B" w14:textId="77777777" w:rsidTr="00060FFC">
        <w:trPr>
          <w:trHeight w:val="300"/>
        </w:trPr>
        <w:tc>
          <w:tcPr>
            <w:tcW w:w="2931" w:type="pct"/>
            <w:shd w:val="clear" w:color="auto" w:fill="auto"/>
            <w:noWrap/>
            <w:vAlign w:val="bottom"/>
            <w:hideMark/>
          </w:tcPr>
          <w:p w14:paraId="687888CA"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Purchases</w:t>
            </w:r>
          </w:p>
        </w:tc>
        <w:tc>
          <w:tcPr>
            <w:tcW w:w="1035" w:type="pct"/>
            <w:shd w:val="clear" w:color="auto" w:fill="auto"/>
            <w:noWrap/>
            <w:vAlign w:val="bottom"/>
            <w:hideMark/>
          </w:tcPr>
          <w:p w14:paraId="7324ABC9"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560000</w:t>
            </w:r>
          </w:p>
        </w:tc>
        <w:tc>
          <w:tcPr>
            <w:tcW w:w="1035" w:type="pct"/>
            <w:shd w:val="clear" w:color="auto" w:fill="auto"/>
            <w:noWrap/>
            <w:vAlign w:val="bottom"/>
            <w:hideMark/>
          </w:tcPr>
          <w:p w14:paraId="60DF2844"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4E3C5AB5" w14:textId="77777777" w:rsidTr="00060FFC">
        <w:trPr>
          <w:trHeight w:val="300"/>
        </w:trPr>
        <w:tc>
          <w:tcPr>
            <w:tcW w:w="2931" w:type="pct"/>
            <w:shd w:val="clear" w:color="auto" w:fill="auto"/>
            <w:noWrap/>
            <w:vAlign w:val="bottom"/>
            <w:hideMark/>
          </w:tcPr>
          <w:p w14:paraId="09020A69"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Revaluation reserve</w:t>
            </w:r>
          </w:p>
        </w:tc>
        <w:tc>
          <w:tcPr>
            <w:tcW w:w="1035" w:type="pct"/>
            <w:shd w:val="clear" w:color="auto" w:fill="auto"/>
            <w:noWrap/>
            <w:vAlign w:val="bottom"/>
            <w:hideMark/>
          </w:tcPr>
          <w:p w14:paraId="2E56033C"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34C6EB44"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100000</w:t>
            </w:r>
          </w:p>
        </w:tc>
      </w:tr>
      <w:tr w:rsidR="00060FFC" w:rsidRPr="00060FFC" w14:paraId="2C99B2FD" w14:textId="77777777" w:rsidTr="00060FFC">
        <w:trPr>
          <w:trHeight w:val="300"/>
        </w:trPr>
        <w:tc>
          <w:tcPr>
            <w:tcW w:w="2931" w:type="pct"/>
            <w:shd w:val="clear" w:color="auto" w:fill="auto"/>
            <w:noWrap/>
            <w:vAlign w:val="bottom"/>
            <w:hideMark/>
          </w:tcPr>
          <w:p w14:paraId="7C70A4C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Provision for bad debts</w:t>
            </w:r>
          </w:p>
        </w:tc>
        <w:tc>
          <w:tcPr>
            <w:tcW w:w="1035" w:type="pct"/>
            <w:shd w:val="clear" w:color="auto" w:fill="auto"/>
            <w:noWrap/>
            <w:vAlign w:val="bottom"/>
            <w:hideMark/>
          </w:tcPr>
          <w:p w14:paraId="086E23AA"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045ADB3F"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7000</w:t>
            </w:r>
          </w:p>
        </w:tc>
      </w:tr>
      <w:tr w:rsidR="00060FFC" w:rsidRPr="00060FFC" w14:paraId="11F5F3C8" w14:textId="77777777" w:rsidTr="00060FFC">
        <w:trPr>
          <w:trHeight w:val="300"/>
        </w:trPr>
        <w:tc>
          <w:tcPr>
            <w:tcW w:w="2931" w:type="pct"/>
            <w:shd w:val="clear" w:color="auto" w:fill="auto"/>
            <w:noWrap/>
            <w:vAlign w:val="bottom"/>
            <w:hideMark/>
          </w:tcPr>
          <w:p w14:paraId="1F74691B"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Taxation</w:t>
            </w:r>
          </w:p>
        </w:tc>
        <w:tc>
          <w:tcPr>
            <w:tcW w:w="1035" w:type="pct"/>
            <w:shd w:val="clear" w:color="auto" w:fill="auto"/>
            <w:noWrap/>
            <w:vAlign w:val="bottom"/>
            <w:hideMark/>
          </w:tcPr>
          <w:p w14:paraId="4FF0F870"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12900</w:t>
            </w:r>
          </w:p>
        </w:tc>
        <w:tc>
          <w:tcPr>
            <w:tcW w:w="1035" w:type="pct"/>
            <w:shd w:val="clear" w:color="auto" w:fill="auto"/>
            <w:noWrap/>
            <w:vAlign w:val="bottom"/>
            <w:hideMark/>
          </w:tcPr>
          <w:p w14:paraId="6A77D367"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4E8F8CEC" w14:textId="77777777" w:rsidTr="00060FFC">
        <w:trPr>
          <w:trHeight w:val="300"/>
        </w:trPr>
        <w:tc>
          <w:tcPr>
            <w:tcW w:w="2931" w:type="pct"/>
            <w:shd w:val="clear" w:color="auto" w:fill="auto"/>
            <w:noWrap/>
            <w:vAlign w:val="bottom"/>
            <w:hideMark/>
          </w:tcPr>
          <w:p w14:paraId="2395FF92"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Trade receivables (debtors)</w:t>
            </w:r>
          </w:p>
        </w:tc>
        <w:tc>
          <w:tcPr>
            <w:tcW w:w="1035" w:type="pct"/>
            <w:shd w:val="clear" w:color="auto" w:fill="auto"/>
            <w:noWrap/>
            <w:vAlign w:val="bottom"/>
            <w:hideMark/>
          </w:tcPr>
          <w:p w14:paraId="4C7A5B8E"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396000</w:t>
            </w:r>
          </w:p>
        </w:tc>
        <w:tc>
          <w:tcPr>
            <w:tcW w:w="1035" w:type="pct"/>
            <w:shd w:val="clear" w:color="auto" w:fill="auto"/>
            <w:noWrap/>
            <w:vAlign w:val="bottom"/>
            <w:hideMark/>
          </w:tcPr>
          <w:p w14:paraId="0D17366C"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3A6EBE6E" w14:textId="77777777" w:rsidTr="00060FFC">
        <w:trPr>
          <w:trHeight w:val="300"/>
        </w:trPr>
        <w:tc>
          <w:tcPr>
            <w:tcW w:w="2931" w:type="pct"/>
            <w:shd w:val="clear" w:color="auto" w:fill="auto"/>
            <w:noWrap/>
            <w:vAlign w:val="bottom"/>
            <w:hideMark/>
          </w:tcPr>
          <w:p w14:paraId="741E22B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Trade payables (creditors)</w:t>
            </w:r>
          </w:p>
        </w:tc>
        <w:tc>
          <w:tcPr>
            <w:tcW w:w="1035" w:type="pct"/>
            <w:shd w:val="clear" w:color="auto" w:fill="auto"/>
            <w:noWrap/>
            <w:vAlign w:val="bottom"/>
            <w:hideMark/>
          </w:tcPr>
          <w:p w14:paraId="432665F3"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33220035"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350000</w:t>
            </w:r>
          </w:p>
        </w:tc>
      </w:tr>
      <w:tr w:rsidR="00060FFC" w:rsidRPr="00060FFC" w14:paraId="375097EF" w14:textId="77777777" w:rsidTr="00060FFC">
        <w:trPr>
          <w:trHeight w:val="300"/>
        </w:trPr>
        <w:tc>
          <w:tcPr>
            <w:tcW w:w="2931" w:type="pct"/>
            <w:shd w:val="clear" w:color="auto" w:fill="auto"/>
            <w:noWrap/>
            <w:vAlign w:val="bottom"/>
            <w:hideMark/>
          </w:tcPr>
          <w:p w14:paraId="458C5F3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Prepaid Insurance</w:t>
            </w:r>
          </w:p>
        </w:tc>
        <w:tc>
          <w:tcPr>
            <w:tcW w:w="1035" w:type="pct"/>
            <w:shd w:val="clear" w:color="auto" w:fill="auto"/>
            <w:noWrap/>
            <w:vAlign w:val="bottom"/>
            <w:hideMark/>
          </w:tcPr>
          <w:p w14:paraId="352ED332"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606900CD"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16000</w:t>
            </w:r>
          </w:p>
        </w:tc>
      </w:tr>
      <w:tr w:rsidR="00060FFC" w:rsidRPr="00060FFC" w14:paraId="17190AB0" w14:textId="77777777" w:rsidTr="00060FFC">
        <w:trPr>
          <w:trHeight w:val="300"/>
        </w:trPr>
        <w:tc>
          <w:tcPr>
            <w:tcW w:w="2931" w:type="pct"/>
            <w:shd w:val="clear" w:color="auto" w:fill="auto"/>
            <w:noWrap/>
            <w:vAlign w:val="bottom"/>
            <w:hideMark/>
          </w:tcPr>
          <w:p w14:paraId="29E16F09"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Profit and loss a/c</w:t>
            </w:r>
          </w:p>
        </w:tc>
        <w:tc>
          <w:tcPr>
            <w:tcW w:w="1035" w:type="pct"/>
            <w:shd w:val="clear" w:color="auto" w:fill="auto"/>
            <w:noWrap/>
            <w:vAlign w:val="bottom"/>
            <w:hideMark/>
          </w:tcPr>
          <w:p w14:paraId="486D837C"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89180</w:t>
            </w:r>
          </w:p>
        </w:tc>
        <w:tc>
          <w:tcPr>
            <w:tcW w:w="1035" w:type="pct"/>
            <w:shd w:val="clear" w:color="auto" w:fill="auto"/>
            <w:noWrap/>
            <w:vAlign w:val="bottom"/>
            <w:hideMark/>
          </w:tcPr>
          <w:p w14:paraId="2C5A165F"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64319B92" w14:textId="77777777" w:rsidTr="00060FFC">
        <w:trPr>
          <w:trHeight w:val="300"/>
        </w:trPr>
        <w:tc>
          <w:tcPr>
            <w:tcW w:w="2931" w:type="pct"/>
            <w:shd w:val="clear" w:color="auto" w:fill="auto"/>
            <w:noWrap/>
            <w:vAlign w:val="bottom"/>
            <w:hideMark/>
          </w:tcPr>
          <w:p w14:paraId="36BBC30D"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xml:space="preserve">closing stock </w:t>
            </w:r>
          </w:p>
        </w:tc>
        <w:tc>
          <w:tcPr>
            <w:tcW w:w="1035" w:type="pct"/>
            <w:shd w:val="clear" w:color="auto" w:fill="auto"/>
            <w:noWrap/>
            <w:vAlign w:val="bottom"/>
            <w:hideMark/>
          </w:tcPr>
          <w:p w14:paraId="5C369DA4"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364A8734"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125000</w:t>
            </w:r>
          </w:p>
        </w:tc>
      </w:tr>
      <w:tr w:rsidR="00060FFC" w:rsidRPr="00060FFC" w14:paraId="5076B51B" w14:textId="77777777" w:rsidTr="00060FFC">
        <w:trPr>
          <w:trHeight w:val="300"/>
        </w:trPr>
        <w:tc>
          <w:tcPr>
            <w:tcW w:w="2931" w:type="pct"/>
            <w:shd w:val="clear" w:color="auto" w:fill="auto"/>
            <w:noWrap/>
            <w:vAlign w:val="bottom"/>
            <w:hideMark/>
          </w:tcPr>
          <w:p w14:paraId="5E2A2D64"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xml:space="preserve">Outstanding Invoice for rate </w:t>
            </w:r>
          </w:p>
        </w:tc>
        <w:tc>
          <w:tcPr>
            <w:tcW w:w="1035" w:type="pct"/>
            <w:shd w:val="clear" w:color="auto" w:fill="auto"/>
            <w:noWrap/>
            <w:vAlign w:val="bottom"/>
            <w:hideMark/>
          </w:tcPr>
          <w:p w14:paraId="131C511D"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3320</w:t>
            </w:r>
          </w:p>
        </w:tc>
        <w:tc>
          <w:tcPr>
            <w:tcW w:w="1035" w:type="pct"/>
            <w:shd w:val="clear" w:color="auto" w:fill="auto"/>
            <w:noWrap/>
            <w:vAlign w:val="bottom"/>
            <w:hideMark/>
          </w:tcPr>
          <w:p w14:paraId="40607BB5"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r>
      <w:tr w:rsidR="00060FFC" w:rsidRPr="00060FFC" w14:paraId="00F5996B" w14:textId="77777777" w:rsidTr="00060FFC">
        <w:trPr>
          <w:trHeight w:val="300"/>
        </w:trPr>
        <w:tc>
          <w:tcPr>
            <w:tcW w:w="2931" w:type="pct"/>
            <w:shd w:val="clear" w:color="auto" w:fill="auto"/>
            <w:noWrap/>
            <w:vAlign w:val="bottom"/>
            <w:hideMark/>
          </w:tcPr>
          <w:p w14:paraId="750EAB4A" w14:textId="77777777" w:rsidR="00060FFC" w:rsidRPr="00060FFC" w:rsidRDefault="00060FFC" w:rsidP="00060FFC">
            <w:pPr>
              <w:spacing w:line="240" w:lineRule="auto"/>
              <w:rPr>
                <w:rFonts w:eastAsia="Times New Roman"/>
                <w:color w:val="000000"/>
                <w:lang w:val="en-US"/>
              </w:rPr>
            </w:pPr>
            <w:r w:rsidRPr="00060FFC">
              <w:rPr>
                <w:rFonts w:eastAsia="Times New Roman"/>
                <w:color w:val="000000"/>
                <w:lang w:val="en-US"/>
              </w:rPr>
              <w:t> </w:t>
            </w:r>
          </w:p>
        </w:tc>
        <w:tc>
          <w:tcPr>
            <w:tcW w:w="1035" w:type="pct"/>
            <w:shd w:val="clear" w:color="auto" w:fill="auto"/>
            <w:noWrap/>
            <w:vAlign w:val="bottom"/>
            <w:hideMark/>
          </w:tcPr>
          <w:p w14:paraId="4ECE37F5"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2259400</w:t>
            </w:r>
          </w:p>
        </w:tc>
        <w:tc>
          <w:tcPr>
            <w:tcW w:w="1035" w:type="pct"/>
            <w:shd w:val="clear" w:color="auto" w:fill="auto"/>
            <w:noWrap/>
            <w:vAlign w:val="bottom"/>
            <w:hideMark/>
          </w:tcPr>
          <w:p w14:paraId="5845986E" w14:textId="77777777" w:rsidR="00060FFC" w:rsidRPr="00060FFC" w:rsidRDefault="00060FFC" w:rsidP="00060FFC">
            <w:pPr>
              <w:spacing w:line="240" w:lineRule="auto"/>
              <w:jc w:val="right"/>
              <w:rPr>
                <w:rFonts w:eastAsia="Times New Roman"/>
                <w:color w:val="000000"/>
                <w:lang w:val="en-US"/>
              </w:rPr>
            </w:pPr>
            <w:r w:rsidRPr="00060FFC">
              <w:rPr>
                <w:rFonts w:eastAsia="Times New Roman"/>
                <w:color w:val="000000"/>
                <w:lang w:val="en-US"/>
              </w:rPr>
              <w:t>2259400</w:t>
            </w:r>
          </w:p>
        </w:tc>
      </w:tr>
    </w:tbl>
    <w:p w14:paraId="690B4F19" w14:textId="77777777" w:rsidR="00323868" w:rsidRPr="00323868" w:rsidRDefault="00323868" w:rsidP="00323868">
      <w:pPr>
        <w:spacing w:line="360" w:lineRule="auto"/>
        <w:jc w:val="center"/>
        <w:rPr>
          <w:b/>
        </w:rPr>
      </w:pPr>
    </w:p>
    <w:p w14:paraId="71E658E2" w14:textId="77777777" w:rsidR="00323868" w:rsidRPr="00323868" w:rsidRDefault="00B10ED9" w:rsidP="00323868">
      <w:pPr>
        <w:spacing w:line="360" w:lineRule="auto"/>
        <w:jc w:val="center"/>
        <w:rPr>
          <w:b/>
        </w:rPr>
      </w:pPr>
      <w:r>
        <w:rPr>
          <w:b/>
        </w:rPr>
        <w:lastRenderedPageBreak/>
        <w:t xml:space="preserve">Table </w:t>
      </w:r>
      <w:r w:rsidR="00323868" w:rsidRPr="00323868">
        <w:rPr>
          <w:b/>
        </w:rPr>
        <w:t>1: TB adjustments</w:t>
      </w:r>
    </w:p>
    <w:p w14:paraId="2CECC380" w14:textId="77777777" w:rsidR="00323868" w:rsidRPr="00323868" w:rsidRDefault="00323868" w:rsidP="00323868">
      <w:pPr>
        <w:spacing w:line="360" w:lineRule="auto"/>
        <w:jc w:val="center"/>
      </w:pPr>
      <w:r w:rsidRPr="00323868">
        <w:t>(Source: Self-made)</w:t>
      </w:r>
    </w:p>
    <w:p w14:paraId="1214C079" w14:textId="77777777" w:rsidR="00323868" w:rsidRPr="00323868" w:rsidRDefault="00323868" w:rsidP="00323868">
      <w:pPr>
        <w:spacing w:line="360" w:lineRule="auto"/>
        <w:jc w:val="both"/>
      </w:pPr>
      <w:r w:rsidRPr="00323868">
        <w:t xml:space="preserve">In the above present figure 1, the adjustments are made in the trial balance of </w:t>
      </w:r>
      <w:r w:rsidRPr="00323868">
        <w:rPr>
          <w:b/>
          <w:bCs/>
        </w:rPr>
        <w:t xml:space="preserve">General supplies </w:t>
      </w:r>
      <w:proofErr w:type="spellStart"/>
      <w:r w:rsidRPr="00323868">
        <w:rPr>
          <w:b/>
          <w:bCs/>
        </w:rPr>
        <w:t>Ltd</w:t>
      </w:r>
      <w:r w:rsidRPr="00323868">
        <w:t>Ltd</w:t>
      </w:r>
      <w:proofErr w:type="spellEnd"/>
      <w:r w:rsidRPr="00323868">
        <w:t xml:space="preserve">, for the year ended 31st March 2021. Here at first the adjustment is done on the building and machinery as depreciation was incurred on them for building 5% giving £712500 and machinery on £90000, and the amount of depreciation was deducted from the provision of both the assets. After that depreciation amounts are deducted from their respective assets. The effect of the provision of bad debt is deducted from 1% that £4000 from the trade is receivable and added to the provision. The insurance of amount £16000 was already paid hence the remaining amount is deducted from the insurance. The outstanding invoice rate of £3220 is placed on the debit side. And the closing stock is credited also the accrual a/c is placed in debit. The TB is prepared so that it can be ensured that each of the entries made in the business ledger is balanced appropriately. It also helps in listing the finishing balance in every general ledger account of the business. The sum of the pound value that is on the credits and debits in every entry </w:t>
      </w:r>
      <w:proofErr w:type="spellStart"/>
      <w:r w:rsidRPr="00323868">
        <w:t>og</w:t>
      </w:r>
      <w:proofErr w:type="spellEnd"/>
      <w:r w:rsidRPr="00323868">
        <w:t xml:space="preserve"> accounting is needed to be matched as shown in figure 1. It is beneficial for preparing a TB as it provides a proper and good check in the work done accuracy in making or preparing </w:t>
      </w:r>
      <w:proofErr w:type="spellStart"/>
      <w:r w:rsidRPr="00323868">
        <w:t>og</w:t>
      </w:r>
      <w:proofErr w:type="spellEnd"/>
      <w:r w:rsidRPr="00323868">
        <w:t xml:space="preserve"> the edger accounts present in the business transactions. At times when the debits total balances amount </w:t>
      </w:r>
      <w:proofErr w:type="gramStart"/>
      <w:r w:rsidRPr="00323868">
        <w:t>is in agreement</w:t>
      </w:r>
      <w:proofErr w:type="gramEnd"/>
      <w:r w:rsidRPr="00323868">
        <w:t xml:space="preserve"> with the credit total balances amount then it is proven that the accounts of the ledger are maintained perfectly. An as basically the TB records </w:t>
      </w:r>
      <w:proofErr w:type="spellStart"/>
      <w:r w:rsidRPr="00323868">
        <w:t>analyze</w:t>
      </w:r>
      <w:proofErr w:type="spellEnd"/>
      <w:r w:rsidRPr="00323868">
        <w:t xml:space="preserve">, summarizes, reports </w:t>
      </w:r>
      <w:proofErr w:type="spellStart"/>
      <w:r w:rsidRPr="00323868">
        <w:t>amd</w:t>
      </w:r>
      <w:proofErr w:type="spellEnd"/>
      <w:r w:rsidRPr="00323868">
        <w:t xml:space="preserve"> to classify the information regarding finance for the generation of the financial statements. </w:t>
      </w:r>
    </w:p>
    <w:p w14:paraId="4128938F" w14:textId="77777777" w:rsidR="00323868" w:rsidRPr="00323868" w:rsidRDefault="00323868" w:rsidP="00323868">
      <w:pPr>
        <w:spacing w:line="360" w:lineRule="auto"/>
        <w:jc w:val="both"/>
        <w:rPr>
          <w:b/>
        </w:rPr>
      </w:pPr>
      <w:r w:rsidRPr="00323868">
        <w:rPr>
          <w:b/>
        </w:rPr>
        <w:t>Definition</w:t>
      </w:r>
    </w:p>
    <w:p w14:paraId="4CB1B83B" w14:textId="77777777" w:rsidR="00323868" w:rsidRPr="00323868" w:rsidRDefault="00323868" w:rsidP="00323868">
      <w:pPr>
        <w:spacing w:line="360" w:lineRule="auto"/>
        <w:jc w:val="both"/>
      </w:pPr>
      <w:r w:rsidRPr="00323868">
        <w:t xml:space="preserve">A TB is a worksheet of bookkeeping in which the balances of each of the ledgers are proper but into a compilation for the credit and debit account column sum that is similar/equal. A business as in General Supplier prepared the TB periodically, and generally or usually at the finish or end of each of the reporting time/ </w:t>
      </w:r>
      <w:r w:rsidR="004724E0" w:rsidRPr="00323868">
        <w:t>period</w:t>
      </w:r>
      <w:r w:rsidR="004724E0" w:rsidRPr="00323868">
        <w:rPr>
          <w:color w:val="222222"/>
          <w:highlight w:val="white"/>
        </w:rPr>
        <w:t xml:space="preserve"> (</w:t>
      </w:r>
      <w:r w:rsidRPr="00323868">
        <w:rPr>
          <w:color w:val="222222"/>
          <w:highlight w:val="white"/>
        </w:rPr>
        <w:t>Wells, 2018, p.45)</w:t>
      </w:r>
      <w:r w:rsidRPr="00323868">
        <w:t>. And it is called TB reason behind this is that it will every time or always have equal total or sum in the credit and debit sides of the TB.</w:t>
      </w:r>
    </w:p>
    <w:p w14:paraId="58F57CC2" w14:textId="77777777" w:rsidR="00323868" w:rsidRPr="00323868" w:rsidRDefault="00323868" w:rsidP="00323868">
      <w:pPr>
        <w:spacing w:line="360" w:lineRule="auto"/>
        <w:jc w:val="both"/>
        <w:rPr>
          <w:b/>
        </w:rPr>
      </w:pPr>
      <w:r w:rsidRPr="00323868">
        <w:rPr>
          <w:b/>
        </w:rPr>
        <w:t>Limitations</w:t>
      </w:r>
    </w:p>
    <w:p w14:paraId="5CC009B3" w14:textId="77777777" w:rsidR="00323868" w:rsidRPr="00323868" w:rsidRDefault="00323868" w:rsidP="00323868">
      <w:pPr>
        <w:spacing w:line="360" w:lineRule="auto"/>
        <w:jc w:val="both"/>
      </w:pPr>
      <w:r w:rsidRPr="00323868">
        <w:t>It has a few limitations like it doesn’t give definite proof that each of the transactions is being recorded.</w:t>
      </w:r>
    </w:p>
    <w:p w14:paraId="4E40EF18" w14:textId="77777777" w:rsidR="00323868" w:rsidRPr="00323868" w:rsidRDefault="00323868" w:rsidP="00323868">
      <w:pPr>
        <w:spacing w:line="360" w:lineRule="auto"/>
        <w:jc w:val="both"/>
      </w:pPr>
      <w:r w:rsidRPr="00323868">
        <w:t>It also does give accurate proof that the ledger is totally correct. Several or numerous amount errors might exist although TB agrees.</w:t>
      </w:r>
    </w:p>
    <w:p w14:paraId="2C21481B" w14:textId="77777777" w:rsidR="00323868" w:rsidRPr="00323868" w:rsidRDefault="00323868" w:rsidP="00323868">
      <w:pPr>
        <w:pStyle w:val="Heading2"/>
        <w:spacing w:line="360" w:lineRule="auto"/>
        <w:rPr>
          <w:b/>
          <w:sz w:val="22"/>
          <w:szCs w:val="22"/>
        </w:rPr>
      </w:pPr>
      <w:bookmarkStart w:id="5" w:name="_Toc97036599"/>
      <w:bookmarkStart w:id="6" w:name="_Toc97036888"/>
      <w:r w:rsidRPr="00323868">
        <w:rPr>
          <w:b/>
          <w:sz w:val="22"/>
          <w:szCs w:val="22"/>
        </w:rPr>
        <w:lastRenderedPageBreak/>
        <w:t>b. Income Statement (IS)</w:t>
      </w:r>
      <w:bookmarkEnd w:id="5"/>
      <w:bookmarkEnd w:id="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9"/>
        <w:gridCol w:w="2051"/>
        <w:gridCol w:w="2050"/>
      </w:tblGrid>
      <w:tr w:rsidR="004724E0" w:rsidRPr="004724E0" w14:paraId="6259CD6F" w14:textId="77777777" w:rsidTr="004724E0">
        <w:trPr>
          <w:trHeight w:val="300"/>
          <w:jc w:val="center"/>
        </w:trPr>
        <w:tc>
          <w:tcPr>
            <w:tcW w:w="5000" w:type="pct"/>
            <w:gridSpan w:val="3"/>
            <w:shd w:val="clear" w:color="auto" w:fill="auto"/>
            <w:noWrap/>
            <w:vAlign w:val="bottom"/>
            <w:hideMark/>
          </w:tcPr>
          <w:p w14:paraId="13D80C3A" w14:textId="77777777" w:rsidR="004724E0" w:rsidRPr="004724E0" w:rsidRDefault="004724E0" w:rsidP="004724E0">
            <w:pPr>
              <w:spacing w:line="240" w:lineRule="auto"/>
              <w:jc w:val="center"/>
              <w:rPr>
                <w:rFonts w:eastAsia="Times New Roman"/>
                <w:b/>
                <w:bCs/>
                <w:color w:val="000000"/>
                <w:lang w:val="en-US"/>
              </w:rPr>
            </w:pPr>
            <w:r w:rsidRPr="004724E0">
              <w:rPr>
                <w:rFonts w:eastAsia="Times New Roman"/>
                <w:b/>
                <w:bCs/>
                <w:color w:val="000000"/>
                <w:lang w:val="en-US"/>
              </w:rPr>
              <w:t xml:space="preserve">Income statement </w:t>
            </w:r>
          </w:p>
        </w:tc>
      </w:tr>
      <w:tr w:rsidR="004724E0" w:rsidRPr="004724E0" w14:paraId="73A38876" w14:textId="77777777" w:rsidTr="004724E0">
        <w:trPr>
          <w:trHeight w:val="300"/>
          <w:jc w:val="center"/>
        </w:trPr>
        <w:tc>
          <w:tcPr>
            <w:tcW w:w="2807" w:type="pct"/>
            <w:shd w:val="clear" w:color="auto" w:fill="auto"/>
            <w:noWrap/>
            <w:vAlign w:val="bottom"/>
            <w:hideMark/>
          </w:tcPr>
          <w:p w14:paraId="2A2AF64A" w14:textId="77777777" w:rsidR="004724E0" w:rsidRPr="004724E0" w:rsidRDefault="004724E0" w:rsidP="004724E0">
            <w:pPr>
              <w:spacing w:line="240" w:lineRule="auto"/>
              <w:rPr>
                <w:rFonts w:eastAsia="Times New Roman"/>
                <w:b/>
                <w:bCs/>
                <w:color w:val="000000"/>
                <w:lang w:val="en-US"/>
              </w:rPr>
            </w:pPr>
            <w:r w:rsidRPr="004724E0">
              <w:rPr>
                <w:rFonts w:eastAsia="Times New Roman"/>
                <w:b/>
                <w:bCs/>
                <w:color w:val="000000"/>
                <w:lang w:val="en-US"/>
              </w:rPr>
              <w:t>Particulars</w:t>
            </w:r>
          </w:p>
        </w:tc>
        <w:tc>
          <w:tcPr>
            <w:tcW w:w="1097" w:type="pct"/>
            <w:shd w:val="clear" w:color="auto" w:fill="auto"/>
            <w:noWrap/>
            <w:vAlign w:val="bottom"/>
            <w:hideMark/>
          </w:tcPr>
          <w:p w14:paraId="4D373BFD" w14:textId="77777777" w:rsidR="004724E0" w:rsidRPr="004724E0" w:rsidRDefault="004724E0" w:rsidP="004724E0">
            <w:pPr>
              <w:spacing w:line="240" w:lineRule="auto"/>
              <w:rPr>
                <w:rFonts w:eastAsia="Times New Roman"/>
                <w:b/>
                <w:bCs/>
                <w:color w:val="000000"/>
                <w:lang w:val="en-US"/>
              </w:rPr>
            </w:pPr>
            <w:proofErr w:type="gramStart"/>
            <w:r w:rsidRPr="004724E0">
              <w:rPr>
                <w:rFonts w:eastAsia="Times New Roman"/>
                <w:b/>
                <w:bCs/>
                <w:color w:val="000000"/>
                <w:lang w:val="en-US"/>
              </w:rPr>
              <w:t>Amount(</w:t>
            </w:r>
            <w:proofErr w:type="gramEnd"/>
            <w:r w:rsidRPr="004724E0">
              <w:rPr>
                <w:rFonts w:eastAsia="Times New Roman"/>
                <w:b/>
                <w:bCs/>
                <w:color w:val="000000"/>
                <w:lang w:val="en-US"/>
              </w:rPr>
              <w:t>£)</w:t>
            </w:r>
          </w:p>
        </w:tc>
        <w:tc>
          <w:tcPr>
            <w:tcW w:w="1097" w:type="pct"/>
            <w:shd w:val="clear" w:color="auto" w:fill="auto"/>
            <w:noWrap/>
            <w:vAlign w:val="bottom"/>
            <w:hideMark/>
          </w:tcPr>
          <w:p w14:paraId="5B054136" w14:textId="77777777" w:rsidR="004724E0" w:rsidRPr="004724E0" w:rsidRDefault="004724E0" w:rsidP="004724E0">
            <w:pPr>
              <w:spacing w:line="240" w:lineRule="auto"/>
              <w:rPr>
                <w:rFonts w:eastAsia="Times New Roman"/>
                <w:b/>
                <w:bCs/>
                <w:color w:val="000000"/>
                <w:lang w:val="en-US"/>
              </w:rPr>
            </w:pPr>
            <w:proofErr w:type="gramStart"/>
            <w:r w:rsidRPr="004724E0">
              <w:rPr>
                <w:rFonts w:eastAsia="Times New Roman"/>
                <w:b/>
                <w:bCs/>
                <w:color w:val="000000"/>
                <w:lang w:val="en-US"/>
              </w:rPr>
              <w:t>Amount(</w:t>
            </w:r>
            <w:proofErr w:type="gramEnd"/>
            <w:r w:rsidRPr="004724E0">
              <w:rPr>
                <w:rFonts w:eastAsia="Times New Roman"/>
                <w:b/>
                <w:bCs/>
                <w:color w:val="000000"/>
                <w:lang w:val="en-US"/>
              </w:rPr>
              <w:t>£)</w:t>
            </w:r>
          </w:p>
        </w:tc>
      </w:tr>
      <w:tr w:rsidR="004724E0" w:rsidRPr="004724E0" w14:paraId="229635A2" w14:textId="77777777" w:rsidTr="004724E0">
        <w:trPr>
          <w:trHeight w:val="300"/>
          <w:jc w:val="center"/>
        </w:trPr>
        <w:tc>
          <w:tcPr>
            <w:tcW w:w="2807" w:type="pct"/>
            <w:shd w:val="clear" w:color="auto" w:fill="auto"/>
            <w:noWrap/>
            <w:vAlign w:val="bottom"/>
            <w:hideMark/>
          </w:tcPr>
          <w:p w14:paraId="63B6FA85"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Sales</w:t>
            </w:r>
          </w:p>
        </w:tc>
        <w:tc>
          <w:tcPr>
            <w:tcW w:w="1097" w:type="pct"/>
            <w:shd w:val="clear" w:color="auto" w:fill="auto"/>
            <w:noWrap/>
            <w:vAlign w:val="bottom"/>
            <w:hideMark/>
          </w:tcPr>
          <w:p w14:paraId="7DB5B0A1"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c>
          <w:tcPr>
            <w:tcW w:w="1097" w:type="pct"/>
            <w:shd w:val="clear" w:color="auto" w:fill="auto"/>
            <w:noWrap/>
            <w:vAlign w:val="bottom"/>
            <w:hideMark/>
          </w:tcPr>
          <w:p w14:paraId="3E461B68"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900000</w:t>
            </w:r>
          </w:p>
        </w:tc>
      </w:tr>
      <w:tr w:rsidR="004724E0" w:rsidRPr="004724E0" w14:paraId="402D5319" w14:textId="77777777" w:rsidTr="004724E0">
        <w:trPr>
          <w:trHeight w:val="300"/>
          <w:jc w:val="center"/>
        </w:trPr>
        <w:tc>
          <w:tcPr>
            <w:tcW w:w="2807" w:type="pct"/>
            <w:shd w:val="clear" w:color="auto" w:fill="auto"/>
            <w:noWrap/>
            <w:vAlign w:val="bottom"/>
            <w:hideMark/>
          </w:tcPr>
          <w:p w14:paraId="77943AF3" w14:textId="77777777" w:rsidR="004724E0" w:rsidRPr="004724E0" w:rsidRDefault="004724E0" w:rsidP="004724E0">
            <w:pPr>
              <w:spacing w:line="240" w:lineRule="auto"/>
              <w:rPr>
                <w:rFonts w:eastAsia="Times New Roman"/>
                <w:color w:val="000000"/>
                <w:lang w:val="en-US"/>
              </w:rPr>
            </w:pPr>
            <w:proofErr w:type="spellStart"/>
            <w:proofErr w:type="gramStart"/>
            <w:r w:rsidRPr="004724E0">
              <w:rPr>
                <w:rFonts w:eastAsia="Times New Roman"/>
                <w:color w:val="000000"/>
                <w:lang w:val="en-US"/>
              </w:rPr>
              <w:t>Less:Cost</w:t>
            </w:r>
            <w:proofErr w:type="spellEnd"/>
            <w:proofErr w:type="gramEnd"/>
            <w:r w:rsidRPr="004724E0">
              <w:rPr>
                <w:rFonts w:eastAsia="Times New Roman"/>
                <w:color w:val="000000"/>
                <w:lang w:val="en-US"/>
              </w:rPr>
              <w:t xml:space="preserve"> of goods sold</w:t>
            </w:r>
          </w:p>
        </w:tc>
        <w:tc>
          <w:tcPr>
            <w:tcW w:w="1097" w:type="pct"/>
            <w:shd w:val="clear" w:color="auto" w:fill="auto"/>
            <w:noWrap/>
            <w:vAlign w:val="bottom"/>
            <w:hideMark/>
          </w:tcPr>
          <w:p w14:paraId="0CA677D6"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c>
          <w:tcPr>
            <w:tcW w:w="1097" w:type="pct"/>
            <w:shd w:val="clear" w:color="auto" w:fill="auto"/>
            <w:noWrap/>
            <w:vAlign w:val="bottom"/>
            <w:hideMark/>
          </w:tcPr>
          <w:p w14:paraId="69501472"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567FD996" w14:textId="77777777" w:rsidTr="004724E0">
        <w:trPr>
          <w:trHeight w:val="300"/>
          <w:jc w:val="center"/>
        </w:trPr>
        <w:tc>
          <w:tcPr>
            <w:tcW w:w="2807" w:type="pct"/>
            <w:shd w:val="clear" w:color="auto" w:fill="auto"/>
            <w:noWrap/>
            <w:vAlign w:val="bottom"/>
            <w:hideMark/>
          </w:tcPr>
          <w:p w14:paraId="25D9BF53"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Opening stock</w:t>
            </w:r>
          </w:p>
        </w:tc>
        <w:tc>
          <w:tcPr>
            <w:tcW w:w="1097" w:type="pct"/>
            <w:shd w:val="clear" w:color="auto" w:fill="auto"/>
            <w:noWrap/>
            <w:vAlign w:val="bottom"/>
            <w:hideMark/>
          </w:tcPr>
          <w:p w14:paraId="2D8D9371"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90000</w:t>
            </w:r>
          </w:p>
        </w:tc>
        <w:tc>
          <w:tcPr>
            <w:tcW w:w="1097" w:type="pct"/>
            <w:shd w:val="clear" w:color="auto" w:fill="auto"/>
            <w:noWrap/>
            <w:vAlign w:val="bottom"/>
            <w:hideMark/>
          </w:tcPr>
          <w:p w14:paraId="2B5E2A0C"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10896F63" w14:textId="77777777" w:rsidTr="004724E0">
        <w:trPr>
          <w:trHeight w:val="300"/>
          <w:jc w:val="center"/>
        </w:trPr>
        <w:tc>
          <w:tcPr>
            <w:tcW w:w="2807" w:type="pct"/>
            <w:shd w:val="clear" w:color="auto" w:fill="auto"/>
            <w:noWrap/>
            <w:vAlign w:val="bottom"/>
            <w:hideMark/>
          </w:tcPr>
          <w:p w14:paraId="01CB376C"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Add: Purchases</w:t>
            </w:r>
          </w:p>
        </w:tc>
        <w:tc>
          <w:tcPr>
            <w:tcW w:w="1097" w:type="pct"/>
            <w:shd w:val="clear" w:color="auto" w:fill="auto"/>
            <w:noWrap/>
            <w:vAlign w:val="bottom"/>
            <w:hideMark/>
          </w:tcPr>
          <w:p w14:paraId="6C19DB3C"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560000</w:t>
            </w:r>
          </w:p>
        </w:tc>
        <w:tc>
          <w:tcPr>
            <w:tcW w:w="1097" w:type="pct"/>
            <w:shd w:val="clear" w:color="auto" w:fill="auto"/>
            <w:noWrap/>
            <w:vAlign w:val="bottom"/>
            <w:hideMark/>
          </w:tcPr>
          <w:p w14:paraId="36FC850F"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0B411035" w14:textId="77777777" w:rsidTr="004724E0">
        <w:trPr>
          <w:trHeight w:val="300"/>
          <w:jc w:val="center"/>
        </w:trPr>
        <w:tc>
          <w:tcPr>
            <w:tcW w:w="2807" w:type="pct"/>
            <w:shd w:val="clear" w:color="auto" w:fill="auto"/>
            <w:noWrap/>
            <w:vAlign w:val="bottom"/>
            <w:hideMark/>
          </w:tcPr>
          <w:p w14:paraId="0382E1C4"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Less: Closing Stock</w:t>
            </w:r>
          </w:p>
        </w:tc>
        <w:tc>
          <w:tcPr>
            <w:tcW w:w="1097" w:type="pct"/>
            <w:shd w:val="clear" w:color="auto" w:fill="auto"/>
            <w:noWrap/>
            <w:vAlign w:val="bottom"/>
            <w:hideMark/>
          </w:tcPr>
          <w:p w14:paraId="4F1BC38A"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125000</w:t>
            </w:r>
          </w:p>
        </w:tc>
        <w:tc>
          <w:tcPr>
            <w:tcW w:w="1097" w:type="pct"/>
            <w:shd w:val="clear" w:color="auto" w:fill="auto"/>
            <w:noWrap/>
            <w:vAlign w:val="bottom"/>
            <w:hideMark/>
          </w:tcPr>
          <w:p w14:paraId="77296CD5"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525000</w:t>
            </w:r>
          </w:p>
        </w:tc>
      </w:tr>
      <w:tr w:rsidR="004724E0" w:rsidRPr="004724E0" w14:paraId="2BD8676C" w14:textId="77777777" w:rsidTr="004724E0">
        <w:trPr>
          <w:trHeight w:val="300"/>
          <w:jc w:val="center"/>
        </w:trPr>
        <w:tc>
          <w:tcPr>
            <w:tcW w:w="2807" w:type="pct"/>
            <w:shd w:val="clear" w:color="auto" w:fill="auto"/>
            <w:noWrap/>
            <w:vAlign w:val="bottom"/>
            <w:hideMark/>
          </w:tcPr>
          <w:p w14:paraId="5A177939" w14:textId="77777777" w:rsidR="004724E0" w:rsidRPr="004724E0" w:rsidRDefault="004724E0" w:rsidP="004724E0">
            <w:pPr>
              <w:spacing w:line="240" w:lineRule="auto"/>
              <w:rPr>
                <w:rFonts w:eastAsia="Times New Roman"/>
                <w:b/>
                <w:bCs/>
                <w:color w:val="000000"/>
                <w:lang w:val="en-US"/>
              </w:rPr>
            </w:pPr>
            <w:r w:rsidRPr="004724E0">
              <w:rPr>
                <w:rFonts w:eastAsia="Times New Roman"/>
                <w:b/>
                <w:bCs/>
                <w:color w:val="000000"/>
                <w:lang w:val="en-US"/>
              </w:rPr>
              <w:t>Gross Profit</w:t>
            </w:r>
          </w:p>
        </w:tc>
        <w:tc>
          <w:tcPr>
            <w:tcW w:w="1097" w:type="pct"/>
            <w:shd w:val="clear" w:color="auto" w:fill="auto"/>
            <w:noWrap/>
            <w:vAlign w:val="bottom"/>
            <w:hideMark/>
          </w:tcPr>
          <w:p w14:paraId="519273D8" w14:textId="77777777" w:rsidR="004724E0" w:rsidRPr="004724E0" w:rsidRDefault="004724E0" w:rsidP="004724E0">
            <w:pPr>
              <w:spacing w:line="240" w:lineRule="auto"/>
              <w:rPr>
                <w:rFonts w:eastAsia="Times New Roman"/>
                <w:b/>
                <w:bCs/>
                <w:color w:val="000000"/>
                <w:lang w:val="en-US"/>
              </w:rPr>
            </w:pPr>
            <w:r w:rsidRPr="004724E0">
              <w:rPr>
                <w:rFonts w:eastAsia="Times New Roman"/>
                <w:b/>
                <w:bCs/>
                <w:color w:val="000000"/>
                <w:lang w:val="en-US"/>
              </w:rPr>
              <w:t> </w:t>
            </w:r>
          </w:p>
        </w:tc>
        <w:tc>
          <w:tcPr>
            <w:tcW w:w="1097" w:type="pct"/>
            <w:shd w:val="clear" w:color="auto" w:fill="auto"/>
            <w:noWrap/>
            <w:vAlign w:val="bottom"/>
            <w:hideMark/>
          </w:tcPr>
          <w:p w14:paraId="7A731422" w14:textId="77777777" w:rsidR="004724E0" w:rsidRPr="004724E0" w:rsidRDefault="004724E0" w:rsidP="004724E0">
            <w:pPr>
              <w:spacing w:line="240" w:lineRule="auto"/>
              <w:jc w:val="right"/>
              <w:rPr>
                <w:rFonts w:eastAsia="Times New Roman"/>
                <w:b/>
                <w:bCs/>
                <w:color w:val="000000"/>
                <w:lang w:val="en-US"/>
              </w:rPr>
            </w:pPr>
            <w:r w:rsidRPr="004724E0">
              <w:rPr>
                <w:rFonts w:eastAsia="Times New Roman"/>
                <w:b/>
                <w:bCs/>
                <w:color w:val="000000"/>
                <w:lang w:val="en-US"/>
              </w:rPr>
              <w:t>375000</w:t>
            </w:r>
          </w:p>
        </w:tc>
      </w:tr>
      <w:tr w:rsidR="004724E0" w:rsidRPr="004724E0" w14:paraId="630EFD21" w14:textId="77777777" w:rsidTr="004724E0">
        <w:trPr>
          <w:trHeight w:val="300"/>
          <w:jc w:val="center"/>
        </w:trPr>
        <w:tc>
          <w:tcPr>
            <w:tcW w:w="2807" w:type="pct"/>
            <w:shd w:val="clear" w:color="auto" w:fill="auto"/>
            <w:noWrap/>
            <w:vAlign w:val="bottom"/>
            <w:hideMark/>
          </w:tcPr>
          <w:p w14:paraId="28045282" w14:textId="77777777" w:rsidR="004724E0" w:rsidRPr="004724E0" w:rsidRDefault="004724E0" w:rsidP="004724E0">
            <w:pPr>
              <w:spacing w:line="240" w:lineRule="auto"/>
              <w:rPr>
                <w:rFonts w:eastAsia="Times New Roman"/>
                <w:color w:val="000000"/>
                <w:lang w:val="en-US"/>
              </w:rPr>
            </w:pPr>
            <w:proofErr w:type="gramStart"/>
            <w:r w:rsidRPr="004724E0">
              <w:rPr>
                <w:rFonts w:eastAsia="Times New Roman"/>
                <w:color w:val="000000"/>
                <w:lang w:val="en-US"/>
              </w:rPr>
              <w:t>Less :</w:t>
            </w:r>
            <w:proofErr w:type="gramEnd"/>
            <w:r w:rsidRPr="004724E0">
              <w:rPr>
                <w:rFonts w:eastAsia="Times New Roman"/>
                <w:color w:val="000000"/>
                <w:lang w:val="en-US"/>
              </w:rPr>
              <w:t xml:space="preserve"> Operating expenses</w:t>
            </w:r>
          </w:p>
        </w:tc>
        <w:tc>
          <w:tcPr>
            <w:tcW w:w="1097" w:type="pct"/>
            <w:shd w:val="clear" w:color="auto" w:fill="auto"/>
            <w:noWrap/>
            <w:vAlign w:val="bottom"/>
            <w:hideMark/>
          </w:tcPr>
          <w:p w14:paraId="48DE0883"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c>
          <w:tcPr>
            <w:tcW w:w="1097" w:type="pct"/>
            <w:shd w:val="clear" w:color="auto" w:fill="auto"/>
            <w:noWrap/>
            <w:vAlign w:val="bottom"/>
            <w:hideMark/>
          </w:tcPr>
          <w:p w14:paraId="08F967C7"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3B30F26A" w14:textId="77777777" w:rsidTr="004724E0">
        <w:trPr>
          <w:trHeight w:val="300"/>
          <w:jc w:val="center"/>
        </w:trPr>
        <w:tc>
          <w:tcPr>
            <w:tcW w:w="2807" w:type="pct"/>
            <w:shd w:val="clear" w:color="auto" w:fill="auto"/>
            <w:noWrap/>
            <w:vAlign w:val="bottom"/>
            <w:hideMark/>
          </w:tcPr>
          <w:p w14:paraId="5111D1E6"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Rent and rates</w:t>
            </w:r>
          </w:p>
        </w:tc>
        <w:tc>
          <w:tcPr>
            <w:tcW w:w="1097" w:type="pct"/>
            <w:shd w:val="clear" w:color="auto" w:fill="auto"/>
            <w:noWrap/>
            <w:vAlign w:val="bottom"/>
            <w:hideMark/>
          </w:tcPr>
          <w:p w14:paraId="33AE4883"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24780</w:t>
            </w:r>
          </w:p>
        </w:tc>
        <w:tc>
          <w:tcPr>
            <w:tcW w:w="1097" w:type="pct"/>
            <w:shd w:val="clear" w:color="auto" w:fill="auto"/>
            <w:noWrap/>
            <w:vAlign w:val="bottom"/>
            <w:hideMark/>
          </w:tcPr>
          <w:p w14:paraId="402088E8"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18F384F7" w14:textId="77777777" w:rsidTr="004724E0">
        <w:trPr>
          <w:trHeight w:val="300"/>
          <w:jc w:val="center"/>
        </w:trPr>
        <w:tc>
          <w:tcPr>
            <w:tcW w:w="2807" w:type="pct"/>
            <w:shd w:val="clear" w:color="auto" w:fill="auto"/>
            <w:noWrap/>
            <w:vAlign w:val="bottom"/>
            <w:hideMark/>
          </w:tcPr>
          <w:p w14:paraId="5FD0A6F2"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Postage and stationery</w:t>
            </w:r>
          </w:p>
        </w:tc>
        <w:tc>
          <w:tcPr>
            <w:tcW w:w="1097" w:type="pct"/>
            <w:shd w:val="clear" w:color="auto" w:fill="auto"/>
            <w:noWrap/>
            <w:vAlign w:val="bottom"/>
            <w:hideMark/>
          </w:tcPr>
          <w:p w14:paraId="62A174F8"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6000</w:t>
            </w:r>
          </w:p>
        </w:tc>
        <w:tc>
          <w:tcPr>
            <w:tcW w:w="1097" w:type="pct"/>
            <w:shd w:val="clear" w:color="auto" w:fill="auto"/>
            <w:noWrap/>
            <w:vAlign w:val="bottom"/>
            <w:hideMark/>
          </w:tcPr>
          <w:p w14:paraId="67112CE0"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5F60B117" w14:textId="77777777" w:rsidTr="004724E0">
        <w:trPr>
          <w:trHeight w:val="300"/>
          <w:jc w:val="center"/>
        </w:trPr>
        <w:tc>
          <w:tcPr>
            <w:tcW w:w="2807" w:type="pct"/>
            <w:shd w:val="clear" w:color="auto" w:fill="auto"/>
            <w:noWrap/>
            <w:vAlign w:val="bottom"/>
            <w:hideMark/>
          </w:tcPr>
          <w:p w14:paraId="5140A74F"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legal expenses</w:t>
            </w:r>
          </w:p>
        </w:tc>
        <w:tc>
          <w:tcPr>
            <w:tcW w:w="1097" w:type="pct"/>
            <w:shd w:val="clear" w:color="auto" w:fill="auto"/>
            <w:noWrap/>
            <w:vAlign w:val="bottom"/>
            <w:hideMark/>
          </w:tcPr>
          <w:p w14:paraId="385F68A7"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7000</w:t>
            </w:r>
          </w:p>
        </w:tc>
        <w:tc>
          <w:tcPr>
            <w:tcW w:w="1097" w:type="pct"/>
            <w:shd w:val="clear" w:color="auto" w:fill="auto"/>
            <w:noWrap/>
            <w:vAlign w:val="bottom"/>
            <w:hideMark/>
          </w:tcPr>
          <w:p w14:paraId="3F3E982C"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516473C0" w14:textId="77777777" w:rsidTr="004724E0">
        <w:trPr>
          <w:trHeight w:val="300"/>
          <w:jc w:val="center"/>
        </w:trPr>
        <w:tc>
          <w:tcPr>
            <w:tcW w:w="2807" w:type="pct"/>
            <w:shd w:val="clear" w:color="auto" w:fill="auto"/>
            <w:noWrap/>
            <w:vAlign w:val="bottom"/>
            <w:hideMark/>
          </w:tcPr>
          <w:p w14:paraId="1B76A8C8"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Heating &amp; lighting</w:t>
            </w:r>
          </w:p>
        </w:tc>
        <w:tc>
          <w:tcPr>
            <w:tcW w:w="1097" w:type="pct"/>
            <w:shd w:val="clear" w:color="auto" w:fill="auto"/>
            <w:noWrap/>
            <w:vAlign w:val="bottom"/>
            <w:hideMark/>
          </w:tcPr>
          <w:p w14:paraId="3235C9F0"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10000</w:t>
            </w:r>
          </w:p>
        </w:tc>
        <w:tc>
          <w:tcPr>
            <w:tcW w:w="1097" w:type="pct"/>
            <w:shd w:val="clear" w:color="auto" w:fill="auto"/>
            <w:noWrap/>
            <w:vAlign w:val="bottom"/>
            <w:hideMark/>
          </w:tcPr>
          <w:p w14:paraId="5490C863"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4BADAC83" w14:textId="77777777" w:rsidTr="004724E0">
        <w:trPr>
          <w:trHeight w:val="300"/>
          <w:jc w:val="center"/>
        </w:trPr>
        <w:tc>
          <w:tcPr>
            <w:tcW w:w="2807" w:type="pct"/>
            <w:shd w:val="clear" w:color="auto" w:fill="auto"/>
            <w:noWrap/>
            <w:vAlign w:val="bottom"/>
            <w:hideMark/>
          </w:tcPr>
          <w:p w14:paraId="15B97B46"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Finance expense</w:t>
            </w:r>
          </w:p>
        </w:tc>
        <w:tc>
          <w:tcPr>
            <w:tcW w:w="1097" w:type="pct"/>
            <w:shd w:val="clear" w:color="auto" w:fill="auto"/>
            <w:noWrap/>
            <w:vAlign w:val="bottom"/>
            <w:hideMark/>
          </w:tcPr>
          <w:p w14:paraId="07BADCD6"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16000</w:t>
            </w:r>
          </w:p>
        </w:tc>
        <w:tc>
          <w:tcPr>
            <w:tcW w:w="1097" w:type="pct"/>
            <w:shd w:val="clear" w:color="auto" w:fill="auto"/>
            <w:noWrap/>
            <w:vAlign w:val="bottom"/>
            <w:hideMark/>
          </w:tcPr>
          <w:p w14:paraId="26B6BE42"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40349F92" w14:textId="77777777" w:rsidTr="004724E0">
        <w:trPr>
          <w:trHeight w:val="300"/>
          <w:jc w:val="center"/>
        </w:trPr>
        <w:tc>
          <w:tcPr>
            <w:tcW w:w="2807" w:type="pct"/>
            <w:shd w:val="clear" w:color="auto" w:fill="auto"/>
            <w:noWrap/>
            <w:vAlign w:val="bottom"/>
            <w:hideMark/>
          </w:tcPr>
          <w:p w14:paraId="60C002D1"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Insurance</w:t>
            </w:r>
          </w:p>
        </w:tc>
        <w:tc>
          <w:tcPr>
            <w:tcW w:w="1097" w:type="pct"/>
            <w:shd w:val="clear" w:color="auto" w:fill="auto"/>
            <w:noWrap/>
            <w:vAlign w:val="bottom"/>
            <w:hideMark/>
          </w:tcPr>
          <w:p w14:paraId="4138F4FA"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1520</w:t>
            </w:r>
          </w:p>
        </w:tc>
        <w:tc>
          <w:tcPr>
            <w:tcW w:w="1097" w:type="pct"/>
            <w:shd w:val="clear" w:color="auto" w:fill="auto"/>
            <w:noWrap/>
            <w:vAlign w:val="bottom"/>
            <w:hideMark/>
          </w:tcPr>
          <w:p w14:paraId="411AE79F"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6D5917BD" w14:textId="77777777" w:rsidTr="004724E0">
        <w:trPr>
          <w:trHeight w:val="300"/>
          <w:jc w:val="center"/>
        </w:trPr>
        <w:tc>
          <w:tcPr>
            <w:tcW w:w="2807" w:type="pct"/>
            <w:shd w:val="clear" w:color="auto" w:fill="auto"/>
            <w:noWrap/>
            <w:vAlign w:val="bottom"/>
            <w:hideMark/>
          </w:tcPr>
          <w:p w14:paraId="3DDA7197"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Travelling Expenses</w:t>
            </w:r>
          </w:p>
        </w:tc>
        <w:tc>
          <w:tcPr>
            <w:tcW w:w="1097" w:type="pct"/>
            <w:shd w:val="clear" w:color="auto" w:fill="auto"/>
            <w:noWrap/>
            <w:vAlign w:val="bottom"/>
            <w:hideMark/>
          </w:tcPr>
          <w:p w14:paraId="004487A0"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5000</w:t>
            </w:r>
          </w:p>
        </w:tc>
        <w:tc>
          <w:tcPr>
            <w:tcW w:w="1097" w:type="pct"/>
            <w:shd w:val="clear" w:color="auto" w:fill="auto"/>
            <w:noWrap/>
            <w:vAlign w:val="bottom"/>
            <w:hideMark/>
          </w:tcPr>
          <w:p w14:paraId="6013A977"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24ACB94C" w14:textId="77777777" w:rsidTr="004724E0">
        <w:trPr>
          <w:trHeight w:val="300"/>
          <w:jc w:val="center"/>
        </w:trPr>
        <w:tc>
          <w:tcPr>
            <w:tcW w:w="2807" w:type="pct"/>
            <w:shd w:val="clear" w:color="auto" w:fill="auto"/>
            <w:noWrap/>
            <w:vAlign w:val="bottom"/>
            <w:hideMark/>
          </w:tcPr>
          <w:p w14:paraId="0DF0B043"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xml:space="preserve">Motor and </w:t>
            </w:r>
            <w:proofErr w:type="spellStart"/>
            <w:r w:rsidRPr="004724E0">
              <w:rPr>
                <w:rFonts w:eastAsia="Times New Roman"/>
                <w:color w:val="000000"/>
                <w:lang w:val="en-US"/>
              </w:rPr>
              <w:t>rrunning</w:t>
            </w:r>
            <w:proofErr w:type="spellEnd"/>
            <w:r w:rsidRPr="004724E0">
              <w:rPr>
                <w:rFonts w:eastAsia="Times New Roman"/>
                <w:color w:val="000000"/>
                <w:lang w:val="en-US"/>
              </w:rPr>
              <w:t xml:space="preserve"> expenses</w:t>
            </w:r>
          </w:p>
        </w:tc>
        <w:tc>
          <w:tcPr>
            <w:tcW w:w="1097" w:type="pct"/>
            <w:shd w:val="clear" w:color="auto" w:fill="auto"/>
            <w:noWrap/>
            <w:vAlign w:val="bottom"/>
            <w:hideMark/>
          </w:tcPr>
          <w:p w14:paraId="65A6C4E4"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8700</w:t>
            </w:r>
          </w:p>
        </w:tc>
        <w:tc>
          <w:tcPr>
            <w:tcW w:w="1097" w:type="pct"/>
            <w:shd w:val="clear" w:color="auto" w:fill="auto"/>
            <w:noWrap/>
            <w:vAlign w:val="bottom"/>
            <w:hideMark/>
          </w:tcPr>
          <w:p w14:paraId="49DC54C4"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74E0013A" w14:textId="77777777" w:rsidTr="004724E0">
        <w:trPr>
          <w:trHeight w:val="300"/>
          <w:jc w:val="center"/>
        </w:trPr>
        <w:tc>
          <w:tcPr>
            <w:tcW w:w="2807" w:type="pct"/>
            <w:shd w:val="clear" w:color="auto" w:fill="auto"/>
            <w:noWrap/>
            <w:vAlign w:val="bottom"/>
            <w:hideMark/>
          </w:tcPr>
          <w:p w14:paraId="114D6723"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Salaries and wages</w:t>
            </w:r>
          </w:p>
        </w:tc>
        <w:tc>
          <w:tcPr>
            <w:tcW w:w="1097" w:type="pct"/>
            <w:shd w:val="clear" w:color="auto" w:fill="auto"/>
            <w:noWrap/>
            <w:vAlign w:val="bottom"/>
            <w:hideMark/>
          </w:tcPr>
          <w:p w14:paraId="617A6AFA"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150000</w:t>
            </w:r>
          </w:p>
        </w:tc>
        <w:tc>
          <w:tcPr>
            <w:tcW w:w="1097" w:type="pct"/>
            <w:shd w:val="clear" w:color="auto" w:fill="auto"/>
            <w:noWrap/>
            <w:vAlign w:val="bottom"/>
            <w:hideMark/>
          </w:tcPr>
          <w:p w14:paraId="3066DAAE"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09DD0E74" w14:textId="77777777" w:rsidTr="004724E0">
        <w:trPr>
          <w:trHeight w:val="300"/>
          <w:jc w:val="center"/>
        </w:trPr>
        <w:tc>
          <w:tcPr>
            <w:tcW w:w="2807" w:type="pct"/>
            <w:shd w:val="clear" w:color="auto" w:fill="auto"/>
            <w:noWrap/>
            <w:vAlign w:val="bottom"/>
            <w:hideMark/>
          </w:tcPr>
          <w:p w14:paraId="509BFADE"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Bad debt</w:t>
            </w:r>
          </w:p>
        </w:tc>
        <w:tc>
          <w:tcPr>
            <w:tcW w:w="1097" w:type="pct"/>
            <w:shd w:val="clear" w:color="auto" w:fill="auto"/>
            <w:noWrap/>
            <w:vAlign w:val="bottom"/>
            <w:hideMark/>
          </w:tcPr>
          <w:p w14:paraId="0AF3E69A"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4000</w:t>
            </w:r>
          </w:p>
        </w:tc>
        <w:tc>
          <w:tcPr>
            <w:tcW w:w="1097" w:type="pct"/>
            <w:shd w:val="clear" w:color="auto" w:fill="auto"/>
            <w:noWrap/>
            <w:vAlign w:val="bottom"/>
            <w:hideMark/>
          </w:tcPr>
          <w:p w14:paraId="49E24E27"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07490B88" w14:textId="77777777" w:rsidTr="004724E0">
        <w:trPr>
          <w:trHeight w:val="300"/>
          <w:jc w:val="center"/>
        </w:trPr>
        <w:tc>
          <w:tcPr>
            <w:tcW w:w="2807" w:type="pct"/>
            <w:shd w:val="clear" w:color="auto" w:fill="auto"/>
            <w:noWrap/>
            <w:vAlign w:val="bottom"/>
            <w:hideMark/>
          </w:tcPr>
          <w:p w14:paraId="00803B48"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Invoice for rates</w:t>
            </w:r>
          </w:p>
        </w:tc>
        <w:tc>
          <w:tcPr>
            <w:tcW w:w="1097" w:type="pct"/>
            <w:shd w:val="clear" w:color="auto" w:fill="auto"/>
            <w:noWrap/>
            <w:vAlign w:val="bottom"/>
            <w:hideMark/>
          </w:tcPr>
          <w:p w14:paraId="526EE30A"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3320</w:t>
            </w:r>
          </w:p>
        </w:tc>
        <w:tc>
          <w:tcPr>
            <w:tcW w:w="1097" w:type="pct"/>
            <w:shd w:val="clear" w:color="auto" w:fill="auto"/>
            <w:noWrap/>
            <w:vAlign w:val="bottom"/>
            <w:hideMark/>
          </w:tcPr>
          <w:p w14:paraId="0308E515"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7D7EF2F8" w14:textId="77777777" w:rsidTr="004724E0">
        <w:trPr>
          <w:trHeight w:val="300"/>
          <w:jc w:val="center"/>
        </w:trPr>
        <w:tc>
          <w:tcPr>
            <w:tcW w:w="2807" w:type="pct"/>
            <w:shd w:val="clear" w:color="auto" w:fill="auto"/>
            <w:noWrap/>
            <w:vAlign w:val="bottom"/>
            <w:hideMark/>
          </w:tcPr>
          <w:p w14:paraId="184C1D07"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Provision for bad debt</w:t>
            </w:r>
          </w:p>
        </w:tc>
        <w:tc>
          <w:tcPr>
            <w:tcW w:w="1097" w:type="pct"/>
            <w:shd w:val="clear" w:color="auto" w:fill="auto"/>
            <w:noWrap/>
            <w:vAlign w:val="bottom"/>
            <w:hideMark/>
          </w:tcPr>
          <w:p w14:paraId="3B025DFD"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7000</w:t>
            </w:r>
          </w:p>
        </w:tc>
        <w:tc>
          <w:tcPr>
            <w:tcW w:w="1097" w:type="pct"/>
            <w:shd w:val="clear" w:color="auto" w:fill="auto"/>
            <w:noWrap/>
            <w:vAlign w:val="bottom"/>
            <w:hideMark/>
          </w:tcPr>
          <w:p w14:paraId="64DC964D"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 </w:t>
            </w:r>
          </w:p>
        </w:tc>
      </w:tr>
      <w:tr w:rsidR="004724E0" w:rsidRPr="004724E0" w14:paraId="1FEC6AE7" w14:textId="77777777" w:rsidTr="004724E0">
        <w:trPr>
          <w:trHeight w:val="300"/>
          <w:jc w:val="center"/>
        </w:trPr>
        <w:tc>
          <w:tcPr>
            <w:tcW w:w="2807" w:type="pct"/>
            <w:shd w:val="clear" w:color="auto" w:fill="auto"/>
            <w:noWrap/>
            <w:vAlign w:val="bottom"/>
            <w:hideMark/>
          </w:tcPr>
          <w:p w14:paraId="0A3BFC9F" w14:textId="77777777" w:rsidR="004724E0" w:rsidRPr="004724E0" w:rsidRDefault="004724E0" w:rsidP="004724E0">
            <w:pPr>
              <w:spacing w:line="240" w:lineRule="auto"/>
              <w:rPr>
                <w:rFonts w:eastAsia="Times New Roman"/>
                <w:color w:val="000000"/>
                <w:lang w:val="en-US"/>
              </w:rPr>
            </w:pPr>
            <w:r w:rsidRPr="004724E0">
              <w:rPr>
                <w:rFonts w:eastAsia="Times New Roman"/>
                <w:color w:val="000000"/>
                <w:lang w:val="en-US"/>
              </w:rPr>
              <w:t>Taxation</w:t>
            </w:r>
          </w:p>
        </w:tc>
        <w:tc>
          <w:tcPr>
            <w:tcW w:w="1097" w:type="pct"/>
            <w:shd w:val="clear" w:color="auto" w:fill="auto"/>
            <w:noWrap/>
            <w:vAlign w:val="bottom"/>
            <w:hideMark/>
          </w:tcPr>
          <w:p w14:paraId="3A572239"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12900</w:t>
            </w:r>
          </w:p>
        </w:tc>
        <w:tc>
          <w:tcPr>
            <w:tcW w:w="1097" w:type="pct"/>
            <w:shd w:val="clear" w:color="auto" w:fill="auto"/>
            <w:noWrap/>
            <w:vAlign w:val="bottom"/>
            <w:hideMark/>
          </w:tcPr>
          <w:p w14:paraId="3BC8C2F8" w14:textId="77777777" w:rsidR="004724E0" w:rsidRPr="004724E0" w:rsidRDefault="004724E0" w:rsidP="004724E0">
            <w:pPr>
              <w:spacing w:line="240" w:lineRule="auto"/>
              <w:jc w:val="right"/>
              <w:rPr>
                <w:rFonts w:eastAsia="Times New Roman"/>
                <w:color w:val="000000"/>
                <w:lang w:val="en-US"/>
              </w:rPr>
            </w:pPr>
            <w:r w:rsidRPr="004724E0">
              <w:rPr>
                <w:rFonts w:eastAsia="Times New Roman"/>
                <w:color w:val="000000"/>
                <w:lang w:val="en-US"/>
              </w:rPr>
              <w:t>256220</w:t>
            </w:r>
          </w:p>
        </w:tc>
      </w:tr>
      <w:tr w:rsidR="004724E0" w:rsidRPr="004724E0" w14:paraId="60DC9818" w14:textId="77777777" w:rsidTr="004724E0">
        <w:trPr>
          <w:trHeight w:val="300"/>
          <w:jc w:val="center"/>
        </w:trPr>
        <w:tc>
          <w:tcPr>
            <w:tcW w:w="2807" w:type="pct"/>
            <w:shd w:val="clear" w:color="auto" w:fill="auto"/>
            <w:noWrap/>
            <w:vAlign w:val="bottom"/>
            <w:hideMark/>
          </w:tcPr>
          <w:p w14:paraId="4BCDEC58" w14:textId="77777777" w:rsidR="004724E0" w:rsidRPr="004724E0" w:rsidRDefault="004724E0" w:rsidP="004724E0">
            <w:pPr>
              <w:spacing w:line="240" w:lineRule="auto"/>
              <w:rPr>
                <w:rFonts w:eastAsia="Times New Roman"/>
                <w:b/>
                <w:bCs/>
                <w:color w:val="000000"/>
                <w:lang w:val="en-US"/>
              </w:rPr>
            </w:pPr>
            <w:r w:rsidRPr="004724E0">
              <w:rPr>
                <w:rFonts w:eastAsia="Times New Roman"/>
                <w:b/>
                <w:bCs/>
                <w:color w:val="000000"/>
                <w:lang w:val="en-US"/>
              </w:rPr>
              <w:t xml:space="preserve">Net Profit </w:t>
            </w:r>
          </w:p>
        </w:tc>
        <w:tc>
          <w:tcPr>
            <w:tcW w:w="1097" w:type="pct"/>
            <w:shd w:val="clear" w:color="auto" w:fill="auto"/>
            <w:noWrap/>
            <w:vAlign w:val="bottom"/>
            <w:hideMark/>
          </w:tcPr>
          <w:p w14:paraId="35F0D04C" w14:textId="77777777" w:rsidR="004724E0" w:rsidRPr="004724E0" w:rsidRDefault="004724E0" w:rsidP="004724E0">
            <w:pPr>
              <w:spacing w:line="240" w:lineRule="auto"/>
              <w:rPr>
                <w:rFonts w:eastAsia="Times New Roman"/>
                <w:b/>
                <w:bCs/>
                <w:color w:val="000000"/>
                <w:lang w:val="en-US"/>
              </w:rPr>
            </w:pPr>
            <w:r w:rsidRPr="004724E0">
              <w:rPr>
                <w:rFonts w:eastAsia="Times New Roman"/>
                <w:b/>
                <w:bCs/>
                <w:color w:val="000000"/>
                <w:lang w:val="en-US"/>
              </w:rPr>
              <w:t> </w:t>
            </w:r>
          </w:p>
        </w:tc>
        <w:tc>
          <w:tcPr>
            <w:tcW w:w="1097" w:type="pct"/>
            <w:shd w:val="clear" w:color="auto" w:fill="auto"/>
            <w:noWrap/>
            <w:vAlign w:val="bottom"/>
            <w:hideMark/>
          </w:tcPr>
          <w:p w14:paraId="7273D5C3" w14:textId="77777777" w:rsidR="004724E0" w:rsidRPr="004724E0" w:rsidRDefault="004724E0" w:rsidP="004724E0">
            <w:pPr>
              <w:spacing w:line="240" w:lineRule="auto"/>
              <w:jc w:val="right"/>
              <w:rPr>
                <w:rFonts w:eastAsia="Times New Roman"/>
                <w:b/>
                <w:bCs/>
                <w:color w:val="000000"/>
                <w:lang w:val="en-US"/>
              </w:rPr>
            </w:pPr>
            <w:r w:rsidRPr="004724E0">
              <w:rPr>
                <w:rFonts w:eastAsia="Times New Roman"/>
                <w:b/>
                <w:bCs/>
                <w:color w:val="000000"/>
                <w:lang w:val="en-US"/>
              </w:rPr>
              <w:t>118780</w:t>
            </w:r>
          </w:p>
        </w:tc>
      </w:tr>
    </w:tbl>
    <w:p w14:paraId="09C3AD1C" w14:textId="77777777" w:rsidR="00323868" w:rsidRPr="00323868" w:rsidRDefault="00323868" w:rsidP="00323868">
      <w:pPr>
        <w:spacing w:line="360" w:lineRule="auto"/>
        <w:jc w:val="center"/>
        <w:rPr>
          <w:b/>
        </w:rPr>
      </w:pPr>
    </w:p>
    <w:p w14:paraId="32D4BD3A" w14:textId="77777777" w:rsidR="00323868" w:rsidRPr="00323868" w:rsidRDefault="00B10ED9" w:rsidP="00323868">
      <w:pPr>
        <w:spacing w:line="360" w:lineRule="auto"/>
        <w:jc w:val="center"/>
        <w:rPr>
          <w:b/>
        </w:rPr>
      </w:pPr>
      <w:r>
        <w:rPr>
          <w:b/>
        </w:rPr>
        <w:t xml:space="preserve">Table </w:t>
      </w:r>
      <w:r w:rsidR="00323868" w:rsidRPr="00323868">
        <w:rPr>
          <w:b/>
        </w:rPr>
        <w:t>2: IS computation</w:t>
      </w:r>
    </w:p>
    <w:p w14:paraId="266C1A70" w14:textId="77777777" w:rsidR="00323868" w:rsidRPr="00323868" w:rsidRDefault="00323868" w:rsidP="00323868">
      <w:pPr>
        <w:spacing w:line="360" w:lineRule="auto"/>
        <w:jc w:val="center"/>
      </w:pPr>
      <w:r w:rsidRPr="00323868">
        <w:t>(Source: Self-made)</w:t>
      </w:r>
    </w:p>
    <w:p w14:paraId="1C3EEF4A" w14:textId="77777777" w:rsidR="00323868" w:rsidRPr="00323868" w:rsidRDefault="00323868" w:rsidP="00323868">
      <w:pPr>
        <w:spacing w:line="360" w:lineRule="auto"/>
        <w:jc w:val="both"/>
      </w:pPr>
      <w:r w:rsidRPr="00323868">
        <w:t>In the figure made above number 2, The computation for the year 2021, in the books of General Supplies Ltd is done. The cost of goods sold is enumerated by adding the opening stock with the purchase and deducting it with the closing stock giving and amount of £525000, which then subtracted from the sales to get the gross profit (GP) of £375000. The expenses are then deducted from the GP for getting the Net profit (NP) of £118780. As the company has net profit (NP)it indicates that it had profit after making deduction each of the expenditure from the business sales. It also provides an inclusive metric for the company’s profitability and here shows that the coming has the insight on knowing how good the team of management is operating the business aspects.  As the NP is higher or can be said a positive number it shows that the business had the capability of being more efficient in making conversion of its sales into its real profit.</w:t>
      </w:r>
    </w:p>
    <w:p w14:paraId="356EB0FE" w14:textId="77777777" w:rsidR="00323868" w:rsidRPr="00323868" w:rsidRDefault="00323868" w:rsidP="00323868">
      <w:pPr>
        <w:spacing w:line="360" w:lineRule="auto"/>
        <w:jc w:val="both"/>
        <w:rPr>
          <w:b/>
        </w:rPr>
      </w:pPr>
      <w:r w:rsidRPr="00323868">
        <w:rPr>
          <w:b/>
        </w:rPr>
        <w:t>Definition</w:t>
      </w:r>
    </w:p>
    <w:p w14:paraId="7288C235" w14:textId="77777777" w:rsidR="00323868" w:rsidRPr="00323868" w:rsidRDefault="00323868" w:rsidP="00323868">
      <w:pPr>
        <w:spacing w:line="360" w:lineRule="auto"/>
        <w:jc w:val="both"/>
      </w:pPr>
      <w:r w:rsidRPr="00323868">
        <w:lastRenderedPageBreak/>
        <w:t>The NP can claim the amount of value of the money present in the business earrings after making all kinds of deductions from the expenses in the given time frame. For arriving at this amount, the company must know the GP</w:t>
      </w:r>
      <w:r w:rsidRPr="00323868">
        <w:rPr>
          <w:color w:val="222222"/>
          <w:highlight w:val="white"/>
        </w:rPr>
        <w:t xml:space="preserve"> (Chen and Fang, 2020, p.420)</w:t>
      </w:r>
      <w:r w:rsidRPr="00323868">
        <w:t>. And if the NP value is in a negative amount, then it will be termed as Net Loss.</w:t>
      </w:r>
    </w:p>
    <w:p w14:paraId="038F6577" w14:textId="77777777" w:rsidR="00323868" w:rsidRPr="00323868" w:rsidRDefault="00323868" w:rsidP="00323868">
      <w:pPr>
        <w:spacing w:line="360" w:lineRule="auto"/>
        <w:jc w:val="both"/>
        <w:rPr>
          <w:b/>
        </w:rPr>
      </w:pPr>
      <w:r w:rsidRPr="00323868">
        <w:rPr>
          <w:b/>
        </w:rPr>
        <w:t>Benefits</w:t>
      </w:r>
    </w:p>
    <w:p w14:paraId="2F344399" w14:textId="77777777" w:rsidR="00323868" w:rsidRPr="00323868" w:rsidRDefault="00323868" w:rsidP="00323868">
      <w:pPr>
        <w:spacing w:line="360" w:lineRule="auto"/>
        <w:jc w:val="both"/>
      </w:pPr>
      <w:r w:rsidRPr="00323868">
        <w:t xml:space="preserve">It is advantages are that it helps the investors in having assessed, in case the company or firm’s management is in the process of generating </w:t>
      </w:r>
      <w:proofErr w:type="gramStart"/>
      <w:r w:rsidRPr="00323868">
        <w:t>sufficient amount of</w:t>
      </w:r>
      <w:proofErr w:type="gramEnd"/>
      <w:r w:rsidRPr="00323868">
        <w:t xml:space="preserve"> profit or earring from its revenue or it can be said that whether the overhead cost and the operating cost are being properly contained. The NP margin is considered one of the most significant indicators for a business in its overall or entire financial health.</w:t>
      </w:r>
    </w:p>
    <w:p w14:paraId="0312155C" w14:textId="77777777" w:rsidR="00323868" w:rsidRPr="00323868" w:rsidRDefault="00323868" w:rsidP="00323868">
      <w:pPr>
        <w:spacing w:line="360" w:lineRule="auto"/>
        <w:jc w:val="both"/>
      </w:pPr>
      <w:proofErr w:type="gramStart"/>
      <w:r w:rsidRPr="00323868">
        <w:t>Each and every</w:t>
      </w:r>
      <w:proofErr w:type="gramEnd"/>
      <w:r w:rsidRPr="00323868">
        <w:t xml:space="preserve"> company is required to earn enough profit for being successful / A positive or good bottom line of the income of a comprises of IS, is the indicator that the firm is making well progress. That NP is essential for the business in continuing the prosperity and growth process.</w:t>
      </w:r>
    </w:p>
    <w:p w14:paraId="67CA168D" w14:textId="77777777" w:rsidR="00323868" w:rsidRPr="00323868" w:rsidRDefault="00323868" w:rsidP="00323868">
      <w:pPr>
        <w:spacing w:line="360" w:lineRule="auto"/>
        <w:jc w:val="both"/>
      </w:pPr>
      <w:r w:rsidRPr="00323868">
        <w:t>The NP can be used for investing back in the company. At the time of the firm's early or starting years, many or most of its NP are to be retained in the firm for bringing growth to the firm.</w:t>
      </w:r>
    </w:p>
    <w:p w14:paraId="4ED01EE7" w14:textId="77777777" w:rsidR="00323868" w:rsidRPr="00323868" w:rsidRDefault="00323868" w:rsidP="00323868">
      <w:pPr>
        <w:spacing w:line="360" w:lineRule="auto"/>
        <w:jc w:val="both"/>
        <w:rPr>
          <w:b/>
        </w:rPr>
      </w:pPr>
      <w:r w:rsidRPr="00323868">
        <w:rPr>
          <w:b/>
        </w:rPr>
        <w:t>Limitations</w:t>
      </w:r>
    </w:p>
    <w:p w14:paraId="213E622E" w14:textId="77777777" w:rsidR="00323868" w:rsidRPr="00323868" w:rsidRDefault="00323868" w:rsidP="00323868">
      <w:pPr>
        <w:spacing w:line="360" w:lineRule="auto"/>
        <w:jc w:val="both"/>
      </w:pPr>
      <w:r w:rsidRPr="00323868">
        <w:t>It has a few limitations but, it includes that there is the possibility that misinterpretation of the ratio of profit margin and the figure of cash flow occurs.</w:t>
      </w:r>
    </w:p>
    <w:p w14:paraId="71494584" w14:textId="77777777" w:rsidR="00323868" w:rsidRPr="00323868" w:rsidRDefault="00323868" w:rsidP="00323868">
      <w:pPr>
        <w:spacing w:line="360" w:lineRule="auto"/>
        <w:jc w:val="both"/>
      </w:pPr>
      <w:r w:rsidRPr="00323868">
        <w:t>A lower NP margin doesn't always depict that the performance of the company is poor.</w:t>
      </w:r>
    </w:p>
    <w:p w14:paraId="22FCCBBF" w14:textId="77777777" w:rsidR="00323868" w:rsidRPr="00323868" w:rsidRDefault="00323868" w:rsidP="00323868">
      <w:pPr>
        <w:spacing w:line="360" w:lineRule="auto"/>
        <w:jc w:val="both"/>
      </w:pPr>
      <w:proofErr w:type="gramStart"/>
      <w:r w:rsidRPr="00323868">
        <w:t>And also</w:t>
      </w:r>
      <w:proofErr w:type="gramEnd"/>
      <w:r w:rsidRPr="00323868">
        <w:t>, a higher NP is not necessarily okay in making translation to a high cash flow.</w:t>
      </w:r>
    </w:p>
    <w:p w14:paraId="57211C5A" w14:textId="77777777" w:rsidR="00323868" w:rsidRPr="00323868" w:rsidRDefault="00323868" w:rsidP="00323868">
      <w:pPr>
        <w:pStyle w:val="Heading2"/>
        <w:spacing w:line="360" w:lineRule="auto"/>
        <w:rPr>
          <w:b/>
          <w:sz w:val="22"/>
          <w:szCs w:val="22"/>
        </w:rPr>
      </w:pPr>
      <w:bookmarkStart w:id="7" w:name="_Toc97036600"/>
      <w:bookmarkStart w:id="8" w:name="_Toc97036889"/>
      <w:r w:rsidRPr="00323868">
        <w:rPr>
          <w:b/>
          <w:sz w:val="22"/>
          <w:szCs w:val="22"/>
        </w:rPr>
        <w:t>c. Balance sheet (BS)</w:t>
      </w:r>
      <w:bookmarkEnd w:id="7"/>
      <w:bookmarkEnd w:id="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5"/>
        <w:gridCol w:w="1657"/>
        <w:gridCol w:w="3119"/>
        <w:gridCol w:w="1659"/>
      </w:tblGrid>
      <w:tr w:rsidR="008B5790" w:rsidRPr="008B5790" w14:paraId="1C60A517" w14:textId="77777777" w:rsidTr="008B5790">
        <w:trPr>
          <w:trHeight w:val="300"/>
          <w:jc w:val="center"/>
        </w:trPr>
        <w:tc>
          <w:tcPr>
            <w:tcW w:w="5000" w:type="pct"/>
            <w:gridSpan w:val="4"/>
            <w:shd w:val="clear" w:color="auto" w:fill="auto"/>
            <w:noWrap/>
            <w:vAlign w:val="bottom"/>
            <w:hideMark/>
          </w:tcPr>
          <w:p w14:paraId="2C498ADA" w14:textId="77777777" w:rsidR="008B5790" w:rsidRPr="008B5790" w:rsidRDefault="008B5790" w:rsidP="008B5790">
            <w:pPr>
              <w:spacing w:line="240" w:lineRule="auto"/>
              <w:jc w:val="center"/>
              <w:rPr>
                <w:rFonts w:eastAsia="Times New Roman"/>
                <w:b/>
                <w:bCs/>
                <w:color w:val="000000"/>
                <w:lang w:val="en-US"/>
              </w:rPr>
            </w:pPr>
            <w:r w:rsidRPr="008B5790">
              <w:rPr>
                <w:rFonts w:eastAsia="Times New Roman"/>
                <w:b/>
                <w:bCs/>
                <w:color w:val="000000"/>
                <w:lang w:val="en-US"/>
              </w:rPr>
              <w:t>Balance sheet</w:t>
            </w:r>
          </w:p>
        </w:tc>
      </w:tr>
      <w:tr w:rsidR="008B5790" w:rsidRPr="008B5790" w14:paraId="143C68C6" w14:textId="77777777" w:rsidTr="008B5790">
        <w:trPr>
          <w:trHeight w:val="300"/>
          <w:jc w:val="center"/>
        </w:trPr>
        <w:tc>
          <w:tcPr>
            <w:tcW w:w="1559" w:type="pct"/>
            <w:shd w:val="clear" w:color="auto" w:fill="auto"/>
            <w:noWrap/>
            <w:vAlign w:val="bottom"/>
            <w:hideMark/>
          </w:tcPr>
          <w:p w14:paraId="42AA194E" w14:textId="77777777" w:rsidR="008B5790" w:rsidRPr="008B5790" w:rsidRDefault="008B5790" w:rsidP="008B5790">
            <w:pPr>
              <w:spacing w:line="240" w:lineRule="auto"/>
              <w:rPr>
                <w:rFonts w:eastAsia="Times New Roman"/>
                <w:b/>
                <w:bCs/>
                <w:color w:val="000000"/>
                <w:lang w:val="en-US"/>
              </w:rPr>
            </w:pPr>
            <w:r w:rsidRPr="008B5790">
              <w:rPr>
                <w:rFonts w:eastAsia="Times New Roman"/>
                <w:b/>
                <w:bCs/>
                <w:color w:val="000000"/>
                <w:lang w:val="en-US"/>
              </w:rPr>
              <w:t>Liabilities</w:t>
            </w:r>
          </w:p>
        </w:tc>
        <w:tc>
          <w:tcPr>
            <w:tcW w:w="886" w:type="pct"/>
            <w:shd w:val="clear" w:color="auto" w:fill="auto"/>
            <w:noWrap/>
            <w:vAlign w:val="bottom"/>
            <w:hideMark/>
          </w:tcPr>
          <w:p w14:paraId="129996C9" w14:textId="77777777" w:rsidR="008B5790" w:rsidRPr="008B5790" w:rsidRDefault="008B5790" w:rsidP="008B5790">
            <w:pPr>
              <w:spacing w:line="240" w:lineRule="auto"/>
              <w:rPr>
                <w:rFonts w:eastAsia="Times New Roman"/>
                <w:b/>
                <w:bCs/>
                <w:color w:val="000000"/>
                <w:lang w:val="en-US"/>
              </w:rPr>
            </w:pPr>
            <w:proofErr w:type="gramStart"/>
            <w:r w:rsidRPr="008B5790">
              <w:rPr>
                <w:rFonts w:eastAsia="Times New Roman"/>
                <w:b/>
                <w:bCs/>
                <w:color w:val="000000"/>
                <w:lang w:val="en-US"/>
              </w:rPr>
              <w:t>Amount(</w:t>
            </w:r>
            <w:proofErr w:type="gramEnd"/>
            <w:r w:rsidRPr="008B5790">
              <w:rPr>
                <w:rFonts w:eastAsia="Times New Roman"/>
                <w:b/>
                <w:bCs/>
                <w:color w:val="000000"/>
                <w:lang w:val="en-US"/>
              </w:rPr>
              <w:t>£)</w:t>
            </w:r>
          </w:p>
        </w:tc>
        <w:tc>
          <w:tcPr>
            <w:tcW w:w="1668" w:type="pct"/>
            <w:shd w:val="clear" w:color="auto" w:fill="auto"/>
            <w:noWrap/>
            <w:vAlign w:val="bottom"/>
            <w:hideMark/>
          </w:tcPr>
          <w:p w14:paraId="293A6181" w14:textId="77777777" w:rsidR="008B5790" w:rsidRPr="008B5790" w:rsidRDefault="008B5790" w:rsidP="008B5790">
            <w:pPr>
              <w:spacing w:line="240" w:lineRule="auto"/>
              <w:rPr>
                <w:rFonts w:eastAsia="Times New Roman"/>
                <w:b/>
                <w:bCs/>
                <w:color w:val="000000"/>
                <w:lang w:val="en-US"/>
              </w:rPr>
            </w:pPr>
            <w:r w:rsidRPr="008B5790">
              <w:rPr>
                <w:rFonts w:eastAsia="Times New Roman"/>
                <w:b/>
                <w:bCs/>
                <w:color w:val="000000"/>
                <w:lang w:val="en-US"/>
              </w:rPr>
              <w:t>Asset</w:t>
            </w:r>
          </w:p>
        </w:tc>
        <w:tc>
          <w:tcPr>
            <w:tcW w:w="886" w:type="pct"/>
            <w:shd w:val="clear" w:color="auto" w:fill="auto"/>
            <w:noWrap/>
            <w:vAlign w:val="bottom"/>
            <w:hideMark/>
          </w:tcPr>
          <w:p w14:paraId="3FBB6C74" w14:textId="77777777" w:rsidR="008B5790" w:rsidRPr="008B5790" w:rsidRDefault="008B5790" w:rsidP="008B5790">
            <w:pPr>
              <w:spacing w:line="240" w:lineRule="auto"/>
              <w:rPr>
                <w:rFonts w:eastAsia="Times New Roman"/>
                <w:b/>
                <w:bCs/>
                <w:color w:val="000000"/>
                <w:lang w:val="en-US"/>
              </w:rPr>
            </w:pPr>
            <w:proofErr w:type="gramStart"/>
            <w:r w:rsidRPr="008B5790">
              <w:rPr>
                <w:rFonts w:eastAsia="Times New Roman"/>
                <w:b/>
                <w:bCs/>
                <w:color w:val="000000"/>
                <w:lang w:val="en-US"/>
              </w:rPr>
              <w:t>Amount(</w:t>
            </w:r>
            <w:proofErr w:type="gramEnd"/>
            <w:r w:rsidRPr="008B5790">
              <w:rPr>
                <w:rFonts w:eastAsia="Times New Roman"/>
                <w:b/>
                <w:bCs/>
                <w:color w:val="000000"/>
                <w:lang w:val="en-US"/>
              </w:rPr>
              <w:t>£)</w:t>
            </w:r>
          </w:p>
        </w:tc>
      </w:tr>
      <w:tr w:rsidR="008B5790" w:rsidRPr="008B5790" w14:paraId="3C832226" w14:textId="77777777" w:rsidTr="008B5790">
        <w:trPr>
          <w:trHeight w:val="300"/>
          <w:jc w:val="center"/>
        </w:trPr>
        <w:tc>
          <w:tcPr>
            <w:tcW w:w="1559" w:type="pct"/>
            <w:shd w:val="clear" w:color="auto" w:fill="auto"/>
            <w:noWrap/>
            <w:vAlign w:val="bottom"/>
            <w:hideMark/>
          </w:tcPr>
          <w:p w14:paraId="6C8C241B" w14:textId="77777777" w:rsidR="008B5790" w:rsidRPr="008B5790" w:rsidRDefault="008B5790" w:rsidP="008B5790">
            <w:pPr>
              <w:spacing w:line="240" w:lineRule="auto"/>
              <w:rPr>
                <w:rFonts w:eastAsia="Times New Roman"/>
                <w:color w:val="000000"/>
                <w:lang w:val="en-US"/>
              </w:rPr>
            </w:pPr>
            <w:r w:rsidRPr="008B5790">
              <w:rPr>
                <w:rFonts w:eastAsia="Times New Roman"/>
                <w:color w:val="000000"/>
                <w:lang w:val="en-US"/>
              </w:rPr>
              <w:t>Capital</w:t>
            </w:r>
          </w:p>
        </w:tc>
        <w:tc>
          <w:tcPr>
            <w:tcW w:w="886" w:type="pct"/>
            <w:shd w:val="clear" w:color="auto" w:fill="auto"/>
            <w:noWrap/>
            <w:vAlign w:val="bottom"/>
            <w:hideMark/>
          </w:tcPr>
          <w:p w14:paraId="57521824"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347900</w:t>
            </w:r>
          </w:p>
        </w:tc>
        <w:tc>
          <w:tcPr>
            <w:tcW w:w="1668" w:type="pct"/>
            <w:shd w:val="clear" w:color="auto" w:fill="auto"/>
            <w:noWrap/>
            <w:vAlign w:val="bottom"/>
            <w:hideMark/>
          </w:tcPr>
          <w:p w14:paraId="0375127F"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Retained earnings</w:t>
            </w:r>
          </w:p>
        </w:tc>
        <w:tc>
          <w:tcPr>
            <w:tcW w:w="886" w:type="pct"/>
            <w:shd w:val="clear" w:color="auto" w:fill="auto"/>
            <w:noWrap/>
            <w:vAlign w:val="bottom"/>
            <w:hideMark/>
          </w:tcPr>
          <w:p w14:paraId="3D533774"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50000</w:t>
            </w:r>
          </w:p>
        </w:tc>
      </w:tr>
      <w:tr w:rsidR="008B5790" w:rsidRPr="008B5790" w14:paraId="39C38763" w14:textId="77777777" w:rsidTr="008B5790">
        <w:trPr>
          <w:trHeight w:val="300"/>
          <w:jc w:val="center"/>
        </w:trPr>
        <w:tc>
          <w:tcPr>
            <w:tcW w:w="1559" w:type="pct"/>
            <w:shd w:val="clear" w:color="auto" w:fill="auto"/>
            <w:noWrap/>
            <w:vAlign w:val="bottom"/>
            <w:hideMark/>
          </w:tcPr>
          <w:p w14:paraId="0DC1F0D0" w14:textId="77777777" w:rsidR="008B5790" w:rsidRPr="008B5790" w:rsidRDefault="008B5790" w:rsidP="008B5790">
            <w:pPr>
              <w:spacing w:line="240" w:lineRule="auto"/>
              <w:rPr>
                <w:rFonts w:eastAsia="Times New Roman"/>
                <w:color w:val="000000"/>
                <w:lang w:val="en-US"/>
              </w:rPr>
            </w:pPr>
            <w:r w:rsidRPr="008B5790">
              <w:rPr>
                <w:rFonts w:eastAsia="Times New Roman"/>
                <w:color w:val="000000"/>
                <w:lang w:val="en-US"/>
              </w:rPr>
              <w:t>add: Net profit</w:t>
            </w:r>
          </w:p>
        </w:tc>
        <w:tc>
          <w:tcPr>
            <w:tcW w:w="886" w:type="pct"/>
            <w:shd w:val="clear" w:color="auto" w:fill="auto"/>
            <w:noWrap/>
            <w:vAlign w:val="bottom"/>
            <w:hideMark/>
          </w:tcPr>
          <w:p w14:paraId="64400958"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118780</w:t>
            </w:r>
          </w:p>
        </w:tc>
        <w:tc>
          <w:tcPr>
            <w:tcW w:w="1668" w:type="pct"/>
            <w:shd w:val="clear" w:color="auto" w:fill="auto"/>
            <w:noWrap/>
            <w:vAlign w:val="bottom"/>
            <w:hideMark/>
          </w:tcPr>
          <w:p w14:paraId="07B34E23"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Share premium</w:t>
            </w:r>
          </w:p>
        </w:tc>
        <w:tc>
          <w:tcPr>
            <w:tcW w:w="886" w:type="pct"/>
            <w:shd w:val="clear" w:color="auto" w:fill="auto"/>
            <w:noWrap/>
            <w:vAlign w:val="bottom"/>
            <w:hideMark/>
          </w:tcPr>
          <w:p w14:paraId="04C94E0A"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100000</w:t>
            </w:r>
          </w:p>
        </w:tc>
      </w:tr>
      <w:tr w:rsidR="008B5790" w:rsidRPr="008B5790" w14:paraId="3BED50F3" w14:textId="77777777" w:rsidTr="008B5790">
        <w:trPr>
          <w:trHeight w:val="300"/>
          <w:jc w:val="center"/>
        </w:trPr>
        <w:tc>
          <w:tcPr>
            <w:tcW w:w="1559" w:type="pct"/>
            <w:shd w:val="clear" w:color="auto" w:fill="auto"/>
            <w:noWrap/>
            <w:vAlign w:val="bottom"/>
            <w:hideMark/>
          </w:tcPr>
          <w:p w14:paraId="1D2DABD2" w14:textId="77777777" w:rsidR="008B5790" w:rsidRPr="008B5790" w:rsidRDefault="008B5790" w:rsidP="008B5790">
            <w:pPr>
              <w:spacing w:line="240" w:lineRule="auto"/>
              <w:rPr>
                <w:rFonts w:eastAsia="Times New Roman"/>
                <w:color w:val="000000"/>
                <w:lang w:val="en-US"/>
              </w:rPr>
            </w:pPr>
            <w:r w:rsidRPr="008B5790">
              <w:rPr>
                <w:rFonts w:eastAsia="Times New Roman"/>
                <w:color w:val="000000"/>
                <w:lang w:val="en-US"/>
              </w:rPr>
              <w:t xml:space="preserve">Trade </w:t>
            </w:r>
            <w:proofErr w:type="spellStart"/>
            <w:r w:rsidRPr="008B5790">
              <w:rPr>
                <w:rFonts w:eastAsia="Times New Roman"/>
                <w:color w:val="000000"/>
                <w:lang w:val="en-US"/>
              </w:rPr>
              <w:t>pyables</w:t>
            </w:r>
            <w:proofErr w:type="spellEnd"/>
          </w:p>
        </w:tc>
        <w:tc>
          <w:tcPr>
            <w:tcW w:w="886" w:type="pct"/>
            <w:shd w:val="clear" w:color="auto" w:fill="auto"/>
            <w:noWrap/>
            <w:vAlign w:val="bottom"/>
            <w:hideMark/>
          </w:tcPr>
          <w:p w14:paraId="7C255C5F"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350000</w:t>
            </w:r>
          </w:p>
        </w:tc>
        <w:tc>
          <w:tcPr>
            <w:tcW w:w="1668" w:type="pct"/>
            <w:shd w:val="clear" w:color="auto" w:fill="auto"/>
            <w:noWrap/>
            <w:vAlign w:val="bottom"/>
            <w:hideMark/>
          </w:tcPr>
          <w:p w14:paraId="4055947C"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Machinery</w:t>
            </w:r>
          </w:p>
        </w:tc>
        <w:tc>
          <w:tcPr>
            <w:tcW w:w="886" w:type="pct"/>
            <w:shd w:val="clear" w:color="auto" w:fill="auto"/>
            <w:noWrap/>
            <w:vAlign w:val="bottom"/>
            <w:hideMark/>
          </w:tcPr>
          <w:p w14:paraId="2E2E2926"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90000</w:t>
            </w:r>
          </w:p>
        </w:tc>
      </w:tr>
      <w:tr w:rsidR="008B5790" w:rsidRPr="008B5790" w14:paraId="0B13DC56" w14:textId="77777777" w:rsidTr="008B5790">
        <w:trPr>
          <w:trHeight w:val="300"/>
          <w:jc w:val="center"/>
        </w:trPr>
        <w:tc>
          <w:tcPr>
            <w:tcW w:w="1559" w:type="pct"/>
            <w:shd w:val="clear" w:color="auto" w:fill="auto"/>
            <w:noWrap/>
            <w:vAlign w:val="bottom"/>
            <w:hideMark/>
          </w:tcPr>
          <w:p w14:paraId="1A475252" w14:textId="77777777" w:rsidR="008B5790" w:rsidRPr="008B5790" w:rsidRDefault="008B5790" w:rsidP="008B5790">
            <w:pPr>
              <w:spacing w:line="240" w:lineRule="auto"/>
              <w:rPr>
                <w:rFonts w:eastAsia="Times New Roman"/>
                <w:color w:val="000000"/>
                <w:lang w:val="en-US"/>
              </w:rPr>
            </w:pPr>
            <w:r w:rsidRPr="008B5790">
              <w:rPr>
                <w:rFonts w:eastAsia="Times New Roman"/>
                <w:color w:val="000000"/>
                <w:lang w:val="en-US"/>
              </w:rPr>
              <w:t>Revaluation reserve</w:t>
            </w:r>
          </w:p>
        </w:tc>
        <w:tc>
          <w:tcPr>
            <w:tcW w:w="886" w:type="pct"/>
            <w:shd w:val="clear" w:color="auto" w:fill="auto"/>
            <w:noWrap/>
            <w:vAlign w:val="bottom"/>
            <w:hideMark/>
          </w:tcPr>
          <w:p w14:paraId="3D2DD7AD"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100000</w:t>
            </w:r>
          </w:p>
        </w:tc>
        <w:tc>
          <w:tcPr>
            <w:tcW w:w="1668" w:type="pct"/>
            <w:shd w:val="clear" w:color="auto" w:fill="auto"/>
            <w:noWrap/>
            <w:vAlign w:val="bottom"/>
            <w:hideMark/>
          </w:tcPr>
          <w:p w14:paraId="22B7D10E"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Building</w:t>
            </w:r>
          </w:p>
        </w:tc>
        <w:tc>
          <w:tcPr>
            <w:tcW w:w="886" w:type="pct"/>
            <w:shd w:val="clear" w:color="auto" w:fill="auto"/>
            <w:noWrap/>
            <w:vAlign w:val="bottom"/>
            <w:hideMark/>
          </w:tcPr>
          <w:p w14:paraId="00DBCB53"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712500</w:t>
            </w:r>
          </w:p>
        </w:tc>
      </w:tr>
      <w:tr w:rsidR="008B5790" w:rsidRPr="008B5790" w14:paraId="1C53B31B" w14:textId="77777777" w:rsidTr="008B5790">
        <w:trPr>
          <w:trHeight w:val="300"/>
          <w:jc w:val="center"/>
        </w:trPr>
        <w:tc>
          <w:tcPr>
            <w:tcW w:w="1559" w:type="pct"/>
            <w:shd w:val="clear" w:color="auto" w:fill="auto"/>
            <w:noWrap/>
            <w:vAlign w:val="bottom"/>
            <w:hideMark/>
          </w:tcPr>
          <w:p w14:paraId="13F89707" w14:textId="77777777" w:rsidR="008B5790" w:rsidRPr="008B5790" w:rsidRDefault="008B5790" w:rsidP="008B5790">
            <w:pPr>
              <w:spacing w:line="240" w:lineRule="auto"/>
              <w:rPr>
                <w:rFonts w:eastAsia="Times New Roman"/>
                <w:color w:val="000000"/>
                <w:lang w:val="en-US"/>
              </w:rPr>
            </w:pPr>
            <w:r w:rsidRPr="008B5790">
              <w:rPr>
                <w:rFonts w:eastAsia="Times New Roman"/>
                <w:color w:val="000000"/>
                <w:lang w:val="en-US"/>
              </w:rPr>
              <w:t>Long term loans</w:t>
            </w:r>
          </w:p>
        </w:tc>
        <w:tc>
          <w:tcPr>
            <w:tcW w:w="886" w:type="pct"/>
            <w:shd w:val="clear" w:color="auto" w:fill="auto"/>
            <w:noWrap/>
            <w:vAlign w:val="bottom"/>
            <w:hideMark/>
          </w:tcPr>
          <w:p w14:paraId="42C6A6F8"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200000</w:t>
            </w:r>
          </w:p>
        </w:tc>
        <w:tc>
          <w:tcPr>
            <w:tcW w:w="1668" w:type="pct"/>
            <w:shd w:val="clear" w:color="auto" w:fill="auto"/>
            <w:noWrap/>
            <w:vAlign w:val="bottom"/>
            <w:hideMark/>
          </w:tcPr>
          <w:p w14:paraId="5A005BDC"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xml:space="preserve">Bank </w:t>
            </w:r>
          </w:p>
        </w:tc>
        <w:tc>
          <w:tcPr>
            <w:tcW w:w="886" w:type="pct"/>
            <w:shd w:val="clear" w:color="auto" w:fill="auto"/>
            <w:noWrap/>
            <w:vAlign w:val="bottom"/>
            <w:hideMark/>
          </w:tcPr>
          <w:p w14:paraId="5AD0EE52"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2000</w:t>
            </w:r>
          </w:p>
        </w:tc>
      </w:tr>
      <w:tr w:rsidR="008B5790" w:rsidRPr="008B5790" w14:paraId="6FD2473E" w14:textId="77777777" w:rsidTr="008B5790">
        <w:trPr>
          <w:trHeight w:val="300"/>
          <w:jc w:val="center"/>
        </w:trPr>
        <w:tc>
          <w:tcPr>
            <w:tcW w:w="1559" w:type="pct"/>
            <w:shd w:val="clear" w:color="auto" w:fill="auto"/>
            <w:noWrap/>
            <w:vAlign w:val="bottom"/>
            <w:hideMark/>
          </w:tcPr>
          <w:p w14:paraId="520ADB30" w14:textId="77777777" w:rsidR="008B5790" w:rsidRPr="008B5790" w:rsidRDefault="008B5790" w:rsidP="008B5790">
            <w:pPr>
              <w:spacing w:line="240" w:lineRule="auto"/>
              <w:rPr>
                <w:rFonts w:eastAsia="Times New Roman"/>
                <w:color w:val="000000"/>
                <w:lang w:val="en-US"/>
              </w:rPr>
            </w:pPr>
            <w:r w:rsidRPr="008B5790">
              <w:rPr>
                <w:rFonts w:eastAsia="Times New Roman"/>
                <w:color w:val="000000"/>
                <w:lang w:val="en-US"/>
              </w:rPr>
              <w:t>Adjustment</w:t>
            </w:r>
          </w:p>
        </w:tc>
        <w:tc>
          <w:tcPr>
            <w:tcW w:w="886" w:type="pct"/>
            <w:shd w:val="clear" w:color="auto" w:fill="auto"/>
            <w:noWrap/>
            <w:vAlign w:val="bottom"/>
            <w:hideMark/>
          </w:tcPr>
          <w:p w14:paraId="0587AC1D"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420320</w:t>
            </w:r>
          </w:p>
        </w:tc>
        <w:tc>
          <w:tcPr>
            <w:tcW w:w="1668" w:type="pct"/>
            <w:shd w:val="clear" w:color="auto" w:fill="auto"/>
            <w:noWrap/>
            <w:vAlign w:val="bottom"/>
            <w:hideMark/>
          </w:tcPr>
          <w:p w14:paraId="40E288AF"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Finance income</w:t>
            </w:r>
          </w:p>
        </w:tc>
        <w:tc>
          <w:tcPr>
            <w:tcW w:w="886" w:type="pct"/>
            <w:shd w:val="clear" w:color="auto" w:fill="auto"/>
            <w:noWrap/>
            <w:vAlign w:val="bottom"/>
            <w:hideMark/>
          </w:tcPr>
          <w:p w14:paraId="4DA28B99"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4000</w:t>
            </w:r>
          </w:p>
        </w:tc>
      </w:tr>
      <w:tr w:rsidR="008B5790" w:rsidRPr="008B5790" w14:paraId="261E110E" w14:textId="77777777" w:rsidTr="008B5790">
        <w:trPr>
          <w:trHeight w:val="300"/>
          <w:jc w:val="center"/>
        </w:trPr>
        <w:tc>
          <w:tcPr>
            <w:tcW w:w="1559" w:type="pct"/>
            <w:shd w:val="clear" w:color="auto" w:fill="auto"/>
            <w:noWrap/>
            <w:vAlign w:val="bottom"/>
            <w:hideMark/>
          </w:tcPr>
          <w:p w14:paraId="71040D7B"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886" w:type="pct"/>
            <w:shd w:val="clear" w:color="auto" w:fill="auto"/>
            <w:noWrap/>
            <w:vAlign w:val="bottom"/>
            <w:hideMark/>
          </w:tcPr>
          <w:p w14:paraId="4386208B"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1668" w:type="pct"/>
            <w:shd w:val="clear" w:color="auto" w:fill="auto"/>
            <w:noWrap/>
            <w:vAlign w:val="bottom"/>
            <w:hideMark/>
          </w:tcPr>
          <w:p w14:paraId="0B9B4DE4"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Closing stock</w:t>
            </w:r>
          </w:p>
        </w:tc>
        <w:tc>
          <w:tcPr>
            <w:tcW w:w="886" w:type="pct"/>
            <w:shd w:val="clear" w:color="auto" w:fill="auto"/>
            <w:noWrap/>
            <w:vAlign w:val="bottom"/>
            <w:hideMark/>
          </w:tcPr>
          <w:p w14:paraId="6007CBB0"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125000</w:t>
            </w:r>
          </w:p>
        </w:tc>
      </w:tr>
      <w:tr w:rsidR="008B5790" w:rsidRPr="008B5790" w14:paraId="697C16EB" w14:textId="77777777" w:rsidTr="008B5790">
        <w:trPr>
          <w:trHeight w:val="300"/>
          <w:jc w:val="center"/>
        </w:trPr>
        <w:tc>
          <w:tcPr>
            <w:tcW w:w="1559" w:type="pct"/>
            <w:shd w:val="clear" w:color="auto" w:fill="auto"/>
            <w:noWrap/>
            <w:vAlign w:val="bottom"/>
            <w:hideMark/>
          </w:tcPr>
          <w:p w14:paraId="6A811210"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886" w:type="pct"/>
            <w:shd w:val="clear" w:color="auto" w:fill="auto"/>
            <w:noWrap/>
            <w:vAlign w:val="bottom"/>
            <w:hideMark/>
          </w:tcPr>
          <w:p w14:paraId="749ED0B1"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1668" w:type="pct"/>
            <w:shd w:val="clear" w:color="auto" w:fill="auto"/>
            <w:noWrap/>
            <w:vAlign w:val="bottom"/>
            <w:hideMark/>
          </w:tcPr>
          <w:p w14:paraId="0BB91130"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xml:space="preserve">Trade </w:t>
            </w:r>
            <w:proofErr w:type="spellStart"/>
            <w:r w:rsidRPr="008B5790">
              <w:rPr>
                <w:rFonts w:ascii="Calibri" w:eastAsia="Times New Roman" w:hAnsi="Calibri" w:cs="Calibri"/>
                <w:color w:val="000000"/>
                <w:lang w:val="en-US"/>
              </w:rPr>
              <w:t>receiveables</w:t>
            </w:r>
            <w:proofErr w:type="spellEnd"/>
          </w:p>
        </w:tc>
        <w:tc>
          <w:tcPr>
            <w:tcW w:w="886" w:type="pct"/>
            <w:shd w:val="clear" w:color="auto" w:fill="auto"/>
            <w:noWrap/>
            <w:vAlign w:val="bottom"/>
            <w:hideMark/>
          </w:tcPr>
          <w:p w14:paraId="55D50DB7"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396000</w:t>
            </w:r>
          </w:p>
        </w:tc>
      </w:tr>
      <w:tr w:rsidR="008B5790" w:rsidRPr="008B5790" w14:paraId="063ABF52" w14:textId="77777777" w:rsidTr="008B5790">
        <w:trPr>
          <w:trHeight w:val="300"/>
          <w:jc w:val="center"/>
        </w:trPr>
        <w:tc>
          <w:tcPr>
            <w:tcW w:w="1559" w:type="pct"/>
            <w:shd w:val="clear" w:color="auto" w:fill="auto"/>
            <w:noWrap/>
            <w:vAlign w:val="bottom"/>
            <w:hideMark/>
          </w:tcPr>
          <w:p w14:paraId="588835B9"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886" w:type="pct"/>
            <w:shd w:val="clear" w:color="auto" w:fill="auto"/>
            <w:noWrap/>
            <w:vAlign w:val="bottom"/>
            <w:hideMark/>
          </w:tcPr>
          <w:p w14:paraId="7C81D9D0"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1668" w:type="pct"/>
            <w:shd w:val="clear" w:color="auto" w:fill="auto"/>
            <w:noWrap/>
            <w:vAlign w:val="bottom"/>
            <w:hideMark/>
          </w:tcPr>
          <w:p w14:paraId="1C8DF813" w14:textId="77777777" w:rsidR="008B5790" w:rsidRPr="008B5790" w:rsidRDefault="008B5790" w:rsidP="008B5790">
            <w:pPr>
              <w:spacing w:line="240" w:lineRule="auto"/>
              <w:rPr>
                <w:rFonts w:ascii="Calibri" w:eastAsia="Times New Roman" w:hAnsi="Calibri" w:cs="Calibri"/>
                <w:color w:val="000000"/>
                <w:lang w:val="en-US"/>
              </w:rPr>
            </w:pPr>
            <w:proofErr w:type="spellStart"/>
            <w:r w:rsidRPr="008B5790">
              <w:rPr>
                <w:rFonts w:ascii="Calibri" w:eastAsia="Times New Roman" w:hAnsi="Calibri" w:cs="Calibri"/>
                <w:color w:val="000000"/>
                <w:lang w:val="en-US"/>
              </w:rPr>
              <w:t>Provission</w:t>
            </w:r>
            <w:proofErr w:type="spellEnd"/>
            <w:r w:rsidRPr="008B5790">
              <w:rPr>
                <w:rFonts w:ascii="Calibri" w:eastAsia="Times New Roman" w:hAnsi="Calibri" w:cs="Calibri"/>
                <w:color w:val="000000"/>
                <w:lang w:val="en-US"/>
              </w:rPr>
              <w:t xml:space="preserve"> on buildings</w:t>
            </w:r>
          </w:p>
        </w:tc>
        <w:tc>
          <w:tcPr>
            <w:tcW w:w="886" w:type="pct"/>
            <w:shd w:val="clear" w:color="auto" w:fill="auto"/>
            <w:noWrap/>
            <w:vAlign w:val="bottom"/>
            <w:hideMark/>
          </w:tcPr>
          <w:p w14:paraId="0D72BFF5"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62500</w:t>
            </w:r>
          </w:p>
        </w:tc>
      </w:tr>
      <w:tr w:rsidR="008B5790" w:rsidRPr="008B5790" w14:paraId="41CFFE6E" w14:textId="77777777" w:rsidTr="008B5790">
        <w:trPr>
          <w:trHeight w:val="300"/>
          <w:jc w:val="center"/>
        </w:trPr>
        <w:tc>
          <w:tcPr>
            <w:tcW w:w="1559" w:type="pct"/>
            <w:shd w:val="clear" w:color="auto" w:fill="auto"/>
            <w:noWrap/>
            <w:vAlign w:val="bottom"/>
            <w:hideMark/>
          </w:tcPr>
          <w:p w14:paraId="16CA71CD"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886" w:type="pct"/>
            <w:shd w:val="clear" w:color="auto" w:fill="auto"/>
            <w:noWrap/>
            <w:vAlign w:val="bottom"/>
            <w:hideMark/>
          </w:tcPr>
          <w:p w14:paraId="6F7C841C"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1668" w:type="pct"/>
            <w:shd w:val="clear" w:color="auto" w:fill="auto"/>
            <w:noWrap/>
            <w:vAlign w:val="bottom"/>
            <w:hideMark/>
          </w:tcPr>
          <w:p w14:paraId="16E520AF"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Provision on machinery</w:t>
            </w:r>
          </w:p>
        </w:tc>
        <w:tc>
          <w:tcPr>
            <w:tcW w:w="886" w:type="pct"/>
            <w:shd w:val="clear" w:color="auto" w:fill="auto"/>
            <w:noWrap/>
            <w:vAlign w:val="bottom"/>
            <w:hideMark/>
          </w:tcPr>
          <w:p w14:paraId="6F238C73"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-5000</w:t>
            </w:r>
          </w:p>
        </w:tc>
      </w:tr>
      <w:tr w:rsidR="008B5790" w:rsidRPr="008B5790" w14:paraId="41430C05" w14:textId="77777777" w:rsidTr="008B5790">
        <w:trPr>
          <w:trHeight w:val="300"/>
          <w:jc w:val="center"/>
        </w:trPr>
        <w:tc>
          <w:tcPr>
            <w:tcW w:w="1559" w:type="pct"/>
            <w:shd w:val="clear" w:color="auto" w:fill="auto"/>
            <w:noWrap/>
            <w:vAlign w:val="bottom"/>
            <w:hideMark/>
          </w:tcPr>
          <w:p w14:paraId="6360961B"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886" w:type="pct"/>
            <w:shd w:val="clear" w:color="auto" w:fill="auto"/>
            <w:noWrap/>
            <w:vAlign w:val="bottom"/>
            <w:hideMark/>
          </w:tcPr>
          <w:p w14:paraId="0B6B62FA"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1537000</w:t>
            </w:r>
          </w:p>
        </w:tc>
        <w:tc>
          <w:tcPr>
            <w:tcW w:w="1668" w:type="pct"/>
            <w:shd w:val="clear" w:color="auto" w:fill="auto"/>
            <w:noWrap/>
            <w:vAlign w:val="bottom"/>
            <w:hideMark/>
          </w:tcPr>
          <w:p w14:paraId="31C0CA24" w14:textId="77777777" w:rsidR="008B5790" w:rsidRPr="008B5790" w:rsidRDefault="008B5790" w:rsidP="008B5790">
            <w:pPr>
              <w:spacing w:line="240" w:lineRule="auto"/>
              <w:rPr>
                <w:rFonts w:ascii="Calibri" w:eastAsia="Times New Roman" w:hAnsi="Calibri" w:cs="Calibri"/>
                <w:color w:val="000000"/>
                <w:lang w:val="en-US"/>
              </w:rPr>
            </w:pPr>
            <w:r w:rsidRPr="008B5790">
              <w:rPr>
                <w:rFonts w:ascii="Calibri" w:eastAsia="Times New Roman" w:hAnsi="Calibri" w:cs="Calibri"/>
                <w:color w:val="000000"/>
                <w:lang w:val="en-US"/>
              </w:rPr>
              <w:t> </w:t>
            </w:r>
          </w:p>
        </w:tc>
        <w:tc>
          <w:tcPr>
            <w:tcW w:w="886" w:type="pct"/>
            <w:shd w:val="clear" w:color="auto" w:fill="auto"/>
            <w:noWrap/>
            <w:vAlign w:val="bottom"/>
            <w:hideMark/>
          </w:tcPr>
          <w:p w14:paraId="4C179F32" w14:textId="77777777" w:rsidR="008B5790" w:rsidRPr="008B5790" w:rsidRDefault="008B5790" w:rsidP="008B5790">
            <w:pPr>
              <w:spacing w:line="240" w:lineRule="auto"/>
              <w:jc w:val="right"/>
              <w:rPr>
                <w:rFonts w:ascii="Calibri" w:eastAsia="Times New Roman" w:hAnsi="Calibri" w:cs="Calibri"/>
                <w:color w:val="000000"/>
                <w:lang w:val="en-US"/>
              </w:rPr>
            </w:pPr>
            <w:r w:rsidRPr="008B5790">
              <w:rPr>
                <w:rFonts w:ascii="Calibri" w:eastAsia="Times New Roman" w:hAnsi="Calibri" w:cs="Calibri"/>
                <w:color w:val="000000"/>
                <w:lang w:val="en-US"/>
              </w:rPr>
              <w:t>1537000</w:t>
            </w:r>
          </w:p>
        </w:tc>
      </w:tr>
    </w:tbl>
    <w:p w14:paraId="4430E0E6" w14:textId="77777777" w:rsidR="00323868" w:rsidRPr="00323868" w:rsidRDefault="00323868" w:rsidP="00323868">
      <w:pPr>
        <w:spacing w:line="360" w:lineRule="auto"/>
        <w:jc w:val="center"/>
        <w:rPr>
          <w:b/>
        </w:rPr>
      </w:pPr>
    </w:p>
    <w:p w14:paraId="2230C387" w14:textId="77777777" w:rsidR="00323868" w:rsidRPr="00323868" w:rsidRDefault="009571FF" w:rsidP="00323868">
      <w:pPr>
        <w:spacing w:line="360" w:lineRule="auto"/>
        <w:jc w:val="center"/>
        <w:rPr>
          <w:b/>
        </w:rPr>
      </w:pPr>
      <w:r>
        <w:rPr>
          <w:b/>
        </w:rPr>
        <w:lastRenderedPageBreak/>
        <w:t xml:space="preserve">Table </w:t>
      </w:r>
      <w:r w:rsidR="00323868" w:rsidRPr="00323868">
        <w:rPr>
          <w:b/>
        </w:rPr>
        <w:t>3: BS computation</w:t>
      </w:r>
    </w:p>
    <w:p w14:paraId="43C9E211" w14:textId="77777777" w:rsidR="00323868" w:rsidRPr="00323868" w:rsidRDefault="00323868" w:rsidP="00323868">
      <w:pPr>
        <w:spacing w:line="360" w:lineRule="auto"/>
        <w:jc w:val="center"/>
      </w:pPr>
      <w:r w:rsidRPr="00323868">
        <w:t>(Source: Self-made)</w:t>
      </w:r>
    </w:p>
    <w:p w14:paraId="32F27FB7" w14:textId="77777777" w:rsidR="00323868" w:rsidRPr="00323868" w:rsidRDefault="00323868" w:rsidP="00323868">
      <w:pPr>
        <w:spacing w:line="360" w:lineRule="auto"/>
        <w:jc w:val="both"/>
      </w:pPr>
      <w:r w:rsidRPr="00323868">
        <w:t xml:space="preserve">As per figure 3, the calculation of BS for the 2021 year ended, 31st march is prepared, which depicts the financial position of the company. As it is known that the asset and the liabilities are to be equally for showing a proper financial state of a company. And that case as both the liabilities and assets sided are equal with £1537000 as their total. The practice of double-entry ensures that the equation of accounting always stays balanced, depicting that the equation left side amount is going to always be the same or match with the value of the right side. In simple words, the amount of the asset is equal to the sum of liabilities and shareholders' equity. The reason for preparing the BS is for providing the party's interest in the idea or point of view of the financial state of position of the firm, and with the addition of displaying, the company's owned things and the things that the company owes, </w:t>
      </w:r>
      <w:proofErr w:type="gramStart"/>
      <w:r w:rsidRPr="00323868">
        <w:t>It</w:t>
      </w:r>
      <w:proofErr w:type="gramEnd"/>
      <w:r w:rsidRPr="00323868">
        <w:t xml:space="preserve"> is necessary as each of the investors has the knowledge of using the analysis and g through the BS. A BS might give the entire insight or the cause for investing in the company's stock.</w:t>
      </w:r>
    </w:p>
    <w:p w14:paraId="1C1A6BA5" w14:textId="77777777" w:rsidR="00323868" w:rsidRPr="00323868" w:rsidRDefault="00323868" w:rsidP="00323868">
      <w:pPr>
        <w:spacing w:line="360" w:lineRule="auto"/>
        <w:jc w:val="both"/>
      </w:pPr>
      <w:r w:rsidRPr="00323868">
        <w:t xml:space="preserve">Its purpose is for providing the details or entire information </w:t>
      </w:r>
      <w:proofErr w:type="gramStart"/>
      <w:r w:rsidRPr="00323868">
        <w:t>in regards to</w:t>
      </w:r>
      <w:proofErr w:type="gramEnd"/>
      <w:r w:rsidRPr="00323868">
        <w:t xml:space="preserve"> the funding of the debt that is availed by the entity, use of the equity and the debt creation of assets, and the company's net worth.</w:t>
      </w:r>
    </w:p>
    <w:p w14:paraId="3CA05C74" w14:textId="77777777" w:rsidR="00323868" w:rsidRPr="00323868" w:rsidRDefault="00323868" w:rsidP="00323868">
      <w:pPr>
        <w:spacing w:line="360" w:lineRule="auto"/>
        <w:jc w:val="both"/>
        <w:rPr>
          <w:b/>
        </w:rPr>
      </w:pPr>
      <w:r w:rsidRPr="00323868">
        <w:rPr>
          <w:b/>
        </w:rPr>
        <w:t>Definition</w:t>
      </w:r>
    </w:p>
    <w:p w14:paraId="6F079ADD" w14:textId="77777777" w:rsidR="00323868" w:rsidRPr="00323868" w:rsidRDefault="00BE6EAA" w:rsidP="00323868">
      <w:pPr>
        <w:spacing w:line="360" w:lineRule="auto"/>
        <w:jc w:val="both"/>
      </w:pPr>
      <w:r>
        <w:t>A Balance sheet</w:t>
      </w:r>
      <w:r w:rsidR="00323868" w:rsidRPr="00323868">
        <w:t xml:space="preserve"> is a type of financial statement that helps the company in reporting the shareholder's equity, liabilities, and assets. It is one among the 3 cores of the statements of finance, which are </w:t>
      </w:r>
      <w:proofErr w:type="gramStart"/>
      <w:r w:rsidR="00323868" w:rsidRPr="00323868">
        <w:t>put to use</w:t>
      </w:r>
      <w:proofErr w:type="gramEnd"/>
      <w:r w:rsidR="00323868" w:rsidRPr="00323868">
        <w:t xml:space="preserve"> for evaluating the firm</w:t>
      </w:r>
      <w:r w:rsidR="00323868" w:rsidRPr="00323868">
        <w:rPr>
          <w:color w:val="222222"/>
          <w:highlight w:val="white"/>
        </w:rPr>
        <w:t xml:space="preserve"> (</w:t>
      </w:r>
      <w:proofErr w:type="spellStart"/>
      <w:r w:rsidR="00323868" w:rsidRPr="00323868">
        <w:rPr>
          <w:color w:val="222222"/>
          <w:highlight w:val="white"/>
        </w:rPr>
        <w:t>Kumhof</w:t>
      </w:r>
      <w:proofErr w:type="spellEnd"/>
      <w:r w:rsidR="00323868" w:rsidRPr="00323868">
        <w:rPr>
          <w:color w:val="222222"/>
          <w:highlight w:val="white"/>
        </w:rPr>
        <w:t xml:space="preserve"> and Noone, 2018, p.50)</w:t>
      </w:r>
      <w:r w:rsidR="00323868" w:rsidRPr="00323868">
        <w:t xml:space="preserve">. It also helps in providing the finance of the firm's snapshot in the publication date. Typically, it is made at the end of the given period. It has two columns, </w:t>
      </w:r>
      <w:r w:rsidRPr="00323868">
        <w:t>the</w:t>
      </w:r>
      <w:r w:rsidR="00323868" w:rsidRPr="00323868">
        <w:t xml:space="preserve"> </w:t>
      </w:r>
      <w:r>
        <w:t xml:space="preserve">left one </w:t>
      </w:r>
      <w:r w:rsidRPr="00323868">
        <w:t>is</w:t>
      </w:r>
      <w:r w:rsidR="00323868" w:rsidRPr="00323868">
        <w:t xml:space="preserve"> company assets.</w:t>
      </w:r>
    </w:p>
    <w:p w14:paraId="11CD107E" w14:textId="77777777" w:rsidR="00323868" w:rsidRPr="00323868" w:rsidRDefault="00323868" w:rsidP="00323868">
      <w:pPr>
        <w:spacing w:line="360" w:lineRule="auto"/>
        <w:jc w:val="both"/>
        <w:rPr>
          <w:b/>
        </w:rPr>
      </w:pPr>
      <w:r w:rsidRPr="00323868">
        <w:rPr>
          <w:b/>
        </w:rPr>
        <w:t>Benefits</w:t>
      </w:r>
    </w:p>
    <w:p w14:paraId="02FE5D29" w14:textId="77777777" w:rsidR="00323868" w:rsidRPr="00323868" w:rsidRDefault="00323868" w:rsidP="00323868">
      <w:pPr>
        <w:spacing w:line="360" w:lineRule="auto"/>
        <w:jc w:val="both"/>
      </w:pPr>
      <w:r w:rsidRPr="00323868">
        <w:t>It helps in determining the returns and the risk, as the long-term assets and the current asset, has a reflection of the firm’s ability in generating cash and the operation of the firm's sustainability. In contrast to the long and short-term debts as prioritized by the obligation of the business financially.</w:t>
      </w:r>
    </w:p>
    <w:p w14:paraId="7348A7E3" w14:textId="77777777" w:rsidR="00323868" w:rsidRPr="00323868" w:rsidRDefault="00323868" w:rsidP="00323868">
      <w:pPr>
        <w:spacing w:line="360" w:lineRule="auto"/>
        <w:jc w:val="both"/>
      </w:pPr>
      <w:r w:rsidRPr="00323868">
        <w:t xml:space="preserve">It is beneficial as the regulators, lenders, investors and the </w:t>
      </w:r>
      <w:r w:rsidR="00BE6EAA" w:rsidRPr="00323868">
        <w:t>managers take the company’s measurement with calculation/enumeration of the ratios of finance with the use of the data from the BS and are</w:t>
      </w:r>
      <w:r w:rsidRPr="00323868">
        <w:t xml:space="preserve"> often un the conjunction, with the different and other reports like the IS.</w:t>
      </w:r>
    </w:p>
    <w:p w14:paraId="455D9FEF" w14:textId="77777777" w:rsidR="00323868" w:rsidRPr="00323868" w:rsidRDefault="00323868" w:rsidP="00323868">
      <w:pPr>
        <w:spacing w:line="360" w:lineRule="auto"/>
        <w:jc w:val="both"/>
      </w:pPr>
      <w:r w:rsidRPr="00323868">
        <w:t>A proper and accurate BS provides the investor with an understanding of the company's financial state and creditworthiness.</w:t>
      </w:r>
    </w:p>
    <w:p w14:paraId="33CD76F5" w14:textId="77777777" w:rsidR="00323868" w:rsidRPr="00323868" w:rsidRDefault="00323868" w:rsidP="00323868">
      <w:pPr>
        <w:spacing w:line="360" w:lineRule="auto"/>
        <w:jc w:val="both"/>
        <w:rPr>
          <w:b/>
        </w:rPr>
      </w:pPr>
      <w:r w:rsidRPr="00323868">
        <w:rPr>
          <w:b/>
        </w:rPr>
        <w:t>Limitations</w:t>
      </w:r>
    </w:p>
    <w:p w14:paraId="6C595464" w14:textId="77777777" w:rsidR="00323868" w:rsidRPr="00323868" w:rsidRDefault="00323868" w:rsidP="00323868">
      <w:pPr>
        <w:spacing w:line="360" w:lineRule="auto"/>
        <w:jc w:val="both"/>
      </w:pPr>
      <w:r w:rsidRPr="00323868">
        <w:lastRenderedPageBreak/>
        <w:t xml:space="preserve">The expectation with the long terms assets for lasting more, than 1 year and the inclusion </w:t>
      </w:r>
      <w:proofErr w:type="spellStart"/>
      <w:r w:rsidRPr="00323868">
        <w:t>f</w:t>
      </w:r>
      <w:proofErr w:type="spellEnd"/>
      <w:r w:rsidRPr="00323868">
        <w:t xml:space="preserve"> the item such as plant, equipment, etc. While recording this, it ignores the recent or present value of these mentioned assets.</w:t>
      </w:r>
    </w:p>
    <w:p w14:paraId="3A0773CB" w14:textId="77777777" w:rsidR="00323868" w:rsidRPr="00323868" w:rsidRDefault="00323868" w:rsidP="00323868">
      <w:pPr>
        <w:spacing w:line="360" w:lineRule="auto"/>
        <w:jc w:val="both"/>
        <w:rPr>
          <w:b/>
        </w:rPr>
      </w:pPr>
      <w:r w:rsidRPr="00323868">
        <w:t>Only the assets can be acquired by the transactions that are reported on the BS. So, it makes the omission of a few of the valuable assets, which are not oriented with the transaction, and non-expressive in terms of money.</w:t>
      </w:r>
    </w:p>
    <w:p w14:paraId="4AF20923" w14:textId="77777777" w:rsidR="00F91F54" w:rsidRPr="00323868" w:rsidRDefault="002328E0" w:rsidP="00323868">
      <w:pPr>
        <w:pStyle w:val="Heading1"/>
        <w:rPr>
          <w:rFonts w:ascii="Arial" w:hAnsi="Arial" w:cs="Arial"/>
          <w:sz w:val="22"/>
          <w:szCs w:val="22"/>
        </w:rPr>
      </w:pPr>
      <w:bookmarkStart w:id="9" w:name="_Toc97036890"/>
      <w:r w:rsidRPr="00323868">
        <w:rPr>
          <w:rFonts w:ascii="Arial" w:hAnsi="Arial" w:cs="Arial"/>
          <w:sz w:val="22"/>
          <w:szCs w:val="22"/>
        </w:rPr>
        <w:t>Question 2</w:t>
      </w:r>
      <w:bookmarkEnd w:id="9"/>
    </w:p>
    <w:p w14:paraId="42556E1D" w14:textId="77777777" w:rsidR="00F91F54" w:rsidRPr="00323868" w:rsidRDefault="002328E0" w:rsidP="00323868">
      <w:pPr>
        <w:pStyle w:val="Normal1"/>
        <w:spacing w:before="200" w:line="360" w:lineRule="auto"/>
        <w:jc w:val="both"/>
        <w:rPr>
          <w:rFonts w:eastAsia="Times New Roman"/>
          <w:b/>
        </w:rPr>
      </w:pPr>
      <w:r w:rsidRPr="00323868">
        <w:rPr>
          <w:rFonts w:eastAsia="Times New Roman"/>
          <w:b/>
        </w:rPr>
        <w:t>Accounting Principles</w:t>
      </w:r>
    </w:p>
    <w:p w14:paraId="626E25AD"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Accounting principles </w:t>
      </w:r>
      <w:proofErr w:type="gramStart"/>
      <w:r w:rsidRPr="00323868">
        <w:rPr>
          <w:rFonts w:eastAsia="Times New Roman"/>
        </w:rPr>
        <w:t>are considered to be</w:t>
      </w:r>
      <w:proofErr w:type="gramEnd"/>
      <w:r w:rsidRPr="00323868">
        <w:rPr>
          <w:rFonts w:eastAsia="Times New Roman"/>
        </w:rPr>
        <w:t xml:space="preserve"> a set of guidelines that maintains the definite consistency for conducting more validated and accurate company reports and financial statements. Based on the views of Weygandt </w:t>
      </w:r>
      <w:r w:rsidRPr="00323868">
        <w:rPr>
          <w:rFonts w:eastAsia="Times New Roman"/>
          <w:i/>
        </w:rPr>
        <w:t>et al</w:t>
      </w:r>
      <w:r w:rsidRPr="00323868">
        <w:rPr>
          <w:rFonts w:eastAsia="Times New Roman"/>
        </w:rPr>
        <w:t xml:space="preserve">. (2019, p.78), accounting principles help the dedicated management system to comprise accurate and consistent financial statements that could be further compared with other financial statements of the same company and its competitors. There are various associated principles within accounting that allow the financial manager to follow up a consistent standard of financial statement for comparing it across years for relativity for other companies. In order to explain the relative relevance of accounting principles, it is crucial to be aware of the various available forms of accounting principles in business. </w:t>
      </w:r>
    </w:p>
    <w:p w14:paraId="36A84134" w14:textId="77777777" w:rsidR="00F91F54" w:rsidRPr="00323868" w:rsidRDefault="002328E0" w:rsidP="00323868">
      <w:pPr>
        <w:pStyle w:val="Normal1"/>
        <w:spacing w:before="200" w:line="360" w:lineRule="auto"/>
        <w:jc w:val="both"/>
        <w:rPr>
          <w:rFonts w:eastAsia="Times New Roman"/>
        </w:rPr>
      </w:pPr>
      <w:r w:rsidRPr="00323868">
        <w:rPr>
          <w:rFonts w:eastAsia="Times New Roman"/>
          <w:b/>
        </w:rPr>
        <w:t>Forms of counting principles</w:t>
      </w:r>
    </w:p>
    <w:p w14:paraId="6FDA3C2F" w14:textId="77777777" w:rsidR="00F91F54" w:rsidRPr="00323868" w:rsidRDefault="002328E0" w:rsidP="00323868">
      <w:pPr>
        <w:pStyle w:val="Normal1"/>
        <w:spacing w:before="200" w:line="360" w:lineRule="auto"/>
        <w:jc w:val="both"/>
        <w:rPr>
          <w:rFonts w:eastAsia="Times New Roman"/>
        </w:rPr>
      </w:pPr>
      <w:r w:rsidRPr="00CF6A21">
        <w:rPr>
          <w:rFonts w:eastAsia="Times New Roman"/>
        </w:rPr>
        <w:t xml:space="preserve">As per the views of Kumar (2018, p.17), the </w:t>
      </w:r>
      <w:proofErr w:type="gramStart"/>
      <w:r w:rsidRPr="00CF6A21">
        <w:rPr>
          <w:rFonts w:eastAsia="Times New Roman"/>
        </w:rPr>
        <w:t>ultimate goal</w:t>
      </w:r>
      <w:proofErr w:type="gramEnd"/>
      <w:r w:rsidRPr="00CF6A21">
        <w:rPr>
          <w:rFonts w:eastAsia="Times New Roman"/>
        </w:rPr>
        <w:t xml:space="preserve"> of accounting principles is to enumerate a consistent yet validated financial statement for the company. Most of the accounting principles that are utilized by the companies are strictly followed under the guidance of </w:t>
      </w:r>
      <w:r w:rsidRPr="00CF6A21">
        <w:rPr>
          <w:rFonts w:eastAsia="Times New Roman"/>
          <w:b/>
          <w:i/>
        </w:rPr>
        <w:t>“</w:t>
      </w:r>
      <w:r w:rsidRPr="00CF6A21">
        <w:rPr>
          <w:rFonts w:eastAsia="Times New Roman"/>
          <w:b/>
          <w:iCs/>
        </w:rPr>
        <w:t>General Accepted Accounting Principles</w:t>
      </w:r>
      <w:r w:rsidRPr="00CF6A21">
        <w:rPr>
          <w:rFonts w:eastAsia="Times New Roman"/>
          <w:b/>
          <w:i/>
        </w:rPr>
        <w:t>”</w:t>
      </w:r>
      <w:r w:rsidRPr="00CF6A21">
        <w:rPr>
          <w:rFonts w:eastAsia="Times New Roman"/>
        </w:rPr>
        <w:t xml:space="preserve"> (GAAP) to comprise validated financial statements and counting disclosure at the end of the financial year. Based on the guidance of GAAP, some of the notable principles of accounting are mentioned in the following section</w:t>
      </w:r>
      <w:r w:rsidRPr="00323868">
        <w:rPr>
          <w:rFonts w:eastAsia="Times New Roman"/>
        </w:rPr>
        <w:t xml:space="preserve">. </w:t>
      </w:r>
    </w:p>
    <w:p w14:paraId="2243BE2D" w14:textId="77777777" w:rsidR="00F91F54" w:rsidRPr="00CF6A21" w:rsidRDefault="002328E0" w:rsidP="00323868">
      <w:pPr>
        <w:pStyle w:val="Normal1"/>
        <w:spacing w:before="200" w:line="360" w:lineRule="auto"/>
        <w:jc w:val="both"/>
        <w:rPr>
          <w:rFonts w:eastAsia="Times New Roman"/>
          <w:b/>
          <w:iCs/>
        </w:rPr>
      </w:pPr>
      <w:r w:rsidRPr="00CF6A21">
        <w:rPr>
          <w:rFonts w:eastAsia="Times New Roman"/>
          <w:b/>
          <w:iCs/>
        </w:rPr>
        <w:t>Consistency Principles</w:t>
      </w:r>
    </w:p>
    <w:p w14:paraId="1BE39BCB"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Just as the name suggests the consistency accounting principle ensures that only one method is being followed throughout both present and future accounting periods. However, sometimes it was noticed to be broken if the accounting managers </w:t>
      </w:r>
      <w:proofErr w:type="gramStart"/>
      <w:r w:rsidRPr="00323868">
        <w:rPr>
          <w:rFonts w:eastAsia="Times New Roman"/>
        </w:rPr>
        <w:t>apply</w:t>
      </w:r>
      <w:proofErr w:type="gramEnd"/>
      <w:r w:rsidRPr="00323868">
        <w:rPr>
          <w:rFonts w:eastAsia="Times New Roman"/>
        </w:rPr>
        <w:t xml:space="preserve"> a new version of the method </w:t>
      </w:r>
      <w:r w:rsidR="00BE6EAA" w:rsidRPr="00323868">
        <w:rPr>
          <w:rFonts w:eastAsia="Times New Roman"/>
        </w:rPr>
        <w:t>that</w:t>
      </w:r>
      <w:r w:rsidRPr="00323868">
        <w:rPr>
          <w:rFonts w:eastAsia="Times New Roman"/>
        </w:rPr>
        <w:t xml:space="preserve"> would reflect more improvement within the financial statement of a company. Being consistent </w:t>
      </w:r>
      <w:r w:rsidRPr="00323868">
        <w:rPr>
          <w:rFonts w:eastAsia="Times New Roman"/>
        </w:rPr>
        <w:lastRenderedPageBreak/>
        <w:t xml:space="preserve">about the applied method in calculating financial transactions makes it quite easy for the pony as well as the audits to successfully clear off any unwanted violation in their recording system. However, Landers (2021, p.9) argues that the application of consistency principles in accounting is quite often ignored by many businesses and companies. Mainly what the financial managers try to repot more profit in business, the application of consistency principles is most likely to </w:t>
      </w:r>
      <w:r w:rsidR="00652AD4" w:rsidRPr="00323868">
        <w:rPr>
          <w:rFonts w:eastAsia="Times New Roman"/>
        </w:rPr>
        <w:t>violate</w:t>
      </w:r>
      <w:r w:rsidRPr="00323868">
        <w:rPr>
          <w:rFonts w:eastAsia="Times New Roman"/>
        </w:rPr>
        <w:t xml:space="preserve">. </w:t>
      </w:r>
    </w:p>
    <w:p w14:paraId="05DC6D40" w14:textId="77777777" w:rsidR="00F91F54" w:rsidRPr="00CF6A21" w:rsidRDefault="002328E0" w:rsidP="00323868">
      <w:pPr>
        <w:pStyle w:val="Normal1"/>
        <w:spacing w:before="200" w:line="360" w:lineRule="auto"/>
        <w:jc w:val="both"/>
        <w:rPr>
          <w:rFonts w:eastAsia="Times New Roman"/>
          <w:b/>
          <w:iCs/>
        </w:rPr>
      </w:pPr>
      <w:r w:rsidRPr="00CF6A21">
        <w:rPr>
          <w:rFonts w:eastAsia="Times New Roman"/>
          <w:b/>
          <w:iCs/>
        </w:rPr>
        <w:t>Materiality Principle</w:t>
      </w:r>
    </w:p>
    <w:p w14:paraId="7457F40F"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Materiality principle within the context of the accounting system mainly involves the devoted recording of all the business transactions in the accounting records. In case of failing to record it might influence the decision-making factors of the company in business. On the other hand, Baumgardner (2020, p.23) explains that the applied materiality principle suggests that all the material items should be properly enlisted within the financial statements. The devoted material items that are being utilized within the operational business mainly consist of both inclusive and exclusive results that bring about significant changes in the decision-making process for a business. Furthermore, the materiality principles also hold the provision for ignoring other accounting principles if it does not initiate any form of impact over the financial statement of the company. </w:t>
      </w:r>
    </w:p>
    <w:p w14:paraId="6D3ACC0C" w14:textId="77777777" w:rsidR="00F91F54" w:rsidRPr="00CF6A21" w:rsidRDefault="002328E0" w:rsidP="00323868">
      <w:pPr>
        <w:pStyle w:val="Normal1"/>
        <w:spacing w:before="200" w:line="360" w:lineRule="auto"/>
        <w:jc w:val="both"/>
        <w:rPr>
          <w:rFonts w:eastAsia="Times New Roman"/>
          <w:b/>
          <w:iCs/>
        </w:rPr>
      </w:pPr>
      <w:r w:rsidRPr="00CF6A21">
        <w:rPr>
          <w:rFonts w:eastAsia="Times New Roman"/>
          <w:b/>
          <w:iCs/>
        </w:rPr>
        <w:t>Monetary unit principles</w:t>
      </w:r>
    </w:p>
    <w:p w14:paraId="03B2D815"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The monetary principles within the accounting system only record those necessary financial transactions that could be expressed in terms of currency. Through such measures, it prevents the company to record all the non-quantifiable items such as employee skills, efficiency, and other qualitative features in business as </w:t>
      </w:r>
      <w:proofErr w:type="gramStart"/>
      <w:r w:rsidRPr="00323868">
        <w:rPr>
          <w:rFonts w:eastAsia="Times New Roman"/>
        </w:rPr>
        <w:t>it</w:t>
      </w:r>
      <w:proofErr w:type="gramEnd"/>
      <w:r w:rsidRPr="00323868">
        <w:rPr>
          <w:rFonts w:eastAsia="Times New Roman"/>
        </w:rPr>
        <w:t xml:space="preserve"> company assets within the balance sheet. The documentation of the units in terms of currency helps the financial manager to maintain a stable and consistent balance sheet recording in its business. </w:t>
      </w:r>
    </w:p>
    <w:p w14:paraId="7F184A82" w14:textId="77777777" w:rsidR="00F91F54" w:rsidRPr="00CF6A21" w:rsidRDefault="002328E0" w:rsidP="00323868">
      <w:pPr>
        <w:pStyle w:val="Normal1"/>
        <w:spacing w:before="200" w:line="360" w:lineRule="auto"/>
        <w:jc w:val="both"/>
        <w:rPr>
          <w:rFonts w:eastAsia="Times New Roman"/>
          <w:b/>
          <w:iCs/>
        </w:rPr>
      </w:pPr>
      <w:r w:rsidRPr="00CF6A21">
        <w:rPr>
          <w:rFonts w:eastAsia="Times New Roman"/>
          <w:b/>
          <w:iCs/>
        </w:rPr>
        <w:t>Going concern Principles</w:t>
      </w:r>
    </w:p>
    <w:p w14:paraId="61EF55DC"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The application of the going concern principle mainly deals with helping the company to continue its operating plans with the help of its existing assets beyond the provided fiscal period. Moreover, it also assumes that with the provided operational statement the company will be successful in meeting its financial obligations within the competitive market as well. </w:t>
      </w:r>
      <w:proofErr w:type="gramStart"/>
      <w:r w:rsidR="00BE6EAA" w:rsidRPr="00323868">
        <w:rPr>
          <w:rFonts w:eastAsia="Times New Roman"/>
        </w:rPr>
        <w:t>Basically</w:t>
      </w:r>
      <w:proofErr w:type="gramEnd"/>
      <w:r w:rsidRPr="00323868">
        <w:rPr>
          <w:rFonts w:eastAsia="Times New Roman"/>
        </w:rPr>
        <w:t xml:space="preserve"> on simple terms, the implication of the going concern principle is based on a set assumption that demarks that the </w:t>
      </w:r>
      <w:r w:rsidRPr="00323868">
        <w:rPr>
          <w:rFonts w:eastAsia="Times New Roman"/>
        </w:rPr>
        <w:lastRenderedPageBreak/>
        <w:t xml:space="preserve">company will be continuing to stay in business based on its existing value and assets in the market. </w:t>
      </w:r>
    </w:p>
    <w:p w14:paraId="35BDC3D8" w14:textId="77777777" w:rsidR="00F91F54" w:rsidRPr="00323868" w:rsidRDefault="002328E0" w:rsidP="00323868">
      <w:pPr>
        <w:pStyle w:val="Normal1"/>
        <w:spacing w:before="200" w:line="360" w:lineRule="auto"/>
        <w:jc w:val="both"/>
        <w:rPr>
          <w:rFonts w:eastAsia="Times New Roman"/>
          <w:b/>
        </w:rPr>
      </w:pPr>
      <w:r w:rsidRPr="00323868">
        <w:rPr>
          <w:rFonts w:eastAsia="Times New Roman"/>
          <w:b/>
        </w:rPr>
        <w:t>The critical relevance of the principles within the presentation of financial accounts</w:t>
      </w:r>
    </w:p>
    <w:p w14:paraId="4C0F1706" w14:textId="77777777" w:rsidR="00F91F54" w:rsidRPr="00323868" w:rsidRDefault="002328E0" w:rsidP="00323868">
      <w:pPr>
        <w:pStyle w:val="Normal1"/>
        <w:spacing w:before="200" w:line="360" w:lineRule="auto"/>
        <w:jc w:val="both"/>
        <w:rPr>
          <w:rFonts w:eastAsia="Times New Roman"/>
        </w:rPr>
      </w:pPr>
      <w:r w:rsidRPr="00323868">
        <w:rPr>
          <w:rFonts w:eastAsia="Times New Roman"/>
        </w:rPr>
        <w:t xml:space="preserve">The accounting principle sets a definite framework and guideline for </w:t>
      </w:r>
      <w:proofErr w:type="spellStart"/>
      <w:r w:rsidRPr="00323868">
        <w:rPr>
          <w:rFonts w:eastAsia="Times New Roman"/>
        </w:rPr>
        <w:t>analyzing</w:t>
      </w:r>
      <w:proofErr w:type="spellEnd"/>
      <w:r w:rsidRPr="00323868">
        <w:rPr>
          <w:rFonts w:eastAsia="Times New Roman"/>
        </w:rPr>
        <w:t xml:space="preserve"> the devoted business transactions in business. Through the devoted guideline of the crucial accounting principle an individual successfully maintains consistency in developing validated financial statements and counting disclosure of the company. Daher (20149, p.27) mentioned in his work that one of the crucial features of the accounting principle is to maintain a thorough consistency over </w:t>
      </w:r>
      <w:proofErr w:type="gramStart"/>
      <w:r w:rsidRPr="00323868">
        <w:rPr>
          <w:rFonts w:eastAsia="Times New Roman"/>
        </w:rPr>
        <w:t>a period of time</w:t>
      </w:r>
      <w:proofErr w:type="gramEnd"/>
      <w:r w:rsidRPr="00323868">
        <w:rPr>
          <w:rFonts w:eastAsia="Times New Roman"/>
        </w:rPr>
        <w:t xml:space="preserve">. Mainly in this section, the application of the consistency principle </w:t>
      </w:r>
      <w:proofErr w:type="gramStart"/>
      <w:r w:rsidRPr="00323868">
        <w:rPr>
          <w:rFonts w:eastAsia="Times New Roman"/>
        </w:rPr>
        <w:t>is considered to be</w:t>
      </w:r>
      <w:proofErr w:type="gramEnd"/>
      <w:r w:rsidRPr="00323868">
        <w:rPr>
          <w:rFonts w:eastAsia="Times New Roman"/>
        </w:rPr>
        <w:t xml:space="preserve"> a follow-up of the single method for calculating the financial records of the company. However, most financial managers tend to overlook the principle of consistency in accounting as it obstructs the company to improve their financial records in the business. The principle of the monetary unit on the other hand helps the financial managers to maintain the necessary stability in recording business transactions into defined accounts. Wang (2018, p.77) argues that the monetary unit principles are well known to assume the value of a unit through currency.  However, it failed to provide a definite estimation of value due to the existence of acute inflation within the economy. Considering the declining of the purchasing power of the consumers in the market, the company can purchase </w:t>
      </w:r>
      <w:r w:rsidR="003D0615" w:rsidRPr="00323868">
        <w:rPr>
          <w:rFonts w:eastAsia="Times New Roman"/>
        </w:rPr>
        <w:t>fewer amounts</w:t>
      </w:r>
      <w:r w:rsidRPr="00323868">
        <w:rPr>
          <w:rFonts w:eastAsia="Times New Roman"/>
        </w:rPr>
        <w:t xml:space="preserve"> of assets with the same monetary unit in recent time. As a result, at the time of hyperinflation, the monetary accounting principle completely fails to maintain the consistency and the entail validity of the financial statement of the company. Under such circumstances, the perception of the going concern principle is also seemed to be violated. </w:t>
      </w:r>
    </w:p>
    <w:p w14:paraId="79F32E0C" w14:textId="77777777" w:rsidR="00323868" w:rsidRPr="00323868" w:rsidRDefault="00323868" w:rsidP="00323868">
      <w:pPr>
        <w:pStyle w:val="Heading1"/>
        <w:rPr>
          <w:rFonts w:ascii="Arial" w:hAnsi="Arial" w:cs="Arial"/>
          <w:sz w:val="22"/>
          <w:szCs w:val="22"/>
        </w:rPr>
      </w:pPr>
      <w:bookmarkStart w:id="10" w:name="_Toc97036601"/>
      <w:bookmarkStart w:id="11" w:name="_Toc97036891"/>
      <w:r w:rsidRPr="00323868">
        <w:rPr>
          <w:rFonts w:ascii="Arial" w:hAnsi="Arial" w:cs="Arial"/>
          <w:sz w:val="22"/>
          <w:szCs w:val="22"/>
        </w:rPr>
        <w:t>Conclusion</w:t>
      </w:r>
      <w:bookmarkEnd w:id="10"/>
      <w:bookmarkEnd w:id="11"/>
    </w:p>
    <w:p w14:paraId="013A7FA5" w14:textId="77777777" w:rsidR="00323868" w:rsidRPr="00323868" w:rsidRDefault="00323868" w:rsidP="00323868">
      <w:pPr>
        <w:spacing w:line="360" w:lineRule="auto"/>
        <w:jc w:val="both"/>
      </w:pPr>
      <w:r w:rsidRPr="00323868">
        <w:t xml:space="preserve">In the end, it can be concluded by saying that accounting for fundamentals is necessary for keeping track of the expenditure and expenses and works out to be a great help for a business. In the report, for </w:t>
      </w:r>
      <w:r w:rsidRPr="00323868">
        <w:rPr>
          <w:b/>
          <w:bCs/>
        </w:rPr>
        <w:t xml:space="preserve">General supplies </w:t>
      </w:r>
      <w:proofErr w:type="gramStart"/>
      <w:r w:rsidRPr="00323868">
        <w:rPr>
          <w:b/>
          <w:bCs/>
        </w:rPr>
        <w:t>Ltd</w:t>
      </w:r>
      <w:r w:rsidRPr="00323868">
        <w:t xml:space="preserve"> ,</w:t>
      </w:r>
      <w:proofErr w:type="gramEnd"/>
      <w:r w:rsidRPr="00323868">
        <w:t xml:space="preserve"> the adjustments are properly made in the trial balance so that both debit credit gets equal, and then with the help of TB, the IS and BS are prepared, giving a total outlook of the business financial status. At last, the explanation about the accounting is discussed, and interlink with the makings of the financial statements are given more emphasis.</w:t>
      </w:r>
    </w:p>
    <w:p w14:paraId="3C3F8507" w14:textId="77777777" w:rsidR="00F91F54" w:rsidRPr="00323868" w:rsidRDefault="00F91F54" w:rsidP="00323868">
      <w:pPr>
        <w:pStyle w:val="Normal1"/>
        <w:spacing w:before="200" w:line="360" w:lineRule="auto"/>
        <w:jc w:val="both"/>
        <w:rPr>
          <w:rFonts w:eastAsia="Times New Roman"/>
        </w:rPr>
      </w:pPr>
    </w:p>
    <w:p w14:paraId="6BDF3E33" w14:textId="77777777" w:rsidR="003D0615" w:rsidRPr="00323868" w:rsidRDefault="003D0615" w:rsidP="00323868">
      <w:pPr>
        <w:spacing w:line="360" w:lineRule="auto"/>
        <w:rPr>
          <w:rFonts w:eastAsia="Times New Roman"/>
          <w:b/>
        </w:rPr>
      </w:pPr>
      <w:r w:rsidRPr="00323868">
        <w:br w:type="page"/>
      </w:r>
    </w:p>
    <w:p w14:paraId="6E621BF7" w14:textId="77777777" w:rsidR="00323868" w:rsidRPr="00323868" w:rsidRDefault="002328E0" w:rsidP="00323868">
      <w:pPr>
        <w:pStyle w:val="Heading1"/>
        <w:rPr>
          <w:rFonts w:ascii="Arial" w:hAnsi="Arial" w:cs="Arial"/>
          <w:sz w:val="22"/>
          <w:szCs w:val="22"/>
        </w:rPr>
      </w:pPr>
      <w:bookmarkStart w:id="12" w:name="_Toc97036892"/>
      <w:r w:rsidRPr="00323868">
        <w:rPr>
          <w:rFonts w:ascii="Arial" w:hAnsi="Arial" w:cs="Arial"/>
          <w:sz w:val="22"/>
          <w:szCs w:val="22"/>
        </w:rPr>
        <w:lastRenderedPageBreak/>
        <w:t>References</w:t>
      </w:r>
      <w:bookmarkEnd w:id="12"/>
    </w:p>
    <w:p w14:paraId="44D7D33C" w14:textId="77777777" w:rsidR="00323868" w:rsidRPr="00323868" w:rsidRDefault="00323868" w:rsidP="00323868">
      <w:pPr>
        <w:pStyle w:val="Normal1"/>
        <w:spacing w:before="240" w:after="240" w:line="360" w:lineRule="auto"/>
        <w:jc w:val="both"/>
        <w:rPr>
          <w:rFonts w:eastAsia="Times New Roman"/>
          <w:color w:val="222222"/>
          <w:highlight w:val="white"/>
        </w:rPr>
      </w:pPr>
      <w:r w:rsidRPr="00323868">
        <w:rPr>
          <w:rFonts w:eastAsia="Times New Roman"/>
          <w:color w:val="222222"/>
          <w:highlight w:val="white"/>
        </w:rPr>
        <w:t xml:space="preserve">Baumgardner, B., 2020. An Analysis of Accounting Principles </w:t>
      </w:r>
      <w:proofErr w:type="gramStart"/>
      <w:r w:rsidRPr="00323868">
        <w:rPr>
          <w:rFonts w:eastAsia="Times New Roman"/>
          <w:color w:val="222222"/>
          <w:highlight w:val="white"/>
        </w:rPr>
        <w:t>As</w:t>
      </w:r>
      <w:proofErr w:type="gramEnd"/>
      <w:r w:rsidRPr="00323868">
        <w:rPr>
          <w:rFonts w:eastAsia="Times New Roman"/>
          <w:color w:val="222222"/>
          <w:highlight w:val="white"/>
        </w:rPr>
        <w:t xml:space="preserve"> Seen Through Case Studies.</w:t>
      </w:r>
    </w:p>
    <w:p w14:paraId="26CF6C0E" w14:textId="77777777" w:rsidR="00323868" w:rsidRPr="00323868" w:rsidRDefault="00323868" w:rsidP="00323868">
      <w:pPr>
        <w:spacing w:line="360" w:lineRule="auto"/>
        <w:jc w:val="both"/>
        <w:rPr>
          <w:b/>
        </w:rPr>
      </w:pPr>
      <w:r w:rsidRPr="00323868">
        <w:rPr>
          <w:color w:val="222222"/>
          <w:highlight w:val="white"/>
        </w:rPr>
        <w:t xml:space="preserve">Chen, J. and Fang, J., 2020. Reclassification of income statement items and weight adjustment of compensation performance indicators. </w:t>
      </w:r>
      <w:r w:rsidRPr="00323868">
        <w:rPr>
          <w:i/>
          <w:color w:val="222222"/>
          <w:highlight w:val="white"/>
        </w:rPr>
        <w:t>China Journal of Accounting Studies</w:t>
      </w:r>
      <w:r w:rsidRPr="00323868">
        <w:rPr>
          <w:color w:val="222222"/>
          <w:highlight w:val="white"/>
        </w:rPr>
        <w:t xml:space="preserve">, </w:t>
      </w:r>
      <w:r w:rsidRPr="00323868">
        <w:rPr>
          <w:i/>
          <w:color w:val="222222"/>
          <w:highlight w:val="white"/>
        </w:rPr>
        <w:t>8</w:t>
      </w:r>
      <w:r w:rsidRPr="00323868">
        <w:rPr>
          <w:color w:val="222222"/>
          <w:highlight w:val="white"/>
        </w:rPr>
        <w:t>(3), pp.410-434.</w:t>
      </w:r>
    </w:p>
    <w:p w14:paraId="7E7124F5" w14:textId="77777777" w:rsidR="00323868" w:rsidRPr="00323868" w:rsidRDefault="00323868" w:rsidP="00323868">
      <w:pPr>
        <w:pStyle w:val="Normal1"/>
        <w:spacing w:before="240" w:after="240" w:line="360" w:lineRule="auto"/>
        <w:jc w:val="both"/>
        <w:rPr>
          <w:rFonts w:eastAsia="Times New Roman"/>
          <w:color w:val="222222"/>
          <w:highlight w:val="white"/>
        </w:rPr>
      </w:pPr>
      <w:r w:rsidRPr="00323868">
        <w:rPr>
          <w:rFonts w:eastAsia="Times New Roman"/>
          <w:color w:val="222222"/>
          <w:highlight w:val="white"/>
        </w:rPr>
        <w:t>Daher, A.L., 2019. Application of Accounting Principles: A Case-By-Case Study.</w:t>
      </w:r>
    </w:p>
    <w:p w14:paraId="55A3BCF8" w14:textId="77777777" w:rsidR="00323868" w:rsidRPr="00323868" w:rsidRDefault="00323868" w:rsidP="00323868">
      <w:pPr>
        <w:pStyle w:val="Normal1"/>
        <w:spacing w:before="240" w:after="240" w:line="360" w:lineRule="auto"/>
        <w:jc w:val="both"/>
        <w:rPr>
          <w:rFonts w:eastAsia="Times New Roman"/>
          <w:color w:val="222222"/>
          <w:highlight w:val="white"/>
        </w:rPr>
      </w:pPr>
      <w:r w:rsidRPr="00323868">
        <w:rPr>
          <w:rFonts w:eastAsia="Times New Roman"/>
          <w:color w:val="222222"/>
          <w:highlight w:val="white"/>
        </w:rPr>
        <w:t>Kumar, V.2018, Accounting Principles.</w:t>
      </w:r>
    </w:p>
    <w:p w14:paraId="05955A94" w14:textId="77777777" w:rsidR="00323868" w:rsidRPr="00323868" w:rsidRDefault="00323868" w:rsidP="00323868">
      <w:pPr>
        <w:spacing w:line="360" w:lineRule="auto"/>
        <w:jc w:val="both"/>
        <w:rPr>
          <w:color w:val="222222"/>
          <w:highlight w:val="white"/>
        </w:rPr>
      </w:pPr>
      <w:proofErr w:type="spellStart"/>
      <w:r w:rsidRPr="00323868">
        <w:rPr>
          <w:color w:val="222222"/>
          <w:highlight w:val="white"/>
        </w:rPr>
        <w:t>Kumhof</w:t>
      </w:r>
      <w:proofErr w:type="spellEnd"/>
      <w:r w:rsidRPr="00323868">
        <w:rPr>
          <w:color w:val="222222"/>
          <w:highlight w:val="white"/>
        </w:rPr>
        <w:t>, M. and Noone, C., 2018. Central bank digital currencies-design principles and balance sheet implications.</w:t>
      </w:r>
    </w:p>
    <w:p w14:paraId="4DC08322" w14:textId="77777777" w:rsidR="00323868" w:rsidRPr="00323868" w:rsidRDefault="00323868" w:rsidP="00323868">
      <w:pPr>
        <w:pStyle w:val="Normal1"/>
        <w:spacing w:before="240" w:after="240" w:line="360" w:lineRule="auto"/>
        <w:jc w:val="both"/>
        <w:rPr>
          <w:rFonts w:eastAsia="Times New Roman"/>
          <w:color w:val="222222"/>
          <w:highlight w:val="white"/>
        </w:rPr>
      </w:pPr>
      <w:r w:rsidRPr="00323868">
        <w:rPr>
          <w:rFonts w:eastAsia="Times New Roman"/>
          <w:color w:val="222222"/>
          <w:highlight w:val="white"/>
        </w:rPr>
        <w:t>Landers, C., 2021. Accounting Principles and Methodologies: A Case Study Compilation.</w:t>
      </w:r>
    </w:p>
    <w:p w14:paraId="6D737EFF" w14:textId="77777777" w:rsidR="00323868" w:rsidRPr="00323868" w:rsidRDefault="00323868" w:rsidP="00323868">
      <w:pPr>
        <w:pStyle w:val="Normal1"/>
        <w:spacing w:before="240" w:after="240" w:line="360" w:lineRule="auto"/>
        <w:jc w:val="both"/>
        <w:rPr>
          <w:rFonts w:eastAsia="Times New Roman"/>
        </w:rPr>
      </w:pPr>
      <w:r w:rsidRPr="00323868">
        <w:rPr>
          <w:rFonts w:eastAsia="Times New Roman"/>
          <w:color w:val="222222"/>
          <w:highlight w:val="white"/>
        </w:rPr>
        <w:t xml:space="preserve">Penman, S., 2021. Accounting for Risk. </w:t>
      </w:r>
      <w:r w:rsidRPr="00323868">
        <w:rPr>
          <w:rFonts w:eastAsia="Times New Roman"/>
          <w:i/>
        </w:rPr>
        <w:t>Foundations and Trends</w:t>
      </w:r>
      <w:r w:rsidRPr="00CF6A21">
        <w:rPr>
          <w:rFonts w:eastAsia="Times New Roman"/>
          <w:iCs/>
        </w:rPr>
        <w:t>® in</w:t>
      </w:r>
      <w:r w:rsidRPr="00323868">
        <w:rPr>
          <w:rFonts w:eastAsia="Times New Roman"/>
          <w:i/>
        </w:rPr>
        <w:t xml:space="preserve"> </w:t>
      </w:r>
      <w:proofErr w:type="gramStart"/>
      <w:r w:rsidRPr="00CF6A21">
        <w:rPr>
          <w:rFonts w:eastAsia="Times New Roman"/>
          <w:iCs/>
        </w:rPr>
        <w:t>Accounting</w:t>
      </w:r>
      <w:proofErr w:type="gramEnd"/>
      <w:r w:rsidRPr="00CF6A21">
        <w:rPr>
          <w:rFonts w:eastAsia="Times New Roman"/>
          <w:iCs/>
        </w:rPr>
        <w:t>,</w:t>
      </w:r>
      <w:r w:rsidRPr="00323868">
        <w:rPr>
          <w:rFonts w:eastAsia="Times New Roman"/>
        </w:rPr>
        <w:t xml:space="preserve"> </w:t>
      </w:r>
      <w:r w:rsidRPr="00323868">
        <w:rPr>
          <w:rFonts w:eastAsia="Times New Roman"/>
          <w:i/>
        </w:rPr>
        <w:t>15</w:t>
      </w:r>
      <w:r w:rsidRPr="00323868">
        <w:rPr>
          <w:rFonts w:eastAsia="Times New Roman"/>
        </w:rPr>
        <w:t>(4), pp.373-507.</w:t>
      </w:r>
    </w:p>
    <w:p w14:paraId="02DC0011" w14:textId="77777777" w:rsidR="00323868" w:rsidRPr="00323868" w:rsidRDefault="00323868" w:rsidP="00323868">
      <w:pPr>
        <w:pStyle w:val="Normal1"/>
        <w:spacing w:before="240" w:after="240" w:line="360" w:lineRule="auto"/>
        <w:jc w:val="both"/>
        <w:rPr>
          <w:rFonts w:eastAsia="Times New Roman"/>
        </w:rPr>
      </w:pPr>
      <w:r w:rsidRPr="00323868">
        <w:rPr>
          <w:rFonts w:eastAsia="Times New Roman"/>
          <w:color w:val="222222"/>
          <w:highlight w:val="white"/>
        </w:rPr>
        <w:t xml:space="preserve">Wang, J., 2018. </w:t>
      </w:r>
      <w:r w:rsidRPr="00CF6A21">
        <w:rPr>
          <w:rFonts w:eastAsia="Times New Roman"/>
          <w:iCs/>
        </w:rPr>
        <w:t>Essays on Accounting Consistency</w:t>
      </w:r>
      <w:r w:rsidRPr="00323868">
        <w:rPr>
          <w:rFonts w:eastAsia="Times New Roman"/>
        </w:rPr>
        <w:t xml:space="preserve"> (Doctoral dissertation, Queen's University (Canada)).</w:t>
      </w:r>
    </w:p>
    <w:p w14:paraId="4CFB305E" w14:textId="33BE8C6A" w:rsidR="00323868" w:rsidRPr="00323868" w:rsidRDefault="00323868" w:rsidP="00323868">
      <w:pPr>
        <w:spacing w:line="360" w:lineRule="auto"/>
        <w:jc w:val="both"/>
        <w:rPr>
          <w:color w:val="222222"/>
          <w:highlight w:val="white"/>
        </w:rPr>
      </w:pPr>
      <w:r w:rsidRPr="00323868">
        <w:rPr>
          <w:color w:val="222222"/>
          <w:highlight w:val="white"/>
        </w:rPr>
        <w:t xml:space="preserve">Wells, P.K., 2018. How well do our introductory accounting text books reflect current accounting </w:t>
      </w:r>
      <w:proofErr w:type="gramStart"/>
      <w:r w:rsidR="00CF6A21" w:rsidRPr="00CF6A21">
        <w:rPr>
          <w:color w:val="222222"/>
          <w:highlight w:val="white"/>
        </w:rPr>
        <w:t>practice?.</w:t>
      </w:r>
      <w:proofErr w:type="gramEnd"/>
      <w:r w:rsidR="00CF6A21" w:rsidRPr="00CF6A21">
        <w:rPr>
          <w:color w:val="222222"/>
          <w:highlight w:val="white"/>
        </w:rPr>
        <w:t xml:space="preserve"> Journal</w:t>
      </w:r>
      <w:r w:rsidRPr="00323868">
        <w:rPr>
          <w:i/>
          <w:color w:val="222222"/>
          <w:highlight w:val="white"/>
        </w:rPr>
        <w:t xml:space="preserve"> </w:t>
      </w:r>
      <w:r w:rsidRPr="00CF6A21">
        <w:rPr>
          <w:iCs/>
          <w:color w:val="222222"/>
          <w:highlight w:val="white"/>
        </w:rPr>
        <w:t>of Accounting Education</w:t>
      </w:r>
      <w:r w:rsidRPr="00323868">
        <w:rPr>
          <w:color w:val="222222"/>
          <w:highlight w:val="white"/>
        </w:rPr>
        <w:t xml:space="preserve">, </w:t>
      </w:r>
      <w:r w:rsidRPr="00323868">
        <w:rPr>
          <w:i/>
          <w:color w:val="222222"/>
          <w:highlight w:val="white"/>
        </w:rPr>
        <w:t>42</w:t>
      </w:r>
      <w:r w:rsidRPr="00323868">
        <w:rPr>
          <w:color w:val="222222"/>
          <w:highlight w:val="white"/>
        </w:rPr>
        <w:t>, pp.40-48.</w:t>
      </w:r>
    </w:p>
    <w:p w14:paraId="5B7B55B9" w14:textId="77777777" w:rsidR="00323868" w:rsidRPr="00323868" w:rsidRDefault="00323868" w:rsidP="00323868">
      <w:pPr>
        <w:pStyle w:val="Normal1"/>
        <w:spacing w:before="240" w:after="240" w:line="360" w:lineRule="auto"/>
        <w:jc w:val="both"/>
        <w:rPr>
          <w:rFonts w:eastAsia="Times New Roman"/>
        </w:rPr>
      </w:pPr>
      <w:r w:rsidRPr="00323868">
        <w:rPr>
          <w:rFonts w:eastAsia="Times New Roman"/>
          <w:color w:val="222222"/>
          <w:highlight w:val="white"/>
        </w:rPr>
        <w:t xml:space="preserve">Weygandt, J.J., </w:t>
      </w:r>
      <w:proofErr w:type="spellStart"/>
      <w:r w:rsidRPr="00323868">
        <w:rPr>
          <w:rFonts w:eastAsia="Times New Roman"/>
          <w:color w:val="222222"/>
          <w:highlight w:val="white"/>
        </w:rPr>
        <w:t>Kieso</w:t>
      </w:r>
      <w:proofErr w:type="spellEnd"/>
      <w:r w:rsidRPr="00323868">
        <w:rPr>
          <w:rFonts w:eastAsia="Times New Roman"/>
          <w:color w:val="222222"/>
          <w:highlight w:val="white"/>
        </w:rPr>
        <w:t xml:space="preserve">, D.E., </w:t>
      </w:r>
      <w:r w:rsidRPr="00CF6A21">
        <w:rPr>
          <w:rFonts w:eastAsia="Times New Roman"/>
          <w:color w:val="222222"/>
          <w:highlight w:val="white"/>
        </w:rPr>
        <w:t xml:space="preserve">Kimmel, P.D., Trenholm, B., Warren, V. and Novak, L., 2019. </w:t>
      </w:r>
      <w:r w:rsidRPr="00CF6A21">
        <w:rPr>
          <w:rFonts w:eastAsia="Times New Roman"/>
        </w:rPr>
        <w:t>Accounting Principles, Volume 2</w:t>
      </w:r>
      <w:r w:rsidRPr="00323868">
        <w:rPr>
          <w:rFonts w:eastAsia="Times New Roman"/>
        </w:rPr>
        <w:t>. John Wiley &amp; Sons.</w:t>
      </w:r>
    </w:p>
    <w:p w14:paraId="2594874E" w14:textId="77777777" w:rsidR="00F91F54" w:rsidRPr="00323868" w:rsidRDefault="002328E0" w:rsidP="00323868">
      <w:pPr>
        <w:pStyle w:val="Normal1"/>
        <w:spacing w:before="240" w:after="240" w:line="360" w:lineRule="auto"/>
        <w:jc w:val="both"/>
        <w:rPr>
          <w:rFonts w:eastAsia="Times New Roman"/>
          <w:b/>
          <w:color w:val="222222"/>
          <w:highlight w:val="white"/>
        </w:rPr>
      </w:pPr>
      <w:r w:rsidRPr="00323868">
        <w:br w:type="page"/>
      </w:r>
    </w:p>
    <w:p w14:paraId="4E1780CB" w14:textId="77777777" w:rsidR="00F91F54" w:rsidRPr="00CF6A21" w:rsidRDefault="002328E0" w:rsidP="00323868">
      <w:pPr>
        <w:pStyle w:val="Heading1"/>
        <w:rPr>
          <w:rFonts w:ascii="Arial" w:hAnsi="Arial" w:cs="Arial"/>
          <w:sz w:val="22"/>
          <w:szCs w:val="22"/>
          <w:highlight w:val="white"/>
        </w:rPr>
      </w:pPr>
      <w:bookmarkStart w:id="13" w:name="_Toc97036893"/>
      <w:r w:rsidRPr="00CF6A21">
        <w:rPr>
          <w:rFonts w:ascii="Arial" w:hAnsi="Arial" w:cs="Arial"/>
          <w:sz w:val="22"/>
          <w:szCs w:val="22"/>
          <w:highlight w:val="white"/>
        </w:rPr>
        <w:lastRenderedPageBreak/>
        <w:t>Bibliography</w:t>
      </w:r>
      <w:bookmarkEnd w:id="13"/>
    </w:p>
    <w:p w14:paraId="76B4D431" w14:textId="77777777" w:rsidR="00323868" w:rsidRPr="00CF6A21" w:rsidRDefault="00323868" w:rsidP="00323868">
      <w:pPr>
        <w:pStyle w:val="Normal1"/>
        <w:spacing w:before="240" w:after="240" w:line="360" w:lineRule="auto"/>
        <w:jc w:val="both"/>
        <w:rPr>
          <w:rFonts w:eastAsia="Times New Roman"/>
          <w:color w:val="000000" w:themeColor="text1"/>
          <w:highlight w:val="white"/>
        </w:rPr>
      </w:pPr>
      <w:r w:rsidRPr="00CF6A21">
        <w:rPr>
          <w:rFonts w:eastAsia="Times New Roman"/>
          <w:color w:val="000000" w:themeColor="text1"/>
          <w:highlight w:val="white"/>
        </w:rPr>
        <w:t xml:space="preserve">Adams, C.A., </w:t>
      </w:r>
      <w:proofErr w:type="spellStart"/>
      <w:r w:rsidRPr="00CF6A21">
        <w:rPr>
          <w:rFonts w:eastAsia="Times New Roman"/>
          <w:color w:val="000000" w:themeColor="text1"/>
          <w:highlight w:val="white"/>
        </w:rPr>
        <w:t>Alhamood</w:t>
      </w:r>
      <w:proofErr w:type="spellEnd"/>
      <w:r w:rsidRPr="00CF6A21">
        <w:rPr>
          <w:rFonts w:eastAsia="Times New Roman"/>
          <w:color w:val="000000" w:themeColor="text1"/>
          <w:highlight w:val="white"/>
        </w:rPr>
        <w:t>, A., He, X., Tian, J., Wang, L. and Wang, Y., 2021. The double-materiality concept: application and issues.</w:t>
      </w:r>
    </w:p>
    <w:p w14:paraId="123D63F3" w14:textId="77777777" w:rsidR="00323868" w:rsidRPr="00CF6A21" w:rsidRDefault="00323868" w:rsidP="00323868">
      <w:pPr>
        <w:pStyle w:val="Normal1"/>
        <w:spacing w:before="240" w:after="240" w:line="360" w:lineRule="auto"/>
        <w:jc w:val="both"/>
        <w:rPr>
          <w:rFonts w:eastAsia="Times New Roman"/>
          <w:color w:val="000000" w:themeColor="text1"/>
        </w:rPr>
      </w:pPr>
      <w:r w:rsidRPr="00CF6A21">
        <w:rPr>
          <w:rFonts w:eastAsia="Times New Roman"/>
          <w:color w:val="000000" w:themeColor="text1"/>
          <w:highlight w:val="white"/>
        </w:rPr>
        <w:t xml:space="preserve">Torelli, R., </w:t>
      </w:r>
      <w:proofErr w:type="spellStart"/>
      <w:r w:rsidRPr="00CF6A21">
        <w:rPr>
          <w:rFonts w:eastAsia="Times New Roman"/>
          <w:color w:val="000000" w:themeColor="text1"/>
          <w:highlight w:val="white"/>
        </w:rPr>
        <w:t>Balluchi</w:t>
      </w:r>
      <w:proofErr w:type="spellEnd"/>
      <w:r w:rsidRPr="00CF6A21">
        <w:rPr>
          <w:rFonts w:eastAsia="Times New Roman"/>
          <w:color w:val="000000" w:themeColor="text1"/>
          <w:highlight w:val="white"/>
        </w:rPr>
        <w:t xml:space="preserve">, F. and </w:t>
      </w:r>
      <w:proofErr w:type="spellStart"/>
      <w:r w:rsidRPr="00CF6A21">
        <w:rPr>
          <w:rFonts w:eastAsia="Times New Roman"/>
          <w:color w:val="000000" w:themeColor="text1"/>
          <w:highlight w:val="white"/>
        </w:rPr>
        <w:t>Furlotti</w:t>
      </w:r>
      <w:proofErr w:type="spellEnd"/>
      <w:r w:rsidRPr="00CF6A21">
        <w:rPr>
          <w:rFonts w:eastAsia="Times New Roman"/>
          <w:color w:val="000000" w:themeColor="text1"/>
          <w:highlight w:val="white"/>
        </w:rPr>
        <w:t xml:space="preserve">, K., 2020. The materiality assessment and stakeholder engagement: A content analysis of sustainability reports. </w:t>
      </w:r>
      <w:r w:rsidRPr="00CF6A21">
        <w:rPr>
          <w:rFonts w:eastAsia="Times New Roman"/>
          <w:color w:val="000000" w:themeColor="text1"/>
        </w:rPr>
        <w:t>Corporate Social Responsibility and Environmental Management, 27(2), pp.470-484.</w:t>
      </w:r>
    </w:p>
    <w:p w14:paraId="58301666" w14:textId="77777777" w:rsidR="00323868" w:rsidRPr="00CF6A21" w:rsidRDefault="00323868" w:rsidP="00323868">
      <w:pPr>
        <w:spacing w:line="360" w:lineRule="auto"/>
        <w:jc w:val="both"/>
        <w:rPr>
          <w:color w:val="000000" w:themeColor="text1"/>
          <w:highlight w:val="white"/>
        </w:rPr>
      </w:pPr>
      <w:proofErr w:type="spellStart"/>
      <w:r w:rsidRPr="00CF6A21">
        <w:rPr>
          <w:color w:val="000000" w:themeColor="text1"/>
          <w:highlight w:val="white"/>
        </w:rPr>
        <w:t>Bordalo</w:t>
      </w:r>
      <w:proofErr w:type="spellEnd"/>
      <w:r w:rsidRPr="00CF6A21">
        <w:rPr>
          <w:color w:val="000000" w:themeColor="text1"/>
          <w:highlight w:val="white"/>
        </w:rPr>
        <w:t xml:space="preserve">, P., </w:t>
      </w:r>
      <w:proofErr w:type="spellStart"/>
      <w:r w:rsidRPr="00CF6A21">
        <w:rPr>
          <w:color w:val="000000" w:themeColor="text1"/>
          <w:highlight w:val="white"/>
        </w:rPr>
        <w:t>Gennaioli</w:t>
      </w:r>
      <w:proofErr w:type="spellEnd"/>
      <w:r w:rsidRPr="00CF6A21">
        <w:rPr>
          <w:color w:val="000000" w:themeColor="text1"/>
          <w:highlight w:val="white"/>
        </w:rPr>
        <w:t>, N., La Porta, R. and Shleifer, A., 2020. Expectations of fundamentals and stock market puzzles (No. w27283). National Bureau of Economic Research.</w:t>
      </w:r>
    </w:p>
    <w:p w14:paraId="47D83EF1" w14:textId="77777777" w:rsidR="00323868" w:rsidRPr="00CF6A21" w:rsidRDefault="00323868" w:rsidP="00323868">
      <w:pPr>
        <w:spacing w:line="360" w:lineRule="auto"/>
        <w:jc w:val="both"/>
        <w:rPr>
          <w:color w:val="000000" w:themeColor="text1"/>
          <w:highlight w:val="white"/>
        </w:rPr>
      </w:pPr>
      <w:r w:rsidRPr="00CF6A21">
        <w:rPr>
          <w:color w:val="000000" w:themeColor="text1"/>
          <w:highlight w:val="white"/>
        </w:rPr>
        <w:t>Cuckler, G.A., Sisko, A.M., Poisal, J.A., Keehan, S.P., Smith, S.D., Madison, A.J., Wolfe, C.J. and Hardesty, J.C., 2018. National health expenditure projections, 2017–26: despite uncertainty, fundamentals primarily drive spending growth. Health Affairs, 37(3), pp.482-492.</w:t>
      </w:r>
    </w:p>
    <w:p w14:paraId="4DF36F01" w14:textId="77777777" w:rsidR="00323868" w:rsidRPr="00CF6A21" w:rsidRDefault="00323868" w:rsidP="00323868">
      <w:pPr>
        <w:spacing w:line="360" w:lineRule="auto"/>
        <w:jc w:val="both"/>
        <w:rPr>
          <w:color w:val="000000" w:themeColor="text1"/>
          <w:highlight w:val="white"/>
        </w:rPr>
      </w:pPr>
      <w:r w:rsidRPr="00CF6A21">
        <w:rPr>
          <w:color w:val="000000" w:themeColor="text1"/>
          <w:highlight w:val="white"/>
        </w:rPr>
        <w:t xml:space="preserve">Da Silva, L.M., Cesar, R., Moreira, C.M., Santos, J.H., De Souza, L.G., Pires, B.M., </w:t>
      </w:r>
      <w:proofErr w:type="spellStart"/>
      <w:r w:rsidRPr="00CF6A21">
        <w:rPr>
          <w:color w:val="000000" w:themeColor="text1"/>
          <w:highlight w:val="white"/>
        </w:rPr>
        <w:t>Vicentini</w:t>
      </w:r>
      <w:proofErr w:type="spellEnd"/>
      <w:r w:rsidRPr="00CF6A21">
        <w:rPr>
          <w:color w:val="000000" w:themeColor="text1"/>
          <w:highlight w:val="white"/>
        </w:rPr>
        <w:t>, R., Nunes, W. and Zanin, H., 2020. Reviewing the fundamentals of supercapacitors and the difficulties involving the analysis of the electrochemical findings obtained for porous electrode materials. Energy Storage Materials, 27, pp.555-590.</w:t>
      </w:r>
    </w:p>
    <w:p w14:paraId="0EF64FD5" w14:textId="77777777" w:rsidR="00323868" w:rsidRPr="00CF6A21" w:rsidRDefault="00323868" w:rsidP="00323868">
      <w:pPr>
        <w:spacing w:line="360" w:lineRule="auto"/>
        <w:jc w:val="both"/>
        <w:rPr>
          <w:color w:val="000000" w:themeColor="text1"/>
          <w:highlight w:val="white"/>
        </w:rPr>
      </w:pPr>
      <w:r w:rsidRPr="00CF6A21">
        <w:rPr>
          <w:color w:val="000000" w:themeColor="text1"/>
          <w:highlight w:val="white"/>
        </w:rPr>
        <w:t xml:space="preserve">Ferreira, P.H., </w:t>
      </w:r>
      <w:proofErr w:type="spellStart"/>
      <w:r w:rsidRPr="00CF6A21">
        <w:rPr>
          <w:color w:val="000000" w:themeColor="text1"/>
          <w:highlight w:val="white"/>
        </w:rPr>
        <w:t>Kräussl</w:t>
      </w:r>
      <w:proofErr w:type="spellEnd"/>
      <w:r w:rsidRPr="00CF6A21">
        <w:rPr>
          <w:color w:val="000000" w:themeColor="text1"/>
          <w:highlight w:val="white"/>
        </w:rPr>
        <w:t xml:space="preserve">, R., Landsman, W.R., </w:t>
      </w:r>
      <w:proofErr w:type="spellStart"/>
      <w:r w:rsidRPr="00CF6A21">
        <w:rPr>
          <w:color w:val="000000" w:themeColor="text1"/>
          <w:highlight w:val="white"/>
        </w:rPr>
        <w:t>Borysoff</w:t>
      </w:r>
      <w:proofErr w:type="spellEnd"/>
      <w:r w:rsidRPr="00CF6A21">
        <w:rPr>
          <w:color w:val="000000" w:themeColor="text1"/>
          <w:highlight w:val="white"/>
        </w:rPr>
        <w:t>, M.N. and Pope, P.F., 2019. Reliability and relevance of fair values: private equity investments and investee fundamentals. Review of Accounting Studies, 24(4), pp.1427-1449.</w:t>
      </w:r>
    </w:p>
    <w:p w14:paraId="1A616962" w14:textId="77777777" w:rsidR="00323868" w:rsidRPr="00CF6A21" w:rsidRDefault="00323868" w:rsidP="00323868">
      <w:pPr>
        <w:spacing w:line="360" w:lineRule="auto"/>
        <w:jc w:val="both"/>
        <w:rPr>
          <w:color w:val="000000" w:themeColor="text1"/>
          <w:highlight w:val="white"/>
        </w:rPr>
      </w:pPr>
      <w:r w:rsidRPr="00CF6A21">
        <w:rPr>
          <w:color w:val="000000" w:themeColor="text1"/>
          <w:highlight w:val="white"/>
        </w:rPr>
        <w:t>Finkler, S.A., Ward, D.M. and Calabrese, T., 2018. Accounting fundamentals for health care management. Jones &amp; Bartlett Learning.</w:t>
      </w:r>
    </w:p>
    <w:p w14:paraId="2614A7A0" w14:textId="77777777" w:rsidR="00323868" w:rsidRPr="00CF6A21" w:rsidRDefault="00323868" w:rsidP="00323868">
      <w:pPr>
        <w:pStyle w:val="Normal1"/>
        <w:spacing w:before="240" w:after="240" w:line="360" w:lineRule="auto"/>
        <w:jc w:val="both"/>
        <w:rPr>
          <w:rFonts w:eastAsia="Times New Roman"/>
          <w:color w:val="000000" w:themeColor="text1"/>
        </w:rPr>
      </w:pPr>
      <w:r w:rsidRPr="00CF6A21">
        <w:rPr>
          <w:rFonts w:eastAsia="Times New Roman"/>
          <w:color w:val="000000" w:themeColor="text1"/>
          <w:highlight w:val="white"/>
        </w:rPr>
        <w:t xml:space="preserve">Kumor, I. and Mackowiak, E., 2018, June. Materiality in accounting and auditing. In </w:t>
      </w:r>
      <w:r w:rsidRPr="00CF6A21">
        <w:rPr>
          <w:rFonts w:eastAsia="Times New Roman"/>
          <w:color w:val="000000" w:themeColor="text1"/>
        </w:rPr>
        <w:t>Economic and Social Development (Book of Proceedings), 32nd International Scientific Conference on Economic and Social (p. 218).</w:t>
      </w:r>
    </w:p>
    <w:p w14:paraId="016F627F" w14:textId="77777777" w:rsidR="00F91F54" w:rsidRPr="00CF6A21" w:rsidRDefault="00F91F54" w:rsidP="00323868">
      <w:pPr>
        <w:pStyle w:val="Normal1"/>
        <w:spacing w:before="200" w:line="360" w:lineRule="auto"/>
        <w:jc w:val="both"/>
        <w:rPr>
          <w:rFonts w:eastAsia="Times New Roman"/>
        </w:rPr>
      </w:pPr>
    </w:p>
    <w:sectPr w:rsidR="00F91F54" w:rsidRPr="00CF6A21" w:rsidSect="00CF788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A8090" w14:textId="77777777" w:rsidR="009D603F" w:rsidRDefault="009D603F" w:rsidP="00652AD4">
      <w:pPr>
        <w:spacing w:line="240" w:lineRule="auto"/>
      </w:pPr>
      <w:r>
        <w:separator/>
      </w:r>
    </w:p>
  </w:endnote>
  <w:endnote w:type="continuationSeparator" w:id="0">
    <w:p w14:paraId="68E74545" w14:textId="77777777" w:rsidR="009D603F" w:rsidRDefault="009D603F" w:rsidP="00652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367701"/>
      <w:docPartObj>
        <w:docPartGallery w:val="Page Numbers (Bottom of Page)"/>
        <w:docPartUnique/>
      </w:docPartObj>
    </w:sdtPr>
    <w:sdtEndPr>
      <w:rPr>
        <w:noProof/>
      </w:rPr>
    </w:sdtEndPr>
    <w:sdtContent>
      <w:p w14:paraId="726C05F5" w14:textId="3060C99A" w:rsidR="00652AD4" w:rsidRDefault="00CF788D" w:rsidP="00AD4A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380CE" w14:textId="77777777" w:rsidR="009D603F" w:rsidRDefault="009D603F" w:rsidP="00652AD4">
      <w:pPr>
        <w:spacing w:line="240" w:lineRule="auto"/>
      </w:pPr>
      <w:r>
        <w:separator/>
      </w:r>
    </w:p>
  </w:footnote>
  <w:footnote w:type="continuationSeparator" w:id="0">
    <w:p w14:paraId="2C58E9EB" w14:textId="77777777" w:rsidR="009D603F" w:rsidRDefault="009D603F" w:rsidP="00652A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F54"/>
    <w:rsid w:val="00060FFC"/>
    <w:rsid w:val="0020658D"/>
    <w:rsid w:val="002328E0"/>
    <w:rsid w:val="002768C0"/>
    <w:rsid w:val="00287B6D"/>
    <w:rsid w:val="002C0570"/>
    <w:rsid w:val="00323868"/>
    <w:rsid w:val="003D0615"/>
    <w:rsid w:val="004724E0"/>
    <w:rsid w:val="00506AEC"/>
    <w:rsid w:val="00570C19"/>
    <w:rsid w:val="00652AD4"/>
    <w:rsid w:val="00740C21"/>
    <w:rsid w:val="00792F4C"/>
    <w:rsid w:val="00840DF7"/>
    <w:rsid w:val="008B5790"/>
    <w:rsid w:val="00952B83"/>
    <w:rsid w:val="009571FF"/>
    <w:rsid w:val="009D603F"/>
    <w:rsid w:val="00AD4ABE"/>
    <w:rsid w:val="00B10ED9"/>
    <w:rsid w:val="00BE6EAA"/>
    <w:rsid w:val="00CF6A21"/>
    <w:rsid w:val="00CF788D"/>
    <w:rsid w:val="00F91F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74E97"/>
  <w15:docId w15:val="{F9D5E983-CDC6-864B-8CC3-E3C433D5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F4C"/>
  </w:style>
  <w:style w:type="paragraph" w:styleId="Heading1">
    <w:name w:val="heading 1"/>
    <w:basedOn w:val="Normal1"/>
    <w:next w:val="Normal1"/>
    <w:rsid w:val="00652AD4"/>
    <w:pPr>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F91F54"/>
    <w:pPr>
      <w:keepNext/>
      <w:keepLines/>
      <w:spacing w:before="360" w:after="120"/>
      <w:outlineLvl w:val="1"/>
    </w:pPr>
    <w:rPr>
      <w:sz w:val="32"/>
      <w:szCs w:val="32"/>
    </w:rPr>
  </w:style>
  <w:style w:type="paragraph" w:styleId="Heading3">
    <w:name w:val="heading 3"/>
    <w:basedOn w:val="Normal1"/>
    <w:next w:val="Normal1"/>
    <w:rsid w:val="00F91F54"/>
    <w:pPr>
      <w:keepNext/>
      <w:keepLines/>
      <w:spacing w:before="320" w:after="80"/>
      <w:outlineLvl w:val="2"/>
    </w:pPr>
    <w:rPr>
      <w:color w:val="434343"/>
      <w:sz w:val="28"/>
      <w:szCs w:val="28"/>
    </w:rPr>
  </w:style>
  <w:style w:type="paragraph" w:styleId="Heading4">
    <w:name w:val="heading 4"/>
    <w:basedOn w:val="Normal1"/>
    <w:next w:val="Normal1"/>
    <w:rsid w:val="00F91F54"/>
    <w:pPr>
      <w:keepNext/>
      <w:keepLines/>
      <w:spacing w:before="280" w:after="80"/>
      <w:outlineLvl w:val="3"/>
    </w:pPr>
    <w:rPr>
      <w:color w:val="666666"/>
      <w:sz w:val="24"/>
      <w:szCs w:val="24"/>
    </w:rPr>
  </w:style>
  <w:style w:type="paragraph" w:styleId="Heading5">
    <w:name w:val="heading 5"/>
    <w:basedOn w:val="Normal1"/>
    <w:next w:val="Normal1"/>
    <w:rsid w:val="00F91F54"/>
    <w:pPr>
      <w:keepNext/>
      <w:keepLines/>
      <w:spacing w:before="240" w:after="80"/>
      <w:outlineLvl w:val="4"/>
    </w:pPr>
    <w:rPr>
      <w:color w:val="666666"/>
    </w:rPr>
  </w:style>
  <w:style w:type="paragraph" w:styleId="Heading6">
    <w:name w:val="heading 6"/>
    <w:basedOn w:val="Normal1"/>
    <w:next w:val="Normal1"/>
    <w:rsid w:val="00F91F5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91F54"/>
  </w:style>
  <w:style w:type="paragraph" w:styleId="Title">
    <w:name w:val="Title"/>
    <w:basedOn w:val="Normal1"/>
    <w:next w:val="Normal1"/>
    <w:rsid w:val="00F91F54"/>
    <w:pPr>
      <w:keepNext/>
      <w:keepLines/>
      <w:spacing w:after="60"/>
    </w:pPr>
    <w:rPr>
      <w:sz w:val="52"/>
      <w:szCs w:val="52"/>
    </w:rPr>
  </w:style>
  <w:style w:type="paragraph" w:styleId="Subtitle">
    <w:name w:val="Subtitle"/>
    <w:basedOn w:val="Normal1"/>
    <w:next w:val="Normal1"/>
    <w:rsid w:val="00F91F54"/>
    <w:pPr>
      <w:keepNext/>
      <w:keepLines/>
      <w:spacing w:after="320"/>
    </w:pPr>
    <w:rPr>
      <w:color w:val="666666"/>
      <w:sz w:val="30"/>
      <w:szCs w:val="30"/>
    </w:rPr>
  </w:style>
  <w:style w:type="paragraph" w:styleId="Header">
    <w:name w:val="header"/>
    <w:basedOn w:val="Normal"/>
    <w:link w:val="HeaderChar"/>
    <w:uiPriority w:val="99"/>
    <w:unhideWhenUsed/>
    <w:rsid w:val="00652AD4"/>
    <w:pPr>
      <w:tabs>
        <w:tab w:val="center" w:pos="4680"/>
        <w:tab w:val="right" w:pos="9360"/>
      </w:tabs>
      <w:spacing w:line="240" w:lineRule="auto"/>
    </w:pPr>
  </w:style>
  <w:style w:type="character" w:customStyle="1" w:styleId="HeaderChar">
    <w:name w:val="Header Char"/>
    <w:basedOn w:val="DefaultParagraphFont"/>
    <w:link w:val="Header"/>
    <w:uiPriority w:val="99"/>
    <w:rsid w:val="00652AD4"/>
  </w:style>
  <w:style w:type="paragraph" w:styleId="Footer">
    <w:name w:val="footer"/>
    <w:basedOn w:val="Normal"/>
    <w:link w:val="FooterChar"/>
    <w:uiPriority w:val="99"/>
    <w:unhideWhenUsed/>
    <w:rsid w:val="00652AD4"/>
    <w:pPr>
      <w:tabs>
        <w:tab w:val="center" w:pos="4680"/>
        <w:tab w:val="right" w:pos="9360"/>
      </w:tabs>
      <w:spacing w:line="240" w:lineRule="auto"/>
    </w:pPr>
  </w:style>
  <w:style w:type="character" w:customStyle="1" w:styleId="FooterChar">
    <w:name w:val="Footer Char"/>
    <w:basedOn w:val="DefaultParagraphFont"/>
    <w:link w:val="Footer"/>
    <w:uiPriority w:val="99"/>
    <w:rsid w:val="00652AD4"/>
  </w:style>
  <w:style w:type="paragraph" w:styleId="TOCHeading">
    <w:name w:val="TOC Heading"/>
    <w:basedOn w:val="Heading1"/>
    <w:next w:val="Normal"/>
    <w:uiPriority w:val="39"/>
    <w:semiHidden/>
    <w:unhideWhenUsed/>
    <w:qFormat/>
    <w:rsid w:val="002C057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C0570"/>
    <w:pPr>
      <w:spacing w:after="100"/>
    </w:pPr>
  </w:style>
  <w:style w:type="character" w:styleId="Hyperlink">
    <w:name w:val="Hyperlink"/>
    <w:basedOn w:val="DefaultParagraphFont"/>
    <w:uiPriority w:val="99"/>
    <w:unhideWhenUsed/>
    <w:rsid w:val="002C0570"/>
    <w:rPr>
      <w:color w:val="0000FF" w:themeColor="hyperlink"/>
      <w:u w:val="single"/>
    </w:rPr>
  </w:style>
  <w:style w:type="paragraph" w:styleId="BalloonText">
    <w:name w:val="Balloon Text"/>
    <w:basedOn w:val="Normal"/>
    <w:link w:val="BalloonTextChar"/>
    <w:uiPriority w:val="99"/>
    <w:semiHidden/>
    <w:unhideWhenUsed/>
    <w:rsid w:val="002C05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570"/>
    <w:rPr>
      <w:rFonts w:ascii="Tahoma" w:hAnsi="Tahoma" w:cs="Tahoma"/>
      <w:sz w:val="16"/>
      <w:szCs w:val="16"/>
    </w:rPr>
  </w:style>
  <w:style w:type="paragraph" w:styleId="TOC2">
    <w:name w:val="toc 2"/>
    <w:basedOn w:val="Normal"/>
    <w:next w:val="Normal"/>
    <w:autoRedefine/>
    <w:uiPriority w:val="39"/>
    <w:unhideWhenUsed/>
    <w:rsid w:val="00323868"/>
    <w:pPr>
      <w:spacing w:after="100"/>
      <w:ind w:left="220"/>
    </w:pPr>
  </w:style>
  <w:style w:type="table" w:styleId="TableGrid">
    <w:name w:val="Table Grid"/>
    <w:basedOn w:val="TableNormal"/>
    <w:uiPriority w:val="59"/>
    <w:unhideWhenUsed/>
    <w:rsid w:val="00287B6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TableNormal"/>
    <w:uiPriority w:val="60"/>
    <w:rsid w:val="00287B6D"/>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normaltextrun">
    <w:name w:val="normaltextrun"/>
    <w:basedOn w:val="DefaultParagraphFont"/>
    <w:rsid w:val="00CF7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947328">
      <w:bodyDiv w:val="1"/>
      <w:marLeft w:val="0"/>
      <w:marRight w:val="0"/>
      <w:marTop w:val="0"/>
      <w:marBottom w:val="0"/>
      <w:divBdr>
        <w:top w:val="none" w:sz="0" w:space="0" w:color="auto"/>
        <w:left w:val="none" w:sz="0" w:space="0" w:color="auto"/>
        <w:bottom w:val="none" w:sz="0" w:space="0" w:color="auto"/>
        <w:right w:val="none" w:sz="0" w:space="0" w:color="auto"/>
      </w:divBdr>
    </w:div>
    <w:div w:id="1551072789">
      <w:bodyDiv w:val="1"/>
      <w:marLeft w:val="0"/>
      <w:marRight w:val="0"/>
      <w:marTop w:val="0"/>
      <w:marBottom w:val="0"/>
      <w:divBdr>
        <w:top w:val="none" w:sz="0" w:space="0" w:color="auto"/>
        <w:left w:val="none" w:sz="0" w:space="0" w:color="auto"/>
        <w:bottom w:val="none" w:sz="0" w:space="0" w:color="auto"/>
        <w:right w:val="none" w:sz="0" w:space="0" w:color="auto"/>
      </w:divBdr>
    </w:div>
    <w:div w:id="1704019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6458F-3CE8-4691-862D-2C612A575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3224</Words>
  <Characters>18379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Veronica Cusciac (2123297)</cp:lastModifiedBy>
  <cp:revision>3</cp:revision>
  <dcterms:created xsi:type="dcterms:W3CDTF">2022-03-01T13:28:00Z</dcterms:created>
  <dcterms:modified xsi:type="dcterms:W3CDTF">2022-03-01T15:44:00Z</dcterms:modified>
</cp:coreProperties>
</file>