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4D30F5" w14:textId="7A6CB2EC" w:rsidR="00934F4E" w:rsidRPr="0095107D" w:rsidRDefault="00934F4E" w:rsidP="00934F4E">
      <w:pPr>
        <w:pStyle w:val="Title"/>
        <w:jc w:val="center"/>
      </w:pPr>
      <w:r>
        <w:t>Advanced Chemistry Report</w:t>
      </w:r>
      <w:r>
        <w:t xml:space="preserve"> – </w:t>
      </w:r>
      <w:r>
        <w:t>Reflection of Presentation</w:t>
      </w:r>
    </w:p>
    <w:p w14:paraId="285BE3EC" w14:textId="77777777" w:rsidR="00934F4E" w:rsidRPr="0095107D" w:rsidRDefault="00934F4E" w:rsidP="00934F4E">
      <w:pPr>
        <w:jc w:val="center"/>
      </w:pPr>
    </w:p>
    <w:p w14:paraId="6843A20F" w14:textId="77777777" w:rsidR="00934F4E" w:rsidRPr="0095107D" w:rsidRDefault="00934F4E" w:rsidP="00934F4E">
      <w:pPr>
        <w:jc w:val="center"/>
      </w:pPr>
    </w:p>
    <w:p w14:paraId="05AD04AD" w14:textId="77777777" w:rsidR="00934F4E" w:rsidRPr="0095107D" w:rsidRDefault="00934F4E" w:rsidP="00934F4E">
      <w:pPr>
        <w:jc w:val="center"/>
      </w:pPr>
      <w:r w:rsidRPr="0095107D">
        <w:t>Thomas Appleby (2217664)</w:t>
      </w:r>
    </w:p>
    <w:p w14:paraId="5999118D" w14:textId="77777777" w:rsidR="00934F4E" w:rsidRPr="0095107D" w:rsidRDefault="00934F4E" w:rsidP="00934F4E">
      <w:pPr>
        <w:jc w:val="center"/>
      </w:pPr>
    </w:p>
    <w:p w14:paraId="60432A9C" w14:textId="77777777" w:rsidR="00934F4E" w:rsidRPr="0095107D" w:rsidRDefault="00934F4E" w:rsidP="00934F4E">
      <w:pPr>
        <w:jc w:val="center"/>
      </w:pPr>
    </w:p>
    <w:p w14:paraId="0BC67B17" w14:textId="77777777" w:rsidR="00934F4E" w:rsidRPr="0095107D" w:rsidRDefault="00934F4E" w:rsidP="00934F4E">
      <w:pPr>
        <w:jc w:val="center"/>
      </w:pPr>
      <w:r>
        <w:t>Advanced Chemistry of OME</w:t>
      </w:r>
      <w:r w:rsidRPr="0095107D">
        <w:t> (ACDA</w:t>
      </w:r>
      <w:r>
        <w:t>6</w:t>
      </w:r>
      <w:r w:rsidRPr="0095107D">
        <w:t>02</w:t>
      </w:r>
      <w:r>
        <w:t>0</w:t>
      </w:r>
      <w:r w:rsidRPr="0095107D">
        <w:t>)</w:t>
      </w:r>
    </w:p>
    <w:p w14:paraId="586CE1B8" w14:textId="77777777" w:rsidR="00934F4E" w:rsidRPr="0095107D" w:rsidRDefault="00934F4E" w:rsidP="00934F4E">
      <w:pPr>
        <w:jc w:val="center"/>
      </w:pPr>
    </w:p>
    <w:p w14:paraId="641C2ACE" w14:textId="77777777" w:rsidR="00934F4E" w:rsidRPr="0095107D" w:rsidRDefault="00934F4E" w:rsidP="00934F4E">
      <w:pPr>
        <w:jc w:val="center"/>
      </w:pPr>
    </w:p>
    <w:p w14:paraId="27A30E4F" w14:textId="77777777" w:rsidR="00934F4E" w:rsidRPr="0095107D" w:rsidRDefault="00934F4E" w:rsidP="00934F4E">
      <w:pPr>
        <w:jc w:val="center"/>
      </w:pPr>
    </w:p>
    <w:p w14:paraId="3568AEA3" w14:textId="77777777" w:rsidR="00934F4E" w:rsidRPr="0095107D" w:rsidRDefault="00934F4E" w:rsidP="00934F4E">
      <w:pPr>
        <w:jc w:val="center"/>
      </w:pPr>
      <w:r w:rsidRPr="0095107D">
        <w:t>Wales Institute for Science and Art</w:t>
      </w:r>
    </w:p>
    <w:p w14:paraId="0C007710" w14:textId="77777777" w:rsidR="00934F4E" w:rsidRPr="0095107D" w:rsidRDefault="00934F4E" w:rsidP="00934F4E">
      <w:pPr>
        <w:jc w:val="center"/>
      </w:pPr>
      <w:r w:rsidRPr="0095107D">
        <w:t>University of Wales Trinity Saint David</w:t>
      </w:r>
    </w:p>
    <w:p w14:paraId="08E45E1C" w14:textId="77777777" w:rsidR="00934F4E" w:rsidRPr="0095107D" w:rsidRDefault="00934F4E" w:rsidP="00934F4E">
      <w:pPr>
        <w:jc w:val="center"/>
      </w:pPr>
    </w:p>
    <w:p w14:paraId="3BFAFB9D" w14:textId="77777777" w:rsidR="00934F4E" w:rsidRPr="0095107D" w:rsidRDefault="00934F4E" w:rsidP="00934F4E">
      <w:pPr>
        <w:jc w:val="center"/>
      </w:pPr>
      <w:r w:rsidRPr="0095107D">
        <w:rPr>
          <w:noProof/>
        </w:rPr>
        <w:drawing>
          <wp:inline distT="0" distB="0" distL="0" distR="0" wp14:anchorId="0587BB9D" wp14:editId="43351A73">
            <wp:extent cx="2095500" cy="704850"/>
            <wp:effectExtent l="0" t="0" r="0" b="0"/>
            <wp:docPr id="1966968727" name="Picture 2" descr="UWTSD LOGO, Picture,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UWTSD LOGO, Picture, Pictur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095500" cy="704850"/>
                    </a:xfrm>
                    <a:prstGeom prst="rect">
                      <a:avLst/>
                    </a:prstGeom>
                    <a:noFill/>
                    <a:ln>
                      <a:noFill/>
                    </a:ln>
                  </pic:spPr>
                </pic:pic>
              </a:graphicData>
            </a:graphic>
          </wp:inline>
        </w:drawing>
      </w:r>
    </w:p>
    <w:p w14:paraId="26938CA7" w14:textId="77777777" w:rsidR="00934F4E" w:rsidRPr="0095107D" w:rsidRDefault="00934F4E" w:rsidP="00934F4E">
      <w:pPr>
        <w:jc w:val="center"/>
      </w:pPr>
      <w:r w:rsidRPr="0095107D">
        <w:rPr>
          <w:rFonts w:ascii="Arial" w:hAnsi="Arial" w:cs="Arial"/>
        </w:rPr>
        <w:t> </w:t>
      </w:r>
    </w:p>
    <w:p w14:paraId="13CB3A7D" w14:textId="442B6999" w:rsidR="00CC286B" w:rsidRDefault="00CC286B" w:rsidP="003A1F9C">
      <w:pPr>
        <w:jc w:val="both"/>
        <w:rPr>
          <w:b/>
          <w:bCs/>
        </w:rPr>
      </w:pPr>
    </w:p>
    <w:p w14:paraId="4CABB7B5" w14:textId="77777777" w:rsidR="00934F4E" w:rsidRDefault="00934F4E" w:rsidP="003A1F9C">
      <w:pPr>
        <w:jc w:val="both"/>
        <w:rPr>
          <w:b/>
          <w:bCs/>
        </w:rPr>
      </w:pPr>
    </w:p>
    <w:p w14:paraId="6805CE7A" w14:textId="77777777" w:rsidR="00934F4E" w:rsidRDefault="00934F4E" w:rsidP="003A1F9C">
      <w:pPr>
        <w:jc w:val="both"/>
        <w:rPr>
          <w:b/>
          <w:bCs/>
        </w:rPr>
      </w:pPr>
    </w:p>
    <w:p w14:paraId="3F8866BC" w14:textId="77777777" w:rsidR="00934F4E" w:rsidRDefault="00934F4E" w:rsidP="003A1F9C">
      <w:pPr>
        <w:jc w:val="both"/>
        <w:rPr>
          <w:b/>
          <w:bCs/>
        </w:rPr>
      </w:pPr>
    </w:p>
    <w:p w14:paraId="3EB39ADA" w14:textId="77777777" w:rsidR="00934F4E" w:rsidRDefault="00934F4E" w:rsidP="003A1F9C">
      <w:pPr>
        <w:jc w:val="both"/>
        <w:rPr>
          <w:b/>
          <w:bCs/>
        </w:rPr>
      </w:pPr>
    </w:p>
    <w:p w14:paraId="781C4E24" w14:textId="77777777" w:rsidR="00934F4E" w:rsidRDefault="00934F4E" w:rsidP="003A1F9C">
      <w:pPr>
        <w:jc w:val="both"/>
        <w:rPr>
          <w:b/>
          <w:bCs/>
        </w:rPr>
      </w:pPr>
    </w:p>
    <w:p w14:paraId="12DB3C2A" w14:textId="77777777" w:rsidR="00934F4E" w:rsidRDefault="00934F4E" w:rsidP="003A1F9C">
      <w:pPr>
        <w:jc w:val="both"/>
        <w:rPr>
          <w:b/>
          <w:bCs/>
        </w:rPr>
      </w:pPr>
    </w:p>
    <w:p w14:paraId="2FC424E2" w14:textId="77777777" w:rsidR="00934F4E" w:rsidRDefault="00934F4E" w:rsidP="003A1F9C">
      <w:pPr>
        <w:jc w:val="both"/>
        <w:rPr>
          <w:b/>
          <w:bCs/>
        </w:rPr>
      </w:pPr>
    </w:p>
    <w:p w14:paraId="164F2992" w14:textId="77777777" w:rsidR="00934F4E" w:rsidRDefault="00934F4E" w:rsidP="003A1F9C">
      <w:pPr>
        <w:jc w:val="both"/>
        <w:rPr>
          <w:b/>
          <w:bCs/>
        </w:rPr>
      </w:pPr>
    </w:p>
    <w:p w14:paraId="25C6C69C" w14:textId="77777777" w:rsidR="00934F4E" w:rsidRDefault="00934F4E" w:rsidP="003A1F9C">
      <w:pPr>
        <w:jc w:val="both"/>
        <w:rPr>
          <w:b/>
          <w:bCs/>
        </w:rPr>
      </w:pPr>
    </w:p>
    <w:p w14:paraId="774827BF" w14:textId="77777777" w:rsidR="00934F4E" w:rsidRPr="00CC286B" w:rsidRDefault="00934F4E" w:rsidP="003A1F9C">
      <w:pPr>
        <w:jc w:val="both"/>
        <w:rPr>
          <w:b/>
          <w:bCs/>
        </w:rPr>
      </w:pPr>
    </w:p>
    <w:p w14:paraId="6ED42698" w14:textId="77777777" w:rsidR="007E2CB3" w:rsidRDefault="007E2CB3" w:rsidP="003A1F9C">
      <w:pPr>
        <w:jc w:val="both"/>
      </w:pPr>
    </w:p>
    <w:p w14:paraId="425503DD" w14:textId="16C0959E" w:rsidR="007E2CB3" w:rsidRPr="007E2CB3" w:rsidRDefault="007E2CB3" w:rsidP="007E2CB3">
      <w:pPr>
        <w:pStyle w:val="Heading1"/>
        <w:rPr>
          <w:color w:val="auto"/>
        </w:rPr>
      </w:pPr>
      <w:r w:rsidRPr="007E2CB3">
        <w:rPr>
          <w:color w:val="auto"/>
        </w:rPr>
        <w:lastRenderedPageBreak/>
        <w:t>Table of Figures</w:t>
      </w:r>
    </w:p>
    <w:p w14:paraId="6008E7E9" w14:textId="09386F34" w:rsidR="00CD7ADE" w:rsidRDefault="007E2CB3">
      <w:pPr>
        <w:pStyle w:val="TableofFigures"/>
        <w:tabs>
          <w:tab w:val="right" w:leader="dot" w:pos="9016"/>
        </w:tabs>
        <w:rPr>
          <w:rFonts w:eastAsiaTheme="minorEastAsia"/>
          <w:noProof/>
          <w:sz w:val="24"/>
          <w:szCs w:val="24"/>
          <w:lang w:eastAsia="en-GB"/>
        </w:rPr>
      </w:pPr>
      <w:r>
        <w:fldChar w:fldCharType="begin"/>
      </w:r>
      <w:r>
        <w:instrText xml:space="preserve"> TOC \h \z \c "Figure" </w:instrText>
      </w:r>
      <w:r>
        <w:fldChar w:fldCharType="separate"/>
      </w:r>
      <w:hyperlink w:anchor="_Toc219563374" w:history="1">
        <w:r w:rsidR="00CD7ADE" w:rsidRPr="001450C1">
          <w:rPr>
            <w:rStyle w:val="Hyperlink"/>
            <w:noProof/>
          </w:rPr>
          <w:t>Figure 1 - Glass Transition Graph</w:t>
        </w:r>
        <w:r w:rsidR="00CD7ADE">
          <w:rPr>
            <w:noProof/>
            <w:webHidden/>
          </w:rPr>
          <w:tab/>
        </w:r>
        <w:r w:rsidR="00CD7ADE">
          <w:rPr>
            <w:noProof/>
            <w:webHidden/>
          </w:rPr>
          <w:fldChar w:fldCharType="begin"/>
        </w:r>
        <w:r w:rsidR="00CD7ADE">
          <w:rPr>
            <w:noProof/>
            <w:webHidden/>
          </w:rPr>
          <w:instrText xml:space="preserve"> PAGEREF _Toc219563374 \h </w:instrText>
        </w:r>
        <w:r w:rsidR="00CD7ADE">
          <w:rPr>
            <w:noProof/>
            <w:webHidden/>
          </w:rPr>
        </w:r>
        <w:r w:rsidR="00CD7ADE">
          <w:rPr>
            <w:noProof/>
            <w:webHidden/>
          </w:rPr>
          <w:fldChar w:fldCharType="separate"/>
        </w:r>
        <w:r w:rsidR="00CD7ADE">
          <w:rPr>
            <w:noProof/>
            <w:webHidden/>
          </w:rPr>
          <w:t>3</w:t>
        </w:r>
        <w:r w:rsidR="00CD7ADE">
          <w:rPr>
            <w:noProof/>
            <w:webHidden/>
          </w:rPr>
          <w:fldChar w:fldCharType="end"/>
        </w:r>
      </w:hyperlink>
    </w:p>
    <w:p w14:paraId="50B5B70D" w14:textId="412E0FD0" w:rsidR="00CD7ADE" w:rsidRDefault="00CD7ADE">
      <w:pPr>
        <w:pStyle w:val="TableofFigures"/>
        <w:tabs>
          <w:tab w:val="right" w:leader="dot" w:pos="9016"/>
        </w:tabs>
        <w:rPr>
          <w:rFonts w:eastAsiaTheme="minorEastAsia"/>
          <w:noProof/>
          <w:sz w:val="24"/>
          <w:szCs w:val="24"/>
          <w:lang w:eastAsia="en-GB"/>
        </w:rPr>
      </w:pPr>
      <w:hyperlink w:anchor="_Toc219563375" w:history="1">
        <w:r w:rsidRPr="001450C1">
          <w:rPr>
            <w:rStyle w:val="Hyperlink"/>
            <w:noProof/>
          </w:rPr>
          <w:t>Figure 2 - Thermogravimetric Graphs</w:t>
        </w:r>
        <w:r>
          <w:rPr>
            <w:noProof/>
            <w:webHidden/>
          </w:rPr>
          <w:tab/>
        </w:r>
        <w:r>
          <w:rPr>
            <w:noProof/>
            <w:webHidden/>
          </w:rPr>
          <w:fldChar w:fldCharType="begin"/>
        </w:r>
        <w:r>
          <w:rPr>
            <w:noProof/>
            <w:webHidden/>
          </w:rPr>
          <w:instrText xml:space="preserve"> PAGEREF _Toc219563375 \h </w:instrText>
        </w:r>
        <w:r>
          <w:rPr>
            <w:noProof/>
            <w:webHidden/>
          </w:rPr>
        </w:r>
        <w:r>
          <w:rPr>
            <w:noProof/>
            <w:webHidden/>
          </w:rPr>
          <w:fldChar w:fldCharType="separate"/>
        </w:r>
        <w:r>
          <w:rPr>
            <w:noProof/>
            <w:webHidden/>
          </w:rPr>
          <w:t>4</w:t>
        </w:r>
        <w:r>
          <w:rPr>
            <w:noProof/>
            <w:webHidden/>
          </w:rPr>
          <w:fldChar w:fldCharType="end"/>
        </w:r>
      </w:hyperlink>
    </w:p>
    <w:p w14:paraId="147958F0" w14:textId="663C4CA8" w:rsidR="007E2CB3" w:rsidRDefault="007E2CB3" w:rsidP="003A1F9C">
      <w:pPr>
        <w:jc w:val="both"/>
      </w:pPr>
      <w:r>
        <w:fldChar w:fldCharType="end"/>
      </w:r>
    </w:p>
    <w:p w14:paraId="7FB37FE0" w14:textId="77777777" w:rsidR="007E2CB3" w:rsidRDefault="007E2CB3" w:rsidP="003A1F9C">
      <w:pPr>
        <w:jc w:val="both"/>
      </w:pPr>
    </w:p>
    <w:p w14:paraId="6D4E2EA2" w14:textId="77777777" w:rsidR="007E2CB3" w:rsidRDefault="007E2CB3" w:rsidP="003A1F9C">
      <w:pPr>
        <w:jc w:val="both"/>
      </w:pPr>
    </w:p>
    <w:p w14:paraId="5914DAF1" w14:textId="77777777" w:rsidR="007E2CB3" w:rsidRDefault="007E2CB3" w:rsidP="003A1F9C">
      <w:pPr>
        <w:jc w:val="both"/>
      </w:pPr>
    </w:p>
    <w:p w14:paraId="3FFA0F4E" w14:textId="77777777" w:rsidR="007E2CB3" w:rsidRDefault="007E2CB3" w:rsidP="003A1F9C">
      <w:pPr>
        <w:jc w:val="both"/>
      </w:pPr>
    </w:p>
    <w:p w14:paraId="22D6A285" w14:textId="77777777" w:rsidR="007E2CB3" w:rsidRDefault="007E2CB3" w:rsidP="003A1F9C">
      <w:pPr>
        <w:jc w:val="both"/>
      </w:pPr>
    </w:p>
    <w:p w14:paraId="7DBFD8C2" w14:textId="77777777" w:rsidR="007E2CB3" w:rsidRDefault="007E2CB3" w:rsidP="003A1F9C">
      <w:pPr>
        <w:jc w:val="both"/>
      </w:pPr>
    </w:p>
    <w:p w14:paraId="3C3FDD76" w14:textId="77777777" w:rsidR="007E2CB3" w:rsidRDefault="007E2CB3" w:rsidP="003A1F9C">
      <w:pPr>
        <w:jc w:val="both"/>
      </w:pPr>
    </w:p>
    <w:p w14:paraId="53F0C79B" w14:textId="77777777" w:rsidR="007E2CB3" w:rsidRDefault="007E2CB3" w:rsidP="003A1F9C">
      <w:pPr>
        <w:jc w:val="both"/>
      </w:pPr>
    </w:p>
    <w:p w14:paraId="79A95D9B" w14:textId="77777777" w:rsidR="007E2CB3" w:rsidRDefault="007E2CB3" w:rsidP="003A1F9C">
      <w:pPr>
        <w:jc w:val="both"/>
      </w:pPr>
    </w:p>
    <w:p w14:paraId="4AC7C77E" w14:textId="77777777" w:rsidR="007E2CB3" w:rsidRDefault="007E2CB3" w:rsidP="003A1F9C">
      <w:pPr>
        <w:jc w:val="both"/>
      </w:pPr>
    </w:p>
    <w:p w14:paraId="5819D361" w14:textId="77777777" w:rsidR="007E2CB3" w:rsidRDefault="007E2CB3" w:rsidP="003A1F9C">
      <w:pPr>
        <w:jc w:val="both"/>
      </w:pPr>
    </w:p>
    <w:p w14:paraId="31B950CC" w14:textId="77777777" w:rsidR="007E2CB3" w:rsidRDefault="007E2CB3" w:rsidP="003A1F9C">
      <w:pPr>
        <w:jc w:val="both"/>
      </w:pPr>
    </w:p>
    <w:p w14:paraId="744C8342" w14:textId="77777777" w:rsidR="007E2CB3" w:rsidRDefault="007E2CB3" w:rsidP="003A1F9C">
      <w:pPr>
        <w:jc w:val="both"/>
      </w:pPr>
    </w:p>
    <w:p w14:paraId="6314994D" w14:textId="77777777" w:rsidR="007E2CB3" w:rsidRDefault="007E2CB3" w:rsidP="003A1F9C">
      <w:pPr>
        <w:jc w:val="both"/>
      </w:pPr>
    </w:p>
    <w:p w14:paraId="39457073" w14:textId="77777777" w:rsidR="007E2CB3" w:rsidRDefault="007E2CB3" w:rsidP="003A1F9C">
      <w:pPr>
        <w:jc w:val="both"/>
      </w:pPr>
    </w:p>
    <w:p w14:paraId="37792F2A" w14:textId="77777777" w:rsidR="007E2CB3" w:rsidRDefault="007E2CB3" w:rsidP="003A1F9C">
      <w:pPr>
        <w:jc w:val="both"/>
      </w:pPr>
    </w:p>
    <w:p w14:paraId="60B7B91B" w14:textId="77777777" w:rsidR="007E2CB3" w:rsidRDefault="007E2CB3" w:rsidP="003A1F9C">
      <w:pPr>
        <w:jc w:val="both"/>
      </w:pPr>
    </w:p>
    <w:p w14:paraId="0D0DC4A0" w14:textId="77777777" w:rsidR="007E2CB3" w:rsidRDefault="007E2CB3" w:rsidP="003A1F9C">
      <w:pPr>
        <w:jc w:val="both"/>
      </w:pPr>
    </w:p>
    <w:p w14:paraId="11ACF6D3" w14:textId="77777777" w:rsidR="007E2CB3" w:rsidRDefault="007E2CB3" w:rsidP="003A1F9C">
      <w:pPr>
        <w:jc w:val="both"/>
      </w:pPr>
    </w:p>
    <w:p w14:paraId="2D635566" w14:textId="77777777" w:rsidR="007E2CB3" w:rsidRDefault="007E2CB3" w:rsidP="003A1F9C">
      <w:pPr>
        <w:jc w:val="both"/>
      </w:pPr>
    </w:p>
    <w:p w14:paraId="0457C3B2" w14:textId="77777777" w:rsidR="007E2CB3" w:rsidRDefault="007E2CB3" w:rsidP="003A1F9C">
      <w:pPr>
        <w:jc w:val="both"/>
      </w:pPr>
    </w:p>
    <w:p w14:paraId="025F67AB" w14:textId="77777777" w:rsidR="007E2CB3" w:rsidRDefault="007E2CB3" w:rsidP="003A1F9C">
      <w:pPr>
        <w:jc w:val="both"/>
      </w:pPr>
    </w:p>
    <w:p w14:paraId="4B15DF1F" w14:textId="77777777" w:rsidR="007E2CB3" w:rsidRDefault="007E2CB3" w:rsidP="003A1F9C">
      <w:pPr>
        <w:jc w:val="both"/>
      </w:pPr>
    </w:p>
    <w:p w14:paraId="047F4C56" w14:textId="77777777" w:rsidR="007E2CB3" w:rsidRDefault="007E2CB3" w:rsidP="003A1F9C">
      <w:pPr>
        <w:jc w:val="both"/>
      </w:pPr>
    </w:p>
    <w:p w14:paraId="76DAAD9B" w14:textId="77777777" w:rsidR="007E2CB3" w:rsidRDefault="007E2CB3" w:rsidP="003A1F9C">
      <w:pPr>
        <w:jc w:val="both"/>
      </w:pPr>
    </w:p>
    <w:p w14:paraId="3CC5DDB2" w14:textId="77777777" w:rsidR="007E2CB3" w:rsidRDefault="007E2CB3" w:rsidP="003A1F9C">
      <w:pPr>
        <w:jc w:val="both"/>
      </w:pPr>
    </w:p>
    <w:p w14:paraId="27CF117D" w14:textId="5BD981CA" w:rsidR="0024111C" w:rsidRDefault="0024111C" w:rsidP="003A1F9C">
      <w:pPr>
        <w:jc w:val="both"/>
      </w:pPr>
      <w:r>
        <w:lastRenderedPageBreak/>
        <w:t>This author’s task within the group assignment was to look at the critical topic of propellant stability and ageing.  The author used various resources including books, journals and websites to research the content.</w:t>
      </w:r>
    </w:p>
    <w:p w14:paraId="139510E6" w14:textId="71E6BC61" w:rsidR="0024111C" w:rsidRDefault="0024111C" w:rsidP="003A1F9C">
      <w:pPr>
        <w:jc w:val="both"/>
      </w:pPr>
      <w:r>
        <w:t xml:space="preserve">The author hoped to reinforce the idea that high energetic performance alone is insufficient when evaluating rocket propellants.  </w:t>
      </w:r>
      <w:r w:rsidR="00A869BC">
        <w:t xml:space="preserve">There was </w:t>
      </w:r>
      <w:r w:rsidR="00713932">
        <w:t>focus</w:t>
      </w:r>
      <w:r w:rsidR="00A869BC">
        <w:t xml:space="preserve"> made on the topic of ageing, both physically and chemically and the impact this can have </w:t>
      </w:r>
      <w:r w:rsidR="00713932">
        <w:t>on</w:t>
      </w:r>
      <w:r w:rsidR="00A869BC">
        <w:t xml:space="preserve"> the </w:t>
      </w:r>
      <w:r w:rsidR="00713932">
        <w:t>performance of the propellant</w:t>
      </w:r>
      <w:r w:rsidR="00A869BC">
        <w:t>.  There was specific information on ageing failure modes such as debonding, cracking, migration of ingredients and slump deformation.</w:t>
      </w:r>
    </w:p>
    <w:p w14:paraId="2A7D6E8C" w14:textId="38AD1812" w:rsidR="00713932" w:rsidRDefault="00713932" w:rsidP="00713932">
      <w:pPr>
        <w:jc w:val="both"/>
        <w:rPr>
          <w:lang w:val="en-US"/>
        </w:rPr>
      </w:pPr>
      <w:r w:rsidRPr="00713932">
        <w:rPr>
          <w:lang w:val="en-US"/>
        </w:rPr>
        <w:t xml:space="preserve">Physical ageing is a thermo-reversable process and requires no permanent chemical changes to the propellant. Thermo-reversable implies that the material can change its state in response to temperature changes. In this case it implies that the </w:t>
      </w:r>
      <w:r w:rsidR="000B7157">
        <w:rPr>
          <w:lang w:val="en-US"/>
        </w:rPr>
        <w:t xml:space="preserve">propellant </w:t>
      </w:r>
      <w:r w:rsidRPr="00713932">
        <w:rPr>
          <w:lang w:val="en-US"/>
        </w:rPr>
        <w:t>binder can form a rubbery gel when heated and revert to a glassy state when cooled. The glass transition temperature (T</w:t>
      </w:r>
      <w:r w:rsidRPr="00713932">
        <w:rPr>
          <w:vertAlign w:val="subscript"/>
          <w:lang w:val="en-US"/>
        </w:rPr>
        <w:t>g</w:t>
      </w:r>
      <w:r w:rsidRPr="00713932">
        <w:rPr>
          <w:lang w:val="en-US"/>
        </w:rPr>
        <w:t xml:space="preserve">) is the specific temperature at which this transition from glassy to rubbery occurs. As binders age, they naturally become </w:t>
      </w:r>
      <w:r w:rsidR="000B7157" w:rsidRPr="00713932">
        <w:rPr>
          <w:lang w:val="en-US"/>
        </w:rPr>
        <w:t>stiffer,</w:t>
      </w:r>
      <w:r w:rsidRPr="00713932">
        <w:rPr>
          <w:lang w:val="en-US"/>
        </w:rPr>
        <w:t xml:space="preserve"> and the glass transition temperature shifts to occur at a higher temperature meaning the propellant becomes more susceptible to cracking increasing the risk of unintended initiation during storage and use</w:t>
      </w:r>
      <w:r>
        <w:rPr>
          <w:lang w:val="en-US"/>
        </w:rPr>
        <w:t xml:space="preserve"> [</w:t>
      </w:r>
      <w:r w:rsidR="008D0F19">
        <w:rPr>
          <w:lang w:val="en-US"/>
        </w:rPr>
        <w:t>1</w:t>
      </w:r>
      <w:r>
        <w:rPr>
          <w:lang w:val="en-US"/>
        </w:rPr>
        <w:t>]</w:t>
      </w:r>
      <w:r w:rsidRPr="00713932">
        <w:rPr>
          <w:lang w:val="en-US"/>
        </w:rPr>
        <w:t>.</w:t>
      </w:r>
    </w:p>
    <w:p w14:paraId="6DEBE75C" w14:textId="77777777" w:rsidR="000B7157" w:rsidRDefault="000B7157" w:rsidP="000B7157">
      <w:pPr>
        <w:keepNext/>
        <w:jc w:val="center"/>
      </w:pPr>
      <w:r w:rsidRPr="000B7157">
        <w:drawing>
          <wp:inline distT="0" distB="0" distL="0" distR="0" wp14:anchorId="2458F87B" wp14:editId="65E8C272">
            <wp:extent cx="4146550" cy="3027909"/>
            <wp:effectExtent l="0" t="0" r="6350" b="1270"/>
            <wp:docPr id="11" name="Picture 10">
              <a:extLst xmlns:a="http://schemas.openxmlformats.org/drawingml/2006/main">
                <a:ext uri="{FF2B5EF4-FFF2-40B4-BE49-F238E27FC236}">
                  <a16:creationId xmlns:a16="http://schemas.microsoft.com/office/drawing/2014/main" id="{24050596-92BA-A6ED-580E-0FEABC34113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0">
                      <a:extLst>
                        <a:ext uri="{FF2B5EF4-FFF2-40B4-BE49-F238E27FC236}">
                          <a16:creationId xmlns:a16="http://schemas.microsoft.com/office/drawing/2014/main" id="{24050596-92BA-A6ED-580E-0FEABC34113F}"/>
                        </a:ext>
                      </a:extLst>
                    </pic:cNvPr>
                    <pic:cNvPicPr>
                      <a:picLocks noChangeAspect="1"/>
                    </pic:cNvPicPr>
                  </pic:nvPicPr>
                  <pic:blipFill>
                    <a:blip r:embed="rId6"/>
                    <a:stretch>
                      <a:fillRect/>
                    </a:stretch>
                  </pic:blipFill>
                  <pic:spPr>
                    <a:xfrm>
                      <a:off x="0" y="0"/>
                      <a:ext cx="4154052" cy="3033387"/>
                    </a:xfrm>
                    <a:prstGeom prst="rect">
                      <a:avLst/>
                    </a:prstGeom>
                  </pic:spPr>
                </pic:pic>
              </a:graphicData>
            </a:graphic>
          </wp:inline>
        </w:drawing>
      </w:r>
    </w:p>
    <w:p w14:paraId="22DD41B1" w14:textId="0D8B2A1B" w:rsidR="000B7157" w:rsidRPr="00713932" w:rsidRDefault="000B7157" w:rsidP="000B7157">
      <w:pPr>
        <w:pStyle w:val="Caption"/>
        <w:jc w:val="center"/>
        <w:rPr>
          <w:color w:val="auto"/>
        </w:rPr>
      </w:pPr>
      <w:bookmarkStart w:id="0" w:name="_Toc219563374"/>
      <w:r w:rsidRPr="000B7157">
        <w:rPr>
          <w:color w:val="auto"/>
        </w:rPr>
        <w:t xml:space="preserve">Figure </w:t>
      </w:r>
      <w:r w:rsidRPr="000B7157">
        <w:rPr>
          <w:color w:val="auto"/>
        </w:rPr>
        <w:fldChar w:fldCharType="begin"/>
      </w:r>
      <w:r w:rsidRPr="000B7157">
        <w:rPr>
          <w:color w:val="auto"/>
        </w:rPr>
        <w:instrText xml:space="preserve"> SEQ Figure \* ARABIC </w:instrText>
      </w:r>
      <w:r w:rsidRPr="000B7157">
        <w:rPr>
          <w:color w:val="auto"/>
        </w:rPr>
        <w:fldChar w:fldCharType="separate"/>
      </w:r>
      <w:r w:rsidR="00CD7ADE">
        <w:rPr>
          <w:noProof/>
          <w:color w:val="auto"/>
        </w:rPr>
        <w:t>1</w:t>
      </w:r>
      <w:r w:rsidRPr="000B7157">
        <w:rPr>
          <w:color w:val="auto"/>
        </w:rPr>
        <w:fldChar w:fldCharType="end"/>
      </w:r>
      <w:r w:rsidRPr="000B7157">
        <w:rPr>
          <w:color w:val="auto"/>
        </w:rPr>
        <w:t xml:space="preserve"> - Glass Transition Graph</w:t>
      </w:r>
      <w:bookmarkEnd w:id="0"/>
    </w:p>
    <w:p w14:paraId="4BF9D745" w14:textId="6C2E59D1" w:rsidR="00A869BC" w:rsidRDefault="003A1F9C" w:rsidP="003A1F9C">
      <w:pPr>
        <w:jc w:val="both"/>
      </w:pPr>
      <w:r>
        <w:t>In order to see the effects of the ageing on the specimen there were shown to be three main ways of seeing the degradation. These</w:t>
      </w:r>
      <w:r w:rsidR="00603BE7">
        <w:t xml:space="preserve"> were explained in more </w:t>
      </w:r>
      <w:r w:rsidR="000B7157">
        <w:t xml:space="preserve">detail; </w:t>
      </w:r>
      <w:r w:rsidR="00603BE7">
        <w:t>Scanning Electron Microscop</w:t>
      </w:r>
      <w:r>
        <w:t>y</w:t>
      </w:r>
      <w:r w:rsidR="00603BE7">
        <w:t xml:space="preserve"> (SEM), Thermogravimetric Analysis (TG) and Differential Scanning Calorimetry (DSC).</w:t>
      </w:r>
      <w:r>
        <w:t xml:space="preserve">  This degradation is important to be able to see as the chemical and physical stability ultimately governs safety, reliability and service life. </w:t>
      </w:r>
    </w:p>
    <w:p w14:paraId="723547BE" w14:textId="2B41B35F" w:rsidR="003A1F9C" w:rsidRDefault="003A1F9C" w:rsidP="003A1F9C">
      <w:pPr>
        <w:jc w:val="both"/>
      </w:pPr>
      <w:r>
        <w:t xml:space="preserve">The Scanning Electron Microscope was shown to work on the principle of targeting a focused beam of electrons </w:t>
      </w:r>
      <w:r w:rsidR="007E6AC2">
        <w:t>in a rectangular (raster) pattern producing an image that allows an understanding of the structure and phase of the specimen.</w:t>
      </w:r>
      <w:r w:rsidR="000B7157">
        <w:t xml:space="preserve"> Techniques like this are</w:t>
      </w:r>
      <w:r w:rsidR="00934F4E">
        <w:t xml:space="preserve"> also</w:t>
      </w:r>
      <w:r w:rsidR="000B7157">
        <w:t xml:space="preserve"> </w:t>
      </w:r>
      <w:r w:rsidR="00DA2F02">
        <w:t>commonplace</w:t>
      </w:r>
      <w:r w:rsidR="000B7157">
        <w:t xml:space="preserve"> </w:t>
      </w:r>
      <w:r w:rsidR="00934F4E">
        <w:t xml:space="preserve">in explosive forensics for determining what the substance may be as it allows the user to gain knowledge of </w:t>
      </w:r>
      <w:proofErr w:type="spellStart"/>
      <w:r w:rsidR="00934F4E">
        <w:t>it’s</w:t>
      </w:r>
      <w:proofErr w:type="spellEnd"/>
      <w:r w:rsidR="00934F4E">
        <w:t xml:space="preserve"> physical/ chemical </w:t>
      </w:r>
      <w:r w:rsidR="00DA2F02">
        <w:t>make-up</w:t>
      </w:r>
      <w:r w:rsidR="00934F4E">
        <w:t>.</w:t>
      </w:r>
    </w:p>
    <w:p w14:paraId="7EBD5CA3" w14:textId="553A819D" w:rsidR="007E6AC2" w:rsidRDefault="007E6AC2" w:rsidP="003A1F9C">
      <w:pPr>
        <w:jc w:val="both"/>
      </w:pPr>
      <w:r>
        <w:lastRenderedPageBreak/>
        <w:t>The summary of how thermogravimetric analysis is used to study how the mass changes as it is heated or cooled was discussed and shown via images and examples of graphs.</w:t>
      </w:r>
      <w:r w:rsidR="00125CB9">
        <w:t xml:space="preserve"> The importance of the measurement of oxidiser stability in the measurement of product lifetime was addressed and described.</w:t>
      </w:r>
    </w:p>
    <w:p w14:paraId="6D05E6B0" w14:textId="77777777" w:rsidR="00CD7ADE" w:rsidRDefault="00CD7ADE" w:rsidP="00CD7ADE">
      <w:pPr>
        <w:keepNext/>
        <w:jc w:val="center"/>
      </w:pPr>
      <w:r w:rsidRPr="00CD7ADE">
        <w:drawing>
          <wp:inline distT="0" distB="0" distL="0" distR="0" wp14:anchorId="7FCB8A60" wp14:editId="13DB63EE">
            <wp:extent cx="5346700" cy="2095500"/>
            <wp:effectExtent l="0" t="0" r="6350" b="0"/>
            <wp:docPr id="56863566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346700" cy="2095500"/>
                    </a:xfrm>
                    <a:prstGeom prst="rect">
                      <a:avLst/>
                    </a:prstGeom>
                    <a:noFill/>
                    <a:ln>
                      <a:noFill/>
                    </a:ln>
                  </pic:spPr>
                </pic:pic>
              </a:graphicData>
            </a:graphic>
          </wp:inline>
        </w:drawing>
      </w:r>
    </w:p>
    <w:p w14:paraId="48315746" w14:textId="1375768B" w:rsidR="00CD7ADE" w:rsidRPr="00CD7ADE" w:rsidRDefault="00CD7ADE" w:rsidP="00CD7ADE">
      <w:pPr>
        <w:pStyle w:val="Caption"/>
        <w:jc w:val="center"/>
        <w:rPr>
          <w:color w:val="auto"/>
        </w:rPr>
      </w:pPr>
      <w:bookmarkStart w:id="1" w:name="_Toc219563375"/>
      <w:r w:rsidRPr="00CD7ADE">
        <w:rPr>
          <w:color w:val="auto"/>
        </w:rPr>
        <w:t xml:space="preserve">Figure </w:t>
      </w:r>
      <w:r w:rsidRPr="00CD7ADE">
        <w:rPr>
          <w:color w:val="auto"/>
        </w:rPr>
        <w:fldChar w:fldCharType="begin"/>
      </w:r>
      <w:r w:rsidRPr="00CD7ADE">
        <w:rPr>
          <w:color w:val="auto"/>
        </w:rPr>
        <w:instrText xml:space="preserve"> SEQ Figure \* ARABIC </w:instrText>
      </w:r>
      <w:r w:rsidRPr="00CD7ADE">
        <w:rPr>
          <w:color w:val="auto"/>
        </w:rPr>
        <w:fldChar w:fldCharType="separate"/>
      </w:r>
      <w:r w:rsidRPr="00CD7ADE">
        <w:rPr>
          <w:noProof/>
          <w:color w:val="auto"/>
        </w:rPr>
        <w:t>2</w:t>
      </w:r>
      <w:r w:rsidRPr="00CD7ADE">
        <w:rPr>
          <w:color w:val="auto"/>
        </w:rPr>
        <w:fldChar w:fldCharType="end"/>
      </w:r>
      <w:r w:rsidRPr="00CD7ADE">
        <w:rPr>
          <w:color w:val="auto"/>
        </w:rPr>
        <w:t xml:space="preserve"> - Thermogravimetric Graphs</w:t>
      </w:r>
      <w:bookmarkEnd w:id="1"/>
    </w:p>
    <w:p w14:paraId="5EBB5F0E" w14:textId="284039CE" w:rsidR="00125CB9" w:rsidRDefault="00125CB9" w:rsidP="003A1F9C">
      <w:pPr>
        <w:jc w:val="both"/>
      </w:pPr>
      <w:r>
        <w:t>The use of the differential scanning calorimetry in thermal analysis used to study phase transitions in materials was described.  It was also shown how</w:t>
      </w:r>
      <w:r w:rsidR="00CC286B">
        <w:t>, by measuring the heat flux and looking at the changes in temperature.</w:t>
      </w:r>
      <w:r>
        <w:t xml:space="preserve"> </w:t>
      </w:r>
      <w:r w:rsidR="00CC286B">
        <w:t>T</w:t>
      </w:r>
      <w:r>
        <w:t>his is commonly used to measure the rheological properties of materials and the likelihood of the propellant developing defects like debonding and deformation.</w:t>
      </w:r>
      <w:r w:rsidR="00CC286B">
        <w:t xml:space="preserve">  Information for this was gathered from looking at case studies [</w:t>
      </w:r>
      <w:r w:rsidR="008D0F19">
        <w:t>2</w:t>
      </w:r>
      <w:r w:rsidR="00CC286B">
        <w:t>] and journals [</w:t>
      </w:r>
      <w:r w:rsidR="008D0F19">
        <w:t>3</w:t>
      </w:r>
      <w:r w:rsidR="00CC286B">
        <w:t>].</w:t>
      </w:r>
    </w:p>
    <w:p w14:paraId="32A060C2" w14:textId="4B697567" w:rsidR="0024111C" w:rsidRPr="0024111C" w:rsidRDefault="00A869BC" w:rsidP="00CC286B">
      <w:pPr>
        <w:jc w:val="both"/>
      </w:pPr>
      <w:r>
        <w:t xml:space="preserve">There was a strong </w:t>
      </w:r>
      <w:r>
        <w:t>distinction</w:t>
      </w:r>
      <w:r>
        <w:t xml:space="preserve"> made between the physical and chemical stability </w:t>
      </w:r>
      <w:r w:rsidR="00125CB9">
        <w:t xml:space="preserve">and </w:t>
      </w:r>
      <w:r w:rsidR="0024111C" w:rsidRPr="0024111C">
        <w:t>the discussion showed that physical ageing mechanisms</w:t>
      </w:r>
      <w:r w:rsidR="00125CB9">
        <w:t xml:space="preserve"> </w:t>
      </w:r>
      <w:r w:rsidR="0024111C" w:rsidRPr="0024111C">
        <w:t>such as debonding, cracking, and slump deformation</w:t>
      </w:r>
      <w:r w:rsidR="00125CB9">
        <w:t xml:space="preserve"> </w:t>
      </w:r>
      <w:r w:rsidR="0024111C" w:rsidRPr="0024111C">
        <w:t>can be just as dangerous, if not more so. These defects directly influence burn surface area and burn rate, which may result in unintended pressure spikes or catastrophic motor failure. This highlighted how ageing is not simply a slow decline in performance, but a potential trigger for sudden instability.</w:t>
      </w:r>
    </w:p>
    <w:p w14:paraId="79EC1EA7" w14:textId="7E7B3223" w:rsidR="006D4801" w:rsidRDefault="00CC286B" w:rsidP="00CC286B">
      <w:pPr>
        <w:jc w:val="both"/>
      </w:pPr>
      <w:r>
        <w:t>The author believes the section undertaken was researched thoroughly and presented well, both during the presentation and on the slides.</w:t>
      </w:r>
      <w:r w:rsidR="006D4801">
        <w:t xml:space="preserve"> Although if the author had the opportunity to repeat the presentation, they believe an alternative approach of focusing further into the relationship these techniques have with the wider OME environment. They would also have liked to form a conclusion on the apparent stability of the two mentioned propellants using valid data gathered from a combination of their own research and that of what can be found in journals and other academic papers.</w:t>
      </w:r>
    </w:p>
    <w:p w14:paraId="069283AA" w14:textId="77777777" w:rsidR="00CC286B" w:rsidRDefault="00CC286B" w:rsidP="00CC286B">
      <w:pPr>
        <w:jc w:val="both"/>
        <w:rPr>
          <w:b/>
          <w:bCs/>
        </w:rPr>
      </w:pPr>
    </w:p>
    <w:p w14:paraId="602A62E1" w14:textId="22432AF3" w:rsidR="00CC286B" w:rsidRPr="007E2CB3" w:rsidRDefault="00CC286B" w:rsidP="007E2CB3">
      <w:pPr>
        <w:pStyle w:val="Heading1"/>
        <w:rPr>
          <w:color w:val="auto"/>
        </w:rPr>
      </w:pPr>
      <w:r w:rsidRPr="007E2CB3">
        <w:rPr>
          <w:color w:val="auto"/>
        </w:rPr>
        <w:t>References</w:t>
      </w:r>
    </w:p>
    <w:p w14:paraId="1DE708EB" w14:textId="60C5FA61" w:rsidR="00CC286B" w:rsidRDefault="00CD7ADE" w:rsidP="00CD7ADE">
      <w:pPr>
        <w:ind w:left="720" w:hanging="720"/>
        <w:jc w:val="both"/>
      </w:pPr>
      <w:r>
        <w:t>[</w:t>
      </w:r>
      <w:r w:rsidR="008D0F19">
        <w:t>1</w:t>
      </w:r>
      <w:r w:rsidRPr="00CD7ADE">
        <w:t xml:space="preserve">] </w:t>
      </w:r>
      <w:r>
        <w:tab/>
      </w:r>
      <w:r w:rsidRPr="00CD7ADE">
        <w:t>H. Naseem, J. Yerra, H. Murthy, and P. A. Ramakrishna, “Ageing studies on AP/HTPB based composites solid propellants,” </w:t>
      </w:r>
      <w:r w:rsidRPr="00CD7ADE">
        <w:rPr>
          <w:i/>
          <w:iCs/>
        </w:rPr>
        <w:t>Energetic Materials Frontiers</w:t>
      </w:r>
      <w:r w:rsidRPr="00CD7ADE">
        <w:t xml:space="preserve">, vol. 2, no. 2, pp. 111–124, Jun. 2021, </w:t>
      </w:r>
      <w:proofErr w:type="spellStart"/>
      <w:r w:rsidRPr="00CD7ADE">
        <w:t>doi</w:t>
      </w:r>
      <w:proofErr w:type="spellEnd"/>
      <w:r w:rsidRPr="00CD7ADE">
        <w:t xml:space="preserve">: </w:t>
      </w:r>
      <w:hyperlink r:id="rId8" w:tgtFrame="_blank" w:history="1">
        <w:r w:rsidRPr="00CD7ADE">
          <w:rPr>
            <w:rStyle w:val="Hyperlink"/>
          </w:rPr>
          <w:t>https://doi.org/10.1016/j.enmf.2021.02.001</w:t>
        </w:r>
      </w:hyperlink>
      <w:r w:rsidRPr="00CD7ADE">
        <w:t>.</w:t>
      </w:r>
    </w:p>
    <w:p w14:paraId="1F5E44BD" w14:textId="341EDF3E" w:rsidR="00CD7ADE" w:rsidRDefault="00CD7ADE" w:rsidP="00CD7ADE">
      <w:pPr>
        <w:ind w:left="720" w:hanging="720"/>
        <w:jc w:val="both"/>
      </w:pPr>
      <w:r w:rsidRPr="00CD7ADE">
        <w:t>[</w:t>
      </w:r>
      <w:r w:rsidR="008D0F19">
        <w:t>2</w:t>
      </w:r>
      <w:r w:rsidRPr="00CD7ADE">
        <w:t xml:space="preserve">] </w:t>
      </w:r>
      <w:r>
        <w:tab/>
      </w:r>
      <w:r w:rsidRPr="00CD7ADE">
        <w:t>X. Liu </w:t>
      </w:r>
      <w:r w:rsidRPr="00CD7ADE">
        <w:rPr>
          <w:i/>
          <w:iCs/>
        </w:rPr>
        <w:t>et al.</w:t>
      </w:r>
      <w:r w:rsidRPr="00CD7ADE">
        <w:t xml:space="preserve">, “HTPB propellant aging mechanisms and safety characteristics: microscopic structural changes, thermal stability, and self-accelerating decomposition </w:t>
      </w:r>
      <w:r w:rsidRPr="00CD7ADE">
        <w:lastRenderedPageBreak/>
        <w:t>temperature,” </w:t>
      </w:r>
      <w:r w:rsidRPr="00CD7ADE">
        <w:rPr>
          <w:i/>
          <w:iCs/>
        </w:rPr>
        <w:t>Case Studies in Thermal Engineering</w:t>
      </w:r>
      <w:r w:rsidRPr="00CD7ADE">
        <w:t xml:space="preserve">, vol. 72, p. 106295, May 2025, </w:t>
      </w:r>
      <w:proofErr w:type="spellStart"/>
      <w:r w:rsidRPr="00CD7ADE">
        <w:t>doi</w:t>
      </w:r>
      <w:proofErr w:type="spellEnd"/>
      <w:r w:rsidRPr="00CD7ADE">
        <w:t xml:space="preserve">: </w:t>
      </w:r>
      <w:hyperlink r:id="rId9" w:tgtFrame="_blank" w:history="1">
        <w:r w:rsidRPr="00CD7ADE">
          <w:rPr>
            <w:rStyle w:val="Hyperlink"/>
          </w:rPr>
          <w:t>https://doi.org/10.1016/j.csite.2025.106295</w:t>
        </w:r>
      </w:hyperlink>
      <w:r w:rsidRPr="00CD7ADE">
        <w:t>.</w:t>
      </w:r>
    </w:p>
    <w:p w14:paraId="2A337022" w14:textId="52ABB479" w:rsidR="00CD7ADE" w:rsidRPr="00CC286B" w:rsidRDefault="00CD7ADE" w:rsidP="00CD7ADE">
      <w:pPr>
        <w:ind w:left="720" w:hanging="720"/>
        <w:jc w:val="both"/>
      </w:pPr>
      <w:r w:rsidRPr="00CD7ADE">
        <w:t>[</w:t>
      </w:r>
      <w:r w:rsidR="008D0F19">
        <w:t>3</w:t>
      </w:r>
      <w:r w:rsidRPr="00CD7ADE">
        <w:t>]</w:t>
      </w:r>
      <w:r w:rsidRPr="00CD7ADE">
        <w:rPr>
          <w:lang w:val="en-US"/>
        </w:rPr>
        <w:t xml:space="preserve"> </w:t>
      </w:r>
      <w:r>
        <w:rPr>
          <w:lang w:val="en-US"/>
        </w:rPr>
        <w:tab/>
      </w:r>
      <w:r w:rsidRPr="00CD7ADE">
        <w:t xml:space="preserve">K. Selim, S. </w:t>
      </w:r>
      <w:proofErr w:type="spellStart"/>
      <w:r w:rsidRPr="00CD7ADE">
        <w:t>Özkar</w:t>
      </w:r>
      <w:proofErr w:type="spellEnd"/>
      <w:r w:rsidRPr="00CD7ADE">
        <w:t xml:space="preserve">, and L. Yilmaz, “Thermal characterization of glycidyl </w:t>
      </w:r>
      <w:proofErr w:type="spellStart"/>
      <w:r w:rsidRPr="00CD7ADE">
        <w:t>azide</w:t>
      </w:r>
      <w:proofErr w:type="spellEnd"/>
      <w:r w:rsidRPr="00CD7ADE">
        <w:t xml:space="preserve"> polymer (GAP) and GAP-based binders for composite propellants,”</w:t>
      </w:r>
      <w:r w:rsidRPr="00CD7ADE">
        <w:rPr>
          <w:lang w:val="en-US"/>
        </w:rPr>
        <w:t> </w:t>
      </w:r>
      <w:r w:rsidRPr="00CD7ADE">
        <w:rPr>
          <w:i/>
          <w:iCs/>
        </w:rPr>
        <w:t>Journal of Applied Polymer Science</w:t>
      </w:r>
      <w:r w:rsidRPr="00CD7ADE">
        <w:t xml:space="preserve">, vol. 77, no. 3, pp. 538–546, Jul. 2000, </w:t>
      </w:r>
      <w:proofErr w:type="spellStart"/>
      <w:r w:rsidRPr="00CD7ADE">
        <w:t>doi</w:t>
      </w:r>
      <w:proofErr w:type="spellEnd"/>
      <w:r w:rsidRPr="00CD7ADE">
        <w:t xml:space="preserve">: </w:t>
      </w:r>
      <w:hyperlink r:id="rId10" w:tgtFrame="_blank" w:history="1">
        <w:r w:rsidRPr="00CD7ADE">
          <w:rPr>
            <w:rStyle w:val="Hyperlink"/>
          </w:rPr>
          <w:t>https://doi.org/10.1002/(sici)1097-4628(20000718)77:3%3C538::aid-app9%3E3.0.co;2-x</w:t>
        </w:r>
      </w:hyperlink>
      <w:r w:rsidRPr="00CD7ADE">
        <w:t>.</w:t>
      </w:r>
      <w:r w:rsidRPr="00CD7ADE">
        <w:rPr>
          <w:rFonts w:ascii="Arial" w:hAnsi="Arial" w:cs="Arial"/>
        </w:rPr>
        <w:t>​</w:t>
      </w:r>
    </w:p>
    <w:sectPr w:rsidR="00CD7ADE" w:rsidRPr="00CC286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111C"/>
    <w:rsid w:val="0000246C"/>
    <w:rsid w:val="000B7157"/>
    <w:rsid w:val="00125CB9"/>
    <w:rsid w:val="0024111C"/>
    <w:rsid w:val="003A1F9C"/>
    <w:rsid w:val="0056107F"/>
    <w:rsid w:val="00603BE7"/>
    <w:rsid w:val="006B7244"/>
    <w:rsid w:val="006D4801"/>
    <w:rsid w:val="00713932"/>
    <w:rsid w:val="007B26BF"/>
    <w:rsid w:val="007E2CB3"/>
    <w:rsid w:val="007E6AC2"/>
    <w:rsid w:val="008D0F19"/>
    <w:rsid w:val="00934F4E"/>
    <w:rsid w:val="00A869BC"/>
    <w:rsid w:val="00C95DBA"/>
    <w:rsid w:val="00CC286B"/>
    <w:rsid w:val="00CD7ADE"/>
    <w:rsid w:val="00DA2F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6082F8"/>
  <w15:chartTrackingRefBased/>
  <w15:docId w15:val="{9837F547-60D4-4B79-9FC1-30648E7A2C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4111C"/>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semiHidden/>
    <w:unhideWhenUsed/>
    <w:qFormat/>
    <w:rsid w:val="0024111C"/>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24111C"/>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24111C"/>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24111C"/>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24111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4111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4111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4111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111C"/>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semiHidden/>
    <w:rsid w:val="0024111C"/>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24111C"/>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24111C"/>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24111C"/>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24111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4111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4111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4111C"/>
    <w:rPr>
      <w:rFonts w:eastAsiaTheme="majorEastAsia" w:cstheme="majorBidi"/>
      <w:color w:val="272727" w:themeColor="text1" w:themeTint="D8"/>
    </w:rPr>
  </w:style>
  <w:style w:type="paragraph" w:styleId="Title">
    <w:name w:val="Title"/>
    <w:basedOn w:val="Normal"/>
    <w:next w:val="Normal"/>
    <w:link w:val="TitleChar"/>
    <w:uiPriority w:val="10"/>
    <w:qFormat/>
    <w:rsid w:val="0024111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4111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4111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4111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4111C"/>
    <w:pPr>
      <w:spacing w:before="160"/>
      <w:jc w:val="center"/>
    </w:pPr>
    <w:rPr>
      <w:i/>
      <w:iCs/>
      <w:color w:val="404040" w:themeColor="text1" w:themeTint="BF"/>
    </w:rPr>
  </w:style>
  <w:style w:type="character" w:customStyle="1" w:styleId="QuoteChar">
    <w:name w:val="Quote Char"/>
    <w:basedOn w:val="DefaultParagraphFont"/>
    <w:link w:val="Quote"/>
    <w:uiPriority w:val="29"/>
    <w:rsid w:val="0024111C"/>
    <w:rPr>
      <w:i/>
      <w:iCs/>
      <w:color w:val="404040" w:themeColor="text1" w:themeTint="BF"/>
    </w:rPr>
  </w:style>
  <w:style w:type="paragraph" w:styleId="ListParagraph">
    <w:name w:val="List Paragraph"/>
    <w:basedOn w:val="Normal"/>
    <w:uiPriority w:val="34"/>
    <w:qFormat/>
    <w:rsid w:val="0024111C"/>
    <w:pPr>
      <w:ind w:left="720"/>
      <w:contextualSpacing/>
    </w:pPr>
  </w:style>
  <w:style w:type="character" w:styleId="IntenseEmphasis">
    <w:name w:val="Intense Emphasis"/>
    <w:basedOn w:val="DefaultParagraphFont"/>
    <w:uiPriority w:val="21"/>
    <w:qFormat/>
    <w:rsid w:val="0024111C"/>
    <w:rPr>
      <w:i/>
      <w:iCs/>
      <w:color w:val="2E74B5" w:themeColor="accent1" w:themeShade="BF"/>
    </w:rPr>
  </w:style>
  <w:style w:type="paragraph" w:styleId="IntenseQuote">
    <w:name w:val="Intense Quote"/>
    <w:basedOn w:val="Normal"/>
    <w:next w:val="Normal"/>
    <w:link w:val="IntenseQuoteChar"/>
    <w:uiPriority w:val="30"/>
    <w:qFormat/>
    <w:rsid w:val="0024111C"/>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24111C"/>
    <w:rPr>
      <w:i/>
      <w:iCs/>
      <w:color w:val="2E74B5" w:themeColor="accent1" w:themeShade="BF"/>
    </w:rPr>
  </w:style>
  <w:style w:type="character" w:styleId="IntenseReference">
    <w:name w:val="Intense Reference"/>
    <w:basedOn w:val="DefaultParagraphFont"/>
    <w:uiPriority w:val="32"/>
    <w:qFormat/>
    <w:rsid w:val="0024111C"/>
    <w:rPr>
      <w:b/>
      <w:bCs/>
      <w:smallCaps/>
      <w:color w:val="2E74B5" w:themeColor="accent1" w:themeShade="BF"/>
      <w:spacing w:val="5"/>
    </w:rPr>
  </w:style>
  <w:style w:type="paragraph" w:styleId="Caption">
    <w:name w:val="caption"/>
    <w:basedOn w:val="Normal"/>
    <w:next w:val="Normal"/>
    <w:uiPriority w:val="35"/>
    <w:unhideWhenUsed/>
    <w:qFormat/>
    <w:rsid w:val="000B7157"/>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7E2CB3"/>
    <w:pPr>
      <w:spacing w:after="0"/>
    </w:pPr>
  </w:style>
  <w:style w:type="character" w:styleId="Hyperlink">
    <w:name w:val="Hyperlink"/>
    <w:basedOn w:val="DefaultParagraphFont"/>
    <w:uiPriority w:val="99"/>
    <w:unhideWhenUsed/>
    <w:rsid w:val="007E2CB3"/>
    <w:rPr>
      <w:color w:val="0563C1" w:themeColor="hyperlink"/>
      <w:u w:val="single"/>
    </w:rPr>
  </w:style>
  <w:style w:type="character" w:styleId="UnresolvedMention">
    <w:name w:val="Unresolved Mention"/>
    <w:basedOn w:val="DefaultParagraphFont"/>
    <w:uiPriority w:val="99"/>
    <w:semiHidden/>
    <w:unhideWhenUsed/>
    <w:rsid w:val="00CD7AD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5767129">
      <w:bodyDiv w:val="1"/>
      <w:marLeft w:val="0"/>
      <w:marRight w:val="0"/>
      <w:marTop w:val="0"/>
      <w:marBottom w:val="0"/>
      <w:divBdr>
        <w:top w:val="none" w:sz="0" w:space="0" w:color="auto"/>
        <w:left w:val="none" w:sz="0" w:space="0" w:color="auto"/>
        <w:bottom w:val="none" w:sz="0" w:space="0" w:color="auto"/>
        <w:right w:val="none" w:sz="0" w:space="0" w:color="auto"/>
      </w:divBdr>
      <w:divsChild>
        <w:div w:id="1816098514">
          <w:marLeft w:val="0"/>
          <w:marRight w:val="0"/>
          <w:marTop w:val="0"/>
          <w:marBottom w:val="0"/>
          <w:divBdr>
            <w:top w:val="none" w:sz="0" w:space="0" w:color="auto"/>
            <w:left w:val="none" w:sz="0" w:space="0" w:color="auto"/>
            <w:bottom w:val="none" w:sz="0" w:space="0" w:color="auto"/>
            <w:right w:val="none" w:sz="0" w:space="0" w:color="auto"/>
          </w:divBdr>
        </w:div>
      </w:divsChild>
    </w:div>
    <w:div w:id="1005009607">
      <w:bodyDiv w:val="1"/>
      <w:marLeft w:val="0"/>
      <w:marRight w:val="0"/>
      <w:marTop w:val="0"/>
      <w:marBottom w:val="0"/>
      <w:divBdr>
        <w:top w:val="none" w:sz="0" w:space="0" w:color="auto"/>
        <w:left w:val="none" w:sz="0" w:space="0" w:color="auto"/>
        <w:bottom w:val="none" w:sz="0" w:space="0" w:color="auto"/>
        <w:right w:val="none" w:sz="0" w:space="0" w:color="auto"/>
      </w:divBdr>
    </w:div>
    <w:div w:id="1465804591">
      <w:bodyDiv w:val="1"/>
      <w:marLeft w:val="0"/>
      <w:marRight w:val="0"/>
      <w:marTop w:val="0"/>
      <w:marBottom w:val="0"/>
      <w:divBdr>
        <w:top w:val="none" w:sz="0" w:space="0" w:color="auto"/>
        <w:left w:val="none" w:sz="0" w:space="0" w:color="auto"/>
        <w:bottom w:val="none" w:sz="0" w:space="0" w:color="auto"/>
        <w:right w:val="none" w:sz="0" w:space="0" w:color="auto"/>
      </w:divBdr>
      <w:divsChild>
        <w:div w:id="140983989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enmf.2021.02.001" TargetMode="Externa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hyperlink" Target="https://doi.org/10.1002/(sici)1097-4628(20000718)77:3%3C538::aid-app9%3E3.0.co;2-x" TargetMode="External"/><Relationship Id="rId4" Type="http://schemas.openxmlformats.org/officeDocument/2006/relationships/webSettings" Target="webSettings.xml"/><Relationship Id="rId9" Type="http://schemas.openxmlformats.org/officeDocument/2006/relationships/hyperlink" Target="https://doi.org/10.1016/j.csite.2025.10629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3D0B15-CD20-4B2B-BF57-348427AF38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116</TotalTime>
  <Pages>5</Pages>
  <Words>858</Words>
  <Characters>4895</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Authorised Company</Company>
  <LinksUpToDate>false</LinksUpToDate>
  <CharactersWithSpaces>5742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Appleby</dc:creator>
  <cp:keywords/>
  <dc:description/>
  <cp:lastModifiedBy>Thomas Appleby</cp:lastModifiedBy>
  <cp:revision>4</cp:revision>
  <dcterms:created xsi:type="dcterms:W3CDTF">2026-01-17T15:38:00Z</dcterms:created>
  <dcterms:modified xsi:type="dcterms:W3CDTF">2026-01-17T17:39:00Z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b0140c2a-7195-4538-b29d-0802498180ca_Enabled">
    <vt:lpwstr>true</vt:lpwstr>
  </property>
  <property fmtid="{D5CDD505-2E9C-101B-9397-08002B2CF9AE}" pid="3" name="MSIP_Label_b0140c2a-7195-4538-b29d-0802498180ca_SetDate">
    <vt:lpwstr>2026-01-17T17:14:51Z</vt:lpwstr>
  </property>
  <property fmtid="{D5CDD505-2E9C-101B-9397-08002B2CF9AE}" pid="4" name="MSIP_Label_b0140c2a-7195-4538-b29d-0802498180ca_Method">
    <vt:lpwstr>Privileged</vt:lpwstr>
  </property>
  <property fmtid="{D5CDD505-2E9C-101B-9397-08002B2CF9AE}" pid="5" name="MSIP_Label_b0140c2a-7195-4538-b29d-0802498180ca_Name">
    <vt:lpwstr>O</vt:lpwstr>
  </property>
  <property fmtid="{D5CDD505-2E9C-101B-9397-08002B2CF9AE}" pid="6" name="MSIP_Label_b0140c2a-7195-4538-b29d-0802498180ca_SiteId">
    <vt:lpwstr>46c7b800-8aa6-4143-a299-3de8679a6ef7</vt:lpwstr>
  </property>
  <property fmtid="{D5CDD505-2E9C-101B-9397-08002B2CF9AE}" pid="7" name="MSIP_Label_b0140c2a-7195-4538-b29d-0802498180ca_ActionId">
    <vt:lpwstr>e23c0148-9fe0-4915-af06-5ab630a6451a</vt:lpwstr>
  </property>
  <property fmtid="{D5CDD505-2E9C-101B-9397-08002B2CF9AE}" pid="8" name="MSIP_Label_b0140c2a-7195-4538-b29d-0802498180ca_ContentBits">
    <vt:lpwstr>0</vt:lpwstr>
  </property>
  <property fmtid="{D5CDD505-2E9C-101B-9397-08002B2CF9AE}" pid="9" name="MSIP_Label_b0140c2a-7195-4538-b29d-0802498180ca_Tag">
    <vt:lpwstr>10, 0, 1, 1</vt:lpwstr>
  </property>
</Properties>
</file>