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9F517" w14:textId="77777777" w:rsidR="00E26EF4" w:rsidRDefault="00E26EF4">
      <w:pPr>
        <w:spacing w:line="259" w:lineRule="auto"/>
        <w:jc w:val="left"/>
        <w:rPr>
          <w:rFonts w:ascii="Helvetica Neue" w:eastAsia="Times New Roman" w:hAnsi="Helvetica Neue" w:cs="Times New Roman"/>
          <w:b/>
          <w:bCs/>
          <w:sz w:val="32"/>
          <w:szCs w:val="32"/>
          <w:shd w:val="clear" w:color="auto" w:fill="FFFFFF"/>
          <w:lang w:eastAsia="en-GB"/>
        </w:rPr>
      </w:pPr>
      <w:r>
        <w:rPr>
          <w:rFonts w:ascii="Helvetica Neue" w:eastAsia="Times New Roman" w:hAnsi="Helvetica Neue" w:cs="Times New Roman"/>
          <w:b/>
          <w:bCs/>
          <w:sz w:val="32"/>
          <w:szCs w:val="32"/>
          <w:shd w:val="clear" w:color="auto" w:fill="FFFFFF"/>
          <w:lang w:eastAsia="en-GB"/>
        </w:rPr>
        <w:t xml:space="preserve">Anamaria Ionescu     </w:t>
      </w:r>
    </w:p>
    <w:p w14:paraId="6847F47F" w14:textId="77777777" w:rsidR="00E26EF4" w:rsidRDefault="00E26EF4">
      <w:pPr>
        <w:spacing w:line="259" w:lineRule="auto"/>
        <w:jc w:val="left"/>
        <w:rPr>
          <w:rFonts w:ascii="Helvetica Neue" w:eastAsia="Times New Roman" w:hAnsi="Helvetica Neue" w:cs="Times New Roman"/>
          <w:b/>
          <w:bCs/>
          <w:sz w:val="32"/>
          <w:szCs w:val="32"/>
          <w:shd w:val="clear" w:color="auto" w:fill="FFFFFF"/>
          <w:lang w:eastAsia="en-GB"/>
        </w:rPr>
      </w:pPr>
      <w:r>
        <w:rPr>
          <w:rFonts w:ascii="Helvetica Neue" w:eastAsia="Times New Roman" w:hAnsi="Helvetica Neue" w:cs="Times New Roman"/>
          <w:b/>
          <w:bCs/>
          <w:sz w:val="32"/>
          <w:szCs w:val="32"/>
          <w:shd w:val="clear" w:color="auto" w:fill="FFFFFF"/>
          <w:lang w:eastAsia="en-GB"/>
        </w:rPr>
        <w:t xml:space="preserve">Personal </w:t>
      </w:r>
      <w:proofErr w:type="spellStart"/>
      <w:r>
        <w:rPr>
          <w:rFonts w:ascii="Helvetica Neue" w:eastAsia="Times New Roman" w:hAnsi="Helvetica Neue" w:cs="Times New Roman"/>
          <w:b/>
          <w:bCs/>
          <w:sz w:val="32"/>
          <w:szCs w:val="32"/>
          <w:shd w:val="clear" w:color="auto" w:fill="FFFFFF"/>
          <w:lang w:eastAsia="en-GB"/>
        </w:rPr>
        <w:t>Resourcing&amp;Development</w:t>
      </w:r>
      <w:proofErr w:type="spellEnd"/>
      <w:r>
        <w:rPr>
          <w:rFonts w:ascii="Helvetica Neue" w:eastAsia="Times New Roman" w:hAnsi="Helvetica Neue" w:cs="Times New Roman"/>
          <w:b/>
          <w:bCs/>
          <w:sz w:val="32"/>
          <w:szCs w:val="32"/>
          <w:shd w:val="clear" w:color="auto" w:fill="FFFFFF"/>
          <w:lang w:eastAsia="en-GB"/>
        </w:rPr>
        <w:t xml:space="preserve"> (BHIH5005)       </w:t>
      </w:r>
    </w:p>
    <w:p w14:paraId="191F97D7" w14:textId="2EBABABD" w:rsidR="00C315C1" w:rsidRPr="00E26EF4" w:rsidRDefault="00E26EF4">
      <w:pPr>
        <w:spacing w:line="259" w:lineRule="auto"/>
        <w:jc w:val="left"/>
        <w:rPr>
          <w:rFonts w:ascii="Helvetica Neue" w:eastAsia="Times New Roman" w:hAnsi="Helvetica Neue" w:cs="Times New Roman"/>
          <w:b/>
          <w:bCs/>
          <w:sz w:val="32"/>
          <w:szCs w:val="32"/>
          <w:shd w:val="clear" w:color="auto" w:fill="FFFFFF"/>
          <w:lang w:eastAsia="en-GB"/>
        </w:rPr>
      </w:pPr>
      <w:r>
        <w:rPr>
          <w:rFonts w:ascii="Helvetica Neue" w:eastAsia="Times New Roman" w:hAnsi="Helvetica Neue" w:cs="Times New Roman"/>
          <w:b/>
          <w:bCs/>
          <w:sz w:val="32"/>
          <w:szCs w:val="32"/>
          <w:shd w:val="clear" w:color="auto" w:fill="FFFFFF"/>
          <w:lang w:eastAsia="en-GB"/>
        </w:rPr>
        <w:t xml:space="preserve">Kathryn Roberts                                                                                                                                        </w:t>
      </w:r>
      <w:r w:rsidR="00C315C1" w:rsidRPr="00414E30">
        <w:br w:type="page"/>
      </w:r>
    </w:p>
    <w:p w14:paraId="0BEB37EE" w14:textId="77777777" w:rsidR="001834FC" w:rsidRPr="00414E30" w:rsidRDefault="001834FC" w:rsidP="001834FC">
      <w:pPr>
        <w:pStyle w:val="Heading1"/>
        <w:sectPr w:rsidR="001834FC" w:rsidRPr="00414E30" w:rsidSect="001834FC">
          <w:footerReference w:type="default" r:id="rId7"/>
          <w:pgSz w:w="12240" w:h="15840"/>
          <w:pgMar w:top="1440" w:right="1440" w:bottom="1440" w:left="1440" w:header="720" w:footer="720" w:gutter="0"/>
          <w:pgNumType w:fmt="lowerRoman"/>
          <w:cols w:space="720"/>
          <w:docGrid w:linePitch="360"/>
        </w:sectPr>
      </w:pPr>
    </w:p>
    <w:p w14:paraId="1133F87D" w14:textId="632FA1D2" w:rsidR="001834FC" w:rsidRPr="00414E30" w:rsidRDefault="003320DD" w:rsidP="000F02BF">
      <w:r w:rsidRPr="00414E30">
        <w:lastRenderedPageBreak/>
        <w:t>No matter what size or industry a company operates in, investing in personnel resources and training is crucial to its long-term success. It is necessary to manage an employee's performance and potential during their time with the organization. This management funct</w:t>
      </w:r>
      <w:r w:rsidR="00C315C1" w:rsidRPr="00414E30">
        <w:t xml:space="preserve">ion is a critical component of </w:t>
      </w:r>
      <w:r w:rsidRPr="00414E30">
        <w:t>the element of human resource management that is concerned with recruiting and releasing employees from the business</w:t>
      </w:r>
      <w:r w:rsidR="00C315C1" w:rsidRPr="00414E30">
        <w:t xml:space="preserve"> (</w:t>
      </w:r>
      <w:r w:rsidR="00C315C1" w:rsidRPr="00414E30">
        <w:rPr>
          <w:rFonts w:cs="Times New Roman"/>
          <w:szCs w:val="20"/>
          <w:shd w:val="clear" w:color="auto" w:fill="FFFFFF"/>
        </w:rPr>
        <w:t>Cheetham, 2022)</w:t>
      </w:r>
      <w:r w:rsidRPr="00414E30">
        <w:t xml:space="preserve">. </w:t>
      </w:r>
      <w:r w:rsidR="005A5C3D" w:rsidRPr="00414E30">
        <w:t>In addition to supporting company goals, staff development entails developing individual potential while respecting and leveraging diversity</w:t>
      </w:r>
      <w:r w:rsidRPr="00414E30">
        <w:t xml:space="preserve">. Employer </w:t>
      </w:r>
      <w:r w:rsidR="00225DB7" w:rsidRPr="00414E30">
        <w:t>R</w:t>
      </w:r>
      <w:r w:rsidRPr="00414E30">
        <w:t>ecruitment and training expenditures can have a significant impact on an organization's bottom line while also strengthening the human resources department.</w:t>
      </w:r>
      <w:r w:rsidR="001834FC" w:rsidRPr="00414E30">
        <w:br w:type="page"/>
      </w:r>
    </w:p>
    <w:p w14:paraId="1A5268B8" w14:textId="3FC0EDDF" w:rsidR="008F2FE6" w:rsidRPr="00414E30" w:rsidRDefault="008F2FE6" w:rsidP="003320DD">
      <w:bookmarkStart w:id="0" w:name="_Toc531564975"/>
      <w:r w:rsidRPr="00414E30">
        <w:lastRenderedPageBreak/>
        <w:t xml:space="preserve">As the British recruitment sector continues to be buffeted by Brexit uncertainty, it can be found at every level of society, from the dinner table to Parliament. For the greater recruitment community here in Britain, our three </w:t>
      </w:r>
      <w:proofErr w:type="spellStart"/>
      <w:r w:rsidRPr="00414E30">
        <w:t>panelists</w:t>
      </w:r>
      <w:proofErr w:type="spellEnd"/>
      <w:r w:rsidRPr="00414E30">
        <w:t xml:space="preserve"> looked at how Brexit will affect hiring, retention, and recruiting. There was also a lot of discussion on what might happen in the future and how to deal with it. In the meantime, you may catch up on the most significant takeaways from the panel's hour-long conversation by checking out the video embedded below.</w:t>
      </w:r>
    </w:p>
    <w:p w14:paraId="66DBAC9D" w14:textId="324B3AC5" w:rsidR="003320DD" w:rsidRPr="00414E30" w:rsidRDefault="003320DD" w:rsidP="003320DD">
      <w:r w:rsidRPr="00414E30">
        <w:t>The success of a corporation is influenced by both internal and external variables. Due to these considerations, it is believed that the business entity will operate under a predetermined set of environmental conditions. Generally speaking, these factors are outside the control of corporations. When the surrounding environment of a firm changes, it has the potential to have a substantial impact on the advancement, success, and survival of the company.</w:t>
      </w:r>
      <w:r w:rsidR="00225DB7" w:rsidRPr="00414E30">
        <w:t xml:space="preserve"> </w:t>
      </w:r>
      <w:r w:rsidRPr="00414E30">
        <w:t>A range of external forces interact</w:t>
      </w:r>
      <w:r w:rsidR="00225DB7" w:rsidRPr="00414E30">
        <w:t>s</w:t>
      </w:r>
      <w:r w:rsidRPr="00414E30">
        <w:t xml:space="preserve"> with an organization's operational behaviour, which is a complex process. It could be expressed in terms of receiving inputs, producing outputs, and adjusting inputs and the transformation process in response to feedback received from users, among other things. Even more critically, the organization cannot work in isolation; it must engage with and learn from the outside world to survive. Over time, there may be a wide range of levels of engagement between firms, along with var</w:t>
      </w:r>
      <w:r w:rsidR="00225DB7" w:rsidRPr="00414E30">
        <w:t>ying</w:t>
      </w:r>
      <w:r w:rsidRPr="00414E30">
        <w:t xml:space="preserve"> amounts of impact on the organizations' bottom lines.</w:t>
      </w:r>
      <w:r w:rsidR="00C315C1" w:rsidRPr="00414E30">
        <w:t xml:space="preserve"> </w:t>
      </w:r>
      <w:r w:rsidRPr="00414E30">
        <w:t xml:space="preserve">The world in which we live is dynamic and constantly evolving. </w:t>
      </w:r>
      <w:r w:rsidR="00225DB7" w:rsidRPr="00414E30">
        <w:t>Businesses need</w:t>
      </w:r>
      <w:r w:rsidRPr="00414E30">
        <w:t xml:space="preserve"> to be aware of how the environment is changing and how this may </w:t>
      </w:r>
      <w:r w:rsidR="00225DB7" w:rsidRPr="00414E30">
        <w:t>a</w:t>
      </w:r>
      <w:r w:rsidRPr="00414E30">
        <w:t>ffect their operations in the future</w:t>
      </w:r>
      <w:r w:rsidR="00C315C1" w:rsidRPr="00414E30">
        <w:t xml:space="preserve"> (</w:t>
      </w:r>
      <w:proofErr w:type="spellStart"/>
      <w:r w:rsidR="00C315C1" w:rsidRPr="00414E30">
        <w:rPr>
          <w:rFonts w:cs="Times New Roman"/>
          <w:szCs w:val="24"/>
          <w:shd w:val="clear" w:color="auto" w:fill="FFFFFF"/>
        </w:rPr>
        <w:t>Bortnyk</w:t>
      </w:r>
      <w:proofErr w:type="spellEnd"/>
      <w:r w:rsidR="00C315C1" w:rsidRPr="00414E30">
        <w:rPr>
          <w:rFonts w:cs="Times New Roman"/>
          <w:szCs w:val="24"/>
          <w:shd w:val="clear" w:color="auto" w:fill="FFFFFF"/>
        </w:rPr>
        <w:t>, 2020)</w:t>
      </w:r>
      <w:r w:rsidRPr="00414E30">
        <w:t>. For managers to engage in strategic thinking, they must have a thorough awareness of the impact that their industry's structure and competitive dynamics have on their company's performance and profitability. Management should be able to make better strategic decisions if they have a better awareness of the dynamics in their industry that create possibilities and hazards for growth.</w:t>
      </w:r>
      <w:r w:rsidR="00C315C1" w:rsidRPr="00414E30">
        <w:t xml:space="preserve"> </w:t>
      </w:r>
      <w:r w:rsidRPr="00414E30">
        <w:t>Succession-oriented managers must be able to evaluate their company's external environment for both possibilities and risks. If you want your company to survive and succeed, the external environment is critical. Various external elements have an impact on a company's decision-making process. Here are a few examples. This category includes the inputs to an organization that are influenced by or controlled by other organizations or interest groups, such as the economy, as well as the outputs of an organization. • Anderson and Professor Paire are two of the most prominent figures in the field.</w:t>
      </w:r>
    </w:p>
    <w:p w14:paraId="30BCDE8C" w14:textId="47E697C9" w:rsidR="00225DB7" w:rsidRPr="00414E30" w:rsidRDefault="003320DD" w:rsidP="005A5C3D">
      <w:r w:rsidRPr="00414E30">
        <w:lastRenderedPageBreak/>
        <w:t xml:space="preserve">The term 'environment' refers to the complex interaction of the market, production, and finance, which are the three key components of </w:t>
      </w:r>
      <w:r w:rsidR="00225DB7" w:rsidRPr="00414E30">
        <w:t>the contemporary business world.</w:t>
      </w:r>
      <w:r w:rsidRPr="00414E30">
        <w:t xml:space="preserve"> An organization's business environment is comprised of all of the conditions, events, and factors that surround and influence the organization's business environment. When all of its components interact with one another, it expands and changes into something quite different. In comparison to the entire business environment, the environment of a single company is much smaller. Complicated and constantly changing Keep in mind that the external environment of an organization encompasses all of the factors that exist outside of the organization and have an impact on the company's activities. Every organization has an ecosystem that exists outside of the formal boundaries of the organization. The external environment is comprised of all of the factors, circumstances, and forces that surround and influence an organization. Customers, members of other organizations, residents, suppliers' organizations, civil groups, labour unions, and government bodies all contribute to the environment in which we live and conduct business, and they all play a role in shaping it</w:t>
      </w:r>
      <w:r w:rsidR="00C315C1" w:rsidRPr="00414E30">
        <w:t xml:space="preserve"> (</w:t>
      </w:r>
      <w:r w:rsidR="00C315C1" w:rsidRPr="00414E30">
        <w:rPr>
          <w:rFonts w:cs="Times New Roman"/>
          <w:szCs w:val="20"/>
          <w:shd w:val="clear" w:color="auto" w:fill="FFFFFF"/>
        </w:rPr>
        <w:t>Shukla and Sharma, 2019)</w:t>
      </w:r>
      <w:r w:rsidRPr="00414E30">
        <w:t xml:space="preserve">. It is included in this definition both those who are capable of exerting influence over a company's management system, as well as individuals who may be adversely affected by the company's </w:t>
      </w:r>
      <w:r w:rsidR="006C63B4" w:rsidRPr="00414E30">
        <w:t>actions. All</w:t>
      </w:r>
      <w:r w:rsidRPr="00414E30">
        <w:t xml:space="preserve"> external elements that have an impact on a business in </w:t>
      </w:r>
      <w:r w:rsidR="00225DB7" w:rsidRPr="00414E30">
        <w:t>some</w:t>
      </w:r>
      <w:r w:rsidRPr="00414E30">
        <w:t xml:space="preserve"> ways and are outside the control of the business are grouped </w:t>
      </w:r>
      <w:r w:rsidR="00225DB7" w:rsidRPr="00414E30">
        <w:t>as external factors.</w:t>
      </w:r>
      <w:r w:rsidRPr="00414E30">
        <w:t xml:space="preserve"> The macro-level environments, on the other hand, contain both the general and the industrial contexts. The following illustration shows how everything is arranged. This has resulted in the division of the business environment into two categories: the general environmen</w:t>
      </w:r>
      <w:r w:rsidR="006C63B4" w:rsidRPr="00414E30">
        <w:t xml:space="preserve">t and the industry environment. </w:t>
      </w:r>
      <w:r w:rsidR="005A5C3D" w:rsidRPr="00414E30">
        <w:t>An industry's macro-environment includes the broader economic, social, demographic, political, legal, and technological frameworks in which it operates. Thi</w:t>
      </w:r>
      <w:r w:rsidR="00C315C1" w:rsidRPr="00414E30">
        <w:t>s style of the workplace is called indirect action.</w:t>
      </w:r>
      <w:r w:rsidR="005A5C3D" w:rsidRPr="00414E30">
        <w:t xml:space="preserve"> Forces don't directly affect operations, but they do influence how they are performed.</w:t>
      </w:r>
    </w:p>
    <w:p w14:paraId="5F685DA3" w14:textId="3DF1B93C" w:rsidR="008F2FE6" w:rsidRPr="00414E30" w:rsidRDefault="008F2FE6" w:rsidP="008F2FE6">
      <w:r w:rsidRPr="00414E30">
        <w:t>To stop the coronavirus from spreading and preserve lives, governments throughout the world are being compelled to adopt severe measures that will have a substantial impact on the economy. A lockdown order was issued by the United Kingdom on March 23, 2020, in an attempt to contain the COVID-19 outbreak there. Public health appears to be improving, but it's having a negative influence on the economy because of this.</w:t>
      </w:r>
      <w:r w:rsidR="0050483E" w:rsidRPr="00414E30">
        <w:t xml:space="preserve"> During a typical lockdown week in May 2020, we estimate that economic activity (as measured by GDP) will be around 30% lower than it was in February 2020 (</w:t>
      </w:r>
      <w:r w:rsidR="0050483E" w:rsidRPr="00414E30">
        <w:rPr>
          <w:rFonts w:cs="Times New Roman"/>
          <w:szCs w:val="20"/>
          <w:shd w:val="clear" w:color="auto" w:fill="FFFFFF"/>
        </w:rPr>
        <w:t>Qadan et al., 2021)</w:t>
      </w:r>
      <w:r w:rsidR="0050483E" w:rsidRPr="00414E30">
        <w:t xml:space="preserve">. The Office of National Statistics found that </w:t>
      </w:r>
      <w:r w:rsidR="0050483E" w:rsidRPr="00414E30">
        <w:lastRenderedPageBreak/>
        <w:t xml:space="preserve">23% of enterprises had either permanently discontinued or temporarily halted their operations between April 6, 2020 and April 19, 2020. Furthermore, revenues fell for almost 60% of the enterprises that remained to operate. 1 A recovery in the economy is expected to begin once restrictions on economic activity are eased, although the speed at which this occurs and the patterns it follows are very unpredictable. Fewer than one percent of companies reported permanently closing their doors or laying off workers during that </w:t>
      </w:r>
      <w:proofErr w:type="gramStart"/>
      <w:r w:rsidR="0050483E" w:rsidRPr="00414E30">
        <w:t>time period</w:t>
      </w:r>
      <w:proofErr w:type="gramEnd"/>
      <w:r w:rsidR="0050483E" w:rsidRPr="00414E30">
        <w:t>. In contrast, it is expected that the lockdown's repercussions will eventually lead to a significant loss of employment. To continue to pay their employees and hire new staff, firms may find it difficult when the government withdraws support. When the 'new normal' way of living was coupled with a considerable disruption of economic operations, it resulted in the catastrophe that befell UK economy (</w:t>
      </w:r>
      <w:r w:rsidR="0050483E" w:rsidRPr="00414E30">
        <w:rPr>
          <w:rFonts w:cs="Times New Roman"/>
          <w:szCs w:val="20"/>
          <w:shd w:val="clear" w:color="auto" w:fill="FFFFFF"/>
        </w:rPr>
        <w:t>Araujo-Cabrera et al., 2021)</w:t>
      </w:r>
      <w:r w:rsidR="0050483E" w:rsidRPr="00414E30">
        <w:t>. A patchwork effect was created by the COVID-19 outbreak both geographically and with regard to the economic activities that it affected. The COVID-19 pandemic had a particularly severe impact on the industry as a result of this. The government's nationwide lockdown compelled hotels, motels, restaurants, and other transportation-related businesses to shut down. The airline sector suffered tremendous losses as a result of the cancellation of all flights to and from Bangladesh. COVID-19 continues to spread, even after the lockdown was progressively released beginning in June of 2020. This industry is exposed to the long-term impacts of the pandemic.</w:t>
      </w:r>
    </w:p>
    <w:p w14:paraId="13FD4C8D" w14:textId="41DD2AA7" w:rsidR="005A5C3D" w:rsidRPr="00414E30" w:rsidRDefault="005A5C3D" w:rsidP="006C63B4">
      <w:r w:rsidRPr="00414E30">
        <w:t>Human resources departments have a critical role in employee relations, training and development, and legal compliance. Since human resources (HR) is not directly involved in the production of goods and services, it may be considered a separate function of a firm. When it comes to a company's overall performance, an effective human resources department can make all the difference. An HR department's responsibilities include responding to a wide range of issues, both within and outside the organization. Human resources departments play a critical role in predicting future workforce needs. Increases in the number of unemployed people, the number of qualified workers within driving distance, and the availability of applicants with specific skills such as nursing or technology have an impact on a company's capacity to hire qualified people</w:t>
      </w:r>
      <w:r w:rsidR="00C315C1" w:rsidRPr="00414E30">
        <w:t xml:space="preserve"> (</w:t>
      </w:r>
      <w:proofErr w:type="spellStart"/>
      <w:r w:rsidR="00C315C1" w:rsidRPr="00414E30">
        <w:rPr>
          <w:rFonts w:cs="Times New Roman"/>
          <w:szCs w:val="20"/>
          <w:shd w:val="clear" w:color="auto" w:fill="FFFFFF"/>
        </w:rPr>
        <w:t>Storbacka</w:t>
      </w:r>
      <w:proofErr w:type="spellEnd"/>
      <w:r w:rsidR="00C315C1" w:rsidRPr="00414E30">
        <w:rPr>
          <w:rFonts w:cs="Times New Roman"/>
          <w:szCs w:val="20"/>
          <w:shd w:val="clear" w:color="auto" w:fill="FFFFFF"/>
        </w:rPr>
        <w:t xml:space="preserve"> et al., 2020)</w:t>
      </w:r>
      <w:r w:rsidRPr="00414E30">
        <w:t xml:space="preserve">. If a certain set of skills is in great demand across the industry, a business may have difficulty attracting and retaining qualified employees. </w:t>
      </w:r>
      <w:r w:rsidR="00C315C1" w:rsidRPr="00414E30">
        <w:t>The i</w:t>
      </w:r>
      <w:r w:rsidRPr="00414E30">
        <w:t>nsufficient local labo</w:t>
      </w:r>
      <w:r w:rsidR="00C315C1" w:rsidRPr="00414E30">
        <w:t>u</w:t>
      </w:r>
      <w:r w:rsidRPr="00414E30">
        <w:t xml:space="preserve">r market may be a factor. So, to recruit highly qualified applicants, HR managers may need to go beyond their local area and offer relocation aid. If you don't follow the </w:t>
      </w:r>
      <w:r w:rsidRPr="00414E30">
        <w:lastRenderedPageBreak/>
        <w:t xml:space="preserve">regulations, you may face sanctions or even legal action from employees, vendors, and customers. A corporation must be cautious while dealing with rules, from hiring and training to remuneration and discipline. Consider the organization's expected and continued growth impacts </w:t>
      </w:r>
      <w:r w:rsidR="00C315C1" w:rsidRPr="00414E30">
        <w:t xml:space="preserve">on </w:t>
      </w:r>
      <w:r w:rsidRPr="00414E30">
        <w:t>human resources. If a firm is rapidly expanding, its human resources department may need to focus on recruiting and staffing. Growing companies may devote more resources to keeping personnel and improving the workplace culture and environment, such as updating job descriptions and increasing salaries and benefits</w:t>
      </w:r>
      <w:r w:rsidR="00C315C1" w:rsidRPr="00414E30">
        <w:t xml:space="preserve"> (</w:t>
      </w:r>
      <w:r w:rsidR="00C315C1" w:rsidRPr="00414E30">
        <w:rPr>
          <w:rFonts w:cs="Times New Roman"/>
          <w:szCs w:val="20"/>
          <w:shd w:val="clear" w:color="auto" w:fill="FFFFFF"/>
        </w:rPr>
        <w:t>Graziano et al., 2020)</w:t>
      </w:r>
      <w:r w:rsidRPr="00414E30">
        <w:t>.</w:t>
      </w:r>
      <w:r w:rsidR="00C315C1" w:rsidRPr="00414E30">
        <w:t xml:space="preserve"> </w:t>
      </w:r>
      <w:r w:rsidRPr="00414E30">
        <w:t xml:space="preserve"> If a company must shrink, it may be obliged to fire employees. Human resource professionals often have to deliver this message.</w:t>
      </w:r>
    </w:p>
    <w:p w14:paraId="4F98B41C" w14:textId="01F5093D" w:rsidR="005A5C3D" w:rsidRPr="00414E30" w:rsidRDefault="005A5C3D" w:rsidP="00931F2B">
      <w:r w:rsidRPr="00414E30">
        <w:t>To be successful, an organization's personnel must be able to properly communicate with each other on the job. Managers must have excellent communication skills if they want their employees to understand their expectations and make valuable contributions to the company. Employee dissatisfaction can lead to decreased productivity, absenteeism, and a higher rate of job turnover if there isn't enough communication between managers and employees. Communication must be two-way to be effective. This means that instead of just distributing information to everyone in the company, communication should be a two-way dialogue between two or more stakeholders at all levels of the company. Body language and facial expressions should be considered as well as spoken exchanges when assessing a person's emotional state. Open lines of communication between employees are the most cost-effective approach for increasing productivity, along with managerial style, business culture, and interpersonal relationships. It is easier to fulfil goals when an organization has a democratically elected leader who allows all members to vote. Employees also have a stake in the company's success and can voice their concerns about its flexibility. So they not only show their dedication to the organization but also retain a pleasant attitude towards their work. Active listening is discouraged in authority positions. Authoritative leaders obstruct open dialogue and dismiss staff opinions, the authors claim. Members of an organization are discouraged from publicly criticizing its leader. So they can't learn more about what drives company decisions and procedures</w:t>
      </w:r>
      <w:r w:rsidR="00C315C1" w:rsidRPr="00414E30">
        <w:t xml:space="preserve"> (</w:t>
      </w:r>
      <w:r w:rsidR="00C315C1" w:rsidRPr="00414E30">
        <w:rPr>
          <w:rFonts w:cs="Times New Roman"/>
          <w:szCs w:val="20"/>
          <w:shd w:val="clear" w:color="auto" w:fill="FFFFFF"/>
        </w:rPr>
        <w:t>Men and Yue, 2019)</w:t>
      </w:r>
      <w:r w:rsidRPr="00414E30">
        <w:t xml:space="preserve">. In my managerial perspective, open communication fosters employee loyalty, fosters a creative work environment, and encourages equitable opportunity. In today's extremely competitive environment, organizations increasingly seek to team arrangements to improve overall performance. Teamwork helps employees move from </w:t>
      </w:r>
      <w:r w:rsidRPr="00414E30">
        <w:lastRenderedPageBreak/>
        <w:t>individualism to collectivism. Workplace dedication and accountability distinguish group work from other forms of collaboration. To be effective, teams must have a single goal, a clear vision of what they are trying to achieve, and well</w:t>
      </w:r>
      <w:r w:rsidR="00C315C1" w:rsidRPr="00414E30">
        <w:t>-</w:t>
      </w:r>
      <w:r w:rsidRPr="00414E30">
        <w:t>defined tasks.</w:t>
      </w:r>
    </w:p>
    <w:p w14:paraId="60E97B6E" w14:textId="028BE631" w:rsidR="00931F2B" w:rsidRPr="00414E30" w:rsidRDefault="00931F2B" w:rsidP="00931F2B">
      <w:r w:rsidRPr="00414E30">
        <w:t>To succeed in their mission, organizations must function as social systems that bring people from a variety of backgrounds and personalities together to achieve a shared purpose. Management can keep a watch on the results, adjust their plans in response to chang</w:t>
      </w:r>
      <w:r w:rsidR="00225DB7" w:rsidRPr="00414E30">
        <w:t>ing</w:t>
      </w:r>
      <w:r w:rsidRPr="00414E30">
        <w:t xml:space="preserve"> market conditions, and come up with new ideas for promoting their vision </w:t>
      </w:r>
      <w:proofErr w:type="gramStart"/>
      <w:r w:rsidRPr="00414E30">
        <w:t>through the use of</w:t>
      </w:r>
      <w:proofErr w:type="gramEnd"/>
      <w:r w:rsidRPr="00414E30">
        <w:t xml:space="preserve"> an effective feedback mechanism. Aside from that, they accomplish organizational alignment by making the most efficient use of existing resources to further improve the organization and its overall success. It is the goal of managers to raise employee morale by providing a work atmosphere that encourages stress reduction and quick decision-making. To boost employee performance, it is vital to create a more conducive work atmosphere that encourages people to express themselves and to be more productive. As a result, people perceive themselves as more valuable because they are informed of the most recent developments in the firm, its policies, and its objectives. </w:t>
      </w:r>
      <w:r w:rsidR="00225DB7" w:rsidRPr="00414E30">
        <w:t>F</w:t>
      </w:r>
      <w:r w:rsidRPr="00414E30">
        <w:t xml:space="preserve">or a company to be successful, it must have a </w:t>
      </w:r>
      <w:r w:rsidR="00225DB7" w:rsidRPr="00414E30">
        <w:t>well-functioning communication system</w:t>
      </w:r>
      <w:r w:rsidRPr="00414E30">
        <w:t xml:space="preserve"> and efficiently operates</w:t>
      </w:r>
      <w:r w:rsidR="00C315C1" w:rsidRPr="00414E30">
        <w:rPr>
          <w:rFonts w:cs="Times New Roman"/>
          <w:szCs w:val="20"/>
          <w:shd w:val="clear" w:color="auto" w:fill="FFFFFF"/>
        </w:rPr>
        <w:t xml:space="preserve"> (Meng and Berge, 2019)</w:t>
      </w:r>
      <w:r w:rsidRPr="00414E30">
        <w:t xml:space="preserve">. Employees are kept motivated and productive by ensuring that everyone knows and understands their respective tasks and duties, according to the company. </w:t>
      </w:r>
      <w:r w:rsidR="00225DB7" w:rsidRPr="00414E30">
        <w:t>Your firm must foster</w:t>
      </w:r>
      <w:r w:rsidRPr="00414E30">
        <w:t xml:space="preserve"> an environment of open communication if you want your staff to be happy and productive. When information and ideas are communicated efficiently and successfully, this is referred to as effective business communication. In the workplace, even though information and ideas are frequently exchanged back and forth, they are rarely conveyed accurately. As a competent communicator, you must be able to present your message in a way that ensures your audience understands what you are trying to communicate. Workplace tension or stress can be reduced through improving communication amongst employees. Disagreements are most often caused by poorly comprehended messages given through ineffective means of communication.</w:t>
      </w:r>
      <w:r w:rsidR="00225DB7" w:rsidRPr="00414E30">
        <w:t xml:space="preserve"> </w:t>
      </w:r>
      <w:r w:rsidRPr="00414E30">
        <w:t>Workers or other members of an organization may feel unappreciated, insulted, or disregarded as a result of expectations that have been misread or misconstrued by others.</w:t>
      </w:r>
      <w:r w:rsidR="00225DB7" w:rsidRPr="00414E30">
        <w:t xml:space="preserve"> Employees are more likely to be productive and efficient if they are enthusiastic about their jobs and understand exactly what is expected of them. </w:t>
      </w:r>
    </w:p>
    <w:bookmarkEnd w:id="0"/>
    <w:p w14:paraId="4D81AC26" w14:textId="02B6070C" w:rsidR="00C315C1" w:rsidRPr="00414E30" w:rsidRDefault="00C315C1" w:rsidP="00C315C1">
      <w:r w:rsidRPr="00414E30">
        <w:lastRenderedPageBreak/>
        <w:t>The inability to perform properly at work may result from employees' lack of understanding of their obligations and expectations, or from having only a limited number of resources at their disposal. Having the information they need at their fingertips and being able to communicate it effectively might help employees be more productive. To create a positive workplace atmosphere, it is essential to maintain an open channel of contact with all colleagues. The presence of so many people from such a varied range of backgrounds in a single workplace is certain to result in disagreements. A workplace culture that encourages open communication helps to create an environment in which all employees are regarded as equals and feel a feeling of belonging for all employees.</w:t>
      </w:r>
    </w:p>
    <w:p w14:paraId="3681A04B" w14:textId="77777777" w:rsidR="001834FC" w:rsidRPr="00414E30" w:rsidRDefault="001834FC">
      <w:r w:rsidRPr="00414E30">
        <w:br w:type="page"/>
      </w:r>
    </w:p>
    <w:p w14:paraId="17598CB2" w14:textId="61EB02A2" w:rsidR="001834FC" w:rsidRPr="00414E30" w:rsidRDefault="001834FC" w:rsidP="001834FC">
      <w:pPr>
        <w:pStyle w:val="Heading1"/>
      </w:pPr>
      <w:bookmarkStart w:id="1" w:name="_Toc531564976"/>
      <w:bookmarkStart w:id="2" w:name="_Toc102768192"/>
      <w:r w:rsidRPr="00414E30">
        <w:lastRenderedPageBreak/>
        <w:t>Reference</w:t>
      </w:r>
      <w:bookmarkEnd w:id="1"/>
      <w:bookmarkEnd w:id="2"/>
      <w:r w:rsidRPr="00414E30">
        <w:t xml:space="preserve"> </w:t>
      </w:r>
    </w:p>
    <w:p w14:paraId="70F3E70A" w14:textId="77777777" w:rsidR="00C315C1" w:rsidRPr="00414E30" w:rsidRDefault="00C315C1" w:rsidP="00C315C1">
      <w:pPr>
        <w:rPr>
          <w:rFonts w:cs="Times New Roman"/>
          <w:szCs w:val="24"/>
          <w:shd w:val="clear" w:color="auto" w:fill="FFFFFF"/>
        </w:rPr>
      </w:pPr>
      <w:proofErr w:type="spellStart"/>
      <w:r w:rsidRPr="00414E30">
        <w:rPr>
          <w:rFonts w:cs="Times New Roman"/>
          <w:szCs w:val="24"/>
          <w:shd w:val="clear" w:color="auto" w:fill="FFFFFF"/>
        </w:rPr>
        <w:t>Bortnyk</w:t>
      </w:r>
      <w:proofErr w:type="spellEnd"/>
      <w:r w:rsidRPr="00414E30">
        <w:rPr>
          <w:rFonts w:cs="Times New Roman"/>
          <w:szCs w:val="24"/>
          <w:shd w:val="clear" w:color="auto" w:fill="FFFFFF"/>
        </w:rPr>
        <w:t>, S.M., 2020. Development of Corporate Management in the System of Human Resourcing. </w:t>
      </w:r>
      <w:r w:rsidRPr="00414E30">
        <w:rPr>
          <w:rFonts w:cs="Times New Roman"/>
          <w:i/>
          <w:iCs/>
          <w:szCs w:val="24"/>
          <w:shd w:val="clear" w:color="auto" w:fill="FFFFFF"/>
        </w:rPr>
        <w:t>Law &amp; Safety</w:t>
      </w:r>
      <w:r w:rsidRPr="00414E30">
        <w:rPr>
          <w:rFonts w:cs="Times New Roman"/>
          <w:szCs w:val="24"/>
          <w:shd w:val="clear" w:color="auto" w:fill="FFFFFF"/>
        </w:rPr>
        <w:t>, p.45.</w:t>
      </w:r>
    </w:p>
    <w:p w14:paraId="57F35E19" w14:textId="77777777" w:rsidR="00C315C1" w:rsidRPr="00414E30" w:rsidRDefault="00C315C1" w:rsidP="00C315C1">
      <w:pPr>
        <w:rPr>
          <w:rFonts w:cs="Times New Roman"/>
          <w:szCs w:val="24"/>
          <w:shd w:val="clear" w:color="auto" w:fill="FFFFFF"/>
        </w:rPr>
      </w:pPr>
      <w:r w:rsidRPr="00414E30">
        <w:rPr>
          <w:rFonts w:cs="Times New Roman"/>
          <w:szCs w:val="20"/>
          <w:shd w:val="clear" w:color="auto" w:fill="FFFFFF"/>
        </w:rPr>
        <w:t xml:space="preserve">Cheetham, T., 2022. ‘A sad story of delay and obstructionism’: the impact of external relationships on the resourcing and development of Bletchley Park during the Second World </w:t>
      </w:r>
      <w:r w:rsidRPr="00414E30">
        <w:rPr>
          <w:rFonts w:cs="Times New Roman"/>
          <w:szCs w:val="24"/>
          <w:shd w:val="clear" w:color="auto" w:fill="FFFFFF"/>
        </w:rPr>
        <w:t>War. </w:t>
      </w:r>
      <w:r w:rsidRPr="00414E30">
        <w:rPr>
          <w:rFonts w:cs="Times New Roman"/>
          <w:i/>
          <w:iCs/>
          <w:szCs w:val="24"/>
          <w:shd w:val="clear" w:color="auto" w:fill="FFFFFF"/>
        </w:rPr>
        <w:t>Intelligence and National Security</w:t>
      </w:r>
      <w:r w:rsidRPr="00414E30">
        <w:rPr>
          <w:rFonts w:cs="Times New Roman"/>
          <w:szCs w:val="24"/>
          <w:shd w:val="clear" w:color="auto" w:fill="FFFFFF"/>
        </w:rPr>
        <w:t>, pp.1-18.</w:t>
      </w:r>
    </w:p>
    <w:p w14:paraId="2E6DBB7A" w14:textId="133AA4B2" w:rsidR="00C315C1" w:rsidRPr="00414E30" w:rsidRDefault="00C315C1" w:rsidP="00C315C1">
      <w:pPr>
        <w:rPr>
          <w:rFonts w:cs="Times New Roman"/>
          <w:szCs w:val="20"/>
          <w:shd w:val="clear" w:color="auto" w:fill="FFFFFF"/>
        </w:rPr>
      </w:pPr>
      <w:r w:rsidRPr="00414E30">
        <w:rPr>
          <w:rFonts w:cs="Times New Roman"/>
          <w:szCs w:val="20"/>
          <w:shd w:val="clear" w:color="auto" w:fill="FFFFFF"/>
        </w:rPr>
        <w:t>Men, L.R. and Yue, C.A., 2019. Creating a positive emotional culture: Effect of internal communication and impact on employee supportive behaviours. </w:t>
      </w:r>
      <w:r w:rsidRPr="00414E30">
        <w:rPr>
          <w:rFonts w:cs="Times New Roman"/>
          <w:i/>
          <w:iCs/>
          <w:szCs w:val="20"/>
          <w:shd w:val="clear" w:color="auto" w:fill="FFFFFF"/>
        </w:rPr>
        <w:t>Public relations review</w:t>
      </w:r>
      <w:r w:rsidRPr="00414E30">
        <w:rPr>
          <w:rFonts w:cs="Times New Roman"/>
          <w:szCs w:val="20"/>
          <w:shd w:val="clear" w:color="auto" w:fill="FFFFFF"/>
        </w:rPr>
        <w:t>, </w:t>
      </w:r>
      <w:r w:rsidRPr="00414E30">
        <w:rPr>
          <w:rFonts w:cs="Times New Roman"/>
          <w:i/>
          <w:iCs/>
          <w:szCs w:val="20"/>
          <w:shd w:val="clear" w:color="auto" w:fill="FFFFFF"/>
        </w:rPr>
        <w:t>45</w:t>
      </w:r>
      <w:r w:rsidRPr="00414E30">
        <w:rPr>
          <w:rFonts w:cs="Times New Roman"/>
          <w:szCs w:val="20"/>
          <w:shd w:val="clear" w:color="auto" w:fill="FFFFFF"/>
        </w:rPr>
        <w:t>(3), p.101764.</w:t>
      </w:r>
    </w:p>
    <w:p w14:paraId="42BDFB5B" w14:textId="77777777" w:rsidR="00C315C1" w:rsidRPr="00414E30" w:rsidRDefault="00C315C1" w:rsidP="00C315C1">
      <w:pPr>
        <w:rPr>
          <w:rFonts w:cs="Times New Roman"/>
          <w:sz w:val="72"/>
        </w:rPr>
      </w:pPr>
      <w:r w:rsidRPr="00414E30">
        <w:rPr>
          <w:rFonts w:cs="Times New Roman"/>
          <w:szCs w:val="20"/>
          <w:shd w:val="clear" w:color="auto" w:fill="FFFFFF"/>
        </w:rPr>
        <w:t>Meng, J. and Berger, B.K., 2019. The impact of organizational culture and leadership performance on PR professionals’ job satisfaction: Testing the joint mediating effects of engagement and trust. </w:t>
      </w:r>
      <w:r w:rsidRPr="00414E30">
        <w:rPr>
          <w:rFonts w:cs="Times New Roman"/>
          <w:i/>
          <w:iCs/>
          <w:szCs w:val="20"/>
          <w:shd w:val="clear" w:color="auto" w:fill="FFFFFF"/>
        </w:rPr>
        <w:t>Public Relations Review</w:t>
      </w:r>
      <w:r w:rsidRPr="00414E30">
        <w:rPr>
          <w:rFonts w:cs="Times New Roman"/>
          <w:szCs w:val="20"/>
          <w:shd w:val="clear" w:color="auto" w:fill="FFFFFF"/>
        </w:rPr>
        <w:t>, </w:t>
      </w:r>
      <w:r w:rsidRPr="00414E30">
        <w:rPr>
          <w:rFonts w:cs="Times New Roman"/>
          <w:i/>
          <w:iCs/>
          <w:szCs w:val="20"/>
          <w:shd w:val="clear" w:color="auto" w:fill="FFFFFF"/>
        </w:rPr>
        <w:t>45</w:t>
      </w:r>
      <w:r w:rsidRPr="00414E30">
        <w:rPr>
          <w:rFonts w:cs="Times New Roman"/>
          <w:szCs w:val="20"/>
          <w:shd w:val="clear" w:color="auto" w:fill="FFFFFF"/>
        </w:rPr>
        <w:t>(1), pp.64-75.</w:t>
      </w:r>
    </w:p>
    <w:p w14:paraId="0D60A934" w14:textId="77777777" w:rsidR="00C315C1" w:rsidRPr="00414E30" w:rsidRDefault="00C315C1" w:rsidP="00C315C1">
      <w:pPr>
        <w:rPr>
          <w:rFonts w:cs="Times New Roman"/>
          <w:szCs w:val="20"/>
          <w:shd w:val="clear" w:color="auto" w:fill="FFFFFF"/>
        </w:rPr>
      </w:pPr>
      <w:r w:rsidRPr="00414E30">
        <w:rPr>
          <w:rFonts w:cs="Times New Roman"/>
          <w:szCs w:val="20"/>
          <w:shd w:val="clear" w:color="auto" w:fill="FFFFFF"/>
        </w:rPr>
        <w:t xml:space="preserve">Möller, K., Nenonen, S. and </w:t>
      </w:r>
      <w:proofErr w:type="spellStart"/>
      <w:r w:rsidRPr="00414E30">
        <w:rPr>
          <w:rFonts w:cs="Times New Roman"/>
          <w:szCs w:val="20"/>
          <w:shd w:val="clear" w:color="auto" w:fill="FFFFFF"/>
        </w:rPr>
        <w:t>Storbacka</w:t>
      </w:r>
      <w:proofErr w:type="spellEnd"/>
      <w:r w:rsidRPr="00414E30">
        <w:rPr>
          <w:rFonts w:cs="Times New Roman"/>
          <w:szCs w:val="20"/>
          <w:shd w:val="clear" w:color="auto" w:fill="FFFFFF"/>
        </w:rPr>
        <w:t>, K., 2020. Networks, ecosystems, fields, market systems? Making sense of the business environment. </w:t>
      </w:r>
      <w:r w:rsidRPr="00414E30">
        <w:rPr>
          <w:rFonts w:cs="Times New Roman"/>
          <w:i/>
          <w:iCs/>
          <w:szCs w:val="20"/>
          <w:shd w:val="clear" w:color="auto" w:fill="FFFFFF"/>
        </w:rPr>
        <w:t>Industrial Marketing Management</w:t>
      </w:r>
      <w:r w:rsidRPr="00414E30">
        <w:rPr>
          <w:rFonts w:cs="Times New Roman"/>
          <w:szCs w:val="20"/>
          <w:shd w:val="clear" w:color="auto" w:fill="FFFFFF"/>
        </w:rPr>
        <w:t>, </w:t>
      </w:r>
      <w:r w:rsidRPr="00414E30">
        <w:rPr>
          <w:rFonts w:cs="Times New Roman"/>
          <w:i/>
          <w:iCs/>
          <w:szCs w:val="20"/>
          <w:shd w:val="clear" w:color="auto" w:fill="FFFFFF"/>
        </w:rPr>
        <w:t>90</w:t>
      </w:r>
      <w:r w:rsidRPr="00414E30">
        <w:rPr>
          <w:rFonts w:cs="Times New Roman"/>
          <w:szCs w:val="20"/>
          <w:shd w:val="clear" w:color="auto" w:fill="FFFFFF"/>
        </w:rPr>
        <w:t>, pp.380-399.</w:t>
      </w:r>
    </w:p>
    <w:p w14:paraId="5047ECE2" w14:textId="77777777" w:rsidR="00C315C1" w:rsidRPr="00414E30" w:rsidRDefault="00C315C1" w:rsidP="00C315C1">
      <w:pPr>
        <w:rPr>
          <w:rFonts w:cs="Times New Roman"/>
          <w:sz w:val="32"/>
          <w:szCs w:val="24"/>
        </w:rPr>
      </w:pPr>
      <w:r w:rsidRPr="00414E30">
        <w:rPr>
          <w:rFonts w:cs="Times New Roman"/>
          <w:szCs w:val="20"/>
          <w:shd w:val="clear" w:color="auto" w:fill="FFFFFF"/>
        </w:rPr>
        <w:t>Shukla, S.K. and Sharma, M.K., 2019. Managerial paradox toward flexibility: Emergent views using thematic analysis of literature. </w:t>
      </w:r>
      <w:r w:rsidRPr="00414E30">
        <w:rPr>
          <w:rFonts w:cs="Times New Roman"/>
          <w:i/>
          <w:iCs/>
          <w:szCs w:val="20"/>
          <w:shd w:val="clear" w:color="auto" w:fill="FFFFFF"/>
        </w:rPr>
        <w:t>Global Journal of Flexible Systems Management</w:t>
      </w:r>
      <w:r w:rsidRPr="00414E30">
        <w:rPr>
          <w:rFonts w:cs="Times New Roman"/>
          <w:szCs w:val="20"/>
          <w:shd w:val="clear" w:color="auto" w:fill="FFFFFF"/>
        </w:rPr>
        <w:t>, </w:t>
      </w:r>
      <w:r w:rsidRPr="00414E30">
        <w:rPr>
          <w:rFonts w:cs="Times New Roman"/>
          <w:i/>
          <w:iCs/>
          <w:szCs w:val="20"/>
          <w:shd w:val="clear" w:color="auto" w:fill="FFFFFF"/>
        </w:rPr>
        <w:t>20</w:t>
      </w:r>
      <w:r w:rsidRPr="00414E30">
        <w:rPr>
          <w:rFonts w:cs="Times New Roman"/>
          <w:szCs w:val="20"/>
          <w:shd w:val="clear" w:color="auto" w:fill="FFFFFF"/>
        </w:rPr>
        <w:t>(4), pp.349-370.</w:t>
      </w:r>
    </w:p>
    <w:p w14:paraId="72576E65" w14:textId="77777777" w:rsidR="00C315C1" w:rsidRPr="00414E30" w:rsidRDefault="00C315C1" w:rsidP="00C315C1">
      <w:pPr>
        <w:rPr>
          <w:rFonts w:cs="Times New Roman"/>
          <w:szCs w:val="20"/>
          <w:shd w:val="clear" w:color="auto" w:fill="FFFFFF"/>
        </w:rPr>
      </w:pPr>
      <w:r w:rsidRPr="00414E30">
        <w:rPr>
          <w:rFonts w:cs="Times New Roman"/>
          <w:szCs w:val="20"/>
          <w:shd w:val="clear" w:color="auto" w:fill="FFFFFF"/>
        </w:rPr>
        <w:t>Singh, S.K., Del Giudice, M., Chierici, R. and Graziano, D., 2020. Green innovation and environmental performance: The role of green transformational leadership and green human resource management. </w:t>
      </w:r>
      <w:r w:rsidRPr="00414E30">
        <w:rPr>
          <w:rFonts w:cs="Times New Roman"/>
          <w:i/>
          <w:iCs/>
          <w:szCs w:val="20"/>
          <w:shd w:val="clear" w:color="auto" w:fill="FFFFFF"/>
        </w:rPr>
        <w:t>Technological Forecasting and Social Change</w:t>
      </w:r>
      <w:r w:rsidRPr="00414E30">
        <w:rPr>
          <w:rFonts w:cs="Times New Roman"/>
          <w:szCs w:val="20"/>
          <w:shd w:val="clear" w:color="auto" w:fill="FFFFFF"/>
        </w:rPr>
        <w:t>, </w:t>
      </w:r>
      <w:r w:rsidRPr="00414E30">
        <w:rPr>
          <w:rFonts w:cs="Times New Roman"/>
          <w:i/>
          <w:iCs/>
          <w:szCs w:val="20"/>
          <w:shd w:val="clear" w:color="auto" w:fill="FFFFFF"/>
        </w:rPr>
        <w:t>150</w:t>
      </w:r>
      <w:r w:rsidRPr="00414E30">
        <w:rPr>
          <w:rFonts w:cs="Times New Roman"/>
          <w:szCs w:val="20"/>
          <w:shd w:val="clear" w:color="auto" w:fill="FFFFFF"/>
        </w:rPr>
        <w:t>, p.119762.</w:t>
      </w:r>
    </w:p>
    <w:p w14:paraId="1E445CC5" w14:textId="306FB1D0" w:rsidR="0050483E" w:rsidRPr="00414E30" w:rsidRDefault="0050483E" w:rsidP="00C315C1">
      <w:pPr>
        <w:rPr>
          <w:rFonts w:cs="Times New Roman"/>
          <w:szCs w:val="20"/>
          <w:shd w:val="clear" w:color="auto" w:fill="FFFFFF"/>
        </w:rPr>
      </w:pPr>
      <w:r w:rsidRPr="00414E30">
        <w:rPr>
          <w:rFonts w:cs="Times New Roman"/>
          <w:szCs w:val="20"/>
          <w:shd w:val="clear" w:color="auto" w:fill="FFFFFF"/>
        </w:rPr>
        <w:t>Sanabria-Díaz, J.M., Aguiar-Quintana, T. and Araujo-Cabrera, Y., 2021. Public strategies to rescue the hospitality industry following the impact of COVID-19: A case study of the European Union. </w:t>
      </w:r>
      <w:r w:rsidRPr="00414E30">
        <w:rPr>
          <w:rFonts w:cs="Times New Roman"/>
          <w:i/>
          <w:iCs/>
          <w:szCs w:val="20"/>
          <w:shd w:val="clear" w:color="auto" w:fill="FFFFFF"/>
        </w:rPr>
        <w:t>International Journal of Hospitality Management</w:t>
      </w:r>
      <w:r w:rsidRPr="00414E30">
        <w:rPr>
          <w:rFonts w:cs="Times New Roman"/>
          <w:szCs w:val="20"/>
          <w:shd w:val="clear" w:color="auto" w:fill="FFFFFF"/>
        </w:rPr>
        <w:t>, </w:t>
      </w:r>
      <w:r w:rsidRPr="00414E30">
        <w:rPr>
          <w:rFonts w:cs="Times New Roman"/>
          <w:i/>
          <w:iCs/>
          <w:szCs w:val="20"/>
          <w:shd w:val="clear" w:color="auto" w:fill="FFFFFF"/>
        </w:rPr>
        <w:t>97</w:t>
      </w:r>
      <w:r w:rsidRPr="00414E30">
        <w:rPr>
          <w:rFonts w:cs="Times New Roman"/>
          <w:szCs w:val="20"/>
          <w:shd w:val="clear" w:color="auto" w:fill="FFFFFF"/>
        </w:rPr>
        <w:t>, p.102988.</w:t>
      </w:r>
    </w:p>
    <w:p w14:paraId="330FD624" w14:textId="7D2C1643" w:rsidR="0050483E" w:rsidRPr="00414E30" w:rsidRDefault="0050483E" w:rsidP="00C315C1">
      <w:pPr>
        <w:rPr>
          <w:rFonts w:cs="Times New Roman"/>
          <w:sz w:val="40"/>
          <w:szCs w:val="20"/>
          <w:shd w:val="clear" w:color="auto" w:fill="FFFFFF"/>
        </w:rPr>
      </w:pPr>
      <w:r w:rsidRPr="00414E30">
        <w:rPr>
          <w:rFonts w:cs="Times New Roman"/>
          <w:szCs w:val="20"/>
          <w:shd w:val="clear" w:color="auto" w:fill="FFFFFF"/>
        </w:rPr>
        <w:t>Aharon, D.Y., Jacobi, A., Cohen, E., Tzur, J. and Qadan, M., 2021. COVID-19, government measures and hospitality industry performance. </w:t>
      </w:r>
      <w:proofErr w:type="spellStart"/>
      <w:r w:rsidRPr="00414E30">
        <w:rPr>
          <w:rFonts w:cs="Times New Roman"/>
          <w:i/>
          <w:iCs/>
          <w:szCs w:val="20"/>
          <w:shd w:val="clear" w:color="auto" w:fill="FFFFFF"/>
        </w:rPr>
        <w:t>PloS</w:t>
      </w:r>
      <w:proofErr w:type="spellEnd"/>
      <w:r w:rsidRPr="00414E30">
        <w:rPr>
          <w:rFonts w:cs="Times New Roman"/>
          <w:i/>
          <w:iCs/>
          <w:szCs w:val="20"/>
          <w:shd w:val="clear" w:color="auto" w:fill="FFFFFF"/>
        </w:rPr>
        <w:t xml:space="preserve"> one</w:t>
      </w:r>
      <w:r w:rsidRPr="00414E30">
        <w:rPr>
          <w:rFonts w:cs="Times New Roman"/>
          <w:szCs w:val="20"/>
          <w:shd w:val="clear" w:color="auto" w:fill="FFFFFF"/>
        </w:rPr>
        <w:t>, </w:t>
      </w:r>
      <w:r w:rsidRPr="00414E30">
        <w:rPr>
          <w:rFonts w:cs="Times New Roman"/>
          <w:i/>
          <w:iCs/>
          <w:szCs w:val="20"/>
          <w:shd w:val="clear" w:color="auto" w:fill="FFFFFF"/>
        </w:rPr>
        <w:t>16</w:t>
      </w:r>
      <w:r w:rsidRPr="00414E30">
        <w:rPr>
          <w:rFonts w:cs="Times New Roman"/>
          <w:szCs w:val="20"/>
          <w:shd w:val="clear" w:color="auto" w:fill="FFFFFF"/>
        </w:rPr>
        <w:t>(8), p.e0255819.</w:t>
      </w:r>
    </w:p>
    <w:p w14:paraId="16313984" w14:textId="77777777" w:rsidR="00C315C1" w:rsidRPr="00414E30" w:rsidRDefault="00C315C1" w:rsidP="00C315C1"/>
    <w:p w14:paraId="0FD0F3B8" w14:textId="77777777" w:rsidR="000F02BF" w:rsidRPr="00414E30" w:rsidRDefault="000F02BF" w:rsidP="000F02BF"/>
    <w:sectPr w:rsidR="000F02BF" w:rsidRPr="00414E3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F0AD2" w14:textId="77777777" w:rsidR="002943D6" w:rsidRDefault="002943D6" w:rsidP="001834FC">
      <w:pPr>
        <w:spacing w:after="0" w:line="240" w:lineRule="auto"/>
      </w:pPr>
      <w:r>
        <w:separator/>
      </w:r>
    </w:p>
  </w:endnote>
  <w:endnote w:type="continuationSeparator" w:id="0">
    <w:p w14:paraId="29B1E513" w14:textId="77777777" w:rsidR="002943D6" w:rsidRDefault="002943D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50483E">
          <w:rPr>
            <w:noProof/>
          </w:rPr>
          <w:t>8</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8A4F1" w14:textId="77777777" w:rsidR="002943D6" w:rsidRDefault="002943D6" w:rsidP="001834FC">
      <w:pPr>
        <w:spacing w:after="0" w:line="240" w:lineRule="auto"/>
      </w:pPr>
      <w:r>
        <w:separator/>
      </w:r>
    </w:p>
  </w:footnote>
  <w:footnote w:type="continuationSeparator" w:id="0">
    <w:p w14:paraId="32525335" w14:textId="77777777" w:rsidR="002943D6" w:rsidRDefault="002943D6"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16EF9"/>
    <w:rsid w:val="000E047C"/>
    <w:rsid w:val="000F02BF"/>
    <w:rsid w:val="001834FC"/>
    <w:rsid w:val="001D16F6"/>
    <w:rsid w:val="002227C5"/>
    <w:rsid w:val="0022399E"/>
    <w:rsid w:val="00225DB7"/>
    <w:rsid w:val="00252195"/>
    <w:rsid w:val="00291926"/>
    <w:rsid w:val="002943D6"/>
    <w:rsid w:val="003320DD"/>
    <w:rsid w:val="00414E30"/>
    <w:rsid w:val="00461513"/>
    <w:rsid w:val="0050483E"/>
    <w:rsid w:val="005A5C3D"/>
    <w:rsid w:val="006C63B4"/>
    <w:rsid w:val="006E6395"/>
    <w:rsid w:val="006F3E7B"/>
    <w:rsid w:val="007520E1"/>
    <w:rsid w:val="008F2FE6"/>
    <w:rsid w:val="00913C8F"/>
    <w:rsid w:val="00931F2B"/>
    <w:rsid w:val="00975554"/>
    <w:rsid w:val="00A024A2"/>
    <w:rsid w:val="00A60069"/>
    <w:rsid w:val="00BB6D54"/>
    <w:rsid w:val="00C315C1"/>
    <w:rsid w:val="00E26EF4"/>
    <w:rsid w:val="00E62902"/>
    <w:rsid w:val="00EB7A2D"/>
    <w:rsid w:val="00EC16C3"/>
    <w:rsid w:val="00F24D01"/>
    <w:rsid w:val="00F6031B"/>
    <w:rsid w:val="00F9377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3320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20DD"/>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09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178307-B213-497E-8C21-B1E482B50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2596</Words>
  <Characters>14800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2022-05-31T19:42:00Z</dcterms:modified>
</cp:coreProperties>
</file>