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FC5D7B3" w14:textId="77777777" w:rsidR="00BF75F9" w:rsidRDefault="00BF75F9">
      <w:pPr>
        <w:rPr>
          <w:rFonts w:ascii="Arial" w:eastAsia="Arial" w:hAnsi="Arial" w:cs="Arial"/>
          <w:b/>
          <w:bCs/>
          <w:sz w:val="32"/>
          <w:szCs w:val="32"/>
        </w:rPr>
      </w:pPr>
    </w:p>
    <w:p w14:paraId="13F0EFBB" w14:textId="77777777" w:rsidR="00BF75F9" w:rsidRDefault="00BF75F9">
      <w:pPr>
        <w:rPr>
          <w:rFonts w:ascii="Arial" w:eastAsia="Arial" w:hAnsi="Arial" w:cs="Arial"/>
          <w:b/>
          <w:bCs/>
          <w:sz w:val="32"/>
          <w:szCs w:val="32"/>
        </w:rPr>
      </w:pPr>
    </w:p>
    <w:p w14:paraId="1D299C99" w14:textId="77777777" w:rsidR="00BF75F9" w:rsidRDefault="00AC5439">
      <w:pPr>
        <w:rPr>
          <w:rFonts w:ascii="Arial" w:eastAsia="Arial" w:hAnsi="Arial" w:cs="Arial"/>
          <w:b/>
          <w:bCs/>
          <w:sz w:val="32"/>
          <w:szCs w:val="32"/>
        </w:rPr>
      </w:pPr>
      <w:r>
        <w:rPr>
          <w:noProof/>
          <w:lang w:val="en-IN"/>
        </w:rPr>
        <w:drawing>
          <wp:anchor distT="0" distB="0" distL="114300" distR="114300" simplePos="0" relativeHeight="251658240" behindDoc="0" locked="0" layoutInCell="1" hidden="0" allowOverlap="1" wp14:anchorId="21DCC1D1" wp14:editId="2D042E64">
            <wp:simplePos x="0" y="0"/>
            <wp:positionH relativeFrom="column">
              <wp:posOffset>1790700</wp:posOffset>
            </wp:positionH>
            <wp:positionV relativeFrom="paragraph">
              <wp:posOffset>259110</wp:posOffset>
            </wp:positionV>
            <wp:extent cx="2360295" cy="944880"/>
            <wp:effectExtent l="0" t="0" r="0" b="0"/>
            <wp:wrapNone/>
            <wp:docPr id="5"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2360295" cy="944880"/>
                    </a:xfrm>
                    <a:prstGeom prst="rect">
                      <a:avLst/>
                    </a:prstGeom>
                    <a:ln/>
                  </pic:spPr>
                </pic:pic>
              </a:graphicData>
            </a:graphic>
          </wp:anchor>
        </w:drawing>
      </w:r>
    </w:p>
    <w:p w14:paraId="60694DE1" w14:textId="77777777" w:rsidR="00BF75F9" w:rsidRDefault="00BF75F9">
      <w:pPr>
        <w:rPr>
          <w:rFonts w:ascii="Arial" w:eastAsia="Arial" w:hAnsi="Arial" w:cs="Arial"/>
          <w:b/>
          <w:bCs/>
          <w:sz w:val="32"/>
          <w:szCs w:val="32"/>
        </w:rPr>
      </w:pPr>
    </w:p>
    <w:p w14:paraId="42DDA8B3" w14:textId="77777777" w:rsidR="00BF75F9" w:rsidRDefault="00BF75F9">
      <w:pPr>
        <w:jc w:val="center"/>
        <w:rPr>
          <w:rFonts w:ascii="Arial" w:eastAsia="Arial" w:hAnsi="Arial" w:cs="Arial"/>
          <w:b/>
          <w:bCs/>
          <w:sz w:val="32"/>
          <w:szCs w:val="32"/>
        </w:rPr>
      </w:pPr>
    </w:p>
    <w:p w14:paraId="4C9DAD73" w14:textId="77777777" w:rsidR="00BF75F9" w:rsidRDefault="00BF75F9">
      <w:pPr>
        <w:jc w:val="center"/>
        <w:rPr>
          <w:rFonts w:ascii="Arial" w:eastAsia="Arial" w:hAnsi="Arial" w:cs="Arial"/>
          <w:b/>
          <w:bCs/>
          <w:sz w:val="32"/>
          <w:szCs w:val="32"/>
        </w:rPr>
      </w:pPr>
    </w:p>
    <w:p w14:paraId="5813E71F" w14:textId="77777777" w:rsidR="00BF75F9" w:rsidRDefault="00AC5439">
      <w:pPr>
        <w:jc w:val="center"/>
        <w:rPr>
          <w:rFonts w:ascii="Arial" w:eastAsia="Arial" w:hAnsi="Arial" w:cs="Arial"/>
          <w:b/>
          <w:bCs/>
          <w:sz w:val="32"/>
          <w:szCs w:val="32"/>
        </w:rPr>
      </w:pPr>
      <w:r>
        <w:rPr>
          <w:rFonts w:ascii="Arial" w:eastAsia="Arial" w:hAnsi="Arial" w:cs="Arial"/>
          <w:b/>
          <w:bCs/>
          <w:sz w:val="32"/>
          <w:szCs w:val="32"/>
        </w:rPr>
        <w:t>Module Code and Name: LCMB7037 Business Development Proposal</w:t>
      </w:r>
    </w:p>
    <w:p w14:paraId="0E968202" w14:textId="77777777" w:rsidR="00BF75F9" w:rsidRDefault="00AC5439">
      <w:pPr>
        <w:jc w:val="center"/>
        <w:rPr>
          <w:rFonts w:ascii="Arial" w:eastAsia="Arial" w:hAnsi="Arial" w:cs="Arial"/>
          <w:b/>
          <w:bCs/>
          <w:sz w:val="32"/>
          <w:szCs w:val="32"/>
        </w:rPr>
      </w:pPr>
      <w:bookmarkStart w:id="0" w:name="_otyiroiha3w8" w:colFirst="0" w:colLast="0"/>
      <w:bookmarkEnd w:id="0"/>
      <w:r>
        <w:rPr>
          <w:rFonts w:ascii="Arial" w:eastAsia="Arial" w:hAnsi="Arial" w:cs="Arial"/>
          <w:b/>
          <w:bCs/>
          <w:sz w:val="32"/>
          <w:szCs w:val="32"/>
        </w:rPr>
        <w:t>Title: Developing EverAfter Weddings: A Wedding Planning and Event Management Business for Personalised Wedding Experiences in London</w:t>
      </w:r>
    </w:p>
    <w:p w14:paraId="3F062FDD" w14:textId="74498CE1" w:rsidR="00BF75F9" w:rsidRDefault="00AC5439">
      <w:pPr>
        <w:jc w:val="center"/>
        <w:rPr>
          <w:rFonts w:ascii="Arial" w:eastAsia="Arial" w:hAnsi="Arial" w:cs="Arial"/>
          <w:b/>
          <w:bCs/>
          <w:sz w:val="32"/>
          <w:szCs w:val="32"/>
        </w:rPr>
      </w:pPr>
      <w:r>
        <w:rPr>
          <w:rFonts w:ascii="Arial" w:eastAsia="Arial" w:hAnsi="Arial" w:cs="Arial"/>
          <w:b/>
          <w:bCs/>
          <w:sz w:val="32"/>
          <w:szCs w:val="32"/>
        </w:rPr>
        <w:t>Student ID:</w:t>
      </w:r>
      <w:r w:rsidR="00B23365">
        <w:rPr>
          <w:rFonts w:ascii="Arial" w:eastAsia="Arial" w:hAnsi="Arial" w:cs="Arial"/>
          <w:b/>
          <w:bCs/>
          <w:sz w:val="32"/>
          <w:szCs w:val="32"/>
        </w:rPr>
        <w:t xml:space="preserve"> 2430959</w:t>
      </w:r>
    </w:p>
    <w:p w14:paraId="69878ECA" w14:textId="0181A8C9" w:rsidR="00BF75F9" w:rsidRDefault="00AC5439" w:rsidP="00B23365">
      <w:pPr>
        <w:jc w:val="center"/>
        <w:rPr>
          <w:rFonts w:ascii="Arial" w:eastAsia="Arial" w:hAnsi="Arial" w:cs="Arial"/>
          <w:b/>
          <w:bCs/>
          <w:sz w:val="32"/>
          <w:szCs w:val="32"/>
        </w:rPr>
      </w:pPr>
      <w:r>
        <w:rPr>
          <w:rFonts w:ascii="Arial" w:eastAsia="Arial" w:hAnsi="Arial" w:cs="Arial"/>
          <w:b/>
          <w:bCs/>
          <w:sz w:val="32"/>
          <w:szCs w:val="32"/>
        </w:rPr>
        <w:t>Student name:</w:t>
      </w:r>
      <w:r w:rsidR="00B23365">
        <w:rPr>
          <w:rFonts w:ascii="Arial" w:eastAsia="Arial" w:hAnsi="Arial" w:cs="Arial"/>
          <w:b/>
          <w:bCs/>
          <w:sz w:val="32"/>
          <w:szCs w:val="32"/>
        </w:rPr>
        <w:t xml:space="preserve"> Chetnaben Anilbhai Fadke</w:t>
      </w:r>
    </w:p>
    <w:p w14:paraId="107DC2B6" w14:textId="77777777" w:rsidR="00BF75F9" w:rsidRDefault="00AC5439">
      <w:pPr>
        <w:jc w:val="center"/>
        <w:rPr>
          <w:rFonts w:ascii="Arial" w:eastAsia="Arial" w:hAnsi="Arial" w:cs="Arial"/>
          <w:b/>
          <w:bCs/>
          <w:sz w:val="32"/>
          <w:szCs w:val="32"/>
        </w:rPr>
      </w:pPr>
      <w:r>
        <w:rPr>
          <w:rFonts w:ascii="Arial" w:eastAsia="Arial" w:hAnsi="Arial" w:cs="Arial"/>
          <w:b/>
          <w:bCs/>
          <w:sz w:val="32"/>
          <w:szCs w:val="32"/>
        </w:rPr>
        <w:t xml:space="preserve">Word Count: </w:t>
      </w:r>
      <w:r w:rsidR="00841A2D">
        <w:rPr>
          <w:rFonts w:ascii="Arial" w:eastAsia="Arial" w:hAnsi="Arial" w:cs="Arial"/>
          <w:b/>
          <w:bCs/>
          <w:sz w:val="32"/>
          <w:szCs w:val="32"/>
        </w:rPr>
        <w:t>3726</w:t>
      </w:r>
      <w:r>
        <w:br w:type="page"/>
      </w:r>
    </w:p>
    <w:p w14:paraId="43A3861A" w14:textId="77777777" w:rsidR="00BF75F9" w:rsidRDefault="00AC5439">
      <w:pPr>
        <w:jc w:val="center"/>
        <w:rPr>
          <w:b/>
          <w:bCs/>
          <w:sz w:val="28"/>
          <w:szCs w:val="28"/>
        </w:rPr>
      </w:pPr>
      <w:r>
        <w:rPr>
          <w:b/>
          <w:bCs/>
          <w:sz w:val="28"/>
          <w:szCs w:val="28"/>
        </w:rPr>
        <w:lastRenderedPageBreak/>
        <w:t>Table of Contents</w:t>
      </w:r>
    </w:p>
    <w:sdt>
      <w:sdtPr>
        <w:id w:val="-1209396524"/>
        <w:docPartObj>
          <w:docPartGallery w:val="Table of Contents"/>
          <w:docPartUnique/>
        </w:docPartObj>
      </w:sdtPr>
      <w:sdtContent>
        <w:p w14:paraId="735C5FF2" w14:textId="77777777" w:rsidR="00BF75F9" w:rsidRDefault="00AC5439">
          <w:pPr>
            <w:widowControl w:val="0"/>
            <w:tabs>
              <w:tab w:val="right" w:leader="dot" w:pos="12000"/>
            </w:tabs>
            <w:spacing w:before="6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muw6kutnb9mt">
            <w:r>
              <w:rPr>
                <w:b/>
                <w:bCs/>
                <w:color w:val="000000"/>
              </w:rPr>
              <w:t>1. Introduction</w:t>
            </w:r>
            <w:r>
              <w:rPr>
                <w:b/>
                <w:bCs/>
                <w:color w:val="000000"/>
              </w:rPr>
              <w:tab/>
              <w:t>3</w:t>
            </w:r>
          </w:hyperlink>
        </w:p>
        <w:p w14:paraId="39D9B236" w14:textId="77777777" w:rsidR="00BF75F9" w:rsidRDefault="00AC5439">
          <w:pPr>
            <w:widowControl w:val="0"/>
            <w:tabs>
              <w:tab w:val="right" w:leader="dot" w:pos="12000"/>
            </w:tabs>
            <w:spacing w:before="60" w:line="240" w:lineRule="auto"/>
            <w:ind w:left="360"/>
            <w:jc w:val="left"/>
            <w:rPr>
              <w:color w:val="000000"/>
            </w:rPr>
          </w:pPr>
          <w:hyperlink w:anchor="_4pn7fjbiuqdu">
            <w:r>
              <w:rPr>
                <w:color w:val="000000"/>
              </w:rPr>
              <w:t>1.1 Background to the Wedding Planning and Event Management Industry</w:t>
            </w:r>
            <w:r>
              <w:rPr>
                <w:color w:val="000000"/>
              </w:rPr>
              <w:tab/>
              <w:t>3</w:t>
            </w:r>
          </w:hyperlink>
        </w:p>
        <w:p w14:paraId="6F969FA6" w14:textId="77777777" w:rsidR="00BF75F9" w:rsidRDefault="00AC5439">
          <w:pPr>
            <w:widowControl w:val="0"/>
            <w:tabs>
              <w:tab w:val="right" w:leader="dot" w:pos="12000"/>
            </w:tabs>
            <w:spacing w:before="60" w:line="240" w:lineRule="auto"/>
            <w:ind w:left="360"/>
            <w:jc w:val="left"/>
            <w:rPr>
              <w:color w:val="000000"/>
            </w:rPr>
          </w:pPr>
          <w:hyperlink w:anchor="_3f971ym6hyvk">
            <w:r>
              <w:rPr>
                <w:color w:val="000000"/>
              </w:rPr>
              <w:t>1.2 London Wedding Market</w:t>
            </w:r>
            <w:r>
              <w:rPr>
                <w:color w:val="000000"/>
              </w:rPr>
              <w:tab/>
              <w:t>3</w:t>
            </w:r>
          </w:hyperlink>
        </w:p>
        <w:p w14:paraId="0077A1F0" w14:textId="77777777" w:rsidR="00BF75F9" w:rsidRDefault="00AC5439">
          <w:pPr>
            <w:widowControl w:val="0"/>
            <w:tabs>
              <w:tab w:val="right" w:leader="dot" w:pos="12000"/>
            </w:tabs>
            <w:spacing w:before="60" w:line="240" w:lineRule="auto"/>
            <w:ind w:left="360"/>
            <w:jc w:val="left"/>
            <w:rPr>
              <w:color w:val="000000"/>
            </w:rPr>
          </w:pPr>
          <w:hyperlink w:anchor="_qkq2a38t57j4">
            <w:r>
              <w:rPr>
                <w:color w:val="000000"/>
              </w:rPr>
              <w:t>1.3 Changing Customer Expectations</w:t>
            </w:r>
            <w:r>
              <w:rPr>
                <w:color w:val="000000"/>
              </w:rPr>
              <w:tab/>
              <w:t>4</w:t>
            </w:r>
          </w:hyperlink>
        </w:p>
        <w:p w14:paraId="088C26C5" w14:textId="77777777" w:rsidR="00BF75F9" w:rsidRDefault="00AC5439">
          <w:pPr>
            <w:widowControl w:val="0"/>
            <w:tabs>
              <w:tab w:val="right" w:leader="dot" w:pos="12000"/>
            </w:tabs>
            <w:spacing w:before="60" w:line="240" w:lineRule="auto"/>
            <w:ind w:left="360"/>
            <w:jc w:val="left"/>
            <w:rPr>
              <w:color w:val="000000"/>
            </w:rPr>
          </w:pPr>
          <w:hyperlink w:anchor="_1oh9xpmuoqc8">
            <w:r>
              <w:rPr>
                <w:color w:val="000000"/>
              </w:rPr>
              <w:t>1.4 Business Problem</w:t>
            </w:r>
            <w:r>
              <w:rPr>
                <w:color w:val="000000"/>
              </w:rPr>
              <w:tab/>
              <w:t>5</w:t>
            </w:r>
          </w:hyperlink>
        </w:p>
        <w:p w14:paraId="03B7F7FD" w14:textId="77777777" w:rsidR="00BF75F9" w:rsidRDefault="00AC5439">
          <w:pPr>
            <w:widowControl w:val="0"/>
            <w:tabs>
              <w:tab w:val="right" w:leader="dot" w:pos="12000"/>
            </w:tabs>
            <w:spacing w:before="60" w:line="240" w:lineRule="auto"/>
            <w:ind w:left="360"/>
            <w:jc w:val="left"/>
            <w:rPr>
              <w:color w:val="000000"/>
            </w:rPr>
          </w:pPr>
          <w:hyperlink w:anchor="_ou5v7b4hth8l">
            <w:r>
              <w:rPr>
                <w:color w:val="000000"/>
              </w:rPr>
              <w:t>1.5 Business Opportunity</w:t>
            </w:r>
            <w:r>
              <w:rPr>
                <w:color w:val="000000"/>
              </w:rPr>
              <w:tab/>
              <w:t>5</w:t>
            </w:r>
          </w:hyperlink>
        </w:p>
        <w:p w14:paraId="43B1482A" w14:textId="77777777" w:rsidR="00BF75F9" w:rsidRDefault="00AC5439">
          <w:pPr>
            <w:widowControl w:val="0"/>
            <w:tabs>
              <w:tab w:val="right" w:leader="dot" w:pos="12000"/>
            </w:tabs>
            <w:spacing w:before="60" w:line="240" w:lineRule="auto"/>
            <w:ind w:left="360"/>
            <w:jc w:val="left"/>
            <w:rPr>
              <w:color w:val="000000"/>
            </w:rPr>
          </w:pPr>
          <w:hyperlink w:anchor="_2arm6j4f1ybo">
            <w:r>
              <w:rPr>
                <w:color w:val="000000"/>
              </w:rPr>
              <w:t>1.6 Aim</w:t>
            </w:r>
            <w:r>
              <w:rPr>
                <w:color w:val="000000"/>
              </w:rPr>
              <w:tab/>
              <w:t>5</w:t>
            </w:r>
          </w:hyperlink>
        </w:p>
        <w:p w14:paraId="032A4BA4" w14:textId="77777777" w:rsidR="00BF75F9" w:rsidRDefault="00AC5439">
          <w:pPr>
            <w:widowControl w:val="0"/>
            <w:tabs>
              <w:tab w:val="right" w:leader="dot" w:pos="12000"/>
            </w:tabs>
            <w:spacing w:before="60" w:line="240" w:lineRule="auto"/>
            <w:ind w:left="360"/>
            <w:jc w:val="left"/>
            <w:rPr>
              <w:color w:val="000000"/>
            </w:rPr>
          </w:pPr>
          <w:hyperlink w:anchor="_eqyvv6udeyq2">
            <w:r>
              <w:rPr>
                <w:color w:val="000000"/>
              </w:rPr>
              <w:t>1.7 Research Objectives</w:t>
            </w:r>
            <w:r>
              <w:rPr>
                <w:color w:val="000000"/>
              </w:rPr>
              <w:tab/>
              <w:t>6</w:t>
            </w:r>
          </w:hyperlink>
        </w:p>
        <w:p w14:paraId="08A47C3E" w14:textId="77777777" w:rsidR="00BF75F9" w:rsidRDefault="00AC5439">
          <w:pPr>
            <w:widowControl w:val="0"/>
            <w:tabs>
              <w:tab w:val="right" w:leader="dot" w:pos="12000"/>
            </w:tabs>
            <w:spacing w:before="60" w:line="240" w:lineRule="auto"/>
            <w:ind w:left="360"/>
            <w:jc w:val="left"/>
            <w:rPr>
              <w:color w:val="000000"/>
            </w:rPr>
          </w:pPr>
          <w:hyperlink w:anchor="_eorurcnbf36n">
            <w:r>
              <w:rPr>
                <w:color w:val="000000"/>
              </w:rPr>
              <w:t>1.8 Research Questions</w:t>
            </w:r>
            <w:r>
              <w:rPr>
                <w:color w:val="000000"/>
              </w:rPr>
              <w:tab/>
              <w:t>6</w:t>
            </w:r>
          </w:hyperlink>
        </w:p>
        <w:p w14:paraId="293F09B4" w14:textId="77777777" w:rsidR="00BF75F9" w:rsidRDefault="00AC5439">
          <w:pPr>
            <w:widowControl w:val="0"/>
            <w:tabs>
              <w:tab w:val="right" w:leader="dot" w:pos="12000"/>
            </w:tabs>
            <w:spacing w:before="60" w:line="240" w:lineRule="auto"/>
            <w:jc w:val="left"/>
            <w:rPr>
              <w:b/>
              <w:bCs/>
              <w:color w:val="000000"/>
            </w:rPr>
          </w:pPr>
          <w:hyperlink w:anchor="_9wsyjyp9nhge">
            <w:r>
              <w:rPr>
                <w:b/>
                <w:bCs/>
                <w:color w:val="000000"/>
              </w:rPr>
              <w:t>2. Company Description</w:t>
            </w:r>
            <w:r>
              <w:rPr>
                <w:b/>
                <w:bCs/>
                <w:color w:val="000000"/>
              </w:rPr>
              <w:tab/>
              <w:t>7</w:t>
            </w:r>
          </w:hyperlink>
        </w:p>
        <w:p w14:paraId="72640B2E" w14:textId="77777777" w:rsidR="00BF75F9" w:rsidRDefault="00AC5439">
          <w:pPr>
            <w:widowControl w:val="0"/>
            <w:tabs>
              <w:tab w:val="right" w:leader="dot" w:pos="12000"/>
            </w:tabs>
            <w:spacing w:before="60" w:line="240" w:lineRule="auto"/>
            <w:ind w:left="360"/>
            <w:jc w:val="left"/>
            <w:rPr>
              <w:color w:val="000000"/>
            </w:rPr>
          </w:pPr>
          <w:hyperlink w:anchor="_6b9xtcx8cli7">
            <w:r>
              <w:rPr>
                <w:color w:val="000000"/>
              </w:rPr>
              <w:t>2.1 Overview of EverAfter Weddings</w:t>
            </w:r>
            <w:r>
              <w:rPr>
                <w:color w:val="000000"/>
              </w:rPr>
              <w:tab/>
              <w:t>7</w:t>
            </w:r>
          </w:hyperlink>
        </w:p>
        <w:p w14:paraId="030DDBA3" w14:textId="77777777" w:rsidR="00BF75F9" w:rsidRDefault="00AC5439">
          <w:pPr>
            <w:widowControl w:val="0"/>
            <w:tabs>
              <w:tab w:val="right" w:leader="dot" w:pos="12000"/>
            </w:tabs>
            <w:spacing w:before="60" w:line="240" w:lineRule="auto"/>
            <w:ind w:left="360"/>
            <w:jc w:val="left"/>
            <w:rPr>
              <w:color w:val="000000"/>
            </w:rPr>
          </w:pPr>
          <w:hyperlink w:anchor="_nqq6mlp6gego">
            <w:r>
              <w:rPr>
                <w:color w:val="000000"/>
              </w:rPr>
              <w:t>2.2 Business Concept</w:t>
            </w:r>
            <w:r>
              <w:rPr>
                <w:color w:val="000000"/>
              </w:rPr>
              <w:tab/>
              <w:t>8</w:t>
            </w:r>
          </w:hyperlink>
        </w:p>
        <w:p w14:paraId="45AFB815" w14:textId="77777777" w:rsidR="00BF75F9" w:rsidRDefault="00AC5439">
          <w:pPr>
            <w:widowControl w:val="0"/>
            <w:tabs>
              <w:tab w:val="right" w:leader="dot" w:pos="12000"/>
            </w:tabs>
            <w:spacing w:before="60" w:line="240" w:lineRule="auto"/>
            <w:ind w:left="360"/>
            <w:jc w:val="left"/>
            <w:rPr>
              <w:color w:val="000000"/>
            </w:rPr>
          </w:pPr>
          <w:hyperlink w:anchor="_6x013cs5xxyd">
            <w:r>
              <w:rPr>
                <w:color w:val="000000"/>
              </w:rPr>
              <w:t>2.3 Business Vision</w:t>
            </w:r>
            <w:r>
              <w:rPr>
                <w:color w:val="000000"/>
              </w:rPr>
              <w:tab/>
              <w:t>8</w:t>
            </w:r>
          </w:hyperlink>
        </w:p>
        <w:p w14:paraId="0135DC7F" w14:textId="77777777" w:rsidR="00BF75F9" w:rsidRDefault="00AC5439">
          <w:pPr>
            <w:widowControl w:val="0"/>
            <w:tabs>
              <w:tab w:val="right" w:leader="dot" w:pos="12000"/>
            </w:tabs>
            <w:spacing w:before="60" w:line="240" w:lineRule="auto"/>
            <w:ind w:left="360"/>
            <w:jc w:val="left"/>
            <w:rPr>
              <w:color w:val="000000"/>
            </w:rPr>
          </w:pPr>
          <w:hyperlink w:anchor="_5q7y9lq5z9br">
            <w:r>
              <w:rPr>
                <w:color w:val="000000"/>
              </w:rPr>
              <w:t>2.4 Business Mission</w:t>
            </w:r>
            <w:r>
              <w:rPr>
                <w:color w:val="000000"/>
              </w:rPr>
              <w:tab/>
              <w:t>8</w:t>
            </w:r>
          </w:hyperlink>
        </w:p>
        <w:p w14:paraId="0A58969B" w14:textId="77777777" w:rsidR="00BF75F9" w:rsidRDefault="00AC5439">
          <w:pPr>
            <w:widowControl w:val="0"/>
            <w:tabs>
              <w:tab w:val="right" w:leader="dot" w:pos="12000"/>
            </w:tabs>
            <w:spacing w:before="60" w:line="240" w:lineRule="auto"/>
            <w:ind w:left="360"/>
            <w:jc w:val="left"/>
            <w:rPr>
              <w:color w:val="000000"/>
            </w:rPr>
          </w:pPr>
          <w:hyperlink w:anchor="_2a3f8b7llbk1">
            <w:r>
              <w:rPr>
                <w:color w:val="000000"/>
              </w:rPr>
              <w:t>2.5 Target Customer</w:t>
            </w:r>
            <w:r>
              <w:rPr>
                <w:color w:val="000000"/>
              </w:rPr>
              <w:tab/>
              <w:t>9</w:t>
            </w:r>
          </w:hyperlink>
        </w:p>
        <w:p w14:paraId="03968112" w14:textId="77777777" w:rsidR="00BF75F9" w:rsidRDefault="00AC5439">
          <w:pPr>
            <w:widowControl w:val="0"/>
            <w:tabs>
              <w:tab w:val="right" w:leader="dot" w:pos="12000"/>
            </w:tabs>
            <w:spacing w:before="60" w:line="240" w:lineRule="auto"/>
            <w:ind w:left="360"/>
            <w:jc w:val="left"/>
            <w:rPr>
              <w:color w:val="000000"/>
            </w:rPr>
          </w:pPr>
          <w:hyperlink w:anchor="_fukhmstt3l6l">
            <w:r>
              <w:rPr>
                <w:color w:val="000000"/>
              </w:rPr>
              <w:t>2.6 Customer Value Proposition</w:t>
            </w:r>
            <w:r>
              <w:rPr>
                <w:color w:val="000000"/>
              </w:rPr>
              <w:tab/>
              <w:t>9</w:t>
            </w:r>
          </w:hyperlink>
        </w:p>
        <w:p w14:paraId="3FE23677" w14:textId="77777777" w:rsidR="00BF75F9" w:rsidRDefault="00AC5439">
          <w:pPr>
            <w:widowControl w:val="0"/>
            <w:tabs>
              <w:tab w:val="right" w:leader="dot" w:pos="12000"/>
            </w:tabs>
            <w:spacing w:before="60" w:line="240" w:lineRule="auto"/>
            <w:ind w:left="360"/>
            <w:jc w:val="left"/>
            <w:rPr>
              <w:color w:val="000000"/>
            </w:rPr>
          </w:pPr>
          <w:hyperlink w:anchor="_a1o1rm1pzcqw">
            <w:r>
              <w:rPr>
                <w:color w:val="000000"/>
              </w:rPr>
              <w:t>2.7 Proposed Competitive Differentiation</w:t>
            </w:r>
            <w:r>
              <w:rPr>
                <w:color w:val="000000"/>
              </w:rPr>
              <w:tab/>
              <w:t>10</w:t>
            </w:r>
          </w:hyperlink>
        </w:p>
        <w:p w14:paraId="645047C9" w14:textId="77777777" w:rsidR="00BF75F9" w:rsidRDefault="00AC5439">
          <w:pPr>
            <w:widowControl w:val="0"/>
            <w:tabs>
              <w:tab w:val="right" w:leader="dot" w:pos="12000"/>
            </w:tabs>
            <w:spacing w:before="60" w:line="240" w:lineRule="auto"/>
            <w:jc w:val="left"/>
            <w:rPr>
              <w:b/>
              <w:bCs/>
              <w:color w:val="000000"/>
            </w:rPr>
          </w:pPr>
          <w:hyperlink w:anchor="_h3s6qyxowh1h">
            <w:r>
              <w:rPr>
                <w:b/>
                <w:bCs/>
                <w:color w:val="000000"/>
              </w:rPr>
              <w:t>3. Literature Review</w:t>
            </w:r>
            <w:r>
              <w:rPr>
                <w:b/>
                <w:bCs/>
                <w:color w:val="000000"/>
              </w:rPr>
              <w:tab/>
              <w:t>11</w:t>
            </w:r>
          </w:hyperlink>
        </w:p>
        <w:p w14:paraId="76DED65D" w14:textId="77777777" w:rsidR="00BF75F9" w:rsidRDefault="00AC5439">
          <w:pPr>
            <w:widowControl w:val="0"/>
            <w:tabs>
              <w:tab w:val="right" w:leader="dot" w:pos="12000"/>
            </w:tabs>
            <w:spacing w:before="60" w:line="240" w:lineRule="auto"/>
            <w:ind w:left="360"/>
            <w:jc w:val="left"/>
            <w:rPr>
              <w:color w:val="000000"/>
            </w:rPr>
          </w:pPr>
          <w:hyperlink w:anchor="_o75ga0s3fd3">
            <w:r>
              <w:rPr>
                <w:color w:val="000000"/>
              </w:rPr>
              <w:t>3.1 Wedding Planning and Event Management Literature</w:t>
            </w:r>
            <w:r>
              <w:rPr>
                <w:color w:val="000000"/>
              </w:rPr>
              <w:tab/>
              <w:t>11</w:t>
            </w:r>
          </w:hyperlink>
        </w:p>
        <w:p w14:paraId="5DD2A0A6" w14:textId="77777777" w:rsidR="00BF75F9" w:rsidRDefault="00AC5439">
          <w:pPr>
            <w:widowControl w:val="0"/>
            <w:tabs>
              <w:tab w:val="right" w:leader="dot" w:pos="12000"/>
            </w:tabs>
            <w:spacing w:before="60" w:line="240" w:lineRule="auto"/>
            <w:ind w:left="360"/>
            <w:jc w:val="left"/>
            <w:rPr>
              <w:color w:val="000000"/>
            </w:rPr>
          </w:pPr>
          <w:hyperlink w:anchor="_6uas48lf955g">
            <w:r>
              <w:rPr>
                <w:color w:val="000000"/>
              </w:rPr>
              <w:t>3.2 Personalisation and Customer Experience</w:t>
            </w:r>
            <w:r>
              <w:rPr>
                <w:color w:val="000000"/>
              </w:rPr>
              <w:tab/>
              <w:t>11</w:t>
            </w:r>
          </w:hyperlink>
        </w:p>
        <w:p w14:paraId="7469EBAD" w14:textId="77777777" w:rsidR="00BF75F9" w:rsidRDefault="00AC5439">
          <w:pPr>
            <w:widowControl w:val="0"/>
            <w:tabs>
              <w:tab w:val="right" w:leader="dot" w:pos="12000"/>
            </w:tabs>
            <w:spacing w:before="60" w:line="240" w:lineRule="auto"/>
            <w:ind w:left="360"/>
            <w:jc w:val="left"/>
            <w:rPr>
              <w:color w:val="000000"/>
            </w:rPr>
          </w:pPr>
          <w:hyperlink w:anchor="_xw46vuaw7bkc">
            <w:r>
              <w:rPr>
                <w:color w:val="000000"/>
              </w:rPr>
              <w:t>3.3 Resource-Based View (RBV)</w:t>
            </w:r>
            <w:r>
              <w:rPr>
                <w:color w:val="000000"/>
              </w:rPr>
              <w:tab/>
              <w:t>11</w:t>
            </w:r>
          </w:hyperlink>
        </w:p>
        <w:p w14:paraId="1E8330DA" w14:textId="77777777" w:rsidR="00BF75F9" w:rsidRDefault="00AC5439">
          <w:pPr>
            <w:widowControl w:val="0"/>
            <w:tabs>
              <w:tab w:val="right" w:leader="dot" w:pos="12000"/>
            </w:tabs>
            <w:spacing w:before="60" w:line="240" w:lineRule="auto"/>
            <w:ind w:left="720"/>
            <w:jc w:val="left"/>
            <w:rPr>
              <w:color w:val="000000"/>
            </w:rPr>
          </w:pPr>
          <w:hyperlink w:anchor="_r0smvbq1lhra">
            <w:r>
              <w:rPr>
                <w:color w:val="000000"/>
              </w:rPr>
              <w:t>3.3.1 Explanation of RBV</w:t>
            </w:r>
            <w:r>
              <w:rPr>
                <w:color w:val="000000"/>
              </w:rPr>
              <w:tab/>
              <w:t>11</w:t>
            </w:r>
          </w:hyperlink>
        </w:p>
        <w:p w14:paraId="29F5EF57" w14:textId="77777777" w:rsidR="00BF75F9" w:rsidRDefault="00AC5439">
          <w:pPr>
            <w:widowControl w:val="0"/>
            <w:tabs>
              <w:tab w:val="right" w:leader="dot" w:pos="12000"/>
            </w:tabs>
            <w:spacing w:before="60" w:line="240" w:lineRule="auto"/>
            <w:ind w:left="720"/>
            <w:jc w:val="left"/>
            <w:rPr>
              <w:color w:val="000000"/>
            </w:rPr>
          </w:pPr>
          <w:hyperlink w:anchor="_11l244kfvnuk">
            <w:r>
              <w:rPr>
                <w:color w:val="000000"/>
              </w:rPr>
              <w:t>3.3.2 Application to EverAfter</w:t>
            </w:r>
            <w:r>
              <w:rPr>
                <w:color w:val="000000"/>
              </w:rPr>
              <w:tab/>
              <w:t>12</w:t>
            </w:r>
          </w:hyperlink>
        </w:p>
        <w:p w14:paraId="5AEBB5C5" w14:textId="77777777" w:rsidR="00BF75F9" w:rsidRDefault="00AC5439">
          <w:pPr>
            <w:widowControl w:val="0"/>
            <w:tabs>
              <w:tab w:val="right" w:leader="dot" w:pos="12000"/>
            </w:tabs>
            <w:spacing w:before="60" w:line="240" w:lineRule="auto"/>
            <w:ind w:left="360"/>
            <w:jc w:val="left"/>
            <w:rPr>
              <w:color w:val="000000"/>
            </w:rPr>
          </w:pPr>
          <w:hyperlink w:anchor="_d0jmfklsjmuw">
            <w:r>
              <w:rPr>
                <w:color w:val="000000"/>
              </w:rPr>
              <w:t>3.4 SERVQUAL</w:t>
            </w:r>
            <w:r>
              <w:rPr>
                <w:color w:val="000000"/>
              </w:rPr>
              <w:tab/>
              <w:t>12</w:t>
            </w:r>
          </w:hyperlink>
        </w:p>
        <w:p w14:paraId="1FA92641" w14:textId="77777777" w:rsidR="00BF75F9" w:rsidRDefault="00AC5439">
          <w:pPr>
            <w:widowControl w:val="0"/>
            <w:tabs>
              <w:tab w:val="right" w:leader="dot" w:pos="12000"/>
            </w:tabs>
            <w:spacing w:before="60" w:line="240" w:lineRule="auto"/>
            <w:ind w:left="720"/>
            <w:jc w:val="left"/>
            <w:rPr>
              <w:color w:val="000000"/>
            </w:rPr>
          </w:pPr>
          <w:hyperlink w:anchor="_nblbxw2nu7nv">
            <w:r>
              <w:rPr>
                <w:color w:val="000000"/>
              </w:rPr>
              <w:t>3.4.1 Explanation</w:t>
            </w:r>
            <w:r>
              <w:rPr>
                <w:color w:val="000000"/>
              </w:rPr>
              <w:tab/>
              <w:t>12</w:t>
            </w:r>
          </w:hyperlink>
        </w:p>
        <w:p w14:paraId="372D3D5E" w14:textId="77777777" w:rsidR="00BF75F9" w:rsidRDefault="00AC5439">
          <w:pPr>
            <w:widowControl w:val="0"/>
            <w:tabs>
              <w:tab w:val="right" w:leader="dot" w:pos="12000"/>
            </w:tabs>
            <w:spacing w:before="60" w:line="240" w:lineRule="auto"/>
            <w:ind w:left="720"/>
            <w:jc w:val="left"/>
            <w:rPr>
              <w:color w:val="000000"/>
            </w:rPr>
          </w:pPr>
          <w:hyperlink w:anchor="_eff0celxm02w">
            <w:r>
              <w:rPr>
                <w:color w:val="000000"/>
              </w:rPr>
              <w:t>3.4.2 Relevance and Critical Evaluation</w:t>
            </w:r>
            <w:r>
              <w:rPr>
                <w:color w:val="000000"/>
              </w:rPr>
              <w:tab/>
              <w:t>13</w:t>
            </w:r>
          </w:hyperlink>
        </w:p>
        <w:p w14:paraId="5D980A00" w14:textId="77777777" w:rsidR="00BF75F9" w:rsidRDefault="00AC5439">
          <w:pPr>
            <w:widowControl w:val="0"/>
            <w:tabs>
              <w:tab w:val="right" w:leader="dot" w:pos="12000"/>
            </w:tabs>
            <w:spacing w:before="60" w:line="240" w:lineRule="auto"/>
            <w:ind w:left="360"/>
            <w:jc w:val="left"/>
            <w:rPr>
              <w:color w:val="000000"/>
            </w:rPr>
          </w:pPr>
          <w:hyperlink w:anchor="_a02o4vcyme3g">
            <w:r>
              <w:rPr>
                <w:color w:val="000000"/>
              </w:rPr>
              <w:t>3.5 Critical Theoretical Framework</w:t>
            </w:r>
            <w:r>
              <w:rPr>
                <w:color w:val="000000"/>
              </w:rPr>
              <w:tab/>
              <w:t>13</w:t>
            </w:r>
          </w:hyperlink>
        </w:p>
        <w:p w14:paraId="2CC48D73" w14:textId="77777777" w:rsidR="00BF75F9" w:rsidRDefault="00AC5439">
          <w:pPr>
            <w:widowControl w:val="0"/>
            <w:tabs>
              <w:tab w:val="right" w:leader="dot" w:pos="12000"/>
            </w:tabs>
            <w:spacing w:before="60" w:line="240" w:lineRule="auto"/>
            <w:ind w:left="360"/>
            <w:jc w:val="left"/>
            <w:rPr>
              <w:color w:val="000000"/>
            </w:rPr>
          </w:pPr>
          <w:hyperlink w:anchor="_uhp3ubf6ouq7">
            <w:r>
              <w:rPr>
                <w:color w:val="000000"/>
              </w:rPr>
              <w:t>3.6 Critical Synthesis of the Literature</w:t>
            </w:r>
            <w:r>
              <w:rPr>
                <w:color w:val="000000"/>
              </w:rPr>
              <w:tab/>
              <w:t>13</w:t>
            </w:r>
          </w:hyperlink>
        </w:p>
        <w:p w14:paraId="0B733A64" w14:textId="77777777" w:rsidR="00BF75F9" w:rsidRDefault="00AC5439">
          <w:pPr>
            <w:widowControl w:val="0"/>
            <w:tabs>
              <w:tab w:val="right" w:leader="dot" w:pos="12000"/>
            </w:tabs>
            <w:spacing w:before="60" w:line="240" w:lineRule="auto"/>
            <w:ind w:left="360"/>
            <w:jc w:val="left"/>
            <w:rPr>
              <w:color w:val="000000"/>
            </w:rPr>
          </w:pPr>
          <w:hyperlink w:anchor="_3u3hhfvtr3r9">
            <w:r>
              <w:rPr>
                <w:color w:val="000000"/>
              </w:rPr>
              <w:t>3.7 Literature Gap</w:t>
            </w:r>
            <w:r>
              <w:rPr>
                <w:color w:val="000000"/>
              </w:rPr>
              <w:tab/>
              <w:t>14</w:t>
            </w:r>
          </w:hyperlink>
        </w:p>
        <w:p w14:paraId="5E93B7FD" w14:textId="77777777" w:rsidR="00BF75F9" w:rsidRDefault="00AC5439">
          <w:pPr>
            <w:widowControl w:val="0"/>
            <w:tabs>
              <w:tab w:val="right" w:leader="dot" w:pos="12000"/>
            </w:tabs>
            <w:spacing w:before="60" w:line="240" w:lineRule="auto"/>
            <w:jc w:val="left"/>
            <w:rPr>
              <w:b/>
              <w:bCs/>
              <w:color w:val="000000"/>
            </w:rPr>
          </w:pPr>
          <w:hyperlink w:anchor="_ejcu73cmdljj">
            <w:r>
              <w:rPr>
                <w:b/>
                <w:bCs/>
                <w:color w:val="000000"/>
              </w:rPr>
              <w:t>4. Methodology</w:t>
            </w:r>
            <w:r>
              <w:rPr>
                <w:b/>
                <w:bCs/>
                <w:color w:val="000000"/>
              </w:rPr>
              <w:tab/>
              <w:t>15</w:t>
            </w:r>
          </w:hyperlink>
        </w:p>
        <w:p w14:paraId="64063E73" w14:textId="77777777" w:rsidR="00BF75F9" w:rsidRDefault="00AC5439">
          <w:pPr>
            <w:widowControl w:val="0"/>
            <w:tabs>
              <w:tab w:val="right" w:leader="dot" w:pos="12000"/>
            </w:tabs>
            <w:spacing w:before="60" w:line="240" w:lineRule="auto"/>
            <w:ind w:left="360"/>
            <w:jc w:val="left"/>
            <w:rPr>
              <w:color w:val="000000"/>
            </w:rPr>
          </w:pPr>
          <w:hyperlink w:anchor="_lssa9y6pll9l">
            <w:r>
              <w:rPr>
                <w:color w:val="000000"/>
              </w:rPr>
              <w:t>4.1 Research Philosophy — Interpretivism</w:t>
            </w:r>
            <w:r>
              <w:rPr>
                <w:color w:val="000000"/>
              </w:rPr>
              <w:tab/>
              <w:t>15</w:t>
            </w:r>
          </w:hyperlink>
        </w:p>
        <w:p w14:paraId="5E969DF0" w14:textId="77777777" w:rsidR="00BF75F9" w:rsidRDefault="00AC5439">
          <w:pPr>
            <w:widowControl w:val="0"/>
            <w:tabs>
              <w:tab w:val="right" w:leader="dot" w:pos="12000"/>
            </w:tabs>
            <w:spacing w:before="60" w:line="240" w:lineRule="auto"/>
            <w:ind w:left="360"/>
            <w:jc w:val="left"/>
            <w:rPr>
              <w:color w:val="000000"/>
            </w:rPr>
          </w:pPr>
          <w:hyperlink w:anchor="_eab36dwpp07i">
            <w:r>
              <w:rPr>
                <w:color w:val="000000"/>
              </w:rPr>
              <w:t>4.2 Research Approach — Inductive</w:t>
            </w:r>
            <w:r>
              <w:rPr>
                <w:color w:val="000000"/>
              </w:rPr>
              <w:tab/>
              <w:t>15</w:t>
            </w:r>
          </w:hyperlink>
        </w:p>
        <w:p w14:paraId="5335EA0F" w14:textId="77777777" w:rsidR="00BF75F9" w:rsidRDefault="00AC5439">
          <w:pPr>
            <w:widowControl w:val="0"/>
            <w:tabs>
              <w:tab w:val="right" w:leader="dot" w:pos="12000"/>
            </w:tabs>
            <w:spacing w:before="60" w:line="240" w:lineRule="auto"/>
            <w:ind w:left="360"/>
            <w:jc w:val="left"/>
            <w:rPr>
              <w:color w:val="000000"/>
            </w:rPr>
          </w:pPr>
          <w:hyperlink w:anchor="_1fitwx52w2wh">
            <w:r>
              <w:rPr>
                <w:color w:val="000000"/>
              </w:rPr>
              <w:t>4.3 Research Design — Qualitative Secondary Research</w:t>
            </w:r>
            <w:r>
              <w:rPr>
                <w:color w:val="000000"/>
              </w:rPr>
              <w:tab/>
              <w:t>16</w:t>
            </w:r>
          </w:hyperlink>
        </w:p>
        <w:p w14:paraId="5661348A" w14:textId="77777777" w:rsidR="00BF75F9" w:rsidRDefault="00AC5439">
          <w:pPr>
            <w:widowControl w:val="0"/>
            <w:tabs>
              <w:tab w:val="right" w:leader="dot" w:pos="12000"/>
            </w:tabs>
            <w:spacing w:before="60" w:line="240" w:lineRule="auto"/>
            <w:ind w:left="360"/>
            <w:jc w:val="left"/>
            <w:rPr>
              <w:color w:val="000000"/>
            </w:rPr>
          </w:pPr>
          <w:hyperlink w:anchor="_20vscigwhdx9">
            <w:r>
              <w:rPr>
                <w:color w:val="000000"/>
              </w:rPr>
              <w:t>4.4 Data Collection and Sources</w:t>
            </w:r>
            <w:r>
              <w:rPr>
                <w:color w:val="000000"/>
              </w:rPr>
              <w:tab/>
              <w:t>16</w:t>
            </w:r>
          </w:hyperlink>
        </w:p>
        <w:p w14:paraId="6A296BF8" w14:textId="77777777" w:rsidR="00BF75F9" w:rsidRDefault="00AC5439">
          <w:pPr>
            <w:widowControl w:val="0"/>
            <w:tabs>
              <w:tab w:val="right" w:leader="dot" w:pos="12000"/>
            </w:tabs>
            <w:spacing w:before="60" w:line="240" w:lineRule="auto"/>
            <w:ind w:left="360"/>
            <w:jc w:val="left"/>
            <w:rPr>
              <w:color w:val="000000"/>
            </w:rPr>
          </w:pPr>
          <w:hyperlink w:anchor="_xg5db3gqvxhp">
            <w:r>
              <w:rPr>
                <w:color w:val="000000"/>
              </w:rPr>
              <w:t>4.5 Inclusion and Exclusion Criteria</w:t>
            </w:r>
            <w:r>
              <w:rPr>
                <w:color w:val="000000"/>
              </w:rPr>
              <w:tab/>
              <w:t>16</w:t>
            </w:r>
          </w:hyperlink>
        </w:p>
        <w:p w14:paraId="52200121" w14:textId="77777777" w:rsidR="00BF75F9" w:rsidRDefault="00AC5439">
          <w:pPr>
            <w:widowControl w:val="0"/>
            <w:tabs>
              <w:tab w:val="right" w:leader="dot" w:pos="12000"/>
            </w:tabs>
            <w:spacing w:before="60" w:line="240" w:lineRule="auto"/>
            <w:ind w:left="360"/>
            <w:jc w:val="left"/>
            <w:rPr>
              <w:color w:val="000000"/>
            </w:rPr>
          </w:pPr>
          <w:hyperlink w:anchor="_2jpeedru8vne">
            <w:r>
              <w:rPr>
                <w:color w:val="000000"/>
              </w:rPr>
              <w:t>4.6 Data Analysis</w:t>
            </w:r>
            <w:r>
              <w:rPr>
                <w:color w:val="000000"/>
              </w:rPr>
              <w:tab/>
              <w:t>17</w:t>
            </w:r>
          </w:hyperlink>
        </w:p>
        <w:p w14:paraId="30D82861" w14:textId="77777777" w:rsidR="00BF75F9" w:rsidRDefault="00AC5439">
          <w:pPr>
            <w:widowControl w:val="0"/>
            <w:tabs>
              <w:tab w:val="right" w:leader="dot" w:pos="12000"/>
            </w:tabs>
            <w:spacing w:before="60" w:line="240" w:lineRule="auto"/>
            <w:ind w:left="360"/>
            <w:jc w:val="left"/>
            <w:rPr>
              <w:color w:val="000000"/>
            </w:rPr>
          </w:pPr>
          <w:hyperlink w:anchor="_ekxfdzm981cw">
            <w:r>
              <w:rPr>
                <w:color w:val="000000"/>
              </w:rPr>
              <w:t>4.7 Ethical Considerations</w:t>
            </w:r>
            <w:r>
              <w:rPr>
                <w:color w:val="000000"/>
              </w:rPr>
              <w:tab/>
              <w:t>17</w:t>
            </w:r>
          </w:hyperlink>
        </w:p>
        <w:p w14:paraId="6F91DF76" w14:textId="77777777" w:rsidR="00BF75F9" w:rsidRDefault="00AC5439">
          <w:pPr>
            <w:widowControl w:val="0"/>
            <w:tabs>
              <w:tab w:val="right" w:leader="dot" w:pos="12000"/>
            </w:tabs>
            <w:spacing w:before="60" w:line="240" w:lineRule="auto"/>
            <w:ind w:left="360"/>
            <w:jc w:val="left"/>
            <w:rPr>
              <w:color w:val="000000"/>
            </w:rPr>
          </w:pPr>
          <w:hyperlink w:anchor="_u6li8ovprnx5">
            <w:r>
              <w:rPr>
                <w:color w:val="000000"/>
              </w:rPr>
              <w:t>4.8 Methodological Limitations</w:t>
            </w:r>
            <w:r>
              <w:rPr>
                <w:color w:val="000000"/>
              </w:rPr>
              <w:tab/>
              <w:t>18</w:t>
            </w:r>
          </w:hyperlink>
        </w:p>
        <w:p w14:paraId="4A36A3FC" w14:textId="77777777" w:rsidR="00BF75F9" w:rsidRDefault="00AC5439">
          <w:pPr>
            <w:widowControl w:val="0"/>
            <w:tabs>
              <w:tab w:val="right" w:leader="dot" w:pos="12000"/>
            </w:tabs>
            <w:spacing w:before="60" w:line="240" w:lineRule="auto"/>
            <w:jc w:val="left"/>
            <w:rPr>
              <w:b/>
              <w:bCs/>
              <w:color w:val="000000"/>
            </w:rPr>
          </w:pPr>
          <w:hyperlink w:anchor="_i28s8g8mu96x">
            <w:r>
              <w:rPr>
                <w:b/>
                <w:bCs/>
                <w:color w:val="000000"/>
              </w:rPr>
              <w:t>References</w:t>
            </w:r>
            <w:r>
              <w:rPr>
                <w:b/>
                <w:bCs/>
                <w:color w:val="000000"/>
              </w:rPr>
              <w:tab/>
              <w:t>19</w:t>
            </w:r>
          </w:hyperlink>
          <w:r>
            <w:fldChar w:fldCharType="end"/>
          </w:r>
        </w:p>
      </w:sdtContent>
    </w:sdt>
    <w:p w14:paraId="2D3DC69A" w14:textId="77777777" w:rsidR="00BF75F9" w:rsidRDefault="00BF75F9">
      <w:pPr>
        <w:jc w:val="center"/>
        <w:rPr>
          <w:b/>
          <w:bCs/>
          <w:sz w:val="28"/>
          <w:szCs w:val="28"/>
        </w:rPr>
      </w:pPr>
    </w:p>
    <w:p w14:paraId="35F8C36F" w14:textId="77777777" w:rsidR="00BF75F9" w:rsidRDefault="00AC5439">
      <w:pPr>
        <w:pStyle w:val="Heading1"/>
        <w:keepNext w:val="0"/>
        <w:keepLines w:val="0"/>
        <w:rPr>
          <w:sz w:val="46"/>
          <w:szCs w:val="46"/>
        </w:rPr>
      </w:pPr>
      <w:bookmarkStart w:id="1" w:name="_w3hqad2lhk27" w:colFirst="0" w:colLast="0"/>
      <w:bookmarkEnd w:id="1"/>
      <w:r>
        <w:br w:type="page"/>
      </w:r>
    </w:p>
    <w:p w14:paraId="236E49B9" w14:textId="77777777" w:rsidR="00BF75F9" w:rsidRDefault="00AC5439">
      <w:pPr>
        <w:pStyle w:val="Heading1"/>
        <w:keepNext w:val="0"/>
        <w:keepLines w:val="0"/>
        <w:rPr>
          <w:color w:val="000000"/>
          <w:sz w:val="26"/>
          <w:szCs w:val="26"/>
        </w:rPr>
      </w:pPr>
      <w:bookmarkStart w:id="2" w:name="_muw6kutnb9mt" w:colFirst="0" w:colLast="0"/>
      <w:bookmarkEnd w:id="2"/>
      <w:r>
        <w:lastRenderedPageBreak/>
        <w:t>1. Introduction</w:t>
      </w:r>
    </w:p>
    <w:p w14:paraId="590F1439" w14:textId="77777777" w:rsidR="00BF75F9" w:rsidRDefault="00AC5439">
      <w:pPr>
        <w:pStyle w:val="Heading2"/>
        <w:keepNext w:val="0"/>
        <w:keepLines w:val="0"/>
      </w:pPr>
      <w:bookmarkStart w:id="3" w:name="_4pn7fjbiuqdu" w:colFirst="0" w:colLast="0"/>
      <w:bookmarkEnd w:id="3"/>
      <w:r>
        <w:t>1.1 Background to the Wedding Planning and Event Management Industry</w:t>
      </w:r>
    </w:p>
    <w:p w14:paraId="3287BCA1" w14:textId="043903D4" w:rsidR="00BF75F9" w:rsidRDefault="00AC5439">
      <w:r>
        <w:t xml:space="preserve">Weddings continue to be a significant component of the hospitality, tourism and event management industry in the UK but continue to change because of the rising expectations of the customer (Bladen, 2021). A traditional approach to wedding planning is still helpful for arranging things with suppliers, venues and budgets; meanwhile, modern couples are looking for things that are convenient, </w:t>
      </w:r>
      <w:r w:rsidR="009C4691">
        <w:t>personalized</w:t>
      </w:r>
      <w:r>
        <w:t xml:space="preserve"> and digital (</w:t>
      </w:r>
      <w:r w:rsidR="009C4691">
        <w:t>Adebare</w:t>
      </w:r>
      <w:r>
        <w:t xml:space="preserve"> </w:t>
      </w:r>
      <w:r w:rsidR="00841A2D" w:rsidRPr="00841A2D">
        <w:rPr>
          <w:i/>
        </w:rPr>
        <w:t>et al</w:t>
      </w:r>
      <w:r>
        <w:t xml:space="preserve">., 2024). While these methods are reliable, they might have a limited ability to offer a custom experience in the case of highly </w:t>
      </w:r>
      <w:r w:rsidR="009C4691">
        <w:t>customized</w:t>
      </w:r>
      <w:r>
        <w:t xml:space="preserve"> experiences. The difference will provide EverAfter </w:t>
      </w:r>
      <w:r w:rsidR="009C4691">
        <w:t>Weddings with</w:t>
      </w:r>
      <w:r>
        <w:t xml:space="preserve"> the opportunity to rejuvenate following a period of rapid growth and build on that momentum through the marrying-in of professional event coordination and </w:t>
      </w:r>
      <w:r w:rsidR="009C4691">
        <w:t>personalized</w:t>
      </w:r>
      <w:r>
        <w:t xml:space="preserve"> and tech-enabled service with the evolving needs of their clients.</w:t>
      </w:r>
    </w:p>
    <w:p w14:paraId="1C5C31E0" w14:textId="77777777" w:rsidR="00BF75F9" w:rsidRDefault="00AC5439">
      <w:pPr>
        <w:pStyle w:val="Heading2"/>
        <w:keepNext w:val="0"/>
        <w:keepLines w:val="0"/>
        <w:spacing w:before="280"/>
      </w:pPr>
      <w:bookmarkStart w:id="4" w:name="_3f971ym6hyvk" w:colFirst="0" w:colLast="0"/>
      <w:bookmarkEnd w:id="4"/>
      <w:r>
        <w:t>1.2 London Wedding Market</w:t>
      </w:r>
    </w:p>
    <w:p w14:paraId="17F2197F" w14:textId="77777777" w:rsidR="00BF75F9" w:rsidRDefault="00AC5439">
      <w:pPr>
        <w:spacing w:before="240" w:after="240"/>
      </w:pPr>
      <w:r>
        <w:t>While the competition is fierce, London's wide variety of venues and suppliers still make it a great hub for weddings, as described by George (2024). Generally, the wedding-services sector in the UK is expected to experience consistent growth from an estimated $27,000 million in 2021 to $115,000 million by 2033, suggesting growing commercial opportunities. This fast-paced environment is a great opportunity for those new to the job of a planner to build their reputation and gain knowledge, and make a difference by offering some personal touches, coordinating efficiently and using technology to make things easier to navigate.</w:t>
      </w:r>
    </w:p>
    <w:p w14:paraId="3DC8DCAD" w14:textId="77777777" w:rsidR="00BF75F9" w:rsidRDefault="00AC5439">
      <w:pPr>
        <w:spacing w:before="240" w:after="240"/>
        <w:rPr>
          <w:b/>
          <w:bCs/>
        </w:rPr>
      </w:pPr>
      <w:r>
        <w:rPr>
          <w:b/>
          <w:bCs/>
        </w:rPr>
        <w:t>Figure 1. UK Wedding Industry Size</w:t>
      </w:r>
    </w:p>
    <w:p w14:paraId="5DC6B3E2" w14:textId="77777777" w:rsidR="00BF75F9" w:rsidRDefault="00AC5439">
      <w:pPr>
        <w:spacing w:before="240" w:after="240"/>
        <w:jc w:val="center"/>
      </w:pPr>
      <w:r>
        <w:rPr>
          <w:noProof/>
          <w:lang w:val="en-IN"/>
        </w:rPr>
        <w:lastRenderedPageBreak/>
        <w:drawing>
          <wp:inline distT="114300" distB="114300" distL="114300" distR="114300" wp14:anchorId="14748667" wp14:editId="5554C940">
            <wp:extent cx="5943600" cy="305752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b="8547"/>
                    <a:stretch>
                      <a:fillRect/>
                    </a:stretch>
                  </pic:blipFill>
                  <pic:spPr>
                    <a:xfrm>
                      <a:off x="0" y="0"/>
                      <a:ext cx="5943600" cy="3057525"/>
                    </a:xfrm>
                    <a:prstGeom prst="rect">
                      <a:avLst/>
                    </a:prstGeom>
                    <a:ln w="12700">
                      <a:solidFill>
                        <a:srgbClr val="000000"/>
                      </a:solidFill>
                      <a:prstDash val="solid"/>
                    </a:ln>
                  </pic:spPr>
                </pic:pic>
              </a:graphicData>
            </a:graphic>
          </wp:inline>
        </w:drawing>
      </w:r>
    </w:p>
    <w:p w14:paraId="2AEFD98B" w14:textId="77777777" w:rsidR="00BF75F9" w:rsidRDefault="00AC5439">
      <w:pPr>
        <w:spacing w:before="240" w:after="240"/>
      </w:pPr>
      <w:r>
        <w:t>Source: Adapted From: Grand View Research, 2026</w:t>
      </w:r>
    </w:p>
    <w:p w14:paraId="4E796750" w14:textId="77777777" w:rsidR="00BF75F9" w:rsidRDefault="00AC5439">
      <w:pPr>
        <w:pStyle w:val="Heading2"/>
      </w:pPr>
      <w:bookmarkStart w:id="5" w:name="_qkq2a38t57j4" w:colFirst="0" w:colLast="0"/>
      <w:bookmarkEnd w:id="5"/>
      <w:r>
        <w:t>1.3 Changing Customer Expectations</w:t>
      </w:r>
    </w:p>
    <w:p w14:paraId="227D3C49" w14:textId="6DC90E25" w:rsidR="00BF75F9" w:rsidRDefault="00AC5439">
      <w:pPr>
        <w:spacing w:before="240" w:after="240"/>
      </w:pPr>
      <w:r>
        <w:t xml:space="preserve">The expectations of customers vary when it comes to wedding planning, with many looking for extra convenience and </w:t>
      </w:r>
      <w:r w:rsidR="009C4691">
        <w:t>personalization</w:t>
      </w:r>
      <w:r>
        <w:t xml:space="preserve"> along with </w:t>
      </w:r>
      <w:proofErr w:type="gramStart"/>
      <w:r>
        <w:t>making arrangements</w:t>
      </w:r>
      <w:proofErr w:type="gramEnd"/>
      <w:r>
        <w:t xml:space="preserve"> happen. The use of digital communication and online consultations can help to increase accessibility, but the more technology-dependent that consultations become, the less effective they may be at establishing a personal relationship, especially when a consultation or event is emotionally significant (</w:t>
      </w:r>
      <w:proofErr w:type="spellStart"/>
      <w:r>
        <w:t>Ambhore</w:t>
      </w:r>
      <w:proofErr w:type="spellEnd"/>
      <w:r>
        <w:t xml:space="preserve">, 2025). On average, a couple in the United Kingdom would spend £20,604 on a wedding service, have 80 guests, would be 34.8 years of age and be getting married in August. This is an opportunity for EverAfter Weddings to bring together </w:t>
      </w:r>
      <w:r w:rsidR="009C4691">
        <w:t>personalized</w:t>
      </w:r>
      <w:r>
        <w:t xml:space="preserve"> support, transparency in pricing, and digital convenience, while keeping their quality and customer-centred service high</w:t>
      </w:r>
    </w:p>
    <w:p w14:paraId="397E764A" w14:textId="77777777" w:rsidR="00BF75F9" w:rsidRDefault="00AC5439">
      <w:pPr>
        <w:spacing w:before="240" w:after="240"/>
        <w:rPr>
          <w:b/>
          <w:bCs/>
        </w:rPr>
      </w:pPr>
      <w:r>
        <w:rPr>
          <w:b/>
          <w:bCs/>
        </w:rPr>
        <w:t xml:space="preserve">Figure 2. Customer Evaluation </w:t>
      </w:r>
    </w:p>
    <w:p w14:paraId="438CD072" w14:textId="77777777" w:rsidR="00BF75F9" w:rsidRDefault="00AC5439">
      <w:pPr>
        <w:spacing w:before="240" w:after="240"/>
        <w:jc w:val="center"/>
      </w:pPr>
      <w:r>
        <w:rPr>
          <w:noProof/>
          <w:lang w:val="en-IN"/>
        </w:rPr>
        <w:lastRenderedPageBreak/>
        <w:drawing>
          <wp:inline distT="114300" distB="114300" distL="114300" distR="114300" wp14:anchorId="30B9800E" wp14:editId="577270D3">
            <wp:extent cx="5943600" cy="1727200"/>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1727200"/>
                    </a:xfrm>
                    <a:prstGeom prst="rect">
                      <a:avLst/>
                    </a:prstGeom>
                    <a:ln w="12700">
                      <a:solidFill>
                        <a:srgbClr val="000000"/>
                      </a:solidFill>
                      <a:prstDash val="solid"/>
                    </a:ln>
                  </pic:spPr>
                </pic:pic>
              </a:graphicData>
            </a:graphic>
          </wp:inline>
        </w:drawing>
      </w:r>
    </w:p>
    <w:p w14:paraId="0C257DE8" w14:textId="77777777" w:rsidR="00BF75F9" w:rsidRDefault="00AC5439">
      <w:pPr>
        <w:spacing w:before="240" w:after="240"/>
      </w:pPr>
      <w:r>
        <w:t xml:space="preserve">Source: Adapted From: </w:t>
      </w:r>
      <w:proofErr w:type="spellStart"/>
      <w:r>
        <w:t>Bridebook</w:t>
      </w:r>
      <w:proofErr w:type="spellEnd"/>
      <w:r>
        <w:t>, 2026</w:t>
      </w:r>
    </w:p>
    <w:p w14:paraId="155BF49E" w14:textId="77777777" w:rsidR="00BF75F9" w:rsidRDefault="00AC5439">
      <w:pPr>
        <w:pStyle w:val="Heading2"/>
        <w:keepNext w:val="0"/>
        <w:keepLines w:val="0"/>
        <w:spacing w:before="280"/>
      </w:pPr>
      <w:bookmarkStart w:id="6" w:name="_1oh9xpmuoqc8" w:colFirst="0" w:colLast="0"/>
      <w:bookmarkEnd w:id="6"/>
      <w:r>
        <w:t>1.4 Business Problem</w:t>
      </w:r>
    </w:p>
    <w:p w14:paraId="03C401E2" w14:textId="463482FF" w:rsidR="00BF75F9" w:rsidRDefault="00AC5439">
      <w:pPr>
        <w:spacing w:before="240" w:after="240"/>
      </w:pPr>
      <w:r>
        <w:t xml:space="preserve">Conducted by Bladen (2021) and Adedara et. al. (2024), the UK wedding industry is shifting away from the conventional range of activities and experiencing a move into personalised, convenient and digitally supported encounters. While independent planning offers control and flexibility, it will add demands for your </w:t>
      </w:r>
      <w:r w:rsidR="009C4691">
        <w:t>organization</w:t>
      </w:r>
      <w:r>
        <w:t xml:space="preserve"> and/or customers may not see enough value in it to pay for it (Clar‐Novak, 2025; Mehmedi </w:t>
      </w:r>
      <w:r w:rsidR="00841A2D" w:rsidRPr="00841A2D">
        <w:rPr>
          <w:i/>
        </w:rPr>
        <w:t>et al</w:t>
      </w:r>
      <w:r>
        <w:t>., 2025). The critical issue for EverAfter Weddings is then how to give them a personal, reliable and convenient wedding plan without losing the human touch that is so important to weddings.</w:t>
      </w:r>
    </w:p>
    <w:p w14:paraId="1188DC39" w14:textId="77777777" w:rsidR="00BF75F9" w:rsidRDefault="00AC5439">
      <w:pPr>
        <w:pStyle w:val="Heading2"/>
        <w:keepNext w:val="0"/>
        <w:keepLines w:val="0"/>
        <w:spacing w:before="280"/>
      </w:pPr>
      <w:bookmarkStart w:id="7" w:name="_ou5v7b4hth8l" w:colFirst="0" w:colLast="0"/>
      <w:bookmarkEnd w:id="7"/>
      <w:r>
        <w:t>1.5 Business Opportunity</w:t>
      </w:r>
    </w:p>
    <w:p w14:paraId="4A75351F" w14:textId="7A15D3B5" w:rsidR="00BF75F9" w:rsidRDefault="00AC5439">
      <w:pPr>
        <w:spacing w:before="240" w:after="240"/>
      </w:pPr>
      <w:proofErr w:type="gramStart"/>
      <w:r>
        <w:t>EverAfter</w:t>
      </w:r>
      <w:proofErr w:type="gramEnd"/>
      <w:r>
        <w:t xml:space="preserve"> Weddings </w:t>
      </w:r>
      <w:r w:rsidR="009C4691">
        <w:t>acknowledge</w:t>
      </w:r>
      <w:r>
        <w:t xml:space="preserve"> the fact that there are </w:t>
      </w:r>
      <w:proofErr w:type="gramStart"/>
      <w:r>
        <w:t>a number of</w:t>
      </w:r>
      <w:proofErr w:type="gramEnd"/>
      <w:r>
        <w:t xml:space="preserve"> gaps between traditional wedding preparation and the ever-increasing need for </w:t>
      </w:r>
      <w:r w:rsidR="009C4691">
        <w:t>personalized</w:t>
      </w:r>
      <w:r>
        <w:t xml:space="preserve"> and convenient solutions. The use of technology will enhance the ability to communicate or to plan tasks efficiently, but the overuse of technology could be counterproductive for certain more challenging situations, such as emotionally important events in which more personal interaction is needed (Staniec </w:t>
      </w:r>
      <w:r w:rsidR="00841A2D" w:rsidRPr="00841A2D">
        <w:rPr>
          <w:i/>
        </w:rPr>
        <w:t>et al</w:t>
      </w:r>
      <w:r>
        <w:t xml:space="preserve">. 2022). So, the terrific ever after will be a technology tool to guide and complement, not supplant, </w:t>
      </w:r>
      <w:r w:rsidR="009C4691">
        <w:t>personalized</w:t>
      </w:r>
      <w:r>
        <w:t xml:space="preserve"> wedding planning and professional event arranging in London.</w:t>
      </w:r>
    </w:p>
    <w:p w14:paraId="0D83CBDE" w14:textId="77777777" w:rsidR="00BF75F9" w:rsidRDefault="00AC5439">
      <w:pPr>
        <w:pStyle w:val="Heading2"/>
        <w:keepNext w:val="0"/>
        <w:keepLines w:val="0"/>
        <w:spacing w:before="280"/>
      </w:pPr>
      <w:bookmarkStart w:id="8" w:name="_2arm6j4f1ybo" w:colFirst="0" w:colLast="0"/>
      <w:bookmarkEnd w:id="8"/>
      <w:r>
        <w:t>1.6 Aim</w:t>
      </w:r>
    </w:p>
    <w:p w14:paraId="1430C2D1" w14:textId="77777777" w:rsidR="00BF75F9" w:rsidRDefault="00AC5439">
      <w:pPr>
        <w:spacing w:before="240" w:after="240"/>
        <w:ind w:right="600"/>
        <w:rPr>
          <w:b/>
          <w:bCs/>
        </w:rPr>
      </w:pPr>
      <w:r>
        <w:rPr>
          <w:b/>
          <w:bCs/>
        </w:rPr>
        <w:t xml:space="preserve">The research aims to examine published evidence on customer preferences, wedding market trends, competitive practices, and business opportunities within the London </w:t>
      </w:r>
      <w:r>
        <w:rPr>
          <w:b/>
          <w:bCs/>
        </w:rPr>
        <w:lastRenderedPageBreak/>
        <w:t>wedding market to support the development of a feasible Business Development Proposal.</w:t>
      </w:r>
    </w:p>
    <w:p w14:paraId="2DAE8420" w14:textId="77777777" w:rsidR="00BF75F9" w:rsidRDefault="00AC5439">
      <w:pPr>
        <w:pStyle w:val="Heading2"/>
        <w:keepNext w:val="0"/>
        <w:keepLines w:val="0"/>
        <w:spacing w:before="280"/>
      </w:pPr>
      <w:bookmarkStart w:id="9" w:name="_eqyvv6udeyq2" w:colFirst="0" w:colLast="0"/>
      <w:bookmarkEnd w:id="9"/>
      <w:r>
        <w:t>1.7 Research Objectives</w:t>
      </w:r>
    </w:p>
    <w:p w14:paraId="1B0F7BF2" w14:textId="32116592" w:rsidR="00BF75F9" w:rsidRDefault="00AC5439">
      <w:pPr>
        <w:numPr>
          <w:ilvl w:val="0"/>
          <w:numId w:val="1"/>
        </w:numPr>
        <w:spacing w:before="240"/>
      </w:pPr>
      <w:r>
        <w:t xml:space="preserve">To </w:t>
      </w:r>
      <w:r w:rsidR="00B23365">
        <w:t>analyses</w:t>
      </w:r>
      <w:r>
        <w:t xml:space="preserve"> published evidence on the current UK wedding planning and event management market, including industry trends, market size, and future growth opportunities.</w:t>
      </w:r>
    </w:p>
    <w:p w14:paraId="3C12AEDB" w14:textId="28E8BE48" w:rsidR="00BF75F9" w:rsidRDefault="00AC5439">
      <w:pPr>
        <w:numPr>
          <w:ilvl w:val="0"/>
          <w:numId w:val="1"/>
        </w:numPr>
      </w:pPr>
      <w:r>
        <w:t xml:space="preserve">To </w:t>
      </w:r>
      <w:r w:rsidR="00B23365">
        <w:t>analyses</w:t>
      </w:r>
      <w:r>
        <w:t xml:space="preserve"> published evidence relating to customer preferences, expectations, and purchasing </w:t>
      </w:r>
      <w:r w:rsidR="00B23365">
        <w:t>behavior</w:t>
      </w:r>
      <w:r>
        <w:t xml:space="preserve"> in the UK wedding planning market.</w:t>
      </w:r>
    </w:p>
    <w:p w14:paraId="33CAED63" w14:textId="77777777" w:rsidR="00BF75F9" w:rsidRDefault="00AC5439">
      <w:pPr>
        <w:numPr>
          <w:ilvl w:val="0"/>
          <w:numId w:val="1"/>
        </w:numPr>
      </w:pPr>
      <w:r>
        <w:t>To evaluate the strengths, weaknesses, and competitive strategies of existing wedding planning businesses operating in London using published literature and industry reports.</w:t>
      </w:r>
    </w:p>
    <w:p w14:paraId="0B01C30A" w14:textId="77777777" w:rsidR="00BF75F9" w:rsidRDefault="00AC5439">
      <w:pPr>
        <w:numPr>
          <w:ilvl w:val="0"/>
          <w:numId w:val="1"/>
        </w:numPr>
      </w:pPr>
      <w:r>
        <w:t>To develop a viable business development and marketing strategy for EverAfter Weddings based on findings from the secondary literature.</w:t>
      </w:r>
    </w:p>
    <w:p w14:paraId="5DA40277" w14:textId="77777777" w:rsidR="00BF75F9" w:rsidRDefault="00AC5439">
      <w:pPr>
        <w:numPr>
          <w:ilvl w:val="0"/>
          <w:numId w:val="1"/>
        </w:numPr>
        <w:spacing w:after="240"/>
      </w:pPr>
      <w:r>
        <w:t>To assess the commercial viability and competitiveness of the proposed EverAfter Weddings business using existing published academic and industry evidence.</w:t>
      </w:r>
    </w:p>
    <w:p w14:paraId="77FF7308" w14:textId="77777777" w:rsidR="00BF75F9" w:rsidRDefault="00AC5439">
      <w:pPr>
        <w:pStyle w:val="Heading2"/>
        <w:keepNext w:val="0"/>
        <w:keepLines w:val="0"/>
        <w:spacing w:before="280"/>
      </w:pPr>
      <w:bookmarkStart w:id="10" w:name="_eorurcnbf36n" w:colFirst="0" w:colLast="0"/>
      <w:bookmarkEnd w:id="10"/>
      <w:r>
        <w:t>1.8 Research Questions</w:t>
      </w:r>
    </w:p>
    <w:p w14:paraId="1DECF803" w14:textId="77777777" w:rsidR="00BF75F9" w:rsidRDefault="00AC5439">
      <w:pPr>
        <w:rPr>
          <w:b/>
          <w:bCs/>
        </w:rPr>
      </w:pPr>
      <w:r>
        <w:rPr>
          <w:b/>
          <w:bCs/>
        </w:rPr>
        <w:t>Main Research Question</w:t>
      </w:r>
    </w:p>
    <w:p w14:paraId="26F3598B" w14:textId="77777777" w:rsidR="00BF75F9" w:rsidRDefault="00AC5439">
      <w:pPr>
        <w:numPr>
          <w:ilvl w:val="0"/>
          <w:numId w:val="3"/>
        </w:numPr>
      </w:pPr>
      <w:r>
        <w:t>Is EverAfter Weddings a commercially viable business in the London wedding planning market?</w:t>
      </w:r>
    </w:p>
    <w:p w14:paraId="60BEE3CA" w14:textId="77777777" w:rsidR="00BF75F9" w:rsidRDefault="00AC5439">
      <w:pPr>
        <w:rPr>
          <w:b/>
          <w:bCs/>
        </w:rPr>
      </w:pPr>
      <w:r>
        <w:rPr>
          <w:b/>
          <w:bCs/>
        </w:rPr>
        <w:t>The study addressed the following research questions:</w:t>
      </w:r>
    </w:p>
    <w:p w14:paraId="1635A25D" w14:textId="77777777" w:rsidR="00BF75F9" w:rsidRDefault="00AC5439">
      <w:pPr>
        <w:numPr>
          <w:ilvl w:val="0"/>
          <w:numId w:val="2"/>
        </w:numPr>
      </w:pPr>
      <w:r>
        <w:t>What are the current trends and opportunities in the UK wedding planning market?</w:t>
      </w:r>
    </w:p>
    <w:p w14:paraId="22A2856E" w14:textId="77777777" w:rsidR="00BF75F9" w:rsidRDefault="00AC5439">
      <w:pPr>
        <w:numPr>
          <w:ilvl w:val="0"/>
          <w:numId w:val="2"/>
        </w:numPr>
      </w:pPr>
      <w:r>
        <w:t>What do customers expect from professional wedding planning services?</w:t>
      </w:r>
    </w:p>
    <w:p w14:paraId="4FE596EA" w14:textId="77777777" w:rsidR="00BF75F9" w:rsidRDefault="00AC5439">
      <w:pPr>
        <w:numPr>
          <w:ilvl w:val="0"/>
          <w:numId w:val="2"/>
        </w:numPr>
      </w:pPr>
      <w:r>
        <w:t>What are the strengths and weaknesses of existing wedding planning businesses in London?</w:t>
      </w:r>
    </w:p>
    <w:p w14:paraId="35DB7390" w14:textId="77777777" w:rsidR="00BF75F9" w:rsidRDefault="00AC5439">
      <w:pPr>
        <w:numPr>
          <w:ilvl w:val="0"/>
          <w:numId w:val="2"/>
        </w:numPr>
      </w:pPr>
      <w:r>
        <w:t>How can EverAfter Weddings develop an effective business and marketing strategy?</w:t>
      </w:r>
    </w:p>
    <w:p w14:paraId="3EED2C03" w14:textId="77777777" w:rsidR="00BF75F9" w:rsidRDefault="00BF75F9"/>
    <w:p w14:paraId="2BBE3A9E" w14:textId="77777777" w:rsidR="00BF75F9" w:rsidRDefault="00BF75F9"/>
    <w:p w14:paraId="3BDB9CD6" w14:textId="77777777" w:rsidR="00BF75F9" w:rsidRDefault="00AC5439">
      <w:pPr>
        <w:pStyle w:val="Heading1"/>
      </w:pPr>
      <w:bookmarkStart w:id="11" w:name="_9wsyjyp9nhge" w:colFirst="0" w:colLast="0"/>
      <w:bookmarkEnd w:id="11"/>
      <w:r>
        <w:lastRenderedPageBreak/>
        <w:t>2. Company Description</w:t>
      </w:r>
    </w:p>
    <w:p w14:paraId="731C849F" w14:textId="77777777" w:rsidR="00BF75F9" w:rsidRDefault="00AC5439">
      <w:pPr>
        <w:pStyle w:val="Heading2"/>
      </w:pPr>
      <w:bookmarkStart w:id="12" w:name="_6b9xtcx8cli7" w:colFirst="0" w:colLast="0"/>
      <w:bookmarkEnd w:id="12"/>
      <w:r>
        <w:t>2.1 Overview of EverAfter Weddings</w:t>
      </w:r>
    </w:p>
    <w:p w14:paraId="2818C186" w14:textId="2169722B" w:rsidR="00BF75F9" w:rsidRDefault="00AC5439">
      <w:pPr>
        <w:spacing w:before="240" w:after="240"/>
      </w:pPr>
      <w:proofErr w:type="gramStart"/>
      <w:r>
        <w:t>EverAfter</w:t>
      </w:r>
      <w:proofErr w:type="gramEnd"/>
      <w:r>
        <w:t xml:space="preserve"> Weddings is a wedding planning and events management company in London offering customers a </w:t>
      </w:r>
      <w:r w:rsidR="009C4691">
        <w:t>personalized</w:t>
      </w:r>
      <w:r>
        <w:t xml:space="preserve"> wedding. The function of conventional planners is to coordinate and give out logistics support, but EverAfter wants to do more than that—it wants to integrate hands-on </w:t>
      </w:r>
      <w:r w:rsidR="009C4691">
        <w:t>personalization</w:t>
      </w:r>
      <w:r>
        <w:t xml:space="preserve"> for the customer with that coordination and logistical support; and it wants to engage the customer digitally, too. The venture proposed is good at unifying couples in need of professional help without losing their distinctiveness with their wedding choices. It aims to streamline complicated planning procedures and provide coordinated, memorable and tailored experiences specifically for a variety of London customers.</w:t>
      </w:r>
    </w:p>
    <w:p w14:paraId="58C4EB99" w14:textId="77777777" w:rsidR="00BF75F9" w:rsidRDefault="00AC5439">
      <w:pPr>
        <w:rPr>
          <w:b/>
          <w:bCs/>
        </w:rPr>
      </w:pPr>
      <w:r>
        <w:rPr>
          <w:b/>
          <w:bCs/>
        </w:rPr>
        <w:t>Figure 3. Company Logo</w:t>
      </w:r>
    </w:p>
    <w:p w14:paraId="158F3615" w14:textId="77777777" w:rsidR="00BF75F9" w:rsidRDefault="00AC5439">
      <w:pPr>
        <w:spacing w:before="240" w:after="240"/>
        <w:jc w:val="center"/>
        <w:rPr>
          <w:rFonts w:ascii="Arial" w:eastAsia="Arial" w:hAnsi="Arial" w:cs="Arial"/>
        </w:rPr>
      </w:pPr>
      <w:r>
        <w:rPr>
          <w:rFonts w:ascii="Arial" w:eastAsia="Arial" w:hAnsi="Arial" w:cs="Arial"/>
          <w:noProof/>
          <w:lang w:val="en-IN"/>
        </w:rPr>
        <w:drawing>
          <wp:inline distT="114300" distB="114300" distL="114300" distR="114300" wp14:anchorId="5C5F4364" wp14:editId="4DA92D04">
            <wp:extent cx="3914775" cy="3914775"/>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914775" cy="3914775"/>
                    </a:xfrm>
                    <a:prstGeom prst="rect">
                      <a:avLst/>
                    </a:prstGeom>
                    <a:ln w="12700">
                      <a:solidFill>
                        <a:srgbClr val="000000"/>
                      </a:solidFill>
                      <a:prstDash val="solid"/>
                    </a:ln>
                  </pic:spPr>
                </pic:pic>
              </a:graphicData>
            </a:graphic>
          </wp:inline>
        </w:drawing>
      </w:r>
    </w:p>
    <w:p w14:paraId="321A93E1" w14:textId="77777777" w:rsidR="00BF75F9" w:rsidRDefault="00AC5439">
      <w:r>
        <w:t>Source: Self-Created</w:t>
      </w:r>
    </w:p>
    <w:p w14:paraId="40A7E6D2" w14:textId="77777777" w:rsidR="00BF75F9" w:rsidRDefault="00AC5439">
      <w:pPr>
        <w:pStyle w:val="Heading2"/>
      </w:pPr>
      <w:bookmarkStart w:id="13" w:name="_nqq6mlp6gego" w:colFirst="0" w:colLast="0"/>
      <w:bookmarkEnd w:id="13"/>
      <w:r>
        <w:lastRenderedPageBreak/>
        <w:t>2.2 Business Concept</w:t>
      </w:r>
    </w:p>
    <w:p w14:paraId="044ED617" w14:textId="65BCA51E" w:rsidR="00BF75F9" w:rsidRDefault="00AC5439">
      <w:pPr>
        <w:spacing w:before="240" w:after="240"/>
      </w:pPr>
      <w:r>
        <w:t xml:space="preserve">EverAfter Weddings proposes a flexible proposition for the depth of the service: full wedding planning, partial planning and </w:t>
      </w:r>
      <w:r w:rsidR="009C4691">
        <w:t>coordinating</w:t>
      </w:r>
      <w:r>
        <w:t xml:space="preserve"> on the big day. Other services could involve choosing venues, </w:t>
      </w:r>
      <w:r w:rsidR="009C4691">
        <w:t>coordinating</w:t>
      </w:r>
      <w:r>
        <w:t xml:space="preserve"> suppliers, making budgets, and providing individual suggestions. While planning may be very useful in the face-to-face setting, communication may not be as flexible (Afridi </w:t>
      </w:r>
      <w:r w:rsidR="00841A2D" w:rsidRPr="00841A2D">
        <w:rPr>
          <w:i/>
        </w:rPr>
        <w:t>et al</w:t>
      </w:r>
      <w:r>
        <w:t>., 2023). To support professional planning, EverAfter will therefore seek to add to face-to-face communication with customers by using digital means, giving customers more convenience but without taking the place of face-to-face communication. The mix is designed to tackle planning challenges and keep customers engaged and in control.</w:t>
      </w:r>
    </w:p>
    <w:p w14:paraId="5F77F4FD" w14:textId="77777777" w:rsidR="00BF75F9" w:rsidRDefault="00AC5439">
      <w:pPr>
        <w:pStyle w:val="Heading2"/>
      </w:pPr>
      <w:bookmarkStart w:id="14" w:name="_6x013cs5xxyd" w:colFirst="0" w:colLast="0"/>
      <w:bookmarkEnd w:id="14"/>
      <w:r>
        <w:t>2.3 Business Vision</w:t>
      </w:r>
    </w:p>
    <w:p w14:paraId="17FE7670" w14:textId="41D6B5FB" w:rsidR="00BF75F9" w:rsidRDefault="00AC5439">
      <w:pPr>
        <w:spacing w:before="240" w:after="240"/>
      </w:pPr>
      <w:r>
        <w:t xml:space="preserve">EverAfter Weddings' vision is to be a reputable provider of custom-made, top-quality and hassle-free wedding experiences in London. While some wedding businesses rely on a more traditional approach based on reputation or expert offerings, EverAfter will work towards standing out with the benefit of more </w:t>
      </w:r>
      <w:r w:rsidR="009C4691">
        <w:t>personalized</w:t>
      </w:r>
      <w:r>
        <w:t xml:space="preserve"> solutions, </w:t>
      </w:r>
      <w:r w:rsidR="009C4691">
        <w:t>harmonized</w:t>
      </w:r>
      <w:r>
        <w:t xml:space="preserve"> efforts and a more </w:t>
      </w:r>
      <w:r w:rsidR="009C4691">
        <w:t>digitalized</w:t>
      </w:r>
      <w:r>
        <w:t xml:space="preserve"> offer. This vision acknowledges customers can value both professional skills and personal control. Therefore, in order to be successful, it would require more than just providing them with events efficiently—it would require them to provide experiences according to each couple's preferences, priorities and expectations (Kang, 2024).</w:t>
      </w:r>
    </w:p>
    <w:p w14:paraId="18126914" w14:textId="77777777" w:rsidR="00BF75F9" w:rsidRDefault="00AC5439">
      <w:pPr>
        <w:pStyle w:val="Heading2"/>
      </w:pPr>
      <w:bookmarkStart w:id="15" w:name="_5q7y9lq5z9br" w:colFirst="0" w:colLast="0"/>
      <w:bookmarkEnd w:id="15"/>
      <w:r>
        <w:t>2.4 Business Mission</w:t>
      </w:r>
    </w:p>
    <w:p w14:paraId="1555D532" w14:textId="37930EC3" w:rsidR="00BF75F9" w:rsidRDefault="00AC5439">
      <w:pPr>
        <w:spacing w:before="240" w:after="240"/>
      </w:pPr>
      <w:r>
        <w:t xml:space="preserve">EverAfter Weddings' vision is to provide a boutique service inspired by the customer, providing professional planning, sustainable supplier relationships and on-trend online communication to clients. Traditional planning methods can feature the personal touch while technology can enhance accessibility and efficiency (Allam </w:t>
      </w:r>
      <w:r w:rsidR="00841A2D" w:rsidRPr="00841A2D">
        <w:rPr>
          <w:i/>
        </w:rPr>
        <w:t>et al</w:t>
      </w:r>
      <w:r>
        <w:t xml:space="preserve">. 2022). EverAfter aims to come up with a compromise between the two, not an exclusive alternative to one of the other models. Quality of service will continue to be the key, with flexible communication, </w:t>
      </w:r>
      <w:r w:rsidR="009C4691">
        <w:t>coordinated</w:t>
      </w:r>
      <w:r>
        <w:t xml:space="preserve"> and open planning. This mission puts customer experience at the heart of the creation of trust, satisfaction and competitive longevity.</w:t>
      </w:r>
    </w:p>
    <w:p w14:paraId="18E0AA18" w14:textId="77777777" w:rsidR="00BF75F9" w:rsidRDefault="00AC5439">
      <w:pPr>
        <w:pStyle w:val="Heading2"/>
      </w:pPr>
      <w:bookmarkStart w:id="16" w:name="_2a3f8b7llbk1" w:colFirst="0" w:colLast="0"/>
      <w:bookmarkEnd w:id="16"/>
      <w:r>
        <w:lastRenderedPageBreak/>
        <w:t>2.5 Target Customer</w:t>
      </w:r>
    </w:p>
    <w:p w14:paraId="7DEA26C4" w14:textId="77777777" w:rsidR="00BF75F9" w:rsidRDefault="00AC5439">
      <w:pPr>
        <w:spacing w:before="240" w:after="240"/>
      </w:pPr>
      <w:r>
        <w:t xml:space="preserve">EverAfter Weddings will primarily cater to couples from London who are looking for professional support for their unique weddings. Consumers could be occupied experts, couples that need help with regards to the coordination and customers acquainted with this electronic communication (Springer </w:t>
      </w:r>
      <w:r w:rsidR="00841A2D" w:rsidRPr="00841A2D">
        <w:rPr>
          <w:i/>
        </w:rPr>
        <w:t>et al</w:t>
      </w:r>
      <w:r>
        <w:t>. 2021). But it's not only about making demographic assumptions when targeting – preferences to weddings can differ quite significantly between income, culture, lifestyle and budget. The business should therefore adopt the practice of serving the customers on a priority basis as per their planning needs and valuable estimation on professional assistance. This will enable EverAfter to reach a population of a variety of London couples without compromising on the proposition of services which they provide.</w:t>
      </w:r>
    </w:p>
    <w:p w14:paraId="1ADE3B6B" w14:textId="77777777" w:rsidR="00BF75F9" w:rsidRDefault="00AC5439">
      <w:pPr>
        <w:pStyle w:val="Heading2"/>
      </w:pPr>
      <w:bookmarkStart w:id="17" w:name="_fukhmstt3l6l" w:colFirst="0" w:colLast="0"/>
      <w:bookmarkEnd w:id="17"/>
      <w:r>
        <w:t>2.6 Customer Value Proposition</w:t>
      </w:r>
    </w:p>
    <w:p w14:paraId="5A9A486B" w14:textId="0AEC2F48" w:rsidR="00BF75F9" w:rsidRDefault="00AC5439">
      <w:pPr>
        <w:spacing w:before="240" w:after="240"/>
      </w:pPr>
      <w:r>
        <w:t xml:space="preserve">Proposed by EverAfter, the value proposition incorporates the aspects of </w:t>
      </w:r>
      <w:r w:rsidR="009C4691">
        <w:t>personalization</w:t>
      </w:r>
      <w:r>
        <w:t xml:space="preserve">, convenience, professional co-ordination, digital engagement and quality of service. Independent planning could offer couples more autonomy in their planning, and conventional planning can alleviate </w:t>
      </w:r>
      <w:r w:rsidR="009C4691">
        <w:t>organizational</w:t>
      </w:r>
      <w:r>
        <w:t xml:space="preserve"> burdens with specialist knowledge. EverAfter aims to achieve these benefits, while at the same time not impairing the customers' engagement. It is possible to </w:t>
      </w:r>
      <w:r w:rsidR="009C4691">
        <w:t>minimize</w:t>
      </w:r>
      <w:r>
        <w:t xml:space="preserve"> the time that is needed to plan with personal recommendations, coordination of their suppliers and ease of digital communication without sacrificing the choices people have. The idea is really about aiding any type of couple to have extraordinary weddings, free from the anxiety of preparation and even with more assurance.</w:t>
      </w:r>
    </w:p>
    <w:p w14:paraId="6BD914D3" w14:textId="77777777" w:rsidR="00BF75F9" w:rsidRDefault="00AC5439">
      <w:pPr>
        <w:spacing w:before="240" w:after="240"/>
        <w:rPr>
          <w:b/>
          <w:bCs/>
        </w:rPr>
      </w:pPr>
      <w:r>
        <w:rPr>
          <w:b/>
          <w:bCs/>
        </w:rPr>
        <w:t>Figure 4. Customer Value Proposition</w:t>
      </w:r>
    </w:p>
    <w:p w14:paraId="0200C856" w14:textId="77777777" w:rsidR="00BF75F9" w:rsidRDefault="00AC5439">
      <w:pPr>
        <w:spacing w:before="240" w:after="240"/>
        <w:jc w:val="center"/>
      </w:pPr>
      <w:r>
        <w:rPr>
          <w:noProof/>
          <w:lang w:val="en-IN"/>
        </w:rPr>
        <w:lastRenderedPageBreak/>
        <w:drawing>
          <wp:inline distT="114300" distB="114300" distL="114300" distR="114300" wp14:anchorId="6E30DC8D" wp14:editId="6389EEDA">
            <wp:extent cx="5314950" cy="241935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t="14530" r="10577" b="13105"/>
                    <a:stretch>
                      <a:fillRect/>
                    </a:stretch>
                  </pic:blipFill>
                  <pic:spPr>
                    <a:xfrm>
                      <a:off x="0" y="0"/>
                      <a:ext cx="5314950" cy="2419350"/>
                    </a:xfrm>
                    <a:prstGeom prst="rect">
                      <a:avLst/>
                    </a:prstGeom>
                    <a:ln w="12700">
                      <a:solidFill>
                        <a:srgbClr val="000000"/>
                      </a:solidFill>
                      <a:prstDash val="solid"/>
                    </a:ln>
                  </pic:spPr>
                </pic:pic>
              </a:graphicData>
            </a:graphic>
          </wp:inline>
        </w:drawing>
      </w:r>
    </w:p>
    <w:p w14:paraId="73122B15" w14:textId="77777777" w:rsidR="00BF75F9" w:rsidRDefault="00AC5439">
      <w:pPr>
        <w:spacing w:before="240" w:after="240"/>
      </w:pPr>
      <w:r>
        <w:t xml:space="preserve">Source: Adapted From: </w:t>
      </w:r>
      <w:proofErr w:type="spellStart"/>
      <w:r>
        <w:t>IxDF</w:t>
      </w:r>
      <w:proofErr w:type="spellEnd"/>
      <w:r>
        <w:t>, 2024</w:t>
      </w:r>
    </w:p>
    <w:p w14:paraId="1B0BCC67" w14:textId="77777777" w:rsidR="00BF75F9" w:rsidRDefault="00AC5439">
      <w:pPr>
        <w:pStyle w:val="Heading2"/>
      </w:pPr>
      <w:bookmarkStart w:id="18" w:name="_a1o1rm1pzcqw" w:colFirst="0" w:colLast="0"/>
      <w:bookmarkEnd w:id="18"/>
      <w:r>
        <w:t>2.7 Proposed Competitive Differentiation</w:t>
      </w:r>
    </w:p>
    <w:p w14:paraId="2EAD5B11" w14:textId="70DB59FB" w:rsidR="00BF75F9" w:rsidRDefault="00AC5439">
      <w:pPr>
        <w:spacing w:before="240" w:after="240"/>
      </w:pPr>
      <w:r>
        <w:t xml:space="preserve">Unique wedding service planning, tailored recommendations, customer engagement with digital tools, systematic engagement with suppliers and prompt service responsiveness could be a differentiation force for EverAfter Weddings. Even though its supply chain may be less established, independent planning could give the customer control and lead to reduced costs, while some already existing companies already have a reputation and a vast network of suppliers in place. Technology is, however, not sufficient to win the game for EverAfter. Rather, a strategy of differentiation should come from digitally convenient, yet personal service, predictable service quality and </w:t>
      </w:r>
      <w:r w:rsidR="009C4691">
        <w:t>customized</w:t>
      </w:r>
      <w:r>
        <w:t xml:space="preserve"> coordination. The offer could be a significant opportunity in the busy wedding planning (and event management) sector of London.</w:t>
      </w:r>
    </w:p>
    <w:p w14:paraId="4B8B783D" w14:textId="77777777" w:rsidR="00BF75F9" w:rsidRDefault="00BF75F9"/>
    <w:p w14:paraId="40908690" w14:textId="77777777" w:rsidR="00BF75F9" w:rsidRDefault="00AC5439">
      <w:pPr>
        <w:pStyle w:val="Heading1"/>
        <w:keepNext w:val="0"/>
        <w:keepLines w:val="0"/>
        <w:rPr>
          <w:sz w:val="46"/>
          <w:szCs w:val="46"/>
        </w:rPr>
      </w:pPr>
      <w:bookmarkStart w:id="19" w:name="_qqgtzn8nlql1" w:colFirst="0" w:colLast="0"/>
      <w:bookmarkEnd w:id="19"/>
      <w:r>
        <w:br w:type="page"/>
      </w:r>
    </w:p>
    <w:p w14:paraId="03872A51" w14:textId="77777777" w:rsidR="00BF75F9" w:rsidRDefault="00AC5439">
      <w:pPr>
        <w:pStyle w:val="Heading1"/>
      </w:pPr>
      <w:bookmarkStart w:id="20" w:name="_h3s6qyxowh1h" w:colFirst="0" w:colLast="0"/>
      <w:bookmarkEnd w:id="20"/>
      <w:r>
        <w:lastRenderedPageBreak/>
        <w:t>3. Literature Review</w:t>
      </w:r>
    </w:p>
    <w:p w14:paraId="736F1D65" w14:textId="77777777" w:rsidR="00BF75F9" w:rsidRDefault="00AC5439">
      <w:pPr>
        <w:pStyle w:val="Heading2"/>
      </w:pPr>
      <w:bookmarkStart w:id="21" w:name="_o75ga0s3fd3" w:colFirst="0" w:colLast="0"/>
      <w:bookmarkEnd w:id="21"/>
      <w:r>
        <w:t>3.1 Wedding Planning and Event Management Literature</w:t>
      </w:r>
    </w:p>
    <w:p w14:paraId="08C79FD5" w14:textId="675E5A98" w:rsidR="00BF75F9" w:rsidRDefault="00AC5439">
      <w:pPr>
        <w:spacing w:before="240" w:after="240"/>
      </w:pPr>
      <w:r>
        <w:t xml:space="preserve">The planning of a wedding is not just an event management task of planning the event, as at a wedding the combination of tourism + consumption + highly personal experiences is all involved. While weddings have multiple economic and tourism functions, as referenced by Pereira </w:t>
      </w:r>
      <w:r w:rsidR="00841A2D" w:rsidRPr="00841A2D">
        <w:rPr>
          <w:i/>
        </w:rPr>
        <w:t>et al</w:t>
      </w:r>
      <w:r>
        <w:t xml:space="preserve">. (2022), Wang, Liu and Li (2024) write on the importance of </w:t>
      </w:r>
      <w:r w:rsidR="009C4691">
        <w:t>personalizing</w:t>
      </w:r>
      <w:r>
        <w:t xml:space="preserve"> wedding consumption. Though the business focus of even </w:t>
      </w:r>
      <w:r w:rsidR="009C4691">
        <w:t>organizers</w:t>
      </w:r>
      <w:r>
        <w:t xml:space="preserve"> is on coordination and event delivery through the eyes of tradition, today's wedding services are also all about providing personalized experience to their clients. For EverAfter Weddings, this involves positioning arranging as a much more extensive and experience-driven administration and dispense management.</w:t>
      </w:r>
    </w:p>
    <w:p w14:paraId="6D4B76D5" w14:textId="495A5E8B" w:rsidR="00BF75F9" w:rsidRDefault="00AC5439">
      <w:pPr>
        <w:pStyle w:val="Heading2"/>
      </w:pPr>
      <w:bookmarkStart w:id="22" w:name="_6uas48lf955g" w:colFirst="0" w:colLast="0"/>
      <w:bookmarkEnd w:id="22"/>
      <w:r>
        <w:t xml:space="preserve">3.2 </w:t>
      </w:r>
      <w:r w:rsidR="009C4691">
        <w:t>Personalization</w:t>
      </w:r>
      <w:r>
        <w:t xml:space="preserve"> and Customer Experience</w:t>
      </w:r>
    </w:p>
    <w:p w14:paraId="031ABC06" w14:textId="249B74DC" w:rsidR="00BF75F9" w:rsidRDefault="00AC5439">
      <w:pPr>
        <w:spacing w:before="240" w:after="240"/>
      </w:pPr>
      <w:r>
        <w:t xml:space="preserve">While </w:t>
      </w:r>
      <w:r w:rsidR="009C4691">
        <w:t>personalization</w:t>
      </w:r>
      <w:r>
        <w:t xml:space="preserve"> is a dominant factor in customer experience these days, it needs to be effective, and that balance needs to be struck between technology and humans. </w:t>
      </w:r>
      <w:r w:rsidR="009C4691">
        <w:t>Customized</w:t>
      </w:r>
      <w:r>
        <w:t xml:space="preserve"> wedding experiences are relevant, as shown by Wang, Liu and Li (2024), and Vorster, Hardcastle and Brown (2025) demonstrate the impact of </w:t>
      </w:r>
      <w:r w:rsidR="009C4691">
        <w:t>personalizing</w:t>
      </w:r>
      <w:r>
        <w:t xml:space="preserve"> customer experiences with the use of AI-based services. Likewise, Weippert (2024) defines the journeys as </w:t>
      </w:r>
      <w:r w:rsidR="009C4691">
        <w:t>personalized</w:t>
      </w:r>
      <w:r>
        <w:t xml:space="preserve"> omnichannel journeys. Together, these opposing views indicate that EverAfter will need to factor in </w:t>
      </w:r>
      <w:r w:rsidR="009C4691">
        <w:t>personalized</w:t>
      </w:r>
      <w:r>
        <w:t xml:space="preserve"> recommendations and digital engagement, as well as human-centred planning, to create value, customer satisfaction, and build better customer relationships.</w:t>
      </w:r>
    </w:p>
    <w:p w14:paraId="33ABE25C" w14:textId="77777777" w:rsidR="00BF75F9" w:rsidRDefault="00AC5439">
      <w:pPr>
        <w:pStyle w:val="Heading2"/>
      </w:pPr>
      <w:bookmarkStart w:id="23" w:name="_xw46vuaw7bkc" w:colFirst="0" w:colLast="0"/>
      <w:bookmarkEnd w:id="23"/>
      <w:r>
        <w:t>3.3 Resource-Based View (RBV)</w:t>
      </w:r>
    </w:p>
    <w:p w14:paraId="6417B565" w14:textId="77777777" w:rsidR="00BF75F9" w:rsidRDefault="00AC5439">
      <w:pPr>
        <w:pStyle w:val="Heading3"/>
      </w:pPr>
      <w:bookmarkStart w:id="24" w:name="_r0smvbq1lhra" w:colFirst="0" w:colLast="0"/>
      <w:bookmarkEnd w:id="24"/>
      <w:r>
        <w:t>3.3.1 Explanation of RBV</w:t>
      </w:r>
    </w:p>
    <w:p w14:paraId="7C96C997" w14:textId="63A90CAF" w:rsidR="00BF75F9" w:rsidRDefault="00AC5439">
      <w:pPr>
        <w:spacing w:before="240" w:after="240"/>
      </w:pPr>
      <w:r>
        <w:t xml:space="preserve">The Resource-Based View (RBV) theory is used to describe competitive advantage in terms of the multi-dimensional resources and capabilities of companies, which are valuable, rare, imperfectly imitable and imperfectly substitutable. It applies to EverAfter Weddings because one of the factors in determining the level of service for the business may be less about the physical assets, and more about the relationship, knowledge and capabilities. Service capabilities and digital capabilities are </w:t>
      </w:r>
      <w:r>
        <w:lastRenderedPageBreak/>
        <w:t xml:space="preserve">crucial to firm performance, as </w:t>
      </w:r>
      <w:r w:rsidR="009C4691">
        <w:t>emphasized</w:t>
      </w:r>
      <w:r>
        <w:t xml:space="preserve"> by Davies </w:t>
      </w:r>
      <w:r w:rsidR="00841A2D" w:rsidRPr="00841A2D">
        <w:rPr>
          <w:i/>
        </w:rPr>
        <w:t>et al</w:t>
      </w:r>
      <w:r>
        <w:t xml:space="preserve">. (2023), and brand capital is important to achieving competitive advantage, as </w:t>
      </w:r>
      <w:r w:rsidR="009C4691">
        <w:t>emphasized</w:t>
      </w:r>
      <w:r>
        <w:t xml:space="preserve"> by Bakashaba and Bindeeba (2025). However, Peñarroya-Farell and Miralles (2022) show how companies may need to change their resources and business models if the external conditions change. Therefore, RBV is a valuable tool for existing capabilities evaluation as well as evaluating what capabilities have to be acquired by EverAfter.</w:t>
      </w:r>
    </w:p>
    <w:p w14:paraId="3FC0A742" w14:textId="77777777" w:rsidR="00BF75F9" w:rsidRDefault="00AC5439">
      <w:pPr>
        <w:pStyle w:val="Heading3"/>
      </w:pPr>
      <w:bookmarkStart w:id="25" w:name="_11l244kfvnuk" w:colFirst="0" w:colLast="0"/>
      <w:bookmarkEnd w:id="25"/>
      <w:r>
        <w:t>3.3.2 Application to EverAfter</w:t>
      </w:r>
    </w:p>
    <w:p w14:paraId="5CDD5D20" w14:textId="77777777" w:rsidR="00BF75F9" w:rsidRDefault="00AC5439">
      <w:pPr>
        <w:spacing w:before="240" w:after="240"/>
      </w:pPr>
      <w:r>
        <w:t xml:space="preserve">RBV can be used to guide EverAfter in the following ways: It could be based on the proposed customer relationships, supplier partnerships, expertise in event management, digital capacity, brand reputation and knowledge of the service. In 2023, Davies </w:t>
      </w:r>
      <w:r w:rsidR="00841A2D" w:rsidRPr="00841A2D">
        <w:rPr>
          <w:i/>
        </w:rPr>
        <w:t>et al</w:t>
      </w:r>
      <w:r>
        <w:t>. highlight the importance of both the ‘digital skills’ and ‘service capabilities', which EverAfter aims to combine with professional planning in its integration. Likewise, Bakashaba and Bindeeba (2025) highlight branding's role for digitally-oriented SMEs. Thonglor, Chotisarn and Phuthong (2026), however, highlight the synergy between human and AI and the importance of open innovation, to which they attribute the idea that people should leverage AI but human skills should not be overlooked. So, EverAfter's advantage lies with the ability to join tailored, human service to trusted supplier relationships and suitable digital skills.</w:t>
      </w:r>
    </w:p>
    <w:p w14:paraId="334A7FC6" w14:textId="77777777" w:rsidR="00BF75F9" w:rsidRDefault="00AC5439">
      <w:pPr>
        <w:pStyle w:val="Heading2"/>
        <w:keepNext w:val="0"/>
        <w:keepLines w:val="0"/>
      </w:pPr>
      <w:bookmarkStart w:id="26" w:name="_d0jmfklsjmuw" w:colFirst="0" w:colLast="0"/>
      <w:bookmarkEnd w:id="26"/>
      <w:r>
        <w:t>3.4 SERVQUAL</w:t>
      </w:r>
    </w:p>
    <w:p w14:paraId="4C149F07" w14:textId="77777777" w:rsidR="00BF75F9" w:rsidRDefault="00AC5439">
      <w:pPr>
        <w:pStyle w:val="Heading3"/>
      </w:pPr>
      <w:bookmarkStart w:id="27" w:name="_nblbxw2nu7nv" w:colFirst="0" w:colLast="0"/>
      <w:bookmarkEnd w:id="27"/>
      <w:r>
        <w:t>3.4.1 Explanation</w:t>
      </w:r>
    </w:p>
    <w:p w14:paraId="4E25B00D" w14:textId="77777777" w:rsidR="00BF75F9" w:rsidRDefault="00AC5439">
      <w:pPr>
        <w:spacing w:before="240" w:after="240"/>
      </w:pPr>
      <w:r>
        <w:t xml:space="preserve">A SERVQUAL scale is used to assess the quality of service, based on the service's reliability, responsiveness, assurance, empathy and tangibles. The role of this is highlighted in studies by Jonkisz </w:t>
      </w:r>
      <w:r w:rsidR="00841A2D" w:rsidRPr="00841A2D">
        <w:rPr>
          <w:i/>
        </w:rPr>
        <w:t>et al</w:t>
      </w:r>
      <w:r>
        <w:t xml:space="preserve"> (2022) and by Alemu (2023) in the context of the assessment of conventional service quality, and its adaptability to other contexts of service. Sumi and Kabir (2021), however, go one step further in its application to electronic services, suggesting that digital exchanges have become more a part of the service quality domain. SERVQUAL, as such, offers an appropriate benchmark for the evaluation of service delivery, both in person and with the use of technology, for EverAfter Weddings.</w:t>
      </w:r>
    </w:p>
    <w:p w14:paraId="16DFBAC4" w14:textId="77777777" w:rsidR="00BF75F9" w:rsidRDefault="00AC5439">
      <w:pPr>
        <w:pStyle w:val="Heading3"/>
      </w:pPr>
      <w:bookmarkStart w:id="28" w:name="_eff0celxm02w" w:colFirst="0" w:colLast="0"/>
      <w:bookmarkEnd w:id="28"/>
      <w:r>
        <w:lastRenderedPageBreak/>
        <w:t>3.4.2 Relevance and Critical Evaluation</w:t>
      </w:r>
    </w:p>
    <w:p w14:paraId="200CB517" w14:textId="77777777" w:rsidR="00BF75F9" w:rsidRDefault="00AC5439">
      <w:pPr>
        <w:spacing w:before="240" w:after="240"/>
      </w:pPr>
      <w:r>
        <w:t xml:space="preserve">SERVQUAL can be used by EverAfter to determine the impact of reliability, responsiveness, assurance and empathy on customer trust, satisfaction and recommendations. But its traditional size might not represent the emotionality and individuality of marriage services. For digital services, it's applicable as Sumi and Kabir (2021) show, and for more traditional services, assessment as does Jonkisz </w:t>
      </w:r>
      <w:r w:rsidR="00841A2D" w:rsidRPr="00841A2D">
        <w:rPr>
          <w:i/>
        </w:rPr>
        <w:t>et al</w:t>
      </w:r>
      <w:r>
        <w:t xml:space="preserve"> (2022). Thus, it is essential for EverAfter to tailor SERVQUAL to make it a hybrid between human interaction and personalised planning and digital convenience instead of applying it in a rigid manner.</w:t>
      </w:r>
    </w:p>
    <w:p w14:paraId="228BFC90" w14:textId="77777777" w:rsidR="00BF75F9" w:rsidRDefault="00AC5439">
      <w:pPr>
        <w:pStyle w:val="Heading2"/>
        <w:keepNext w:val="0"/>
        <w:keepLines w:val="0"/>
        <w:spacing w:before="280"/>
      </w:pPr>
      <w:bookmarkStart w:id="29" w:name="_a02o4vcyme3g" w:colFirst="0" w:colLast="0"/>
      <w:bookmarkEnd w:id="29"/>
      <w:r>
        <w:t>3.5 Critical Theoretical Framework</w:t>
      </w:r>
    </w:p>
    <w:p w14:paraId="6F64E58B" w14:textId="77777777" w:rsidR="00BF75F9" w:rsidRDefault="00AC5439">
      <w:pPr>
        <w:spacing w:before="240" w:after="240"/>
      </w:pPr>
      <w:r>
        <w:t xml:space="preserve">The frameworks chosen have different perspectives, but they focus on various aspects. With the technological orientation of EverAfter, this study shows that value can be brought to the use of digital technologies by coordinating them, addressing what Feng, Wang and Zhao (2025) call coordinated mechanisms. On the other side of the coin, Halim </w:t>
      </w:r>
      <w:r w:rsidR="00841A2D" w:rsidRPr="00841A2D">
        <w:rPr>
          <w:i/>
        </w:rPr>
        <w:t>et al</w:t>
      </w:r>
      <w:r>
        <w:t>. (2025) find that service quality impacts satisfaction and purchasing intention, which is congruent with the service orientation and service quality of EverAfter. Fakieh, AL-Malaise AL-Ghamdi and Ragab (2022) indicate that the Business Model Canvas can be utilised for business-model development, yet its business focus might not account for broader competitive elements. Hence, the incorporation of RBV and SERVQUAL makes it easier to have a wider foundation for assessing the ability of EverAfter, customer value, external environment, competition and business model.</w:t>
      </w:r>
    </w:p>
    <w:p w14:paraId="0CC6FF68" w14:textId="77777777" w:rsidR="00BF75F9" w:rsidRDefault="00AC5439">
      <w:pPr>
        <w:pStyle w:val="Heading2"/>
      </w:pPr>
      <w:bookmarkStart w:id="30" w:name="_uhp3ubf6ouq7" w:colFirst="0" w:colLast="0"/>
      <w:bookmarkEnd w:id="30"/>
      <w:r>
        <w:t>3.6 Critical Synthesis of the Literature</w:t>
      </w:r>
    </w:p>
    <w:p w14:paraId="494100A3" w14:textId="5D21933B" w:rsidR="00BF75F9" w:rsidRDefault="00AC5439">
      <w:pPr>
        <w:spacing w:before="240" w:after="240"/>
      </w:pPr>
      <w:r>
        <w:t xml:space="preserve">Complementary views on experiences of marriages, </w:t>
      </w:r>
      <w:r w:rsidR="009C4691">
        <w:t>personalization</w:t>
      </w:r>
      <w:r>
        <w:t xml:space="preserve">, digital competencies and service levels can be found in the literature. The multi-faceted tourism value of weddings is stressed by Pereira </w:t>
      </w:r>
      <w:r w:rsidR="00841A2D" w:rsidRPr="00841A2D">
        <w:rPr>
          <w:i/>
        </w:rPr>
        <w:t>et al</w:t>
      </w:r>
      <w:r>
        <w:t xml:space="preserve">. (2022), and </w:t>
      </w:r>
      <w:r w:rsidR="009C4691">
        <w:t>customized</w:t>
      </w:r>
      <w:r>
        <w:t xml:space="preserve"> wedding consumption is pointed out by Wang, Liu and Li (2024). This is expanded upon by Hardcastle, Vorster and Brown (2025), and Weippert (2024) towards </w:t>
      </w:r>
      <w:r w:rsidR="009C4691">
        <w:t>customized</w:t>
      </w:r>
      <w:r>
        <w:t xml:space="preserve"> digital experiences. Davies </w:t>
      </w:r>
      <w:r w:rsidR="00841A2D" w:rsidRPr="00841A2D">
        <w:rPr>
          <w:i/>
        </w:rPr>
        <w:t>et al</w:t>
      </w:r>
      <w:r>
        <w:t xml:space="preserve">. (2023) also underscore the significance of digital skills, brand capital and a combination of people and AI. Bakashaba and Bindeeba (2025) and Thonglor, Chotisarn and Phuthong (2026) show this too. Other works of SERVQUAL consolidate the quality of service, and other works such as those of Feng, Wang and </w:t>
      </w:r>
      <w:r>
        <w:lastRenderedPageBreak/>
        <w:t xml:space="preserve">Zhao (2025), Halim </w:t>
      </w:r>
      <w:r w:rsidR="00841A2D" w:rsidRPr="00841A2D">
        <w:rPr>
          <w:i/>
        </w:rPr>
        <w:t>et al</w:t>
      </w:r>
      <w:r>
        <w:t xml:space="preserve">. (2025) and Fakieh, AL-Malaise AL-Ghamdi and Ragab (2022) </w:t>
      </w:r>
      <w:r w:rsidR="004F568D">
        <w:t>emphasize</w:t>
      </w:r>
      <w:r>
        <w:t xml:space="preserve"> digital value, satisfaction and business-model development.</w:t>
      </w:r>
    </w:p>
    <w:p w14:paraId="5DC24E78" w14:textId="77777777" w:rsidR="00BF75F9" w:rsidRDefault="00AC5439">
      <w:pPr>
        <w:pStyle w:val="Heading2"/>
      </w:pPr>
      <w:bookmarkStart w:id="31" w:name="_3u3hhfvtr3r9" w:colFirst="0" w:colLast="0"/>
      <w:bookmarkEnd w:id="31"/>
      <w:r>
        <w:t>3.7 Literature Gap</w:t>
      </w:r>
    </w:p>
    <w:p w14:paraId="024948F5" w14:textId="4341CEE8" w:rsidR="00BF75F9" w:rsidRDefault="00AC5439">
      <w:pPr>
        <w:spacing w:before="240" w:after="240"/>
      </w:pPr>
      <w:r>
        <w:t xml:space="preserve">Despite those contributions, the body of literature still lacks cohesion as they are scattered in the fields of tourism, </w:t>
      </w:r>
      <w:r w:rsidR="004F568D">
        <w:t>customized</w:t>
      </w:r>
      <w:r>
        <w:t xml:space="preserve"> consumption, digital customer journeys, SME capabilities, service quality and business-model development. Pereira </w:t>
      </w:r>
      <w:r w:rsidR="00841A2D" w:rsidRPr="00841A2D">
        <w:rPr>
          <w:i/>
        </w:rPr>
        <w:t>et al</w:t>
      </w:r>
      <w:r>
        <w:t xml:space="preserve">. (2022) focus on tourism impacts, whereas Wang, Liu and Li (2024) take an interest in </w:t>
      </w:r>
      <w:r w:rsidR="004F568D">
        <w:t>customized</w:t>
      </w:r>
      <w:r>
        <w:t xml:space="preserve"> wedding products and planning services. Likewise, Hardcastle </w:t>
      </w:r>
      <w:r w:rsidR="00841A2D" w:rsidRPr="00841A2D">
        <w:rPr>
          <w:i/>
        </w:rPr>
        <w:t>et al</w:t>
      </w:r>
      <w:r>
        <w:t xml:space="preserve">. (2025), Weippert (2024) and Davies </w:t>
      </w:r>
      <w:r w:rsidR="00841A2D" w:rsidRPr="00841A2D">
        <w:rPr>
          <w:i/>
        </w:rPr>
        <w:t>et al</w:t>
      </w:r>
      <w:r>
        <w:t xml:space="preserve">. (2023) focus on digital </w:t>
      </w:r>
      <w:r w:rsidR="004F568D">
        <w:t>personalization</w:t>
      </w:r>
      <w:r>
        <w:t xml:space="preserve"> and capabilities without taking ‘London's wedding industry' into consideration. As a result, only a few studies consider aspects of </w:t>
      </w:r>
      <w:r w:rsidR="004F568D">
        <w:t>personalization</w:t>
      </w:r>
      <w:r>
        <w:t xml:space="preserve">, digital skills, service quality and business model development </w:t>
      </w:r>
      <w:proofErr w:type="gramStart"/>
      <w:r>
        <w:t>in order to</w:t>
      </w:r>
      <w:proofErr w:type="gramEnd"/>
      <w:r>
        <w:t xml:space="preserve"> test the commercial feasibility of a personalised service business like personalised wedding planning, including its London-based version – EverAfter Weddings.</w:t>
      </w:r>
    </w:p>
    <w:p w14:paraId="5080A00A" w14:textId="77777777" w:rsidR="00BF75F9" w:rsidRDefault="00BF75F9"/>
    <w:p w14:paraId="718892F2" w14:textId="77777777" w:rsidR="00BF75F9" w:rsidRDefault="00AC5439">
      <w:pPr>
        <w:pStyle w:val="Heading1"/>
        <w:keepNext w:val="0"/>
        <w:keepLines w:val="0"/>
        <w:rPr>
          <w:sz w:val="46"/>
          <w:szCs w:val="46"/>
        </w:rPr>
      </w:pPr>
      <w:bookmarkStart w:id="32" w:name="_21oht5ag5fo2" w:colFirst="0" w:colLast="0"/>
      <w:bookmarkEnd w:id="32"/>
      <w:r>
        <w:br w:type="page"/>
      </w:r>
    </w:p>
    <w:p w14:paraId="1F7A53AA" w14:textId="77777777" w:rsidR="00BF75F9" w:rsidRDefault="00AC5439">
      <w:pPr>
        <w:pStyle w:val="Heading1"/>
        <w:keepNext w:val="0"/>
        <w:keepLines w:val="0"/>
      </w:pPr>
      <w:bookmarkStart w:id="33" w:name="_ejcu73cmdljj" w:colFirst="0" w:colLast="0"/>
      <w:bookmarkEnd w:id="33"/>
      <w:r>
        <w:lastRenderedPageBreak/>
        <w:t>4. Methodology</w:t>
      </w:r>
    </w:p>
    <w:p w14:paraId="32E85D14" w14:textId="77777777" w:rsidR="00BF75F9" w:rsidRDefault="00AC5439">
      <w:pPr>
        <w:pStyle w:val="Heading2"/>
      </w:pPr>
      <w:bookmarkStart w:id="34" w:name="_lssa9y6pll9l" w:colFirst="0" w:colLast="0"/>
      <w:bookmarkEnd w:id="34"/>
      <w:r>
        <w:t>4.1 Research Philosophy — Interpretivism</w:t>
      </w:r>
    </w:p>
    <w:p w14:paraId="17478436" w14:textId="12FC7C61" w:rsidR="00BF75F9" w:rsidRDefault="00AC5439">
      <w:pPr>
        <w:spacing w:before="240" w:after="240"/>
      </w:pPr>
      <w:r>
        <w:t xml:space="preserve">However, interpretivism is concerned with the understanding of meanings, perception and experiences instead of measuring behavior objectively (Pervin and Mokhtar, 2022). For EverAfter Weddings, this is as it should be, since there are many varying and context-specific notions of what constitutes a </w:t>
      </w:r>
      <w:r w:rsidR="004F568D">
        <w:t>customized</w:t>
      </w:r>
      <w:r>
        <w:t xml:space="preserve"> wedding. Because of the different focus of customer perception of convenience, </w:t>
      </w:r>
      <w:r w:rsidR="004F568D">
        <w:t>personalization</w:t>
      </w:r>
      <w:r>
        <w:t xml:space="preserve"> and service quality, interpretivism facilitates considerations of non-measurable relationships different from positivism that focus on measurable relationships. Secondary evidence can be used to look at these views without gathering primary participant information. EverAfter had to develop a ‘proposal' based on subjective meanings, perceptions and experiences of customer meanings related to </w:t>
      </w:r>
      <w:r w:rsidR="004F568D">
        <w:t>personalization</w:t>
      </w:r>
      <w:r>
        <w:t>, convenience and service quality, which called for interpretivism. It is not a positivist approach, but rather gave prominence to the contextual interpretation of the different preferences and expectations of weddings.</w:t>
      </w:r>
    </w:p>
    <w:p w14:paraId="2DA7CB15" w14:textId="77777777" w:rsidR="00BF75F9" w:rsidRDefault="00AC5439">
      <w:pPr>
        <w:pStyle w:val="Heading2"/>
      </w:pPr>
      <w:bookmarkStart w:id="35" w:name="_eab36dwpp07i" w:colFirst="0" w:colLast="0"/>
      <w:bookmarkEnd w:id="35"/>
      <w:r>
        <w:t>4.2 Research Approach — Inductive</w:t>
      </w:r>
    </w:p>
    <w:p w14:paraId="1926B8B3" w14:textId="55C9631B" w:rsidR="00BF75F9" w:rsidRDefault="00AC5439">
      <w:pPr>
        <w:spacing w:before="240" w:after="240"/>
      </w:pPr>
      <w:r>
        <w:t xml:space="preserve">An inductive approach helps build more comprehensive understandings from the patterns that emerge within and from already existing evidence (Laari, 2025). Induction starts with different themes that emerge from the literature in contrast to deductive research, which is based on pre-determined hypotheses. The methodology is better suited to EverAfter since it is exploring market opportunities and formulating a business proposal that is sellable, rather than testing preconceptions based on statistical modelling. An inductive approach allowed </w:t>
      </w:r>
      <w:r w:rsidR="004F568D">
        <w:t>generalizations</w:t>
      </w:r>
      <w:r>
        <w:t xml:space="preserve"> to be drawn from patterns and comparative evidence from the literature available. It directed customer expectations, market opportunities and competitive concerns to guide EverAfter's business proposal, eliminating the need to adhere to any jumping conclusions about what to do.</w:t>
      </w:r>
    </w:p>
    <w:p w14:paraId="7D887D38" w14:textId="77777777" w:rsidR="00BF75F9" w:rsidRDefault="00AC5439">
      <w:pPr>
        <w:pStyle w:val="Heading2"/>
      </w:pPr>
      <w:bookmarkStart w:id="36" w:name="_1fitwx52w2wh" w:colFirst="0" w:colLast="0"/>
      <w:bookmarkEnd w:id="36"/>
      <w:r>
        <w:t>4.3 Research Design — Qualitative Secondary Research</w:t>
      </w:r>
    </w:p>
    <w:p w14:paraId="7838D782" w14:textId="77777777" w:rsidR="00BF75F9" w:rsidRDefault="00AC5439">
      <w:pPr>
        <w:spacing w:before="240" w:after="240"/>
      </w:pPr>
      <w:r>
        <w:t xml:space="preserve">Qualitative secondary designs do not involve new collection of data from participants, but instead they derive insight from what has already been collected in the literature, either by researchers or </w:t>
      </w:r>
      <w:r>
        <w:lastRenderedPageBreak/>
        <w:t xml:space="preserve">practitioners, in academic or industry and/or market settings (Cartwright and </w:t>
      </w:r>
      <w:proofErr w:type="spellStart"/>
      <w:r>
        <w:t>Igudia</w:t>
      </w:r>
      <w:proofErr w:type="spellEnd"/>
      <w:r>
        <w:t>, 2024). Primary research can offer direct feedback from customers, whereas secondary research will allow for broader findings on existing research, trends in the market and competitors' methods. This design is suitable for EverAfter as it allows for customer expectation evaluation, service development/commercial opportunities and fits with the approved ethics design.</w:t>
      </w:r>
    </w:p>
    <w:p w14:paraId="37B09455" w14:textId="77777777" w:rsidR="00BF75F9" w:rsidRDefault="00AC5439">
      <w:pPr>
        <w:pStyle w:val="Heading2"/>
      </w:pPr>
      <w:bookmarkStart w:id="37" w:name="_20vscigwhdx9" w:colFirst="0" w:colLast="0"/>
      <w:bookmarkEnd w:id="37"/>
      <w:r>
        <w:t>4.4 Data Collection and Sources</w:t>
      </w:r>
    </w:p>
    <w:p w14:paraId="0C374F55" w14:textId="77777777" w:rsidR="00BF75F9" w:rsidRDefault="00AC5439">
      <w:pPr>
        <w:spacing w:before="240" w:after="240"/>
      </w:pPr>
      <w:r>
        <w:t>The secondary evidence was sourced from such as Google Scholar, Scopus, ScienceDirect, Emerald Insight and SpringerLink; government publications, Professional bodies, Industry reports and credible business sources. Academic evidence was prioritized to support the development of a theoretical framework and industry and professional evidence were used to give a salient backdrop to the freshness of the market. They were different from primary sources, as they allowed wider comparison of the existing findings, without getting actively involved with couples from London. Still, the quality of methods used and the intent behind the publications, as well as commercial interests, might influence the level of reliability (Gillings and Jaworska, 2025). Thus, a thorough evaluation of their credibility, relevance, recency and connection to the research goals was carried out prior to inclusion of the sources.</w:t>
      </w:r>
    </w:p>
    <w:p w14:paraId="40EB2A2C" w14:textId="77777777" w:rsidR="00BF75F9" w:rsidRDefault="00AC5439">
      <w:pPr>
        <w:pStyle w:val="Heading2"/>
        <w:keepNext w:val="0"/>
        <w:keepLines w:val="0"/>
        <w:spacing w:before="280"/>
      </w:pPr>
      <w:bookmarkStart w:id="38" w:name="_xg5db3gqvxhp" w:colFirst="0" w:colLast="0"/>
      <w:bookmarkEnd w:id="38"/>
      <w:r>
        <w:t>4.5 Inclusion and Exclusion Criteria</w:t>
      </w:r>
    </w:p>
    <w:p w14:paraId="18BDBFF7" w14:textId="77777777" w:rsidR="00BF75F9" w:rsidRDefault="00AC5439">
      <w:pPr>
        <w:rPr>
          <w:b/>
          <w:bCs/>
        </w:rPr>
      </w:pPr>
      <w:r>
        <w:rPr>
          <w:b/>
          <w:bCs/>
        </w:rPr>
        <w:t>Table 1. Inclusion and Exclusion</w:t>
      </w:r>
    </w:p>
    <w:tbl>
      <w:tblPr>
        <w:tblStyle w:val="a"/>
        <w:tblW w:w="92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35"/>
        <w:gridCol w:w="7970"/>
      </w:tblGrid>
      <w:tr w:rsidR="00BF75F9" w14:paraId="37925792"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7A2260" w14:textId="77777777" w:rsidR="00BF75F9" w:rsidRDefault="00AC5439">
            <w:pPr>
              <w:spacing w:line="240" w:lineRule="auto"/>
              <w:jc w:val="center"/>
            </w:pPr>
            <w:r>
              <w:rPr>
                <w:b/>
                <w:bCs/>
              </w:rPr>
              <w:t>Criterion</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8586D4" w14:textId="77777777" w:rsidR="00BF75F9" w:rsidRDefault="00AC5439">
            <w:pPr>
              <w:spacing w:line="240" w:lineRule="auto"/>
              <w:jc w:val="center"/>
            </w:pPr>
            <w:r>
              <w:rPr>
                <w:b/>
                <w:bCs/>
              </w:rPr>
              <w:t>Inclusion / Exclusion</w:t>
            </w:r>
          </w:p>
        </w:tc>
      </w:tr>
      <w:tr w:rsidR="00BF75F9" w14:paraId="2C35A0E0"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364CBE" w14:textId="77777777" w:rsidR="00BF75F9" w:rsidRDefault="00AC5439">
            <w:pPr>
              <w:spacing w:line="240" w:lineRule="auto"/>
            </w:pPr>
            <w:r>
              <w:t>Sources</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2ABA30" w14:textId="77777777" w:rsidR="00BF75F9" w:rsidRDefault="00AC5439">
            <w:pPr>
              <w:spacing w:line="240" w:lineRule="auto"/>
            </w:pPr>
            <w:r>
              <w:t>Use peer-reviewed, industry, government and professional sources; not blogs or unsupported sources.</w:t>
            </w:r>
          </w:p>
        </w:tc>
      </w:tr>
      <w:tr w:rsidR="00BF75F9" w14:paraId="29ECCFB9"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697842" w14:textId="77777777" w:rsidR="00BF75F9" w:rsidRDefault="00AC5439">
            <w:pPr>
              <w:spacing w:line="240" w:lineRule="auto"/>
            </w:pPr>
            <w:r>
              <w:t>Date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374F60" w14:textId="77777777" w:rsidR="00BF75F9" w:rsidRDefault="00AC5439">
            <w:pPr>
              <w:spacing w:line="240" w:lineRule="auto"/>
            </w:pPr>
            <w:r>
              <w:t>Mainly 2019–2026; retain older seminal sources where essential.</w:t>
            </w:r>
          </w:p>
        </w:tc>
      </w:tr>
      <w:tr w:rsidR="00BF75F9" w14:paraId="6AA01BBE" w14:textId="77777777">
        <w:trPr>
          <w:trHeight w:val="51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E9A85F" w14:textId="77777777" w:rsidR="00BF75F9" w:rsidRDefault="00AC5439">
            <w:pPr>
              <w:spacing w:line="240" w:lineRule="auto"/>
            </w:pPr>
            <w:r>
              <w:t>Language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ED3F3F" w14:textId="77777777" w:rsidR="00BF75F9" w:rsidRDefault="00AC5439">
            <w:pPr>
              <w:spacing w:line="240" w:lineRule="auto"/>
            </w:pPr>
            <w:r>
              <w:t>English-language publications only.</w:t>
            </w:r>
          </w:p>
        </w:tc>
      </w:tr>
      <w:tr w:rsidR="00BF75F9" w14:paraId="5FCA3F91"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552948" w14:textId="77777777" w:rsidR="00BF75F9" w:rsidRDefault="00AC5439">
            <w:pPr>
              <w:spacing w:line="240" w:lineRule="auto"/>
            </w:pPr>
            <w:r>
              <w:t>Relevance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1D8028" w14:textId="77777777" w:rsidR="00BF75F9" w:rsidRDefault="00AC5439">
            <w:pPr>
              <w:spacing w:line="240" w:lineRule="auto"/>
            </w:pPr>
            <w:r>
              <w:t>Evidence from handbag or wedding events in the UK or London covering the wedding and event sector only.</w:t>
            </w:r>
          </w:p>
        </w:tc>
      </w:tr>
      <w:tr w:rsidR="00BF75F9" w14:paraId="50CC7A7D"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F590FD" w14:textId="77777777" w:rsidR="00BF75F9" w:rsidRDefault="00AC5439">
            <w:pPr>
              <w:spacing w:line="240" w:lineRule="auto"/>
            </w:pPr>
            <w:r>
              <w:lastRenderedPageBreak/>
              <w:t>Quality</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C828A8" w14:textId="77777777" w:rsidR="00BF75F9" w:rsidRDefault="00AC5439">
            <w:pPr>
              <w:spacing w:line="240" w:lineRule="auto"/>
            </w:pPr>
            <w:r>
              <w:t>Use reliable, credible sources – not duplications or unwarranted sources of information.</w:t>
            </w:r>
          </w:p>
        </w:tc>
      </w:tr>
      <w:tr w:rsidR="00BF75F9" w14:paraId="6E8206CD" w14:textId="77777777">
        <w:trPr>
          <w:trHeight w:val="785"/>
        </w:trPr>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3F5DC" w14:textId="77777777" w:rsidR="00BF75F9" w:rsidRDefault="00AC5439">
            <w:pPr>
              <w:spacing w:line="240" w:lineRule="auto"/>
            </w:pPr>
            <w:r>
              <w:t>Purpose</w:t>
            </w:r>
          </w:p>
        </w:tc>
        <w:tc>
          <w:tcPr>
            <w:tcW w:w="7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7BDAB5" w14:textId="77777777" w:rsidR="00BF75F9" w:rsidRDefault="00AC5439">
            <w:pPr>
              <w:spacing w:line="240" w:lineRule="auto"/>
            </w:pPr>
            <w:r>
              <w:t>Evidence needs to be used to back up Customer Study, Market Study, Competitor Study or Commercial Viability Study.</w:t>
            </w:r>
          </w:p>
        </w:tc>
      </w:tr>
    </w:tbl>
    <w:p w14:paraId="0D4BD765" w14:textId="77777777" w:rsidR="00BF75F9" w:rsidRDefault="00AC5439">
      <w:pPr>
        <w:pStyle w:val="Heading2"/>
      </w:pPr>
      <w:bookmarkStart w:id="39" w:name="_2jpeedru8vne" w:colFirst="0" w:colLast="0"/>
      <w:bookmarkEnd w:id="39"/>
      <w:r>
        <w:t>4.6 Data Analysis</w:t>
      </w:r>
    </w:p>
    <w:p w14:paraId="3192E6FA" w14:textId="4E949FDD" w:rsidR="00BF75F9" w:rsidRDefault="00AC5439">
      <w:pPr>
        <w:spacing w:before="240" w:after="240"/>
      </w:pPr>
      <w:r>
        <w:t xml:space="preserve">A selection of the sources </w:t>
      </w:r>
      <w:r w:rsidR="004F568D">
        <w:t>was</w:t>
      </w:r>
      <w:r>
        <w:t xml:space="preserve"> </w:t>
      </w:r>
      <w:r w:rsidR="004F568D">
        <w:t>analyzed</w:t>
      </w:r>
      <w:r>
        <w:t xml:space="preserve">, ensuring that the evidence had been deemed to be credible, recent in terms of dates, was in English and it was relevant to wedding planning in the UK/London setting. Academic and industry research was compared to identify matching and conflicting research evidence on the following: customer expectations, market conditions, competition and commercial opportunities. The evidence was then systematically </w:t>
      </w:r>
      <w:r w:rsidR="004F568D">
        <w:t>analyzed</w:t>
      </w:r>
      <w:r>
        <w:t xml:space="preserve"> based on external environmental influences, competitive pressures, </w:t>
      </w:r>
      <w:r w:rsidR="004F568D">
        <w:t>organizational</w:t>
      </w:r>
      <w:r>
        <w:t xml:space="preserve"> capabilities, service quality requirements, as well as value creation requirements. This guaranteed that the most pertinent evidence was considered in the strategic positioning, value proposition to customers, and overall commercial-viability analysis of EverAfter Weddings. Also, the analysis took into account the extent to which the findings were relevant to EverAfter Weddings instead of just pertaining to the broader service sector. Evidence from various sources was compared and contrasted for areas of agreement, disagreement and contextual differences. This facilitated reducing individual discretion in the findings and brought a more equitable picture of the needs of the customer, the competitive situation and the business opportunity.</w:t>
      </w:r>
    </w:p>
    <w:p w14:paraId="6BB3E1E1" w14:textId="77777777" w:rsidR="00BF75F9" w:rsidRDefault="00AC5439">
      <w:pPr>
        <w:pStyle w:val="Heading2"/>
      </w:pPr>
      <w:bookmarkStart w:id="40" w:name="_ekxfdzm981cw" w:colFirst="0" w:colLast="0"/>
      <w:bookmarkEnd w:id="40"/>
      <w:r>
        <w:t>4.7 Ethical Considerations</w:t>
      </w:r>
    </w:p>
    <w:p w14:paraId="6EED6581" w14:textId="77777777" w:rsidR="00BF75F9" w:rsidRDefault="00AC5439">
      <w:pPr>
        <w:spacing w:before="240" w:after="240"/>
      </w:pPr>
      <w:r>
        <w:t xml:space="preserve">No human participants or primary data were involved in the study because of its reliance on secondary data. Clear citations, integrity in studying information, plagiarism and source credibility procedures were thus taught as parts of ethical practice. Participant confidentiality does not need to be maintained, although researcher bias is still an issue with this type of research. Research materials are securely and properly managed, according to the requirements of the university. Ethical issues also had to do with providing evidence which may create an ideal situation for the business opportunity, as well as avoiding selection of material that would be counterproductive. </w:t>
      </w:r>
      <w:r>
        <w:lastRenderedPageBreak/>
        <w:t>Sources cited accurately with no change in meaning; sources properly acknowledged for published sources utilised. Confidential or personally identifiable information was not collected. These measures ensured transparency, academic integrity and responsible use of secondary evidence during the development of the proposal for the EverAfter Weddings.</w:t>
      </w:r>
    </w:p>
    <w:p w14:paraId="245BEDF1" w14:textId="77777777" w:rsidR="00BF75F9" w:rsidRDefault="00AC5439">
      <w:pPr>
        <w:pStyle w:val="Heading2"/>
      </w:pPr>
      <w:bookmarkStart w:id="41" w:name="_u6li8ovprnx5" w:colFirst="0" w:colLast="0"/>
      <w:bookmarkEnd w:id="41"/>
      <w:r>
        <w:t>4.8 Methodological Limitations</w:t>
      </w:r>
    </w:p>
    <w:p w14:paraId="75C3F590" w14:textId="77777777" w:rsidR="00BF75F9" w:rsidRDefault="00AC5439">
      <w:pPr>
        <w:spacing w:before="240" w:after="240"/>
      </w:pPr>
      <w:r>
        <w:t>Secondary research enabled to get overall secondary evidence, but in itself it can't give first-hand accounts of what a couple did in London. Access to paid industry reports may be limited, and there is restricted competitor (financial) information, thus less commercial assessment. The information from industry sources can be biased, and preferences and attitudes can change, affecting the timeliness of the information. As a result, it is important to have evidence to back up any commercial claims that may have been published, and conclusions can only be drawn from the evidence available.</w:t>
      </w:r>
      <w:r>
        <w:br w:type="page"/>
      </w:r>
    </w:p>
    <w:p w14:paraId="79B08C4C" w14:textId="77777777" w:rsidR="00BF75F9" w:rsidRDefault="00AC5439">
      <w:pPr>
        <w:pStyle w:val="Heading1"/>
        <w:spacing w:before="240" w:after="240"/>
      </w:pPr>
      <w:bookmarkStart w:id="42" w:name="_i28s8g8mu96x" w:colFirst="0" w:colLast="0"/>
      <w:bookmarkEnd w:id="42"/>
      <w:r>
        <w:lastRenderedPageBreak/>
        <w:t>References</w:t>
      </w:r>
    </w:p>
    <w:p w14:paraId="05032A89" w14:textId="77777777" w:rsidR="00D621D6" w:rsidRDefault="00D621D6">
      <w:pPr>
        <w:spacing w:after="240"/>
      </w:pPr>
      <w:r>
        <w:t xml:space="preserve">Adedara, M.T., AKINRUJOMU, O.S., AYENI, A.O. and EMIDUN, O.B. (2024). </w:t>
      </w:r>
      <w:r>
        <w:rPr>
          <w:i/>
          <w:iCs/>
        </w:rPr>
        <w:t>Entrepreneurial activities of professional event planners and the use of traditional attire for wedding ceremonies in ado-</w:t>
      </w:r>
      <w:proofErr w:type="spellStart"/>
      <w:r>
        <w:rPr>
          <w:i/>
          <w:iCs/>
        </w:rPr>
        <w:t>ekiti</w:t>
      </w:r>
      <w:proofErr w:type="spellEnd"/>
      <w:r>
        <w:rPr>
          <w:i/>
          <w:iCs/>
        </w:rPr>
        <w:t>, Ekiti State, Nigeria</w:t>
      </w:r>
      <w:r>
        <w:t>. [online] doi:10.37897/</w:t>
      </w:r>
      <w:proofErr w:type="gramStart"/>
      <w:r>
        <w:t>GRJ.2023.V</w:t>
      </w:r>
      <w:proofErr w:type="gramEnd"/>
      <w:r>
        <w:t>10I5.24.513837.</w:t>
      </w:r>
    </w:p>
    <w:p w14:paraId="65838509" w14:textId="77777777" w:rsidR="00D621D6" w:rsidRDefault="00D621D6">
      <w:pPr>
        <w:spacing w:after="240"/>
      </w:pPr>
      <w:r>
        <w:t xml:space="preserve">Afridi, K., Turi, J.A., Zaufishan, B. and Rosak-Szyrocka, J. (2023). Impact of Digital Communications on project efficiency through ease of use and top management support. </w:t>
      </w:r>
      <w:proofErr w:type="spellStart"/>
      <w:r>
        <w:rPr>
          <w:i/>
          <w:iCs/>
        </w:rPr>
        <w:t>Heliyon</w:t>
      </w:r>
      <w:proofErr w:type="spellEnd"/>
      <w:r>
        <w:t xml:space="preserve">, [online] 9(7), p.e17941. Available at: </w:t>
      </w:r>
      <w:hyperlink r:id="rId12">
        <w:r>
          <w:rPr>
            <w:color w:val="1155CC"/>
            <w:u w:val="single"/>
          </w:rPr>
          <w:t>https://www.sciencedirect.com/science/article/pii/S2405844023051496</w:t>
        </w:r>
      </w:hyperlink>
      <w:r>
        <w:t xml:space="preserve">  [Accessed 18 Aug. 2026].</w:t>
      </w:r>
    </w:p>
    <w:p w14:paraId="01939E1D" w14:textId="77777777" w:rsidR="00D621D6" w:rsidRDefault="00D621D6">
      <w:pPr>
        <w:spacing w:after="160"/>
      </w:pPr>
      <w:r>
        <w:t>Alemu, A., 2023. Assessing service quality in tertiary Education using adapted SERVQUAL scale. Cogent Education, 10(2), p.2259733.</w:t>
      </w:r>
      <w:hyperlink r:id="rId13">
        <w:r>
          <w:rPr>
            <w:color w:val="1155CC"/>
            <w:u w:val="single"/>
          </w:rPr>
          <w:t>https://www.tandfonline.com/doi/pdf/10.1080/2331186X.2023.2259733</w:t>
        </w:r>
      </w:hyperlink>
      <w:r>
        <w:t xml:space="preserve"> </w:t>
      </w:r>
    </w:p>
    <w:p w14:paraId="17256AF8" w14:textId="77777777" w:rsidR="00D621D6" w:rsidRDefault="00D621D6">
      <w:pPr>
        <w:spacing w:after="160"/>
      </w:pPr>
      <w:r>
        <w:t xml:space="preserve">Allam, Z., </w:t>
      </w:r>
      <w:proofErr w:type="spellStart"/>
      <w:r>
        <w:t>Bibri</w:t>
      </w:r>
      <w:proofErr w:type="spellEnd"/>
      <w:r>
        <w:t>, S.E., Chabaud, D. and Moreno, C., 2022. The theoretical, practical, and technological foundations of the 15-minute city model: proximity and its environmental, social and economic benefits for sustainability. Energies, 15(16), p.6042.</w:t>
      </w:r>
      <w:hyperlink r:id="rId14">
        <w:r>
          <w:rPr>
            <w:color w:val="1155CC"/>
            <w:u w:val="single"/>
          </w:rPr>
          <w:t>https://www.mdpi.com/1996-1073/15/16/6042</w:t>
        </w:r>
      </w:hyperlink>
      <w:r>
        <w:t xml:space="preserve"> </w:t>
      </w:r>
    </w:p>
    <w:p w14:paraId="11857AEC" w14:textId="77777777" w:rsidR="00D621D6" w:rsidRDefault="00D621D6">
      <w:pPr>
        <w:spacing w:after="240"/>
      </w:pPr>
      <w:proofErr w:type="spellStart"/>
      <w:r>
        <w:t>Ambhore</w:t>
      </w:r>
      <w:proofErr w:type="spellEnd"/>
      <w:r>
        <w:t xml:space="preserve">, N.S. (2025). The impact of digital communication on interpersonal relationships. </w:t>
      </w:r>
      <w:r>
        <w:rPr>
          <w:i/>
          <w:iCs/>
        </w:rPr>
        <w:t>Journal for Research in Applied Sciences and Biotechnology</w:t>
      </w:r>
      <w:r>
        <w:t xml:space="preserve">, [online] 4(4), pp.62–70. Available at: </w:t>
      </w:r>
      <w:hyperlink r:id="rId15">
        <w:r>
          <w:rPr>
            <w:color w:val="1155CC"/>
            <w:u w:val="single"/>
          </w:rPr>
          <w:t>https://www.researchgate.net/publication/395435863_The_Impact_of_Digital_Communication_on_Interpersonal_Relationships</w:t>
        </w:r>
      </w:hyperlink>
      <w:r>
        <w:t xml:space="preserve">  [Accessed 18 Aug. 2026].</w:t>
      </w:r>
    </w:p>
    <w:p w14:paraId="48C97202" w14:textId="77777777" w:rsidR="00D621D6" w:rsidRDefault="00D621D6">
      <w:pPr>
        <w:spacing w:after="160"/>
      </w:pPr>
      <w:r>
        <w:t>Bakashaba, R. and Bindeeba, D.S., 2025. Beyond market penetration: leveraging brand capital for competitive advantage in digitally driven SMES in resource-constrained settings. Future Business Journal, 11(1), p.240.</w:t>
      </w:r>
      <w:hyperlink r:id="rId16">
        <w:r>
          <w:rPr>
            <w:color w:val="1155CC"/>
            <w:u w:val="single"/>
          </w:rPr>
          <w:t>https://link.springer.com/content/pdf/10.1186/s43093-025-00663-y.pdf</w:t>
        </w:r>
      </w:hyperlink>
      <w:r>
        <w:t xml:space="preserve"> </w:t>
      </w:r>
    </w:p>
    <w:p w14:paraId="732796BF" w14:textId="77777777" w:rsidR="00D621D6" w:rsidRDefault="00D621D6">
      <w:pPr>
        <w:spacing w:after="160"/>
      </w:pPr>
      <w:r>
        <w:t>Bladen, C., 2021. The service semiotics of luxury events: An exploration for future research and events management industry practice. Research in hospitality management, 11(1), pp.53-57.</w:t>
      </w:r>
      <w:hyperlink r:id="rId17">
        <w:r>
          <w:rPr>
            <w:color w:val="1155CC"/>
            <w:u w:val="single"/>
          </w:rPr>
          <w:t>https://www.tandfonline.com/doi/pdf/10.1080/22243534.2020.1867374</w:t>
        </w:r>
      </w:hyperlink>
      <w:r>
        <w:t xml:space="preserve"> </w:t>
      </w:r>
    </w:p>
    <w:p w14:paraId="50CF01A4" w14:textId="77777777" w:rsidR="00D621D6" w:rsidRDefault="00D621D6">
      <w:pPr>
        <w:spacing w:after="240"/>
      </w:pPr>
      <w:proofErr w:type="spellStart"/>
      <w:r>
        <w:lastRenderedPageBreak/>
        <w:t>Bridebook</w:t>
      </w:r>
      <w:proofErr w:type="spellEnd"/>
      <w:r>
        <w:t xml:space="preserve"> (2026). </w:t>
      </w:r>
      <w:r>
        <w:rPr>
          <w:i/>
          <w:iCs/>
        </w:rPr>
        <w:t>The UK wedding report 2026</w:t>
      </w:r>
      <w:r>
        <w:t xml:space="preserve">. [online] </w:t>
      </w:r>
      <w:r>
        <w:rPr>
          <w:i/>
          <w:iCs/>
        </w:rPr>
        <w:t>Bridebook.com</w:t>
      </w:r>
      <w:r>
        <w:t xml:space="preserve">. Available at: </w:t>
      </w:r>
      <w:hyperlink r:id="rId18">
        <w:r>
          <w:rPr>
            <w:color w:val="1155CC"/>
            <w:u w:val="single"/>
          </w:rPr>
          <w:t>https://partners.bridebook.com/uk/wedding-report-2026</w:t>
        </w:r>
      </w:hyperlink>
      <w:r>
        <w:t xml:space="preserve">  [Accessed 18 Aug. 2026].</w:t>
      </w:r>
    </w:p>
    <w:p w14:paraId="307ECBEB" w14:textId="77777777" w:rsidR="00D621D6" w:rsidRDefault="00D621D6">
      <w:pPr>
        <w:spacing w:after="160"/>
      </w:pPr>
      <w:r>
        <w:t xml:space="preserve">Cartwright, E. and </w:t>
      </w:r>
      <w:proofErr w:type="spellStart"/>
      <w:r>
        <w:t>Igudia</w:t>
      </w:r>
      <w:proofErr w:type="spellEnd"/>
      <w:r>
        <w:t>, E., 2024. The case for mixed methods research: Embracing qualitative research to understand the (informal) economy. Review of Development Economics, 28(4), pp.1947-1970.</w:t>
      </w:r>
      <w:hyperlink r:id="rId19">
        <w:r>
          <w:rPr>
            <w:color w:val="1155CC"/>
            <w:u w:val="single"/>
          </w:rPr>
          <w:t>https://onlinelibrary.wiley.com/doi/pdf/10.1111%2Frode.13069</w:t>
        </w:r>
      </w:hyperlink>
      <w:r>
        <w:t xml:space="preserve"> </w:t>
      </w:r>
    </w:p>
    <w:p w14:paraId="0B61B9F6" w14:textId="77777777" w:rsidR="00D621D6" w:rsidRDefault="00D621D6">
      <w:pPr>
        <w:spacing w:after="160"/>
      </w:pPr>
      <w:r>
        <w:t>Clar‐Novak, M., 2025. The gendered paradox of individualization in telework: Simultaneously helpful and harmful in the context of parenting. Gender, Work &amp; Organization, 32(1), pp.330-350.</w:t>
      </w:r>
      <w:hyperlink r:id="rId20">
        <w:r>
          <w:rPr>
            <w:color w:val="1155CC"/>
            <w:u w:val="single"/>
          </w:rPr>
          <w:t>https://onlinelibrary.wiley.com/doi/pdf/10.1111%2Fgwao.13155</w:t>
        </w:r>
      </w:hyperlink>
      <w:r>
        <w:t xml:space="preserve"> </w:t>
      </w:r>
    </w:p>
    <w:p w14:paraId="3F27BFB3" w14:textId="77777777" w:rsidR="00D621D6" w:rsidRDefault="00D621D6">
      <w:pPr>
        <w:spacing w:after="160"/>
      </w:pPr>
      <w:r>
        <w:t>Davies, P., Bustinza, O.F., Parry, G. and Jovanovic, M., 2023. Unpacking the relationship between digital capabilities, services capabilities, and firm financial performance: a moderated mediation model. Industrial Marketing Management, 115, pp.1-10.</w:t>
      </w:r>
      <w:hyperlink r:id="rId21">
        <w:r>
          <w:rPr>
            <w:color w:val="1155CC"/>
            <w:u w:val="single"/>
          </w:rPr>
          <w:t>https://www.sciencedirect.com/science/article/pii/S0019850123001645</w:t>
        </w:r>
      </w:hyperlink>
      <w:r>
        <w:t xml:space="preserve"> </w:t>
      </w:r>
    </w:p>
    <w:p w14:paraId="72F20BBE" w14:textId="77777777" w:rsidR="00D621D6" w:rsidRDefault="00D621D6">
      <w:pPr>
        <w:spacing w:after="160"/>
      </w:pPr>
      <w:r>
        <w:t>Fakieh, B., AL-Malaise AL-Ghamdi, A.S. and Ragab, M., 2022. The effect of utilizing business model canvas on the satisfaction of operating electronic business. Complexity, 2022(1), p.1649160.</w:t>
      </w:r>
      <w:hyperlink r:id="rId22">
        <w:r>
          <w:rPr>
            <w:color w:val="1155CC"/>
            <w:u w:val="single"/>
          </w:rPr>
          <w:t>https://onlinelibrary.wiley.com/doi/pdf/10.1155/2022/1649160</w:t>
        </w:r>
      </w:hyperlink>
      <w:r>
        <w:t xml:space="preserve"> </w:t>
      </w:r>
    </w:p>
    <w:p w14:paraId="4AB9706F" w14:textId="77777777" w:rsidR="00D621D6" w:rsidRDefault="00D621D6">
      <w:pPr>
        <w:spacing w:after="160"/>
      </w:pPr>
      <w:r>
        <w:t>Feng, D., Wang, H. and Zhao, L., 2025. Digital technologies for sustainable supply chain performance: Source-push and value chain-pull mechanisms. Sustainability, 17(12), p.5524.</w:t>
      </w:r>
      <w:hyperlink r:id="rId23">
        <w:r>
          <w:rPr>
            <w:color w:val="1155CC"/>
            <w:u w:val="single"/>
          </w:rPr>
          <w:t>https://www.mdpi.com/2071-1050/17/12/5524</w:t>
        </w:r>
      </w:hyperlink>
      <w:r>
        <w:t xml:space="preserve"> </w:t>
      </w:r>
    </w:p>
    <w:p w14:paraId="471B2844" w14:textId="77777777" w:rsidR="00D621D6" w:rsidRDefault="00D621D6">
      <w:pPr>
        <w:spacing w:after="240"/>
      </w:pPr>
      <w:r>
        <w:t xml:space="preserve">George, D.A.S. (2024). The economic impact of destination weddings: Assessing the effects of outsourcing Indian wedding tourism. </w:t>
      </w:r>
      <w:r>
        <w:rPr>
          <w:i/>
          <w:iCs/>
        </w:rPr>
        <w:t>Partners Universal International Research Journal</w:t>
      </w:r>
      <w:r>
        <w:t xml:space="preserve">, [online] 3(1), pp.67–85. Available at: </w:t>
      </w:r>
      <w:hyperlink r:id="rId24">
        <w:r>
          <w:rPr>
            <w:color w:val="1155CC"/>
            <w:u w:val="single"/>
          </w:rPr>
          <w:t>https://puirj.com/index.php/research/article/view/170</w:t>
        </w:r>
      </w:hyperlink>
      <w:r>
        <w:t xml:space="preserve">  [Accessed 18 Aug. 2026].</w:t>
      </w:r>
    </w:p>
    <w:p w14:paraId="77E49FA7" w14:textId="77777777" w:rsidR="00D621D6" w:rsidRDefault="00D621D6">
      <w:pPr>
        <w:spacing w:after="160"/>
        <w:rPr>
          <w:rFonts w:ascii="Arial" w:eastAsia="Arial" w:hAnsi="Arial" w:cs="Arial"/>
        </w:rPr>
      </w:pPr>
      <w:r>
        <w:t>Gillings, M. and Jaworska, S., 2025. How humans and machines identify discourse topics: A methodological triangulation. Applied Corpus Linguistics, 5(1), p.100121.</w:t>
      </w:r>
      <w:hyperlink r:id="rId25">
        <w:r>
          <w:rPr>
            <w:color w:val="1155CC"/>
            <w:u w:val="single"/>
          </w:rPr>
          <w:t>https://www.sciencedirect.com/science/article/pii/S2666799125000048</w:t>
        </w:r>
      </w:hyperlink>
      <w:r>
        <w:t xml:space="preserve"> </w:t>
      </w:r>
    </w:p>
    <w:p w14:paraId="18CDB98A" w14:textId="77777777" w:rsidR="00D621D6" w:rsidRDefault="00D621D6">
      <w:pPr>
        <w:spacing w:after="240"/>
      </w:pPr>
      <w:r>
        <w:t xml:space="preserve">Grand View Research (2026). </w:t>
      </w:r>
      <w:r>
        <w:rPr>
          <w:i/>
          <w:iCs/>
        </w:rPr>
        <w:t>UK Wedding Services Market Size &amp; Outlook, 2026-2033</w:t>
      </w:r>
      <w:r>
        <w:t xml:space="preserve">. [online] </w:t>
      </w:r>
      <w:hyperlink r:id="rId26">
        <w:r>
          <w:rPr>
            <w:color w:val="1155CC"/>
            <w:u w:val="single"/>
          </w:rPr>
          <w:t>Grandviewresearch.com</w:t>
        </w:r>
      </w:hyperlink>
      <w:r>
        <w:t xml:space="preserve">. </w:t>
      </w:r>
      <w:hyperlink r:id="rId27">
        <w:r>
          <w:rPr>
            <w:color w:val="1155CC"/>
            <w:u w:val="single"/>
          </w:rPr>
          <w:t>https://www.grandviewresearch.com/horizon/outlook/wedding-services-market/uk</w:t>
        </w:r>
      </w:hyperlink>
      <w:r>
        <w:t xml:space="preserve"> </w:t>
      </w:r>
    </w:p>
    <w:p w14:paraId="27539DF4" w14:textId="77777777" w:rsidR="00D621D6" w:rsidRDefault="00D621D6">
      <w:pPr>
        <w:spacing w:after="160"/>
      </w:pPr>
      <w:r>
        <w:lastRenderedPageBreak/>
        <w:t>Halim, Y., Salem, K., Tawfik, H. and Maree, A., 2025. Service quality as a driver of customer satisfaction and purchase intentions: a mixed-methods longitudinal study of the Egyptian Post Office (2013–2023). Future Business Journal, 11(1), p.246.</w:t>
      </w:r>
      <w:hyperlink r:id="rId28">
        <w:r>
          <w:rPr>
            <w:color w:val="1155CC"/>
            <w:u w:val="single"/>
          </w:rPr>
          <w:t>https://link.springer.com/content/pdf/10.1186/s43093-025-00634-3.pdf</w:t>
        </w:r>
      </w:hyperlink>
      <w:r>
        <w:t xml:space="preserve"> </w:t>
      </w:r>
    </w:p>
    <w:p w14:paraId="4DDF63AB" w14:textId="77777777" w:rsidR="00D621D6" w:rsidRDefault="00D621D6">
      <w:pPr>
        <w:spacing w:after="160"/>
      </w:pPr>
      <w:r>
        <w:t>Hardcastle, K., Vorster, L. and Brown, D.M., 2025. Understanding customer responses to AI-driven personalized journeys: Impacts on the customer experience. Journal of Advertising, 54(2), pp.176-195.</w:t>
      </w:r>
      <w:hyperlink r:id="rId29">
        <w:r>
          <w:rPr>
            <w:color w:val="1155CC"/>
            <w:u w:val="single"/>
          </w:rPr>
          <w:t>https://www.tandfonline.com/doi/pdf/10.1080/00913367.2025.2460985</w:t>
        </w:r>
      </w:hyperlink>
      <w:r>
        <w:t xml:space="preserve"> </w:t>
      </w:r>
    </w:p>
    <w:p w14:paraId="0DFF82A6" w14:textId="77777777" w:rsidR="00D621D6" w:rsidRDefault="00D621D6">
      <w:pPr>
        <w:spacing w:after="240"/>
      </w:pPr>
      <w:proofErr w:type="spellStart"/>
      <w:r>
        <w:t>IxDF</w:t>
      </w:r>
      <w:proofErr w:type="spellEnd"/>
      <w:r>
        <w:t xml:space="preserve"> (2024). </w:t>
      </w:r>
      <w:r>
        <w:rPr>
          <w:i/>
          <w:iCs/>
        </w:rPr>
        <w:t>What is the value proposition canvas</w:t>
      </w:r>
      <w:r>
        <w:t xml:space="preserve">. [online] </w:t>
      </w:r>
      <w:r>
        <w:rPr>
          <w:i/>
          <w:iCs/>
        </w:rPr>
        <w:t>The Interaction Design Foundation</w:t>
      </w:r>
      <w:r>
        <w:t xml:space="preserve">. </w:t>
      </w:r>
      <w:proofErr w:type="spellStart"/>
      <w:r>
        <w:t>IxDF</w:t>
      </w:r>
      <w:proofErr w:type="spellEnd"/>
      <w:r>
        <w:t xml:space="preserve"> - Interaction Design Foundation. Available at: </w:t>
      </w:r>
      <w:hyperlink r:id="rId30">
        <w:r>
          <w:rPr>
            <w:color w:val="1155CC"/>
            <w:u w:val="single"/>
          </w:rPr>
          <w:t>https://ixdf.org/literature/topics/value-proposition-canvas</w:t>
        </w:r>
      </w:hyperlink>
      <w:r>
        <w:t xml:space="preserve">  [Accessed 18 Aug. 2026].</w:t>
      </w:r>
    </w:p>
    <w:p w14:paraId="1E43C085" w14:textId="77777777" w:rsidR="00D621D6" w:rsidRDefault="00D621D6">
      <w:pPr>
        <w:spacing w:after="160"/>
      </w:pPr>
      <w:r>
        <w:t xml:space="preserve">Jonkisz, A., </w:t>
      </w:r>
      <w:proofErr w:type="spellStart"/>
      <w:r>
        <w:t>Karniej</w:t>
      </w:r>
      <w:proofErr w:type="spellEnd"/>
      <w:r>
        <w:t xml:space="preserve">, P. and Krasowska, D., 2022. The </w:t>
      </w:r>
      <w:proofErr w:type="spellStart"/>
      <w:r>
        <w:t>servqual</w:t>
      </w:r>
      <w:proofErr w:type="spellEnd"/>
      <w:r>
        <w:t xml:space="preserve"> method as an assessment tool of the quality of medical services in selected Asian countries. International journal of environmental research and public health, 19(13), p.7831.</w:t>
      </w:r>
      <w:hyperlink r:id="rId31">
        <w:r>
          <w:rPr>
            <w:color w:val="1155CC"/>
            <w:u w:val="single"/>
          </w:rPr>
          <w:t>https://www.mdpi.com/1660-4601/19/13/7831</w:t>
        </w:r>
      </w:hyperlink>
      <w:r>
        <w:t xml:space="preserve"> </w:t>
      </w:r>
    </w:p>
    <w:p w14:paraId="283D7A38" w14:textId="77777777" w:rsidR="00D621D6" w:rsidRDefault="00D621D6">
      <w:pPr>
        <w:spacing w:after="160"/>
      </w:pPr>
      <w:r>
        <w:t>Kang, J.M., 2024. Not just Netflix: Interventions of Korea's domestic streamers. International Journal of Cultural Studies, 27(1), pp.28-46.</w:t>
      </w:r>
      <w:hyperlink r:id="rId32">
        <w:r>
          <w:rPr>
            <w:color w:val="1155CC"/>
            <w:u w:val="single"/>
          </w:rPr>
          <w:t>https://journals.sagepub.com/doi/pdf/10.1177/13678779231197695</w:t>
        </w:r>
      </w:hyperlink>
      <w:r>
        <w:t xml:space="preserve"> </w:t>
      </w:r>
    </w:p>
    <w:p w14:paraId="59869042" w14:textId="77777777" w:rsidR="00D621D6" w:rsidRDefault="00D621D6">
      <w:pPr>
        <w:spacing w:after="240"/>
      </w:pPr>
      <w:r>
        <w:t xml:space="preserve">Laari, L. (2025). Inductive-deductive qualitative data analysis logic in health sciences research: A framework for </w:t>
      </w:r>
      <w:proofErr w:type="spellStart"/>
      <w:r>
        <w:t>analysing</w:t>
      </w:r>
      <w:proofErr w:type="spellEnd"/>
      <w:r>
        <w:t xml:space="preserve"> qualitative data. </w:t>
      </w:r>
      <w:r>
        <w:rPr>
          <w:i/>
          <w:iCs/>
        </w:rPr>
        <w:t>International Journal of Qualitative Methods</w:t>
      </w:r>
      <w:r>
        <w:t xml:space="preserve">, [online] 24. Available at: </w:t>
      </w:r>
      <w:hyperlink r:id="rId33">
        <w:r>
          <w:rPr>
            <w:color w:val="1155CC"/>
            <w:u w:val="single"/>
          </w:rPr>
          <w:t>https://journals.sagepub.com/doi/10.1177/16094069251381706</w:t>
        </w:r>
      </w:hyperlink>
      <w:r>
        <w:t xml:space="preserve">  [Accessed 18 Aug. 2026].</w:t>
      </w:r>
    </w:p>
    <w:p w14:paraId="1A590C9F" w14:textId="77777777" w:rsidR="00D621D6" w:rsidRDefault="00D621D6">
      <w:pPr>
        <w:spacing w:after="160"/>
      </w:pPr>
      <w:r>
        <w:t xml:space="preserve">Mehmedi, B., Iatrou, A.M., Yildiz, R., Lamont, K., Da Costa, M.R., De Nardi, M., </w:t>
      </w:r>
      <w:proofErr w:type="spellStart"/>
      <w:r>
        <w:t>Allepuz</w:t>
      </w:r>
      <w:proofErr w:type="spellEnd"/>
      <w:r>
        <w:t xml:space="preserve">, A., Niine, T., Niemi, J.K. and </w:t>
      </w:r>
      <w:proofErr w:type="spellStart"/>
      <w:r>
        <w:t>Saegerman</w:t>
      </w:r>
      <w:proofErr w:type="spellEnd"/>
      <w:r>
        <w:t>, C., 2025. Economic perspectives on farm biosecurity: stakeholder challenges and livestock species considerations. Agriculture, 15(21), p.2288.</w:t>
      </w:r>
      <w:hyperlink r:id="rId34">
        <w:r>
          <w:rPr>
            <w:color w:val="1155CC"/>
            <w:u w:val="single"/>
          </w:rPr>
          <w:t>https://www.mdpi.com/2077-0472/15/21/2288</w:t>
        </w:r>
      </w:hyperlink>
      <w:r>
        <w:t xml:space="preserve"> </w:t>
      </w:r>
    </w:p>
    <w:p w14:paraId="6545DEAA" w14:textId="77777777" w:rsidR="00D621D6" w:rsidRDefault="00D621D6">
      <w:pPr>
        <w:spacing w:after="160"/>
      </w:pPr>
      <w:r>
        <w:t>Peñarroya-Farell, M. and Miralles, F., 2022. Business model adaptation to the COVID-19 crisis: Strategic response of the Spanish cultural and creative firms. Journal of Open Innovation: Technology, Market, and Complexity, 8(1), p.39.</w:t>
      </w:r>
      <w:hyperlink r:id="rId35">
        <w:r>
          <w:rPr>
            <w:color w:val="1155CC"/>
            <w:u w:val="single"/>
          </w:rPr>
          <w:t>https://www.sciencedirect.com/science/article/pii/S2199853122010484</w:t>
        </w:r>
      </w:hyperlink>
      <w:r>
        <w:t xml:space="preserve"> </w:t>
      </w:r>
    </w:p>
    <w:p w14:paraId="447C14B9" w14:textId="77777777" w:rsidR="00D621D6" w:rsidRDefault="00D621D6">
      <w:pPr>
        <w:spacing w:after="160"/>
      </w:pPr>
      <w:r>
        <w:lastRenderedPageBreak/>
        <w:t>Pereira, L., Mendonça, S., Dias, Á., Costa, R.L.D. and Gonçalves, R., 2022. Impact of destination weddings in the tourism economy. International Journal of Economics and Business Research, 23(4), pp.500-526.</w:t>
      </w:r>
      <w:hyperlink r:id="rId36">
        <w:r>
          <w:rPr>
            <w:color w:val="1155CC"/>
            <w:u w:val="single"/>
          </w:rPr>
          <w:t>https://www.researchgate.net/profile/Alvaro-Dias-3/publication/361041736_Impact_of_destination_weddings_in_the_tourism_economy/links/64479731017bc07902da5d88/Impact-of-destination-weddings-in-the-tourism-economy.pdf</w:t>
        </w:r>
      </w:hyperlink>
      <w:r>
        <w:t xml:space="preserve"> </w:t>
      </w:r>
    </w:p>
    <w:p w14:paraId="6733C570" w14:textId="77777777" w:rsidR="00D621D6" w:rsidRDefault="00D621D6">
      <w:pPr>
        <w:spacing w:after="240"/>
      </w:pPr>
      <w:r>
        <w:t xml:space="preserve">Pervin, N. and Mokhtar, M. (2022). </w:t>
      </w:r>
      <w:r>
        <w:rPr>
          <w:i/>
          <w:iCs/>
        </w:rPr>
        <w:t>The Interpretivist Research Paradigm: A subjective notion of a social context</w:t>
      </w:r>
      <w:r>
        <w:t xml:space="preserve">. [online] </w:t>
      </w:r>
      <w:r>
        <w:rPr>
          <w:i/>
          <w:iCs/>
        </w:rPr>
        <w:t>ResearchGate</w:t>
      </w:r>
      <w:r>
        <w:t xml:space="preserve">, Human Resource Management Academic Research Society. doi:10.6007/IJARPED/v11-i2/12938. </w:t>
      </w:r>
    </w:p>
    <w:p w14:paraId="482A376C" w14:textId="77777777" w:rsidR="00D621D6" w:rsidRDefault="00D621D6">
      <w:pPr>
        <w:spacing w:after="160"/>
      </w:pPr>
      <w:r>
        <w:t>Springer, P.R., Bischoff, R.J., Taylor, N.C., Neuhaus, V. and Leow, C., 2021. Competency‐based training in the supervision of relational telemental supervision. Journal of Marital and Family Therapy, 47(2), pp.375-391.</w:t>
      </w:r>
      <w:hyperlink r:id="rId37">
        <w:r>
          <w:rPr>
            <w:color w:val="1155CC"/>
            <w:u w:val="single"/>
          </w:rPr>
          <w:t>https://onlinelibrary.wiley.com/doi/pdf/10.1111/jmft.12513</w:t>
        </w:r>
      </w:hyperlink>
      <w:r>
        <w:t xml:space="preserve"> </w:t>
      </w:r>
    </w:p>
    <w:p w14:paraId="169D0CFE" w14:textId="77777777" w:rsidR="00D621D6" w:rsidRDefault="00D621D6">
      <w:pPr>
        <w:spacing w:after="160"/>
      </w:pPr>
      <w:r>
        <w:t xml:space="preserve">Staniec, I., Kaczorowska-Spychalska, D., Kalinska-Kula, M. and Szczygiel, N., 2022. The study of emotional effects of </w:t>
      </w:r>
      <w:proofErr w:type="spellStart"/>
      <w:r>
        <w:t>digitalised</w:t>
      </w:r>
      <w:proofErr w:type="spellEnd"/>
      <w:r>
        <w:t xml:space="preserve"> work: The case of higher education in the sustainable development. International Journal of Environmental Research and Public Health, 19(1), p.576.</w:t>
      </w:r>
      <w:hyperlink r:id="rId38">
        <w:r>
          <w:rPr>
            <w:color w:val="1155CC"/>
            <w:u w:val="single"/>
          </w:rPr>
          <w:t>https://www.mdpi.com/1660-4601/19/1/576</w:t>
        </w:r>
      </w:hyperlink>
      <w:r>
        <w:t xml:space="preserve"> </w:t>
      </w:r>
    </w:p>
    <w:p w14:paraId="22082F30" w14:textId="77777777" w:rsidR="00D621D6" w:rsidRDefault="00D621D6">
      <w:pPr>
        <w:spacing w:after="160"/>
      </w:pPr>
      <w:r>
        <w:t xml:space="preserve">Sumi, R.S. and Kabir, G., 2021. Satisfaction of e-learners with electronic learning service quality using the </w:t>
      </w:r>
      <w:proofErr w:type="spellStart"/>
      <w:r>
        <w:t>servqual</w:t>
      </w:r>
      <w:proofErr w:type="spellEnd"/>
      <w:r>
        <w:t xml:space="preserve"> model. Journal of Open Innovation: Technology, Market, and Complexity, 7(4), p.227. </w:t>
      </w:r>
      <w:hyperlink r:id="rId39">
        <w:r>
          <w:rPr>
            <w:color w:val="1155CC"/>
            <w:u w:val="single"/>
          </w:rPr>
          <w:t>https://www.sciencedirect.com/science/article/pii/S2199853122001676</w:t>
        </w:r>
      </w:hyperlink>
      <w:r>
        <w:t xml:space="preserve"> </w:t>
      </w:r>
    </w:p>
    <w:p w14:paraId="2F06FFC8" w14:textId="77777777" w:rsidR="00D621D6" w:rsidRDefault="00D621D6">
      <w:pPr>
        <w:spacing w:after="160"/>
      </w:pPr>
      <w:r>
        <w:t xml:space="preserve">Thonglor, R., Chotisarn, N. and Phuthong, T., 2026. Unlocking </w:t>
      </w:r>
      <w:proofErr w:type="spellStart"/>
      <w:r>
        <w:t>microtourism</w:t>
      </w:r>
      <w:proofErr w:type="spellEnd"/>
      <w:r>
        <w:t xml:space="preserve"> small and medium-sized enterprises potential: Human–AI synergy and open-innovation pathways to sustainability. Cogent Business &amp; Management, 13(1), p.2698507.</w:t>
      </w:r>
      <w:hyperlink r:id="rId40">
        <w:r>
          <w:rPr>
            <w:color w:val="1155CC"/>
            <w:u w:val="single"/>
          </w:rPr>
          <w:t>https://www.tandfonline.com/doi/pdf/10.1080/23311975.2026.2698507</w:t>
        </w:r>
      </w:hyperlink>
      <w:r>
        <w:t xml:space="preserve"> </w:t>
      </w:r>
    </w:p>
    <w:p w14:paraId="3A8F701A" w14:textId="77777777" w:rsidR="00D621D6" w:rsidRDefault="00D621D6">
      <w:pPr>
        <w:spacing w:after="160"/>
      </w:pPr>
      <w:r>
        <w:t>Wang, Z., Liu, C. and Li, Z., 2024. Mining customer experiences of hybrid customized cultural fashion: The case of high-end qipaos for weddings. Journal of Theoretical and Applied Electronic Commerce Research, 19(4), pp.3584-3605.</w:t>
      </w:r>
      <w:hyperlink r:id="rId41">
        <w:r>
          <w:rPr>
            <w:color w:val="1155CC"/>
            <w:u w:val="single"/>
          </w:rPr>
          <w:t>https://www.mdpi.com/0718-1876/19/4/174</w:t>
        </w:r>
      </w:hyperlink>
      <w:r>
        <w:t xml:space="preserve"> </w:t>
      </w:r>
    </w:p>
    <w:p w14:paraId="2BCC641F" w14:textId="77777777" w:rsidR="00D621D6" w:rsidRDefault="00D621D6">
      <w:pPr>
        <w:spacing w:after="160"/>
      </w:pPr>
      <w:r>
        <w:t xml:space="preserve">Weippert, M., 2024. The scope and intensity of personalised omnichannel customer journeys: a </w:t>
      </w:r>
      <w:proofErr w:type="spellStart"/>
      <w:r>
        <w:t>conceptualisation</w:t>
      </w:r>
      <w:proofErr w:type="spellEnd"/>
      <w:r>
        <w:t xml:space="preserve"> integrating experts’ and consumers’ perspectives. Journal of Marketing </w:t>
      </w:r>
      <w:r>
        <w:lastRenderedPageBreak/>
        <w:t>Management, 40(11-12), pp.877-909.</w:t>
      </w:r>
      <w:hyperlink r:id="rId42">
        <w:r>
          <w:rPr>
            <w:color w:val="1155CC"/>
            <w:u w:val="single"/>
          </w:rPr>
          <w:t>https://www.tandfonline.com/doi/pdf/10.1080/0267257X.2024.2388088</w:t>
        </w:r>
      </w:hyperlink>
      <w:r>
        <w:t xml:space="preserve"> </w:t>
      </w:r>
    </w:p>
    <w:p w14:paraId="5B29C876" w14:textId="77777777" w:rsidR="00BF75F9" w:rsidRDefault="00BF75F9">
      <w:pPr>
        <w:spacing w:before="240" w:after="240"/>
      </w:pPr>
    </w:p>
    <w:p w14:paraId="6CFC307B" w14:textId="77777777" w:rsidR="00BF75F9" w:rsidRDefault="00BF75F9"/>
    <w:sectPr w:rsidR="00BF75F9">
      <w:footerReference w:type="default" r:id="rId43"/>
      <w:headerReference w:type="first" r:id="rId44"/>
      <w:footerReference w:type="first" r:id="rId4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7377B5" w14:textId="77777777" w:rsidR="006F03DE" w:rsidRDefault="006F03DE">
      <w:pPr>
        <w:spacing w:line="240" w:lineRule="auto"/>
      </w:pPr>
      <w:r>
        <w:separator/>
      </w:r>
    </w:p>
  </w:endnote>
  <w:endnote w:type="continuationSeparator" w:id="0">
    <w:p w14:paraId="2E2998B7" w14:textId="77777777" w:rsidR="006F03DE" w:rsidRDefault="006F03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FF55B34-2306-4532-95DC-678732FE6343}"/>
  </w:font>
  <w:font w:name="Cambria">
    <w:panose1 w:val="02040503050406030204"/>
    <w:charset w:val="00"/>
    <w:family w:val="roman"/>
    <w:pitch w:val="variable"/>
    <w:sig w:usb0="E00006FF" w:usb1="420024FF" w:usb2="02000000" w:usb3="00000000" w:csb0="0000019F" w:csb1="00000000"/>
    <w:embedRegular r:id="rId2" w:fontKey="{F691E87B-1B9D-4F4A-9E40-434AD895294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600CE2" w14:textId="77777777" w:rsidR="00BF75F9" w:rsidRDefault="00AC5439">
    <w:pPr>
      <w:jc w:val="right"/>
    </w:pPr>
    <w:r>
      <w:fldChar w:fldCharType="begin"/>
    </w:r>
    <w:r>
      <w:instrText>PAGE</w:instrText>
    </w:r>
    <w:r>
      <w:fldChar w:fldCharType="separate"/>
    </w:r>
    <w:r w:rsidR="00841A2D">
      <w:rPr>
        <w:noProof/>
      </w:rPr>
      <w:t>20</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554613" w14:textId="77777777" w:rsidR="00BF75F9" w:rsidRDefault="00BF75F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6C94A2" w14:textId="77777777" w:rsidR="006F03DE" w:rsidRDefault="006F03DE">
      <w:pPr>
        <w:spacing w:line="240" w:lineRule="auto"/>
      </w:pPr>
      <w:r>
        <w:separator/>
      </w:r>
    </w:p>
  </w:footnote>
  <w:footnote w:type="continuationSeparator" w:id="0">
    <w:p w14:paraId="5E67AB57" w14:textId="77777777" w:rsidR="006F03DE" w:rsidRDefault="006F03D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A48138" w14:textId="77777777" w:rsidR="00BF75F9" w:rsidRDefault="00BF75F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9242A"/>
    <w:multiLevelType w:val="multilevel"/>
    <w:tmpl w:val="0B16B6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9A7A4C"/>
    <w:multiLevelType w:val="multilevel"/>
    <w:tmpl w:val="303CBB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47B3BD6"/>
    <w:multiLevelType w:val="multilevel"/>
    <w:tmpl w:val="862A7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92243501">
    <w:abstractNumId w:val="0"/>
  </w:num>
  <w:num w:numId="2" w16cid:durableId="950940175">
    <w:abstractNumId w:val="1"/>
  </w:num>
  <w:num w:numId="3" w16cid:durableId="16923435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75F9"/>
    <w:rsid w:val="004F568D"/>
    <w:rsid w:val="006F03DE"/>
    <w:rsid w:val="00841A2D"/>
    <w:rsid w:val="009C4691"/>
    <w:rsid w:val="009C5996"/>
    <w:rsid w:val="00AC5439"/>
    <w:rsid w:val="00B23365"/>
    <w:rsid w:val="00BF75F9"/>
    <w:rsid w:val="00D621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814EA"/>
  <w15:docId w15:val="{41425BBC-CF3B-43B3-B3BA-D2E9E2A70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bCs/>
      <w:sz w:val="28"/>
      <w:szCs w:val="28"/>
    </w:rPr>
  </w:style>
  <w:style w:type="paragraph" w:styleId="Heading2">
    <w:name w:val="heading 2"/>
    <w:basedOn w:val="Normal"/>
    <w:next w:val="Normal"/>
    <w:pPr>
      <w:keepNext/>
      <w:keepLines/>
      <w:spacing w:before="360" w:after="80"/>
      <w:outlineLvl w:val="1"/>
    </w:pPr>
    <w:rPr>
      <w:b/>
      <w:bCs/>
      <w:sz w:val="26"/>
      <w:szCs w:val="26"/>
    </w:rPr>
  </w:style>
  <w:style w:type="paragraph" w:styleId="Heading3">
    <w:name w:val="heading 3"/>
    <w:basedOn w:val="Normal"/>
    <w:next w:val="Normal"/>
    <w:pPr>
      <w:keepNext/>
      <w:keepLines/>
      <w:spacing w:before="360" w:after="8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andfonline.com/doi/pdf/10.1080/2331186X.2023.2259733" TargetMode="External"/><Relationship Id="rId18" Type="http://schemas.openxmlformats.org/officeDocument/2006/relationships/hyperlink" Target="https://partners.bridebook.com/uk/wedding-report-2026" TargetMode="External"/><Relationship Id="rId26" Type="http://schemas.openxmlformats.org/officeDocument/2006/relationships/hyperlink" Target="http://grandviewresearch.com" TargetMode="External"/><Relationship Id="rId39" Type="http://schemas.openxmlformats.org/officeDocument/2006/relationships/hyperlink" Target="https://www.sciencedirect.com/science/article/pii/S2199853122001676" TargetMode="External"/><Relationship Id="rId21" Type="http://schemas.openxmlformats.org/officeDocument/2006/relationships/hyperlink" Target="https://www.sciencedirect.com/science/article/pii/S0019850123001645" TargetMode="External"/><Relationship Id="rId34" Type="http://schemas.openxmlformats.org/officeDocument/2006/relationships/hyperlink" Target="https://www.mdpi.com/2077-0472/15/21/2288" TargetMode="External"/><Relationship Id="rId42" Type="http://schemas.openxmlformats.org/officeDocument/2006/relationships/hyperlink" Target="https://www.tandfonline.com/doi/pdf/10.1080/0267257X.2024.2388088" TargetMode="External"/><Relationship Id="rId47" Type="http://schemas.openxmlformats.org/officeDocument/2006/relationships/theme" Target="theme/theme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link.springer.com/content/pdf/10.1186/s43093-025-00663-y.pdf" TargetMode="External"/><Relationship Id="rId29" Type="http://schemas.openxmlformats.org/officeDocument/2006/relationships/hyperlink" Target="https://www.tandfonline.com/doi/pdf/10.1080/00913367.2025.246098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puirj.com/index.php/research/article/view/170" TargetMode="External"/><Relationship Id="rId32" Type="http://schemas.openxmlformats.org/officeDocument/2006/relationships/hyperlink" Target="https://journals.sagepub.com/doi/pdf/10.1177/13678779231197695" TargetMode="External"/><Relationship Id="rId37" Type="http://schemas.openxmlformats.org/officeDocument/2006/relationships/hyperlink" Target="https://onlinelibrary.wiley.com/doi/pdf/10.1111/jmft.12513" TargetMode="External"/><Relationship Id="rId40" Type="http://schemas.openxmlformats.org/officeDocument/2006/relationships/hyperlink" Target="https://www.tandfonline.com/doi/pdf/10.1080/23311975.2026.2698507"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researchgate.net/publication/395435863_The_Impact_of_Digital_Communication_on_Interpersonal_Relationships" TargetMode="External"/><Relationship Id="rId23" Type="http://schemas.openxmlformats.org/officeDocument/2006/relationships/hyperlink" Target="https://www.mdpi.com/2071-1050/17/12/5524" TargetMode="External"/><Relationship Id="rId28" Type="http://schemas.openxmlformats.org/officeDocument/2006/relationships/hyperlink" Target="https://link.springer.com/content/pdf/10.1186/s43093-025-00634-3.pdf" TargetMode="External"/><Relationship Id="rId36" Type="http://schemas.openxmlformats.org/officeDocument/2006/relationships/hyperlink" Target="https://www.researchgate.net/profile/Alvaro-Dias-3/publication/361041736_Impact_of_destination_weddings_in_the_tourism_economy/links/64479731017bc07902da5d88/Impact-of-destination-weddings-in-the-tourism-economy.pdf" TargetMode="External"/><Relationship Id="rId10" Type="http://schemas.openxmlformats.org/officeDocument/2006/relationships/image" Target="media/image4.png"/><Relationship Id="rId19" Type="http://schemas.openxmlformats.org/officeDocument/2006/relationships/hyperlink" Target="https://onlinelibrary.wiley.com/doi/pdf/10.1111%2Frode.13069" TargetMode="External"/><Relationship Id="rId31" Type="http://schemas.openxmlformats.org/officeDocument/2006/relationships/hyperlink" Target="https://www.mdpi.com/1660-4601/19/13/7831"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dpi.com/1996-1073/15/16/6042" TargetMode="External"/><Relationship Id="rId22" Type="http://schemas.openxmlformats.org/officeDocument/2006/relationships/hyperlink" Target="https://onlinelibrary.wiley.com/doi/pdf/10.1155/2022/1649160" TargetMode="External"/><Relationship Id="rId27" Type="http://schemas.openxmlformats.org/officeDocument/2006/relationships/hyperlink" Target="https://www.grandviewresearch.com/horizon/outlook/wedding-services-market/uk" TargetMode="External"/><Relationship Id="rId30" Type="http://schemas.openxmlformats.org/officeDocument/2006/relationships/hyperlink" Target="https://ixdf.org/literature/topics/value-proposition-canvas" TargetMode="External"/><Relationship Id="rId35" Type="http://schemas.openxmlformats.org/officeDocument/2006/relationships/hyperlink" Target="https://www.sciencedirect.com/science/article/pii/S2199853122010484"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sciencedirect.com/science/article/pii/S2405844023051496" TargetMode="External"/><Relationship Id="rId17" Type="http://schemas.openxmlformats.org/officeDocument/2006/relationships/hyperlink" Target="https://www.tandfonline.com/doi/pdf/10.1080/22243534.2020.1867374" TargetMode="External"/><Relationship Id="rId25" Type="http://schemas.openxmlformats.org/officeDocument/2006/relationships/hyperlink" Target="https://www.sciencedirect.com/science/article/pii/S2666799125000048" TargetMode="External"/><Relationship Id="rId33" Type="http://schemas.openxmlformats.org/officeDocument/2006/relationships/hyperlink" Target="https://journals.sagepub.com/doi/10.1177/16094069251381706" TargetMode="External"/><Relationship Id="rId38" Type="http://schemas.openxmlformats.org/officeDocument/2006/relationships/hyperlink" Target="https://www.mdpi.com/1660-4601/19/1/576" TargetMode="External"/><Relationship Id="rId46" Type="http://schemas.openxmlformats.org/officeDocument/2006/relationships/fontTable" Target="fontTable.xml"/><Relationship Id="rId20" Type="http://schemas.openxmlformats.org/officeDocument/2006/relationships/hyperlink" Target="https://onlinelibrary.wiley.com/doi/pdf/10.1111%2Fgwao.13155" TargetMode="External"/><Relationship Id="rId41" Type="http://schemas.openxmlformats.org/officeDocument/2006/relationships/hyperlink" Target="https://www.mdpi.com/0718-1876/19/4/174"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24</Pages>
  <Words>6027</Words>
  <Characters>34355</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Chetnaben Anilbhai Fadke (2430959)</cp:lastModifiedBy>
  <cp:revision>2</cp:revision>
  <dcterms:created xsi:type="dcterms:W3CDTF">2026-08-18T19:02:00Z</dcterms:created>
  <dcterms:modified xsi:type="dcterms:W3CDTF">2026-08-18T19:02:00Z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be38ce17-a90f-4151-a0ab-59565d1b32e4</vt:lpwstr>
  </property>
</Properties>
</file>