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24A616" w14:textId="77777777" w:rsidR="00CA6A82" w:rsidRDefault="00CA6A82" w:rsidP="00CA6A82">
      <w:pPr>
        <w:spacing w:after="100" w:afterAutospacing="1" w:line="240" w:lineRule="auto"/>
        <w:rPr>
          <w:rFonts w:ascii="&amp;quot" w:eastAsia="Times New Roman" w:hAnsi="&amp;quot" w:cs="Times New Roman"/>
          <w:i/>
          <w:iCs/>
          <w:color w:val="3F4D5D"/>
          <w:sz w:val="24"/>
          <w:szCs w:val="24"/>
          <w:lang w:eastAsia="en-GB"/>
        </w:rPr>
      </w:pPr>
      <w:r>
        <w:rPr>
          <w:rFonts w:ascii="&amp;quot" w:eastAsia="Times New Roman" w:hAnsi="&amp;quot" w:cs="Times New Roman"/>
          <w:i/>
          <w:iCs/>
          <w:color w:val="3F4D5D"/>
          <w:sz w:val="24"/>
          <w:szCs w:val="24"/>
          <w:lang w:eastAsia="en-GB"/>
        </w:rPr>
        <w:t>Suggested Answer to problem question</w:t>
      </w:r>
    </w:p>
    <w:p w14:paraId="2A0461DA"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i/>
          <w:iCs/>
          <w:color w:val="3F4D5D"/>
          <w:sz w:val="24"/>
          <w:szCs w:val="24"/>
          <w:lang w:eastAsia="en-GB"/>
        </w:rPr>
        <w:t>Following months of speculation the legendary indie guitar band – Blinking Idiot – are about to embark on a reunion tour of the UK. They are performing a warm-up gig at a small intimate venue when a spotlight falls onto the stage causing a massive explosion killing the band members: Madeleine, Amish and Dave. Unfortunately, the lighting rig (onto which the spotlight was fitted) had been negligently maintained by Rack &amp; Horse Lighting. The sight is particularly gruesome.</w:t>
      </w:r>
    </w:p>
    <w:p w14:paraId="052AA31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You are asked to advise various parties.</w:t>
      </w:r>
    </w:p>
    <w:p w14:paraId="4FBF7A5A"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The best way to answer this question is to work through each of the potential claimants one by one. Use headings. The key issue here is whether the defendants – Rack &amp; Horse Lighting – owe a duty of care to those who have suffered psychiatrically injured as a result of their negligence. In order to do so, the parties need to establish that they are either </w:t>
      </w:r>
      <w:r w:rsidRPr="00CA6A82">
        <w:rPr>
          <w:rFonts w:ascii="&amp;quot" w:eastAsia="Times New Roman" w:hAnsi="&amp;quot" w:cs="Times New Roman"/>
          <w:i/>
          <w:iCs/>
          <w:color w:val="3F4D5D"/>
          <w:sz w:val="24"/>
          <w:szCs w:val="24"/>
          <w:lang w:eastAsia="en-GB"/>
        </w:rPr>
        <w:t xml:space="preserve">primary </w:t>
      </w:r>
      <w:r w:rsidRPr="00CA6A82">
        <w:rPr>
          <w:rFonts w:ascii="&amp;quot" w:eastAsia="Times New Roman" w:hAnsi="&amp;quot" w:cs="Times New Roman"/>
          <w:color w:val="3F4D5D"/>
          <w:sz w:val="24"/>
          <w:szCs w:val="24"/>
          <w:lang w:eastAsia="en-GB"/>
        </w:rPr>
        <w:t xml:space="preserve">or </w:t>
      </w:r>
      <w:r w:rsidRPr="00CA6A82">
        <w:rPr>
          <w:rFonts w:ascii="&amp;quot" w:eastAsia="Times New Roman" w:hAnsi="&amp;quot" w:cs="Times New Roman"/>
          <w:i/>
          <w:iCs/>
          <w:color w:val="3F4D5D"/>
          <w:sz w:val="24"/>
          <w:szCs w:val="24"/>
          <w:lang w:eastAsia="en-GB"/>
        </w:rPr>
        <w:t xml:space="preserve">secondary </w:t>
      </w:r>
      <w:r w:rsidRPr="00CA6A82">
        <w:rPr>
          <w:rFonts w:ascii="&amp;quot" w:eastAsia="Times New Roman" w:hAnsi="&amp;quot" w:cs="Times New Roman"/>
          <w:color w:val="3F4D5D"/>
          <w:sz w:val="24"/>
          <w:szCs w:val="24"/>
          <w:lang w:eastAsia="en-GB"/>
        </w:rPr>
        <w:t>victims.</w:t>
      </w:r>
    </w:p>
    <w:p w14:paraId="7FC5B61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b/>
          <w:bCs/>
          <w:color w:val="3F4D5D"/>
          <w:sz w:val="24"/>
          <w:szCs w:val="24"/>
          <w:lang w:eastAsia="en-GB"/>
        </w:rPr>
        <w:t>Hannah</w:t>
      </w:r>
    </w:p>
    <w:p w14:paraId="5EE7AA0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i/>
          <w:iCs/>
          <w:color w:val="3F4D5D"/>
          <w:sz w:val="24"/>
          <w:szCs w:val="24"/>
          <w:lang w:eastAsia="en-GB"/>
        </w:rPr>
        <w:t>Hannah, Amish’s wife, is watching the gig from the VIP area of the venue. She is physically unharmed, but later suffers nightmares and depression. This is particularly traumatic for her as she had previously suffered from depression, but had sought help and recovered.</w:t>
      </w:r>
    </w:p>
    <w:p w14:paraId="7872E3B9"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In order to recover, Hannah needs to have suffered from </w:t>
      </w:r>
      <w:r w:rsidRPr="00CA6A82">
        <w:rPr>
          <w:rFonts w:ascii="&amp;quot" w:eastAsia="Times New Roman" w:hAnsi="&amp;quot" w:cs="Times New Roman"/>
          <w:b/>
          <w:bCs/>
          <w:color w:val="3F4D5D"/>
          <w:sz w:val="24"/>
          <w:szCs w:val="24"/>
          <w:lang w:eastAsia="en-GB"/>
        </w:rPr>
        <w:t>a recognised psychiatric illness</w:t>
      </w:r>
      <w:r w:rsidRPr="00CA6A82">
        <w:rPr>
          <w:rFonts w:ascii="&amp;quot" w:eastAsia="Times New Roman" w:hAnsi="&amp;quot" w:cs="Times New Roman"/>
          <w:color w:val="3F4D5D"/>
          <w:sz w:val="24"/>
          <w:szCs w:val="24"/>
          <w:lang w:eastAsia="en-GB"/>
        </w:rPr>
        <w:t>. This requirement is easily satisfied here: you are told Hannah is suffering from depression. However, you are also told that this is a recurrence of a pre-existing condition – that Hannah had previously suffered from depression. It is important then that you discuss the 'egg shell skull' principle (see sections 5.5 and 9.3.1.1). On this basis, Hannah can only recover if someone of 'ordinary phlegm or fortitude' would have suffered psychiatric injury. Of course, if this is the case, Rack &amp; Horse Lighting will be liable in full (assuming Hannah fulfils the criteria of a primary and/or secondary victim), even though a particular vulnerability or susceptibility means that the claimant suffers much greater psychiatric harm than might have been anticipated (</w:t>
      </w:r>
      <w:r w:rsidRPr="00CA6A82">
        <w:rPr>
          <w:rFonts w:ascii="&amp;quot" w:eastAsia="Times New Roman" w:hAnsi="&amp;quot" w:cs="Times New Roman"/>
          <w:i/>
          <w:iCs/>
          <w:color w:val="3F4D5D"/>
          <w:sz w:val="24"/>
          <w:szCs w:val="24"/>
          <w:lang w:eastAsia="en-GB"/>
        </w:rPr>
        <w:t>Brice v Brown</w:t>
      </w:r>
      <w:r w:rsidRPr="00CA6A82">
        <w:rPr>
          <w:rFonts w:ascii="&amp;quot" w:eastAsia="Times New Roman" w:hAnsi="&amp;quot" w:cs="Times New Roman"/>
          <w:color w:val="3F4D5D"/>
          <w:sz w:val="24"/>
          <w:szCs w:val="24"/>
          <w:lang w:eastAsia="en-GB"/>
        </w:rPr>
        <w:t xml:space="preserve"> [1984]).</w:t>
      </w:r>
    </w:p>
    <w:p w14:paraId="6A9722D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Could Hannah be a </w:t>
      </w:r>
      <w:r w:rsidRPr="00CA6A82">
        <w:rPr>
          <w:rFonts w:ascii="&amp;quot" w:eastAsia="Times New Roman" w:hAnsi="&amp;quot" w:cs="Times New Roman"/>
          <w:b/>
          <w:bCs/>
          <w:color w:val="3F4D5D"/>
          <w:sz w:val="24"/>
          <w:szCs w:val="24"/>
          <w:lang w:eastAsia="en-GB"/>
        </w:rPr>
        <w:t>primary victim</w:t>
      </w:r>
      <w:r w:rsidRPr="00CA6A82">
        <w:rPr>
          <w:rFonts w:ascii="&amp;quot" w:eastAsia="Times New Roman" w:hAnsi="&amp;quot" w:cs="Times New Roman"/>
          <w:color w:val="3F4D5D"/>
          <w:sz w:val="24"/>
          <w:szCs w:val="24"/>
          <w:lang w:eastAsia="en-GB"/>
        </w:rPr>
        <w:t>? Well, that would depend on how close the VIP area of the venue was to the stage. The closer is it to the stage the more likely it is to fall within the 'zone of danger' (</w:t>
      </w:r>
      <w:r w:rsidRPr="00CA6A82">
        <w:rPr>
          <w:rFonts w:ascii="&amp;quot" w:eastAsia="Times New Roman" w:hAnsi="&amp;quot" w:cs="Times New Roman"/>
          <w:b/>
          <w:bCs/>
          <w:i/>
          <w:iCs/>
          <w:color w:val="3F4D5D"/>
          <w:sz w:val="24"/>
          <w:szCs w:val="24"/>
          <w:lang w:eastAsia="en-GB"/>
        </w:rPr>
        <w:t xml:space="preserve">Page v Smith </w:t>
      </w:r>
      <w:r w:rsidRPr="00CA6A82">
        <w:rPr>
          <w:rFonts w:ascii="&amp;quot" w:eastAsia="Times New Roman" w:hAnsi="&amp;quot" w:cs="Times New Roman"/>
          <w:b/>
          <w:bCs/>
          <w:color w:val="3F4D5D"/>
          <w:sz w:val="24"/>
          <w:szCs w:val="24"/>
          <w:lang w:eastAsia="en-GB"/>
        </w:rPr>
        <w:t>[1996]</w:t>
      </w:r>
      <w:r w:rsidRPr="00CA6A82">
        <w:rPr>
          <w:rFonts w:ascii="&amp;quot" w:eastAsia="Times New Roman" w:hAnsi="&amp;quot" w:cs="Times New Roman"/>
          <w:color w:val="3F4D5D"/>
          <w:sz w:val="24"/>
          <w:szCs w:val="24"/>
          <w:lang w:eastAsia="en-GB"/>
        </w:rPr>
        <w:t xml:space="preserve">). The facts are not clear here. Do not make up new facts – but do acknowledge that the facts are ambiguous here. State the legal issue – that is, that in order to be a primary victim, Hannah will need to be in the zone of danger, that is at risk of physical injury, at the time her injury occurred – and consider which way this is likely to go </w:t>
      </w:r>
      <w:r w:rsidRPr="00CA6A82">
        <w:rPr>
          <w:rFonts w:ascii="&amp;quot" w:eastAsia="Times New Roman" w:hAnsi="&amp;quot" w:cs="Times New Roman"/>
          <w:i/>
          <w:iCs/>
          <w:color w:val="3F4D5D"/>
          <w:sz w:val="24"/>
          <w:szCs w:val="24"/>
          <w:lang w:eastAsia="en-GB"/>
        </w:rPr>
        <w:t>on the facts given</w:t>
      </w:r>
      <w:r w:rsidRPr="00CA6A82">
        <w:rPr>
          <w:rFonts w:ascii="&amp;quot" w:eastAsia="Times New Roman" w:hAnsi="&amp;quot" w:cs="Times New Roman"/>
          <w:color w:val="3F4D5D"/>
          <w:sz w:val="24"/>
          <w:szCs w:val="24"/>
          <w:lang w:eastAsia="en-GB"/>
        </w:rPr>
        <w:t xml:space="preserve">. This involves stating the relevant ingredients of the zone of danger (for example, the claimant in </w:t>
      </w:r>
      <w:proofErr w:type="spellStart"/>
      <w:r w:rsidRPr="00CA6A82">
        <w:rPr>
          <w:rFonts w:ascii="&amp;quot" w:eastAsia="Times New Roman" w:hAnsi="&amp;quot" w:cs="Times New Roman"/>
          <w:b/>
          <w:bCs/>
          <w:i/>
          <w:iCs/>
          <w:color w:val="3F4D5D"/>
          <w:sz w:val="24"/>
          <w:szCs w:val="24"/>
          <w:lang w:eastAsia="en-GB"/>
        </w:rPr>
        <w:t>Page</w:t>
      </w:r>
      <w:r w:rsidRPr="00CA6A82">
        <w:rPr>
          <w:rFonts w:ascii="&amp;quot" w:eastAsia="Times New Roman" w:hAnsi="&amp;quot" w:cs="Times New Roman"/>
          <w:color w:val="3F4D5D"/>
          <w:sz w:val="24"/>
          <w:szCs w:val="24"/>
          <w:lang w:eastAsia="en-GB"/>
        </w:rPr>
        <w:t>was</w:t>
      </w:r>
      <w:proofErr w:type="spellEnd"/>
      <w:r w:rsidRPr="00CA6A82">
        <w:rPr>
          <w:rFonts w:ascii="&amp;quot" w:eastAsia="Times New Roman" w:hAnsi="&amp;quot" w:cs="Times New Roman"/>
          <w:color w:val="3F4D5D"/>
          <w:sz w:val="24"/>
          <w:szCs w:val="24"/>
          <w:lang w:eastAsia="en-GB"/>
        </w:rPr>
        <w:t xml:space="preserve"> in the zone of danger as were the police officers who went inside the pens in the Hillsborough Stadium Disaster (</w:t>
      </w:r>
      <w:r w:rsidRPr="00CA6A82">
        <w:rPr>
          <w:rFonts w:ascii="&amp;quot" w:eastAsia="Times New Roman" w:hAnsi="&amp;quot" w:cs="Times New Roman"/>
          <w:b/>
          <w:bCs/>
          <w:i/>
          <w:iCs/>
          <w:color w:val="3F4D5D"/>
          <w:sz w:val="24"/>
          <w:szCs w:val="24"/>
          <w:lang w:eastAsia="en-GB"/>
        </w:rPr>
        <w:t xml:space="preserve">White v Chief Constable of South Yorkshire Police </w:t>
      </w:r>
      <w:r w:rsidRPr="00CA6A82">
        <w:rPr>
          <w:rFonts w:ascii="&amp;quot" w:eastAsia="Times New Roman" w:hAnsi="&amp;quot" w:cs="Times New Roman"/>
          <w:b/>
          <w:bCs/>
          <w:color w:val="3F4D5D"/>
          <w:sz w:val="24"/>
          <w:szCs w:val="24"/>
          <w:lang w:eastAsia="en-GB"/>
        </w:rPr>
        <w:t>[1998]</w:t>
      </w:r>
      <w:r w:rsidRPr="00CA6A82">
        <w:rPr>
          <w:rFonts w:ascii="&amp;quot" w:eastAsia="Times New Roman" w:hAnsi="&amp;quot" w:cs="Times New Roman"/>
          <w:color w:val="3F4D5D"/>
          <w:sz w:val="24"/>
          <w:szCs w:val="24"/>
          <w:lang w:eastAsia="en-GB"/>
        </w:rPr>
        <w:t>) while those who stayed on the pitch fell outside), assessing whether there is anything here which could put Hannah in the zone – for example the fact that it is a 'small, intimate venue' (although note that the fact that she is 'physically unharmed' points to the opposite conclusion).</w:t>
      </w:r>
    </w:p>
    <w:p w14:paraId="4320B560"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lastRenderedPageBreak/>
        <w:t xml:space="preserve">A strong answer will then go on to discuss whether Hannah could, in the alternative, be classed as a </w:t>
      </w:r>
      <w:r w:rsidRPr="00CA6A82">
        <w:rPr>
          <w:rFonts w:ascii="&amp;quot" w:eastAsia="Times New Roman" w:hAnsi="&amp;quot" w:cs="Times New Roman"/>
          <w:b/>
          <w:bCs/>
          <w:color w:val="3F4D5D"/>
          <w:sz w:val="24"/>
          <w:szCs w:val="24"/>
          <w:lang w:eastAsia="en-GB"/>
        </w:rPr>
        <w:t>secondary victim</w:t>
      </w:r>
      <w:r w:rsidRPr="00CA6A82">
        <w:rPr>
          <w:rFonts w:ascii="&amp;quot" w:eastAsia="Times New Roman" w:hAnsi="&amp;quot" w:cs="Times New Roman"/>
          <w:color w:val="3F4D5D"/>
          <w:sz w:val="24"/>
          <w:szCs w:val="24"/>
          <w:lang w:eastAsia="en-GB"/>
        </w:rPr>
        <w:t xml:space="preserve">. In order to do so, she needs to satisfy the </w:t>
      </w:r>
      <w:proofErr w:type="spellStart"/>
      <w:r w:rsidRPr="00CA6A82">
        <w:rPr>
          <w:rFonts w:ascii="&amp;quot" w:eastAsia="Times New Roman" w:hAnsi="&amp;quot" w:cs="Times New Roman"/>
          <w:i/>
          <w:iCs/>
          <w:color w:val="3F4D5D"/>
          <w:sz w:val="24"/>
          <w:szCs w:val="24"/>
          <w:lang w:eastAsia="en-GB"/>
        </w:rPr>
        <w:t>Alcock</w:t>
      </w:r>
      <w:proofErr w:type="spellEnd"/>
      <w:r w:rsidRPr="00CA6A82">
        <w:rPr>
          <w:rFonts w:ascii="&amp;quot" w:eastAsia="Times New Roman" w:hAnsi="&amp;quot" w:cs="Times New Roman"/>
          <w:i/>
          <w:iCs/>
          <w:color w:val="3F4D5D"/>
          <w:sz w:val="24"/>
          <w:szCs w:val="24"/>
          <w:lang w:eastAsia="en-GB"/>
        </w:rPr>
        <w:t xml:space="preserve"> </w:t>
      </w:r>
      <w:r w:rsidRPr="00CA6A82">
        <w:rPr>
          <w:rFonts w:ascii="&amp;quot" w:eastAsia="Times New Roman" w:hAnsi="&amp;quot" w:cs="Times New Roman"/>
          <w:color w:val="3F4D5D"/>
          <w:sz w:val="24"/>
          <w:szCs w:val="24"/>
          <w:lang w:eastAsia="en-GB"/>
        </w:rPr>
        <w:t xml:space="preserve">control mechanisms as stated by Lord Oliver in </w:t>
      </w:r>
      <w:proofErr w:type="spellStart"/>
      <w:r w:rsidRPr="00CA6A82">
        <w:rPr>
          <w:rFonts w:ascii="&amp;quot" w:eastAsia="Times New Roman" w:hAnsi="&amp;quot" w:cs="Times New Roman"/>
          <w:b/>
          <w:bCs/>
          <w:i/>
          <w:iCs/>
          <w:color w:val="3F4D5D"/>
          <w:sz w:val="24"/>
          <w:szCs w:val="24"/>
          <w:lang w:eastAsia="en-GB"/>
        </w:rPr>
        <w:t>Alcock</w:t>
      </w:r>
      <w:proofErr w:type="spellEnd"/>
      <w:r w:rsidRPr="00CA6A82">
        <w:rPr>
          <w:rFonts w:ascii="&amp;quot" w:eastAsia="Times New Roman" w:hAnsi="&amp;quot" w:cs="Times New Roman"/>
          <w:b/>
          <w:bCs/>
          <w:i/>
          <w:iCs/>
          <w:color w:val="3F4D5D"/>
          <w:sz w:val="24"/>
          <w:szCs w:val="24"/>
          <w:lang w:eastAsia="en-GB"/>
        </w:rPr>
        <w:t xml:space="preserve"> v Chief Constable of South Yorkshire Police</w:t>
      </w:r>
      <w:r w:rsidRPr="00CA6A82">
        <w:rPr>
          <w:rFonts w:ascii="&amp;quot" w:eastAsia="Times New Roman" w:hAnsi="&amp;quot" w:cs="Times New Roman"/>
          <w:color w:val="3F4D5D"/>
          <w:sz w:val="24"/>
          <w:szCs w:val="24"/>
          <w:lang w:eastAsia="en-GB"/>
        </w:rPr>
        <w:t>.</w:t>
      </w:r>
    </w:p>
    <w:p w14:paraId="58DAF5D8" w14:textId="77777777" w:rsidR="00CA6A82" w:rsidRPr="00CA6A82" w:rsidRDefault="00CA6A82" w:rsidP="00CA6A82">
      <w:pPr>
        <w:numPr>
          <w:ilvl w:val="0"/>
          <w:numId w:val="1"/>
        </w:numPr>
        <w:spacing w:before="100" w:beforeAutospacing="1"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the </w:t>
      </w:r>
      <w:r w:rsidRPr="00CA6A82">
        <w:rPr>
          <w:rFonts w:ascii="&amp;quot" w:eastAsia="Times New Roman" w:hAnsi="&amp;quot" w:cs="Times New Roman"/>
          <w:i/>
          <w:iCs/>
          <w:color w:val="3F4D5D"/>
          <w:sz w:val="24"/>
          <w:szCs w:val="24"/>
          <w:lang w:eastAsia="en-GB"/>
        </w:rPr>
        <w:t>class of persons</w:t>
      </w:r>
      <w:r w:rsidRPr="00CA6A82">
        <w:rPr>
          <w:rFonts w:ascii="&amp;quot" w:eastAsia="Times New Roman" w:hAnsi="&amp;quot" w:cs="Times New Roman"/>
          <w:color w:val="3F4D5D"/>
          <w:sz w:val="24"/>
          <w:szCs w:val="24"/>
          <w:lang w:eastAsia="en-GB"/>
        </w:rPr>
        <w:t xml:space="preserve"> whose claim should be recognized;</w:t>
      </w:r>
    </w:p>
    <w:p w14:paraId="631654BB" w14:textId="77777777" w:rsidR="00CA6A82" w:rsidRPr="00CA6A82" w:rsidRDefault="00CA6A82" w:rsidP="00CA6A82">
      <w:pPr>
        <w:numPr>
          <w:ilvl w:val="0"/>
          <w:numId w:val="1"/>
        </w:numPr>
        <w:spacing w:before="100" w:beforeAutospacing="1"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the </w:t>
      </w:r>
      <w:r w:rsidRPr="00CA6A82">
        <w:rPr>
          <w:rFonts w:ascii="&amp;quot" w:eastAsia="Times New Roman" w:hAnsi="&amp;quot" w:cs="Times New Roman"/>
          <w:i/>
          <w:iCs/>
          <w:color w:val="3F4D5D"/>
          <w:sz w:val="24"/>
          <w:szCs w:val="24"/>
          <w:lang w:eastAsia="en-GB"/>
        </w:rPr>
        <w:t>proximity</w:t>
      </w:r>
      <w:r w:rsidRPr="00CA6A82">
        <w:rPr>
          <w:rFonts w:ascii="&amp;quot" w:eastAsia="Times New Roman" w:hAnsi="&amp;quot" w:cs="Times New Roman"/>
          <w:color w:val="3F4D5D"/>
          <w:sz w:val="24"/>
          <w:szCs w:val="24"/>
          <w:lang w:eastAsia="en-GB"/>
        </w:rPr>
        <w:t xml:space="preserve"> of the claimant to the accident;</w:t>
      </w:r>
    </w:p>
    <w:p w14:paraId="6ABD6E09" w14:textId="77777777" w:rsidR="00CA6A82" w:rsidRPr="00CA6A82" w:rsidRDefault="00CA6A82" w:rsidP="00CA6A82">
      <w:pPr>
        <w:numPr>
          <w:ilvl w:val="0"/>
          <w:numId w:val="1"/>
        </w:numPr>
        <w:spacing w:before="100" w:beforeAutospacing="1"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the means by which the </w:t>
      </w:r>
      <w:r w:rsidRPr="00CA6A82">
        <w:rPr>
          <w:rFonts w:ascii="&amp;quot" w:eastAsia="Times New Roman" w:hAnsi="&amp;quot" w:cs="Times New Roman"/>
          <w:i/>
          <w:iCs/>
          <w:color w:val="3F4D5D"/>
          <w:sz w:val="24"/>
          <w:szCs w:val="24"/>
          <w:lang w:eastAsia="en-GB"/>
        </w:rPr>
        <w:t>shock</w:t>
      </w:r>
      <w:r w:rsidRPr="00CA6A82">
        <w:rPr>
          <w:rFonts w:ascii="&amp;quot" w:eastAsia="Times New Roman" w:hAnsi="&amp;quot" w:cs="Times New Roman"/>
          <w:color w:val="3F4D5D"/>
          <w:sz w:val="24"/>
          <w:szCs w:val="24"/>
          <w:lang w:eastAsia="en-GB"/>
        </w:rPr>
        <w:t xml:space="preserve"> is caused.</w:t>
      </w:r>
    </w:p>
    <w:p w14:paraId="003342E3"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On the facts, Hannah is able to establish close ties of love and affection to one of the primary victims (1). She is Amish’s wife – so these are assumed (although, of course, may be rebutted by evidence to the contrary). She is also able to establish the necessary proximity to the accident and immediacy of perception or 'shock' (2 &amp; 3) (she is at the gig). She is, therefore, a secondary victim.</w:t>
      </w:r>
    </w:p>
    <w:p w14:paraId="4999BC5B"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b/>
          <w:bCs/>
          <w:color w:val="3F4D5D"/>
          <w:sz w:val="24"/>
          <w:szCs w:val="24"/>
          <w:lang w:eastAsia="en-GB"/>
        </w:rPr>
        <w:t>Pete</w:t>
      </w:r>
    </w:p>
    <w:p w14:paraId="29DBCA40"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i/>
          <w:iCs/>
          <w:color w:val="3F4D5D"/>
          <w:sz w:val="24"/>
          <w:szCs w:val="24"/>
          <w:lang w:eastAsia="en-GB"/>
        </w:rPr>
        <w:t>Pete, Madeleine's brother, is listening to the live radio broadcast of the gig from his hotel room in Paris. He hears the explosion and thinks he can hear Madeleine screaming. He rushes to the airport, managing to catch a flight that is just leaving, and arrives at the hospital three hours after the accident. Unfortunately, Madeleine's body has not yet been moved to the morgue and is still covered in blood and grime from the explosion. He develops post-traumatic shock disorder.</w:t>
      </w:r>
    </w:p>
    <w:p w14:paraId="6FEABD4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You are told that Pete has developed post-traumatic shock disorder. He is, therefore, suffering from a </w:t>
      </w:r>
      <w:r w:rsidRPr="00CA6A82">
        <w:rPr>
          <w:rFonts w:ascii="&amp;quot" w:eastAsia="Times New Roman" w:hAnsi="&amp;quot" w:cs="Times New Roman"/>
          <w:b/>
          <w:bCs/>
          <w:color w:val="3F4D5D"/>
          <w:sz w:val="24"/>
          <w:szCs w:val="24"/>
          <w:lang w:eastAsia="en-GB"/>
        </w:rPr>
        <w:t>recognised psychiatric disorder</w:t>
      </w:r>
      <w:r w:rsidRPr="00CA6A82">
        <w:rPr>
          <w:rFonts w:ascii="&amp;quot" w:eastAsia="Times New Roman" w:hAnsi="&amp;quot" w:cs="Times New Roman"/>
          <w:color w:val="3F4D5D"/>
          <w:sz w:val="24"/>
          <w:szCs w:val="24"/>
          <w:lang w:eastAsia="en-GB"/>
        </w:rPr>
        <w:t>.</w:t>
      </w:r>
    </w:p>
    <w:p w14:paraId="1B6C70AA"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Is Pete a </w:t>
      </w:r>
      <w:r w:rsidRPr="00CA6A82">
        <w:rPr>
          <w:rFonts w:ascii="&amp;quot" w:eastAsia="Times New Roman" w:hAnsi="&amp;quot" w:cs="Times New Roman"/>
          <w:b/>
          <w:bCs/>
          <w:color w:val="3F4D5D"/>
          <w:sz w:val="24"/>
          <w:szCs w:val="24"/>
          <w:lang w:eastAsia="en-GB"/>
        </w:rPr>
        <w:t>primary victim</w:t>
      </w:r>
      <w:r w:rsidRPr="00CA6A82">
        <w:rPr>
          <w:rFonts w:ascii="&amp;quot" w:eastAsia="Times New Roman" w:hAnsi="&amp;quot" w:cs="Times New Roman"/>
          <w:color w:val="3F4D5D"/>
          <w:sz w:val="24"/>
          <w:szCs w:val="24"/>
          <w:lang w:eastAsia="en-GB"/>
        </w:rPr>
        <w:t>? Of course not. As Pete is in Paris at the time of the accident – hundreds of miles from the zone of danger – he clearly cannot be a primary victim. As the answer here is straightforward you should not spend long discussing it – identify the relevant law, discuss it and then move on. Extended discussions of law which is plainly irrelevant or straightforward is not only a waste of time - it simply draws attention to the fact that you cannot distinguish the relevant from the irrelevant. Just as being dogmatic in asserting the law is X when it is arguably Y is wrong, it is equally so to assert the position is debatable when in fact the law is clear. </w:t>
      </w:r>
    </w:p>
    <w:p w14:paraId="2A2AE6D3"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The key issue here is whether Pete meets the criteria in order to be classed as a </w:t>
      </w:r>
      <w:r w:rsidRPr="00CA6A82">
        <w:rPr>
          <w:rFonts w:ascii="&amp;quot" w:eastAsia="Times New Roman" w:hAnsi="&amp;quot" w:cs="Times New Roman"/>
          <w:b/>
          <w:bCs/>
          <w:color w:val="3F4D5D"/>
          <w:sz w:val="24"/>
          <w:szCs w:val="24"/>
          <w:lang w:eastAsia="en-GB"/>
        </w:rPr>
        <w:t>secondary victim</w:t>
      </w:r>
      <w:r w:rsidRPr="00CA6A82">
        <w:rPr>
          <w:rFonts w:ascii="&amp;quot" w:eastAsia="Times New Roman" w:hAnsi="&amp;quot" w:cs="Times New Roman"/>
          <w:color w:val="3F4D5D"/>
          <w:sz w:val="24"/>
          <w:szCs w:val="24"/>
          <w:lang w:eastAsia="en-GB"/>
        </w:rPr>
        <w:t xml:space="preserve">. If you have already outlined the criteria in your discussion of Hannah's claim – refer back to this. There is no need to restate them. As Madeleine's brother, Pete does not have the benefit of the presumption of a close tie of love and affection but may be able to prove them (1).  A common error made by students is to assume that siblings </w:t>
      </w:r>
      <w:r w:rsidRPr="00CA6A82">
        <w:rPr>
          <w:rFonts w:ascii="&amp;quot" w:eastAsia="Times New Roman" w:hAnsi="&amp;quot" w:cs="Times New Roman"/>
          <w:i/>
          <w:iCs/>
          <w:color w:val="3F4D5D"/>
          <w:sz w:val="24"/>
          <w:szCs w:val="24"/>
          <w:lang w:eastAsia="en-GB"/>
        </w:rPr>
        <w:t>cannot</w:t>
      </w:r>
      <w:r w:rsidRPr="00CA6A82">
        <w:rPr>
          <w:rFonts w:ascii="&amp;quot" w:eastAsia="Times New Roman" w:hAnsi="&amp;quot" w:cs="Times New Roman"/>
          <w:color w:val="3F4D5D"/>
          <w:sz w:val="24"/>
          <w:szCs w:val="24"/>
          <w:lang w:eastAsia="en-GB"/>
        </w:rPr>
        <w:t xml:space="preserve"> claim in negligence for psychiatric injury. Just because there is no </w:t>
      </w:r>
      <w:r w:rsidRPr="00CA6A82">
        <w:rPr>
          <w:rFonts w:ascii="&amp;quot" w:eastAsia="Times New Roman" w:hAnsi="&amp;quot" w:cs="Times New Roman"/>
          <w:i/>
          <w:iCs/>
          <w:color w:val="3F4D5D"/>
          <w:sz w:val="24"/>
          <w:szCs w:val="24"/>
          <w:lang w:eastAsia="en-GB"/>
        </w:rPr>
        <w:t>presumption</w:t>
      </w:r>
      <w:r w:rsidRPr="00CA6A82">
        <w:rPr>
          <w:rFonts w:ascii="&amp;quot" w:eastAsia="Times New Roman" w:hAnsi="&amp;quot" w:cs="Times New Roman"/>
          <w:color w:val="3F4D5D"/>
          <w:sz w:val="24"/>
          <w:szCs w:val="24"/>
          <w:lang w:eastAsia="en-GB"/>
        </w:rPr>
        <w:t xml:space="preserve"> of a close tie of love and affection does not mean that there is not one, it simply means that the claimant has to show that there is one.</w:t>
      </w:r>
    </w:p>
    <w:p w14:paraId="4AE607EA"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(2) In any event the fact that he is in Paris at the time of the explosion means that Pete is likely to be too far away to meet the criterion of 'proximity' and 'shock' (2 &amp; 3). That said, does Pete happen upon the immediate aftermath of the event? Pete would have to show that he encountered the 'immediate aftermath' of the incident. In </w:t>
      </w:r>
      <w:r w:rsidRPr="00CA6A82">
        <w:rPr>
          <w:rFonts w:ascii="&amp;quot" w:eastAsia="Times New Roman" w:hAnsi="&amp;quot" w:cs="Times New Roman"/>
          <w:i/>
          <w:iCs/>
          <w:color w:val="3F4D5D"/>
          <w:sz w:val="24"/>
          <w:szCs w:val="24"/>
          <w:lang w:eastAsia="en-GB"/>
        </w:rPr>
        <w:t>McLoughlin</w:t>
      </w:r>
      <w:r w:rsidRPr="00CA6A82">
        <w:rPr>
          <w:rFonts w:ascii="&amp;quot" w:eastAsia="Times New Roman" w:hAnsi="&amp;quot" w:cs="Times New Roman"/>
          <w:color w:val="3F4D5D"/>
          <w:sz w:val="24"/>
          <w:szCs w:val="24"/>
          <w:lang w:eastAsia="en-GB"/>
        </w:rPr>
        <w:t xml:space="preserve"> </w:t>
      </w:r>
      <w:r w:rsidRPr="00CA6A82">
        <w:rPr>
          <w:rFonts w:ascii="&amp;quot" w:eastAsia="Times New Roman" w:hAnsi="&amp;quot" w:cs="Times New Roman"/>
          <w:i/>
          <w:iCs/>
          <w:color w:val="3F4D5D"/>
          <w:sz w:val="24"/>
          <w:szCs w:val="24"/>
          <w:lang w:eastAsia="en-GB"/>
        </w:rPr>
        <w:t xml:space="preserve">v </w:t>
      </w:r>
      <w:r w:rsidRPr="00CA6A82">
        <w:rPr>
          <w:rFonts w:ascii="&amp;quot" w:eastAsia="Times New Roman" w:hAnsi="&amp;quot" w:cs="Times New Roman"/>
          <w:i/>
          <w:iCs/>
          <w:color w:val="3F4D5D"/>
          <w:sz w:val="24"/>
          <w:szCs w:val="24"/>
          <w:lang w:eastAsia="en-GB"/>
        </w:rPr>
        <w:lastRenderedPageBreak/>
        <w:t xml:space="preserve">O'Brian </w:t>
      </w:r>
      <w:r w:rsidRPr="00CA6A82">
        <w:rPr>
          <w:rFonts w:ascii="&amp;quot" w:eastAsia="Times New Roman" w:hAnsi="&amp;quot" w:cs="Times New Roman"/>
          <w:color w:val="3F4D5D"/>
          <w:sz w:val="24"/>
          <w:szCs w:val="24"/>
          <w:lang w:eastAsia="en-GB"/>
        </w:rPr>
        <w:t xml:space="preserve">[1982], Mrs McLoughlin arriving at the hospital 2 hours after the accident and finding her family in a similar state to that encountered by Pete was able to establish that she had happened upon the immediate aftermath, in </w:t>
      </w:r>
      <w:proofErr w:type="spellStart"/>
      <w:r w:rsidRPr="00CA6A82">
        <w:rPr>
          <w:rFonts w:ascii="&amp;quot" w:eastAsia="Times New Roman" w:hAnsi="&amp;quot" w:cs="Times New Roman"/>
          <w:b/>
          <w:bCs/>
          <w:i/>
          <w:iCs/>
          <w:color w:val="3F4D5D"/>
          <w:sz w:val="24"/>
          <w:szCs w:val="24"/>
          <w:lang w:eastAsia="en-GB"/>
        </w:rPr>
        <w:t>Alcock</w:t>
      </w:r>
      <w:proofErr w:type="spellEnd"/>
      <w:r w:rsidRPr="00CA6A82">
        <w:rPr>
          <w:rFonts w:ascii="&amp;quot" w:eastAsia="Times New Roman" w:hAnsi="&amp;quot" w:cs="Times New Roman"/>
          <w:color w:val="3F4D5D"/>
          <w:sz w:val="24"/>
          <w:szCs w:val="24"/>
          <w:lang w:eastAsia="en-GB"/>
        </w:rPr>
        <w:t xml:space="preserve">, friends and family members arriving nine hours after the accident (albeit as quickly as they could) were unable to recover. Again, you need state the legal issue and consider which way this is likely to go </w:t>
      </w:r>
      <w:r w:rsidRPr="00CA6A82">
        <w:rPr>
          <w:rFonts w:ascii="&amp;quot" w:eastAsia="Times New Roman" w:hAnsi="&amp;quot" w:cs="Times New Roman"/>
          <w:i/>
          <w:iCs/>
          <w:color w:val="3F4D5D"/>
          <w:sz w:val="24"/>
          <w:szCs w:val="24"/>
          <w:lang w:eastAsia="en-GB"/>
        </w:rPr>
        <w:t>on the facts given</w:t>
      </w:r>
      <w:r w:rsidRPr="00CA6A82">
        <w:rPr>
          <w:rFonts w:ascii="&amp;quot" w:eastAsia="Times New Roman" w:hAnsi="&amp;quot" w:cs="Times New Roman"/>
          <w:color w:val="3F4D5D"/>
          <w:sz w:val="24"/>
          <w:szCs w:val="24"/>
          <w:lang w:eastAsia="en-GB"/>
        </w:rPr>
        <w:t xml:space="preserve">. It is worth noting for a time the courts appeared to be quite generous when determining the extent of the immediate aftermath. In </w:t>
      </w:r>
      <w:r w:rsidRPr="00CA6A82">
        <w:rPr>
          <w:rFonts w:ascii="&amp;quot" w:eastAsia="Times New Roman" w:hAnsi="&amp;quot" w:cs="Times New Roman"/>
          <w:i/>
          <w:iCs/>
          <w:color w:val="3F4D5D"/>
          <w:sz w:val="24"/>
          <w:szCs w:val="24"/>
          <w:lang w:eastAsia="en-GB"/>
        </w:rPr>
        <w:t xml:space="preserve">Galli-Atkinson v </w:t>
      </w:r>
      <w:proofErr w:type="spellStart"/>
      <w:r w:rsidRPr="00CA6A82">
        <w:rPr>
          <w:rFonts w:ascii="&amp;quot" w:eastAsia="Times New Roman" w:hAnsi="&amp;quot" w:cs="Times New Roman"/>
          <w:i/>
          <w:iCs/>
          <w:color w:val="3F4D5D"/>
          <w:sz w:val="24"/>
          <w:szCs w:val="24"/>
          <w:lang w:eastAsia="en-GB"/>
        </w:rPr>
        <w:t>Seghal</w:t>
      </w:r>
      <w:proofErr w:type="spellEnd"/>
      <w:r w:rsidRPr="00CA6A82">
        <w:rPr>
          <w:rFonts w:ascii="&amp;quot" w:eastAsia="Times New Roman" w:hAnsi="&amp;quot" w:cs="Times New Roman"/>
          <w:color w:val="3F4D5D"/>
          <w:sz w:val="24"/>
          <w:szCs w:val="24"/>
          <w:lang w:eastAsia="en-GB"/>
        </w:rPr>
        <w:t xml:space="preserve"> [2003], for example, the Court of Appeal allowed a mother's claim for psychiatric harm following the death of her daughter in a road traffic accident on the basis that the aftermath of an accident could be viewed as being made up of different component parts in particular the mother's visit to the scene of the accident, and the hospital morgue. Although this case is not directly analogous to Pete's situation as presumably he will go straight to the hospital and he is Madeleine's brother, not parent. However, this should now be read in light of </w:t>
      </w:r>
      <w:r w:rsidRPr="00CA6A82">
        <w:rPr>
          <w:rFonts w:ascii="&amp;quot" w:eastAsia="Times New Roman" w:hAnsi="&amp;quot" w:cs="Times New Roman"/>
          <w:i/>
          <w:iCs/>
          <w:color w:val="3F4D5D"/>
          <w:sz w:val="24"/>
          <w:szCs w:val="24"/>
          <w:lang w:eastAsia="en-GB"/>
        </w:rPr>
        <w:t xml:space="preserve">Berisha </w:t>
      </w:r>
      <w:r w:rsidRPr="00CA6A82">
        <w:rPr>
          <w:rFonts w:ascii="&amp;quot" w:eastAsia="Times New Roman" w:hAnsi="&amp;quot" w:cs="Times New Roman"/>
          <w:color w:val="3F4D5D"/>
          <w:sz w:val="24"/>
          <w:szCs w:val="24"/>
          <w:lang w:eastAsia="en-GB"/>
        </w:rPr>
        <w:t xml:space="preserve">v </w:t>
      </w:r>
      <w:r w:rsidRPr="00CA6A82">
        <w:rPr>
          <w:rFonts w:ascii="&amp;quot" w:eastAsia="Times New Roman" w:hAnsi="&amp;quot" w:cs="Times New Roman"/>
          <w:i/>
          <w:iCs/>
          <w:color w:val="3F4D5D"/>
          <w:sz w:val="24"/>
          <w:szCs w:val="24"/>
          <w:lang w:eastAsia="en-GB"/>
        </w:rPr>
        <w:t xml:space="preserve">Stone Superstore Ltd </w:t>
      </w:r>
      <w:r w:rsidRPr="00CA6A82">
        <w:rPr>
          <w:rFonts w:ascii="&amp;quot" w:eastAsia="Times New Roman" w:hAnsi="&amp;quot" w:cs="Times New Roman"/>
          <w:color w:val="3F4D5D"/>
          <w:sz w:val="24"/>
          <w:szCs w:val="24"/>
          <w:lang w:eastAsia="en-GB"/>
        </w:rPr>
        <w:t xml:space="preserve">[2014] and </w:t>
      </w:r>
      <w:r w:rsidRPr="00CA6A82">
        <w:rPr>
          <w:rFonts w:ascii="&amp;quot" w:eastAsia="Times New Roman" w:hAnsi="&amp;quot" w:cs="Times New Roman"/>
          <w:b/>
          <w:bCs/>
          <w:i/>
          <w:iCs/>
          <w:color w:val="3F4D5D"/>
          <w:sz w:val="24"/>
          <w:szCs w:val="24"/>
          <w:lang w:eastAsia="en-GB"/>
        </w:rPr>
        <w:t xml:space="preserve">Liverpool Women’s Hospital NHS Foundation Trust </w:t>
      </w:r>
      <w:r w:rsidRPr="00CA6A82">
        <w:rPr>
          <w:rFonts w:ascii="&amp;quot" w:eastAsia="Times New Roman" w:hAnsi="&amp;quot" w:cs="Times New Roman"/>
          <w:b/>
          <w:bCs/>
          <w:color w:val="3F4D5D"/>
          <w:sz w:val="24"/>
          <w:szCs w:val="24"/>
          <w:lang w:eastAsia="en-GB"/>
        </w:rPr>
        <w:t xml:space="preserve">v </w:t>
      </w:r>
      <w:proofErr w:type="spellStart"/>
      <w:r w:rsidRPr="00CA6A82">
        <w:rPr>
          <w:rFonts w:ascii="&amp;quot" w:eastAsia="Times New Roman" w:hAnsi="&amp;quot" w:cs="Times New Roman"/>
          <w:b/>
          <w:bCs/>
          <w:i/>
          <w:iCs/>
          <w:color w:val="3F4D5D"/>
          <w:sz w:val="24"/>
          <w:szCs w:val="24"/>
          <w:lang w:eastAsia="en-GB"/>
        </w:rPr>
        <w:t>Ronayne</w:t>
      </w:r>
      <w:proofErr w:type="spellEnd"/>
      <w:r w:rsidRPr="00CA6A82">
        <w:rPr>
          <w:rFonts w:ascii="&amp;quot" w:eastAsia="Times New Roman" w:hAnsi="&amp;quot" w:cs="Times New Roman"/>
          <w:b/>
          <w:bCs/>
          <w:i/>
          <w:iCs/>
          <w:color w:val="3F4D5D"/>
          <w:sz w:val="24"/>
          <w:szCs w:val="24"/>
          <w:lang w:eastAsia="en-GB"/>
        </w:rPr>
        <w:t xml:space="preserve"> </w:t>
      </w:r>
      <w:r w:rsidRPr="00CA6A82">
        <w:rPr>
          <w:rFonts w:ascii="&amp;quot" w:eastAsia="Times New Roman" w:hAnsi="&amp;quot" w:cs="Times New Roman"/>
          <w:b/>
          <w:bCs/>
          <w:color w:val="3F4D5D"/>
          <w:sz w:val="24"/>
          <w:szCs w:val="24"/>
          <w:lang w:eastAsia="en-GB"/>
        </w:rPr>
        <w:t>[2015]</w:t>
      </w:r>
      <w:r w:rsidRPr="00CA6A82">
        <w:rPr>
          <w:rFonts w:ascii="&amp;quot" w:eastAsia="Times New Roman" w:hAnsi="&amp;quot" w:cs="Times New Roman"/>
          <w:color w:val="3F4D5D"/>
          <w:sz w:val="24"/>
          <w:szCs w:val="24"/>
          <w:lang w:eastAsia="en-GB"/>
        </w:rPr>
        <w:t>.</w:t>
      </w:r>
    </w:p>
    <w:p w14:paraId="75CA7EFC"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(3) The relatives in </w:t>
      </w:r>
      <w:proofErr w:type="spellStart"/>
      <w:r w:rsidRPr="00CA6A82">
        <w:rPr>
          <w:rFonts w:ascii="&amp;quot" w:eastAsia="Times New Roman" w:hAnsi="&amp;quot" w:cs="Times New Roman"/>
          <w:b/>
          <w:bCs/>
          <w:i/>
          <w:iCs/>
          <w:color w:val="3F4D5D"/>
          <w:sz w:val="24"/>
          <w:szCs w:val="24"/>
          <w:lang w:eastAsia="en-GB"/>
        </w:rPr>
        <w:t>Alcock</w:t>
      </w:r>
      <w:r w:rsidRPr="00CA6A82">
        <w:rPr>
          <w:rFonts w:ascii="&amp;quot" w:eastAsia="Times New Roman" w:hAnsi="&amp;quot" w:cs="Times New Roman"/>
          <w:color w:val="3F4D5D"/>
          <w:sz w:val="24"/>
          <w:szCs w:val="24"/>
          <w:lang w:eastAsia="en-GB"/>
        </w:rPr>
        <w:t>who</w:t>
      </w:r>
      <w:proofErr w:type="spellEnd"/>
      <w:r w:rsidRPr="00CA6A82">
        <w:rPr>
          <w:rFonts w:ascii="&amp;quot" w:eastAsia="Times New Roman" w:hAnsi="&amp;quot" w:cs="Times New Roman"/>
          <w:color w:val="3F4D5D"/>
          <w:sz w:val="24"/>
          <w:szCs w:val="24"/>
          <w:lang w:eastAsia="en-GB"/>
        </w:rPr>
        <w:t xml:space="preserve"> were watching the match on television were unable to claim some of whom, like Pete, thought they saw their family member in the crush. Can Pete's claim be distinguished? The possibility that watching a live broadcast could exceptionally ground a claim if it is clear that the victims have died, for example, if a hot air balloon carrying a number of children to explode live on television was left open in </w:t>
      </w:r>
      <w:proofErr w:type="spellStart"/>
      <w:r w:rsidRPr="00CA6A82">
        <w:rPr>
          <w:rFonts w:ascii="&amp;quot" w:eastAsia="Times New Roman" w:hAnsi="&amp;quot" w:cs="Times New Roman"/>
          <w:b/>
          <w:bCs/>
          <w:i/>
          <w:iCs/>
          <w:color w:val="3F4D5D"/>
          <w:sz w:val="24"/>
          <w:szCs w:val="24"/>
          <w:lang w:eastAsia="en-GB"/>
        </w:rPr>
        <w:t>Alcock</w:t>
      </w:r>
      <w:proofErr w:type="spellEnd"/>
      <w:r w:rsidRPr="00CA6A82">
        <w:rPr>
          <w:rFonts w:ascii="&amp;quot" w:eastAsia="Times New Roman" w:hAnsi="&amp;quot" w:cs="Times New Roman"/>
          <w:color w:val="3F4D5D"/>
          <w:sz w:val="24"/>
          <w:szCs w:val="24"/>
          <w:lang w:eastAsia="en-GB"/>
        </w:rPr>
        <w:t xml:space="preserve"> – however it is very unlikely that </w:t>
      </w:r>
      <w:r w:rsidRPr="00CA6A82">
        <w:rPr>
          <w:rFonts w:ascii="&amp;quot" w:eastAsia="Times New Roman" w:hAnsi="&amp;quot" w:cs="Times New Roman"/>
          <w:i/>
          <w:iCs/>
          <w:color w:val="3F4D5D"/>
          <w:sz w:val="24"/>
          <w:szCs w:val="24"/>
          <w:lang w:eastAsia="en-GB"/>
        </w:rPr>
        <w:t>hearing</w:t>
      </w:r>
      <w:r w:rsidRPr="00CA6A82">
        <w:rPr>
          <w:rFonts w:ascii="&amp;quot" w:eastAsia="Times New Roman" w:hAnsi="&amp;quot" w:cs="Times New Roman"/>
          <w:color w:val="3F4D5D"/>
          <w:sz w:val="24"/>
          <w:szCs w:val="24"/>
          <w:lang w:eastAsia="en-GB"/>
        </w:rPr>
        <w:t xml:space="preserve"> an explosion on the radio would fall into this category, although the smaller number of people present may make it more likely that Pete </w:t>
      </w:r>
      <w:r w:rsidRPr="00CA6A82">
        <w:rPr>
          <w:rFonts w:ascii="&amp;quot" w:eastAsia="Times New Roman" w:hAnsi="&amp;quot" w:cs="Times New Roman"/>
          <w:i/>
          <w:iCs/>
          <w:color w:val="3F4D5D"/>
          <w:sz w:val="24"/>
          <w:szCs w:val="24"/>
          <w:lang w:eastAsia="en-GB"/>
        </w:rPr>
        <w:t xml:space="preserve">could </w:t>
      </w:r>
      <w:r w:rsidRPr="00CA6A82">
        <w:rPr>
          <w:rFonts w:ascii="&amp;quot" w:eastAsia="Times New Roman" w:hAnsi="&amp;quot" w:cs="Times New Roman"/>
          <w:color w:val="3F4D5D"/>
          <w:sz w:val="24"/>
          <w:szCs w:val="24"/>
          <w:lang w:eastAsia="en-GB"/>
        </w:rPr>
        <w:t>have heard his sister screaming.</w:t>
      </w:r>
    </w:p>
    <w:p w14:paraId="747687B9"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b/>
          <w:bCs/>
          <w:color w:val="3F4D5D"/>
          <w:sz w:val="24"/>
          <w:szCs w:val="24"/>
          <w:lang w:eastAsia="en-GB"/>
        </w:rPr>
        <w:t xml:space="preserve">Lucy </w:t>
      </w:r>
    </w:p>
    <w:p w14:paraId="0241BFEB"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i/>
          <w:iCs/>
          <w:color w:val="3F4D5D"/>
          <w:sz w:val="24"/>
          <w:szCs w:val="24"/>
          <w:lang w:eastAsia="en-GB"/>
        </w:rPr>
        <w:t>Lucy has attended every Blinking Idiot gig in the UK and has travelled to a number of their overseas concerts. She is a founder member of their fan club and regularly contributes to their fan magazine. She always tries to stand as close as possible to the stage. Miraculously she was not hurt by the explosion but has since been overcome with grief.</w:t>
      </w:r>
    </w:p>
    <w:p w14:paraId="2F6C49A7"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Lucy's claim fails at the first hurdle. She is not suffering from a recognised psychiatric illness. Mere grief is insufficient to found a claim (</w:t>
      </w:r>
      <w:proofErr w:type="spellStart"/>
      <w:r w:rsidRPr="00CA6A82">
        <w:rPr>
          <w:rFonts w:ascii="&amp;quot" w:eastAsia="Times New Roman" w:hAnsi="&amp;quot" w:cs="Times New Roman"/>
          <w:i/>
          <w:iCs/>
          <w:color w:val="3F4D5D"/>
          <w:sz w:val="24"/>
          <w:szCs w:val="24"/>
          <w:lang w:eastAsia="en-GB"/>
        </w:rPr>
        <w:t>Hinz</w:t>
      </w:r>
      <w:proofErr w:type="spellEnd"/>
      <w:r w:rsidRPr="00CA6A82">
        <w:rPr>
          <w:rFonts w:ascii="&amp;quot" w:eastAsia="Times New Roman" w:hAnsi="&amp;quot" w:cs="Times New Roman"/>
          <w:i/>
          <w:iCs/>
          <w:color w:val="3F4D5D"/>
          <w:sz w:val="24"/>
          <w:szCs w:val="24"/>
          <w:lang w:eastAsia="en-GB"/>
        </w:rPr>
        <w:t xml:space="preserve"> v Berry</w:t>
      </w:r>
      <w:r w:rsidRPr="00CA6A82">
        <w:rPr>
          <w:rFonts w:ascii="&amp;quot" w:eastAsia="Times New Roman" w:hAnsi="&amp;quot" w:cs="Times New Roman"/>
          <w:color w:val="3F4D5D"/>
          <w:sz w:val="24"/>
          <w:szCs w:val="24"/>
          <w:lang w:eastAsia="en-GB"/>
        </w:rPr>
        <w:t xml:space="preserve"> [1970]).</w:t>
      </w:r>
    </w:p>
    <w:p w14:paraId="685256BF"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However, it is worth noting – in passing – that she otherwise satisfies the requirements to be a</w:t>
      </w:r>
      <w:r w:rsidRPr="00CA6A82">
        <w:rPr>
          <w:rFonts w:ascii="&amp;quot" w:eastAsia="Times New Roman" w:hAnsi="&amp;quot" w:cs="Times New Roman"/>
          <w:b/>
          <w:bCs/>
          <w:color w:val="3F4D5D"/>
          <w:sz w:val="24"/>
          <w:szCs w:val="24"/>
          <w:lang w:eastAsia="en-GB"/>
        </w:rPr>
        <w:t xml:space="preserve"> primary victim</w:t>
      </w:r>
      <w:r w:rsidRPr="00CA6A82">
        <w:rPr>
          <w:rFonts w:ascii="&amp;quot" w:eastAsia="Times New Roman" w:hAnsi="&amp;quot" w:cs="Times New Roman"/>
          <w:color w:val="3F4D5D"/>
          <w:sz w:val="24"/>
          <w:szCs w:val="24"/>
          <w:lang w:eastAsia="en-GB"/>
        </w:rPr>
        <w:t>. You are told that she 'tries to stand as close as possible to the stage' and so can assume that she was close enough to be at risk of physical injury (</w:t>
      </w:r>
      <w:r w:rsidRPr="00CA6A82">
        <w:rPr>
          <w:rFonts w:ascii="&amp;quot" w:eastAsia="Times New Roman" w:hAnsi="&amp;quot" w:cs="Times New Roman"/>
          <w:b/>
          <w:bCs/>
          <w:i/>
          <w:iCs/>
          <w:color w:val="3F4D5D"/>
          <w:sz w:val="24"/>
          <w:szCs w:val="24"/>
          <w:lang w:eastAsia="en-GB"/>
        </w:rPr>
        <w:t>Page v Smith</w:t>
      </w:r>
      <w:r w:rsidRPr="00CA6A82">
        <w:rPr>
          <w:rFonts w:ascii="&amp;quot" w:eastAsia="Times New Roman" w:hAnsi="&amp;quot" w:cs="Times New Roman"/>
          <w:b/>
          <w:bCs/>
          <w:color w:val="3F4D5D"/>
          <w:sz w:val="24"/>
          <w:szCs w:val="24"/>
          <w:lang w:eastAsia="en-GB"/>
        </w:rPr>
        <w:t xml:space="preserve"> [1996]</w:t>
      </w:r>
      <w:r w:rsidRPr="00CA6A82">
        <w:rPr>
          <w:rFonts w:ascii="&amp;quot" w:eastAsia="Times New Roman" w:hAnsi="&amp;quot" w:cs="Times New Roman"/>
          <w:color w:val="3F4D5D"/>
          <w:sz w:val="24"/>
          <w:szCs w:val="24"/>
          <w:lang w:eastAsia="en-GB"/>
        </w:rPr>
        <w:t>).</w:t>
      </w:r>
    </w:p>
    <w:p w14:paraId="39D6CE61"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Any discussion of Lucy's potential claim as a </w:t>
      </w:r>
      <w:r w:rsidRPr="00CA6A82">
        <w:rPr>
          <w:rFonts w:ascii="&amp;quot" w:eastAsia="Times New Roman" w:hAnsi="&amp;quot" w:cs="Times New Roman"/>
          <w:b/>
          <w:bCs/>
          <w:color w:val="3F4D5D"/>
          <w:sz w:val="24"/>
          <w:szCs w:val="24"/>
          <w:lang w:eastAsia="en-GB"/>
        </w:rPr>
        <w:t>secondary victim</w:t>
      </w:r>
      <w:r w:rsidRPr="00CA6A82">
        <w:rPr>
          <w:rFonts w:ascii="&amp;quot" w:eastAsia="Times New Roman" w:hAnsi="&amp;quot" w:cs="Times New Roman"/>
          <w:color w:val="3F4D5D"/>
          <w:sz w:val="24"/>
          <w:szCs w:val="24"/>
          <w:lang w:eastAsia="en-GB"/>
        </w:rPr>
        <w:t xml:space="preserve"> is largely academic and, as such, should be minimal. It should focus on her inability to meet the first hurdle (close ties of love and affection) albeit while satisfying hurdles 2 &amp; 3 (proximity and shock).</w:t>
      </w:r>
    </w:p>
    <w:p w14:paraId="00B835C9"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b/>
          <w:bCs/>
          <w:color w:val="3F4D5D"/>
          <w:sz w:val="24"/>
          <w:szCs w:val="24"/>
          <w:lang w:eastAsia="en-GB"/>
        </w:rPr>
        <w:t>Tim</w:t>
      </w:r>
    </w:p>
    <w:p w14:paraId="35F40BA1"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i/>
          <w:iCs/>
          <w:color w:val="3F4D5D"/>
          <w:sz w:val="24"/>
          <w:szCs w:val="24"/>
          <w:lang w:eastAsia="en-GB"/>
        </w:rPr>
        <w:t xml:space="preserve">Tim was one of the first on the scene. He is a trainee ambulance man and this was his first major incident. He rushes to the stage but quickly sees that there is little he can do. He </w:t>
      </w:r>
      <w:r w:rsidRPr="00CA6A82">
        <w:rPr>
          <w:rFonts w:ascii="&amp;quot" w:eastAsia="Times New Roman" w:hAnsi="&amp;quot" w:cs="Times New Roman"/>
          <w:i/>
          <w:iCs/>
          <w:color w:val="3F4D5D"/>
          <w:sz w:val="24"/>
          <w:szCs w:val="24"/>
          <w:lang w:eastAsia="en-GB"/>
        </w:rPr>
        <w:lastRenderedPageBreak/>
        <w:t>spends the next two hours comforting distraught fans. He later suffers from recurring nightmares and panic attacks.</w:t>
      </w:r>
    </w:p>
    <w:p w14:paraId="6E6EEE63"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Although Tim is a 'rescuer', following the decision of the House of Lords in </w:t>
      </w:r>
      <w:r w:rsidRPr="00CA6A82">
        <w:rPr>
          <w:rFonts w:ascii="&amp;quot" w:eastAsia="Times New Roman" w:hAnsi="&amp;quot" w:cs="Times New Roman"/>
          <w:b/>
          <w:bCs/>
          <w:i/>
          <w:iCs/>
          <w:color w:val="3F4D5D"/>
          <w:sz w:val="24"/>
          <w:szCs w:val="24"/>
          <w:lang w:eastAsia="en-GB"/>
        </w:rPr>
        <w:t xml:space="preserve">White v Chief Constable of South Yorkshire Police </w:t>
      </w:r>
      <w:r w:rsidRPr="00CA6A82">
        <w:rPr>
          <w:rFonts w:ascii="&amp;quot" w:eastAsia="Times New Roman" w:hAnsi="&amp;quot" w:cs="Times New Roman"/>
          <w:b/>
          <w:bCs/>
          <w:color w:val="3F4D5D"/>
          <w:sz w:val="24"/>
          <w:szCs w:val="24"/>
          <w:lang w:eastAsia="en-GB"/>
        </w:rPr>
        <w:t>[1998]</w:t>
      </w:r>
      <w:r w:rsidRPr="00CA6A82">
        <w:rPr>
          <w:rFonts w:ascii="&amp;quot" w:eastAsia="Times New Roman" w:hAnsi="&amp;quot" w:cs="Times New Roman"/>
          <w:color w:val="3F4D5D"/>
          <w:sz w:val="24"/>
          <w:szCs w:val="24"/>
          <w:lang w:eastAsia="en-GB"/>
        </w:rPr>
        <w:t>, this makes no difference to the detail his claim. Tim has to meet the primary or secondary victim requirements in order for his claim to be successful.</w:t>
      </w:r>
    </w:p>
    <w:p w14:paraId="30BC3B89"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Is he a </w:t>
      </w:r>
      <w:r w:rsidRPr="00CA6A82">
        <w:rPr>
          <w:rFonts w:ascii="&amp;quot" w:eastAsia="Times New Roman" w:hAnsi="&amp;quot" w:cs="Times New Roman"/>
          <w:b/>
          <w:bCs/>
          <w:color w:val="3F4D5D"/>
          <w:sz w:val="24"/>
          <w:szCs w:val="24"/>
          <w:lang w:eastAsia="en-GB"/>
        </w:rPr>
        <w:t>primary victim</w:t>
      </w:r>
      <w:r w:rsidRPr="00CA6A82">
        <w:rPr>
          <w:rFonts w:ascii="&amp;quot" w:eastAsia="Times New Roman" w:hAnsi="&amp;quot" w:cs="Times New Roman"/>
          <w:color w:val="3F4D5D"/>
          <w:sz w:val="24"/>
          <w:szCs w:val="24"/>
          <w:lang w:eastAsia="en-GB"/>
        </w:rPr>
        <w:t xml:space="preserve">? Assuming that his 'nightmares and panic attacks' are symptoms of a recognised psychiatric illness – he then needs to establish that he was in the 'zone of danger'. On the facts as given, he is never in physical danger. Nor is he a </w:t>
      </w:r>
      <w:r w:rsidRPr="00CA6A82">
        <w:rPr>
          <w:rFonts w:ascii="&amp;quot" w:eastAsia="Times New Roman" w:hAnsi="&amp;quot" w:cs="Times New Roman"/>
          <w:b/>
          <w:bCs/>
          <w:color w:val="3F4D5D"/>
          <w:sz w:val="24"/>
          <w:szCs w:val="24"/>
          <w:lang w:eastAsia="en-GB"/>
        </w:rPr>
        <w:t>secondary victim</w:t>
      </w:r>
      <w:r w:rsidRPr="00CA6A82">
        <w:rPr>
          <w:rFonts w:ascii="&amp;quot" w:eastAsia="Times New Roman" w:hAnsi="&amp;quot" w:cs="Times New Roman"/>
          <w:color w:val="3F4D5D"/>
          <w:sz w:val="24"/>
          <w:szCs w:val="24"/>
          <w:lang w:eastAsia="en-GB"/>
        </w:rPr>
        <w:t>. The discussion of both these issues can be relatively brief here. You will have discussed them in full, above, and so all you need to show is that you are aware of the application of the legal issues in relation Tim's claim.</w:t>
      </w:r>
    </w:p>
    <w:p w14:paraId="4044BC14"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However, the reasoning in </w:t>
      </w:r>
      <w:r w:rsidRPr="00CA6A82">
        <w:rPr>
          <w:rFonts w:ascii="&amp;quot" w:eastAsia="Times New Roman" w:hAnsi="&amp;quot" w:cs="Times New Roman"/>
          <w:i/>
          <w:iCs/>
          <w:color w:val="3F4D5D"/>
          <w:sz w:val="24"/>
          <w:szCs w:val="24"/>
          <w:lang w:eastAsia="en-GB"/>
        </w:rPr>
        <w:t xml:space="preserve">White </w:t>
      </w:r>
      <w:r w:rsidRPr="00CA6A82">
        <w:rPr>
          <w:rFonts w:ascii="&amp;quot" w:eastAsia="Times New Roman" w:hAnsi="&amp;quot" w:cs="Times New Roman"/>
          <w:color w:val="3F4D5D"/>
          <w:sz w:val="24"/>
          <w:szCs w:val="24"/>
          <w:lang w:eastAsia="en-GB"/>
        </w:rPr>
        <w:t xml:space="preserve">could be distinguished on the basis that it is applicable only to 'professional' rescuers case (section 5.7.1). If so, </w:t>
      </w:r>
      <w:r w:rsidRPr="00CA6A82">
        <w:rPr>
          <w:rFonts w:ascii="&amp;quot" w:eastAsia="Times New Roman" w:hAnsi="&amp;quot" w:cs="Times New Roman"/>
          <w:i/>
          <w:iCs/>
          <w:color w:val="3F4D5D"/>
          <w:sz w:val="24"/>
          <w:szCs w:val="24"/>
          <w:lang w:eastAsia="en-GB"/>
        </w:rPr>
        <w:t xml:space="preserve">Chadwick v British Railways Board </w:t>
      </w:r>
      <w:r w:rsidRPr="00CA6A82">
        <w:rPr>
          <w:rFonts w:ascii="&amp;quot" w:eastAsia="Times New Roman" w:hAnsi="&amp;quot" w:cs="Times New Roman"/>
          <w:color w:val="3F4D5D"/>
          <w:sz w:val="24"/>
          <w:szCs w:val="24"/>
          <w:lang w:eastAsia="en-GB"/>
        </w:rPr>
        <w:t xml:space="preserve">[1967] might apply. This is a contentious (and weak) argument – rejected by both the Court of Appeal and House of Lords in </w:t>
      </w:r>
      <w:r w:rsidRPr="00CA6A82">
        <w:rPr>
          <w:rFonts w:ascii="&amp;quot" w:eastAsia="Times New Roman" w:hAnsi="&amp;quot" w:cs="Times New Roman"/>
          <w:i/>
          <w:iCs/>
          <w:color w:val="3F4D5D"/>
          <w:sz w:val="24"/>
          <w:szCs w:val="24"/>
          <w:lang w:eastAsia="en-GB"/>
        </w:rPr>
        <w:t>White</w:t>
      </w:r>
      <w:r w:rsidRPr="00CA6A82">
        <w:rPr>
          <w:rFonts w:ascii="&amp;quot" w:eastAsia="Times New Roman" w:hAnsi="&amp;quot" w:cs="Times New Roman"/>
          <w:color w:val="3F4D5D"/>
          <w:sz w:val="24"/>
          <w:szCs w:val="24"/>
          <w:lang w:eastAsia="en-GB"/>
        </w:rPr>
        <w:t xml:space="preserve"> – and must be acknowledged as such. Be explicit about the nature of any uncertainty, and by all means offer a tentative view on how a future court might resolve the case. The key issue is whether Tim is a professional (although he's an ambulance man it's his first time), if not his claim could be successful according to the principles in </w:t>
      </w:r>
      <w:r w:rsidRPr="00CA6A82">
        <w:rPr>
          <w:rFonts w:ascii="&amp;quot" w:eastAsia="Times New Roman" w:hAnsi="&amp;quot" w:cs="Times New Roman"/>
          <w:i/>
          <w:iCs/>
          <w:color w:val="3F4D5D"/>
          <w:sz w:val="24"/>
          <w:szCs w:val="24"/>
          <w:lang w:eastAsia="en-GB"/>
        </w:rPr>
        <w:t>Chadwick</w:t>
      </w:r>
      <w:r w:rsidRPr="00CA6A82">
        <w:rPr>
          <w:rFonts w:ascii="&amp;quot" w:eastAsia="Times New Roman" w:hAnsi="&amp;quot" w:cs="Times New Roman"/>
          <w:color w:val="3F4D5D"/>
          <w:sz w:val="24"/>
          <w:szCs w:val="24"/>
          <w:lang w:eastAsia="en-GB"/>
        </w:rPr>
        <w:t>.</w:t>
      </w:r>
    </w:p>
    <w:p w14:paraId="27F025C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b/>
          <w:bCs/>
          <w:color w:val="3F4D5D"/>
          <w:sz w:val="24"/>
          <w:szCs w:val="24"/>
          <w:lang w:eastAsia="en-GB"/>
        </w:rPr>
        <w:t>Stuart</w:t>
      </w:r>
    </w:p>
    <w:p w14:paraId="42E62D51"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i/>
          <w:iCs/>
          <w:color w:val="3F4D5D"/>
          <w:sz w:val="24"/>
          <w:szCs w:val="24"/>
          <w:lang w:eastAsia="en-GB"/>
        </w:rPr>
        <w:t>Stuart, one of the roadies, is overcome with feelings of guilt and depression. It was his job to fix the lighting and he feels the explosion was his fault. A subsequent investigation completely exonerates him.</w:t>
      </w:r>
    </w:p>
    <w:p w14:paraId="1365571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Stuart's potential claim is included here to allow you to discuss those claims which fall outside the primary and secondary victim categorisation. Stuart is </w:t>
      </w:r>
      <w:r w:rsidRPr="00CA6A82">
        <w:rPr>
          <w:rFonts w:ascii="&amp;quot" w:eastAsia="Times New Roman" w:hAnsi="&amp;quot" w:cs="Times New Roman"/>
          <w:b/>
          <w:bCs/>
          <w:color w:val="3F4D5D"/>
          <w:sz w:val="24"/>
          <w:szCs w:val="24"/>
          <w:lang w:eastAsia="en-GB"/>
        </w:rPr>
        <w:t>an involuntary participant</w:t>
      </w:r>
      <w:r w:rsidRPr="00CA6A82">
        <w:rPr>
          <w:rFonts w:ascii="&amp;quot" w:eastAsia="Times New Roman" w:hAnsi="&amp;quot" w:cs="Times New Roman"/>
          <w:color w:val="3F4D5D"/>
          <w:sz w:val="24"/>
          <w:szCs w:val="24"/>
          <w:lang w:eastAsia="en-GB"/>
        </w:rPr>
        <w:t xml:space="preserve"> in the incident.</w:t>
      </w:r>
    </w:p>
    <w:p w14:paraId="31CADEF4"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First, Stuart would need to show that his guilt and depression amount to a recognised psychiatric illness (</w:t>
      </w:r>
      <w:proofErr w:type="spellStart"/>
      <w:r w:rsidRPr="00CA6A82">
        <w:rPr>
          <w:rFonts w:ascii="&amp;quot" w:eastAsia="Times New Roman" w:hAnsi="&amp;quot" w:cs="Times New Roman"/>
          <w:i/>
          <w:iCs/>
          <w:color w:val="3F4D5D"/>
          <w:sz w:val="24"/>
          <w:szCs w:val="24"/>
          <w:lang w:eastAsia="en-GB"/>
        </w:rPr>
        <w:t>Hinz</w:t>
      </w:r>
      <w:proofErr w:type="spellEnd"/>
      <w:r w:rsidRPr="00CA6A82">
        <w:rPr>
          <w:rFonts w:ascii="&amp;quot" w:eastAsia="Times New Roman" w:hAnsi="&amp;quot" w:cs="Times New Roman"/>
          <w:i/>
          <w:iCs/>
          <w:color w:val="3F4D5D"/>
          <w:sz w:val="24"/>
          <w:szCs w:val="24"/>
          <w:lang w:eastAsia="en-GB"/>
        </w:rPr>
        <w:t xml:space="preserve"> v Berry</w:t>
      </w:r>
      <w:r w:rsidRPr="00CA6A82">
        <w:rPr>
          <w:rFonts w:ascii="&amp;quot" w:eastAsia="Times New Roman" w:hAnsi="&amp;quot" w:cs="Times New Roman"/>
          <w:color w:val="3F4D5D"/>
          <w:sz w:val="24"/>
          <w:szCs w:val="24"/>
          <w:lang w:eastAsia="en-GB"/>
        </w:rPr>
        <w:t xml:space="preserve"> [1970]).</w:t>
      </w:r>
    </w:p>
    <w:p w14:paraId="4ED80910"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An application of the reasoning in </w:t>
      </w:r>
      <w:r w:rsidRPr="00CA6A82">
        <w:rPr>
          <w:rFonts w:ascii="&amp;quot" w:eastAsia="Times New Roman" w:hAnsi="&amp;quot" w:cs="Times New Roman"/>
          <w:b/>
          <w:bCs/>
          <w:i/>
          <w:iCs/>
          <w:color w:val="3F4D5D"/>
          <w:sz w:val="24"/>
          <w:szCs w:val="24"/>
          <w:lang w:eastAsia="en-GB"/>
        </w:rPr>
        <w:t xml:space="preserve">Dooley v </w:t>
      </w:r>
      <w:proofErr w:type="spellStart"/>
      <w:r w:rsidRPr="00CA6A82">
        <w:rPr>
          <w:rFonts w:ascii="&amp;quot" w:eastAsia="Times New Roman" w:hAnsi="&amp;quot" w:cs="Times New Roman"/>
          <w:b/>
          <w:bCs/>
          <w:i/>
          <w:iCs/>
          <w:color w:val="3F4D5D"/>
          <w:sz w:val="24"/>
          <w:szCs w:val="24"/>
          <w:lang w:eastAsia="en-GB"/>
        </w:rPr>
        <w:t>Cammell</w:t>
      </w:r>
      <w:proofErr w:type="spellEnd"/>
      <w:r w:rsidRPr="00CA6A82">
        <w:rPr>
          <w:rFonts w:ascii="&amp;quot" w:eastAsia="Times New Roman" w:hAnsi="&amp;quot" w:cs="Times New Roman"/>
          <w:b/>
          <w:bCs/>
          <w:i/>
          <w:iCs/>
          <w:color w:val="3F4D5D"/>
          <w:sz w:val="24"/>
          <w:szCs w:val="24"/>
          <w:lang w:eastAsia="en-GB"/>
        </w:rPr>
        <w:t xml:space="preserve"> Laird &amp; Co Ltd</w:t>
      </w:r>
      <w:r w:rsidRPr="00CA6A82">
        <w:rPr>
          <w:rFonts w:ascii="&amp;quot" w:eastAsia="Times New Roman" w:hAnsi="&amp;quot" w:cs="Times New Roman"/>
          <w:b/>
          <w:bCs/>
          <w:color w:val="3F4D5D"/>
          <w:sz w:val="24"/>
          <w:szCs w:val="24"/>
          <w:lang w:eastAsia="en-GB"/>
        </w:rPr>
        <w:t xml:space="preserve"> [1951]</w:t>
      </w:r>
      <w:r w:rsidRPr="00CA6A82">
        <w:rPr>
          <w:rFonts w:ascii="&amp;quot" w:eastAsia="Times New Roman" w:hAnsi="&amp;quot" w:cs="Times New Roman"/>
          <w:color w:val="3F4D5D"/>
          <w:sz w:val="24"/>
          <w:szCs w:val="24"/>
          <w:lang w:eastAsia="en-GB"/>
        </w:rPr>
        <w:t xml:space="preserve"> suggests that Stuart would be able to recover. The claimant in </w:t>
      </w:r>
      <w:r w:rsidRPr="00CA6A82">
        <w:rPr>
          <w:rFonts w:ascii="&amp;quot" w:eastAsia="Times New Roman" w:hAnsi="&amp;quot" w:cs="Times New Roman"/>
          <w:b/>
          <w:bCs/>
          <w:i/>
          <w:iCs/>
          <w:color w:val="3F4D5D"/>
          <w:sz w:val="24"/>
          <w:szCs w:val="24"/>
          <w:lang w:eastAsia="en-GB"/>
        </w:rPr>
        <w:t xml:space="preserve">Dooley </w:t>
      </w:r>
      <w:r w:rsidRPr="00CA6A82">
        <w:rPr>
          <w:rFonts w:ascii="&amp;quot" w:eastAsia="Times New Roman" w:hAnsi="&amp;quot" w:cs="Times New Roman"/>
          <w:color w:val="3F4D5D"/>
          <w:sz w:val="24"/>
          <w:szCs w:val="24"/>
          <w:lang w:eastAsia="en-GB"/>
        </w:rPr>
        <w:t xml:space="preserve">was able to recover on the basis that he </w:t>
      </w:r>
      <w:r w:rsidRPr="00CA6A82">
        <w:rPr>
          <w:rFonts w:ascii="&amp;quot" w:eastAsia="Times New Roman" w:hAnsi="&amp;quot" w:cs="Times New Roman"/>
          <w:i/>
          <w:iCs/>
          <w:color w:val="3F4D5D"/>
          <w:sz w:val="24"/>
          <w:szCs w:val="24"/>
          <w:lang w:eastAsia="en-GB"/>
        </w:rPr>
        <w:t>feared</w:t>
      </w:r>
      <w:r w:rsidRPr="00CA6A82">
        <w:rPr>
          <w:rFonts w:ascii="&amp;quot" w:eastAsia="Times New Roman" w:hAnsi="&amp;quot" w:cs="Times New Roman"/>
          <w:color w:val="3F4D5D"/>
          <w:sz w:val="24"/>
          <w:szCs w:val="24"/>
          <w:lang w:eastAsia="en-GB"/>
        </w:rPr>
        <w:t xml:space="preserve"> his actions had caused injury to others – in Stuart's case this has actually happened. However, the law here is not as straightforward as it might seem. It is important that where legal doubt is identified, you recognise it and look at the relevant case law or statute in detail.  However, this detail is </w:t>
      </w:r>
      <w:r w:rsidRPr="00CA6A82">
        <w:rPr>
          <w:rFonts w:ascii="&amp;quot" w:eastAsia="Times New Roman" w:hAnsi="&amp;quot" w:cs="Times New Roman"/>
          <w:i/>
          <w:iCs/>
          <w:color w:val="3F4D5D"/>
          <w:sz w:val="24"/>
          <w:szCs w:val="24"/>
          <w:lang w:eastAsia="en-GB"/>
        </w:rPr>
        <w:t>selective</w:t>
      </w:r>
      <w:r w:rsidRPr="00CA6A82">
        <w:rPr>
          <w:rFonts w:ascii="&amp;quot" w:eastAsia="Times New Roman" w:hAnsi="&amp;quot" w:cs="Times New Roman"/>
          <w:color w:val="3F4D5D"/>
          <w:sz w:val="24"/>
          <w:szCs w:val="24"/>
          <w:lang w:eastAsia="en-GB"/>
        </w:rPr>
        <w:t xml:space="preserve">: only include facts of a case, legal principles, judicial statements where </w:t>
      </w:r>
      <w:r w:rsidRPr="00CA6A82">
        <w:rPr>
          <w:rFonts w:ascii="&amp;quot" w:eastAsia="Times New Roman" w:hAnsi="&amp;quot" w:cs="Times New Roman"/>
          <w:i/>
          <w:iCs/>
          <w:color w:val="3F4D5D"/>
          <w:sz w:val="24"/>
          <w:szCs w:val="24"/>
          <w:lang w:eastAsia="en-GB"/>
        </w:rPr>
        <w:t>necessary</w:t>
      </w:r>
      <w:r w:rsidRPr="00CA6A82">
        <w:rPr>
          <w:rFonts w:ascii="&amp;quot" w:eastAsia="Times New Roman" w:hAnsi="&amp;quot" w:cs="Times New Roman"/>
          <w:color w:val="3F4D5D"/>
          <w:sz w:val="24"/>
          <w:szCs w:val="24"/>
          <w:lang w:eastAsia="en-GB"/>
        </w:rPr>
        <w:t xml:space="preserve">. In </w:t>
      </w:r>
      <w:r w:rsidRPr="00CA6A82">
        <w:rPr>
          <w:rFonts w:ascii="&amp;quot" w:eastAsia="Times New Roman" w:hAnsi="&amp;quot" w:cs="Times New Roman"/>
          <w:i/>
          <w:iCs/>
          <w:color w:val="3F4D5D"/>
          <w:sz w:val="24"/>
          <w:szCs w:val="24"/>
          <w:lang w:eastAsia="en-GB"/>
        </w:rPr>
        <w:t>Hunter v British Coal Corporation</w:t>
      </w:r>
      <w:r w:rsidRPr="00CA6A82">
        <w:rPr>
          <w:rFonts w:ascii="&amp;quot" w:eastAsia="Times New Roman" w:hAnsi="&amp;quot" w:cs="Times New Roman"/>
          <w:color w:val="3F4D5D"/>
          <w:sz w:val="24"/>
          <w:szCs w:val="24"/>
          <w:lang w:eastAsia="en-GB"/>
        </w:rPr>
        <w:t xml:space="preserve"> [1999] the Court of Appeal distinguished </w:t>
      </w:r>
      <w:r w:rsidRPr="00CA6A82">
        <w:rPr>
          <w:rFonts w:ascii="&amp;quot" w:eastAsia="Times New Roman" w:hAnsi="&amp;quot" w:cs="Times New Roman"/>
          <w:b/>
          <w:bCs/>
          <w:i/>
          <w:iCs/>
          <w:color w:val="3F4D5D"/>
          <w:sz w:val="24"/>
          <w:szCs w:val="24"/>
          <w:lang w:eastAsia="en-GB"/>
        </w:rPr>
        <w:t>Dooley</w:t>
      </w:r>
      <w:r w:rsidRPr="00CA6A82">
        <w:rPr>
          <w:rFonts w:ascii="&amp;quot" w:eastAsia="Times New Roman" w:hAnsi="&amp;quot" w:cs="Times New Roman"/>
          <w:color w:val="3F4D5D"/>
          <w:sz w:val="24"/>
          <w:szCs w:val="24"/>
          <w:lang w:eastAsia="en-GB"/>
        </w:rPr>
        <w:t xml:space="preserve">, making it clear that even in these 'inadvertent agency' cases the requirement of proximity in time and space still applies. This additional factor (if applicable – the later House of Lords' decision in </w:t>
      </w:r>
      <w:r w:rsidRPr="00CA6A82">
        <w:rPr>
          <w:rFonts w:ascii="&amp;quot" w:eastAsia="Times New Roman" w:hAnsi="&amp;quot" w:cs="Times New Roman"/>
          <w:i/>
          <w:iCs/>
          <w:color w:val="3F4D5D"/>
          <w:sz w:val="24"/>
          <w:szCs w:val="24"/>
          <w:lang w:eastAsia="en-GB"/>
        </w:rPr>
        <w:t>W v Essex County Council</w:t>
      </w:r>
      <w:r w:rsidRPr="00CA6A82">
        <w:rPr>
          <w:rFonts w:ascii="&amp;quot" w:eastAsia="Times New Roman" w:hAnsi="&amp;quot" w:cs="Times New Roman"/>
          <w:color w:val="3F4D5D"/>
          <w:sz w:val="24"/>
          <w:szCs w:val="24"/>
          <w:lang w:eastAsia="en-GB"/>
        </w:rPr>
        <w:t xml:space="preserve"> [2000] suggests that </w:t>
      </w:r>
      <w:r w:rsidRPr="00CA6A82">
        <w:rPr>
          <w:rFonts w:ascii="&amp;quot" w:eastAsia="Times New Roman" w:hAnsi="&amp;quot" w:cs="Times New Roman"/>
          <w:i/>
          <w:iCs/>
          <w:color w:val="3F4D5D"/>
          <w:sz w:val="24"/>
          <w:szCs w:val="24"/>
          <w:lang w:eastAsia="en-GB"/>
        </w:rPr>
        <w:t xml:space="preserve">Hunter </w:t>
      </w:r>
      <w:r w:rsidRPr="00CA6A82">
        <w:rPr>
          <w:rFonts w:ascii="&amp;quot" w:eastAsia="Times New Roman" w:hAnsi="&amp;quot" w:cs="Times New Roman"/>
          <w:color w:val="3F4D5D"/>
          <w:sz w:val="24"/>
          <w:szCs w:val="24"/>
          <w:lang w:eastAsia="en-GB"/>
        </w:rPr>
        <w:t xml:space="preserve">may have been wrongly decided) does not necessarily defeat Stuart's claim. A roadie may be expected to be near the stage </w:t>
      </w:r>
      <w:r w:rsidRPr="00CA6A82">
        <w:rPr>
          <w:rFonts w:ascii="&amp;quot" w:eastAsia="Times New Roman" w:hAnsi="&amp;quot" w:cs="Times New Roman"/>
          <w:color w:val="3F4D5D"/>
          <w:sz w:val="24"/>
          <w:szCs w:val="24"/>
          <w:lang w:eastAsia="en-GB"/>
        </w:rPr>
        <w:lastRenderedPageBreak/>
        <w:t>during a gig. Again, you have not been given enough facts to come to a definitive conclusion here – so simply identify the issue, suggest which way you think the court is likely to go and what factors it will take into account and move on.</w:t>
      </w:r>
    </w:p>
    <w:p w14:paraId="50E07D28"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b/>
          <w:bCs/>
          <w:color w:val="3F4D5D"/>
          <w:sz w:val="24"/>
          <w:szCs w:val="24"/>
          <w:lang w:eastAsia="en-GB"/>
        </w:rPr>
        <w:t xml:space="preserve">Breach, causation, and defences </w:t>
      </w:r>
    </w:p>
    <w:p w14:paraId="4F2E5946"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i/>
          <w:iCs/>
          <w:color w:val="3F4D5D"/>
          <w:sz w:val="24"/>
          <w:szCs w:val="24"/>
          <w:lang w:eastAsia="en-GB"/>
        </w:rPr>
        <w:t>Unfortunately, the lighting rig (onto which the spotlight was fitted) had been negligently maintained by Rack &amp; Horse Lighting. The sight is particularly gruesome.</w:t>
      </w:r>
    </w:p>
    <w:p w14:paraId="4023A1EE"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It is essential that you also address the other elements to a claim in the tort of negligence in your answer. In this question, these can all be dealt with easily and quickly at the end of your answer as the issues are the same in relation to each potential claimant.</w:t>
      </w:r>
    </w:p>
    <w:p w14:paraId="3207F696"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You are told that the lighting rig has been negligently maintained by Rack &amp; Horse Lighting. In so doing, they have clearly fallen below the </w:t>
      </w:r>
      <w:r w:rsidRPr="00CA6A82">
        <w:rPr>
          <w:rFonts w:ascii="&amp;quot" w:eastAsia="Times New Roman" w:hAnsi="&amp;quot" w:cs="Times New Roman"/>
          <w:b/>
          <w:bCs/>
          <w:color w:val="3F4D5D"/>
          <w:sz w:val="24"/>
          <w:szCs w:val="24"/>
          <w:lang w:eastAsia="en-GB"/>
        </w:rPr>
        <w:t>standard of care</w:t>
      </w:r>
      <w:r w:rsidRPr="00CA6A82">
        <w:rPr>
          <w:rFonts w:ascii="&amp;quot" w:eastAsia="Times New Roman" w:hAnsi="&amp;quot" w:cs="Times New Roman"/>
          <w:color w:val="3F4D5D"/>
          <w:sz w:val="24"/>
          <w:szCs w:val="24"/>
          <w:lang w:eastAsia="en-GB"/>
        </w:rPr>
        <w:t xml:space="preserve"> expected of them (Chapter 8) and so will be in breach of any duty of care owed. Similarly, issues of causation and defences are straightforward. It seems reasonable to assume that the spotlight fell onto the stage (causing the explosion) as a result of the lighting rig being negligently maintained (</w:t>
      </w:r>
      <w:r w:rsidRPr="00CA6A82">
        <w:rPr>
          <w:rFonts w:ascii="&amp;quot" w:eastAsia="Times New Roman" w:hAnsi="&amp;quot" w:cs="Times New Roman"/>
          <w:b/>
          <w:bCs/>
          <w:color w:val="3F4D5D"/>
          <w:sz w:val="24"/>
          <w:szCs w:val="24"/>
          <w:lang w:eastAsia="en-GB"/>
        </w:rPr>
        <w:t>cause in fact</w:t>
      </w:r>
      <w:r w:rsidRPr="00CA6A82">
        <w:rPr>
          <w:rFonts w:ascii="&amp;quot" w:eastAsia="Times New Roman" w:hAnsi="&amp;quot" w:cs="Times New Roman"/>
          <w:color w:val="3F4D5D"/>
          <w:sz w:val="24"/>
          <w:szCs w:val="24"/>
          <w:lang w:eastAsia="en-GB"/>
        </w:rPr>
        <w:t>). And the explosion and resulting injuries are an entirely foreseeable consequence of this (</w:t>
      </w:r>
      <w:r w:rsidRPr="00CA6A82">
        <w:rPr>
          <w:rFonts w:ascii="&amp;quot" w:eastAsia="Times New Roman" w:hAnsi="&amp;quot" w:cs="Times New Roman"/>
          <w:b/>
          <w:bCs/>
          <w:color w:val="3F4D5D"/>
          <w:sz w:val="24"/>
          <w:szCs w:val="24"/>
          <w:lang w:eastAsia="en-GB"/>
        </w:rPr>
        <w:t>cause in law</w:t>
      </w:r>
      <w:r w:rsidRPr="00CA6A82">
        <w:rPr>
          <w:rFonts w:ascii="&amp;quot" w:eastAsia="Times New Roman" w:hAnsi="&amp;quot" w:cs="Times New Roman"/>
          <w:color w:val="3F4D5D"/>
          <w:sz w:val="24"/>
          <w:szCs w:val="24"/>
          <w:lang w:eastAsia="en-GB"/>
        </w:rPr>
        <w:t xml:space="preserve">) (Chapter 9). Finally, there is nothing in the question to suggest that any </w:t>
      </w:r>
      <w:r w:rsidRPr="00CA6A82">
        <w:rPr>
          <w:rFonts w:ascii="&amp;quot" w:eastAsia="Times New Roman" w:hAnsi="&amp;quot" w:cs="Times New Roman"/>
          <w:b/>
          <w:bCs/>
          <w:color w:val="3F4D5D"/>
          <w:sz w:val="24"/>
          <w:szCs w:val="24"/>
          <w:lang w:eastAsia="en-GB"/>
        </w:rPr>
        <w:t>defences</w:t>
      </w:r>
      <w:r w:rsidRPr="00CA6A82">
        <w:rPr>
          <w:rFonts w:ascii="&amp;quot" w:eastAsia="Times New Roman" w:hAnsi="&amp;quot" w:cs="Times New Roman"/>
          <w:color w:val="3F4D5D"/>
          <w:sz w:val="24"/>
          <w:szCs w:val="24"/>
          <w:lang w:eastAsia="en-GB"/>
        </w:rPr>
        <w:t xml:space="preserve"> are open to Rack &amp; Horse Lighting (Chapter 10).</w:t>
      </w:r>
    </w:p>
    <w:p w14:paraId="768BAB23"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b/>
          <w:bCs/>
          <w:color w:val="3F4D5D"/>
          <w:sz w:val="24"/>
          <w:szCs w:val="24"/>
          <w:lang w:eastAsia="en-GB"/>
        </w:rPr>
        <w:t>Conclusion</w:t>
      </w:r>
    </w:p>
    <w:p w14:paraId="673144F7" w14:textId="77777777" w:rsidR="00CA6A82" w:rsidRPr="00CA6A82" w:rsidRDefault="00CA6A82" w:rsidP="00CA6A82">
      <w:pPr>
        <w:spacing w:after="100" w:afterAutospacing="1" w:line="240" w:lineRule="auto"/>
        <w:rPr>
          <w:rFonts w:ascii="&amp;quot" w:eastAsia="Times New Roman" w:hAnsi="&amp;quot" w:cs="Times New Roman"/>
          <w:color w:val="3F4D5D"/>
          <w:sz w:val="24"/>
          <w:szCs w:val="24"/>
          <w:lang w:eastAsia="en-GB"/>
        </w:rPr>
      </w:pPr>
      <w:r w:rsidRPr="00CA6A82">
        <w:rPr>
          <w:rFonts w:ascii="&amp;quot" w:eastAsia="Times New Roman" w:hAnsi="&amp;quot" w:cs="Times New Roman"/>
          <w:color w:val="3F4D5D"/>
          <w:sz w:val="24"/>
          <w:szCs w:val="24"/>
          <w:lang w:eastAsia="en-GB"/>
        </w:rPr>
        <w:t xml:space="preserve">Finally, avoid lengthy conclusions: a crisp summary of the </w:t>
      </w:r>
      <w:r w:rsidRPr="00CA6A82">
        <w:rPr>
          <w:rFonts w:ascii="&amp;quot" w:eastAsia="Times New Roman" w:hAnsi="&amp;quot" w:cs="Times New Roman"/>
          <w:i/>
          <w:iCs/>
          <w:color w:val="3F4D5D"/>
          <w:sz w:val="24"/>
          <w:szCs w:val="24"/>
          <w:lang w:eastAsia="en-GB"/>
        </w:rPr>
        <w:t>outcome</w:t>
      </w:r>
      <w:r w:rsidRPr="00CA6A82">
        <w:rPr>
          <w:rFonts w:ascii="&amp;quot" w:eastAsia="Times New Roman" w:hAnsi="&amp;quot" w:cs="Times New Roman"/>
          <w:color w:val="3F4D5D"/>
          <w:sz w:val="24"/>
          <w:szCs w:val="24"/>
          <w:lang w:eastAsia="en-GB"/>
        </w:rPr>
        <w:t xml:space="preserve"> of your analysis is sufficient.</w:t>
      </w:r>
    </w:p>
    <w:p w14:paraId="682F9D42"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B85039"/>
    <w:multiLevelType w:val="multilevel"/>
    <w:tmpl w:val="C4D0F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A82"/>
    <w:rsid w:val="00026EB1"/>
    <w:rsid w:val="009257EB"/>
    <w:rsid w:val="00CA6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D2973"/>
  <w15:chartTrackingRefBased/>
  <w15:docId w15:val="{8E26A5AB-CBBE-42A2-8189-DDD353BAA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329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2130</Words>
  <Characters>12146</Characters>
  <Application>Microsoft Office Word</Application>
  <DocSecurity>0</DocSecurity>
  <Lines>101</Lines>
  <Paragraphs>28</Paragraphs>
  <ScaleCrop>false</ScaleCrop>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2020-09-28T15:41:00Z</dcterms:created>
  <dcterms:modified xsi:type="dcterms:W3CDTF">2020-09-28T15:41:00Z</dcterms:modified>
</cp:coreProperties>
</file>