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F6011" w14:textId="77777777" w:rsidR="00CE2C82" w:rsidRPr="006956C9" w:rsidRDefault="00CE2C82" w:rsidP="006956C9">
      <w:pPr>
        <w:jc w:val="center"/>
        <w:rPr>
          <w:rFonts w:ascii="Arial" w:hAnsi="Arial" w:cs="Arial"/>
          <w:b/>
          <w:bCs/>
          <w:lang w:val="en-IN"/>
        </w:rPr>
      </w:pPr>
      <w:r w:rsidRPr="006956C9">
        <w:rPr>
          <w:rFonts w:ascii="Arial" w:hAnsi="Arial" w:cs="Arial"/>
          <w:b/>
          <w:bCs/>
          <w:noProof/>
          <w:lang w:val="en-IN"/>
        </w:rPr>
        <w:drawing>
          <wp:inline distT="0" distB="0" distL="0" distR="0" wp14:anchorId="3C0EA866" wp14:editId="195F2E0B">
            <wp:extent cx="3451860" cy="1248844"/>
            <wp:effectExtent l="0" t="0" r="0" b="8890"/>
            <wp:docPr id="137247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75279" name=""/>
                    <pic:cNvPicPr/>
                  </pic:nvPicPr>
                  <pic:blipFill>
                    <a:blip r:embed="rId8"/>
                    <a:stretch>
                      <a:fillRect/>
                    </a:stretch>
                  </pic:blipFill>
                  <pic:spPr>
                    <a:xfrm>
                      <a:off x="0" y="0"/>
                      <a:ext cx="3461958" cy="1252497"/>
                    </a:xfrm>
                    <a:prstGeom prst="rect">
                      <a:avLst/>
                    </a:prstGeom>
                  </pic:spPr>
                </pic:pic>
              </a:graphicData>
            </a:graphic>
          </wp:inline>
        </w:drawing>
      </w:r>
    </w:p>
    <w:p w14:paraId="26F52C8B" w14:textId="77777777" w:rsidR="00CE2C82" w:rsidRPr="006956C9" w:rsidRDefault="00CE2C82" w:rsidP="006956C9">
      <w:pPr>
        <w:jc w:val="center"/>
        <w:rPr>
          <w:rFonts w:ascii="Arial" w:hAnsi="Arial" w:cs="Arial"/>
          <w:b/>
          <w:bCs/>
          <w:lang w:val="en-IN"/>
        </w:rPr>
      </w:pPr>
      <w:r w:rsidRPr="006956C9">
        <w:rPr>
          <w:rFonts w:ascii="Arial" w:hAnsi="Arial" w:cs="Arial"/>
          <w:b/>
          <w:bCs/>
          <w:lang w:val="en-IN"/>
        </w:rPr>
        <w:t>Master of Business Administration (MBA)</w:t>
      </w:r>
    </w:p>
    <w:p w14:paraId="26BA8519" w14:textId="77777777" w:rsidR="00CE2C82" w:rsidRPr="006956C9" w:rsidRDefault="00CE2C82" w:rsidP="006956C9">
      <w:pPr>
        <w:jc w:val="center"/>
        <w:rPr>
          <w:rFonts w:ascii="Arial" w:hAnsi="Arial" w:cs="Arial"/>
          <w:b/>
          <w:bCs/>
          <w:lang w:val="en-IN"/>
        </w:rPr>
      </w:pPr>
      <w:r w:rsidRPr="006956C9">
        <w:rPr>
          <w:rFonts w:ascii="Arial" w:hAnsi="Arial" w:cs="Arial"/>
          <w:b/>
          <w:bCs/>
          <w:lang w:val="en-IN"/>
        </w:rPr>
        <w:t>Module Title: Financial Management</w:t>
      </w:r>
    </w:p>
    <w:p w14:paraId="5C90D730" w14:textId="77777777" w:rsidR="00CE2C82" w:rsidRPr="006956C9" w:rsidRDefault="00CE2C82" w:rsidP="006956C9">
      <w:pPr>
        <w:jc w:val="center"/>
        <w:rPr>
          <w:rFonts w:ascii="Arial" w:hAnsi="Arial" w:cs="Arial"/>
          <w:b/>
          <w:bCs/>
          <w:lang w:val="en-IN"/>
        </w:rPr>
      </w:pPr>
      <w:r w:rsidRPr="006956C9">
        <w:rPr>
          <w:rFonts w:ascii="Arial" w:hAnsi="Arial" w:cs="Arial"/>
          <w:b/>
          <w:bCs/>
          <w:lang w:val="en-IN"/>
        </w:rPr>
        <w:t>Module Code: LCMB7002</w:t>
      </w:r>
    </w:p>
    <w:p w14:paraId="3B9C34BD" w14:textId="77777777" w:rsidR="00CE2C82" w:rsidRPr="006956C9" w:rsidRDefault="00CE2C82" w:rsidP="006956C9">
      <w:pPr>
        <w:jc w:val="center"/>
        <w:rPr>
          <w:rFonts w:ascii="Arial" w:hAnsi="Arial" w:cs="Arial"/>
          <w:b/>
          <w:bCs/>
          <w:lang w:val="en-IN"/>
        </w:rPr>
      </w:pPr>
    </w:p>
    <w:p w14:paraId="72A00A81" w14:textId="19439771" w:rsidR="00CE2C82" w:rsidRPr="006956C9" w:rsidRDefault="00CE2C82" w:rsidP="006956C9">
      <w:pPr>
        <w:jc w:val="center"/>
        <w:rPr>
          <w:rFonts w:ascii="Arial" w:hAnsi="Arial" w:cs="Arial"/>
          <w:b/>
          <w:bCs/>
        </w:rPr>
      </w:pPr>
      <w:r w:rsidRPr="006956C9">
        <w:rPr>
          <w:rFonts w:ascii="Arial" w:hAnsi="Arial" w:cs="Arial"/>
          <w:b/>
          <w:bCs/>
          <w:lang w:val="en-IN"/>
        </w:rPr>
        <w:t xml:space="preserve">Assessment Title: </w:t>
      </w:r>
      <w:r w:rsidR="002A7250" w:rsidRPr="002A7250">
        <w:rPr>
          <w:rFonts w:ascii="Arial" w:hAnsi="Arial" w:cs="Arial"/>
          <w:b/>
          <w:bCs/>
          <w:lang w:val="en-IN"/>
        </w:rPr>
        <w:t>Financial Performance, Working Capital Management and Strategic Investment Appraisal of Marriott International: A CFO Perspective (2021–2025)</w:t>
      </w:r>
    </w:p>
    <w:p w14:paraId="31DE3D9F" w14:textId="77777777" w:rsidR="00CE2C82" w:rsidRPr="006956C9" w:rsidRDefault="00CE2C82" w:rsidP="006956C9">
      <w:pPr>
        <w:jc w:val="center"/>
        <w:rPr>
          <w:rFonts w:ascii="Arial" w:hAnsi="Arial" w:cs="Arial"/>
          <w:b/>
          <w:bCs/>
          <w:lang w:val="en-IN"/>
        </w:rPr>
      </w:pPr>
    </w:p>
    <w:p w14:paraId="35EED8ED" w14:textId="0C395346" w:rsidR="00CE2C82" w:rsidRPr="006956C9" w:rsidRDefault="00CE2C82" w:rsidP="006956C9">
      <w:pPr>
        <w:jc w:val="center"/>
        <w:rPr>
          <w:rFonts w:ascii="Arial" w:hAnsi="Arial" w:cs="Arial"/>
          <w:b/>
          <w:bCs/>
          <w:lang w:val="en-IN"/>
        </w:rPr>
      </w:pPr>
      <w:r w:rsidRPr="006956C9">
        <w:rPr>
          <w:rFonts w:ascii="Arial" w:hAnsi="Arial" w:cs="Arial"/>
          <w:b/>
          <w:bCs/>
          <w:lang w:val="en-IN"/>
        </w:rPr>
        <w:t>Student Name:</w:t>
      </w:r>
      <w:r w:rsidR="002C2EE4">
        <w:rPr>
          <w:rFonts w:ascii="Arial" w:hAnsi="Arial" w:cs="Arial"/>
          <w:b/>
          <w:bCs/>
          <w:lang w:val="en-IN"/>
        </w:rPr>
        <w:t xml:space="preserve"> Vruta Gundraniya</w:t>
      </w:r>
    </w:p>
    <w:p w14:paraId="2704BF9C" w14:textId="22D4C235" w:rsidR="00CE2C82" w:rsidRPr="006956C9" w:rsidRDefault="00CE2C82" w:rsidP="006956C9">
      <w:pPr>
        <w:jc w:val="center"/>
        <w:rPr>
          <w:rFonts w:ascii="Arial" w:hAnsi="Arial" w:cs="Arial"/>
          <w:b/>
          <w:bCs/>
          <w:lang w:val="en-IN"/>
        </w:rPr>
      </w:pPr>
      <w:r w:rsidRPr="006956C9">
        <w:rPr>
          <w:rFonts w:ascii="Arial" w:hAnsi="Arial" w:cs="Arial"/>
          <w:b/>
          <w:bCs/>
          <w:lang w:val="en-IN"/>
        </w:rPr>
        <w:t>Student ID:</w:t>
      </w:r>
      <w:r w:rsidR="002C2EE4">
        <w:rPr>
          <w:rFonts w:ascii="Arial" w:hAnsi="Arial" w:cs="Arial"/>
          <w:b/>
          <w:bCs/>
          <w:lang w:val="en-IN"/>
        </w:rPr>
        <w:t xml:space="preserve"> 2539615</w:t>
      </w:r>
    </w:p>
    <w:p w14:paraId="7C379065" w14:textId="77777777" w:rsidR="00CE2C82" w:rsidRPr="006956C9" w:rsidRDefault="00CE2C82" w:rsidP="006956C9">
      <w:pPr>
        <w:jc w:val="center"/>
        <w:rPr>
          <w:rFonts w:ascii="Arial" w:hAnsi="Arial" w:cs="Arial"/>
          <w:b/>
          <w:bCs/>
          <w:lang w:val="en-IN"/>
        </w:rPr>
      </w:pPr>
    </w:p>
    <w:p w14:paraId="6C22B39E" w14:textId="4CCC0D4B" w:rsidR="00CE2C82" w:rsidRPr="006956C9" w:rsidRDefault="00CE2C82" w:rsidP="002C2EE4">
      <w:pPr>
        <w:jc w:val="center"/>
        <w:rPr>
          <w:rFonts w:ascii="Arial" w:hAnsi="Arial" w:cs="Arial"/>
          <w:b/>
          <w:bCs/>
          <w:lang w:val="en-IN"/>
        </w:rPr>
      </w:pPr>
      <w:r w:rsidRPr="006956C9">
        <w:rPr>
          <w:rFonts w:ascii="Arial" w:hAnsi="Arial" w:cs="Arial"/>
          <w:b/>
          <w:bCs/>
          <w:lang w:val="en-IN"/>
        </w:rPr>
        <w:t>Lecturer Name:</w:t>
      </w:r>
      <w:r w:rsidR="002C2EE4" w:rsidRPr="002C2EE4">
        <w:rPr>
          <w:rFonts w:ascii="Segoe UI" w:hAnsi="Segoe UI" w:cs="Segoe UI"/>
          <w:b/>
          <w:bCs/>
          <w:color w:val="1D2125"/>
          <w:sz w:val="23"/>
          <w:szCs w:val="23"/>
          <w:shd w:val="clear" w:color="auto" w:fill="FFFFFF"/>
        </w:rPr>
        <w:t xml:space="preserve"> </w:t>
      </w:r>
      <w:r w:rsidR="002C2EE4" w:rsidRPr="002C2EE4">
        <w:rPr>
          <w:rFonts w:ascii="Arial" w:hAnsi="Arial" w:cs="Arial"/>
          <w:b/>
          <w:bCs/>
        </w:rPr>
        <w:t>Md Kalam</w:t>
      </w:r>
    </w:p>
    <w:p w14:paraId="0A51ABD6" w14:textId="2A568C5A" w:rsidR="00CE2C82" w:rsidRPr="006956C9" w:rsidRDefault="00CE2C82" w:rsidP="006956C9">
      <w:pPr>
        <w:jc w:val="center"/>
        <w:rPr>
          <w:rFonts w:ascii="Arial" w:hAnsi="Arial" w:cs="Arial"/>
          <w:b/>
          <w:bCs/>
          <w:lang w:val="en-IN"/>
        </w:rPr>
      </w:pPr>
      <w:r w:rsidRPr="006956C9">
        <w:rPr>
          <w:rFonts w:ascii="Arial" w:hAnsi="Arial" w:cs="Arial"/>
          <w:b/>
          <w:bCs/>
          <w:lang w:val="en-IN"/>
        </w:rPr>
        <w:t>Submission Date:</w:t>
      </w:r>
      <w:r w:rsidR="00B35961" w:rsidRPr="006956C9">
        <w:rPr>
          <w:rFonts w:ascii="Arial" w:hAnsi="Arial" w:cs="Arial"/>
          <w:b/>
          <w:bCs/>
          <w:lang w:val="en-IN"/>
        </w:rPr>
        <w:t xml:space="preserve"> </w:t>
      </w:r>
      <w:r w:rsidR="002C2EE4">
        <w:rPr>
          <w:rFonts w:ascii="Arial" w:hAnsi="Arial" w:cs="Arial"/>
          <w:b/>
          <w:bCs/>
          <w:lang w:val="en-IN"/>
        </w:rPr>
        <w:t>13</w:t>
      </w:r>
      <w:r w:rsidR="002C2EE4" w:rsidRPr="002C2EE4">
        <w:rPr>
          <w:rFonts w:ascii="Arial" w:hAnsi="Arial" w:cs="Arial"/>
          <w:b/>
          <w:bCs/>
          <w:vertAlign w:val="superscript"/>
          <w:lang w:val="en-IN"/>
        </w:rPr>
        <w:t>th</w:t>
      </w:r>
      <w:r w:rsidR="002C2EE4">
        <w:rPr>
          <w:rFonts w:ascii="Arial" w:hAnsi="Arial" w:cs="Arial"/>
          <w:b/>
          <w:bCs/>
          <w:lang w:val="en-IN"/>
        </w:rPr>
        <w:t xml:space="preserve"> august 2026</w:t>
      </w:r>
    </w:p>
    <w:p w14:paraId="4C783ED1" w14:textId="7AFF03DB" w:rsidR="00CE2C82" w:rsidRPr="006956C9" w:rsidRDefault="00CE2C82" w:rsidP="006956C9">
      <w:pPr>
        <w:jc w:val="center"/>
        <w:rPr>
          <w:rFonts w:ascii="Arial" w:hAnsi="Arial" w:cs="Arial"/>
          <w:b/>
          <w:bCs/>
          <w:lang w:val="en-IN"/>
        </w:rPr>
      </w:pPr>
      <w:r w:rsidRPr="006956C9">
        <w:rPr>
          <w:rFonts w:ascii="Arial" w:hAnsi="Arial" w:cs="Arial"/>
          <w:b/>
          <w:bCs/>
          <w:lang w:val="en-IN"/>
        </w:rPr>
        <w:t>Word Count:</w:t>
      </w:r>
      <w:r w:rsidR="00AE3AC5" w:rsidRPr="006956C9">
        <w:rPr>
          <w:rFonts w:ascii="Arial" w:hAnsi="Arial" w:cs="Arial"/>
          <w:b/>
          <w:bCs/>
          <w:lang w:val="en-IN"/>
        </w:rPr>
        <w:t xml:space="preserve"> 5290</w:t>
      </w:r>
      <w:r w:rsidRPr="006956C9">
        <w:rPr>
          <w:rFonts w:ascii="Arial" w:hAnsi="Arial" w:cs="Arial"/>
          <w:b/>
          <w:bCs/>
          <w:lang w:val="en-IN"/>
        </w:rPr>
        <w:t xml:space="preserve"> Words</w:t>
      </w:r>
    </w:p>
    <w:p w14:paraId="34703ECE" w14:textId="77777777" w:rsidR="00382C4B" w:rsidRPr="006956C9" w:rsidRDefault="00382C4B" w:rsidP="006956C9">
      <w:pPr>
        <w:rPr>
          <w:rFonts w:ascii="Arial" w:hAnsi="Arial" w:cs="Arial"/>
          <w:b/>
          <w:bCs/>
          <w:lang w:val="en-IN"/>
        </w:rPr>
      </w:pPr>
    </w:p>
    <w:p w14:paraId="42BB0A78" w14:textId="77777777" w:rsidR="00382C4B" w:rsidRPr="006956C9" w:rsidRDefault="00382C4B" w:rsidP="006956C9">
      <w:pPr>
        <w:rPr>
          <w:rFonts w:ascii="Arial" w:hAnsi="Arial" w:cs="Arial"/>
          <w:b/>
          <w:bCs/>
          <w:lang w:val="en-IN"/>
        </w:rPr>
      </w:pPr>
    </w:p>
    <w:p w14:paraId="79C433A6" w14:textId="77777777" w:rsidR="00382C4B" w:rsidRPr="006956C9" w:rsidRDefault="00382C4B" w:rsidP="006956C9">
      <w:pPr>
        <w:rPr>
          <w:rFonts w:ascii="Arial" w:hAnsi="Arial" w:cs="Arial"/>
          <w:b/>
          <w:bCs/>
          <w:lang w:val="en-IN"/>
        </w:rPr>
      </w:pPr>
    </w:p>
    <w:p w14:paraId="1801018C" w14:textId="77777777" w:rsidR="00382C4B" w:rsidRPr="006956C9" w:rsidRDefault="00382C4B" w:rsidP="006956C9">
      <w:pPr>
        <w:spacing w:before="0" w:after="160"/>
        <w:jc w:val="left"/>
        <w:rPr>
          <w:rFonts w:ascii="Arial" w:hAnsi="Arial" w:cs="Arial"/>
          <w:b/>
          <w:bCs/>
          <w:lang w:val="en-IN"/>
        </w:rPr>
      </w:pPr>
      <w:r w:rsidRPr="006956C9">
        <w:rPr>
          <w:rFonts w:ascii="Arial" w:hAnsi="Arial" w:cs="Arial"/>
          <w:b/>
          <w:bCs/>
          <w:lang w:val="en-IN"/>
        </w:rPr>
        <w:br w:type="page"/>
      </w:r>
    </w:p>
    <w:sdt>
      <w:sdtPr>
        <w:rPr>
          <w:rFonts w:ascii="Arial" w:eastAsiaTheme="minorHAnsi" w:hAnsi="Arial" w:cs="Arial"/>
          <w:b/>
          <w:bCs/>
          <w:color w:val="auto"/>
          <w:sz w:val="24"/>
          <w:szCs w:val="22"/>
          <w:lang w:val="en-GB"/>
        </w:rPr>
        <w:id w:val="-1847161640"/>
        <w:docPartObj>
          <w:docPartGallery w:val="Table of Contents"/>
          <w:docPartUnique/>
        </w:docPartObj>
      </w:sdtPr>
      <w:sdtEndPr>
        <w:rPr>
          <w:noProof/>
        </w:rPr>
      </w:sdtEndPr>
      <w:sdtContent>
        <w:p w14:paraId="3A41FB29" w14:textId="7CCC6961" w:rsidR="008E4DEB" w:rsidRPr="006956C9" w:rsidRDefault="008E4DEB" w:rsidP="006956C9">
          <w:pPr>
            <w:pStyle w:val="TOCHeading"/>
            <w:spacing w:line="360" w:lineRule="auto"/>
            <w:jc w:val="center"/>
            <w:rPr>
              <w:rFonts w:ascii="Arial" w:hAnsi="Arial" w:cs="Arial"/>
              <w:b/>
              <w:bCs/>
              <w:color w:val="auto"/>
            </w:rPr>
          </w:pPr>
          <w:r w:rsidRPr="006956C9">
            <w:rPr>
              <w:rFonts w:ascii="Arial" w:hAnsi="Arial" w:cs="Arial"/>
              <w:b/>
              <w:bCs/>
              <w:color w:val="auto"/>
            </w:rPr>
            <w:t>Table of Contents</w:t>
          </w:r>
        </w:p>
        <w:p w14:paraId="0BD74445" w14:textId="49A3CF5E" w:rsidR="005B6B06" w:rsidRDefault="008E4DEB">
          <w:pPr>
            <w:pStyle w:val="TOC1"/>
            <w:tabs>
              <w:tab w:val="right" w:leader="dot" w:pos="9016"/>
            </w:tabs>
            <w:rPr>
              <w:rFonts w:asciiTheme="minorHAnsi" w:eastAsiaTheme="minorEastAsia" w:hAnsiTheme="minorHAnsi"/>
              <w:noProof/>
              <w:kern w:val="2"/>
              <w:szCs w:val="24"/>
              <w:lang w:val="en-IN" w:eastAsia="en-IN"/>
              <w14:ligatures w14:val="standardContextual"/>
            </w:rPr>
          </w:pPr>
          <w:r w:rsidRPr="006956C9">
            <w:rPr>
              <w:rFonts w:ascii="Arial" w:hAnsi="Arial" w:cs="Arial"/>
            </w:rPr>
            <w:fldChar w:fldCharType="begin"/>
          </w:r>
          <w:r w:rsidRPr="006956C9">
            <w:rPr>
              <w:rFonts w:ascii="Arial" w:hAnsi="Arial" w:cs="Arial"/>
            </w:rPr>
            <w:instrText xml:space="preserve"> TOC \o "1-3" \h \z \u </w:instrText>
          </w:r>
          <w:r w:rsidRPr="006956C9">
            <w:rPr>
              <w:rFonts w:ascii="Arial" w:hAnsi="Arial" w:cs="Arial"/>
            </w:rPr>
            <w:fldChar w:fldCharType="separate"/>
          </w:r>
          <w:hyperlink w:anchor="_Toc237412861" w:history="1">
            <w:r w:rsidR="005B6B06" w:rsidRPr="005A46C2">
              <w:rPr>
                <w:rStyle w:val="Hyperlink"/>
                <w:rFonts w:ascii="Arial" w:hAnsi="Arial" w:cs="Arial"/>
                <w:noProof/>
                <w:lang w:val="en-IN"/>
              </w:rPr>
              <w:t>1. Introduction</w:t>
            </w:r>
            <w:r w:rsidR="005B6B06">
              <w:rPr>
                <w:noProof/>
                <w:webHidden/>
              </w:rPr>
              <w:tab/>
            </w:r>
            <w:r w:rsidR="005B6B06">
              <w:rPr>
                <w:noProof/>
                <w:webHidden/>
              </w:rPr>
              <w:fldChar w:fldCharType="begin"/>
            </w:r>
            <w:r w:rsidR="005B6B06">
              <w:rPr>
                <w:noProof/>
                <w:webHidden/>
              </w:rPr>
              <w:instrText xml:space="preserve"> PAGEREF _Toc237412861 \h </w:instrText>
            </w:r>
            <w:r w:rsidR="005B6B06">
              <w:rPr>
                <w:noProof/>
                <w:webHidden/>
              </w:rPr>
            </w:r>
            <w:r w:rsidR="005B6B06">
              <w:rPr>
                <w:noProof/>
                <w:webHidden/>
              </w:rPr>
              <w:fldChar w:fldCharType="separate"/>
            </w:r>
            <w:r w:rsidR="005B6B06">
              <w:rPr>
                <w:noProof/>
                <w:webHidden/>
              </w:rPr>
              <w:t>5</w:t>
            </w:r>
            <w:r w:rsidR="005B6B06">
              <w:rPr>
                <w:noProof/>
                <w:webHidden/>
              </w:rPr>
              <w:fldChar w:fldCharType="end"/>
            </w:r>
          </w:hyperlink>
        </w:p>
        <w:p w14:paraId="5C62D16C" w14:textId="25A9B84D" w:rsidR="005B6B06" w:rsidRDefault="005B6B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412862" w:history="1">
            <w:r w:rsidRPr="005A46C2">
              <w:rPr>
                <w:rStyle w:val="Hyperlink"/>
                <w:rFonts w:ascii="Arial" w:hAnsi="Arial" w:cs="Arial"/>
                <w:noProof/>
                <w:lang w:val="en-IN"/>
              </w:rPr>
              <w:t>2. Financial Health Check</w:t>
            </w:r>
            <w:r>
              <w:rPr>
                <w:noProof/>
                <w:webHidden/>
              </w:rPr>
              <w:tab/>
            </w:r>
            <w:r>
              <w:rPr>
                <w:noProof/>
                <w:webHidden/>
              </w:rPr>
              <w:fldChar w:fldCharType="begin"/>
            </w:r>
            <w:r>
              <w:rPr>
                <w:noProof/>
                <w:webHidden/>
              </w:rPr>
              <w:instrText xml:space="preserve"> PAGEREF _Toc237412862 \h </w:instrText>
            </w:r>
            <w:r>
              <w:rPr>
                <w:noProof/>
                <w:webHidden/>
              </w:rPr>
            </w:r>
            <w:r>
              <w:rPr>
                <w:noProof/>
                <w:webHidden/>
              </w:rPr>
              <w:fldChar w:fldCharType="separate"/>
            </w:r>
            <w:r>
              <w:rPr>
                <w:noProof/>
                <w:webHidden/>
              </w:rPr>
              <w:t>6</w:t>
            </w:r>
            <w:r>
              <w:rPr>
                <w:noProof/>
                <w:webHidden/>
              </w:rPr>
              <w:fldChar w:fldCharType="end"/>
            </w:r>
          </w:hyperlink>
        </w:p>
        <w:p w14:paraId="56090B94" w14:textId="347AFE49"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63" w:history="1">
            <w:r w:rsidRPr="005A46C2">
              <w:rPr>
                <w:rStyle w:val="Hyperlink"/>
                <w:rFonts w:ascii="Arial" w:hAnsi="Arial" w:cs="Arial"/>
                <w:noProof/>
              </w:rPr>
              <w:t>2.1 Five-Year Financial Performance</w:t>
            </w:r>
            <w:r>
              <w:rPr>
                <w:noProof/>
                <w:webHidden/>
              </w:rPr>
              <w:tab/>
            </w:r>
            <w:r>
              <w:rPr>
                <w:noProof/>
                <w:webHidden/>
              </w:rPr>
              <w:fldChar w:fldCharType="begin"/>
            </w:r>
            <w:r>
              <w:rPr>
                <w:noProof/>
                <w:webHidden/>
              </w:rPr>
              <w:instrText xml:space="preserve"> PAGEREF _Toc237412863 \h </w:instrText>
            </w:r>
            <w:r>
              <w:rPr>
                <w:noProof/>
                <w:webHidden/>
              </w:rPr>
            </w:r>
            <w:r>
              <w:rPr>
                <w:noProof/>
                <w:webHidden/>
              </w:rPr>
              <w:fldChar w:fldCharType="separate"/>
            </w:r>
            <w:r>
              <w:rPr>
                <w:noProof/>
                <w:webHidden/>
              </w:rPr>
              <w:t>6</w:t>
            </w:r>
            <w:r>
              <w:rPr>
                <w:noProof/>
                <w:webHidden/>
              </w:rPr>
              <w:fldChar w:fldCharType="end"/>
            </w:r>
          </w:hyperlink>
        </w:p>
        <w:p w14:paraId="340E0375" w14:textId="7C4E880F"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64" w:history="1">
            <w:r w:rsidRPr="005A46C2">
              <w:rPr>
                <w:rStyle w:val="Hyperlink"/>
                <w:rFonts w:ascii="Arial" w:hAnsi="Arial" w:cs="Arial"/>
                <w:noProof/>
              </w:rPr>
              <w:t>2.2 Profitability Analysis</w:t>
            </w:r>
            <w:r>
              <w:rPr>
                <w:noProof/>
                <w:webHidden/>
              </w:rPr>
              <w:tab/>
            </w:r>
            <w:r>
              <w:rPr>
                <w:noProof/>
                <w:webHidden/>
              </w:rPr>
              <w:fldChar w:fldCharType="begin"/>
            </w:r>
            <w:r>
              <w:rPr>
                <w:noProof/>
                <w:webHidden/>
              </w:rPr>
              <w:instrText xml:space="preserve"> PAGEREF _Toc237412864 \h </w:instrText>
            </w:r>
            <w:r>
              <w:rPr>
                <w:noProof/>
                <w:webHidden/>
              </w:rPr>
            </w:r>
            <w:r>
              <w:rPr>
                <w:noProof/>
                <w:webHidden/>
              </w:rPr>
              <w:fldChar w:fldCharType="separate"/>
            </w:r>
            <w:r>
              <w:rPr>
                <w:noProof/>
                <w:webHidden/>
              </w:rPr>
              <w:t>8</w:t>
            </w:r>
            <w:r>
              <w:rPr>
                <w:noProof/>
                <w:webHidden/>
              </w:rPr>
              <w:fldChar w:fldCharType="end"/>
            </w:r>
          </w:hyperlink>
        </w:p>
        <w:p w14:paraId="18A77F6A" w14:textId="3F6AFFCB"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65" w:history="1">
            <w:r w:rsidRPr="005A46C2">
              <w:rPr>
                <w:rStyle w:val="Hyperlink"/>
                <w:rFonts w:ascii="Arial" w:hAnsi="Arial" w:cs="Arial"/>
                <w:noProof/>
              </w:rPr>
              <w:t>2.3 Liquidity Analysis</w:t>
            </w:r>
            <w:r>
              <w:rPr>
                <w:noProof/>
                <w:webHidden/>
              </w:rPr>
              <w:tab/>
            </w:r>
            <w:r>
              <w:rPr>
                <w:noProof/>
                <w:webHidden/>
              </w:rPr>
              <w:fldChar w:fldCharType="begin"/>
            </w:r>
            <w:r>
              <w:rPr>
                <w:noProof/>
                <w:webHidden/>
              </w:rPr>
              <w:instrText xml:space="preserve"> PAGEREF _Toc237412865 \h </w:instrText>
            </w:r>
            <w:r>
              <w:rPr>
                <w:noProof/>
                <w:webHidden/>
              </w:rPr>
            </w:r>
            <w:r>
              <w:rPr>
                <w:noProof/>
                <w:webHidden/>
              </w:rPr>
              <w:fldChar w:fldCharType="separate"/>
            </w:r>
            <w:r>
              <w:rPr>
                <w:noProof/>
                <w:webHidden/>
              </w:rPr>
              <w:t>9</w:t>
            </w:r>
            <w:r>
              <w:rPr>
                <w:noProof/>
                <w:webHidden/>
              </w:rPr>
              <w:fldChar w:fldCharType="end"/>
            </w:r>
          </w:hyperlink>
        </w:p>
        <w:p w14:paraId="6CCFCC2A" w14:textId="7150094C"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66" w:history="1">
            <w:r w:rsidRPr="005A46C2">
              <w:rPr>
                <w:rStyle w:val="Hyperlink"/>
                <w:rFonts w:ascii="Arial" w:hAnsi="Arial" w:cs="Arial"/>
                <w:noProof/>
              </w:rPr>
              <w:t>2.4 Efficiency Analysis</w:t>
            </w:r>
            <w:r>
              <w:rPr>
                <w:noProof/>
                <w:webHidden/>
              </w:rPr>
              <w:tab/>
            </w:r>
            <w:r>
              <w:rPr>
                <w:noProof/>
                <w:webHidden/>
              </w:rPr>
              <w:fldChar w:fldCharType="begin"/>
            </w:r>
            <w:r>
              <w:rPr>
                <w:noProof/>
                <w:webHidden/>
              </w:rPr>
              <w:instrText xml:space="preserve"> PAGEREF _Toc237412866 \h </w:instrText>
            </w:r>
            <w:r>
              <w:rPr>
                <w:noProof/>
                <w:webHidden/>
              </w:rPr>
            </w:r>
            <w:r>
              <w:rPr>
                <w:noProof/>
                <w:webHidden/>
              </w:rPr>
              <w:fldChar w:fldCharType="separate"/>
            </w:r>
            <w:r>
              <w:rPr>
                <w:noProof/>
                <w:webHidden/>
              </w:rPr>
              <w:t>10</w:t>
            </w:r>
            <w:r>
              <w:rPr>
                <w:noProof/>
                <w:webHidden/>
              </w:rPr>
              <w:fldChar w:fldCharType="end"/>
            </w:r>
          </w:hyperlink>
        </w:p>
        <w:p w14:paraId="7AD84C1C" w14:textId="570247A3"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67" w:history="1">
            <w:r w:rsidRPr="005A46C2">
              <w:rPr>
                <w:rStyle w:val="Hyperlink"/>
                <w:rFonts w:ascii="Arial" w:hAnsi="Arial" w:cs="Arial"/>
                <w:noProof/>
              </w:rPr>
              <w:t>2.5 Gearing and Solvency Analysis</w:t>
            </w:r>
            <w:r>
              <w:rPr>
                <w:noProof/>
                <w:webHidden/>
              </w:rPr>
              <w:tab/>
            </w:r>
            <w:r>
              <w:rPr>
                <w:noProof/>
                <w:webHidden/>
              </w:rPr>
              <w:fldChar w:fldCharType="begin"/>
            </w:r>
            <w:r>
              <w:rPr>
                <w:noProof/>
                <w:webHidden/>
              </w:rPr>
              <w:instrText xml:space="preserve"> PAGEREF _Toc237412867 \h </w:instrText>
            </w:r>
            <w:r>
              <w:rPr>
                <w:noProof/>
                <w:webHidden/>
              </w:rPr>
            </w:r>
            <w:r>
              <w:rPr>
                <w:noProof/>
                <w:webHidden/>
              </w:rPr>
              <w:fldChar w:fldCharType="separate"/>
            </w:r>
            <w:r>
              <w:rPr>
                <w:noProof/>
                <w:webHidden/>
              </w:rPr>
              <w:t>10</w:t>
            </w:r>
            <w:r>
              <w:rPr>
                <w:noProof/>
                <w:webHidden/>
              </w:rPr>
              <w:fldChar w:fldCharType="end"/>
            </w:r>
          </w:hyperlink>
        </w:p>
        <w:p w14:paraId="56ECBAE4" w14:textId="78F0CDE6"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68" w:history="1">
            <w:r w:rsidRPr="005A46C2">
              <w:rPr>
                <w:rStyle w:val="Hyperlink"/>
                <w:rFonts w:ascii="Arial" w:hAnsi="Arial" w:cs="Arial"/>
                <w:noProof/>
              </w:rPr>
              <w:t>2.6 Cash-Flow and Shareholder Indicators</w:t>
            </w:r>
            <w:r>
              <w:rPr>
                <w:noProof/>
                <w:webHidden/>
              </w:rPr>
              <w:tab/>
            </w:r>
            <w:r>
              <w:rPr>
                <w:noProof/>
                <w:webHidden/>
              </w:rPr>
              <w:fldChar w:fldCharType="begin"/>
            </w:r>
            <w:r>
              <w:rPr>
                <w:noProof/>
                <w:webHidden/>
              </w:rPr>
              <w:instrText xml:space="preserve"> PAGEREF _Toc237412868 \h </w:instrText>
            </w:r>
            <w:r>
              <w:rPr>
                <w:noProof/>
                <w:webHidden/>
              </w:rPr>
            </w:r>
            <w:r>
              <w:rPr>
                <w:noProof/>
                <w:webHidden/>
              </w:rPr>
              <w:fldChar w:fldCharType="separate"/>
            </w:r>
            <w:r>
              <w:rPr>
                <w:noProof/>
                <w:webHidden/>
              </w:rPr>
              <w:t>11</w:t>
            </w:r>
            <w:r>
              <w:rPr>
                <w:noProof/>
                <w:webHidden/>
              </w:rPr>
              <w:fldChar w:fldCharType="end"/>
            </w:r>
          </w:hyperlink>
        </w:p>
        <w:p w14:paraId="52CAAC3F" w14:textId="382E20C5"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69" w:history="1">
            <w:r w:rsidRPr="005A46C2">
              <w:rPr>
                <w:rStyle w:val="Hyperlink"/>
                <w:rFonts w:ascii="Arial" w:hAnsi="Arial" w:cs="Arial"/>
                <w:noProof/>
              </w:rPr>
              <w:t>2.8 Overall Financial Strengths and Threats</w:t>
            </w:r>
            <w:r>
              <w:rPr>
                <w:noProof/>
                <w:webHidden/>
              </w:rPr>
              <w:tab/>
            </w:r>
            <w:r>
              <w:rPr>
                <w:noProof/>
                <w:webHidden/>
              </w:rPr>
              <w:fldChar w:fldCharType="begin"/>
            </w:r>
            <w:r>
              <w:rPr>
                <w:noProof/>
                <w:webHidden/>
              </w:rPr>
              <w:instrText xml:space="preserve"> PAGEREF _Toc237412869 \h </w:instrText>
            </w:r>
            <w:r>
              <w:rPr>
                <w:noProof/>
                <w:webHidden/>
              </w:rPr>
            </w:r>
            <w:r>
              <w:rPr>
                <w:noProof/>
                <w:webHidden/>
              </w:rPr>
              <w:fldChar w:fldCharType="separate"/>
            </w:r>
            <w:r>
              <w:rPr>
                <w:noProof/>
                <w:webHidden/>
              </w:rPr>
              <w:t>11</w:t>
            </w:r>
            <w:r>
              <w:rPr>
                <w:noProof/>
                <w:webHidden/>
              </w:rPr>
              <w:fldChar w:fldCharType="end"/>
            </w:r>
          </w:hyperlink>
        </w:p>
        <w:p w14:paraId="443ECA8C" w14:textId="4E32A1CA" w:rsidR="005B6B06" w:rsidRDefault="005B6B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412870" w:history="1">
            <w:r w:rsidRPr="005A46C2">
              <w:rPr>
                <w:rStyle w:val="Hyperlink"/>
                <w:rFonts w:ascii="Arial" w:hAnsi="Arial" w:cs="Arial"/>
                <w:noProof/>
                <w:lang w:val="en-IN"/>
              </w:rPr>
              <w:t>3. Working Capital Management Analysis</w:t>
            </w:r>
            <w:r>
              <w:rPr>
                <w:noProof/>
                <w:webHidden/>
              </w:rPr>
              <w:tab/>
            </w:r>
            <w:r>
              <w:rPr>
                <w:noProof/>
                <w:webHidden/>
              </w:rPr>
              <w:fldChar w:fldCharType="begin"/>
            </w:r>
            <w:r>
              <w:rPr>
                <w:noProof/>
                <w:webHidden/>
              </w:rPr>
              <w:instrText xml:space="preserve"> PAGEREF _Toc237412870 \h </w:instrText>
            </w:r>
            <w:r>
              <w:rPr>
                <w:noProof/>
                <w:webHidden/>
              </w:rPr>
            </w:r>
            <w:r>
              <w:rPr>
                <w:noProof/>
                <w:webHidden/>
              </w:rPr>
              <w:fldChar w:fldCharType="separate"/>
            </w:r>
            <w:r>
              <w:rPr>
                <w:noProof/>
                <w:webHidden/>
              </w:rPr>
              <w:t>11</w:t>
            </w:r>
            <w:r>
              <w:rPr>
                <w:noProof/>
                <w:webHidden/>
              </w:rPr>
              <w:fldChar w:fldCharType="end"/>
            </w:r>
          </w:hyperlink>
        </w:p>
        <w:p w14:paraId="37ED38A6" w14:textId="44C37637"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1" w:history="1">
            <w:r w:rsidRPr="005A46C2">
              <w:rPr>
                <w:rStyle w:val="Hyperlink"/>
                <w:rFonts w:ascii="Arial" w:hAnsi="Arial" w:cs="Arial"/>
                <w:noProof/>
              </w:rPr>
              <w:t>3.1 Working Capital Position</w:t>
            </w:r>
            <w:r>
              <w:rPr>
                <w:noProof/>
                <w:webHidden/>
              </w:rPr>
              <w:tab/>
            </w:r>
            <w:r>
              <w:rPr>
                <w:noProof/>
                <w:webHidden/>
              </w:rPr>
              <w:fldChar w:fldCharType="begin"/>
            </w:r>
            <w:r>
              <w:rPr>
                <w:noProof/>
                <w:webHidden/>
              </w:rPr>
              <w:instrText xml:space="preserve"> PAGEREF _Toc237412871 \h </w:instrText>
            </w:r>
            <w:r>
              <w:rPr>
                <w:noProof/>
                <w:webHidden/>
              </w:rPr>
            </w:r>
            <w:r>
              <w:rPr>
                <w:noProof/>
                <w:webHidden/>
              </w:rPr>
              <w:fldChar w:fldCharType="separate"/>
            </w:r>
            <w:r>
              <w:rPr>
                <w:noProof/>
                <w:webHidden/>
              </w:rPr>
              <w:t>11</w:t>
            </w:r>
            <w:r>
              <w:rPr>
                <w:noProof/>
                <w:webHidden/>
              </w:rPr>
              <w:fldChar w:fldCharType="end"/>
            </w:r>
          </w:hyperlink>
        </w:p>
        <w:p w14:paraId="22A2FF57" w14:textId="6B9B4B04"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2" w:history="1">
            <w:r w:rsidRPr="005A46C2">
              <w:rPr>
                <w:rStyle w:val="Hyperlink"/>
                <w:rFonts w:ascii="Arial" w:hAnsi="Arial" w:cs="Arial"/>
                <w:noProof/>
              </w:rPr>
              <w:t>3.2 Cash and Receivables Management</w:t>
            </w:r>
            <w:r>
              <w:rPr>
                <w:noProof/>
                <w:webHidden/>
              </w:rPr>
              <w:tab/>
            </w:r>
            <w:r>
              <w:rPr>
                <w:noProof/>
                <w:webHidden/>
              </w:rPr>
              <w:fldChar w:fldCharType="begin"/>
            </w:r>
            <w:r>
              <w:rPr>
                <w:noProof/>
                <w:webHidden/>
              </w:rPr>
              <w:instrText xml:space="preserve"> PAGEREF _Toc237412872 \h </w:instrText>
            </w:r>
            <w:r>
              <w:rPr>
                <w:noProof/>
                <w:webHidden/>
              </w:rPr>
            </w:r>
            <w:r>
              <w:rPr>
                <w:noProof/>
                <w:webHidden/>
              </w:rPr>
              <w:fldChar w:fldCharType="separate"/>
            </w:r>
            <w:r>
              <w:rPr>
                <w:noProof/>
                <w:webHidden/>
              </w:rPr>
              <w:t>12</w:t>
            </w:r>
            <w:r>
              <w:rPr>
                <w:noProof/>
                <w:webHidden/>
              </w:rPr>
              <w:fldChar w:fldCharType="end"/>
            </w:r>
          </w:hyperlink>
        </w:p>
        <w:p w14:paraId="622A6793" w14:textId="08F77ACA"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3" w:history="1">
            <w:r w:rsidRPr="005A46C2">
              <w:rPr>
                <w:rStyle w:val="Hyperlink"/>
                <w:rFonts w:ascii="Arial" w:hAnsi="Arial" w:cs="Arial"/>
                <w:noProof/>
              </w:rPr>
              <w:t>3.3 Cash Operating Cycle</w:t>
            </w:r>
            <w:r>
              <w:rPr>
                <w:noProof/>
                <w:webHidden/>
              </w:rPr>
              <w:tab/>
            </w:r>
            <w:r>
              <w:rPr>
                <w:noProof/>
                <w:webHidden/>
              </w:rPr>
              <w:fldChar w:fldCharType="begin"/>
            </w:r>
            <w:r>
              <w:rPr>
                <w:noProof/>
                <w:webHidden/>
              </w:rPr>
              <w:instrText xml:space="preserve"> PAGEREF _Toc237412873 \h </w:instrText>
            </w:r>
            <w:r>
              <w:rPr>
                <w:noProof/>
                <w:webHidden/>
              </w:rPr>
            </w:r>
            <w:r>
              <w:rPr>
                <w:noProof/>
                <w:webHidden/>
              </w:rPr>
              <w:fldChar w:fldCharType="separate"/>
            </w:r>
            <w:r>
              <w:rPr>
                <w:noProof/>
                <w:webHidden/>
              </w:rPr>
              <w:t>13</w:t>
            </w:r>
            <w:r>
              <w:rPr>
                <w:noProof/>
                <w:webHidden/>
              </w:rPr>
              <w:fldChar w:fldCharType="end"/>
            </w:r>
          </w:hyperlink>
        </w:p>
        <w:p w14:paraId="0FD44A5F" w14:textId="1FBE4E50"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4" w:history="1">
            <w:r w:rsidRPr="005A46C2">
              <w:rPr>
                <w:rStyle w:val="Hyperlink"/>
                <w:rFonts w:ascii="Arial" w:hAnsi="Arial" w:cs="Arial"/>
                <w:noProof/>
              </w:rPr>
              <w:t>3.4 Working Capital Reforms</w:t>
            </w:r>
            <w:r>
              <w:rPr>
                <w:noProof/>
                <w:webHidden/>
              </w:rPr>
              <w:tab/>
            </w:r>
            <w:r>
              <w:rPr>
                <w:noProof/>
                <w:webHidden/>
              </w:rPr>
              <w:fldChar w:fldCharType="begin"/>
            </w:r>
            <w:r>
              <w:rPr>
                <w:noProof/>
                <w:webHidden/>
              </w:rPr>
              <w:instrText xml:space="preserve"> PAGEREF _Toc237412874 \h </w:instrText>
            </w:r>
            <w:r>
              <w:rPr>
                <w:noProof/>
                <w:webHidden/>
              </w:rPr>
            </w:r>
            <w:r>
              <w:rPr>
                <w:noProof/>
                <w:webHidden/>
              </w:rPr>
              <w:fldChar w:fldCharType="separate"/>
            </w:r>
            <w:r>
              <w:rPr>
                <w:noProof/>
                <w:webHidden/>
              </w:rPr>
              <w:t>13</w:t>
            </w:r>
            <w:r>
              <w:rPr>
                <w:noProof/>
                <w:webHidden/>
              </w:rPr>
              <w:fldChar w:fldCharType="end"/>
            </w:r>
          </w:hyperlink>
        </w:p>
        <w:p w14:paraId="5E35DB6D" w14:textId="3CA1FDA4"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5" w:history="1">
            <w:r w:rsidRPr="005A46C2">
              <w:rPr>
                <w:rStyle w:val="Hyperlink"/>
                <w:rFonts w:ascii="Arial" w:hAnsi="Arial" w:cs="Arial"/>
                <w:noProof/>
              </w:rPr>
              <w:t>3.5 Short-Term versus Long-Term Financing</w:t>
            </w:r>
            <w:r>
              <w:rPr>
                <w:noProof/>
                <w:webHidden/>
              </w:rPr>
              <w:tab/>
            </w:r>
            <w:r>
              <w:rPr>
                <w:noProof/>
                <w:webHidden/>
              </w:rPr>
              <w:fldChar w:fldCharType="begin"/>
            </w:r>
            <w:r>
              <w:rPr>
                <w:noProof/>
                <w:webHidden/>
              </w:rPr>
              <w:instrText xml:space="preserve"> PAGEREF _Toc237412875 \h </w:instrText>
            </w:r>
            <w:r>
              <w:rPr>
                <w:noProof/>
                <w:webHidden/>
              </w:rPr>
            </w:r>
            <w:r>
              <w:rPr>
                <w:noProof/>
                <w:webHidden/>
              </w:rPr>
              <w:fldChar w:fldCharType="separate"/>
            </w:r>
            <w:r>
              <w:rPr>
                <w:noProof/>
                <w:webHidden/>
              </w:rPr>
              <w:t>14</w:t>
            </w:r>
            <w:r>
              <w:rPr>
                <w:noProof/>
                <w:webHidden/>
              </w:rPr>
              <w:fldChar w:fldCharType="end"/>
            </w:r>
          </w:hyperlink>
        </w:p>
        <w:p w14:paraId="532FD849" w14:textId="795555A3"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6" w:history="1">
            <w:r w:rsidRPr="005A46C2">
              <w:rPr>
                <w:rStyle w:val="Hyperlink"/>
                <w:rFonts w:ascii="Arial" w:hAnsi="Arial" w:cs="Arial"/>
                <w:noProof/>
              </w:rPr>
              <w:t>3.6 Overall Recommendation</w:t>
            </w:r>
            <w:r>
              <w:rPr>
                <w:noProof/>
                <w:webHidden/>
              </w:rPr>
              <w:tab/>
            </w:r>
            <w:r>
              <w:rPr>
                <w:noProof/>
                <w:webHidden/>
              </w:rPr>
              <w:fldChar w:fldCharType="begin"/>
            </w:r>
            <w:r>
              <w:rPr>
                <w:noProof/>
                <w:webHidden/>
              </w:rPr>
              <w:instrText xml:space="preserve"> PAGEREF _Toc237412876 \h </w:instrText>
            </w:r>
            <w:r>
              <w:rPr>
                <w:noProof/>
                <w:webHidden/>
              </w:rPr>
            </w:r>
            <w:r>
              <w:rPr>
                <w:noProof/>
                <w:webHidden/>
              </w:rPr>
              <w:fldChar w:fldCharType="separate"/>
            </w:r>
            <w:r>
              <w:rPr>
                <w:noProof/>
                <w:webHidden/>
              </w:rPr>
              <w:t>15</w:t>
            </w:r>
            <w:r>
              <w:rPr>
                <w:noProof/>
                <w:webHidden/>
              </w:rPr>
              <w:fldChar w:fldCharType="end"/>
            </w:r>
          </w:hyperlink>
        </w:p>
        <w:p w14:paraId="6D8953BD" w14:textId="358D0612" w:rsidR="005B6B06" w:rsidRDefault="005B6B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412877" w:history="1">
            <w:r w:rsidRPr="005A46C2">
              <w:rPr>
                <w:rStyle w:val="Hyperlink"/>
                <w:rFonts w:ascii="Arial" w:hAnsi="Arial" w:cs="Arial"/>
                <w:noProof/>
                <w:lang w:val="en-IN"/>
              </w:rPr>
              <w:t>4. Strategic Financial Restructuring Plan</w:t>
            </w:r>
            <w:r>
              <w:rPr>
                <w:noProof/>
                <w:webHidden/>
              </w:rPr>
              <w:tab/>
            </w:r>
            <w:r>
              <w:rPr>
                <w:noProof/>
                <w:webHidden/>
              </w:rPr>
              <w:fldChar w:fldCharType="begin"/>
            </w:r>
            <w:r>
              <w:rPr>
                <w:noProof/>
                <w:webHidden/>
              </w:rPr>
              <w:instrText xml:space="preserve"> PAGEREF _Toc237412877 \h </w:instrText>
            </w:r>
            <w:r>
              <w:rPr>
                <w:noProof/>
                <w:webHidden/>
              </w:rPr>
            </w:r>
            <w:r>
              <w:rPr>
                <w:noProof/>
                <w:webHidden/>
              </w:rPr>
              <w:fldChar w:fldCharType="separate"/>
            </w:r>
            <w:r>
              <w:rPr>
                <w:noProof/>
                <w:webHidden/>
              </w:rPr>
              <w:t>15</w:t>
            </w:r>
            <w:r>
              <w:rPr>
                <w:noProof/>
                <w:webHidden/>
              </w:rPr>
              <w:fldChar w:fldCharType="end"/>
            </w:r>
          </w:hyperlink>
        </w:p>
        <w:p w14:paraId="485E7717" w14:textId="5D97BC1D"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8" w:history="1">
            <w:r w:rsidRPr="005A46C2">
              <w:rPr>
                <w:rStyle w:val="Hyperlink"/>
                <w:rFonts w:ascii="Arial" w:hAnsi="Arial" w:cs="Arial"/>
                <w:noProof/>
              </w:rPr>
              <w:t>4.1 Core Financial Problems Requiring Restructuring</w:t>
            </w:r>
            <w:r>
              <w:rPr>
                <w:noProof/>
                <w:webHidden/>
              </w:rPr>
              <w:tab/>
            </w:r>
            <w:r>
              <w:rPr>
                <w:noProof/>
                <w:webHidden/>
              </w:rPr>
              <w:fldChar w:fldCharType="begin"/>
            </w:r>
            <w:r>
              <w:rPr>
                <w:noProof/>
                <w:webHidden/>
              </w:rPr>
              <w:instrText xml:space="preserve"> PAGEREF _Toc237412878 \h </w:instrText>
            </w:r>
            <w:r>
              <w:rPr>
                <w:noProof/>
                <w:webHidden/>
              </w:rPr>
            </w:r>
            <w:r>
              <w:rPr>
                <w:noProof/>
                <w:webHidden/>
              </w:rPr>
              <w:fldChar w:fldCharType="separate"/>
            </w:r>
            <w:r>
              <w:rPr>
                <w:noProof/>
                <w:webHidden/>
              </w:rPr>
              <w:t>15</w:t>
            </w:r>
            <w:r>
              <w:rPr>
                <w:noProof/>
                <w:webHidden/>
              </w:rPr>
              <w:fldChar w:fldCharType="end"/>
            </w:r>
          </w:hyperlink>
        </w:p>
        <w:p w14:paraId="6B0B89E4" w14:textId="44DA2D5B"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79" w:history="1">
            <w:r w:rsidRPr="005A46C2">
              <w:rPr>
                <w:rStyle w:val="Hyperlink"/>
                <w:rFonts w:ascii="Arial" w:hAnsi="Arial" w:cs="Arial"/>
                <w:noProof/>
              </w:rPr>
              <w:t>4.2 Evaluation of Restructuring Options</w:t>
            </w:r>
            <w:r>
              <w:rPr>
                <w:noProof/>
                <w:webHidden/>
              </w:rPr>
              <w:tab/>
            </w:r>
            <w:r>
              <w:rPr>
                <w:noProof/>
                <w:webHidden/>
              </w:rPr>
              <w:fldChar w:fldCharType="begin"/>
            </w:r>
            <w:r>
              <w:rPr>
                <w:noProof/>
                <w:webHidden/>
              </w:rPr>
              <w:instrText xml:space="preserve"> PAGEREF _Toc237412879 \h </w:instrText>
            </w:r>
            <w:r>
              <w:rPr>
                <w:noProof/>
                <w:webHidden/>
              </w:rPr>
            </w:r>
            <w:r>
              <w:rPr>
                <w:noProof/>
                <w:webHidden/>
              </w:rPr>
              <w:fldChar w:fldCharType="separate"/>
            </w:r>
            <w:r>
              <w:rPr>
                <w:noProof/>
                <w:webHidden/>
              </w:rPr>
              <w:t>15</w:t>
            </w:r>
            <w:r>
              <w:rPr>
                <w:noProof/>
                <w:webHidden/>
              </w:rPr>
              <w:fldChar w:fldCharType="end"/>
            </w:r>
          </w:hyperlink>
        </w:p>
        <w:p w14:paraId="34B5D62E" w14:textId="17EAA829"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0" w:history="1">
            <w:r w:rsidRPr="005A46C2">
              <w:rPr>
                <w:rStyle w:val="Hyperlink"/>
                <w:rFonts w:ascii="Arial" w:hAnsi="Arial" w:cs="Arial"/>
                <w:noProof/>
              </w:rPr>
              <w:t>4.3 Impact on Shareholder Value</w:t>
            </w:r>
            <w:r>
              <w:rPr>
                <w:noProof/>
                <w:webHidden/>
              </w:rPr>
              <w:tab/>
            </w:r>
            <w:r>
              <w:rPr>
                <w:noProof/>
                <w:webHidden/>
              </w:rPr>
              <w:fldChar w:fldCharType="begin"/>
            </w:r>
            <w:r>
              <w:rPr>
                <w:noProof/>
                <w:webHidden/>
              </w:rPr>
              <w:instrText xml:space="preserve"> PAGEREF _Toc237412880 \h </w:instrText>
            </w:r>
            <w:r>
              <w:rPr>
                <w:noProof/>
                <w:webHidden/>
              </w:rPr>
            </w:r>
            <w:r>
              <w:rPr>
                <w:noProof/>
                <w:webHidden/>
              </w:rPr>
              <w:fldChar w:fldCharType="separate"/>
            </w:r>
            <w:r>
              <w:rPr>
                <w:noProof/>
                <w:webHidden/>
              </w:rPr>
              <w:t>17</w:t>
            </w:r>
            <w:r>
              <w:rPr>
                <w:noProof/>
                <w:webHidden/>
              </w:rPr>
              <w:fldChar w:fldCharType="end"/>
            </w:r>
          </w:hyperlink>
        </w:p>
        <w:p w14:paraId="3EE68159" w14:textId="1BD627D7"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1" w:history="1">
            <w:r w:rsidRPr="005A46C2">
              <w:rPr>
                <w:rStyle w:val="Hyperlink"/>
                <w:rFonts w:ascii="Arial" w:hAnsi="Arial" w:cs="Arial"/>
                <w:noProof/>
              </w:rPr>
              <w:t>4.4 Debt Structure and Financial Flexibility</w:t>
            </w:r>
            <w:r>
              <w:rPr>
                <w:noProof/>
                <w:webHidden/>
              </w:rPr>
              <w:tab/>
            </w:r>
            <w:r>
              <w:rPr>
                <w:noProof/>
                <w:webHidden/>
              </w:rPr>
              <w:fldChar w:fldCharType="begin"/>
            </w:r>
            <w:r>
              <w:rPr>
                <w:noProof/>
                <w:webHidden/>
              </w:rPr>
              <w:instrText xml:space="preserve"> PAGEREF _Toc237412881 \h </w:instrText>
            </w:r>
            <w:r>
              <w:rPr>
                <w:noProof/>
                <w:webHidden/>
              </w:rPr>
            </w:r>
            <w:r>
              <w:rPr>
                <w:noProof/>
                <w:webHidden/>
              </w:rPr>
              <w:fldChar w:fldCharType="separate"/>
            </w:r>
            <w:r>
              <w:rPr>
                <w:noProof/>
                <w:webHidden/>
              </w:rPr>
              <w:t>17</w:t>
            </w:r>
            <w:r>
              <w:rPr>
                <w:noProof/>
                <w:webHidden/>
              </w:rPr>
              <w:fldChar w:fldCharType="end"/>
            </w:r>
          </w:hyperlink>
        </w:p>
        <w:p w14:paraId="2BFCF69F" w14:textId="37698FA8"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2" w:history="1">
            <w:r w:rsidRPr="005A46C2">
              <w:rPr>
                <w:rStyle w:val="Hyperlink"/>
                <w:rFonts w:ascii="Arial" w:hAnsi="Arial" w:cs="Arial"/>
                <w:noProof/>
              </w:rPr>
              <w:t>4.6 Ethical and ESG Considerations</w:t>
            </w:r>
            <w:r>
              <w:rPr>
                <w:noProof/>
                <w:webHidden/>
              </w:rPr>
              <w:tab/>
            </w:r>
            <w:r>
              <w:rPr>
                <w:noProof/>
                <w:webHidden/>
              </w:rPr>
              <w:fldChar w:fldCharType="begin"/>
            </w:r>
            <w:r>
              <w:rPr>
                <w:noProof/>
                <w:webHidden/>
              </w:rPr>
              <w:instrText xml:space="preserve"> PAGEREF _Toc237412882 \h </w:instrText>
            </w:r>
            <w:r>
              <w:rPr>
                <w:noProof/>
                <w:webHidden/>
              </w:rPr>
            </w:r>
            <w:r>
              <w:rPr>
                <w:noProof/>
                <w:webHidden/>
              </w:rPr>
              <w:fldChar w:fldCharType="separate"/>
            </w:r>
            <w:r>
              <w:rPr>
                <w:noProof/>
                <w:webHidden/>
              </w:rPr>
              <w:t>18</w:t>
            </w:r>
            <w:r>
              <w:rPr>
                <w:noProof/>
                <w:webHidden/>
              </w:rPr>
              <w:fldChar w:fldCharType="end"/>
            </w:r>
          </w:hyperlink>
        </w:p>
        <w:p w14:paraId="228DE996" w14:textId="3B41BC26"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3" w:history="1">
            <w:r w:rsidRPr="005A46C2">
              <w:rPr>
                <w:rStyle w:val="Hyperlink"/>
                <w:rFonts w:ascii="Arial" w:hAnsi="Arial" w:cs="Arial"/>
                <w:noProof/>
              </w:rPr>
              <w:t>4.7 Recommended Restructuring Strategy</w:t>
            </w:r>
            <w:r>
              <w:rPr>
                <w:noProof/>
                <w:webHidden/>
              </w:rPr>
              <w:tab/>
            </w:r>
            <w:r>
              <w:rPr>
                <w:noProof/>
                <w:webHidden/>
              </w:rPr>
              <w:fldChar w:fldCharType="begin"/>
            </w:r>
            <w:r>
              <w:rPr>
                <w:noProof/>
                <w:webHidden/>
              </w:rPr>
              <w:instrText xml:space="preserve"> PAGEREF _Toc237412883 \h </w:instrText>
            </w:r>
            <w:r>
              <w:rPr>
                <w:noProof/>
                <w:webHidden/>
              </w:rPr>
            </w:r>
            <w:r>
              <w:rPr>
                <w:noProof/>
                <w:webHidden/>
              </w:rPr>
              <w:fldChar w:fldCharType="separate"/>
            </w:r>
            <w:r>
              <w:rPr>
                <w:noProof/>
                <w:webHidden/>
              </w:rPr>
              <w:t>18</w:t>
            </w:r>
            <w:r>
              <w:rPr>
                <w:noProof/>
                <w:webHidden/>
              </w:rPr>
              <w:fldChar w:fldCharType="end"/>
            </w:r>
          </w:hyperlink>
        </w:p>
        <w:p w14:paraId="3946DF55" w14:textId="04C71CCA" w:rsidR="005B6B06" w:rsidRDefault="005B6B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412884" w:history="1">
            <w:r w:rsidRPr="005A46C2">
              <w:rPr>
                <w:rStyle w:val="Hyperlink"/>
                <w:rFonts w:ascii="Arial" w:hAnsi="Arial" w:cs="Arial"/>
                <w:noProof/>
                <w:lang w:val="en-IN"/>
              </w:rPr>
              <w:t>5. Investment Appraisal and Capital Budgeting</w:t>
            </w:r>
            <w:r>
              <w:rPr>
                <w:noProof/>
                <w:webHidden/>
              </w:rPr>
              <w:tab/>
            </w:r>
            <w:r>
              <w:rPr>
                <w:noProof/>
                <w:webHidden/>
              </w:rPr>
              <w:fldChar w:fldCharType="begin"/>
            </w:r>
            <w:r>
              <w:rPr>
                <w:noProof/>
                <w:webHidden/>
              </w:rPr>
              <w:instrText xml:space="preserve"> PAGEREF _Toc237412884 \h </w:instrText>
            </w:r>
            <w:r>
              <w:rPr>
                <w:noProof/>
                <w:webHidden/>
              </w:rPr>
            </w:r>
            <w:r>
              <w:rPr>
                <w:noProof/>
                <w:webHidden/>
              </w:rPr>
              <w:fldChar w:fldCharType="separate"/>
            </w:r>
            <w:r>
              <w:rPr>
                <w:noProof/>
                <w:webHidden/>
              </w:rPr>
              <w:t>19</w:t>
            </w:r>
            <w:r>
              <w:rPr>
                <w:noProof/>
                <w:webHidden/>
              </w:rPr>
              <w:fldChar w:fldCharType="end"/>
            </w:r>
          </w:hyperlink>
        </w:p>
        <w:p w14:paraId="6EF2906D" w14:textId="7D98293B"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5" w:history="1">
            <w:r w:rsidRPr="005A46C2">
              <w:rPr>
                <w:rStyle w:val="Hyperlink"/>
                <w:rFonts w:ascii="Arial" w:hAnsi="Arial" w:cs="Arial"/>
                <w:noProof/>
              </w:rPr>
              <w:t>5.1 Proposed Investment Projects</w:t>
            </w:r>
            <w:r>
              <w:rPr>
                <w:noProof/>
                <w:webHidden/>
              </w:rPr>
              <w:tab/>
            </w:r>
            <w:r>
              <w:rPr>
                <w:noProof/>
                <w:webHidden/>
              </w:rPr>
              <w:fldChar w:fldCharType="begin"/>
            </w:r>
            <w:r>
              <w:rPr>
                <w:noProof/>
                <w:webHidden/>
              </w:rPr>
              <w:instrText xml:space="preserve"> PAGEREF _Toc237412885 \h </w:instrText>
            </w:r>
            <w:r>
              <w:rPr>
                <w:noProof/>
                <w:webHidden/>
              </w:rPr>
            </w:r>
            <w:r>
              <w:rPr>
                <w:noProof/>
                <w:webHidden/>
              </w:rPr>
              <w:fldChar w:fldCharType="separate"/>
            </w:r>
            <w:r>
              <w:rPr>
                <w:noProof/>
                <w:webHidden/>
              </w:rPr>
              <w:t>19</w:t>
            </w:r>
            <w:r>
              <w:rPr>
                <w:noProof/>
                <w:webHidden/>
              </w:rPr>
              <w:fldChar w:fldCharType="end"/>
            </w:r>
          </w:hyperlink>
        </w:p>
        <w:p w14:paraId="6A9B898D" w14:textId="37C1A1B9"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6" w:history="1">
            <w:r w:rsidRPr="005A46C2">
              <w:rPr>
                <w:rStyle w:val="Hyperlink"/>
                <w:rFonts w:ascii="Arial" w:hAnsi="Arial" w:cs="Arial"/>
                <w:noProof/>
              </w:rPr>
              <w:t>5.2 Payback Period (PBP)</w:t>
            </w:r>
            <w:r>
              <w:rPr>
                <w:noProof/>
                <w:webHidden/>
              </w:rPr>
              <w:tab/>
            </w:r>
            <w:r>
              <w:rPr>
                <w:noProof/>
                <w:webHidden/>
              </w:rPr>
              <w:fldChar w:fldCharType="begin"/>
            </w:r>
            <w:r>
              <w:rPr>
                <w:noProof/>
                <w:webHidden/>
              </w:rPr>
              <w:instrText xml:space="preserve"> PAGEREF _Toc237412886 \h </w:instrText>
            </w:r>
            <w:r>
              <w:rPr>
                <w:noProof/>
                <w:webHidden/>
              </w:rPr>
            </w:r>
            <w:r>
              <w:rPr>
                <w:noProof/>
                <w:webHidden/>
              </w:rPr>
              <w:fldChar w:fldCharType="separate"/>
            </w:r>
            <w:r>
              <w:rPr>
                <w:noProof/>
                <w:webHidden/>
              </w:rPr>
              <w:t>20</w:t>
            </w:r>
            <w:r>
              <w:rPr>
                <w:noProof/>
                <w:webHidden/>
              </w:rPr>
              <w:fldChar w:fldCharType="end"/>
            </w:r>
          </w:hyperlink>
        </w:p>
        <w:p w14:paraId="6BF8CC0C" w14:textId="58F288FC"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7" w:history="1">
            <w:r w:rsidRPr="005A46C2">
              <w:rPr>
                <w:rStyle w:val="Hyperlink"/>
                <w:rFonts w:ascii="Arial" w:hAnsi="Arial" w:cs="Arial"/>
                <w:noProof/>
              </w:rPr>
              <w:t>5.3 Accounting Rate of Return (ARR)</w:t>
            </w:r>
            <w:r>
              <w:rPr>
                <w:noProof/>
                <w:webHidden/>
              </w:rPr>
              <w:tab/>
            </w:r>
            <w:r>
              <w:rPr>
                <w:noProof/>
                <w:webHidden/>
              </w:rPr>
              <w:fldChar w:fldCharType="begin"/>
            </w:r>
            <w:r>
              <w:rPr>
                <w:noProof/>
                <w:webHidden/>
              </w:rPr>
              <w:instrText xml:space="preserve"> PAGEREF _Toc237412887 \h </w:instrText>
            </w:r>
            <w:r>
              <w:rPr>
                <w:noProof/>
                <w:webHidden/>
              </w:rPr>
            </w:r>
            <w:r>
              <w:rPr>
                <w:noProof/>
                <w:webHidden/>
              </w:rPr>
              <w:fldChar w:fldCharType="separate"/>
            </w:r>
            <w:r>
              <w:rPr>
                <w:noProof/>
                <w:webHidden/>
              </w:rPr>
              <w:t>20</w:t>
            </w:r>
            <w:r>
              <w:rPr>
                <w:noProof/>
                <w:webHidden/>
              </w:rPr>
              <w:fldChar w:fldCharType="end"/>
            </w:r>
          </w:hyperlink>
        </w:p>
        <w:p w14:paraId="42B8E2CB" w14:textId="613923BE"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8" w:history="1">
            <w:r w:rsidRPr="005A46C2">
              <w:rPr>
                <w:rStyle w:val="Hyperlink"/>
                <w:rFonts w:ascii="Arial" w:hAnsi="Arial" w:cs="Arial"/>
                <w:noProof/>
              </w:rPr>
              <w:t>5.4 Net Present Value (NPV)</w:t>
            </w:r>
            <w:r>
              <w:rPr>
                <w:noProof/>
                <w:webHidden/>
              </w:rPr>
              <w:tab/>
            </w:r>
            <w:r>
              <w:rPr>
                <w:noProof/>
                <w:webHidden/>
              </w:rPr>
              <w:fldChar w:fldCharType="begin"/>
            </w:r>
            <w:r>
              <w:rPr>
                <w:noProof/>
                <w:webHidden/>
              </w:rPr>
              <w:instrText xml:space="preserve"> PAGEREF _Toc237412888 \h </w:instrText>
            </w:r>
            <w:r>
              <w:rPr>
                <w:noProof/>
                <w:webHidden/>
              </w:rPr>
            </w:r>
            <w:r>
              <w:rPr>
                <w:noProof/>
                <w:webHidden/>
              </w:rPr>
              <w:fldChar w:fldCharType="separate"/>
            </w:r>
            <w:r>
              <w:rPr>
                <w:noProof/>
                <w:webHidden/>
              </w:rPr>
              <w:t>21</w:t>
            </w:r>
            <w:r>
              <w:rPr>
                <w:noProof/>
                <w:webHidden/>
              </w:rPr>
              <w:fldChar w:fldCharType="end"/>
            </w:r>
          </w:hyperlink>
        </w:p>
        <w:p w14:paraId="49E15818" w14:textId="3D60B156"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89" w:history="1">
            <w:r w:rsidRPr="005A46C2">
              <w:rPr>
                <w:rStyle w:val="Hyperlink"/>
                <w:rFonts w:ascii="Arial" w:hAnsi="Arial" w:cs="Arial"/>
                <w:noProof/>
              </w:rPr>
              <w:t>5.5 Profitability Index (PI)</w:t>
            </w:r>
            <w:r>
              <w:rPr>
                <w:noProof/>
                <w:webHidden/>
              </w:rPr>
              <w:tab/>
            </w:r>
            <w:r>
              <w:rPr>
                <w:noProof/>
                <w:webHidden/>
              </w:rPr>
              <w:fldChar w:fldCharType="begin"/>
            </w:r>
            <w:r>
              <w:rPr>
                <w:noProof/>
                <w:webHidden/>
              </w:rPr>
              <w:instrText xml:space="preserve"> PAGEREF _Toc237412889 \h </w:instrText>
            </w:r>
            <w:r>
              <w:rPr>
                <w:noProof/>
                <w:webHidden/>
              </w:rPr>
            </w:r>
            <w:r>
              <w:rPr>
                <w:noProof/>
                <w:webHidden/>
              </w:rPr>
              <w:fldChar w:fldCharType="separate"/>
            </w:r>
            <w:r>
              <w:rPr>
                <w:noProof/>
                <w:webHidden/>
              </w:rPr>
              <w:t>22</w:t>
            </w:r>
            <w:r>
              <w:rPr>
                <w:noProof/>
                <w:webHidden/>
              </w:rPr>
              <w:fldChar w:fldCharType="end"/>
            </w:r>
          </w:hyperlink>
        </w:p>
        <w:p w14:paraId="64FD5C18" w14:textId="67F2DA98"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90" w:history="1">
            <w:r w:rsidRPr="005A46C2">
              <w:rPr>
                <w:rStyle w:val="Hyperlink"/>
                <w:rFonts w:ascii="Arial" w:hAnsi="Arial" w:cs="Arial"/>
                <w:noProof/>
              </w:rPr>
              <w:t>5.6 Internal Rate of Return (IRR)</w:t>
            </w:r>
            <w:r>
              <w:rPr>
                <w:noProof/>
                <w:webHidden/>
              </w:rPr>
              <w:tab/>
            </w:r>
            <w:r>
              <w:rPr>
                <w:noProof/>
                <w:webHidden/>
              </w:rPr>
              <w:fldChar w:fldCharType="begin"/>
            </w:r>
            <w:r>
              <w:rPr>
                <w:noProof/>
                <w:webHidden/>
              </w:rPr>
              <w:instrText xml:space="preserve"> PAGEREF _Toc237412890 \h </w:instrText>
            </w:r>
            <w:r>
              <w:rPr>
                <w:noProof/>
                <w:webHidden/>
              </w:rPr>
            </w:r>
            <w:r>
              <w:rPr>
                <w:noProof/>
                <w:webHidden/>
              </w:rPr>
              <w:fldChar w:fldCharType="separate"/>
            </w:r>
            <w:r>
              <w:rPr>
                <w:noProof/>
                <w:webHidden/>
              </w:rPr>
              <w:t>23</w:t>
            </w:r>
            <w:r>
              <w:rPr>
                <w:noProof/>
                <w:webHidden/>
              </w:rPr>
              <w:fldChar w:fldCharType="end"/>
            </w:r>
          </w:hyperlink>
        </w:p>
        <w:p w14:paraId="66C2FA94" w14:textId="4FE1B3FB"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91" w:history="1">
            <w:r w:rsidRPr="005A46C2">
              <w:rPr>
                <w:rStyle w:val="Hyperlink"/>
                <w:rFonts w:ascii="Arial" w:hAnsi="Arial" w:cs="Arial"/>
                <w:noProof/>
              </w:rPr>
              <w:t>5.7 Overall Investment Appraisal Comparison</w:t>
            </w:r>
            <w:r>
              <w:rPr>
                <w:noProof/>
                <w:webHidden/>
              </w:rPr>
              <w:tab/>
            </w:r>
            <w:r>
              <w:rPr>
                <w:noProof/>
                <w:webHidden/>
              </w:rPr>
              <w:fldChar w:fldCharType="begin"/>
            </w:r>
            <w:r>
              <w:rPr>
                <w:noProof/>
                <w:webHidden/>
              </w:rPr>
              <w:instrText xml:space="preserve"> PAGEREF _Toc237412891 \h </w:instrText>
            </w:r>
            <w:r>
              <w:rPr>
                <w:noProof/>
                <w:webHidden/>
              </w:rPr>
            </w:r>
            <w:r>
              <w:rPr>
                <w:noProof/>
                <w:webHidden/>
              </w:rPr>
              <w:fldChar w:fldCharType="separate"/>
            </w:r>
            <w:r>
              <w:rPr>
                <w:noProof/>
                <w:webHidden/>
              </w:rPr>
              <w:t>23</w:t>
            </w:r>
            <w:r>
              <w:rPr>
                <w:noProof/>
                <w:webHidden/>
              </w:rPr>
              <w:fldChar w:fldCharType="end"/>
            </w:r>
          </w:hyperlink>
        </w:p>
        <w:p w14:paraId="6113F540" w14:textId="63941961"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92" w:history="1">
            <w:r w:rsidRPr="005A46C2">
              <w:rPr>
                <w:rStyle w:val="Hyperlink"/>
                <w:rFonts w:ascii="Arial" w:hAnsi="Arial" w:cs="Arial"/>
                <w:noProof/>
              </w:rPr>
              <w:t>5.8 Project Recommendation</w:t>
            </w:r>
            <w:r>
              <w:rPr>
                <w:noProof/>
                <w:webHidden/>
              </w:rPr>
              <w:tab/>
            </w:r>
            <w:r>
              <w:rPr>
                <w:noProof/>
                <w:webHidden/>
              </w:rPr>
              <w:fldChar w:fldCharType="begin"/>
            </w:r>
            <w:r>
              <w:rPr>
                <w:noProof/>
                <w:webHidden/>
              </w:rPr>
              <w:instrText xml:space="preserve"> PAGEREF _Toc237412892 \h </w:instrText>
            </w:r>
            <w:r>
              <w:rPr>
                <w:noProof/>
                <w:webHidden/>
              </w:rPr>
            </w:r>
            <w:r>
              <w:rPr>
                <w:noProof/>
                <w:webHidden/>
              </w:rPr>
              <w:fldChar w:fldCharType="separate"/>
            </w:r>
            <w:r>
              <w:rPr>
                <w:noProof/>
                <w:webHidden/>
              </w:rPr>
              <w:t>24</w:t>
            </w:r>
            <w:r>
              <w:rPr>
                <w:noProof/>
                <w:webHidden/>
              </w:rPr>
              <w:fldChar w:fldCharType="end"/>
            </w:r>
          </w:hyperlink>
        </w:p>
        <w:p w14:paraId="55B49142" w14:textId="3570BAE6"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93" w:history="1">
            <w:r w:rsidRPr="005A46C2">
              <w:rPr>
                <w:rStyle w:val="Hyperlink"/>
                <w:rFonts w:ascii="Arial" w:hAnsi="Arial" w:cs="Arial"/>
                <w:noProof/>
              </w:rPr>
              <w:t>5.9 Capital Rationing</w:t>
            </w:r>
            <w:r>
              <w:rPr>
                <w:noProof/>
                <w:webHidden/>
              </w:rPr>
              <w:tab/>
            </w:r>
            <w:r>
              <w:rPr>
                <w:noProof/>
                <w:webHidden/>
              </w:rPr>
              <w:fldChar w:fldCharType="begin"/>
            </w:r>
            <w:r>
              <w:rPr>
                <w:noProof/>
                <w:webHidden/>
              </w:rPr>
              <w:instrText xml:space="preserve"> PAGEREF _Toc237412893 \h </w:instrText>
            </w:r>
            <w:r>
              <w:rPr>
                <w:noProof/>
                <w:webHidden/>
              </w:rPr>
            </w:r>
            <w:r>
              <w:rPr>
                <w:noProof/>
                <w:webHidden/>
              </w:rPr>
              <w:fldChar w:fldCharType="separate"/>
            </w:r>
            <w:r>
              <w:rPr>
                <w:noProof/>
                <w:webHidden/>
              </w:rPr>
              <w:t>24</w:t>
            </w:r>
            <w:r>
              <w:rPr>
                <w:noProof/>
                <w:webHidden/>
              </w:rPr>
              <w:fldChar w:fldCharType="end"/>
            </w:r>
          </w:hyperlink>
        </w:p>
        <w:p w14:paraId="0B35783B" w14:textId="74B0BC2C" w:rsidR="005B6B06" w:rsidRDefault="005B6B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412894" w:history="1">
            <w:r w:rsidRPr="005A46C2">
              <w:rPr>
                <w:rStyle w:val="Hyperlink"/>
                <w:rFonts w:ascii="Arial" w:hAnsi="Arial" w:cs="Arial"/>
                <w:noProof/>
              </w:rPr>
              <w:t>5.10 Overall Investment Decision</w:t>
            </w:r>
            <w:r>
              <w:rPr>
                <w:noProof/>
                <w:webHidden/>
              </w:rPr>
              <w:tab/>
            </w:r>
            <w:r>
              <w:rPr>
                <w:noProof/>
                <w:webHidden/>
              </w:rPr>
              <w:fldChar w:fldCharType="begin"/>
            </w:r>
            <w:r>
              <w:rPr>
                <w:noProof/>
                <w:webHidden/>
              </w:rPr>
              <w:instrText xml:space="preserve"> PAGEREF _Toc237412894 \h </w:instrText>
            </w:r>
            <w:r>
              <w:rPr>
                <w:noProof/>
                <w:webHidden/>
              </w:rPr>
            </w:r>
            <w:r>
              <w:rPr>
                <w:noProof/>
                <w:webHidden/>
              </w:rPr>
              <w:fldChar w:fldCharType="separate"/>
            </w:r>
            <w:r>
              <w:rPr>
                <w:noProof/>
                <w:webHidden/>
              </w:rPr>
              <w:t>25</w:t>
            </w:r>
            <w:r>
              <w:rPr>
                <w:noProof/>
                <w:webHidden/>
              </w:rPr>
              <w:fldChar w:fldCharType="end"/>
            </w:r>
          </w:hyperlink>
        </w:p>
        <w:p w14:paraId="1D522E73" w14:textId="370CDA4A" w:rsidR="005B6B06" w:rsidRDefault="005B6B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412895" w:history="1">
            <w:r w:rsidRPr="005A46C2">
              <w:rPr>
                <w:rStyle w:val="Hyperlink"/>
                <w:rFonts w:ascii="Arial" w:hAnsi="Arial" w:cs="Arial"/>
                <w:noProof/>
                <w:lang w:val="en-IN"/>
              </w:rPr>
              <w:t>6. Conclusion</w:t>
            </w:r>
            <w:r>
              <w:rPr>
                <w:noProof/>
                <w:webHidden/>
              </w:rPr>
              <w:tab/>
            </w:r>
            <w:r>
              <w:rPr>
                <w:noProof/>
                <w:webHidden/>
              </w:rPr>
              <w:fldChar w:fldCharType="begin"/>
            </w:r>
            <w:r>
              <w:rPr>
                <w:noProof/>
                <w:webHidden/>
              </w:rPr>
              <w:instrText xml:space="preserve"> PAGEREF _Toc237412895 \h </w:instrText>
            </w:r>
            <w:r>
              <w:rPr>
                <w:noProof/>
                <w:webHidden/>
              </w:rPr>
            </w:r>
            <w:r>
              <w:rPr>
                <w:noProof/>
                <w:webHidden/>
              </w:rPr>
              <w:fldChar w:fldCharType="separate"/>
            </w:r>
            <w:r>
              <w:rPr>
                <w:noProof/>
                <w:webHidden/>
              </w:rPr>
              <w:t>26</w:t>
            </w:r>
            <w:r>
              <w:rPr>
                <w:noProof/>
                <w:webHidden/>
              </w:rPr>
              <w:fldChar w:fldCharType="end"/>
            </w:r>
          </w:hyperlink>
        </w:p>
        <w:p w14:paraId="74CCC266" w14:textId="5B111590" w:rsidR="005B6B06" w:rsidRDefault="005B6B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412896" w:history="1">
            <w:r w:rsidRPr="005A46C2">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_Toc237412896 \h </w:instrText>
            </w:r>
            <w:r>
              <w:rPr>
                <w:noProof/>
                <w:webHidden/>
              </w:rPr>
            </w:r>
            <w:r>
              <w:rPr>
                <w:noProof/>
                <w:webHidden/>
              </w:rPr>
              <w:fldChar w:fldCharType="separate"/>
            </w:r>
            <w:r>
              <w:rPr>
                <w:noProof/>
                <w:webHidden/>
              </w:rPr>
              <w:t>27</w:t>
            </w:r>
            <w:r>
              <w:rPr>
                <w:noProof/>
                <w:webHidden/>
              </w:rPr>
              <w:fldChar w:fldCharType="end"/>
            </w:r>
          </w:hyperlink>
        </w:p>
        <w:p w14:paraId="104D1B14" w14:textId="6E4AADFA" w:rsidR="008E4DEB" w:rsidRPr="006956C9" w:rsidRDefault="008E4DEB" w:rsidP="006956C9">
          <w:pPr>
            <w:rPr>
              <w:rFonts w:ascii="Arial" w:hAnsi="Arial" w:cs="Arial"/>
            </w:rPr>
          </w:pPr>
          <w:r w:rsidRPr="006956C9">
            <w:rPr>
              <w:rFonts w:ascii="Arial" w:hAnsi="Arial" w:cs="Arial"/>
              <w:b/>
              <w:bCs/>
              <w:noProof/>
            </w:rPr>
            <w:fldChar w:fldCharType="end"/>
          </w:r>
        </w:p>
      </w:sdtContent>
    </w:sdt>
    <w:p w14:paraId="4C62EBE5" w14:textId="77777777" w:rsidR="00382C4B" w:rsidRPr="006956C9" w:rsidRDefault="00382C4B" w:rsidP="006956C9">
      <w:pPr>
        <w:rPr>
          <w:rFonts w:ascii="Arial" w:hAnsi="Arial" w:cs="Arial"/>
          <w:b/>
          <w:bCs/>
          <w:lang w:val="en-IN"/>
        </w:rPr>
      </w:pPr>
    </w:p>
    <w:p w14:paraId="539F10DA" w14:textId="1FEA2222" w:rsidR="00382C4B" w:rsidRDefault="00010419" w:rsidP="006956C9">
      <w:pPr>
        <w:rPr>
          <w:rFonts w:ascii="Arial" w:hAnsi="Arial" w:cs="Arial"/>
          <w:b/>
          <w:bCs/>
          <w:lang w:val="en-IN"/>
        </w:rPr>
      </w:pPr>
      <w:r>
        <w:rPr>
          <w:rFonts w:ascii="Arial" w:hAnsi="Arial" w:cs="Arial"/>
          <w:b/>
          <w:bCs/>
          <w:lang w:val="en-IN"/>
        </w:rPr>
        <w:t>Tables in the report</w:t>
      </w:r>
    </w:p>
    <w:p w14:paraId="5F770C73" w14:textId="12E46EE3" w:rsidR="00010419" w:rsidRDefault="00010419">
      <w:pPr>
        <w:pStyle w:val="TableofFigures"/>
        <w:tabs>
          <w:tab w:val="right" w:leader="dot" w:pos="9016"/>
        </w:tabs>
        <w:rPr>
          <w:noProof/>
        </w:rPr>
      </w:pPr>
      <w:r>
        <w:rPr>
          <w:rFonts w:ascii="Arial" w:hAnsi="Arial" w:cs="Arial"/>
          <w:b/>
          <w:bCs/>
          <w:lang w:val="en-IN"/>
        </w:rPr>
        <w:fldChar w:fldCharType="begin"/>
      </w:r>
      <w:r>
        <w:rPr>
          <w:rFonts w:ascii="Arial" w:hAnsi="Arial" w:cs="Arial"/>
          <w:b/>
          <w:bCs/>
          <w:lang w:val="en-IN"/>
        </w:rPr>
        <w:instrText xml:space="preserve"> TOC \h \z \c "Table" </w:instrText>
      </w:r>
      <w:r>
        <w:rPr>
          <w:rFonts w:ascii="Arial" w:hAnsi="Arial" w:cs="Arial"/>
          <w:b/>
          <w:bCs/>
          <w:lang w:val="en-IN"/>
        </w:rPr>
        <w:fldChar w:fldCharType="separate"/>
      </w:r>
      <w:hyperlink w:anchor="_Toc237412682" w:history="1">
        <w:r w:rsidRPr="006920EF">
          <w:rPr>
            <w:rStyle w:val="Hyperlink"/>
            <w:rFonts w:ascii="Arial" w:hAnsi="Arial" w:cs="Arial"/>
            <w:noProof/>
          </w:rPr>
          <w:t>Table 1: Marriott Working Capital Indicators, 2021–2025</w:t>
        </w:r>
        <w:r>
          <w:rPr>
            <w:noProof/>
            <w:webHidden/>
          </w:rPr>
          <w:tab/>
        </w:r>
        <w:r>
          <w:rPr>
            <w:noProof/>
            <w:webHidden/>
          </w:rPr>
          <w:fldChar w:fldCharType="begin"/>
        </w:r>
        <w:r>
          <w:rPr>
            <w:noProof/>
            <w:webHidden/>
          </w:rPr>
          <w:instrText xml:space="preserve"> PAGEREF _Toc237412682 \h </w:instrText>
        </w:r>
        <w:r>
          <w:rPr>
            <w:noProof/>
            <w:webHidden/>
          </w:rPr>
        </w:r>
        <w:r>
          <w:rPr>
            <w:noProof/>
            <w:webHidden/>
          </w:rPr>
          <w:fldChar w:fldCharType="separate"/>
        </w:r>
        <w:r>
          <w:rPr>
            <w:noProof/>
            <w:webHidden/>
          </w:rPr>
          <w:t>11</w:t>
        </w:r>
        <w:r>
          <w:rPr>
            <w:noProof/>
            <w:webHidden/>
          </w:rPr>
          <w:fldChar w:fldCharType="end"/>
        </w:r>
      </w:hyperlink>
    </w:p>
    <w:p w14:paraId="7525804D" w14:textId="78FA702A" w:rsidR="00010419" w:rsidRDefault="00010419">
      <w:pPr>
        <w:pStyle w:val="TableofFigures"/>
        <w:tabs>
          <w:tab w:val="right" w:leader="dot" w:pos="9016"/>
        </w:tabs>
        <w:rPr>
          <w:noProof/>
        </w:rPr>
      </w:pPr>
      <w:hyperlink w:anchor="_Toc237412683" w:history="1">
        <w:r w:rsidRPr="006920EF">
          <w:rPr>
            <w:rStyle w:val="Hyperlink"/>
            <w:rFonts w:ascii="Arial" w:hAnsi="Arial" w:cs="Arial"/>
            <w:noProof/>
          </w:rPr>
          <w:t>Table 2: Financing Options for Marriott</w:t>
        </w:r>
        <w:r>
          <w:rPr>
            <w:noProof/>
            <w:webHidden/>
          </w:rPr>
          <w:tab/>
        </w:r>
        <w:r>
          <w:rPr>
            <w:noProof/>
            <w:webHidden/>
          </w:rPr>
          <w:fldChar w:fldCharType="begin"/>
        </w:r>
        <w:r>
          <w:rPr>
            <w:noProof/>
            <w:webHidden/>
          </w:rPr>
          <w:instrText xml:space="preserve"> PAGEREF _Toc237412683 \h </w:instrText>
        </w:r>
        <w:r>
          <w:rPr>
            <w:noProof/>
            <w:webHidden/>
          </w:rPr>
        </w:r>
        <w:r>
          <w:rPr>
            <w:noProof/>
            <w:webHidden/>
          </w:rPr>
          <w:fldChar w:fldCharType="separate"/>
        </w:r>
        <w:r>
          <w:rPr>
            <w:noProof/>
            <w:webHidden/>
          </w:rPr>
          <w:t>14</w:t>
        </w:r>
        <w:r>
          <w:rPr>
            <w:noProof/>
            <w:webHidden/>
          </w:rPr>
          <w:fldChar w:fldCharType="end"/>
        </w:r>
      </w:hyperlink>
    </w:p>
    <w:p w14:paraId="3AB7F2B9" w14:textId="3FA02F19" w:rsidR="00010419" w:rsidRDefault="00010419">
      <w:pPr>
        <w:pStyle w:val="TableofFigures"/>
        <w:tabs>
          <w:tab w:val="right" w:leader="dot" w:pos="9016"/>
        </w:tabs>
        <w:rPr>
          <w:noProof/>
        </w:rPr>
      </w:pPr>
      <w:hyperlink w:anchor="_Toc237412684" w:history="1">
        <w:r w:rsidRPr="006920EF">
          <w:rPr>
            <w:rStyle w:val="Hyperlink"/>
            <w:rFonts w:ascii="Arial" w:hAnsi="Arial" w:cs="Arial"/>
            <w:noProof/>
          </w:rPr>
          <w:t>Table 3: Strategic Financial Restructuring Options for Marriott</w:t>
        </w:r>
        <w:r>
          <w:rPr>
            <w:noProof/>
            <w:webHidden/>
          </w:rPr>
          <w:tab/>
        </w:r>
        <w:r>
          <w:rPr>
            <w:noProof/>
            <w:webHidden/>
          </w:rPr>
          <w:fldChar w:fldCharType="begin"/>
        </w:r>
        <w:r>
          <w:rPr>
            <w:noProof/>
            <w:webHidden/>
          </w:rPr>
          <w:instrText xml:space="preserve"> PAGEREF _Toc237412684 \h </w:instrText>
        </w:r>
        <w:r>
          <w:rPr>
            <w:noProof/>
            <w:webHidden/>
          </w:rPr>
        </w:r>
        <w:r>
          <w:rPr>
            <w:noProof/>
            <w:webHidden/>
          </w:rPr>
          <w:fldChar w:fldCharType="separate"/>
        </w:r>
        <w:r>
          <w:rPr>
            <w:noProof/>
            <w:webHidden/>
          </w:rPr>
          <w:t>18</w:t>
        </w:r>
        <w:r>
          <w:rPr>
            <w:noProof/>
            <w:webHidden/>
          </w:rPr>
          <w:fldChar w:fldCharType="end"/>
        </w:r>
      </w:hyperlink>
    </w:p>
    <w:p w14:paraId="3DE77AA6" w14:textId="2DC0FF9C" w:rsidR="00010419" w:rsidRDefault="00010419">
      <w:pPr>
        <w:pStyle w:val="TableofFigures"/>
        <w:tabs>
          <w:tab w:val="right" w:leader="dot" w:pos="9016"/>
        </w:tabs>
        <w:rPr>
          <w:noProof/>
        </w:rPr>
      </w:pPr>
      <w:hyperlink w:anchor="_Toc237412685" w:history="1">
        <w:r w:rsidRPr="006920EF">
          <w:rPr>
            <w:rStyle w:val="Hyperlink"/>
            <w:rFonts w:ascii="Arial" w:hAnsi="Arial" w:cs="Arial"/>
            <w:noProof/>
          </w:rPr>
          <w:t>Table 4: Proposed Investment Projects</w:t>
        </w:r>
        <w:r>
          <w:rPr>
            <w:noProof/>
            <w:webHidden/>
          </w:rPr>
          <w:tab/>
        </w:r>
        <w:r>
          <w:rPr>
            <w:noProof/>
            <w:webHidden/>
          </w:rPr>
          <w:fldChar w:fldCharType="begin"/>
        </w:r>
        <w:r>
          <w:rPr>
            <w:noProof/>
            <w:webHidden/>
          </w:rPr>
          <w:instrText xml:space="preserve"> PAGEREF _Toc237412685 \h </w:instrText>
        </w:r>
        <w:r>
          <w:rPr>
            <w:noProof/>
            <w:webHidden/>
          </w:rPr>
        </w:r>
        <w:r>
          <w:rPr>
            <w:noProof/>
            <w:webHidden/>
          </w:rPr>
          <w:fldChar w:fldCharType="separate"/>
        </w:r>
        <w:r>
          <w:rPr>
            <w:noProof/>
            <w:webHidden/>
          </w:rPr>
          <w:t>19</w:t>
        </w:r>
        <w:r>
          <w:rPr>
            <w:noProof/>
            <w:webHidden/>
          </w:rPr>
          <w:fldChar w:fldCharType="end"/>
        </w:r>
      </w:hyperlink>
    </w:p>
    <w:p w14:paraId="74590B2B" w14:textId="7D892C1C" w:rsidR="00010419" w:rsidRDefault="00010419">
      <w:pPr>
        <w:pStyle w:val="TableofFigures"/>
        <w:tabs>
          <w:tab w:val="right" w:leader="dot" w:pos="9016"/>
        </w:tabs>
        <w:rPr>
          <w:noProof/>
        </w:rPr>
      </w:pPr>
      <w:hyperlink w:anchor="_Toc237412686" w:history="1">
        <w:r w:rsidRPr="006920EF">
          <w:rPr>
            <w:rStyle w:val="Hyperlink"/>
            <w:rFonts w:ascii="Arial" w:hAnsi="Arial" w:cs="Arial"/>
            <w:noProof/>
          </w:rPr>
          <w:t>Table 5: Payback Period</w:t>
        </w:r>
        <w:r>
          <w:rPr>
            <w:noProof/>
            <w:webHidden/>
          </w:rPr>
          <w:tab/>
        </w:r>
        <w:r>
          <w:rPr>
            <w:noProof/>
            <w:webHidden/>
          </w:rPr>
          <w:fldChar w:fldCharType="begin"/>
        </w:r>
        <w:r>
          <w:rPr>
            <w:noProof/>
            <w:webHidden/>
          </w:rPr>
          <w:instrText xml:space="preserve"> PAGEREF _Toc237412686 \h </w:instrText>
        </w:r>
        <w:r>
          <w:rPr>
            <w:noProof/>
            <w:webHidden/>
          </w:rPr>
        </w:r>
        <w:r>
          <w:rPr>
            <w:noProof/>
            <w:webHidden/>
          </w:rPr>
          <w:fldChar w:fldCharType="separate"/>
        </w:r>
        <w:r>
          <w:rPr>
            <w:noProof/>
            <w:webHidden/>
          </w:rPr>
          <w:t>20</w:t>
        </w:r>
        <w:r>
          <w:rPr>
            <w:noProof/>
            <w:webHidden/>
          </w:rPr>
          <w:fldChar w:fldCharType="end"/>
        </w:r>
      </w:hyperlink>
    </w:p>
    <w:p w14:paraId="170E5ACC" w14:textId="266EFC36" w:rsidR="00010419" w:rsidRDefault="00010419">
      <w:pPr>
        <w:pStyle w:val="TableofFigures"/>
        <w:tabs>
          <w:tab w:val="right" w:leader="dot" w:pos="9016"/>
        </w:tabs>
        <w:rPr>
          <w:noProof/>
        </w:rPr>
      </w:pPr>
      <w:hyperlink w:anchor="_Toc237412687" w:history="1">
        <w:r w:rsidRPr="006920EF">
          <w:rPr>
            <w:rStyle w:val="Hyperlink"/>
            <w:rFonts w:ascii="Arial" w:hAnsi="Arial" w:cs="Arial"/>
            <w:noProof/>
          </w:rPr>
          <w:t>Table 6: ARR Comparison</w:t>
        </w:r>
        <w:r>
          <w:rPr>
            <w:noProof/>
            <w:webHidden/>
          </w:rPr>
          <w:tab/>
        </w:r>
        <w:r>
          <w:rPr>
            <w:noProof/>
            <w:webHidden/>
          </w:rPr>
          <w:fldChar w:fldCharType="begin"/>
        </w:r>
        <w:r>
          <w:rPr>
            <w:noProof/>
            <w:webHidden/>
          </w:rPr>
          <w:instrText xml:space="preserve"> PAGEREF _Toc237412687 \h </w:instrText>
        </w:r>
        <w:r>
          <w:rPr>
            <w:noProof/>
            <w:webHidden/>
          </w:rPr>
        </w:r>
        <w:r>
          <w:rPr>
            <w:noProof/>
            <w:webHidden/>
          </w:rPr>
          <w:fldChar w:fldCharType="separate"/>
        </w:r>
        <w:r>
          <w:rPr>
            <w:noProof/>
            <w:webHidden/>
          </w:rPr>
          <w:t>21</w:t>
        </w:r>
        <w:r>
          <w:rPr>
            <w:noProof/>
            <w:webHidden/>
          </w:rPr>
          <w:fldChar w:fldCharType="end"/>
        </w:r>
      </w:hyperlink>
    </w:p>
    <w:p w14:paraId="1CBE066C" w14:textId="2D6AF1CB" w:rsidR="00010419" w:rsidRDefault="00010419">
      <w:pPr>
        <w:pStyle w:val="TableofFigures"/>
        <w:tabs>
          <w:tab w:val="right" w:leader="dot" w:pos="9016"/>
        </w:tabs>
        <w:rPr>
          <w:noProof/>
        </w:rPr>
      </w:pPr>
      <w:hyperlink w:anchor="_Toc237412688" w:history="1">
        <w:r w:rsidRPr="006920EF">
          <w:rPr>
            <w:rStyle w:val="Hyperlink"/>
            <w:rFonts w:ascii="Arial" w:hAnsi="Arial" w:cs="Arial"/>
            <w:noProof/>
          </w:rPr>
          <w:t>Table 7: Overall Investment Appraisal Results</w:t>
        </w:r>
        <w:r>
          <w:rPr>
            <w:noProof/>
            <w:webHidden/>
          </w:rPr>
          <w:tab/>
        </w:r>
        <w:r>
          <w:rPr>
            <w:noProof/>
            <w:webHidden/>
          </w:rPr>
          <w:fldChar w:fldCharType="begin"/>
        </w:r>
        <w:r>
          <w:rPr>
            <w:noProof/>
            <w:webHidden/>
          </w:rPr>
          <w:instrText xml:space="preserve"> PAGEREF _Toc237412688 \h </w:instrText>
        </w:r>
        <w:r>
          <w:rPr>
            <w:noProof/>
            <w:webHidden/>
          </w:rPr>
        </w:r>
        <w:r>
          <w:rPr>
            <w:noProof/>
            <w:webHidden/>
          </w:rPr>
          <w:fldChar w:fldCharType="separate"/>
        </w:r>
        <w:r>
          <w:rPr>
            <w:noProof/>
            <w:webHidden/>
          </w:rPr>
          <w:t>23</w:t>
        </w:r>
        <w:r>
          <w:rPr>
            <w:noProof/>
            <w:webHidden/>
          </w:rPr>
          <w:fldChar w:fldCharType="end"/>
        </w:r>
      </w:hyperlink>
    </w:p>
    <w:p w14:paraId="41092D8F" w14:textId="4CF8AFF9" w:rsidR="00010419" w:rsidRDefault="00010419">
      <w:pPr>
        <w:pStyle w:val="TableofFigures"/>
        <w:tabs>
          <w:tab w:val="right" w:leader="dot" w:pos="9016"/>
        </w:tabs>
        <w:rPr>
          <w:noProof/>
        </w:rPr>
      </w:pPr>
      <w:hyperlink w:anchor="_Toc237412689" w:history="1">
        <w:r w:rsidRPr="006920EF">
          <w:rPr>
            <w:rStyle w:val="Hyperlink"/>
            <w:rFonts w:ascii="Arial" w:hAnsi="Arial" w:cs="Arial"/>
            <w:noProof/>
          </w:rPr>
          <w:t>Table 8: Capital Rationing Analysis</w:t>
        </w:r>
        <w:r>
          <w:rPr>
            <w:noProof/>
            <w:webHidden/>
          </w:rPr>
          <w:tab/>
        </w:r>
        <w:r>
          <w:rPr>
            <w:noProof/>
            <w:webHidden/>
          </w:rPr>
          <w:fldChar w:fldCharType="begin"/>
        </w:r>
        <w:r>
          <w:rPr>
            <w:noProof/>
            <w:webHidden/>
          </w:rPr>
          <w:instrText xml:space="preserve"> PAGEREF _Toc237412689 \h </w:instrText>
        </w:r>
        <w:r>
          <w:rPr>
            <w:noProof/>
            <w:webHidden/>
          </w:rPr>
        </w:r>
        <w:r>
          <w:rPr>
            <w:noProof/>
            <w:webHidden/>
          </w:rPr>
          <w:fldChar w:fldCharType="separate"/>
        </w:r>
        <w:r>
          <w:rPr>
            <w:noProof/>
            <w:webHidden/>
          </w:rPr>
          <w:t>25</w:t>
        </w:r>
        <w:r>
          <w:rPr>
            <w:noProof/>
            <w:webHidden/>
          </w:rPr>
          <w:fldChar w:fldCharType="end"/>
        </w:r>
      </w:hyperlink>
    </w:p>
    <w:p w14:paraId="65D91CC4" w14:textId="18259600" w:rsidR="00010419" w:rsidRDefault="00010419" w:rsidP="006956C9">
      <w:pPr>
        <w:rPr>
          <w:rFonts w:ascii="Arial" w:hAnsi="Arial" w:cs="Arial"/>
          <w:b/>
          <w:bCs/>
          <w:lang w:val="en-IN"/>
        </w:rPr>
      </w:pPr>
      <w:r>
        <w:rPr>
          <w:rFonts w:ascii="Arial" w:hAnsi="Arial" w:cs="Arial"/>
          <w:b/>
          <w:bCs/>
          <w:lang w:val="en-IN"/>
        </w:rPr>
        <w:fldChar w:fldCharType="end"/>
      </w:r>
    </w:p>
    <w:p w14:paraId="080D5DC5" w14:textId="19CC8A4C" w:rsidR="00010419" w:rsidRDefault="00010419" w:rsidP="006956C9">
      <w:pPr>
        <w:rPr>
          <w:rFonts w:ascii="Arial" w:hAnsi="Arial" w:cs="Arial"/>
          <w:b/>
          <w:bCs/>
          <w:lang w:val="en-IN"/>
        </w:rPr>
      </w:pPr>
      <w:r>
        <w:rPr>
          <w:rFonts w:ascii="Arial" w:hAnsi="Arial" w:cs="Arial"/>
          <w:b/>
          <w:bCs/>
          <w:lang w:val="en-IN"/>
        </w:rPr>
        <w:t>Table of figures</w:t>
      </w:r>
    </w:p>
    <w:p w14:paraId="3B094382" w14:textId="0E67E960" w:rsidR="00010419" w:rsidRDefault="00010419">
      <w:pPr>
        <w:pStyle w:val="TableofFigures"/>
        <w:tabs>
          <w:tab w:val="right" w:leader="dot" w:pos="9016"/>
        </w:tabs>
        <w:rPr>
          <w:rFonts w:asciiTheme="minorHAnsi" w:eastAsiaTheme="minorEastAsia" w:hAnsiTheme="minorHAnsi"/>
          <w:noProof/>
          <w:kern w:val="2"/>
          <w:szCs w:val="24"/>
          <w:lang w:val="en-IN" w:eastAsia="en-IN"/>
          <w14:ligatures w14:val="standardContextual"/>
        </w:rPr>
      </w:pPr>
      <w:r>
        <w:rPr>
          <w:rFonts w:ascii="Arial" w:hAnsi="Arial" w:cs="Arial"/>
          <w:b/>
          <w:bCs/>
          <w:lang w:val="en-IN"/>
        </w:rPr>
        <w:fldChar w:fldCharType="begin"/>
      </w:r>
      <w:r>
        <w:rPr>
          <w:rFonts w:ascii="Arial" w:hAnsi="Arial" w:cs="Arial"/>
          <w:b/>
          <w:bCs/>
          <w:lang w:val="en-IN"/>
        </w:rPr>
        <w:instrText xml:space="preserve"> TOC \h \z \c "Figure" </w:instrText>
      </w:r>
      <w:r>
        <w:rPr>
          <w:rFonts w:ascii="Arial" w:hAnsi="Arial" w:cs="Arial"/>
          <w:b/>
          <w:bCs/>
          <w:lang w:val="en-IN"/>
        </w:rPr>
        <w:fldChar w:fldCharType="separate"/>
      </w:r>
      <w:hyperlink w:anchor="_Toc237412690" w:history="1">
        <w:r w:rsidRPr="006D3C0A">
          <w:rPr>
            <w:rStyle w:val="Hyperlink"/>
            <w:rFonts w:ascii="Arial" w:hAnsi="Arial" w:cs="Arial"/>
            <w:noProof/>
          </w:rPr>
          <w:t>Figure 1: Marriott Revenue, Operating Income and Net Income, 2021–2025</w:t>
        </w:r>
        <w:r>
          <w:rPr>
            <w:noProof/>
            <w:webHidden/>
          </w:rPr>
          <w:tab/>
        </w:r>
        <w:r>
          <w:rPr>
            <w:noProof/>
            <w:webHidden/>
          </w:rPr>
          <w:fldChar w:fldCharType="begin"/>
        </w:r>
        <w:r>
          <w:rPr>
            <w:noProof/>
            <w:webHidden/>
          </w:rPr>
          <w:instrText xml:space="preserve"> PAGEREF _Toc237412690 \h </w:instrText>
        </w:r>
        <w:r>
          <w:rPr>
            <w:noProof/>
            <w:webHidden/>
          </w:rPr>
        </w:r>
        <w:r>
          <w:rPr>
            <w:noProof/>
            <w:webHidden/>
          </w:rPr>
          <w:fldChar w:fldCharType="separate"/>
        </w:r>
        <w:r>
          <w:rPr>
            <w:noProof/>
            <w:webHidden/>
          </w:rPr>
          <w:t>7</w:t>
        </w:r>
        <w:r>
          <w:rPr>
            <w:noProof/>
            <w:webHidden/>
          </w:rPr>
          <w:fldChar w:fldCharType="end"/>
        </w:r>
      </w:hyperlink>
    </w:p>
    <w:p w14:paraId="6D6F9BE1" w14:textId="56E73C55" w:rsidR="00010419" w:rsidRDefault="00010419">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7412691" w:history="1">
        <w:r w:rsidRPr="006D3C0A">
          <w:rPr>
            <w:rStyle w:val="Hyperlink"/>
            <w:rFonts w:ascii="Arial" w:hAnsi="Arial" w:cs="Arial"/>
            <w:noProof/>
          </w:rPr>
          <w:t>Figure 2: Marriott Operating Cash Flow</w:t>
        </w:r>
        <w:r>
          <w:rPr>
            <w:noProof/>
            <w:webHidden/>
          </w:rPr>
          <w:tab/>
        </w:r>
        <w:r>
          <w:rPr>
            <w:noProof/>
            <w:webHidden/>
          </w:rPr>
          <w:fldChar w:fldCharType="begin"/>
        </w:r>
        <w:r>
          <w:rPr>
            <w:noProof/>
            <w:webHidden/>
          </w:rPr>
          <w:instrText xml:space="preserve"> PAGEREF _Toc237412691 \h </w:instrText>
        </w:r>
        <w:r>
          <w:rPr>
            <w:noProof/>
            <w:webHidden/>
          </w:rPr>
        </w:r>
        <w:r>
          <w:rPr>
            <w:noProof/>
            <w:webHidden/>
          </w:rPr>
          <w:fldChar w:fldCharType="separate"/>
        </w:r>
        <w:r>
          <w:rPr>
            <w:noProof/>
            <w:webHidden/>
          </w:rPr>
          <w:t>8</w:t>
        </w:r>
        <w:r>
          <w:rPr>
            <w:noProof/>
            <w:webHidden/>
          </w:rPr>
          <w:fldChar w:fldCharType="end"/>
        </w:r>
      </w:hyperlink>
    </w:p>
    <w:p w14:paraId="6DBBF5C8" w14:textId="774FB5FA" w:rsidR="00010419" w:rsidRDefault="00010419">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7412692" w:history="1">
        <w:r w:rsidRPr="006D3C0A">
          <w:rPr>
            <w:rStyle w:val="Hyperlink"/>
            <w:rFonts w:ascii="Arial" w:hAnsi="Arial" w:cs="Arial"/>
            <w:noProof/>
          </w:rPr>
          <w:t>Figure 3: Marriott Liquidity Ratios</w:t>
        </w:r>
        <w:r>
          <w:rPr>
            <w:noProof/>
            <w:webHidden/>
          </w:rPr>
          <w:tab/>
        </w:r>
        <w:r>
          <w:rPr>
            <w:noProof/>
            <w:webHidden/>
          </w:rPr>
          <w:fldChar w:fldCharType="begin"/>
        </w:r>
        <w:r>
          <w:rPr>
            <w:noProof/>
            <w:webHidden/>
          </w:rPr>
          <w:instrText xml:space="preserve"> PAGEREF _Toc237412692 \h </w:instrText>
        </w:r>
        <w:r>
          <w:rPr>
            <w:noProof/>
            <w:webHidden/>
          </w:rPr>
        </w:r>
        <w:r>
          <w:rPr>
            <w:noProof/>
            <w:webHidden/>
          </w:rPr>
          <w:fldChar w:fldCharType="separate"/>
        </w:r>
        <w:r>
          <w:rPr>
            <w:noProof/>
            <w:webHidden/>
          </w:rPr>
          <w:t>9</w:t>
        </w:r>
        <w:r>
          <w:rPr>
            <w:noProof/>
            <w:webHidden/>
          </w:rPr>
          <w:fldChar w:fldCharType="end"/>
        </w:r>
      </w:hyperlink>
    </w:p>
    <w:p w14:paraId="5ED0DAFD" w14:textId="0AADA471" w:rsidR="00010419" w:rsidRDefault="00010419">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7412693" w:history="1">
        <w:r w:rsidRPr="006D3C0A">
          <w:rPr>
            <w:rStyle w:val="Hyperlink"/>
            <w:rFonts w:ascii="Arial" w:hAnsi="Arial" w:cs="Arial"/>
            <w:noProof/>
          </w:rPr>
          <w:t>Figure 4: Marriott Leverage and Interest Coverage</w:t>
        </w:r>
        <w:r>
          <w:rPr>
            <w:noProof/>
            <w:webHidden/>
          </w:rPr>
          <w:tab/>
        </w:r>
        <w:r>
          <w:rPr>
            <w:noProof/>
            <w:webHidden/>
          </w:rPr>
          <w:fldChar w:fldCharType="begin"/>
        </w:r>
        <w:r>
          <w:rPr>
            <w:noProof/>
            <w:webHidden/>
          </w:rPr>
          <w:instrText xml:space="preserve"> PAGEREF _Toc237412693 \h </w:instrText>
        </w:r>
        <w:r>
          <w:rPr>
            <w:noProof/>
            <w:webHidden/>
          </w:rPr>
        </w:r>
        <w:r>
          <w:rPr>
            <w:noProof/>
            <w:webHidden/>
          </w:rPr>
          <w:fldChar w:fldCharType="separate"/>
        </w:r>
        <w:r>
          <w:rPr>
            <w:noProof/>
            <w:webHidden/>
          </w:rPr>
          <w:t>10</w:t>
        </w:r>
        <w:r>
          <w:rPr>
            <w:noProof/>
            <w:webHidden/>
          </w:rPr>
          <w:fldChar w:fldCharType="end"/>
        </w:r>
      </w:hyperlink>
    </w:p>
    <w:p w14:paraId="0D6DF3F4" w14:textId="4C603EF2" w:rsidR="00010419" w:rsidRDefault="00010419">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7412694" w:history="1">
        <w:r w:rsidRPr="006D3C0A">
          <w:rPr>
            <w:rStyle w:val="Hyperlink"/>
            <w:rFonts w:ascii="Arial" w:hAnsi="Arial" w:cs="Arial"/>
            <w:noProof/>
          </w:rPr>
          <w:t>Figure 5: Marriott Current Assets and Current Liabilities</w:t>
        </w:r>
        <w:r>
          <w:rPr>
            <w:noProof/>
            <w:webHidden/>
          </w:rPr>
          <w:tab/>
        </w:r>
        <w:r>
          <w:rPr>
            <w:noProof/>
            <w:webHidden/>
          </w:rPr>
          <w:fldChar w:fldCharType="begin"/>
        </w:r>
        <w:r>
          <w:rPr>
            <w:noProof/>
            <w:webHidden/>
          </w:rPr>
          <w:instrText xml:space="preserve"> PAGEREF _Toc237412694 \h </w:instrText>
        </w:r>
        <w:r>
          <w:rPr>
            <w:noProof/>
            <w:webHidden/>
          </w:rPr>
        </w:r>
        <w:r>
          <w:rPr>
            <w:noProof/>
            <w:webHidden/>
          </w:rPr>
          <w:fldChar w:fldCharType="separate"/>
        </w:r>
        <w:r>
          <w:rPr>
            <w:noProof/>
            <w:webHidden/>
          </w:rPr>
          <w:t>12</w:t>
        </w:r>
        <w:r>
          <w:rPr>
            <w:noProof/>
            <w:webHidden/>
          </w:rPr>
          <w:fldChar w:fldCharType="end"/>
        </w:r>
      </w:hyperlink>
    </w:p>
    <w:p w14:paraId="4E349B86" w14:textId="0EDF46B1" w:rsidR="00010419" w:rsidRDefault="00010419">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7412695" w:history="1">
        <w:r w:rsidRPr="006D3C0A">
          <w:rPr>
            <w:rStyle w:val="Hyperlink"/>
            <w:rFonts w:ascii="Arial" w:hAnsi="Arial" w:cs="Arial"/>
            <w:noProof/>
          </w:rPr>
          <w:t>Figure 6: NPV Comparison of Projects A, B and C</w:t>
        </w:r>
        <w:r>
          <w:rPr>
            <w:noProof/>
            <w:webHidden/>
          </w:rPr>
          <w:tab/>
        </w:r>
        <w:r>
          <w:rPr>
            <w:noProof/>
            <w:webHidden/>
          </w:rPr>
          <w:fldChar w:fldCharType="begin"/>
        </w:r>
        <w:r>
          <w:rPr>
            <w:noProof/>
            <w:webHidden/>
          </w:rPr>
          <w:instrText xml:space="preserve"> PAGEREF _Toc237412695 \h </w:instrText>
        </w:r>
        <w:r>
          <w:rPr>
            <w:noProof/>
            <w:webHidden/>
          </w:rPr>
        </w:r>
        <w:r>
          <w:rPr>
            <w:noProof/>
            <w:webHidden/>
          </w:rPr>
          <w:fldChar w:fldCharType="separate"/>
        </w:r>
        <w:r>
          <w:rPr>
            <w:noProof/>
            <w:webHidden/>
          </w:rPr>
          <w:t>22</w:t>
        </w:r>
        <w:r>
          <w:rPr>
            <w:noProof/>
            <w:webHidden/>
          </w:rPr>
          <w:fldChar w:fldCharType="end"/>
        </w:r>
      </w:hyperlink>
    </w:p>
    <w:p w14:paraId="4E7E4EA3" w14:textId="533F533F" w:rsidR="00010419" w:rsidRDefault="00010419" w:rsidP="006956C9">
      <w:pPr>
        <w:rPr>
          <w:rFonts w:ascii="Arial" w:hAnsi="Arial" w:cs="Arial"/>
          <w:b/>
          <w:bCs/>
          <w:lang w:val="en-IN"/>
        </w:rPr>
      </w:pPr>
      <w:r>
        <w:rPr>
          <w:rFonts w:ascii="Arial" w:hAnsi="Arial" w:cs="Arial"/>
          <w:b/>
          <w:bCs/>
          <w:lang w:val="en-IN"/>
        </w:rPr>
        <w:fldChar w:fldCharType="end"/>
      </w:r>
    </w:p>
    <w:p w14:paraId="7AC872BB" w14:textId="77777777" w:rsidR="00010419" w:rsidRDefault="00010419" w:rsidP="006956C9">
      <w:pPr>
        <w:rPr>
          <w:rFonts w:ascii="Arial" w:hAnsi="Arial" w:cs="Arial"/>
          <w:b/>
          <w:bCs/>
          <w:lang w:val="en-IN"/>
        </w:rPr>
      </w:pPr>
    </w:p>
    <w:p w14:paraId="0331E2E8" w14:textId="77777777" w:rsidR="00010419" w:rsidRPr="006956C9" w:rsidRDefault="00010419" w:rsidP="006956C9">
      <w:pPr>
        <w:rPr>
          <w:rFonts w:ascii="Arial" w:hAnsi="Arial" w:cs="Arial"/>
          <w:b/>
          <w:bCs/>
          <w:lang w:val="en-IN"/>
        </w:rPr>
      </w:pPr>
    </w:p>
    <w:p w14:paraId="42B2CFD2" w14:textId="77777777" w:rsidR="00382C4B" w:rsidRPr="006956C9" w:rsidRDefault="00382C4B" w:rsidP="006956C9">
      <w:pPr>
        <w:rPr>
          <w:rFonts w:ascii="Arial" w:hAnsi="Arial" w:cs="Arial"/>
          <w:b/>
          <w:bCs/>
          <w:lang w:val="en-IN"/>
        </w:rPr>
      </w:pPr>
    </w:p>
    <w:p w14:paraId="61C586B1" w14:textId="77777777" w:rsidR="00382C4B" w:rsidRPr="006956C9" w:rsidRDefault="00382C4B" w:rsidP="006956C9">
      <w:pPr>
        <w:rPr>
          <w:rFonts w:ascii="Arial" w:hAnsi="Arial" w:cs="Arial"/>
          <w:b/>
          <w:bCs/>
          <w:lang w:val="en-IN"/>
        </w:rPr>
      </w:pPr>
    </w:p>
    <w:p w14:paraId="64DD7324" w14:textId="77777777" w:rsidR="00382C4B" w:rsidRPr="006956C9" w:rsidRDefault="00382C4B" w:rsidP="006956C9">
      <w:pPr>
        <w:spacing w:before="0" w:after="160"/>
        <w:jc w:val="left"/>
        <w:rPr>
          <w:rFonts w:ascii="Arial" w:hAnsi="Arial" w:cs="Arial"/>
          <w:b/>
          <w:bCs/>
          <w:lang w:val="en-IN"/>
        </w:rPr>
      </w:pPr>
      <w:r w:rsidRPr="006956C9">
        <w:rPr>
          <w:rFonts w:ascii="Arial" w:hAnsi="Arial" w:cs="Arial"/>
          <w:b/>
          <w:bCs/>
          <w:lang w:val="en-IN"/>
        </w:rPr>
        <w:br w:type="page"/>
      </w:r>
    </w:p>
    <w:p w14:paraId="38AC51D1" w14:textId="39D76931" w:rsidR="00382C4B" w:rsidRPr="006956C9" w:rsidRDefault="008E4DEB" w:rsidP="006956C9">
      <w:pPr>
        <w:pStyle w:val="Heading1"/>
        <w:rPr>
          <w:rFonts w:ascii="Arial" w:hAnsi="Arial" w:cs="Arial"/>
          <w:lang w:val="en-IN"/>
        </w:rPr>
      </w:pPr>
      <w:bookmarkStart w:id="0" w:name="_Toc237412861"/>
      <w:r w:rsidRPr="006956C9">
        <w:rPr>
          <w:rFonts w:ascii="Arial" w:hAnsi="Arial" w:cs="Arial"/>
          <w:lang w:val="en-IN"/>
        </w:rPr>
        <w:lastRenderedPageBreak/>
        <w:t xml:space="preserve">1. </w:t>
      </w:r>
      <w:r w:rsidR="00382C4B" w:rsidRPr="006956C9">
        <w:rPr>
          <w:rFonts w:ascii="Arial" w:hAnsi="Arial" w:cs="Arial"/>
          <w:lang w:val="en-IN"/>
        </w:rPr>
        <w:t>Introduction</w:t>
      </w:r>
      <w:bookmarkEnd w:id="0"/>
    </w:p>
    <w:p w14:paraId="45CB8EE0" w14:textId="1B1BFF42" w:rsidR="00382C4B" w:rsidRDefault="00382C4B" w:rsidP="006956C9">
      <w:pPr>
        <w:rPr>
          <w:rFonts w:ascii="Arial" w:hAnsi="Arial" w:cs="Arial"/>
          <w:lang w:val="en-IN"/>
        </w:rPr>
      </w:pPr>
      <w:r w:rsidRPr="006956C9">
        <w:rPr>
          <w:rFonts w:ascii="Arial" w:hAnsi="Arial" w:cs="Arial"/>
          <w:lang w:val="en-IN"/>
        </w:rPr>
        <w:t>Marriott International is a leading global hospitality corporation selected for this financial performance and management assessment</w:t>
      </w:r>
      <w:r w:rsidR="008B7FC7" w:rsidRPr="006956C9">
        <w:rPr>
          <w:rFonts w:ascii="Arial" w:hAnsi="Arial" w:cs="Arial"/>
          <w:lang w:val="en-IN"/>
        </w:rPr>
        <w:t xml:space="preserve"> (</w:t>
      </w:r>
      <w:r w:rsidR="008B7FC7" w:rsidRPr="006956C9">
        <w:rPr>
          <w:rFonts w:ascii="Arial" w:hAnsi="Arial" w:cs="Arial"/>
        </w:rPr>
        <w:t>Marriott, 2026</w:t>
      </w:r>
      <w:r w:rsidR="008B7FC7" w:rsidRPr="006956C9">
        <w:rPr>
          <w:rFonts w:ascii="Arial" w:hAnsi="Arial" w:cs="Arial"/>
          <w:lang w:val="en-IN"/>
        </w:rPr>
        <w:t>)</w:t>
      </w:r>
      <w:r w:rsidRPr="006956C9">
        <w:rPr>
          <w:rFonts w:ascii="Arial" w:hAnsi="Arial" w:cs="Arial"/>
          <w:lang w:val="en-IN"/>
        </w:rPr>
        <w:t xml:space="preserve">. This report evaluates Marriott’s financial position and management performance over the five-year period from 2021 to 2025, using evidence from its financial statements, including the income statement, balance sheet and cash-flow statement. The analysis adopts a CFO perspective to identify key financial strengths, weaknesses and emerging risks affecting the company’s financial sustainability. Particular attention is given to profitability, liquidity, efficiency, gearing, investment performance and cash generation through comprehensive ratio analysis. The report further examines Marriott’s working capital management and evaluates appropriate short- and long-term financing alternatives. A strategic financial restructuring plan is developed to address identified financial pressures while considering shareholder value, international financial risks and ethical responsibilities. Finally, three proposed investment projects are assessed using PBP, ARR, NPV, PI and IRR, followed by capital-rationing analysis under the £100 million investment constraint. </w:t>
      </w:r>
    </w:p>
    <w:p w14:paraId="3B25C876" w14:textId="59D0B330" w:rsidR="008D2CEF" w:rsidRPr="006956C9" w:rsidRDefault="004603C1" w:rsidP="004603C1">
      <w:pPr>
        <w:jc w:val="center"/>
        <w:rPr>
          <w:rFonts w:ascii="Arial" w:hAnsi="Arial" w:cs="Arial"/>
          <w:lang w:val="en-IN"/>
        </w:rPr>
      </w:pPr>
      <w:r>
        <w:rPr>
          <w:noProof/>
        </w:rPr>
        <w:drawing>
          <wp:inline distT="0" distB="0" distL="0" distR="0" wp14:anchorId="26D0F6EE" wp14:editId="64B817A3">
            <wp:extent cx="3378775" cy="4223657"/>
            <wp:effectExtent l="0" t="0" r="0" b="5715"/>
            <wp:docPr id="1932446086" name="Picture 1" descr="Kitty T. - Cluster Director of Revenue Strategy at Marriott International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Kitty T. - Cluster Director of Revenue Strategy at Marriott International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H="1">
                      <a:off x="0" y="0"/>
                      <a:ext cx="3392410" cy="4240702"/>
                    </a:xfrm>
                    <a:prstGeom prst="rect">
                      <a:avLst/>
                    </a:prstGeom>
                    <a:noFill/>
                    <a:ln>
                      <a:noFill/>
                    </a:ln>
                  </pic:spPr>
                </pic:pic>
              </a:graphicData>
            </a:graphic>
          </wp:inline>
        </w:drawing>
      </w:r>
    </w:p>
    <w:p w14:paraId="411470A6" w14:textId="77777777" w:rsidR="001950B8" w:rsidRPr="006956C9" w:rsidRDefault="001950B8" w:rsidP="006956C9">
      <w:pPr>
        <w:pStyle w:val="Heading1"/>
        <w:rPr>
          <w:rFonts w:ascii="Arial" w:hAnsi="Arial" w:cs="Arial"/>
          <w:lang w:val="en-IN"/>
        </w:rPr>
      </w:pPr>
      <w:bookmarkStart w:id="1" w:name="_Toc237412862"/>
      <w:r w:rsidRPr="006956C9">
        <w:rPr>
          <w:rFonts w:ascii="Arial" w:hAnsi="Arial" w:cs="Arial"/>
          <w:lang w:val="en-IN"/>
        </w:rPr>
        <w:lastRenderedPageBreak/>
        <w:t>2. Financial Health Check</w:t>
      </w:r>
      <w:bookmarkEnd w:id="1"/>
    </w:p>
    <w:p w14:paraId="48327815" w14:textId="77777777" w:rsidR="001950B8" w:rsidRPr="006956C9" w:rsidRDefault="001950B8" w:rsidP="006956C9">
      <w:pPr>
        <w:pStyle w:val="Heading2"/>
        <w:rPr>
          <w:rFonts w:ascii="Arial" w:hAnsi="Arial" w:cs="Arial"/>
        </w:rPr>
      </w:pPr>
      <w:bookmarkStart w:id="2" w:name="_Toc237412863"/>
      <w:r w:rsidRPr="006956C9">
        <w:rPr>
          <w:rFonts w:ascii="Arial" w:hAnsi="Arial" w:cs="Arial"/>
        </w:rPr>
        <w:t>2.1 Five-Year Financial Performance</w:t>
      </w:r>
      <w:bookmarkEnd w:id="2"/>
    </w:p>
    <w:p w14:paraId="5335870F" w14:textId="5ABF28E0" w:rsidR="001950B8" w:rsidRPr="006956C9" w:rsidRDefault="001950B8" w:rsidP="006956C9">
      <w:pPr>
        <w:rPr>
          <w:rFonts w:ascii="Arial" w:hAnsi="Arial" w:cs="Arial"/>
          <w:lang w:val="en-IN"/>
        </w:rPr>
      </w:pPr>
      <w:r w:rsidRPr="006956C9">
        <w:rPr>
          <w:rFonts w:ascii="Arial" w:hAnsi="Arial" w:cs="Arial"/>
          <w:lang w:val="en-IN"/>
        </w:rPr>
        <w:t xml:space="preserve">Marriott International’s financial performance between 2021 and 2025 demonstrates a substantial recovery in operating scale, although this improvement has been accompanied by increasing financial leverage and continuing liquidity pressure. Total revenue increased from </w:t>
      </w:r>
      <w:r w:rsidRPr="006956C9">
        <w:rPr>
          <w:rFonts w:ascii="Arial" w:hAnsi="Arial" w:cs="Arial"/>
          <w:b/>
          <w:bCs/>
          <w:lang w:val="en-IN"/>
        </w:rPr>
        <w:t>$13.857 billion in 2021 to $26.186 billion in 2025</w:t>
      </w:r>
      <w:r w:rsidRPr="006956C9">
        <w:rPr>
          <w:rFonts w:ascii="Arial" w:hAnsi="Arial" w:cs="Arial"/>
          <w:lang w:val="en-IN"/>
        </w:rPr>
        <w:t>, representing an increase of approximately 89%</w:t>
      </w:r>
      <w:r w:rsidR="0060133E" w:rsidRPr="006956C9">
        <w:rPr>
          <w:rFonts w:ascii="Arial" w:hAnsi="Arial" w:cs="Arial"/>
          <w:lang w:val="en-IN"/>
        </w:rPr>
        <w:t xml:space="preserve"> (</w:t>
      </w:r>
      <w:r w:rsidR="0060133E" w:rsidRPr="006956C9">
        <w:rPr>
          <w:rFonts w:ascii="Arial" w:hAnsi="Arial" w:cs="Arial"/>
        </w:rPr>
        <w:t>Marriott, 2026a</w:t>
      </w:r>
      <w:r w:rsidR="0060133E" w:rsidRPr="006956C9">
        <w:rPr>
          <w:rFonts w:ascii="Arial" w:hAnsi="Arial" w:cs="Arial"/>
          <w:lang w:val="en-IN"/>
        </w:rPr>
        <w:t>)</w:t>
      </w:r>
      <w:r w:rsidRPr="006956C9">
        <w:rPr>
          <w:rFonts w:ascii="Arial" w:hAnsi="Arial" w:cs="Arial"/>
          <w:lang w:val="en-IN"/>
        </w:rPr>
        <w:t>. Revenue growth was particularly strong between 2021 and 2022, when revenue increased from $13.857 billion to $20.773 billion, before continuing to rise to $23.713 billion in 2023, $25.100 billion in 2024 and $26.186 billion in 2025. This indicates sustained expansion in Marriott’s revenue-generating capacity rather than a temporary one-year improvement.</w:t>
      </w:r>
    </w:p>
    <w:p w14:paraId="478B2496" w14:textId="16C96465" w:rsidR="001950B8" w:rsidRPr="006956C9" w:rsidRDefault="001950B8" w:rsidP="006956C9">
      <w:pPr>
        <w:rPr>
          <w:rFonts w:ascii="Arial" w:hAnsi="Arial" w:cs="Arial"/>
          <w:lang w:val="en-IN"/>
        </w:rPr>
      </w:pPr>
      <w:r w:rsidRPr="006956C9">
        <w:rPr>
          <w:rFonts w:ascii="Arial" w:hAnsi="Arial" w:cs="Arial"/>
          <w:b/>
          <w:bCs/>
          <w:lang w:val="en-IN"/>
        </w:rPr>
        <w:t>Operating income</w:t>
      </w:r>
      <w:r w:rsidRPr="006956C9">
        <w:rPr>
          <w:rFonts w:ascii="Arial" w:hAnsi="Arial" w:cs="Arial"/>
          <w:lang w:val="en-IN"/>
        </w:rPr>
        <w:t xml:space="preserve"> also strengthened considerably, increasing from </w:t>
      </w:r>
      <w:r w:rsidRPr="006956C9">
        <w:rPr>
          <w:rFonts w:ascii="Arial" w:hAnsi="Arial" w:cs="Arial"/>
          <w:b/>
          <w:bCs/>
          <w:lang w:val="en-IN"/>
        </w:rPr>
        <w:t>$1.750 billion in 2021 to $4.141 billion in 2025</w:t>
      </w:r>
      <w:r w:rsidRPr="006956C9">
        <w:rPr>
          <w:rFonts w:ascii="Arial" w:hAnsi="Arial" w:cs="Arial"/>
          <w:lang w:val="en-IN"/>
        </w:rPr>
        <w:t>. However, the trend was not completely linear. Operating income increased to $3.462 billion in 2022 and $3.864 billion in 2023, declined slightly to $3.767 billion in 2024 and then recovered to $4.141 billion in 2025</w:t>
      </w:r>
      <w:r w:rsidR="00C44A13" w:rsidRPr="006956C9">
        <w:rPr>
          <w:rFonts w:ascii="Arial" w:hAnsi="Arial" w:cs="Arial"/>
          <w:lang w:val="en-IN"/>
        </w:rPr>
        <w:t xml:space="preserve"> (</w:t>
      </w:r>
      <w:r w:rsidR="00C44A13" w:rsidRPr="006956C9">
        <w:rPr>
          <w:rFonts w:ascii="Arial" w:hAnsi="Arial" w:cs="Arial"/>
        </w:rPr>
        <w:t>Marriott, 2025</w:t>
      </w:r>
      <w:r w:rsidR="00C44A13" w:rsidRPr="006956C9">
        <w:rPr>
          <w:rFonts w:ascii="Arial" w:hAnsi="Arial" w:cs="Arial"/>
          <w:lang w:val="en-IN"/>
        </w:rPr>
        <w:t>)</w:t>
      </w:r>
      <w:r w:rsidRPr="006956C9">
        <w:rPr>
          <w:rFonts w:ascii="Arial" w:hAnsi="Arial" w:cs="Arial"/>
          <w:lang w:val="en-IN"/>
        </w:rPr>
        <w:t>. The 2025 improvement is particularly important because it occurred alongside further revenue growth, suggesting that Marriott maintained strong operating profitability despite increased financial pressures.</w:t>
      </w:r>
    </w:p>
    <w:p w14:paraId="40077C0A" w14:textId="77777777" w:rsidR="001950B8" w:rsidRPr="006956C9" w:rsidRDefault="001950B8" w:rsidP="006956C9">
      <w:pPr>
        <w:rPr>
          <w:rFonts w:ascii="Arial" w:hAnsi="Arial" w:cs="Arial"/>
          <w:lang w:val="en-IN"/>
        </w:rPr>
      </w:pPr>
      <w:r w:rsidRPr="006956C9">
        <w:rPr>
          <w:rFonts w:ascii="Arial" w:hAnsi="Arial" w:cs="Arial"/>
          <w:b/>
          <w:bCs/>
          <w:lang w:val="en-IN"/>
        </w:rPr>
        <w:t>Net income</w:t>
      </w:r>
      <w:r w:rsidRPr="006956C9">
        <w:rPr>
          <w:rFonts w:ascii="Arial" w:hAnsi="Arial" w:cs="Arial"/>
          <w:lang w:val="en-IN"/>
        </w:rPr>
        <w:t xml:space="preserve"> followed a similar but more volatile pattern. It increased from </w:t>
      </w:r>
      <w:r w:rsidRPr="006956C9">
        <w:rPr>
          <w:rFonts w:ascii="Arial" w:hAnsi="Arial" w:cs="Arial"/>
          <w:b/>
          <w:bCs/>
          <w:lang w:val="en-IN"/>
        </w:rPr>
        <w:t>$1.099 billion in 2021 to $2.358 billion in 2022 and $3.083 billion in 2023</w:t>
      </w:r>
      <w:r w:rsidRPr="006956C9">
        <w:rPr>
          <w:rFonts w:ascii="Arial" w:hAnsi="Arial" w:cs="Arial"/>
          <w:lang w:val="en-IN"/>
        </w:rPr>
        <w:t xml:space="preserve">, before falling to $2.375 billion in 2024. Net income recovered to </w:t>
      </w:r>
      <w:r w:rsidRPr="006956C9">
        <w:rPr>
          <w:rFonts w:ascii="Arial" w:hAnsi="Arial" w:cs="Arial"/>
          <w:b/>
          <w:bCs/>
          <w:lang w:val="en-IN"/>
        </w:rPr>
        <w:t>$2.601 billion in 2025</w:t>
      </w:r>
      <w:r w:rsidRPr="006956C9">
        <w:rPr>
          <w:rFonts w:ascii="Arial" w:hAnsi="Arial" w:cs="Arial"/>
          <w:lang w:val="en-IN"/>
        </w:rPr>
        <w:t>, but remained below the 2023 peak. This suggests that revenue growth has translated into substantial profits, although profitability has been affected by factors below operating income, including increasing interest expense and taxation.</w:t>
      </w:r>
    </w:p>
    <w:p w14:paraId="6B159436" w14:textId="77777777" w:rsidR="001950B8" w:rsidRPr="006956C9" w:rsidRDefault="001950B8" w:rsidP="006956C9">
      <w:pPr>
        <w:keepNext/>
        <w:jc w:val="center"/>
        <w:rPr>
          <w:rFonts w:ascii="Arial" w:hAnsi="Arial" w:cs="Arial"/>
          <w:szCs w:val="24"/>
        </w:rPr>
      </w:pPr>
      <w:r w:rsidRPr="006956C9">
        <w:rPr>
          <w:rFonts w:ascii="Arial" w:hAnsi="Arial" w:cs="Arial"/>
          <w:noProof/>
        </w:rPr>
        <w:lastRenderedPageBreak/>
        <w:drawing>
          <wp:inline distT="0" distB="0" distL="0" distR="0" wp14:anchorId="28B74C14" wp14:editId="1AEE7615">
            <wp:extent cx="4572000" cy="2743200"/>
            <wp:effectExtent l="0" t="0" r="0" b="0"/>
            <wp:docPr id="1896548704" name="Chart 1">
              <a:extLst xmlns:a="http://schemas.openxmlformats.org/drawingml/2006/main">
                <a:ext uri="{FF2B5EF4-FFF2-40B4-BE49-F238E27FC236}">
                  <a16:creationId xmlns:a16="http://schemas.microsoft.com/office/drawing/2014/main" id="{8B4C8E9B-FFEF-0C14-D36A-C3B6495A2A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59228A7" w14:textId="7DD04090" w:rsidR="001950B8" w:rsidRPr="006956C9" w:rsidRDefault="001950B8" w:rsidP="006956C9">
      <w:pPr>
        <w:pStyle w:val="Caption"/>
        <w:spacing w:line="360" w:lineRule="auto"/>
        <w:jc w:val="center"/>
        <w:rPr>
          <w:rFonts w:ascii="Arial" w:hAnsi="Arial" w:cs="Arial"/>
          <w:color w:val="auto"/>
          <w:sz w:val="24"/>
          <w:szCs w:val="24"/>
        </w:rPr>
      </w:pPr>
      <w:bookmarkStart w:id="3" w:name="_Toc237412690"/>
      <w:r w:rsidRPr="006956C9">
        <w:rPr>
          <w:rFonts w:ascii="Arial" w:hAnsi="Arial" w:cs="Arial"/>
          <w:color w:val="auto"/>
          <w:sz w:val="24"/>
          <w:szCs w:val="24"/>
        </w:rPr>
        <w:t xml:space="preserve">Figure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Figure \* ARABIC </w:instrText>
      </w:r>
      <w:r w:rsidRPr="006956C9">
        <w:rPr>
          <w:rFonts w:ascii="Arial" w:hAnsi="Arial" w:cs="Arial"/>
          <w:color w:val="auto"/>
          <w:sz w:val="24"/>
          <w:szCs w:val="24"/>
        </w:rPr>
        <w:fldChar w:fldCharType="separate"/>
      </w:r>
      <w:r w:rsidR="00B675D3" w:rsidRPr="006956C9">
        <w:rPr>
          <w:rFonts w:ascii="Arial" w:hAnsi="Arial" w:cs="Arial"/>
          <w:noProof/>
          <w:color w:val="auto"/>
          <w:sz w:val="24"/>
          <w:szCs w:val="24"/>
        </w:rPr>
        <w:t>1</w:t>
      </w:r>
      <w:r w:rsidRPr="006956C9">
        <w:rPr>
          <w:rFonts w:ascii="Arial" w:hAnsi="Arial" w:cs="Arial"/>
          <w:color w:val="auto"/>
          <w:sz w:val="24"/>
          <w:szCs w:val="24"/>
        </w:rPr>
        <w:fldChar w:fldCharType="end"/>
      </w:r>
      <w:r w:rsidRPr="006956C9">
        <w:rPr>
          <w:rFonts w:ascii="Arial" w:hAnsi="Arial" w:cs="Arial"/>
          <w:color w:val="auto"/>
          <w:sz w:val="24"/>
          <w:szCs w:val="24"/>
        </w:rPr>
        <w:t>: Marriott Revenue, Operating Income and Net Income, 2021–2025</w:t>
      </w:r>
      <w:bookmarkEnd w:id="3"/>
    </w:p>
    <w:p w14:paraId="5DB7F123" w14:textId="77777777" w:rsidR="001950B8" w:rsidRPr="006956C9" w:rsidRDefault="001950B8" w:rsidP="006956C9">
      <w:pPr>
        <w:rPr>
          <w:rFonts w:ascii="Arial" w:hAnsi="Arial" w:cs="Arial"/>
          <w:lang w:val="en-IN"/>
        </w:rPr>
      </w:pPr>
      <w:r w:rsidRPr="006956C9">
        <w:rPr>
          <w:rFonts w:ascii="Arial" w:hAnsi="Arial" w:cs="Arial"/>
          <w:lang w:val="en-IN"/>
        </w:rPr>
        <w:t xml:space="preserve">The balance-sheet position provides a more concerning picture. Total assets increased from </w:t>
      </w:r>
      <w:r w:rsidRPr="006956C9">
        <w:rPr>
          <w:rFonts w:ascii="Arial" w:hAnsi="Arial" w:cs="Arial"/>
          <w:b/>
          <w:bCs/>
          <w:lang w:val="en-IN"/>
        </w:rPr>
        <w:t>$25.553 billion in 2021 to $27.540 billion in 2025</w:t>
      </w:r>
      <w:r w:rsidRPr="006956C9">
        <w:rPr>
          <w:rFonts w:ascii="Arial" w:hAnsi="Arial" w:cs="Arial"/>
          <w:lang w:val="en-IN"/>
        </w:rPr>
        <w:t xml:space="preserve">, while total liabilities increased much more significantly, from </w:t>
      </w:r>
      <w:r w:rsidRPr="006956C9">
        <w:rPr>
          <w:rFonts w:ascii="Arial" w:hAnsi="Arial" w:cs="Arial"/>
          <w:b/>
          <w:bCs/>
          <w:lang w:val="en-IN"/>
        </w:rPr>
        <w:t>$24.139 billion to $31.311 billion</w:t>
      </w:r>
      <w:r w:rsidRPr="006956C9">
        <w:rPr>
          <w:rFonts w:ascii="Arial" w:hAnsi="Arial" w:cs="Arial"/>
          <w:lang w:val="en-IN"/>
        </w:rPr>
        <w:t xml:space="preserve">. Consequently, Marriott moved from positive equity of </w:t>
      </w:r>
      <w:r w:rsidRPr="006956C9">
        <w:rPr>
          <w:rFonts w:ascii="Arial" w:hAnsi="Arial" w:cs="Arial"/>
          <w:b/>
          <w:bCs/>
          <w:lang w:val="en-IN"/>
        </w:rPr>
        <w:t>$1.414 billion in 2021 to an equity deficit of $3.771 billion in 2025</w:t>
      </w:r>
      <w:r w:rsidRPr="006956C9">
        <w:rPr>
          <w:rFonts w:ascii="Arial" w:hAnsi="Arial" w:cs="Arial"/>
          <w:lang w:val="en-IN"/>
        </w:rPr>
        <w:t>. This represents a significant deterioration in the company's reported capital position. The change is particularly important from a CFO perspective because strong profitability alone does not necessarily indicate a strong balance sheet.</w:t>
      </w:r>
    </w:p>
    <w:p w14:paraId="74AAB416" w14:textId="77777777" w:rsidR="001950B8" w:rsidRPr="006956C9" w:rsidRDefault="001950B8" w:rsidP="006956C9">
      <w:pPr>
        <w:rPr>
          <w:rFonts w:ascii="Arial" w:hAnsi="Arial" w:cs="Arial"/>
          <w:lang w:val="en-IN"/>
        </w:rPr>
      </w:pPr>
      <w:r w:rsidRPr="006956C9">
        <w:rPr>
          <w:rFonts w:ascii="Arial" w:hAnsi="Arial" w:cs="Arial"/>
          <w:lang w:val="en-IN"/>
        </w:rPr>
        <w:t xml:space="preserve">Total debt increased from </w:t>
      </w:r>
      <w:r w:rsidRPr="006956C9">
        <w:rPr>
          <w:rFonts w:ascii="Arial" w:hAnsi="Arial" w:cs="Arial"/>
          <w:b/>
          <w:bCs/>
          <w:lang w:val="en-IN"/>
        </w:rPr>
        <w:t>$10.138 billion in 2021 to $16.204 billion in 2025</w:t>
      </w:r>
      <w:r w:rsidRPr="006956C9">
        <w:rPr>
          <w:rFonts w:ascii="Arial" w:hAnsi="Arial" w:cs="Arial"/>
          <w:lang w:val="en-IN"/>
        </w:rPr>
        <w:t xml:space="preserve">, an increase of approximately 60%. Long-term debt accounted for much of this increase, rising from $9.333 billion to $14.995 billion. This increasing debt burden creates additional financial obligations and reduces financial flexibility. Furthermore, interest expense increased from </w:t>
      </w:r>
      <w:r w:rsidRPr="006956C9">
        <w:rPr>
          <w:rFonts w:ascii="Arial" w:hAnsi="Arial" w:cs="Arial"/>
          <w:b/>
          <w:bCs/>
          <w:lang w:val="en-IN"/>
        </w:rPr>
        <w:t>$420 million in 2021 to $809 million in 2025</w:t>
      </w:r>
      <w:r w:rsidRPr="006956C9">
        <w:rPr>
          <w:rFonts w:ascii="Arial" w:hAnsi="Arial" w:cs="Arial"/>
          <w:lang w:val="en-IN"/>
        </w:rPr>
        <w:t>, almost doubling over the period. Therefore, Marriott's revenue and operating performance have improved, but the company has simultaneously become more highly leveraged.</w:t>
      </w:r>
    </w:p>
    <w:p w14:paraId="53CBB12B" w14:textId="4434D3DC" w:rsidR="001950B8" w:rsidRPr="006956C9" w:rsidRDefault="001950B8" w:rsidP="006956C9">
      <w:pPr>
        <w:rPr>
          <w:rFonts w:ascii="Arial" w:hAnsi="Arial" w:cs="Arial"/>
          <w:lang w:val="en-IN"/>
        </w:rPr>
      </w:pPr>
      <w:r w:rsidRPr="006956C9">
        <w:rPr>
          <w:rFonts w:ascii="Arial" w:hAnsi="Arial" w:cs="Arial"/>
          <w:lang w:val="en-IN"/>
        </w:rPr>
        <w:t xml:space="preserve">Operating cash flow provides an important counterbalance to these concerns. Cash flow from operating activities increased from </w:t>
      </w:r>
      <w:r w:rsidRPr="006956C9">
        <w:rPr>
          <w:rFonts w:ascii="Arial" w:hAnsi="Arial" w:cs="Arial"/>
          <w:b/>
          <w:bCs/>
          <w:lang w:val="en-IN"/>
        </w:rPr>
        <w:t>$1.177 billion in 2021 to $3.212 billion in 2025</w:t>
      </w:r>
      <w:r w:rsidRPr="006956C9">
        <w:rPr>
          <w:rFonts w:ascii="Arial" w:hAnsi="Arial" w:cs="Arial"/>
          <w:lang w:val="en-IN"/>
        </w:rPr>
        <w:t>, although it fluctuated during the period. It reached $3.170 billion in 2023, declined to $2.749 billion in 2024 and recovered to $3.212 billion in 2025</w:t>
      </w:r>
      <w:r w:rsidR="00B3525E" w:rsidRPr="006956C9">
        <w:rPr>
          <w:rFonts w:ascii="Arial" w:hAnsi="Arial" w:cs="Arial"/>
          <w:lang w:val="en-IN"/>
        </w:rPr>
        <w:t xml:space="preserve"> (</w:t>
      </w:r>
      <w:r w:rsidR="00B3525E" w:rsidRPr="006956C9">
        <w:rPr>
          <w:rFonts w:ascii="Arial" w:hAnsi="Arial" w:cs="Arial"/>
        </w:rPr>
        <w:t xml:space="preserve">Marriott, </w:t>
      </w:r>
      <w:r w:rsidR="00B3525E" w:rsidRPr="006956C9">
        <w:rPr>
          <w:rFonts w:ascii="Arial" w:hAnsi="Arial" w:cs="Arial"/>
        </w:rPr>
        <w:lastRenderedPageBreak/>
        <w:t>2024</w:t>
      </w:r>
      <w:r w:rsidR="00B3525E" w:rsidRPr="006956C9">
        <w:rPr>
          <w:rFonts w:ascii="Arial" w:hAnsi="Arial" w:cs="Arial"/>
          <w:lang w:val="en-IN"/>
        </w:rPr>
        <w:t>)</w:t>
      </w:r>
      <w:r w:rsidRPr="006956C9">
        <w:rPr>
          <w:rFonts w:ascii="Arial" w:hAnsi="Arial" w:cs="Arial"/>
          <w:lang w:val="en-IN"/>
        </w:rPr>
        <w:t>. This indicates that Marriott has maintained a strong capacity to generate cash from its core operations.</w:t>
      </w:r>
    </w:p>
    <w:p w14:paraId="48589E28" w14:textId="77777777" w:rsidR="001950B8" w:rsidRPr="006956C9" w:rsidRDefault="001950B8" w:rsidP="006956C9">
      <w:pPr>
        <w:rPr>
          <w:rFonts w:ascii="Arial" w:hAnsi="Arial" w:cs="Arial"/>
          <w:lang w:val="en-IN"/>
        </w:rPr>
      </w:pPr>
      <w:r w:rsidRPr="006956C9">
        <w:rPr>
          <w:rFonts w:ascii="Arial" w:hAnsi="Arial" w:cs="Arial"/>
          <w:lang w:val="en-IN"/>
        </w:rPr>
        <w:t xml:space="preserve">For this analysis, </w:t>
      </w:r>
      <w:r w:rsidRPr="006956C9">
        <w:rPr>
          <w:rFonts w:ascii="Arial" w:hAnsi="Arial" w:cs="Arial"/>
          <w:b/>
          <w:bCs/>
          <w:lang w:val="en-IN"/>
        </w:rPr>
        <w:t>free cash flow can be calculated as operating cash flow less capital and technology expenditure</w:t>
      </w:r>
      <w:r w:rsidRPr="006956C9">
        <w:rPr>
          <w:rFonts w:ascii="Arial" w:hAnsi="Arial" w:cs="Arial"/>
          <w:lang w:val="en-IN"/>
        </w:rPr>
        <w:t xml:space="preserve">. On this basis, estimated free cash flow was approximately </w:t>
      </w:r>
      <w:r w:rsidRPr="006956C9">
        <w:rPr>
          <w:rFonts w:ascii="Arial" w:hAnsi="Arial" w:cs="Arial"/>
          <w:b/>
          <w:bCs/>
          <w:lang w:val="en-IN"/>
        </w:rPr>
        <w:t>$994 million in 2021, $2.031 billion in 2022, $2.718 billion in 2023, $1.999 billion in 2024 and $2.608 billion in 2025</w:t>
      </w:r>
      <w:r w:rsidRPr="006956C9">
        <w:rPr>
          <w:rFonts w:ascii="Arial" w:hAnsi="Arial" w:cs="Arial"/>
          <w:lang w:val="en-IN"/>
        </w:rPr>
        <w:t>. The recovery in 2025 is encouraging because it suggests that Marriott retained substantial internally generated cash after investment expenditure.</w:t>
      </w:r>
    </w:p>
    <w:p w14:paraId="06E6FA2A" w14:textId="77777777" w:rsidR="002226D0" w:rsidRPr="006956C9" w:rsidRDefault="002226D0" w:rsidP="006956C9">
      <w:pPr>
        <w:keepNext/>
        <w:jc w:val="center"/>
        <w:rPr>
          <w:rFonts w:ascii="Arial" w:hAnsi="Arial" w:cs="Arial"/>
          <w:szCs w:val="24"/>
        </w:rPr>
      </w:pPr>
      <w:r w:rsidRPr="006956C9">
        <w:rPr>
          <w:rFonts w:ascii="Arial" w:hAnsi="Arial" w:cs="Arial"/>
          <w:noProof/>
          <w:szCs w:val="24"/>
        </w:rPr>
        <w:drawing>
          <wp:inline distT="0" distB="0" distL="0" distR="0" wp14:anchorId="78E1CEAA" wp14:editId="09C2440D">
            <wp:extent cx="4572896" cy="2689411"/>
            <wp:effectExtent l="0" t="0" r="0" b="0"/>
            <wp:docPr id="840441522" name="Chart 1">
              <a:extLst xmlns:a="http://schemas.openxmlformats.org/drawingml/2006/main">
                <a:ext uri="{FF2B5EF4-FFF2-40B4-BE49-F238E27FC236}">
                  <a16:creationId xmlns:a16="http://schemas.microsoft.com/office/drawing/2014/main" id="{2F566828-1124-7A69-FD07-592BE53B68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E4CF36" w14:textId="7020E917" w:rsidR="001950B8" w:rsidRPr="006956C9" w:rsidRDefault="002226D0" w:rsidP="006956C9">
      <w:pPr>
        <w:pStyle w:val="Caption"/>
        <w:spacing w:line="360" w:lineRule="auto"/>
        <w:jc w:val="center"/>
        <w:rPr>
          <w:rFonts w:ascii="Arial" w:hAnsi="Arial" w:cs="Arial"/>
          <w:color w:val="auto"/>
          <w:sz w:val="24"/>
          <w:szCs w:val="24"/>
          <w:lang w:val="en-IN"/>
        </w:rPr>
      </w:pPr>
      <w:bookmarkStart w:id="4" w:name="_Toc237412691"/>
      <w:r w:rsidRPr="006956C9">
        <w:rPr>
          <w:rFonts w:ascii="Arial" w:hAnsi="Arial" w:cs="Arial"/>
          <w:color w:val="auto"/>
          <w:sz w:val="24"/>
          <w:szCs w:val="24"/>
        </w:rPr>
        <w:t xml:space="preserve">Figure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Figure \* ARABIC </w:instrText>
      </w:r>
      <w:r w:rsidRPr="006956C9">
        <w:rPr>
          <w:rFonts w:ascii="Arial" w:hAnsi="Arial" w:cs="Arial"/>
          <w:color w:val="auto"/>
          <w:sz w:val="24"/>
          <w:szCs w:val="24"/>
        </w:rPr>
        <w:fldChar w:fldCharType="separate"/>
      </w:r>
      <w:r w:rsidR="00B675D3" w:rsidRPr="006956C9">
        <w:rPr>
          <w:rFonts w:ascii="Arial" w:hAnsi="Arial" w:cs="Arial"/>
          <w:noProof/>
          <w:color w:val="auto"/>
          <w:sz w:val="24"/>
          <w:szCs w:val="24"/>
        </w:rPr>
        <w:t>2</w:t>
      </w:r>
      <w:r w:rsidRPr="006956C9">
        <w:rPr>
          <w:rFonts w:ascii="Arial" w:hAnsi="Arial" w:cs="Arial"/>
          <w:color w:val="auto"/>
          <w:sz w:val="24"/>
          <w:szCs w:val="24"/>
        </w:rPr>
        <w:fldChar w:fldCharType="end"/>
      </w:r>
      <w:r w:rsidRPr="006956C9">
        <w:rPr>
          <w:rFonts w:ascii="Arial" w:hAnsi="Arial" w:cs="Arial"/>
          <w:color w:val="auto"/>
          <w:sz w:val="24"/>
          <w:szCs w:val="24"/>
        </w:rPr>
        <w:t>: Marriott Operating Cash Flow</w:t>
      </w:r>
      <w:bookmarkEnd w:id="4"/>
    </w:p>
    <w:p w14:paraId="09E86F52" w14:textId="77777777" w:rsidR="001950B8" w:rsidRPr="006956C9" w:rsidRDefault="001950B8" w:rsidP="006956C9">
      <w:pPr>
        <w:pStyle w:val="Heading2"/>
        <w:rPr>
          <w:rFonts w:ascii="Arial" w:hAnsi="Arial" w:cs="Arial"/>
        </w:rPr>
      </w:pPr>
      <w:bookmarkStart w:id="5" w:name="_Toc237412864"/>
      <w:r w:rsidRPr="006956C9">
        <w:rPr>
          <w:rFonts w:ascii="Arial" w:hAnsi="Arial" w:cs="Arial"/>
        </w:rPr>
        <w:t>2.2 Profitability Analysis</w:t>
      </w:r>
      <w:bookmarkEnd w:id="5"/>
    </w:p>
    <w:p w14:paraId="5B02D42F" w14:textId="40C94667" w:rsidR="001950B8" w:rsidRPr="006956C9" w:rsidRDefault="001950B8" w:rsidP="006956C9">
      <w:pPr>
        <w:rPr>
          <w:rFonts w:ascii="Arial" w:hAnsi="Arial" w:cs="Arial"/>
          <w:lang w:val="en-IN"/>
        </w:rPr>
      </w:pPr>
      <w:r w:rsidRPr="006956C9">
        <w:rPr>
          <w:rFonts w:ascii="Arial" w:hAnsi="Arial" w:cs="Arial"/>
          <w:lang w:val="en-IN"/>
        </w:rPr>
        <w:t xml:space="preserve">Marriott’s profitability ratios demonstrate significant improvement compared with 2021, although profitability weakened after the 2023 peak. </w:t>
      </w:r>
      <w:r w:rsidRPr="006956C9">
        <w:rPr>
          <w:rFonts w:ascii="Arial" w:hAnsi="Arial" w:cs="Arial"/>
          <w:b/>
          <w:bCs/>
          <w:lang w:val="en-IN"/>
        </w:rPr>
        <w:t>Net profit margin</w:t>
      </w:r>
      <w:r w:rsidRPr="006956C9">
        <w:rPr>
          <w:rFonts w:ascii="Arial" w:hAnsi="Arial" w:cs="Arial"/>
          <w:lang w:val="en-IN"/>
        </w:rPr>
        <w:t xml:space="preserve"> increased from </w:t>
      </w:r>
      <w:r w:rsidRPr="006956C9">
        <w:rPr>
          <w:rFonts w:ascii="Arial" w:hAnsi="Arial" w:cs="Arial"/>
          <w:b/>
          <w:bCs/>
          <w:lang w:val="en-IN"/>
        </w:rPr>
        <w:t>7.93% in 2021 to 13.00% in 2023</w:t>
      </w:r>
      <w:r w:rsidRPr="006956C9">
        <w:rPr>
          <w:rFonts w:ascii="Arial" w:hAnsi="Arial" w:cs="Arial"/>
          <w:lang w:val="en-IN"/>
        </w:rPr>
        <w:t>, before declining to 9.46% in 2024 and recovering slightly to 9.93% in 2025. The 2025 figure therefore represents an improvement from 2024 but remains below the 2023 high.</w:t>
      </w:r>
      <w:r w:rsidR="007C6A72" w:rsidRPr="006956C9">
        <w:rPr>
          <w:rFonts w:ascii="Arial" w:hAnsi="Arial" w:cs="Arial"/>
          <w:lang w:val="en-IN"/>
        </w:rPr>
        <w:t xml:space="preserve"> </w:t>
      </w:r>
      <w:r w:rsidRPr="006956C9">
        <w:rPr>
          <w:rFonts w:ascii="Arial" w:hAnsi="Arial" w:cs="Arial"/>
          <w:lang w:val="en-IN"/>
        </w:rPr>
        <w:t xml:space="preserve">The </w:t>
      </w:r>
      <w:r w:rsidRPr="006956C9">
        <w:rPr>
          <w:rFonts w:ascii="Arial" w:hAnsi="Arial" w:cs="Arial"/>
          <w:b/>
          <w:bCs/>
          <w:lang w:val="en-IN"/>
        </w:rPr>
        <w:t>operating profit margin</w:t>
      </w:r>
      <w:r w:rsidRPr="006956C9">
        <w:rPr>
          <w:rFonts w:ascii="Arial" w:hAnsi="Arial" w:cs="Arial"/>
          <w:lang w:val="en-IN"/>
        </w:rPr>
        <w:t xml:space="preserve"> increased from </w:t>
      </w:r>
      <w:r w:rsidRPr="006956C9">
        <w:rPr>
          <w:rFonts w:ascii="Arial" w:hAnsi="Arial" w:cs="Arial"/>
          <w:b/>
          <w:bCs/>
          <w:lang w:val="en-IN"/>
        </w:rPr>
        <w:t>12.63% in 2021 to 16.67% in 2022</w:t>
      </w:r>
      <w:r w:rsidR="008B7DE1" w:rsidRPr="006956C9">
        <w:rPr>
          <w:rFonts w:ascii="Arial" w:hAnsi="Arial" w:cs="Arial"/>
          <w:b/>
          <w:bCs/>
          <w:lang w:val="en-IN"/>
        </w:rPr>
        <w:t xml:space="preserve"> </w:t>
      </w:r>
      <w:r w:rsidR="008B7DE1" w:rsidRPr="006956C9">
        <w:rPr>
          <w:rFonts w:ascii="Arial" w:hAnsi="Arial" w:cs="Arial"/>
          <w:lang w:val="en-IN"/>
        </w:rPr>
        <w:t>(</w:t>
      </w:r>
      <w:r w:rsidR="008B7DE1" w:rsidRPr="006956C9">
        <w:rPr>
          <w:rFonts w:ascii="Arial" w:hAnsi="Arial" w:cs="Arial"/>
        </w:rPr>
        <w:t>Marriott, 2023</w:t>
      </w:r>
      <w:r w:rsidR="008B7DE1" w:rsidRPr="006956C9">
        <w:rPr>
          <w:rFonts w:ascii="Arial" w:hAnsi="Arial" w:cs="Arial"/>
          <w:b/>
          <w:bCs/>
          <w:lang w:val="en-IN"/>
        </w:rPr>
        <w:t>)</w:t>
      </w:r>
      <w:r w:rsidRPr="006956C9">
        <w:rPr>
          <w:rFonts w:ascii="Arial" w:hAnsi="Arial" w:cs="Arial"/>
          <w:lang w:val="en-IN"/>
        </w:rPr>
        <w:t>. It subsequently remained relatively strong, reaching 16.29% in 2023, falling to 15.01% in 2024 and recovering to 15.81% in 2025. This indicates that Marriott has maintained a strong operating margin despite fluctuations in net profitability.</w:t>
      </w:r>
    </w:p>
    <w:p w14:paraId="3CFF8B45" w14:textId="194A11EE" w:rsidR="001950B8" w:rsidRPr="006956C9" w:rsidRDefault="001950B8" w:rsidP="006956C9">
      <w:pPr>
        <w:rPr>
          <w:rFonts w:ascii="Arial" w:hAnsi="Arial" w:cs="Arial"/>
          <w:lang w:val="en-IN"/>
        </w:rPr>
      </w:pPr>
      <w:r w:rsidRPr="006956C9">
        <w:rPr>
          <w:rFonts w:ascii="Arial" w:hAnsi="Arial" w:cs="Arial"/>
          <w:b/>
          <w:bCs/>
          <w:lang w:val="en-IN"/>
        </w:rPr>
        <w:t>ROA</w:t>
      </w:r>
      <w:r w:rsidRPr="006956C9">
        <w:rPr>
          <w:rFonts w:ascii="Arial" w:hAnsi="Arial" w:cs="Arial"/>
          <w:lang w:val="en-IN"/>
        </w:rPr>
        <w:t xml:space="preserve"> improved substantially from </w:t>
      </w:r>
      <w:r w:rsidRPr="006956C9">
        <w:rPr>
          <w:rFonts w:ascii="Arial" w:hAnsi="Arial" w:cs="Arial"/>
          <w:b/>
          <w:bCs/>
          <w:lang w:val="en-IN"/>
        </w:rPr>
        <w:t>4.30% in 2021 to 12.01% in 2023</w:t>
      </w:r>
      <w:r w:rsidRPr="006956C9">
        <w:rPr>
          <w:rFonts w:ascii="Arial" w:hAnsi="Arial" w:cs="Arial"/>
          <w:lang w:val="en-IN"/>
        </w:rPr>
        <w:t xml:space="preserve">, before declining to 9.07% in 2024 and recovering to 9.44% in 2025. The trend suggests that Marriott </w:t>
      </w:r>
      <w:r w:rsidRPr="006956C9">
        <w:rPr>
          <w:rFonts w:ascii="Arial" w:hAnsi="Arial" w:cs="Arial"/>
          <w:lang w:val="en-IN"/>
        </w:rPr>
        <w:lastRenderedPageBreak/>
        <w:t>became more effective at generating profit from its asset base during the recovery period.</w:t>
      </w:r>
      <w:r w:rsidR="008D1839" w:rsidRPr="006956C9">
        <w:rPr>
          <w:rFonts w:ascii="Arial" w:hAnsi="Arial" w:cs="Arial"/>
          <w:lang w:val="en-IN"/>
        </w:rPr>
        <w:t xml:space="preserve"> </w:t>
      </w:r>
      <w:r w:rsidRPr="006956C9">
        <w:rPr>
          <w:rFonts w:ascii="Arial" w:hAnsi="Arial" w:cs="Arial"/>
          <w:lang w:val="en-IN"/>
        </w:rPr>
        <w:t xml:space="preserve">This is the </w:t>
      </w:r>
      <w:r w:rsidRPr="006956C9">
        <w:rPr>
          <w:rFonts w:ascii="Arial" w:hAnsi="Arial" w:cs="Arial"/>
          <w:b/>
          <w:bCs/>
          <w:lang w:val="en-IN"/>
        </w:rPr>
        <w:t>third normal graph you already made</w:t>
      </w:r>
      <w:r w:rsidRPr="006956C9">
        <w:rPr>
          <w:rFonts w:ascii="Arial" w:hAnsi="Arial" w:cs="Arial"/>
          <w:lang w:val="en-IN"/>
        </w:rPr>
        <w:t xml:space="preserve">. Use </w:t>
      </w:r>
      <w:r w:rsidRPr="006956C9">
        <w:rPr>
          <w:rFonts w:ascii="Arial" w:hAnsi="Arial" w:cs="Arial"/>
          <w:b/>
          <w:bCs/>
          <w:lang w:val="en-IN"/>
        </w:rPr>
        <w:t>Net Profit Margin, Operating Profit Margin and ROA</w:t>
      </w:r>
      <w:r w:rsidRPr="006956C9">
        <w:rPr>
          <w:rFonts w:ascii="Arial" w:hAnsi="Arial" w:cs="Arial"/>
          <w:lang w:val="en-IN"/>
        </w:rPr>
        <w:t xml:space="preserve">. I recommend </w:t>
      </w:r>
      <w:r w:rsidRPr="006956C9">
        <w:rPr>
          <w:rFonts w:ascii="Arial" w:hAnsi="Arial" w:cs="Arial"/>
          <w:b/>
          <w:bCs/>
          <w:lang w:val="en-IN"/>
        </w:rPr>
        <w:t>not including ROE</w:t>
      </w:r>
      <w:r w:rsidRPr="006956C9">
        <w:rPr>
          <w:rFonts w:ascii="Arial" w:hAnsi="Arial" w:cs="Arial"/>
          <w:lang w:val="en-IN"/>
        </w:rPr>
        <w:t xml:space="preserve"> in the graph because Marriott's equity became negative from 2023, making conventional ROE interpretation highly distorted.</w:t>
      </w:r>
    </w:p>
    <w:p w14:paraId="241F4A10" w14:textId="7BE5047A" w:rsidR="001950B8" w:rsidRPr="006956C9" w:rsidRDefault="001950B8" w:rsidP="006956C9">
      <w:pPr>
        <w:rPr>
          <w:rFonts w:ascii="Arial" w:hAnsi="Arial" w:cs="Arial"/>
          <w:lang w:val="en-IN"/>
        </w:rPr>
      </w:pPr>
      <w:r w:rsidRPr="006956C9">
        <w:rPr>
          <w:rFonts w:ascii="Arial" w:hAnsi="Arial" w:cs="Arial"/>
          <w:lang w:val="en-IN"/>
        </w:rPr>
        <w:t>The ROE figures of 77.72% in 2021 and 415.14% in 2022, followed by negative figures from 2023 onwards, should therefore be interpreted cautiously. The negative ROE does not simply mean that Marriott generated negative shareholder performance; rather, it reflects the company's negative equity position.</w:t>
      </w:r>
    </w:p>
    <w:p w14:paraId="5F690E05" w14:textId="77777777" w:rsidR="001950B8" w:rsidRPr="006956C9" w:rsidRDefault="001950B8" w:rsidP="006956C9">
      <w:pPr>
        <w:pStyle w:val="Heading2"/>
        <w:rPr>
          <w:rFonts w:ascii="Arial" w:hAnsi="Arial" w:cs="Arial"/>
        </w:rPr>
      </w:pPr>
      <w:bookmarkStart w:id="6" w:name="_Toc237412865"/>
      <w:r w:rsidRPr="006956C9">
        <w:rPr>
          <w:rFonts w:ascii="Arial" w:hAnsi="Arial" w:cs="Arial"/>
        </w:rPr>
        <w:t>2.3 Liquidity Analysis</w:t>
      </w:r>
      <w:bookmarkEnd w:id="6"/>
    </w:p>
    <w:p w14:paraId="5C4BB739" w14:textId="28A80C9C" w:rsidR="001950B8" w:rsidRPr="006956C9" w:rsidRDefault="001950B8" w:rsidP="006956C9">
      <w:pPr>
        <w:rPr>
          <w:rFonts w:ascii="Arial" w:hAnsi="Arial" w:cs="Arial"/>
          <w:lang w:val="en-IN"/>
        </w:rPr>
      </w:pPr>
      <w:r w:rsidRPr="006956C9">
        <w:rPr>
          <w:rFonts w:ascii="Arial" w:hAnsi="Arial" w:cs="Arial"/>
          <w:lang w:val="en-IN"/>
        </w:rPr>
        <w:t xml:space="preserve">Marriott's liquidity position represents one of its principal financial weaknesses. The </w:t>
      </w:r>
      <w:r w:rsidRPr="006956C9">
        <w:rPr>
          <w:rFonts w:ascii="Arial" w:hAnsi="Arial" w:cs="Arial"/>
          <w:b/>
          <w:bCs/>
          <w:lang w:val="en-IN"/>
        </w:rPr>
        <w:t>current ratio</w:t>
      </w:r>
      <w:r w:rsidRPr="006956C9">
        <w:rPr>
          <w:rFonts w:ascii="Arial" w:hAnsi="Arial" w:cs="Arial"/>
          <w:lang w:val="en-IN"/>
        </w:rPr>
        <w:t xml:space="preserve"> declined from </w:t>
      </w:r>
      <w:r w:rsidRPr="006956C9">
        <w:rPr>
          <w:rFonts w:ascii="Arial" w:hAnsi="Arial" w:cs="Arial"/>
          <w:b/>
          <w:bCs/>
          <w:lang w:val="en-IN"/>
        </w:rPr>
        <w:t>0.57 in 2021 to approximately 0.40 in 2024 and 2025</w:t>
      </w:r>
      <w:r w:rsidRPr="006956C9">
        <w:rPr>
          <w:rFonts w:ascii="Arial" w:hAnsi="Arial" w:cs="Arial"/>
          <w:lang w:val="en-IN"/>
        </w:rPr>
        <w:t xml:space="preserve">. Similarly, the quick ratio declined from 0.53 to approximately 0.40, while the cash ratio fell sharply from </w:t>
      </w:r>
      <w:r w:rsidRPr="006956C9">
        <w:rPr>
          <w:rFonts w:ascii="Arial" w:hAnsi="Arial" w:cs="Arial"/>
          <w:b/>
          <w:bCs/>
          <w:lang w:val="en-IN"/>
        </w:rPr>
        <w:t>0.22 in 2021 to only 0.04 in 2025</w:t>
      </w:r>
      <w:r w:rsidR="00155EF8" w:rsidRPr="006956C9">
        <w:rPr>
          <w:rFonts w:ascii="Arial" w:hAnsi="Arial" w:cs="Arial"/>
          <w:b/>
          <w:bCs/>
          <w:lang w:val="en-IN"/>
        </w:rPr>
        <w:t xml:space="preserve"> (</w:t>
      </w:r>
      <w:r w:rsidR="00155EF8" w:rsidRPr="006956C9">
        <w:rPr>
          <w:rFonts w:ascii="Arial" w:hAnsi="Arial" w:cs="Arial"/>
        </w:rPr>
        <w:t>Marriott, 2022</w:t>
      </w:r>
      <w:r w:rsidR="00155EF8" w:rsidRPr="006956C9">
        <w:rPr>
          <w:rFonts w:ascii="Arial" w:hAnsi="Arial" w:cs="Arial"/>
          <w:b/>
          <w:bCs/>
          <w:lang w:val="en-IN"/>
        </w:rPr>
        <w:t>)</w:t>
      </w:r>
      <w:r w:rsidRPr="006956C9">
        <w:rPr>
          <w:rFonts w:ascii="Arial" w:hAnsi="Arial" w:cs="Arial"/>
          <w:lang w:val="en-IN"/>
        </w:rPr>
        <w:t>.</w:t>
      </w:r>
    </w:p>
    <w:p w14:paraId="0E2A6F9A" w14:textId="77777777" w:rsidR="0028401D" w:rsidRPr="006956C9" w:rsidRDefault="0028401D" w:rsidP="006956C9">
      <w:pPr>
        <w:keepNext/>
        <w:jc w:val="center"/>
        <w:rPr>
          <w:rFonts w:ascii="Arial" w:hAnsi="Arial" w:cs="Arial"/>
          <w:szCs w:val="24"/>
        </w:rPr>
      </w:pPr>
      <w:r w:rsidRPr="006956C9">
        <w:rPr>
          <w:rFonts w:ascii="Arial" w:hAnsi="Arial" w:cs="Arial"/>
          <w:noProof/>
          <w:szCs w:val="24"/>
        </w:rPr>
        <w:drawing>
          <wp:inline distT="0" distB="0" distL="0" distR="0" wp14:anchorId="0AA57603" wp14:editId="08AD1A4C">
            <wp:extent cx="4572000" cy="2743200"/>
            <wp:effectExtent l="0" t="0" r="0" b="0"/>
            <wp:docPr id="924687517" name="Chart 1">
              <a:extLst xmlns:a="http://schemas.openxmlformats.org/drawingml/2006/main">
                <a:ext uri="{FF2B5EF4-FFF2-40B4-BE49-F238E27FC236}">
                  <a16:creationId xmlns:a16="http://schemas.microsoft.com/office/drawing/2014/main" id="{2FF33068-65F4-F67D-3F82-EFDBD8B166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D0818A0" w14:textId="5D7EAC8B" w:rsidR="0028401D" w:rsidRPr="006956C9" w:rsidRDefault="0028401D" w:rsidP="006956C9">
      <w:pPr>
        <w:pStyle w:val="Caption"/>
        <w:spacing w:line="360" w:lineRule="auto"/>
        <w:jc w:val="center"/>
        <w:rPr>
          <w:rFonts w:ascii="Arial" w:hAnsi="Arial" w:cs="Arial"/>
          <w:color w:val="auto"/>
          <w:sz w:val="24"/>
          <w:szCs w:val="24"/>
        </w:rPr>
      </w:pPr>
      <w:bookmarkStart w:id="7" w:name="_Toc237412692"/>
      <w:r w:rsidRPr="006956C9">
        <w:rPr>
          <w:rFonts w:ascii="Arial" w:hAnsi="Arial" w:cs="Arial"/>
          <w:color w:val="auto"/>
          <w:sz w:val="24"/>
          <w:szCs w:val="24"/>
        </w:rPr>
        <w:t xml:space="preserve">Figure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Figure \* ARABIC </w:instrText>
      </w:r>
      <w:r w:rsidRPr="006956C9">
        <w:rPr>
          <w:rFonts w:ascii="Arial" w:hAnsi="Arial" w:cs="Arial"/>
          <w:color w:val="auto"/>
          <w:sz w:val="24"/>
          <w:szCs w:val="24"/>
        </w:rPr>
        <w:fldChar w:fldCharType="separate"/>
      </w:r>
      <w:r w:rsidR="00B675D3" w:rsidRPr="006956C9">
        <w:rPr>
          <w:rFonts w:ascii="Arial" w:hAnsi="Arial" w:cs="Arial"/>
          <w:noProof/>
          <w:color w:val="auto"/>
          <w:sz w:val="24"/>
          <w:szCs w:val="24"/>
        </w:rPr>
        <w:t>3</w:t>
      </w:r>
      <w:r w:rsidRPr="006956C9">
        <w:rPr>
          <w:rFonts w:ascii="Arial" w:hAnsi="Arial" w:cs="Arial"/>
          <w:color w:val="auto"/>
          <w:sz w:val="24"/>
          <w:szCs w:val="24"/>
        </w:rPr>
        <w:fldChar w:fldCharType="end"/>
      </w:r>
      <w:r w:rsidRPr="006956C9">
        <w:rPr>
          <w:rFonts w:ascii="Arial" w:hAnsi="Arial" w:cs="Arial"/>
          <w:color w:val="auto"/>
          <w:sz w:val="24"/>
          <w:szCs w:val="24"/>
        </w:rPr>
        <w:t>: Marriott Liquidity Ratios</w:t>
      </w:r>
      <w:bookmarkEnd w:id="7"/>
    </w:p>
    <w:p w14:paraId="5F677F40" w14:textId="290D5AC7" w:rsidR="001950B8" w:rsidRPr="006956C9" w:rsidRDefault="001950B8" w:rsidP="006956C9">
      <w:pPr>
        <w:rPr>
          <w:rFonts w:ascii="Arial" w:hAnsi="Arial" w:cs="Arial"/>
          <w:lang w:val="en-IN"/>
        </w:rPr>
      </w:pPr>
      <w:r w:rsidRPr="006956C9">
        <w:rPr>
          <w:rFonts w:ascii="Arial" w:hAnsi="Arial" w:cs="Arial"/>
          <w:lang w:val="en-IN"/>
        </w:rPr>
        <w:t xml:space="preserve">The graph clearly demonstrates that Marriott's immediately available liquidity has remained weak. A current ratio below 1.0 indicates that current assets are lower than current liabilities. Marriott's current assets were </w:t>
      </w:r>
      <w:r w:rsidRPr="006956C9">
        <w:rPr>
          <w:rFonts w:ascii="Arial" w:hAnsi="Arial" w:cs="Arial"/>
          <w:b/>
          <w:bCs/>
          <w:lang w:val="en-IN"/>
        </w:rPr>
        <w:t>$3.584 billion in 2025 compared with current liabilities of $8.398 billion</w:t>
      </w:r>
      <w:r w:rsidRPr="006956C9">
        <w:rPr>
          <w:rFonts w:ascii="Arial" w:hAnsi="Arial" w:cs="Arial"/>
          <w:lang w:val="en-IN"/>
        </w:rPr>
        <w:t>. Consequently, the company relies significantly on continuing operating cash flows, financing arrangements and effective working-capital management to meet short-term obligations.</w:t>
      </w:r>
      <w:r w:rsidR="007C6A72" w:rsidRPr="006956C9">
        <w:rPr>
          <w:rFonts w:ascii="Arial" w:hAnsi="Arial" w:cs="Arial"/>
          <w:lang w:val="en-IN"/>
        </w:rPr>
        <w:t xml:space="preserve"> </w:t>
      </w:r>
      <w:r w:rsidRPr="006956C9">
        <w:rPr>
          <w:rFonts w:ascii="Arial" w:hAnsi="Arial" w:cs="Arial"/>
          <w:lang w:val="en-IN"/>
        </w:rPr>
        <w:t xml:space="preserve">The cash ratio of only 0.04 in 2025 </w:t>
      </w:r>
      <w:r w:rsidRPr="006956C9">
        <w:rPr>
          <w:rFonts w:ascii="Arial" w:hAnsi="Arial" w:cs="Arial"/>
          <w:lang w:val="en-IN"/>
        </w:rPr>
        <w:lastRenderedPageBreak/>
        <w:t>is particularly important because it indicates limited immediate cash coverage. However, this weakness should be considered alongside Marriott's strong operating cash generation rather than assessed in isolation.</w:t>
      </w:r>
    </w:p>
    <w:p w14:paraId="2089A76D" w14:textId="77777777" w:rsidR="001950B8" w:rsidRPr="006956C9" w:rsidRDefault="001950B8" w:rsidP="006956C9">
      <w:pPr>
        <w:pStyle w:val="Heading2"/>
        <w:rPr>
          <w:rFonts w:ascii="Arial" w:hAnsi="Arial" w:cs="Arial"/>
        </w:rPr>
      </w:pPr>
      <w:bookmarkStart w:id="8" w:name="_Toc237412866"/>
      <w:r w:rsidRPr="006956C9">
        <w:rPr>
          <w:rFonts w:ascii="Arial" w:hAnsi="Arial" w:cs="Arial"/>
        </w:rPr>
        <w:t>2.4 Efficiency Analysis</w:t>
      </w:r>
      <w:bookmarkEnd w:id="8"/>
    </w:p>
    <w:p w14:paraId="528235A2" w14:textId="6143B5A3" w:rsidR="001950B8" w:rsidRPr="006956C9" w:rsidRDefault="001950B8" w:rsidP="006956C9">
      <w:pPr>
        <w:rPr>
          <w:rFonts w:ascii="Arial" w:hAnsi="Arial" w:cs="Arial"/>
          <w:lang w:val="en-IN"/>
        </w:rPr>
      </w:pPr>
      <w:r w:rsidRPr="006956C9">
        <w:rPr>
          <w:rFonts w:ascii="Arial" w:hAnsi="Arial" w:cs="Arial"/>
          <w:lang w:val="en-IN"/>
        </w:rPr>
        <w:t xml:space="preserve">Marriott's </w:t>
      </w:r>
      <w:r w:rsidRPr="006956C9">
        <w:rPr>
          <w:rFonts w:ascii="Arial" w:hAnsi="Arial" w:cs="Arial"/>
          <w:b/>
          <w:bCs/>
          <w:lang w:val="en-IN"/>
        </w:rPr>
        <w:t>asset turnover ratio</w:t>
      </w:r>
      <w:r w:rsidRPr="006956C9">
        <w:rPr>
          <w:rFonts w:ascii="Arial" w:hAnsi="Arial" w:cs="Arial"/>
          <w:lang w:val="en-IN"/>
        </w:rPr>
        <w:t xml:space="preserve"> improved considerably from </w:t>
      </w:r>
      <w:r w:rsidRPr="006956C9">
        <w:rPr>
          <w:rFonts w:ascii="Arial" w:hAnsi="Arial" w:cs="Arial"/>
          <w:b/>
          <w:bCs/>
          <w:lang w:val="en-IN"/>
        </w:rPr>
        <w:t>0.54 times in 2021 to 0.95 times in 2025</w:t>
      </w:r>
      <w:r w:rsidRPr="006956C9">
        <w:rPr>
          <w:rFonts w:ascii="Arial" w:hAnsi="Arial" w:cs="Arial"/>
          <w:lang w:val="en-IN"/>
        </w:rPr>
        <w:t>, reaching 0.96 times in 2024</w:t>
      </w:r>
      <w:r w:rsidR="002452C8" w:rsidRPr="006956C9">
        <w:rPr>
          <w:rFonts w:ascii="Arial" w:hAnsi="Arial" w:cs="Arial"/>
          <w:lang w:val="en-IN"/>
        </w:rPr>
        <w:t xml:space="preserve"> (</w:t>
      </w:r>
      <w:r w:rsidR="002452C8" w:rsidRPr="006956C9">
        <w:rPr>
          <w:rFonts w:ascii="Arial" w:hAnsi="Arial" w:cs="Arial"/>
        </w:rPr>
        <w:t>Marriott, 2026a</w:t>
      </w:r>
      <w:r w:rsidR="002452C8" w:rsidRPr="006956C9">
        <w:rPr>
          <w:rFonts w:ascii="Arial" w:hAnsi="Arial" w:cs="Arial"/>
          <w:lang w:val="en-IN"/>
        </w:rPr>
        <w:t>)</w:t>
      </w:r>
      <w:r w:rsidRPr="006956C9">
        <w:rPr>
          <w:rFonts w:ascii="Arial" w:hAnsi="Arial" w:cs="Arial"/>
          <w:lang w:val="en-IN"/>
        </w:rPr>
        <w:t>. This indicates a substantial improvement in the company's ability to generate revenue from its asset base. The improvement is consistent with the strong growth in revenue relative to total assets.</w:t>
      </w:r>
      <w:r w:rsidR="00621B13" w:rsidRPr="006956C9">
        <w:rPr>
          <w:rFonts w:ascii="Arial" w:hAnsi="Arial" w:cs="Arial"/>
          <w:lang w:val="en-IN"/>
        </w:rPr>
        <w:t xml:space="preserve"> </w:t>
      </w:r>
      <w:r w:rsidRPr="006956C9">
        <w:rPr>
          <w:rFonts w:ascii="Arial" w:hAnsi="Arial" w:cs="Arial"/>
          <w:lang w:val="en-IN"/>
        </w:rPr>
        <w:t>The increase from 0.54× to approximately 0.95× suggests that Marriott has become significantly more efficient in utilising its resources to generate sales. Nevertheless, the slight decline from 0.96× in 2024 to 0.95× in 2025 suggests that efficiency improvement may be stabilising.</w:t>
      </w:r>
    </w:p>
    <w:p w14:paraId="685072B2" w14:textId="77777777" w:rsidR="001950B8" w:rsidRPr="006956C9" w:rsidRDefault="001950B8" w:rsidP="006956C9">
      <w:pPr>
        <w:pStyle w:val="Heading2"/>
        <w:rPr>
          <w:rFonts w:ascii="Arial" w:hAnsi="Arial" w:cs="Arial"/>
        </w:rPr>
      </w:pPr>
      <w:bookmarkStart w:id="9" w:name="_Toc237412867"/>
      <w:r w:rsidRPr="006956C9">
        <w:rPr>
          <w:rFonts w:ascii="Arial" w:hAnsi="Arial" w:cs="Arial"/>
        </w:rPr>
        <w:t>2.5 Gearing and Solvency Analysis</w:t>
      </w:r>
      <w:bookmarkEnd w:id="9"/>
    </w:p>
    <w:p w14:paraId="714D179D" w14:textId="77777777" w:rsidR="001950B8" w:rsidRPr="006956C9" w:rsidRDefault="001950B8" w:rsidP="006956C9">
      <w:pPr>
        <w:rPr>
          <w:rFonts w:ascii="Arial" w:hAnsi="Arial" w:cs="Arial"/>
          <w:lang w:val="en-IN"/>
        </w:rPr>
      </w:pPr>
      <w:r w:rsidRPr="006956C9">
        <w:rPr>
          <w:rFonts w:ascii="Arial" w:hAnsi="Arial" w:cs="Arial"/>
          <w:lang w:val="en-IN"/>
        </w:rPr>
        <w:t xml:space="preserve">Marriott's leverage position has deteriorated materially. The </w:t>
      </w:r>
      <w:r w:rsidRPr="006956C9">
        <w:rPr>
          <w:rFonts w:ascii="Arial" w:hAnsi="Arial" w:cs="Arial"/>
          <w:b/>
          <w:bCs/>
          <w:lang w:val="en-IN"/>
        </w:rPr>
        <w:t>debt-to-asset ratio increased from 39.67% in 2021 to 58.84% in 2025</w:t>
      </w:r>
      <w:r w:rsidRPr="006956C9">
        <w:rPr>
          <w:rFonts w:ascii="Arial" w:hAnsi="Arial" w:cs="Arial"/>
          <w:lang w:val="en-IN"/>
        </w:rPr>
        <w:t>. This means that debt represented a substantially larger proportion of Marriott's asset financing by 2025.</w:t>
      </w:r>
    </w:p>
    <w:p w14:paraId="131A1EDE" w14:textId="77777777" w:rsidR="00080549" w:rsidRPr="006956C9" w:rsidRDefault="00080549" w:rsidP="006956C9">
      <w:pPr>
        <w:keepNext/>
        <w:jc w:val="center"/>
        <w:rPr>
          <w:rFonts w:ascii="Arial" w:hAnsi="Arial" w:cs="Arial"/>
          <w:szCs w:val="24"/>
        </w:rPr>
      </w:pPr>
      <w:r w:rsidRPr="006956C9">
        <w:rPr>
          <w:rFonts w:ascii="Arial" w:hAnsi="Arial" w:cs="Arial"/>
          <w:noProof/>
          <w:szCs w:val="24"/>
        </w:rPr>
        <w:drawing>
          <wp:inline distT="0" distB="0" distL="0" distR="0" wp14:anchorId="70520345" wp14:editId="155450C0">
            <wp:extent cx="4572000" cy="2743200"/>
            <wp:effectExtent l="0" t="0" r="0" b="0"/>
            <wp:docPr id="911395827" name="Chart 1">
              <a:extLst xmlns:a="http://schemas.openxmlformats.org/drawingml/2006/main">
                <a:ext uri="{FF2B5EF4-FFF2-40B4-BE49-F238E27FC236}">
                  <a16:creationId xmlns:a16="http://schemas.microsoft.com/office/drawing/2014/main" id="{DDD72D08-7DBB-84A5-4B42-70A823441E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D19FF5" w14:textId="7E393B47" w:rsidR="00080549" w:rsidRPr="006956C9" w:rsidRDefault="00080549" w:rsidP="006956C9">
      <w:pPr>
        <w:pStyle w:val="Caption"/>
        <w:spacing w:line="360" w:lineRule="auto"/>
        <w:jc w:val="center"/>
        <w:rPr>
          <w:rFonts w:ascii="Arial" w:hAnsi="Arial" w:cs="Arial"/>
          <w:color w:val="auto"/>
          <w:sz w:val="24"/>
          <w:szCs w:val="24"/>
          <w:lang w:val="en-IN"/>
        </w:rPr>
      </w:pPr>
      <w:bookmarkStart w:id="10" w:name="_Toc237412693"/>
      <w:r w:rsidRPr="006956C9">
        <w:rPr>
          <w:rFonts w:ascii="Arial" w:hAnsi="Arial" w:cs="Arial"/>
          <w:color w:val="auto"/>
          <w:sz w:val="24"/>
          <w:szCs w:val="24"/>
        </w:rPr>
        <w:t xml:space="preserve">Figure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Figure \* ARABIC </w:instrText>
      </w:r>
      <w:r w:rsidRPr="006956C9">
        <w:rPr>
          <w:rFonts w:ascii="Arial" w:hAnsi="Arial" w:cs="Arial"/>
          <w:color w:val="auto"/>
          <w:sz w:val="24"/>
          <w:szCs w:val="24"/>
        </w:rPr>
        <w:fldChar w:fldCharType="separate"/>
      </w:r>
      <w:r w:rsidR="00B675D3" w:rsidRPr="006956C9">
        <w:rPr>
          <w:rFonts w:ascii="Arial" w:hAnsi="Arial" w:cs="Arial"/>
          <w:noProof/>
          <w:color w:val="auto"/>
          <w:sz w:val="24"/>
          <w:szCs w:val="24"/>
        </w:rPr>
        <w:t>4</w:t>
      </w:r>
      <w:r w:rsidRPr="006956C9">
        <w:rPr>
          <w:rFonts w:ascii="Arial" w:hAnsi="Arial" w:cs="Arial"/>
          <w:color w:val="auto"/>
          <w:sz w:val="24"/>
          <w:szCs w:val="24"/>
        </w:rPr>
        <w:fldChar w:fldCharType="end"/>
      </w:r>
      <w:r w:rsidRPr="006956C9">
        <w:rPr>
          <w:rFonts w:ascii="Arial" w:hAnsi="Arial" w:cs="Arial"/>
          <w:color w:val="auto"/>
          <w:sz w:val="24"/>
          <w:szCs w:val="24"/>
        </w:rPr>
        <w:t>: Marriott Leverage and Interest Coverage</w:t>
      </w:r>
      <w:bookmarkEnd w:id="10"/>
    </w:p>
    <w:p w14:paraId="1B67C598" w14:textId="1C3223C5" w:rsidR="001950B8" w:rsidRPr="006956C9" w:rsidRDefault="001950B8" w:rsidP="006956C9">
      <w:pPr>
        <w:rPr>
          <w:rFonts w:ascii="Arial" w:hAnsi="Arial" w:cs="Arial"/>
          <w:lang w:val="en-IN"/>
        </w:rPr>
      </w:pPr>
      <w:r w:rsidRPr="006956C9">
        <w:rPr>
          <w:rFonts w:ascii="Arial" w:hAnsi="Arial" w:cs="Arial"/>
          <w:lang w:val="en-IN"/>
        </w:rPr>
        <w:t xml:space="preserve">The interest coverage ratio increased from 4.17× in 2021 to 8.59× in 2022 but subsequently declined to </w:t>
      </w:r>
      <w:r w:rsidRPr="006956C9">
        <w:rPr>
          <w:rFonts w:ascii="Arial" w:hAnsi="Arial" w:cs="Arial"/>
          <w:b/>
          <w:bCs/>
          <w:lang w:val="en-IN"/>
        </w:rPr>
        <w:t>5.12× in 2025</w:t>
      </w:r>
      <w:r w:rsidRPr="006956C9">
        <w:rPr>
          <w:rFonts w:ascii="Arial" w:hAnsi="Arial" w:cs="Arial"/>
          <w:lang w:val="en-IN"/>
        </w:rPr>
        <w:t xml:space="preserve">. Although 5.12× still indicates that operating income provides meaningful coverage of interest expense, the downward trend after </w:t>
      </w:r>
      <w:r w:rsidRPr="006956C9">
        <w:rPr>
          <w:rFonts w:ascii="Arial" w:hAnsi="Arial" w:cs="Arial"/>
          <w:lang w:val="en-IN"/>
        </w:rPr>
        <w:lastRenderedPageBreak/>
        <w:t>2022 is a warning sign. Increasing interest expense from $420 million to $809 million has reduced the margin of safety available to Marriott.</w:t>
      </w:r>
    </w:p>
    <w:p w14:paraId="77142578" w14:textId="77777777" w:rsidR="001950B8" w:rsidRPr="006956C9" w:rsidRDefault="001950B8" w:rsidP="006956C9">
      <w:pPr>
        <w:pStyle w:val="Heading2"/>
        <w:rPr>
          <w:rFonts w:ascii="Arial" w:hAnsi="Arial" w:cs="Arial"/>
        </w:rPr>
      </w:pPr>
      <w:bookmarkStart w:id="11" w:name="_Toc237412868"/>
      <w:r w:rsidRPr="006956C9">
        <w:rPr>
          <w:rFonts w:ascii="Arial" w:hAnsi="Arial" w:cs="Arial"/>
        </w:rPr>
        <w:t>2.6 Cash-Flow and Shareholder Indicators</w:t>
      </w:r>
      <w:bookmarkEnd w:id="11"/>
    </w:p>
    <w:p w14:paraId="0559AC36" w14:textId="56CE91FD" w:rsidR="001950B8" w:rsidRPr="006956C9" w:rsidRDefault="001950B8" w:rsidP="006956C9">
      <w:pPr>
        <w:rPr>
          <w:rFonts w:ascii="Arial" w:hAnsi="Arial" w:cs="Arial"/>
          <w:lang w:val="en-IN"/>
        </w:rPr>
      </w:pPr>
      <w:r w:rsidRPr="006956C9">
        <w:rPr>
          <w:rFonts w:ascii="Arial" w:hAnsi="Arial" w:cs="Arial"/>
          <w:lang w:val="en-IN"/>
        </w:rPr>
        <w:t xml:space="preserve">Marriott's operating cash flow ratio improved from </w:t>
      </w:r>
      <w:r w:rsidRPr="006956C9">
        <w:rPr>
          <w:rFonts w:ascii="Arial" w:hAnsi="Arial" w:cs="Arial"/>
          <w:b/>
          <w:bCs/>
          <w:lang w:val="en-IN"/>
        </w:rPr>
        <w:t>0.18× in 2021 to 0.38× in 2025</w:t>
      </w:r>
      <w:r w:rsidRPr="006956C9">
        <w:rPr>
          <w:rFonts w:ascii="Arial" w:hAnsi="Arial" w:cs="Arial"/>
          <w:lang w:val="en-IN"/>
        </w:rPr>
        <w:t>, despite fluctuations. This reinforces the conclusion that the company has a stronger operating cash-generation capability than its weak current ratio alone might suggest.</w:t>
      </w:r>
      <w:r w:rsidR="007C6A72" w:rsidRPr="006956C9">
        <w:rPr>
          <w:rFonts w:ascii="Arial" w:hAnsi="Arial" w:cs="Arial"/>
          <w:lang w:val="en-IN"/>
        </w:rPr>
        <w:t xml:space="preserve"> </w:t>
      </w:r>
      <w:r w:rsidRPr="006956C9">
        <w:rPr>
          <w:rFonts w:ascii="Arial" w:hAnsi="Arial" w:cs="Arial"/>
          <w:lang w:val="en-IN"/>
        </w:rPr>
        <w:t xml:space="preserve">The </w:t>
      </w:r>
      <w:r w:rsidRPr="006956C9">
        <w:rPr>
          <w:rFonts w:ascii="Arial" w:hAnsi="Arial" w:cs="Arial"/>
          <w:b/>
          <w:bCs/>
          <w:lang w:val="en-IN"/>
        </w:rPr>
        <w:t>dividend payout ratio</w:t>
      </w:r>
      <w:r w:rsidRPr="006956C9">
        <w:rPr>
          <w:rFonts w:ascii="Arial" w:hAnsi="Arial" w:cs="Arial"/>
          <w:lang w:val="en-IN"/>
        </w:rPr>
        <w:t xml:space="preserve"> increased from zero in 2021 to </w:t>
      </w:r>
      <w:r w:rsidRPr="006956C9">
        <w:rPr>
          <w:rFonts w:ascii="Arial" w:hAnsi="Arial" w:cs="Arial"/>
          <w:b/>
          <w:bCs/>
          <w:lang w:val="en-IN"/>
        </w:rPr>
        <w:t>27.60% in 2025</w:t>
      </w:r>
      <w:r w:rsidRPr="006956C9">
        <w:rPr>
          <w:rFonts w:ascii="Arial" w:hAnsi="Arial" w:cs="Arial"/>
          <w:lang w:val="en-IN"/>
        </w:rPr>
        <w:t xml:space="preserve">, indicating greater distribution of earnings to shareholders. Dividends increased from $321 million in 2022 to $718 million in 2025. Marriott also purchased substantial amounts of treasury stock, including </w:t>
      </w:r>
      <w:r w:rsidRPr="006956C9">
        <w:rPr>
          <w:rFonts w:ascii="Arial" w:hAnsi="Arial" w:cs="Arial"/>
          <w:b/>
          <w:bCs/>
          <w:lang w:val="en-IN"/>
        </w:rPr>
        <w:t>$3.3 billion in 2025</w:t>
      </w:r>
      <w:r w:rsidRPr="006956C9">
        <w:rPr>
          <w:rFonts w:ascii="Arial" w:hAnsi="Arial" w:cs="Arial"/>
          <w:lang w:val="en-IN"/>
        </w:rPr>
        <w:t>. These shareholder distributions need to be considered carefully alongside the company's liquidity pressure, rising debt and negative equity position.</w:t>
      </w:r>
    </w:p>
    <w:p w14:paraId="30FA0E8F" w14:textId="77777777" w:rsidR="001950B8" w:rsidRPr="006956C9" w:rsidRDefault="001950B8" w:rsidP="006956C9">
      <w:pPr>
        <w:pStyle w:val="Heading2"/>
        <w:rPr>
          <w:rFonts w:ascii="Arial" w:hAnsi="Arial" w:cs="Arial"/>
        </w:rPr>
      </w:pPr>
      <w:bookmarkStart w:id="12" w:name="_Toc237412869"/>
      <w:r w:rsidRPr="006956C9">
        <w:rPr>
          <w:rFonts w:ascii="Arial" w:hAnsi="Arial" w:cs="Arial"/>
        </w:rPr>
        <w:t>2.8 Overall Financial Strengths and Threats</w:t>
      </w:r>
      <w:bookmarkEnd w:id="12"/>
    </w:p>
    <w:p w14:paraId="0E5B5100" w14:textId="09F4D4D7" w:rsidR="001950B8" w:rsidRPr="006956C9" w:rsidRDefault="001950B8" w:rsidP="006956C9">
      <w:pPr>
        <w:rPr>
          <w:rFonts w:ascii="Arial" w:hAnsi="Arial" w:cs="Arial"/>
          <w:lang w:val="en-IN"/>
        </w:rPr>
      </w:pPr>
      <w:r w:rsidRPr="006956C9">
        <w:rPr>
          <w:rFonts w:ascii="Arial" w:hAnsi="Arial" w:cs="Arial"/>
          <w:lang w:val="en-IN"/>
        </w:rPr>
        <w:t xml:space="preserve">Marriott presents a </w:t>
      </w:r>
      <w:r w:rsidRPr="006956C9">
        <w:rPr>
          <w:rFonts w:ascii="Arial" w:hAnsi="Arial" w:cs="Arial"/>
          <w:b/>
          <w:bCs/>
          <w:lang w:val="en-IN"/>
        </w:rPr>
        <w:t>mixed financial position</w:t>
      </w:r>
      <w:r w:rsidRPr="006956C9">
        <w:rPr>
          <w:rFonts w:ascii="Arial" w:hAnsi="Arial" w:cs="Arial"/>
          <w:lang w:val="en-IN"/>
        </w:rPr>
        <w:t>. Its major strengths include strong revenue growth, sustained operating profitability, improving asset utilisation and substantial operating cash generation. Revenue almost doubled between 2021 and 2025, while operating cash flow increased by approximately 173%.</w:t>
      </w:r>
      <w:r w:rsidR="007C6A72" w:rsidRPr="006956C9">
        <w:rPr>
          <w:rFonts w:ascii="Arial" w:hAnsi="Arial" w:cs="Arial"/>
          <w:lang w:val="en-IN"/>
        </w:rPr>
        <w:t xml:space="preserve"> </w:t>
      </w:r>
      <w:r w:rsidRPr="006956C9">
        <w:rPr>
          <w:rFonts w:ascii="Arial" w:hAnsi="Arial" w:cs="Arial"/>
          <w:lang w:val="en-IN"/>
        </w:rPr>
        <w:t xml:space="preserve">However, the principal threats are </w:t>
      </w:r>
      <w:r w:rsidRPr="006956C9">
        <w:rPr>
          <w:rFonts w:ascii="Arial" w:hAnsi="Arial" w:cs="Arial"/>
          <w:b/>
          <w:bCs/>
          <w:lang w:val="en-IN"/>
        </w:rPr>
        <w:t>weak liquidity, rising leverage and negative equity</w:t>
      </w:r>
      <w:r w:rsidRPr="006956C9">
        <w:rPr>
          <w:rFonts w:ascii="Arial" w:hAnsi="Arial" w:cs="Arial"/>
          <w:lang w:val="en-IN"/>
        </w:rPr>
        <w:t>. Debt increased to $16.204 billion in 2025, while total liabilities reached $31.311 billion and equity fell to a $3.771 billion deficit. The declining interest coverage ratio also indicates increasing financing pressure.</w:t>
      </w:r>
    </w:p>
    <w:p w14:paraId="13E1D76A" w14:textId="77777777" w:rsidR="00F07797" w:rsidRPr="006956C9" w:rsidRDefault="00F07797" w:rsidP="006956C9">
      <w:pPr>
        <w:pStyle w:val="Heading1"/>
        <w:rPr>
          <w:rFonts w:ascii="Arial" w:hAnsi="Arial" w:cs="Arial"/>
          <w:lang w:val="en-IN"/>
        </w:rPr>
      </w:pPr>
      <w:bookmarkStart w:id="13" w:name="_Toc237412870"/>
      <w:r w:rsidRPr="006956C9">
        <w:rPr>
          <w:rFonts w:ascii="Arial" w:hAnsi="Arial" w:cs="Arial"/>
          <w:lang w:val="en-IN"/>
        </w:rPr>
        <w:t>3. Working Capital Management Analysis</w:t>
      </w:r>
      <w:bookmarkEnd w:id="13"/>
    </w:p>
    <w:p w14:paraId="5A11CCC8" w14:textId="77777777" w:rsidR="00F07797" w:rsidRPr="006956C9" w:rsidRDefault="00F07797" w:rsidP="006956C9">
      <w:pPr>
        <w:pStyle w:val="Heading2"/>
        <w:rPr>
          <w:rFonts w:ascii="Arial" w:hAnsi="Arial" w:cs="Arial"/>
        </w:rPr>
      </w:pPr>
      <w:bookmarkStart w:id="14" w:name="_Toc237412871"/>
      <w:r w:rsidRPr="006956C9">
        <w:rPr>
          <w:rFonts w:ascii="Arial" w:hAnsi="Arial" w:cs="Arial"/>
        </w:rPr>
        <w:t>3.1 Working Capital Position</w:t>
      </w:r>
      <w:bookmarkEnd w:id="14"/>
    </w:p>
    <w:p w14:paraId="77E9F53C" w14:textId="79732E7D" w:rsidR="00F07797" w:rsidRPr="006956C9" w:rsidRDefault="00F07797" w:rsidP="006956C9">
      <w:pPr>
        <w:rPr>
          <w:rFonts w:ascii="Arial" w:hAnsi="Arial" w:cs="Arial"/>
          <w:lang w:val="en-IN"/>
        </w:rPr>
      </w:pPr>
      <w:r w:rsidRPr="006956C9">
        <w:rPr>
          <w:rFonts w:ascii="Arial" w:hAnsi="Arial" w:cs="Arial"/>
          <w:lang w:val="en-IN"/>
        </w:rPr>
        <w:t xml:space="preserve">Marriott International’s working-capital position indicates persistent short-term liquidity pressure during 2021–2025. Net working capital, calculated as current assets </w:t>
      </w:r>
      <w:r w:rsidR="002318E3" w:rsidRPr="006956C9">
        <w:rPr>
          <w:rFonts w:ascii="Arial" w:hAnsi="Arial" w:cs="Arial"/>
          <w:lang w:val="en-IN"/>
        </w:rPr>
        <w:t>fewer</w:t>
      </w:r>
      <w:r w:rsidRPr="006956C9">
        <w:rPr>
          <w:rFonts w:ascii="Arial" w:hAnsi="Arial" w:cs="Arial"/>
          <w:lang w:val="en-IN"/>
        </w:rPr>
        <w:t xml:space="preserve"> current liabilities, remained negative throughout the period, declining from </w:t>
      </w:r>
      <w:r w:rsidRPr="006956C9">
        <w:rPr>
          <w:rFonts w:ascii="Arial" w:hAnsi="Arial" w:cs="Arial"/>
          <w:b/>
          <w:bCs/>
          <w:lang w:val="en-IN"/>
        </w:rPr>
        <w:t>-$2.781 billion in 2021 to -$5.164 billion in 2024</w:t>
      </w:r>
      <w:r w:rsidRPr="006956C9">
        <w:rPr>
          <w:rFonts w:ascii="Arial" w:hAnsi="Arial" w:cs="Arial"/>
          <w:lang w:val="en-IN"/>
        </w:rPr>
        <w:t xml:space="preserve">, before improving slightly to </w:t>
      </w:r>
      <w:r w:rsidRPr="006956C9">
        <w:rPr>
          <w:rFonts w:ascii="Arial" w:hAnsi="Arial" w:cs="Arial"/>
          <w:b/>
          <w:bCs/>
          <w:lang w:val="en-IN"/>
        </w:rPr>
        <w:t>-$4.814 billion in 2025</w:t>
      </w:r>
      <w:r w:rsidR="002318E3" w:rsidRPr="006956C9">
        <w:rPr>
          <w:rFonts w:ascii="Arial" w:hAnsi="Arial" w:cs="Arial"/>
          <w:b/>
          <w:bCs/>
          <w:lang w:val="en-IN"/>
        </w:rPr>
        <w:t xml:space="preserve"> (</w:t>
      </w:r>
      <w:r w:rsidR="002318E3" w:rsidRPr="006956C9">
        <w:rPr>
          <w:rFonts w:ascii="Arial" w:hAnsi="Arial" w:cs="Arial"/>
        </w:rPr>
        <w:t>Marriott, 202</w:t>
      </w:r>
      <w:r w:rsidR="00BB6966" w:rsidRPr="006956C9">
        <w:rPr>
          <w:rFonts w:ascii="Arial" w:hAnsi="Arial" w:cs="Arial"/>
        </w:rPr>
        <w:t>5</w:t>
      </w:r>
      <w:r w:rsidR="002318E3" w:rsidRPr="006956C9">
        <w:rPr>
          <w:rFonts w:ascii="Arial" w:hAnsi="Arial" w:cs="Arial"/>
          <w:b/>
          <w:bCs/>
          <w:lang w:val="en-IN"/>
        </w:rPr>
        <w:t>)</w:t>
      </w:r>
      <w:r w:rsidRPr="006956C9">
        <w:rPr>
          <w:rFonts w:ascii="Arial" w:hAnsi="Arial" w:cs="Arial"/>
          <w:lang w:val="en-IN"/>
        </w:rPr>
        <w:t>.</w:t>
      </w:r>
    </w:p>
    <w:p w14:paraId="5EE5201A" w14:textId="7717E477" w:rsidR="001B5E31" w:rsidRPr="006956C9" w:rsidRDefault="001B5E31" w:rsidP="006956C9">
      <w:pPr>
        <w:pStyle w:val="Caption"/>
        <w:keepNext/>
        <w:spacing w:line="360" w:lineRule="auto"/>
        <w:jc w:val="center"/>
        <w:rPr>
          <w:rFonts w:ascii="Arial" w:hAnsi="Arial" w:cs="Arial"/>
          <w:color w:val="auto"/>
          <w:sz w:val="24"/>
          <w:szCs w:val="24"/>
        </w:rPr>
      </w:pPr>
      <w:bookmarkStart w:id="15" w:name="_Toc237412682"/>
      <w:r w:rsidRPr="006956C9">
        <w:rPr>
          <w:rFonts w:ascii="Arial" w:hAnsi="Arial" w:cs="Arial"/>
          <w:color w:val="auto"/>
          <w:sz w:val="24"/>
          <w:szCs w:val="24"/>
        </w:rPr>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004443FB" w:rsidRPr="006956C9">
        <w:rPr>
          <w:rFonts w:ascii="Arial" w:hAnsi="Arial" w:cs="Arial"/>
          <w:noProof/>
          <w:color w:val="auto"/>
          <w:sz w:val="24"/>
          <w:szCs w:val="24"/>
        </w:rPr>
        <w:t>1</w:t>
      </w:r>
      <w:r w:rsidRPr="006956C9">
        <w:rPr>
          <w:rFonts w:ascii="Arial" w:hAnsi="Arial" w:cs="Arial"/>
          <w:color w:val="auto"/>
          <w:sz w:val="24"/>
          <w:szCs w:val="24"/>
        </w:rPr>
        <w:fldChar w:fldCharType="end"/>
      </w:r>
      <w:r w:rsidRPr="006956C9">
        <w:rPr>
          <w:rFonts w:ascii="Arial" w:hAnsi="Arial" w:cs="Arial"/>
          <w:color w:val="auto"/>
          <w:sz w:val="24"/>
          <w:szCs w:val="24"/>
        </w:rPr>
        <w:t>: Marriott Working Capital Indicators, 2021–2025</w:t>
      </w:r>
      <w:bookmarkEnd w:id="15"/>
    </w:p>
    <w:tbl>
      <w:tblPr>
        <w:tblStyle w:val="ListTable3-Accent4"/>
        <w:tblW w:w="0" w:type="auto"/>
        <w:jc w:val="center"/>
        <w:tblLook w:val="04A0" w:firstRow="1" w:lastRow="0" w:firstColumn="1" w:lastColumn="0" w:noHBand="0" w:noVBand="1"/>
      </w:tblPr>
      <w:tblGrid>
        <w:gridCol w:w="3123"/>
        <w:gridCol w:w="897"/>
        <w:gridCol w:w="897"/>
        <w:gridCol w:w="897"/>
        <w:gridCol w:w="897"/>
        <w:gridCol w:w="897"/>
      </w:tblGrid>
      <w:tr w:rsidR="00F07797" w:rsidRPr="006956C9" w14:paraId="5ABCB9FA" w14:textId="77777777" w:rsidTr="00105B46">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6572042B"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Working Capital Indicator</w:t>
            </w:r>
          </w:p>
        </w:tc>
        <w:tc>
          <w:tcPr>
            <w:tcW w:w="0" w:type="auto"/>
            <w:hideMark/>
          </w:tcPr>
          <w:p w14:paraId="6216CBBF"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2021</w:t>
            </w:r>
          </w:p>
        </w:tc>
        <w:tc>
          <w:tcPr>
            <w:tcW w:w="0" w:type="auto"/>
            <w:hideMark/>
          </w:tcPr>
          <w:p w14:paraId="1F934E55"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2022</w:t>
            </w:r>
          </w:p>
        </w:tc>
        <w:tc>
          <w:tcPr>
            <w:tcW w:w="0" w:type="auto"/>
            <w:hideMark/>
          </w:tcPr>
          <w:p w14:paraId="7130D497"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2023</w:t>
            </w:r>
          </w:p>
        </w:tc>
        <w:tc>
          <w:tcPr>
            <w:tcW w:w="0" w:type="auto"/>
            <w:hideMark/>
          </w:tcPr>
          <w:p w14:paraId="79588A28"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2024</w:t>
            </w:r>
          </w:p>
        </w:tc>
        <w:tc>
          <w:tcPr>
            <w:tcW w:w="0" w:type="auto"/>
            <w:hideMark/>
          </w:tcPr>
          <w:p w14:paraId="54B9108C"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2025</w:t>
            </w:r>
          </w:p>
        </w:tc>
      </w:tr>
      <w:tr w:rsidR="00F07797" w:rsidRPr="006956C9" w14:paraId="4C20C340" w14:textId="77777777" w:rsidTr="00105B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3793F9"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lastRenderedPageBreak/>
              <w:t>Current Assets ($m)</w:t>
            </w:r>
          </w:p>
        </w:tc>
        <w:tc>
          <w:tcPr>
            <w:tcW w:w="0" w:type="auto"/>
            <w:hideMark/>
          </w:tcPr>
          <w:p w14:paraId="10347D5E"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3,626</w:t>
            </w:r>
          </w:p>
        </w:tc>
        <w:tc>
          <w:tcPr>
            <w:tcW w:w="0" w:type="auto"/>
            <w:hideMark/>
          </w:tcPr>
          <w:p w14:paraId="48BA44AF"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3,313</w:t>
            </w:r>
          </w:p>
        </w:tc>
        <w:tc>
          <w:tcPr>
            <w:tcW w:w="0" w:type="auto"/>
            <w:hideMark/>
          </w:tcPr>
          <w:p w14:paraId="2CE9B6A1"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3,311</w:t>
            </w:r>
          </w:p>
        </w:tc>
        <w:tc>
          <w:tcPr>
            <w:tcW w:w="0" w:type="auto"/>
            <w:hideMark/>
          </w:tcPr>
          <w:p w14:paraId="1D101C27"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3,485</w:t>
            </w:r>
          </w:p>
        </w:tc>
        <w:tc>
          <w:tcPr>
            <w:tcW w:w="0" w:type="auto"/>
            <w:hideMark/>
          </w:tcPr>
          <w:p w14:paraId="0E14B998"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3,584</w:t>
            </w:r>
          </w:p>
        </w:tc>
      </w:tr>
      <w:tr w:rsidR="00F07797" w:rsidRPr="006956C9" w14:paraId="10D1D1F1" w14:textId="77777777" w:rsidTr="00105B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EF4F96"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Current Liabilities ($m)</w:t>
            </w:r>
          </w:p>
        </w:tc>
        <w:tc>
          <w:tcPr>
            <w:tcW w:w="0" w:type="auto"/>
            <w:hideMark/>
          </w:tcPr>
          <w:p w14:paraId="3ACCDF18"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6,407</w:t>
            </w:r>
          </w:p>
        </w:tc>
        <w:tc>
          <w:tcPr>
            <w:tcW w:w="0" w:type="auto"/>
            <w:hideMark/>
          </w:tcPr>
          <w:p w14:paraId="60977EFF"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7,339</w:t>
            </w:r>
          </w:p>
        </w:tc>
        <w:tc>
          <w:tcPr>
            <w:tcW w:w="0" w:type="auto"/>
            <w:hideMark/>
          </w:tcPr>
          <w:p w14:paraId="2EEFF054"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7,762</w:t>
            </w:r>
          </w:p>
        </w:tc>
        <w:tc>
          <w:tcPr>
            <w:tcW w:w="0" w:type="auto"/>
            <w:hideMark/>
          </w:tcPr>
          <w:p w14:paraId="45E38B60"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8,649</w:t>
            </w:r>
          </w:p>
        </w:tc>
        <w:tc>
          <w:tcPr>
            <w:tcW w:w="0" w:type="auto"/>
            <w:hideMark/>
          </w:tcPr>
          <w:p w14:paraId="4566B8F1"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8,398</w:t>
            </w:r>
          </w:p>
        </w:tc>
      </w:tr>
      <w:tr w:rsidR="00F07797" w:rsidRPr="006956C9" w14:paraId="283B0412" w14:textId="77777777" w:rsidTr="00105B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6FBC9A"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Net Working Capital ($m)</w:t>
            </w:r>
          </w:p>
        </w:tc>
        <w:tc>
          <w:tcPr>
            <w:tcW w:w="0" w:type="auto"/>
            <w:hideMark/>
          </w:tcPr>
          <w:p w14:paraId="45A346AC"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-2,781</w:t>
            </w:r>
          </w:p>
        </w:tc>
        <w:tc>
          <w:tcPr>
            <w:tcW w:w="0" w:type="auto"/>
            <w:hideMark/>
          </w:tcPr>
          <w:p w14:paraId="23DB0F73"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-4,026</w:t>
            </w:r>
          </w:p>
        </w:tc>
        <w:tc>
          <w:tcPr>
            <w:tcW w:w="0" w:type="auto"/>
            <w:hideMark/>
          </w:tcPr>
          <w:p w14:paraId="25EC75E3"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-4,451</w:t>
            </w:r>
          </w:p>
        </w:tc>
        <w:tc>
          <w:tcPr>
            <w:tcW w:w="0" w:type="auto"/>
            <w:hideMark/>
          </w:tcPr>
          <w:p w14:paraId="7B734766"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-5,164</w:t>
            </w:r>
          </w:p>
        </w:tc>
        <w:tc>
          <w:tcPr>
            <w:tcW w:w="0" w:type="auto"/>
            <w:hideMark/>
          </w:tcPr>
          <w:p w14:paraId="10870E44"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-4,814</w:t>
            </w:r>
          </w:p>
        </w:tc>
      </w:tr>
      <w:tr w:rsidR="00F07797" w:rsidRPr="006956C9" w14:paraId="09B0E667" w14:textId="77777777" w:rsidTr="00105B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17F74F"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Cash &amp; Equivalents ($m)</w:t>
            </w:r>
          </w:p>
        </w:tc>
        <w:tc>
          <w:tcPr>
            <w:tcW w:w="0" w:type="auto"/>
            <w:hideMark/>
          </w:tcPr>
          <w:p w14:paraId="61778A8F"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1,393</w:t>
            </w:r>
          </w:p>
        </w:tc>
        <w:tc>
          <w:tcPr>
            <w:tcW w:w="0" w:type="auto"/>
            <w:hideMark/>
          </w:tcPr>
          <w:p w14:paraId="420B6957"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507</w:t>
            </w:r>
          </w:p>
        </w:tc>
        <w:tc>
          <w:tcPr>
            <w:tcW w:w="0" w:type="auto"/>
            <w:hideMark/>
          </w:tcPr>
          <w:p w14:paraId="4AD4FCD5"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338</w:t>
            </w:r>
          </w:p>
        </w:tc>
        <w:tc>
          <w:tcPr>
            <w:tcW w:w="0" w:type="auto"/>
            <w:hideMark/>
          </w:tcPr>
          <w:p w14:paraId="67F44321"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396</w:t>
            </w:r>
          </w:p>
        </w:tc>
        <w:tc>
          <w:tcPr>
            <w:tcW w:w="0" w:type="auto"/>
            <w:hideMark/>
          </w:tcPr>
          <w:p w14:paraId="20C03B55"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358</w:t>
            </w:r>
          </w:p>
        </w:tc>
      </w:tr>
      <w:tr w:rsidR="00F07797" w:rsidRPr="006956C9" w14:paraId="1139B40D" w14:textId="77777777" w:rsidTr="00105B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83AB92"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Receivables ($m)</w:t>
            </w:r>
          </w:p>
        </w:tc>
        <w:tc>
          <w:tcPr>
            <w:tcW w:w="0" w:type="auto"/>
            <w:hideMark/>
          </w:tcPr>
          <w:p w14:paraId="7059FC0B"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1,982</w:t>
            </w:r>
          </w:p>
        </w:tc>
        <w:tc>
          <w:tcPr>
            <w:tcW w:w="0" w:type="auto"/>
            <w:hideMark/>
          </w:tcPr>
          <w:p w14:paraId="47272370"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2,571</w:t>
            </w:r>
          </w:p>
        </w:tc>
        <w:tc>
          <w:tcPr>
            <w:tcW w:w="0" w:type="auto"/>
            <w:hideMark/>
          </w:tcPr>
          <w:p w14:paraId="438759D4"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2,712</w:t>
            </w:r>
          </w:p>
        </w:tc>
        <w:tc>
          <w:tcPr>
            <w:tcW w:w="0" w:type="auto"/>
            <w:hideMark/>
          </w:tcPr>
          <w:p w14:paraId="3A8DE133"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2,795</w:t>
            </w:r>
          </w:p>
        </w:tc>
        <w:tc>
          <w:tcPr>
            <w:tcW w:w="0" w:type="auto"/>
            <w:hideMark/>
          </w:tcPr>
          <w:p w14:paraId="70052A6E"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2,909</w:t>
            </w:r>
          </w:p>
        </w:tc>
      </w:tr>
      <w:tr w:rsidR="00F07797" w:rsidRPr="006956C9" w14:paraId="5C593AF8" w14:textId="77777777" w:rsidTr="00105B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BD1463"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Current Ratio</w:t>
            </w:r>
          </w:p>
        </w:tc>
        <w:tc>
          <w:tcPr>
            <w:tcW w:w="0" w:type="auto"/>
            <w:hideMark/>
          </w:tcPr>
          <w:p w14:paraId="09C4069D"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0.57</w:t>
            </w:r>
          </w:p>
        </w:tc>
        <w:tc>
          <w:tcPr>
            <w:tcW w:w="0" w:type="auto"/>
            <w:hideMark/>
          </w:tcPr>
          <w:p w14:paraId="403E7732"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0.50</w:t>
            </w:r>
          </w:p>
        </w:tc>
        <w:tc>
          <w:tcPr>
            <w:tcW w:w="0" w:type="auto"/>
            <w:hideMark/>
          </w:tcPr>
          <w:p w14:paraId="376FA1EA"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0.40</w:t>
            </w:r>
          </w:p>
        </w:tc>
        <w:tc>
          <w:tcPr>
            <w:tcW w:w="0" w:type="auto"/>
            <w:hideMark/>
          </w:tcPr>
          <w:p w14:paraId="50A3654C"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0.40</w:t>
            </w:r>
          </w:p>
        </w:tc>
        <w:tc>
          <w:tcPr>
            <w:tcW w:w="0" w:type="auto"/>
            <w:hideMark/>
          </w:tcPr>
          <w:p w14:paraId="277205E7"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0.40</w:t>
            </w:r>
          </w:p>
        </w:tc>
      </w:tr>
    </w:tbl>
    <w:p w14:paraId="2988A6C6" w14:textId="198C6B6B" w:rsidR="00F07797" w:rsidRPr="006956C9" w:rsidRDefault="00F07797" w:rsidP="006956C9">
      <w:pPr>
        <w:rPr>
          <w:rFonts w:ascii="Arial" w:hAnsi="Arial" w:cs="Arial"/>
          <w:lang w:val="en-IN"/>
        </w:rPr>
      </w:pPr>
      <w:r w:rsidRPr="006956C9">
        <w:rPr>
          <w:rFonts w:ascii="Arial" w:hAnsi="Arial" w:cs="Arial"/>
          <w:lang w:val="en-IN"/>
        </w:rPr>
        <w:t xml:space="preserve">The graph demonstrates that current liabilities remained substantially higher than current assets throughout the period. Although current assets increased from </w:t>
      </w:r>
      <w:r w:rsidRPr="006956C9">
        <w:rPr>
          <w:rFonts w:ascii="Arial" w:hAnsi="Arial" w:cs="Arial"/>
          <w:b/>
          <w:bCs/>
          <w:lang w:val="en-IN"/>
        </w:rPr>
        <w:t>$3.485 billion in 2024 to $3.584 billion in 2025</w:t>
      </w:r>
      <w:r w:rsidRPr="006956C9">
        <w:rPr>
          <w:rFonts w:ascii="Arial" w:hAnsi="Arial" w:cs="Arial"/>
          <w:lang w:val="en-IN"/>
        </w:rPr>
        <w:t xml:space="preserve">, current liabilities remained at </w:t>
      </w:r>
      <w:r w:rsidRPr="006956C9">
        <w:rPr>
          <w:rFonts w:ascii="Arial" w:hAnsi="Arial" w:cs="Arial"/>
          <w:b/>
          <w:bCs/>
          <w:lang w:val="en-IN"/>
        </w:rPr>
        <w:t>$8.398 billion</w:t>
      </w:r>
      <w:r w:rsidRPr="006956C9">
        <w:rPr>
          <w:rFonts w:ascii="Arial" w:hAnsi="Arial" w:cs="Arial"/>
          <w:lang w:val="en-IN"/>
        </w:rPr>
        <w:t xml:space="preserve">. Consequently, the current ratio remained at approximately </w:t>
      </w:r>
      <w:r w:rsidRPr="006956C9">
        <w:rPr>
          <w:rFonts w:ascii="Arial" w:hAnsi="Arial" w:cs="Arial"/>
          <w:b/>
          <w:bCs/>
          <w:lang w:val="en-IN"/>
        </w:rPr>
        <w:t>0.40×</w:t>
      </w:r>
      <w:r w:rsidRPr="006956C9">
        <w:rPr>
          <w:rFonts w:ascii="Arial" w:hAnsi="Arial" w:cs="Arial"/>
          <w:lang w:val="en-IN"/>
        </w:rPr>
        <w:t>, meaning current assets covered only around 40% of current liabilities.</w:t>
      </w:r>
      <w:r w:rsidR="006041EA" w:rsidRPr="006956C9">
        <w:rPr>
          <w:rFonts w:ascii="Arial" w:hAnsi="Arial" w:cs="Arial"/>
          <w:lang w:val="en-IN"/>
        </w:rPr>
        <w:t xml:space="preserve"> </w:t>
      </w:r>
      <w:r w:rsidRPr="006956C9">
        <w:rPr>
          <w:rFonts w:ascii="Arial" w:hAnsi="Arial" w:cs="Arial"/>
          <w:lang w:val="en-IN"/>
        </w:rPr>
        <w:t>This does not necessarily indicate immediate financial distress because Marriott generated substantial operating cash flow. However, the persistent working-capital deficit increases dependence on predictable operating cash flows, effective treasury management and access to financing facilities.</w:t>
      </w:r>
    </w:p>
    <w:p w14:paraId="6214472E" w14:textId="77777777" w:rsidR="00345E91" w:rsidRPr="006956C9" w:rsidRDefault="00345E91" w:rsidP="006956C9">
      <w:pPr>
        <w:keepNext/>
        <w:jc w:val="center"/>
        <w:rPr>
          <w:rFonts w:ascii="Arial" w:hAnsi="Arial" w:cs="Arial"/>
          <w:szCs w:val="24"/>
        </w:rPr>
      </w:pPr>
      <w:r w:rsidRPr="006956C9">
        <w:rPr>
          <w:rFonts w:ascii="Arial" w:hAnsi="Arial" w:cs="Arial"/>
          <w:noProof/>
          <w:szCs w:val="24"/>
        </w:rPr>
        <w:drawing>
          <wp:inline distT="0" distB="0" distL="0" distR="0" wp14:anchorId="2A029FFB" wp14:editId="41C017A1">
            <wp:extent cx="4572000" cy="2743200"/>
            <wp:effectExtent l="0" t="0" r="0" b="0"/>
            <wp:docPr id="1998543025" name="Chart 1">
              <a:extLst xmlns:a="http://schemas.openxmlformats.org/drawingml/2006/main">
                <a:ext uri="{FF2B5EF4-FFF2-40B4-BE49-F238E27FC236}">
                  <a16:creationId xmlns:a16="http://schemas.microsoft.com/office/drawing/2014/main" id="{5A66C29B-2D45-9A4D-A5FE-B34CB15AA6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3B57D7" w14:textId="0396A4A6" w:rsidR="00345E91" w:rsidRPr="006956C9" w:rsidRDefault="00345E91" w:rsidP="006956C9">
      <w:pPr>
        <w:pStyle w:val="Caption"/>
        <w:spacing w:line="360" w:lineRule="auto"/>
        <w:jc w:val="center"/>
        <w:rPr>
          <w:rFonts w:ascii="Arial" w:hAnsi="Arial" w:cs="Arial"/>
          <w:color w:val="auto"/>
          <w:sz w:val="24"/>
          <w:szCs w:val="24"/>
        </w:rPr>
      </w:pPr>
      <w:bookmarkStart w:id="16" w:name="_Toc237412694"/>
      <w:r w:rsidRPr="006956C9">
        <w:rPr>
          <w:rFonts w:ascii="Arial" w:hAnsi="Arial" w:cs="Arial"/>
          <w:color w:val="auto"/>
          <w:sz w:val="24"/>
          <w:szCs w:val="24"/>
        </w:rPr>
        <w:t xml:space="preserve">Figure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Figure \* ARABIC </w:instrText>
      </w:r>
      <w:r w:rsidRPr="006956C9">
        <w:rPr>
          <w:rFonts w:ascii="Arial" w:hAnsi="Arial" w:cs="Arial"/>
          <w:color w:val="auto"/>
          <w:sz w:val="24"/>
          <w:szCs w:val="24"/>
        </w:rPr>
        <w:fldChar w:fldCharType="separate"/>
      </w:r>
      <w:r w:rsidR="00B675D3" w:rsidRPr="006956C9">
        <w:rPr>
          <w:rFonts w:ascii="Arial" w:hAnsi="Arial" w:cs="Arial"/>
          <w:noProof/>
          <w:color w:val="auto"/>
          <w:sz w:val="24"/>
          <w:szCs w:val="24"/>
        </w:rPr>
        <w:t>5</w:t>
      </w:r>
      <w:r w:rsidRPr="006956C9">
        <w:rPr>
          <w:rFonts w:ascii="Arial" w:hAnsi="Arial" w:cs="Arial"/>
          <w:color w:val="auto"/>
          <w:sz w:val="24"/>
          <w:szCs w:val="24"/>
        </w:rPr>
        <w:fldChar w:fldCharType="end"/>
      </w:r>
      <w:r w:rsidRPr="006956C9">
        <w:rPr>
          <w:rFonts w:ascii="Arial" w:hAnsi="Arial" w:cs="Arial"/>
          <w:color w:val="auto"/>
          <w:sz w:val="24"/>
          <w:szCs w:val="24"/>
        </w:rPr>
        <w:t>: Marriott Current Assets and Current Liabilities</w:t>
      </w:r>
      <w:bookmarkEnd w:id="16"/>
    </w:p>
    <w:p w14:paraId="7A72B977" w14:textId="77777777" w:rsidR="00F07797" w:rsidRPr="006956C9" w:rsidRDefault="00F07797" w:rsidP="006956C9">
      <w:pPr>
        <w:pStyle w:val="Heading2"/>
        <w:rPr>
          <w:rFonts w:ascii="Arial" w:hAnsi="Arial" w:cs="Arial"/>
        </w:rPr>
      </w:pPr>
      <w:bookmarkStart w:id="17" w:name="_Toc237412872"/>
      <w:r w:rsidRPr="006956C9">
        <w:rPr>
          <w:rFonts w:ascii="Arial" w:hAnsi="Arial" w:cs="Arial"/>
        </w:rPr>
        <w:t>3.2 Cash and Receivables Management</w:t>
      </w:r>
      <w:bookmarkEnd w:id="17"/>
    </w:p>
    <w:p w14:paraId="66C51400" w14:textId="2101F794" w:rsidR="00F07797" w:rsidRPr="006956C9" w:rsidRDefault="00F07797" w:rsidP="006956C9">
      <w:pPr>
        <w:rPr>
          <w:rFonts w:ascii="Arial" w:hAnsi="Arial" w:cs="Arial"/>
          <w:lang w:val="en-IN"/>
        </w:rPr>
      </w:pPr>
      <w:r w:rsidRPr="006956C9">
        <w:rPr>
          <w:rFonts w:ascii="Arial" w:hAnsi="Arial" w:cs="Arial"/>
          <w:lang w:val="en-IN"/>
        </w:rPr>
        <w:t xml:space="preserve">Marriott's cash position requires particular attention. Cash and cash equivalents declined from </w:t>
      </w:r>
      <w:r w:rsidRPr="006956C9">
        <w:rPr>
          <w:rFonts w:ascii="Arial" w:hAnsi="Arial" w:cs="Arial"/>
          <w:b/>
          <w:bCs/>
          <w:lang w:val="en-IN"/>
        </w:rPr>
        <w:t>$1.393 billion in 2021 to $358 million in 2025</w:t>
      </w:r>
      <w:r w:rsidRPr="006956C9">
        <w:rPr>
          <w:rFonts w:ascii="Arial" w:hAnsi="Arial" w:cs="Arial"/>
          <w:lang w:val="en-IN"/>
        </w:rPr>
        <w:t xml:space="preserve">, representing a substantial reduction in immediately available liquidity. At the same time, accounts and notes receivable increased from </w:t>
      </w:r>
      <w:r w:rsidRPr="006956C9">
        <w:rPr>
          <w:rFonts w:ascii="Arial" w:hAnsi="Arial" w:cs="Arial"/>
          <w:b/>
          <w:bCs/>
          <w:lang w:val="en-IN"/>
        </w:rPr>
        <w:t>$1.982 billion to $2.909 billion</w:t>
      </w:r>
      <w:r w:rsidRPr="006956C9">
        <w:rPr>
          <w:rFonts w:ascii="Arial" w:hAnsi="Arial" w:cs="Arial"/>
          <w:lang w:val="en-IN"/>
        </w:rPr>
        <w:t>.</w:t>
      </w:r>
      <w:r w:rsidR="006041EA" w:rsidRPr="006956C9">
        <w:rPr>
          <w:rFonts w:ascii="Arial" w:hAnsi="Arial" w:cs="Arial"/>
          <w:lang w:val="en-IN"/>
        </w:rPr>
        <w:t xml:space="preserve"> </w:t>
      </w:r>
      <w:r w:rsidRPr="006956C9">
        <w:rPr>
          <w:rFonts w:ascii="Arial" w:hAnsi="Arial" w:cs="Arial"/>
          <w:lang w:val="en-IN"/>
        </w:rPr>
        <w:t xml:space="preserve">The increase in </w:t>
      </w:r>
      <w:r w:rsidRPr="006956C9">
        <w:rPr>
          <w:rFonts w:ascii="Arial" w:hAnsi="Arial" w:cs="Arial"/>
          <w:lang w:val="en-IN"/>
        </w:rPr>
        <w:lastRenderedPageBreak/>
        <w:t xml:space="preserve">receivables is partly consistent with Marriott's substantial revenue growth and therefore does not automatically indicate inefficient collection. </w:t>
      </w:r>
      <w:r w:rsidR="005247FA" w:rsidRPr="006956C9">
        <w:rPr>
          <w:rFonts w:ascii="Arial" w:hAnsi="Arial" w:cs="Arial"/>
          <w:lang w:val="en-IN"/>
        </w:rPr>
        <w:t>It</w:t>
      </w:r>
      <w:r w:rsidRPr="006956C9">
        <w:rPr>
          <w:rFonts w:ascii="Arial" w:hAnsi="Arial" w:cs="Arial"/>
          <w:lang w:val="en-IN"/>
        </w:rPr>
        <w:t xml:space="preserve"> means that more resources are tied up in amounts owed to the company rather than immediately available cash. Improving receivables collection could therefore release cash without requiring additional borrowing.</w:t>
      </w:r>
    </w:p>
    <w:p w14:paraId="762694E6" w14:textId="157BECA3" w:rsidR="00F07797" w:rsidRPr="006956C9" w:rsidRDefault="00F07797" w:rsidP="006956C9">
      <w:pPr>
        <w:rPr>
          <w:rFonts w:ascii="Arial" w:hAnsi="Arial" w:cs="Arial"/>
          <w:lang w:val="en-IN"/>
        </w:rPr>
      </w:pPr>
      <w:r w:rsidRPr="006956C9">
        <w:rPr>
          <w:rFonts w:ascii="Arial" w:hAnsi="Arial" w:cs="Arial"/>
          <w:lang w:val="en-IN"/>
        </w:rPr>
        <w:t xml:space="preserve">The </w:t>
      </w:r>
      <w:r w:rsidRPr="006956C9">
        <w:rPr>
          <w:rFonts w:ascii="Arial" w:hAnsi="Arial" w:cs="Arial"/>
          <w:b/>
          <w:bCs/>
          <w:lang w:val="en-IN"/>
        </w:rPr>
        <w:t>quick ratio of approximately 0.40× in 2025</w:t>
      </w:r>
      <w:r w:rsidRPr="006956C9">
        <w:rPr>
          <w:rFonts w:ascii="Arial" w:hAnsi="Arial" w:cs="Arial"/>
          <w:lang w:val="en-IN"/>
        </w:rPr>
        <w:t xml:space="preserve"> reinforces this concern because liquid assets remained insufficient to cover current liabilities on a conventional one-to-one basis. However, Marriott's operating cash flow increased from </w:t>
      </w:r>
      <w:r w:rsidRPr="006956C9">
        <w:rPr>
          <w:rFonts w:ascii="Arial" w:hAnsi="Arial" w:cs="Arial"/>
          <w:b/>
          <w:bCs/>
          <w:lang w:val="en-IN"/>
        </w:rPr>
        <w:t>$1.177 billion in 2021 to $3.212 billion in 2025</w:t>
      </w:r>
      <w:r w:rsidRPr="006956C9">
        <w:rPr>
          <w:rFonts w:ascii="Arial" w:hAnsi="Arial" w:cs="Arial"/>
          <w:lang w:val="en-IN"/>
        </w:rPr>
        <w:t>, providing an important offset to the weak balance-sheet liquidity position.</w:t>
      </w:r>
    </w:p>
    <w:p w14:paraId="412B426D" w14:textId="77777777" w:rsidR="00F07797" w:rsidRPr="006956C9" w:rsidRDefault="00F07797" w:rsidP="006956C9">
      <w:pPr>
        <w:pStyle w:val="Heading2"/>
        <w:rPr>
          <w:rFonts w:ascii="Arial" w:hAnsi="Arial" w:cs="Arial"/>
        </w:rPr>
      </w:pPr>
      <w:bookmarkStart w:id="18" w:name="_Toc237412873"/>
      <w:r w:rsidRPr="006956C9">
        <w:rPr>
          <w:rFonts w:ascii="Arial" w:hAnsi="Arial" w:cs="Arial"/>
        </w:rPr>
        <w:t>3.3 Cash Operating Cycle</w:t>
      </w:r>
      <w:bookmarkEnd w:id="18"/>
    </w:p>
    <w:p w14:paraId="33A027A4" w14:textId="77777777" w:rsidR="00F07797" w:rsidRPr="006956C9" w:rsidRDefault="00F07797" w:rsidP="006956C9">
      <w:pPr>
        <w:rPr>
          <w:rFonts w:ascii="Arial" w:hAnsi="Arial" w:cs="Arial"/>
          <w:lang w:val="en-IN"/>
        </w:rPr>
      </w:pPr>
      <w:r w:rsidRPr="006956C9">
        <w:rPr>
          <w:rFonts w:ascii="Arial" w:hAnsi="Arial" w:cs="Arial"/>
          <w:lang w:val="en-IN"/>
        </w:rPr>
        <w:t>The cash operating cycle is normally calculated as:</w:t>
      </w:r>
    </w:p>
    <w:p w14:paraId="221D8277" w14:textId="77777777" w:rsidR="00F07797" w:rsidRPr="006956C9" w:rsidRDefault="00F07797" w:rsidP="006956C9">
      <w:pPr>
        <w:rPr>
          <w:rFonts w:ascii="Arial" w:hAnsi="Arial" w:cs="Arial"/>
          <w:lang w:val="en-IN"/>
        </w:rPr>
      </w:pPr>
      <w:r w:rsidRPr="006956C9">
        <w:rPr>
          <w:rFonts w:ascii="Arial" w:hAnsi="Arial" w:cs="Arial"/>
          <w:b/>
          <w:bCs/>
          <w:lang w:val="en-IN"/>
        </w:rPr>
        <w:t>Cash Conversion Cycle = Inventory Days + Receivable Days − Payable Days</w:t>
      </w:r>
    </w:p>
    <w:p w14:paraId="7DAE0247" w14:textId="18543A56" w:rsidR="00F07797" w:rsidRPr="006956C9" w:rsidRDefault="00F07797" w:rsidP="006956C9">
      <w:pPr>
        <w:rPr>
          <w:rFonts w:ascii="Arial" w:hAnsi="Arial" w:cs="Arial"/>
          <w:lang w:val="en-IN"/>
        </w:rPr>
      </w:pPr>
      <w:r w:rsidRPr="006956C9">
        <w:rPr>
          <w:rFonts w:ascii="Arial" w:hAnsi="Arial" w:cs="Arial"/>
          <w:lang w:val="en-IN"/>
        </w:rPr>
        <w:t xml:space="preserve">However, the available Marriott data does not provide consistent standalone inventory and accounts-payable figures for all five years. Therefore, a complete numerical cash-conversion cycle should </w:t>
      </w:r>
      <w:r w:rsidRPr="006956C9">
        <w:rPr>
          <w:rFonts w:ascii="Arial" w:hAnsi="Arial" w:cs="Arial"/>
          <w:b/>
          <w:bCs/>
          <w:lang w:val="en-IN"/>
        </w:rPr>
        <w:t>not be fabricated</w:t>
      </w:r>
      <w:r w:rsidRPr="006956C9">
        <w:rPr>
          <w:rFonts w:ascii="Arial" w:hAnsi="Arial" w:cs="Arial"/>
          <w:lang w:val="en-IN"/>
        </w:rPr>
        <w:t>.</w:t>
      </w:r>
      <w:r w:rsidR="006041EA" w:rsidRPr="006956C9">
        <w:rPr>
          <w:rFonts w:ascii="Arial" w:hAnsi="Arial" w:cs="Arial"/>
          <w:lang w:val="en-IN"/>
        </w:rPr>
        <w:t xml:space="preserve"> </w:t>
      </w:r>
      <w:r w:rsidRPr="006956C9">
        <w:rPr>
          <w:rFonts w:ascii="Arial" w:hAnsi="Arial" w:cs="Arial"/>
          <w:lang w:val="en-IN"/>
        </w:rPr>
        <w:t xml:space="preserve">Instead, the available receivables, cash and current-liability information </w:t>
      </w:r>
      <w:r w:rsidR="001C3676" w:rsidRPr="006956C9">
        <w:rPr>
          <w:rFonts w:ascii="Arial" w:hAnsi="Arial" w:cs="Arial"/>
          <w:lang w:val="en-IN"/>
        </w:rPr>
        <w:t>indicate</w:t>
      </w:r>
      <w:r w:rsidRPr="006956C9">
        <w:rPr>
          <w:rFonts w:ascii="Arial" w:hAnsi="Arial" w:cs="Arial"/>
          <w:lang w:val="en-IN"/>
        </w:rPr>
        <w:t xml:space="preserve"> that effective cash conversion remains important. The significant increase in receivables means that Marriott should ensure that revenue is converted into cash efficiently. Strong operating cash generation is encouraging, but continued monitoring is necessary because liquidity remains structurally weak.</w:t>
      </w:r>
    </w:p>
    <w:p w14:paraId="179A4BF1" w14:textId="77777777" w:rsidR="00F07797" w:rsidRPr="006956C9" w:rsidRDefault="00F07797" w:rsidP="006956C9">
      <w:pPr>
        <w:pStyle w:val="Heading2"/>
        <w:rPr>
          <w:rFonts w:ascii="Arial" w:hAnsi="Arial" w:cs="Arial"/>
        </w:rPr>
      </w:pPr>
      <w:bookmarkStart w:id="19" w:name="_Toc237412874"/>
      <w:r w:rsidRPr="006956C9">
        <w:rPr>
          <w:rFonts w:ascii="Arial" w:hAnsi="Arial" w:cs="Arial"/>
        </w:rPr>
        <w:t>3.4 Working Capital Reforms</w:t>
      </w:r>
      <w:bookmarkEnd w:id="19"/>
    </w:p>
    <w:p w14:paraId="156010A1" w14:textId="77777777" w:rsidR="00F07797" w:rsidRPr="006956C9" w:rsidRDefault="00F07797" w:rsidP="006956C9">
      <w:pPr>
        <w:rPr>
          <w:rFonts w:ascii="Arial" w:hAnsi="Arial" w:cs="Arial"/>
          <w:lang w:val="en-IN"/>
        </w:rPr>
      </w:pPr>
      <w:r w:rsidRPr="006956C9">
        <w:rPr>
          <w:rFonts w:ascii="Arial" w:hAnsi="Arial" w:cs="Arial"/>
          <w:lang w:val="en-IN"/>
        </w:rPr>
        <w:t>Marriott should implement four main measures.</w:t>
      </w:r>
    </w:p>
    <w:p w14:paraId="216AAD2F" w14:textId="33501699" w:rsidR="00F07797" w:rsidRPr="006956C9" w:rsidRDefault="00143A53" w:rsidP="006956C9">
      <w:pPr>
        <w:pStyle w:val="ListParagraph"/>
        <w:numPr>
          <w:ilvl w:val="0"/>
          <w:numId w:val="4"/>
        </w:numPr>
        <w:rPr>
          <w:rFonts w:ascii="Arial" w:hAnsi="Arial" w:cs="Arial"/>
          <w:lang w:val="en-IN"/>
        </w:rPr>
      </w:pPr>
      <w:r w:rsidRPr="006956C9">
        <w:rPr>
          <w:rFonts w:ascii="Arial" w:hAnsi="Arial" w:cs="Arial"/>
          <w:b/>
          <w:bCs/>
          <w:lang w:val="en-IN"/>
        </w:rPr>
        <w:t>R</w:t>
      </w:r>
      <w:r w:rsidR="00F07797" w:rsidRPr="006956C9">
        <w:rPr>
          <w:rFonts w:ascii="Arial" w:hAnsi="Arial" w:cs="Arial"/>
          <w:b/>
          <w:bCs/>
          <w:lang w:val="en-IN"/>
        </w:rPr>
        <w:t>eceivables management should be strengthened.</w:t>
      </w:r>
      <w:r w:rsidR="00F07797" w:rsidRPr="006956C9">
        <w:rPr>
          <w:rFonts w:ascii="Arial" w:hAnsi="Arial" w:cs="Arial"/>
          <w:lang w:val="en-IN"/>
        </w:rPr>
        <w:t xml:space="preserve"> Regular receivables ageing analysis, collection targets and cash-collection forecasting could accelerate the conversion of receivables into cash</w:t>
      </w:r>
      <w:r w:rsidR="006E5FAE" w:rsidRPr="006956C9">
        <w:rPr>
          <w:rFonts w:ascii="Arial" w:hAnsi="Arial" w:cs="Arial"/>
          <w:lang w:val="en-IN"/>
        </w:rPr>
        <w:t xml:space="preserve"> (</w:t>
      </w:r>
      <w:r w:rsidR="006E5FAE" w:rsidRPr="006956C9">
        <w:rPr>
          <w:rFonts w:ascii="Arial" w:hAnsi="Arial" w:cs="Arial"/>
        </w:rPr>
        <w:t>Hafidzoh and Suhartati, 2026</w:t>
      </w:r>
      <w:r w:rsidR="006E5FAE" w:rsidRPr="006956C9">
        <w:rPr>
          <w:rFonts w:ascii="Arial" w:hAnsi="Arial" w:cs="Arial"/>
          <w:lang w:val="en-IN"/>
        </w:rPr>
        <w:t>)</w:t>
      </w:r>
      <w:r w:rsidR="00F07797" w:rsidRPr="006956C9">
        <w:rPr>
          <w:rFonts w:ascii="Arial" w:hAnsi="Arial" w:cs="Arial"/>
          <w:lang w:val="en-IN"/>
        </w:rPr>
        <w:t>.</w:t>
      </w:r>
    </w:p>
    <w:p w14:paraId="14829C80" w14:textId="366A51C1" w:rsidR="00F07797" w:rsidRPr="006956C9" w:rsidRDefault="00F07797" w:rsidP="006956C9">
      <w:pPr>
        <w:pStyle w:val="ListParagraph"/>
        <w:numPr>
          <w:ilvl w:val="0"/>
          <w:numId w:val="4"/>
        </w:numPr>
        <w:rPr>
          <w:rFonts w:ascii="Arial" w:hAnsi="Arial" w:cs="Arial"/>
          <w:lang w:val="en-IN"/>
        </w:rPr>
      </w:pPr>
      <w:r w:rsidRPr="006956C9">
        <w:rPr>
          <w:rFonts w:ascii="Arial" w:hAnsi="Arial" w:cs="Arial"/>
          <w:b/>
          <w:bCs/>
          <w:lang w:val="en-IN"/>
        </w:rPr>
        <w:t>Marriott should improve short-term cash-flow forecasting.</w:t>
      </w:r>
      <w:r w:rsidRPr="006956C9">
        <w:rPr>
          <w:rFonts w:ascii="Arial" w:hAnsi="Arial" w:cs="Arial"/>
          <w:lang w:val="en-IN"/>
        </w:rPr>
        <w:t xml:space="preserve"> Rolling forecasts should incorporate expected operating receipts, debt repayments, capital expenditure and shareholder distributions</w:t>
      </w:r>
      <w:r w:rsidR="0049722A" w:rsidRPr="006956C9">
        <w:rPr>
          <w:rFonts w:ascii="Arial" w:hAnsi="Arial" w:cs="Arial"/>
          <w:lang w:val="en-IN"/>
        </w:rPr>
        <w:t xml:space="preserve"> (</w:t>
      </w:r>
      <w:r w:rsidR="0049722A" w:rsidRPr="006956C9">
        <w:rPr>
          <w:rFonts w:ascii="Arial" w:hAnsi="Arial" w:cs="Arial"/>
        </w:rPr>
        <w:t>Gueblaoui, 2026</w:t>
      </w:r>
      <w:r w:rsidR="0049722A" w:rsidRPr="006956C9">
        <w:rPr>
          <w:rFonts w:ascii="Arial" w:hAnsi="Arial" w:cs="Arial"/>
          <w:lang w:val="en-IN"/>
        </w:rPr>
        <w:t>)</w:t>
      </w:r>
      <w:r w:rsidRPr="006956C9">
        <w:rPr>
          <w:rFonts w:ascii="Arial" w:hAnsi="Arial" w:cs="Arial"/>
          <w:lang w:val="en-IN"/>
        </w:rPr>
        <w:t>. This would allow potential liquidity gaps to be identified before they occur.</w:t>
      </w:r>
    </w:p>
    <w:p w14:paraId="71BA855B" w14:textId="250E8149" w:rsidR="00F07797" w:rsidRPr="006956C9" w:rsidRDefault="004C50B8" w:rsidP="006956C9">
      <w:pPr>
        <w:pStyle w:val="ListParagraph"/>
        <w:numPr>
          <w:ilvl w:val="0"/>
          <w:numId w:val="4"/>
        </w:numPr>
        <w:rPr>
          <w:rFonts w:ascii="Arial" w:hAnsi="Arial" w:cs="Arial"/>
          <w:lang w:val="en-IN"/>
        </w:rPr>
      </w:pPr>
      <w:r w:rsidRPr="006956C9">
        <w:rPr>
          <w:rFonts w:ascii="Arial" w:hAnsi="Arial" w:cs="Arial"/>
          <w:b/>
          <w:bCs/>
          <w:lang w:val="en-IN"/>
        </w:rPr>
        <w:lastRenderedPageBreak/>
        <w:t>S</w:t>
      </w:r>
      <w:r w:rsidR="00F07797" w:rsidRPr="006956C9">
        <w:rPr>
          <w:rFonts w:ascii="Arial" w:hAnsi="Arial" w:cs="Arial"/>
          <w:b/>
          <w:bCs/>
          <w:lang w:val="en-IN"/>
        </w:rPr>
        <w:t>upplier and payment management should be optimised.</w:t>
      </w:r>
      <w:r w:rsidR="00F07797" w:rsidRPr="006956C9">
        <w:rPr>
          <w:rFonts w:ascii="Arial" w:hAnsi="Arial" w:cs="Arial"/>
          <w:lang w:val="en-IN"/>
        </w:rPr>
        <w:t xml:space="preserve"> Marriott can negotiate commercially sustainable payment terms to support liquidity, although excessive delays could damage supplier relationships.</w:t>
      </w:r>
    </w:p>
    <w:p w14:paraId="220406D0" w14:textId="3A85F3F5" w:rsidR="00F07797" w:rsidRPr="006956C9" w:rsidRDefault="004C50B8" w:rsidP="006956C9">
      <w:pPr>
        <w:pStyle w:val="ListParagraph"/>
        <w:numPr>
          <w:ilvl w:val="0"/>
          <w:numId w:val="4"/>
        </w:numPr>
        <w:rPr>
          <w:rFonts w:ascii="Arial" w:hAnsi="Arial" w:cs="Arial"/>
          <w:lang w:val="en-IN"/>
        </w:rPr>
      </w:pPr>
      <w:r w:rsidRPr="006956C9">
        <w:rPr>
          <w:rFonts w:ascii="Arial" w:hAnsi="Arial" w:cs="Arial"/>
          <w:b/>
          <w:bCs/>
          <w:lang w:val="en-IN"/>
        </w:rPr>
        <w:t>An</w:t>
      </w:r>
      <w:r w:rsidR="00F07797" w:rsidRPr="006956C9">
        <w:rPr>
          <w:rFonts w:ascii="Arial" w:hAnsi="Arial" w:cs="Arial"/>
          <w:b/>
          <w:bCs/>
          <w:lang w:val="en-IN"/>
        </w:rPr>
        <w:t xml:space="preserve"> appropriate liquidity buffer should be maintained.</w:t>
      </w:r>
      <w:r w:rsidR="00F07797" w:rsidRPr="006956C9">
        <w:rPr>
          <w:rFonts w:ascii="Arial" w:hAnsi="Arial" w:cs="Arial"/>
          <w:lang w:val="en-IN"/>
        </w:rPr>
        <w:t xml:space="preserve"> The cash ratio of only </w:t>
      </w:r>
      <w:r w:rsidR="00F07797" w:rsidRPr="006956C9">
        <w:rPr>
          <w:rFonts w:ascii="Arial" w:hAnsi="Arial" w:cs="Arial"/>
          <w:b/>
          <w:bCs/>
          <w:lang w:val="en-IN"/>
        </w:rPr>
        <w:t>0.04× in 2025</w:t>
      </w:r>
      <w:r w:rsidR="00F07797" w:rsidRPr="006956C9">
        <w:rPr>
          <w:rFonts w:ascii="Arial" w:hAnsi="Arial" w:cs="Arial"/>
          <w:lang w:val="en-IN"/>
        </w:rPr>
        <w:t xml:space="preserve"> suggests limited immediate cash coverage. A stronger liquidity reserve would reduce dependence on emergency borrowing during periods of unexpected cash-flow pressure.</w:t>
      </w:r>
    </w:p>
    <w:p w14:paraId="0F862A0A" w14:textId="77777777" w:rsidR="00F07797" w:rsidRPr="006956C9" w:rsidRDefault="00F07797" w:rsidP="006956C9">
      <w:pPr>
        <w:pStyle w:val="Heading2"/>
        <w:rPr>
          <w:rFonts w:ascii="Arial" w:hAnsi="Arial" w:cs="Arial"/>
        </w:rPr>
      </w:pPr>
      <w:bookmarkStart w:id="20" w:name="_Toc237412875"/>
      <w:r w:rsidRPr="006956C9">
        <w:rPr>
          <w:rFonts w:ascii="Arial" w:hAnsi="Arial" w:cs="Arial"/>
        </w:rPr>
        <w:t>3.5 Short-Term versus Long-Term Financing</w:t>
      </w:r>
      <w:bookmarkEnd w:id="20"/>
    </w:p>
    <w:p w14:paraId="29077842" w14:textId="77777777" w:rsidR="00F07797" w:rsidRPr="006956C9" w:rsidRDefault="00F07797" w:rsidP="006956C9">
      <w:pPr>
        <w:rPr>
          <w:rFonts w:ascii="Arial" w:hAnsi="Arial" w:cs="Arial"/>
          <w:lang w:val="en-IN"/>
        </w:rPr>
      </w:pPr>
      <w:r w:rsidRPr="006956C9">
        <w:rPr>
          <w:rFonts w:ascii="Arial" w:hAnsi="Arial" w:cs="Arial"/>
          <w:lang w:val="en-IN"/>
        </w:rPr>
        <w:t>Marriott's financing strategy should balance liquidity requirements against its already increasing leverage.</w:t>
      </w:r>
    </w:p>
    <w:p w14:paraId="57101076" w14:textId="5775E03A" w:rsidR="00F07797" w:rsidRPr="006956C9" w:rsidRDefault="00F07797" w:rsidP="006956C9">
      <w:pPr>
        <w:pStyle w:val="Caption"/>
        <w:keepNext/>
        <w:spacing w:line="360" w:lineRule="auto"/>
        <w:jc w:val="center"/>
        <w:rPr>
          <w:rFonts w:ascii="Arial" w:hAnsi="Arial" w:cs="Arial"/>
          <w:color w:val="auto"/>
          <w:sz w:val="24"/>
          <w:szCs w:val="24"/>
        </w:rPr>
      </w:pPr>
      <w:bookmarkStart w:id="21" w:name="_Toc237412683"/>
      <w:r w:rsidRPr="006956C9">
        <w:rPr>
          <w:rFonts w:ascii="Arial" w:hAnsi="Arial" w:cs="Arial"/>
          <w:color w:val="auto"/>
          <w:sz w:val="24"/>
          <w:szCs w:val="24"/>
        </w:rPr>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004443FB" w:rsidRPr="006956C9">
        <w:rPr>
          <w:rFonts w:ascii="Arial" w:hAnsi="Arial" w:cs="Arial"/>
          <w:noProof/>
          <w:color w:val="auto"/>
          <w:sz w:val="24"/>
          <w:szCs w:val="24"/>
        </w:rPr>
        <w:t>2</w:t>
      </w:r>
      <w:r w:rsidRPr="006956C9">
        <w:rPr>
          <w:rFonts w:ascii="Arial" w:hAnsi="Arial" w:cs="Arial"/>
          <w:color w:val="auto"/>
          <w:sz w:val="24"/>
          <w:szCs w:val="24"/>
        </w:rPr>
        <w:fldChar w:fldCharType="end"/>
      </w:r>
      <w:r w:rsidRPr="006956C9">
        <w:rPr>
          <w:rFonts w:ascii="Arial" w:hAnsi="Arial" w:cs="Arial"/>
          <w:color w:val="auto"/>
          <w:sz w:val="24"/>
          <w:szCs w:val="24"/>
        </w:rPr>
        <w:t>: Financing Options for Marriott</w:t>
      </w:r>
      <w:bookmarkEnd w:id="21"/>
    </w:p>
    <w:tbl>
      <w:tblPr>
        <w:tblStyle w:val="ListTable3-Accent4"/>
        <w:tblW w:w="0" w:type="auto"/>
        <w:tblLook w:val="04A0" w:firstRow="1" w:lastRow="0" w:firstColumn="1" w:lastColumn="0" w:noHBand="0" w:noVBand="1"/>
      </w:tblPr>
      <w:tblGrid>
        <w:gridCol w:w="2303"/>
        <w:gridCol w:w="2329"/>
        <w:gridCol w:w="2438"/>
        <w:gridCol w:w="1946"/>
      </w:tblGrid>
      <w:tr w:rsidR="00F07797" w:rsidRPr="006956C9" w14:paraId="6912E9FF" w14:textId="77777777" w:rsidTr="00F0779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E9D3F6A"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Financing Option</w:t>
            </w:r>
          </w:p>
        </w:tc>
        <w:tc>
          <w:tcPr>
            <w:tcW w:w="0" w:type="auto"/>
            <w:hideMark/>
          </w:tcPr>
          <w:p w14:paraId="11968B45"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Advantage</w:t>
            </w:r>
          </w:p>
        </w:tc>
        <w:tc>
          <w:tcPr>
            <w:tcW w:w="0" w:type="auto"/>
            <w:hideMark/>
          </w:tcPr>
          <w:p w14:paraId="57698DA9"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Disadvantage</w:t>
            </w:r>
          </w:p>
        </w:tc>
        <w:tc>
          <w:tcPr>
            <w:tcW w:w="0" w:type="auto"/>
            <w:hideMark/>
          </w:tcPr>
          <w:p w14:paraId="076C840F" w14:textId="77777777" w:rsidR="00F07797" w:rsidRPr="006956C9" w:rsidRDefault="00F07797"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Marriott Suitability</w:t>
            </w:r>
          </w:p>
        </w:tc>
      </w:tr>
      <w:tr w:rsidR="00F07797" w:rsidRPr="006956C9" w14:paraId="3FE88194" w14:textId="77777777" w:rsidTr="00F07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A7BE78"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Revolving credit facility</w:t>
            </w:r>
          </w:p>
        </w:tc>
        <w:tc>
          <w:tcPr>
            <w:tcW w:w="0" w:type="auto"/>
            <w:hideMark/>
          </w:tcPr>
          <w:p w14:paraId="5F42CB79"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Flexible liquidity</w:t>
            </w:r>
          </w:p>
        </w:tc>
        <w:tc>
          <w:tcPr>
            <w:tcW w:w="0" w:type="auto"/>
            <w:hideMark/>
          </w:tcPr>
          <w:p w14:paraId="2084BE8B"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Interest/covenant costs</w:t>
            </w:r>
          </w:p>
        </w:tc>
        <w:tc>
          <w:tcPr>
            <w:tcW w:w="0" w:type="auto"/>
            <w:hideMark/>
          </w:tcPr>
          <w:p w14:paraId="1F8EAF51"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High</w:t>
            </w:r>
          </w:p>
        </w:tc>
      </w:tr>
      <w:tr w:rsidR="00F07797" w:rsidRPr="006956C9" w14:paraId="35883A4C" w14:textId="77777777" w:rsidTr="00F07797">
        <w:tc>
          <w:tcPr>
            <w:cnfStyle w:val="001000000000" w:firstRow="0" w:lastRow="0" w:firstColumn="1" w:lastColumn="0" w:oddVBand="0" w:evenVBand="0" w:oddHBand="0" w:evenHBand="0" w:firstRowFirstColumn="0" w:firstRowLastColumn="0" w:lastRowFirstColumn="0" w:lastRowLastColumn="0"/>
            <w:tcW w:w="0" w:type="auto"/>
            <w:hideMark/>
          </w:tcPr>
          <w:p w14:paraId="55BFEBB9"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Short-term debt</w:t>
            </w:r>
          </w:p>
        </w:tc>
        <w:tc>
          <w:tcPr>
            <w:tcW w:w="0" w:type="auto"/>
            <w:hideMark/>
          </w:tcPr>
          <w:p w14:paraId="3EC2F3B2"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Rapid funding</w:t>
            </w:r>
          </w:p>
        </w:tc>
        <w:tc>
          <w:tcPr>
            <w:tcW w:w="0" w:type="auto"/>
            <w:hideMark/>
          </w:tcPr>
          <w:p w14:paraId="580BC52F"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Refinancing risk</w:t>
            </w:r>
          </w:p>
        </w:tc>
        <w:tc>
          <w:tcPr>
            <w:tcW w:w="0" w:type="auto"/>
            <w:hideMark/>
          </w:tcPr>
          <w:p w14:paraId="56988DE4"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Medium</w:t>
            </w:r>
          </w:p>
        </w:tc>
      </w:tr>
      <w:tr w:rsidR="00F07797" w:rsidRPr="006956C9" w14:paraId="1506DD87" w14:textId="77777777" w:rsidTr="00F07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31409D"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Long-term debt</w:t>
            </w:r>
          </w:p>
        </w:tc>
        <w:tc>
          <w:tcPr>
            <w:tcW w:w="0" w:type="auto"/>
            <w:hideMark/>
          </w:tcPr>
          <w:p w14:paraId="6A889A0E"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Stable funding</w:t>
            </w:r>
          </w:p>
        </w:tc>
        <w:tc>
          <w:tcPr>
            <w:tcW w:w="0" w:type="auto"/>
            <w:hideMark/>
          </w:tcPr>
          <w:p w14:paraId="158AEED2"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Increases leverage</w:t>
            </w:r>
          </w:p>
        </w:tc>
        <w:tc>
          <w:tcPr>
            <w:tcW w:w="0" w:type="auto"/>
            <w:hideMark/>
          </w:tcPr>
          <w:p w14:paraId="0DF898B4" w14:textId="77777777" w:rsidR="00F07797" w:rsidRPr="006956C9" w:rsidRDefault="00F07797"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Medium</w:t>
            </w:r>
          </w:p>
        </w:tc>
      </w:tr>
      <w:tr w:rsidR="00F07797" w:rsidRPr="006956C9" w14:paraId="1A8F41B3" w14:textId="77777777" w:rsidTr="00F07797">
        <w:tc>
          <w:tcPr>
            <w:cnfStyle w:val="001000000000" w:firstRow="0" w:lastRow="0" w:firstColumn="1" w:lastColumn="0" w:oddVBand="0" w:evenVBand="0" w:oddHBand="0" w:evenHBand="0" w:firstRowFirstColumn="0" w:firstRowLastColumn="0" w:lastRowFirstColumn="0" w:lastRowLastColumn="0"/>
            <w:tcW w:w="0" w:type="auto"/>
            <w:hideMark/>
          </w:tcPr>
          <w:p w14:paraId="436D36FF" w14:textId="77777777" w:rsidR="00F07797" w:rsidRPr="006956C9" w:rsidRDefault="00F07797" w:rsidP="006956C9">
            <w:pPr>
              <w:pStyle w:val="NoSpacing"/>
              <w:spacing w:line="360" w:lineRule="auto"/>
              <w:rPr>
                <w:rFonts w:ascii="Arial" w:hAnsi="Arial" w:cs="Arial"/>
                <w:lang w:val="en-IN"/>
              </w:rPr>
            </w:pPr>
            <w:r w:rsidRPr="006956C9">
              <w:rPr>
                <w:rFonts w:ascii="Arial" w:hAnsi="Arial" w:cs="Arial"/>
                <w:lang w:val="en-IN"/>
              </w:rPr>
              <w:t>Equity finance</w:t>
            </w:r>
          </w:p>
        </w:tc>
        <w:tc>
          <w:tcPr>
            <w:tcW w:w="0" w:type="auto"/>
            <w:hideMark/>
          </w:tcPr>
          <w:p w14:paraId="4FE39BE5"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Strengthens capital base</w:t>
            </w:r>
          </w:p>
        </w:tc>
        <w:tc>
          <w:tcPr>
            <w:tcW w:w="0" w:type="auto"/>
            <w:hideMark/>
          </w:tcPr>
          <w:p w14:paraId="69E07010"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Potential dilution</w:t>
            </w:r>
          </w:p>
        </w:tc>
        <w:tc>
          <w:tcPr>
            <w:tcW w:w="0" w:type="auto"/>
            <w:hideMark/>
          </w:tcPr>
          <w:p w14:paraId="623807C7" w14:textId="77777777" w:rsidR="00F07797" w:rsidRPr="006956C9" w:rsidRDefault="00F07797"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Medium–High</w:t>
            </w:r>
          </w:p>
        </w:tc>
      </w:tr>
    </w:tbl>
    <w:p w14:paraId="1BE0B12A" w14:textId="1FE3DD31" w:rsidR="00F07797" w:rsidRPr="006956C9" w:rsidRDefault="00F07797" w:rsidP="006956C9">
      <w:pPr>
        <w:rPr>
          <w:rFonts w:ascii="Arial" w:hAnsi="Arial" w:cs="Arial"/>
          <w:lang w:val="en-IN"/>
        </w:rPr>
      </w:pPr>
      <w:r w:rsidRPr="006956C9">
        <w:rPr>
          <w:rFonts w:ascii="Arial" w:hAnsi="Arial" w:cs="Arial"/>
          <w:lang w:val="en-IN"/>
        </w:rPr>
        <w:t xml:space="preserve">A </w:t>
      </w:r>
      <w:r w:rsidRPr="006956C9">
        <w:rPr>
          <w:rFonts w:ascii="Arial" w:hAnsi="Arial" w:cs="Arial"/>
          <w:b/>
          <w:bCs/>
          <w:lang w:val="en-IN"/>
        </w:rPr>
        <w:t>revolving credit facility</w:t>
      </w:r>
      <w:r w:rsidRPr="006956C9">
        <w:rPr>
          <w:rFonts w:ascii="Arial" w:hAnsi="Arial" w:cs="Arial"/>
          <w:lang w:val="en-IN"/>
        </w:rPr>
        <w:t xml:space="preserve"> is potentially suitable for temporary working-capital fluctuations because it provides flexible access to liquidity</w:t>
      </w:r>
      <w:r w:rsidR="00C17585" w:rsidRPr="006956C9">
        <w:rPr>
          <w:rFonts w:ascii="Arial" w:hAnsi="Arial" w:cs="Arial"/>
          <w:lang w:val="en-IN"/>
        </w:rPr>
        <w:t xml:space="preserve"> (</w:t>
      </w:r>
      <w:r w:rsidR="00C17585" w:rsidRPr="006956C9">
        <w:rPr>
          <w:rFonts w:ascii="Arial" w:hAnsi="Arial" w:cs="Arial"/>
        </w:rPr>
        <w:t xml:space="preserve">Abu Hassan </w:t>
      </w:r>
      <w:r w:rsidR="00C17585" w:rsidRPr="006956C9">
        <w:rPr>
          <w:rFonts w:ascii="Arial" w:hAnsi="Arial" w:cs="Arial"/>
          <w:i/>
          <w:iCs/>
        </w:rPr>
        <w:t>et al.,</w:t>
      </w:r>
      <w:r w:rsidR="00C17585" w:rsidRPr="006956C9">
        <w:rPr>
          <w:rFonts w:ascii="Arial" w:hAnsi="Arial" w:cs="Arial"/>
        </w:rPr>
        <w:t xml:space="preserve"> 2025</w:t>
      </w:r>
      <w:r w:rsidR="00C17585" w:rsidRPr="006956C9">
        <w:rPr>
          <w:rFonts w:ascii="Arial" w:hAnsi="Arial" w:cs="Arial"/>
          <w:lang w:val="en-IN"/>
        </w:rPr>
        <w:t>)</w:t>
      </w:r>
      <w:r w:rsidRPr="006956C9">
        <w:rPr>
          <w:rFonts w:ascii="Arial" w:hAnsi="Arial" w:cs="Arial"/>
          <w:lang w:val="en-IN"/>
        </w:rPr>
        <w:t xml:space="preserve">. However, Marriott should avoid excessive short-term borrowing because its debt-to-asset ratio had already increased to </w:t>
      </w:r>
      <w:r w:rsidRPr="006956C9">
        <w:rPr>
          <w:rFonts w:ascii="Arial" w:hAnsi="Arial" w:cs="Arial"/>
          <w:b/>
          <w:bCs/>
          <w:lang w:val="en-IN"/>
        </w:rPr>
        <w:t>58.84% in 2025</w:t>
      </w:r>
      <w:r w:rsidRPr="006956C9">
        <w:rPr>
          <w:rFonts w:ascii="Arial" w:hAnsi="Arial" w:cs="Arial"/>
          <w:lang w:val="en-IN"/>
        </w:rPr>
        <w:t>.</w:t>
      </w:r>
      <w:r w:rsidR="006C7130" w:rsidRPr="006956C9">
        <w:rPr>
          <w:rFonts w:ascii="Arial" w:hAnsi="Arial" w:cs="Arial"/>
          <w:lang w:val="en-IN"/>
        </w:rPr>
        <w:t xml:space="preserve"> </w:t>
      </w:r>
      <w:r w:rsidRPr="006956C9">
        <w:rPr>
          <w:rFonts w:ascii="Arial" w:hAnsi="Arial" w:cs="Arial"/>
          <w:lang w:val="en-IN"/>
        </w:rPr>
        <w:t>Long-term debt could provide greater funding stability, but further borrowing could increase interest obligations and financial risk. Equity finance could strengthen Marriott's capital structure and address its negative equity position, although it could dilute existing shareholders.</w:t>
      </w:r>
      <w:r w:rsidR="006C7130" w:rsidRPr="006956C9">
        <w:rPr>
          <w:rFonts w:ascii="Arial" w:hAnsi="Arial" w:cs="Arial"/>
          <w:lang w:val="en-IN"/>
        </w:rPr>
        <w:t xml:space="preserve"> </w:t>
      </w:r>
      <w:r w:rsidRPr="006956C9">
        <w:rPr>
          <w:rFonts w:ascii="Arial" w:hAnsi="Arial" w:cs="Arial"/>
          <w:lang w:val="en-IN"/>
        </w:rPr>
        <w:t xml:space="preserve">Therefore, Marriott should adopt a </w:t>
      </w:r>
      <w:r w:rsidRPr="006956C9">
        <w:rPr>
          <w:rFonts w:ascii="Arial" w:hAnsi="Arial" w:cs="Arial"/>
          <w:b/>
          <w:bCs/>
          <w:lang w:val="en-IN"/>
        </w:rPr>
        <w:t>balanced financing strategy</w:t>
      </w:r>
      <w:r w:rsidRPr="006956C9">
        <w:rPr>
          <w:rFonts w:ascii="Arial" w:hAnsi="Arial" w:cs="Arial"/>
          <w:lang w:val="en-IN"/>
        </w:rPr>
        <w:t xml:space="preserve">, </w:t>
      </w:r>
      <w:r w:rsidR="00C17585" w:rsidRPr="006956C9">
        <w:rPr>
          <w:rFonts w:ascii="Arial" w:hAnsi="Arial" w:cs="Arial"/>
          <w:lang w:val="en-IN"/>
        </w:rPr>
        <w:t>prioritise</w:t>
      </w:r>
      <w:r w:rsidRPr="006956C9">
        <w:rPr>
          <w:rFonts w:ascii="Arial" w:hAnsi="Arial" w:cs="Arial"/>
          <w:lang w:val="en-IN"/>
        </w:rPr>
        <w:t xml:space="preserve"> internally generated cash and working-capital improvements while </w:t>
      </w:r>
      <w:r w:rsidR="003E75AC" w:rsidRPr="006956C9">
        <w:rPr>
          <w:rFonts w:ascii="Arial" w:hAnsi="Arial" w:cs="Arial"/>
          <w:lang w:val="en-IN"/>
        </w:rPr>
        <w:t>maintain</w:t>
      </w:r>
      <w:r w:rsidRPr="006956C9">
        <w:rPr>
          <w:rFonts w:ascii="Arial" w:hAnsi="Arial" w:cs="Arial"/>
          <w:lang w:val="en-IN"/>
        </w:rPr>
        <w:t xml:space="preserve"> flexible financing facilities rather than relying heavily on additional debt.</w:t>
      </w:r>
    </w:p>
    <w:p w14:paraId="15F94A3D" w14:textId="77777777" w:rsidR="00F07797" w:rsidRPr="006956C9" w:rsidRDefault="00F07797" w:rsidP="006956C9">
      <w:pPr>
        <w:pStyle w:val="Heading2"/>
        <w:rPr>
          <w:rFonts w:ascii="Arial" w:hAnsi="Arial" w:cs="Arial"/>
        </w:rPr>
      </w:pPr>
      <w:bookmarkStart w:id="22" w:name="_Toc237412876"/>
      <w:r w:rsidRPr="006956C9">
        <w:rPr>
          <w:rFonts w:ascii="Arial" w:hAnsi="Arial" w:cs="Arial"/>
        </w:rPr>
        <w:lastRenderedPageBreak/>
        <w:t>3.6 Overall Recommendation</w:t>
      </w:r>
      <w:bookmarkEnd w:id="22"/>
    </w:p>
    <w:p w14:paraId="333E89AC" w14:textId="2124E027" w:rsidR="00F07797" w:rsidRPr="006956C9" w:rsidRDefault="00F07797" w:rsidP="006956C9">
      <w:pPr>
        <w:rPr>
          <w:rFonts w:ascii="Arial" w:hAnsi="Arial" w:cs="Arial"/>
          <w:lang w:val="en-IN"/>
        </w:rPr>
      </w:pPr>
      <w:r w:rsidRPr="006956C9">
        <w:rPr>
          <w:rFonts w:ascii="Arial" w:hAnsi="Arial" w:cs="Arial"/>
          <w:lang w:val="en-IN"/>
        </w:rPr>
        <w:t xml:space="preserve">Marriott's working-capital position is a significant financial weakness because current liabilities consistently exceed current assets, cash reserves have declined and receivables have increased. </w:t>
      </w:r>
      <w:r w:rsidR="002F6613" w:rsidRPr="006956C9">
        <w:rPr>
          <w:rFonts w:ascii="Arial" w:hAnsi="Arial" w:cs="Arial"/>
          <w:lang w:val="en-IN"/>
        </w:rPr>
        <w:t>S</w:t>
      </w:r>
      <w:r w:rsidRPr="006956C9">
        <w:rPr>
          <w:rFonts w:ascii="Arial" w:hAnsi="Arial" w:cs="Arial"/>
          <w:lang w:val="en-IN"/>
        </w:rPr>
        <w:t>trong operating cash generation provides an important financial strength.</w:t>
      </w:r>
      <w:r w:rsidR="006B7E99" w:rsidRPr="006956C9">
        <w:rPr>
          <w:rFonts w:ascii="Arial" w:hAnsi="Arial" w:cs="Arial"/>
          <w:lang w:val="en-IN"/>
        </w:rPr>
        <w:t xml:space="preserve"> </w:t>
      </w:r>
      <w:r w:rsidRPr="006956C9">
        <w:rPr>
          <w:rFonts w:ascii="Arial" w:hAnsi="Arial" w:cs="Arial"/>
          <w:lang w:val="en-IN"/>
        </w:rPr>
        <w:t>The CFO should therefore prioritise cash conversion, receivables management, cash-flow forecasting and liquidity reserves rather than simply increasing borrowing</w:t>
      </w:r>
      <w:r w:rsidR="006B754F" w:rsidRPr="006956C9">
        <w:rPr>
          <w:rFonts w:ascii="Arial" w:hAnsi="Arial" w:cs="Arial"/>
          <w:lang w:val="en-IN"/>
        </w:rPr>
        <w:t xml:space="preserve"> (</w:t>
      </w:r>
      <w:r w:rsidR="006B754F" w:rsidRPr="006956C9">
        <w:rPr>
          <w:rFonts w:ascii="Arial" w:hAnsi="Arial" w:cs="Arial"/>
        </w:rPr>
        <w:t>Fardous, 2025</w:t>
      </w:r>
      <w:r w:rsidR="006B754F" w:rsidRPr="006956C9">
        <w:rPr>
          <w:rFonts w:ascii="Arial" w:hAnsi="Arial" w:cs="Arial"/>
          <w:lang w:val="en-IN"/>
        </w:rPr>
        <w:t>)</w:t>
      </w:r>
      <w:r w:rsidRPr="006956C9">
        <w:rPr>
          <w:rFonts w:ascii="Arial" w:hAnsi="Arial" w:cs="Arial"/>
          <w:lang w:val="en-IN"/>
        </w:rPr>
        <w:t>. This approach would improve short-term resilience while limiting additional leverage. A balanced financing structure combining internally generated cash with flexible credit facilities would provide Marriott with greater financial flexibility and create a stronger foundation for the subsequent strategic restructuring and investment decisions.</w:t>
      </w:r>
    </w:p>
    <w:p w14:paraId="156FDECE" w14:textId="77777777" w:rsidR="0085142B" w:rsidRPr="006956C9" w:rsidRDefault="0085142B" w:rsidP="006956C9">
      <w:pPr>
        <w:pStyle w:val="Heading1"/>
        <w:rPr>
          <w:rFonts w:ascii="Arial" w:hAnsi="Arial" w:cs="Arial"/>
          <w:lang w:val="en-IN"/>
        </w:rPr>
      </w:pPr>
      <w:bookmarkStart w:id="23" w:name="_Toc237412877"/>
      <w:r w:rsidRPr="006956C9">
        <w:rPr>
          <w:rFonts w:ascii="Arial" w:hAnsi="Arial" w:cs="Arial"/>
          <w:lang w:val="en-IN"/>
        </w:rPr>
        <w:t>4. Strategic Financial Restructuring Plan</w:t>
      </w:r>
      <w:bookmarkEnd w:id="23"/>
    </w:p>
    <w:p w14:paraId="7FC3450C" w14:textId="77777777" w:rsidR="0085142B" w:rsidRPr="006956C9" w:rsidRDefault="0085142B" w:rsidP="006956C9">
      <w:pPr>
        <w:pStyle w:val="Heading2"/>
        <w:rPr>
          <w:rFonts w:ascii="Arial" w:hAnsi="Arial" w:cs="Arial"/>
        </w:rPr>
      </w:pPr>
      <w:bookmarkStart w:id="24" w:name="_Toc237412878"/>
      <w:r w:rsidRPr="006956C9">
        <w:rPr>
          <w:rFonts w:ascii="Arial" w:hAnsi="Arial" w:cs="Arial"/>
        </w:rPr>
        <w:t>4.1 Core Financial Problems Requiring Restructuring</w:t>
      </w:r>
      <w:bookmarkEnd w:id="24"/>
    </w:p>
    <w:p w14:paraId="013CD0C1" w14:textId="77777777" w:rsidR="0085142B" w:rsidRPr="006956C9" w:rsidRDefault="0085142B" w:rsidP="006956C9">
      <w:pPr>
        <w:rPr>
          <w:rFonts w:ascii="Arial" w:hAnsi="Arial" w:cs="Arial"/>
          <w:lang w:val="en-IN"/>
        </w:rPr>
      </w:pPr>
      <w:r w:rsidRPr="006956C9">
        <w:rPr>
          <w:rFonts w:ascii="Arial" w:hAnsi="Arial" w:cs="Arial"/>
          <w:lang w:val="en-IN"/>
        </w:rPr>
        <w:t>Marriott International's five-year financial analysis indicates that the company has achieved strong revenue and operating-profit growth, but its capital structure and liquidity position have become increasingly challenging. Total debt increased from $10.138 billion in 2021 to $16.204 billion in 2025, while the debt-to-asset ratio increased from 39.67% to 58.84%. At the same time, interest expense increased from $420 million to $809 million, contributing to a decline in interest coverage from 8.59× in 2022 to 5.12× in 2025. Marriott also moved from positive equity of $1.414 billion in 2021 to an equity deficit of $3.771 billion in 2025. These trends indicate increasing financial leverage and reduced balance-sheet flexibility.</w:t>
      </w:r>
    </w:p>
    <w:p w14:paraId="339917A3" w14:textId="2DBE85A7" w:rsidR="0085142B" w:rsidRPr="006956C9" w:rsidRDefault="0085142B" w:rsidP="006956C9">
      <w:pPr>
        <w:rPr>
          <w:rFonts w:ascii="Arial" w:hAnsi="Arial" w:cs="Arial"/>
          <w:lang w:val="en-IN"/>
        </w:rPr>
      </w:pPr>
      <w:r w:rsidRPr="006956C9">
        <w:rPr>
          <w:rFonts w:ascii="Arial" w:hAnsi="Arial" w:cs="Arial"/>
          <w:lang w:val="en-IN"/>
        </w:rPr>
        <w:t>Liquidity represents a second major concern. The current ratio remained approximately 0.40× in 2025, while the cash ratio was only 0.04×. Although operating cash flow reached $3.212 billion in 2025, the company should avoid relying excessively on continued operating cash generation to compensate for structural liquidity pressure. Consequently, restructuring should focus on reducing financial risk while preserving Marriott's ability to invest and generate long-term shareholder value.</w:t>
      </w:r>
    </w:p>
    <w:p w14:paraId="132C883E" w14:textId="77777777" w:rsidR="0085142B" w:rsidRPr="006956C9" w:rsidRDefault="0085142B" w:rsidP="006956C9">
      <w:pPr>
        <w:pStyle w:val="Heading2"/>
        <w:rPr>
          <w:rFonts w:ascii="Arial" w:hAnsi="Arial" w:cs="Arial"/>
        </w:rPr>
      </w:pPr>
      <w:bookmarkStart w:id="25" w:name="_Toc237412879"/>
      <w:r w:rsidRPr="006956C9">
        <w:rPr>
          <w:rFonts w:ascii="Arial" w:hAnsi="Arial" w:cs="Arial"/>
        </w:rPr>
        <w:t>4.2 Evaluation of Restructuring Options</w:t>
      </w:r>
      <w:bookmarkEnd w:id="25"/>
    </w:p>
    <w:p w14:paraId="2E738150" w14:textId="77777777" w:rsidR="0085142B" w:rsidRPr="006956C9" w:rsidRDefault="0085142B" w:rsidP="006956C9">
      <w:pPr>
        <w:rPr>
          <w:rFonts w:ascii="Arial" w:hAnsi="Arial" w:cs="Arial"/>
          <w:b/>
          <w:bCs/>
          <w:lang w:val="en-IN"/>
        </w:rPr>
      </w:pPr>
      <w:r w:rsidRPr="006956C9">
        <w:rPr>
          <w:rFonts w:ascii="Arial" w:hAnsi="Arial" w:cs="Arial"/>
          <w:b/>
          <w:bCs/>
          <w:lang w:val="en-IN"/>
        </w:rPr>
        <w:t>Debt Restructuring and Refinancing</w:t>
      </w:r>
    </w:p>
    <w:p w14:paraId="1DFF6806" w14:textId="612C430F" w:rsidR="0085142B" w:rsidRPr="006956C9" w:rsidRDefault="0085142B" w:rsidP="006956C9">
      <w:pPr>
        <w:rPr>
          <w:rFonts w:ascii="Arial" w:hAnsi="Arial" w:cs="Arial"/>
          <w:lang w:val="en-IN"/>
        </w:rPr>
      </w:pPr>
      <w:r w:rsidRPr="006956C9">
        <w:rPr>
          <w:rFonts w:ascii="Arial" w:hAnsi="Arial" w:cs="Arial"/>
          <w:lang w:val="en-IN"/>
        </w:rPr>
        <w:lastRenderedPageBreak/>
        <w:t>Debt restructuring should be a priority because Marriott's debt increased substantially over the period. Refinancing could extend debt maturities, smooth repayment requirements and potentially improve cash-flow predictability. It could also reduce short-term refinancing pressure and protect liquidity</w:t>
      </w:r>
      <w:r w:rsidR="007E2B1B" w:rsidRPr="006956C9">
        <w:rPr>
          <w:rFonts w:ascii="Arial" w:hAnsi="Arial" w:cs="Arial"/>
          <w:lang w:val="en-IN"/>
        </w:rPr>
        <w:t xml:space="preserve"> (</w:t>
      </w:r>
      <w:r w:rsidR="007E2B1B" w:rsidRPr="006956C9">
        <w:rPr>
          <w:rFonts w:ascii="Arial" w:hAnsi="Arial" w:cs="Arial"/>
        </w:rPr>
        <w:t>Foaleng Fokam, 2026</w:t>
      </w:r>
      <w:r w:rsidR="007E2B1B" w:rsidRPr="006956C9">
        <w:rPr>
          <w:rFonts w:ascii="Arial" w:hAnsi="Arial" w:cs="Arial"/>
          <w:lang w:val="en-IN"/>
        </w:rPr>
        <w:t>)</w:t>
      </w:r>
      <w:r w:rsidRPr="006956C9">
        <w:rPr>
          <w:rFonts w:ascii="Arial" w:hAnsi="Arial" w:cs="Arial"/>
          <w:lang w:val="en-IN"/>
        </w:rPr>
        <w:t>.</w:t>
      </w:r>
      <w:r w:rsidR="007E3C81" w:rsidRPr="006956C9">
        <w:rPr>
          <w:rFonts w:ascii="Arial" w:hAnsi="Arial" w:cs="Arial"/>
          <w:lang w:val="en-IN"/>
        </w:rPr>
        <w:t xml:space="preserve"> </w:t>
      </w:r>
      <w:r w:rsidRPr="006956C9">
        <w:rPr>
          <w:rFonts w:ascii="Arial" w:hAnsi="Arial" w:cs="Arial"/>
          <w:lang w:val="en-IN"/>
        </w:rPr>
        <w:t xml:space="preserve">However, refinancing does not automatically reduce financial risk. Higher interest rates or restrictive debt covenants could increase financing costs. Therefore, Marriott should focus on </w:t>
      </w:r>
      <w:r w:rsidRPr="006956C9">
        <w:rPr>
          <w:rFonts w:ascii="Arial" w:hAnsi="Arial" w:cs="Arial"/>
          <w:b/>
          <w:bCs/>
          <w:lang w:val="en-IN"/>
        </w:rPr>
        <w:t>optimising the maturity profile rather than simply increasing borrowing</w:t>
      </w:r>
      <w:r w:rsidRPr="006956C9">
        <w:rPr>
          <w:rFonts w:ascii="Arial" w:hAnsi="Arial" w:cs="Arial"/>
          <w:lang w:val="en-IN"/>
        </w:rPr>
        <w:t>. This approach is particularly important given the 58.84% debt-to-asset ratio in 2025.</w:t>
      </w:r>
    </w:p>
    <w:p w14:paraId="6A466B82" w14:textId="77777777" w:rsidR="0085142B" w:rsidRPr="006956C9" w:rsidRDefault="0085142B" w:rsidP="006956C9">
      <w:pPr>
        <w:rPr>
          <w:rFonts w:ascii="Arial" w:hAnsi="Arial" w:cs="Arial"/>
          <w:b/>
          <w:bCs/>
          <w:lang w:val="en-IN"/>
        </w:rPr>
      </w:pPr>
      <w:r w:rsidRPr="006956C9">
        <w:rPr>
          <w:rFonts w:ascii="Arial" w:hAnsi="Arial" w:cs="Arial"/>
          <w:b/>
          <w:bCs/>
          <w:lang w:val="en-IN"/>
        </w:rPr>
        <w:t>Divestiture of Non-Core Assets</w:t>
      </w:r>
    </w:p>
    <w:p w14:paraId="06B3A65E" w14:textId="6CF6D81F" w:rsidR="0085142B" w:rsidRPr="006956C9" w:rsidRDefault="0085142B" w:rsidP="006956C9">
      <w:pPr>
        <w:rPr>
          <w:rFonts w:ascii="Arial" w:hAnsi="Arial" w:cs="Arial"/>
          <w:lang w:val="en-IN"/>
        </w:rPr>
      </w:pPr>
      <w:r w:rsidRPr="006956C9">
        <w:rPr>
          <w:rFonts w:ascii="Arial" w:hAnsi="Arial" w:cs="Arial"/>
          <w:lang w:val="en-IN"/>
        </w:rPr>
        <w:t>Divestiture could generate immediate cash that could be used to reduce debt or strengthen liquidity</w:t>
      </w:r>
      <w:r w:rsidR="004949D4" w:rsidRPr="006956C9">
        <w:rPr>
          <w:rFonts w:ascii="Arial" w:hAnsi="Arial" w:cs="Arial"/>
          <w:lang w:val="en-IN"/>
        </w:rPr>
        <w:t xml:space="preserve"> (</w:t>
      </w:r>
      <w:r w:rsidR="004949D4" w:rsidRPr="006956C9">
        <w:rPr>
          <w:rFonts w:ascii="Arial" w:hAnsi="Arial" w:cs="Arial"/>
        </w:rPr>
        <w:t>Osaigbovo and Akhimien, 2025</w:t>
      </w:r>
      <w:r w:rsidR="004949D4" w:rsidRPr="006956C9">
        <w:rPr>
          <w:rFonts w:ascii="Arial" w:hAnsi="Arial" w:cs="Arial"/>
          <w:lang w:val="en-IN"/>
        </w:rPr>
        <w:t>)</w:t>
      </w:r>
      <w:r w:rsidRPr="006956C9">
        <w:rPr>
          <w:rFonts w:ascii="Arial" w:hAnsi="Arial" w:cs="Arial"/>
          <w:lang w:val="en-IN"/>
        </w:rPr>
        <w:t>. Selling non-core assets could also allow Marriott to concentrate financial resources on its strongest brands and markets.</w:t>
      </w:r>
      <w:r w:rsidR="007E3C81" w:rsidRPr="006956C9">
        <w:rPr>
          <w:rFonts w:ascii="Arial" w:hAnsi="Arial" w:cs="Arial"/>
          <w:lang w:val="en-IN"/>
        </w:rPr>
        <w:t xml:space="preserve"> </w:t>
      </w:r>
      <w:r w:rsidRPr="006956C9">
        <w:rPr>
          <w:rFonts w:ascii="Arial" w:hAnsi="Arial" w:cs="Arial"/>
          <w:lang w:val="en-IN"/>
        </w:rPr>
        <w:t>However, divestiture could reduce future earnings and strategic flexibility if assets with long-term growth potential are sold. Therefore, Marriott should only consider assets that have limited strategic importance or relatively weak returns. A selective divestiture strategy would be preferable to broad asset disposal.</w:t>
      </w:r>
    </w:p>
    <w:p w14:paraId="3502269C" w14:textId="77777777" w:rsidR="0085142B" w:rsidRPr="006956C9" w:rsidRDefault="0085142B" w:rsidP="006956C9">
      <w:pPr>
        <w:rPr>
          <w:rFonts w:ascii="Arial" w:hAnsi="Arial" w:cs="Arial"/>
          <w:b/>
          <w:bCs/>
          <w:lang w:val="en-IN"/>
        </w:rPr>
      </w:pPr>
      <w:r w:rsidRPr="006956C9">
        <w:rPr>
          <w:rFonts w:ascii="Arial" w:hAnsi="Arial" w:cs="Arial"/>
          <w:b/>
          <w:bCs/>
          <w:lang w:val="en-IN"/>
        </w:rPr>
        <w:t>Equity Injection and Capital Restructuring</w:t>
      </w:r>
    </w:p>
    <w:p w14:paraId="674CF3A1" w14:textId="13E1189A" w:rsidR="0085142B" w:rsidRPr="006956C9" w:rsidRDefault="0085142B" w:rsidP="006956C9">
      <w:pPr>
        <w:rPr>
          <w:rFonts w:ascii="Arial" w:hAnsi="Arial" w:cs="Arial"/>
          <w:lang w:val="en-IN"/>
        </w:rPr>
      </w:pPr>
      <w:r w:rsidRPr="006956C9">
        <w:rPr>
          <w:rFonts w:ascii="Arial" w:hAnsi="Arial" w:cs="Arial"/>
          <w:lang w:val="en-IN"/>
        </w:rPr>
        <w:t>Equity financing could strengthen Marriott's capital base and help address the negative equity position. Unlike debt, equity does not create mandatory interest payments, potentially improving financial resilience</w:t>
      </w:r>
      <w:r w:rsidR="008704AE" w:rsidRPr="006956C9">
        <w:rPr>
          <w:rFonts w:ascii="Arial" w:hAnsi="Arial" w:cs="Arial"/>
          <w:lang w:val="en-IN"/>
        </w:rPr>
        <w:t xml:space="preserve"> (</w:t>
      </w:r>
      <w:r w:rsidR="008704AE" w:rsidRPr="006956C9">
        <w:rPr>
          <w:rFonts w:ascii="Arial" w:hAnsi="Arial" w:cs="Arial"/>
        </w:rPr>
        <w:t xml:space="preserve">Sha'ari </w:t>
      </w:r>
      <w:r w:rsidR="008704AE" w:rsidRPr="006956C9">
        <w:rPr>
          <w:rFonts w:ascii="Arial" w:hAnsi="Arial" w:cs="Arial"/>
          <w:i/>
          <w:iCs/>
        </w:rPr>
        <w:t>et al.,</w:t>
      </w:r>
      <w:r w:rsidR="008704AE" w:rsidRPr="006956C9">
        <w:rPr>
          <w:rFonts w:ascii="Arial" w:hAnsi="Arial" w:cs="Arial"/>
        </w:rPr>
        <w:t xml:space="preserve"> 2023</w:t>
      </w:r>
      <w:r w:rsidR="008704AE" w:rsidRPr="006956C9">
        <w:rPr>
          <w:rFonts w:ascii="Arial" w:hAnsi="Arial" w:cs="Arial"/>
          <w:lang w:val="en-IN"/>
        </w:rPr>
        <w:t>)</w:t>
      </w:r>
      <w:r w:rsidRPr="006956C9">
        <w:rPr>
          <w:rFonts w:ascii="Arial" w:hAnsi="Arial" w:cs="Arial"/>
          <w:lang w:val="en-IN"/>
        </w:rPr>
        <w:t>.</w:t>
      </w:r>
      <w:r w:rsidR="007E3C81" w:rsidRPr="006956C9">
        <w:rPr>
          <w:rFonts w:ascii="Arial" w:hAnsi="Arial" w:cs="Arial"/>
          <w:lang w:val="en-IN"/>
        </w:rPr>
        <w:t xml:space="preserve"> </w:t>
      </w:r>
      <w:r w:rsidRPr="006956C9">
        <w:rPr>
          <w:rFonts w:ascii="Arial" w:hAnsi="Arial" w:cs="Arial"/>
          <w:lang w:val="en-IN"/>
        </w:rPr>
        <w:t xml:space="preserve">The major disadvantage is shareholder dilution. Existing shareholders may experience a reduction in ownership percentage and earnings per share if additional shares are issued. Therefore, equity injection should be considered as a </w:t>
      </w:r>
      <w:r w:rsidRPr="006956C9">
        <w:rPr>
          <w:rFonts w:ascii="Arial" w:hAnsi="Arial" w:cs="Arial"/>
          <w:b/>
          <w:bCs/>
          <w:lang w:val="en-IN"/>
        </w:rPr>
        <w:t>structural contingency rather than the first response</w:t>
      </w:r>
      <w:r w:rsidRPr="006956C9">
        <w:rPr>
          <w:rFonts w:ascii="Arial" w:hAnsi="Arial" w:cs="Arial"/>
          <w:lang w:val="en-IN"/>
        </w:rPr>
        <w:t>, particularly while Marriott continues to generate strong operating cash flows.</w:t>
      </w:r>
    </w:p>
    <w:p w14:paraId="0E2B5A48" w14:textId="77777777" w:rsidR="0085142B" w:rsidRPr="006956C9" w:rsidRDefault="0085142B" w:rsidP="006956C9">
      <w:pPr>
        <w:rPr>
          <w:rFonts w:ascii="Arial" w:hAnsi="Arial" w:cs="Arial"/>
          <w:b/>
          <w:bCs/>
          <w:lang w:val="en-IN"/>
        </w:rPr>
      </w:pPr>
      <w:r w:rsidRPr="006956C9">
        <w:rPr>
          <w:rFonts w:ascii="Arial" w:hAnsi="Arial" w:cs="Arial"/>
          <w:b/>
          <w:bCs/>
          <w:lang w:val="en-IN"/>
        </w:rPr>
        <w:t>Strategic Investment and Portfolio Optimisation</w:t>
      </w:r>
    </w:p>
    <w:p w14:paraId="3849996B" w14:textId="734B331C" w:rsidR="0085142B" w:rsidRPr="006956C9" w:rsidRDefault="0085142B" w:rsidP="006956C9">
      <w:pPr>
        <w:rPr>
          <w:rFonts w:ascii="Arial" w:hAnsi="Arial" w:cs="Arial"/>
          <w:lang w:val="en-IN"/>
        </w:rPr>
      </w:pPr>
      <w:r w:rsidRPr="006956C9">
        <w:rPr>
          <w:rFonts w:ascii="Arial" w:hAnsi="Arial" w:cs="Arial"/>
          <w:lang w:val="en-IN"/>
        </w:rPr>
        <w:t>Marriott should continue investing selectively rather than reducing all capital expenditure. The investment appraisal demonstrates that investment can create value when projects satisfy appropriate financial criteria. Therefore, capital should be directed towards projects with positive NPV, acceptable IRR and strong strategic alignment</w:t>
      </w:r>
      <w:r w:rsidR="00233DA2" w:rsidRPr="006956C9">
        <w:rPr>
          <w:rFonts w:ascii="Arial" w:hAnsi="Arial" w:cs="Arial"/>
          <w:lang w:val="en-IN"/>
        </w:rPr>
        <w:t xml:space="preserve"> (</w:t>
      </w:r>
      <w:r w:rsidR="00233DA2" w:rsidRPr="006956C9">
        <w:rPr>
          <w:rFonts w:ascii="Arial" w:hAnsi="Arial" w:cs="Arial"/>
        </w:rPr>
        <w:t xml:space="preserve">Ridwan </w:t>
      </w:r>
      <w:r w:rsidR="00233DA2" w:rsidRPr="006956C9">
        <w:rPr>
          <w:rFonts w:ascii="Arial" w:hAnsi="Arial" w:cs="Arial"/>
          <w:i/>
          <w:iCs/>
        </w:rPr>
        <w:t>et al.,</w:t>
      </w:r>
      <w:r w:rsidR="00233DA2" w:rsidRPr="006956C9">
        <w:rPr>
          <w:rFonts w:ascii="Arial" w:hAnsi="Arial" w:cs="Arial"/>
        </w:rPr>
        <w:t xml:space="preserve"> 2025</w:t>
      </w:r>
      <w:r w:rsidR="00233DA2" w:rsidRPr="006956C9">
        <w:rPr>
          <w:rFonts w:ascii="Arial" w:hAnsi="Arial" w:cs="Arial"/>
          <w:lang w:val="en-IN"/>
        </w:rPr>
        <w:t>)</w:t>
      </w:r>
      <w:r w:rsidRPr="006956C9">
        <w:rPr>
          <w:rFonts w:ascii="Arial" w:hAnsi="Arial" w:cs="Arial"/>
          <w:lang w:val="en-IN"/>
        </w:rPr>
        <w:t>.</w:t>
      </w:r>
    </w:p>
    <w:p w14:paraId="7A8F75C2" w14:textId="77777777" w:rsidR="0085142B" w:rsidRPr="006956C9" w:rsidRDefault="0085142B" w:rsidP="006956C9">
      <w:pPr>
        <w:pStyle w:val="Heading2"/>
        <w:rPr>
          <w:rFonts w:ascii="Arial" w:hAnsi="Arial" w:cs="Arial"/>
        </w:rPr>
      </w:pPr>
      <w:bookmarkStart w:id="26" w:name="_Toc237412880"/>
      <w:r w:rsidRPr="006956C9">
        <w:rPr>
          <w:rFonts w:ascii="Arial" w:hAnsi="Arial" w:cs="Arial"/>
        </w:rPr>
        <w:lastRenderedPageBreak/>
        <w:t>4.3 Impact on Shareholder Value</w:t>
      </w:r>
      <w:bookmarkEnd w:id="26"/>
    </w:p>
    <w:p w14:paraId="6CA59626" w14:textId="316D356A" w:rsidR="0085142B" w:rsidRPr="006956C9" w:rsidRDefault="0085142B" w:rsidP="006956C9">
      <w:pPr>
        <w:rPr>
          <w:rFonts w:ascii="Arial" w:hAnsi="Arial" w:cs="Arial"/>
          <w:lang w:val="en-IN"/>
        </w:rPr>
      </w:pPr>
      <w:r w:rsidRPr="006956C9">
        <w:rPr>
          <w:rFonts w:ascii="Arial" w:hAnsi="Arial" w:cs="Arial"/>
          <w:lang w:val="en-IN"/>
        </w:rPr>
        <w:t>The restructuring strategy should ultimately be judged by its ability to protect and increase long-term shareholder value rather than by short-term improvements in individual ratios</w:t>
      </w:r>
      <w:r w:rsidR="00FA5C34" w:rsidRPr="006956C9">
        <w:rPr>
          <w:rFonts w:ascii="Arial" w:hAnsi="Arial" w:cs="Arial"/>
          <w:lang w:val="en-IN"/>
        </w:rPr>
        <w:t xml:space="preserve"> (</w:t>
      </w:r>
      <w:r w:rsidR="00FA5C34" w:rsidRPr="006956C9">
        <w:rPr>
          <w:rFonts w:ascii="Arial" w:hAnsi="Arial" w:cs="Arial"/>
        </w:rPr>
        <w:t>Celestin, 2022</w:t>
      </w:r>
      <w:r w:rsidR="00FA5C34" w:rsidRPr="006956C9">
        <w:rPr>
          <w:rFonts w:ascii="Arial" w:hAnsi="Arial" w:cs="Arial"/>
          <w:lang w:val="en-IN"/>
        </w:rPr>
        <w:t>)</w:t>
      </w:r>
      <w:r w:rsidRPr="006956C9">
        <w:rPr>
          <w:rFonts w:ascii="Arial" w:hAnsi="Arial" w:cs="Arial"/>
          <w:lang w:val="en-IN"/>
        </w:rPr>
        <w:t xml:space="preserve">. Reducing unnecessary debt could lower </w:t>
      </w:r>
      <w:r w:rsidR="007E3C81" w:rsidRPr="006956C9">
        <w:rPr>
          <w:rFonts w:ascii="Arial" w:hAnsi="Arial" w:cs="Arial"/>
          <w:lang w:val="en-IN"/>
        </w:rPr>
        <w:t>financially</w:t>
      </w:r>
      <w:r w:rsidRPr="006956C9">
        <w:rPr>
          <w:rFonts w:ascii="Arial" w:hAnsi="Arial" w:cs="Arial"/>
          <w:lang w:val="en-IN"/>
        </w:rPr>
        <w:t xml:space="preserve"> risk and interest pressure, while improved liquidity would provide greater protection against unexpected cash-flow shocks.</w:t>
      </w:r>
    </w:p>
    <w:p w14:paraId="277E279E" w14:textId="77777777" w:rsidR="0085142B" w:rsidRPr="006956C9" w:rsidRDefault="0085142B" w:rsidP="006956C9">
      <w:pPr>
        <w:rPr>
          <w:rFonts w:ascii="Arial" w:hAnsi="Arial" w:cs="Arial"/>
          <w:lang w:val="en-IN"/>
        </w:rPr>
      </w:pPr>
      <w:r w:rsidRPr="006956C9">
        <w:rPr>
          <w:rFonts w:ascii="Arial" w:hAnsi="Arial" w:cs="Arial"/>
          <w:lang w:val="en-IN"/>
        </w:rPr>
        <w:t xml:space="preserve">However, aggressive debt reduction or asset sales could reduce funds available for growth. Similarly, reducing dividends or share repurchases could initially disappoint investors. Marriott paid </w:t>
      </w:r>
      <w:r w:rsidRPr="006956C9">
        <w:rPr>
          <w:rFonts w:ascii="Arial" w:hAnsi="Arial" w:cs="Arial"/>
          <w:b/>
          <w:bCs/>
          <w:lang w:val="en-IN"/>
        </w:rPr>
        <w:t>$718 million in dividends and repurchased approximately $3.3 billion of treasury stock in 2025</w:t>
      </w:r>
      <w:r w:rsidRPr="006956C9">
        <w:rPr>
          <w:rFonts w:ascii="Arial" w:hAnsi="Arial" w:cs="Arial"/>
          <w:lang w:val="en-IN"/>
        </w:rPr>
        <w:t>. Given the company's negative equity and increasing debt, management should carefully balance shareholder distributions against the need to preserve financial flexibility.</w:t>
      </w:r>
    </w:p>
    <w:p w14:paraId="1E0C4490" w14:textId="3EF8F4AF" w:rsidR="0085142B" w:rsidRPr="006956C9" w:rsidRDefault="0085142B" w:rsidP="006956C9">
      <w:pPr>
        <w:rPr>
          <w:rFonts w:ascii="Arial" w:hAnsi="Arial" w:cs="Arial"/>
          <w:lang w:val="en-IN"/>
        </w:rPr>
      </w:pPr>
      <w:r w:rsidRPr="006956C9">
        <w:rPr>
          <w:rFonts w:ascii="Arial" w:hAnsi="Arial" w:cs="Arial"/>
          <w:lang w:val="en-IN"/>
        </w:rPr>
        <w:t>The preferred strategy is therefore to maintain shareholder returns at a sustainable level while prioritising investments and restructuring actions that strengthen long-term cash generation.</w:t>
      </w:r>
    </w:p>
    <w:p w14:paraId="57AF0ED2" w14:textId="77777777" w:rsidR="0085142B" w:rsidRPr="006956C9" w:rsidRDefault="0085142B" w:rsidP="006956C9">
      <w:pPr>
        <w:pStyle w:val="Heading2"/>
        <w:rPr>
          <w:rFonts w:ascii="Arial" w:hAnsi="Arial" w:cs="Arial"/>
        </w:rPr>
      </w:pPr>
      <w:bookmarkStart w:id="27" w:name="_Toc237412881"/>
      <w:r w:rsidRPr="006956C9">
        <w:rPr>
          <w:rFonts w:ascii="Arial" w:hAnsi="Arial" w:cs="Arial"/>
        </w:rPr>
        <w:t>4.4 Debt Structure and Financial Flexibility</w:t>
      </w:r>
      <w:bookmarkEnd w:id="27"/>
    </w:p>
    <w:p w14:paraId="71D86534" w14:textId="77777777" w:rsidR="0085142B" w:rsidRPr="006956C9" w:rsidRDefault="0085142B" w:rsidP="006956C9">
      <w:pPr>
        <w:rPr>
          <w:rFonts w:ascii="Arial" w:hAnsi="Arial" w:cs="Arial"/>
          <w:lang w:val="en-IN"/>
        </w:rPr>
      </w:pPr>
      <w:r w:rsidRPr="006956C9">
        <w:rPr>
          <w:rFonts w:ascii="Arial" w:hAnsi="Arial" w:cs="Arial"/>
          <w:lang w:val="en-IN"/>
        </w:rPr>
        <w:t xml:space="preserve">Marriott's increasing debt burden has important implications for financial flexibility. Total debt increased by approximately </w:t>
      </w:r>
      <w:r w:rsidRPr="006956C9">
        <w:rPr>
          <w:rFonts w:ascii="Arial" w:hAnsi="Arial" w:cs="Arial"/>
          <w:b/>
          <w:bCs/>
          <w:lang w:val="en-IN"/>
        </w:rPr>
        <w:t>60% between 2021 and 2025</w:t>
      </w:r>
      <w:r w:rsidRPr="006956C9">
        <w:rPr>
          <w:rFonts w:ascii="Arial" w:hAnsi="Arial" w:cs="Arial"/>
          <w:lang w:val="en-IN"/>
        </w:rPr>
        <w:t>, while interest coverage declined after 2022. Consequently, additional debt-funded expansion could increase exposure to interest-rate and refinancing risks.</w:t>
      </w:r>
    </w:p>
    <w:p w14:paraId="19B3276C" w14:textId="77777777" w:rsidR="0085142B" w:rsidRPr="006956C9" w:rsidRDefault="0085142B" w:rsidP="006956C9">
      <w:pPr>
        <w:rPr>
          <w:rFonts w:ascii="Arial" w:hAnsi="Arial" w:cs="Arial"/>
          <w:b/>
          <w:bCs/>
          <w:lang w:val="en-IN"/>
        </w:rPr>
      </w:pPr>
      <w:r w:rsidRPr="006956C9">
        <w:rPr>
          <w:rFonts w:ascii="Arial" w:hAnsi="Arial" w:cs="Arial"/>
          <w:b/>
          <w:bCs/>
          <w:lang w:val="en-IN"/>
        </w:rPr>
        <w:t>4.5 International Financial Considerations</w:t>
      </w:r>
    </w:p>
    <w:p w14:paraId="57B0C886" w14:textId="37CE7022" w:rsidR="0085142B" w:rsidRPr="006956C9" w:rsidRDefault="0085142B" w:rsidP="006956C9">
      <w:pPr>
        <w:rPr>
          <w:rFonts w:ascii="Arial" w:hAnsi="Arial" w:cs="Arial"/>
          <w:lang w:val="en-IN"/>
        </w:rPr>
      </w:pPr>
      <w:r w:rsidRPr="006956C9">
        <w:rPr>
          <w:rFonts w:ascii="Arial" w:hAnsi="Arial" w:cs="Arial"/>
          <w:lang w:val="en-IN"/>
        </w:rPr>
        <w:t xml:space="preserve">Marriott operates across international markets, making financial restructuring subject to </w:t>
      </w:r>
      <w:r w:rsidRPr="006956C9">
        <w:rPr>
          <w:rFonts w:ascii="Arial" w:hAnsi="Arial" w:cs="Arial"/>
          <w:b/>
          <w:bCs/>
          <w:lang w:val="en-IN"/>
        </w:rPr>
        <w:t>currency, inflation and taxation risks</w:t>
      </w:r>
      <w:r w:rsidRPr="006956C9">
        <w:rPr>
          <w:rFonts w:ascii="Arial" w:hAnsi="Arial" w:cs="Arial"/>
          <w:lang w:val="en-IN"/>
        </w:rPr>
        <w:t>. Foreign-exchange movements can affect the dollar value of overseas revenues, costs and cash flows</w:t>
      </w:r>
      <w:r w:rsidR="005C7CCF" w:rsidRPr="006956C9">
        <w:rPr>
          <w:rFonts w:ascii="Arial" w:hAnsi="Arial" w:cs="Arial"/>
          <w:lang w:val="en-IN"/>
        </w:rPr>
        <w:t xml:space="preserve"> (</w:t>
      </w:r>
      <w:r w:rsidR="005C7CCF" w:rsidRPr="006956C9">
        <w:rPr>
          <w:rFonts w:ascii="Arial" w:hAnsi="Arial" w:cs="Arial"/>
        </w:rPr>
        <w:t>Fried, 2023</w:t>
      </w:r>
      <w:r w:rsidR="005C7CCF" w:rsidRPr="006956C9">
        <w:rPr>
          <w:rFonts w:ascii="Arial" w:hAnsi="Arial" w:cs="Arial"/>
          <w:lang w:val="en-IN"/>
        </w:rPr>
        <w:t>)</w:t>
      </w:r>
      <w:r w:rsidRPr="006956C9">
        <w:rPr>
          <w:rFonts w:ascii="Arial" w:hAnsi="Arial" w:cs="Arial"/>
          <w:lang w:val="en-IN"/>
        </w:rPr>
        <w:t xml:space="preserve">. Marriott's global operating footprint makes this particularly relevant, with properties across multiple international regions. Inflation can increase hotel operating costs, labour expenses and construction expenditure, potentially reducing margins if price increases cannot fully compensate. Therefore, financial planning should incorporate sensitivity to inflation and exchange-rate </w:t>
      </w:r>
      <w:r w:rsidR="005C7CCF" w:rsidRPr="006956C9">
        <w:rPr>
          <w:rFonts w:ascii="Arial" w:hAnsi="Arial" w:cs="Arial"/>
          <w:lang w:val="en-IN"/>
        </w:rPr>
        <w:t>movements. Taxation</w:t>
      </w:r>
      <w:r w:rsidRPr="006956C9">
        <w:rPr>
          <w:rFonts w:ascii="Arial" w:hAnsi="Arial" w:cs="Arial"/>
          <w:lang w:val="en-IN"/>
        </w:rPr>
        <w:t xml:space="preserve"> also needs to be considered when restructuring international operations. Marriott states that its tax approach involves compliance with applicable laws and arm's-length transactions consistent </w:t>
      </w:r>
      <w:r w:rsidRPr="006956C9">
        <w:rPr>
          <w:rFonts w:ascii="Arial" w:hAnsi="Arial" w:cs="Arial"/>
          <w:lang w:val="en-IN"/>
        </w:rPr>
        <w:lastRenderedPageBreak/>
        <w:t xml:space="preserve">with OECD principles, supporting the need for tax-efficient but responsible restructuring. </w:t>
      </w:r>
    </w:p>
    <w:p w14:paraId="34099ADE" w14:textId="77777777" w:rsidR="0085142B" w:rsidRPr="006956C9" w:rsidRDefault="0085142B" w:rsidP="006956C9">
      <w:pPr>
        <w:pStyle w:val="Heading2"/>
        <w:rPr>
          <w:rFonts w:ascii="Arial" w:hAnsi="Arial" w:cs="Arial"/>
        </w:rPr>
      </w:pPr>
      <w:bookmarkStart w:id="28" w:name="_Toc237412882"/>
      <w:r w:rsidRPr="006956C9">
        <w:rPr>
          <w:rFonts w:ascii="Arial" w:hAnsi="Arial" w:cs="Arial"/>
        </w:rPr>
        <w:t>4.6 Ethical and ESG Considerations</w:t>
      </w:r>
      <w:bookmarkEnd w:id="28"/>
    </w:p>
    <w:p w14:paraId="214F3C8B" w14:textId="3148242C" w:rsidR="0085142B" w:rsidRPr="006956C9" w:rsidRDefault="0085142B" w:rsidP="006956C9">
      <w:pPr>
        <w:rPr>
          <w:rFonts w:ascii="Arial" w:hAnsi="Arial" w:cs="Arial"/>
          <w:lang w:val="en-IN"/>
        </w:rPr>
      </w:pPr>
      <w:r w:rsidRPr="006956C9">
        <w:rPr>
          <w:rFonts w:ascii="Arial" w:hAnsi="Arial" w:cs="Arial"/>
          <w:lang w:val="en-IN"/>
        </w:rPr>
        <w:t>Financial restructuring should not focus exclusively on debt and shareholder returns</w:t>
      </w:r>
      <w:r w:rsidR="00F407CC" w:rsidRPr="006956C9">
        <w:rPr>
          <w:rFonts w:ascii="Arial" w:hAnsi="Arial" w:cs="Arial"/>
          <w:lang w:val="en-IN"/>
        </w:rPr>
        <w:t xml:space="preserve"> (</w:t>
      </w:r>
      <w:r w:rsidR="00F407CC" w:rsidRPr="006956C9">
        <w:rPr>
          <w:rFonts w:ascii="Arial" w:hAnsi="Arial" w:cs="Arial"/>
        </w:rPr>
        <w:t>Fligstein and Goldstein, 2022</w:t>
      </w:r>
      <w:r w:rsidR="00F407CC" w:rsidRPr="006956C9">
        <w:rPr>
          <w:rFonts w:ascii="Arial" w:hAnsi="Arial" w:cs="Arial"/>
          <w:lang w:val="en-IN"/>
        </w:rPr>
        <w:t>)</w:t>
      </w:r>
      <w:r w:rsidRPr="006956C9">
        <w:rPr>
          <w:rFonts w:ascii="Arial" w:hAnsi="Arial" w:cs="Arial"/>
          <w:lang w:val="en-IN"/>
        </w:rPr>
        <w:t xml:space="preserve">. Marriott's </w:t>
      </w:r>
      <w:r w:rsidRPr="006956C9">
        <w:rPr>
          <w:rFonts w:ascii="Arial" w:hAnsi="Arial" w:cs="Arial"/>
          <w:b/>
          <w:bCs/>
          <w:lang w:val="en-IN"/>
        </w:rPr>
        <w:t>Serve 360</w:t>
      </w:r>
      <w:r w:rsidRPr="006956C9">
        <w:rPr>
          <w:rFonts w:ascii="Arial" w:hAnsi="Arial" w:cs="Arial"/>
          <w:lang w:val="en-IN"/>
        </w:rPr>
        <w:t xml:space="preserve"> framework links business performance with environmental and social responsibilities, including responsible operations, communities and environmental impacts. </w:t>
      </w:r>
      <w:r w:rsidR="0012785F" w:rsidRPr="006956C9">
        <w:rPr>
          <w:rFonts w:ascii="Arial" w:hAnsi="Arial" w:cs="Arial"/>
          <w:lang w:val="en-IN"/>
        </w:rPr>
        <w:t xml:space="preserve"> </w:t>
      </w:r>
      <w:r w:rsidRPr="006956C9">
        <w:rPr>
          <w:rFonts w:ascii="Arial" w:hAnsi="Arial" w:cs="Arial"/>
          <w:lang w:val="en-IN"/>
        </w:rPr>
        <w:t xml:space="preserve">Consequently, divestitures should consider employee and community effects, while investment decisions should consider environmental efficiency and long-term resilience. Marriott's sustainability reporting also demonstrates attention to environmental risks and global operational impacts. </w:t>
      </w:r>
    </w:p>
    <w:p w14:paraId="77D26DAB" w14:textId="77777777" w:rsidR="0085142B" w:rsidRPr="006956C9" w:rsidRDefault="0085142B" w:rsidP="006956C9">
      <w:pPr>
        <w:pStyle w:val="Heading2"/>
        <w:rPr>
          <w:rFonts w:ascii="Arial" w:hAnsi="Arial" w:cs="Arial"/>
        </w:rPr>
      </w:pPr>
      <w:bookmarkStart w:id="29" w:name="_Toc237412883"/>
      <w:r w:rsidRPr="006956C9">
        <w:rPr>
          <w:rFonts w:ascii="Arial" w:hAnsi="Arial" w:cs="Arial"/>
        </w:rPr>
        <w:t>4.7 Recommended Restructuring Strategy</w:t>
      </w:r>
      <w:bookmarkEnd w:id="29"/>
    </w:p>
    <w:p w14:paraId="32DDD9EE" w14:textId="73D22A80" w:rsidR="0085142B" w:rsidRPr="006956C9" w:rsidRDefault="0085142B" w:rsidP="006956C9">
      <w:pPr>
        <w:pStyle w:val="Caption"/>
        <w:keepNext/>
        <w:spacing w:line="360" w:lineRule="auto"/>
        <w:jc w:val="center"/>
        <w:rPr>
          <w:rFonts w:ascii="Arial" w:hAnsi="Arial" w:cs="Arial"/>
          <w:sz w:val="24"/>
          <w:szCs w:val="24"/>
        </w:rPr>
      </w:pPr>
      <w:bookmarkStart w:id="30" w:name="_Toc237412684"/>
      <w:r w:rsidRPr="006956C9">
        <w:rPr>
          <w:rFonts w:ascii="Arial" w:hAnsi="Arial" w:cs="Arial"/>
          <w:color w:val="auto"/>
          <w:sz w:val="24"/>
          <w:szCs w:val="24"/>
        </w:rPr>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004443FB" w:rsidRPr="006956C9">
        <w:rPr>
          <w:rFonts w:ascii="Arial" w:hAnsi="Arial" w:cs="Arial"/>
          <w:noProof/>
          <w:color w:val="auto"/>
          <w:sz w:val="24"/>
          <w:szCs w:val="24"/>
        </w:rPr>
        <w:t>3</w:t>
      </w:r>
      <w:r w:rsidRPr="006956C9">
        <w:rPr>
          <w:rFonts w:ascii="Arial" w:hAnsi="Arial" w:cs="Arial"/>
          <w:color w:val="auto"/>
          <w:sz w:val="24"/>
          <w:szCs w:val="24"/>
        </w:rPr>
        <w:fldChar w:fldCharType="end"/>
      </w:r>
      <w:r w:rsidRPr="006956C9">
        <w:rPr>
          <w:rFonts w:ascii="Arial" w:hAnsi="Arial" w:cs="Arial"/>
          <w:color w:val="auto"/>
          <w:sz w:val="24"/>
          <w:szCs w:val="24"/>
        </w:rPr>
        <w:t>: Strategic Financial Restructuring Options for Marriott</w:t>
      </w:r>
      <w:bookmarkEnd w:id="30"/>
    </w:p>
    <w:tbl>
      <w:tblPr>
        <w:tblStyle w:val="ListTable4-Accent4"/>
        <w:tblW w:w="0" w:type="auto"/>
        <w:tblLook w:val="04A0" w:firstRow="1" w:lastRow="0" w:firstColumn="1" w:lastColumn="0" w:noHBand="0" w:noVBand="1"/>
      </w:tblPr>
      <w:tblGrid>
        <w:gridCol w:w="1790"/>
        <w:gridCol w:w="1770"/>
        <w:gridCol w:w="2565"/>
        <w:gridCol w:w="1821"/>
        <w:gridCol w:w="1070"/>
      </w:tblGrid>
      <w:tr w:rsidR="0085142B" w:rsidRPr="006956C9" w14:paraId="3F62D7E9" w14:textId="77777777" w:rsidTr="008514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C63CC5" w14:textId="77777777" w:rsidR="0085142B" w:rsidRPr="006956C9" w:rsidRDefault="0085142B" w:rsidP="006956C9">
            <w:pPr>
              <w:pStyle w:val="NoSpacing"/>
              <w:spacing w:line="360" w:lineRule="auto"/>
              <w:rPr>
                <w:rFonts w:ascii="Arial" w:hAnsi="Arial" w:cs="Arial"/>
                <w:lang w:val="en-IN"/>
              </w:rPr>
            </w:pPr>
            <w:r w:rsidRPr="006956C9">
              <w:rPr>
                <w:rFonts w:ascii="Arial" w:hAnsi="Arial" w:cs="Arial"/>
                <w:lang w:val="en-IN"/>
              </w:rPr>
              <w:t>Strategy</w:t>
            </w:r>
          </w:p>
        </w:tc>
        <w:tc>
          <w:tcPr>
            <w:tcW w:w="0" w:type="auto"/>
            <w:hideMark/>
          </w:tcPr>
          <w:p w14:paraId="761630F2" w14:textId="77777777" w:rsidR="0085142B" w:rsidRPr="006956C9" w:rsidRDefault="0085142B"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Financial Benefit</w:t>
            </w:r>
          </w:p>
        </w:tc>
        <w:tc>
          <w:tcPr>
            <w:tcW w:w="0" w:type="auto"/>
            <w:hideMark/>
          </w:tcPr>
          <w:p w14:paraId="4C60BCE2" w14:textId="77777777" w:rsidR="0085142B" w:rsidRPr="006956C9" w:rsidRDefault="0085142B"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Main Risk</w:t>
            </w:r>
          </w:p>
        </w:tc>
        <w:tc>
          <w:tcPr>
            <w:tcW w:w="0" w:type="auto"/>
            <w:hideMark/>
          </w:tcPr>
          <w:p w14:paraId="363B0571" w14:textId="77777777" w:rsidR="0085142B" w:rsidRPr="006956C9" w:rsidRDefault="0085142B"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Shareholder Impact</w:t>
            </w:r>
          </w:p>
        </w:tc>
        <w:tc>
          <w:tcPr>
            <w:tcW w:w="0" w:type="auto"/>
            <w:hideMark/>
          </w:tcPr>
          <w:p w14:paraId="114C83A4" w14:textId="77777777" w:rsidR="0085142B" w:rsidRPr="006956C9" w:rsidRDefault="0085142B"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Priority</w:t>
            </w:r>
          </w:p>
        </w:tc>
      </w:tr>
      <w:tr w:rsidR="0085142B" w:rsidRPr="006956C9" w14:paraId="49896AD1" w14:textId="77777777" w:rsidTr="008514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01DB5D" w14:textId="77777777" w:rsidR="0085142B" w:rsidRPr="006956C9" w:rsidRDefault="0085142B" w:rsidP="006956C9">
            <w:pPr>
              <w:pStyle w:val="NoSpacing"/>
              <w:spacing w:line="360" w:lineRule="auto"/>
              <w:rPr>
                <w:rFonts w:ascii="Arial" w:hAnsi="Arial" w:cs="Arial"/>
                <w:lang w:val="en-IN"/>
              </w:rPr>
            </w:pPr>
            <w:r w:rsidRPr="006956C9">
              <w:rPr>
                <w:rFonts w:ascii="Arial" w:hAnsi="Arial" w:cs="Arial"/>
                <w:lang w:val="en-IN"/>
              </w:rPr>
              <w:t>Debt refinancing</w:t>
            </w:r>
          </w:p>
        </w:tc>
        <w:tc>
          <w:tcPr>
            <w:tcW w:w="0" w:type="auto"/>
            <w:hideMark/>
          </w:tcPr>
          <w:p w14:paraId="384950D5"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Reduces refinancing pressure</w:t>
            </w:r>
          </w:p>
        </w:tc>
        <w:tc>
          <w:tcPr>
            <w:tcW w:w="0" w:type="auto"/>
            <w:hideMark/>
          </w:tcPr>
          <w:p w14:paraId="6FAED13F"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Interest/covenant risk</w:t>
            </w:r>
          </w:p>
        </w:tc>
        <w:tc>
          <w:tcPr>
            <w:tcW w:w="0" w:type="auto"/>
            <w:hideMark/>
          </w:tcPr>
          <w:p w14:paraId="209E3DDF"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Positive if risk falls</w:t>
            </w:r>
          </w:p>
        </w:tc>
        <w:tc>
          <w:tcPr>
            <w:tcW w:w="0" w:type="auto"/>
            <w:hideMark/>
          </w:tcPr>
          <w:p w14:paraId="71B861B6"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High</w:t>
            </w:r>
          </w:p>
        </w:tc>
      </w:tr>
      <w:tr w:rsidR="0085142B" w:rsidRPr="006956C9" w14:paraId="6F0C08BE" w14:textId="77777777" w:rsidTr="0085142B">
        <w:tc>
          <w:tcPr>
            <w:cnfStyle w:val="001000000000" w:firstRow="0" w:lastRow="0" w:firstColumn="1" w:lastColumn="0" w:oddVBand="0" w:evenVBand="0" w:oddHBand="0" w:evenHBand="0" w:firstRowFirstColumn="0" w:firstRowLastColumn="0" w:lastRowFirstColumn="0" w:lastRowLastColumn="0"/>
            <w:tcW w:w="0" w:type="auto"/>
            <w:hideMark/>
          </w:tcPr>
          <w:p w14:paraId="37D3BCC0" w14:textId="77777777" w:rsidR="0085142B" w:rsidRPr="006956C9" w:rsidRDefault="0085142B" w:rsidP="006956C9">
            <w:pPr>
              <w:pStyle w:val="NoSpacing"/>
              <w:spacing w:line="360" w:lineRule="auto"/>
              <w:rPr>
                <w:rFonts w:ascii="Arial" w:hAnsi="Arial" w:cs="Arial"/>
                <w:lang w:val="en-IN"/>
              </w:rPr>
            </w:pPr>
            <w:r w:rsidRPr="006956C9">
              <w:rPr>
                <w:rFonts w:ascii="Arial" w:hAnsi="Arial" w:cs="Arial"/>
                <w:lang w:val="en-IN"/>
              </w:rPr>
              <w:t>Working-capital reform</w:t>
            </w:r>
          </w:p>
        </w:tc>
        <w:tc>
          <w:tcPr>
            <w:tcW w:w="0" w:type="auto"/>
            <w:hideMark/>
          </w:tcPr>
          <w:p w14:paraId="50FCF002"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Improves liquidity and cash conversion</w:t>
            </w:r>
          </w:p>
        </w:tc>
        <w:tc>
          <w:tcPr>
            <w:tcW w:w="0" w:type="auto"/>
            <w:hideMark/>
          </w:tcPr>
          <w:p w14:paraId="129069E6"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Operational/customer impact</w:t>
            </w:r>
          </w:p>
        </w:tc>
        <w:tc>
          <w:tcPr>
            <w:tcW w:w="0" w:type="auto"/>
            <w:hideMark/>
          </w:tcPr>
          <w:p w14:paraId="493B68FB"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Positive</w:t>
            </w:r>
          </w:p>
        </w:tc>
        <w:tc>
          <w:tcPr>
            <w:tcW w:w="0" w:type="auto"/>
            <w:hideMark/>
          </w:tcPr>
          <w:p w14:paraId="07374984"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High</w:t>
            </w:r>
          </w:p>
        </w:tc>
      </w:tr>
      <w:tr w:rsidR="0085142B" w:rsidRPr="006956C9" w14:paraId="0A1E9B82" w14:textId="77777777" w:rsidTr="008514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85F47" w14:textId="77777777" w:rsidR="0085142B" w:rsidRPr="006956C9" w:rsidRDefault="0085142B" w:rsidP="006956C9">
            <w:pPr>
              <w:pStyle w:val="NoSpacing"/>
              <w:spacing w:line="360" w:lineRule="auto"/>
              <w:rPr>
                <w:rFonts w:ascii="Arial" w:hAnsi="Arial" w:cs="Arial"/>
                <w:lang w:val="en-IN"/>
              </w:rPr>
            </w:pPr>
            <w:r w:rsidRPr="006956C9">
              <w:rPr>
                <w:rFonts w:ascii="Arial" w:hAnsi="Arial" w:cs="Arial"/>
                <w:lang w:val="en-IN"/>
              </w:rPr>
              <w:t>Selective divestiture</w:t>
            </w:r>
          </w:p>
        </w:tc>
        <w:tc>
          <w:tcPr>
            <w:tcW w:w="0" w:type="auto"/>
            <w:hideMark/>
          </w:tcPr>
          <w:p w14:paraId="2B2C032E"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Generates cash for debt/liquidity</w:t>
            </w:r>
          </w:p>
        </w:tc>
        <w:tc>
          <w:tcPr>
            <w:tcW w:w="0" w:type="auto"/>
            <w:hideMark/>
          </w:tcPr>
          <w:p w14:paraId="5282D420"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Loss of future earnings</w:t>
            </w:r>
          </w:p>
        </w:tc>
        <w:tc>
          <w:tcPr>
            <w:tcW w:w="0" w:type="auto"/>
            <w:hideMark/>
          </w:tcPr>
          <w:p w14:paraId="0010B65B"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Potentially positive</w:t>
            </w:r>
          </w:p>
        </w:tc>
        <w:tc>
          <w:tcPr>
            <w:tcW w:w="0" w:type="auto"/>
            <w:hideMark/>
          </w:tcPr>
          <w:p w14:paraId="1C3075A9"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Medium</w:t>
            </w:r>
          </w:p>
        </w:tc>
      </w:tr>
      <w:tr w:rsidR="0085142B" w:rsidRPr="006956C9" w14:paraId="31FEB677" w14:textId="77777777" w:rsidTr="0085142B">
        <w:tc>
          <w:tcPr>
            <w:cnfStyle w:val="001000000000" w:firstRow="0" w:lastRow="0" w:firstColumn="1" w:lastColumn="0" w:oddVBand="0" w:evenVBand="0" w:oddHBand="0" w:evenHBand="0" w:firstRowFirstColumn="0" w:firstRowLastColumn="0" w:lastRowFirstColumn="0" w:lastRowLastColumn="0"/>
            <w:tcW w:w="0" w:type="auto"/>
            <w:hideMark/>
          </w:tcPr>
          <w:p w14:paraId="53407370" w14:textId="77777777" w:rsidR="0085142B" w:rsidRPr="006956C9" w:rsidRDefault="0085142B" w:rsidP="006956C9">
            <w:pPr>
              <w:pStyle w:val="NoSpacing"/>
              <w:spacing w:line="360" w:lineRule="auto"/>
              <w:rPr>
                <w:rFonts w:ascii="Arial" w:hAnsi="Arial" w:cs="Arial"/>
                <w:lang w:val="en-IN"/>
              </w:rPr>
            </w:pPr>
            <w:r w:rsidRPr="006956C9">
              <w:rPr>
                <w:rFonts w:ascii="Arial" w:hAnsi="Arial" w:cs="Arial"/>
                <w:lang w:val="en-IN"/>
              </w:rPr>
              <w:t>Equity restructuring</w:t>
            </w:r>
          </w:p>
        </w:tc>
        <w:tc>
          <w:tcPr>
            <w:tcW w:w="0" w:type="auto"/>
            <w:hideMark/>
          </w:tcPr>
          <w:p w14:paraId="6A9965C7"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Strengthens capital base</w:t>
            </w:r>
          </w:p>
        </w:tc>
        <w:tc>
          <w:tcPr>
            <w:tcW w:w="0" w:type="auto"/>
            <w:hideMark/>
          </w:tcPr>
          <w:p w14:paraId="19E2782F"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Shareholder dilution</w:t>
            </w:r>
          </w:p>
        </w:tc>
        <w:tc>
          <w:tcPr>
            <w:tcW w:w="0" w:type="auto"/>
            <w:hideMark/>
          </w:tcPr>
          <w:p w14:paraId="20296457"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Potential short-term dilution</w:t>
            </w:r>
          </w:p>
        </w:tc>
        <w:tc>
          <w:tcPr>
            <w:tcW w:w="0" w:type="auto"/>
            <w:hideMark/>
          </w:tcPr>
          <w:p w14:paraId="6EFB1919" w14:textId="77777777" w:rsidR="0085142B" w:rsidRPr="006956C9" w:rsidRDefault="0085142B"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Medium</w:t>
            </w:r>
          </w:p>
        </w:tc>
      </w:tr>
      <w:tr w:rsidR="0085142B" w:rsidRPr="006956C9" w14:paraId="7E4198CE" w14:textId="77777777" w:rsidTr="008514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AAB9BE" w14:textId="77777777" w:rsidR="0085142B" w:rsidRPr="006956C9" w:rsidRDefault="0085142B" w:rsidP="006956C9">
            <w:pPr>
              <w:pStyle w:val="NoSpacing"/>
              <w:spacing w:line="360" w:lineRule="auto"/>
              <w:rPr>
                <w:rFonts w:ascii="Arial" w:hAnsi="Arial" w:cs="Arial"/>
                <w:lang w:val="en-IN"/>
              </w:rPr>
            </w:pPr>
            <w:r w:rsidRPr="006956C9">
              <w:rPr>
                <w:rFonts w:ascii="Arial" w:hAnsi="Arial" w:cs="Arial"/>
                <w:lang w:val="en-IN"/>
              </w:rPr>
              <w:t>Selective investment</w:t>
            </w:r>
          </w:p>
        </w:tc>
        <w:tc>
          <w:tcPr>
            <w:tcW w:w="0" w:type="auto"/>
            <w:hideMark/>
          </w:tcPr>
          <w:p w14:paraId="17A45E94"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Supports future growth/value</w:t>
            </w:r>
          </w:p>
        </w:tc>
        <w:tc>
          <w:tcPr>
            <w:tcW w:w="0" w:type="auto"/>
            <w:hideMark/>
          </w:tcPr>
          <w:p w14:paraId="17CD2238"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Project risk</w:t>
            </w:r>
          </w:p>
        </w:tc>
        <w:tc>
          <w:tcPr>
            <w:tcW w:w="0" w:type="auto"/>
            <w:hideMark/>
          </w:tcPr>
          <w:p w14:paraId="33A678A4"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Positive if returns exceed required return</w:t>
            </w:r>
          </w:p>
        </w:tc>
        <w:tc>
          <w:tcPr>
            <w:tcW w:w="0" w:type="auto"/>
            <w:hideMark/>
          </w:tcPr>
          <w:p w14:paraId="146EEB32" w14:textId="77777777" w:rsidR="0085142B" w:rsidRPr="006956C9" w:rsidRDefault="0085142B"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High</w:t>
            </w:r>
          </w:p>
        </w:tc>
      </w:tr>
    </w:tbl>
    <w:p w14:paraId="716F47CB" w14:textId="5939B72F" w:rsidR="0085142B" w:rsidRPr="006956C9" w:rsidRDefault="0085142B" w:rsidP="006956C9">
      <w:pPr>
        <w:rPr>
          <w:rFonts w:ascii="Arial" w:hAnsi="Arial" w:cs="Arial"/>
          <w:lang w:val="en-IN"/>
        </w:rPr>
      </w:pPr>
      <w:r w:rsidRPr="006956C9">
        <w:rPr>
          <w:rFonts w:ascii="Arial" w:hAnsi="Arial" w:cs="Arial"/>
          <w:lang w:val="en-IN"/>
        </w:rPr>
        <w:lastRenderedPageBreak/>
        <w:t>Marriott should adopt an integrated restructuring strategy centred on liquidity improvement, debt optimisation and disciplined capital allocation. Immediate priority should be given to working-capital improvement and debt refinancing rather than substantial new borrowing. Selective divestiture can be used where non-core assets can generate meaningful cash without damaging strategic capabilities, while equity financing should remain a contingency option</w:t>
      </w:r>
      <w:r w:rsidR="00CB0443" w:rsidRPr="006956C9">
        <w:rPr>
          <w:rFonts w:ascii="Arial" w:hAnsi="Arial" w:cs="Arial"/>
          <w:lang w:val="en-IN"/>
        </w:rPr>
        <w:t xml:space="preserve"> (</w:t>
      </w:r>
      <w:r w:rsidR="00CB0443" w:rsidRPr="006956C9">
        <w:rPr>
          <w:rFonts w:ascii="Arial" w:hAnsi="Arial" w:cs="Arial"/>
        </w:rPr>
        <w:t>Corredor and Mahoney, 2021</w:t>
      </w:r>
      <w:r w:rsidR="00CB0443" w:rsidRPr="006956C9">
        <w:rPr>
          <w:rFonts w:ascii="Arial" w:hAnsi="Arial" w:cs="Arial"/>
          <w:lang w:val="en-IN"/>
        </w:rPr>
        <w:t>)</w:t>
      </w:r>
      <w:r w:rsidRPr="006956C9">
        <w:rPr>
          <w:rFonts w:ascii="Arial" w:hAnsi="Arial" w:cs="Arial"/>
          <w:lang w:val="en-IN"/>
        </w:rPr>
        <w:t>. At the same time, profitable investment should continue where projects demonstrate positive value creation. This strategy would help Marriott strengthen financial resilience while preserving its capacity for long-term growth and shareholder value.</w:t>
      </w:r>
    </w:p>
    <w:p w14:paraId="0CF1220B" w14:textId="77777777" w:rsidR="00DE47AC" w:rsidRPr="006956C9" w:rsidRDefault="00DE47AC" w:rsidP="006956C9">
      <w:pPr>
        <w:pStyle w:val="Heading1"/>
        <w:rPr>
          <w:rFonts w:ascii="Arial" w:hAnsi="Arial" w:cs="Arial"/>
          <w:lang w:val="en-IN"/>
        </w:rPr>
      </w:pPr>
      <w:bookmarkStart w:id="31" w:name="_Toc237412884"/>
      <w:r w:rsidRPr="006956C9">
        <w:rPr>
          <w:rFonts w:ascii="Arial" w:hAnsi="Arial" w:cs="Arial"/>
          <w:lang w:val="en-IN"/>
        </w:rPr>
        <w:t>5. Investment Appraisal and Capital Budgeting</w:t>
      </w:r>
      <w:bookmarkEnd w:id="31"/>
    </w:p>
    <w:p w14:paraId="19B3C469" w14:textId="77777777" w:rsidR="00DE47AC" w:rsidRPr="006956C9" w:rsidRDefault="00DE47AC" w:rsidP="006956C9">
      <w:pPr>
        <w:pStyle w:val="Heading2"/>
        <w:rPr>
          <w:rFonts w:ascii="Arial" w:hAnsi="Arial" w:cs="Arial"/>
        </w:rPr>
      </w:pPr>
      <w:bookmarkStart w:id="32" w:name="_Toc237412885"/>
      <w:r w:rsidRPr="006956C9">
        <w:rPr>
          <w:rFonts w:ascii="Arial" w:hAnsi="Arial" w:cs="Arial"/>
        </w:rPr>
        <w:t>5.1 Proposed Investment Projects</w:t>
      </w:r>
      <w:bookmarkEnd w:id="32"/>
    </w:p>
    <w:p w14:paraId="20829D67" w14:textId="77777777" w:rsidR="00DE47AC" w:rsidRPr="006956C9" w:rsidRDefault="00DE47AC" w:rsidP="006956C9">
      <w:pPr>
        <w:rPr>
          <w:rFonts w:ascii="Arial" w:hAnsi="Arial" w:cs="Arial"/>
          <w:lang w:val="en-IN"/>
        </w:rPr>
      </w:pPr>
      <w:r w:rsidRPr="006956C9">
        <w:rPr>
          <w:rFonts w:ascii="Arial" w:hAnsi="Arial" w:cs="Arial"/>
          <w:lang w:val="en-IN"/>
        </w:rPr>
        <w:t xml:space="preserve">Marriott is required to evaluate three alternative investment projects using five conventional capital-budgeting techniques: Payback Period (PBP), Accounting Rate of Return (ARR), Net Present Value (NPV), Profitability Index (PI) and Internal Rate of Return (IRR). The assessment specifies an initial investment of £50 million for each project, a five-year investment horizon, an 8% discount rate and straight-line depreciation to zero. </w:t>
      </w:r>
    </w:p>
    <w:p w14:paraId="1555A9FC" w14:textId="091288F7" w:rsidR="004443FB" w:rsidRPr="006956C9" w:rsidRDefault="004443FB" w:rsidP="006956C9">
      <w:pPr>
        <w:pStyle w:val="Caption"/>
        <w:keepNext/>
        <w:spacing w:line="360" w:lineRule="auto"/>
        <w:jc w:val="center"/>
        <w:rPr>
          <w:rFonts w:ascii="Arial" w:hAnsi="Arial" w:cs="Arial"/>
          <w:color w:val="auto"/>
          <w:sz w:val="24"/>
          <w:szCs w:val="24"/>
        </w:rPr>
      </w:pPr>
      <w:bookmarkStart w:id="33" w:name="_Toc237412685"/>
      <w:r w:rsidRPr="006956C9">
        <w:rPr>
          <w:rFonts w:ascii="Arial" w:hAnsi="Arial" w:cs="Arial"/>
          <w:color w:val="auto"/>
          <w:sz w:val="24"/>
          <w:szCs w:val="24"/>
        </w:rPr>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Pr="006956C9">
        <w:rPr>
          <w:rFonts w:ascii="Arial" w:hAnsi="Arial" w:cs="Arial"/>
          <w:noProof/>
          <w:color w:val="auto"/>
          <w:sz w:val="24"/>
          <w:szCs w:val="24"/>
        </w:rPr>
        <w:t>4</w:t>
      </w:r>
      <w:r w:rsidRPr="006956C9">
        <w:rPr>
          <w:rFonts w:ascii="Arial" w:hAnsi="Arial" w:cs="Arial"/>
          <w:color w:val="auto"/>
          <w:sz w:val="24"/>
          <w:szCs w:val="24"/>
        </w:rPr>
        <w:fldChar w:fldCharType="end"/>
      </w:r>
      <w:r w:rsidRPr="006956C9">
        <w:rPr>
          <w:rFonts w:ascii="Arial" w:hAnsi="Arial" w:cs="Arial"/>
          <w:color w:val="auto"/>
          <w:sz w:val="24"/>
          <w:szCs w:val="24"/>
        </w:rPr>
        <w:t>: Proposed Investment Projects</w:t>
      </w:r>
      <w:bookmarkEnd w:id="33"/>
    </w:p>
    <w:tbl>
      <w:tblPr>
        <w:tblStyle w:val="ListTable3-Accent4"/>
        <w:tblW w:w="0" w:type="auto"/>
        <w:jc w:val="center"/>
        <w:tblLook w:val="04A0" w:firstRow="1" w:lastRow="0" w:firstColumn="1" w:lastColumn="0" w:noHBand="0" w:noVBand="1"/>
      </w:tblPr>
      <w:tblGrid>
        <w:gridCol w:w="2311"/>
        <w:gridCol w:w="1270"/>
        <w:gridCol w:w="1270"/>
        <w:gridCol w:w="1270"/>
      </w:tblGrid>
      <w:tr w:rsidR="00DE47AC" w:rsidRPr="006956C9" w14:paraId="4B66E5F4" w14:textId="77777777" w:rsidTr="00D95C7E">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3D0012CA"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 million</w:t>
            </w:r>
          </w:p>
        </w:tc>
        <w:tc>
          <w:tcPr>
            <w:tcW w:w="0" w:type="auto"/>
            <w:hideMark/>
          </w:tcPr>
          <w:p w14:paraId="46DDA4E0"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Project A</w:t>
            </w:r>
          </w:p>
        </w:tc>
        <w:tc>
          <w:tcPr>
            <w:tcW w:w="0" w:type="auto"/>
            <w:hideMark/>
          </w:tcPr>
          <w:p w14:paraId="400B08E1"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Project B</w:t>
            </w:r>
          </w:p>
        </w:tc>
        <w:tc>
          <w:tcPr>
            <w:tcW w:w="0" w:type="auto"/>
            <w:hideMark/>
          </w:tcPr>
          <w:p w14:paraId="026081F9"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Project C</w:t>
            </w:r>
          </w:p>
        </w:tc>
      </w:tr>
      <w:tr w:rsidR="00DE47AC" w:rsidRPr="006956C9" w14:paraId="31836740" w14:textId="77777777" w:rsidTr="00D95C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9099D5"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Initial investment</w:t>
            </w:r>
          </w:p>
        </w:tc>
        <w:tc>
          <w:tcPr>
            <w:tcW w:w="0" w:type="auto"/>
            <w:hideMark/>
          </w:tcPr>
          <w:p w14:paraId="576A6934"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2852CE27"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0BBB74FB"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w:t>
            </w:r>
          </w:p>
        </w:tc>
      </w:tr>
      <w:tr w:rsidR="00DE47AC" w:rsidRPr="006956C9" w14:paraId="521B2914" w14:textId="77777777" w:rsidTr="00D95C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1CC038"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Year 1 cash inflow</w:t>
            </w:r>
          </w:p>
        </w:tc>
        <w:tc>
          <w:tcPr>
            <w:tcW w:w="0" w:type="auto"/>
            <w:hideMark/>
          </w:tcPr>
          <w:p w14:paraId="7F06E022"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10</w:t>
            </w:r>
          </w:p>
        </w:tc>
        <w:tc>
          <w:tcPr>
            <w:tcW w:w="0" w:type="auto"/>
            <w:hideMark/>
          </w:tcPr>
          <w:p w14:paraId="45D1769B"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11</w:t>
            </w:r>
          </w:p>
        </w:tc>
        <w:tc>
          <w:tcPr>
            <w:tcW w:w="0" w:type="auto"/>
            <w:hideMark/>
          </w:tcPr>
          <w:p w14:paraId="0FBFF4B3"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5</w:t>
            </w:r>
          </w:p>
        </w:tc>
      </w:tr>
      <w:tr w:rsidR="00DE47AC" w:rsidRPr="006956C9" w14:paraId="755CE723" w14:textId="77777777" w:rsidTr="00D95C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03CAFD"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Year 2 cash inflow</w:t>
            </w:r>
          </w:p>
        </w:tc>
        <w:tc>
          <w:tcPr>
            <w:tcW w:w="0" w:type="auto"/>
            <w:hideMark/>
          </w:tcPr>
          <w:p w14:paraId="678F4D3C"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12</w:t>
            </w:r>
          </w:p>
        </w:tc>
        <w:tc>
          <w:tcPr>
            <w:tcW w:w="0" w:type="auto"/>
            <w:hideMark/>
          </w:tcPr>
          <w:p w14:paraId="7F92E46A"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11</w:t>
            </w:r>
          </w:p>
        </w:tc>
        <w:tc>
          <w:tcPr>
            <w:tcW w:w="0" w:type="auto"/>
            <w:hideMark/>
          </w:tcPr>
          <w:p w14:paraId="4151ACBF"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10</w:t>
            </w:r>
          </w:p>
        </w:tc>
      </w:tr>
      <w:tr w:rsidR="00DE47AC" w:rsidRPr="006956C9" w14:paraId="0B6D11B3" w14:textId="77777777" w:rsidTr="00D95C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1C1C0F"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Year 3 cash inflow</w:t>
            </w:r>
          </w:p>
        </w:tc>
        <w:tc>
          <w:tcPr>
            <w:tcW w:w="0" w:type="auto"/>
            <w:hideMark/>
          </w:tcPr>
          <w:p w14:paraId="396D261E"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14</w:t>
            </w:r>
          </w:p>
        </w:tc>
        <w:tc>
          <w:tcPr>
            <w:tcW w:w="0" w:type="auto"/>
            <w:hideMark/>
          </w:tcPr>
          <w:p w14:paraId="2B5C2F5B"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11</w:t>
            </w:r>
          </w:p>
        </w:tc>
        <w:tc>
          <w:tcPr>
            <w:tcW w:w="0" w:type="auto"/>
            <w:hideMark/>
          </w:tcPr>
          <w:p w14:paraId="0A918377"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w:t>
            </w:r>
          </w:p>
        </w:tc>
      </w:tr>
      <w:tr w:rsidR="00DE47AC" w:rsidRPr="006956C9" w14:paraId="108B46D8" w14:textId="77777777" w:rsidTr="00D95C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4CAC9B"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Year 4 cash inflow</w:t>
            </w:r>
          </w:p>
        </w:tc>
        <w:tc>
          <w:tcPr>
            <w:tcW w:w="0" w:type="auto"/>
            <w:hideMark/>
          </w:tcPr>
          <w:p w14:paraId="0286B970"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10</w:t>
            </w:r>
          </w:p>
        </w:tc>
        <w:tc>
          <w:tcPr>
            <w:tcW w:w="0" w:type="auto"/>
            <w:hideMark/>
          </w:tcPr>
          <w:p w14:paraId="0584AC5F"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11</w:t>
            </w:r>
          </w:p>
        </w:tc>
        <w:tc>
          <w:tcPr>
            <w:tcW w:w="0" w:type="auto"/>
            <w:hideMark/>
          </w:tcPr>
          <w:p w14:paraId="4DD57235"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25</w:t>
            </w:r>
          </w:p>
        </w:tc>
      </w:tr>
      <w:tr w:rsidR="00DE47AC" w:rsidRPr="006956C9" w14:paraId="52AC93EC" w14:textId="77777777" w:rsidTr="00D95C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2990BA"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Year 5 cash inflow</w:t>
            </w:r>
          </w:p>
        </w:tc>
        <w:tc>
          <w:tcPr>
            <w:tcW w:w="0" w:type="auto"/>
            <w:hideMark/>
          </w:tcPr>
          <w:p w14:paraId="37A21B9E"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8</w:t>
            </w:r>
          </w:p>
        </w:tc>
        <w:tc>
          <w:tcPr>
            <w:tcW w:w="0" w:type="auto"/>
            <w:hideMark/>
          </w:tcPr>
          <w:p w14:paraId="610A5363"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11</w:t>
            </w:r>
          </w:p>
        </w:tc>
        <w:tc>
          <w:tcPr>
            <w:tcW w:w="0" w:type="auto"/>
            <w:hideMark/>
          </w:tcPr>
          <w:p w14:paraId="642DF8BF"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5</w:t>
            </w:r>
          </w:p>
        </w:tc>
      </w:tr>
      <w:tr w:rsidR="00DE47AC" w:rsidRPr="006956C9" w14:paraId="3F926855" w14:textId="77777777" w:rsidTr="00D95C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B3AB16"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Total cash inflows</w:t>
            </w:r>
          </w:p>
        </w:tc>
        <w:tc>
          <w:tcPr>
            <w:tcW w:w="0" w:type="auto"/>
            <w:hideMark/>
          </w:tcPr>
          <w:p w14:paraId="24B7497B"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54</w:t>
            </w:r>
          </w:p>
        </w:tc>
        <w:tc>
          <w:tcPr>
            <w:tcW w:w="0" w:type="auto"/>
            <w:hideMark/>
          </w:tcPr>
          <w:p w14:paraId="268AA909"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55</w:t>
            </w:r>
          </w:p>
        </w:tc>
        <w:tc>
          <w:tcPr>
            <w:tcW w:w="0" w:type="auto"/>
            <w:hideMark/>
          </w:tcPr>
          <w:p w14:paraId="30837E56"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65</w:t>
            </w:r>
          </w:p>
        </w:tc>
      </w:tr>
    </w:tbl>
    <w:p w14:paraId="77555A9F" w14:textId="003E3564" w:rsidR="00DE47AC" w:rsidRPr="006956C9" w:rsidRDefault="00DE47AC" w:rsidP="006956C9">
      <w:pPr>
        <w:rPr>
          <w:rFonts w:ascii="Arial" w:hAnsi="Arial" w:cs="Arial"/>
          <w:lang w:val="en-IN"/>
        </w:rPr>
      </w:pPr>
      <w:r w:rsidRPr="006956C9">
        <w:rPr>
          <w:rFonts w:ascii="Arial" w:hAnsi="Arial" w:cs="Arial"/>
          <w:lang w:val="en-IN"/>
        </w:rPr>
        <w:t>The projects have different cash-flow profiles. Project A generates relatively stronger cash inflows during the first three years, Project B provides a stable £11 million every year, while Project C has relatively weak initial cash flows but produces substantial inflows in Years 3 and 4. Therefore, relying on only one investment criterion could result in an incomplete decision. A combined evaluation is more appropriate.</w:t>
      </w:r>
    </w:p>
    <w:p w14:paraId="20826F1D" w14:textId="77777777" w:rsidR="00DE47AC" w:rsidRPr="006956C9" w:rsidRDefault="00DE47AC" w:rsidP="006956C9">
      <w:pPr>
        <w:pStyle w:val="Heading2"/>
        <w:rPr>
          <w:rFonts w:ascii="Arial" w:hAnsi="Arial" w:cs="Arial"/>
        </w:rPr>
      </w:pPr>
      <w:bookmarkStart w:id="34" w:name="_Toc237412886"/>
      <w:r w:rsidRPr="006956C9">
        <w:rPr>
          <w:rFonts w:ascii="Arial" w:hAnsi="Arial" w:cs="Arial"/>
        </w:rPr>
        <w:lastRenderedPageBreak/>
        <w:t>5.2 Payback Period (PBP)</w:t>
      </w:r>
      <w:bookmarkEnd w:id="34"/>
    </w:p>
    <w:p w14:paraId="1DA1ADE6" w14:textId="39A05F45" w:rsidR="00DE47AC" w:rsidRPr="006956C9" w:rsidRDefault="00DE47AC" w:rsidP="006956C9">
      <w:pPr>
        <w:rPr>
          <w:rFonts w:ascii="Arial" w:hAnsi="Arial" w:cs="Arial"/>
          <w:lang w:val="en-IN"/>
        </w:rPr>
      </w:pPr>
      <w:r w:rsidRPr="006956C9">
        <w:rPr>
          <w:rFonts w:ascii="Arial" w:hAnsi="Arial" w:cs="Arial"/>
          <w:lang w:val="en-IN"/>
        </w:rPr>
        <w:t xml:space="preserve">The </w:t>
      </w:r>
      <w:r w:rsidRPr="006956C9">
        <w:rPr>
          <w:rFonts w:ascii="Arial" w:hAnsi="Arial" w:cs="Arial"/>
          <w:b/>
          <w:bCs/>
          <w:lang w:val="en-IN"/>
        </w:rPr>
        <w:t>Payback Period</w:t>
      </w:r>
      <w:r w:rsidRPr="006956C9">
        <w:rPr>
          <w:rFonts w:ascii="Arial" w:hAnsi="Arial" w:cs="Arial"/>
          <w:lang w:val="en-IN"/>
        </w:rPr>
        <w:t xml:space="preserve"> measures how quickly the initial investment is recovered from project cash inflows. A shorter payback period is generally preferable because it reduces the period during which the investment remains exposed to uncertainty.</w:t>
      </w:r>
      <w:r w:rsidR="006A211D" w:rsidRPr="006956C9">
        <w:rPr>
          <w:rFonts w:ascii="Arial" w:hAnsi="Arial" w:cs="Arial"/>
          <w:lang w:val="en-IN"/>
        </w:rPr>
        <w:t xml:space="preserve"> </w:t>
      </w:r>
      <w:r w:rsidRPr="006956C9">
        <w:rPr>
          <w:rFonts w:ascii="Arial" w:hAnsi="Arial" w:cs="Arial"/>
          <w:lang w:val="en-IN"/>
        </w:rPr>
        <w:t>For Project A, cumulative cash inflows reach £46 million after Year 4. The remaining £4 million is recovered from the £8 million Year 5 cash flow:</w:t>
      </w:r>
    </w:p>
    <w:p w14:paraId="5E99175C" w14:textId="77777777" w:rsidR="00DE47AC" w:rsidRPr="006956C9" w:rsidRDefault="00DE47AC" w:rsidP="006956C9">
      <w:pPr>
        <w:rPr>
          <w:rFonts w:ascii="Arial" w:hAnsi="Arial" w:cs="Arial"/>
          <w:lang w:val="en-IN"/>
        </w:rPr>
      </w:pPr>
      <w:r w:rsidRPr="006956C9">
        <w:rPr>
          <w:rFonts w:ascii="Arial" w:hAnsi="Arial" w:cs="Arial"/>
          <w:b/>
          <w:bCs/>
          <w:lang w:val="en-IN"/>
        </w:rPr>
        <w:t>PBP A = 4 + (£50m − £46m) / £8m = 4.50 years</w:t>
      </w:r>
    </w:p>
    <w:p w14:paraId="32221737" w14:textId="77777777" w:rsidR="00DE47AC" w:rsidRPr="006956C9" w:rsidRDefault="00DE47AC" w:rsidP="006956C9">
      <w:pPr>
        <w:rPr>
          <w:rFonts w:ascii="Arial" w:hAnsi="Arial" w:cs="Arial"/>
          <w:lang w:val="en-IN"/>
        </w:rPr>
      </w:pPr>
      <w:r w:rsidRPr="006956C9">
        <w:rPr>
          <w:rFonts w:ascii="Arial" w:hAnsi="Arial" w:cs="Arial"/>
          <w:lang w:val="en-IN"/>
        </w:rPr>
        <w:t>Project B generates £44 million after four years. The remaining £6 million is recovered from the £11 million Year 5 cash flow:</w:t>
      </w:r>
    </w:p>
    <w:p w14:paraId="60E156F2" w14:textId="77777777" w:rsidR="00DE47AC" w:rsidRPr="006956C9" w:rsidRDefault="00DE47AC" w:rsidP="006956C9">
      <w:pPr>
        <w:rPr>
          <w:rFonts w:ascii="Arial" w:hAnsi="Arial" w:cs="Arial"/>
          <w:lang w:val="en-IN"/>
        </w:rPr>
      </w:pPr>
      <w:r w:rsidRPr="006956C9">
        <w:rPr>
          <w:rFonts w:ascii="Arial" w:hAnsi="Arial" w:cs="Arial"/>
          <w:b/>
          <w:bCs/>
          <w:lang w:val="en-IN"/>
        </w:rPr>
        <w:t>PBP B = 4 + (£50m − £44m) / £11m = 4.55 years</w:t>
      </w:r>
    </w:p>
    <w:p w14:paraId="3FD16412" w14:textId="77777777" w:rsidR="00DE47AC" w:rsidRPr="006956C9" w:rsidRDefault="00DE47AC" w:rsidP="006956C9">
      <w:pPr>
        <w:rPr>
          <w:rFonts w:ascii="Arial" w:hAnsi="Arial" w:cs="Arial"/>
          <w:lang w:val="en-IN"/>
        </w:rPr>
      </w:pPr>
      <w:r w:rsidRPr="006956C9">
        <w:rPr>
          <w:rFonts w:ascii="Arial" w:hAnsi="Arial" w:cs="Arial"/>
          <w:lang w:val="en-IN"/>
        </w:rPr>
        <w:t>Project C generates £35 million after three years. The remaining £15 million is recovered from the £25 million Year 4 cash flow:</w:t>
      </w:r>
    </w:p>
    <w:p w14:paraId="5EF8DE6E" w14:textId="77777777" w:rsidR="00DE47AC" w:rsidRPr="006956C9" w:rsidRDefault="00DE47AC" w:rsidP="006956C9">
      <w:pPr>
        <w:rPr>
          <w:rFonts w:ascii="Arial" w:hAnsi="Arial" w:cs="Arial"/>
          <w:lang w:val="en-IN"/>
        </w:rPr>
      </w:pPr>
      <w:r w:rsidRPr="006956C9">
        <w:rPr>
          <w:rFonts w:ascii="Arial" w:hAnsi="Arial" w:cs="Arial"/>
          <w:b/>
          <w:bCs/>
          <w:lang w:val="en-IN"/>
        </w:rPr>
        <w:t>PBP C = 3 + (£50m − £35m) / £25m = 3.60 years</w:t>
      </w:r>
    </w:p>
    <w:p w14:paraId="35ED69AF" w14:textId="0CC35F40" w:rsidR="00C66D0D" w:rsidRPr="006956C9" w:rsidRDefault="00C66D0D" w:rsidP="006956C9">
      <w:pPr>
        <w:pStyle w:val="Caption"/>
        <w:keepNext/>
        <w:spacing w:line="360" w:lineRule="auto"/>
        <w:jc w:val="center"/>
        <w:rPr>
          <w:rFonts w:ascii="Arial" w:hAnsi="Arial" w:cs="Arial"/>
          <w:color w:val="auto"/>
          <w:sz w:val="24"/>
          <w:szCs w:val="24"/>
        </w:rPr>
      </w:pPr>
      <w:bookmarkStart w:id="35" w:name="_Toc237412686"/>
      <w:r w:rsidRPr="006956C9">
        <w:rPr>
          <w:rFonts w:ascii="Arial" w:hAnsi="Arial" w:cs="Arial"/>
          <w:color w:val="auto"/>
          <w:sz w:val="24"/>
          <w:szCs w:val="24"/>
        </w:rPr>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004443FB" w:rsidRPr="006956C9">
        <w:rPr>
          <w:rFonts w:ascii="Arial" w:hAnsi="Arial" w:cs="Arial"/>
          <w:noProof/>
          <w:color w:val="auto"/>
          <w:sz w:val="24"/>
          <w:szCs w:val="24"/>
        </w:rPr>
        <w:t>5</w:t>
      </w:r>
      <w:r w:rsidRPr="006956C9">
        <w:rPr>
          <w:rFonts w:ascii="Arial" w:hAnsi="Arial" w:cs="Arial"/>
          <w:color w:val="auto"/>
          <w:sz w:val="24"/>
          <w:szCs w:val="24"/>
        </w:rPr>
        <w:fldChar w:fldCharType="end"/>
      </w:r>
      <w:r w:rsidRPr="006956C9">
        <w:rPr>
          <w:rFonts w:ascii="Arial" w:hAnsi="Arial" w:cs="Arial"/>
          <w:color w:val="auto"/>
          <w:sz w:val="24"/>
          <w:szCs w:val="24"/>
        </w:rPr>
        <w:t>: Payback Period</w:t>
      </w:r>
      <w:bookmarkEnd w:id="35"/>
    </w:p>
    <w:tbl>
      <w:tblPr>
        <w:tblStyle w:val="ListTable3-Accent4"/>
        <w:tblW w:w="0" w:type="auto"/>
        <w:jc w:val="center"/>
        <w:tblLook w:val="04A0" w:firstRow="1" w:lastRow="0" w:firstColumn="1" w:lastColumn="0" w:noHBand="0" w:noVBand="1"/>
      </w:tblPr>
      <w:tblGrid>
        <w:gridCol w:w="1270"/>
        <w:gridCol w:w="2004"/>
        <w:gridCol w:w="1163"/>
      </w:tblGrid>
      <w:tr w:rsidR="00DE47AC" w:rsidRPr="006956C9" w14:paraId="57161F3D" w14:textId="77777777" w:rsidTr="00C66D0D">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3F1C94E1"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w:t>
            </w:r>
          </w:p>
        </w:tc>
        <w:tc>
          <w:tcPr>
            <w:tcW w:w="0" w:type="auto"/>
            <w:hideMark/>
          </w:tcPr>
          <w:p w14:paraId="46884039"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Payback Period</w:t>
            </w:r>
          </w:p>
        </w:tc>
        <w:tc>
          <w:tcPr>
            <w:tcW w:w="0" w:type="auto"/>
            <w:hideMark/>
          </w:tcPr>
          <w:p w14:paraId="7414A54B"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Ranking</w:t>
            </w:r>
          </w:p>
        </w:tc>
      </w:tr>
      <w:tr w:rsidR="00DE47AC" w:rsidRPr="006956C9" w14:paraId="3475B7AE" w14:textId="77777777" w:rsidTr="00C66D0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B93DB5"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C</w:t>
            </w:r>
          </w:p>
        </w:tc>
        <w:tc>
          <w:tcPr>
            <w:tcW w:w="0" w:type="auto"/>
            <w:hideMark/>
          </w:tcPr>
          <w:p w14:paraId="0B80F45E"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3.60 years</w:t>
            </w:r>
          </w:p>
        </w:tc>
        <w:tc>
          <w:tcPr>
            <w:tcW w:w="0" w:type="auto"/>
            <w:hideMark/>
          </w:tcPr>
          <w:p w14:paraId="6D2B62AF"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1st</w:t>
            </w:r>
          </w:p>
        </w:tc>
      </w:tr>
      <w:tr w:rsidR="00DE47AC" w:rsidRPr="006956C9" w14:paraId="2B7FC9CA" w14:textId="77777777" w:rsidTr="00C66D0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145B77"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A</w:t>
            </w:r>
          </w:p>
        </w:tc>
        <w:tc>
          <w:tcPr>
            <w:tcW w:w="0" w:type="auto"/>
            <w:hideMark/>
          </w:tcPr>
          <w:p w14:paraId="5F05A21F"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4.50 years</w:t>
            </w:r>
          </w:p>
        </w:tc>
        <w:tc>
          <w:tcPr>
            <w:tcW w:w="0" w:type="auto"/>
            <w:hideMark/>
          </w:tcPr>
          <w:p w14:paraId="76295A72"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2nd</w:t>
            </w:r>
          </w:p>
        </w:tc>
      </w:tr>
      <w:tr w:rsidR="00DE47AC" w:rsidRPr="006956C9" w14:paraId="5FEF3E64" w14:textId="77777777" w:rsidTr="00C66D0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6D2651"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B</w:t>
            </w:r>
          </w:p>
        </w:tc>
        <w:tc>
          <w:tcPr>
            <w:tcW w:w="0" w:type="auto"/>
            <w:hideMark/>
          </w:tcPr>
          <w:p w14:paraId="5663ECC2"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4.55 years</w:t>
            </w:r>
          </w:p>
        </w:tc>
        <w:tc>
          <w:tcPr>
            <w:tcW w:w="0" w:type="auto"/>
            <w:hideMark/>
          </w:tcPr>
          <w:p w14:paraId="527EA791"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3rd</w:t>
            </w:r>
          </w:p>
        </w:tc>
      </w:tr>
    </w:tbl>
    <w:p w14:paraId="4BEDAB27" w14:textId="2B0C4817" w:rsidR="00DE47AC" w:rsidRPr="006956C9" w:rsidRDefault="00DE47AC" w:rsidP="006956C9">
      <w:pPr>
        <w:rPr>
          <w:rFonts w:ascii="Arial" w:hAnsi="Arial" w:cs="Arial"/>
          <w:lang w:val="en-IN"/>
        </w:rPr>
      </w:pPr>
      <w:r w:rsidRPr="006956C9">
        <w:rPr>
          <w:rFonts w:ascii="Arial" w:hAnsi="Arial" w:cs="Arial"/>
          <w:lang w:val="en-IN"/>
        </w:rPr>
        <w:t>Project C therefore performs best on payback because the initial investment is recovered approximately 0.9 years earlier than Project A and 0.95 years earlier than Project B. This is attractive from a liquidity and risk perspective. However, PBP ignores cash flows after the payback point and does not consider the time value of money. Therefore, it should not be used as the sole basis for Marriott's investment decision.</w:t>
      </w:r>
    </w:p>
    <w:p w14:paraId="77CBE649" w14:textId="77777777" w:rsidR="00DE47AC" w:rsidRPr="006956C9" w:rsidRDefault="00DE47AC" w:rsidP="006956C9">
      <w:pPr>
        <w:pStyle w:val="Heading2"/>
        <w:rPr>
          <w:rFonts w:ascii="Arial" w:hAnsi="Arial" w:cs="Arial"/>
        </w:rPr>
      </w:pPr>
      <w:bookmarkStart w:id="36" w:name="_Toc237412887"/>
      <w:r w:rsidRPr="006956C9">
        <w:rPr>
          <w:rFonts w:ascii="Arial" w:hAnsi="Arial" w:cs="Arial"/>
        </w:rPr>
        <w:t>5.3 Accounting Rate of Return (ARR)</w:t>
      </w:r>
      <w:bookmarkEnd w:id="36"/>
    </w:p>
    <w:p w14:paraId="644E66AB" w14:textId="77777777" w:rsidR="00DE47AC" w:rsidRPr="006956C9" w:rsidRDefault="00DE47AC" w:rsidP="006956C9">
      <w:pPr>
        <w:rPr>
          <w:rFonts w:ascii="Arial" w:hAnsi="Arial" w:cs="Arial"/>
          <w:lang w:val="en-IN"/>
        </w:rPr>
      </w:pPr>
      <w:r w:rsidRPr="006956C9">
        <w:rPr>
          <w:rFonts w:ascii="Arial" w:hAnsi="Arial" w:cs="Arial"/>
          <w:lang w:val="en-IN"/>
        </w:rPr>
        <w:t>ARR evaluates the project's average annual accounting profit relative to its initial investment. Because the assessment specifies straight-line depreciation to zero, annual depreciation is:</w:t>
      </w:r>
    </w:p>
    <w:p w14:paraId="2EC59A8B" w14:textId="77777777" w:rsidR="00DE47AC" w:rsidRPr="006956C9" w:rsidRDefault="00DE47AC" w:rsidP="006956C9">
      <w:pPr>
        <w:rPr>
          <w:rFonts w:ascii="Arial" w:hAnsi="Arial" w:cs="Arial"/>
          <w:lang w:val="en-IN"/>
        </w:rPr>
      </w:pPr>
      <w:r w:rsidRPr="006956C9">
        <w:rPr>
          <w:rFonts w:ascii="Arial" w:hAnsi="Arial" w:cs="Arial"/>
          <w:b/>
          <w:bCs/>
          <w:lang w:val="en-IN"/>
        </w:rPr>
        <w:t>£50m ÷ 5 years = £10m per year.</w:t>
      </w:r>
    </w:p>
    <w:p w14:paraId="6DC699F7" w14:textId="77777777" w:rsidR="00DE47AC" w:rsidRPr="006956C9" w:rsidRDefault="00DE47AC" w:rsidP="006956C9">
      <w:pPr>
        <w:rPr>
          <w:rFonts w:ascii="Arial" w:hAnsi="Arial" w:cs="Arial"/>
          <w:lang w:val="en-IN"/>
        </w:rPr>
      </w:pPr>
      <w:r w:rsidRPr="006956C9">
        <w:rPr>
          <w:rFonts w:ascii="Arial" w:hAnsi="Arial" w:cs="Arial"/>
          <w:lang w:val="en-IN"/>
        </w:rPr>
        <w:lastRenderedPageBreak/>
        <w:t>Average annual accounting profit is therefore calculated by subtracting £10 million depreciation from average annual cash inflows.</w:t>
      </w:r>
    </w:p>
    <w:p w14:paraId="770D7FE7" w14:textId="77777777" w:rsidR="00DE47AC" w:rsidRPr="006956C9" w:rsidRDefault="00DE47AC" w:rsidP="006956C9">
      <w:pPr>
        <w:rPr>
          <w:rFonts w:ascii="Arial" w:hAnsi="Arial" w:cs="Arial"/>
          <w:b/>
          <w:bCs/>
          <w:lang w:val="en-IN"/>
        </w:rPr>
      </w:pPr>
      <w:r w:rsidRPr="006956C9">
        <w:rPr>
          <w:rFonts w:ascii="Arial" w:hAnsi="Arial" w:cs="Arial"/>
          <w:b/>
          <w:bCs/>
          <w:lang w:val="en-IN"/>
        </w:rPr>
        <w:t>Project A</w:t>
      </w:r>
    </w:p>
    <w:p w14:paraId="5BF0C5C4" w14:textId="77777777" w:rsidR="00DE47AC" w:rsidRPr="006956C9" w:rsidRDefault="00DE47AC" w:rsidP="006956C9">
      <w:pPr>
        <w:rPr>
          <w:rFonts w:ascii="Arial" w:hAnsi="Arial" w:cs="Arial"/>
          <w:lang w:val="en-IN"/>
        </w:rPr>
      </w:pPr>
      <w:r w:rsidRPr="006956C9">
        <w:rPr>
          <w:rFonts w:ascii="Arial" w:hAnsi="Arial" w:cs="Arial"/>
          <w:lang w:val="en-IN"/>
        </w:rPr>
        <w:t xml:space="preserve">Average cash inflow = £54m ÷ 5 = </w:t>
      </w:r>
      <w:r w:rsidRPr="006956C9">
        <w:rPr>
          <w:rFonts w:ascii="Arial" w:hAnsi="Arial" w:cs="Arial"/>
          <w:b/>
          <w:bCs/>
          <w:lang w:val="en-IN"/>
        </w:rPr>
        <w:t>£10.8m</w:t>
      </w:r>
    </w:p>
    <w:p w14:paraId="3EDFCBFE" w14:textId="77777777" w:rsidR="00DE47AC" w:rsidRPr="006956C9" w:rsidRDefault="00DE47AC" w:rsidP="006956C9">
      <w:pPr>
        <w:rPr>
          <w:rFonts w:ascii="Arial" w:hAnsi="Arial" w:cs="Arial"/>
          <w:lang w:val="en-IN"/>
        </w:rPr>
      </w:pPr>
      <w:r w:rsidRPr="006956C9">
        <w:rPr>
          <w:rFonts w:ascii="Arial" w:hAnsi="Arial" w:cs="Arial"/>
          <w:lang w:val="en-IN"/>
        </w:rPr>
        <w:t xml:space="preserve">Average accounting profit = £10.8m − £10m = </w:t>
      </w:r>
      <w:r w:rsidRPr="006956C9">
        <w:rPr>
          <w:rFonts w:ascii="Arial" w:hAnsi="Arial" w:cs="Arial"/>
          <w:b/>
          <w:bCs/>
          <w:lang w:val="en-IN"/>
        </w:rPr>
        <w:t>£0.8m</w:t>
      </w:r>
    </w:p>
    <w:p w14:paraId="2AA1964F" w14:textId="77777777" w:rsidR="00DE47AC" w:rsidRPr="006956C9" w:rsidRDefault="00DE47AC" w:rsidP="006956C9">
      <w:pPr>
        <w:rPr>
          <w:rFonts w:ascii="Arial" w:hAnsi="Arial" w:cs="Arial"/>
          <w:lang w:val="en-IN"/>
        </w:rPr>
      </w:pPr>
      <w:r w:rsidRPr="006956C9">
        <w:rPr>
          <w:rFonts w:ascii="Arial" w:hAnsi="Arial" w:cs="Arial"/>
          <w:lang w:val="en-IN"/>
        </w:rPr>
        <w:t xml:space="preserve">ARR = (£0.8m ÷ £50m) × 100 = </w:t>
      </w:r>
      <w:r w:rsidRPr="006956C9">
        <w:rPr>
          <w:rFonts w:ascii="Arial" w:hAnsi="Arial" w:cs="Arial"/>
          <w:b/>
          <w:bCs/>
          <w:lang w:val="en-IN"/>
        </w:rPr>
        <w:t>1.60%</w:t>
      </w:r>
    </w:p>
    <w:p w14:paraId="14100FAC" w14:textId="77777777" w:rsidR="00DE47AC" w:rsidRPr="006956C9" w:rsidRDefault="00DE47AC" w:rsidP="006956C9">
      <w:pPr>
        <w:rPr>
          <w:rFonts w:ascii="Arial" w:hAnsi="Arial" w:cs="Arial"/>
          <w:b/>
          <w:bCs/>
          <w:lang w:val="en-IN"/>
        </w:rPr>
      </w:pPr>
      <w:r w:rsidRPr="006956C9">
        <w:rPr>
          <w:rFonts w:ascii="Arial" w:hAnsi="Arial" w:cs="Arial"/>
          <w:b/>
          <w:bCs/>
          <w:lang w:val="en-IN"/>
        </w:rPr>
        <w:t>Project B</w:t>
      </w:r>
    </w:p>
    <w:p w14:paraId="4735EB16" w14:textId="77777777" w:rsidR="00DE47AC" w:rsidRPr="006956C9" w:rsidRDefault="00DE47AC" w:rsidP="006956C9">
      <w:pPr>
        <w:rPr>
          <w:rFonts w:ascii="Arial" w:hAnsi="Arial" w:cs="Arial"/>
          <w:lang w:val="en-IN"/>
        </w:rPr>
      </w:pPr>
      <w:r w:rsidRPr="006956C9">
        <w:rPr>
          <w:rFonts w:ascii="Arial" w:hAnsi="Arial" w:cs="Arial"/>
          <w:lang w:val="en-IN"/>
        </w:rPr>
        <w:t xml:space="preserve">Average cash inflow = £55m ÷ 5 = </w:t>
      </w:r>
      <w:r w:rsidRPr="006956C9">
        <w:rPr>
          <w:rFonts w:ascii="Arial" w:hAnsi="Arial" w:cs="Arial"/>
          <w:b/>
          <w:bCs/>
          <w:lang w:val="en-IN"/>
        </w:rPr>
        <w:t>£11m</w:t>
      </w:r>
    </w:p>
    <w:p w14:paraId="7A888E45" w14:textId="77777777" w:rsidR="00DE47AC" w:rsidRPr="006956C9" w:rsidRDefault="00DE47AC" w:rsidP="006956C9">
      <w:pPr>
        <w:rPr>
          <w:rFonts w:ascii="Arial" w:hAnsi="Arial" w:cs="Arial"/>
          <w:lang w:val="en-IN"/>
        </w:rPr>
      </w:pPr>
      <w:r w:rsidRPr="006956C9">
        <w:rPr>
          <w:rFonts w:ascii="Arial" w:hAnsi="Arial" w:cs="Arial"/>
          <w:lang w:val="en-IN"/>
        </w:rPr>
        <w:t xml:space="preserve">Average accounting profit = £11m − £10m = </w:t>
      </w:r>
      <w:r w:rsidRPr="006956C9">
        <w:rPr>
          <w:rFonts w:ascii="Arial" w:hAnsi="Arial" w:cs="Arial"/>
          <w:b/>
          <w:bCs/>
          <w:lang w:val="en-IN"/>
        </w:rPr>
        <w:t>£1m</w:t>
      </w:r>
    </w:p>
    <w:p w14:paraId="63C6E0C1" w14:textId="77777777" w:rsidR="00DE47AC" w:rsidRPr="006956C9" w:rsidRDefault="00DE47AC" w:rsidP="006956C9">
      <w:pPr>
        <w:rPr>
          <w:rFonts w:ascii="Arial" w:hAnsi="Arial" w:cs="Arial"/>
          <w:lang w:val="en-IN"/>
        </w:rPr>
      </w:pPr>
      <w:r w:rsidRPr="006956C9">
        <w:rPr>
          <w:rFonts w:ascii="Arial" w:hAnsi="Arial" w:cs="Arial"/>
          <w:lang w:val="en-IN"/>
        </w:rPr>
        <w:t xml:space="preserve">ARR = (£1m ÷ £50m) × 100 = </w:t>
      </w:r>
      <w:r w:rsidRPr="006956C9">
        <w:rPr>
          <w:rFonts w:ascii="Arial" w:hAnsi="Arial" w:cs="Arial"/>
          <w:b/>
          <w:bCs/>
          <w:lang w:val="en-IN"/>
        </w:rPr>
        <w:t>2.00%</w:t>
      </w:r>
    </w:p>
    <w:p w14:paraId="5FA93756" w14:textId="77777777" w:rsidR="00DE47AC" w:rsidRPr="006956C9" w:rsidRDefault="00DE47AC" w:rsidP="006956C9">
      <w:pPr>
        <w:rPr>
          <w:rFonts w:ascii="Arial" w:hAnsi="Arial" w:cs="Arial"/>
          <w:b/>
          <w:bCs/>
          <w:lang w:val="en-IN"/>
        </w:rPr>
      </w:pPr>
      <w:r w:rsidRPr="006956C9">
        <w:rPr>
          <w:rFonts w:ascii="Arial" w:hAnsi="Arial" w:cs="Arial"/>
          <w:b/>
          <w:bCs/>
          <w:lang w:val="en-IN"/>
        </w:rPr>
        <w:t>Project C</w:t>
      </w:r>
    </w:p>
    <w:p w14:paraId="79BCB54E" w14:textId="77777777" w:rsidR="00DE47AC" w:rsidRPr="006956C9" w:rsidRDefault="00DE47AC" w:rsidP="006956C9">
      <w:pPr>
        <w:rPr>
          <w:rFonts w:ascii="Arial" w:hAnsi="Arial" w:cs="Arial"/>
          <w:lang w:val="en-IN"/>
        </w:rPr>
      </w:pPr>
      <w:r w:rsidRPr="006956C9">
        <w:rPr>
          <w:rFonts w:ascii="Arial" w:hAnsi="Arial" w:cs="Arial"/>
          <w:lang w:val="en-IN"/>
        </w:rPr>
        <w:t xml:space="preserve">Average cash inflow = £65m ÷ 5 = </w:t>
      </w:r>
      <w:r w:rsidRPr="006956C9">
        <w:rPr>
          <w:rFonts w:ascii="Arial" w:hAnsi="Arial" w:cs="Arial"/>
          <w:b/>
          <w:bCs/>
          <w:lang w:val="en-IN"/>
        </w:rPr>
        <w:t>£13m</w:t>
      </w:r>
    </w:p>
    <w:p w14:paraId="57847416" w14:textId="77777777" w:rsidR="00DE47AC" w:rsidRPr="006956C9" w:rsidRDefault="00DE47AC" w:rsidP="006956C9">
      <w:pPr>
        <w:rPr>
          <w:rFonts w:ascii="Arial" w:hAnsi="Arial" w:cs="Arial"/>
          <w:lang w:val="en-IN"/>
        </w:rPr>
      </w:pPr>
      <w:r w:rsidRPr="006956C9">
        <w:rPr>
          <w:rFonts w:ascii="Arial" w:hAnsi="Arial" w:cs="Arial"/>
          <w:lang w:val="en-IN"/>
        </w:rPr>
        <w:t xml:space="preserve">Average accounting profit = £13m − £10m = </w:t>
      </w:r>
      <w:r w:rsidRPr="006956C9">
        <w:rPr>
          <w:rFonts w:ascii="Arial" w:hAnsi="Arial" w:cs="Arial"/>
          <w:b/>
          <w:bCs/>
          <w:lang w:val="en-IN"/>
        </w:rPr>
        <w:t>£3m</w:t>
      </w:r>
    </w:p>
    <w:p w14:paraId="0F66487C" w14:textId="77777777" w:rsidR="00DE47AC" w:rsidRPr="006956C9" w:rsidRDefault="00DE47AC" w:rsidP="006956C9">
      <w:pPr>
        <w:rPr>
          <w:rFonts w:ascii="Arial" w:hAnsi="Arial" w:cs="Arial"/>
          <w:lang w:val="en-IN"/>
        </w:rPr>
      </w:pPr>
      <w:r w:rsidRPr="006956C9">
        <w:rPr>
          <w:rFonts w:ascii="Arial" w:hAnsi="Arial" w:cs="Arial"/>
          <w:lang w:val="en-IN"/>
        </w:rPr>
        <w:t xml:space="preserve">ARR = (£3m ÷ £50m) × 100 = </w:t>
      </w:r>
      <w:r w:rsidRPr="006956C9">
        <w:rPr>
          <w:rFonts w:ascii="Arial" w:hAnsi="Arial" w:cs="Arial"/>
          <w:b/>
          <w:bCs/>
          <w:lang w:val="en-IN"/>
        </w:rPr>
        <w:t>6.00%</w:t>
      </w:r>
    </w:p>
    <w:p w14:paraId="494129B8" w14:textId="372C1AD5" w:rsidR="002057EB" w:rsidRPr="006956C9" w:rsidRDefault="002057EB" w:rsidP="006956C9">
      <w:pPr>
        <w:pStyle w:val="Caption"/>
        <w:keepNext/>
        <w:spacing w:line="360" w:lineRule="auto"/>
        <w:jc w:val="center"/>
        <w:rPr>
          <w:rFonts w:ascii="Arial" w:hAnsi="Arial" w:cs="Arial"/>
          <w:color w:val="auto"/>
          <w:sz w:val="24"/>
          <w:szCs w:val="24"/>
        </w:rPr>
      </w:pPr>
      <w:bookmarkStart w:id="37" w:name="_Toc237412687"/>
      <w:r w:rsidRPr="006956C9">
        <w:rPr>
          <w:rFonts w:ascii="Arial" w:hAnsi="Arial" w:cs="Arial"/>
          <w:color w:val="auto"/>
          <w:sz w:val="24"/>
          <w:szCs w:val="24"/>
        </w:rPr>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004443FB" w:rsidRPr="006956C9">
        <w:rPr>
          <w:rFonts w:ascii="Arial" w:hAnsi="Arial" w:cs="Arial"/>
          <w:noProof/>
          <w:color w:val="auto"/>
          <w:sz w:val="24"/>
          <w:szCs w:val="24"/>
        </w:rPr>
        <w:t>6</w:t>
      </w:r>
      <w:r w:rsidRPr="006956C9">
        <w:rPr>
          <w:rFonts w:ascii="Arial" w:hAnsi="Arial" w:cs="Arial"/>
          <w:color w:val="auto"/>
          <w:sz w:val="24"/>
          <w:szCs w:val="24"/>
        </w:rPr>
        <w:fldChar w:fldCharType="end"/>
      </w:r>
      <w:r w:rsidRPr="006956C9">
        <w:rPr>
          <w:rFonts w:ascii="Arial" w:hAnsi="Arial" w:cs="Arial"/>
          <w:color w:val="auto"/>
          <w:sz w:val="24"/>
          <w:szCs w:val="24"/>
        </w:rPr>
        <w:t>: ARR Comparison</w:t>
      </w:r>
      <w:bookmarkEnd w:id="37"/>
    </w:p>
    <w:tbl>
      <w:tblPr>
        <w:tblStyle w:val="ListTable3-Accent4"/>
        <w:tblW w:w="0" w:type="auto"/>
        <w:jc w:val="center"/>
        <w:tblLook w:val="04A0" w:firstRow="1" w:lastRow="0" w:firstColumn="1" w:lastColumn="0" w:noHBand="0" w:noVBand="1"/>
      </w:tblPr>
      <w:tblGrid>
        <w:gridCol w:w="1270"/>
        <w:gridCol w:w="3310"/>
        <w:gridCol w:w="897"/>
      </w:tblGrid>
      <w:tr w:rsidR="00DE47AC" w:rsidRPr="006956C9" w14:paraId="69E1C69F" w14:textId="77777777" w:rsidTr="002057EB">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6F9E5414"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w:t>
            </w:r>
          </w:p>
        </w:tc>
        <w:tc>
          <w:tcPr>
            <w:tcW w:w="0" w:type="auto"/>
            <w:hideMark/>
          </w:tcPr>
          <w:p w14:paraId="280C711D"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Average Annual Profit (£m)</w:t>
            </w:r>
          </w:p>
        </w:tc>
        <w:tc>
          <w:tcPr>
            <w:tcW w:w="0" w:type="auto"/>
            <w:hideMark/>
          </w:tcPr>
          <w:p w14:paraId="005C241B"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ARR</w:t>
            </w:r>
          </w:p>
        </w:tc>
      </w:tr>
      <w:tr w:rsidR="00DE47AC" w:rsidRPr="006956C9" w14:paraId="27F56A05" w14:textId="77777777" w:rsidTr="002057E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8D9F0D"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A</w:t>
            </w:r>
          </w:p>
        </w:tc>
        <w:tc>
          <w:tcPr>
            <w:tcW w:w="0" w:type="auto"/>
            <w:hideMark/>
          </w:tcPr>
          <w:p w14:paraId="751B7D0D"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0.8</w:t>
            </w:r>
          </w:p>
        </w:tc>
        <w:tc>
          <w:tcPr>
            <w:tcW w:w="0" w:type="auto"/>
            <w:hideMark/>
          </w:tcPr>
          <w:p w14:paraId="3A9958EE"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1.60%</w:t>
            </w:r>
          </w:p>
        </w:tc>
      </w:tr>
      <w:tr w:rsidR="00DE47AC" w:rsidRPr="006956C9" w14:paraId="1B947E87" w14:textId="77777777" w:rsidTr="002057E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F10734"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B</w:t>
            </w:r>
          </w:p>
        </w:tc>
        <w:tc>
          <w:tcPr>
            <w:tcW w:w="0" w:type="auto"/>
            <w:hideMark/>
          </w:tcPr>
          <w:p w14:paraId="15AE1103"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1.0</w:t>
            </w:r>
          </w:p>
        </w:tc>
        <w:tc>
          <w:tcPr>
            <w:tcW w:w="0" w:type="auto"/>
            <w:hideMark/>
          </w:tcPr>
          <w:p w14:paraId="51CF5FA1"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2.00%</w:t>
            </w:r>
          </w:p>
        </w:tc>
      </w:tr>
      <w:tr w:rsidR="00DE47AC" w:rsidRPr="006956C9" w14:paraId="0188E22F" w14:textId="77777777" w:rsidTr="002057E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C6CF1F"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C</w:t>
            </w:r>
          </w:p>
        </w:tc>
        <w:tc>
          <w:tcPr>
            <w:tcW w:w="0" w:type="auto"/>
            <w:hideMark/>
          </w:tcPr>
          <w:p w14:paraId="28049614"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3.0</w:t>
            </w:r>
          </w:p>
        </w:tc>
        <w:tc>
          <w:tcPr>
            <w:tcW w:w="0" w:type="auto"/>
            <w:hideMark/>
          </w:tcPr>
          <w:p w14:paraId="52FE517C"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6.00%</w:t>
            </w:r>
          </w:p>
        </w:tc>
      </w:tr>
    </w:tbl>
    <w:p w14:paraId="411787EC" w14:textId="54C70B66" w:rsidR="00DE47AC" w:rsidRPr="006956C9" w:rsidRDefault="00DE47AC" w:rsidP="006956C9">
      <w:pPr>
        <w:rPr>
          <w:rFonts w:ascii="Arial" w:hAnsi="Arial" w:cs="Arial"/>
          <w:lang w:val="en-IN"/>
        </w:rPr>
      </w:pPr>
      <w:r w:rsidRPr="006956C9">
        <w:rPr>
          <w:rFonts w:ascii="Arial" w:hAnsi="Arial" w:cs="Arial"/>
          <w:lang w:val="en-IN"/>
        </w:rPr>
        <w:t>Project C again provides the strongest result. Its 6% ARR is substantially higher than Project A and Project B. However, ARR is based on accounting profit rather than cash flows and does not fully recognise the timing of cash flows. Consequently, NPV and IRR provide stronger evidence for the final investment decision.</w:t>
      </w:r>
    </w:p>
    <w:p w14:paraId="3EC63BAE" w14:textId="77777777" w:rsidR="00DE47AC" w:rsidRPr="006956C9" w:rsidRDefault="00DE47AC" w:rsidP="006956C9">
      <w:pPr>
        <w:pStyle w:val="Heading2"/>
        <w:rPr>
          <w:rFonts w:ascii="Arial" w:hAnsi="Arial" w:cs="Arial"/>
        </w:rPr>
      </w:pPr>
      <w:bookmarkStart w:id="38" w:name="_Toc237412888"/>
      <w:r w:rsidRPr="006956C9">
        <w:rPr>
          <w:rFonts w:ascii="Arial" w:hAnsi="Arial" w:cs="Arial"/>
        </w:rPr>
        <w:t>5.4 Net Present Value (NPV)</w:t>
      </w:r>
      <w:bookmarkEnd w:id="38"/>
    </w:p>
    <w:p w14:paraId="55EC5EF9" w14:textId="77777777" w:rsidR="00DE47AC" w:rsidRPr="006956C9" w:rsidRDefault="00DE47AC" w:rsidP="006956C9">
      <w:pPr>
        <w:rPr>
          <w:rFonts w:ascii="Arial" w:hAnsi="Arial" w:cs="Arial"/>
          <w:lang w:val="en-IN"/>
        </w:rPr>
      </w:pPr>
      <w:r w:rsidRPr="006956C9">
        <w:rPr>
          <w:rFonts w:ascii="Arial" w:hAnsi="Arial" w:cs="Arial"/>
          <w:lang w:val="en-IN"/>
        </w:rPr>
        <w:t xml:space="preserve">NPV is particularly important because it considers the </w:t>
      </w:r>
      <w:r w:rsidRPr="006956C9">
        <w:rPr>
          <w:rFonts w:ascii="Arial" w:hAnsi="Arial" w:cs="Arial"/>
          <w:b/>
          <w:bCs/>
          <w:lang w:val="en-IN"/>
        </w:rPr>
        <w:t>time value of money</w:t>
      </w:r>
      <w:r w:rsidRPr="006956C9">
        <w:rPr>
          <w:rFonts w:ascii="Arial" w:hAnsi="Arial" w:cs="Arial"/>
          <w:lang w:val="en-IN"/>
        </w:rPr>
        <w:t xml:space="preserve"> and measures the amount of value created after discounting future cash flows at the required return of 8%.</w:t>
      </w:r>
    </w:p>
    <w:p w14:paraId="68044B59" w14:textId="77777777" w:rsidR="00DE47AC" w:rsidRPr="006956C9" w:rsidRDefault="00DE47AC" w:rsidP="006956C9">
      <w:pPr>
        <w:rPr>
          <w:rFonts w:ascii="Arial" w:hAnsi="Arial" w:cs="Arial"/>
          <w:lang w:val="en-IN"/>
        </w:rPr>
      </w:pPr>
      <w:r w:rsidRPr="006956C9">
        <w:rPr>
          <w:rFonts w:ascii="Arial" w:hAnsi="Arial" w:cs="Arial"/>
          <w:lang w:val="en-IN"/>
        </w:rPr>
        <w:t>The basic formula is:</w:t>
      </w:r>
    </w:p>
    <w:p w14:paraId="07CB8DD2" w14:textId="77777777" w:rsidR="00DE47AC" w:rsidRPr="006956C9" w:rsidRDefault="00DE47AC" w:rsidP="006956C9">
      <w:pPr>
        <w:rPr>
          <w:rFonts w:ascii="Arial" w:hAnsi="Arial" w:cs="Arial"/>
          <w:lang w:val="en-IN"/>
        </w:rPr>
      </w:pPr>
      <w:r w:rsidRPr="006956C9">
        <w:rPr>
          <w:rFonts w:ascii="Arial" w:hAnsi="Arial" w:cs="Arial"/>
          <w:b/>
          <w:bCs/>
          <w:lang w:val="en-IN"/>
        </w:rPr>
        <w:lastRenderedPageBreak/>
        <w:t>NPV = Present Value of Future Cash Inflows − Initial Investment</w:t>
      </w:r>
    </w:p>
    <w:p w14:paraId="270C67C4" w14:textId="77777777" w:rsidR="00DE47AC" w:rsidRPr="006956C9" w:rsidRDefault="00DE47AC" w:rsidP="006956C9">
      <w:pPr>
        <w:rPr>
          <w:rFonts w:ascii="Arial" w:hAnsi="Arial" w:cs="Arial"/>
          <w:lang w:val="en-IN"/>
        </w:rPr>
      </w:pPr>
      <w:r w:rsidRPr="006956C9">
        <w:rPr>
          <w:rFonts w:ascii="Arial" w:hAnsi="Arial" w:cs="Arial"/>
          <w:lang w:val="en-IN"/>
        </w:rPr>
        <w:t>At an 8% discount rate, the calculated results are:</w:t>
      </w:r>
    </w:p>
    <w:tbl>
      <w:tblPr>
        <w:tblStyle w:val="ListTable3-Accent4"/>
        <w:tblW w:w="0" w:type="auto"/>
        <w:tblLook w:val="04A0" w:firstRow="1" w:lastRow="0" w:firstColumn="1" w:lastColumn="0" w:noHBand="0" w:noVBand="1"/>
      </w:tblPr>
      <w:tblGrid>
        <w:gridCol w:w="1270"/>
        <w:gridCol w:w="2950"/>
        <w:gridCol w:w="2750"/>
        <w:gridCol w:w="1283"/>
      </w:tblGrid>
      <w:tr w:rsidR="00DE47AC" w:rsidRPr="006956C9" w14:paraId="2F07A2B7" w14:textId="77777777" w:rsidTr="002057E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1F57FB4"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w:t>
            </w:r>
          </w:p>
        </w:tc>
        <w:tc>
          <w:tcPr>
            <w:tcW w:w="0" w:type="auto"/>
            <w:hideMark/>
          </w:tcPr>
          <w:p w14:paraId="6230EA64"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PV of Cash Inflows (£m)</w:t>
            </w:r>
          </w:p>
        </w:tc>
        <w:tc>
          <w:tcPr>
            <w:tcW w:w="0" w:type="auto"/>
            <w:hideMark/>
          </w:tcPr>
          <w:p w14:paraId="099CDB8B"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Initial Investment (£m)</w:t>
            </w:r>
          </w:p>
        </w:tc>
        <w:tc>
          <w:tcPr>
            <w:tcW w:w="0" w:type="auto"/>
            <w:hideMark/>
          </w:tcPr>
          <w:p w14:paraId="619F1579"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NPV (£m)</w:t>
            </w:r>
          </w:p>
        </w:tc>
      </w:tr>
      <w:tr w:rsidR="00DE47AC" w:rsidRPr="006956C9" w14:paraId="34C49379" w14:textId="77777777" w:rsidTr="002057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FA2590"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A</w:t>
            </w:r>
          </w:p>
        </w:tc>
        <w:tc>
          <w:tcPr>
            <w:tcW w:w="0" w:type="auto"/>
            <w:hideMark/>
          </w:tcPr>
          <w:p w14:paraId="617FF268"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43.46</w:t>
            </w:r>
          </w:p>
        </w:tc>
        <w:tc>
          <w:tcPr>
            <w:tcW w:w="0" w:type="auto"/>
            <w:hideMark/>
          </w:tcPr>
          <w:p w14:paraId="04836B9B"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40C3DB65"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-6.54</w:t>
            </w:r>
          </w:p>
        </w:tc>
      </w:tr>
      <w:tr w:rsidR="00DE47AC" w:rsidRPr="006956C9" w14:paraId="54D71FE2" w14:textId="77777777" w:rsidTr="002057EB">
        <w:tc>
          <w:tcPr>
            <w:cnfStyle w:val="001000000000" w:firstRow="0" w:lastRow="0" w:firstColumn="1" w:lastColumn="0" w:oddVBand="0" w:evenVBand="0" w:oddHBand="0" w:evenHBand="0" w:firstRowFirstColumn="0" w:firstRowLastColumn="0" w:lastRowFirstColumn="0" w:lastRowLastColumn="0"/>
            <w:tcW w:w="0" w:type="auto"/>
            <w:hideMark/>
          </w:tcPr>
          <w:p w14:paraId="745A645E"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B</w:t>
            </w:r>
          </w:p>
        </w:tc>
        <w:tc>
          <w:tcPr>
            <w:tcW w:w="0" w:type="auto"/>
            <w:hideMark/>
          </w:tcPr>
          <w:p w14:paraId="4AC95B11"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43.92</w:t>
            </w:r>
          </w:p>
        </w:tc>
        <w:tc>
          <w:tcPr>
            <w:tcW w:w="0" w:type="auto"/>
            <w:hideMark/>
          </w:tcPr>
          <w:p w14:paraId="29B76AD4"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7C89FDB6"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-6.08</w:t>
            </w:r>
          </w:p>
        </w:tc>
      </w:tr>
      <w:tr w:rsidR="00DE47AC" w:rsidRPr="006956C9" w14:paraId="2F68DC6F" w14:textId="77777777" w:rsidTr="002057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EF092D"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C</w:t>
            </w:r>
          </w:p>
        </w:tc>
        <w:tc>
          <w:tcPr>
            <w:tcW w:w="0" w:type="auto"/>
            <w:hideMark/>
          </w:tcPr>
          <w:p w14:paraId="7C3FE8A6"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50.86</w:t>
            </w:r>
          </w:p>
        </w:tc>
        <w:tc>
          <w:tcPr>
            <w:tcW w:w="0" w:type="auto"/>
            <w:hideMark/>
          </w:tcPr>
          <w:p w14:paraId="3ACD1853"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692AF0E8"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+0.86</w:t>
            </w:r>
          </w:p>
        </w:tc>
      </w:tr>
    </w:tbl>
    <w:p w14:paraId="19F54755" w14:textId="2A32441B" w:rsidR="00DE47AC" w:rsidRPr="006956C9" w:rsidRDefault="00DE47AC" w:rsidP="006956C9">
      <w:pPr>
        <w:rPr>
          <w:rFonts w:ascii="Arial" w:hAnsi="Arial" w:cs="Arial"/>
          <w:lang w:val="en-IN"/>
        </w:rPr>
      </w:pPr>
      <w:r w:rsidRPr="006956C9">
        <w:rPr>
          <w:rFonts w:ascii="Arial" w:hAnsi="Arial" w:cs="Arial"/>
          <w:lang w:val="en-IN"/>
        </w:rPr>
        <w:t>Project A produces a negative NPV of approximately £6.54 million, while Project B produces a negative NPV of approximately £6.08 million. Both therefore fail to recover the £50 million initial investment after allowing for the 8% required return.</w:t>
      </w:r>
      <w:r w:rsidR="007404DC" w:rsidRPr="006956C9">
        <w:rPr>
          <w:rFonts w:ascii="Arial" w:hAnsi="Arial" w:cs="Arial"/>
          <w:lang w:val="en-IN"/>
        </w:rPr>
        <w:t xml:space="preserve"> </w:t>
      </w:r>
      <w:r w:rsidRPr="006956C9">
        <w:rPr>
          <w:rFonts w:ascii="Arial" w:hAnsi="Arial" w:cs="Arial"/>
          <w:lang w:val="en-IN"/>
        </w:rPr>
        <w:t>Project C produces an NPV of approximately £0.86 million, indicating that the present value of its future cash flows slightly exceeds the initial investment. Therefore, based purely on NPV, Project C is the only project that creates value at the required return.</w:t>
      </w:r>
    </w:p>
    <w:p w14:paraId="324F18FD" w14:textId="77777777" w:rsidR="00B675D3" w:rsidRPr="006956C9" w:rsidRDefault="00B675D3" w:rsidP="006956C9">
      <w:pPr>
        <w:keepNext/>
        <w:jc w:val="center"/>
        <w:rPr>
          <w:rFonts w:ascii="Arial" w:hAnsi="Arial" w:cs="Arial"/>
          <w:szCs w:val="24"/>
        </w:rPr>
      </w:pPr>
      <w:r w:rsidRPr="006956C9">
        <w:rPr>
          <w:rFonts w:ascii="Arial" w:hAnsi="Arial" w:cs="Arial"/>
          <w:noProof/>
          <w:szCs w:val="24"/>
        </w:rPr>
        <w:drawing>
          <wp:inline distT="0" distB="0" distL="0" distR="0" wp14:anchorId="46FA8477" wp14:editId="13B89164">
            <wp:extent cx="4572000" cy="2743200"/>
            <wp:effectExtent l="0" t="0" r="0" b="0"/>
            <wp:docPr id="1952911790" name="Chart 1">
              <a:extLst xmlns:a="http://schemas.openxmlformats.org/drawingml/2006/main">
                <a:ext uri="{FF2B5EF4-FFF2-40B4-BE49-F238E27FC236}">
                  <a16:creationId xmlns:a16="http://schemas.microsoft.com/office/drawing/2014/main" id="{BC476B3F-5541-1C45-AB4F-B3D5A9A504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D68DB12" w14:textId="1228649D" w:rsidR="00B675D3" w:rsidRPr="006956C9" w:rsidRDefault="00B675D3" w:rsidP="006956C9">
      <w:pPr>
        <w:pStyle w:val="Caption"/>
        <w:spacing w:line="360" w:lineRule="auto"/>
        <w:jc w:val="center"/>
        <w:rPr>
          <w:rFonts w:ascii="Arial" w:hAnsi="Arial" w:cs="Arial"/>
          <w:color w:val="auto"/>
          <w:sz w:val="24"/>
          <w:szCs w:val="24"/>
        </w:rPr>
      </w:pPr>
      <w:bookmarkStart w:id="39" w:name="_Toc237412695"/>
      <w:r w:rsidRPr="006956C9">
        <w:rPr>
          <w:rFonts w:ascii="Arial" w:hAnsi="Arial" w:cs="Arial"/>
          <w:color w:val="auto"/>
          <w:sz w:val="24"/>
          <w:szCs w:val="24"/>
        </w:rPr>
        <w:t xml:space="preserve">Figure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Figure \* ARABIC </w:instrText>
      </w:r>
      <w:r w:rsidRPr="006956C9">
        <w:rPr>
          <w:rFonts w:ascii="Arial" w:hAnsi="Arial" w:cs="Arial"/>
          <w:color w:val="auto"/>
          <w:sz w:val="24"/>
          <w:szCs w:val="24"/>
        </w:rPr>
        <w:fldChar w:fldCharType="separate"/>
      </w:r>
      <w:r w:rsidRPr="006956C9">
        <w:rPr>
          <w:rFonts w:ascii="Arial" w:hAnsi="Arial" w:cs="Arial"/>
          <w:noProof/>
          <w:color w:val="auto"/>
          <w:sz w:val="24"/>
          <w:szCs w:val="24"/>
        </w:rPr>
        <w:t>6</w:t>
      </w:r>
      <w:r w:rsidRPr="006956C9">
        <w:rPr>
          <w:rFonts w:ascii="Arial" w:hAnsi="Arial" w:cs="Arial"/>
          <w:color w:val="auto"/>
          <w:sz w:val="24"/>
          <w:szCs w:val="24"/>
        </w:rPr>
        <w:fldChar w:fldCharType="end"/>
      </w:r>
      <w:r w:rsidRPr="006956C9">
        <w:rPr>
          <w:rFonts w:ascii="Arial" w:hAnsi="Arial" w:cs="Arial"/>
          <w:color w:val="auto"/>
          <w:sz w:val="24"/>
          <w:szCs w:val="24"/>
        </w:rPr>
        <w:t>: NPV Comparison of Projects A, B and C</w:t>
      </w:r>
      <w:bookmarkEnd w:id="39"/>
    </w:p>
    <w:p w14:paraId="6CCDBADF" w14:textId="77777777" w:rsidR="00DE47AC" w:rsidRPr="006956C9" w:rsidRDefault="00DE47AC" w:rsidP="006956C9">
      <w:pPr>
        <w:pStyle w:val="Heading2"/>
        <w:rPr>
          <w:rFonts w:ascii="Arial" w:hAnsi="Arial" w:cs="Arial"/>
        </w:rPr>
      </w:pPr>
      <w:bookmarkStart w:id="40" w:name="_Toc237412889"/>
      <w:r w:rsidRPr="006956C9">
        <w:rPr>
          <w:rFonts w:ascii="Arial" w:hAnsi="Arial" w:cs="Arial"/>
        </w:rPr>
        <w:t>5.5 Profitability Index (PI)</w:t>
      </w:r>
      <w:bookmarkEnd w:id="40"/>
    </w:p>
    <w:p w14:paraId="2B86F187" w14:textId="77777777" w:rsidR="00DE47AC" w:rsidRPr="006956C9" w:rsidRDefault="00DE47AC" w:rsidP="006956C9">
      <w:pPr>
        <w:rPr>
          <w:rFonts w:ascii="Arial" w:hAnsi="Arial" w:cs="Arial"/>
          <w:lang w:val="en-IN"/>
        </w:rPr>
      </w:pPr>
      <w:r w:rsidRPr="006956C9">
        <w:rPr>
          <w:rFonts w:ascii="Arial" w:hAnsi="Arial" w:cs="Arial"/>
          <w:lang w:val="en-IN"/>
        </w:rPr>
        <w:t xml:space="preserve">The </w:t>
      </w:r>
      <w:r w:rsidRPr="006956C9">
        <w:rPr>
          <w:rFonts w:ascii="Arial" w:hAnsi="Arial" w:cs="Arial"/>
          <w:b/>
          <w:bCs/>
          <w:lang w:val="en-IN"/>
        </w:rPr>
        <w:t>Profitability Index</w:t>
      </w:r>
      <w:r w:rsidRPr="006956C9">
        <w:rPr>
          <w:rFonts w:ascii="Arial" w:hAnsi="Arial" w:cs="Arial"/>
          <w:lang w:val="en-IN"/>
        </w:rPr>
        <w:t xml:space="preserve"> compares the present value of future cash inflows with the initial investment:</w:t>
      </w:r>
    </w:p>
    <w:p w14:paraId="72EC8CE6" w14:textId="77777777" w:rsidR="00DE47AC" w:rsidRPr="006956C9" w:rsidRDefault="00DE47AC" w:rsidP="006956C9">
      <w:pPr>
        <w:rPr>
          <w:rFonts w:ascii="Arial" w:hAnsi="Arial" w:cs="Arial"/>
          <w:lang w:val="en-IN"/>
        </w:rPr>
      </w:pPr>
      <w:r w:rsidRPr="006956C9">
        <w:rPr>
          <w:rFonts w:ascii="Arial" w:hAnsi="Arial" w:cs="Arial"/>
          <w:b/>
          <w:bCs/>
          <w:lang w:val="en-IN"/>
        </w:rPr>
        <w:t>PI = Present Value of Future Cash Inflows ÷ Initial Investment</w:t>
      </w:r>
    </w:p>
    <w:p w14:paraId="77E650FB" w14:textId="77777777" w:rsidR="00DE47AC" w:rsidRPr="006956C9" w:rsidRDefault="00DE47AC" w:rsidP="006956C9">
      <w:pPr>
        <w:rPr>
          <w:rFonts w:ascii="Arial" w:hAnsi="Arial" w:cs="Arial"/>
          <w:lang w:val="en-IN"/>
        </w:rPr>
      </w:pPr>
      <w:r w:rsidRPr="006956C9">
        <w:rPr>
          <w:rFonts w:ascii="Arial" w:hAnsi="Arial" w:cs="Arial"/>
          <w:lang w:val="en-IN"/>
        </w:rPr>
        <w:t>The results are:</w:t>
      </w:r>
    </w:p>
    <w:tbl>
      <w:tblPr>
        <w:tblStyle w:val="ListTable3-Accent4"/>
        <w:tblW w:w="0" w:type="auto"/>
        <w:tblLook w:val="04A0" w:firstRow="1" w:lastRow="0" w:firstColumn="1" w:lastColumn="0" w:noHBand="0" w:noVBand="1"/>
      </w:tblPr>
      <w:tblGrid>
        <w:gridCol w:w="1270"/>
        <w:gridCol w:w="684"/>
        <w:gridCol w:w="1763"/>
      </w:tblGrid>
      <w:tr w:rsidR="00DE47AC" w:rsidRPr="006956C9" w14:paraId="37F1A7BA" w14:textId="77777777" w:rsidTr="00C03AD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9BDB015"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w:t>
            </w:r>
          </w:p>
        </w:tc>
        <w:tc>
          <w:tcPr>
            <w:tcW w:w="0" w:type="auto"/>
            <w:hideMark/>
          </w:tcPr>
          <w:p w14:paraId="5D18FC0E"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PI</w:t>
            </w:r>
          </w:p>
        </w:tc>
        <w:tc>
          <w:tcPr>
            <w:tcW w:w="0" w:type="auto"/>
            <w:hideMark/>
          </w:tcPr>
          <w:p w14:paraId="228A8A8A"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Interpretation</w:t>
            </w:r>
          </w:p>
        </w:tc>
      </w:tr>
      <w:tr w:rsidR="00DE47AC" w:rsidRPr="006956C9" w14:paraId="54CA0510" w14:textId="77777777" w:rsidTr="00C03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BC4B02"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lastRenderedPageBreak/>
              <w:t>Project A</w:t>
            </w:r>
          </w:p>
        </w:tc>
        <w:tc>
          <w:tcPr>
            <w:tcW w:w="0" w:type="auto"/>
            <w:hideMark/>
          </w:tcPr>
          <w:p w14:paraId="6E966DA8"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0.87</w:t>
            </w:r>
          </w:p>
        </w:tc>
        <w:tc>
          <w:tcPr>
            <w:tcW w:w="0" w:type="auto"/>
            <w:hideMark/>
          </w:tcPr>
          <w:p w14:paraId="1BF9AF62"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756082D2" w14:textId="77777777" w:rsidTr="00C03AD8">
        <w:tc>
          <w:tcPr>
            <w:cnfStyle w:val="001000000000" w:firstRow="0" w:lastRow="0" w:firstColumn="1" w:lastColumn="0" w:oddVBand="0" w:evenVBand="0" w:oddHBand="0" w:evenHBand="0" w:firstRowFirstColumn="0" w:firstRowLastColumn="0" w:lastRowFirstColumn="0" w:lastRowLastColumn="0"/>
            <w:tcW w:w="0" w:type="auto"/>
            <w:hideMark/>
          </w:tcPr>
          <w:p w14:paraId="65311512"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B</w:t>
            </w:r>
          </w:p>
        </w:tc>
        <w:tc>
          <w:tcPr>
            <w:tcW w:w="0" w:type="auto"/>
            <w:hideMark/>
          </w:tcPr>
          <w:p w14:paraId="270240B6"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0.88</w:t>
            </w:r>
          </w:p>
        </w:tc>
        <w:tc>
          <w:tcPr>
            <w:tcW w:w="0" w:type="auto"/>
            <w:hideMark/>
          </w:tcPr>
          <w:p w14:paraId="1C79528C"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06C3C281" w14:textId="77777777" w:rsidTr="00C03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87BAD0"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C</w:t>
            </w:r>
          </w:p>
        </w:tc>
        <w:tc>
          <w:tcPr>
            <w:tcW w:w="0" w:type="auto"/>
            <w:hideMark/>
          </w:tcPr>
          <w:p w14:paraId="7C166F3D"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1.02</w:t>
            </w:r>
          </w:p>
        </w:tc>
        <w:tc>
          <w:tcPr>
            <w:tcW w:w="0" w:type="auto"/>
            <w:hideMark/>
          </w:tcPr>
          <w:p w14:paraId="03B6616A"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Accept</w:t>
            </w:r>
          </w:p>
        </w:tc>
      </w:tr>
    </w:tbl>
    <w:p w14:paraId="54F44DEA" w14:textId="118324B5" w:rsidR="00DE47AC" w:rsidRPr="006956C9" w:rsidRDefault="00DE47AC" w:rsidP="006956C9">
      <w:pPr>
        <w:rPr>
          <w:rFonts w:ascii="Arial" w:hAnsi="Arial" w:cs="Arial"/>
          <w:lang w:val="en-IN"/>
        </w:rPr>
      </w:pPr>
      <w:r w:rsidRPr="006956C9">
        <w:rPr>
          <w:rFonts w:ascii="Arial" w:hAnsi="Arial" w:cs="Arial"/>
          <w:lang w:val="en-IN"/>
        </w:rPr>
        <w:t xml:space="preserve">A PI above 1 indicates that the present value of future cash inflows exceeds the initial investment. Project C achieves a PI of approximately </w:t>
      </w:r>
      <w:r w:rsidRPr="006956C9">
        <w:rPr>
          <w:rFonts w:ascii="Arial" w:hAnsi="Arial" w:cs="Arial"/>
          <w:b/>
          <w:bCs/>
          <w:lang w:val="en-IN"/>
        </w:rPr>
        <w:t>1.02</w:t>
      </w:r>
      <w:r w:rsidRPr="006956C9">
        <w:rPr>
          <w:rFonts w:ascii="Arial" w:hAnsi="Arial" w:cs="Arial"/>
          <w:lang w:val="en-IN"/>
        </w:rPr>
        <w:t>, whereas Projects A and B remain below 1.</w:t>
      </w:r>
      <w:r w:rsidR="00C03AD8" w:rsidRPr="006956C9">
        <w:rPr>
          <w:rFonts w:ascii="Arial" w:hAnsi="Arial" w:cs="Arial"/>
          <w:lang w:val="en-IN"/>
        </w:rPr>
        <w:t xml:space="preserve"> </w:t>
      </w:r>
      <w:r w:rsidRPr="006956C9">
        <w:rPr>
          <w:rFonts w:ascii="Arial" w:hAnsi="Arial" w:cs="Arial"/>
          <w:lang w:val="en-IN"/>
        </w:rPr>
        <w:t>This measure is particularly relevant when capital is constrained because it helps management assess value generated relative to each pound invested. Nevertheless, Project C's PI is only marginally above 1, so management should not ignore uncertainty surrounding its future cash flows.</w:t>
      </w:r>
    </w:p>
    <w:p w14:paraId="3B5DDD41" w14:textId="77777777" w:rsidR="00DE47AC" w:rsidRPr="006956C9" w:rsidRDefault="00DE47AC" w:rsidP="006956C9">
      <w:pPr>
        <w:pStyle w:val="Heading2"/>
        <w:rPr>
          <w:rFonts w:ascii="Arial" w:hAnsi="Arial" w:cs="Arial"/>
        </w:rPr>
      </w:pPr>
      <w:bookmarkStart w:id="41" w:name="_Toc237412890"/>
      <w:r w:rsidRPr="006956C9">
        <w:rPr>
          <w:rFonts w:ascii="Arial" w:hAnsi="Arial" w:cs="Arial"/>
        </w:rPr>
        <w:t>5.6 Internal Rate of Return (IRR)</w:t>
      </w:r>
      <w:bookmarkEnd w:id="41"/>
    </w:p>
    <w:p w14:paraId="1AFDD8E3" w14:textId="77777777" w:rsidR="00DE47AC" w:rsidRPr="006956C9" w:rsidRDefault="00DE47AC" w:rsidP="006956C9">
      <w:pPr>
        <w:rPr>
          <w:rFonts w:ascii="Arial" w:hAnsi="Arial" w:cs="Arial"/>
          <w:lang w:val="en-IN"/>
        </w:rPr>
      </w:pPr>
      <w:r w:rsidRPr="006956C9">
        <w:rPr>
          <w:rFonts w:ascii="Arial" w:hAnsi="Arial" w:cs="Arial"/>
          <w:lang w:val="en-IN"/>
        </w:rPr>
        <w:t xml:space="preserve">IRR represents the discount rate at which the project's NPV becomes zero. Marriott's projects should therefore be compared with the </w:t>
      </w:r>
      <w:r w:rsidRPr="006956C9">
        <w:rPr>
          <w:rFonts w:ascii="Arial" w:hAnsi="Arial" w:cs="Arial"/>
          <w:b/>
          <w:bCs/>
          <w:lang w:val="en-IN"/>
        </w:rPr>
        <w:t>8% required return</w:t>
      </w:r>
      <w:r w:rsidRPr="006956C9">
        <w:rPr>
          <w:rFonts w:ascii="Arial" w:hAnsi="Arial" w:cs="Arial"/>
          <w:lang w:val="en-IN"/>
        </w:rPr>
        <w:t>.</w:t>
      </w:r>
    </w:p>
    <w:tbl>
      <w:tblPr>
        <w:tblStyle w:val="ListTable3-Accent4"/>
        <w:tblW w:w="0" w:type="auto"/>
        <w:tblLook w:val="04A0" w:firstRow="1" w:lastRow="0" w:firstColumn="1" w:lastColumn="0" w:noHBand="0" w:noVBand="1"/>
      </w:tblPr>
      <w:tblGrid>
        <w:gridCol w:w="1270"/>
        <w:gridCol w:w="897"/>
        <w:gridCol w:w="2363"/>
        <w:gridCol w:w="1217"/>
      </w:tblGrid>
      <w:tr w:rsidR="00DE47AC" w:rsidRPr="006956C9" w14:paraId="3DB98AD8" w14:textId="77777777" w:rsidTr="00C03AD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77640E1"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w:t>
            </w:r>
          </w:p>
        </w:tc>
        <w:tc>
          <w:tcPr>
            <w:tcW w:w="0" w:type="auto"/>
            <w:hideMark/>
          </w:tcPr>
          <w:p w14:paraId="2EA3A4FF"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IRR</w:t>
            </w:r>
          </w:p>
        </w:tc>
        <w:tc>
          <w:tcPr>
            <w:tcW w:w="0" w:type="auto"/>
            <w:hideMark/>
          </w:tcPr>
          <w:p w14:paraId="56FD9963"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Compared with 8%</w:t>
            </w:r>
          </w:p>
        </w:tc>
        <w:tc>
          <w:tcPr>
            <w:tcW w:w="0" w:type="auto"/>
            <w:hideMark/>
          </w:tcPr>
          <w:p w14:paraId="59F24122"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Decision</w:t>
            </w:r>
          </w:p>
        </w:tc>
      </w:tr>
      <w:tr w:rsidR="00DE47AC" w:rsidRPr="006956C9" w14:paraId="247058CC" w14:textId="77777777" w:rsidTr="00C03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063FA"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A</w:t>
            </w:r>
          </w:p>
        </w:tc>
        <w:tc>
          <w:tcPr>
            <w:tcW w:w="0" w:type="auto"/>
            <w:hideMark/>
          </w:tcPr>
          <w:p w14:paraId="19D829B1"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2.72%</w:t>
            </w:r>
          </w:p>
        </w:tc>
        <w:tc>
          <w:tcPr>
            <w:tcW w:w="0" w:type="auto"/>
            <w:hideMark/>
          </w:tcPr>
          <w:p w14:paraId="14C423CD"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Below 8%</w:t>
            </w:r>
          </w:p>
        </w:tc>
        <w:tc>
          <w:tcPr>
            <w:tcW w:w="0" w:type="auto"/>
            <w:hideMark/>
          </w:tcPr>
          <w:p w14:paraId="439E214D"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7B205E94" w14:textId="77777777" w:rsidTr="00C03AD8">
        <w:tc>
          <w:tcPr>
            <w:cnfStyle w:val="001000000000" w:firstRow="0" w:lastRow="0" w:firstColumn="1" w:lastColumn="0" w:oddVBand="0" w:evenVBand="0" w:oddHBand="0" w:evenHBand="0" w:firstRowFirstColumn="0" w:firstRowLastColumn="0" w:lastRowFirstColumn="0" w:lastRowLastColumn="0"/>
            <w:tcW w:w="0" w:type="auto"/>
            <w:hideMark/>
          </w:tcPr>
          <w:p w14:paraId="050B4B13"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B</w:t>
            </w:r>
          </w:p>
        </w:tc>
        <w:tc>
          <w:tcPr>
            <w:tcW w:w="0" w:type="auto"/>
            <w:hideMark/>
          </w:tcPr>
          <w:p w14:paraId="1D4BDDE3"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3.26%</w:t>
            </w:r>
          </w:p>
        </w:tc>
        <w:tc>
          <w:tcPr>
            <w:tcW w:w="0" w:type="auto"/>
            <w:hideMark/>
          </w:tcPr>
          <w:p w14:paraId="028C19F9"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Below 8%</w:t>
            </w:r>
          </w:p>
        </w:tc>
        <w:tc>
          <w:tcPr>
            <w:tcW w:w="0" w:type="auto"/>
            <w:hideMark/>
          </w:tcPr>
          <w:p w14:paraId="53CD0407"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39D8D2FA" w14:textId="77777777" w:rsidTr="00C03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D94309"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Project C</w:t>
            </w:r>
          </w:p>
        </w:tc>
        <w:tc>
          <w:tcPr>
            <w:tcW w:w="0" w:type="auto"/>
            <w:hideMark/>
          </w:tcPr>
          <w:p w14:paraId="60ED8011"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8.59%</w:t>
            </w:r>
          </w:p>
        </w:tc>
        <w:tc>
          <w:tcPr>
            <w:tcW w:w="0" w:type="auto"/>
            <w:hideMark/>
          </w:tcPr>
          <w:p w14:paraId="1256F72D"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Above 8%</w:t>
            </w:r>
          </w:p>
        </w:tc>
        <w:tc>
          <w:tcPr>
            <w:tcW w:w="0" w:type="auto"/>
            <w:hideMark/>
          </w:tcPr>
          <w:p w14:paraId="2D553B83"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Accept</w:t>
            </w:r>
          </w:p>
        </w:tc>
      </w:tr>
    </w:tbl>
    <w:p w14:paraId="46EBB048" w14:textId="2C83FA5E" w:rsidR="00DE47AC" w:rsidRPr="006956C9" w:rsidRDefault="00DE47AC" w:rsidP="006956C9">
      <w:pPr>
        <w:rPr>
          <w:rFonts w:ascii="Arial" w:hAnsi="Arial" w:cs="Arial"/>
          <w:lang w:val="en-IN"/>
        </w:rPr>
      </w:pPr>
      <w:r w:rsidRPr="006956C9">
        <w:rPr>
          <w:rFonts w:ascii="Arial" w:hAnsi="Arial" w:cs="Arial"/>
          <w:lang w:val="en-IN"/>
        </w:rPr>
        <w:t xml:space="preserve">Project A's IRR of 2.72% and Project B's IRR of 3.26% are substantially below the 8% required return. Project C generates an IRR of approximately </w:t>
      </w:r>
      <w:r w:rsidRPr="006956C9">
        <w:rPr>
          <w:rFonts w:ascii="Arial" w:hAnsi="Arial" w:cs="Arial"/>
          <w:b/>
          <w:bCs/>
          <w:lang w:val="en-IN"/>
        </w:rPr>
        <w:t>8.59%</w:t>
      </w:r>
      <w:r w:rsidRPr="006956C9">
        <w:rPr>
          <w:rFonts w:ascii="Arial" w:hAnsi="Arial" w:cs="Arial"/>
          <w:lang w:val="en-IN"/>
        </w:rPr>
        <w:t>, which is only 0.59 percentage points above the required return.</w:t>
      </w:r>
      <w:r w:rsidR="00FA73B6" w:rsidRPr="006956C9">
        <w:rPr>
          <w:rFonts w:ascii="Arial" w:hAnsi="Arial" w:cs="Arial"/>
          <w:lang w:val="en-IN"/>
        </w:rPr>
        <w:t xml:space="preserve"> </w:t>
      </w:r>
      <w:r w:rsidRPr="006956C9">
        <w:rPr>
          <w:rFonts w:ascii="Arial" w:hAnsi="Arial" w:cs="Arial"/>
          <w:lang w:val="en-IN"/>
        </w:rPr>
        <w:t>Therefore, Project C passes the IRR criterion, although its relatively narrow margin over the required return indicates that sensitivity to changes in cash-flow assumptions should be considered.</w:t>
      </w:r>
    </w:p>
    <w:p w14:paraId="5AD6A201" w14:textId="77777777" w:rsidR="00DE47AC" w:rsidRPr="006956C9" w:rsidRDefault="00DE47AC" w:rsidP="006956C9">
      <w:pPr>
        <w:pStyle w:val="Heading2"/>
        <w:rPr>
          <w:rFonts w:ascii="Arial" w:hAnsi="Arial" w:cs="Arial"/>
        </w:rPr>
      </w:pPr>
      <w:bookmarkStart w:id="42" w:name="_Toc237412891"/>
      <w:r w:rsidRPr="006956C9">
        <w:rPr>
          <w:rFonts w:ascii="Arial" w:hAnsi="Arial" w:cs="Arial"/>
        </w:rPr>
        <w:t>5.7 Overall Investment Appraisal Comparison</w:t>
      </w:r>
      <w:bookmarkEnd w:id="42"/>
    </w:p>
    <w:p w14:paraId="573802A1" w14:textId="3D8CAA71" w:rsidR="004C272D" w:rsidRPr="006956C9" w:rsidRDefault="004C272D" w:rsidP="006956C9">
      <w:pPr>
        <w:pStyle w:val="Caption"/>
        <w:keepNext/>
        <w:spacing w:line="360" w:lineRule="auto"/>
        <w:jc w:val="center"/>
        <w:rPr>
          <w:rFonts w:ascii="Arial" w:hAnsi="Arial" w:cs="Arial"/>
          <w:color w:val="auto"/>
          <w:sz w:val="24"/>
          <w:szCs w:val="24"/>
        </w:rPr>
      </w:pPr>
      <w:bookmarkStart w:id="43" w:name="_Toc237412688"/>
      <w:r w:rsidRPr="006956C9">
        <w:rPr>
          <w:rFonts w:ascii="Arial" w:hAnsi="Arial" w:cs="Arial"/>
          <w:color w:val="auto"/>
          <w:sz w:val="24"/>
          <w:szCs w:val="24"/>
        </w:rPr>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004443FB" w:rsidRPr="006956C9">
        <w:rPr>
          <w:rFonts w:ascii="Arial" w:hAnsi="Arial" w:cs="Arial"/>
          <w:noProof/>
          <w:color w:val="auto"/>
          <w:sz w:val="24"/>
          <w:szCs w:val="24"/>
        </w:rPr>
        <w:t>7</w:t>
      </w:r>
      <w:r w:rsidRPr="006956C9">
        <w:rPr>
          <w:rFonts w:ascii="Arial" w:hAnsi="Arial" w:cs="Arial"/>
          <w:color w:val="auto"/>
          <w:sz w:val="24"/>
          <w:szCs w:val="24"/>
        </w:rPr>
        <w:fldChar w:fldCharType="end"/>
      </w:r>
      <w:r w:rsidRPr="006956C9">
        <w:rPr>
          <w:rFonts w:ascii="Arial" w:hAnsi="Arial" w:cs="Arial"/>
          <w:color w:val="auto"/>
          <w:sz w:val="24"/>
          <w:szCs w:val="24"/>
        </w:rPr>
        <w:t>: Overall Investment Appraisal Results</w:t>
      </w:r>
      <w:bookmarkEnd w:id="43"/>
    </w:p>
    <w:tbl>
      <w:tblPr>
        <w:tblStyle w:val="ListTable3-Accent4"/>
        <w:tblW w:w="0" w:type="auto"/>
        <w:jc w:val="center"/>
        <w:tblLook w:val="04A0" w:firstRow="1" w:lastRow="0" w:firstColumn="1" w:lastColumn="0" w:noHBand="0" w:noVBand="1"/>
      </w:tblPr>
      <w:tblGrid>
        <w:gridCol w:w="1190"/>
        <w:gridCol w:w="1270"/>
        <w:gridCol w:w="1270"/>
        <w:gridCol w:w="1270"/>
        <w:gridCol w:w="1617"/>
      </w:tblGrid>
      <w:tr w:rsidR="00DE47AC" w:rsidRPr="006956C9" w14:paraId="302952F2" w14:textId="77777777" w:rsidTr="004C272D">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07425CA5" w14:textId="77777777" w:rsidR="00DE47AC" w:rsidRPr="006956C9" w:rsidRDefault="00DE47AC" w:rsidP="006956C9">
            <w:pPr>
              <w:pStyle w:val="NoSpacing"/>
              <w:spacing w:line="360" w:lineRule="auto"/>
              <w:jc w:val="center"/>
              <w:rPr>
                <w:rFonts w:ascii="Arial" w:hAnsi="Arial" w:cs="Arial"/>
                <w:lang w:val="en-IN"/>
              </w:rPr>
            </w:pPr>
            <w:r w:rsidRPr="006956C9">
              <w:rPr>
                <w:rFonts w:ascii="Arial" w:hAnsi="Arial" w:cs="Arial"/>
                <w:lang w:val="en-IN"/>
              </w:rPr>
              <w:t>Measure</w:t>
            </w:r>
          </w:p>
        </w:tc>
        <w:tc>
          <w:tcPr>
            <w:tcW w:w="0" w:type="auto"/>
            <w:hideMark/>
          </w:tcPr>
          <w:p w14:paraId="17E8ED80" w14:textId="77777777" w:rsidR="00DE47AC" w:rsidRPr="006956C9" w:rsidRDefault="00DE47AC" w:rsidP="006956C9">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Project A</w:t>
            </w:r>
          </w:p>
        </w:tc>
        <w:tc>
          <w:tcPr>
            <w:tcW w:w="0" w:type="auto"/>
            <w:hideMark/>
          </w:tcPr>
          <w:p w14:paraId="5DEC0CE2" w14:textId="77777777" w:rsidR="00DE47AC" w:rsidRPr="006956C9" w:rsidRDefault="00DE47AC" w:rsidP="006956C9">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Project B</w:t>
            </w:r>
          </w:p>
        </w:tc>
        <w:tc>
          <w:tcPr>
            <w:tcW w:w="0" w:type="auto"/>
            <w:hideMark/>
          </w:tcPr>
          <w:p w14:paraId="43B71B95" w14:textId="77777777" w:rsidR="00DE47AC" w:rsidRPr="006956C9" w:rsidRDefault="00DE47AC" w:rsidP="006956C9">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Project C</w:t>
            </w:r>
          </w:p>
        </w:tc>
        <w:tc>
          <w:tcPr>
            <w:tcW w:w="0" w:type="auto"/>
            <w:hideMark/>
          </w:tcPr>
          <w:p w14:paraId="62AA0908" w14:textId="77777777" w:rsidR="00DE47AC" w:rsidRPr="006956C9" w:rsidRDefault="00DE47AC" w:rsidP="006956C9">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Best Project</w:t>
            </w:r>
          </w:p>
        </w:tc>
      </w:tr>
      <w:tr w:rsidR="00DE47AC" w:rsidRPr="006956C9" w14:paraId="4FCE3685" w14:textId="77777777" w:rsidTr="004C27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5FDBFD" w14:textId="77777777" w:rsidR="00DE47AC" w:rsidRPr="006956C9" w:rsidRDefault="00DE47AC" w:rsidP="006956C9">
            <w:pPr>
              <w:pStyle w:val="NoSpacing"/>
              <w:spacing w:line="360" w:lineRule="auto"/>
              <w:jc w:val="center"/>
              <w:rPr>
                <w:rFonts w:ascii="Arial" w:hAnsi="Arial" w:cs="Arial"/>
                <w:lang w:val="en-IN"/>
              </w:rPr>
            </w:pPr>
            <w:r w:rsidRPr="006956C9">
              <w:rPr>
                <w:rFonts w:ascii="Arial" w:hAnsi="Arial" w:cs="Arial"/>
                <w:lang w:val="en-IN"/>
              </w:rPr>
              <w:t>PBP</w:t>
            </w:r>
          </w:p>
        </w:tc>
        <w:tc>
          <w:tcPr>
            <w:tcW w:w="0" w:type="auto"/>
            <w:hideMark/>
          </w:tcPr>
          <w:p w14:paraId="44875D17"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4.50 yrs</w:t>
            </w:r>
          </w:p>
        </w:tc>
        <w:tc>
          <w:tcPr>
            <w:tcW w:w="0" w:type="auto"/>
            <w:hideMark/>
          </w:tcPr>
          <w:p w14:paraId="180B0F94"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4.55 yrs</w:t>
            </w:r>
          </w:p>
        </w:tc>
        <w:tc>
          <w:tcPr>
            <w:tcW w:w="0" w:type="auto"/>
            <w:hideMark/>
          </w:tcPr>
          <w:p w14:paraId="7B615A88"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3.60 yrs</w:t>
            </w:r>
          </w:p>
        </w:tc>
        <w:tc>
          <w:tcPr>
            <w:tcW w:w="0" w:type="auto"/>
            <w:hideMark/>
          </w:tcPr>
          <w:p w14:paraId="60DB1555"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C</w:t>
            </w:r>
          </w:p>
        </w:tc>
      </w:tr>
      <w:tr w:rsidR="00DE47AC" w:rsidRPr="006956C9" w14:paraId="6587F6BE" w14:textId="77777777" w:rsidTr="004C272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0E6196" w14:textId="77777777" w:rsidR="00DE47AC" w:rsidRPr="006956C9" w:rsidRDefault="00DE47AC" w:rsidP="006956C9">
            <w:pPr>
              <w:pStyle w:val="NoSpacing"/>
              <w:spacing w:line="360" w:lineRule="auto"/>
              <w:jc w:val="center"/>
              <w:rPr>
                <w:rFonts w:ascii="Arial" w:hAnsi="Arial" w:cs="Arial"/>
                <w:lang w:val="en-IN"/>
              </w:rPr>
            </w:pPr>
            <w:r w:rsidRPr="006956C9">
              <w:rPr>
                <w:rFonts w:ascii="Arial" w:hAnsi="Arial" w:cs="Arial"/>
                <w:lang w:val="en-IN"/>
              </w:rPr>
              <w:t>ARR</w:t>
            </w:r>
          </w:p>
        </w:tc>
        <w:tc>
          <w:tcPr>
            <w:tcW w:w="0" w:type="auto"/>
            <w:hideMark/>
          </w:tcPr>
          <w:p w14:paraId="03C28619"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1.60%</w:t>
            </w:r>
          </w:p>
        </w:tc>
        <w:tc>
          <w:tcPr>
            <w:tcW w:w="0" w:type="auto"/>
            <w:hideMark/>
          </w:tcPr>
          <w:p w14:paraId="589F0EF3"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2.00%</w:t>
            </w:r>
          </w:p>
        </w:tc>
        <w:tc>
          <w:tcPr>
            <w:tcW w:w="0" w:type="auto"/>
            <w:hideMark/>
          </w:tcPr>
          <w:p w14:paraId="690D5E03"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6.00%</w:t>
            </w:r>
          </w:p>
        </w:tc>
        <w:tc>
          <w:tcPr>
            <w:tcW w:w="0" w:type="auto"/>
            <w:hideMark/>
          </w:tcPr>
          <w:p w14:paraId="40DC7BD8"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C</w:t>
            </w:r>
          </w:p>
        </w:tc>
      </w:tr>
      <w:tr w:rsidR="00DE47AC" w:rsidRPr="006956C9" w14:paraId="2CC67C6F" w14:textId="77777777" w:rsidTr="004C27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11B8BB" w14:textId="77777777" w:rsidR="00DE47AC" w:rsidRPr="006956C9" w:rsidRDefault="00DE47AC" w:rsidP="006956C9">
            <w:pPr>
              <w:pStyle w:val="NoSpacing"/>
              <w:spacing w:line="360" w:lineRule="auto"/>
              <w:jc w:val="center"/>
              <w:rPr>
                <w:rFonts w:ascii="Arial" w:hAnsi="Arial" w:cs="Arial"/>
                <w:lang w:val="en-IN"/>
              </w:rPr>
            </w:pPr>
            <w:r w:rsidRPr="006956C9">
              <w:rPr>
                <w:rFonts w:ascii="Arial" w:hAnsi="Arial" w:cs="Arial"/>
                <w:lang w:val="en-IN"/>
              </w:rPr>
              <w:t>NPV</w:t>
            </w:r>
          </w:p>
        </w:tc>
        <w:tc>
          <w:tcPr>
            <w:tcW w:w="0" w:type="auto"/>
            <w:hideMark/>
          </w:tcPr>
          <w:p w14:paraId="3EE8B261"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-£6.54m</w:t>
            </w:r>
          </w:p>
        </w:tc>
        <w:tc>
          <w:tcPr>
            <w:tcW w:w="0" w:type="auto"/>
            <w:hideMark/>
          </w:tcPr>
          <w:p w14:paraId="001001EB"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-£6.08m</w:t>
            </w:r>
          </w:p>
        </w:tc>
        <w:tc>
          <w:tcPr>
            <w:tcW w:w="0" w:type="auto"/>
            <w:hideMark/>
          </w:tcPr>
          <w:p w14:paraId="01263D36"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+£0.86m</w:t>
            </w:r>
          </w:p>
        </w:tc>
        <w:tc>
          <w:tcPr>
            <w:tcW w:w="0" w:type="auto"/>
            <w:hideMark/>
          </w:tcPr>
          <w:p w14:paraId="3306F3DF"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C</w:t>
            </w:r>
          </w:p>
        </w:tc>
      </w:tr>
      <w:tr w:rsidR="00DE47AC" w:rsidRPr="006956C9" w14:paraId="39F4D358" w14:textId="77777777" w:rsidTr="004C272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A082FE" w14:textId="77777777" w:rsidR="00DE47AC" w:rsidRPr="006956C9" w:rsidRDefault="00DE47AC" w:rsidP="006956C9">
            <w:pPr>
              <w:pStyle w:val="NoSpacing"/>
              <w:spacing w:line="360" w:lineRule="auto"/>
              <w:jc w:val="center"/>
              <w:rPr>
                <w:rFonts w:ascii="Arial" w:hAnsi="Arial" w:cs="Arial"/>
                <w:lang w:val="en-IN"/>
              </w:rPr>
            </w:pPr>
            <w:r w:rsidRPr="006956C9">
              <w:rPr>
                <w:rFonts w:ascii="Arial" w:hAnsi="Arial" w:cs="Arial"/>
                <w:lang w:val="en-IN"/>
              </w:rPr>
              <w:t>PI</w:t>
            </w:r>
          </w:p>
        </w:tc>
        <w:tc>
          <w:tcPr>
            <w:tcW w:w="0" w:type="auto"/>
            <w:hideMark/>
          </w:tcPr>
          <w:p w14:paraId="09CE2DDB"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0.87</w:t>
            </w:r>
          </w:p>
        </w:tc>
        <w:tc>
          <w:tcPr>
            <w:tcW w:w="0" w:type="auto"/>
            <w:hideMark/>
          </w:tcPr>
          <w:p w14:paraId="45C1ED65"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0.88</w:t>
            </w:r>
          </w:p>
        </w:tc>
        <w:tc>
          <w:tcPr>
            <w:tcW w:w="0" w:type="auto"/>
            <w:hideMark/>
          </w:tcPr>
          <w:p w14:paraId="3BBD166E"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1.02</w:t>
            </w:r>
          </w:p>
        </w:tc>
        <w:tc>
          <w:tcPr>
            <w:tcW w:w="0" w:type="auto"/>
            <w:hideMark/>
          </w:tcPr>
          <w:p w14:paraId="60125286" w14:textId="77777777" w:rsidR="00DE47AC" w:rsidRPr="006956C9" w:rsidRDefault="00DE47AC" w:rsidP="006956C9">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C</w:t>
            </w:r>
          </w:p>
        </w:tc>
      </w:tr>
      <w:tr w:rsidR="00DE47AC" w:rsidRPr="006956C9" w14:paraId="57923F89" w14:textId="77777777" w:rsidTr="004C27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5CA9B2" w14:textId="77777777" w:rsidR="00DE47AC" w:rsidRPr="006956C9" w:rsidRDefault="00DE47AC" w:rsidP="006956C9">
            <w:pPr>
              <w:pStyle w:val="NoSpacing"/>
              <w:spacing w:line="360" w:lineRule="auto"/>
              <w:jc w:val="center"/>
              <w:rPr>
                <w:rFonts w:ascii="Arial" w:hAnsi="Arial" w:cs="Arial"/>
                <w:lang w:val="en-IN"/>
              </w:rPr>
            </w:pPr>
            <w:r w:rsidRPr="006956C9">
              <w:rPr>
                <w:rFonts w:ascii="Arial" w:hAnsi="Arial" w:cs="Arial"/>
                <w:lang w:val="en-IN"/>
              </w:rPr>
              <w:t>IRR</w:t>
            </w:r>
          </w:p>
        </w:tc>
        <w:tc>
          <w:tcPr>
            <w:tcW w:w="0" w:type="auto"/>
            <w:hideMark/>
          </w:tcPr>
          <w:p w14:paraId="7DE6B327"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2.72%</w:t>
            </w:r>
          </w:p>
        </w:tc>
        <w:tc>
          <w:tcPr>
            <w:tcW w:w="0" w:type="auto"/>
            <w:hideMark/>
          </w:tcPr>
          <w:p w14:paraId="1673E6CB"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3.26%</w:t>
            </w:r>
          </w:p>
        </w:tc>
        <w:tc>
          <w:tcPr>
            <w:tcW w:w="0" w:type="auto"/>
            <w:hideMark/>
          </w:tcPr>
          <w:p w14:paraId="7769B2C3"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8.59%</w:t>
            </w:r>
          </w:p>
        </w:tc>
        <w:tc>
          <w:tcPr>
            <w:tcW w:w="0" w:type="auto"/>
            <w:hideMark/>
          </w:tcPr>
          <w:p w14:paraId="2CFBEBCF" w14:textId="77777777" w:rsidR="00DE47AC" w:rsidRPr="006956C9" w:rsidRDefault="00DE47AC" w:rsidP="006956C9">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C</w:t>
            </w:r>
          </w:p>
        </w:tc>
      </w:tr>
    </w:tbl>
    <w:p w14:paraId="209C54B8" w14:textId="77777777" w:rsidR="00DE47AC" w:rsidRPr="006956C9" w:rsidRDefault="00DE47AC" w:rsidP="006956C9">
      <w:pPr>
        <w:rPr>
          <w:rFonts w:ascii="Arial" w:hAnsi="Arial" w:cs="Arial"/>
          <w:lang w:val="en-IN"/>
        </w:rPr>
      </w:pPr>
      <w:r w:rsidRPr="006956C9">
        <w:rPr>
          <w:rFonts w:ascii="Arial" w:hAnsi="Arial" w:cs="Arial"/>
          <w:lang w:val="en-IN"/>
        </w:rPr>
        <w:lastRenderedPageBreak/>
        <w:t xml:space="preserve">The results are unusually consistent because </w:t>
      </w:r>
      <w:r w:rsidRPr="006956C9">
        <w:rPr>
          <w:rFonts w:ascii="Arial" w:hAnsi="Arial" w:cs="Arial"/>
          <w:b/>
          <w:bCs/>
          <w:lang w:val="en-IN"/>
        </w:rPr>
        <w:t>Project C is superior on all five financial criteria</w:t>
      </w:r>
      <w:r w:rsidRPr="006956C9">
        <w:rPr>
          <w:rFonts w:ascii="Arial" w:hAnsi="Arial" w:cs="Arial"/>
          <w:lang w:val="en-IN"/>
        </w:rPr>
        <w:t>. It has the fastest payback, highest ARR, positive NPV, PI above one and IRR above the 8% required return.</w:t>
      </w:r>
    </w:p>
    <w:p w14:paraId="28B485DA" w14:textId="32148628" w:rsidR="00DE47AC" w:rsidRPr="006956C9" w:rsidRDefault="00DE47AC" w:rsidP="006956C9">
      <w:pPr>
        <w:rPr>
          <w:rFonts w:ascii="Arial" w:hAnsi="Arial" w:cs="Arial"/>
          <w:lang w:val="en-IN"/>
        </w:rPr>
      </w:pPr>
      <w:r w:rsidRPr="006956C9">
        <w:rPr>
          <w:rFonts w:ascii="Arial" w:hAnsi="Arial" w:cs="Arial"/>
          <w:lang w:val="en-IN"/>
        </w:rPr>
        <w:t>Project B performs slightly better than Project A on ARR, NPV, PI and IRR, but both remain financially unattractive because their NPVs are negative and their IRRs are below the required return.</w:t>
      </w:r>
    </w:p>
    <w:p w14:paraId="307FCE3E" w14:textId="77777777" w:rsidR="00DE47AC" w:rsidRPr="006956C9" w:rsidRDefault="00DE47AC" w:rsidP="006956C9">
      <w:pPr>
        <w:pStyle w:val="Heading2"/>
        <w:rPr>
          <w:rFonts w:ascii="Arial" w:hAnsi="Arial" w:cs="Arial"/>
        </w:rPr>
      </w:pPr>
      <w:bookmarkStart w:id="44" w:name="_Toc237412892"/>
      <w:r w:rsidRPr="006956C9">
        <w:rPr>
          <w:rFonts w:ascii="Arial" w:hAnsi="Arial" w:cs="Arial"/>
        </w:rPr>
        <w:t>5.8 Project Recommendation</w:t>
      </w:r>
      <w:bookmarkEnd w:id="44"/>
    </w:p>
    <w:p w14:paraId="5C543A4F" w14:textId="6EBC0CCC" w:rsidR="00DE47AC" w:rsidRPr="006956C9" w:rsidRDefault="00DE47AC" w:rsidP="006956C9">
      <w:pPr>
        <w:rPr>
          <w:rFonts w:ascii="Arial" w:hAnsi="Arial" w:cs="Arial"/>
          <w:lang w:val="en-IN"/>
        </w:rPr>
      </w:pPr>
      <w:r w:rsidRPr="006956C9">
        <w:rPr>
          <w:rFonts w:ascii="Arial" w:hAnsi="Arial" w:cs="Arial"/>
          <w:lang w:val="en-IN"/>
        </w:rPr>
        <w:t>Based on the financial appraisal, Project C should be recommended. It is the only project that creates positive NPV and the only project whose IRR exceeds Marriott's 8% required return. Its 3.60-year payback also provides the fastest recovery of the initial £50 million investment.</w:t>
      </w:r>
      <w:r w:rsidR="00573722" w:rsidRPr="006956C9">
        <w:rPr>
          <w:rFonts w:ascii="Arial" w:hAnsi="Arial" w:cs="Arial"/>
          <w:lang w:val="en-IN"/>
        </w:rPr>
        <w:t xml:space="preserve"> </w:t>
      </w:r>
      <w:r w:rsidRPr="006956C9">
        <w:rPr>
          <w:rFonts w:ascii="Arial" w:hAnsi="Arial" w:cs="Arial"/>
          <w:lang w:val="en-IN"/>
        </w:rPr>
        <w:t>The recommendation is also consistent with Marriott's broader financial position. The company generated $3.212 billion of operating cash flow in 2025, demonstrating substantial internal cash-generating capacity. However, liquidity remains weak, with a current ratio of approximately 0.40×, while debt reached $16.204 billion and the debt-to-asset ratio reached 58.84%. Consequently, Marriott should avoid investments that generate insufficient returns relative to their financing and liquidity implications.</w:t>
      </w:r>
    </w:p>
    <w:p w14:paraId="7E768910" w14:textId="765C4E05" w:rsidR="00DE47AC" w:rsidRPr="006956C9" w:rsidRDefault="00DE47AC" w:rsidP="006956C9">
      <w:pPr>
        <w:rPr>
          <w:rFonts w:ascii="Arial" w:hAnsi="Arial" w:cs="Arial"/>
          <w:lang w:val="en-IN"/>
        </w:rPr>
      </w:pPr>
      <w:r w:rsidRPr="006956C9">
        <w:rPr>
          <w:rFonts w:ascii="Arial" w:hAnsi="Arial" w:cs="Arial"/>
          <w:lang w:val="en-IN"/>
        </w:rPr>
        <w:t xml:space="preserve">Project C should therefore be pursued </w:t>
      </w:r>
      <w:r w:rsidRPr="006956C9">
        <w:rPr>
          <w:rFonts w:ascii="Arial" w:hAnsi="Arial" w:cs="Arial"/>
          <w:b/>
          <w:bCs/>
          <w:lang w:val="en-IN"/>
        </w:rPr>
        <w:t>subject to appropriate risk controls</w:t>
      </w:r>
      <w:r w:rsidRPr="006956C9">
        <w:rPr>
          <w:rFonts w:ascii="Arial" w:hAnsi="Arial" w:cs="Arial"/>
          <w:lang w:val="en-IN"/>
        </w:rPr>
        <w:t xml:space="preserve">. The assessment specifically requires consideration of non-financial factors such as political risk and customer loyalty. Political instability, regulatory changes or economic uncertainty in the project's target market could reduce expected cash flows. Similarly, customer loyalty is important in the hospitality industry because investment success depends on physical capacity </w:t>
      </w:r>
      <w:r w:rsidR="00CF1052" w:rsidRPr="006956C9">
        <w:rPr>
          <w:rFonts w:ascii="Arial" w:hAnsi="Arial" w:cs="Arial"/>
          <w:lang w:val="en-IN"/>
        </w:rPr>
        <w:t xml:space="preserve">and </w:t>
      </w:r>
      <w:r w:rsidRPr="006956C9">
        <w:rPr>
          <w:rFonts w:ascii="Arial" w:hAnsi="Arial" w:cs="Arial"/>
          <w:lang w:val="en-IN"/>
        </w:rPr>
        <w:t>on the ability to attract and retain customers.</w:t>
      </w:r>
      <w:r w:rsidR="00573722" w:rsidRPr="006956C9">
        <w:rPr>
          <w:rFonts w:ascii="Arial" w:hAnsi="Arial" w:cs="Arial"/>
          <w:lang w:val="en-IN"/>
        </w:rPr>
        <w:t xml:space="preserve"> </w:t>
      </w:r>
      <w:r w:rsidRPr="006956C9">
        <w:rPr>
          <w:rFonts w:ascii="Arial" w:hAnsi="Arial" w:cs="Arial"/>
          <w:lang w:val="en-IN"/>
        </w:rPr>
        <w:t>Therefore, the final decision should not be based exclusively on the £0.86 million NPV. Marriott should undertake sensitivity analysis of the project's cash-flow assumptions and assess political, operational and customer-related risks before committing the full investment.</w:t>
      </w:r>
    </w:p>
    <w:p w14:paraId="24752F10" w14:textId="77777777" w:rsidR="00DE47AC" w:rsidRPr="006956C9" w:rsidRDefault="00DE47AC" w:rsidP="006956C9">
      <w:pPr>
        <w:pStyle w:val="Heading2"/>
        <w:rPr>
          <w:rFonts w:ascii="Arial" w:hAnsi="Arial" w:cs="Arial"/>
        </w:rPr>
      </w:pPr>
      <w:bookmarkStart w:id="45" w:name="_Toc237412893"/>
      <w:r w:rsidRPr="006956C9">
        <w:rPr>
          <w:rFonts w:ascii="Arial" w:hAnsi="Arial" w:cs="Arial"/>
        </w:rPr>
        <w:t>5.9 Capital Rationing</w:t>
      </w:r>
      <w:bookmarkEnd w:id="45"/>
    </w:p>
    <w:p w14:paraId="3E9B4337" w14:textId="77777777" w:rsidR="00DE47AC" w:rsidRPr="006956C9" w:rsidRDefault="00DE47AC" w:rsidP="006956C9">
      <w:pPr>
        <w:rPr>
          <w:rFonts w:ascii="Arial" w:hAnsi="Arial" w:cs="Arial"/>
          <w:lang w:val="en-IN"/>
        </w:rPr>
      </w:pPr>
      <w:r w:rsidRPr="006956C9">
        <w:rPr>
          <w:rFonts w:ascii="Arial" w:hAnsi="Arial" w:cs="Arial"/>
          <w:lang w:val="en-IN"/>
        </w:rPr>
        <w:t xml:space="preserve">Marriott has a maximum available investment budget of </w:t>
      </w:r>
      <w:r w:rsidRPr="006956C9">
        <w:rPr>
          <w:rFonts w:ascii="Arial" w:hAnsi="Arial" w:cs="Arial"/>
          <w:b/>
          <w:bCs/>
          <w:lang w:val="en-IN"/>
        </w:rPr>
        <w:t>£100 million</w:t>
      </w:r>
      <w:r w:rsidRPr="006956C9">
        <w:rPr>
          <w:rFonts w:ascii="Arial" w:hAnsi="Arial" w:cs="Arial"/>
          <w:lang w:val="en-IN"/>
        </w:rPr>
        <w:t xml:space="preserve">. Since each project requires £50 million, the company cannot undertake all three projects simultaneously because their combined cost would be </w:t>
      </w:r>
      <w:r w:rsidRPr="006956C9">
        <w:rPr>
          <w:rFonts w:ascii="Arial" w:hAnsi="Arial" w:cs="Arial"/>
          <w:b/>
          <w:bCs/>
          <w:lang w:val="en-IN"/>
        </w:rPr>
        <w:t>£150 million</w:t>
      </w:r>
      <w:r w:rsidRPr="006956C9">
        <w:rPr>
          <w:rFonts w:ascii="Arial" w:hAnsi="Arial" w:cs="Arial"/>
          <w:lang w:val="en-IN"/>
        </w:rPr>
        <w:t>. The relevant combinations are therefore A+B, A+C and B+C, together with individual projects.</w:t>
      </w:r>
    </w:p>
    <w:p w14:paraId="47276B4F" w14:textId="7663C9EC" w:rsidR="00573722" w:rsidRPr="006956C9" w:rsidRDefault="00573722" w:rsidP="006956C9">
      <w:pPr>
        <w:pStyle w:val="Caption"/>
        <w:keepNext/>
        <w:spacing w:line="360" w:lineRule="auto"/>
        <w:jc w:val="center"/>
        <w:rPr>
          <w:rFonts w:ascii="Arial" w:hAnsi="Arial" w:cs="Arial"/>
          <w:color w:val="auto"/>
          <w:sz w:val="24"/>
          <w:szCs w:val="24"/>
        </w:rPr>
      </w:pPr>
      <w:bookmarkStart w:id="46" w:name="_Toc237412689"/>
      <w:r w:rsidRPr="006956C9">
        <w:rPr>
          <w:rFonts w:ascii="Arial" w:hAnsi="Arial" w:cs="Arial"/>
          <w:color w:val="auto"/>
          <w:sz w:val="24"/>
          <w:szCs w:val="24"/>
        </w:rPr>
        <w:lastRenderedPageBreak/>
        <w:t xml:space="preserve">Table </w:t>
      </w:r>
      <w:r w:rsidRPr="006956C9">
        <w:rPr>
          <w:rFonts w:ascii="Arial" w:hAnsi="Arial" w:cs="Arial"/>
          <w:color w:val="auto"/>
          <w:sz w:val="24"/>
          <w:szCs w:val="24"/>
        </w:rPr>
        <w:fldChar w:fldCharType="begin"/>
      </w:r>
      <w:r w:rsidRPr="006956C9">
        <w:rPr>
          <w:rFonts w:ascii="Arial" w:hAnsi="Arial" w:cs="Arial"/>
          <w:color w:val="auto"/>
          <w:sz w:val="24"/>
          <w:szCs w:val="24"/>
        </w:rPr>
        <w:instrText xml:space="preserve"> SEQ Table \* ARABIC </w:instrText>
      </w:r>
      <w:r w:rsidRPr="006956C9">
        <w:rPr>
          <w:rFonts w:ascii="Arial" w:hAnsi="Arial" w:cs="Arial"/>
          <w:color w:val="auto"/>
          <w:sz w:val="24"/>
          <w:szCs w:val="24"/>
        </w:rPr>
        <w:fldChar w:fldCharType="separate"/>
      </w:r>
      <w:r w:rsidR="004443FB" w:rsidRPr="006956C9">
        <w:rPr>
          <w:rFonts w:ascii="Arial" w:hAnsi="Arial" w:cs="Arial"/>
          <w:noProof/>
          <w:color w:val="auto"/>
          <w:sz w:val="24"/>
          <w:szCs w:val="24"/>
        </w:rPr>
        <w:t>8</w:t>
      </w:r>
      <w:r w:rsidRPr="006956C9">
        <w:rPr>
          <w:rFonts w:ascii="Arial" w:hAnsi="Arial" w:cs="Arial"/>
          <w:color w:val="auto"/>
          <w:sz w:val="24"/>
          <w:szCs w:val="24"/>
        </w:rPr>
        <w:fldChar w:fldCharType="end"/>
      </w:r>
      <w:r w:rsidRPr="006956C9">
        <w:rPr>
          <w:rFonts w:ascii="Arial" w:hAnsi="Arial" w:cs="Arial"/>
          <w:color w:val="auto"/>
          <w:sz w:val="24"/>
          <w:szCs w:val="24"/>
        </w:rPr>
        <w:t>: Capital Rationing Analysis</w:t>
      </w:r>
      <w:bookmarkEnd w:id="46"/>
    </w:p>
    <w:tbl>
      <w:tblPr>
        <w:tblStyle w:val="ListTable3-Accent4"/>
        <w:tblW w:w="0" w:type="auto"/>
        <w:jc w:val="center"/>
        <w:tblLook w:val="04A0" w:firstRow="1" w:lastRow="0" w:firstColumn="1" w:lastColumn="0" w:noHBand="0" w:noVBand="1"/>
      </w:tblPr>
      <w:tblGrid>
        <w:gridCol w:w="1683"/>
        <w:gridCol w:w="2057"/>
        <w:gridCol w:w="1923"/>
        <w:gridCol w:w="1910"/>
        <w:gridCol w:w="1217"/>
      </w:tblGrid>
      <w:tr w:rsidR="00DE47AC" w:rsidRPr="006956C9" w14:paraId="171257F3" w14:textId="77777777" w:rsidTr="00573722">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5ABD8784"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Combination</w:t>
            </w:r>
          </w:p>
        </w:tc>
        <w:tc>
          <w:tcPr>
            <w:tcW w:w="0" w:type="auto"/>
            <w:hideMark/>
          </w:tcPr>
          <w:p w14:paraId="3404C718"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Investment (£m)</w:t>
            </w:r>
          </w:p>
        </w:tc>
        <w:tc>
          <w:tcPr>
            <w:tcW w:w="0" w:type="auto"/>
            <w:hideMark/>
          </w:tcPr>
          <w:p w14:paraId="3656AC07"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Total NPV (£m)</w:t>
            </w:r>
          </w:p>
        </w:tc>
        <w:tc>
          <w:tcPr>
            <w:tcW w:w="0" w:type="auto"/>
            <w:hideMark/>
          </w:tcPr>
          <w:p w14:paraId="361246E2"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Within £100m?</w:t>
            </w:r>
          </w:p>
        </w:tc>
        <w:tc>
          <w:tcPr>
            <w:tcW w:w="0" w:type="auto"/>
            <w:hideMark/>
          </w:tcPr>
          <w:p w14:paraId="76362ABC" w14:textId="77777777" w:rsidR="00DE47AC" w:rsidRPr="006956C9" w:rsidRDefault="00DE47AC" w:rsidP="006956C9">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Decision</w:t>
            </w:r>
          </w:p>
        </w:tc>
      </w:tr>
      <w:tr w:rsidR="00DE47AC" w:rsidRPr="006956C9" w14:paraId="284E6A12" w14:textId="77777777" w:rsidTr="00573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C4BD40"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A</w:t>
            </w:r>
          </w:p>
        </w:tc>
        <w:tc>
          <w:tcPr>
            <w:tcW w:w="0" w:type="auto"/>
            <w:hideMark/>
          </w:tcPr>
          <w:p w14:paraId="579D0E06"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3F2FEAD9"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-6.54</w:t>
            </w:r>
          </w:p>
        </w:tc>
        <w:tc>
          <w:tcPr>
            <w:tcW w:w="0" w:type="auto"/>
            <w:hideMark/>
          </w:tcPr>
          <w:p w14:paraId="2C516B8A"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Yes</w:t>
            </w:r>
          </w:p>
        </w:tc>
        <w:tc>
          <w:tcPr>
            <w:tcW w:w="0" w:type="auto"/>
            <w:hideMark/>
          </w:tcPr>
          <w:p w14:paraId="4A974567"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3333D948" w14:textId="77777777" w:rsidTr="0057372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47EC5C"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B</w:t>
            </w:r>
          </w:p>
        </w:tc>
        <w:tc>
          <w:tcPr>
            <w:tcW w:w="0" w:type="auto"/>
            <w:hideMark/>
          </w:tcPr>
          <w:p w14:paraId="59436B9F"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0A84A9AD"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-6.08</w:t>
            </w:r>
          </w:p>
        </w:tc>
        <w:tc>
          <w:tcPr>
            <w:tcW w:w="0" w:type="auto"/>
            <w:hideMark/>
          </w:tcPr>
          <w:p w14:paraId="1E6E0F71"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Yes</w:t>
            </w:r>
          </w:p>
        </w:tc>
        <w:tc>
          <w:tcPr>
            <w:tcW w:w="0" w:type="auto"/>
            <w:hideMark/>
          </w:tcPr>
          <w:p w14:paraId="7F53215D"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25925455" w14:textId="77777777" w:rsidTr="00573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237998"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C</w:t>
            </w:r>
          </w:p>
        </w:tc>
        <w:tc>
          <w:tcPr>
            <w:tcW w:w="0" w:type="auto"/>
            <w:hideMark/>
          </w:tcPr>
          <w:p w14:paraId="56FC9F46"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50</w:t>
            </w:r>
          </w:p>
        </w:tc>
        <w:tc>
          <w:tcPr>
            <w:tcW w:w="0" w:type="auto"/>
            <w:hideMark/>
          </w:tcPr>
          <w:p w14:paraId="34771F37"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+0.86</w:t>
            </w:r>
          </w:p>
        </w:tc>
        <w:tc>
          <w:tcPr>
            <w:tcW w:w="0" w:type="auto"/>
            <w:hideMark/>
          </w:tcPr>
          <w:p w14:paraId="58F55234"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Yes</w:t>
            </w:r>
          </w:p>
        </w:tc>
        <w:tc>
          <w:tcPr>
            <w:tcW w:w="0" w:type="auto"/>
            <w:hideMark/>
          </w:tcPr>
          <w:p w14:paraId="565F6AD5"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Accept</w:t>
            </w:r>
          </w:p>
        </w:tc>
      </w:tr>
      <w:tr w:rsidR="00DE47AC" w:rsidRPr="006956C9" w14:paraId="628A2194" w14:textId="77777777" w:rsidTr="0057372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BA0A61"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A + B</w:t>
            </w:r>
          </w:p>
        </w:tc>
        <w:tc>
          <w:tcPr>
            <w:tcW w:w="0" w:type="auto"/>
            <w:hideMark/>
          </w:tcPr>
          <w:p w14:paraId="712D32B5"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100</w:t>
            </w:r>
          </w:p>
        </w:tc>
        <w:tc>
          <w:tcPr>
            <w:tcW w:w="0" w:type="auto"/>
            <w:hideMark/>
          </w:tcPr>
          <w:p w14:paraId="6DFF332D"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-12.62</w:t>
            </w:r>
          </w:p>
        </w:tc>
        <w:tc>
          <w:tcPr>
            <w:tcW w:w="0" w:type="auto"/>
            <w:hideMark/>
          </w:tcPr>
          <w:p w14:paraId="725B3510"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Yes</w:t>
            </w:r>
          </w:p>
        </w:tc>
        <w:tc>
          <w:tcPr>
            <w:tcW w:w="0" w:type="auto"/>
            <w:hideMark/>
          </w:tcPr>
          <w:p w14:paraId="300FA06C"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73746BA7" w14:textId="77777777" w:rsidTr="00573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371C81"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A + C</w:t>
            </w:r>
          </w:p>
        </w:tc>
        <w:tc>
          <w:tcPr>
            <w:tcW w:w="0" w:type="auto"/>
            <w:hideMark/>
          </w:tcPr>
          <w:p w14:paraId="254D76BA"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100</w:t>
            </w:r>
          </w:p>
        </w:tc>
        <w:tc>
          <w:tcPr>
            <w:tcW w:w="0" w:type="auto"/>
            <w:hideMark/>
          </w:tcPr>
          <w:p w14:paraId="27D08CB2"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-5.69</w:t>
            </w:r>
          </w:p>
        </w:tc>
        <w:tc>
          <w:tcPr>
            <w:tcW w:w="0" w:type="auto"/>
            <w:hideMark/>
          </w:tcPr>
          <w:p w14:paraId="06B25B50"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Yes</w:t>
            </w:r>
          </w:p>
        </w:tc>
        <w:tc>
          <w:tcPr>
            <w:tcW w:w="0" w:type="auto"/>
            <w:hideMark/>
          </w:tcPr>
          <w:p w14:paraId="0365CCF4"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625A62F6" w14:textId="77777777" w:rsidTr="0057372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52DCA7"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B + C</w:t>
            </w:r>
          </w:p>
        </w:tc>
        <w:tc>
          <w:tcPr>
            <w:tcW w:w="0" w:type="auto"/>
            <w:hideMark/>
          </w:tcPr>
          <w:p w14:paraId="09E7DD98"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100</w:t>
            </w:r>
          </w:p>
        </w:tc>
        <w:tc>
          <w:tcPr>
            <w:tcW w:w="0" w:type="auto"/>
            <w:hideMark/>
          </w:tcPr>
          <w:p w14:paraId="1F2CCB6A"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-5.22</w:t>
            </w:r>
          </w:p>
        </w:tc>
        <w:tc>
          <w:tcPr>
            <w:tcW w:w="0" w:type="auto"/>
            <w:hideMark/>
          </w:tcPr>
          <w:p w14:paraId="14846805"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Yes</w:t>
            </w:r>
          </w:p>
        </w:tc>
        <w:tc>
          <w:tcPr>
            <w:tcW w:w="0" w:type="auto"/>
            <w:hideMark/>
          </w:tcPr>
          <w:p w14:paraId="3697385F" w14:textId="77777777" w:rsidR="00DE47AC" w:rsidRPr="006956C9" w:rsidRDefault="00DE47AC" w:rsidP="006956C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r w:rsidR="00DE47AC" w:rsidRPr="006956C9" w14:paraId="38C0D78F" w14:textId="77777777" w:rsidTr="0057372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935806" w14:textId="77777777" w:rsidR="00DE47AC" w:rsidRPr="006956C9" w:rsidRDefault="00DE47AC" w:rsidP="006956C9">
            <w:pPr>
              <w:pStyle w:val="NoSpacing"/>
              <w:spacing w:line="360" w:lineRule="auto"/>
              <w:rPr>
                <w:rFonts w:ascii="Arial" w:hAnsi="Arial" w:cs="Arial"/>
                <w:lang w:val="en-IN"/>
              </w:rPr>
            </w:pPr>
            <w:r w:rsidRPr="006956C9">
              <w:rPr>
                <w:rFonts w:ascii="Arial" w:hAnsi="Arial" w:cs="Arial"/>
                <w:lang w:val="en-IN"/>
              </w:rPr>
              <w:t>A + B + C</w:t>
            </w:r>
          </w:p>
        </w:tc>
        <w:tc>
          <w:tcPr>
            <w:tcW w:w="0" w:type="auto"/>
            <w:hideMark/>
          </w:tcPr>
          <w:p w14:paraId="6FA4C428"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150</w:t>
            </w:r>
          </w:p>
        </w:tc>
        <w:tc>
          <w:tcPr>
            <w:tcW w:w="0" w:type="auto"/>
            <w:hideMark/>
          </w:tcPr>
          <w:p w14:paraId="1F06148A"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-11.77</w:t>
            </w:r>
          </w:p>
        </w:tc>
        <w:tc>
          <w:tcPr>
            <w:tcW w:w="0" w:type="auto"/>
            <w:hideMark/>
          </w:tcPr>
          <w:p w14:paraId="474EBC16"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No</w:t>
            </w:r>
          </w:p>
        </w:tc>
        <w:tc>
          <w:tcPr>
            <w:tcW w:w="0" w:type="auto"/>
            <w:hideMark/>
          </w:tcPr>
          <w:p w14:paraId="32927C8C" w14:textId="77777777" w:rsidR="00DE47AC" w:rsidRPr="006956C9" w:rsidRDefault="00DE47AC" w:rsidP="006956C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956C9">
              <w:rPr>
                <w:rFonts w:ascii="Arial" w:hAnsi="Arial" w:cs="Arial"/>
                <w:lang w:val="en-IN"/>
              </w:rPr>
              <w:t>Reject</w:t>
            </w:r>
          </w:p>
        </w:tc>
      </w:tr>
    </w:tbl>
    <w:p w14:paraId="6227A9C1" w14:textId="400122CF" w:rsidR="00DE47AC" w:rsidRPr="006956C9" w:rsidRDefault="00DE47AC" w:rsidP="006956C9">
      <w:pPr>
        <w:rPr>
          <w:rFonts w:ascii="Arial" w:hAnsi="Arial" w:cs="Arial"/>
          <w:lang w:val="en-IN"/>
        </w:rPr>
      </w:pPr>
      <w:r w:rsidRPr="006956C9">
        <w:rPr>
          <w:rFonts w:ascii="Arial" w:hAnsi="Arial" w:cs="Arial"/>
          <w:lang w:val="en-IN"/>
        </w:rPr>
        <w:t>The capital-rationing analysis produces a clear result. Although A+C and B+C use the full £100 million budget, both combinations generate negative total NPV because the negative NPV of Projects A or B more than offsets Project C's positive NPV. Consequently, investing only £50 million in Project C produces the highest feasible total NPV of +£0.86 million. This is important from a CFO perspective because capital rationing should not automatically mean that the entire available budget is spent. The objective is to maximise shareholder value rather than maximise capital utilisation. Marriott should therefore retain the remaining £50 million rather than commit it to Projects A or B, unless additional strategic or financial information changes their expected returns.</w:t>
      </w:r>
    </w:p>
    <w:p w14:paraId="26A83E5C" w14:textId="77777777" w:rsidR="00DE47AC" w:rsidRPr="006956C9" w:rsidRDefault="00DE47AC" w:rsidP="006956C9">
      <w:pPr>
        <w:pStyle w:val="Heading2"/>
        <w:rPr>
          <w:rFonts w:ascii="Arial" w:hAnsi="Arial" w:cs="Arial"/>
        </w:rPr>
      </w:pPr>
      <w:bookmarkStart w:id="47" w:name="_Toc237412894"/>
      <w:r w:rsidRPr="006956C9">
        <w:rPr>
          <w:rFonts w:ascii="Arial" w:hAnsi="Arial" w:cs="Arial"/>
        </w:rPr>
        <w:t>5.10 Overall Investment Decision</w:t>
      </w:r>
      <w:bookmarkEnd w:id="47"/>
    </w:p>
    <w:p w14:paraId="38DD8C22" w14:textId="45055082" w:rsidR="00DE47AC" w:rsidRPr="006956C9" w:rsidRDefault="00DE47AC" w:rsidP="006956C9">
      <w:pPr>
        <w:rPr>
          <w:rFonts w:ascii="Arial" w:hAnsi="Arial" w:cs="Arial"/>
          <w:lang w:val="en-IN"/>
        </w:rPr>
      </w:pPr>
      <w:r w:rsidRPr="006956C9">
        <w:rPr>
          <w:rFonts w:ascii="Arial" w:hAnsi="Arial" w:cs="Arial"/>
          <w:lang w:val="en-IN"/>
        </w:rPr>
        <w:t xml:space="preserve">Overall, </w:t>
      </w:r>
      <w:r w:rsidRPr="006956C9">
        <w:rPr>
          <w:rFonts w:ascii="Arial" w:hAnsi="Arial" w:cs="Arial"/>
          <w:b/>
          <w:bCs/>
          <w:lang w:val="en-IN"/>
        </w:rPr>
        <w:t>Project C is the strongest investment choice</w:t>
      </w:r>
      <w:r w:rsidRPr="006956C9">
        <w:rPr>
          <w:rFonts w:ascii="Arial" w:hAnsi="Arial" w:cs="Arial"/>
          <w:lang w:val="en-IN"/>
        </w:rPr>
        <w:t>. It provides the shortest payback period of 3.60 years, the highest ARR of 6%, a positive NPV of £0.86 million, a PI of 1.02 and an IRR of 8.59%. Projects A and B should not be selected under the current assumptions because both destroy value at the 8% required return.</w:t>
      </w:r>
      <w:r w:rsidR="00DB35C1" w:rsidRPr="006956C9">
        <w:rPr>
          <w:rFonts w:ascii="Arial" w:hAnsi="Arial" w:cs="Arial"/>
          <w:lang w:val="en-IN"/>
        </w:rPr>
        <w:t xml:space="preserve"> </w:t>
      </w:r>
      <w:r w:rsidRPr="006956C9">
        <w:rPr>
          <w:rFonts w:ascii="Arial" w:hAnsi="Arial" w:cs="Arial"/>
          <w:lang w:val="en-IN"/>
        </w:rPr>
        <w:t xml:space="preserve">Under the £100 million capital constraint, </w:t>
      </w:r>
      <w:r w:rsidRPr="006956C9">
        <w:rPr>
          <w:rFonts w:ascii="Arial" w:hAnsi="Arial" w:cs="Arial"/>
          <w:b/>
          <w:bCs/>
          <w:lang w:val="en-IN"/>
        </w:rPr>
        <w:t>Project C alone should be selected</w:t>
      </w:r>
      <w:r w:rsidRPr="006956C9">
        <w:rPr>
          <w:rFonts w:ascii="Arial" w:hAnsi="Arial" w:cs="Arial"/>
          <w:lang w:val="en-IN"/>
        </w:rPr>
        <w:t>. The remaining capital should be retained for future value-creating opportunities, liquidity strengthening or debt management rather than invested in projects with negative NPVs. This recommendation aligns investment appraisal with Marriott's wider financial position, where strong operating cash generation must be balanced against weak liquidity, rising leverage and the need to preserve financial flexibility.</w:t>
      </w:r>
    </w:p>
    <w:p w14:paraId="4B297A11" w14:textId="773F930A" w:rsidR="008E4DEB" w:rsidRPr="006956C9" w:rsidRDefault="008E4DEB" w:rsidP="006956C9">
      <w:pPr>
        <w:pStyle w:val="Heading1"/>
        <w:rPr>
          <w:rFonts w:ascii="Arial" w:hAnsi="Arial" w:cs="Arial"/>
          <w:lang w:val="en-IN"/>
        </w:rPr>
      </w:pPr>
      <w:bookmarkStart w:id="48" w:name="_Toc237412895"/>
      <w:r w:rsidRPr="006956C9">
        <w:rPr>
          <w:rFonts w:ascii="Arial" w:hAnsi="Arial" w:cs="Arial"/>
          <w:lang w:val="en-IN"/>
        </w:rPr>
        <w:lastRenderedPageBreak/>
        <w:t>6. Conclusion</w:t>
      </w:r>
      <w:bookmarkEnd w:id="48"/>
    </w:p>
    <w:p w14:paraId="113CCD99" w14:textId="77777777" w:rsidR="008E4DEB" w:rsidRPr="006956C9" w:rsidRDefault="008E4DEB" w:rsidP="006956C9">
      <w:pPr>
        <w:rPr>
          <w:rFonts w:ascii="Arial" w:hAnsi="Arial" w:cs="Arial"/>
          <w:lang w:val="en-IN"/>
        </w:rPr>
      </w:pPr>
      <w:r w:rsidRPr="006956C9">
        <w:rPr>
          <w:rFonts w:ascii="Arial" w:hAnsi="Arial" w:cs="Arial"/>
          <w:lang w:val="en-IN"/>
        </w:rPr>
        <w:t xml:space="preserve">Overall, Marriott International demonstrates strong financial recovery and operational performance between 2021 and 2025, with revenue, operating income and operating cash flow increasing substantially. However, the analysis also identifies significant financial weaknesses, particularly declining liquidity, rising debt, increasing interest costs and a negative equity position. The recommended financial restructuring therefore prioritises working-capital improvement, debt refinancing, disciplined capital allocation and selective rather than excessive borrowing. The investment appraisal further indicates that </w:t>
      </w:r>
      <w:r w:rsidRPr="006956C9">
        <w:rPr>
          <w:rFonts w:ascii="Arial" w:hAnsi="Arial" w:cs="Arial"/>
          <w:b/>
          <w:bCs/>
          <w:lang w:val="en-IN"/>
        </w:rPr>
        <w:t>Project C is the strongest investment</w:t>
      </w:r>
      <w:r w:rsidRPr="006956C9">
        <w:rPr>
          <w:rFonts w:ascii="Arial" w:hAnsi="Arial" w:cs="Arial"/>
          <w:lang w:val="en-IN"/>
        </w:rPr>
        <w:t>, achieving the shortest payback period, highest ARR, positive NPV, PI above one and an IRR above the 8% required return. Under the £100 million capital constraint, investing only £50 million in Project C maximises value while avoiding value-destroying projects A and B. Overall, Marriott should balance growth ambitions with stronger liquidity, prudent leverage management and long-term shareholder value creation.</w:t>
      </w:r>
    </w:p>
    <w:p w14:paraId="4172106C" w14:textId="77777777" w:rsidR="00D50E1E" w:rsidRPr="006956C9" w:rsidRDefault="00D50E1E" w:rsidP="006956C9">
      <w:pPr>
        <w:rPr>
          <w:rFonts w:ascii="Arial" w:hAnsi="Arial" w:cs="Arial"/>
        </w:rPr>
      </w:pPr>
    </w:p>
    <w:p w14:paraId="505298CE" w14:textId="0BBCEA03" w:rsidR="008E4DEB" w:rsidRPr="006956C9" w:rsidRDefault="008E4DEB" w:rsidP="006956C9">
      <w:pPr>
        <w:spacing w:before="0" w:after="160"/>
        <w:jc w:val="left"/>
        <w:rPr>
          <w:rFonts w:ascii="Arial" w:hAnsi="Arial" w:cs="Arial"/>
        </w:rPr>
      </w:pPr>
      <w:r w:rsidRPr="006956C9">
        <w:rPr>
          <w:rFonts w:ascii="Arial" w:hAnsi="Arial" w:cs="Arial"/>
        </w:rPr>
        <w:br w:type="page"/>
      </w:r>
    </w:p>
    <w:p w14:paraId="696A1A07" w14:textId="170B7364" w:rsidR="008E4DEB" w:rsidRPr="006956C9" w:rsidRDefault="008E4DEB" w:rsidP="006956C9">
      <w:pPr>
        <w:pStyle w:val="Heading1"/>
        <w:rPr>
          <w:rFonts w:ascii="Arial" w:hAnsi="Arial" w:cs="Arial"/>
        </w:rPr>
      </w:pPr>
      <w:bookmarkStart w:id="49" w:name="_Toc237412896"/>
      <w:r w:rsidRPr="006956C9">
        <w:rPr>
          <w:rFonts w:ascii="Arial" w:hAnsi="Arial" w:cs="Arial"/>
        </w:rPr>
        <w:lastRenderedPageBreak/>
        <w:t>7. References</w:t>
      </w:r>
      <w:bookmarkEnd w:id="49"/>
    </w:p>
    <w:p w14:paraId="6EFBA0FE" w14:textId="77777777" w:rsidR="007D06D9" w:rsidRPr="006956C9" w:rsidRDefault="007D06D9" w:rsidP="006956C9">
      <w:pPr>
        <w:rPr>
          <w:rFonts w:ascii="Arial" w:hAnsi="Arial" w:cs="Arial"/>
        </w:rPr>
      </w:pPr>
      <w:r w:rsidRPr="006956C9">
        <w:rPr>
          <w:rFonts w:ascii="Arial" w:hAnsi="Arial" w:cs="Arial"/>
        </w:rPr>
        <w:t>Abu Hassan, A., Husin, M.S.H. and Md Zani, R., 2025. Bank-based short-term funds: supporting working capital and business continuity. </w:t>
      </w:r>
      <w:r w:rsidRPr="006956C9">
        <w:rPr>
          <w:rFonts w:ascii="Arial" w:hAnsi="Arial" w:cs="Arial"/>
          <w:i/>
          <w:iCs/>
        </w:rPr>
        <w:t>FBM Insights</w:t>
      </w:r>
      <w:r w:rsidRPr="006956C9">
        <w:rPr>
          <w:rFonts w:ascii="Arial" w:hAnsi="Arial" w:cs="Arial"/>
        </w:rPr>
        <w:t>, </w:t>
      </w:r>
      <w:r w:rsidRPr="006956C9">
        <w:rPr>
          <w:rFonts w:ascii="Arial" w:hAnsi="Arial" w:cs="Arial"/>
          <w:i/>
          <w:iCs/>
        </w:rPr>
        <w:t>12</w:t>
      </w:r>
      <w:r w:rsidRPr="006956C9">
        <w:rPr>
          <w:rFonts w:ascii="Arial" w:hAnsi="Arial" w:cs="Arial"/>
        </w:rPr>
        <w:t>, pp.30-32.</w:t>
      </w:r>
    </w:p>
    <w:p w14:paraId="465C1DF9" w14:textId="77777777" w:rsidR="007D06D9" w:rsidRPr="006956C9" w:rsidRDefault="007D06D9" w:rsidP="006956C9">
      <w:pPr>
        <w:rPr>
          <w:rFonts w:ascii="Arial" w:hAnsi="Arial" w:cs="Arial"/>
        </w:rPr>
      </w:pPr>
      <w:r w:rsidRPr="006956C9">
        <w:rPr>
          <w:rFonts w:ascii="Arial" w:hAnsi="Arial" w:cs="Arial"/>
        </w:rPr>
        <w:t>Celestin, M., 2022. The Role of Corporate Mergers and Acquisitions in Financial Performance: Analyzing the Success and Failures of Major M&amp;A Deals. </w:t>
      </w:r>
      <w:r w:rsidRPr="006956C9">
        <w:rPr>
          <w:rFonts w:ascii="Arial" w:hAnsi="Arial" w:cs="Arial"/>
          <w:i/>
          <w:iCs/>
        </w:rPr>
        <w:t>Brainae Journal of Business, Sciences and Technology</w:t>
      </w:r>
      <w:r w:rsidRPr="006956C9">
        <w:rPr>
          <w:rFonts w:ascii="Arial" w:hAnsi="Arial" w:cs="Arial"/>
        </w:rPr>
        <w:t>, </w:t>
      </w:r>
      <w:r w:rsidRPr="006956C9">
        <w:rPr>
          <w:rFonts w:ascii="Arial" w:hAnsi="Arial" w:cs="Arial"/>
          <w:i/>
          <w:iCs/>
        </w:rPr>
        <w:t>6</w:t>
      </w:r>
      <w:r w:rsidRPr="006956C9">
        <w:rPr>
          <w:rFonts w:ascii="Arial" w:hAnsi="Arial" w:cs="Arial"/>
        </w:rPr>
        <w:t>(4), pp.930-940.</w:t>
      </w:r>
    </w:p>
    <w:p w14:paraId="56F6A103" w14:textId="77777777" w:rsidR="007D06D9" w:rsidRPr="006956C9" w:rsidRDefault="007D06D9" w:rsidP="006956C9">
      <w:pPr>
        <w:rPr>
          <w:rFonts w:ascii="Arial" w:hAnsi="Arial" w:cs="Arial"/>
        </w:rPr>
      </w:pPr>
      <w:r w:rsidRPr="006956C9">
        <w:rPr>
          <w:rFonts w:ascii="Arial" w:hAnsi="Arial" w:cs="Arial"/>
        </w:rPr>
        <w:t>Corredor, S. and Mahoney, J.T., 2021. Multi-business firms’ corporate renewal decisions: Divestiture governance mode choice of corporate spin-offs and equity carve-outs. </w:t>
      </w:r>
      <w:r w:rsidRPr="006956C9">
        <w:rPr>
          <w:rFonts w:ascii="Arial" w:hAnsi="Arial" w:cs="Arial"/>
          <w:i/>
          <w:iCs/>
        </w:rPr>
        <w:t>Strategic Management Review</w:t>
      </w:r>
      <w:r w:rsidRPr="006956C9">
        <w:rPr>
          <w:rFonts w:ascii="Arial" w:hAnsi="Arial" w:cs="Arial"/>
        </w:rPr>
        <w:t>, </w:t>
      </w:r>
      <w:r w:rsidRPr="006956C9">
        <w:rPr>
          <w:rFonts w:ascii="Arial" w:hAnsi="Arial" w:cs="Arial"/>
          <w:i/>
          <w:iCs/>
        </w:rPr>
        <w:t>2</w:t>
      </w:r>
      <w:r w:rsidRPr="006956C9">
        <w:rPr>
          <w:rFonts w:ascii="Arial" w:hAnsi="Arial" w:cs="Arial"/>
        </w:rPr>
        <w:t>(2), pp.235-280.</w:t>
      </w:r>
    </w:p>
    <w:p w14:paraId="4E8BDBD6" w14:textId="77777777" w:rsidR="007D06D9" w:rsidRPr="006956C9" w:rsidRDefault="007D06D9" w:rsidP="006956C9">
      <w:pPr>
        <w:rPr>
          <w:rFonts w:ascii="Arial" w:hAnsi="Arial" w:cs="Arial"/>
        </w:rPr>
      </w:pPr>
      <w:r w:rsidRPr="006956C9">
        <w:rPr>
          <w:rFonts w:ascii="Arial" w:hAnsi="Arial" w:cs="Arial"/>
        </w:rPr>
        <w:t>Fardous, M., 2025. Predictive analytics for working capital management: Machine learning applications in cash flow and liquidity forecasting. </w:t>
      </w:r>
      <w:r w:rsidRPr="006956C9">
        <w:rPr>
          <w:rFonts w:ascii="Arial" w:hAnsi="Arial" w:cs="Arial"/>
          <w:i/>
          <w:iCs/>
        </w:rPr>
        <w:t>American Journal of Scholarly Research and Innovation</w:t>
      </w:r>
      <w:r w:rsidRPr="006956C9">
        <w:rPr>
          <w:rFonts w:ascii="Arial" w:hAnsi="Arial" w:cs="Arial"/>
        </w:rPr>
        <w:t>, </w:t>
      </w:r>
      <w:r w:rsidRPr="006956C9">
        <w:rPr>
          <w:rFonts w:ascii="Arial" w:hAnsi="Arial" w:cs="Arial"/>
          <w:i/>
          <w:iCs/>
        </w:rPr>
        <w:t>4</w:t>
      </w:r>
      <w:r w:rsidRPr="006956C9">
        <w:rPr>
          <w:rFonts w:ascii="Arial" w:hAnsi="Arial" w:cs="Arial"/>
        </w:rPr>
        <w:t>(01), pp.662-694.</w:t>
      </w:r>
    </w:p>
    <w:p w14:paraId="667D8239" w14:textId="77777777" w:rsidR="007D06D9" w:rsidRPr="006956C9" w:rsidRDefault="007D06D9" w:rsidP="006956C9">
      <w:pPr>
        <w:rPr>
          <w:rFonts w:ascii="Arial" w:hAnsi="Arial" w:cs="Arial"/>
        </w:rPr>
      </w:pPr>
      <w:r w:rsidRPr="006956C9">
        <w:rPr>
          <w:rFonts w:ascii="Arial" w:hAnsi="Arial" w:cs="Arial"/>
        </w:rPr>
        <w:t>Fligstein, N. and Goldstein, A., 2022. The legacy of shareholder value capitalism. </w:t>
      </w:r>
      <w:r w:rsidRPr="006956C9">
        <w:rPr>
          <w:rFonts w:ascii="Arial" w:hAnsi="Arial" w:cs="Arial"/>
          <w:i/>
          <w:iCs/>
        </w:rPr>
        <w:t>Annual Review of Sociology</w:t>
      </w:r>
      <w:r w:rsidRPr="006956C9">
        <w:rPr>
          <w:rFonts w:ascii="Arial" w:hAnsi="Arial" w:cs="Arial"/>
        </w:rPr>
        <w:t>, </w:t>
      </w:r>
      <w:r w:rsidRPr="006956C9">
        <w:rPr>
          <w:rFonts w:ascii="Arial" w:hAnsi="Arial" w:cs="Arial"/>
          <w:i/>
          <w:iCs/>
        </w:rPr>
        <w:t>48</w:t>
      </w:r>
      <w:r w:rsidRPr="006956C9">
        <w:rPr>
          <w:rFonts w:ascii="Arial" w:hAnsi="Arial" w:cs="Arial"/>
        </w:rPr>
        <w:t>, pp.193-211.</w:t>
      </w:r>
    </w:p>
    <w:p w14:paraId="77F9AA9B" w14:textId="77777777" w:rsidR="007D06D9" w:rsidRPr="006956C9" w:rsidRDefault="007D06D9" w:rsidP="006956C9">
      <w:pPr>
        <w:rPr>
          <w:rFonts w:ascii="Arial" w:hAnsi="Arial" w:cs="Arial"/>
        </w:rPr>
      </w:pPr>
      <w:r w:rsidRPr="006956C9">
        <w:rPr>
          <w:rFonts w:ascii="Arial" w:hAnsi="Arial" w:cs="Arial"/>
        </w:rPr>
        <w:t>Foaleng Fokam, G.M., 2026. Credit Rating Agencies, Global Debt Expansion, and the Shift from Repayment Provisioning to Refinancing Capacity. </w:t>
      </w:r>
      <w:r w:rsidRPr="006956C9">
        <w:rPr>
          <w:rFonts w:ascii="Arial" w:hAnsi="Arial" w:cs="Arial"/>
          <w:i/>
          <w:iCs/>
        </w:rPr>
        <w:t>Global Debt Expansion, and the Shift from Repayment Provisioning to Refinancing Capacity (June 22, 2026)</w:t>
      </w:r>
      <w:r w:rsidRPr="006956C9">
        <w:rPr>
          <w:rFonts w:ascii="Arial" w:hAnsi="Arial" w:cs="Arial"/>
        </w:rPr>
        <w:t>.</w:t>
      </w:r>
    </w:p>
    <w:p w14:paraId="4012FDB6" w14:textId="77777777" w:rsidR="007D06D9" w:rsidRPr="006956C9" w:rsidRDefault="007D06D9" w:rsidP="006956C9">
      <w:pPr>
        <w:rPr>
          <w:rFonts w:ascii="Arial" w:hAnsi="Arial" w:cs="Arial"/>
        </w:rPr>
      </w:pPr>
      <w:r w:rsidRPr="006956C9">
        <w:rPr>
          <w:rFonts w:ascii="Arial" w:hAnsi="Arial" w:cs="Arial"/>
        </w:rPr>
        <w:t>Fried, D., 2023. </w:t>
      </w:r>
      <w:r w:rsidRPr="006956C9">
        <w:rPr>
          <w:rFonts w:ascii="Arial" w:hAnsi="Arial" w:cs="Arial"/>
          <w:i/>
          <w:iCs/>
        </w:rPr>
        <w:t>The US Dollar as an international currency and its economic effects</w:t>
      </w:r>
      <w:r w:rsidRPr="006956C9">
        <w:rPr>
          <w:rFonts w:ascii="Arial" w:hAnsi="Arial" w:cs="Arial"/>
        </w:rPr>
        <w:t>. Washington, DC: Congressional Budget Office.</w:t>
      </w:r>
    </w:p>
    <w:p w14:paraId="339BFD45" w14:textId="77777777" w:rsidR="007D06D9" w:rsidRPr="006956C9" w:rsidRDefault="007D06D9" w:rsidP="006956C9">
      <w:pPr>
        <w:rPr>
          <w:rFonts w:ascii="Arial" w:hAnsi="Arial" w:cs="Arial"/>
        </w:rPr>
      </w:pPr>
      <w:r w:rsidRPr="006956C9">
        <w:rPr>
          <w:rFonts w:ascii="Arial" w:hAnsi="Arial" w:cs="Arial"/>
        </w:rPr>
        <w:t>Gueblaoui, A., 2026. CORPORATE TREASURY OPTIMIZATION AND DEBT SUSTAINABILITY STRATEGIES IN SAUDI INDUSTRIAL SECTORS UNDER VISION 2030. </w:t>
      </w:r>
      <w:r w:rsidRPr="006956C9">
        <w:rPr>
          <w:rFonts w:ascii="Arial" w:hAnsi="Arial" w:cs="Arial"/>
          <w:i/>
          <w:iCs/>
        </w:rPr>
        <w:t>Veredas do Direito</w:t>
      </w:r>
      <w:r w:rsidRPr="006956C9">
        <w:rPr>
          <w:rFonts w:ascii="Arial" w:hAnsi="Arial" w:cs="Arial"/>
        </w:rPr>
        <w:t>, </w:t>
      </w:r>
      <w:r w:rsidRPr="006956C9">
        <w:rPr>
          <w:rFonts w:ascii="Arial" w:hAnsi="Arial" w:cs="Arial"/>
          <w:i/>
          <w:iCs/>
        </w:rPr>
        <w:t>23</w:t>
      </w:r>
      <w:r w:rsidRPr="006956C9">
        <w:rPr>
          <w:rFonts w:ascii="Arial" w:hAnsi="Arial" w:cs="Arial"/>
        </w:rPr>
        <w:t>(13), pp.e236915-e236915.</w:t>
      </w:r>
    </w:p>
    <w:p w14:paraId="025004DB" w14:textId="77777777" w:rsidR="007D06D9" w:rsidRPr="006956C9" w:rsidRDefault="007D06D9" w:rsidP="006956C9">
      <w:pPr>
        <w:rPr>
          <w:rFonts w:ascii="Arial" w:hAnsi="Arial" w:cs="Arial"/>
        </w:rPr>
      </w:pPr>
      <w:r w:rsidRPr="006956C9">
        <w:rPr>
          <w:rFonts w:ascii="Arial" w:hAnsi="Arial" w:cs="Arial"/>
        </w:rPr>
        <w:t>Hafidzoh, S. and Suhartati, T., 2026. Internal Control over Accounts Receivable to Mitigate Client Payment Delays in a Creative Agency. </w:t>
      </w:r>
      <w:r w:rsidRPr="006956C9">
        <w:rPr>
          <w:rFonts w:ascii="Arial" w:hAnsi="Arial" w:cs="Arial"/>
          <w:i/>
          <w:iCs/>
        </w:rPr>
        <w:t>Jurnal Sains Sosio Humaniora</w:t>
      </w:r>
      <w:r w:rsidRPr="006956C9">
        <w:rPr>
          <w:rFonts w:ascii="Arial" w:hAnsi="Arial" w:cs="Arial"/>
        </w:rPr>
        <w:t>, </w:t>
      </w:r>
      <w:r w:rsidRPr="006956C9">
        <w:rPr>
          <w:rFonts w:ascii="Arial" w:hAnsi="Arial" w:cs="Arial"/>
          <w:i/>
          <w:iCs/>
        </w:rPr>
        <w:t>10</w:t>
      </w:r>
      <w:r w:rsidRPr="006956C9">
        <w:rPr>
          <w:rFonts w:ascii="Arial" w:hAnsi="Arial" w:cs="Arial"/>
        </w:rPr>
        <w:t>(2), pp.575-586.</w:t>
      </w:r>
    </w:p>
    <w:p w14:paraId="52D6EF4B" w14:textId="77777777" w:rsidR="007D06D9" w:rsidRPr="006956C9" w:rsidRDefault="007D06D9" w:rsidP="006956C9">
      <w:pPr>
        <w:rPr>
          <w:rFonts w:ascii="Arial" w:hAnsi="Arial" w:cs="Arial"/>
        </w:rPr>
      </w:pPr>
      <w:r w:rsidRPr="006956C9">
        <w:rPr>
          <w:rFonts w:ascii="Arial" w:hAnsi="Arial" w:cs="Arial"/>
        </w:rPr>
        <w:t xml:space="preserve">Marriott, 2022. </w:t>
      </w:r>
      <w:r w:rsidRPr="006956C9">
        <w:rPr>
          <w:rFonts w:ascii="Arial" w:hAnsi="Arial" w:cs="Arial"/>
          <w:i/>
          <w:iCs/>
        </w:rPr>
        <w:t>2021 ANNUAL REPORT.</w:t>
      </w:r>
      <w:r w:rsidRPr="006956C9">
        <w:rPr>
          <w:rFonts w:ascii="Arial" w:hAnsi="Arial" w:cs="Arial"/>
        </w:rPr>
        <w:t xml:space="preserve"> [online] available at </w:t>
      </w:r>
      <w:hyperlink r:id="rId16" w:history="1">
        <w:r w:rsidRPr="006956C9">
          <w:rPr>
            <w:rStyle w:val="Hyperlink"/>
            <w:rFonts w:ascii="Arial" w:hAnsi="Arial" w:cs="Arial"/>
          </w:rPr>
          <w:t>https://marriott.gcs-web.com/static-files/33ba0a19-8a68-4f3f-9f73-fef2c458c22e</w:t>
        </w:r>
      </w:hyperlink>
    </w:p>
    <w:p w14:paraId="1AA6F0C2" w14:textId="77777777" w:rsidR="007D06D9" w:rsidRPr="006956C9" w:rsidRDefault="007D06D9" w:rsidP="006956C9">
      <w:pPr>
        <w:rPr>
          <w:rFonts w:ascii="Arial" w:hAnsi="Arial" w:cs="Arial"/>
        </w:rPr>
      </w:pPr>
      <w:r w:rsidRPr="006956C9">
        <w:rPr>
          <w:rFonts w:ascii="Arial" w:hAnsi="Arial" w:cs="Arial"/>
        </w:rPr>
        <w:t xml:space="preserve">Marriott, 2023. </w:t>
      </w:r>
      <w:r w:rsidRPr="006956C9">
        <w:rPr>
          <w:rFonts w:ascii="Arial" w:hAnsi="Arial" w:cs="Arial"/>
          <w:i/>
          <w:iCs/>
        </w:rPr>
        <w:t>2022 ANNUAL REPORT.</w:t>
      </w:r>
      <w:r w:rsidRPr="006956C9">
        <w:rPr>
          <w:rFonts w:ascii="Arial" w:hAnsi="Arial" w:cs="Arial"/>
        </w:rPr>
        <w:t xml:space="preserve"> [online] available at </w:t>
      </w:r>
      <w:hyperlink r:id="rId17" w:history="1">
        <w:r w:rsidRPr="006956C9">
          <w:rPr>
            <w:rStyle w:val="Hyperlink"/>
            <w:rFonts w:ascii="Arial" w:hAnsi="Arial" w:cs="Arial"/>
          </w:rPr>
          <w:t>https://marriott.gcs-web.com/static-files/c0fb865c-15b1-4166-9846-49b548da1ce4</w:t>
        </w:r>
      </w:hyperlink>
    </w:p>
    <w:p w14:paraId="116F0B29" w14:textId="77777777" w:rsidR="007D06D9" w:rsidRPr="006956C9" w:rsidRDefault="007D06D9" w:rsidP="006956C9">
      <w:pPr>
        <w:rPr>
          <w:rFonts w:ascii="Arial" w:hAnsi="Arial" w:cs="Arial"/>
        </w:rPr>
      </w:pPr>
      <w:r w:rsidRPr="006956C9">
        <w:rPr>
          <w:rFonts w:ascii="Arial" w:hAnsi="Arial" w:cs="Arial"/>
        </w:rPr>
        <w:lastRenderedPageBreak/>
        <w:t xml:space="preserve">Marriott, 2024. </w:t>
      </w:r>
      <w:r w:rsidRPr="006956C9">
        <w:rPr>
          <w:rFonts w:ascii="Arial" w:hAnsi="Arial" w:cs="Arial"/>
          <w:i/>
          <w:iCs/>
        </w:rPr>
        <w:t>2023 ANNUAL REPORT.</w:t>
      </w:r>
      <w:r w:rsidRPr="006956C9">
        <w:rPr>
          <w:rFonts w:ascii="Arial" w:hAnsi="Arial" w:cs="Arial"/>
        </w:rPr>
        <w:t xml:space="preserve"> [online] available at </w:t>
      </w:r>
      <w:hyperlink r:id="rId18" w:history="1">
        <w:r w:rsidRPr="006956C9">
          <w:rPr>
            <w:rStyle w:val="Hyperlink"/>
            <w:rFonts w:ascii="Arial" w:hAnsi="Arial" w:cs="Arial"/>
          </w:rPr>
          <w:t>https://marriott.gcs-web.com/static-files/bb2be39e-790e-49c3-b247-3ce75f0e3ee8</w:t>
        </w:r>
      </w:hyperlink>
    </w:p>
    <w:p w14:paraId="6C0BDEB6" w14:textId="77777777" w:rsidR="007D06D9" w:rsidRPr="006956C9" w:rsidRDefault="007D06D9" w:rsidP="006956C9">
      <w:pPr>
        <w:rPr>
          <w:rFonts w:ascii="Arial" w:hAnsi="Arial" w:cs="Arial"/>
        </w:rPr>
      </w:pPr>
      <w:r w:rsidRPr="006956C9">
        <w:rPr>
          <w:rFonts w:ascii="Arial" w:hAnsi="Arial" w:cs="Arial"/>
        </w:rPr>
        <w:t xml:space="preserve">Marriott, 2025. </w:t>
      </w:r>
      <w:r w:rsidRPr="006956C9">
        <w:rPr>
          <w:rFonts w:ascii="Arial" w:hAnsi="Arial" w:cs="Arial"/>
          <w:i/>
          <w:iCs/>
        </w:rPr>
        <w:t>ANNUAL REPORT - Investor Relations | Marriott International.</w:t>
      </w:r>
      <w:r w:rsidRPr="006956C9">
        <w:rPr>
          <w:rFonts w:ascii="Arial" w:hAnsi="Arial" w:cs="Arial"/>
        </w:rPr>
        <w:t xml:space="preserve"> [online] available at </w:t>
      </w:r>
      <w:hyperlink r:id="rId19" w:history="1">
        <w:r w:rsidRPr="006956C9">
          <w:rPr>
            <w:rStyle w:val="Hyperlink"/>
            <w:rFonts w:ascii="Arial" w:hAnsi="Arial" w:cs="Arial"/>
          </w:rPr>
          <w:t>https://marriott.gcs-web.com/annual</w:t>
        </w:r>
      </w:hyperlink>
    </w:p>
    <w:p w14:paraId="1E6BDC83" w14:textId="77777777" w:rsidR="007D06D9" w:rsidRPr="006956C9" w:rsidRDefault="007D06D9" w:rsidP="006956C9">
      <w:pPr>
        <w:rPr>
          <w:rFonts w:ascii="Arial" w:hAnsi="Arial" w:cs="Arial"/>
        </w:rPr>
      </w:pPr>
      <w:r w:rsidRPr="006956C9">
        <w:rPr>
          <w:rFonts w:ascii="Arial" w:hAnsi="Arial" w:cs="Arial"/>
        </w:rPr>
        <w:t xml:space="preserve">Marriott, 2026. </w:t>
      </w:r>
      <w:r w:rsidRPr="006956C9">
        <w:rPr>
          <w:rFonts w:ascii="Arial" w:hAnsi="Arial" w:cs="Arial"/>
          <w:i/>
          <w:iCs/>
        </w:rPr>
        <w:t>We Are Marriott International.</w:t>
      </w:r>
      <w:r w:rsidRPr="006956C9">
        <w:rPr>
          <w:rFonts w:ascii="Arial" w:hAnsi="Arial" w:cs="Arial"/>
        </w:rPr>
        <w:t xml:space="preserve"> [online] available at </w:t>
      </w:r>
      <w:hyperlink r:id="rId20" w:history="1">
        <w:r w:rsidRPr="006956C9">
          <w:rPr>
            <w:rStyle w:val="Hyperlink"/>
            <w:rFonts w:ascii="Arial" w:hAnsi="Arial" w:cs="Arial"/>
          </w:rPr>
          <w:t>https://www.marriott.com/marriott/aboutmarriott.mi</w:t>
        </w:r>
      </w:hyperlink>
    </w:p>
    <w:p w14:paraId="2AF752C0" w14:textId="77777777" w:rsidR="007D06D9" w:rsidRPr="006956C9" w:rsidRDefault="007D06D9" w:rsidP="006956C9">
      <w:pPr>
        <w:rPr>
          <w:rFonts w:ascii="Arial" w:hAnsi="Arial" w:cs="Arial"/>
        </w:rPr>
      </w:pPr>
      <w:r w:rsidRPr="006956C9">
        <w:rPr>
          <w:rFonts w:ascii="Arial" w:hAnsi="Arial" w:cs="Arial"/>
        </w:rPr>
        <w:t xml:space="preserve">Marriott, 2026a. </w:t>
      </w:r>
      <w:r w:rsidRPr="006956C9">
        <w:rPr>
          <w:rFonts w:ascii="Arial" w:hAnsi="Arial" w:cs="Arial"/>
          <w:i/>
          <w:iCs/>
        </w:rPr>
        <w:t>Marriott International 2025 Annual Report.</w:t>
      </w:r>
      <w:r w:rsidRPr="006956C9">
        <w:rPr>
          <w:rFonts w:ascii="Arial" w:hAnsi="Arial" w:cs="Arial"/>
        </w:rPr>
        <w:t xml:space="preserve"> [online] available at </w:t>
      </w:r>
      <w:hyperlink r:id="rId21" w:history="1">
        <w:r w:rsidRPr="006956C9">
          <w:rPr>
            <w:rStyle w:val="Hyperlink"/>
            <w:rFonts w:ascii="Arial" w:hAnsi="Arial" w:cs="Arial"/>
          </w:rPr>
          <w:t>https://marriott.gcs-web.com/static-files/9cf0e9b0-bbfa-48a6-9e21-ffbdbc4b2d78</w:t>
        </w:r>
      </w:hyperlink>
    </w:p>
    <w:p w14:paraId="6D2E5C53" w14:textId="77777777" w:rsidR="007D06D9" w:rsidRPr="006956C9" w:rsidRDefault="007D06D9" w:rsidP="006956C9">
      <w:pPr>
        <w:rPr>
          <w:rFonts w:ascii="Arial" w:hAnsi="Arial" w:cs="Arial"/>
        </w:rPr>
      </w:pPr>
      <w:r w:rsidRPr="006956C9">
        <w:rPr>
          <w:rFonts w:ascii="Arial" w:hAnsi="Arial" w:cs="Arial"/>
        </w:rPr>
        <w:t>OSAIGBOVO, S. and AKHIMIEN, P.G., 2025. Organizational Downsizing and Firm Performance: The Role of Asset Reduction and Firm Competitiveness. </w:t>
      </w:r>
      <w:r w:rsidRPr="006956C9">
        <w:rPr>
          <w:rFonts w:ascii="Arial" w:hAnsi="Arial" w:cs="Arial"/>
          <w:i/>
          <w:iCs/>
        </w:rPr>
        <w:t>Nigerian Journal of Management Studies</w:t>
      </w:r>
      <w:r w:rsidRPr="006956C9">
        <w:rPr>
          <w:rFonts w:ascii="Arial" w:hAnsi="Arial" w:cs="Arial"/>
        </w:rPr>
        <w:t>, </w:t>
      </w:r>
      <w:r w:rsidRPr="006956C9">
        <w:rPr>
          <w:rFonts w:ascii="Arial" w:hAnsi="Arial" w:cs="Arial"/>
          <w:i/>
          <w:iCs/>
        </w:rPr>
        <w:t>27</w:t>
      </w:r>
      <w:r w:rsidRPr="006956C9">
        <w:rPr>
          <w:rFonts w:ascii="Arial" w:hAnsi="Arial" w:cs="Arial"/>
        </w:rPr>
        <w:t>(2), pp.1-18.</w:t>
      </w:r>
    </w:p>
    <w:p w14:paraId="2698CE6B" w14:textId="77777777" w:rsidR="007D06D9" w:rsidRPr="006956C9" w:rsidRDefault="007D06D9" w:rsidP="006956C9">
      <w:pPr>
        <w:rPr>
          <w:rFonts w:ascii="Arial" w:hAnsi="Arial" w:cs="Arial"/>
        </w:rPr>
      </w:pPr>
      <w:r w:rsidRPr="006956C9">
        <w:rPr>
          <w:rFonts w:ascii="Arial" w:hAnsi="Arial" w:cs="Arial"/>
        </w:rPr>
        <w:t>Ridwan, S., Syah, T.Y.R., Kustiawan, U. and Nofierni, N., 2025. Financial planning and investment feasibility analysis based on five-year projections using ROI, NPV, IRR, and financial ratios. </w:t>
      </w:r>
      <w:r w:rsidRPr="006956C9">
        <w:rPr>
          <w:rFonts w:ascii="Arial" w:hAnsi="Arial" w:cs="Arial"/>
          <w:i/>
          <w:iCs/>
        </w:rPr>
        <w:t>Journal La Bisecoman</w:t>
      </w:r>
      <w:r w:rsidRPr="006956C9">
        <w:rPr>
          <w:rFonts w:ascii="Arial" w:hAnsi="Arial" w:cs="Arial"/>
        </w:rPr>
        <w:t>, </w:t>
      </w:r>
      <w:r w:rsidRPr="006956C9">
        <w:rPr>
          <w:rFonts w:ascii="Arial" w:hAnsi="Arial" w:cs="Arial"/>
          <w:i/>
          <w:iCs/>
        </w:rPr>
        <w:t>6</w:t>
      </w:r>
      <w:r w:rsidRPr="006956C9">
        <w:rPr>
          <w:rFonts w:ascii="Arial" w:hAnsi="Arial" w:cs="Arial"/>
        </w:rPr>
        <w:t>(2), pp.489-506.</w:t>
      </w:r>
    </w:p>
    <w:p w14:paraId="4F33B8DC" w14:textId="77777777" w:rsidR="007D06D9" w:rsidRPr="006956C9" w:rsidRDefault="007D06D9" w:rsidP="006956C9">
      <w:pPr>
        <w:rPr>
          <w:rFonts w:ascii="Arial" w:hAnsi="Arial" w:cs="Arial"/>
        </w:rPr>
      </w:pPr>
      <w:r w:rsidRPr="006956C9">
        <w:rPr>
          <w:rFonts w:ascii="Arial" w:hAnsi="Arial" w:cs="Arial"/>
        </w:rPr>
        <w:t>Sha'ari, U.A.S., Hamzah, S.R.B. and Kamil, K.H., 2023. Financial sustainability of A firm: debt-based or equity-based financing to pursue?. </w:t>
      </w:r>
      <w:r w:rsidRPr="006956C9">
        <w:rPr>
          <w:rFonts w:ascii="Arial" w:hAnsi="Arial" w:cs="Arial"/>
          <w:i/>
          <w:iCs/>
        </w:rPr>
        <w:t>Journal of Islamic Monetary Economics and Finance</w:t>
      </w:r>
      <w:r w:rsidRPr="006956C9">
        <w:rPr>
          <w:rFonts w:ascii="Arial" w:hAnsi="Arial" w:cs="Arial"/>
        </w:rPr>
        <w:t>, </w:t>
      </w:r>
      <w:r w:rsidRPr="006956C9">
        <w:rPr>
          <w:rFonts w:ascii="Arial" w:hAnsi="Arial" w:cs="Arial"/>
          <w:i/>
          <w:iCs/>
        </w:rPr>
        <w:t>9</w:t>
      </w:r>
      <w:r w:rsidRPr="006956C9">
        <w:rPr>
          <w:rFonts w:ascii="Arial" w:hAnsi="Arial" w:cs="Arial"/>
        </w:rPr>
        <w:t>(2), pp.199-224.</w:t>
      </w:r>
    </w:p>
    <w:p w14:paraId="534C491E" w14:textId="77777777" w:rsidR="0089435E" w:rsidRPr="006956C9" w:rsidRDefault="0089435E" w:rsidP="006956C9">
      <w:pPr>
        <w:rPr>
          <w:rFonts w:ascii="Arial" w:hAnsi="Arial" w:cs="Arial"/>
        </w:rPr>
      </w:pPr>
    </w:p>
    <w:p w14:paraId="32D7B2C4" w14:textId="77777777" w:rsidR="0089435E" w:rsidRPr="006956C9" w:rsidRDefault="0089435E" w:rsidP="006956C9">
      <w:pPr>
        <w:rPr>
          <w:rFonts w:ascii="Arial" w:hAnsi="Arial" w:cs="Arial"/>
        </w:rPr>
      </w:pPr>
    </w:p>
    <w:p w14:paraId="32C00FC7" w14:textId="77777777" w:rsidR="0089435E" w:rsidRPr="006956C9" w:rsidRDefault="0089435E" w:rsidP="006956C9">
      <w:pPr>
        <w:rPr>
          <w:rFonts w:ascii="Arial" w:hAnsi="Arial" w:cs="Arial"/>
        </w:rPr>
      </w:pPr>
    </w:p>
    <w:p w14:paraId="21080EE9" w14:textId="4D30B937" w:rsidR="0089435E" w:rsidRPr="006956C9" w:rsidRDefault="0089435E" w:rsidP="006956C9">
      <w:pPr>
        <w:spacing w:before="0" w:after="160"/>
        <w:jc w:val="left"/>
        <w:rPr>
          <w:rFonts w:ascii="Arial" w:hAnsi="Arial" w:cs="Arial"/>
        </w:rPr>
      </w:pPr>
      <w:r w:rsidRPr="006956C9">
        <w:rPr>
          <w:rFonts w:ascii="Arial" w:hAnsi="Arial" w:cs="Arial"/>
        </w:rPr>
        <w:br w:type="page"/>
      </w:r>
    </w:p>
    <w:p w14:paraId="613E5223" w14:textId="1268A08D" w:rsidR="0089435E" w:rsidRPr="006956C9" w:rsidRDefault="0089435E" w:rsidP="006956C9">
      <w:pPr>
        <w:rPr>
          <w:rFonts w:ascii="Arial" w:hAnsi="Arial" w:cs="Arial"/>
        </w:rPr>
      </w:pPr>
      <w:r w:rsidRPr="006956C9">
        <w:rPr>
          <w:rFonts w:ascii="Arial" w:hAnsi="Arial" w:cs="Arial"/>
        </w:rPr>
        <w:lastRenderedPageBreak/>
        <w:t>Appendix</w:t>
      </w:r>
    </w:p>
    <w:p w14:paraId="0CD65839" w14:textId="7E367392" w:rsidR="0089435E" w:rsidRPr="006956C9" w:rsidRDefault="0089435E" w:rsidP="006956C9">
      <w:pPr>
        <w:rPr>
          <w:rFonts w:ascii="Arial" w:hAnsi="Arial" w:cs="Arial"/>
          <w:b/>
          <w:bCs/>
        </w:rPr>
      </w:pPr>
      <w:r w:rsidRPr="006956C9">
        <w:rPr>
          <w:rFonts w:ascii="Arial" w:hAnsi="Arial" w:cs="Arial"/>
          <w:b/>
          <w:bCs/>
        </w:rPr>
        <w:t>5 Year Financial data</w:t>
      </w:r>
    </w:p>
    <w:tbl>
      <w:tblPr>
        <w:tblW w:w="7800" w:type="dxa"/>
        <w:tblLook w:val="04A0" w:firstRow="1" w:lastRow="0" w:firstColumn="1" w:lastColumn="0" w:noHBand="0" w:noVBand="1"/>
      </w:tblPr>
      <w:tblGrid>
        <w:gridCol w:w="3355"/>
        <w:gridCol w:w="889"/>
        <w:gridCol w:w="889"/>
        <w:gridCol w:w="889"/>
        <w:gridCol w:w="889"/>
        <w:gridCol w:w="889"/>
      </w:tblGrid>
      <w:tr w:rsidR="0089435E" w:rsidRPr="006956C9" w14:paraId="706ABAEF" w14:textId="77777777" w:rsidTr="0089435E">
        <w:trPr>
          <w:trHeight w:val="288"/>
        </w:trPr>
        <w:tc>
          <w:tcPr>
            <w:tcW w:w="3700" w:type="dxa"/>
            <w:tcBorders>
              <w:top w:val="single" w:sz="4" w:space="0" w:color="auto"/>
              <w:left w:val="single" w:sz="4" w:space="0" w:color="auto"/>
              <w:bottom w:val="single" w:sz="4" w:space="0" w:color="auto"/>
              <w:right w:val="single" w:sz="4" w:space="0" w:color="auto"/>
            </w:tcBorders>
            <w:vAlign w:val="center"/>
            <w:hideMark/>
          </w:tcPr>
          <w:p w14:paraId="0A9CD9F6" w14:textId="77777777" w:rsidR="0089435E" w:rsidRPr="006956C9" w:rsidRDefault="0089435E"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Data in $m</w:t>
            </w:r>
          </w:p>
        </w:tc>
        <w:tc>
          <w:tcPr>
            <w:tcW w:w="820" w:type="dxa"/>
            <w:tcBorders>
              <w:top w:val="single" w:sz="4" w:space="0" w:color="auto"/>
              <w:left w:val="nil"/>
              <w:bottom w:val="single" w:sz="4" w:space="0" w:color="auto"/>
              <w:right w:val="single" w:sz="4" w:space="0" w:color="auto"/>
            </w:tcBorders>
            <w:vAlign w:val="center"/>
            <w:hideMark/>
          </w:tcPr>
          <w:p w14:paraId="3E626B8A"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2021</w:t>
            </w:r>
          </w:p>
        </w:tc>
        <w:tc>
          <w:tcPr>
            <w:tcW w:w="820" w:type="dxa"/>
            <w:tcBorders>
              <w:top w:val="single" w:sz="4" w:space="0" w:color="auto"/>
              <w:left w:val="nil"/>
              <w:bottom w:val="single" w:sz="4" w:space="0" w:color="auto"/>
              <w:right w:val="single" w:sz="4" w:space="0" w:color="auto"/>
            </w:tcBorders>
            <w:vAlign w:val="center"/>
            <w:hideMark/>
          </w:tcPr>
          <w:p w14:paraId="60C4574F"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2022</w:t>
            </w:r>
          </w:p>
        </w:tc>
        <w:tc>
          <w:tcPr>
            <w:tcW w:w="820" w:type="dxa"/>
            <w:tcBorders>
              <w:top w:val="single" w:sz="4" w:space="0" w:color="auto"/>
              <w:left w:val="nil"/>
              <w:bottom w:val="single" w:sz="4" w:space="0" w:color="auto"/>
              <w:right w:val="single" w:sz="4" w:space="0" w:color="auto"/>
            </w:tcBorders>
            <w:vAlign w:val="center"/>
            <w:hideMark/>
          </w:tcPr>
          <w:p w14:paraId="67566B28"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2023</w:t>
            </w:r>
          </w:p>
        </w:tc>
        <w:tc>
          <w:tcPr>
            <w:tcW w:w="820" w:type="dxa"/>
            <w:tcBorders>
              <w:top w:val="single" w:sz="4" w:space="0" w:color="auto"/>
              <w:left w:val="nil"/>
              <w:bottom w:val="single" w:sz="4" w:space="0" w:color="auto"/>
              <w:right w:val="single" w:sz="4" w:space="0" w:color="auto"/>
            </w:tcBorders>
            <w:vAlign w:val="center"/>
            <w:hideMark/>
          </w:tcPr>
          <w:p w14:paraId="7959C83A"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2024</w:t>
            </w:r>
          </w:p>
        </w:tc>
        <w:tc>
          <w:tcPr>
            <w:tcW w:w="820" w:type="dxa"/>
            <w:tcBorders>
              <w:top w:val="single" w:sz="4" w:space="0" w:color="auto"/>
              <w:left w:val="nil"/>
              <w:bottom w:val="single" w:sz="4" w:space="0" w:color="auto"/>
              <w:right w:val="single" w:sz="4" w:space="0" w:color="auto"/>
            </w:tcBorders>
            <w:vAlign w:val="center"/>
            <w:hideMark/>
          </w:tcPr>
          <w:p w14:paraId="04634C17"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2025</w:t>
            </w:r>
          </w:p>
        </w:tc>
      </w:tr>
      <w:tr w:rsidR="0089435E" w:rsidRPr="006956C9" w14:paraId="105DF053" w14:textId="77777777" w:rsidTr="0089435E">
        <w:trPr>
          <w:trHeight w:val="288"/>
        </w:trPr>
        <w:tc>
          <w:tcPr>
            <w:tcW w:w="7800" w:type="dxa"/>
            <w:gridSpan w:val="6"/>
            <w:tcBorders>
              <w:top w:val="single" w:sz="4" w:space="0" w:color="auto"/>
              <w:left w:val="single" w:sz="4" w:space="0" w:color="auto"/>
              <w:bottom w:val="single" w:sz="4" w:space="0" w:color="auto"/>
              <w:right w:val="single" w:sz="4" w:space="0" w:color="auto"/>
            </w:tcBorders>
            <w:shd w:val="clear" w:color="000000" w:fill="5B9BD5"/>
            <w:vAlign w:val="center"/>
            <w:hideMark/>
          </w:tcPr>
          <w:p w14:paraId="499265F3" w14:textId="77777777" w:rsidR="0089435E" w:rsidRPr="006956C9" w:rsidRDefault="0089435E"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INCOME STATEMENT</w:t>
            </w:r>
          </w:p>
        </w:tc>
      </w:tr>
      <w:tr w:rsidR="0089435E" w:rsidRPr="006956C9" w14:paraId="534B775C"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7ED959D8"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Total Revenue</w:t>
            </w:r>
          </w:p>
        </w:tc>
        <w:tc>
          <w:tcPr>
            <w:tcW w:w="820" w:type="dxa"/>
            <w:tcBorders>
              <w:top w:val="nil"/>
              <w:left w:val="nil"/>
              <w:bottom w:val="single" w:sz="4" w:space="0" w:color="auto"/>
              <w:right w:val="single" w:sz="4" w:space="0" w:color="auto"/>
            </w:tcBorders>
            <w:vAlign w:val="center"/>
            <w:hideMark/>
          </w:tcPr>
          <w:p w14:paraId="7358AE6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13,857</w:t>
            </w:r>
          </w:p>
        </w:tc>
        <w:tc>
          <w:tcPr>
            <w:tcW w:w="820" w:type="dxa"/>
            <w:tcBorders>
              <w:top w:val="nil"/>
              <w:left w:val="nil"/>
              <w:bottom w:val="single" w:sz="4" w:space="0" w:color="auto"/>
              <w:right w:val="single" w:sz="4" w:space="0" w:color="auto"/>
            </w:tcBorders>
            <w:vAlign w:val="center"/>
            <w:hideMark/>
          </w:tcPr>
          <w:p w14:paraId="2C28684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20,773</w:t>
            </w:r>
          </w:p>
        </w:tc>
        <w:tc>
          <w:tcPr>
            <w:tcW w:w="820" w:type="dxa"/>
            <w:tcBorders>
              <w:top w:val="nil"/>
              <w:left w:val="nil"/>
              <w:bottom w:val="single" w:sz="4" w:space="0" w:color="auto"/>
              <w:right w:val="single" w:sz="4" w:space="0" w:color="auto"/>
            </w:tcBorders>
            <w:vAlign w:val="center"/>
            <w:hideMark/>
          </w:tcPr>
          <w:p w14:paraId="25358686"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23,713</w:t>
            </w:r>
          </w:p>
        </w:tc>
        <w:tc>
          <w:tcPr>
            <w:tcW w:w="820" w:type="dxa"/>
            <w:tcBorders>
              <w:top w:val="nil"/>
              <w:left w:val="nil"/>
              <w:bottom w:val="single" w:sz="4" w:space="0" w:color="auto"/>
              <w:right w:val="single" w:sz="4" w:space="0" w:color="auto"/>
            </w:tcBorders>
            <w:vAlign w:val="center"/>
            <w:hideMark/>
          </w:tcPr>
          <w:p w14:paraId="11767988"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25,100</w:t>
            </w:r>
          </w:p>
        </w:tc>
        <w:tc>
          <w:tcPr>
            <w:tcW w:w="820" w:type="dxa"/>
            <w:tcBorders>
              <w:top w:val="nil"/>
              <w:left w:val="nil"/>
              <w:bottom w:val="single" w:sz="4" w:space="0" w:color="auto"/>
              <w:right w:val="single" w:sz="4" w:space="0" w:color="auto"/>
            </w:tcBorders>
            <w:vAlign w:val="center"/>
            <w:hideMark/>
          </w:tcPr>
          <w:p w14:paraId="0921086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26,186</w:t>
            </w:r>
          </w:p>
        </w:tc>
      </w:tr>
      <w:tr w:rsidR="0089435E" w:rsidRPr="006956C9" w14:paraId="7278B799"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112EE382"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Gross Fee Revenue</w:t>
            </w:r>
          </w:p>
        </w:tc>
        <w:tc>
          <w:tcPr>
            <w:tcW w:w="820" w:type="dxa"/>
            <w:tcBorders>
              <w:top w:val="nil"/>
              <w:left w:val="nil"/>
              <w:bottom w:val="single" w:sz="4" w:space="0" w:color="auto"/>
              <w:right w:val="single" w:sz="4" w:space="0" w:color="auto"/>
            </w:tcBorders>
            <w:vAlign w:val="center"/>
            <w:hideMark/>
          </w:tcPr>
          <w:p w14:paraId="4EDAB8F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2,694</w:t>
            </w:r>
          </w:p>
        </w:tc>
        <w:tc>
          <w:tcPr>
            <w:tcW w:w="820" w:type="dxa"/>
            <w:tcBorders>
              <w:top w:val="nil"/>
              <w:left w:val="nil"/>
              <w:bottom w:val="single" w:sz="4" w:space="0" w:color="auto"/>
              <w:right w:val="single" w:sz="4" w:space="0" w:color="auto"/>
            </w:tcBorders>
            <w:vAlign w:val="center"/>
            <w:hideMark/>
          </w:tcPr>
          <w:p w14:paraId="37F67AD4"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4,078</w:t>
            </w:r>
          </w:p>
        </w:tc>
        <w:tc>
          <w:tcPr>
            <w:tcW w:w="820" w:type="dxa"/>
            <w:tcBorders>
              <w:top w:val="nil"/>
              <w:left w:val="nil"/>
              <w:bottom w:val="single" w:sz="4" w:space="0" w:color="auto"/>
              <w:right w:val="single" w:sz="4" w:space="0" w:color="auto"/>
            </w:tcBorders>
            <w:vAlign w:val="center"/>
            <w:hideMark/>
          </w:tcPr>
          <w:p w14:paraId="05D2D91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4,824</w:t>
            </w:r>
          </w:p>
        </w:tc>
        <w:tc>
          <w:tcPr>
            <w:tcW w:w="820" w:type="dxa"/>
            <w:tcBorders>
              <w:top w:val="nil"/>
              <w:left w:val="nil"/>
              <w:bottom w:val="single" w:sz="4" w:space="0" w:color="auto"/>
              <w:right w:val="single" w:sz="4" w:space="0" w:color="auto"/>
            </w:tcBorders>
            <w:vAlign w:val="center"/>
            <w:hideMark/>
          </w:tcPr>
          <w:p w14:paraId="04DF9C3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5,170</w:t>
            </w:r>
          </w:p>
        </w:tc>
        <w:tc>
          <w:tcPr>
            <w:tcW w:w="820" w:type="dxa"/>
            <w:tcBorders>
              <w:top w:val="nil"/>
              <w:left w:val="nil"/>
              <w:bottom w:val="single" w:sz="4" w:space="0" w:color="auto"/>
              <w:right w:val="single" w:sz="4" w:space="0" w:color="auto"/>
            </w:tcBorders>
            <w:vAlign w:val="center"/>
            <w:hideMark/>
          </w:tcPr>
          <w:p w14:paraId="1179387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5,438</w:t>
            </w:r>
          </w:p>
        </w:tc>
      </w:tr>
      <w:tr w:rsidR="0089435E" w:rsidRPr="006956C9" w14:paraId="10074488"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1C285E86"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Net Fee Revenue</w:t>
            </w:r>
          </w:p>
        </w:tc>
        <w:tc>
          <w:tcPr>
            <w:tcW w:w="820" w:type="dxa"/>
            <w:tcBorders>
              <w:top w:val="nil"/>
              <w:left w:val="nil"/>
              <w:bottom w:val="single" w:sz="4" w:space="0" w:color="auto"/>
              <w:right w:val="single" w:sz="4" w:space="0" w:color="auto"/>
            </w:tcBorders>
            <w:vAlign w:val="center"/>
            <w:hideMark/>
          </w:tcPr>
          <w:p w14:paraId="53BEEA8F"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2,619</w:t>
            </w:r>
          </w:p>
        </w:tc>
        <w:tc>
          <w:tcPr>
            <w:tcW w:w="820" w:type="dxa"/>
            <w:tcBorders>
              <w:top w:val="nil"/>
              <w:left w:val="nil"/>
              <w:bottom w:val="single" w:sz="4" w:space="0" w:color="auto"/>
              <w:right w:val="single" w:sz="4" w:space="0" w:color="auto"/>
            </w:tcBorders>
            <w:vAlign w:val="center"/>
            <w:hideMark/>
          </w:tcPr>
          <w:p w14:paraId="5E394C6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3,989</w:t>
            </w:r>
          </w:p>
        </w:tc>
        <w:tc>
          <w:tcPr>
            <w:tcW w:w="820" w:type="dxa"/>
            <w:tcBorders>
              <w:top w:val="nil"/>
              <w:left w:val="nil"/>
              <w:bottom w:val="single" w:sz="4" w:space="0" w:color="auto"/>
              <w:right w:val="single" w:sz="4" w:space="0" w:color="auto"/>
            </w:tcBorders>
            <w:vAlign w:val="center"/>
            <w:hideMark/>
          </w:tcPr>
          <w:p w14:paraId="5735378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4,736</w:t>
            </w:r>
          </w:p>
        </w:tc>
        <w:tc>
          <w:tcPr>
            <w:tcW w:w="820" w:type="dxa"/>
            <w:tcBorders>
              <w:top w:val="nil"/>
              <w:left w:val="nil"/>
              <w:bottom w:val="single" w:sz="4" w:space="0" w:color="auto"/>
              <w:right w:val="single" w:sz="4" w:space="0" w:color="auto"/>
            </w:tcBorders>
            <w:vAlign w:val="center"/>
            <w:hideMark/>
          </w:tcPr>
          <w:p w14:paraId="2FA018A6"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5,067</w:t>
            </w:r>
          </w:p>
        </w:tc>
        <w:tc>
          <w:tcPr>
            <w:tcW w:w="820" w:type="dxa"/>
            <w:tcBorders>
              <w:top w:val="nil"/>
              <w:left w:val="nil"/>
              <w:bottom w:val="single" w:sz="4" w:space="0" w:color="auto"/>
              <w:right w:val="single" w:sz="4" w:space="0" w:color="auto"/>
            </w:tcBorders>
            <w:vAlign w:val="center"/>
            <w:hideMark/>
          </w:tcPr>
          <w:p w14:paraId="2BDE73A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5,303</w:t>
            </w:r>
          </w:p>
        </w:tc>
      </w:tr>
      <w:tr w:rsidR="0089435E" w:rsidRPr="006956C9" w14:paraId="411EF62A"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01DCC2BE"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Owned, Leased &amp; Other Revenue</w:t>
            </w:r>
          </w:p>
        </w:tc>
        <w:tc>
          <w:tcPr>
            <w:tcW w:w="820" w:type="dxa"/>
            <w:tcBorders>
              <w:top w:val="nil"/>
              <w:left w:val="nil"/>
              <w:bottom w:val="single" w:sz="4" w:space="0" w:color="auto"/>
              <w:right w:val="single" w:sz="4" w:space="0" w:color="auto"/>
            </w:tcBorders>
            <w:vAlign w:val="center"/>
            <w:hideMark/>
          </w:tcPr>
          <w:p w14:paraId="0D27A26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796</w:t>
            </w:r>
          </w:p>
        </w:tc>
        <w:tc>
          <w:tcPr>
            <w:tcW w:w="820" w:type="dxa"/>
            <w:tcBorders>
              <w:top w:val="nil"/>
              <w:left w:val="nil"/>
              <w:bottom w:val="single" w:sz="4" w:space="0" w:color="auto"/>
              <w:right w:val="single" w:sz="4" w:space="0" w:color="auto"/>
            </w:tcBorders>
            <w:vAlign w:val="center"/>
            <w:hideMark/>
          </w:tcPr>
          <w:p w14:paraId="448D354A"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1,367</w:t>
            </w:r>
          </w:p>
        </w:tc>
        <w:tc>
          <w:tcPr>
            <w:tcW w:w="820" w:type="dxa"/>
            <w:tcBorders>
              <w:top w:val="nil"/>
              <w:left w:val="nil"/>
              <w:bottom w:val="single" w:sz="4" w:space="0" w:color="auto"/>
              <w:right w:val="single" w:sz="4" w:space="0" w:color="auto"/>
            </w:tcBorders>
            <w:vAlign w:val="center"/>
            <w:hideMark/>
          </w:tcPr>
          <w:p w14:paraId="78421E6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1,564</w:t>
            </w:r>
          </w:p>
        </w:tc>
        <w:tc>
          <w:tcPr>
            <w:tcW w:w="820" w:type="dxa"/>
            <w:tcBorders>
              <w:top w:val="nil"/>
              <w:left w:val="nil"/>
              <w:bottom w:val="single" w:sz="4" w:space="0" w:color="auto"/>
              <w:right w:val="single" w:sz="4" w:space="0" w:color="auto"/>
            </w:tcBorders>
            <w:vAlign w:val="center"/>
            <w:hideMark/>
          </w:tcPr>
          <w:p w14:paraId="1B945D3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1,551</w:t>
            </w:r>
          </w:p>
        </w:tc>
        <w:tc>
          <w:tcPr>
            <w:tcW w:w="820" w:type="dxa"/>
            <w:tcBorders>
              <w:top w:val="nil"/>
              <w:left w:val="nil"/>
              <w:bottom w:val="single" w:sz="4" w:space="0" w:color="auto"/>
              <w:right w:val="single" w:sz="4" w:space="0" w:color="auto"/>
            </w:tcBorders>
            <w:vAlign w:val="center"/>
            <w:hideMark/>
          </w:tcPr>
          <w:p w14:paraId="25C9932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1,679</w:t>
            </w:r>
          </w:p>
        </w:tc>
      </w:tr>
      <w:tr w:rsidR="0089435E" w:rsidRPr="006956C9" w14:paraId="45BBBF54"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5BD68F89"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Cost Reimbursement Revenue</w:t>
            </w:r>
          </w:p>
        </w:tc>
        <w:tc>
          <w:tcPr>
            <w:tcW w:w="820" w:type="dxa"/>
            <w:tcBorders>
              <w:top w:val="nil"/>
              <w:left w:val="nil"/>
              <w:bottom w:val="single" w:sz="4" w:space="0" w:color="auto"/>
              <w:right w:val="single" w:sz="4" w:space="0" w:color="auto"/>
            </w:tcBorders>
            <w:vAlign w:val="center"/>
            <w:hideMark/>
          </w:tcPr>
          <w:p w14:paraId="514D524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10,442</w:t>
            </w:r>
          </w:p>
        </w:tc>
        <w:tc>
          <w:tcPr>
            <w:tcW w:w="820" w:type="dxa"/>
            <w:tcBorders>
              <w:top w:val="nil"/>
              <w:left w:val="nil"/>
              <w:bottom w:val="single" w:sz="4" w:space="0" w:color="auto"/>
              <w:right w:val="single" w:sz="4" w:space="0" w:color="auto"/>
            </w:tcBorders>
            <w:vAlign w:val="center"/>
            <w:hideMark/>
          </w:tcPr>
          <w:p w14:paraId="1E5A9A5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15,417</w:t>
            </w:r>
          </w:p>
        </w:tc>
        <w:tc>
          <w:tcPr>
            <w:tcW w:w="820" w:type="dxa"/>
            <w:tcBorders>
              <w:top w:val="nil"/>
              <w:left w:val="nil"/>
              <w:bottom w:val="single" w:sz="4" w:space="0" w:color="auto"/>
              <w:right w:val="single" w:sz="4" w:space="0" w:color="auto"/>
            </w:tcBorders>
            <w:vAlign w:val="center"/>
            <w:hideMark/>
          </w:tcPr>
          <w:p w14:paraId="14E054C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17,413</w:t>
            </w:r>
          </w:p>
        </w:tc>
        <w:tc>
          <w:tcPr>
            <w:tcW w:w="820" w:type="dxa"/>
            <w:tcBorders>
              <w:top w:val="nil"/>
              <w:left w:val="nil"/>
              <w:bottom w:val="single" w:sz="4" w:space="0" w:color="auto"/>
              <w:right w:val="single" w:sz="4" w:space="0" w:color="auto"/>
            </w:tcBorders>
            <w:vAlign w:val="center"/>
            <w:hideMark/>
          </w:tcPr>
          <w:p w14:paraId="7D200C5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18,482</w:t>
            </w:r>
          </w:p>
        </w:tc>
        <w:tc>
          <w:tcPr>
            <w:tcW w:w="820" w:type="dxa"/>
            <w:tcBorders>
              <w:top w:val="nil"/>
              <w:left w:val="nil"/>
              <w:bottom w:val="single" w:sz="4" w:space="0" w:color="auto"/>
              <w:right w:val="single" w:sz="4" w:space="0" w:color="auto"/>
            </w:tcBorders>
            <w:vAlign w:val="center"/>
            <w:hideMark/>
          </w:tcPr>
          <w:p w14:paraId="5187119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19,204</w:t>
            </w:r>
          </w:p>
        </w:tc>
      </w:tr>
      <w:tr w:rsidR="0089435E" w:rsidRPr="006956C9" w14:paraId="4784C207"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4EA7C6B1"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Operating Income</w:t>
            </w:r>
          </w:p>
        </w:tc>
        <w:tc>
          <w:tcPr>
            <w:tcW w:w="820" w:type="dxa"/>
            <w:tcBorders>
              <w:top w:val="nil"/>
              <w:left w:val="nil"/>
              <w:bottom w:val="single" w:sz="4" w:space="0" w:color="auto"/>
              <w:right w:val="single" w:sz="4" w:space="0" w:color="auto"/>
            </w:tcBorders>
            <w:vAlign w:val="center"/>
            <w:hideMark/>
          </w:tcPr>
          <w:p w14:paraId="157E519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1,750</w:t>
            </w:r>
          </w:p>
        </w:tc>
        <w:tc>
          <w:tcPr>
            <w:tcW w:w="820" w:type="dxa"/>
            <w:tcBorders>
              <w:top w:val="nil"/>
              <w:left w:val="nil"/>
              <w:bottom w:val="single" w:sz="4" w:space="0" w:color="auto"/>
              <w:right w:val="single" w:sz="4" w:space="0" w:color="auto"/>
            </w:tcBorders>
            <w:vAlign w:val="center"/>
            <w:hideMark/>
          </w:tcPr>
          <w:p w14:paraId="2A0CC6C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3,462</w:t>
            </w:r>
          </w:p>
        </w:tc>
        <w:tc>
          <w:tcPr>
            <w:tcW w:w="820" w:type="dxa"/>
            <w:tcBorders>
              <w:top w:val="nil"/>
              <w:left w:val="nil"/>
              <w:bottom w:val="single" w:sz="4" w:space="0" w:color="auto"/>
              <w:right w:val="single" w:sz="4" w:space="0" w:color="auto"/>
            </w:tcBorders>
            <w:vAlign w:val="center"/>
            <w:hideMark/>
          </w:tcPr>
          <w:p w14:paraId="4733821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3,864</w:t>
            </w:r>
          </w:p>
        </w:tc>
        <w:tc>
          <w:tcPr>
            <w:tcW w:w="820" w:type="dxa"/>
            <w:tcBorders>
              <w:top w:val="nil"/>
              <w:left w:val="nil"/>
              <w:bottom w:val="single" w:sz="4" w:space="0" w:color="auto"/>
              <w:right w:val="single" w:sz="4" w:space="0" w:color="auto"/>
            </w:tcBorders>
            <w:vAlign w:val="center"/>
            <w:hideMark/>
          </w:tcPr>
          <w:p w14:paraId="1E134BA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3,767</w:t>
            </w:r>
          </w:p>
        </w:tc>
        <w:tc>
          <w:tcPr>
            <w:tcW w:w="820" w:type="dxa"/>
            <w:tcBorders>
              <w:top w:val="nil"/>
              <w:left w:val="nil"/>
              <w:bottom w:val="single" w:sz="4" w:space="0" w:color="auto"/>
              <w:right w:val="single" w:sz="4" w:space="0" w:color="auto"/>
            </w:tcBorders>
            <w:vAlign w:val="center"/>
            <w:hideMark/>
          </w:tcPr>
          <w:p w14:paraId="6549490F"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4,141</w:t>
            </w:r>
          </w:p>
        </w:tc>
      </w:tr>
      <w:tr w:rsidR="0089435E" w:rsidRPr="006956C9" w14:paraId="7FDF33CB"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4B1470DE"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Interest Expense</w:t>
            </w:r>
          </w:p>
        </w:tc>
        <w:tc>
          <w:tcPr>
            <w:tcW w:w="820" w:type="dxa"/>
            <w:tcBorders>
              <w:top w:val="nil"/>
              <w:left w:val="nil"/>
              <w:bottom w:val="single" w:sz="4" w:space="0" w:color="auto"/>
              <w:right w:val="single" w:sz="4" w:space="0" w:color="auto"/>
            </w:tcBorders>
            <w:vAlign w:val="center"/>
            <w:hideMark/>
          </w:tcPr>
          <w:p w14:paraId="6A3AC4D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420</w:t>
            </w:r>
          </w:p>
        </w:tc>
        <w:tc>
          <w:tcPr>
            <w:tcW w:w="820" w:type="dxa"/>
            <w:tcBorders>
              <w:top w:val="nil"/>
              <w:left w:val="nil"/>
              <w:bottom w:val="single" w:sz="4" w:space="0" w:color="auto"/>
              <w:right w:val="single" w:sz="4" w:space="0" w:color="auto"/>
            </w:tcBorders>
            <w:vAlign w:val="center"/>
            <w:hideMark/>
          </w:tcPr>
          <w:p w14:paraId="6B9D93C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403</w:t>
            </w:r>
          </w:p>
        </w:tc>
        <w:tc>
          <w:tcPr>
            <w:tcW w:w="820" w:type="dxa"/>
            <w:tcBorders>
              <w:top w:val="nil"/>
              <w:left w:val="nil"/>
              <w:bottom w:val="single" w:sz="4" w:space="0" w:color="auto"/>
              <w:right w:val="single" w:sz="4" w:space="0" w:color="auto"/>
            </w:tcBorders>
            <w:vAlign w:val="center"/>
            <w:hideMark/>
          </w:tcPr>
          <w:p w14:paraId="173A9A2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565</w:t>
            </w:r>
          </w:p>
        </w:tc>
        <w:tc>
          <w:tcPr>
            <w:tcW w:w="820" w:type="dxa"/>
            <w:tcBorders>
              <w:top w:val="nil"/>
              <w:left w:val="nil"/>
              <w:bottom w:val="single" w:sz="4" w:space="0" w:color="auto"/>
              <w:right w:val="single" w:sz="4" w:space="0" w:color="auto"/>
            </w:tcBorders>
            <w:vAlign w:val="center"/>
            <w:hideMark/>
          </w:tcPr>
          <w:p w14:paraId="3E3781E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695</w:t>
            </w:r>
          </w:p>
        </w:tc>
        <w:tc>
          <w:tcPr>
            <w:tcW w:w="820" w:type="dxa"/>
            <w:tcBorders>
              <w:top w:val="nil"/>
              <w:left w:val="nil"/>
              <w:bottom w:val="single" w:sz="4" w:space="0" w:color="auto"/>
              <w:right w:val="single" w:sz="4" w:space="0" w:color="auto"/>
            </w:tcBorders>
            <w:vAlign w:val="center"/>
            <w:hideMark/>
          </w:tcPr>
          <w:p w14:paraId="727EA72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809</w:t>
            </w:r>
          </w:p>
        </w:tc>
      </w:tr>
      <w:tr w:rsidR="0089435E" w:rsidRPr="006956C9" w14:paraId="060A55F8"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30D2EE9B"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Interest Income</w:t>
            </w:r>
          </w:p>
        </w:tc>
        <w:tc>
          <w:tcPr>
            <w:tcW w:w="820" w:type="dxa"/>
            <w:tcBorders>
              <w:top w:val="nil"/>
              <w:left w:val="nil"/>
              <w:bottom w:val="single" w:sz="4" w:space="0" w:color="auto"/>
              <w:right w:val="single" w:sz="4" w:space="0" w:color="auto"/>
            </w:tcBorders>
            <w:vAlign w:val="center"/>
            <w:hideMark/>
          </w:tcPr>
          <w:p w14:paraId="27186D8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28</w:t>
            </w:r>
          </w:p>
        </w:tc>
        <w:tc>
          <w:tcPr>
            <w:tcW w:w="820" w:type="dxa"/>
            <w:tcBorders>
              <w:top w:val="nil"/>
              <w:left w:val="nil"/>
              <w:bottom w:val="single" w:sz="4" w:space="0" w:color="auto"/>
              <w:right w:val="single" w:sz="4" w:space="0" w:color="auto"/>
            </w:tcBorders>
            <w:vAlign w:val="center"/>
            <w:hideMark/>
          </w:tcPr>
          <w:p w14:paraId="6F2E96E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26</w:t>
            </w:r>
          </w:p>
        </w:tc>
        <w:tc>
          <w:tcPr>
            <w:tcW w:w="820" w:type="dxa"/>
            <w:tcBorders>
              <w:top w:val="nil"/>
              <w:left w:val="nil"/>
              <w:bottom w:val="single" w:sz="4" w:space="0" w:color="auto"/>
              <w:right w:val="single" w:sz="4" w:space="0" w:color="auto"/>
            </w:tcBorders>
            <w:vAlign w:val="center"/>
            <w:hideMark/>
          </w:tcPr>
          <w:p w14:paraId="695F107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30</w:t>
            </w:r>
          </w:p>
        </w:tc>
        <w:tc>
          <w:tcPr>
            <w:tcW w:w="820" w:type="dxa"/>
            <w:tcBorders>
              <w:top w:val="nil"/>
              <w:left w:val="nil"/>
              <w:bottom w:val="single" w:sz="4" w:space="0" w:color="auto"/>
              <w:right w:val="single" w:sz="4" w:space="0" w:color="auto"/>
            </w:tcBorders>
            <w:vAlign w:val="center"/>
            <w:hideMark/>
          </w:tcPr>
          <w:p w14:paraId="7F07F0F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40</w:t>
            </w:r>
          </w:p>
        </w:tc>
        <w:tc>
          <w:tcPr>
            <w:tcW w:w="820" w:type="dxa"/>
            <w:tcBorders>
              <w:top w:val="nil"/>
              <w:left w:val="nil"/>
              <w:bottom w:val="single" w:sz="4" w:space="0" w:color="auto"/>
              <w:right w:val="single" w:sz="4" w:space="0" w:color="auto"/>
            </w:tcBorders>
            <w:vAlign w:val="center"/>
            <w:hideMark/>
          </w:tcPr>
          <w:p w14:paraId="6EB3E2A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42</w:t>
            </w:r>
          </w:p>
        </w:tc>
      </w:tr>
      <w:tr w:rsidR="0089435E" w:rsidRPr="006956C9" w14:paraId="67C23D16"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5590BAF9"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Income Before Tax</w:t>
            </w:r>
          </w:p>
        </w:tc>
        <w:tc>
          <w:tcPr>
            <w:tcW w:w="820" w:type="dxa"/>
            <w:tcBorders>
              <w:top w:val="nil"/>
              <w:left w:val="nil"/>
              <w:bottom w:val="single" w:sz="4" w:space="0" w:color="auto"/>
              <w:right w:val="single" w:sz="4" w:space="0" w:color="auto"/>
            </w:tcBorders>
            <w:vAlign w:val="center"/>
            <w:hideMark/>
          </w:tcPr>
          <w:p w14:paraId="2C61BEE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1,180</w:t>
            </w:r>
          </w:p>
        </w:tc>
        <w:tc>
          <w:tcPr>
            <w:tcW w:w="820" w:type="dxa"/>
            <w:tcBorders>
              <w:top w:val="nil"/>
              <w:left w:val="nil"/>
              <w:bottom w:val="single" w:sz="4" w:space="0" w:color="auto"/>
              <w:right w:val="single" w:sz="4" w:space="0" w:color="auto"/>
            </w:tcBorders>
            <w:vAlign w:val="center"/>
            <w:hideMark/>
          </w:tcPr>
          <w:p w14:paraId="3CE61CC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3,114</w:t>
            </w:r>
          </w:p>
        </w:tc>
        <w:tc>
          <w:tcPr>
            <w:tcW w:w="820" w:type="dxa"/>
            <w:tcBorders>
              <w:top w:val="nil"/>
              <w:left w:val="nil"/>
              <w:bottom w:val="single" w:sz="4" w:space="0" w:color="auto"/>
              <w:right w:val="single" w:sz="4" w:space="0" w:color="auto"/>
            </w:tcBorders>
            <w:vAlign w:val="center"/>
            <w:hideMark/>
          </w:tcPr>
          <w:p w14:paraId="62E9FAB8"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3,378</w:t>
            </w:r>
          </w:p>
        </w:tc>
        <w:tc>
          <w:tcPr>
            <w:tcW w:w="820" w:type="dxa"/>
            <w:tcBorders>
              <w:top w:val="nil"/>
              <w:left w:val="nil"/>
              <w:bottom w:val="single" w:sz="4" w:space="0" w:color="auto"/>
              <w:right w:val="single" w:sz="4" w:space="0" w:color="auto"/>
            </w:tcBorders>
            <w:vAlign w:val="center"/>
            <w:hideMark/>
          </w:tcPr>
          <w:p w14:paraId="4544402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3,151</w:t>
            </w:r>
          </w:p>
        </w:tc>
        <w:tc>
          <w:tcPr>
            <w:tcW w:w="820" w:type="dxa"/>
            <w:tcBorders>
              <w:top w:val="nil"/>
              <w:left w:val="nil"/>
              <w:bottom w:val="single" w:sz="4" w:space="0" w:color="auto"/>
              <w:right w:val="single" w:sz="4" w:space="0" w:color="auto"/>
            </w:tcBorders>
            <w:vAlign w:val="center"/>
            <w:hideMark/>
          </w:tcPr>
          <w:p w14:paraId="665F0EA8"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3,394</w:t>
            </w:r>
          </w:p>
        </w:tc>
      </w:tr>
      <w:tr w:rsidR="0089435E" w:rsidRPr="006956C9" w14:paraId="7E99D1A1"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21AE7113"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Income Tax Expense</w:t>
            </w:r>
          </w:p>
        </w:tc>
        <w:tc>
          <w:tcPr>
            <w:tcW w:w="820" w:type="dxa"/>
            <w:tcBorders>
              <w:top w:val="nil"/>
              <w:left w:val="nil"/>
              <w:bottom w:val="single" w:sz="4" w:space="0" w:color="auto"/>
              <w:right w:val="single" w:sz="4" w:space="0" w:color="auto"/>
            </w:tcBorders>
            <w:vAlign w:val="center"/>
            <w:hideMark/>
          </w:tcPr>
          <w:p w14:paraId="3C34B7F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81</w:t>
            </w:r>
          </w:p>
        </w:tc>
        <w:tc>
          <w:tcPr>
            <w:tcW w:w="820" w:type="dxa"/>
            <w:tcBorders>
              <w:top w:val="nil"/>
              <w:left w:val="nil"/>
              <w:bottom w:val="single" w:sz="4" w:space="0" w:color="auto"/>
              <w:right w:val="single" w:sz="4" w:space="0" w:color="auto"/>
            </w:tcBorders>
            <w:vAlign w:val="center"/>
            <w:hideMark/>
          </w:tcPr>
          <w:p w14:paraId="4D81BB2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756</w:t>
            </w:r>
          </w:p>
        </w:tc>
        <w:tc>
          <w:tcPr>
            <w:tcW w:w="820" w:type="dxa"/>
            <w:tcBorders>
              <w:top w:val="nil"/>
              <w:left w:val="nil"/>
              <w:bottom w:val="single" w:sz="4" w:space="0" w:color="auto"/>
              <w:right w:val="single" w:sz="4" w:space="0" w:color="auto"/>
            </w:tcBorders>
            <w:vAlign w:val="center"/>
            <w:hideMark/>
          </w:tcPr>
          <w:p w14:paraId="04F55A6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295</w:t>
            </w:r>
          </w:p>
        </w:tc>
        <w:tc>
          <w:tcPr>
            <w:tcW w:w="820" w:type="dxa"/>
            <w:tcBorders>
              <w:top w:val="nil"/>
              <w:left w:val="nil"/>
              <w:bottom w:val="single" w:sz="4" w:space="0" w:color="auto"/>
              <w:right w:val="single" w:sz="4" w:space="0" w:color="auto"/>
            </w:tcBorders>
            <w:vAlign w:val="center"/>
            <w:hideMark/>
          </w:tcPr>
          <w:p w14:paraId="539AD53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776</w:t>
            </w:r>
          </w:p>
        </w:tc>
        <w:tc>
          <w:tcPr>
            <w:tcW w:w="820" w:type="dxa"/>
            <w:tcBorders>
              <w:top w:val="nil"/>
              <w:left w:val="nil"/>
              <w:bottom w:val="single" w:sz="4" w:space="0" w:color="auto"/>
              <w:right w:val="single" w:sz="4" w:space="0" w:color="auto"/>
            </w:tcBorders>
            <w:vAlign w:val="center"/>
            <w:hideMark/>
          </w:tcPr>
          <w:p w14:paraId="75F2CC7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793</w:t>
            </w:r>
          </w:p>
        </w:tc>
      </w:tr>
      <w:tr w:rsidR="0089435E" w:rsidRPr="006956C9" w14:paraId="7733253C"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6E0C11E2" w14:textId="77777777" w:rsidR="0089435E" w:rsidRPr="006956C9" w:rsidRDefault="0089435E"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Net Income</w:t>
            </w:r>
          </w:p>
        </w:tc>
        <w:tc>
          <w:tcPr>
            <w:tcW w:w="820" w:type="dxa"/>
            <w:tcBorders>
              <w:top w:val="nil"/>
              <w:left w:val="nil"/>
              <w:bottom w:val="single" w:sz="4" w:space="0" w:color="auto"/>
              <w:right w:val="single" w:sz="4" w:space="0" w:color="auto"/>
            </w:tcBorders>
            <w:vAlign w:val="center"/>
            <w:hideMark/>
          </w:tcPr>
          <w:p w14:paraId="601709CE"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1,099</w:t>
            </w:r>
          </w:p>
        </w:tc>
        <w:tc>
          <w:tcPr>
            <w:tcW w:w="820" w:type="dxa"/>
            <w:tcBorders>
              <w:top w:val="nil"/>
              <w:left w:val="nil"/>
              <w:bottom w:val="single" w:sz="4" w:space="0" w:color="auto"/>
              <w:right w:val="single" w:sz="4" w:space="0" w:color="auto"/>
            </w:tcBorders>
            <w:vAlign w:val="center"/>
            <w:hideMark/>
          </w:tcPr>
          <w:p w14:paraId="6EE003AB"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2,358</w:t>
            </w:r>
          </w:p>
        </w:tc>
        <w:tc>
          <w:tcPr>
            <w:tcW w:w="820" w:type="dxa"/>
            <w:tcBorders>
              <w:top w:val="nil"/>
              <w:left w:val="nil"/>
              <w:bottom w:val="single" w:sz="4" w:space="0" w:color="auto"/>
              <w:right w:val="single" w:sz="4" w:space="0" w:color="auto"/>
            </w:tcBorders>
            <w:vAlign w:val="center"/>
            <w:hideMark/>
          </w:tcPr>
          <w:p w14:paraId="22F99D2D"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3,083</w:t>
            </w:r>
          </w:p>
        </w:tc>
        <w:tc>
          <w:tcPr>
            <w:tcW w:w="820" w:type="dxa"/>
            <w:tcBorders>
              <w:top w:val="nil"/>
              <w:left w:val="nil"/>
              <w:bottom w:val="single" w:sz="4" w:space="0" w:color="auto"/>
              <w:right w:val="single" w:sz="4" w:space="0" w:color="auto"/>
            </w:tcBorders>
            <w:vAlign w:val="center"/>
            <w:hideMark/>
          </w:tcPr>
          <w:p w14:paraId="5D0F8A1B"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2,375</w:t>
            </w:r>
          </w:p>
        </w:tc>
        <w:tc>
          <w:tcPr>
            <w:tcW w:w="820" w:type="dxa"/>
            <w:tcBorders>
              <w:top w:val="nil"/>
              <w:left w:val="nil"/>
              <w:bottom w:val="single" w:sz="4" w:space="0" w:color="auto"/>
              <w:right w:val="single" w:sz="4" w:space="0" w:color="auto"/>
            </w:tcBorders>
            <w:vAlign w:val="center"/>
            <w:hideMark/>
          </w:tcPr>
          <w:p w14:paraId="383227F1"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2,601</w:t>
            </w:r>
          </w:p>
        </w:tc>
      </w:tr>
      <w:tr w:rsidR="0089435E" w:rsidRPr="006956C9" w14:paraId="3C4EAD9E"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00286317"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Basic EPS ($)</w:t>
            </w:r>
          </w:p>
        </w:tc>
        <w:tc>
          <w:tcPr>
            <w:tcW w:w="820" w:type="dxa"/>
            <w:tcBorders>
              <w:top w:val="nil"/>
              <w:left w:val="nil"/>
              <w:bottom w:val="single" w:sz="4" w:space="0" w:color="auto"/>
              <w:right w:val="single" w:sz="4" w:space="0" w:color="auto"/>
            </w:tcBorders>
            <w:vAlign w:val="center"/>
            <w:hideMark/>
          </w:tcPr>
          <w:p w14:paraId="286E193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3.36</w:t>
            </w:r>
          </w:p>
        </w:tc>
        <w:tc>
          <w:tcPr>
            <w:tcW w:w="820" w:type="dxa"/>
            <w:tcBorders>
              <w:top w:val="nil"/>
              <w:left w:val="nil"/>
              <w:bottom w:val="single" w:sz="4" w:space="0" w:color="auto"/>
              <w:right w:val="single" w:sz="4" w:space="0" w:color="auto"/>
            </w:tcBorders>
            <w:vAlign w:val="center"/>
            <w:hideMark/>
          </w:tcPr>
          <w:p w14:paraId="22CAEF4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7.27</w:t>
            </w:r>
          </w:p>
        </w:tc>
        <w:tc>
          <w:tcPr>
            <w:tcW w:w="820" w:type="dxa"/>
            <w:tcBorders>
              <w:top w:val="nil"/>
              <w:left w:val="nil"/>
              <w:bottom w:val="single" w:sz="4" w:space="0" w:color="auto"/>
              <w:right w:val="single" w:sz="4" w:space="0" w:color="auto"/>
            </w:tcBorders>
            <w:vAlign w:val="center"/>
            <w:hideMark/>
          </w:tcPr>
          <w:p w14:paraId="5E49A4BF"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10.23</w:t>
            </w:r>
          </w:p>
        </w:tc>
        <w:tc>
          <w:tcPr>
            <w:tcW w:w="820" w:type="dxa"/>
            <w:tcBorders>
              <w:top w:val="nil"/>
              <w:left w:val="nil"/>
              <w:bottom w:val="single" w:sz="4" w:space="0" w:color="auto"/>
              <w:right w:val="single" w:sz="4" w:space="0" w:color="auto"/>
            </w:tcBorders>
            <w:vAlign w:val="center"/>
            <w:hideMark/>
          </w:tcPr>
          <w:p w14:paraId="4A42113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8.36</w:t>
            </w:r>
          </w:p>
        </w:tc>
        <w:tc>
          <w:tcPr>
            <w:tcW w:w="820" w:type="dxa"/>
            <w:tcBorders>
              <w:top w:val="nil"/>
              <w:left w:val="nil"/>
              <w:bottom w:val="single" w:sz="4" w:space="0" w:color="auto"/>
              <w:right w:val="single" w:sz="4" w:space="0" w:color="auto"/>
            </w:tcBorders>
            <w:vAlign w:val="center"/>
            <w:hideMark/>
          </w:tcPr>
          <w:p w14:paraId="639A94E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9.53</w:t>
            </w:r>
          </w:p>
        </w:tc>
      </w:tr>
      <w:tr w:rsidR="0089435E" w:rsidRPr="006956C9" w14:paraId="7BB88F31"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3167687B"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Diluted EPS ($)</w:t>
            </w:r>
          </w:p>
        </w:tc>
        <w:tc>
          <w:tcPr>
            <w:tcW w:w="820" w:type="dxa"/>
            <w:tcBorders>
              <w:top w:val="nil"/>
              <w:left w:val="nil"/>
              <w:bottom w:val="single" w:sz="4" w:space="0" w:color="auto"/>
              <w:right w:val="single" w:sz="4" w:space="0" w:color="auto"/>
            </w:tcBorders>
            <w:vAlign w:val="center"/>
            <w:hideMark/>
          </w:tcPr>
          <w:p w14:paraId="6720079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3.34</w:t>
            </w:r>
          </w:p>
        </w:tc>
        <w:tc>
          <w:tcPr>
            <w:tcW w:w="820" w:type="dxa"/>
            <w:tcBorders>
              <w:top w:val="nil"/>
              <w:left w:val="nil"/>
              <w:bottom w:val="single" w:sz="4" w:space="0" w:color="auto"/>
              <w:right w:val="single" w:sz="4" w:space="0" w:color="auto"/>
            </w:tcBorders>
            <w:vAlign w:val="center"/>
            <w:hideMark/>
          </w:tcPr>
          <w:p w14:paraId="52D0A5B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7.24</w:t>
            </w:r>
          </w:p>
        </w:tc>
        <w:tc>
          <w:tcPr>
            <w:tcW w:w="820" w:type="dxa"/>
            <w:tcBorders>
              <w:top w:val="nil"/>
              <w:left w:val="nil"/>
              <w:bottom w:val="single" w:sz="4" w:space="0" w:color="auto"/>
              <w:right w:val="single" w:sz="4" w:space="0" w:color="auto"/>
            </w:tcBorders>
            <w:vAlign w:val="center"/>
            <w:hideMark/>
          </w:tcPr>
          <w:p w14:paraId="29733B1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10.18</w:t>
            </w:r>
          </w:p>
        </w:tc>
        <w:tc>
          <w:tcPr>
            <w:tcW w:w="820" w:type="dxa"/>
            <w:tcBorders>
              <w:top w:val="nil"/>
              <w:left w:val="nil"/>
              <w:bottom w:val="single" w:sz="4" w:space="0" w:color="auto"/>
              <w:right w:val="single" w:sz="4" w:space="0" w:color="auto"/>
            </w:tcBorders>
            <w:vAlign w:val="center"/>
            <w:hideMark/>
          </w:tcPr>
          <w:p w14:paraId="44AEF61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8.33</w:t>
            </w:r>
          </w:p>
        </w:tc>
        <w:tc>
          <w:tcPr>
            <w:tcW w:w="820" w:type="dxa"/>
            <w:tcBorders>
              <w:top w:val="nil"/>
              <w:left w:val="nil"/>
              <w:bottom w:val="single" w:sz="4" w:space="0" w:color="auto"/>
              <w:right w:val="single" w:sz="4" w:space="0" w:color="auto"/>
            </w:tcBorders>
            <w:vAlign w:val="center"/>
            <w:hideMark/>
          </w:tcPr>
          <w:p w14:paraId="0723993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9.51</w:t>
            </w:r>
          </w:p>
        </w:tc>
      </w:tr>
      <w:tr w:rsidR="0089435E" w:rsidRPr="006956C9" w14:paraId="096180B4" w14:textId="77777777" w:rsidTr="0089435E">
        <w:trPr>
          <w:trHeight w:val="288"/>
        </w:trPr>
        <w:tc>
          <w:tcPr>
            <w:tcW w:w="7800" w:type="dxa"/>
            <w:gridSpan w:val="6"/>
            <w:tcBorders>
              <w:top w:val="single" w:sz="4" w:space="0" w:color="auto"/>
              <w:left w:val="single" w:sz="4" w:space="0" w:color="auto"/>
              <w:bottom w:val="single" w:sz="4" w:space="0" w:color="auto"/>
              <w:right w:val="single" w:sz="4" w:space="0" w:color="000000"/>
            </w:tcBorders>
            <w:shd w:val="clear" w:color="000000" w:fill="5B9BD5"/>
            <w:vAlign w:val="center"/>
            <w:hideMark/>
          </w:tcPr>
          <w:p w14:paraId="725A32F3" w14:textId="77777777" w:rsidR="0089435E" w:rsidRPr="006956C9" w:rsidRDefault="0089435E"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BALANCE SHEET</w:t>
            </w:r>
          </w:p>
        </w:tc>
      </w:tr>
      <w:tr w:rsidR="0089435E" w:rsidRPr="006956C9" w14:paraId="28FC3F79"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7C932692"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Cash &amp; Cash Equivalents</w:t>
            </w:r>
          </w:p>
        </w:tc>
        <w:tc>
          <w:tcPr>
            <w:tcW w:w="820" w:type="dxa"/>
            <w:tcBorders>
              <w:top w:val="nil"/>
              <w:left w:val="nil"/>
              <w:bottom w:val="single" w:sz="4" w:space="0" w:color="auto"/>
              <w:right w:val="single" w:sz="4" w:space="0" w:color="auto"/>
            </w:tcBorders>
            <w:vAlign w:val="center"/>
            <w:hideMark/>
          </w:tcPr>
          <w:p w14:paraId="343B9D2F"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1,393</w:t>
            </w:r>
          </w:p>
        </w:tc>
        <w:tc>
          <w:tcPr>
            <w:tcW w:w="820" w:type="dxa"/>
            <w:tcBorders>
              <w:top w:val="nil"/>
              <w:left w:val="nil"/>
              <w:bottom w:val="single" w:sz="4" w:space="0" w:color="auto"/>
              <w:right w:val="single" w:sz="4" w:space="0" w:color="auto"/>
            </w:tcBorders>
            <w:vAlign w:val="center"/>
            <w:hideMark/>
          </w:tcPr>
          <w:p w14:paraId="6E09EE8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507</w:t>
            </w:r>
          </w:p>
        </w:tc>
        <w:tc>
          <w:tcPr>
            <w:tcW w:w="820" w:type="dxa"/>
            <w:tcBorders>
              <w:top w:val="nil"/>
              <w:left w:val="nil"/>
              <w:bottom w:val="single" w:sz="4" w:space="0" w:color="auto"/>
              <w:right w:val="single" w:sz="4" w:space="0" w:color="auto"/>
            </w:tcBorders>
            <w:vAlign w:val="center"/>
            <w:hideMark/>
          </w:tcPr>
          <w:p w14:paraId="0E0FFAA6"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338</w:t>
            </w:r>
          </w:p>
        </w:tc>
        <w:tc>
          <w:tcPr>
            <w:tcW w:w="820" w:type="dxa"/>
            <w:tcBorders>
              <w:top w:val="nil"/>
              <w:left w:val="nil"/>
              <w:bottom w:val="single" w:sz="4" w:space="0" w:color="auto"/>
              <w:right w:val="single" w:sz="4" w:space="0" w:color="auto"/>
            </w:tcBorders>
            <w:vAlign w:val="center"/>
            <w:hideMark/>
          </w:tcPr>
          <w:p w14:paraId="160F6AE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396</w:t>
            </w:r>
          </w:p>
        </w:tc>
        <w:tc>
          <w:tcPr>
            <w:tcW w:w="820" w:type="dxa"/>
            <w:tcBorders>
              <w:top w:val="nil"/>
              <w:left w:val="nil"/>
              <w:bottom w:val="single" w:sz="4" w:space="0" w:color="auto"/>
              <w:right w:val="single" w:sz="4" w:space="0" w:color="auto"/>
            </w:tcBorders>
            <w:vAlign w:val="center"/>
            <w:hideMark/>
          </w:tcPr>
          <w:p w14:paraId="6883F288"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358</w:t>
            </w:r>
          </w:p>
        </w:tc>
      </w:tr>
      <w:tr w:rsidR="0089435E" w:rsidRPr="006956C9" w14:paraId="65F93F3B"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701BC64B"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Accounts &amp; Notes Receivable</w:t>
            </w:r>
          </w:p>
        </w:tc>
        <w:tc>
          <w:tcPr>
            <w:tcW w:w="820" w:type="dxa"/>
            <w:tcBorders>
              <w:top w:val="nil"/>
              <w:left w:val="nil"/>
              <w:bottom w:val="single" w:sz="4" w:space="0" w:color="auto"/>
              <w:right w:val="single" w:sz="4" w:space="0" w:color="auto"/>
            </w:tcBorders>
            <w:vAlign w:val="center"/>
            <w:hideMark/>
          </w:tcPr>
          <w:p w14:paraId="7493141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1,982</w:t>
            </w:r>
          </w:p>
        </w:tc>
        <w:tc>
          <w:tcPr>
            <w:tcW w:w="820" w:type="dxa"/>
            <w:tcBorders>
              <w:top w:val="nil"/>
              <w:left w:val="nil"/>
              <w:bottom w:val="single" w:sz="4" w:space="0" w:color="auto"/>
              <w:right w:val="single" w:sz="4" w:space="0" w:color="auto"/>
            </w:tcBorders>
            <w:vAlign w:val="center"/>
            <w:hideMark/>
          </w:tcPr>
          <w:p w14:paraId="4975D4E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2,571</w:t>
            </w:r>
          </w:p>
        </w:tc>
        <w:tc>
          <w:tcPr>
            <w:tcW w:w="820" w:type="dxa"/>
            <w:tcBorders>
              <w:top w:val="nil"/>
              <w:left w:val="nil"/>
              <w:bottom w:val="single" w:sz="4" w:space="0" w:color="auto"/>
              <w:right w:val="single" w:sz="4" w:space="0" w:color="auto"/>
            </w:tcBorders>
            <w:vAlign w:val="center"/>
            <w:hideMark/>
          </w:tcPr>
          <w:p w14:paraId="4874633A"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2,712</w:t>
            </w:r>
          </w:p>
        </w:tc>
        <w:tc>
          <w:tcPr>
            <w:tcW w:w="820" w:type="dxa"/>
            <w:tcBorders>
              <w:top w:val="nil"/>
              <w:left w:val="nil"/>
              <w:bottom w:val="single" w:sz="4" w:space="0" w:color="auto"/>
              <w:right w:val="single" w:sz="4" w:space="0" w:color="auto"/>
            </w:tcBorders>
            <w:vAlign w:val="center"/>
            <w:hideMark/>
          </w:tcPr>
          <w:p w14:paraId="340F7758"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2,795</w:t>
            </w:r>
          </w:p>
        </w:tc>
        <w:tc>
          <w:tcPr>
            <w:tcW w:w="820" w:type="dxa"/>
            <w:tcBorders>
              <w:top w:val="nil"/>
              <w:left w:val="nil"/>
              <w:bottom w:val="single" w:sz="4" w:space="0" w:color="auto"/>
              <w:right w:val="single" w:sz="4" w:space="0" w:color="auto"/>
            </w:tcBorders>
            <w:vAlign w:val="center"/>
            <w:hideMark/>
          </w:tcPr>
          <w:p w14:paraId="50624B8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2,909</w:t>
            </w:r>
          </w:p>
        </w:tc>
      </w:tr>
      <w:tr w:rsidR="0089435E" w:rsidRPr="006956C9" w14:paraId="73867C69"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25FBA090"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Prepaid Expenses &amp; Other</w:t>
            </w:r>
          </w:p>
        </w:tc>
        <w:tc>
          <w:tcPr>
            <w:tcW w:w="820" w:type="dxa"/>
            <w:tcBorders>
              <w:top w:val="nil"/>
              <w:left w:val="nil"/>
              <w:bottom w:val="single" w:sz="4" w:space="0" w:color="auto"/>
              <w:right w:val="single" w:sz="4" w:space="0" w:color="auto"/>
            </w:tcBorders>
            <w:vAlign w:val="center"/>
            <w:hideMark/>
          </w:tcPr>
          <w:p w14:paraId="414B7DE4"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251</w:t>
            </w:r>
          </w:p>
        </w:tc>
        <w:tc>
          <w:tcPr>
            <w:tcW w:w="820" w:type="dxa"/>
            <w:tcBorders>
              <w:top w:val="nil"/>
              <w:left w:val="nil"/>
              <w:bottom w:val="single" w:sz="4" w:space="0" w:color="auto"/>
              <w:right w:val="single" w:sz="4" w:space="0" w:color="auto"/>
            </w:tcBorders>
            <w:vAlign w:val="center"/>
            <w:hideMark/>
          </w:tcPr>
          <w:p w14:paraId="08297BE8"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235</w:t>
            </w:r>
          </w:p>
        </w:tc>
        <w:tc>
          <w:tcPr>
            <w:tcW w:w="820" w:type="dxa"/>
            <w:tcBorders>
              <w:top w:val="nil"/>
              <w:left w:val="nil"/>
              <w:bottom w:val="single" w:sz="4" w:space="0" w:color="auto"/>
              <w:right w:val="single" w:sz="4" w:space="0" w:color="auto"/>
            </w:tcBorders>
            <w:vAlign w:val="center"/>
            <w:hideMark/>
          </w:tcPr>
          <w:p w14:paraId="3A83323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261</w:t>
            </w:r>
          </w:p>
        </w:tc>
        <w:tc>
          <w:tcPr>
            <w:tcW w:w="820" w:type="dxa"/>
            <w:tcBorders>
              <w:top w:val="nil"/>
              <w:left w:val="nil"/>
              <w:bottom w:val="single" w:sz="4" w:space="0" w:color="auto"/>
              <w:right w:val="single" w:sz="4" w:space="0" w:color="auto"/>
            </w:tcBorders>
            <w:vAlign w:val="center"/>
            <w:hideMark/>
          </w:tcPr>
          <w:p w14:paraId="562A7E5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294</w:t>
            </w:r>
          </w:p>
        </w:tc>
        <w:tc>
          <w:tcPr>
            <w:tcW w:w="820" w:type="dxa"/>
            <w:tcBorders>
              <w:top w:val="nil"/>
              <w:left w:val="nil"/>
              <w:bottom w:val="single" w:sz="4" w:space="0" w:color="auto"/>
              <w:right w:val="single" w:sz="4" w:space="0" w:color="auto"/>
            </w:tcBorders>
            <w:vAlign w:val="center"/>
            <w:hideMark/>
          </w:tcPr>
          <w:p w14:paraId="373E7E7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317</w:t>
            </w:r>
          </w:p>
        </w:tc>
      </w:tr>
      <w:tr w:rsidR="0089435E" w:rsidRPr="006956C9" w14:paraId="79188858"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095FB88A" w14:textId="77777777" w:rsidR="0089435E" w:rsidRPr="006956C9" w:rsidRDefault="0089435E"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Current Assets</w:t>
            </w:r>
          </w:p>
        </w:tc>
        <w:tc>
          <w:tcPr>
            <w:tcW w:w="820" w:type="dxa"/>
            <w:tcBorders>
              <w:top w:val="nil"/>
              <w:left w:val="nil"/>
              <w:bottom w:val="single" w:sz="4" w:space="0" w:color="auto"/>
              <w:right w:val="single" w:sz="4" w:space="0" w:color="auto"/>
            </w:tcBorders>
            <w:vAlign w:val="center"/>
            <w:hideMark/>
          </w:tcPr>
          <w:p w14:paraId="38374B4B"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3,626</w:t>
            </w:r>
          </w:p>
        </w:tc>
        <w:tc>
          <w:tcPr>
            <w:tcW w:w="820" w:type="dxa"/>
            <w:tcBorders>
              <w:top w:val="nil"/>
              <w:left w:val="nil"/>
              <w:bottom w:val="single" w:sz="4" w:space="0" w:color="auto"/>
              <w:right w:val="single" w:sz="4" w:space="0" w:color="auto"/>
            </w:tcBorders>
            <w:vAlign w:val="center"/>
            <w:hideMark/>
          </w:tcPr>
          <w:p w14:paraId="3C5048D3"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3,313</w:t>
            </w:r>
          </w:p>
        </w:tc>
        <w:tc>
          <w:tcPr>
            <w:tcW w:w="820" w:type="dxa"/>
            <w:tcBorders>
              <w:top w:val="nil"/>
              <w:left w:val="nil"/>
              <w:bottom w:val="single" w:sz="4" w:space="0" w:color="auto"/>
              <w:right w:val="single" w:sz="4" w:space="0" w:color="auto"/>
            </w:tcBorders>
            <w:vAlign w:val="center"/>
            <w:hideMark/>
          </w:tcPr>
          <w:p w14:paraId="6F06928D"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3,311</w:t>
            </w:r>
          </w:p>
        </w:tc>
        <w:tc>
          <w:tcPr>
            <w:tcW w:w="820" w:type="dxa"/>
            <w:tcBorders>
              <w:top w:val="nil"/>
              <w:left w:val="nil"/>
              <w:bottom w:val="single" w:sz="4" w:space="0" w:color="auto"/>
              <w:right w:val="single" w:sz="4" w:space="0" w:color="auto"/>
            </w:tcBorders>
            <w:vAlign w:val="center"/>
            <w:hideMark/>
          </w:tcPr>
          <w:p w14:paraId="6A312B7F"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3,485</w:t>
            </w:r>
          </w:p>
        </w:tc>
        <w:tc>
          <w:tcPr>
            <w:tcW w:w="820" w:type="dxa"/>
            <w:tcBorders>
              <w:top w:val="nil"/>
              <w:left w:val="nil"/>
              <w:bottom w:val="single" w:sz="4" w:space="0" w:color="auto"/>
              <w:right w:val="single" w:sz="4" w:space="0" w:color="auto"/>
            </w:tcBorders>
            <w:vAlign w:val="center"/>
            <w:hideMark/>
          </w:tcPr>
          <w:p w14:paraId="7B5EA623"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3,584</w:t>
            </w:r>
          </w:p>
        </w:tc>
      </w:tr>
      <w:tr w:rsidR="0089435E" w:rsidRPr="006956C9" w14:paraId="575C70FE"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3D338D15"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Property &amp; Equipment</w:t>
            </w:r>
          </w:p>
        </w:tc>
        <w:tc>
          <w:tcPr>
            <w:tcW w:w="820" w:type="dxa"/>
            <w:tcBorders>
              <w:top w:val="nil"/>
              <w:left w:val="nil"/>
              <w:bottom w:val="single" w:sz="4" w:space="0" w:color="auto"/>
              <w:right w:val="single" w:sz="4" w:space="0" w:color="auto"/>
            </w:tcBorders>
            <w:vAlign w:val="center"/>
            <w:hideMark/>
          </w:tcPr>
          <w:p w14:paraId="7DB834D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1,503</w:t>
            </w:r>
          </w:p>
        </w:tc>
        <w:tc>
          <w:tcPr>
            <w:tcW w:w="820" w:type="dxa"/>
            <w:tcBorders>
              <w:top w:val="nil"/>
              <w:left w:val="nil"/>
              <w:bottom w:val="single" w:sz="4" w:space="0" w:color="auto"/>
              <w:right w:val="single" w:sz="4" w:space="0" w:color="auto"/>
            </w:tcBorders>
            <w:vAlign w:val="center"/>
            <w:hideMark/>
          </w:tcPr>
          <w:p w14:paraId="1ED12B7A"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1,585</w:t>
            </w:r>
          </w:p>
        </w:tc>
        <w:tc>
          <w:tcPr>
            <w:tcW w:w="820" w:type="dxa"/>
            <w:tcBorders>
              <w:top w:val="nil"/>
              <w:left w:val="nil"/>
              <w:bottom w:val="single" w:sz="4" w:space="0" w:color="auto"/>
              <w:right w:val="single" w:sz="4" w:space="0" w:color="auto"/>
            </w:tcBorders>
            <w:vAlign w:val="center"/>
            <w:hideMark/>
          </w:tcPr>
          <w:p w14:paraId="597DA07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1,581</w:t>
            </w:r>
          </w:p>
        </w:tc>
        <w:tc>
          <w:tcPr>
            <w:tcW w:w="820" w:type="dxa"/>
            <w:tcBorders>
              <w:top w:val="nil"/>
              <w:left w:val="nil"/>
              <w:bottom w:val="single" w:sz="4" w:space="0" w:color="auto"/>
              <w:right w:val="single" w:sz="4" w:space="0" w:color="auto"/>
            </w:tcBorders>
            <w:vAlign w:val="center"/>
            <w:hideMark/>
          </w:tcPr>
          <w:p w14:paraId="4382CBF4"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1,833</w:t>
            </w:r>
          </w:p>
        </w:tc>
        <w:tc>
          <w:tcPr>
            <w:tcW w:w="820" w:type="dxa"/>
            <w:tcBorders>
              <w:top w:val="nil"/>
              <w:left w:val="nil"/>
              <w:bottom w:val="single" w:sz="4" w:space="0" w:color="auto"/>
              <w:right w:val="single" w:sz="4" w:space="0" w:color="auto"/>
            </w:tcBorders>
            <w:vAlign w:val="center"/>
            <w:hideMark/>
          </w:tcPr>
          <w:p w14:paraId="0BD722B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1,954</w:t>
            </w:r>
          </w:p>
        </w:tc>
      </w:tr>
      <w:tr w:rsidR="0089435E" w:rsidRPr="006956C9" w14:paraId="1D089312"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1067B34B"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Brands</w:t>
            </w:r>
          </w:p>
        </w:tc>
        <w:tc>
          <w:tcPr>
            <w:tcW w:w="820" w:type="dxa"/>
            <w:tcBorders>
              <w:top w:val="nil"/>
              <w:left w:val="nil"/>
              <w:bottom w:val="single" w:sz="4" w:space="0" w:color="auto"/>
              <w:right w:val="single" w:sz="4" w:space="0" w:color="auto"/>
            </w:tcBorders>
            <w:vAlign w:val="center"/>
            <w:hideMark/>
          </w:tcPr>
          <w:p w14:paraId="7555F0C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5,979</w:t>
            </w:r>
          </w:p>
        </w:tc>
        <w:tc>
          <w:tcPr>
            <w:tcW w:w="820" w:type="dxa"/>
            <w:tcBorders>
              <w:top w:val="nil"/>
              <w:left w:val="nil"/>
              <w:bottom w:val="single" w:sz="4" w:space="0" w:color="auto"/>
              <w:right w:val="single" w:sz="4" w:space="0" w:color="auto"/>
            </w:tcBorders>
            <w:vAlign w:val="center"/>
            <w:hideMark/>
          </w:tcPr>
          <w:p w14:paraId="7D01F1E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5,812</w:t>
            </w:r>
          </w:p>
        </w:tc>
        <w:tc>
          <w:tcPr>
            <w:tcW w:w="820" w:type="dxa"/>
            <w:tcBorders>
              <w:top w:val="nil"/>
              <w:left w:val="nil"/>
              <w:bottom w:val="single" w:sz="4" w:space="0" w:color="auto"/>
              <w:right w:val="single" w:sz="4" w:space="0" w:color="auto"/>
            </w:tcBorders>
            <w:vAlign w:val="center"/>
            <w:hideMark/>
          </w:tcPr>
          <w:p w14:paraId="4EAA2A5F"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5,907</w:t>
            </w:r>
          </w:p>
        </w:tc>
        <w:tc>
          <w:tcPr>
            <w:tcW w:w="820" w:type="dxa"/>
            <w:tcBorders>
              <w:top w:val="nil"/>
              <w:left w:val="nil"/>
              <w:bottom w:val="single" w:sz="4" w:space="0" w:color="auto"/>
              <w:right w:val="single" w:sz="4" w:space="0" w:color="auto"/>
            </w:tcBorders>
            <w:vAlign w:val="center"/>
            <w:hideMark/>
          </w:tcPr>
          <w:p w14:paraId="7128574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5,770</w:t>
            </w:r>
          </w:p>
        </w:tc>
        <w:tc>
          <w:tcPr>
            <w:tcW w:w="820" w:type="dxa"/>
            <w:tcBorders>
              <w:top w:val="nil"/>
              <w:left w:val="nil"/>
              <w:bottom w:val="single" w:sz="4" w:space="0" w:color="auto"/>
              <w:right w:val="single" w:sz="4" w:space="0" w:color="auto"/>
            </w:tcBorders>
            <w:vAlign w:val="center"/>
            <w:hideMark/>
          </w:tcPr>
          <w:p w14:paraId="33AA082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6,207</w:t>
            </w:r>
          </w:p>
        </w:tc>
      </w:tr>
      <w:tr w:rsidR="0089435E" w:rsidRPr="006956C9" w14:paraId="0D40917D"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6CFEE284"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Goodwill</w:t>
            </w:r>
          </w:p>
        </w:tc>
        <w:tc>
          <w:tcPr>
            <w:tcW w:w="820" w:type="dxa"/>
            <w:tcBorders>
              <w:top w:val="nil"/>
              <w:left w:val="nil"/>
              <w:bottom w:val="single" w:sz="4" w:space="0" w:color="auto"/>
              <w:right w:val="single" w:sz="4" w:space="0" w:color="auto"/>
            </w:tcBorders>
            <w:vAlign w:val="center"/>
            <w:hideMark/>
          </w:tcPr>
          <w:p w14:paraId="0944DF03"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9,073</w:t>
            </w:r>
          </w:p>
        </w:tc>
        <w:tc>
          <w:tcPr>
            <w:tcW w:w="820" w:type="dxa"/>
            <w:tcBorders>
              <w:top w:val="nil"/>
              <w:left w:val="nil"/>
              <w:bottom w:val="single" w:sz="4" w:space="0" w:color="auto"/>
              <w:right w:val="single" w:sz="4" w:space="0" w:color="auto"/>
            </w:tcBorders>
            <w:vAlign w:val="center"/>
            <w:hideMark/>
          </w:tcPr>
          <w:p w14:paraId="322C2FB6"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8,872</w:t>
            </w:r>
          </w:p>
        </w:tc>
        <w:tc>
          <w:tcPr>
            <w:tcW w:w="820" w:type="dxa"/>
            <w:tcBorders>
              <w:top w:val="nil"/>
              <w:left w:val="nil"/>
              <w:bottom w:val="single" w:sz="4" w:space="0" w:color="auto"/>
              <w:right w:val="single" w:sz="4" w:space="0" w:color="auto"/>
            </w:tcBorders>
            <w:vAlign w:val="center"/>
            <w:hideMark/>
          </w:tcPr>
          <w:p w14:paraId="642F26B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8,886</w:t>
            </w:r>
          </w:p>
        </w:tc>
        <w:tc>
          <w:tcPr>
            <w:tcW w:w="820" w:type="dxa"/>
            <w:tcBorders>
              <w:top w:val="nil"/>
              <w:left w:val="nil"/>
              <w:bottom w:val="single" w:sz="4" w:space="0" w:color="auto"/>
              <w:right w:val="single" w:sz="4" w:space="0" w:color="auto"/>
            </w:tcBorders>
            <w:vAlign w:val="center"/>
            <w:hideMark/>
          </w:tcPr>
          <w:p w14:paraId="7FEE27C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8,731</w:t>
            </w:r>
          </w:p>
        </w:tc>
        <w:tc>
          <w:tcPr>
            <w:tcW w:w="820" w:type="dxa"/>
            <w:tcBorders>
              <w:top w:val="nil"/>
              <w:left w:val="nil"/>
              <w:bottom w:val="single" w:sz="4" w:space="0" w:color="auto"/>
              <w:right w:val="single" w:sz="4" w:space="0" w:color="auto"/>
            </w:tcBorders>
            <w:vAlign w:val="center"/>
            <w:hideMark/>
          </w:tcPr>
          <w:p w14:paraId="6E78040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8,907</w:t>
            </w:r>
          </w:p>
        </w:tc>
      </w:tr>
      <w:tr w:rsidR="0089435E" w:rsidRPr="006956C9" w14:paraId="39F41D59"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011A1A64" w14:textId="77777777" w:rsidR="0089435E" w:rsidRPr="006956C9" w:rsidRDefault="0089435E"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Total Assets</w:t>
            </w:r>
          </w:p>
        </w:tc>
        <w:tc>
          <w:tcPr>
            <w:tcW w:w="820" w:type="dxa"/>
            <w:tcBorders>
              <w:top w:val="nil"/>
              <w:left w:val="nil"/>
              <w:bottom w:val="single" w:sz="4" w:space="0" w:color="auto"/>
              <w:right w:val="single" w:sz="4" w:space="0" w:color="auto"/>
            </w:tcBorders>
            <w:vAlign w:val="center"/>
            <w:hideMark/>
          </w:tcPr>
          <w:p w14:paraId="617327B9"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25,553</w:t>
            </w:r>
          </w:p>
        </w:tc>
        <w:tc>
          <w:tcPr>
            <w:tcW w:w="820" w:type="dxa"/>
            <w:tcBorders>
              <w:top w:val="nil"/>
              <w:left w:val="nil"/>
              <w:bottom w:val="single" w:sz="4" w:space="0" w:color="auto"/>
              <w:right w:val="single" w:sz="4" w:space="0" w:color="auto"/>
            </w:tcBorders>
            <w:vAlign w:val="center"/>
            <w:hideMark/>
          </w:tcPr>
          <w:p w14:paraId="19C7C34B"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24,815</w:t>
            </w:r>
          </w:p>
        </w:tc>
        <w:tc>
          <w:tcPr>
            <w:tcW w:w="820" w:type="dxa"/>
            <w:tcBorders>
              <w:top w:val="nil"/>
              <w:left w:val="nil"/>
              <w:bottom w:val="single" w:sz="4" w:space="0" w:color="auto"/>
              <w:right w:val="single" w:sz="4" w:space="0" w:color="auto"/>
            </w:tcBorders>
            <w:vAlign w:val="center"/>
            <w:hideMark/>
          </w:tcPr>
          <w:p w14:paraId="1F9BE672"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25,674</w:t>
            </w:r>
          </w:p>
        </w:tc>
        <w:tc>
          <w:tcPr>
            <w:tcW w:w="820" w:type="dxa"/>
            <w:tcBorders>
              <w:top w:val="nil"/>
              <w:left w:val="nil"/>
              <w:bottom w:val="single" w:sz="4" w:space="0" w:color="auto"/>
              <w:right w:val="single" w:sz="4" w:space="0" w:color="auto"/>
            </w:tcBorders>
            <w:vAlign w:val="center"/>
            <w:hideMark/>
          </w:tcPr>
          <w:p w14:paraId="3AE460DB"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26,182</w:t>
            </w:r>
          </w:p>
        </w:tc>
        <w:tc>
          <w:tcPr>
            <w:tcW w:w="820" w:type="dxa"/>
            <w:tcBorders>
              <w:top w:val="nil"/>
              <w:left w:val="nil"/>
              <w:bottom w:val="single" w:sz="4" w:space="0" w:color="auto"/>
              <w:right w:val="single" w:sz="4" w:space="0" w:color="auto"/>
            </w:tcBorders>
            <w:vAlign w:val="center"/>
            <w:hideMark/>
          </w:tcPr>
          <w:p w14:paraId="6664894C"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27,540</w:t>
            </w:r>
          </w:p>
        </w:tc>
      </w:tr>
      <w:tr w:rsidR="0089435E" w:rsidRPr="006956C9" w14:paraId="4F315D3C"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6516B905"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Current Portion of Long-Term Debt</w:t>
            </w:r>
          </w:p>
        </w:tc>
        <w:tc>
          <w:tcPr>
            <w:tcW w:w="820" w:type="dxa"/>
            <w:tcBorders>
              <w:top w:val="nil"/>
              <w:left w:val="nil"/>
              <w:bottom w:val="single" w:sz="4" w:space="0" w:color="auto"/>
              <w:right w:val="single" w:sz="4" w:space="0" w:color="auto"/>
            </w:tcBorders>
            <w:vAlign w:val="center"/>
            <w:hideMark/>
          </w:tcPr>
          <w:p w14:paraId="33C4DEEA"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805</w:t>
            </w:r>
          </w:p>
        </w:tc>
        <w:tc>
          <w:tcPr>
            <w:tcW w:w="820" w:type="dxa"/>
            <w:tcBorders>
              <w:top w:val="nil"/>
              <w:left w:val="nil"/>
              <w:bottom w:val="single" w:sz="4" w:space="0" w:color="auto"/>
              <w:right w:val="single" w:sz="4" w:space="0" w:color="auto"/>
            </w:tcBorders>
            <w:vAlign w:val="center"/>
            <w:hideMark/>
          </w:tcPr>
          <w:p w14:paraId="22A898A4"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684</w:t>
            </w:r>
          </w:p>
        </w:tc>
        <w:tc>
          <w:tcPr>
            <w:tcW w:w="820" w:type="dxa"/>
            <w:tcBorders>
              <w:top w:val="nil"/>
              <w:left w:val="nil"/>
              <w:bottom w:val="single" w:sz="4" w:space="0" w:color="auto"/>
              <w:right w:val="single" w:sz="4" w:space="0" w:color="auto"/>
            </w:tcBorders>
            <w:vAlign w:val="center"/>
            <w:hideMark/>
          </w:tcPr>
          <w:p w14:paraId="38F4990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553</w:t>
            </w:r>
          </w:p>
        </w:tc>
        <w:tc>
          <w:tcPr>
            <w:tcW w:w="820" w:type="dxa"/>
            <w:tcBorders>
              <w:top w:val="nil"/>
              <w:left w:val="nil"/>
              <w:bottom w:val="single" w:sz="4" w:space="0" w:color="auto"/>
              <w:right w:val="single" w:sz="4" w:space="0" w:color="auto"/>
            </w:tcBorders>
            <w:vAlign w:val="center"/>
            <w:hideMark/>
          </w:tcPr>
          <w:p w14:paraId="1AA080E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1,309</w:t>
            </w:r>
          </w:p>
        </w:tc>
        <w:tc>
          <w:tcPr>
            <w:tcW w:w="820" w:type="dxa"/>
            <w:tcBorders>
              <w:top w:val="nil"/>
              <w:left w:val="nil"/>
              <w:bottom w:val="single" w:sz="4" w:space="0" w:color="auto"/>
              <w:right w:val="single" w:sz="4" w:space="0" w:color="auto"/>
            </w:tcBorders>
            <w:vAlign w:val="center"/>
            <w:hideMark/>
          </w:tcPr>
          <w:p w14:paraId="1A7D2CE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1,209</w:t>
            </w:r>
          </w:p>
        </w:tc>
      </w:tr>
      <w:tr w:rsidR="0089435E" w:rsidRPr="006956C9" w14:paraId="62751686"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33D2982C" w14:textId="77777777" w:rsidR="0089435E" w:rsidRPr="006956C9" w:rsidRDefault="0089435E"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Current Liabilities</w:t>
            </w:r>
          </w:p>
        </w:tc>
        <w:tc>
          <w:tcPr>
            <w:tcW w:w="820" w:type="dxa"/>
            <w:tcBorders>
              <w:top w:val="nil"/>
              <w:left w:val="nil"/>
              <w:bottom w:val="single" w:sz="4" w:space="0" w:color="auto"/>
              <w:right w:val="single" w:sz="4" w:space="0" w:color="auto"/>
            </w:tcBorders>
            <w:vAlign w:val="center"/>
            <w:hideMark/>
          </w:tcPr>
          <w:p w14:paraId="31248D80"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6,407</w:t>
            </w:r>
          </w:p>
        </w:tc>
        <w:tc>
          <w:tcPr>
            <w:tcW w:w="820" w:type="dxa"/>
            <w:tcBorders>
              <w:top w:val="nil"/>
              <w:left w:val="nil"/>
              <w:bottom w:val="single" w:sz="4" w:space="0" w:color="auto"/>
              <w:right w:val="single" w:sz="4" w:space="0" w:color="auto"/>
            </w:tcBorders>
            <w:vAlign w:val="center"/>
            <w:hideMark/>
          </w:tcPr>
          <w:p w14:paraId="62554635"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7,339</w:t>
            </w:r>
          </w:p>
        </w:tc>
        <w:tc>
          <w:tcPr>
            <w:tcW w:w="820" w:type="dxa"/>
            <w:tcBorders>
              <w:top w:val="nil"/>
              <w:left w:val="nil"/>
              <w:bottom w:val="single" w:sz="4" w:space="0" w:color="auto"/>
              <w:right w:val="single" w:sz="4" w:space="0" w:color="auto"/>
            </w:tcBorders>
            <w:vAlign w:val="center"/>
            <w:hideMark/>
          </w:tcPr>
          <w:p w14:paraId="7C734FDE"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7,762</w:t>
            </w:r>
          </w:p>
        </w:tc>
        <w:tc>
          <w:tcPr>
            <w:tcW w:w="820" w:type="dxa"/>
            <w:tcBorders>
              <w:top w:val="nil"/>
              <w:left w:val="nil"/>
              <w:bottom w:val="single" w:sz="4" w:space="0" w:color="auto"/>
              <w:right w:val="single" w:sz="4" w:space="0" w:color="auto"/>
            </w:tcBorders>
            <w:vAlign w:val="center"/>
            <w:hideMark/>
          </w:tcPr>
          <w:p w14:paraId="6ECBF813"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8,649</w:t>
            </w:r>
          </w:p>
        </w:tc>
        <w:tc>
          <w:tcPr>
            <w:tcW w:w="820" w:type="dxa"/>
            <w:tcBorders>
              <w:top w:val="nil"/>
              <w:left w:val="nil"/>
              <w:bottom w:val="single" w:sz="4" w:space="0" w:color="auto"/>
              <w:right w:val="single" w:sz="4" w:space="0" w:color="auto"/>
            </w:tcBorders>
            <w:vAlign w:val="center"/>
            <w:hideMark/>
          </w:tcPr>
          <w:p w14:paraId="21F8D7A2"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8,398</w:t>
            </w:r>
          </w:p>
        </w:tc>
      </w:tr>
      <w:tr w:rsidR="0089435E" w:rsidRPr="006956C9" w14:paraId="4C6111F5"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40EE071E"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Long-Term Debt</w:t>
            </w:r>
          </w:p>
        </w:tc>
        <w:tc>
          <w:tcPr>
            <w:tcW w:w="820" w:type="dxa"/>
            <w:tcBorders>
              <w:top w:val="nil"/>
              <w:left w:val="nil"/>
              <w:bottom w:val="single" w:sz="4" w:space="0" w:color="auto"/>
              <w:right w:val="single" w:sz="4" w:space="0" w:color="auto"/>
            </w:tcBorders>
            <w:vAlign w:val="center"/>
            <w:hideMark/>
          </w:tcPr>
          <w:p w14:paraId="0693EE1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9,333</w:t>
            </w:r>
          </w:p>
        </w:tc>
        <w:tc>
          <w:tcPr>
            <w:tcW w:w="820" w:type="dxa"/>
            <w:tcBorders>
              <w:top w:val="nil"/>
              <w:left w:val="nil"/>
              <w:bottom w:val="single" w:sz="4" w:space="0" w:color="auto"/>
              <w:right w:val="single" w:sz="4" w:space="0" w:color="auto"/>
            </w:tcBorders>
            <w:vAlign w:val="center"/>
            <w:hideMark/>
          </w:tcPr>
          <w:p w14:paraId="7421497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9,380</w:t>
            </w:r>
          </w:p>
        </w:tc>
        <w:tc>
          <w:tcPr>
            <w:tcW w:w="820" w:type="dxa"/>
            <w:tcBorders>
              <w:top w:val="nil"/>
              <w:left w:val="nil"/>
              <w:bottom w:val="single" w:sz="4" w:space="0" w:color="auto"/>
              <w:right w:val="single" w:sz="4" w:space="0" w:color="auto"/>
            </w:tcBorders>
            <w:vAlign w:val="center"/>
            <w:hideMark/>
          </w:tcPr>
          <w:p w14:paraId="3C0CFA2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11,320</w:t>
            </w:r>
          </w:p>
        </w:tc>
        <w:tc>
          <w:tcPr>
            <w:tcW w:w="820" w:type="dxa"/>
            <w:tcBorders>
              <w:top w:val="nil"/>
              <w:left w:val="nil"/>
              <w:bottom w:val="single" w:sz="4" w:space="0" w:color="auto"/>
              <w:right w:val="single" w:sz="4" w:space="0" w:color="auto"/>
            </w:tcBorders>
            <w:vAlign w:val="center"/>
            <w:hideMark/>
          </w:tcPr>
          <w:p w14:paraId="58E6925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13,138</w:t>
            </w:r>
          </w:p>
        </w:tc>
        <w:tc>
          <w:tcPr>
            <w:tcW w:w="820" w:type="dxa"/>
            <w:tcBorders>
              <w:top w:val="nil"/>
              <w:left w:val="nil"/>
              <w:bottom w:val="single" w:sz="4" w:space="0" w:color="auto"/>
              <w:right w:val="single" w:sz="4" w:space="0" w:color="auto"/>
            </w:tcBorders>
            <w:vAlign w:val="center"/>
            <w:hideMark/>
          </w:tcPr>
          <w:p w14:paraId="20893FC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14,995</w:t>
            </w:r>
          </w:p>
        </w:tc>
      </w:tr>
      <w:tr w:rsidR="0089435E" w:rsidRPr="006956C9" w14:paraId="5DF0CCEF"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42FABB38" w14:textId="77777777" w:rsidR="0089435E" w:rsidRPr="006956C9" w:rsidRDefault="0089435E"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Total Debt</w:t>
            </w:r>
          </w:p>
        </w:tc>
        <w:tc>
          <w:tcPr>
            <w:tcW w:w="820" w:type="dxa"/>
            <w:tcBorders>
              <w:top w:val="nil"/>
              <w:left w:val="nil"/>
              <w:bottom w:val="single" w:sz="4" w:space="0" w:color="auto"/>
              <w:right w:val="single" w:sz="4" w:space="0" w:color="auto"/>
            </w:tcBorders>
            <w:vAlign w:val="center"/>
            <w:hideMark/>
          </w:tcPr>
          <w:p w14:paraId="27ED3DAB"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10,138</w:t>
            </w:r>
          </w:p>
        </w:tc>
        <w:tc>
          <w:tcPr>
            <w:tcW w:w="820" w:type="dxa"/>
            <w:tcBorders>
              <w:top w:val="nil"/>
              <w:left w:val="nil"/>
              <w:bottom w:val="single" w:sz="4" w:space="0" w:color="auto"/>
              <w:right w:val="single" w:sz="4" w:space="0" w:color="auto"/>
            </w:tcBorders>
            <w:vAlign w:val="center"/>
            <w:hideMark/>
          </w:tcPr>
          <w:p w14:paraId="5363994B"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10,064</w:t>
            </w:r>
          </w:p>
        </w:tc>
        <w:tc>
          <w:tcPr>
            <w:tcW w:w="820" w:type="dxa"/>
            <w:tcBorders>
              <w:top w:val="nil"/>
              <w:left w:val="nil"/>
              <w:bottom w:val="single" w:sz="4" w:space="0" w:color="auto"/>
              <w:right w:val="single" w:sz="4" w:space="0" w:color="auto"/>
            </w:tcBorders>
            <w:vAlign w:val="center"/>
            <w:hideMark/>
          </w:tcPr>
          <w:p w14:paraId="2EFCB9B9"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11,873</w:t>
            </w:r>
          </w:p>
        </w:tc>
        <w:tc>
          <w:tcPr>
            <w:tcW w:w="820" w:type="dxa"/>
            <w:tcBorders>
              <w:top w:val="nil"/>
              <w:left w:val="nil"/>
              <w:bottom w:val="single" w:sz="4" w:space="0" w:color="auto"/>
              <w:right w:val="single" w:sz="4" w:space="0" w:color="auto"/>
            </w:tcBorders>
            <w:vAlign w:val="center"/>
            <w:hideMark/>
          </w:tcPr>
          <w:p w14:paraId="306DC221"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14,447</w:t>
            </w:r>
          </w:p>
        </w:tc>
        <w:tc>
          <w:tcPr>
            <w:tcW w:w="820" w:type="dxa"/>
            <w:tcBorders>
              <w:top w:val="nil"/>
              <w:left w:val="nil"/>
              <w:bottom w:val="single" w:sz="4" w:space="0" w:color="auto"/>
              <w:right w:val="single" w:sz="4" w:space="0" w:color="auto"/>
            </w:tcBorders>
            <w:vAlign w:val="center"/>
            <w:hideMark/>
          </w:tcPr>
          <w:p w14:paraId="7DBD303F"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16,204</w:t>
            </w:r>
          </w:p>
        </w:tc>
      </w:tr>
      <w:tr w:rsidR="0089435E" w:rsidRPr="006956C9" w14:paraId="45E7883A"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79F2C3F6"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Total Liabilities</w:t>
            </w:r>
          </w:p>
        </w:tc>
        <w:tc>
          <w:tcPr>
            <w:tcW w:w="820" w:type="dxa"/>
            <w:tcBorders>
              <w:top w:val="nil"/>
              <w:left w:val="nil"/>
              <w:bottom w:val="single" w:sz="4" w:space="0" w:color="auto"/>
              <w:right w:val="single" w:sz="4" w:space="0" w:color="auto"/>
            </w:tcBorders>
            <w:vAlign w:val="center"/>
            <w:hideMark/>
          </w:tcPr>
          <w:p w14:paraId="7154BE1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24,139</w:t>
            </w:r>
          </w:p>
        </w:tc>
        <w:tc>
          <w:tcPr>
            <w:tcW w:w="820" w:type="dxa"/>
            <w:tcBorders>
              <w:top w:val="nil"/>
              <w:left w:val="nil"/>
              <w:bottom w:val="single" w:sz="4" w:space="0" w:color="auto"/>
              <w:right w:val="single" w:sz="4" w:space="0" w:color="auto"/>
            </w:tcBorders>
            <w:vAlign w:val="center"/>
            <w:hideMark/>
          </w:tcPr>
          <w:p w14:paraId="5B0D266F"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24,247</w:t>
            </w:r>
          </w:p>
        </w:tc>
        <w:tc>
          <w:tcPr>
            <w:tcW w:w="820" w:type="dxa"/>
            <w:tcBorders>
              <w:top w:val="nil"/>
              <w:left w:val="nil"/>
              <w:bottom w:val="single" w:sz="4" w:space="0" w:color="auto"/>
              <w:right w:val="single" w:sz="4" w:space="0" w:color="auto"/>
            </w:tcBorders>
            <w:vAlign w:val="center"/>
            <w:hideMark/>
          </w:tcPr>
          <w:p w14:paraId="2288657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26,356</w:t>
            </w:r>
          </w:p>
        </w:tc>
        <w:tc>
          <w:tcPr>
            <w:tcW w:w="820" w:type="dxa"/>
            <w:tcBorders>
              <w:top w:val="nil"/>
              <w:left w:val="nil"/>
              <w:bottom w:val="single" w:sz="4" w:space="0" w:color="auto"/>
              <w:right w:val="single" w:sz="4" w:space="0" w:color="auto"/>
            </w:tcBorders>
            <w:vAlign w:val="center"/>
            <w:hideMark/>
          </w:tcPr>
          <w:p w14:paraId="65A84FDA"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29,174</w:t>
            </w:r>
          </w:p>
        </w:tc>
        <w:tc>
          <w:tcPr>
            <w:tcW w:w="820" w:type="dxa"/>
            <w:tcBorders>
              <w:top w:val="nil"/>
              <w:left w:val="nil"/>
              <w:bottom w:val="single" w:sz="4" w:space="0" w:color="auto"/>
              <w:right w:val="single" w:sz="4" w:space="0" w:color="auto"/>
            </w:tcBorders>
            <w:vAlign w:val="center"/>
            <w:hideMark/>
          </w:tcPr>
          <w:p w14:paraId="050C5A0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31,311</w:t>
            </w:r>
          </w:p>
        </w:tc>
      </w:tr>
      <w:tr w:rsidR="0089435E" w:rsidRPr="006956C9" w14:paraId="342E7281"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5E61FB4D" w14:textId="77777777" w:rsidR="0089435E" w:rsidRPr="006956C9" w:rsidRDefault="0089435E"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Total Equity / (Deficit)</w:t>
            </w:r>
          </w:p>
        </w:tc>
        <w:tc>
          <w:tcPr>
            <w:tcW w:w="820" w:type="dxa"/>
            <w:tcBorders>
              <w:top w:val="nil"/>
              <w:left w:val="nil"/>
              <w:bottom w:val="single" w:sz="4" w:space="0" w:color="auto"/>
              <w:right w:val="single" w:sz="4" w:space="0" w:color="auto"/>
            </w:tcBorders>
            <w:vAlign w:val="center"/>
            <w:hideMark/>
          </w:tcPr>
          <w:p w14:paraId="6FF297D4"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1,414</w:t>
            </w:r>
          </w:p>
        </w:tc>
        <w:tc>
          <w:tcPr>
            <w:tcW w:w="820" w:type="dxa"/>
            <w:tcBorders>
              <w:top w:val="nil"/>
              <w:left w:val="nil"/>
              <w:bottom w:val="single" w:sz="4" w:space="0" w:color="auto"/>
              <w:right w:val="single" w:sz="4" w:space="0" w:color="auto"/>
            </w:tcBorders>
            <w:vAlign w:val="center"/>
            <w:hideMark/>
          </w:tcPr>
          <w:p w14:paraId="48B79E92"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568</w:t>
            </w:r>
          </w:p>
        </w:tc>
        <w:tc>
          <w:tcPr>
            <w:tcW w:w="820" w:type="dxa"/>
            <w:tcBorders>
              <w:top w:val="nil"/>
              <w:left w:val="nil"/>
              <w:bottom w:val="single" w:sz="4" w:space="0" w:color="auto"/>
              <w:right w:val="single" w:sz="4" w:space="0" w:color="auto"/>
            </w:tcBorders>
            <w:vAlign w:val="center"/>
            <w:hideMark/>
          </w:tcPr>
          <w:p w14:paraId="474B18F0"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-682</w:t>
            </w:r>
          </w:p>
        </w:tc>
        <w:tc>
          <w:tcPr>
            <w:tcW w:w="820" w:type="dxa"/>
            <w:tcBorders>
              <w:top w:val="nil"/>
              <w:left w:val="nil"/>
              <w:bottom w:val="single" w:sz="4" w:space="0" w:color="auto"/>
              <w:right w:val="single" w:sz="4" w:space="0" w:color="auto"/>
            </w:tcBorders>
            <w:vAlign w:val="center"/>
            <w:hideMark/>
          </w:tcPr>
          <w:p w14:paraId="2708771F"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-2,992</w:t>
            </w:r>
          </w:p>
        </w:tc>
        <w:tc>
          <w:tcPr>
            <w:tcW w:w="820" w:type="dxa"/>
            <w:tcBorders>
              <w:top w:val="nil"/>
              <w:left w:val="nil"/>
              <w:bottom w:val="single" w:sz="4" w:space="0" w:color="auto"/>
              <w:right w:val="single" w:sz="4" w:space="0" w:color="auto"/>
            </w:tcBorders>
            <w:vAlign w:val="center"/>
            <w:hideMark/>
          </w:tcPr>
          <w:p w14:paraId="0ACEA221" w14:textId="77777777" w:rsidR="0089435E" w:rsidRPr="006956C9" w:rsidRDefault="0089435E"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-3,771</w:t>
            </w:r>
          </w:p>
        </w:tc>
      </w:tr>
      <w:tr w:rsidR="0089435E" w:rsidRPr="006956C9" w14:paraId="09A4ED3A" w14:textId="77777777" w:rsidTr="0089435E">
        <w:trPr>
          <w:trHeight w:val="288"/>
        </w:trPr>
        <w:tc>
          <w:tcPr>
            <w:tcW w:w="7800" w:type="dxa"/>
            <w:gridSpan w:val="6"/>
            <w:tcBorders>
              <w:top w:val="single" w:sz="4" w:space="0" w:color="auto"/>
              <w:left w:val="single" w:sz="4" w:space="0" w:color="auto"/>
              <w:bottom w:val="single" w:sz="4" w:space="0" w:color="auto"/>
              <w:right w:val="single" w:sz="4" w:space="0" w:color="000000"/>
            </w:tcBorders>
            <w:shd w:val="clear" w:color="000000" w:fill="5B9BD5"/>
            <w:vAlign w:val="center"/>
            <w:hideMark/>
          </w:tcPr>
          <w:p w14:paraId="74EB8046" w14:textId="77777777" w:rsidR="0089435E" w:rsidRPr="006956C9" w:rsidRDefault="0089435E"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CASH FLOW DATA</w:t>
            </w:r>
          </w:p>
        </w:tc>
      </w:tr>
      <w:tr w:rsidR="0089435E" w:rsidRPr="006956C9" w14:paraId="1B57EB69"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172D7DD9"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lastRenderedPageBreak/>
              <w:t>Cash Flow from Operating Activities</w:t>
            </w:r>
          </w:p>
        </w:tc>
        <w:tc>
          <w:tcPr>
            <w:tcW w:w="820" w:type="dxa"/>
            <w:tcBorders>
              <w:top w:val="nil"/>
              <w:left w:val="nil"/>
              <w:bottom w:val="single" w:sz="4" w:space="0" w:color="auto"/>
              <w:right w:val="single" w:sz="4" w:space="0" w:color="auto"/>
            </w:tcBorders>
            <w:vAlign w:val="center"/>
            <w:hideMark/>
          </w:tcPr>
          <w:p w14:paraId="4741B504"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1,177</w:t>
            </w:r>
          </w:p>
        </w:tc>
        <w:tc>
          <w:tcPr>
            <w:tcW w:w="820" w:type="dxa"/>
            <w:tcBorders>
              <w:top w:val="nil"/>
              <w:left w:val="nil"/>
              <w:bottom w:val="single" w:sz="4" w:space="0" w:color="auto"/>
              <w:right w:val="single" w:sz="4" w:space="0" w:color="auto"/>
            </w:tcBorders>
            <w:vAlign w:val="center"/>
            <w:hideMark/>
          </w:tcPr>
          <w:p w14:paraId="3ECA235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2,363</w:t>
            </w:r>
          </w:p>
        </w:tc>
        <w:tc>
          <w:tcPr>
            <w:tcW w:w="820" w:type="dxa"/>
            <w:tcBorders>
              <w:top w:val="nil"/>
              <w:left w:val="nil"/>
              <w:bottom w:val="single" w:sz="4" w:space="0" w:color="auto"/>
              <w:right w:val="single" w:sz="4" w:space="0" w:color="auto"/>
            </w:tcBorders>
            <w:vAlign w:val="center"/>
            <w:hideMark/>
          </w:tcPr>
          <w:p w14:paraId="6BBB502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3,170</w:t>
            </w:r>
          </w:p>
        </w:tc>
        <w:tc>
          <w:tcPr>
            <w:tcW w:w="820" w:type="dxa"/>
            <w:tcBorders>
              <w:top w:val="nil"/>
              <w:left w:val="nil"/>
              <w:bottom w:val="single" w:sz="4" w:space="0" w:color="auto"/>
              <w:right w:val="single" w:sz="4" w:space="0" w:color="auto"/>
            </w:tcBorders>
            <w:vAlign w:val="center"/>
            <w:hideMark/>
          </w:tcPr>
          <w:p w14:paraId="0BFE7F7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2,749</w:t>
            </w:r>
          </w:p>
        </w:tc>
        <w:tc>
          <w:tcPr>
            <w:tcW w:w="820" w:type="dxa"/>
            <w:tcBorders>
              <w:top w:val="nil"/>
              <w:left w:val="nil"/>
              <w:bottom w:val="single" w:sz="4" w:space="0" w:color="auto"/>
              <w:right w:val="single" w:sz="4" w:space="0" w:color="auto"/>
            </w:tcBorders>
            <w:vAlign w:val="center"/>
            <w:hideMark/>
          </w:tcPr>
          <w:p w14:paraId="3D6D0B5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3,212</w:t>
            </w:r>
          </w:p>
        </w:tc>
      </w:tr>
      <w:tr w:rsidR="0089435E" w:rsidRPr="006956C9" w14:paraId="4C39DF49"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16EECB7A"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Capital &amp; Technology Expenditure</w:t>
            </w:r>
          </w:p>
        </w:tc>
        <w:tc>
          <w:tcPr>
            <w:tcW w:w="820" w:type="dxa"/>
            <w:tcBorders>
              <w:top w:val="nil"/>
              <w:left w:val="nil"/>
              <w:bottom w:val="single" w:sz="4" w:space="0" w:color="auto"/>
              <w:right w:val="single" w:sz="4" w:space="0" w:color="auto"/>
            </w:tcBorders>
            <w:vAlign w:val="center"/>
            <w:hideMark/>
          </w:tcPr>
          <w:p w14:paraId="6200C0D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183</w:t>
            </w:r>
          </w:p>
        </w:tc>
        <w:tc>
          <w:tcPr>
            <w:tcW w:w="820" w:type="dxa"/>
            <w:tcBorders>
              <w:top w:val="nil"/>
              <w:left w:val="nil"/>
              <w:bottom w:val="single" w:sz="4" w:space="0" w:color="auto"/>
              <w:right w:val="single" w:sz="4" w:space="0" w:color="auto"/>
            </w:tcBorders>
            <w:vAlign w:val="center"/>
            <w:hideMark/>
          </w:tcPr>
          <w:p w14:paraId="51F3CB4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332</w:t>
            </w:r>
          </w:p>
        </w:tc>
        <w:tc>
          <w:tcPr>
            <w:tcW w:w="820" w:type="dxa"/>
            <w:tcBorders>
              <w:top w:val="nil"/>
              <w:left w:val="nil"/>
              <w:bottom w:val="single" w:sz="4" w:space="0" w:color="auto"/>
              <w:right w:val="single" w:sz="4" w:space="0" w:color="auto"/>
            </w:tcBorders>
            <w:vAlign w:val="center"/>
            <w:hideMark/>
          </w:tcPr>
          <w:p w14:paraId="10CB543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452</w:t>
            </w:r>
          </w:p>
        </w:tc>
        <w:tc>
          <w:tcPr>
            <w:tcW w:w="820" w:type="dxa"/>
            <w:tcBorders>
              <w:top w:val="nil"/>
              <w:left w:val="nil"/>
              <w:bottom w:val="single" w:sz="4" w:space="0" w:color="auto"/>
              <w:right w:val="single" w:sz="4" w:space="0" w:color="auto"/>
            </w:tcBorders>
            <w:vAlign w:val="center"/>
            <w:hideMark/>
          </w:tcPr>
          <w:p w14:paraId="6369A20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750</w:t>
            </w:r>
          </w:p>
        </w:tc>
        <w:tc>
          <w:tcPr>
            <w:tcW w:w="820" w:type="dxa"/>
            <w:tcBorders>
              <w:top w:val="nil"/>
              <w:left w:val="nil"/>
              <w:bottom w:val="single" w:sz="4" w:space="0" w:color="auto"/>
              <w:right w:val="single" w:sz="4" w:space="0" w:color="auto"/>
            </w:tcBorders>
            <w:vAlign w:val="center"/>
            <w:hideMark/>
          </w:tcPr>
          <w:p w14:paraId="6679082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604</w:t>
            </w:r>
          </w:p>
        </w:tc>
      </w:tr>
      <w:tr w:rsidR="0089435E" w:rsidRPr="006956C9" w14:paraId="56AE2132"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6337D2AD"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Net Cash Used in Investing Activities</w:t>
            </w:r>
          </w:p>
        </w:tc>
        <w:tc>
          <w:tcPr>
            <w:tcW w:w="820" w:type="dxa"/>
            <w:tcBorders>
              <w:top w:val="nil"/>
              <w:left w:val="nil"/>
              <w:bottom w:val="single" w:sz="4" w:space="0" w:color="auto"/>
              <w:right w:val="single" w:sz="4" w:space="0" w:color="auto"/>
            </w:tcBorders>
            <w:vAlign w:val="center"/>
            <w:hideMark/>
          </w:tcPr>
          <w:p w14:paraId="6F9A2AE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-187</w:t>
            </w:r>
          </w:p>
        </w:tc>
        <w:tc>
          <w:tcPr>
            <w:tcW w:w="820" w:type="dxa"/>
            <w:tcBorders>
              <w:top w:val="nil"/>
              <w:left w:val="nil"/>
              <w:bottom w:val="single" w:sz="4" w:space="0" w:color="auto"/>
              <w:right w:val="single" w:sz="4" w:space="0" w:color="auto"/>
            </w:tcBorders>
            <w:vAlign w:val="center"/>
            <w:hideMark/>
          </w:tcPr>
          <w:p w14:paraId="086D145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-297</w:t>
            </w:r>
          </w:p>
        </w:tc>
        <w:tc>
          <w:tcPr>
            <w:tcW w:w="820" w:type="dxa"/>
            <w:tcBorders>
              <w:top w:val="nil"/>
              <w:left w:val="nil"/>
              <w:bottom w:val="single" w:sz="4" w:space="0" w:color="auto"/>
              <w:right w:val="single" w:sz="4" w:space="0" w:color="auto"/>
            </w:tcBorders>
            <w:vAlign w:val="center"/>
            <w:hideMark/>
          </w:tcPr>
          <w:p w14:paraId="5BB25CC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-465</w:t>
            </w:r>
          </w:p>
        </w:tc>
        <w:tc>
          <w:tcPr>
            <w:tcW w:w="820" w:type="dxa"/>
            <w:tcBorders>
              <w:top w:val="nil"/>
              <w:left w:val="nil"/>
              <w:bottom w:val="single" w:sz="4" w:space="0" w:color="auto"/>
              <w:right w:val="single" w:sz="4" w:space="0" w:color="auto"/>
            </w:tcBorders>
            <w:vAlign w:val="center"/>
            <w:hideMark/>
          </w:tcPr>
          <w:p w14:paraId="649EB60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-734</w:t>
            </w:r>
          </w:p>
        </w:tc>
        <w:tc>
          <w:tcPr>
            <w:tcW w:w="820" w:type="dxa"/>
            <w:tcBorders>
              <w:top w:val="nil"/>
              <w:left w:val="nil"/>
              <w:bottom w:val="single" w:sz="4" w:space="0" w:color="auto"/>
              <w:right w:val="single" w:sz="4" w:space="0" w:color="auto"/>
            </w:tcBorders>
            <w:vAlign w:val="center"/>
            <w:hideMark/>
          </w:tcPr>
          <w:p w14:paraId="37B9318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-948</w:t>
            </w:r>
          </w:p>
        </w:tc>
      </w:tr>
      <w:tr w:rsidR="0089435E" w:rsidRPr="006956C9" w14:paraId="11E7E9B5"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713C5F7E"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Dividends Paid</w:t>
            </w:r>
          </w:p>
        </w:tc>
        <w:tc>
          <w:tcPr>
            <w:tcW w:w="820" w:type="dxa"/>
            <w:tcBorders>
              <w:top w:val="nil"/>
              <w:left w:val="nil"/>
              <w:bottom w:val="single" w:sz="4" w:space="0" w:color="auto"/>
              <w:right w:val="single" w:sz="4" w:space="0" w:color="auto"/>
            </w:tcBorders>
            <w:vAlign w:val="center"/>
            <w:hideMark/>
          </w:tcPr>
          <w:p w14:paraId="342846E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w:t>
            </w:r>
          </w:p>
        </w:tc>
        <w:tc>
          <w:tcPr>
            <w:tcW w:w="820" w:type="dxa"/>
            <w:tcBorders>
              <w:top w:val="nil"/>
              <w:left w:val="nil"/>
              <w:bottom w:val="single" w:sz="4" w:space="0" w:color="auto"/>
              <w:right w:val="single" w:sz="4" w:space="0" w:color="auto"/>
            </w:tcBorders>
            <w:vAlign w:val="center"/>
            <w:hideMark/>
          </w:tcPr>
          <w:p w14:paraId="0835F081"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321</w:t>
            </w:r>
          </w:p>
        </w:tc>
        <w:tc>
          <w:tcPr>
            <w:tcW w:w="820" w:type="dxa"/>
            <w:tcBorders>
              <w:top w:val="nil"/>
              <w:left w:val="nil"/>
              <w:bottom w:val="single" w:sz="4" w:space="0" w:color="auto"/>
              <w:right w:val="single" w:sz="4" w:space="0" w:color="auto"/>
            </w:tcBorders>
            <w:vAlign w:val="center"/>
            <w:hideMark/>
          </w:tcPr>
          <w:p w14:paraId="185848C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587</w:t>
            </w:r>
          </w:p>
        </w:tc>
        <w:tc>
          <w:tcPr>
            <w:tcW w:w="820" w:type="dxa"/>
            <w:tcBorders>
              <w:top w:val="nil"/>
              <w:left w:val="nil"/>
              <w:bottom w:val="single" w:sz="4" w:space="0" w:color="auto"/>
              <w:right w:val="single" w:sz="4" w:space="0" w:color="auto"/>
            </w:tcBorders>
            <w:vAlign w:val="center"/>
            <w:hideMark/>
          </w:tcPr>
          <w:p w14:paraId="0DEBB6F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682</w:t>
            </w:r>
          </w:p>
        </w:tc>
        <w:tc>
          <w:tcPr>
            <w:tcW w:w="820" w:type="dxa"/>
            <w:tcBorders>
              <w:top w:val="nil"/>
              <w:left w:val="nil"/>
              <w:bottom w:val="single" w:sz="4" w:space="0" w:color="auto"/>
              <w:right w:val="single" w:sz="4" w:space="0" w:color="auto"/>
            </w:tcBorders>
            <w:vAlign w:val="center"/>
            <w:hideMark/>
          </w:tcPr>
          <w:p w14:paraId="26D69A3D"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718</w:t>
            </w:r>
          </w:p>
        </w:tc>
      </w:tr>
      <w:tr w:rsidR="0089435E" w:rsidRPr="006956C9" w14:paraId="02531C4E"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08FD8C8A"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Purchase of Treasury Stock</w:t>
            </w:r>
          </w:p>
        </w:tc>
        <w:tc>
          <w:tcPr>
            <w:tcW w:w="820" w:type="dxa"/>
            <w:tcBorders>
              <w:top w:val="nil"/>
              <w:left w:val="nil"/>
              <w:bottom w:val="single" w:sz="4" w:space="0" w:color="auto"/>
              <w:right w:val="single" w:sz="4" w:space="0" w:color="auto"/>
            </w:tcBorders>
            <w:vAlign w:val="center"/>
            <w:hideMark/>
          </w:tcPr>
          <w:p w14:paraId="02053E10"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w:t>
            </w:r>
          </w:p>
        </w:tc>
        <w:tc>
          <w:tcPr>
            <w:tcW w:w="820" w:type="dxa"/>
            <w:tcBorders>
              <w:top w:val="nil"/>
              <w:left w:val="nil"/>
              <w:bottom w:val="single" w:sz="4" w:space="0" w:color="auto"/>
              <w:right w:val="single" w:sz="4" w:space="0" w:color="auto"/>
            </w:tcBorders>
            <w:vAlign w:val="center"/>
            <w:hideMark/>
          </w:tcPr>
          <w:p w14:paraId="1E2A9A9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2,566</w:t>
            </w:r>
          </w:p>
        </w:tc>
        <w:tc>
          <w:tcPr>
            <w:tcW w:w="820" w:type="dxa"/>
            <w:tcBorders>
              <w:top w:val="nil"/>
              <w:left w:val="nil"/>
              <w:bottom w:val="single" w:sz="4" w:space="0" w:color="auto"/>
              <w:right w:val="single" w:sz="4" w:space="0" w:color="auto"/>
            </w:tcBorders>
            <w:vAlign w:val="center"/>
            <w:hideMark/>
          </w:tcPr>
          <w:p w14:paraId="637893B4"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3,953</w:t>
            </w:r>
          </w:p>
        </w:tc>
        <w:tc>
          <w:tcPr>
            <w:tcW w:w="820" w:type="dxa"/>
            <w:tcBorders>
              <w:top w:val="nil"/>
              <w:left w:val="nil"/>
              <w:bottom w:val="single" w:sz="4" w:space="0" w:color="auto"/>
              <w:right w:val="single" w:sz="4" w:space="0" w:color="auto"/>
            </w:tcBorders>
            <w:vAlign w:val="center"/>
            <w:hideMark/>
          </w:tcPr>
          <w:p w14:paraId="23C747D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3,762</w:t>
            </w:r>
          </w:p>
        </w:tc>
        <w:tc>
          <w:tcPr>
            <w:tcW w:w="820" w:type="dxa"/>
            <w:tcBorders>
              <w:top w:val="nil"/>
              <w:left w:val="nil"/>
              <w:bottom w:val="single" w:sz="4" w:space="0" w:color="auto"/>
              <w:right w:val="single" w:sz="4" w:space="0" w:color="auto"/>
            </w:tcBorders>
            <w:vAlign w:val="center"/>
            <w:hideMark/>
          </w:tcPr>
          <w:p w14:paraId="2F1CE392"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3,300</w:t>
            </w:r>
          </w:p>
        </w:tc>
      </w:tr>
      <w:tr w:rsidR="0089435E" w:rsidRPr="006956C9" w14:paraId="31E7704B"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49717BA8"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Issuance of Long-Term Debt</w:t>
            </w:r>
          </w:p>
        </w:tc>
        <w:tc>
          <w:tcPr>
            <w:tcW w:w="820" w:type="dxa"/>
            <w:tcBorders>
              <w:top w:val="nil"/>
              <w:left w:val="nil"/>
              <w:bottom w:val="single" w:sz="4" w:space="0" w:color="auto"/>
              <w:right w:val="single" w:sz="4" w:space="0" w:color="auto"/>
            </w:tcBorders>
            <w:vAlign w:val="center"/>
            <w:hideMark/>
          </w:tcPr>
          <w:p w14:paraId="21A1B307"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1,793</w:t>
            </w:r>
          </w:p>
        </w:tc>
        <w:tc>
          <w:tcPr>
            <w:tcW w:w="820" w:type="dxa"/>
            <w:tcBorders>
              <w:top w:val="nil"/>
              <w:left w:val="nil"/>
              <w:bottom w:val="single" w:sz="4" w:space="0" w:color="auto"/>
              <w:right w:val="single" w:sz="4" w:space="0" w:color="auto"/>
            </w:tcBorders>
            <w:vAlign w:val="center"/>
            <w:hideMark/>
          </w:tcPr>
          <w:p w14:paraId="535DD99A"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983</w:t>
            </w:r>
          </w:p>
        </w:tc>
        <w:tc>
          <w:tcPr>
            <w:tcW w:w="820" w:type="dxa"/>
            <w:tcBorders>
              <w:top w:val="nil"/>
              <w:left w:val="nil"/>
              <w:bottom w:val="single" w:sz="4" w:space="0" w:color="auto"/>
              <w:right w:val="single" w:sz="4" w:space="0" w:color="auto"/>
            </w:tcBorders>
            <w:vAlign w:val="center"/>
            <w:hideMark/>
          </w:tcPr>
          <w:p w14:paraId="5271BC6A"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1,918</w:t>
            </w:r>
          </w:p>
        </w:tc>
        <w:tc>
          <w:tcPr>
            <w:tcW w:w="820" w:type="dxa"/>
            <w:tcBorders>
              <w:top w:val="nil"/>
              <w:left w:val="nil"/>
              <w:bottom w:val="single" w:sz="4" w:space="0" w:color="auto"/>
              <w:right w:val="single" w:sz="4" w:space="0" w:color="auto"/>
            </w:tcBorders>
            <w:vAlign w:val="center"/>
            <w:hideMark/>
          </w:tcPr>
          <w:p w14:paraId="705615A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2,948</w:t>
            </w:r>
          </w:p>
        </w:tc>
        <w:tc>
          <w:tcPr>
            <w:tcW w:w="820" w:type="dxa"/>
            <w:tcBorders>
              <w:top w:val="nil"/>
              <w:left w:val="nil"/>
              <w:bottom w:val="single" w:sz="4" w:space="0" w:color="auto"/>
              <w:right w:val="single" w:sz="4" w:space="0" w:color="auto"/>
            </w:tcBorders>
            <w:vAlign w:val="center"/>
            <w:hideMark/>
          </w:tcPr>
          <w:p w14:paraId="318AB8FC"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3,436</w:t>
            </w:r>
          </w:p>
        </w:tc>
      </w:tr>
      <w:tr w:rsidR="0089435E" w:rsidRPr="006956C9" w14:paraId="7B7C6CC1" w14:textId="77777777" w:rsidTr="0089435E">
        <w:trPr>
          <w:trHeight w:val="288"/>
        </w:trPr>
        <w:tc>
          <w:tcPr>
            <w:tcW w:w="3700" w:type="dxa"/>
            <w:tcBorders>
              <w:top w:val="nil"/>
              <w:left w:val="single" w:sz="4" w:space="0" w:color="auto"/>
              <w:bottom w:val="single" w:sz="4" w:space="0" w:color="auto"/>
              <w:right w:val="single" w:sz="4" w:space="0" w:color="auto"/>
            </w:tcBorders>
            <w:vAlign w:val="center"/>
            <w:hideMark/>
          </w:tcPr>
          <w:p w14:paraId="16CBB16F"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Repayment of Long-Term Debt</w:t>
            </w:r>
          </w:p>
        </w:tc>
        <w:tc>
          <w:tcPr>
            <w:tcW w:w="820" w:type="dxa"/>
            <w:tcBorders>
              <w:top w:val="nil"/>
              <w:left w:val="nil"/>
              <w:bottom w:val="single" w:sz="4" w:space="0" w:color="auto"/>
              <w:right w:val="single" w:sz="4" w:space="0" w:color="auto"/>
            </w:tcBorders>
            <w:vAlign w:val="center"/>
            <w:hideMark/>
          </w:tcPr>
          <w:p w14:paraId="1F62AE0B"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2,174</w:t>
            </w:r>
          </w:p>
        </w:tc>
        <w:tc>
          <w:tcPr>
            <w:tcW w:w="820" w:type="dxa"/>
            <w:tcBorders>
              <w:top w:val="nil"/>
              <w:left w:val="nil"/>
              <w:bottom w:val="single" w:sz="4" w:space="0" w:color="auto"/>
              <w:right w:val="single" w:sz="4" w:space="0" w:color="auto"/>
            </w:tcBorders>
            <w:vAlign w:val="center"/>
            <w:hideMark/>
          </w:tcPr>
          <w:p w14:paraId="27BB90BF"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804</w:t>
            </w:r>
          </w:p>
        </w:tc>
        <w:tc>
          <w:tcPr>
            <w:tcW w:w="820" w:type="dxa"/>
            <w:tcBorders>
              <w:top w:val="nil"/>
              <w:left w:val="nil"/>
              <w:bottom w:val="single" w:sz="4" w:space="0" w:color="auto"/>
              <w:right w:val="single" w:sz="4" w:space="0" w:color="auto"/>
            </w:tcBorders>
            <w:vAlign w:val="center"/>
            <w:hideMark/>
          </w:tcPr>
          <w:p w14:paraId="61ACC46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684</w:t>
            </w:r>
          </w:p>
        </w:tc>
        <w:tc>
          <w:tcPr>
            <w:tcW w:w="820" w:type="dxa"/>
            <w:tcBorders>
              <w:top w:val="nil"/>
              <w:left w:val="nil"/>
              <w:bottom w:val="single" w:sz="4" w:space="0" w:color="auto"/>
              <w:right w:val="single" w:sz="4" w:space="0" w:color="auto"/>
            </w:tcBorders>
            <w:vAlign w:val="center"/>
            <w:hideMark/>
          </w:tcPr>
          <w:p w14:paraId="3BF8900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558</w:t>
            </w:r>
          </w:p>
        </w:tc>
        <w:tc>
          <w:tcPr>
            <w:tcW w:w="820" w:type="dxa"/>
            <w:tcBorders>
              <w:top w:val="nil"/>
              <w:left w:val="nil"/>
              <w:bottom w:val="single" w:sz="4" w:space="0" w:color="auto"/>
              <w:right w:val="single" w:sz="4" w:space="0" w:color="auto"/>
            </w:tcBorders>
            <w:vAlign w:val="center"/>
            <w:hideMark/>
          </w:tcPr>
          <w:p w14:paraId="49B9E46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1,309</w:t>
            </w:r>
          </w:p>
        </w:tc>
      </w:tr>
      <w:tr w:rsidR="0089435E" w:rsidRPr="006956C9" w14:paraId="6224BB82" w14:textId="77777777" w:rsidTr="0089435E">
        <w:trPr>
          <w:trHeight w:val="576"/>
        </w:trPr>
        <w:tc>
          <w:tcPr>
            <w:tcW w:w="3700" w:type="dxa"/>
            <w:tcBorders>
              <w:top w:val="nil"/>
              <w:left w:val="single" w:sz="4" w:space="0" w:color="auto"/>
              <w:bottom w:val="single" w:sz="4" w:space="0" w:color="auto"/>
              <w:right w:val="single" w:sz="4" w:space="0" w:color="auto"/>
            </w:tcBorders>
            <w:vAlign w:val="center"/>
            <w:hideMark/>
          </w:tcPr>
          <w:p w14:paraId="6F65156E" w14:textId="77777777" w:rsidR="0089435E" w:rsidRPr="006956C9" w:rsidRDefault="0089435E"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Net Cash from/(Used in) Financing Activities</w:t>
            </w:r>
          </w:p>
        </w:tc>
        <w:tc>
          <w:tcPr>
            <w:tcW w:w="820" w:type="dxa"/>
            <w:tcBorders>
              <w:top w:val="nil"/>
              <w:left w:val="nil"/>
              <w:bottom w:val="single" w:sz="4" w:space="0" w:color="auto"/>
              <w:right w:val="single" w:sz="4" w:space="0" w:color="auto"/>
            </w:tcBorders>
            <w:vAlign w:val="center"/>
            <w:hideMark/>
          </w:tcPr>
          <w:p w14:paraId="13F41DC4"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-463</w:t>
            </w:r>
          </w:p>
        </w:tc>
        <w:tc>
          <w:tcPr>
            <w:tcW w:w="820" w:type="dxa"/>
            <w:tcBorders>
              <w:top w:val="nil"/>
              <w:left w:val="nil"/>
              <w:bottom w:val="single" w:sz="4" w:space="0" w:color="auto"/>
              <w:right w:val="single" w:sz="4" w:space="0" w:color="auto"/>
            </w:tcBorders>
            <w:vAlign w:val="center"/>
            <w:hideMark/>
          </w:tcPr>
          <w:p w14:paraId="1726A4F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-2,962</w:t>
            </w:r>
          </w:p>
        </w:tc>
        <w:tc>
          <w:tcPr>
            <w:tcW w:w="820" w:type="dxa"/>
            <w:tcBorders>
              <w:top w:val="nil"/>
              <w:left w:val="nil"/>
              <w:bottom w:val="single" w:sz="4" w:space="0" w:color="auto"/>
              <w:right w:val="single" w:sz="4" w:space="0" w:color="auto"/>
            </w:tcBorders>
            <w:vAlign w:val="center"/>
            <w:hideMark/>
          </w:tcPr>
          <w:p w14:paraId="4093A3D9"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-2,864</w:t>
            </w:r>
          </w:p>
        </w:tc>
        <w:tc>
          <w:tcPr>
            <w:tcW w:w="820" w:type="dxa"/>
            <w:tcBorders>
              <w:top w:val="nil"/>
              <w:left w:val="nil"/>
              <w:bottom w:val="single" w:sz="4" w:space="0" w:color="auto"/>
              <w:right w:val="single" w:sz="4" w:space="0" w:color="auto"/>
            </w:tcBorders>
            <w:vAlign w:val="center"/>
            <w:hideMark/>
          </w:tcPr>
          <w:p w14:paraId="7B0188EE"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-1,956</w:t>
            </w:r>
          </w:p>
        </w:tc>
        <w:tc>
          <w:tcPr>
            <w:tcW w:w="820" w:type="dxa"/>
            <w:tcBorders>
              <w:top w:val="nil"/>
              <w:left w:val="nil"/>
              <w:bottom w:val="single" w:sz="4" w:space="0" w:color="auto"/>
              <w:right w:val="single" w:sz="4" w:space="0" w:color="auto"/>
            </w:tcBorders>
            <w:vAlign w:val="center"/>
            <w:hideMark/>
          </w:tcPr>
          <w:p w14:paraId="04EF0F25" w14:textId="77777777" w:rsidR="0089435E" w:rsidRPr="006956C9" w:rsidRDefault="0089435E"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-2,318</w:t>
            </w:r>
          </w:p>
        </w:tc>
      </w:tr>
    </w:tbl>
    <w:p w14:paraId="3B569523" w14:textId="49DAA113" w:rsidR="0089435E" w:rsidRPr="006956C9" w:rsidRDefault="0089435E" w:rsidP="006956C9">
      <w:pPr>
        <w:rPr>
          <w:rFonts w:ascii="Arial" w:hAnsi="Arial" w:cs="Arial"/>
          <w:b/>
          <w:bCs/>
        </w:rPr>
      </w:pPr>
      <w:r w:rsidRPr="006956C9">
        <w:rPr>
          <w:rFonts w:ascii="Arial" w:hAnsi="Arial" w:cs="Arial"/>
          <w:b/>
          <w:bCs/>
        </w:rPr>
        <w:t>Ratio Calculations</w:t>
      </w:r>
    </w:p>
    <w:tbl>
      <w:tblPr>
        <w:tblW w:w="7853" w:type="dxa"/>
        <w:tblLook w:val="04A0" w:firstRow="1" w:lastRow="0" w:firstColumn="1" w:lastColumn="0" w:noHBand="0" w:noVBand="1"/>
      </w:tblPr>
      <w:tblGrid>
        <w:gridCol w:w="2794"/>
        <w:gridCol w:w="306"/>
        <w:gridCol w:w="733"/>
        <w:gridCol w:w="115"/>
        <w:gridCol w:w="116"/>
        <w:gridCol w:w="848"/>
        <w:gridCol w:w="25"/>
        <w:gridCol w:w="90"/>
        <w:gridCol w:w="940"/>
        <w:gridCol w:w="58"/>
        <w:gridCol w:w="59"/>
        <w:gridCol w:w="846"/>
        <w:gridCol w:w="123"/>
        <w:gridCol w:w="29"/>
        <w:gridCol w:w="811"/>
        <w:gridCol w:w="179"/>
      </w:tblGrid>
      <w:tr w:rsidR="001431C1" w:rsidRPr="006956C9" w14:paraId="374CA528" w14:textId="77777777" w:rsidTr="001431C1">
        <w:trPr>
          <w:trHeight w:val="288"/>
        </w:trPr>
        <w:tc>
          <w:tcPr>
            <w:tcW w:w="7853" w:type="dxa"/>
            <w:gridSpan w:val="16"/>
            <w:tcBorders>
              <w:top w:val="nil"/>
              <w:left w:val="nil"/>
              <w:bottom w:val="nil"/>
              <w:right w:val="nil"/>
            </w:tcBorders>
            <w:shd w:val="clear" w:color="000000" w:fill="5B9BD5"/>
            <w:noWrap/>
            <w:vAlign w:val="bottom"/>
            <w:hideMark/>
          </w:tcPr>
          <w:p w14:paraId="1A868FF0"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Liquidity Ratios</w:t>
            </w:r>
          </w:p>
        </w:tc>
      </w:tr>
      <w:tr w:rsidR="001431C1" w:rsidRPr="006956C9" w14:paraId="574688B3" w14:textId="77777777" w:rsidTr="001431C1">
        <w:trPr>
          <w:trHeight w:val="288"/>
        </w:trPr>
        <w:tc>
          <w:tcPr>
            <w:tcW w:w="2794" w:type="dxa"/>
            <w:tcBorders>
              <w:top w:val="single" w:sz="4" w:space="0" w:color="auto"/>
              <w:left w:val="single" w:sz="4" w:space="0" w:color="auto"/>
              <w:bottom w:val="single" w:sz="4" w:space="0" w:color="auto"/>
              <w:right w:val="single" w:sz="4" w:space="0" w:color="auto"/>
            </w:tcBorders>
            <w:vAlign w:val="center"/>
            <w:hideMark/>
          </w:tcPr>
          <w:p w14:paraId="1268C780"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Ratio</w:t>
            </w:r>
          </w:p>
        </w:tc>
        <w:tc>
          <w:tcPr>
            <w:tcW w:w="1016" w:type="dxa"/>
            <w:gridSpan w:val="2"/>
            <w:tcBorders>
              <w:top w:val="single" w:sz="4" w:space="0" w:color="auto"/>
              <w:left w:val="nil"/>
              <w:bottom w:val="single" w:sz="4" w:space="0" w:color="auto"/>
              <w:right w:val="single" w:sz="4" w:space="0" w:color="auto"/>
            </w:tcBorders>
            <w:vAlign w:val="center"/>
            <w:hideMark/>
          </w:tcPr>
          <w:p w14:paraId="58BA366A"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2021</w:t>
            </w:r>
          </w:p>
        </w:tc>
        <w:tc>
          <w:tcPr>
            <w:tcW w:w="1075" w:type="dxa"/>
            <w:gridSpan w:val="4"/>
            <w:tcBorders>
              <w:top w:val="single" w:sz="4" w:space="0" w:color="auto"/>
              <w:left w:val="nil"/>
              <w:bottom w:val="single" w:sz="4" w:space="0" w:color="auto"/>
              <w:right w:val="single" w:sz="4" w:space="0" w:color="auto"/>
            </w:tcBorders>
            <w:vAlign w:val="center"/>
            <w:hideMark/>
          </w:tcPr>
          <w:p w14:paraId="7AC67432"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2022</w:t>
            </w:r>
          </w:p>
        </w:tc>
        <w:tc>
          <w:tcPr>
            <w:tcW w:w="1049" w:type="dxa"/>
            <w:gridSpan w:val="3"/>
            <w:tcBorders>
              <w:top w:val="single" w:sz="4" w:space="0" w:color="auto"/>
              <w:left w:val="nil"/>
              <w:bottom w:val="single" w:sz="4" w:space="0" w:color="auto"/>
              <w:right w:val="single" w:sz="4" w:space="0" w:color="auto"/>
            </w:tcBorders>
            <w:vAlign w:val="center"/>
            <w:hideMark/>
          </w:tcPr>
          <w:p w14:paraId="2A648D63"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2023</w:t>
            </w:r>
          </w:p>
        </w:tc>
        <w:tc>
          <w:tcPr>
            <w:tcW w:w="961" w:type="dxa"/>
            <w:gridSpan w:val="3"/>
            <w:tcBorders>
              <w:top w:val="single" w:sz="4" w:space="0" w:color="auto"/>
              <w:left w:val="nil"/>
              <w:bottom w:val="single" w:sz="4" w:space="0" w:color="auto"/>
              <w:right w:val="single" w:sz="4" w:space="0" w:color="auto"/>
            </w:tcBorders>
            <w:vAlign w:val="center"/>
            <w:hideMark/>
          </w:tcPr>
          <w:p w14:paraId="6E90E61B"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2024</w:t>
            </w:r>
          </w:p>
        </w:tc>
        <w:tc>
          <w:tcPr>
            <w:tcW w:w="958" w:type="dxa"/>
            <w:gridSpan w:val="3"/>
            <w:tcBorders>
              <w:top w:val="single" w:sz="4" w:space="0" w:color="auto"/>
              <w:left w:val="nil"/>
              <w:bottom w:val="single" w:sz="4" w:space="0" w:color="auto"/>
              <w:right w:val="single" w:sz="4" w:space="0" w:color="auto"/>
            </w:tcBorders>
            <w:vAlign w:val="center"/>
            <w:hideMark/>
          </w:tcPr>
          <w:p w14:paraId="47D87D2A"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2025</w:t>
            </w:r>
          </w:p>
        </w:tc>
      </w:tr>
      <w:tr w:rsidR="001431C1" w:rsidRPr="006956C9" w14:paraId="39AAE9FE"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47F73011"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Current Ratio</w:t>
            </w:r>
          </w:p>
        </w:tc>
        <w:tc>
          <w:tcPr>
            <w:tcW w:w="1016" w:type="dxa"/>
            <w:gridSpan w:val="2"/>
            <w:tcBorders>
              <w:top w:val="nil"/>
              <w:left w:val="nil"/>
              <w:bottom w:val="single" w:sz="4" w:space="0" w:color="auto"/>
              <w:right w:val="single" w:sz="4" w:space="0" w:color="auto"/>
            </w:tcBorders>
            <w:vAlign w:val="center"/>
            <w:hideMark/>
          </w:tcPr>
          <w:p w14:paraId="70FBCB5F"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0.57</w:t>
            </w:r>
          </w:p>
        </w:tc>
        <w:tc>
          <w:tcPr>
            <w:tcW w:w="1075" w:type="dxa"/>
            <w:gridSpan w:val="4"/>
            <w:tcBorders>
              <w:top w:val="nil"/>
              <w:left w:val="nil"/>
              <w:bottom w:val="single" w:sz="4" w:space="0" w:color="auto"/>
              <w:right w:val="single" w:sz="4" w:space="0" w:color="auto"/>
            </w:tcBorders>
            <w:vAlign w:val="center"/>
            <w:hideMark/>
          </w:tcPr>
          <w:p w14:paraId="06B5FB7E"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0.5</w:t>
            </w:r>
          </w:p>
        </w:tc>
        <w:tc>
          <w:tcPr>
            <w:tcW w:w="1049" w:type="dxa"/>
            <w:gridSpan w:val="3"/>
            <w:tcBorders>
              <w:top w:val="nil"/>
              <w:left w:val="nil"/>
              <w:bottom w:val="single" w:sz="4" w:space="0" w:color="auto"/>
              <w:right w:val="single" w:sz="4" w:space="0" w:color="auto"/>
            </w:tcBorders>
            <w:vAlign w:val="center"/>
            <w:hideMark/>
          </w:tcPr>
          <w:p w14:paraId="0E7DCD8B"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c>
          <w:tcPr>
            <w:tcW w:w="961" w:type="dxa"/>
            <w:gridSpan w:val="3"/>
            <w:tcBorders>
              <w:top w:val="nil"/>
              <w:left w:val="nil"/>
              <w:bottom w:val="single" w:sz="4" w:space="0" w:color="auto"/>
              <w:right w:val="single" w:sz="4" w:space="0" w:color="auto"/>
            </w:tcBorders>
            <w:vAlign w:val="center"/>
            <w:hideMark/>
          </w:tcPr>
          <w:p w14:paraId="0B430CE4"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c>
          <w:tcPr>
            <w:tcW w:w="958" w:type="dxa"/>
            <w:gridSpan w:val="3"/>
            <w:tcBorders>
              <w:top w:val="nil"/>
              <w:left w:val="nil"/>
              <w:bottom w:val="single" w:sz="4" w:space="0" w:color="auto"/>
              <w:right w:val="single" w:sz="4" w:space="0" w:color="auto"/>
            </w:tcBorders>
            <w:vAlign w:val="center"/>
            <w:hideMark/>
          </w:tcPr>
          <w:p w14:paraId="26522D91"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r>
      <w:tr w:rsidR="001431C1" w:rsidRPr="006956C9" w14:paraId="7FA25495"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6CDF98B3"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Quick Ratio</w:t>
            </w:r>
          </w:p>
        </w:tc>
        <w:tc>
          <w:tcPr>
            <w:tcW w:w="1016" w:type="dxa"/>
            <w:gridSpan w:val="2"/>
            <w:tcBorders>
              <w:top w:val="nil"/>
              <w:left w:val="nil"/>
              <w:bottom w:val="single" w:sz="4" w:space="0" w:color="auto"/>
              <w:right w:val="single" w:sz="4" w:space="0" w:color="auto"/>
            </w:tcBorders>
            <w:vAlign w:val="center"/>
            <w:hideMark/>
          </w:tcPr>
          <w:p w14:paraId="58F20CA7"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0.53</w:t>
            </w:r>
          </w:p>
        </w:tc>
        <w:tc>
          <w:tcPr>
            <w:tcW w:w="1075" w:type="dxa"/>
            <w:gridSpan w:val="4"/>
            <w:tcBorders>
              <w:top w:val="nil"/>
              <w:left w:val="nil"/>
              <w:bottom w:val="single" w:sz="4" w:space="0" w:color="auto"/>
              <w:right w:val="single" w:sz="4" w:space="0" w:color="auto"/>
            </w:tcBorders>
            <w:vAlign w:val="center"/>
            <w:hideMark/>
          </w:tcPr>
          <w:p w14:paraId="58DC45CC"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c>
          <w:tcPr>
            <w:tcW w:w="1049" w:type="dxa"/>
            <w:gridSpan w:val="3"/>
            <w:tcBorders>
              <w:top w:val="nil"/>
              <w:left w:val="nil"/>
              <w:bottom w:val="single" w:sz="4" w:space="0" w:color="auto"/>
              <w:right w:val="single" w:sz="4" w:space="0" w:color="auto"/>
            </w:tcBorders>
            <w:vAlign w:val="center"/>
            <w:hideMark/>
          </w:tcPr>
          <w:p w14:paraId="156E88DD"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c>
          <w:tcPr>
            <w:tcW w:w="961" w:type="dxa"/>
            <w:gridSpan w:val="3"/>
            <w:tcBorders>
              <w:top w:val="nil"/>
              <w:left w:val="nil"/>
              <w:bottom w:val="single" w:sz="4" w:space="0" w:color="auto"/>
              <w:right w:val="single" w:sz="4" w:space="0" w:color="auto"/>
            </w:tcBorders>
            <w:vAlign w:val="center"/>
            <w:hideMark/>
          </w:tcPr>
          <w:p w14:paraId="4C855363"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c>
          <w:tcPr>
            <w:tcW w:w="958" w:type="dxa"/>
            <w:gridSpan w:val="3"/>
            <w:tcBorders>
              <w:top w:val="nil"/>
              <w:left w:val="nil"/>
              <w:bottom w:val="single" w:sz="4" w:space="0" w:color="auto"/>
              <w:right w:val="single" w:sz="4" w:space="0" w:color="auto"/>
            </w:tcBorders>
            <w:vAlign w:val="center"/>
            <w:hideMark/>
          </w:tcPr>
          <w:p w14:paraId="31DCD349"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r>
      <w:tr w:rsidR="001431C1" w:rsidRPr="006956C9" w14:paraId="5D20A1B3"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1193D9C2"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Cash Ratio</w:t>
            </w:r>
          </w:p>
        </w:tc>
        <w:tc>
          <w:tcPr>
            <w:tcW w:w="1016" w:type="dxa"/>
            <w:gridSpan w:val="2"/>
            <w:tcBorders>
              <w:top w:val="nil"/>
              <w:left w:val="nil"/>
              <w:bottom w:val="single" w:sz="4" w:space="0" w:color="auto"/>
              <w:right w:val="single" w:sz="4" w:space="0" w:color="auto"/>
            </w:tcBorders>
            <w:vAlign w:val="center"/>
            <w:hideMark/>
          </w:tcPr>
          <w:p w14:paraId="7015A43E"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0.22</w:t>
            </w:r>
          </w:p>
        </w:tc>
        <w:tc>
          <w:tcPr>
            <w:tcW w:w="1075" w:type="dxa"/>
            <w:gridSpan w:val="4"/>
            <w:tcBorders>
              <w:top w:val="nil"/>
              <w:left w:val="nil"/>
              <w:bottom w:val="single" w:sz="4" w:space="0" w:color="auto"/>
              <w:right w:val="single" w:sz="4" w:space="0" w:color="auto"/>
            </w:tcBorders>
            <w:vAlign w:val="center"/>
            <w:hideMark/>
          </w:tcPr>
          <w:p w14:paraId="094AC448"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0.07</w:t>
            </w:r>
          </w:p>
        </w:tc>
        <w:tc>
          <w:tcPr>
            <w:tcW w:w="1049" w:type="dxa"/>
            <w:gridSpan w:val="3"/>
            <w:tcBorders>
              <w:top w:val="nil"/>
              <w:left w:val="nil"/>
              <w:bottom w:val="single" w:sz="4" w:space="0" w:color="auto"/>
              <w:right w:val="single" w:sz="4" w:space="0" w:color="auto"/>
            </w:tcBorders>
            <w:vAlign w:val="center"/>
            <w:hideMark/>
          </w:tcPr>
          <w:p w14:paraId="1458A50C"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0.04</w:t>
            </w:r>
          </w:p>
        </w:tc>
        <w:tc>
          <w:tcPr>
            <w:tcW w:w="961" w:type="dxa"/>
            <w:gridSpan w:val="3"/>
            <w:tcBorders>
              <w:top w:val="nil"/>
              <w:left w:val="nil"/>
              <w:bottom w:val="single" w:sz="4" w:space="0" w:color="auto"/>
              <w:right w:val="single" w:sz="4" w:space="0" w:color="auto"/>
            </w:tcBorders>
            <w:vAlign w:val="center"/>
            <w:hideMark/>
          </w:tcPr>
          <w:p w14:paraId="27C07B40"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0.05</w:t>
            </w:r>
          </w:p>
        </w:tc>
        <w:tc>
          <w:tcPr>
            <w:tcW w:w="958" w:type="dxa"/>
            <w:gridSpan w:val="3"/>
            <w:tcBorders>
              <w:top w:val="nil"/>
              <w:left w:val="nil"/>
              <w:bottom w:val="single" w:sz="4" w:space="0" w:color="auto"/>
              <w:right w:val="single" w:sz="4" w:space="0" w:color="auto"/>
            </w:tcBorders>
            <w:vAlign w:val="center"/>
            <w:hideMark/>
          </w:tcPr>
          <w:p w14:paraId="1E452171"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0.04</w:t>
            </w:r>
          </w:p>
        </w:tc>
      </w:tr>
      <w:tr w:rsidR="001431C1" w:rsidRPr="006956C9" w14:paraId="5B579E21" w14:textId="77777777" w:rsidTr="001431C1">
        <w:trPr>
          <w:trHeight w:val="288"/>
        </w:trPr>
        <w:tc>
          <w:tcPr>
            <w:tcW w:w="7853" w:type="dxa"/>
            <w:gridSpan w:val="16"/>
            <w:tcBorders>
              <w:top w:val="single" w:sz="4" w:space="0" w:color="auto"/>
              <w:left w:val="single" w:sz="4" w:space="0" w:color="auto"/>
              <w:bottom w:val="single" w:sz="4" w:space="0" w:color="auto"/>
              <w:right w:val="single" w:sz="4" w:space="0" w:color="auto"/>
            </w:tcBorders>
            <w:shd w:val="clear" w:color="000000" w:fill="5B9BD5"/>
            <w:noWrap/>
            <w:vAlign w:val="bottom"/>
            <w:hideMark/>
          </w:tcPr>
          <w:p w14:paraId="3B8E40C5"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Profitability Ratios</w:t>
            </w:r>
          </w:p>
        </w:tc>
      </w:tr>
      <w:tr w:rsidR="001431C1" w:rsidRPr="006956C9" w14:paraId="4246DD3F"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4B5A4CA7"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Ratio</w:t>
            </w:r>
          </w:p>
        </w:tc>
        <w:tc>
          <w:tcPr>
            <w:tcW w:w="1016" w:type="dxa"/>
            <w:gridSpan w:val="2"/>
            <w:tcBorders>
              <w:top w:val="nil"/>
              <w:left w:val="nil"/>
              <w:bottom w:val="single" w:sz="4" w:space="0" w:color="auto"/>
              <w:right w:val="single" w:sz="4" w:space="0" w:color="auto"/>
            </w:tcBorders>
            <w:vAlign w:val="center"/>
            <w:hideMark/>
          </w:tcPr>
          <w:p w14:paraId="623B7563"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2021</w:t>
            </w:r>
          </w:p>
        </w:tc>
        <w:tc>
          <w:tcPr>
            <w:tcW w:w="1075" w:type="dxa"/>
            <w:gridSpan w:val="4"/>
            <w:tcBorders>
              <w:top w:val="nil"/>
              <w:left w:val="nil"/>
              <w:bottom w:val="single" w:sz="4" w:space="0" w:color="auto"/>
              <w:right w:val="single" w:sz="4" w:space="0" w:color="auto"/>
            </w:tcBorders>
            <w:vAlign w:val="center"/>
            <w:hideMark/>
          </w:tcPr>
          <w:p w14:paraId="1E134530"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2022</w:t>
            </w:r>
          </w:p>
        </w:tc>
        <w:tc>
          <w:tcPr>
            <w:tcW w:w="1049" w:type="dxa"/>
            <w:gridSpan w:val="3"/>
            <w:tcBorders>
              <w:top w:val="nil"/>
              <w:left w:val="nil"/>
              <w:bottom w:val="single" w:sz="4" w:space="0" w:color="auto"/>
              <w:right w:val="single" w:sz="4" w:space="0" w:color="auto"/>
            </w:tcBorders>
            <w:vAlign w:val="center"/>
            <w:hideMark/>
          </w:tcPr>
          <w:p w14:paraId="6451FD54"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2023</w:t>
            </w:r>
          </w:p>
        </w:tc>
        <w:tc>
          <w:tcPr>
            <w:tcW w:w="961" w:type="dxa"/>
            <w:gridSpan w:val="3"/>
            <w:tcBorders>
              <w:top w:val="nil"/>
              <w:left w:val="nil"/>
              <w:bottom w:val="single" w:sz="4" w:space="0" w:color="auto"/>
              <w:right w:val="single" w:sz="4" w:space="0" w:color="auto"/>
            </w:tcBorders>
            <w:vAlign w:val="center"/>
            <w:hideMark/>
          </w:tcPr>
          <w:p w14:paraId="387076E1"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2024</w:t>
            </w:r>
          </w:p>
        </w:tc>
        <w:tc>
          <w:tcPr>
            <w:tcW w:w="958" w:type="dxa"/>
            <w:gridSpan w:val="3"/>
            <w:tcBorders>
              <w:top w:val="nil"/>
              <w:left w:val="nil"/>
              <w:bottom w:val="single" w:sz="4" w:space="0" w:color="auto"/>
              <w:right w:val="single" w:sz="4" w:space="0" w:color="auto"/>
            </w:tcBorders>
            <w:vAlign w:val="center"/>
            <w:hideMark/>
          </w:tcPr>
          <w:p w14:paraId="4D8D56C7"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2025</w:t>
            </w:r>
          </w:p>
        </w:tc>
      </w:tr>
      <w:tr w:rsidR="001431C1" w:rsidRPr="006956C9" w14:paraId="4079B17F"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33A28245"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Net Profit Margin</w:t>
            </w:r>
          </w:p>
        </w:tc>
        <w:tc>
          <w:tcPr>
            <w:tcW w:w="1016" w:type="dxa"/>
            <w:gridSpan w:val="2"/>
            <w:tcBorders>
              <w:top w:val="nil"/>
              <w:left w:val="nil"/>
              <w:bottom w:val="single" w:sz="4" w:space="0" w:color="auto"/>
              <w:right w:val="single" w:sz="4" w:space="0" w:color="auto"/>
            </w:tcBorders>
            <w:vAlign w:val="center"/>
            <w:hideMark/>
          </w:tcPr>
          <w:p w14:paraId="7C6C565F"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7.93%</w:t>
            </w:r>
          </w:p>
        </w:tc>
        <w:tc>
          <w:tcPr>
            <w:tcW w:w="1075" w:type="dxa"/>
            <w:gridSpan w:val="4"/>
            <w:tcBorders>
              <w:top w:val="nil"/>
              <w:left w:val="nil"/>
              <w:bottom w:val="single" w:sz="4" w:space="0" w:color="auto"/>
              <w:right w:val="single" w:sz="4" w:space="0" w:color="auto"/>
            </w:tcBorders>
            <w:vAlign w:val="center"/>
            <w:hideMark/>
          </w:tcPr>
          <w:p w14:paraId="633A7B63"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11.35%</w:t>
            </w:r>
          </w:p>
        </w:tc>
        <w:tc>
          <w:tcPr>
            <w:tcW w:w="1049" w:type="dxa"/>
            <w:gridSpan w:val="3"/>
            <w:tcBorders>
              <w:top w:val="nil"/>
              <w:left w:val="nil"/>
              <w:bottom w:val="single" w:sz="4" w:space="0" w:color="auto"/>
              <w:right w:val="single" w:sz="4" w:space="0" w:color="auto"/>
            </w:tcBorders>
            <w:vAlign w:val="center"/>
            <w:hideMark/>
          </w:tcPr>
          <w:p w14:paraId="559C6EFD"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13.00%</w:t>
            </w:r>
          </w:p>
        </w:tc>
        <w:tc>
          <w:tcPr>
            <w:tcW w:w="961" w:type="dxa"/>
            <w:gridSpan w:val="3"/>
            <w:tcBorders>
              <w:top w:val="nil"/>
              <w:left w:val="nil"/>
              <w:bottom w:val="single" w:sz="4" w:space="0" w:color="auto"/>
              <w:right w:val="single" w:sz="4" w:space="0" w:color="auto"/>
            </w:tcBorders>
            <w:vAlign w:val="center"/>
            <w:hideMark/>
          </w:tcPr>
          <w:p w14:paraId="6D5ABA92"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9.46%</w:t>
            </w:r>
          </w:p>
        </w:tc>
        <w:tc>
          <w:tcPr>
            <w:tcW w:w="958" w:type="dxa"/>
            <w:gridSpan w:val="3"/>
            <w:tcBorders>
              <w:top w:val="nil"/>
              <w:left w:val="nil"/>
              <w:bottom w:val="single" w:sz="4" w:space="0" w:color="auto"/>
              <w:right w:val="single" w:sz="4" w:space="0" w:color="auto"/>
            </w:tcBorders>
            <w:vAlign w:val="center"/>
            <w:hideMark/>
          </w:tcPr>
          <w:p w14:paraId="4CB46B00"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9.93%</w:t>
            </w:r>
          </w:p>
        </w:tc>
      </w:tr>
      <w:tr w:rsidR="001431C1" w:rsidRPr="006956C9" w14:paraId="52767DA7"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179B2E74"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Operating Profit Margin</w:t>
            </w:r>
          </w:p>
        </w:tc>
        <w:tc>
          <w:tcPr>
            <w:tcW w:w="1016" w:type="dxa"/>
            <w:gridSpan w:val="2"/>
            <w:tcBorders>
              <w:top w:val="nil"/>
              <w:left w:val="nil"/>
              <w:bottom w:val="single" w:sz="4" w:space="0" w:color="auto"/>
              <w:right w:val="single" w:sz="4" w:space="0" w:color="auto"/>
            </w:tcBorders>
            <w:vAlign w:val="center"/>
            <w:hideMark/>
          </w:tcPr>
          <w:p w14:paraId="3751DF66"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12.63%</w:t>
            </w:r>
          </w:p>
        </w:tc>
        <w:tc>
          <w:tcPr>
            <w:tcW w:w="1075" w:type="dxa"/>
            <w:gridSpan w:val="4"/>
            <w:tcBorders>
              <w:top w:val="nil"/>
              <w:left w:val="nil"/>
              <w:bottom w:val="single" w:sz="4" w:space="0" w:color="auto"/>
              <w:right w:val="single" w:sz="4" w:space="0" w:color="auto"/>
            </w:tcBorders>
            <w:vAlign w:val="center"/>
            <w:hideMark/>
          </w:tcPr>
          <w:p w14:paraId="5AF41BED"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16.67%</w:t>
            </w:r>
          </w:p>
        </w:tc>
        <w:tc>
          <w:tcPr>
            <w:tcW w:w="1049" w:type="dxa"/>
            <w:gridSpan w:val="3"/>
            <w:tcBorders>
              <w:top w:val="nil"/>
              <w:left w:val="nil"/>
              <w:bottom w:val="single" w:sz="4" w:space="0" w:color="auto"/>
              <w:right w:val="single" w:sz="4" w:space="0" w:color="auto"/>
            </w:tcBorders>
            <w:vAlign w:val="center"/>
            <w:hideMark/>
          </w:tcPr>
          <w:p w14:paraId="61E04510"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16.29%</w:t>
            </w:r>
          </w:p>
        </w:tc>
        <w:tc>
          <w:tcPr>
            <w:tcW w:w="961" w:type="dxa"/>
            <w:gridSpan w:val="3"/>
            <w:tcBorders>
              <w:top w:val="nil"/>
              <w:left w:val="nil"/>
              <w:bottom w:val="single" w:sz="4" w:space="0" w:color="auto"/>
              <w:right w:val="single" w:sz="4" w:space="0" w:color="auto"/>
            </w:tcBorders>
            <w:vAlign w:val="center"/>
            <w:hideMark/>
          </w:tcPr>
          <w:p w14:paraId="73C65B37"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15.01%</w:t>
            </w:r>
          </w:p>
        </w:tc>
        <w:tc>
          <w:tcPr>
            <w:tcW w:w="958" w:type="dxa"/>
            <w:gridSpan w:val="3"/>
            <w:tcBorders>
              <w:top w:val="nil"/>
              <w:left w:val="nil"/>
              <w:bottom w:val="single" w:sz="4" w:space="0" w:color="auto"/>
              <w:right w:val="single" w:sz="4" w:space="0" w:color="auto"/>
            </w:tcBorders>
            <w:vAlign w:val="center"/>
            <w:hideMark/>
          </w:tcPr>
          <w:p w14:paraId="1BA6361B"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15.81%</w:t>
            </w:r>
          </w:p>
        </w:tc>
      </w:tr>
      <w:tr w:rsidR="001431C1" w:rsidRPr="006956C9" w14:paraId="24632A2D"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26BF5353"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Return on Assets (ROA)</w:t>
            </w:r>
          </w:p>
        </w:tc>
        <w:tc>
          <w:tcPr>
            <w:tcW w:w="1016" w:type="dxa"/>
            <w:gridSpan w:val="2"/>
            <w:tcBorders>
              <w:top w:val="nil"/>
              <w:left w:val="nil"/>
              <w:bottom w:val="single" w:sz="4" w:space="0" w:color="auto"/>
              <w:right w:val="single" w:sz="4" w:space="0" w:color="auto"/>
            </w:tcBorders>
            <w:vAlign w:val="center"/>
            <w:hideMark/>
          </w:tcPr>
          <w:p w14:paraId="14EC60F6"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4.30%</w:t>
            </w:r>
          </w:p>
        </w:tc>
        <w:tc>
          <w:tcPr>
            <w:tcW w:w="1075" w:type="dxa"/>
            <w:gridSpan w:val="4"/>
            <w:tcBorders>
              <w:top w:val="nil"/>
              <w:left w:val="nil"/>
              <w:bottom w:val="single" w:sz="4" w:space="0" w:color="auto"/>
              <w:right w:val="single" w:sz="4" w:space="0" w:color="auto"/>
            </w:tcBorders>
            <w:vAlign w:val="center"/>
            <w:hideMark/>
          </w:tcPr>
          <w:p w14:paraId="4B506D9F"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9.50%</w:t>
            </w:r>
          </w:p>
        </w:tc>
        <w:tc>
          <w:tcPr>
            <w:tcW w:w="1049" w:type="dxa"/>
            <w:gridSpan w:val="3"/>
            <w:tcBorders>
              <w:top w:val="nil"/>
              <w:left w:val="nil"/>
              <w:bottom w:val="single" w:sz="4" w:space="0" w:color="auto"/>
              <w:right w:val="single" w:sz="4" w:space="0" w:color="auto"/>
            </w:tcBorders>
            <w:vAlign w:val="center"/>
            <w:hideMark/>
          </w:tcPr>
          <w:p w14:paraId="678A45B3"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12.01%</w:t>
            </w:r>
          </w:p>
        </w:tc>
        <w:tc>
          <w:tcPr>
            <w:tcW w:w="961" w:type="dxa"/>
            <w:gridSpan w:val="3"/>
            <w:tcBorders>
              <w:top w:val="nil"/>
              <w:left w:val="nil"/>
              <w:bottom w:val="single" w:sz="4" w:space="0" w:color="auto"/>
              <w:right w:val="single" w:sz="4" w:space="0" w:color="auto"/>
            </w:tcBorders>
            <w:vAlign w:val="center"/>
            <w:hideMark/>
          </w:tcPr>
          <w:p w14:paraId="3EA0D52B"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9.07%</w:t>
            </w:r>
          </w:p>
        </w:tc>
        <w:tc>
          <w:tcPr>
            <w:tcW w:w="958" w:type="dxa"/>
            <w:gridSpan w:val="3"/>
            <w:tcBorders>
              <w:top w:val="nil"/>
              <w:left w:val="nil"/>
              <w:bottom w:val="single" w:sz="4" w:space="0" w:color="auto"/>
              <w:right w:val="single" w:sz="4" w:space="0" w:color="auto"/>
            </w:tcBorders>
            <w:vAlign w:val="center"/>
            <w:hideMark/>
          </w:tcPr>
          <w:p w14:paraId="3B1EB71A"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9.44%</w:t>
            </w:r>
          </w:p>
        </w:tc>
      </w:tr>
      <w:tr w:rsidR="001431C1" w:rsidRPr="006956C9" w14:paraId="43B29221" w14:textId="77777777" w:rsidTr="001431C1">
        <w:trPr>
          <w:trHeight w:val="288"/>
        </w:trPr>
        <w:tc>
          <w:tcPr>
            <w:tcW w:w="2794" w:type="dxa"/>
            <w:tcBorders>
              <w:top w:val="nil"/>
              <w:left w:val="single" w:sz="4" w:space="0" w:color="auto"/>
              <w:bottom w:val="single" w:sz="4" w:space="0" w:color="auto"/>
              <w:right w:val="single" w:sz="4" w:space="0" w:color="auto"/>
            </w:tcBorders>
            <w:vAlign w:val="center"/>
            <w:hideMark/>
          </w:tcPr>
          <w:p w14:paraId="0B55D000"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Return on Equity (ROE)</w:t>
            </w:r>
          </w:p>
        </w:tc>
        <w:tc>
          <w:tcPr>
            <w:tcW w:w="1016" w:type="dxa"/>
            <w:gridSpan w:val="2"/>
            <w:tcBorders>
              <w:top w:val="nil"/>
              <w:left w:val="nil"/>
              <w:bottom w:val="single" w:sz="4" w:space="0" w:color="auto"/>
              <w:right w:val="single" w:sz="4" w:space="0" w:color="auto"/>
            </w:tcBorders>
            <w:vAlign w:val="center"/>
            <w:hideMark/>
          </w:tcPr>
          <w:p w14:paraId="761946B2"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77.72%</w:t>
            </w:r>
          </w:p>
        </w:tc>
        <w:tc>
          <w:tcPr>
            <w:tcW w:w="1075" w:type="dxa"/>
            <w:gridSpan w:val="4"/>
            <w:tcBorders>
              <w:top w:val="nil"/>
              <w:left w:val="nil"/>
              <w:bottom w:val="single" w:sz="4" w:space="0" w:color="auto"/>
              <w:right w:val="single" w:sz="4" w:space="0" w:color="auto"/>
            </w:tcBorders>
            <w:vAlign w:val="center"/>
            <w:hideMark/>
          </w:tcPr>
          <w:p w14:paraId="42BA0B6E"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415.14%</w:t>
            </w:r>
          </w:p>
        </w:tc>
        <w:tc>
          <w:tcPr>
            <w:tcW w:w="1049" w:type="dxa"/>
            <w:gridSpan w:val="3"/>
            <w:tcBorders>
              <w:top w:val="nil"/>
              <w:left w:val="nil"/>
              <w:bottom w:val="single" w:sz="4" w:space="0" w:color="auto"/>
              <w:right w:val="single" w:sz="4" w:space="0" w:color="auto"/>
            </w:tcBorders>
            <w:vAlign w:val="center"/>
            <w:hideMark/>
          </w:tcPr>
          <w:p w14:paraId="76556309"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-452.05%</w:t>
            </w:r>
          </w:p>
        </w:tc>
        <w:tc>
          <w:tcPr>
            <w:tcW w:w="961" w:type="dxa"/>
            <w:gridSpan w:val="3"/>
            <w:tcBorders>
              <w:top w:val="nil"/>
              <w:left w:val="nil"/>
              <w:bottom w:val="single" w:sz="4" w:space="0" w:color="auto"/>
              <w:right w:val="single" w:sz="4" w:space="0" w:color="auto"/>
            </w:tcBorders>
            <w:vAlign w:val="center"/>
            <w:hideMark/>
          </w:tcPr>
          <w:p w14:paraId="44C53593"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-79.38%</w:t>
            </w:r>
          </w:p>
        </w:tc>
        <w:tc>
          <w:tcPr>
            <w:tcW w:w="958" w:type="dxa"/>
            <w:gridSpan w:val="3"/>
            <w:tcBorders>
              <w:top w:val="nil"/>
              <w:left w:val="nil"/>
              <w:bottom w:val="single" w:sz="4" w:space="0" w:color="auto"/>
              <w:right w:val="single" w:sz="4" w:space="0" w:color="auto"/>
            </w:tcBorders>
            <w:vAlign w:val="center"/>
            <w:hideMark/>
          </w:tcPr>
          <w:p w14:paraId="5CA5120E"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-68.97%</w:t>
            </w:r>
          </w:p>
        </w:tc>
      </w:tr>
      <w:tr w:rsidR="001431C1" w:rsidRPr="006956C9" w14:paraId="5DEEDF3E" w14:textId="77777777" w:rsidTr="001431C1">
        <w:trPr>
          <w:trHeight w:val="288"/>
        </w:trPr>
        <w:tc>
          <w:tcPr>
            <w:tcW w:w="7853" w:type="dxa"/>
            <w:gridSpan w:val="16"/>
            <w:tcBorders>
              <w:top w:val="single" w:sz="4" w:space="0" w:color="auto"/>
              <w:left w:val="single" w:sz="4" w:space="0" w:color="auto"/>
              <w:bottom w:val="single" w:sz="4" w:space="0" w:color="auto"/>
              <w:right w:val="single" w:sz="4" w:space="0" w:color="auto"/>
            </w:tcBorders>
            <w:shd w:val="clear" w:color="000000" w:fill="5B9BD5"/>
            <w:noWrap/>
            <w:vAlign w:val="bottom"/>
            <w:hideMark/>
          </w:tcPr>
          <w:p w14:paraId="113FF6E1"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Efficiency / Activity Ratio</w:t>
            </w:r>
          </w:p>
        </w:tc>
      </w:tr>
      <w:tr w:rsidR="001431C1" w:rsidRPr="006956C9" w14:paraId="4B65A933" w14:textId="77777777" w:rsidTr="001431C1">
        <w:trPr>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2FF72EA2"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Ratio</w:t>
            </w:r>
          </w:p>
        </w:tc>
        <w:tc>
          <w:tcPr>
            <w:tcW w:w="931" w:type="dxa"/>
            <w:gridSpan w:val="3"/>
            <w:tcBorders>
              <w:top w:val="nil"/>
              <w:left w:val="nil"/>
              <w:bottom w:val="single" w:sz="4" w:space="0" w:color="auto"/>
              <w:right w:val="single" w:sz="4" w:space="0" w:color="auto"/>
            </w:tcBorders>
            <w:vAlign w:val="center"/>
            <w:hideMark/>
          </w:tcPr>
          <w:p w14:paraId="38C4BFEA"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2021</w:t>
            </w:r>
          </w:p>
        </w:tc>
        <w:tc>
          <w:tcPr>
            <w:tcW w:w="940" w:type="dxa"/>
            <w:gridSpan w:val="3"/>
            <w:tcBorders>
              <w:top w:val="nil"/>
              <w:left w:val="nil"/>
              <w:bottom w:val="single" w:sz="4" w:space="0" w:color="auto"/>
              <w:right w:val="single" w:sz="4" w:space="0" w:color="auto"/>
            </w:tcBorders>
            <w:vAlign w:val="center"/>
            <w:hideMark/>
          </w:tcPr>
          <w:p w14:paraId="6F033D49"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2022</w:t>
            </w:r>
          </w:p>
        </w:tc>
        <w:tc>
          <w:tcPr>
            <w:tcW w:w="1020" w:type="dxa"/>
            <w:gridSpan w:val="3"/>
            <w:tcBorders>
              <w:top w:val="nil"/>
              <w:left w:val="nil"/>
              <w:bottom w:val="single" w:sz="4" w:space="0" w:color="auto"/>
              <w:right w:val="single" w:sz="4" w:space="0" w:color="auto"/>
            </w:tcBorders>
            <w:vAlign w:val="center"/>
            <w:hideMark/>
          </w:tcPr>
          <w:p w14:paraId="6A530C15"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2023</w:t>
            </w:r>
          </w:p>
        </w:tc>
        <w:tc>
          <w:tcPr>
            <w:tcW w:w="931" w:type="dxa"/>
            <w:gridSpan w:val="3"/>
            <w:tcBorders>
              <w:top w:val="nil"/>
              <w:left w:val="nil"/>
              <w:bottom w:val="single" w:sz="4" w:space="0" w:color="auto"/>
              <w:right w:val="single" w:sz="4" w:space="0" w:color="auto"/>
            </w:tcBorders>
            <w:vAlign w:val="center"/>
            <w:hideMark/>
          </w:tcPr>
          <w:p w14:paraId="0F03777F"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2024</w:t>
            </w:r>
          </w:p>
        </w:tc>
        <w:tc>
          <w:tcPr>
            <w:tcW w:w="931" w:type="dxa"/>
            <w:gridSpan w:val="2"/>
            <w:tcBorders>
              <w:top w:val="nil"/>
              <w:left w:val="nil"/>
              <w:bottom w:val="single" w:sz="4" w:space="0" w:color="auto"/>
              <w:right w:val="single" w:sz="4" w:space="0" w:color="auto"/>
            </w:tcBorders>
            <w:vAlign w:val="center"/>
            <w:hideMark/>
          </w:tcPr>
          <w:p w14:paraId="130BEBE7"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2025</w:t>
            </w:r>
          </w:p>
        </w:tc>
      </w:tr>
      <w:tr w:rsidR="001431C1" w:rsidRPr="006956C9" w14:paraId="2455F813" w14:textId="77777777" w:rsidTr="001431C1">
        <w:trPr>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1618F0C8"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Asset Turnover</w:t>
            </w:r>
          </w:p>
        </w:tc>
        <w:tc>
          <w:tcPr>
            <w:tcW w:w="931" w:type="dxa"/>
            <w:gridSpan w:val="3"/>
            <w:tcBorders>
              <w:top w:val="nil"/>
              <w:left w:val="nil"/>
              <w:bottom w:val="single" w:sz="4" w:space="0" w:color="auto"/>
              <w:right w:val="single" w:sz="4" w:space="0" w:color="auto"/>
            </w:tcBorders>
            <w:vAlign w:val="center"/>
            <w:hideMark/>
          </w:tcPr>
          <w:p w14:paraId="55D9E7AC"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0.54</w:t>
            </w:r>
          </w:p>
        </w:tc>
        <w:tc>
          <w:tcPr>
            <w:tcW w:w="940" w:type="dxa"/>
            <w:gridSpan w:val="3"/>
            <w:tcBorders>
              <w:top w:val="nil"/>
              <w:left w:val="nil"/>
              <w:bottom w:val="single" w:sz="4" w:space="0" w:color="auto"/>
              <w:right w:val="single" w:sz="4" w:space="0" w:color="auto"/>
            </w:tcBorders>
            <w:vAlign w:val="center"/>
            <w:hideMark/>
          </w:tcPr>
          <w:p w14:paraId="2399821C"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0.84</w:t>
            </w:r>
          </w:p>
        </w:tc>
        <w:tc>
          <w:tcPr>
            <w:tcW w:w="1020" w:type="dxa"/>
            <w:gridSpan w:val="3"/>
            <w:tcBorders>
              <w:top w:val="nil"/>
              <w:left w:val="nil"/>
              <w:bottom w:val="single" w:sz="4" w:space="0" w:color="auto"/>
              <w:right w:val="single" w:sz="4" w:space="0" w:color="auto"/>
            </w:tcBorders>
            <w:vAlign w:val="center"/>
            <w:hideMark/>
          </w:tcPr>
          <w:p w14:paraId="532130BB"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0.92</w:t>
            </w:r>
          </w:p>
        </w:tc>
        <w:tc>
          <w:tcPr>
            <w:tcW w:w="931" w:type="dxa"/>
            <w:gridSpan w:val="3"/>
            <w:tcBorders>
              <w:top w:val="nil"/>
              <w:left w:val="nil"/>
              <w:bottom w:val="single" w:sz="4" w:space="0" w:color="auto"/>
              <w:right w:val="single" w:sz="4" w:space="0" w:color="auto"/>
            </w:tcBorders>
            <w:vAlign w:val="center"/>
            <w:hideMark/>
          </w:tcPr>
          <w:p w14:paraId="3B57577E"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0.96</w:t>
            </w:r>
          </w:p>
        </w:tc>
        <w:tc>
          <w:tcPr>
            <w:tcW w:w="931" w:type="dxa"/>
            <w:gridSpan w:val="2"/>
            <w:tcBorders>
              <w:top w:val="nil"/>
              <w:left w:val="nil"/>
              <w:bottom w:val="single" w:sz="4" w:space="0" w:color="auto"/>
              <w:right w:val="single" w:sz="4" w:space="0" w:color="auto"/>
            </w:tcBorders>
            <w:vAlign w:val="center"/>
            <w:hideMark/>
          </w:tcPr>
          <w:p w14:paraId="20C44348"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0.95</w:t>
            </w:r>
          </w:p>
        </w:tc>
      </w:tr>
      <w:tr w:rsidR="001431C1" w:rsidRPr="006956C9" w14:paraId="0A5DA67F" w14:textId="77777777" w:rsidTr="001431C1">
        <w:trPr>
          <w:trHeight w:val="288"/>
        </w:trPr>
        <w:tc>
          <w:tcPr>
            <w:tcW w:w="7853" w:type="dxa"/>
            <w:gridSpan w:val="16"/>
            <w:tcBorders>
              <w:top w:val="single" w:sz="4" w:space="0" w:color="auto"/>
              <w:left w:val="single" w:sz="4" w:space="0" w:color="auto"/>
              <w:bottom w:val="single" w:sz="4" w:space="0" w:color="auto"/>
              <w:right w:val="single" w:sz="4" w:space="0" w:color="auto"/>
            </w:tcBorders>
            <w:shd w:val="clear" w:color="000000" w:fill="5B9BD5"/>
            <w:noWrap/>
            <w:vAlign w:val="bottom"/>
            <w:hideMark/>
          </w:tcPr>
          <w:p w14:paraId="7DDC600C"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Solvency / Leverage Ratios</w:t>
            </w:r>
          </w:p>
        </w:tc>
      </w:tr>
      <w:tr w:rsidR="001431C1" w:rsidRPr="006956C9" w14:paraId="2A138EC2" w14:textId="77777777" w:rsidTr="001431C1">
        <w:trPr>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45C90C9C"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Ratio</w:t>
            </w:r>
          </w:p>
        </w:tc>
        <w:tc>
          <w:tcPr>
            <w:tcW w:w="931" w:type="dxa"/>
            <w:gridSpan w:val="3"/>
            <w:tcBorders>
              <w:top w:val="nil"/>
              <w:left w:val="nil"/>
              <w:bottom w:val="single" w:sz="4" w:space="0" w:color="auto"/>
              <w:right w:val="single" w:sz="4" w:space="0" w:color="auto"/>
            </w:tcBorders>
            <w:vAlign w:val="center"/>
            <w:hideMark/>
          </w:tcPr>
          <w:p w14:paraId="4CF59889"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2021</w:t>
            </w:r>
          </w:p>
        </w:tc>
        <w:tc>
          <w:tcPr>
            <w:tcW w:w="940" w:type="dxa"/>
            <w:gridSpan w:val="3"/>
            <w:tcBorders>
              <w:top w:val="nil"/>
              <w:left w:val="nil"/>
              <w:bottom w:val="single" w:sz="4" w:space="0" w:color="auto"/>
              <w:right w:val="single" w:sz="4" w:space="0" w:color="auto"/>
            </w:tcBorders>
            <w:vAlign w:val="center"/>
            <w:hideMark/>
          </w:tcPr>
          <w:p w14:paraId="04E98DC6"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2022</w:t>
            </w:r>
          </w:p>
        </w:tc>
        <w:tc>
          <w:tcPr>
            <w:tcW w:w="1020" w:type="dxa"/>
            <w:gridSpan w:val="3"/>
            <w:tcBorders>
              <w:top w:val="nil"/>
              <w:left w:val="nil"/>
              <w:bottom w:val="single" w:sz="4" w:space="0" w:color="auto"/>
              <w:right w:val="single" w:sz="4" w:space="0" w:color="auto"/>
            </w:tcBorders>
            <w:vAlign w:val="center"/>
            <w:hideMark/>
          </w:tcPr>
          <w:p w14:paraId="0EF09BC8"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2023</w:t>
            </w:r>
          </w:p>
        </w:tc>
        <w:tc>
          <w:tcPr>
            <w:tcW w:w="931" w:type="dxa"/>
            <w:gridSpan w:val="3"/>
            <w:tcBorders>
              <w:top w:val="nil"/>
              <w:left w:val="nil"/>
              <w:bottom w:val="single" w:sz="4" w:space="0" w:color="auto"/>
              <w:right w:val="single" w:sz="4" w:space="0" w:color="auto"/>
            </w:tcBorders>
            <w:vAlign w:val="center"/>
            <w:hideMark/>
          </w:tcPr>
          <w:p w14:paraId="3F94F9A2"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2024</w:t>
            </w:r>
          </w:p>
        </w:tc>
        <w:tc>
          <w:tcPr>
            <w:tcW w:w="931" w:type="dxa"/>
            <w:gridSpan w:val="2"/>
            <w:tcBorders>
              <w:top w:val="nil"/>
              <w:left w:val="nil"/>
              <w:bottom w:val="single" w:sz="4" w:space="0" w:color="auto"/>
              <w:right w:val="single" w:sz="4" w:space="0" w:color="auto"/>
            </w:tcBorders>
            <w:vAlign w:val="center"/>
            <w:hideMark/>
          </w:tcPr>
          <w:p w14:paraId="51399B9C"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2025</w:t>
            </w:r>
          </w:p>
        </w:tc>
      </w:tr>
      <w:tr w:rsidR="001431C1" w:rsidRPr="006956C9" w14:paraId="17C32AC6" w14:textId="77777777" w:rsidTr="001431C1">
        <w:trPr>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4B586F35"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Debt-to-Asset Ratio</w:t>
            </w:r>
          </w:p>
        </w:tc>
        <w:tc>
          <w:tcPr>
            <w:tcW w:w="931" w:type="dxa"/>
            <w:gridSpan w:val="3"/>
            <w:tcBorders>
              <w:top w:val="nil"/>
              <w:left w:val="nil"/>
              <w:bottom w:val="single" w:sz="4" w:space="0" w:color="auto"/>
              <w:right w:val="single" w:sz="4" w:space="0" w:color="auto"/>
            </w:tcBorders>
            <w:vAlign w:val="center"/>
            <w:hideMark/>
          </w:tcPr>
          <w:p w14:paraId="1AAF3014"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39.67%</w:t>
            </w:r>
          </w:p>
        </w:tc>
        <w:tc>
          <w:tcPr>
            <w:tcW w:w="940" w:type="dxa"/>
            <w:gridSpan w:val="3"/>
            <w:tcBorders>
              <w:top w:val="nil"/>
              <w:left w:val="nil"/>
              <w:bottom w:val="single" w:sz="4" w:space="0" w:color="auto"/>
              <w:right w:val="single" w:sz="4" w:space="0" w:color="auto"/>
            </w:tcBorders>
            <w:vAlign w:val="center"/>
            <w:hideMark/>
          </w:tcPr>
          <w:p w14:paraId="4DD4315A"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40.56%</w:t>
            </w:r>
          </w:p>
        </w:tc>
        <w:tc>
          <w:tcPr>
            <w:tcW w:w="1020" w:type="dxa"/>
            <w:gridSpan w:val="3"/>
            <w:tcBorders>
              <w:top w:val="nil"/>
              <w:left w:val="nil"/>
              <w:bottom w:val="single" w:sz="4" w:space="0" w:color="auto"/>
              <w:right w:val="single" w:sz="4" w:space="0" w:color="auto"/>
            </w:tcBorders>
            <w:vAlign w:val="center"/>
            <w:hideMark/>
          </w:tcPr>
          <w:p w14:paraId="60762B7A"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46.25%</w:t>
            </w:r>
          </w:p>
        </w:tc>
        <w:tc>
          <w:tcPr>
            <w:tcW w:w="931" w:type="dxa"/>
            <w:gridSpan w:val="3"/>
            <w:tcBorders>
              <w:top w:val="nil"/>
              <w:left w:val="nil"/>
              <w:bottom w:val="single" w:sz="4" w:space="0" w:color="auto"/>
              <w:right w:val="single" w:sz="4" w:space="0" w:color="auto"/>
            </w:tcBorders>
            <w:vAlign w:val="center"/>
            <w:hideMark/>
          </w:tcPr>
          <w:p w14:paraId="306EC2BC"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55.18%</w:t>
            </w:r>
          </w:p>
        </w:tc>
        <w:tc>
          <w:tcPr>
            <w:tcW w:w="931" w:type="dxa"/>
            <w:gridSpan w:val="2"/>
            <w:tcBorders>
              <w:top w:val="nil"/>
              <w:left w:val="nil"/>
              <w:bottom w:val="single" w:sz="4" w:space="0" w:color="auto"/>
              <w:right w:val="single" w:sz="4" w:space="0" w:color="auto"/>
            </w:tcBorders>
            <w:vAlign w:val="center"/>
            <w:hideMark/>
          </w:tcPr>
          <w:p w14:paraId="243170DA"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58.84%</w:t>
            </w:r>
          </w:p>
        </w:tc>
      </w:tr>
      <w:tr w:rsidR="001431C1" w:rsidRPr="006956C9" w14:paraId="546DDAAE" w14:textId="77777777" w:rsidTr="001431C1">
        <w:trPr>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354C9DA9"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Interest Coverage Ratio</w:t>
            </w:r>
          </w:p>
        </w:tc>
        <w:tc>
          <w:tcPr>
            <w:tcW w:w="931" w:type="dxa"/>
            <w:gridSpan w:val="3"/>
            <w:tcBorders>
              <w:top w:val="nil"/>
              <w:left w:val="nil"/>
              <w:bottom w:val="single" w:sz="4" w:space="0" w:color="auto"/>
              <w:right w:val="single" w:sz="4" w:space="0" w:color="auto"/>
            </w:tcBorders>
            <w:vAlign w:val="center"/>
            <w:hideMark/>
          </w:tcPr>
          <w:p w14:paraId="57492AEB"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4.17</w:t>
            </w:r>
          </w:p>
        </w:tc>
        <w:tc>
          <w:tcPr>
            <w:tcW w:w="940" w:type="dxa"/>
            <w:gridSpan w:val="3"/>
            <w:tcBorders>
              <w:top w:val="nil"/>
              <w:left w:val="nil"/>
              <w:bottom w:val="single" w:sz="4" w:space="0" w:color="auto"/>
              <w:right w:val="single" w:sz="4" w:space="0" w:color="auto"/>
            </w:tcBorders>
            <w:vAlign w:val="center"/>
            <w:hideMark/>
          </w:tcPr>
          <w:p w14:paraId="2D006100"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8.59</w:t>
            </w:r>
          </w:p>
        </w:tc>
        <w:tc>
          <w:tcPr>
            <w:tcW w:w="1020" w:type="dxa"/>
            <w:gridSpan w:val="3"/>
            <w:tcBorders>
              <w:top w:val="nil"/>
              <w:left w:val="nil"/>
              <w:bottom w:val="single" w:sz="4" w:space="0" w:color="auto"/>
              <w:right w:val="single" w:sz="4" w:space="0" w:color="auto"/>
            </w:tcBorders>
            <w:vAlign w:val="center"/>
            <w:hideMark/>
          </w:tcPr>
          <w:p w14:paraId="0295F87F"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6.84</w:t>
            </w:r>
          </w:p>
        </w:tc>
        <w:tc>
          <w:tcPr>
            <w:tcW w:w="931" w:type="dxa"/>
            <w:gridSpan w:val="3"/>
            <w:tcBorders>
              <w:top w:val="nil"/>
              <w:left w:val="nil"/>
              <w:bottom w:val="single" w:sz="4" w:space="0" w:color="auto"/>
              <w:right w:val="single" w:sz="4" w:space="0" w:color="auto"/>
            </w:tcBorders>
            <w:vAlign w:val="center"/>
            <w:hideMark/>
          </w:tcPr>
          <w:p w14:paraId="4E6ADC27"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5.42</w:t>
            </w:r>
          </w:p>
        </w:tc>
        <w:tc>
          <w:tcPr>
            <w:tcW w:w="931" w:type="dxa"/>
            <w:gridSpan w:val="2"/>
            <w:tcBorders>
              <w:top w:val="nil"/>
              <w:left w:val="nil"/>
              <w:bottom w:val="single" w:sz="4" w:space="0" w:color="auto"/>
              <w:right w:val="single" w:sz="4" w:space="0" w:color="auto"/>
            </w:tcBorders>
            <w:vAlign w:val="center"/>
            <w:hideMark/>
          </w:tcPr>
          <w:p w14:paraId="748CB0F7"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5.12</w:t>
            </w:r>
          </w:p>
        </w:tc>
      </w:tr>
      <w:tr w:rsidR="001431C1" w:rsidRPr="006956C9" w14:paraId="147EAEE0" w14:textId="77777777" w:rsidTr="001431C1">
        <w:trPr>
          <w:gridAfter w:val="1"/>
          <w:wAfter w:w="168" w:type="dxa"/>
          <w:trHeight w:val="288"/>
        </w:trPr>
        <w:tc>
          <w:tcPr>
            <w:tcW w:w="7680" w:type="dxa"/>
            <w:gridSpan w:val="15"/>
            <w:tcBorders>
              <w:top w:val="single" w:sz="4" w:space="0" w:color="auto"/>
              <w:left w:val="single" w:sz="4" w:space="0" w:color="auto"/>
              <w:bottom w:val="single" w:sz="4" w:space="0" w:color="auto"/>
              <w:right w:val="single" w:sz="4" w:space="0" w:color="auto"/>
            </w:tcBorders>
            <w:shd w:val="clear" w:color="000000" w:fill="5B9BD5"/>
            <w:noWrap/>
            <w:vAlign w:val="bottom"/>
            <w:hideMark/>
          </w:tcPr>
          <w:p w14:paraId="2452B88D"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Cash Flow Ratios</w:t>
            </w:r>
          </w:p>
        </w:tc>
      </w:tr>
      <w:tr w:rsidR="001431C1" w:rsidRPr="006956C9" w14:paraId="24E62BDD" w14:textId="77777777" w:rsidTr="001431C1">
        <w:trPr>
          <w:gridAfter w:val="1"/>
          <w:wAfter w:w="168" w:type="dxa"/>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5B077CF3" w14:textId="77777777" w:rsidR="001431C1" w:rsidRPr="006956C9" w:rsidRDefault="001431C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Ratio</w:t>
            </w:r>
          </w:p>
        </w:tc>
        <w:tc>
          <w:tcPr>
            <w:tcW w:w="820" w:type="dxa"/>
            <w:gridSpan w:val="2"/>
            <w:tcBorders>
              <w:top w:val="nil"/>
              <w:left w:val="nil"/>
              <w:bottom w:val="single" w:sz="4" w:space="0" w:color="auto"/>
              <w:right w:val="single" w:sz="4" w:space="0" w:color="auto"/>
            </w:tcBorders>
            <w:vAlign w:val="center"/>
            <w:hideMark/>
          </w:tcPr>
          <w:p w14:paraId="49514B3F"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2021</w:t>
            </w:r>
          </w:p>
        </w:tc>
        <w:tc>
          <w:tcPr>
            <w:tcW w:w="940" w:type="dxa"/>
            <w:gridSpan w:val="2"/>
            <w:tcBorders>
              <w:top w:val="nil"/>
              <w:left w:val="nil"/>
              <w:bottom w:val="single" w:sz="4" w:space="0" w:color="auto"/>
              <w:right w:val="single" w:sz="4" w:space="0" w:color="auto"/>
            </w:tcBorders>
            <w:vAlign w:val="center"/>
            <w:hideMark/>
          </w:tcPr>
          <w:p w14:paraId="4EC088FA"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2022</w:t>
            </w:r>
          </w:p>
        </w:tc>
        <w:tc>
          <w:tcPr>
            <w:tcW w:w="1020" w:type="dxa"/>
            <w:gridSpan w:val="3"/>
            <w:tcBorders>
              <w:top w:val="nil"/>
              <w:left w:val="nil"/>
              <w:bottom w:val="single" w:sz="4" w:space="0" w:color="auto"/>
              <w:right w:val="single" w:sz="4" w:space="0" w:color="auto"/>
            </w:tcBorders>
            <w:vAlign w:val="center"/>
            <w:hideMark/>
          </w:tcPr>
          <w:p w14:paraId="4B53B789"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2023</w:t>
            </w:r>
          </w:p>
        </w:tc>
        <w:tc>
          <w:tcPr>
            <w:tcW w:w="900" w:type="dxa"/>
            <w:gridSpan w:val="3"/>
            <w:tcBorders>
              <w:top w:val="nil"/>
              <w:left w:val="nil"/>
              <w:bottom w:val="single" w:sz="4" w:space="0" w:color="auto"/>
              <w:right w:val="single" w:sz="4" w:space="0" w:color="auto"/>
            </w:tcBorders>
            <w:vAlign w:val="center"/>
            <w:hideMark/>
          </w:tcPr>
          <w:p w14:paraId="65B4DF01"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2024</w:t>
            </w:r>
          </w:p>
        </w:tc>
        <w:tc>
          <w:tcPr>
            <w:tcW w:w="900" w:type="dxa"/>
            <w:gridSpan w:val="3"/>
            <w:tcBorders>
              <w:top w:val="nil"/>
              <w:left w:val="nil"/>
              <w:bottom w:val="single" w:sz="4" w:space="0" w:color="auto"/>
              <w:right w:val="single" w:sz="4" w:space="0" w:color="auto"/>
            </w:tcBorders>
            <w:vAlign w:val="center"/>
            <w:hideMark/>
          </w:tcPr>
          <w:p w14:paraId="66DC1A34" w14:textId="77777777" w:rsidR="001431C1" w:rsidRPr="006956C9" w:rsidRDefault="001431C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2025</w:t>
            </w:r>
          </w:p>
        </w:tc>
      </w:tr>
      <w:tr w:rsidR="001431C1" w:rsidRPr="006956C9" w14:paraId="4FDEA5F3" w14:textId="77777777" w:rsidTr="001431C1">
        <w:trPr>
          <w:gridAfter w:val="1"/>
          <w:wAfter w:w="168" w:type="dxa"/>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2D2D7123"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Operating Cash Flow Ratio</w:t>
            </w:r>
          </w:p>
        </w:tc>
        <w:tc>
          <w:tcPr>
            <w:tcW w:w="820" w:type="dxa"/>
            <w:gridSpan w:val="2"/>
            <w:tcBorders>
              <w:top w:val="nil"/>
              <w:left w:val="nil"/>
              <w:bottom w:val="single" w:sz="4" w:space="0" w:color="auto"/>
              <w:right w:val="single" w:sz="4" w:space="0" w:color="auto"/>
            </w:tcBorders>
            <w:vAlign w:val="center"/>
            <w:hideMark/>
          </w:tcPr>
          <w:p w14:paraId="435A19DD"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0.18</w:t>
            </w:r>
          </w:p>
        </w:tc>
        <w:tc>
          <w:tcPr>
            <w:tcW w:w="940" w:type="dxa"/>
            <w:gridSpan w:val="2"/>
            <w:tcBorders>
              <w:top w:val="nil"/>
              <w:left w:val="nil"/>
              <w:bottom w:val="single" w:sz="4" w:space="0" w:color="auto"/>
              <w:right w:val="single" w:sz="4" w:space="0" w:color="auto"/>
            </w:tcBorders>
            <w:vAlign w:val="center"/>
            <w:hideMark/>
          </w:tcPr>
          <w:p w14:paraId="729F1E6E"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0.32</w:t>
            </w:r>
          </w:p>
        </w:tc>
        <w:tc>
          <w:tcPr>
            <w:tcW w:w="1020" w:type="dxa"/>
            <w:gridSpan w:val="3"/>
            <w:tcBorders>
              <w:top w:val="nil"/>
              <w:left w:val="nil"/>
              <w:bottom w:val="single" w:sz="4" w:space="0" w:color="auto"/>
              <w:right w:val="single" w:sz="4" w:space="0" w:color="auto"/>
            </w:tcBorders>
            <w:vAlign w:val="center"/>
            <w:hideMark/>
          </w:tcPr>
          <w:p w14:paraId="5D5F586C"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0.41</w:t>
            </w:r>
          </w:p>
        </w:tc>
        <w:tc>
          <w:tcPr>
            <w:tcW w:w="900" w:type="dxa"/>
            <w:gridSpan w:val="3"/>
            <w:tcBorders>
              <w:top w:val="nil"/>
              <w:left w:val="nil"/>
              <w:bottom w:val="single" w:sz="4" w:space="0" w:color="auto"/>
              <w:right w:val="single" w:sz="4" w:space="0" w:color="auto"/>
            </w:tcBorders>
            <w:vAlign w:val="center"/>
            <w:hideMark/>
          </w:tcPr>
          <w:p w14:paraId="2DD007D2"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0.32</w:t>
            </w:r>
          </w:p>
        </w:tc>
        <w:tc>
          <w:tcPr>
            <w:tcW w:w="900" w:type="dxa"/>
            <w:gridSpan w:val="3"/>
            <w:tcBorders>
              <w:top w:val="nil"/>
              <w:left w:val="nil"/>
              <w:bottom w:val="single" w:sz="4" w:space="0" w:color="auto"/>
              <w:right w:val="single" w:sz="4" w:space="0" w:color="auto"/>
            </w:tcBorders>
            <w:vAlign w:val="center"/>
            <w:hideMark/>
          </w:tcPr>
          <w:p w14:paraId="20C8BBF0"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0.38</w:t>
            </w:r>
          </w:p>
        </w:tc>
      </w:tr>
      <w:tr w:rsidR="001431C1" w:rsidRPr="006956C9" w14:paraId="3DA905BE" w14:textId="77777777" w:rsidTr="001431C1">
        <w:trPr>
          <w:gridAfter w:val="1"/>
          <w:wAfter w:w="168" w:type="dxa"/>
          <w:trHeight w:val="288"/>
        </w:trPr>
        <w:tc>
          <w:tcPr>
            <w:tcW w:w="3100" w:type="dxa"/>
            <w:gridSpan w:val="2"/>
            <w:tcBorders>
              <w:top w:val="nil"/>
              <w:left w:val="single" w:sz="4" w:space="0" w:color="auto"/>
              <w:bottom w:val="single" w:sz="4" w:space="0" w:color="auto"/>
              <w:right w:val="single" w:sz="4" w:space="0" w:color="auto"/>
            </w:tcBorders>
            <w:vAlign w:val="center"/>
            <w:hideMark/>
          </w:tcPr>
          <w:p w14:paraId="2B914B39" w14:textId="77777777" w:rsidR="001431C1" w:rsidRPr="006956C9" w:rsidRDefault="001431C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lastRenderedPageBreak/>
              <w:t>Dividend Payout Ratio</w:t>
            </w:r>
          </w:p>
        </w:tc>
        <w:tc>
          <w:tcPr>
            <w:tcW w:w="820" w:type="dxa"/>
            <w:gridSpan w:val="2"/>
            <w:tcBorders>
              <w:top w:val="nil"/>
              <w:left w:val="nil"/>
              <w:bottom w:val="single" w:sz="4" w:space="0" w:color="auto"/>
              <w:right w:val="single" w:sz="4" w:space="0" w:color="auto"/>
            </w:tcBorders>
            <w:vAlign w:val="center"/>
            <w:hideMark/>
          </w:tcPr>
          <w:p w14:paraId="7FFF8B6A"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0.00%</w:t>
            </w:r>
          </w:p>
        </w:tc>
        <w:tc>
          <w:tcPr>
            <w:tcW w:w="940" w:type="dxa"/>
            <w:gridSpan w:val="2"/>
            <w:tcBorders>
              <w:top w:val="nil"/>
              <w:left w:val="nil"/>
              <w:bottom w:val="single" w:sz="4" w:space="0" w:color="auto"/>
              <w:right w:val="single" w:sz="4" w:space="0" w:color="auto"/>
            </w:tcBorders>
            <w:vAlign w:val="center"/>
            <w:hideMark/>
          </w:tcPr>
          <w:p w14:paraId="09946D2E"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13.61%</w:t>
            </w:r>
          </w:p>
        </w:tc>
        <w:tc>
          <w:tcPr>
            <w:tcW w:w="1020" w:type="dxa"/>
            <w:gridSpan w:val="3"/>
            <w:tcBorders>
              <w:top w:val="nil"/>
              <w:left w:val="nil"/>
              <w:bottom w:val="single" w:sz="4" w:space="0" w:color="auto"/>
              <w:right w:val="single" w:sz="4" w:space="0" w:color="auto"/>
            </w:tcBorders>
            <w:vAlign w:val="center"/>
            <w:hideMark/>
          </w:tcPr>
          <w:p w14:paraId="1E2D2101"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19.04%</w:t>
            </w:r>
          </w:p>
        </w:tc>
        <w:tc>
          <w:tcPr>
            <w:tcW w:w="900" w:type="dxa"/>
            <w:gridSpan w:val="3"/>
            <w:tcBorders>
              <w:top w:val="nil"/>
              <w:left w:val="nil"/>
              <w:bottom w:val="single" w:sz="4" w:space="0" w:color="auto"/>
              <w:right w:val="single" w:sz="4" w:space="0" w:color="auto"/>
            </w:tcBorders>
            <w:vAlign w:val="center"/>
            <w:hideMark/>
          </w:tcPr>
          <w:p w14:paraId="4457EC0B"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28.72%</w:t>
            </w:r>
          </w:p>
        </w:tc>
        <w:tc>
          <w:tcPr>
            <w:tcW w:w="900" w:type="dxa"/>
            <w:gridSpan w:val="3"/>
            <w:tcBorders>
              <w:top w:val="nil"/>
              <w:left w:val="nil"/>
              <w:bottom w:val="single" w:sz="4" w:space="0" w:color="auto"/>
              <w:right w:val="single" w:sz="4" w:space="0" w:color="auto"/>
            </w:tcBorders>
            <w:vAlign w:val="center"/>
            <w:hideMark/>
          </w:tcPr>
          <w:p w14:paraId="7C07432D" w14:textId="77777777" w:rsidR="001431C1" w:rsidRPr="006956C9" w:rsidRDefault="001431C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27.60%</w:t>
            </w:r>
          </w:p>
        </w:tc>
      </w:tr>
    </w:tbl>
    <w:p w14:paraId="4A49CCA0" w14:textId="77777777" w:rsidR="0089435E" w:rsidRPr="006956C9" w:rsidRDefault="0089435E" w:rsidP="006956C9">
      <w:pPr>
        <w:rPr>
          <w:rFonts w:ascii="Arial" w:hAnsi="Arial" w:cs="Arial"/>
        </w:rPr>
      </w:pPr>
    </w:p>
    <w:p w14:paraId="5206D7A4" w14:textId="7A988957" w:rsidR="00C168FB" w:rsidRPr="006956C9" w:rsidRDefault="00C168FB" w:rsidP="006956C9">
      <w:pPr>
        <w:rPr>
          <w:rFonts w:ascii="Arial" w:hAnsi="Arial" w:cs="Arial"/>
          <w:b/>
          <w:bCs/>
        </w:rPr>
      </w:pPr>
      <w:r w:rsidRPr="006956C9">
        <w:rPr>
          <w:rFonts w:ascii="Arial" w:hAnsi="Arial" w:cs="Arial"/>
          <w:b/>
          <w:bCs/>
        </w:rPr>
        <w:t>Working Capital analysis</w:t>
      </w:r>
    </w:p>
    <w:tbl>
      <w:tblPr>
        <w:tblW w:w="6320" w:type="dxa"/>
        <w:tblLook w:val="04A0" w:firstRow="1" w:lastRow="0" w:firstColumn="1" w:lastColumn="0" w:noHBand="0" w:noVBand="1"/>
      </w:tblPr>
      <w:tblGrid>
        <w:gridCol w:w="2485"/>
        <w:gridCol w:w="767"/>
        <w:gridCol w:w="767"/>
        <w:gridCol w:w="767"/>
        <w:gridCol w:w="767"/>
        <w:gridCol w:w="767"/>
      </w:tblGrid>
      <w:tr w:rsidR="00C168FB" w:rsidRPr="006956C9" w14:paraId="41A5DDEF" w14:textId="77777777" w:rsidTr="00C168FB">
        <w:trPr>
          <w:trHeight w:val="288"/>
        </w:trPr>
        <w:tc>
          <w:tcPr>
            <w:tcW w:w="272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59006138" w14:textId="77777777" w:rsidR="00C168FB" w:rsidRPr="006956C9" w:rsidRDefault="00C168FB"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Working Capital Metric</w:t>
            </w:r>
          </w:p>
        </w:tc>
        <w:tc>
          <w:tcPr>
            <w:tcW w:w="720" w:type="dxa"/>
            <w:tcBorders>
              <w:top w:val="single" w:sz="4" w:space="0" w:color="auto"/>
              <w:left w:val="nil"/>
              <w:bottom w:val="single" w:sz="4" w:space="0" w:color="auto"/>
              <w:right w:val="single" w:sz="4" w:space="0" w:color="auto"/>
            </w:tcBorders>
            <w:shd w:val="clear" w:color="000000" w:fill="5B9BD5"/>
            <w:vAlign w:val="center"/>
            <w:hideMark/>
          </w:tcPr>
          <w:p w14:paraId="7E9E7FFA"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2021</w:t>
            </w:r>
          </w:p>
        </w:tc>
        <w:tc>
          <w:tcPr>
            <w:tcW w:w="720" w:type="dxa"/>
            <w:tcBorders>
              <w:top w:val="single" w:sz="4" w:space="0" w:color="auto"/>
              <w:left w:val="nil"/>
              <w:bottom w:val="single" w:sz="4" w:space="0" w:color="auto"/>
              <w:right w:val="single" w:sz="4" w:space="0" w:color="auto"/>
            </w:tcBorders>
            <w:shd w:val="clear" w:color="000000" w:fill="5B9BD5"/>
            <w:vAlign w:val="center"/>
            <w:hideMark/>
          </w:tcPr>
          <w:p w14:paraId="21A08379"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2022</w:t>
            </w:r>
          </w:p>
        </w:tc>
        <w:tc>
          <w:tcPr>
            <w:tcW w:w="720" w:type="dxa"/>
            <w:tcBorders>
              <w:top w:val="single" w:sz="4" w:space="0" w:color="auto"/>
              <w:left w:val="nil"/>
              <w:bottom w:val="single" w:sz="4" w:space="0" w:color="auto"/>
              <w:right w:val="single" w:sz="4" w:space="0" w:color="auto"/>
            </w:tcBorders>
            <w:shd w:val="clear" w:color="000000" w:fill="5B9BD5"/>
            <w:vAlign w:val="center"/>
            <w:hideMark/>
          </w:tcPr>
          <w:p w14:paraId="25E070EE"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2023</w:t>
            </w:r>
          </w:p>
        </w:tc>
        <w:tc>
          <w:tcPr>
            <w:tcW w:w="720" w:type="dxa"/>
            <w:tcBorders>
              <w:top w:val="single" w:sz="4" w:space="0" w:color="auto"/>
              <w:left w:val="nil"/>
              <w:bottom w:val="single" w:sz="4" w:space="0" w:color="auto"/>
              <w:right w:val="single" w:sz="4" w:space="0" w:color="auto"/>
            </w:tcBorders>
            <w:shd w:val="clear" w:color="000000" w:fill="5B9BD5"/>
            <w:vAlign w:val="center"/>
            <w:hideMark/>
          </w:tcPr>
          <w:p w14:paraId="2E59283D"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2024</w:t>
            </w:r>
          </w:p>
        </w:tc>
        <w:tc>
          <w:tcPr>
            <w:tcW w:w="720" w:type="dxa"/>
            <w:tcBorders>
              <w:top w:val="single" w:sz="4" w:space="0" w:color="auto"/>
              <w:left w:val="nil"/>
              <w:bottom w:val="single" w:sz="4" w:space="0" w:color="auto"/>
              <w:right w:val="single" w:sz="4" w:space="0" w:color="auto"/>
            </w:tcBorders>
            <w:shd w:val="clear" w:color="000000" w:fill="5B9BD5"/>
            <w:vAlign w:val="center"/>
            <w:hideMark/>
          </w:tcPr>
          <w:p w14:paraId="2D697478"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2025</w:t>
            </w:r>
          </w:p>
        </w:tc>
      </w:tr>
      <w:tr w:rsidR="00C168FB" w:rsidRPr="006956C9" w14:paraId="578DFDE2" w14:textId="77777777" w:rsidTr="00C168FB">
        <w:trPr>
          <w:trHeight w:val="288"/>
        </w:trPr>
        <w:tc>
          <w:tcPr>
            <w:tcW w:w="2720" w:type="dxa"/>
            <w:tcBorders>
              <w:top w:val="nil"/>
              <w:left w:val="single" w:sz="4" w:space="0" w:color="auto"/>
              <w:bottom w:val="single" w:sz="4" w:space="0" w:color="auto"/>
              <w:right w:val="single" w:sz="4" w:space="0" w:color="auto"/>
            </w:tcBorders>
            <w:vAlign w:val="center"/>
            <w:hideMark/>
          </w:tcPr>
          <w:p w14:paraId="133FF876"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Current Assets</w:t>
            </w:r>
          </w:p>
        </w:tc>
        <w:tc>
          <w:tcPr>
            <w:tcW w:w="720" w:type="dxa"/>
            <w:tcBorders>
              <w:top w:val="nil"/>
              <w:left w:val="nil"/>
              <w:bottom w:val="single" w:sz="4" w:space="0" w:color="auto"/>
              <w:right w:val="single" w:sz="4" w:space="0" w:color="auto"/>
            </w:tcBorders>
            <w:vAlign w:val="center"/>
            <w:hideMark/>
          </w:tcPr>
          <w:p w14:paraId="182B8A28"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3,626</w:t>
            </w:r>
          </w:p>
        </w:tc>
        <w:tc>
          <w:tcPr>
            <w:tcW w:w="720" w:type="dxa"/>
            <w:tcBorders>
              <w:top w:val="nil"/>
              <w:left w:val="nil"/>
              <w:bottom w:val="single" w:sz="4" w:space="0" w:color="auto"/>
              <w:right w:val="single" w:sz="4" w:space="0" w:color="auto"/>
            </w:tcBorders>
            <w:vAlign w:val="center"/>
            <w:hideMark/>
          </w:tcPr>
          <w:p w14:paraId="595FD85A"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3,313</w:t>
            </w:r>
          </w:p>
        </w:tc>
        <w:tc>
          <w:tcPr>
            <w:tcW w:w="720" w:type="dxa"/>
            <w:tcBorders>
              <w:top w:val="nil"/>
              <w:left w:val="nil"/>
              <w:bottom w:val="single" w:sz="4" w:space="0" w:color="auto"/>
              <w:right w:val="single" w:sz="4" w:space="0" w:color="auto"/>
            </w:tcBorders>
            <w:vAlign w:val="center"/>
            <w:hideMark/>
          </w:tcPr>
          <w:p w14:paraId="4CFBDAE6"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3,311</w:t>
            </w:r>
          </w:p>
        </w:tc>
        <w:tc>
          <w:tcPr>
            <w:tcW w:w="720" w:type="dxa"/>
            <w:tcBorders>
              <w:top w:val="nil"/>
              <w:left w:val="nil"/>
              <w:bottom w:val="single" w:sz="4" w:space="0" w:color="auto"/>
              <w:right w:val="single" w:sz="4" w:space="0" w:color="auto"/>
            </w:tcBorders>
            <w:vAlign w:val="center"/>
            <w:hideMark/>
          </w:tcPr>
          <w:p w14:paraId="75097A1A"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3,485</w:t>
            </w:r>
          </w:p>
        </w:tc>
        <w:tc>
          <w:tcPr>
            <w:tcW w:w="720" w:type="dxa"/>
            <w:tcBorders>
              <w:top w:val="nil"/>
              <w:left w:val="nil"/>
              <w:bottom w:val="single" w:sz="4" w:space="0" w:color="auto"/>
              <w:right w:val="single" w:sz="4" w:space="0" w:color="auto"/>
            </w:tcBorders>
            <w:vAlign w:val="center"/>
            <w:hideMark/>
          </w:tcPr>
          <w:p w14:paraId="079E1B67"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3,584</w:t>
            </w:r>
          </w:p>
        </w:tc>
      </w:tr>
      <w:tr w:rsidR="00C168FB" w:rsidRPr="006956C9" w14:paraId="6627B242" w14:textId="77777777" w:rsidTr="00C168FB">
        <w:trPr>
          <w:trHeight w:val="288"/>
        </w:trPr>
        <w:tc>
          <w:tcPr>
            <w:tcW w:w="2720" w:type="dxa"/>
            <w:tcBorders>
              <w:top w:val="nil"/>
              <w:left w:val="single" w:sz="4" w:space="0" w:color="auto"/>
              <w:bottom w:val="single" w:sz="4" w:space="0" w:color="auto"/>
              <w:right w:val="single" w:sz="4" w:space="0" w:color="auto"/>
            </w:tcBorders>
            <w:vAlign w:val="center"/>
            <w:hideMark/>
          </w:tcPr>
          <w:p w14:paraId="7D519B2B"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Current Liabilities</w:t>
            </w:r>
          </w:p>
        </w:tc>
        <w:tc>
          <w:tcPr>
            <w:tcW w:w="720" w:type="dxa"/>
            <w:tcBorders>
              <w:top w:val="nil"/>
              <w:left w:val="nil"/>
              <w:bottom w:val="single" w:sz="4" w:space="0" w:color="auto"/>
              <w:right w:val="single" w:sz="4" w:space="0" w:color="auto"/>
            </w:tcBorders>
            <w:vAlign w:val="center"/>
            <w:hideMark/>
          </w:tcPr>
          <w:p w14:paraId="3EBAB92E"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6,407</w:t>
            </w:r>
          </w:p>
        </w:tc>
        <w:tc>
          <w:tcPr>
            <w:tcW w:w="720" w:type="dxa"/>
            <w:tcBorders>
              <w:top w:val="nil"/>
              <w:left w:val="nil"/>
              <w:bottom w:val="single" w:sz="4" w:space="0" w:color="auto"/>
              <w:right w:val="single" w:sz="4" w:space="0" w:color="auto"/>
            </w:tcBorders>
            <w:vAlign w:val="center"/>
            <w:hideMark/>
          </w:tcPr>
          <w:p w14:paraId="1C5EFD98"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7,339</w:t>
            </w:r>
          </w:p>
        </w:tc>
        <w:tc>
          <w:tcPr>
            <w:tcW w:w="720" w:type="dxa"/>
            <w:tcBorders>
              <w:top w:val="nil"/>
              <w:left w:val="nil"/>
              <w:bottom w:val="single" w:sz="4" w:space="0" w:color="auto"/>
              <w:right w:val="single" w:sz="4" w:space="0" w:color="auto"/>
            </w:tcBorders>
            <w:vAlign w:val="center"/>
            <w:hideMark/>
          </w:tcPr>
          <w:p w14:paraId="0333689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7,762</w:t>
            </w:r>
          </w:p>
        </w:tc>
        <w:tc>
          <w:tcPr>
            <w:tcW w:w="720" w:type="dxa"/>
            <w:tcBorders>
              <w:top w:val="nil"/>
              <w:left w:val="nil"/>
              <w:bottom w:val="single" w:sz="4" w:space="0" w:color="auto"/>
              <w:right w:val="single" w:sz="4" w:space="0" w:color="auto"/>
            </w:tcBorders>
            <w:vAlign w:val="center"/>
            <w:hideMark/>
          </w:tcPr>
          <w:p w14:paraId="663F4CED"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8,649</w:t>
            </w:r>
          </w:p>
        </w:tc>
        <w:tc>
          <w:tcPr>
            <w:tcW w:w="720" w:type="dxa"/>
            <w:tcBorders>
              <w:top w:val="nil"/>
              <w:left w:val="nil"/>
              <w:bottom w:val="single" w:sz="4" w:space="0" w:color="auto"/>
              <w:right w:val="single" w:sz="4" w:space="0" w:color="auto"/>
            </w:tcBorders>
            <w:vAlign w:val="center"/>
            <w:hideMark/>
          </w:tcPr>
          <w:p w14:paraId="25772087"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8,398</w:t>
            </w:r>
          </w:p>
        </w:tc>
      </w:tr>
      <w:tr w:rsidR="00C168FB" w:rsidRPr="006956C9" w14:paraId="5BDF1DA3" w14:textId="77777777" w:rsidTr="00C168FB">
        <w:trPr>
          <w:trHeight w:val="288"/>
        </w:trPr>
        <w:tc>
          <w:tcPr>
            <w:tcW w:w="2720" w:type="dxa"/>
            <w:tcBorders>
              <w:top w:val="nil"/>
              <w:left w:val="single" w:sz="4" w:space="0" w:color="auto"/>
              <w:bottom w:val="single" w:sz="4" w:space="0" w:color="auto"/>
              <w:right w:val="single" w:sz="4" w:space="0" w:color="auto"/>
            </w:tcBorders>
            <w:vAlign w:val="center"/>
            <w:hideMark/>
          </w:tcPr>
          <w:p w14:paraId="1BEE784D"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Cash &amp; Equivalents</w:t>
            </w:r>
          </w:p>
        </w:tc>
        <w:tc>
          <w:tcPr>
            <w:tcW w:w="720" w:type="dxa"/>
            <w:tcBorders>
              <w:top w:val="nil"/>
              <w:left w:val="nil"/>
              <w:bottom w:val="single" w:sz="4" w:space="0" w:color="auto"/>
              <w:right w:val="single" w:sz="4" w:space="0" w:color="auto"/>
            </w:tcBorders>
            <w:vAlign w:val="center"/>
            <w:hideMark/>
          </w:tcPr>
          <w:p w14:paraId="2689F226"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1,393</w:t>
            </w:r>
          </w:p>
        </w:tc>
        <w:tc>
          <w:tcPr>
            <w:tcW w:w="720" w:type="dxa"/>
            <w:tcBorders>
              <w:top w:val="nil"/>
              <w:left w:val="nil"/>
              <w:bottom w:val="single" w:sz="4" w:space="0" w:color="auto"/>
              <w:right w:val="single" w:sz="4" w:space="0" w:color="auto"/>
            </w:tcBorders>
            <w:vAlign w:val="center"/>
            <w:hideMark/>
          </w:tcPr>
          <w:p w14:paraId="151B5CEC"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507</w:t>
            </w:r>
          </w:p>
        </w:tc>
        <w:tc>
          <w:tcPr>
            <w:tcW w:w="720" w:type="dxa"/>
            <w:tcBorders>
              <w:top w:val="nil"/>
              <w:left w:val="nil"/>
              <w:bottom w:val="single" w:sz="4" w:space="0" w:color="auto"/>
              <w:right w:val="single" w:sz="4" w:space="0" w:color="auto"/>
            </w:tcBorders>
            <w:vAlign w:val="center"/>
            <w:hideMark/>
          </w:tcPr>
          <w:p w14:paraId="55C8774A"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338</w:t>
            </w:r>
          </w:p>
        </w:tc>
        <w:tc>
          <w:tcPr>
            <w:tcW w:w="720" w:type="dxa"/>
            <w:tcBorders>
              <w:top w:val="nil"/>
              <w:left w:val="nil"/>
              <w:bottom w:val="single" w:sz="4" w:space="0" w:color="auto"/>
              <w:right w:val="single" w:sz="4" w:space="0" w:color="auto"/>
            </w:tcBorders>
            <w:vAlign w:val="center"/>
            <w:hideMark/>
          </w:tcPr>
          <w:p w14:paraId="06953C8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396</w:t>
            </w:r>
          </w:p>
        </w:tc>
        <w:tc>
          <w:tcPr>
            <w:tcW w:w="720" w:type="dxa"/>
            <w:tcBorders>
              <w:top w:val="nil"/>
              <w:left w:val="nil"/>
              <w:bottom w:val="single" w:sz="4" w:space="0" w:color="auto"/>
              <w:right w:val="single" w:sz="4" w:space="0" w:color="auto"/>
            </w:tcBorders>
            <w:vAlign w:val="center"/>
            <w:hideMark/>
          </w:tcPr>
          <w:p w14:paraId="263F0CE9"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358</w:t>
            </w:r>
          </w:p>
        </w:tc>
      </w:tr>
      <w:tr w:rsidR="00C168FB" w:rsidRPr="006956C9" w14:paraId="3A8910E8" w14:textId="77777777" w:rsidTr="00C168FB">
        <w:trPr>
          <w:trHeight w:val="576"/>
        </w:trPr>
        <w:tc>
          <w:tcPr>
            <w:tcW w:w="2720" w:type="dxa"/>
            <w:tcBorders>
              <w:top w:val="nil"/>
              <w:left w:val="single" w:sz="4" w:space="0" w:color="auto"/>
              <w:bottom w:val="single" w:sz="4" w:space="0" w:color="auto"/>
              <w:right w:val="single" w:sz="4" w:space="0" w:color="auto"/>
            </w:tcBorders>
            <w:vAlign w:val="center"/>
            <w:hideMark/>
          </w:tcPr>
          <w:p w14:paraId="1980CBA3"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Accounts &amp; Notes Receivable</w:t>
            </w:r>
          </w:p>
        </w:tc>
        <w:tc>
          <w:tcPr>
            <w:tcW w:w="720" w:type="dxa"/>
            <w:tcBorders>
              <w:top w:val="nil"/>
              <w:left w:val="nil"/>
              <w:bottom w:val="single" w:sz="4" w:space="0" w:color="auto"/>
              <w:right w:val="single" w:sz="4" w:space="0" w:color="auto"/>
            </w:tcBorders>
            <w:vAlign w:val="center"/>
            <w:hideMark/>
          </w:tcPr>
          <w:p w14:paraId="7D10E26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1,982</w:t>
            </w:r>
          </w:p>
        </w:tc>
        <w:tc>
          <w:tcPr>
            <w:tcW w:w="720" w:type="dxa"/>
            <w:tcBorders>
              <w:top w:val="nil"/>
              <w:left w:val="nil"/>
              <w:bottom w:val="single" w:sz="4" w:space="0" w:color="auto"/>
              <w:right w:val="single" w:sz="4" w:space="0" w:color="auto"/>
            </w:tcBorders>
            <w:vAlign w:val="center"/>
            <w:hideMark/>
          </w:tcPr>
          <w:p w14:paraId="0BC9D65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2,571</w:t>
            </w:r>
          </w:p>
        </w:tc>
        <w:tc>
          <w:tcPr>
            <w:tcW w:w="720" w:type="dxa"/>
            <w:tcBorders>
              <w:top w:val="nil"/>
              <w:left w:val="nil"/>
              <w:bottom w:val="single" w:sz="4" w:space="0" w:color="auto"/>
              <w:right w:val="single" w:sz="4" w:space="0" w:color="auto"/>
            </w:tcBorders>
            <w:vAlign w:val="center"/>
            <w:hideMark/>
          </w:tcPr>
          <w:p w14:paraId="592FC00F"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2,712</w:t>
            </w:r>
          </w:p>
        </w:tc>
        <w:tc>
          <w:tcPr>
            <w:tcW w:w="720" w:type="dxa"/>
            <w:tcBorders>
              <w:top w:val="nil"/>
              <w:left w:val="nil"/>
              <w:bottom w:val="single" w:sz="4" w:space="0" w:color="auto"/>
              <w:right w:val="single" w:sz="4" w:space="0" w:color="auto"/>
            </w:tcBorders>
            <w:vAlign w:val="center"/>
            <w:hideMark/>
          </w:tcPr>
          <w:p w14:paraId="17E7E91A"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2,795</w:t>
            </w:r>
          </w:p>
        </w:tc>
        <w:tc>
          <w:tcPr>
            <w:tcW w:w="720" w:type="dxa"/>
            <w:tcBorders>
              <w:top w:val="nil"/>
              <w:left w:val="nil"/>
              <w:bottom w:val="single" w:sz="4" w:space="0" w:color="auto"/>
              <w:right w:val="single" w:sz="4" w:space="0" w:color="auto"/>
            </w:tcBorders>
            <w:vAlign w:val="center"/>
            <w:hideMark/>
          </w:tcPr>
          <w:p w14:paraId="36E64245"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2,909</w:t>
            </w:r>
          </w:p>
        </w:tc>
      </w:tr>
      <w:tr w:rsidR="00C168FB" w:rsidRPr="006956C9" w14:paraId="592EE61E" w14:textId="77777777" w:rsidTr="00C168FB">
        <w:trPr>
          <w:trHeight w:val="288"/>
        </w:trPr>
        <w:tc>
          <w:tcPr>
            <w:tcW w:w="2720" w:type="dxa"/>
            <w:tcBorders>
              <w:top w:val="nil"/>
              <w:left w:val="single" w:sz="4" w:space="0" w:color="auto"/>
              <w:bottom w:val="single" w:sz="4" w:space="0" w:color="auto"/>
              <w:right w:val="single" w:sz="4" w:space="0" w:color="auto"/>
            </w:tcBorders>
            <w:vAlign w:val="center"/>
            <w:hideMark/>
          </w:tcPr>
          <w:p w14:paraId="375A64D4"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Net Working Capital</w:t>
            </w:r>
          </w:p>
        </w:tc>
        <w:tc>
          <w:tcPr>
            <w:tcW w:w="720" w:type="dxa"/>
            <w:tcBorders>
              <w:top w:val="nil"/>
              <w:left w:val="nil"/>
              <w:bottom w:val="single" w:sz="4" w:space="0" w:color="auto"/>
              <w:right w:val="single" w:sz="4" w:space="0" w:color="auto"/>
            </w:tcBorders>
            <w:vAlign w:val="center"/>
            <w:hideMark/>
          </w:tcPr>
          <w:p w14:paraId="21DAFCF9"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-2,781</w:t>
            </w:r>
          </w:p>
        </w:tc>
        <w:tc>
          <w:tcPr>
            <w:tcW w:w="720" w:type="dxa"/>
            <w:tcBorders>
              <w:top w:val="nil"/>
              <w:left w:val="nil"/>
              <w:bottom w:val="single" w:sz="4" w:space="0" w:color="auto"/>
              <w:right w:val="single" w:sz="4" w:space="0" w:color="auto"/>
            </w:tcBorders>
            <w:vAlign w:val="center"/>
            <w:hideMark/>
          </w:tcPr>
          <w:p w14:paraId="69279BC5"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-4,026</w:t>
            </w:r>
          </w:p>
        </w:tc>
        <w:tc>
          <w:tcPr>
            <w:tcW w:w="720" w:type="dxa"/>
            <w:tcBorders>
              <w:top w:val="nil"/>
              <w:left w:val="nil"/>
              <w:bottom w:val="single" w:sz="4" w:space="0" w:color="auto"/>
              <w:right w:val="single" w:sz="4" w:space="0" w:color="auto"/>
            </w:tcBorders>
            <w:vAlign w:val="center"/>
            <w:hideMark/>
          </w:tcPr>
          <w:p w14:paraId="2F8FC110"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-4,451</w:t>
            </w:r>
          </w:p>
        </w:tc>
        <w:tc>
          <w:tcPr>
            <w:tcW w:w="720" w:type="dxa"/>
            <w:tcBorders>
              <w:top w:val="nil"/>
              <w:left w:val="nil"/>
              <w:bottom w:val="single" w:sz="4" w:space="0" w:color="auto"/>
              <w:right w:val="single" w:sz="4" w:space="0" w:color="auto"/>
            </w:tcBorders>
            <w:vAlign w:val="center"/>
            <w:hideMark/>
          </w:tcPr>
          <w:p w14:paraId="38EE5D40"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-5,164</w:t>
            </w:r>
          </w:p>
        </w:tc>
        <w:tc>
          <w:tcPr>
            <w:tcW w:w="720" w:type="dxa"/>
            <w:tcBorders>
              <w:top w:val="nil"/>
              <w:left w:val="nil"/>
              <w:bottom w:val="single" w:sz="4" w:space="0" w:color="auto"/>
              <w:right w:val="single" w:sz="4" w:space="0" w:color="auto"/>
            </w:tcBorders>
            <w:vAlign w:val="center"/>
            <w:hideMark/>
          </w:tcPr>
          <w:p w14:paraId="2B7C434F"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-4,814</w:t>
            </w:r>
          </w:p>
        </w:tc>
      </w:tr>
      <w:tr w:rsidR="00C168FB" w:rsidRPr="006956C9" w14:paraId="4E73D556" w14:textId="77777777" w:rsidTr="00C168FB">
        <w:trPr>
          <w:trHeight w:val="288"/>
        </w:trPr>
        <w:tc>
          <w:tcPr>
            <w:tcW w:w="2720" w:type="dxa"/>
            <w:tcBorders>
              <w:top w:val="nil"/>
              <w:left w:val="single" w:sz="4" w:space="0" w:color="auto"/>
              <w:bottom w:val="single" w:sz="4" w:space="0" w:color="auto"/>
              <w:right w:val="single" w:sz="4" w:space="0" w:color="auto"/>
            </w:tcBorders>
            <w:vAlign w:val="center"/>
            <w:hideMark/>
          </w:tcPr>
          <w:p w14:paraId="773F047B"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Current Ratio</w:t>
            </w:r>
          </w:p>
        </w:tc>
        <w:tc>
          <w:tcPr>
            <w:tcW w:w="720" w:type="dxa"/>
            <w:tcBorders>
              <w:top w:val="nil"/>
              <w:left w:val="nil"/>
              <w:bottom w:val="single" w:sz="4" w:space="0" w:color="auto"/>
              <w:right w:val="single" w:sz="4" w:space="0" w:color="auto"/>
            </w:tcBorders>
            <w:vAlign w:val="center"/>
            <w:hideMark/>
          </w:tcPr>
          <w:p w14:paraId="479BDEFD"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0.57</w:t>
            </w:r>
          </w:p>
        </w:tc>
        <w:tc>
          <w:tcPr>
            <w:tcW w:w="720" w:type="dxa"/>
            <w:tcBorders>
              <w:top w:val="nil"/>
              <w:left w:val="nil"/>
              <w:bottom w:val="single" w:sz="4" w:space="0" w:color="auto"/>
              <w:right w:val="single" w:sz="4" w:space="0" w:color="auto"/>
            </w:tcBorders>
            <w:vAlign w:val="center"/>
            <w:hideMark/>
          </w:tcPr>
          <w:p w14:paraId="41C676F0"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0.45</w:t>
            </w:r>
          </w:p>
        </w:tc>
        <w:tc>
          <w:tcPr>
            <w:tcW w:w="720" w:type="dxa"/>
            <w:tcBorders>
              <w:top w:val="nil"/>
              <w:left w:val="nil"/>
              <w:bottom w:val="single" w:sz="4" w:space="0" w:color="auto"/>
              <w:right w:val="single" w:sz="4" w:space="0" w:color="auto"/>
            </w:tcBorders>
            <w:vAlign w:val="center"/>
            <w:hideMark/>
          </w:tcPr>
          <w:p w14:paraId="75CDA5A8"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0.43</w:t>
            </w:r>
          </w:p>
        </w:tc>
        <w:tc>
          <w:tcPr>
            <w:tcW w:w="720" w:type="dxa"/>
            <w:tcBorders>
              <w:top w:val="nil"/>
              <w:left w:val="nil"/>
              <w:bottom w:val="single" w:sz="4" w:space="0" w:color="auto"/>
              <w:right w:val="single" w:sz="4" w:space="0" w:color="auto"/>
            </w:tcBorders>
            <w:vAlign w:val="center"/>
            <w:hideMark/>
          </w:tcPr>
          <w:p w14:paraId="6D592161"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w:t>
            </w:r>
          </w:p>
        </w:tc>
        <w:tc>
          <w:tcPr>
            <w:tcW w:w="720" w:type="dxa"/>
            <w:tcBorders>
              <w:top w:val="nil"/>
              <w:left w:val="nil"/>
              <w:bottom w:val="single" w:sz="4" w:space="0" w:color="auto"/>
              <w:right w:val="single" w:sz="4" w:space="0" w:color="auto"/>
            </w:tcBorders>
            <w:vAlign w:val="center"/>
            <w:hideMark/>
          </w:tcPr>
          <w:p w14:paraId="0F62701E"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0.43</w:t>
            </w:r>
          </w:p>
        </w:tc>
      </w:tr>
      <w:tr w:rsidR="00C168FB" w:rsidRPr="006956C9" w14:paraId="17A5D6AA" w14:textId="77777777" w:rsidTr="00C168FB">
        <w:trPr>
          <w:trHeight w:val="288"/>
        </w:trPr>
        <w:tc>
          <w:tcPr>
            <w:tcW w:w="2720" w:type="dxa"/>
            <w:tcBorders>
              <w:top w:val="nil"/>
              <w:left w:val="single" w:sz="4" w:space="0" w:color="auto"/>
              <w:bottom w:val="single" w:sz="4" w:space="0" w:color="auto"/>
              <w:right w:val="single" w:sz="4" w:space="0" w:color="auto"/>
            </w:tcBorders>
            <w:vAlign w:val="center"/>
            <w:hideMark/>
          </w:tcPr>
          <w:p w14:paraId="4CCC250D"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Quick Ratio</w:t>
            </w:r>
          </w:p>
        </w:tc>
        <w:tc>
          <w:tcPr>
            <w:tcW w:w="720" w:type="dxa"/>
            <w:tcBorders>
              <w:top w:val="nil"/>
              <w:left w:val="nil"/>
              <w:bottom w:val="single" w:sz="4" w:space="0" w:color="auto"/>
              <w:right w:val="single" w:sz="4" w:space="0" w:color="auto"/>
            </w:tcBorders>
            <w:vAlign w:val="center"/>
            <w:hideMark/>
          </w:tcPr>
          <w:p w14:paraId="4EB63146"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0.53</w:t>
            </w:r>
          </w:p>
        </w:tc>
        <w:tc>
          <w:tcPr>
            <w:tcW w:w="720" w:type="dxa"/>
            <w:tcBorders>
              <w:top w:val="nil"/>
              <w:left w:val="nil"/>
              <w:bottom w:val="single" w:sz="4" w:space="0" w:color="auto"/>
              <w:right w:val="single" w:sz="4" w:space="0" w:color="auto"/>
            </w:tcBorders>
            <w:vAlign w:val="center"/>
            <w:hideMark/>
          </w:tcPr>
          <w:p w14:paraId="3E8D243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0.42</w:t>
            </w:r>
          </w:p>
        </w:tc>
        <w:tc>
          <w:tcPr>
            <w:tcW w:w="720" w:type="dxa"/>
            <w:tcBorders>
              <w:top w:val="nil"/>
              <w:left w:val="nil"/>
              <w:bottom w:val="single" w:sz="4" w:space="0" w:color="auto"/>
              <w:right w:val="single" w:sz="4" w:space="0" w:color="auto"/>
            </w:tcBorders>
            <w:vAlign w:val="center"/>
            <w:hideMark/>
          </w:tcPr>
          <w:p w14:paraId="47B25CDE"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0.39</w:t>
            </w:r>
          </w:p>
        </w:tc>
        <w:tc>
          <w:tcPr>
            <w:tcW w:w="720" w:type="dxa"/>
            <w:tcBorders>
              <w:top w:val="nil"/>
              <w:left w:val="nil"/>
              <w:bottom w:val="single" w:sz="4" w:space="0" w:color="auto"/>
              <w:right w:val="single" w:sz="4" w:space="0" w:color="auto"/>
            </w:tcBorders>
            <w:vAlign w:val="center"/>
            <w:hideMark/>
          </w:tcPr>
          <w:p w14:paraId="20A18E29"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0.37</w:t>
            </w:r>
          </w:p>
        </w:tc>
        <w:tc>
          <w:tcPr>
            <w:tcW w:w="720" w:type="dxa"/>
            <w:tcBorders>
              <w:top w:val="nil"/>
              <w:left w:val="nil"/>
              <w:bottom w:val="single" w:sz="4" w:space="0" w:color="auto"/>
              <w:right w:val="single" w:sz="4" w:space="0" w:color="auto"/>
            </w:tcBorders>
            <w:vAlign w:val="center"/>
            <w:hideMark/>
          </w:tcPr>
          <w:p w14:paraId="70D788BE"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0.39</w:t>
            </w:r>
          </w:p>
        </w:tc>
      </w:tr>
      <w:tr w:rsidR="00C168FB" w:rsidRPr="006956C9" w14:paraId="0093CF52" w14:textId="77777777" w:rsidTr="00C168FB">
        <w:trPr>
          <w:trHeight w:val="288"/>
        </w:trPr>
        <w:tc>
          <w:tcPr>
            <w:tcW w:w="2720" w:type="dxa"/>
            <w:tcBorders>
              <w:top w:val="nil"/>
              <w:left w:val="single" w:sz="4" w:space="0" w:color="auto"/>
              <w:bottom w:val="single" w:sz="4" w:space="0" w:color="auto"/>
              <w:right w:val="single" w:sz="4" w:space="0" w:color="auto"/>
            </w:tcBorders>
            <w:vAlign w:val="center"/>
            <w:hideMark/>
          </w:tcPr>
          <w:p w14:paraId="5028F220" w14:textId="77777777" w:rsidR="00C168FB" w:rsidRPr="006956C9" w:rsidRDefault="00C168FB"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Cash Ratio</w:t>
            </w:r>
          </w:p>
        </w:tc>
        <w:tc>
          <w:tcPr>
            <w:tcW w:w="720" w:type="dxa"/>
            <w:tcBorders>
              <w:top w:val="nil"/>
              <w:left w:val="nil"/>
              <w:bottom w:val="single" w:sz="4" w:space="0" w:color="auto"/>
              <w:right w:val="single" w:sz="4" w:space="0" w:color="auto"/>
            </w:tcBorders>
            <w:vAlign w:val="center"/>
            <w:hideMark/>
          </w:tcPr>
          <w:p w14:paraId="4DDDA29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0.22</w:t>
            </w:r>
          </w:p>
        </w:tc>
        <w:tc>
          <w:tcPr>
            <w:tcW w:w="720" w:type="dxa"/>
            <w:tcBorders>
              <w:top w:val="nil"/>
              <w:left w:val="nil"/>
              <w:bottom w:val="single" w:sz="4" w:space="0" w:color="auto"/>
              <w:right w:val="single" w:sz="4" w:space="0" w:color="auto"/>
            </w:tcBorders>
            <w:vAlign w:val="center"/>
            <w:hideMark/>
          </w:tcPr>
          <w:p w14:paraId="4AB298ED"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0.07</w:t>
            </w:r>
          </w:p>
        </w:tc>
        <w:tc>
          <w:tcPr>
            <w:tcW w:w="720" w:type="dxa"/>
            <w:tcBorders>
              <w:top w:val="nil"/>
              <w:left w:val="nil"/>
              <w:bottom w:val="single" w:sz="4" w:space="0" w:color="auto"/>
              <w:right w:val="single" w:sz="4" w:space="0" w:color="auto"/>
            </w:tcBorders>
            <w:vAlign w:val="center"/>
            <w:hideMark/>
          </w:tcPr>
          <w:p w14:paraId="40A1866D"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0.04</w:t>
            </w:r>
          </w:p>
        </w:tc>
        <w:tc>
          <w:tcPr>
            <w:tcW w:w="720" w:type="dxa"/>
            <w:tcBorders>
              <w:top w:val="nil"/>
              <w:left w:val="nil"/>
              <w:bottom w:val="single" w:sz="4" w:space="0" w:color="auto"/>
              <w:right w:val="single" w:sz="4" w:space="0" w:color="auto"/>
            </w:tcBorders>
            <w:vAlign w:val="center"/>
            <w:hideMark/>
          </w:tcPr>
          <w:p w14:paraId="0FAEE4A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0.05</w:t>
            </w:r>
          </w:p>
        </w:tc>
        <w:tc>
          <w:tcPr>
            <w:tcW w:w="720" w:type="dxa"/>
            <w:tcBorders>
              <w:top w:val="nil"/>
              <w:left w:val="nil"/>
              <w:bottom w:val="single" w:sz="4" w:space="0" w:color="auto"/>
              <w:right w:val="single" w:sz="4" w:space="0" w:color="auto"/>
            </w:tcBorders>
            <w:vAlign w:val="center"/>
            <w:hideMark/>
          </w:tcPr>
          <w:p w14:paraId="4385D6F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0.04</w:t>
            </w:r>
          </w:p>
        </w:tc>
      </w:tr>
    </w:tbl>
    <w:p w14:paraId="64F702EE" w14:textId="77777777" w:rsidR="00C168FB" w:rsidRPr="006956C9" w:rsidRDefault="00C168FB" w:rsidP="006956C9">
      <w:pPr>
        <w:rPr>
          <w:rFonts w:ascii="Arial" w:hAnsi="Arial" w:cs="Arial"/>
        </w:rPr>
      </w:pPr>
    </w:p>
    <w:p w14:paraId="1EA611D2" w14:textId="1662397E" w:rsidR="00C168FB" w:rsidRPr="006956C9" w:rsidRDefault="00C168FB" w:rsidP="006956C9">
      <w:pPr>
        <w:rPr>
          <w:rFonts w:ascii="Arial" w:hAnsi="Arial" w:cs="Arial"/>
          <w:b/>
          <w:bCs/>
        </w:rPr>
      </w:pPr>
      <w:r w:rsidRPr="006956C9">
        <w:rPr>
          <w:rFonts w:ascii="Arial" w:hAnsi="Arial" w:cs="Arial"/>
          <w:b/>
          <w:bCs/>
        </w:rPr>
        <w:t>Investment Appraisal</w:t>
      </w:r>
    </w:p>
    <w:tbl>
      <w:tblPr>
        <w:tblW w:w="5700" w:type="dxa"/>
        <w:tblLook w:val="04A0" w:firstRow="1" w:lastRow="0" w:firstColumn="1" w:lastColumn="0" w:noHBand="0" w:noVBand="1"/>
      </w:tblPr>
      <w:tblGrid>
        <w:gridCol w:w="2480"/>
        <w:gridCol w:w="1060"/>
        <w:gridCol w:w="1060"/>
        <w:gridCol w:w="1100"/>
      </w:tblGrid>
      <w:tr w:rsidR="00C168FB" w:rsidRPr="006956C9" w14:paraId="61EA7925" w14:textId="77777777" w:rsidTr="00C168FB">
        <w:trPr>
          <w:trHeight w:val="312"/>
        </w:trPr>
        <w:tc>
          <w:tcPr>
            <w:tcW w:w="248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4CA9D6CF" w14:textId="77777777" w:rsidR="00C168FB" w:rsidRPr="006956C9" w:rsidRDefault="00C168FB" w:rsidP="006956C9">
            <w:pPr>
              <w:spacing w:before="0" w:after="0"/>
              <w:jc w:val="center"/>
              <w:rPr>
                <w:rFonts w:ascii="Arial" w:eastAsia="Times New Roman" w:hAnsi="Arial" w:cs="Arial"/>
                <w:b/>
                <w:bCs/>
                <w:color w:val="000000"/>
                <w:szCs w:val="24"/>
                <w:lang w:val="en-IN" w:eastAsia="en-IN"/>
              </w:rPr>
            </w:pPr>
            <w:r w:rsidRPr="006956C9">
              <w:rPr>
                <w:rFonts w:ascii="Arial" w:eastAsia="Times New Roman" w:hAnsi="Arial" w:cs="Arial"/>
                <w:b/>
                <w:bCs/>
                <w:color w:val="000000"/>
                <w:szCs w:val="24"/>
                <w:lang w:val="en-IN" w:eastAsia="en-IN"/>
              </w:rPr>
              <w:t>Particular</w:t>
            </w:r>
          </w:p>
        </w:tc>
        <w:tc>
          <w:tcPr>
            <w:tcW w:w="1060" w:type="dxa"/>
            <w:tcBorders>
              <w:top w:val="single" w:sz="4" w:space="0" w:color="auto"/>
              <w:left w:val="nil"/>
              <w:bottom w:val="single" w:sz="4" w:space="0" w:color="auto"/>
              <w:right w:val="single" w:sz="4" w:space="0" w:color="auto"/>
            </w:tcBorders>
            <w:shd w:val="clear" w:color="000000" w:fill="5B9BD5"/>
            <w:vAlign w:val="center"/>
            <w:hideMark/>
          </w:tcPr>
          <w:p w14:paraId="2AA29BB1" w14:textId="77777777" w:rsidR="00C168FB" w:rsidRPr="006956C9" w:rsidRDefault="00C168FB" w:rsidP="006956C9">
            <w:pPr>
              <w:spacing w:before="0" w:after="0"/>
              <w:jc w:val="right"/>
              <w:rPr>
                <w:rFonts w:ascii="Arial" w:eastAsia="Times New Roman" w:hAnsi="Arial" w:cs="Arial"/>
                <w:b/>
                <w:bCs/>
                <w:color w:val="000000"/>
                <w:szCs w:val="24"/>
                <w:lang w:val="en-IN" w:eastAsia="en-IN"/>
              </w:rPr>
            </w:pPr>
            <w:r w:rsidRPr="006956C9">
              <w:rPr>
                <w:rFonts w:ascii="Arial" w:eastAsia="Times New Roman" w:hAnsi="Arial" w:cs="Arial"/>
                <w:b/>
                <w:bCs/>
                <w:color w:val="000000"/>
                <w:szCs w:val="24"/>
                <w:lang w:val="en-IN" w:eastAsia="en-IN"/>
              </w:rPr>
              <w:t>Project A</w:t>
            </w:r>
          </w:p>
        </w:tc>
        <w:tc>
          <w:tcPr>
            <w:tcW w:w="1060" w:type="dxa"/>
            <w:tcBorders>
              <w:top w:val="single" w:sz="4" w:space="0" w:color="auto"/>
              <w:left w:val="nil"/>
              <w:bottom w:val="single" w:sz="4" w:space="0" w:color="auto"/>
              <w:right w:val="single" w:sz="4" w:space="0" w:color="auto"/>
            </w:tcBorders>
            <w:shd w:val="clear" w:color="000000" w:fill="5B9BD5"/>
            <w:vAlign w:val="center"/>
            <w:hideMark/>
          </w:tcPr>
          <w:p w14:paraId="3B3B9CA2" w14:textId="77777777" w:rsidR="00C168FB" w:rsidRPr="006956C9" w:rsidRDefault="00C168FB" w:rsidP="006956C9">
            <w:pPr>
              <w:spacing w:before="0" w:after="0"/>
              <w:jc w:val="right"/>
              <w:rPr>
                <w:rFonts w:ascii="Arial" w:eastAsia="Times New Roman" w:hAnsi="Arial" w:cs="Arial"/>
                <w:b/>
                <w:bCs/>
                <w:color w:val="000000"/>
                <w:szCs w:val="24"/>
                <w:lang w:val="en-IN" w:eastAsia="en-IN"/>
              </w:rPr>
            </w:pPr>
            <w:r w:rsidRPr="006956C9">
              <w:rPr>
                <w:rFonts w:ascii="Arial" w:eastAsia="Times New Roman" w:hAnsi="Arial" w:cs="Arial"/>
                <w:b/>
                <w:bCs/>
                <w:color w:val="000000"/>
                <w:szCs w:val="24"/>
                <w:lang w:val="en-IN" w:eastAsia="en-IN"/>
              </w:rPr>
              <w:t>Project B</w:t>
            </w:r>
          </w:p>
        </w:tc>
        <w:tc>
          <w:tcPr>
            <w:tcW w:w="1100" w:type="dxa"/>
            <w:tcBorders>
              <w:top w:val="single" w:sz="4" w:space="0" w:color="auto"/>
              <w:left w:val="nil"/>
              <w:bottom w:val="single" w:sz="4" w:space="0" w:color="auto"/>
              <w:right w:val="single" w:sz="4" w:space="0" w:color="auto"/>
            </w:tcBorders>
            <w:shd w:val="clear" w:color="000000" w:fill="5B9BD5"/>
            <w:vAlign w:val="center"/>
            <w:hideMark/>
          </w:tcPr>
          <w:p w14:paraId="78F4C9B1" w14:textId="77777777" w:rsidR="00C168FB" w:rsidRPr="006956C9" w:rsidRDefault="00C168FB" w:rsidP="006956C9">
            <w:pPr>
              <w:spacing w:before="0" w:after="0"/>
              <w:jc w:val="right"/>
              <w:rPr>
                <w:rFonts w:ascii="Arial" w:eastAsia="Times New Roman" w:hAnsi="Arial" w:cs="Arial"/>
                <w:b/>
                <w:bCs/>
                <w:color w:val="000000"/>
                <w:szCs w:val="24"/>
                <w:lang w:val="en-IN" w:eastAsia="en-IN"/>
              </w:rPr>
            </w:pPr>
            <w:r w:rsidRPr="006956C9">
              <w:rPr>
                <w:rFonts w:ascii="Arial" w:eastAsia="Times New Roman" w:hAnsi="Arial" w:cs="Arial"/>
                <w:b/>
                <w:bCs/>
                <w:color w:val="000000"/>
                <w:szCs w:val="24"/>
                <w:lang w:val="en-IN" w:eastAsia="en-IN"/>
              </w:rPr>
              <w:t>Project C</w:t>
            </w:r>
          </w:p>
        </w:tc>
      </w:tr>
      <w:tr w:rsidR="00C168FB" w:rsidRPr="006956C9" w14:paraId="749331BD"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7B36655E"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Initial Investment (£m)</w:t>
            </w:r>
          </w:p>
        </w:tc>
        <w:tc>
          <w:tcPr>
            <w:tcW w:w="1060" w:type="dxa"/>
            <w:tcBorders>
              <w:top w:val="nil"/>
              <w:left w:val="nil"/>
              <w:bottom w:val="single" w:sz="4" w:space="0" w:color="auto"/>
              <w:right w:val="single" w:sz="4" w:space="0" w:color="auto"/>
            </w:tcBorders>
            <w:vAlign w:val="center"/>
            <w:hideMark/>
          </w:tcPr>
          <w:p w14:paraId="70DBBAAF"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50</w:t>
            </w:r>
          </w:p>
        </w:tc>
        <w:tc>
          <w:tcPr>
            <w:tcW w:w="1060" w:type="dxa"/>
            <w:tcBorders>
              <w:top w:val="nil"/>
              <w:left w:val="nil"/>
              <w:bottom w:val="single" w:sz="4" w:space="0" w:color="auto"/>
              <w:right w:val="single" w:sz="4" w:space="0" w:color="auto"/>
            </w:tcBorders>
            <w:vAlign w:val="center"/>
            <w:hideMark/>
          </w:tcPr>
          <w:p w14:paraId="3895CF60"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50</w:t>
            </w:r>
          </w:p>
        </w:tc>
        <w:tc>
          <w:tcPr>
            <w:tcW w:w="1100" w:type="dxa"/>
            <w:tcBorders>
              <w:top w:val="nil"/>
              <w:left w:val="nil"/>
              <w:bottom w:val="single" w:sz="4" w:space="0" w:color="auto"/>
              <w:right w:val="single" w:sz="4" w:space="0" w:color="auto"/>
            </w:tcBorders>
            <w:vAlign w:val="center"/>
            <w:hideMark/>
          </w:tcPr>
          <w:p w14:paraId="66415CD5"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50</w:t>
            </w:r>
          </w:p>
        </w:tc>
      </w:tr>
      <w:tr w:rsidR="00C168FB" w:rsidRPr="006956C9" w14:paraId="0BEDCA66"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4DE8221C"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Discount Rate</w:t>
            </w:r>
          </w:p>
        </w:tc>
        <w:tc>
          <w:tcPr>
            <w:tcW w:w="1060" w:type="dxa"/>
            <w:tcBorders>
              <w:top w:val="nil"/>
              <w:left w:val="nil"/>
              <w:bottom w:val="single" w:sz="4" w:space="0" w:color="auto"/>
              <w:right w:val="single" w:sz="4" w:space="0" w:color="auto"/>
            </w:tcBorders>
            <w:vAlign w:val="center"/>
            <w:hideMark/>
          </w:tcPr>
          <w:p w14:paraId="5D716F27"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8%</w:t>
            </w:r>
          </w:p>
        </w:tc>
        <w:tc>
          <w:tcPr>
            <w:tcW w:w="1060" w:type="dxa"/>
            <w:tcBorders>
              <w:top w:val="nil"/>
              <w:left w:val="nil"/>
              <w:bottom w:val="single" w:sz="4" w:space="0" w:color="auto"/>
              <w:right w:val="single" w:sz="4" w:space="0" w:color="auto"/>
            </w:tcBorders>
            <w:vAlign w:val="center"/>
            <w:hideMark/>
          </w:tcPr>
          <w:p w14:paraId="63C202FB"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8%</w:t>
            </w:r>
          </w:p>
        </w:tc>
        <w:tc>
          <w:tcPr>
            <w:tcW w:w="1100" w:type="dxa"/>
            <w:tcBorders>
              <w:top w:val="nil"/>
              <w:left w:val="nil"/>
              <w:bottom w:val="single" w:sz="4" w:space="0" w:color="auto"/>
              <w:right w:val="single" w:sz="4" w:space="0" w:color="auto"/>
            </w:tcBorders>
            <w:vAlign w:val="center"/>
            <w:hideMark/>
          </w:tcPr>
          <w:p w14:paraId="24F952E4"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8%</w:t>
            </w:r>
          </w:p>
        </w:tc>
      </w:tr>
      <w:tr w:rsidR="00C168FB" w:rsidRPr="006956C9" w14:paraId="50BEF7CC"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3C7A6F2A"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Depreciation (£m p.a.)</w:t>
            </w:r>
          </w:p>
        </w:tc>
        <w:tc>
          <w:tcPr>
            <w:tcW w:w="1060" w:type="dxa"/>
            <w:tcBorders>
              <w:top w:val="nil"/>
              <w:left w:val="nil"/>
              <w:bottom w:val="single" w:sz="4" w:space="0" w:color="auto"/>
              <w:right w:val="single" w:sz="4" w:space="0" w:color="auto"/>
            </w:tcBorders>
            <w:vAlign w:val="center"/>
            <w:hideMark/>
          </w:tcPr>
          <w:p w14:paraId="40077C5E"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10</w:t>
            </w:r>
          </w:p>
        </w:tc>
        <w:tc>
          <w:tcPr>
            <w:tcW w:w="1060" w:type="dxa"/>
            <w:tcBorders>
              <w:top w:val="nil"/>
              <w:left w:val="nil"/>
              <w:bottom w:val="single" w:sz="4" w:space="0" w:color="auto"/>
              <w:right w:val="single" w:sz="4" w:space="0" w:color="auto"/>
            </w:tcBorders>
            <w:vAlign w:val="center"/>
            <w:hideMark/>
          </w:tcPr>
          <w:p w14:paraId="7A3B0161"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10</w:t>
            </w:r>
          </w:p>
        </w:tc>
        <w:tc>
          <w:tcPr>
            <w:tcW w:w="1100" w:type="dxa"/>
            <w:tcBorders>
              <w:top w:val="nil"/>
              <w:left w:val="nil"/>
              <w:bottom w:val="single" w:sz="4" w:space="0" w:color="auto"/>
              <w:right w:val="single" w:sz="4" w:space="0" w:color="auto"/>
            </w:tcBorders>
            <w:vAlign w:val="center"/>
            <w:hideMark/>
          </w:tcPr>
          <w:p w14:paraId="44B0E145"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10</w:t>
            </w:r>
          </w:p>
        </w:tc>
      </w:tr>
      <w:tr w:rsidR="00C168FB" w:rsidRPr="006956C9" w14:paraId="453F1470"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49351DE2"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Year 1 Cash Flow</w:t>
            </w:r>
          </w:p>
        </w:tc>
        <w:tc>
          <w:tcPr>
            <w:tcW w:w="1060" w:type="dxa"/>
            <w:tcBorders>
              <w:top w:val="nil"/>
              <w:left w:val="nil"/>
              <w:bottom w:val="single" w:sz="4" w:space="0" w:color="auto"/>
              <w:right w:val="single" w:sz="4" w:space="0" w:color="auto"/>
            </w:tcBorders>
            <w:vAlign w:val="center"/>
            <w:hideMark/>
          </w:tcPr>
          <w:p w14:paraId="15C8399A"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10</w:t>
            </w:r>
          </w:p>
        </w:tc>
        <w:tc>
          <w:tcPr>
            <w:tcW w:w="1060" w:type="dxa"/>
            <w:tcBorders>
              <w:top w:val="nil"/>
              <w:left w:val="nil"/>
              <w:bottom w:val="single" w:sz="4" w:space="0" w:color="auto"/>
              <w:right w:val="single" w:sz="4" w:space="0" w:color="auto"/>
            </w:tcBorders>
            <w:vAlign w:val="center"/>
            <w:hideMark/>
          </w:tcPr>
          <w:p w14:paraId="3D567BE6"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11</w:t>
            </w:r>
          </w:p>
        </w:tc>
        <w:tc>
          <w:tcPr>
            <w:tcW w:w="1100" w:type="dxa"/>
            <w:tcBorders>
              <w:top w:val="nil"/>
              <w:left w:val="nil"/>
              <w:bottom w:val="single" w:sz="4" w:space="0" w:color="auto"/>
              <w:right w:val="single" w:sz="4" w:space="0" w:color="auto"/>
            </w:tcBorders>
            <w:vAlign w:val="center"/>
            <w:hideMark/>
          </w:tcPr>
          <w:p w14:paraId="39DBEDD0"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5</w:t>
            </w:r>
          </w:p>
        </w:tc>
      </w:tr>
      <w:tr w:rsidR="00C168FB" w:rsidRPr="006956C9" w14:paraId="06FFFBCF"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1FFFD84B"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Year 2 Cash Flow</w:t>
            </w:r>
          </w:p>
        </w:tc>
        <w:tc>
          <w:tcPr>
            <w:tcW w:w="1060" w:type="dxa"/>
            <w:tcBorders>
              <w:top w:val="nil"/>
              <w:left w:val="nil"/>
              <w:bottom w:val="single" w:sz="4" w:space="0" w:color="auto"/>
              <w:right w:val="single" w:sz="4" w:space="0" w:color="auto"/>
            </w:tcBorders>
            <w:vAlign w:val="center"/>
            <w:hideMark/>
          </w:tcPr>
          <w:p w14:paraId="3519734A"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12</w:t>
            </w:r>
          </w:p>
        </w:tc>
        <w:tc>
          <w:tcPr>
            <w:tcW w:w="1060" w:type="dxa"/>
            <w:tcBorders>
              <w:top w:val="nil"/>
              <w:left w:val="nil"/>
              <w:bottom w:val="single" w:sz="4" w:space="0" w:color="auto"/>
              <w:right w:val="single" w:sz="4" w:space="0" w:color="auto"/>
            </w:tcBorders>
            <w:vAlign w:val="center"/>
            <w:hideMark/>
          </w:tcPr>
          <w:p w14:paraId="2C68A0A5"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11</w:t>
            </w:r>
          </w:p>
        </w:tc>
        <w:tc>
          <w:tcPr>
            <w:tcW w:w="1100" w:type="dxa"/>
            <w:tcBorders>
              <w:top w:val="nil"/>
              <w:left w:val="nil"/>
              <w:bottom w:val="single" w:sz="4" w:space="0" w:color="auto"/>
              <w:right w:val="single" w:sz="4" w:space="0" w:color="auto"/>
            </w:tcBorders>
            <w:vAlign w:val="center"/>
            <w:hideMark/>
          </w:tcPr>
          <w:p w14:paraId="44E7ADB6"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10</w:t>
            </w:r>
          </w:p>
        </w:tc>
      </w:tr>
      <w:tr w:rsidR="00C168FB" w:rsidRPr="006956C9" w14:paraId="7DDD4A43"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256BDBC3"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Year 3 Cash Flow</w:t>
            </w:r>
          </w:p>
        </w:tc>
        <w:tc>
          <w:tcPr>
            <w:tcW w:w="1060" w:type="dxa"/>
            <w:tcBorders>
              <w:top w:val="nil"/>
              <w:left w:val="nil"/>
              <w:bottom w:val="single" w:sz="4" w:space="0" w:color="auto"/>
              <w:right w:val="single" w:sz="4" w:space="0" w:color="auto"/>
            </w:tcBorders>
            <w:vAlign w:val="center"/>
            <w:hideMark/>
          </w:tcPr>
          <w:p w14:paraId="35DA9E15"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14</w:t>
            </w:r>
          </w:p>
        </w:tc>
        <w:tc>
          <w:tcPr>
            <w:tcW w:w="1060" w:type="dxa"/>
            <w:tcBorders>
              <w:top w:val="nil"/>
              <w:left w:val="nil"/>
              <w:bottom w:val="single" w:sz="4" w:space="0" w:color="auto"/>
              <w:right w:val="single" w:sz="4" w:space="0" w:color="auto"/>
            </w:tcBorders>
            <w:vAlign w:val="center"/>
            <w:hideMark/>
          </w:tcPr>
          <w:p w14:paraId="1EEF6818"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11</w:t>
            </w:r>
          </w:p>
        </w:tc>
        <w:tc>
          <w:tcPr>
            <w:tcW w:w="1100" w:type="dxa"/>
            <w:tcBorders>
              <w:top w:val="nil"/>
              <w:left w:val="nil"/>
              <w:bottom w:val="single" w:sz="4" w:space="0" w:color="auto"/>
              <w:right w:val="single" w:sz="4" w:space="0" w:color="auto"/>
            </w:tcBorders>
            <w:vAlign w:val="center"/>
            <w:hideMark/>
          </w:tcPr>
          <w:p w14:paraId="617919BD"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20</w:t>
            </w:r>
          </w:p>
        </w:tc>
      </w:tr>
      <w:tr w:rsidR="00C168FB" w:rsidRPr="006956C9" w14:paraId="7E547CC2"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2D76EE0B"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Year 4 Cash Flow</w:t>
            </w:r>
          </w:p>
        </w:tc>
        <w:tc>
          <w:tcPr>
            <w:tcW w:w="1060" w:type="dxa"/>
            <w:tcBorders>
              <w:top w:val="nil"/>
              <w:left w:val="nil"/>
              <w:bottom w:val="single" w:sz="4" w:space="0" w:color="auto"/>
              <w:right w:val="single" w:sz="4" w:space="0" w:color="auto"/>
            </w:tcBorders>
            <w:vAlign w:val="center"/>
            <w:hideMark/>
          </w:tcPr>
          <w:p w14:paraId="4696DFA8"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10</w:t>
            </w:r>
          </w:p>
        </w:tc>
        <w:tc>
          <w:tcPr>
            <w:tcW w:w="1060" w:type="dxa"/>
            <w:tcBorders>
              <w:top w:val="nil"/>
              <w:left w:val="nil"/>
              <w:bottom w:val="single" w:sz="4" w:space="0" w:color="auto"/>
              <w:right w:val="single" w:sz="4" w:space="0" w:color="auto"/>
            </w:tcBorders>
            <w:vAlign w:val="center"/>
            <w:hideMark/>
          </w:tcPr>
          <w:p w14:paraId="250F0AB2"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11</w:t>
            </w:r>
          </w:p>
        </w:tc>
        <w:tc>
          <w:tcPr>
            <w:tcW w:w="1100" w:type="dxa"/>
            <w:tcBorders>
              <w:top w:val="nil"/>
              <w:left w:val="nil"/>
              <w:bottom w:val="single" w:sz="4" w:space="0" w:color="auto"/>
              <w:right w:val="single" w:sz="4" w:space="0" w:color="auto"/>
            </w:tcBorders>
            <w:vAlign w:val="center"/>
            <w:hideMark/>
          </w:tcPr>
          <w:p w14:paraId="4D1A2043"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25</w:t>
            </w:r>
          </w:p>
        </w:tc>
      </w:tr>
      <w:tr w:rsidR="00C168FB" w:rsidRPr="006956C9" w14:paraId="6BB08C0E"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0A431731" w14:textId="77777777" w:rsidR="00C168FB" w:rsidRPr="006956C9" w:rsidRDefault="00C168FB" w:rsidP="006956C9">
            <w:pPr>
              <w:spacing w:before="0" w:after="0"/>
              <w:jc w:val="lef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Year 5 Cash Flow</w:t>
            </w:r>
          </w:p>
        </w:tc>
        <w:tc>
          <w:tcPr>
            <w:tcW w:w="1060" w:type="dxa"/>
            <w:tcBorders>
              <w:top w:val="nil"/>
              <w:left w:val="nil"/>
              <w:bottom w:val="single" w:sz="4" w:space="0" w:color="auto"/>
              <w:right w:val="single" w:sz="4" w:space="0" w:color="auto"/>
            </w:tcBorders>
            <w:vAlign w:val="center"/>
            <w:hideMark/>
          </w:tcPr>
          <w:p w14:paraId="4ADD57E4"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8</w:t>
            </w:r>
          </w:p>
        </w:tc>
        <w:tc>
          <w:tcPr>
            <w:tcW w:w="1060" w:type="dxa"/>
            <w:tcBorders>
              <w:top w:val="nil"/>
              <w:left w:val="nil"/>
              <w:bottom w:val="single" w:sz="4" w:space="0" w:color="auto"/>
              <w:right w:val="single" w:sz="4" w:space="0" w:color="auto"/>
            </w:tcBorders>
            <w:vAlign w:val="center"/>
            <w:hideMark/>
          </w:tcPr>
          <w:p w14:paraId="28819C4C"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11</w:t>
            </w:r>
          </w:p>
        </w:tc>
        <w:tc>
          <w:tcPr>
            <w:tcW w:w="1100" w:type="dxa"/>
            <w:tcBorders>
              <w:top w:val="nil"/>
              <w:left w:val="nil"/>
              <w:bottom w:val="single" w:sz="4" w:space="0" w:color="auto"/>
              <w:right w:val="single" w:sz="4" w:space="0" w:color="auto"/>
            </w:tcBorders>
            <w:vAlign w:val="center"/>
            <w:hideMark/>
          </w:tcPr>
          <w:p w14:paraId="0F55DA9E" w14:textId="77777777" w:rsidR="00C168FB" w:rsidRPr="006956C9" w:rsidRDefault="00C168FB" w:rsidP="006956C9">
            <w:pPr>
              <w:spacing w:before="0" w:after="0"/>
              <w:jc w:val="right"/>
              <w:rPr>
                <w:rFonts w:ascii="Arial" w:eastAsia="Times New Roman" w:hAnsi="Arial" w:cs="Arial"/>
                <w:color w:val="000000"/>
                <w:szCs w:val="24"/>
                <w:lang w:val="en-IN" w:eastAsia="en-IN"/>
              </w:rPr>
            </w:pPr>
            <w:r w:rsidRPr="006956C9">
              <w:rPr>
                <w:rFonts w:ascii="Arial" w:eastAsia="Times New Roman" w:hAnsi="Arial" w:cs="Arial"/>
                <w:color w:val="000000"/>
                <w:szCs w:val="24"/>
                <w:lang w:val="en-IN" w:eastAsia="en-IN"/>
              </w:rPr>
              <w:t>5</w:t>
            </w:r>
          </w:p>
        </w:tc>
      </w:tr>
    </w:tbl>
    <w:p w14:paraId="46179172" w14:textId="77777777" w:rsidR="00C168FB" w:rsidRPr="006956C9" w:rsidRDefault="00C168FB" w:rsidP="006956C9">
      <w:pPr>
        <w:rPr>
          <w:rFonts w:ascii="Arial" w:hAnsi="Arial" w:cs="Arial"/>
          <w:b/>
          <w:bCs/>
        </w:rPr>
      </w:pPr>
    </w:p>
    <w:tbl>
      <w:tblPr>
        <w:tblW w:w="5700" w:type="dxa"/>
        <w:tblLook w:val="04A0" w:firstRow="1" w:lastRow="0" w:firstColumn="1" w:lastColumn="0" w:noHBand="0" w:noVBand="1"/>
      </w:tblPr>
      <w:tblGrid>
        <w:gridCol w:w="2480"/>
        <w:gridCol w:w="1060"/>
        <w:gridCol w:w="1060"/>
        <w:gridCol w:w="1100"/>
      </w:tblGrid>
      <w:tr w:rsidR="00C168FB" w:rsidRPr="006956C9" w14:paraId="1EDB8E8B" w14:textId="77777777" w:rsidTr="00C168FB">
        <w:trPr>
          <w:trHeight w:val="312"/>
        </w:trPr>
        <w:tc>
          <w:tcPr>
            <w:tcW w:w="248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2E51943E" w14:textId="77777777" w:rsidR="00C168FB" w:rsidRPr="006956C9" w:rsidRDefault="00C168FB"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Measure</w:t>
            </w:r>
          </w:p>
        </w:tc>
        <w:tc>
          <w:tcPr>
            <w:tcW w:w="1060" w:type="dxa"/>
            <w:tcBorders>
              <w:top w:val="single" w:sz="4" w:space="0" w:color="auto"/>
              <w:left w:val="nil"/>
              <w:bottom w:val="single" w:sz="4" w:space="0" w:color="auto"/>
              <w:right w:val="single" w:sz="4" w:space="0" w:color="auto"/>
            </w:tcBorders>
            <w:shd w:val="clear" w:color="000000" w:fill="5B9BD5"/>
            <w:vAlign w:val="center"/>
            <w:hideMark/>
          </w:tcPr>
          <w:p w14:paraId="0AB0CB38"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Project A</w:t>
            </w:r>
          </w:p>
        </w:tc>
        <w:tc>
          <w:tcPr>
            <w:tcW w:w="1060" w:type="dxa"/>
            <w:tcBorders>
              <w:top w:val="single" w:sz="4" w:space="0" w:color="auto"/>
              <w:left w:val="nil"/>
              <w:bottom w:val="single" w:sz="4" w:space="0" w:color="auto"/>
              <w:right w:val="single" w:sz="4" w:space="0" w:color="auto"/>
            </w:tcBorders>
            <w:shd w:val="clear" w:color="000000" w:fill="5B9BD5"/>
            <w:vAlign w:val="center"/>
            <w:hideMark/>
          </w:tcPr>
          <w:p w14:paraId="3B70DBC4"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Project B</w:t>
            </w:r>
          </w:p>
        </w:tc>
        <w:tc>
          <w:tcPr>
            <w:tcW w:w="1100" w:type="dxa"/>
            <w:tcBorders>
              <w:top w:val="single" w:sz="4" w:space="0" w:color="auto"/>
              <w:left w:val="nil"/>
              <w:bottom w:val="single" w:sz="4" w:space="0" w:color="auto"/>
              <w:right w:val="single" w:sz="4" w:space="0" w:color="auto"/>
            </w:tcBorders>
            <w:shd w:val="clear" w:color="000000" w:fill="5B9BD5"/>
            <w:vAlign w:val="center"/>
            <w:hideMark/>
          </w:tcPr>
          <w:p w14:paraId="73ABBF6C"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Project C</w:t>
            </w:r>
          </w:p>
        </w:tc>
      </w:tr>
      <w:tr w:rsidR="00C168FB" w:rsidRPr="006956C9" w14:paraId="782806EC"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67F82B28"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lastRenderedPageBreak/>
              <w:t>Initial Investment</w:t>
            </w:r>
          </w:p>
        </w:tc>
        <w:tc>
          <w:tcPr>
            <w:tcW w:w="1060" w:type="dxa"/>
            <w:tcBorders>
              <w:top w:val="nil"/>
              <w:left w:val="nil"/>
              <w:bottom w:val="single" w:sz="4" w:space="0" w:color="auto"/>
              <w:right w:val="single" w:sz="4" w:space="0" w:color="auto"/>
            </w:tcBorders>
            <w:vAlign w:val="center"/>
            <w:hideMark/>
          </w:tcPr>
          <w:p w14:paraId="369C945E"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£50m</w:t>
            </w:r>
          </w:p>
        </w:tc>
        <w:tc>
          <w:tcPr>
            <w:tcW w:w="1060" w:type="dxa"/>
            <w:tcBorders>
              <w:top w:val="nil"/>
              <w:left w:val="nil"/>
              <w:bottom w:val="single" w:sz="4" w:space="0" w:color="auto"/>
              <w:right w:val="single" w:sz="4" w:space="0" w:color="auto"/>
            </w:tcBorders>
            <w:vAlign w:val="center"/>
            <w:hideMark/>
          </w:tcPr>
          <w:p w14:paraId="2FF4B723"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£50m</w:t>
            </w:r>
          </w:p>
        </w:tc>
        <w:tc>
          <w:tcPr>
            <w:tcW w:w="1100" w:type="dxa"/>
            <w:tcBorders>
              <w:top w:val="nil"/>
              <w:left w:val="nil"/>
              <w:bottom w:val="single" w:sz="4" w:space="0" w:color="auto"/>
              <w:right w:val="single" w:sz="4" w:space="0" w:color="auto"/>
            </w:tcBorders>
            <w:vAlign w:val="center"/>
            <w:hideMark/>
          </w:tcPr>
          <w:p w14:paraId="5A227D26"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£50m</w:t>
            </w:r>
          </w:p>
        </w:tc>
      </w:tr>
      <w:tr w:rsidR="00C168FB" w:rsidRPr="006956C9" w14:paraId="2739036A"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329E900F"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Total Cash Inflows</w:t>
            </w:r>
          </w:p>
        </w:tc>
        <w:tc>
          <w:tcPr>
            <w:tcW w:w="1060" w:type="dxa"/>
            <w:tcBorders>
              <w:top w:val="nil"/>
              <w:left w:val="nil"/>
              <w:bottom w:val="single" w:sz="4" w:space="0" w:color="auto"/>
              <w:right w:val="single" w:sz="4" w:space="0" w:color="auto"/>
            </w:tcBorders>
            <w:vAlign w:val="center"/>
            <w:hideMark/>
          </w:tcPr>
          <w:p w14:paraId="080960E6"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£54m</w:t>
            </w:r>
          </w:p>
        </w:tc>
        <w:tc>
          <w:tcPr>
            <w:tcW w:w="1060" w:type="dxa"/>
            <w:tcBorders>
              <w:top w:val="nil"/>
              <w:left w:val="nil"/>
              <w:bottom w:val="single" w:sz="4" w:space="0" w:color="auto"/>
              <w:right w:val="single" w:sz="4" w:space="0" w:color="auto"/>
            </w:tcBorders>
            <w:vAlign w:val="center"/>
            <w:hideMark/>
          </w:tcPr>
          <w:p w14:paraId="6AD71C09"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£55m</w:t>
            </w:r>
          </w:p>
        </w:tc>
        <w:tc>
          <w:tcPr>
            <w:tcW w:w="1100" w:type="dxa"/>
            <w:tcBorders>
              <w:top w:val="nil"/>
              <w:left w:val="nil"/>
              <w:bottom w:val="single" w:sz="4" w:space="0" w:color="auto"/>
              <w:right w:val="single" w:sz="4" w:space="0" w:color="auto"/>
            </w:tcBorders>
            <w:vAlign w:val="center"/>
            <w:hideMark/>
          </w:tcPr>
          <w:p w14:paraId="595B8638"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£65m</w:t>
            </w:r>
          </w:p>
        </w:tc>
      </w:tr>
      <w:tr w:rsidR="00C168FB" w:rsidRPr="006956C9" w14:paraId="1D482597" w14:textId="77777777" w:rsidTr="00C168FB">
        <w:trPr>
          <w:trHeight w:val="576"/>
        </w:trPr>
        <w:tc>
          <w:tcPr>
            <w:tcW w:w="2480" w:type="dxa"/>
            <w:tcBorders>
              <w:top w:val="nil"/>
              <w:left w:val="single" w:sz="4" w:space="0" w:color="auto"/>
              <w:bottom w:val="single" w:sz="4" w:space="0" w:color="auto"/>
              <w:right w:val="single" w:sz="4" w:space="0" w:color="auto"/>
            </w:tcBorders>
            <w:vAlign w:val="center"/>
            <w:hideMark/>
          </w:tcPr>
          <w:p w14:paraId="5144B0A8"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PBP</w:t>
            </w:r>
          </w:p>
        </w:tc>
        <w:tc>
          <w:tcPr>
            <w:tcW w:w="1060" w:type="dxa"/>
            <w:tcBorders>
              <w:top w:val="nil"/>
              <w:left w:val="nil"/>
              <w:bottom w:val="single" w:sz="4" w:space="0" w:color="auto"/>
              <w:right w:val="single" w:sz="4" w:space="0" w:color="auto"/>
            </w:tcBorders>
            <w:vAlign w:val="center"/>
            <w:hideMark/>
          </w:tcPr>
          <w:p w14:paraId="5339EAE2"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4.50 years</w:t>
            </w:r>
          </w:p>
        </w:tc>
        <w:tc>
          <w:tcPr>
            <w:tcW w:w="1060" w:type="dxa"/>
            <w:tcBorders>
              <w:top w:val="nil"/>
              <w:left w:val="nil"/>
              <w:bottom w:val="single" w:sz="4" w:space="0" w:color="auto"/>
              <w:right w:val="single" w:sz="4" w:space="0" w:color="auto"/>
            </w:tcBorders>
            <w:vAlign w:val="center"/>
            <w:hideMark/>
          </w:tcPr>
          <w:p w14:paraId="6FF4AF60"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4.55 years</w:t>
            </w:r>
          </w:p>
        </w:tc>
        <w:tc>
          <w:tcPr>
            <w:tcW w:w="1100" w:type="dxa"/>
            <w:tcBorders>
              <w:top w:val="nil"/>
              <w:left w:val="nil"/>
              <w:bottom w:val="single" w:sz="4" w:space="0" w:color="auto"/>
              <w:right w:val="single" w:sz="4" w:space="0" w:color="auto"/>
            </w:tcBorders>
            <w:vAlign w:val="center"/>
            <w:hideMark/>
          </w:tcPr>
          <w:p w14:paraId="18F8D676"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3.60 years</w:t>
            </w:r>
          </w:p>
        </w:tc>
      </w:tr>
      <w:tr w:rsidR="00C168FB" w:rsidRPr="006956C9" w14:paraId="7EEF3BF6"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73D6D896"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ARR</w:t>
            </w:r>
          </w:p>
        </w:tc>
        <w:tc>
          <w:tcPr>
            <w:tcW w:w="1060" w:type="dxa"/>
            <w:tcBorders>
              <w:top w:val="nil"/>
              <w:left w:val="nil"/>
              <w:bottom w:val="single" w:sz="4" w:space="0" w:color="auto"/>
              <w:right w:val="single" w:sz="4" w:space="0" w:color="auto"/>
            </w:tcBorders>
            <w:vAlign w:val="center"/>
            <w:hideMark/>
          </w:tcPr>
          <w:p w14:paraId="143FDE51"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1.60%</w:t>
            </w:r>
          </w:p>
        </w:tc>
        <w:tc>
          <w:tcPr>
            <w:tcW w:w="1060" w:type="dxa"/>
            <w:tcBorders>
              <w:top w:val="nil"/>
              <w:left w:val="nil"/>
              <w:bottom w:val="single" w:sz="4" w:space="0" w:color="auto"/>
              <w:right w:val="single" w:sz="4" w:space="0" w:color="auto"/>
            </w:tcBorders>
            <w:vAlign w:val="center"/>
            <w:hideMark/>
          </w:tcPr>
          <w:p w14:paraId="71408B96"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2.00%</w:t>
            </w:r>
          </w:p>
        </w:tc>
        <w:tc>
          <w:tcPr>
            <w:tcW w:w="1100" w:type="dxa"/>
            <w:tcBorders>
              <w:top w:val="nil"/>
              <w:left w:val="nil"/>
              <w:bottom w:val="single" w:sz="4" w:space="0" w:color="auto"/>
              <w:right w:val="single" w:sz="4" w:space="0" w:color="auto"/>
            </w:tcBorders>
            <w:vAlign w:val="center"/>
            <w:hideMark/>
          </w:tcPr>
          <w:p w14:paraId="5437E23E"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6.00%</w:t>
            </w:r>
          </w:p>
        </w:tc>
      </w:tr>
      <w:tr w:rsidR="00C168FB" w:rsidRPr="006956C9" w14:paraId="0CAB4081"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3ADC4B99"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NPV @ 8%</w:t>
            </w:r>
          </w:p>
        </w:tc>
        <w:tc>
          <w:tcPr>
            <w:tcW w:w="1060" w:type="dxa"/>
            <w:tcBorders>
              <w:top w:val="nil"/>
              <w:left w:val="nil"/>
              <w:bottom w:val="single" w:sz="4" w:space="0" w:color="auto"/>
              <w:right w:val="single" w:sz="4" w:space="0" w:color="auto"/>
            </w:tcBorders>
            <w:vAlign w:val="center"/>
            <w:hideMark/>
          </w:tcPr>
          <w:p w14:paraId="304CF08B"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-£6.54m</w:t>
            </w:r>
          </w:p>
        </w:tc>
        <w:tc>
          <w:tcPr>
            <w:tcW w:w="1060" w:type="dxa"/>
            <w:tcBorders>
              <w:top w:val="nil"/>
              <w:left w:val="nil"/>
              <w:bottom w:val="single" w:sz="4" w:space="0" w:color="auto"/>
              <w:right w:val="single" w:sz="4" w:space="0" w:color="auto"/>
            </w:tcBorders>
            <w:vAlign w:val="center"/>
            <w:hideMark/>
          </w:tcPr>
          <w:p w14:paraId="12B4D4AC"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-£6.08m</w:t>
            </w:r>
          </w:p>
        </w:tc>
        <w:tc>
          <w:tcPr>
            <w:tcW w:w="1100" w:type="dxa"/>
            <w:tcBorders>
              <w:top w:val="nil"/>
              <w:left w:val="nil"/>
              <w:bottom w:val="single" w:sz="4" w:space="0" w:color="auto"/>
              <w:right w:val="single" w:sz="4" w:space="0" w:color="auto"/>
            </w:tcBorders>
            <w:vAlign w:val="center"/>
            <w:hideMark/>
          </w:tcPr>
          <w:p w14:paraId="3E4F8B99"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£0.86m</w:t>
            </w:r>
          </w:p>
        </w:tc>
      </w:tr>
      <w:tr w:rsidR="00C168FB" w:rsidRPr="006956C9" w14:paraId="517CD161"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20D65920"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PI</w:t>
            </w:r>
          </w:p>
        </w:tc>
        <w:tc>
          <w:tcPr>
            <w:tcW w:w="1060" w:type="dxa"/>
            <w:tcBorders>
              <w:top w:val="nil"/>
              <w:left w:val="nil"/>
              <w:bottom w:val="single" w:sz="4" w:space="0" w:color="auto"/>
              <w:right w:val="single" w:sz="4" w:space="0" w:color="auto"/>
            </w:tcBorders>
            <w:vAlign w:val="center"/>
            <w:hideMark/>
          </w:tcPr>
          <w:p w14:paraId="5A25E64F"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0.87</w:t>
            </w:r>
          </w:p>
        </w:tc>
        <w:tc>
          <w:tcPr>
            <w:tcW w:w="1060" w:type="dxa"/>
            <w:tcBorders>
              <w:top w:val="nil"/>
              <w:left w:val="nil"/>
              <w:bottom w:val="single" w:sz="4" w:space="0" w:color="auto"/>
              <w:right w:val="single" w:sz="4" w:space="0" w:color="auto"/>
            </w:tcBorders>
            <w:vAlign w:val="center"/>
            <w:hideMark/>
          </w:tcPr>
          <w:p w14:paraId="7B013BB0"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0.88</w:t>
            </w:r>
          </w:p>
        </w:tc>
        <w:tc>
          <w:tcPr>
            <w:tcW w:w="1100" w:type="dxa"/>
            <w:tcBorders>
              <w:top w:val="nil"/>
              <w:left w:val="nil"/>
              <w:bottom w:val="single" w:sz="4" w:space="0" w:color="auto"/>
              <w:right w:val="single" w:sz="4" w:space="0" w:color="auto"/>
            </w:tcBorders>
            <w:vAlign w:val="center"/>
            <w:hideMark/>
          </w:tcPr>
          <w:p w14:paraId="795BCAB7"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1.02</w:t>
            </w:r>
          </w:p>
        </w:tc>
      </w:tr>
      <w:tr w:rsidR="00C168FB" w:rsidRPr="006956C9" w14:paraId="14A41105"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3C795CAA"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IRR</w:t>
            </w:r>
          </w:p>
        </w:tc>
        <w:tc>
          <w:tcPr>
            <w:tcW w:w="1060" w:type="dxa"/>
            <w:tcBorders>
              <w:top w:val="nil"/>
              <w:left w:val="nil"/>
              <w:bottom w:val="single" w:sz="4" w:space="0" w:color="auto"/>
              <w:right w:val="single" w:sz="4" w:space="0" w:color="auto"/>
            </w:tcBorders>
            <w:vAlign w:val="center"/>
            <w:hideMark/>
          </w:tcPr>
          <w:p w14:paraId="16E4CB37"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2.72%</w:t>
            </w:r>
          </w:p>
        </w:tc>
        <w:tc>
          <w:tcPr>
            <w:tcW w:w="1060" w:type="dxa"/>
            <w:tcBorders>
              <w:top w:val="nil"/>
              <w:left w:val="nil"/>
              <w:bottom w:val="single" w:sz="4" w:space="0" w:color="auto"/>
              <w:right w:val="single" w:sz="4" w:space="0" w:color="auto"/>
            </w:tcBorders>
            <w:vAlign w:val="center"/>
            <w:hideMark/>
          </w:tcPr>
          <w:p w14:paraId="6254AE35"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3.26%</w:t>
            </w:r>
          </w:p>
        </w:tc>
        <w:tc>
          <w:tcPr>
            <w:tcW w:w="1100" w:type="dxa"/>
            <w:tcBorders>
              <w:top w:val="nil"/>
              <w:left w:val="nil"/>
              <w:bottom w:val="single" w:sz="4" w:space="0" w:color="auto"/>
              <w:right w:val="single" w:sz="4" w:space="0" w:color="auto"/>
            </w:tcBorders>
            <w:vAlign w:val="center"/>
            <w:hideMark/>
          </w:tcPr>
          <w:p w14:paraId="65AC0E0E"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8.59%</w:t>
            </w:r>
          </w:p>
        </w:tc>
      </w:tr>
      <w:tr w:rsidR="00C168FB" w:rsidRPr="006956C9" w14:paraId="2749C813" w14:textId="77777777" w:rsidTr="00C168FB">
        <w:trPr>
          <w:trHeight w:val="312"/>
        </w:trPr>
        <w:tc>
          <w:tcPr>
            <w:tcW w:w="2480" w:type="dxa"/>
            <w:tcBorders>
              <w:top w:val="nil"/>
              <w:left w:val="single" w:sz="4" w:space="0" w:color="auto"/>
              <w:bottom w:val="single" w:sz="4" w:space="0" w:color="auto"/>
              <w:right w:val="single" w:sz="4" w:space="0" w:color="auto"/>
            </w:tcBorders>
            <w:vAlign w:val="center"/>
            <w:hideMark/>
          </w:tcPr>
          <w:p w14:paraId="752DAFCD" w14:textId="77777777" w:rsidR="00C168FB" w:rsidRPr="006956C9" w:rsidRDefault="00C168FB"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Initial signal</w:t>
            </w:r>
          </w:p>
        </w:tc>
        <w:tc>
          <w:tcPr>
            <w:tcW w:w="1060" w:type="dxa"/>
            <w:tcBorders>
              <w:top w:val="nil"/>
              <w:left w:val="nil"/>
              <w:bottom w:val="single" w:sz="4" w:space="0" w:color="auto"/>
              <w:right w:val="single" w:sz="4" w:space="0" w:color="auto"/>
            </w:tcBorders>
            <w:vAlign w:val="center"/>
            <w:hideMark/>
          </w:tcPr>
          <w:p w14:paraId="74BE3425"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c>
          <w:tcPr>
            <w:tcW w:w="1060" w:type="dxa"/>
            <w:tcBorders>
              <w:top w:val="nil"/>
              <w:left w:val="nil"/>
              <w:bottom w:val="single" w:sz="4" w:space="0" w:color="auto"/>
              <w:right w:val="single" w:sz="4" w:space="0" w:color="auto"/>
            </w:tcBorders>
            <w:vAlign w:val="center"/>
            <w:hideMark/>
          </w:tcPr>
          <w:p w14:paraId="3FE36634" w14:textId="77777777" w:rsidR="00C168FB" w:rsidRPr="006956C9" w:rsidRDefault="00C168FB"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c>
          <w:tcPr>
            <w:tcW w:w="1100" w:type="dxa"/>
            <w:tcBorders>
              <w:top w:val="nil"/>
              <w:left w:val="nil"/>
              <w:bottom w:val="single" w:sz="4" w:space="0" w:color="auto"/>
              <w:right w:val="single" w:sz="4" w:space="0" w:color="auto"/>
            </w:tcBorders>
            <w:vAlign w:val="center"/>
            <w:hideMark/>
          </w:tcPr>
          <w:p w14:paraId="11D4AEFD" w14:textId="77777777" w:rsidR="00C168FB" w:rsidRPr="006956C9" w:rsidRDefault="00C168FB"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Accept</w:t>
            </w:r>
          </w:p>
        </w:tc>
      </w:tr>
    </w:tbl>
    <w:p w14:paraId="5B4E1B31" w14:textId="77777777" w:rsidR="00CD1081" w:rsidRPr="006956C9" w:rsidRDefault="00CD1081" w:rsidP="006956C9">
      <w:pPr>
        <w:rPr>
          <w:rFonts w:ascii="Arial" w:hAnsi="Arial" w:cs="Arial"/>
          <w:b/>
          <w:bCs/>
        </w:rPr>
      </w:pPr>
    </w:p>
    <w:p w14:paraId="7EA5783C" w14:textId="7CE7950D" w:rsidR="00C168FB" w:rsidRPr="006956C9" w:rsidRDefault="00CD1081" w:rsidP="006956C9">
      <w:pPr>
        <w:rPr>
          <w:rFonts w:ascii="Arial" w:hAnsi="Arial" w:cs="Arial"/>
          <w:b/>
          <w:bCs/>
        </w:rPr>
      </w:pPr>
      <w:r w:rsidRPr="006956C9">
        <w:rPr>
          <w:rFonts w:ascii="Arial" w:hAnsi="Arial" w:cs="Arial"/>
          <w:b/>
          <w:bCs/>
        </w:rPr>
        <w:t>Capital Rationing</w:t>
      </w:r>
    </w:p>
    <w:tbl>
      <w:tblPr>
        <w:tblW w:w="8100" w:type="dxa"/>
        <w:tblLook w:val="04A0" w:firstRow="1" w:lastRow="0" w:firstColumn="1" w:lastColumn="0" w:noHBand="0" w:noVBand="1"/>
      </w:tblPr>
      <w:tblGrid>
        <w:gridCol w:w="1561"/>
        <w:gridCol w:w="1602"/>
        <w:gridCol w:w="1085"/>
        <w:gridCol w:w="1305"/>
        <w:gridCol w:w="1414"/>
        <w:gridCol w:w="1133"/>
      </w:tblGrid>
      <w:tr w:rsidR="00692071" w:rsidRPr="006956C9" w14:paraId="55A2754D" w14:textId="77777777" w:rsidTr="00692071">
        <w:trPr>
          <w:trHeight w:val="288"/>
        </w:trPr>
        <w:tc>
          <w:tcPr>
            <w:tcW w:w="1380"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37855D66" w14:textId="77777777" w:rsidR="00692071" w:rsidRPr="006956C9" w:rsidRDefault="0069207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Combination</w:t>
            </w:r>
          </w:p>
        </w:tc>
        <w:tc>
          <w:tcPr>
            <w:tcW w:w="1700" w:type="dxa"/>
            <w:tcBorders>
              <w:top w:val="single" w:sz="4" w:space="0" w:color="auto"/>
              <w:left w:val="nil"/>
              <w:bottom w:val="single" w:sz="4" w:space="0" w:color="auto"/>
              <w:right w:val="single" w:sz="4" w:space="0" w:color="auto"/>
            </w:tcBorders>
            <w:shd w:val="clear" w:color="000000" w:fill="5B9BD5"/>
            <w:vAlign w:val="center"/>
            <w:hideMark/>
          </w:tcPr>
          <w:p w14:paraId="125CF078" w14:textId="77777777" w:rsidR="00692071" w:rsidRPr="006956C9" w:rsidRDefault="0069207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Investment (£m)</w:t>
            </w:r>
          </w:p>
        </w:tc>
        <w:tc>
          <w:tcPr>
            <w:tcW w:w="920" w:type="dxa"/>
            <w:tcBorders>
              <w:top w:val="single" w:sz="4" w:space="0" w:color="auto"/>
              <w:left w:val="nil"/>
              <w:bottom w:val="single" w:sz="4" w:space="0" w:color="auto"/>
              <w:right w:val="single" w:sz="4" w:space="0" w:color="auto"/>
            </w:tcBorders>
            <w:shd w:val="clear" w:color="000000" w:fill="5B9BD5"/>
            <w:vAlign w:val="center"/>
            <w:hideMark/>
          </w:tcPr>
          <w:p w14:paraId="1281D9FA" w14:textId="77777777" w:rsidR="00692071" w:rsidRPr="006956C9" w:rsidRDefault="0069207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Projects</w:t>
            </w:r>
          </w:p>
        </w:tc>
        <w:tc>
          <w:tcPr>
            <w:tcW w:w="1540" w:type="dxa"/>
            <w:tcBorders>
              <w:top w:val="single" w:sz="4" w:space="0" w:color="auto"/>
              <w:left w:val="nil"/>
              <w:bottom w:val="single" w:sz="4" w:space="0" w:color="auto"/>
              <w:right w:val="single" w:sz="4" w:space="0" w:color="auto"/>
            </w:tcBorders>
            <w:shd w:val="clear" w:color="000000" w:fill="5B9BD5"/>
            <w:vAlign w:val="center"/>
            <w:hideMark/>
          </w:tcPr>
          <w:p w14:paraId="1A941002" w14:textId="77777777" w:rsidR="00692071" w:rsidRPr="006956C9" w:rsidRDefault="0069207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Total NPV (£m)</w:t>
            </w:r>
          </w:p>
        </w:tc>
        <w:tc>
          <w:tcPr>
            <w:tcW w:w="1580" w:type="dxa"/>
            <w:tcBorders>
              <w:top w:val="single" w:sz="4" w:space="0" w:color="auto"/>
              <w:left w:val="nil"/>
              <w:bottom w:val="single" w:sz="4" w:space="0" w:color="auto"/>
              <w:right w:val="single" w:sz="4" w:space="0" w:color="auto"/>
            </w:tcBorders>
            <w:shd w:val="clear" w:color="000000" w:fill="5B9BD5"/>
            <w:vAlign w:val="center"/>
            <w:hideMark/>
          </w:tcPr>
          <w:p w14:paraId="3D36DB71" w14:textId="77777777" w:rsidR="00692071" w:rsidRPr="006956C9" w:rsidRDefault="0069207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Within £100m?</w:t>
            </w:r>
          </w:p>
        </w:tc>
        <w:tc>
          <w:tcPr>
            <w:tcW w:w="980" w:type="dxa"/>
            <w:tcBorders>
              <w:top w:val="single" w:sz="4" w:space="0" w:color="auto"/>
              <w:left w:val="nil"/>
              <w:bottom w:val="single" w:sz="4" w:space="0" w:color="auto"/>
              <w:right w:val="single" w:sz="4" w:space="0" w:color="auto"/>
            </w:tcBorders>
            <w:shd w:val="clear" w:color="000000" w:fill="5B9BD5"/>
            <w:vAlign w:val="center"/>
            <w:hideMark/>
          </w:tcPr>
          <w:p w14:paraId="7C8D5929" w14:textId="77777777" w:rsidR="00692071" w:rsidRPr="006956C9" w:rsidRDefault="00692071" w:rsidP="006956C9">
            <w:pPr>
              <w:spacing w:before="0" w:after="0"/>
              <w:jc w:val="center"/>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Decision</w:t>
            </w:r>
          </w:p>
        </w:tc>
      </w:tr>
      <w:tr w:rsidR="00692071" w:rsidRPr="006956C9" w14:paraId="489E4D67" w14:textId="77777777" w:rsidTr="00692071">
        <w:trPr>
          <w:trHeight w:val="288"/>
        </w:trPr>
        <w:tc>
          <w:tcPr>
            <w:tcW w:w="1380" w:type="dxa"/>
            <w:tcBorders>
              <w:top w:val="nil"/>
              <w:left w:val="single" w:sz="4" w:space="0" w:color="auto"/>
              <w:bottom w:val="single" w:sz="4" w:space="0" w:color="auto"/>
              <w:right w:val="single" w:sz="4" w:space="0" w:color="auto"/>
            </w:tcBorders>
            <w:vAlign w:val="center"/>
            <w:hideMark/>
          </w:tcPr>
          <w:p w14:paraId="547AEB1B"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 only</w:t>
            </w:r>
          </w:p>
        </w:tc>
        <w:tc>
          <w:tcPr>
            <w:tcW w:w="1700" w:type="dxa"/>
            <w:tcBorders>
              <w:top w:val="nil"/>
              <w:left w:val="nil"/>
              <w:bottom w:val="single" w:sz="4" w:space="0" w:color="auto"/>
              <w:right w:val="single" w:sz="4" w:space="0" w:color="auto"/>
            </w:tcBorders>
            <w:vAlign w:val="center"/>
            <w:hideMark/>
          </w:tcPr>
          <w:p w14:paraId="0A9A4660"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w:t>
            </w:r>
          </w:p>
        </w:tc>
        <w:tc>
          <w:tcPr>
            <w:tcW w:w="920" w:type="dxa"/>
            <w:tcBorders>
              <w:top w:val="nil"/>
              <w:left w:val="nil"/>
              <w:bottom w:val="single" w:sz="4" w:space="0" w:color="auto"/>
              <w:right w:val="single" w:sz="4" w:space="0" w:color="auto"/>
            </w:tcBorders>
            <w:vAlign w:val="center"/>
            <w:hideMark/>
          </w:tcPr>
          <w:p w14:paraId="5B8A8300"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w:t>
            </w:r>
          </w:p>
        </w:tc>
        <w:tc>
          <w:tcPr>
            <w:tcW w:w="1540" w:type="dxa"/>
            <w:tcBorders>
              <w:top w:val="nil"/>
              <w:left w:val="nil"/>
              <w:bottom w:val="single" w:sz="4" w:space="0" w:color="auto"/>
              <w:right w:val="single" w:sz="4" w:space="0" w:color="auto"/>
            </w:tcBorders>
            <w:vAlign w:val="center"/>
            <w:hideMark/>
          </w:tcPr>
          <w:p w14:paraId="6BD084B1"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-6.54</w:t>
            </w:r>
          </w:p>
        </w:tc>
        <w:tc>
          <w:tcPr>
            <w:tcW w:w="1580" w:type="dxa"/>
            <w:tcBorders>
              <w:top w:val="nil"/>
              <w:left w:val="nil"/>
              <w:bottom w:val="single" w:sz="4" w:space="0" w:color="auto"/>
              <w:right w:val="single" w:sz="4" w:space="0" w:color="auto"/>
            </w:tcBorders>
            <w:vAlign w:val="center"/>
            <w:hideMark/>
          </w:tcPr>
          <w:p w14:paraId="397F7782"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Yes</w:t>
            </w:r>
          </w:p>
        </w:tc>
        <w:tc>
          <w:tcPr>
            <w:tcW w:w="980" w:type="dxa"/>
            <w:tcBorders>
              <w:top w:val="nil"/>
              <w:left w:val="nil"/>
              <w:bottom w:val="single" w:sz="4" w:space="0" w:color="auto"/>
              <w:right w:val="single" w:sz="4" w:space="0" w:color="auto"/>
            </w:tcBorders>
            <w:vAlign w:val="center"/>
            <w:hideMark/>
          </w:tcPr>
          <w:p w14:paraId="6A187DC8"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r>
      <w:tr w:rsidR="00692071" w:rsidRPr="006956C9" w14:paraId="3EFC6A8A" w14:textId="77777777" w:rsidTr="00692071">
        <w:trPr>
          <w:trHeight w:val="288"/>
        </w:trPr>
        <w:tc>
          <w:tcPr>
            <w:tcW w:w="1380" w:type="dxa"/>
            <w:tcBorders>
              <w:top w:val="nil"/>
              <w:left w:val="single" w:sz="4" w:space="0" w:color="auto"/>
              <w:bottom w:val="single" w:sz="4" w:space="0" w:color="auto"/>
              <w:right w:val="single" w:sz="4" w:space="0" w:color="auto"/>
            </w:tcBorders>
            <w:vAlign w:val="center"/>
            <w:hideMark/>
          </w:tcPr>
          <w:p w14:paraId="7C0C49E5"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B only</w:t>
            </w:r>
          </w:p>
        </w:tc>
        <w:tc>
          <w:tcPr>
            <w:tcW w:w="1700" w:type="dxa"/>
            <w:tcBorders>
              <w:top w:val="nil"/>
              <w:left w:val="nil"/>
              <w:bottom w:val="single" w:sz="4" w:space="0" w:color="auto"/>
              <w:right w:val="single" w:sz="4" w:space="0" w:color="auto"/>
            </w:tcBorders>
            <w:vAlign w:val="center"/>
            <w:hideMark/>
          </w:tcPr>
          <w:p w14:paraId="7E7BE274"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w:t>
            </w:r>
          </w:p>
        </w:tc>
        <w:tc>
          <w:tcPr>
            <w:tcW w:w="920" w:type="dxa"/>
            <w:tcBorders>
              <w:top w:val="nil"/>
              <w:left w:val="nil"/>
              <w:bottom w:val="single" w:sz="4" w:space="0" w:color="auto"/>
              <w:right w:val="single" w:sz="4" w:space="0" w:color="auto"/>
            </w:tcBorders>
            <w:vAlign w:val="center"/>
            <w:hideMark/>
          </w:tcPr>
          <w:p w14:paraId="71AB7D8A"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B</w:t>
            </w:r>
          </w:p>
        </w:tc>
        <w:tc>
          <w:tcPr>
            <w:tcW w:w="1540" w:type="dxa"/>
            <w:tcBorders>
              <w:top w:val="nil"/>
              <w:left w:val="nil"/>
              <w:bottom w:val="single" w:sz="4" w:space="0" w:color="auto"/>
              <w:right w:val="single" w:sz="4" w:space="0" w:color="auto"/>
            </w:tcBorders>
            <w:vAlign w:val="center"/>
            <w:hideMark/>
          </w:tcPr>
          <w:p w14:paraId="5AFC0BA5"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-6.08</w:t>
            </w:r>
          </w:p>
        </w:tc>
        <w:tc>
          <w:tcPr>
            <w:tcW w:w="1580" w:type="dxa"/>
            <w:tcBorders>
              <w:top w:val="nil"/>
              <w:left w:val="nil"/>
              <w:bottom w:val="single" w:sz="4" w:space="0" w:color="auto"/>
              <w:right w:val="single" w:sz="4" w:space="0" w:color="auto"/>
            </w:tcBorders>
            <w:vAlign w:val="center"/>
            <w:hideMark/>
          </w:tcPr>
          <w:p w14:paraId="1257A42B"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Yes</w:t>
            </w:r>
          </w:p>
        </w:tc>
        <w:tc>
          <w:tcPr>
            <w:tcW w:w="980" w:type="dxa"/>
            <w:tcBorders>
              <w:top w:val="nil"/>
              <w:left w:val="nil"/>
              <w:bottom w:val="single" w:sz="4" w:space="0" w:color="auto"/>
              <w:right w:val="single" w:sz="4" w:space="0" w:color="auto"/>
            </w:tcBorders>
            <w:vAlign w:val="center"/>
            <w:hideMark/>
          </w:tcPr>
          <w:p w14:paraId="4741B653"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r>
      <w:tr w:rsidR="00692071" w:rsidRPr="006956C9" w14:paraId="1471E600" w14:textId="77777777" w:rsidTr="00692071">
        <w:trPr>
          <w:trHeight w:val="288"/>
        </w:trPr>
        <w:tc>
          <w:tcPr>
            <w:tcW w:w="1380" w:type="dxa"/>
            <w:tcBorders>
              <w:top w:val="nil"/>
              <w:left w:val="single" w:sz="4" w:space="0" w:color="auto"/>
              <w:bottom w:val="single" w:sz="4" w:space="0" w:color="auto"/>
              <w:right w:val="single" w:sz="4" w:space="0" w:color="auto"/>
            </w:tcBorders>
            <w:vAlign w:val="center"/>
            <w:hideMark/>
          </w:tcPr>
          <w:p w14:paraId="7490088C"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 only</w:t>
            </w:r>
          </w:p>
        </w:tc>
        <w:tc>
          <w:tcPr>
            <w:tcW w:w="1700" w:type="dxa"/>
            <w:tcBorders>
              <w:top w:val="nil"/>
              <w:left w:val="nil"/>
              <w:bottom w:val="single" w:sz="4" w:space="0" w:color="auto"/>
              <w:right w:val="single" w:sz="4" w:space="0" w:color="auto"/>
            </w:tcBorders>
            <w:vAlign w:val="center"/>
            <w:hideMark/>
          </w:tcPr>
          <w:p w14:paraId="54A4C996"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50</w:t>
            </w:r>
          </w:p>
        </w:tc>
        <w:tc>
          <w:tcPr>
            <w:tcW w:w="920" w:type="dxa"/>
            <w:tcBorders>
              <w:top w:val="nil"/>
              <w:left w:val="nil"/>
              <w:bottom w:val="single" w:sz="4" w:space="0" w:color="auto"/>
              <w:right w:val="single" w:sz="4" w:space="0" w:color="auto"/>
            </w:tcBorders>
            <w:vAlign w:val="center"/>
            <w:hideMark/>
          </w:tcPr>
          <w:p w14:paraId="50D65A88"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C</w:t>
            </w:r>
          </w:p>
        </w:tc>
        <w:tc>
          <w:tcPr>
            <w:tcW w:w="1540" w:type="dxa"/>
            <w:tcBorders>
              <w:top w:val="nil"/>
              <w:left w:val="nil"/>
              <w:bottom w:val="single" w:sz="4" w:space="0" w:color="auto"/>
              <w:right w:val="single" w:sz="4" w:space="0" w:color="auto"/>
            </w:tcBorders>
            <w:vAlign w:val="center"/>
            <w:hideMark/>
          </w:tcPr>
          <w:p w14:paraId="4A5BE17B" w14:textId="77777777" w:rsidR="00692071" w:rsidRPr="006956C9" w:rsidRDefault="0069207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0.86</w:t>
            </w:r>
          </w:p>
        </w:tc>
        <w:tc>
          <w:tcPr>
            <w:tcW w:w="1580" w:type="dxa"/>
            <w:tcBorders>
              <w:top w:val="nil"/>
              <w:left w:val="nil"/>
              <w:bottom w:val="single" w:sz="4" w:space="0" w:color="auto"/>
              <w:right w:val="single" w:sz="4" w:space="0" w:color="auto"/>
            </w:tcBorders>
            <w:vAlign w:val="center"/>
            <w:hideMark/>
          </w:tcPr>
          <w:p w14:paraId="41E60FDD"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Yes</w:t>
            </w:r>
          </w:p>
        </w:tc>
        <w:tc>
          <w:tcPr>
            <w:tcW w:w="980" w:type="dxa"/>
            <w:tcBorders>
              <w:top w:val="nil"/>
              <w:left w:val="nil"/>
              <w:bottom w:val="single" w:sz="4" w:space="0" w:color="auto"/>
              <w:right w:val="single" w:sz="4" w:space="0" w:color="auto"/>
            </w:tcBorders>
            <w:vAlign w:val="center"/>
            <w:hideMark/>
          </w:tcPr>
          <w:p w14:paraId="31FB6581" w14:textId="77777777" w:rsidR="00692071" w:rsidRPr="006956C9" w:rsidRDefault="0069207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Accept</w:t>
            </w:r>
          </w:p>
        </w:tc>
      </w:tr>
      <w:tr w:rsidR="00692071" w:rsidRPr="006956C9" w14:paraId="011887F5" w14:textId="77777777" w:rsidTr="00692071">
        <w:trPr>
          <w:trHeight w:val="288"/>
        </w:trPr>
        <w:tc>
          <w:tcPr>
            <w:tcW w:w="1380" w:type="dxa"/>
            <w:tcBorders>
              <w:top w:val="nil"/>
              <w:left w:val="single" w:sz="4" w:space="0" w:color="auto"/>
              <w:bottom w:val="single" w:sz="4" w:space="0" w:color="auto"/>
              <w:right w:val="single" w:sz="4" w:space="0" w:color="auto"/>
            </w:tcBorders>
            <w:vAlign w:val="center"/>
            <w:hideMark/>
          </w:tcPr>
          <w:p w14:paraId="70914332"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 + B</w:t>
            </w:r>
          </w:p>
        </w:tc>
        <w:tc>
          <w:tcPr>
            <w:tcW w:w="1700" w:type="dxa"/>
            <w:tcBorders>
              <w:top w:val="nil"/>
              <w:left w:val="nil"/>
              <w:bottom w:val="single" w:sz="4" w:space="0" w:color="auto"/>
              <w:right w:val="single" w:sz="4" w:space="0" w:color="auto"/>
            </w:tcBorders>
            <w:vAlign w:val="center"/>
            <w:hideMark/>
          </w:tcPr>
          <w:p w14:paraId="0FCBD405"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100</w:t>
            </w:r>
          </w:p>
        </w:tc>
        <w:tc>
          <w:tcPr>
            <w:tcW w:w="920" w:type="dxa"/>
            <w:tcBorders>
              <w:top w:val="nil"/>
              <w:left w:val="nil"/>
              <w:bottom w:val="single" w:sz="4" w:space="0" w:color="auto"/>
              <w:right w:val="single" w:sz="4" w:space="0" w:color="auto"/>
            </w:tcBorders>
            <w:vAlign w:val="center"/>
            <w:hideMark/>
          </w:tcPr>
          <w:p w14:paraId="19918B3A"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A+B</w:t>
            </w:r>
          </w:p>
        </w:tc>
        <w:tc>
          <w:tcPr>
            <w:tcW w:w="1540" w:type="dxa"/>
            <w:tcBorders>
              <w:top w:val="nil"/>
              <w:left w:val="nil"/>
              <w:bottom w:val="single" w:sz="4" w:space="0" w:color="auto"/>
              <w:right w:val="single" w:sz="4" w:space="0" w:color="auto"/>
            </w:tcBorders>
            <w:vAlign w:val="center"/>
            <w:hideMark/>
          </w:tcPr>
          <w:p w14:paraId="7F96E784"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-12.62</w:t>
            </w:r>
          </w:p>
        </w:tc>
        <w:tc>
          <w:tcPr>
            <w:tcW w:w="1580" w:type="dxa"/>
            <w:tcBorders>
              <w:top w:val="nil"/>
              <w:left w:val="nil"/>
              <w:bottom w:val="single" w:sz="4" w:space="0" w:color="auto"/>
              <w:right w:val="single" w:sz="4" w:space="0" w:color="auto"/>
            </w:tcBorders>
            <w:vAlign w:val="center"/>
            <w:hideMark/>
          </w:tcPr>
          <w:p w14:paraId="5B3C9CAD"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Yes</w:t>
            </w:r>
          </w:p>
        </w:tc>
        <w:tc>
          <w:tcPr>
            <w:tcW w:w="980" w:type="dxa"/>
            <w:tcBorders>
              <w:top w:val="nil"/>
              <w:left w:val="nil"/>
              <w:bottom w:val="single" w:sz="4" w:space="0" w:color="auto"/>
              <w:right w:val="single" w:sz="4" w:space="0" w:color="auto"/>
            </w:tcBorders>
            <w:vAlign w:val="center"/>
            <w:hideMark/>
          </w:tcPr>
          <w:p w14:paraId="3F537E13"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r>
      <w:tr w:rsidR="00692071" w:rsidRPr="006956C9" w14:paraId="62678725" w14:textId="77777777" w:rsidTr="00692071">
        <w:trPr>
          <w:trHeight w:val="288"/>
        </w:trPr>
        <w:tc>
          <w:tcPr>
            <w:tcW w:w="1380" w:type="dxa"/>
            <w:tcBorders>
              <w:top w:val="nil"/>
              <w:left w:val="single" w:sz="4" w:space="0" w:color="auto"/>
              <w:bottom w:val="single" w:sz="4" w:space="0" w:color="auto"/>
              <w:right w:val="single" w:sz="4" w:space="0" w:color="auto"/>
            </w:tcBorders>
            <w:vAlign w:val="center"/>
            <w:hideMark/>
          </w:tcPr>
          <w:p w14:paraId="25246872"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 + C</w:t>
            </w:r>
          </w:p>
        </w:tc>
        <w:tc>
          <w:tcPr>
            <w:tcW w:w="1700" w:type="dxa"/>
            <w:tcBorders>
              <w:top w:val="nil"/>
              <w:left w:val="nil"/>
              <w:bottom w:val="single" w:sz="4" w:space="0" w:color="auto"/>
              <w:right w:val="single" w:sz="4" w:space="0" w:color="auto"/>
            </w:tcBorders>
            <w:vAlign w:val="center"/>
            <w:hideMark/>
          </w:tcPr>
          <w:p w14:paraId="00C797DD"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100</w:t>
            </w:r>
          </w:p>
        </w:tc>
        <w:tc>
          <w:tcPr>
            <w:tcW w:w="920" w:type="dxa"/>
            <w:tcBorders>
              <w:top w:val="nil"/>
              <w:left w:val="nil"/>
              <w:bottom w:val="single" w:sz="4" w:space="0" w:color="auto"/>
              <w:right w:val="single" w:sz="4" w:space="0" w:color="auto"/>
            </w:tcBorders>
            <w:vAlign w:val="center"/>
            <w:hideMark/>
          </w:tcPr>
          <w:p w14:paraId="0419ABFA"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A+C</w:t>
            </w:r>
          </w:p>
        </w:tc>
        <w:tc>
          <w:tcPr>
            <w:tcW w:w="1540" w:type="dxa"/>
            <w:tcBorders>
              <w:top w:val="nil"/>
              <w:left w:val="nil"/>
              <w:bottom w:val="single" w:sz="4" w:space="0" w:color="auto"/>
              <w:right w:val="single" w:sz="4" w:space="0" w:color="auto"/>
            </w:tcBorders>
            <w:vAlign w:val="center"/>
            <w:hideMark/>
          </w:tcPr>
          <w:p w14:paraId="67E757DE" w14:textId="77777777" w:rsidR="00692071" w:rsidRPr="006956C9" w:rsidRDefault="0069207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-5.69</w:t>
            </w:r>
          </w:p>
        </w:tc>
        <w:tc>
          <w:tcPr>
            <w:tcW w:w="1580" w:type="dxa"/>
            <w:tcBorders>
              <w:top w:val="nil"/>
              <w:left w:val="nil"/>
              <w:bottom w:val="single" w:sz="4" w:space="0" w:color="auto"/>
              <w:right w:val="single" w:sz="4" w:space="0" w:color="auto"/>
            </w:tcBorders>
            <w:vAlign w:val="center"/>
            <w:hideMark/>
          </w:tcPr>
          <w:p w14:paraId="3122DCA0"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Yes</w:t>
            </w:r>
          </w:p>
        </w:tc>
        <w:tc>
          <w:tcPr>
            <w:tcW w:w="980" w:type="dxa"/>
            <w:tcBorders>
              <w:top w:val="nil"/>
              <w:left w:val="nil"/>
              <w:bottom w:val="single" w:sz="4" w:space="0" w:color="auto"/>
              <w:right w:val="single" w:sz="4" w:space="0" w:color="auto"/>
            </w:tcBorders>
            <w:vAlign w:val="center"/>
            <w:hideMark/>
          </w:tcPr>
          <w:p w14:paraId="2176B76D"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r>
      <w:tr w:rsidR="00692071" w:rsidRPr="006956C9" w14:paraId="78329D4F" w14:textId="77777777" w:rsidTr="00692071">
        <w:trPr>
          <w:trHeight w:val="288"/>
        </w:trPr>
        <w:tc>
          <w:tcPr>
            <w:tcW w:w="1380" w:type="dxa"/>
            <w:tcBorders>
              <w:top w:val="nil"/>
              <w:left w:val="single" w:sz="4" w:space="0" w:color="auto"/>
              <w:bottom w:val="single" w:sz="4" w:space="0" w:color="auto"/>
              <w:right w:val="single" w:sz="4" w:space="0" w:color="auto"/>
            </w:tcBorders>
            <w:vAlign w:val="center"/>
            <w:hideMark/>
          </w:tcPr>
          <w:p w14:paraId="38B87946"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B + C</w:t>
            </w:r>
          </w:p>
        </w:tc>
        <w:tc>
          <w:tcPr>
            <w:tcW w:w="1700" w:type="dxa"/>
            <w:tcBorders>
              <w:top w:val="nil"/>
              <w:left w:val="nil"/>
              <w:bottom w:val="single" w:sz="4" w:space="0" w:color="auto"/>
              <w:right w:val="single" w:sz="4" w:space="0" w:color="auto"/>
            </w:tcBorders>
            <w:vAlign w:val="center"/>
            <w:hideMark/>
          </w:tcPr>
          <w:p w14:paraId="18113C50"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100</w:t>
            </w:r>
          </w:p>
        </w:tc>
        <w:tc>
          <w:tcPr>
            <w:tcW w:w="920" w:type="dxa"/>
            <w:tcBorders>
              <w:top w:val="nil"/>
              <w:left w:val="nil"/>
              <w:bottom w:val="single" w:sz="4" w:space="0" w:color="auto"/>
              <w:right w:val="single" w:sz="4" w:space="0" w:color="auto"/>
            </w:tcBorders>
            <w:vAlign w:val="center"/>
            <w:hideMark/>
          </w:tcPr>
          <w:p w14:paraId="68438048"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B+C</w:t>
            </w:r>
          </w:p>
        </w:tc>
        <w:tc>
          <w:tcPr>
            <w:tcW w:w="1540" w:type="dxa"/>
            <w:tcBorders>
              <w:top w:val="nil"/>
              <w:left w:val="nil"/>
              <w:bottom w:val="single" w:sz="4" w:space="0" w:color="auto"/>
              <w:right w:val="single" w:sz="4" w:space="0" w:color="auto"/>
            </w:tcBorders>
            <w:vAlign w:val="center"/>
            <w:hideMark/>
          </w:tcPr>
          <w:p w14:paraId="009D4558" w14:textId="77777777" w:rsidR="00692071" w:rsidRPr="006956C9" w:rsidRDefault="00692071" w:rsidP="006956C9">
            <w:pPr>
              <w:spacing w:before="0" w:after="0"/>
              <w:jc w:val="righ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-5.22</w:t>
            </w:r>
          </w:p>
        </w:tc>
        <w:tc>
          <w:tcPr>
            <w:tcW w:w="1580" w:type="dxa"/>
            <w:tcBorders>
              <w:top w:val="nil"/>
              <w:left w:val="nil"/>
              <w:bottom w:val="single" w:sz="4" w:space="0" w:color="auto"/>
              <w:right w:val="single" w:sz="4" w:space="0" w:color="auto"/>
            </w:tcBorders>
            <w:vAlign w:val="center"/>
            <w:hideMark/>
          </w:tcPr>
          <w:p w14:paraId="2C79E5C3"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Yes</w:t>
            </w:r>
          </w:p>
        </w:tc>
        <w:tc>
          <w:tcPr>
            <w:tcW w:w="980" w:type="dxa"/>
            <w:tcBorders>
              <w:top w:val="nil"/>
              <w:left w:val="nil"/>
              <w:bottom w:val="single" w:sz="4" w:space="0" w:color="auto"/>
              <w:right w:val="single" w:sz="4" w:space="0" w:color="auto"/>
            </w:tcBorders>
            <w:vAlign w:val="center"/>
            <w:hideMark/>
          </w:tcPr>
          <w:p w14:paraId="5B70246F"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r>
      <w:tr w:rsidR="00692071" w:rsidRPr="006956C9" w14:paraId="125C62F0" w14:textId="77777777" w:rsidTr="00692071">
        <w:trPr>
          <w:trHeight w:val="288"/>
        </w:trPr>
        <w:tc>
          <w:tcPr>
            <w:tcW w:w="1380" w:type="dxa"/>
            <w:tcBorders>
              <w:top w:val="nil"/>
              <w:left w:val="single" w:sz="4" w:space="0" w:color="auto"/>
              <w:bottom w:val="single" w:sz="4" w:space="0" w:color="auto"/>
              <w:right w:val="single" w:sz="4" w:space="0" w:color="auto"/>
            </w:tcBorders>
            <w:vAlign w:val="center"/>
            <w:hideMark/>
          </w:tcPr>
          <w:p w14:paraId="48C9E645"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 + B + C</w:t>
            </w:r>
          </w:p>
        </w:tc>
        <w:tc>
          <w:tcPr>
            <w:tcW w:w="1700" w:type="dxa"/>
            <w:tcBorders>
              <w:top w:val="nil"/>
              <w:left w:val="nil"/>
              <w:bottom w:val="single" w:sz="4" w:space="0" w:color="auto"/>
              <w:right w:val="single" w:sz="4" w:space="0" w:color="auto"/>
            </w:tcBorders>
            <w:vAlign w:val="center"/>
            <w:hideMark/>
          </w:tcPr>
          <w:p w14:paraId="0493C79A"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150</w:t>
            </w:r>
          </w:p>
        </w:tc>
        <w:tc>
          <w:tcPr>
            <w:tcW w:w="920" w:type="dxa"/>
            <w:tcBorders>
              <w:top w:val="nil"/>
              <w:left w:val="nil"/>
              <w:bottom w:val="single" w:sz="4" w:space="0" w:color="auto"/>
              <w:right w:val="single" w:sz="4" w:space="0" w:color="auto"/>
            </w:tcBorders>
            <w:vAlign w:val="center"/>
            <w:hideMark/>
          </w:tcPr>
          <w:p w14:paraId="345D0CF4"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A+B+C</w:t>
            </w:r>
          </w:p>
        </w:tc>
        <w:tc>
          <w:tcPr>
            <w:tcW w:w="1540" w:type="dxa"/>
            <w:tcBorders>
              <w:top w:val="nil"/>
              <w:left w:val="nil"/>
              <w:bottom w:val="single" w:sz="4" w:space="0" w:color="auto"/>
              <w:right w:val="single" w:sz="4" w:space="0" w:color="auto"/>
            </w:tcBorders>
            <w:vAlign w:val="center"/>
            <w:hideMark/>
          </w:tcPr>
          <w:p w14:paraId="70C6B458" w14:textId="77777777" w:rsidR="00692071" w:rsidRPr="006956C9" w:rsidRDefault="00692071" w:rsidP="006956C9">
            <w:pPr>
              <w:spacing w:before="0" w:after="0"/>
              <w:jc w:val="righ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-11.77</w:t>
            </w:r>
          </w:p>
        </w:tc>
        <w:tc>
          <w:tcPr>
            <w:tcW w:w="1580" w:type="dxa"/>
            <w:tcBorders>
              <w:top w:val="nil"/>
              <w:left w:val="nil"/>
              <w:bottom w:val="single" w:sz="4" w:space="0" w:color="auto"/>
              <w:right w:val="single" w:sz="4" w:space="0" w:color="auto"/>
            </w:tcBorders>
            <w:vAlign w:val="center"/>
            <w:hideMark/>
          </w:tcPr>
          <w:p w14:paraId="12018DA8" w14:textId="77777777" w:rsidR="00692071" w:rsidRPr="006956C9" w:rsidRDefault="00692071" w:rsidP="006956C9">
            <w:pPr>
              <w:spacing w:before="0" w:after="0"/>
              <w:jc w:val="left"/>
              <w:rPr>
                <w:rFonts w:ascii="Arial" w:eastAsia="Times New Roman" w:hAnsi="Arial" w:cs="Arial"/>
                <w:b/>
                <w:bCs/>
                <w:color w:val="000000"/>
                <w:sz w:val="22"/>
                <w:lang w:val="en-IN" w:eastAsia="en-IN"/>
              </w:rPr>
            </w:pPr>
            <w:r w:rsidRPr="006956C9">
              <w:rPr>
                <w:rFonts w:ascii="Arial" w:eastAsia="Times New Roman" w:hAnsi="Arial" w:cs="Arial"/>
                <w:b/>
                <w:bCs/>
                <w:color w:val="000000"/>
                <w:sz w:val="22"/>
                <w:lang w:val="en-IN" w:eastAsia="en-IN"/>
              </w:rPr>
              <w:t>No</w:t>
            </w:r>
          </w:p>
        </w:tc>
        <w:tc>
          <w:tcPr>
            <w:tcW w:w="980" w:type="dxa"/>
            <w:tcBorders>
              <w:top w:val="nil"/>
              <w:left w:val="nil"/>
              <w:bottom w:val="single" w:sz="4" w:space="0" w:color="auto"/>
              <w:right w:val="single" w:sz="4" w:space="0" w:color="auto"/>
            </w:tcBorders>
            <w:vAlign w:val="center"/>
            <w:hideMark/>
          </w:tcPr>
          <w:p w14:paraId="60A418E8" w14:textId="77777777" w:rsidR="00692071" w:rsidRPr="006956C9" w:rsidRDefault="00692071" w:rsidP="006956C9">
            <w:pPr>
              <w:spacing w:before="0" w:after="0"/>
              <w:jc w:val="left"/>
              <w:rPr>
                <w:rFonts w:ascii="Arial" w:eastAsia="Times New Roman" w:hAnsi="Arial" w:cs="Arial"/>
                <w:color w:val="000000"/>
                <w:sz w:val="22"/>
                <w:lang w:val="en-IN" w:eastAsia="en-IN"/>
              </w:rPr>
            </w:pPr>
            <w:r w:rsidRPr="006956C9">
              <w:rPr>
                <w:rFonts w:ascii="Arial" w:eastAsia="Times New Roman" w:hAnsi="Arial" w:cs="Arial"/>
                <w:color w:val="000000"/>
                <w:sz w:val="22"/>
                <w:lang w:val="en-IN" w:eastAsia="en-IN"/>
              </w:rPr>
              <w:t>Reject</w:t>
            </w:r>
          </w:p>
        </w:tc>
      </w:tr>
    </w:tbl>
    <w:p w14:paraId="139042C4" w14:textId="1394B5C8" w:rsidR="0089435E" w:rsidRPr="006956C9" w:rsidRDefault="0089435E" w:rsidP="006956C9">
      <w:pPr>
        <w:rPr>
          <w:rFonts w:ascii="Arial" w:hAnsi="Arial" w:cs="Arial"/>
          <w:b/>
          <w:bCs/>
        </w:rPr>
      </w:pPr>
    </w:p>
    <w:sectPr w:rsidR="0089435E" w:rsidRPr="006956C9" w:rsidSect="00382C4B">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2A8E8" w14:textId="77777777" w:rsidR="00313F39" w:rsidRDefault="00313F39" w:rsidP="00382C4B">
      <w:pPr>
        <w:spacing w:before="0" w:after="0" w:line="240" w:lineRule="auto"/>
      </w:pPr>
      <w:r>
        <w:separator/>
      </w:r>
    </w:p>
  </w:endnote>
  <w:endnote w:type="continuationSeparator" w:id="0">
    <w:p w14:paraId="02DB54F9" w14:textId="77777777" w:rsidR="00313F39" w:rsidRDefault="00313F39" w:rsidP="00382C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483240"/>
      <w:docPartObj>
        <w:docPartGallery w:val="Page Numbers (Bottom of Page)"/>
        <w:docPartUnique/>
      </w:docPartObj>
    </w:sdtPr>
    <w:sdtEndPr>
      <w:rPr>
        <w:noProof/>
      </w:rPr>
    </w:sdtEndPr>
    <w:sdtContent>
      <w:p w14:paraId="686F204E" w14:textId="04988CA6" w:rsidR="00382C4B" w:rsidRDefault="00382C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15988A" w14:textId="77777777" w:rsidR="00382C4B" w:rsidRDefault="00382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7EE52" w14:textId="77777777" w:rsidR="00313F39" w:rsidRDefault="00313F39" w:rsidP="00382C4B">
      <w:pPr>
        <w:spacing w:before="0" w:after="0" w:line="240" w:lineRule="auto"/>
      </w:pPr>
      <w:r>
        <w:separator/>
      </w:r>
    </w:p>
  </w:footnote>
  <w:footnote w:type="continuationSeparator" w:id="0">
    <w:p w14:paraId="4CD0C119" w14:textId="77777777" w:rsidR="00313F39" w:rsidRDefault="00313F39" w:rsidP="00382C4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0751E"/>
    <w:multiLevelType w:val="multilevel"/>
    <w:tmpl w:val="B3881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0D0CE1"/>
    <w:multiLevelType w:val="multilevel"/>
    <w:tmpl w:val="6714D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971232"/>
    <w:multiLevelType w:val="hybridMultilevel"/>
    <w:tmpl w:val="8F6A39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4364530"/>
    <w:multiLevelType w:val="multilevel"/>
    <w:tmpl w:val="F5EA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4719125">
    <w:abstractNumId w:val="0"/>
  </w:num>
  <w:num w:numId="2" w16cid:durableId="1626695575">
    <w:abstractNumId w:val="3"/>
  </w:num>
  <w:num w:numId="3" w16cid:durableId="479924784">
    <w:abstractNumId w:val="1"/>
  </w:num>
  <w:num w:numId="4" w16cid:durableId="1541433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rA0MzU0MjUyNze2tDBR0lEKTi0uzszPAykwqgUAqm/gFiwAAAA="/>
  </w:docVars>
  <w:rsids>
    <w:rsidRoot w:val="00382C4B"/>
    <w:rsid w:val="00010419"/>
    <w:rsid w:val="00036163"/>
    <w:rsid w:val="00080549"/>
    <w:rsid w:val="000A182D"/>
    <w:rsid w:val="000F1094"/>
    <w:rsid w:val="0010394D"/>
    <w:rsid w:val="00104E32"/>
    <w:rsid w:val="00105B46"/>
    <w:rsid w:val="001144B6"/>
    <w:rsid w:val="00126390"/>
    <w:rsid w:val="0012785F"/>
    <w:rsid w:val="001431C1"/>
    <w:rsid w:val="00143A53"/>
    <w:rsid w:val="00155EF8"/>
    <w:rsid w:val="0017685D"/>
    <w:rsid w:val="00186824"/>
    <w:rsid w:val="001950B8"/>
    <w:rsid w:val="001B5E31"/>
    <w:rsid w:val="001C3676"/>
    <w:rsid w:val="002057EB"/>
    <w:rsid w:val="002226D0"/>
    <w:rsid w:val="00222F4E"/>
    <w:rsid w:val="00225642"/>
    <w:rsid w:val="002260E5"/>
    <w:rsid w:val="002318E3"/>
    <w:rsid w:val="00233DA2"/>
    <w:rsid w:val="002452C8"/>
    <w:rsid w:val="002467FB"/>
    <w:rsid w:val="0028401D"/>
    <w:rsid w:val="002A7250"/>
    <w:rsid w:val="002B6D37"/>
    <w:rsid w:val="002C2EE4"/>
    <w:rsid w:val="002F3107"/>
    <w:rsid w:val="002F6613"/>
    <w:rsid w:val="003066DE"/>
    <w:rsid w:val="00313F39"/>
    <w:rsid w:val="00314417"/>
    <w:rsid w:val="00344625"/>
    <w:rsid w:val="00345E91"/>
    <w:rsid w:val="003573F5"/>
    <w:rsid w:val="00382C4B"/>
    <w:rsid w:val="0039134C"/>
    <w:rsid w:val="003E75AC"/>
    <w:rsid w:val="003F470D"/>
    <w:rsid w:val="004443FB"/>
    <w:rsid w:val="004556DD"/>
    <w:rsid w:val="004603C1"/>
    <w:rsid w:val="004949D4"/>
    <w:rsid w:val="0049722A"/>
    <w:rsid w:val="004A1958"/>
    <w:rsid w:val="004C272D"/>
    <w:rsid w:val="004C50B8"/>
    <w:rsid w:val="005247FA"/>
    <w:rsid w:val="00533960"/>
    <w:rsid w:val="00541F78"/>
    <w:rsid w:val="005512BC"/>
    <w:rsid w:val="005655DD"/>
    <w:rsid w:val="00573722"/>
    <w:rsid w:val="005B6B06"/>
    <w:rsid w:val="005C7CCF"/>
    <w:rsid w:val="005F6B77"/>
    <w:rsid w:val="00600139"/>
    <w:rsid w:val="0060133E"/>
    <w:rsid w:val="006041EA"/>
    <w:rsid w:val="0061151C"/>
    <w:rsid w:val="00621B13"/>
    <w:rsid w:val="00622BD3"/>
    <w:rsid w:val="00630C8F"/>
    <w:rsid w:val="006538A1"/>
    <w:rsid w:val="00691090"/>
    <w:rsid w:val="00692071"/>
    <w:rsid w:val="006956C9"/>
    <w:rsid w:val="006A211D"/>
    <w:rsid w:val="006A4C6E"/>
    <w:rsid w:val="006B754F"/>
    <w:rsid w:val="006B7E99"/>
    <w:rsid w:val="006C7130"/>
    <w:rsid w:val="006D6308"/>
    <w:rsid w:val="006E5FAE"/>
    <w:rsid w:val="006F366A"/>
    <w:rsid w:val="006F59E0"/>
    <w:rsid w:val="00703FB9"/>
    <w:rsid w:val="00724FD6"/>
    <w:rsid w:val="007251E7"/>
    <w:rsid w:val="00730661"/>
    <w:rsid w:val="007404DC"/>
    <w:rsid w:val="007C6A72"/>
    <w:rsid w:val="007D06D9"/>
    <w:rsid w:val="007D4375"/>
    <w:rsid w:val="007E2B1B"/>
    <w:rsid w:val="007E3C81"/>
    <w:rsid w:val="007E61CC"/>
    <w:rsid w:val="00827B13"/>
    <w:rsid w:val="00847129"/>
    <w:rsid w:val="0085142B"/>
    <w:rsid w:val="008704AE"/>
    <w:rsid w:val="0089435E"/>
    <w:rsid w:val="008A0EDB"/>
    <w:rsid w:val="008B7DE1"/>
    <w:rsid w:val="008B7FC7"/>
    <w:rsid w:val="008D1839"/>
    <w:rsid w:val="008D2CEF"/>
    <w:rsid w:val="008D4204"/>
    <w:rsid w:val="008E4DEB"/>
    <w:rsid w:val="00985BC4"/>
    <w:rsid w:val="009E3750"/>
    <w:rsid w:val="00A12FD1"/>
    <w:rsid w:val="00A33A18"/>
    <w:rsid w:val="00A72D9E"/>
    <w:rsid w:val="00A8500B"/>
    <w:rsid w:val="00AC67C8"/>
    <w:rsid w:val="00AE3AC5"/>
    <w:rsid w:val="00B26B55"/>
    <w:rsid w:val="00B3525E"/>
    <w:rsid w:val="00B35961"/>
    <w:rsid w:val="00B447A8"/>
    <w:rsid w:val="00B675D3"/>
    <w:rsid w:val="00B86941"/>
    <w:rsid w:val="00BB6966"/>
    <w:rsid w:val="00BF15FF"/>
    <w:rsid w:val="00C00724"/>
    <w:rsid w:val="00C03AD8"/>
    <w:rsid w:val="00C168FB"/>
    <w:rsid w:val="00C17585"/>
    <w:rsid w:val="00C26956"/>
    <w:rsid w:val="00C44A13"/>
    <w:rsid w:val="00C50280"/>
    <w:rsid w:val="00C52A91"/>
    <w:rsid w:val="00C66D0D"/>
    <w:rsid w:val="00C77653"/>
    <w:rsid w:val="00CA2EB8"/>
    <w:rsid w:val="00CB0443"/>
    <w:rsid w:val="00CD1081"/>
    <w:rsid w:val="00CE2C82"/>
    <w:rsid w:val="00CF020C"/>
    <w:rsid w:val="00CF1052"/>
    <w:rsid w:val="00D21C58"/>
    <w:rsid w:val="00D50E1E"/>
    <w:rsid w:val="00D915C2"/>
    <w:rsid w:val="00D93AA0"/>
    <w:rsid w:val="00D95C7E"/>
    <w:rsid w:val="00DB0EF2"/>
    <w:rsid w:val="00DB35C1"/>
    <w:rsid w:val="00DE47AC"/>
    <w:rsid w:val="00E02C72"/>
    <w:rsid w:val="00E272F5"/>
    <w:rsid w:val="00E97B85"/>
    <w:rsid w:val="00EA4C08"/>
    <w:rsid w:val="00F00D18"/>
    <w:rsid w:val="00F07797"/>
    <w:rsid w:val="00F407CC"/>
    <w:rsid w:val="00F4379B"/>
    <w:rsid w:val="00F70C8E"/>
    <w:rsid w:val="00F979CB"/>
    <w:rsid w:val="00FA5C34"/>
    <w:rsid w:val="00FA73B6"/>
    <w:rsid w:val="00FE4DAD"/>
    <w:rsid w:val="00FE5F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00E81"/>
  <w15:chartTrackingRefBased/>
  <w15:docId w15:val="{B548711A-A0C6-413F-B4F4-E16925424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24"/>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1950B8"/>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382C4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82C4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82C4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82C4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82C4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82C4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1950B8"/>
    <w:rPr>
      <w:rFonts w:ascii="Times New Roman" w:eastAsiaTheme="majorEastAsia" w:hAnsi="Times New Roman" w:cstheme="majorBid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382C4B"/>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382C4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382C4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82C4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82C4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82C4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82C4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C4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82C4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C4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82C4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2C4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382C4B"/>
    <w:pPr>
      <w:ind w:left="720"/>
      <w:contextualSpacing/>
    </w:pPr>
  </w:style>
  <w:style w:type="character" w:styleId="IntenseEmphasis">
    <w:name w:val="Intense Emphasis"/>
    <w:basedOn w:val="DefaultParagraphFont"/>
    <w:uiPriority w:val="21"/>
    <w:qFormat/>
    <w:rsid w:val="00382C4B"/>
    <w:rPr>
      <w:i/>
      <w:iCs/>
      <w:color w:val="0F4761" w:themeColor="accent1" w:themeShade="BF"/>
    </w:rPr>
  </w:style>
  <w:style w:type="paragraph" w:styleId="IntenseQuote">
    <w:name w:val="Intense Quote"/>
    <w:basedOn w:val="Normal"/>
    <w:next w:val="Normal"/>
    <w:link w:val="IntenseQuoteChar"/>
    <w:uiPriority w:val="30"/>
    <w:qFormat/>
    <w:rsid w:val="00382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C4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382C4B"/>
    <w:rPr>
      <w:b/>
      <w:bCs/>
      <w:smallCaps/>
      <w:color w:val="0F4761" w:themeColor="accent1" w:themeShade="BF"/>
      <w:spacing w:val="5"/>
    </w:rPr>
  </w:style>
  <w:style w:type="paragraph" w:styleId="Header">
    <w:name w:val="header"/>
    <w:basedOn w:val="Normal"/>
    <w:link w:val="HeaderChar"/>
    <w:uiPriority w:val="99"/>
    <w:unhideWhenUsed/>
    <w:rsid w:val="00382C4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82C4B"/>
    <w:rPr>
      <w:rFonts w:ascii="Times New Roman" w:hAnsi="Times New Roman"/>
      <w:sz w:val="24"/>
      <w:lang w:val="en-GB"/>
    </w:rPr>
  </w:style>
  <w:style w:type="paragraph" w:styleId="Footer">
    <w:name w:val="footer"/>
    <w:basedOn w:val="Normal"/>
    <w:link w:val="FooterChar"/>
    <w:uiPriority w:val="99"/>
    <w:unhideWhenUsed/>
    <w:rsid w:val="00382C4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82C4B"/>
    <w:rPr>
      <w:rFonts w:ascii="Times New Roman" w:hAnsi="Times New Roman"/>
      <w:sz w:val="24"/>
      <w:lang w:val="en-GB"/>
    </w:rPr>
  </w:style>
  <w:style w:type="paragraph" w:styleId="Caption">
    <w:name w:val="caption"/>
    <w:basedOn w:val="Normal"/>
    <w:next w:val="Normal"/>
    <w:uiPriority w:val="35"/>
    <w:unhideWhenUsed/>
    <w:qFormat/>
    <w:rsid w:val="001950B8"/>
    <w:pPr>
      <w:spacing w:before="0" w:after="200" w:line="240" w:lineRule="auto"/>
    </w:pPr>
    <w:rPr>
      <w:i/>
      <w:iCs/>
      <w:color w:val="0E2841" w:themeColor="text2"/>
      <w:sz w:val="18"/>
      <w:szCs w:val="18"/>
    </w:rPr>
  </w:style>
  <w:style w:type="table" w:styleId="ListTable3-Accent5">
    <w:name w:val="List Table 3 Accent 5"/>
    <w:basedOn w:val="TableNormal"/>
    <w:uiPriority w:val="48"/>
    <w:rsid w:val="00F07797"/>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4">
    <w:name w:val="List Table 3 Accent 4"/>
    <w:basedOn w:val="TableNormal"/>
    <w:uiPriority w:val="48"/>
    <w:rsid w:val="00F07797"/>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paragraph" w:styleId="NoSpacing">
    <w:name w:val="No Spacing"/>
    <w:uiPriority w:val="1"/>
    <w:qFormat/>
    <w:rsid w:val="00F07797"/>
    <w:pPr>
      <w:spacing w:after="0" w:line="240" w:lineRule="auto"/>
      <w:jc w:val="both"/>
    </w:pPr>
    <w:rPr>
      <w:rFonts w:ascii="Times New Roman" w:hAnsi="Times New Roman"/>
      <w:sz w:val="24"/>
      <w:lang w:val="en-GB"/>
    </w:rPr>
  </w:style>
  <w:style w:type="table" w:styleId="ListTable4-Accent4">
    <w:name w:val="List Table 4 Accent 4"/>
    <w:basedOn w:val="TableNormal"/>
    <w:uiPriority w:val="49"/>
    <w:rsid w:val="0085142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8E4DEB"/>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8E4DEB"/>
    <w:pPr>
      <w:spacing w:after="100"/>
    </w:pPr>
  </w:style>
  <w:style w:type="paragraph" w:styleId="TOC2">
    <w:name w:val="toc 2"/>
    <w:basedOn w:val="Normal"/>
    <w:next w:val="Normal"/>
    <w:autoRedefine/>
    <w:uiPriority w:val="39"/>
    <w:unhideWhenUsed/>
    <w:rsid w:val="008E4DEB"/>
    <w:pPr>
      <w:spacing w:after="100"/>
      <w:ind w:left="240"/>
    </w:pPr>
  </w:style>
  <w:style w:type="character" w:styleId="Hyperlink">
    <w:name w:val="Hyperlink"/>
    <w:basedOn w:val="DefaultParagraphFont"/>
    <w:uiPriority w:val="99"/>
    <w:unhideWhenUsed/>
    <w:rsid w:val="008E4DEB"/>
    <w:rPr>
      <w:color w:val="467886" w:themeColor="hyperlink"/>
      <w:u w:val="single"/>
    </w:rPr>
  </w:style>
  <w:style w:type="character" w:styleId="UnresolvedMention">
    <w:name w:val="Unresolved Mention"/>
    <w:basedOn w:val="DefaultParagraphFont"/>
    <w:uiPriority w:val="99"/>
    <w:semiHidden/>
    <w:unhideWhenUsed/>
    <w:rsid w:val="008B7FC7"/>
    <w:rPr>
      <w:color w:val="605E5C"/>
      <w:shd w:val="clear" w:color="auto" w:fill="E1DFDD"/>
    </w:rPr>
  </w:style>
  <w:style w:type="paragraph" w:styleId="TableofFigures">
    <w:name w:val="table of figures"/>
    <w:basedOn w:val="Normal"/>
    <w:next w:val="Normal"/>
    <w:uiPriority w:val="99"/>
    <w:unhideWhenUsed/>
    <w:rsid w:val="0001041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yperlink" Target="https://marriott.gcs-web.com/static-files/bb2be39e-790e-49c3-b247-3ce75f0e3ee8" TargetMode="External"/><Relationship Id="rId3" Type="http://schemas.openxmlformats.org/officeDocument/2006/relationships/styles" Target="styles.xml"/><Relationship Id="rId21" Type="http://schemas.openxmlformats.org/officeDocument/2006/relationships/hyperlink" Target="https://marriott.gcs-web.com/static-files/9cf0e9b0-bbfa-48a6-9e21-ffbdbc4b2d78"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marriott.gcs-web.com/static-files/c0fb865c-15b1-4166-9846-49b548da1ce4" TargetMode="External"/><Relationship Id="rId2" Type="http://schemas.openxmlformats.org/officeDocument/2006/relationships/numbering" Target="numbering.xml"/><Relationship Id="rId16" Type="http://schemas.openxmlformats.org/officeDocument/2006/relationships/hyperlink" Target="https://marriott.gcs-web.com/static-files/33ba0a19-8a68-4f3f-9f73-fef2c458c22e" TargetMode="External"/><Relationship Id="rId20" Type="http://schemas.openxmlformats.org/officeDocument/2006/relationships/hyperlink" Target="https://www.marriott.com/marriott/aboutmarriott.m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marriott.gcs-web.com/annua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us\Desktop\work\JS%20FINANCE%20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us\Desktop\work\JS%20FINANCE%20WOR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us\Desktop\work\JS%20FINANCE%20WOR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us\Desktop\work\JS%20FINANCE%20WOR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us\Desktop\work\JS%20FINANCE%20WOR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sus\Desktop\work\JS%20FINANCE%20WORK.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600" b="1" i="0" u="none" strike="noStrike" baseline="0">
                <a:effectLst/>
              </a:rPr>
              <a:t>Marriott Revenue, Operating Income and Net Income</a:t>
            </a:r>
            <a:endParaRPr lang="en-IN"/>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IN"/>
        </a:p>
      </c:txPr>
    </c:title>
    <c:autoTitleDeleted val="0"/>
    <c:plotArea>
      <c:layout>
        <c:manualLayout>
          <c:layoutTarget val="inner"/>
          <c:xMode val="edge"/>
          <c:yMode val="edge"/>
          <c:x val="0.16633114610673666"/>
          <c:y val="0.27342592592592591"/>
          <c:w val="0.80311329833770784"/>
          <c:h val="0.46704432779235927"/>
        </c:manualLayout>
      </c:layout>
      <c:barChart>
        <c:barDir val="col"/>
        <c:grouping val="clustered"/>
        <c:varyColors val="0"/>
        <c:ser>
          <c:idx val="0"/>
          <c:order val="0"/>
          <c:tx>
            <c:strRef>
              <c:f>'FINANCIAL DATA OF 5 YEARS'!$A$3</c:f>
              <c:strCache>
                <c:ptCount val="1"/>
                <c:pt idx="0">
                  <c:v>Total Revenue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'FINANCIAL DATA OF 5 YEARS'!$B$1:$F$1</c:f>
              <c:numCache>
                <c:formatCode>General</c:formatCode>
                <c:ptCount val="5"/>
                <c:pt idx="0">
                  <c:v>2021</c:v>
                </c:pt>
                <c:pt idx="1">
                  <c:v>2022</c:v>
                </c:pt>
                <c:pt idx="2">
                  <c:v>2023</c:v>
                </c:pt>
                <c:pt idx="3">
                  <c:v>2024</c:v>
                </c:pt>
                <c:pt idx="4">
                  <c:v>2025</c:v>
                </c:pt>
              </c:numCache>
            </c:numRef>
          </c:cat>
          <c:val>
            <c:numRef>
              <c:f>'FINANCIAL DATA OF 5 YEARS'!$B$3:$F$3</c:f>
              <c:numCache>
                <c:formatCode>#,##0</c:formatCode>
                <c:ptCount val="5"/>
                <c:pt idx="0">
                  <c:v>13857</c:v>
                </c:pt>
                <c:pt idx="1">
                  <c:v>20773</c:v>
                </c:pt>
                <c:pt idx="2">
                  <c:v>23713</c:v>
                </c:pt>
                <c:pt idx="3">
                  <c:v>25100</c:v>
                </c:pt>
                <c:pt idx="4">
                  <c:v>26186</c:v>
                </c:pt>
              </c:numCache>
            </c:numRef>
          </c:val>
          <c:extLst>
            <c:ext xmlns:c16="http://schemas.microsoft.com/office/drawing/2014/chart" uri="{C3380CC4-5D6E-409C-BE32-E72D297353CC}">
              <c16:uniqueId val="{00000000-C44E-474B-ABF6-89052786EBFB}"/>
            </c:ext>
          </c:extLst>
        </c:ser>
        <c:ser>
          <c:idx val="1"/>
          <c:order val="1"/>
          <c:tx>
            <c:strRef>
              <c:f>'FINANCIAL DATA OF 5 YEARS'!$A$8</c:f>
              <c:strCache>
                <c:ptCount val="1"/>
                <c:pt idx="0">
                  <c:v>Operating Income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0"/>
                  <c:y val="-1.388888888888888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44E-474B-ABF6-89052786EBFB}"/>
                </c:ext>
              </c:extLst>
            </c:dLbl>
            <c:dLbl>
              <c:idx val="1"/>
              <c:layout>
                <c:manualLayout>
                  <c:x val="0"/>
                  <c:y val="-1.388888888888888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C44E-474B-ABF6-89052786EBFB}"/>
                </c:ext>
              </c:extLst>
            </c:dLbl>
            <c:dLbl>
              <c:idx val="2"/>
              <c:layout>
                <c:manualLayout>
                  <c:x val="5.5555555555555558E-3"/>
                  <c:y val="-3.240740740740740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44E-474B-ABF6-89052786EBFB}"/>
                </c:ext>
              </c:extLst>
            </c:dLbl>
            <c:dLbl>
              <c:idx val="3"/>
              <c:layout>
                <c:manualLayout>
                  <c:x val="-1.0185067526415994E-16"/>
                  <c:y val="-1.851851851851860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44E-474B-ABF6-89052786EBFB}"/>
                </c:ext>
              </c:extLst>
            </c:dLbl>
            <c:dLbl>
              <c:idx val="4"/>
              <c:layout>
                <c:manualLayout>
                  <c:x val="2.7777777777777779E-3"/>
                  <c:y val="-1.851851851851851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44E-474B-ABF6-89052786EBF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'FINANCIAL DATA OF 5 YEARS'!$B$1:$F$1</c:f>
              <c:numCache>
                <c:formatCode>General</c:formatCode>
                <c:ptCount val="5"/>
                <c:pt idx="0">
                  <c:v>2021</c:v>
                </c:pt>
                <c:pt idx="1">
                  <c:v>2022</c:v>
                </c:pt>
                <c:pt idx="2">
                  <c:v>2023</c:v>
                </c:pt>
                <c:pt idx="3">
                  <c:v>2024</c:v>
                </c:pt>
                <c:pt idx="4">
                  <c:v>2025</c:v>
                </c:pt>
              </c:numCache>
            </c:numRef>
          </c:cat>
          <c:val>
            <c:numRef>
              <c:f>'FINANCIAL DATA OF 5 YEARS'!$B$8:$F$8</c:f>
              <c:numCache>
                <c:formatCode>#,##0</c:formatCode>
                <c:ptCount val="5"/>
                <c:pt idx="0">
                  <c:v>1750</c:v>
                </c:pt>
                <c:pt idx="1">
                  <c:v>3462</c:v>
                </c:pt>
                <c:pt idx="2">
                  <c:v>3864</c:v>
                </c:pt>
                <c:pt idx="3">
                  <c:v>3767</c:v>
                </c:pt>
                <c:pt idx="4">
                  <c:v>4141</c:v>
                </c:pt>
              </c:numCache>
            </c:numRef>
          </c:val>
          <c:extLst>
            <c:ext xmlns:c16="http://schemas.microsoft.com/office/drawing/2014/chart" uri="{C3380CC4-5D6E-409C-BE32-E72D297353CC}">
              <c16:uniqueId val="{00000006-C44E-474B-ABF6-89052786EBFB}"/>
            </c:ext>
          </c:extLst>
        </c:ser>
        <c:ser>
          <c:idx val="2"/>
          <c:order val="2"/>
          <c:tx>
            <c:strRef>
              <c:f>'FINANCIAL DATA OF 5 YEARS'!$A$13</c:f>
              <c:strCache>
                <c:ptCount val="1"/>
                <c:pt idx="0">
                  <c:v>Net Income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5.5555555555555558E-3"/>
                  <c:y val="9.259259259259173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C44E-474B-ABF6-89052786EBFB}"/>
                </c:ext>
              </c:extLst>
            </c:dLbl>
            <c:dLbl>
              <c:idx val="1"/>
              <c:layout>
                <c:manualLayout>
                  <c:x val="5.5555555555555558E-3"/>
                  <c:y val="9.259259259259258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C44E-474B-ABF6-89052786EBF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'FINANCIAL DATA OF 5 YEARS'!$B$1:$F$1</c:f>
              <c:numCache>
                <c:formatCode>General</c:formatCode>
                <c:ptCount val="5"/>
                <c:pt idx="0">
                  <c:v>2021</c:v>
                </c:pt>
                <c:pt idx="1">
                  <c:v>2022</c:v>
                </c:pt>
                <c:pt idx="2">
                  <c:v>2023</c:v>
                </c:pt>
                <c:pt idx="3">
                  <c:v>2024</c:v>
                </c:pt>
                <c:pt idx="4">
                  <c:v>2025</c:v>
                </c:pt>
              </c:numCache>
            </c:numRef>
          </c:cat>
          <c:val>
            <c:numRef>
              <c:f>'FINANCIAL DATA OF 5 YEARS'!$B$13:$F$13</c:f>
              <c:numCache>
                <c:formatCode>#,##0</c:formatCode>
                <c:ptCount val="5"/>
                <c:pt idx="0">
                  <c:v>1099</c:v>
                </c:pt>
                <c:pt idx="1">
                  <c:v>2358</c:v>
                </c:pt>
                <c:pt idx="2">
                  <c:v>3083</c:v>
                </c:pt>
                <c:pt idx="3">
                  <c:v>2375</c:v>
                </c:pt>
                <c:pt idx="4">
                  <c:v>2601</c:v>
                </c:pt>
              </c:numCache>
            </c:numRef>
          </c:val>
          <c:extLst>
            <c:ext xmlns:c16="http://schemas.microsoft.com/office/drawing/2014/chart" uri="{C3380CC4-5D6E-409C-BE32-E72D297353CC}">
              <c16:uniqueId val="{00000009-C44E-474B-ABF6-89052786EBFB}"/>
            </c:ext>
          </c:extLst>
        </c:ser>
        <c:dLbls>
          <c:dLblPos val="outEnd"/>
          <c:showLegendKey val="0"/>
          <c:showVal val="1"/>
          <c:showCatName val="0"/>
          <c:showSerName val="0"/>
          <c:showPercent val="0"/>
          <c:showBubbleSize val="0"/>
        </c:dLbls>
        <c:gapWidth val="100"/>
        <c:overlap val="-24"/>
        <c:axId val="698116528"/>
        <c:axId val="929701840"/>
      </c:barChart>
      <c:catAx>
        <c:axId val="69811652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a:t>year</a:t>
                </a:r>
              </a:p>
            </c:rich>
          </c:tx>
          <c:layout>
            <c:manualLayout>
              <c:xMode val="edge"/>
              <c:yMode val="edge"/>
              <c:x val="0.49346412948381452"/>
              <c:y val="0.83398075240594927"/>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9701840"/>
        <c:crosses val="autoZero"/>
        <c:auto val="1"/>
        <c:lblAlgn val="ctr"/>
        <c:lblOffset val="100"/>
        <c:noMultiLvlLbl val="0"/>
      </c:catAx>
      <c:valAx>
        <c:axId val="9297018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a:t>$m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8116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600" b="1" i="0" u="none" strike="noStrike" baseline="0">
                <a:effectLst>
                  <a:outerShdw blurRad="50800" dist="38100" dir="5400000" algn="t" rotWithShape="0">
                    <a:prstClr val="black">
                      <a:alpha val="40000"/>
                    </a:prstClr>
                  </a:outerShdw>
                </a:effectLst>
              </a:rPr>
              <a:t>Marriott Operating Cash Flow and Capital Expenditure </a:t>
            </a:r>
            <a:endParaRPr lang="en-IN"/>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IN"/>
        </a:p>
      </c:txPr>
    </c:title>
    <c:autoTitleDeleted val="0"/>
    <c:plotArea>
      <c:layout/>
      <c:barChart>
        <c:barDir val="col"/>
        <c:grouping val="clustered"/>
        <c:varyColors val="0"/>
        <c:ser>
          <c:idx val="0"/>
          <c:order val="0"/>
          <c:tx>
            <c:strRef>
              <c:f>'FINANCIAL DATA OF 5 YEARS'!$A$32</c:f>
              <c:strCache>
                <c:ptCount val="1"/>
                <c:pt idx="0">
                  <c:v>Cash Flow from Operating Activities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'FINANCIAL DATA OF 5 YEARS'!$B$1:$F$1</c:f>
              <c:numCache>
                <c:formatCode>General</c:formatCode>
                <c:ptCount val="5"/>
                <c:pt idx="0">
                  <c:v>2021</c:v>
                </c:pt>
                <c:pt idx="1">
                  <c:v>2022</c:v>
                </c:pt>
                <c:pt idx="2">
                  <c:v>2023</c:v>
                </c:pt>
                <c:pt idx="3">
                  <c:v>2024</c:v>
                </c:pt>
                <c:pt idx="4">
                  <c:v>2025</c:v>
                </c:pt>
              </c:numCache>
            </c:numRef>
          </c:cat>
          <c:val>
            <c:numRef>
              <c:f>'FINANCIAL DATA OF 5 YEARS'!$B$32:$F$32</c:f>
              <c:numCache>
                <c:formatCode>#,##0</c:formatCode>
                <c:ptCount val="5"/>
                <c:pt idx="0">
                  <c:v>1177</c:v>
                </c:pt>
                <c:pt idx="1">
                  <c:v>2363</c:v>
                </c:pt>
                <c:pt idx="2">
                  <c:v>3170</c:v>
                </c:pt>
                <c:pt idx="3">
                  <c:v>2749</c:v>
                </c:pt>
                <c:pt idx="4">
                  <c:v>3212</c:v>
                </c:pt>
              </c:numCache>
            </c:numRef>
          </c:val>
          <c:extLst>
            <c:ext xmlns:c16="http://schemas.microsoft.com/office/drawing/2014/chart" uri="{C3380CC4-5D6E-409C-BE32-E72D297353CC}">
              <c16:uniqueId val="{00000000-A7E9-4D78-AD26-3D124569226D}"/>
            </c:ext>
          </c:extLst>
        </c:ser>
        <c:ser>
          <c:idx val="1"/>
          <c:order val="1"/>
          <c:tx>
            <c:strRef>
              <c:f>'FINANCIAL DATA OF 5 YEARS'!$A$33</c:f>
              <c:strCache>
                <c:ptCount val="1"/>
                <c:pt idx="0">
                  <c:v>Capital &amp; Technology Expenditure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'FINANCIAL DATA OF 5 YEARS'!$B$1:$F$1</c:f>
              <c:numCache>
                <c:formatCode>General</c:formatCode>
                <c:ptCount val="5"/>
                <c:pt idx="0">
                  <c:v>2021</c:v>
                </c:pt>
                <c:pt idx="1">
                  <c:v>2022</c:v>
                </c:pt>
                <c:pt idx="2">
                  <c:v>2023</c:v>
                </c:pt>
                <c:pt idx="3">
                  <c:v>2024</c:v>
                </c:pt>
                <c:pt idx="4">
                  <c:v>2025</c:v>
                </c:pt>
              </c:numCache>
            </c:numRef>
          </c:cat>
          <c:val>
            <c:numRef>
              <c:f>'FINANCIAL DATA OF 5 YEARS'!$B$33:$F$33</c:f>
              <c:numCache>
                <c:formatCode>General</c:formatCode>
                <c:ptCount val="5"/>
                <c:pt idx="0">
                  <c:v>183</c:v>
                </c:pt>
                <c:pt idx="1">
                  <c:v>332</c:v>
                </c:pt>
                <c:pt idx="2">
                  <c:v>452</c:v>
                </c:pt>
                <c:pt idx="3">
                  <c:v>750</c:v>
                </c:pt>
                <c:pt idx="4">
                  <c:v>604</c:v>
                </c:pt>
              </c:numCache>
            </c:numRef>
          </c:val>
          <c:extLst>
            <c:ext xmlns:c16="http://schemas.microsoft.com/office/drawing/2014/chart" uri="{C3380CC4-5D6E-409C-BE32-E72D297353CC}">
              <c16:uniqueId val="{00000001-A7E9-4D78-AD26-3D124569226D}"/>
            </c:ext>
          </c:extLst>
        </c:ser>
        <c:dLbls>
          <c:dLblPos val="outEnd"/>
          <c:showLegendKey val="0"/>
          <c:showVal val="1"/>
          <c:showCatName val="0"/>
          <c:showSerName val="0"/>
          <c:showPercent val="0"/>
          <c:showBubbleSize val="0"/>
        </c:dLbls>
        <c:gapWidth val="100"/>
        <c:overlap val="-24"/>
        <c:axId val="883860736"/>
        <c:axId val="929684080"/>
      </c:barChart>
      <c:catAx>
        <c:axId val="8838607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a:t>year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9684080"/>
        <c:crosses val="autoZero"/>
        <c:auto val="1"/>
        <c:lblAlgn val="ctr"/>
        <c:lblOffset val="100"/>
        <c:noMultiLvlLbl val="0"/>
      </c:catAx>
      <c:valAx>
        <c:axId val="92968408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sz="900" b="1" i="0" u="none" strike="noStrike" kern="1200" cap="all" baseline="0">
                    <a:solidFill>
                      <a:sysClr val="window" lastClr="FFFFFF">
                        <a:lumMod val="85000"/>
                      </a:sysClr>
                    </a:solidFill>
                  </a:rPr>
                  <a:t>$m</a:t>
                </a:r>
                <a:endParaRPr lang="en-IN"/>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IN"/>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83860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600" b="1" i="0" u="none" strike="noStrike" baseline="0">
                <a:effectLst>
                  <a:outerShdw blurRad="50800" dist="38100" dir="5400000" algn="t" rotWithShape="0">
                    <a:prstClr val="black">
                      <a:alpha val="40000"/>
                    </a:prstClr>
                  </a:outerShdw>
                </a:effectLst>
              </a:rPr>
              <a:t>Marriott International Liquidity Trends</a:t>
            </a:r>
            <a:endParaRPr lang="en-IN"/>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IN"/>
        </a:p>
      </c:txPr>
    </c:title>
    <c:autoTitleDeleted val="0"/>
    <c:plotArea>
      <c:layout/>
      <c:barChart>
        <c:barDir val="col"/>
        <c:grouping val="clustered"/>
        <c:varyColors val="0"/>
        <c:ser>
          <c:idx val="0"/>
          <c:order val="0"/>
          <c:tx>
            <c:strRef>
              <c:f>RATIO!$A$3</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RATIO!$B$2:$F$2</c:f>
              <c:numCache>
                <c:formatCode>General</c:formatCode>
                <c:ptCount val="5"/>
                <c:pt idx="0">
                  <c:v>2021</c:v>
                </c:pt>
                <c:pt idx="1">
                  <c:v>2022</c:v>
                </c:pt>
                <c:pt idx="2">
                  <c:v>2023</c:v>
                </c:pt>
                <c:pt idx="3">
                  <c:v>2024</c:v>
                </c:pt>
                <c:pt idx="4">
                  <c:v>2025</c:v>
                </c:pt>
              </c:numCache>
            </c:numRef>
          </c:cat>
          <c:val>
            <c:numRef>
              <c:f>RATIO!$B$3:$F$3</c:f>
              <c:numCache>
                <c:formatCode>0.0</c:formatCode>
                <c:ptCount val="5"/>
                <c:pt idx="0" formatCode="0.00">
                  <c:v>0.5659434992976432</c:v>
                </c:pt>
                <c:pt idx="1">
                  <c:v>0.45142389971385749</c:v>
                </c:pt>
                <c:pt idx="2">
                  <c:v>0.42656531821695437</c:v>
                </c:pt>
                <c:pt idx="3">
                  <c:v>0.40293675569429993</c:v>
                </c:pt>
                <c:pt idx="4">
                  <c:v>0.42676827816146701</c:v>
                </c:pt>
              </c:numCache>
            </c:numRef>
          </c:val>
          <c:extLst>
            <c:ext xmlns:c16="http://schemas.microsoft.com/office/drawing/2014/chart" uri="{C3380CC4-5D6E-409C-BE32-E72D297353CC}">
              <c16:uniqueId val="{00000000-46D7-4DDD-99B9-D79CEFFE22A3}"/>
            </c:ext>
          </c:extLst>
        </c:ser>
        <c:ser>
          <c:idx val="1"/>
          <c:order val="1"/>
          <c:tx>
            <c:strRef>
              <c:f>RATIO!$A$4</c:f>
              <c:strCache>
                <c:ptCount val="1"/>
                <c:pt idx="0">
                  <c:v>Quick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RATIO!$B$2:$F$2</c:f>
              <c:numCache>
                <c:formatCode>General</c:formatCode>
                <c:ptCount val="5"/>
                <c:pt idx="0">
                  <c:v>2021</c:v>
                </c:pt>
                <c:pt idx="1">
                  <c:v>2022</c:v>
                </c:pt>
                <c:pt idx="2">
                  <c:v>2023</c:v>
                </c:pt>
                <c:pt idx="3">
                  <c:v>2024</c:v>
                </c:pt>
                <c:pt idx="4">
                  <c:v>2025</c:v>
                </c:pt>
              </c:numCache>
            </c:numRef>
          </c:cat>
          <c:val>
            <c:numRef>
              <c:f>RATIO!$B$4:$F$4</c:f>
              <c:numCache>
                <c:formatCode>0.0</c:formatCode>
                <c:ptCount val="5"/>
                <c:pt idx="0" formatCode="0.00">
                  <c:v>0.52676759793975336</c:v>
                </c:pt>
                <c:pt idx="1">
                  <c:v>0.41940318844529229</c:v>
                </c:pt>
                <c:pt idx="2">
                  <c:v>0.39293996392682301</c:v>
                </c:pt>
                <c:pt idx="3">
                  <c:v>0.36894438663429296</c:v>
                </c:pt>
                <c:pt idx="4">
                  <c:v>0.3890211955227435</c:v>
                </c:pt>
              </c:numCache>
            </c:numRef>
          </c:val>
          <c:extLst>
            <c:ext xmlns:c16="http://schemas.microsoft.com/office/drawing/2014/chart" uri="{C3380CC4-5D6E-409C-BE32-E72D297353CC}">
              <c16:uniqueId val="{00000001-46D7-4DDD-99B9-D79CEFFE22A3}"/>
            </c:ext>
          </c:extLst>
        </c:ser>
        <c:ser>
          <c:idx val="2"/>
          <c:order val="2"/>
          <c:tx>
            <c:strRef>
              <c:f>RATIO!$A$5</c:f>
              <c:strCache>
                <c:ptCount val="1"/>
                <c:pt idx="0">
                  <c:v>Cash Ratio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RATIO!$B$2:$F$2</c:f>
              <c:numCache>
                <c:formatCode>General</c:formatCode>
                <c:ptCount val="5"/>
                <c:pt idx="0">
                  <c:v>2021</c:v>
                </c:pt>
                <c:pt idx="1">
                  <c:v>2022</c:v>
                </c:pt>
                <c:pt idx="2">
                  <c:v>2023</c:v>
                </c:pt>
                <c:pt idx="3">
                  <c:v>2024</c:v>
                </c:pt>
                <c:pt idx="4">
                  <c:v>2025</c:v>
                </c:pt>
              </c:numCache>
            </c:numRef>
          </c:cat>
          <c:val>
            <c:numRef>
              <c:f>RATIO!$B$5:$F$5</c:f>
              <c:numCache>
                <c:formatCode>0.00</c:formatCode>
                <c:ptCount val="5"/>
                <c:pt idx="0">
                  <c:v>0.21741844857187451</c:v>
                </c:pt>
                <c:pt idx="1">
                  <c:v>6.9082981332606624E-2</c:v>
                </c:pt>
                <c:pt idx="2">
                  <c:v>4.3545477969595466E-2</c:v>
                </c:pt>
                <c:pt idx="3">
                  <c:v>4.5785639958376693E-2</c:v>
                </c:pt>
                <c:pt idx="4">
                  <c:v>4.2629197427959037E-2</c:v>
                </c:pt>
              </c:numCache>
            </c:numRef>
          </c:val>
          <c:extLst>
            <c:ext xmlns:c16="http://schemas.microsoft.com/office/drawing/2014/chart" uri="{C3380CC4-5D6E-409C-BE32-E72D297353CC}">
              <c16:uniqueId val="{00000002-46D7-4DDD-99B9-D79CEFFE22A3}"/>
            </c:ext>
          </c:extLst>
        </c:ser>
        <c:dLbls>
          <c:dLblPos val="outEnd"/>
          <c:showLegendKey val="0"/>
          <c:showVal val="1"/>
          <c:showCatName val="0"/>
          <c:showSerName val="0"/>
          <c:showPercent val="0"/>
          <c:showBubbleSize val="0"/>
        </c:dLbls>
        <c:gapWidth val="100"/>
        <c:overlap val="-24"/>
        <c:axId val="923201456"/>
        <c:axId val="704169712"/>
      </c:barChart>
      <c:catAx>
        <c:axId val="92320145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a:t>Year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04169712"/>
        <c:crosses val="autoZero"/>
        <c:auto val="1"/>
        <c:lblAlgn val="ctr"/>
        <c:lblOffset val="100"/>
        <c:noMultiLvlLbl val="0"/>
      </c:catAx>
      <c:valAx>
        <c:axId val="7041697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sz="900" b="1" i="0" u="none" strike="noStrike" cap="all" baseline="0"/>
                  <a:t>Percentage (%)</a:t>
                </a:r>
                <a:endParaRPr lang="en-IN"/>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IN"/>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3201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600" b="1" i="0" u="none" strike="noStrike" baseline="0">
                <a:effectLst>
                  <a:outerShdw blurRad="50800" dist="38100" dir="5400000" algn="t" rotWithShape="0">
                    <a:prstClr val="black">
                      <a:alpha val="40000"/>
                    </a:prstClr>
                  </a:outerShdw>
                </a:effectLst>
              </a:rPr>
              <a:t>Marriott International Leverage and Interest-Coverage Trends, 2021–2025</a:t>
            </a:r>
            <a:endParaRPr lang="en-IN"/>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IN"/>
        </a:p>
      </c:txPr>
    </c:title>
    <c:autoTitleDeleted val="0"/>
    <c:plotArea>
      <c:layout/>
      <c:barChart>
        <c:barDir val="col"/>
        <c:grouping val="clustered"/>
        <c:varyColors val="0"/>
        <c:ser>
          <c:idx val="1"/>
          <c:order val="0"/>
          <c:tx>
            <c:strRef>
              <c:f>RATIO!$A$24</c:f>
              <c:strCache>
                <c:ptCount val="1"/>
                <c:pt idx="0">
                  <c:v>Debt-to-Asset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Lit>
              <c:formatCode>General</c:formatCode>
              <c:ptCount val="5"/>
              <c:pt idx="0">
                <c:v>2021</c:v>
              </c:pt>
              <c:pt idx="1">
                <c:v>2022</c:v>
              </c:pt>
              <c:pt idx="2">
                <c:v>2023</c:v>
              </c:pt>
              <c:pt idx="3">
                <c:v>2024</c:v>
              </c:pt>
              <c:pt idx="4">
                <c:v>2025</c:v>
              </c:pt>
            </c:numLit>
          </c:cat>
          <c:val>
            <c:numRef>
              <c:f>RATIO!$B$24:$F$24</c:f>
              <c:numCache>
                <c:formatCode>0.00%</c:formatCode>
                <c:ptCount val="5"/>
                <c:pt idx="0">
                  <c:v>0.39674402222830979</c:v>
                </c:pt>
                <c:pt idx="1">
                  <c:v>0.4055611525287125</c:v>
                </c:pt>
                <c:pt idx="2">
                  <c:v>0.46245228635974139</c:v>
                </c:pt>
                <c:pt idx="3">
                  <c:v>0.55179130700481249</c:v>
                </c:pt>
                <c:pt idx="4">
                  <c:v>0.58838053740014529</c:v>
                </c:pt>
              </c:numCache>
            </c:numRef>
          </c:val>
          <c:extLst>
            <c:ext xmlns:c16="http://schemas.microsoft.com/office/drawing/2014/chart" uri="{C3380CC4-5D6E-409C-BE32-E72D297353CC}">
              <c16:uniqueId val="{00000000-69E8-4D99-9388-DCF613E5253F}"/>
            </c:ext>
          </c:extLst>
        </c:ser>
        <c:dLbls>
          <c:showLegendKey val="0"/>
          <c:showVal val="0"/>
          <c:showCatName val="0"/>
          <c:showSerName val="0"/>
          <c:showPercent val="0"/>
          <c:showBubbleSize val="0"/>
        </c:dLbls>
        <c:gapWidth val="219"/>
        <c:axId val="883861200"/>
        <c:axId val="929676400"/>
      </c:barChart>
      <c:lineChart>
        <c:grouping val="standard"/>
        <c:varyColors val="0"/>
        <c:ser>
          <c:idx val="2"/>
          <c:order val="1"/>
          <c:tx>
            <c:strRef>
              <c:f>RATIO!$A$25</c:f>
              <c:strCache>
                <c:ptCount val="1"/>
                <c:pt idx="0">
                  <c:v>Interest Coverage Ratio</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val>
            <c:numRef>
              <c:f>RATIO!$B$25:$F$25</c:f>
              <c:numCache>
                <c:formatCode>0.00</c:formatCode>
                <c:ptCount val="5"/>
                <c:pt idx="0">
                  <c:v>4.166666666666667</c:v>
                </c:pt>
                <c:pt idx="1">
                  <c:v>8.5905707196029777</c:v>
                </c:pt>
                <c:pt idx="2">
                  <c:v>6.8389380530973449</c:v>
                </c:pt>
                <c:pt idx="3">
                  <c:v>5.4201438848920862</c:v>
                </c:pt>
                <c:pt idx="4">
                  <c:v>5.1186650185414093</c:v>
                </c:pt>
              </c:numCache>
            </c:numRef>
          </c:val>
          <c:smooth val="0"/>
          <c:extLst>
            <c:ext xmlns:c16="http://schemas.microsoft.com/office/drawing/2014/chart" uri="{C3380CC4-5D6E-409C-BE32-E72D297353CC}">
              <c16:uniqueId val="{00000001-69E8-4D99-9388-DCF613E5253F}"/>
            </c:ext>
          </c:extLst>
        </c:ser>
        <c:dLbls>
          <c:showLegendKey val="0"/>
          <c:showVal val="0"/>
          <c:showCatName val="0"/>
          <c:showSerName val="0"/>
          <c:showPercent val="0"/>
          <c:showBubbleSize val="0"/>
        </c:dLbls>
        <c:marker val="1"/>
        <c:smooth val="0"/>
        <c:axId val="700208576"/>
        <c:axId val="929683120"/>
      </c:lineChart>
      <c:catAx>
        <c:axId val="88386120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9676400"/>
        <c:crosses val="autoZero"/>
        <c:auto val="1"/>
        <c:lblAlgn val="ctr"/>
        <c:lblOffset val="100"/>
        <c:noMultiLvlLbl val="0"/>
      </c:catAx>
      <c:valAx>
        <c:axId val="929676400"/>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83861200"/>
        <c:crosses val="autoZero"/>
        <c:crossBetween val="between"/>
      </c:valAx>
      <c:valAx>
        <c:axId val="929683120"/>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00208576"/>
        <c:crosses val="max"/>
        <c:crossBetween val="between"/>
      </c:valAx>
      <c:catAx>
        <c:axId val="700208576"/>
        <c:scaling>
          <c:orientation val="minMax"/>
        </c:scaling>
        <c:delete val="1"/>
        <c:axPos val="b"/>
        <c:majorTickMark val="none"/>
        <c:minorTickMark val="none"/>
        <c:tickLblPos val="nextTo"/>
        <c:crossAx val="92968312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Marriott Current Assets and Current Liabilities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'FINANCIAL DATA OF 5 YEARS'!$A$20</c:f>
              <c:strCache>
                <c:ptCount val="1"/>
                <c:pt idx="0">
                  <c:v>Current Assets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'FINANCIAL DATA OF 5 YEARS'!$B$1:$F$1</c:f>
              <c:numCache>
                <c:formatCode>General</c:formatCode>
                <c:ptCount val="5"/>
                <c:pt idx="0">
                  <c:v>2021</c:v>
                </c:pt>
                <c:pt idx="1">
                  <c:v>2022</c:v>
                </c:pt>
                <c:pt idx="2">
                  <c:v>2023</c:v>
                </c:pt>
                <c:pt idx="3">
                  <c:v>2024</c:v>
                </c:pt>
                <c:pt idx="4">
                  <c:v>2025</c:v>
                </c:pt>
              </c:numCache>
            </c:numRef>
          </c:cat>
          <c:val>
            <c:numRef>
              <c:f>'FINANCIAL DATA OF 5 YEARS'!$B$20:$F$20</c:f>
              <c:numCache>
                <c:formatCode>#,##0</c:formatCode>
                <c:ptCount val="5"/>
                <c:pt idx="0">
                  <c:v>3626</c:v>
                </c:pt>
                <c:pt idx="1">
                  <c:v>3313</c:v>
                </c:pt>
                <c:pt idx="2">
                  <c:v>3311</c:v>
                </c:pt>
                <c:pt idx="3">
                  <c:v>3485</c:v>
                </c:pt>
                <c:pt idx="4">
                  <c:v>3584</c:v>
                </c:pt>
              </c:numCache>
            </c:numRef>
          </c:val>
          <c:extLst>
            <c:ext xmlns:c16="http://schemas.microsoft.com/office/drawing/2014/chart" uri="{C3380CC4-5D6E-409C-BE32-E72D297353CC}">
              <c16:uniqueId val="{00000000-211C-49F8-B19E-BBF22DC5AF81}"/>
            </c:ext>
          </c:extLst>
        </c:ser>
        <c:ser>
          <c:idx val="1"/>
          <c:order val="1"/>
          <c:tx>
            <c:strRef>
              <c:f>'FINANCIAL DATA OF 5 YEARS'!$A$26</c:f>
              <c:strCache>
                <c:ptCount val="1"/>
                <c:pt idx="0">
                  <c:v>Current Liabilities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'FINANCIAL DATA OF 5 YEARS'!$B$1:$F$1</c:f>
              <c:numCache>
                <c:formatCode>General</c:formatCode>
                <c:ptCount val="5"/>
                <c:pt idx="0">
                  <c:v>2021</c:v>
                </c:pt>
                <c:pt idx="1">
                  <c:v>2022</c:v>
                </c:pt>
                <c:pt idx="2">
                  <c:v>2023</c:v>
                </c:pt>
                <c:pt idx="3">
                  <c:v>2024</c:v>
                </c:pt>
                <c:pt idx="4">
                  <c:v>2025</c:v>
                </c:pt>
              </c:numCache>
            </c:numRef>
          </c:cat>
          <c:val>
            <c:numRef>
              <c:f>'FINANCIAL DATA OF 5 YEARS'!$B$26:$F$26</c:f>
              <c:numCache>
                <c:formatCode>#,##0</c:formatCode>
                <c:ptCount val="5"/>
                <c:pt idx="0">
                  <c:v>6407</c:v>
                </c:pt>
                <c:pt idx="1">
                  <c:v>7339</c:v>
                </c:pt>
                <c:pt idx="2">
                  <c:v>7762</c:v>
                </c:pt>
                <c:pt idx="3">
                  <c:v>8649</c:v>
                </c:pt>
                <c:pt idx="4">
                  <c:v>8398</c:v>
                </c:pt>
              </c:numCache>
            </c:numRef>
          </c:val>
          <c:extLst>
            <c:ext xmlns:c16="http://schemas.microsoft.com/office/drawing/2014/chart" uri="{C3380CC4-5D6E-409C-BE32-E72D297353CC}">
              <c16:uniqueId val="{00000001-211C-49F8-B19E-BBF22DC5AF81}"/>
            </c:ext>
          </c:extLst>
        </c:ser>
        <c:dLbls>
          <c:dLblPos val="outEnd"/>
          <c:showLegendKey val="0"/>
          <c:showVal val="1"/>
          <c:showCatName val="0"/>
          <c:showSerName val="0"/>
          <c:showPercent val="0"/>
          <c:showBubbleSize val="0"/>
        </c:dLbls>
        <c:gapWidth val="100"/>
        <c:overlap val="-24"/>
        <c:axId val="886926624"/>
        <c:axId val="929710480"/>
      </c:barChart>
      <c:catAx>
        <c:axId val="8869266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a:t>year</a:t>
                </a:r>
              </a:p>
            </c:rich>
          </c:tx>
          <c:layout>
            <c:manualLayout>
              <c:xMode val="edge"/>
              <c:yMode val="edge"/>
              <c:x val="0.50593635170603679"/>
              <c:y val="0.79694371536891218"/>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9710480"/>
        <c:crosses val="autoZero"/>
        <c:auto val="1"/>
        <c:lblAlgn val="ctr"/>
        <c:lblOffset val="100"/>
        <c:noMultiLvlLbl val="0"/>
      </c:catAx>
      <c:valAx>
        <c:axId val="92971048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in $m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86926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600" b="1" i="0" u="none" strike="noStrike" baseline="0">
                <a:effectLst>
                  <a:outerShdw blurRad="50800" dist="38100" dir="5400000" algn="t" rotWithShape="0">
                    <a:prstClr val="black">
                      <a:alpha val="40000"/>
                    </a:prstClr>
                  </a:outerShdw>
                </a:effectLst>
              </a:rPr>
              <a:t>NPV Comparison of Proposed Investment Projects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'Investment Appraisal'!$G$4</c:f>
              <c:strCache>
                <c:ptCount val="1"/>
                <c:pt idx="0">
                  <c:v>NPV (£m)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'Investment Appraisal'!$F$5:$F$7</c:f>
              <c:strCache>
                <c:ptCount val="3"/>
                <c:pt idx="0">
                  <c:v>Project A</c:v>
                </c:pt>
                <c:pt idx="1">
                  <c:v>Project B</c:v>
                </c:pt>
                <c:pt idx="2">
                  <c:v>Project C</c:v>
                </c:pt>
              </c:strCache>
            </c:strRef>
          </c:cat>
          <c:val>
            <c:numRef>
              <c:f>'Investment Appraisal'!$G$5:$G$7</c:f>
              <c:numCache>
                <c:formatCode>General</c:formatCode>
                <c:ptCount val="3"/>
                <c:pt idx="0">
                  <c:v>-6.54</c:v>
                </c:pt>
                <c:pt idx="1">
                  <c:v>-6.08</c:v>
                </c:pt>
                <c:pt idx="2">
                  <c:v>0.86</c:v>
                </c:pt>
              </c:numCache>
            </c:numRef>
          </c:val>
          <c:extLst>
            <c:ext xmlns:c16="http://schemas.microsoft.com/office/drawing/2014/chart" uri="{C3380CC4-5D6E-409C-BE32-E72D297353CC}">
              <c16:uniqueId val="{00000000-527C-4BDF-8709-AB29CF421688}"/>
            </c:ext>
          </c:extLst>
        </c:ser>
        <c:dLbls>
          <c:dLblPos val="outEnd"/>
          <c:showLegendKey val="0"/>
          <c:showVal val="1"/>
          <c:showCatName val="0"/>
          <c:showSerName val="0"/>
          <c:showPercent val="0"/>
          <c:showBubbleSize val="0"/>
        </c:dLbls>
        <c:gapWidth val="100"/>
        <c:overlap val="-24"/>
        <c:axId val="969018192"/>
        <c:axId val="929708080"/>
      </c:barChart>
      <c:catAx>
        <c:axId val="9690181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9708080"/>
        <c:crosses val="autoZero"/>
        <c:auto val="1"/>
        <c:lblAlgn val="ctr"/>
        <c:lblOffset val="100"/>
        <c:noMultiLvlLbl val="0"/>
      </c:catAx>
      <c:valAx>
        <c:axId val="92970808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sz="900" b="1" i="0" u="none" strike="noStrike" cap="all" baseline="0"/>
                  <a:t>NPV (£m)</a:t>
                </a:r>
                <a:endParaRPr lang="en-IN"/>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I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901819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8B271-4480-4FE0-9DD5-D53BF6E5E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7637</Words>
  <Characters>43534</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SIS</cp:lastModifiedBy>
  <cp:revision>2</cp:revision>
  <dcterms:created xsi:type="dcterms:W3CDTF">2026-08-12T02:10:00Z</dcterms:created>
  <dcterms:modified xsi:type="dcterms:W3CDTF">2026-08-13T08:30:00Z</dcterms:modified>
</cp:coreProperties>
</file>