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DC2CD" w14:textId="77777777" w:rsidR="00EC3627" w:rsidRDefault="00EC3627" w:rsidP="00EC3627">
      <w:pPr>
        <w:spacing w:before="4000"/>
        <w:jc w:val="center"/>
      </w:pPr>
    </w:p>
    <w:p w14:paraId="77B0A236" w14:textId="77777777" w:rsidR="00EC3627" w:rsidRDefault="00EC3627" w:rsidP="00EC3627">
      <w:pPr>
        <w:spacing w:after="400"/>
      </w:pPr>
    </w:p>
    <w:p w14:paraId="501BF2F8" w14:textId="77777777" w:rsidR="00EC3627" w:rsidRDefault="00EC3627" w:rsidP="00EC3627">
      <w:pPr>
        <w:spacing w:after="400"/>
      </w:pPr>
    </w:p>
    <w:p w14:paraId="4F0B7889" w14:textId="44D5A9D9" w:rsidR="00EC3627" w:rsidRDefault="00EC3627" w:rsidP="00EC3627">
      <w:pPr>
        <w:spacing w:after="400"/>
        <w:jc w:val="center"/>
        <w:rPr>
          <w:sz w:val="36"/>
          <w:szCs w:val="36"/>
        </w:rPr>
      </w:pPr>
      <w:r>
        <w:rPr>
          <w:sz w:val="36"/>
          <w:szCs w:val="36"/>
        </w:rPr>
        <w:t>Marian Raducanu</w:t>
      </w:r>
    </w:p>
    <w:p w14:paraId="7C549B02" w14:textId="77777777" w:rsidR="00EC3627" w:rsidRDefault="00EC3627" w:rsidP="00EC3627">
      <w:pPr>
        <w:spacing w:after="400"/>
        <w:jc w:val="center"/>
        <w:rPr>
          <w:sz w:val="36"/>
          <w:szCs w:val="36"/>
        </w:rPr>
      </w:pPr>
    </w:p>
    <w:p w14:paraId="223DEA61" w14:textId="77777777" w:rsidR="00EC3627" w:rsidRDefault="00EC3627" w:rsidP="00EC3627">
      <w:pPr>
        <w:spacing w:after="400"/>
        <w:jc w:val="center"/>
        <w:rPr>
          <w:sz w:val="36"/>
          <w:szCs w:val="36"/>
        </w:rPr>
      </w:pPr>
    </w:p>
    <w:p w14:paraId="07A50660" w14:textId="54CB9C74" w:rsidR="00157547" w:rsidRPr="00EC3627" w:rsidRDefault="00F04C9A" w:rsidP="00EC3627">
      <w:pPr>
        <w:spacing w:after="400"/>
        <w:jc w:val="center"/>
      </w:pPr>
      <w:r w:rsidRPr="00EC3627">
        <w:rPr>
          <w:sz w:val="36"/>
          <w:szCs w:val="36"/>
        </w:rPr>
        <w:t>Poster Report</w:t>
      </w:r>
      <w:r w:rsidR="00EC3627" w:rsidRPr="00EC3627">
        <w:rPr>
          <w:sz w:val="36"/>
          <w:szCs w:val="36"/>
        </w:rPr>
        <w:t xml:space="preserve"> - </w:t>
      </w:r>
      <w:r w:rsidR="00EC3627" w:rsidRPr="00EC3627">
        <w:rPr>
          <w:sz w:val="36"/>
          <w:szCs w:val="36"/>
        </w:rPr>
        <w:t>HPRS 4905: Introduction to Hebrew Bible</w:t>
      </w:r>
    </w:p>
    <w:p w14:paraId="60F256EE" w14:textId="77777777" w:rsidR="00157547" w:rsidRDefault="00F04C9A">
      <w:pPr>
        <w:spacing w:after="200"/>
        <w:jc w:val="center"/>
      </w:pPr>
      <w:r>
        <w:rPr>
          <w:sz w:val="28"/>
          <w:szCs w:val="28"/>
        </w:rPr>
        <w:t>Adam and Eve in Genesis:</w:t>
      </w:r>
    </w:p>
    <w:p w14:paraId="4BFDE24B" w14:textId="77777777" w:rsidR="00157547" w:rsidRDefault="00F04C9A">
      <w:pPr>
        <w:spacing w:after="600"/>
        <w:jc w:val="center"/>
      </w:pPr>
      <w:r>
        <w:rPr>
          <w:i/>
          <w:iCs/>
          <w:sz w:val="26"/>
          <w:szCs w:val="26"/>
        </w:rPr>
        <w:t>An Examination of the Statement: “The Narrative of Adam and Eve in Genesis is a Perfect Example of Misogynism”</w:t>
      </w:r>
    </w:p>
    <w:p w14:paraId="7A14251E" w14:textId="77777777" w:rsidR="00157547" w:rsidRDefault="00157547">
      <w:pPr>
        <w:sectPr w:rsidR="00157547">
          <w:pgSz w:w="11906" w:h="16838"/>
          <w:pgMar w:top="1440" w:right="1440" w:bottom="1440" w:left="1440" w:header="708" w:footer="708" w:gutter="0"/>
          <w:cols w:space="720"/>
          <w:docGrid w:linePitch="360"/>
        </w:sectPr>
      </w:pPr>
    </w:p>
    <w:p w14:paraId="71E0FB56" w14:textId="77777777" w:rsidR="00157547" w:rsidRDefault="00F04C9A">
      <w:pPr>
        <w:pStyle w:val="Heading1"/>
      </w:pPr>
      <w:r>
        <w:lastRenderedPageBreak/>
        <w:t>1. Introduction</w:t>
      </w:r>
    </w:p>
    <w:p w14:paraId="5F1713CB" w14:textId="14BDEA72" w:rsidR="00157547" w:rsidRDefault="00F04C9A">
      <w:pPr>
        <w:spacing w:after="200" w:line="360" w:lineRule="auto"/>
        <w:jc w:val="both"/>
      </w:pPr>
      <w:r>
        <w:t xml:space="preserve">The narrative of Adam and Eve in Genesis chapters 2–3 has profoundly shaped Western understandings of gender, sin, and human nature. The assertion that this narrative constitutes “a perfect example of misogynism” invites </w:t>
      </w:r>
      <w:r w:rsidR="00EC3627">
        <w:t>scrutiny</w:t>
      </w:r>
      <w:r>
        <w:t xml:space="preserve">, for it raises the question of whether the biblical text itself encodes hostility toward women or whether such hostility derives from subsequent interpretative traditions. This report examines both primary and secondary sources to evaluate the statement critically. It argues that while the Genesis narrative has undeniably been read in misogynistic ways throughout Christian history, the text itself is more ambiguous than such readings suggest, and that modern scholarship has revealed layers of meaning that </w:t>
      </w:r>
      <w:r>
        <w:t>complicate any straightforward labelling of the narrative as misogynistic.</w:t>
      </w:r>
    </w:p>
    <w:p w14:paraId="135F2ED6" w14:textId="77777777" w:rsidR="00157547" w:rsidRDefault="00F04C9A">
      <w:pPr>
        <w:pStyle w:val="Heading1"/>
      </w:pPr>
      <w:r>
        <w:t>2. The Primary Text: Genesis 2–3</w:t>
      </w:r>
    </w:p>
    <w:p w14:paraId="45948449" w14:textId="77777777" w:rsidR="00157547" w:rsidRDefault="00F04C9A">
      <w:pPr>
        <w:pStyle w:val="Heading2"/>
      </w:pPr>
      <w:r>
        <w:t>2.1 The Creation of Humanity</w:t>
      </w:r>
    </w:p>
    <w:p w14:paraId="6DA3B55D" w14:textId="77777777" w:rsidR="00157547" w:rsidRDefault="00F04C9A">
      <w:pPr>
        <w:spacing w:after="200" w:line="360" w:lineRule="auto"/>
        <w:jc w:val="both"/>
      </w:pPr>
      <w:r>
        <w:t>In Genesis 2, God forms the first human being (</w:t>
      </w:r>
      <w:proofErr w:type="spellStart"/>
      <w:r>
        <w:rPr>
          <w:i/>
          <w:iCs/>
        </w:rPr>
        <w:t>ha’adam</w:t>
      </w:r>
      <w:proofErr w:type="spellEnd"/>
      <w:r>
        <w:t xml:space="preserve">) from the dust of the ground and breathes life into him. God then declares, “It is not good that the man should be alone; I will make him a helper as his partner.” The Hebrew phrase </w:t>
      </w:r>
      <w:proofErr w:type="spellStart"/>
      <w:r>
        <w:rPr>
          <w:i/>
          <w:iCs/>
        </w:rPr>
        <w:t>ezer</w:t>
      </w:r>
      <w:proofErr w:type="spellEnd"/>
      <w:r>
        <w:rPr>
          <w:i/>
          <w:iCs/>
        </w:rPr>
        <w:t xml:space="preserve"> </w:t>
      </w:r>
      <w:proofErr w:type="spellStart"/>
      <w:r>
        <w:rPr>
          <w:i/>
          <w:iCs/>
        </w:rPr>
        <w:t>kenegdo</w:t>
      </w:r>
      <w:proofErr w:type="spellEnd"/>
      <w:r>
        <w:t xml:space="preserve"> is central to the debate. Phyllis Trible argues persuasively that </w:t>
      </w:r>
      <w:proofErr w:type="spellStart"/>
      <w:r>
        <w:rPr>
          <w:i/>
          <w:iCs/>
        </w:rPr>
        <w:t>ezer</w:t>
      </w:r>
      <w:proofErr w:type="spellEnd"/>
      <w:r>
        <w:t xml:space="preserve"> does not denote subordination; it is used elsewhere in the Hebrew Bible to describe God’s own assistance to Israel, as in Psalm 121:1–2. This challenges the traditional assumption that the woman’s role as ‘helper’ implies inferiority.</w:t>
      </w:r>
    </w:p>
    <w:p w14:paraId="3C71B09D" w14:textId="4FAF45FB" w:rsidR="00157547" w:rsidRDefault="00F04C9A">
      <w:pPr>
        <w:spacing w:after="200" w:line="360" w:lineRule="auto"/>
        <w:jc w:val="both"/>
      </w:pPr>
      <w:r>
        <w:t xml:space="preserve">It is also significant that Genesis 1:27, the earlier creation account, states that God created </w:t>
      </w:r>
      <w:proofErr w:type="gramStart"/>
      <w:r>
        <w:t xml:space="preserve">humanity </w:t>
      </w:r>
      <w:r w:rsidR="00EC3627">
        <w:t>,</w:t>
      </w:r>
      <w:r>
        <w:t>male</w:t>
      </w:r>
      <w:proofErr w:type="gramEnd"/>
      <w:r>
        <w:t xml:space="preserve"> and </w:t>
      </w:r>
      <w:proofErr w:type="gramStart"/>
      <w:r>
        <w:t xml:space="preserve">female </w:t>
      </w:r>
      <w:r>
        <w:t xml:space="preserve"> simultaneously</w:t>
      </w:r>
      <w:proofErr w:type="gramEnd"/>
      <w:r>
        <w:t xml:space="preserve"> in the divine image. Trible contends that reading the two accounts together reveals a vision of gender equality rather than hierarchy. Carol Meyers supports this interpretation by contextualising the text within ancient Israelite agrarian society, where survival depended upon complementary labour rather than rigid subordination.</w:t>
      </w:r>
    </w:p>
    <w:p w14:paraId="70914C60" w14:textId="77777777" w:rsidR="00157547" w:rsidRDefault="00F04C9A">
      <w:pPr>
        <w:pStyle w:val="Heading2"/>
      </w:pPr>
      <w:r>
        <w:t>2.2 The Fall Narrative</w:t>
      </w:r>
    </w:p>
    <w:p w14:paraId="112BFACF" w14:textId="77777777" w:rsidR="00157547" w:rsidRDefault="00F04C9A">
      <w:pPr>
        <w:spacing w:after="200" w:line="360" w:lineRule="auto"/>
        <w:jc w:val="both"/>
      </w:pPr>
      <w:r>
        <w:t xml:space="preserve">Genesis 3 recounts the serpent’s approach to the woman with the question, “Did God say, ‘You shall not eat from any tree in the garden’?” The woman engages the serpent in theological dialogue, demonstrating knowledge of God’s command. She then takes the fruit and eats, and gives some to her husband, “who was with her.” The detail that Adam was present and silent </w:t>
      </w:r>
      <w:r>
        <w:lastRenderedPageBreak/>
        <w:t>during the exchange is often overlooked in traditional readings that attribute sole blame to Eve. If anything, the text presents both parties as morally responsible agents.</w:t>
      </w:r>
    </w:p>
    <w:p w14:paraId="5F419B75" w14:textId="77777777" w:rsidR="00157547" w:rsidRDefault="00F04C9A">
      <w:pPr>
        <w:spacing w:after="200" w:line="360" w:lineRule="auto"/>
        <w:jc w:val="both"/>
      </w:pPr>
      <w:r>
        <w:t>The consequences declared by God include the statement to the woman: “Your desire shall be for your husband, and he shall rule over you.” This verse has been a focal point of the misogyny debate. However, its interpretation is far from settled.</w:t>
      </w:r>
    </w:p>
    <w:p w14:paraId="72F5C38C" w14:textId="77777777" w:rsidR="00157547" w:rsidRDefault="00F04C9A">
      <w:pPr>
        <w:pStyle w:val="Heading1"/>
      </w:pPr>
      <w:r>
        <w:t>3. Secondary Sources: Historical and Feminist Readings</w:t>
      </w:r>
    </w:p>
    <w:p w14:paraId="595BCF37" w14:textId="77777777" w:rsidR="00157547" w:rsidRDefault="00F04C9A">
      <w:pPr>
        <w:pStyle w:val="Heading2"/>
      </w:pPr>
      <w:r>
        <w:t>3.1 Patristic Interpretations</w:t>
      </w:r>
    </w:p>
    <w:p w14:paraId="3229467A" w14:textId="77777777" w:rsidR="00157547" w:rsidRDefault="00F04C9A">
      <w:pPr>
        <w:spacing w:after="200" w:line="360" w:lineRule="auto"/>
        <w:jc w:val="both"/>
      </w:pPr>
      <w:r>
        <w:t>The early Church Fathers bear significant responsibility for the misogynistic legacy of the Genesis narrative. Tertullian addressed women directly, calling each one “the devil’s gateway” and attributing the Fall entirely to the female sex. Augustine of Hippo, while more measured in tone, nevertheless argued that Eve’s susceptibility to deception confirmed a natural hierarchy in which women are properly subject to male authority. These interpretations became deeply embedded in Western Christian theology, inf</w:t>
      </w:r>
      <w:r>
        <w:t>luencing canon law, marriage doctrine, and cultural attitudes for over a millennium.</w:t>
      </w:r>
    </w:p>
    <w:p w14:paraId="74817375" w14:textId="77777777" w:rsidR="00157547" w:rsidRDefault="00F04C9A">
      <w:pPr>
        <w:pStyle w:val="Heading2"/>
      </w:pPr>
      <w:r>
        <w:t>3.2 Feminist Biblical Scholarship</w:t>
      </w:r>
    </w:p>
    <w:p w14:paraId="2537581A" w14:textId="4F633923" w:rsidR="00157547" w:rsidRDefault="00F04C9A">
      <w:pPr>
        <w:spacing w:after="200" w:line="360" w:lineRule="auto"/>
        <w:jc w:val="both"/>
      </w:pPr>
      <w:r>
        <w:t xml:space="preserve">Phyllis Trible’s groundbreaking work challenged patriarchal readings by demonstrating that the punishments in Genesis 3:16 describe a distortion of the original created order rather than a divine prescription for male dominance. Trible reads “he shall rule over you” </w:t>
      </w:r>
      <w:r w:rsidR="00EC3627">
        <w:t>because of</w:t>
      </w:r>
      <w:r>
        <w:t xml:space="preserve"> human </w:t>
      </w:r>
      <w:proofErr w:type="gramStart"/>
      <w:r>
        <w:t xml:space="preserve">disobedience </w:t>
      </w:r>
      <w:r w:rsidR="00EC3627">
        <w:t>,</w:t>
      </w:r>
      <w:proofErr w:type="gramEnd"/>
      <w:r>
        <w:t xml:space="preserve"> a descriptive statement about the fallen </w:t>
      </w:r>
      <w:proofErr w:type="gramStart"/>
      <w:r>
        <w:t xml:space="preserve">world </w:t>
      </w:r>
      <w:r w:rsidR="00EC3627">
        <w:t>,</w:t>
      </w:r>
      <w:proofErr w:type="gramEnd"/>
      <w:r>
        <w:t xml:space="preserve"> rather than a normative endorsement of patriarchy. This distinction between description and prescription is crucial to the debate.</w:t>
      </w:r>
    </w:p>
    <w:p w14:paraId="573B9604" w14:textId="77777777" w:rsidR="00157547" w:rsidRDefault="00F04C9A">
      <w:pPr>
        <w:spacing w:after="200" w:line="360" w:lineRule="auto"/>
        <w:jc w:val="both"/>
      </w:pPr>
      <w:r>
        <w:t xml:space="preserve">Elizabeth Cady Stanton’s pioneering </w:t>
      </w:r>
      <w:r>
        <w:rPr>
          <w:i/>
          <w:iCs/>
        </w:rPr>
        <w:t>The Woman’s Bible</w:t>
      </w:r>
      <w:r>
        <w:t xml:space="preserve"> (1895) was among the earliest systematic feminist critiques of biblical texts. Stanton argued that the Genesis narrative had been deployed as a tool of oppression, used to justify women’s exclusion from public life, education, and the ministry. While Stanton’s approach was more polemical than exegetical, her work opened the door for subsequent generations of feminist scholars.</w:t>
      </w:r>
    </w:p>
    <w:p w14:paraId="23F6F69D" w14:textId="77777777" w:rsidR="00157547" w:rsidRDefault="00F04C9A">
      <w:pPr>
        <w:spacing w:after="200" w:line="360" w:lineRule="auto"/>
        <w:jc w:val="both"/>
      </w:pPr>
      <w:r>
        <w:t xml:space="preserve">Carol Meyers has further refined the discussion by situating Genesis within its ancient Near Eastern social context. She argues that terms such as </w:t>
      </w:r>
      <w:proofErr w:type="spellStart"/>
      <w:r>
        <w:rPr>
          <w:i/>
          <w:iCs/>
        </w:rPr>
        <w:t>ezer</w:t>
      </w:r>
      <w:proofErr w:type="spellEnd"/>
      <w:r>
        <w:rPr>
          <w:i/>
          <w:iCs/>
        </w:rPr>
        <w:t xml:space="preserve"> </w:t>
      </w:r>
      <w:proofErr w:type="spellStart"/>
      <w:r>
        <w:rPr>
          <w:i/>
          <w:iCs/>
        </w:rPr>
        <w:t>kenegdo</w:t>
      </w:r>
      <w:proofErr w:type="spellEnd"/>
      <w:r>
        <w:t xml:space="preserve"> and the agricultural imagery of Genesis 3 reflect the realities of subsistence farming communities, where women’s labour was essential and valued. Susan Haddox similarly observes that gender in the Hebrew Bible is </w:t>
      </w:r>
      <w:r>
        <w:lastRenderedPageBreak/>
        <w:t>“constructed” through narrative and social context rather than being fixed or divinely ordained in the way later interpreters assumed.</w:t>
      </w:r>
    </w:p>
    <w:p w14:paraId="545FB2BC" w14:textId="77777777" w:rsidR="00157547" w:rsidRDefault="00F04C9A">
      <w:pPr>
        <w:pStyle w:val="Heading1"/>
      </w:pPr>
      <w:r>
        <w:t>4. Discussion</w:t>
      </w:r>
    </w:p>
    <w:p w14:paraId="7658BDFF" w14:textId="77777777" w:rsidR="00157547" w:rsidRDefault="00F04C9A">
      <w:pPr>
        <w:spacing w:after="200" w:line="360" w:lineRule="auto"/>
        <w:jc w:val="both"/>
      </w:pPr>
      <w:r>
        <w:t>The evidence surveyed above suggests that the statement under examination requires significant qualification. The Genesis narrative contains elements that have been exploited to justify misogynistic attitudes, most notably the creation of woman from man’s rib, Eve’s role in the transgression, and the declaration that “he shall rule over you.” However, close reading of the Hebrew text and engagement with modern scholarship reveal that these elements are considerably more nuanced than traditional interpretati</w:t>
      </w:r>
      <w:r>
        <w:t>ons suggest.</w:t>
      </w:r>
    </w:p>
    <w:p w14:paraId="457DC876" w14:textId="77777777" w:rsidR="00157547" w:rsidRDefault="00F04C9A">
      <w:pPr>
        <w:spacing w:after="200" w:line="360" w:lineRule="auto"/>
        <w:jc w:val="both"/>
      </w:pPr>
      <w:r>
        <w:t>Trible’s distinction between the created order of Genesis 2 and the disordered consequences of Genesis 3 is particularly illuminating. If the subjugation described in Genesis 3:16 is a consequence of the Fall rather than a divine intention, then the text is not prescribing misogyny but rather lamenting a departure from the original equality between the sexes. The theological implications of this reading are substantial: patriarchy, on this view, is not part of God’s creative design but a symptom of human si</w:t>
      </w:r>
      <w:r>
        <w:t>nfulness that the biblical narrative itself mourns. Meyers reinforces this point by demonstrating that the ancient Israelite context did not support the rigid gender hierarchies that later readers projected onto the text.</w:t>
      </w:r>
    </w:p>
    <w:p w14:paraId="05803535" w14:textId="77777777" w:rsidR="00157547" w:rsidRDefault="00F04C9A">
      <w:pPr>
        <w:spacing w:after="200" w:line="360" w:lineRule="auto"/>
        <w:jc w:val="both"/>
      </w:pPr>
      <w:r>
        <w:t>Furthermore, the detail that Adam was present and silent during the serpent’s temptation of Eve in Genesis 3:6 complicates any reading that places sole culpability on the woman. Both human beings share in the act of disobedience, and God addresses both with consequences. The man is cursed with painful toil upon the ground just as the woman is told of pain in childbearing. The symmetry of the punishments suggests a shared moral agency that undermines the patristic tendency to single out Eve as uniquely guilt</w:t>
      </w:r>
      <w:r>
        <w:t>y. The narrative, when read without the lens of later theological elaboration, presents the Fall as a collective human failure rather than a specifically female one.</w:t>
      </w:r>
    </w:p>
    <w:p w14:paraId="2285D9AB" w14:textId="3DD14BCB" w:rsidR="00157547" w:rsidRDefault="00F04C9A">
      <w:pPr>
        <w:spacing w:after="200" w:line="360" w:lineRule="auto"/>
        <w:jc w:val="both"/>
      </w:pPr>
      <w:r>
        <w:t xml:space="preserve">The question of whether a text is inherently misogynistic or has been made so through reception is a methodological one of considerable importance. As Haddox observes, gender in the Hebrew Bible is constructed through culturally specific narratives and social assumptions, not through timeless divine pronouncements. Recognising this </w:t>
      </w:r>
      <w:r w:rsidR="00EC3627">
        <w:t>contractedness</w:t>
      </w:r>
      <w:r>
        <w:t xml:space="preserve"> allows scholars to separate the ancient text from the uses to which it has been put. The Genesis narrative, composed in the context of a subsistence agrarian society, addressed concerns about human </w:t>
      </w:r>
      <w:r>
        <w:lastRenderedPageBreak/>
        <w:t>relationships, agricultural labour, and mortality. It was not written as a treatise on gender hierarchy, even though it was subsequently read as one.</w:t>
      </w:r>
    </w:p>
    <w:p w14:paraId="03FC3D6E" w14:textId="10DD5215" w:rsidR="00157547" w:rsidRDefault="00F04C9A">
      <w:pPr>
        <w:spacing w:after="200" w:line="360" w:lineRule="auto"/>
        <w:jc w:val="both"/>
      </w:pPr>
      <w:r>
        <w:t xml:space="preserve">It is therefore more accurate to say that the narrative of Adam and Eve has been read misogynistically than to say it </w:t>
      </w:r>
      <w:r>
        <w:rPr>
          <w:i/>
          <w:iCs/>
        </w:rPr>
        <w:t>is</w:t>
      </w:r>
      <w:r>
        <w:t xml:space="preserve"> misogynistic. The misogyny resides primarily in the interpretative </w:t>
      </w:r>
      <w:proofErr w:type="gramStart"/>
      <w:r>
        <w:t xml:space="preserve">tradition </w:t>
      </w:r>
      <w:r>
        <w:t xml:space="preserve"> in</w:t>
      </w:r>
      <w:proofErr w:type="gramEnd"/>
      <w:r>
        <w:t xml:space="preserve"> Tertullian’s rhetoric, Augustine’s theology, and centuries of patriarchal reading </w:t>
      </w:r>
      <w:proofErr w:type="gramStart"/>
      <w:r>
        <w:t xml:space="preserve">practice </w:t>
      </w:r>
      <w:r w:rsidR="00EC3627">
        <w:t>,</w:t>
      </w:r>
      <w:proofErr w:type="gramEnd"/>
      <w:r>
        <w:t xml:space="preserve"> rather than unambiguously in the text itself.</w:t>
      </w:r>
    </w:p>
    <w:p w14:paraId="7ECD634C" w14:textId="77777777" w:rsidR="00157547" w:rsidRDefault="00F04C9A">
      <w:pPr>
        <w:pStyle w:val="Heading1"/>
      </w:pPr>
      <w:r>
        <w:t>5. Conclusion</w:t>
      </w:r>
    </w:p>
    <w:p w14:paraId="28675F9C" w14:textId="77777777" w:rsidR="00157547" w:rsidRDefault="00F04C9A">
      <w:pPr>
        <w:spacing w:after="200" w:line="360" w:lineRule="auto"/>
        <w:jc w:val="both"/>
      </w:pPr>
      <w:r>
        <w:t>This report has examined the statement that “the narrative of Adam and Eve in Genesis is a perfect example of misogynism” through close reading of the primary text and engagement with both historical and contemporary secondary sources. The analysis demonstrates that the Genesis narrative is not straightforwardly misogynistic. While it contains passages that have been used to subordinate women, the Hebrew text itself supports alternative readings that emphasise mutuality, shared moral responsibility, and the</w:t>
      </w:r>
      <w:r>
        <w:t xml:space="preserve"> distortion of an originally egalitarian creation.</w:t>
      </w:r>
    </w:p>
    <w:p w14:paraId="20CBA709" w14:textId="77777777" w:rsidR="00157547" w:rsidRDefault="00F04C9A">
      <w:pPr>
        <w:spacing w:after="200" w:line="360" w:lineRule="auto"/>
        <w:jc w:val="both"/>
      </w:pPr>
      <w:r>
        <w:t>The misogynistic legacy of the Adam and Eve narrative owes more to the interpretative traditions of the Church Fathers and subsequent patriarchal culture than to the words of Genesis themselves. Tertullian’s inflammatory rhetoric and Augustine’s theological reasoning established a framework for reading Eve as uniquely culpable, a framework that persisted largely unchallenged until the rise of feminist biblical scholarship in the twentieth century. The work of Trible, Meyers, Stanton, and Haddox has demonstr</w:t>
      </w:r>
      <w:r>
        <w:t>ated that the Genesis text, when read attentively in its original linguistic and cultural context, resists the reductive label of misogyny.</w:t>
      </w:r>
    </w:p>
    <w:p w14:paraId="3FD3C30F" w14:textId="77777777" w:rsidR="00157547" w:rsidRDefault="00F04C9A">
      <w:pPr>
        <w:spacing w:after="200" w:line="360" w:lineRule="auto"/>
        <w:jc w:val="both"/>
      </w:pPr>
      <w:r>
        <w:t>Any responsible engagement with this text must therefore distinguish carefully between the narrative and its reception, recognising that sacred texts are always mediated through the assumptions and biases of their readers. The question is not simply whether Genesis is misogynistic, but rather how and why it came to be read that way — and what alternative readings become possible when patriarchal assumptions are set aside. The Adam and Eve narrative, far from being a closed case, remains a site of lively and</w:t>
      </w:r>
      <w:r>
        <w:t xml:space="preserve"> consequential scholarly debate with profound implications for theology, ethics, and contemporary gender discourse.</w:t>
      </w:r>
    </w:p>
    <w:p w14:paraId="39EEF888" w14:textId="77777777" w:rsidR="00157547" w:rsidRDefault="00F04C9A">
      <w:r>
        <w:br w:type="page"/>
      </w:r>
    </w:p>
    <w:p w14:paraId="1FC14A55" w14:textId="77777777" w:rsidR="00157547" w:rsidRDefault="00F04C9A">
      <w:pPr>
        <w:pStyle w:val="Heading1"/>
      </w:pPr>
      <w:r>
        <w:lastRenderedPageBreak/>
        <w:t>Bibliography</w:t>
      </w:r>
    </w:p>
    <w:p w14:paraId="554D58F3" w14:textId="77777777" w:rsidR="00157547" w:rsidRDefault="00F04C9A">
      <w:pPr>
        <w:pStyle w:val="Heading2"/>
      </w:pPr>
      <w:r>
        <w:t>Primary Source</w:t>
      </w:r>
    </w:p>
    <w:p w14:paraId="135A335A" w14:textId="77777777" w:rsidR="00157547" w:rsidRDefault="00F04C9A">
      <w:pPr>
        <w:spacing w:after="120" w:line="360" w:lineRule="auto"/>
        <w:ind w:left="720" w:hanging="720"/>
        <w:jc w:val="both"/>
      </w:pPr>
      <w:r>
        <w:rPr>
          <w:i/>
          <w:iCs/>
        </w:rPr>
        <w:t>The Holy Bible: New Revised Standard Version</w:t>
      </w:r>
      <w:r>
        <w:t xml:space="preserve"> (Oxford: Oxford University Press, 1989)</w:t>
      </w:r>
    </w:p>
    <w:p w14:paraId="0670CBB5" w14:textId="77777777" w:rsidR="00157547" w:rsidRDefault="00F04C9A">
      <w:pPr>
        <w:pStyle w:val="Heading2"/>
      </w:pPr>
      <w:r>
        <w:t>Secondary Sources</w:t>
      </w:r>
    </w:p>
    <w:p w14:paraId="30438139" w14:textId="77777777" w:rsidR="00157547" w:rsidRDefault="00F04C9A">
      <w:pPr>
        <w:spacing w:after="120" w:line="360" w:lineRule="auto"/>
        <w:ind w:left="720" w:hanging="720"/>
        <w:jc w:val="both"/>
      </w:pPr>
      <w:r>
        <w:t xml:space="preserve">Augustine, </w:t>
      </w:r>
      <w:r>
        <w:rPr>
          <w:i/>
          <w:iCs/>
        </w:rPr>
        <w:t>The Literal Meaning of Genesis</w:t>
      </w:r>
      <w:r>
        <w:t>, trans. by John Hammond Taylor, 2 vols (New York: Newman Press, 1982)</w:t>
      </w:r>
    </w:p>
    <w:p w14:paraId="28C13077" w14:textId="77777777" w:rsidR="00157547" w:rsidRDefault="00F04C9A">
      <w:pPr>
        <w:spacing w:after="120" w:line="360" w:lineRule="auto"/>
        <w:ind w:left="720" w:hanging="720"/>
        <w:jc w:val="both"/>
      </w:pPr>
      <w:r>
        <w:t xml:space="preserve">Haddox, Susan E., ‘The Construction of Gender in the Hebrew Bible’, </w:t>
      </w:r>
      <w:r>
        <w:rPr>
          <w:i/>
          <w:iCs/>
        </w:rPr>
        <w:t>Religion Compass</w:t>
      </w:r>
      <w:r>
        <w:t>, 2.5 (2008), 907–21</w:t>
      </w:r>
    </w:p>
    <w:p w14:paraId="166D0705" w14:textId="77777777" w:rsidR="00157547" w:rsidRDefault="00F04C9A">
      <w:pPr>
        <w:spacing w:after="120" w:line="360" w:lineRule="auto"/>
        <w:ind w:left="720" w:hanging="720"/>
        <w:jc w:val="both"/>
      </w:pPr>
      <w:r>
        <w:t xml:space="preserve">Meyers, Carol, </w:t>
      </w:r>
      <w:r>
        <w:rPr>
          <w:i/>
          <w:iCs/>
        </w:rPr>
        <w:t>Rediscovering Eve: Ancient Israelite Women in Context</w:t>
      </w:r>
      <w:r>
        <w:t xml:space="preserve"> (Oxford: Oxford University Press, 2013)</w:t>
      </w:r>
    </w:p>
    <w:p w14:paraId="6FB310B9" w14:textId="77777777" w:rsidR="00157547" w:rsidRDefault="00F04C9A">
      <w:pPr>
        <w:spacing w:after="120" w:line="360" w:lineRule="auto"/>
        <w:ind w:left="720" w:hanging="720"/>
        <w:jc w:val="both"/>
      </w:pPr>
      <w:r>
        <w:t xml:space="preserve">Stanton, Elizabeth Cady, </w:t>
      </w:r>
      <w:r>
        <w:rPr>
          <w:i/>
          <w:iCs/>
        </w:rPr>
        <w:t>The Woman’s Bible</w:t>
      </w:r>
      <w:r>
        <w:t xml:space="preserve"> (New York: European Publishing Company, 1895)</w:t>
      </w:r>
    </w:p>
    <w:p w14:paraId="4395751B" w14:textId="77777777" w:rsidR="00157547" w:rsidRDefault="00F04C9A">
      <w:pPr>
        <w:spacing w:after="120" w:line="360" w:lineRule="auto"/>
        <w:ind w:left="720" w:hanging="720"/>
        <w:jc w:val="both"/>
      </w:pPr>
      <w:r>
        <w:t xml:space="preserve">Tertullian, </w:t>
      </w:r>
      <w:r>
        <w:rPr>
          <w:i/>
          <w:iCs/>
        </w:rPr>
        <w:t>On the Apparel of Women</w:t>
      </w:r>
      <w:r>
        <w:t xml:space="preserve">, trans. by S. Thelwall, in </w:t>
      </w:r>
      <w:r>
        <w:rPr>
          <w:i/>
          <w:iCs/>
        </w:rPr>
        <w:t>The Ante-Nicene Fathers</w:t>
      </w:r>
      <w:r>
        <w:t>, vol. 4 (Edinburgh: T&amp;T Clark, 1885)</w:t>
      </w:r>
    </w:p>
    <w:p w14:paraId="57BA55DD" w14:textId="77777777" w:rsidR="00157547" w:rsidRDefault="00F04C9A">
      <w:pPr>
        <w:spacing w:after="120" w:line="360" w:lineRule="auto"/>
        <w:ind w:left="720" w:hanging="720"/>
        <w:jc w:val="both"/>
      </w:pPr>
      <w:r>
        <w:t xml:space="preserve">Trible, Phyllis, </w:t>
      </w:r>
      <w:r>
        <w:rPr>
          <w:i/>
          <w:iCs/>
        </w:rPr>
        <w:t>God and the Rhetoric of Sexuality</w:t>
      </w:r>
      <w:r>
        <w:t xml:space="preserve"> (Philadelphia: Fortress Press, 1978)</w:t>
      </w:r>
    </w:p>
    <w:p w14:paraId="227CDCF3" w14:textId="77777777" w:rsidR="00157547" w:rsidRDefault="00F04C9A">
      <w:pPr>
        <w:pStyle w:val="Heading2"/>
      </w:pPr>
      <w:r>
        <w:t>Internet Sources</w:t>
      </w:r>
    </w:p>
    <w:p w14:paraId="2B350BB4" w14:textId="77777777" w:rsidR="00157547" w:rsidRDefault="00F04C9A">
      <w:pPr>
        <w:spacing w:after="120" w:line="360" w:lineRule="auto"/>
        <w:ind w:left="720" w:hanging="720"/>
        <w:jc w:val="both"/>
      </w:pPr>
      <w:r>
        <w:t>Bible Gateway, &lt;www.biblegateway.com&gt; [accessed 24 March 2026]</w:t>
      </w:r>
    </w:p>
    <w:p w14:paraId="2D0EBF6D" w14:textId="77777777" w:rsidR="00157547" w:rsidRDefault="00F04C9A">
      <w:pPr>
        <w:spacing w:after="120" w:line="360" w:lineRule="auto"/>
        <w:ind w:left="720" w:hanging="720"/>
        <w:jc w:val="both"/>
      </w:pPr>
      <w:r>
        <w:t xml:space="preserve">Stanford </w:t>
      </w:r>
      <w:proofErr w:type="spellStart"/>
      <w:r>
        <w:t>Encyclopedia</w:t>
      </w:r>
      <w:proofErr w:type="spellEnd"/>
      <w:r>
        <w:t xml:space="preserve"> of Philosophy, ‘Feminist Philosophy of Religion’, &lt;https://plato.stanford.edu/entries/feminist-religion/&gt; [accessed 24 March 2026]</w:t>
      </w:r>
    </w:p>
    <w:sectPr w:rsidR="0015754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31754" w14:textId="77777777" w:rsidR="00F04C9A" w:rsidRDefault="00F04C9A" w:rsidP="000D1C7B">
      <w:r>
        <w:separator/>
      </w:r>
    </w:p>
  </w:endnote>
  <w:endnote w:type="continuationSeparator" w:id="0">
    <w:p w14:paraId="4BE02F7B" w14:textId="77777777" w:rsidR="00F04C9A" w:rsidRDefault="00F04C9A" w:rsidP="000D1C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1A8DC" w14:textId="77777777" w:rsidR="00F04C9A" w:rsidRDefault="00F04C9A" w:rsidP="000D1C7B">
      <w:r>
        <w:separator/>
      </w:r>
    </w:p>
  </w:footnote>
  <w:footnote w:type="continuationSeparator" w:id="0">
    <w:p w14:paraId="40542E93" w14:textId="77777777" w:rsidR="00F04C9A" w:rsidRDefault="00F04C9A" w:rsidP="000D1C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07D7E"/>
    <w:multiLevelType w:val="hybridMultilevel"/>
    <w:tmpl w:val="19AE6D6E"/>
    <w:lvl w:ilvl="0" w:tplc="7D78F50E">
      <w:start w:val="1"/>
      <w:numFmt w:val="bullet"/>
      <w:lvlText w:val="●"/>
      <w:lvlJc w:val="left"/>
      <w:pPr>
        <w:ind w:left="720" w:hanging="360"/>
      </w:pPr>
    </w:lvl>
    <w:lvl w:ilvl="1" w:tplc="C9A67CBA">
      <w:start w:val="1"/>
      <w:numFmt w:val="bullet"/>
      <w:lvlText w:val="○"/>
      <w:lvlJc w:val="left"/>
      <w:pPr>
        <w:ind w:left="1440" w:hanging="360"/>
      </w:pPr>
    </w:lvl>
    <w:lvl w:ilvl="2" w:tplc="8184134C">
      <w:start w:val="1"/>
      <w:numFmt w:val="bullet"/>
      <w:lvlText w:val="■"/>
      <w:lvlJc w:val="left"/>
      <w:pPr>
        <w:ind w:left="2160" w:hanging="360"/>
      </w:pPr>
    </w:lvl>
    <w:lvl w:ilvl="3" w:tplc="A4281EF4">
      <w:start w:val="1"/>
      <w:numFmt w:val="bullet"/>
      <w:lvlText w:val="●"/>
      <w:lvlJc w:val="left"/>
      <w:pPr>
        <w:ind w:left="2880" w:hanging="360"/>
      </w:pPr>
    </w:lvl>
    <w:lvl w:ilvl="4" w:tplc="BC7C7600">
      <w:start w:val="1"/>
      <w:numFmt w:val="bullet"/>
      <w:lvlText w:val="○"/>
      <w:lvlJc w:val="left"/>
      <w:pPr>
        <w:ind w:left="3600" w:hanging="360"/>
      </w:pPr>
    </w:lvl>
    <w:lvl w:ilvl="5" w:tplc="4B9CED2A">
      <w:start w:val="1"/>
      <w:numFmt w:val="bullet"/>
      <w:lvlText w:val="■"/>
      <w:lvlJc w:val="left"/>
      <w:pPr>
        <w:ind w:left="4320" w:hanging="360"/>
      </w:pPr>
    </w:lvl>
    <w:lvl w:ilvl="6" w:tplc="21C040BE">
      <w:start w:val="1"/>
      <w:numFmt w:val="bullet"/>
      <w:lvlText w:val="●"/>
      <w:lvlJc w:val="left"/>
      <w:pPr>
        <w:ind w:left="5040" w:hanging="360"/>
      </w:pPr>
    </w:lvl>
    <w:lvl w:ilvl="7" w:tplc="453A23AC">
      <w:start w:val="1"/>
      <w:numFmt w:val="bullet"/>
      <w:lvlText w:val="●"/>
      <w:lvlJc w:val="left"/>
      <w:pPr>
        <w:ind w:left="5760" w:hanging="360"/>
      </w:pPr>
    </w:lvl>
    <w:lvl w:ilvl="8" w:tplc="DEEA63BA">
      <w:start w:val="1"/>
      <w:numFmt w:val="bullet"/>
      <w:lvlText w:val="●"/>
      <w:lvlJc w:val="left"/>
      <w:pPr>
        <w:ind w:left="6480" w:hanging="360"/>
      </w:pPr>
    </w:lvl>
  </w:abstractNum>
  <w:num w:numId="1" w16cid:durableId="17893528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547"/>
    <w:rsid w:val="000D1C7B"/>
    <w:rsid w:val="00157547"/>
    <w:rsid w:val="001A41D8"/>
    <w:rsid w:val="00D9210B"/>
    <w:rsid w:val="00EC3627"/>
    <w:rsid w:val="00F04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308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40"/>
      <w:jc w:val="center"/>
      <w:outlineLvl w:val="0"/>
    </w:pPr>
    <w:rPr>
      <w:b/>
      <w:bCs/>
      <w:sz w:val="28"/>
      <w:szCs w:val="28"/>
    </w:rPr>
  </w:style>
  <w:style w:type="paragraph" w:styleId="Heading2">
    <w:name w:val="heading 2"/>
    <w:uiPriority w:val="9"/>
    <w:unhideWhenUsed/>
    <w:qFormat/>
    <w:pPr>
      <w:spacing w:before="280" w:after="200"/>
      <w:outlineLvl w:val="1"/>
    </w:pPr>
    <w:rPr>
      <w:b/>
      <w:bCs/>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0D1C7B"/>
    <w:pPr>
      <w:tabs>
        <w:tab w:val="center" w:pos="4513"/>
        <w:tab w:val="right" w:pos="9026"/>
      </w:tabs>
    </w:pPr>
  </w:style>
  <w:style w:type="character" w:customStyle="1" w:styleId="HeaderChar">
    <w:name w:val="Header Char"/>
    <w:basedOn w:val="DefaultParagraphFont"/>
    <w:link w:val="Header"/>
    <w:uiPriority w:val="99"/>
    <w:rsid w:val="000D1C7B"/>
  </w:style>
  <w:style w:type="paragraph" w:styleId="Footer">
    <w:name w:val="footer"/>
    <w:basedOn w:val="Normal"/>
    <w:link w:val="FooterChar"/>
    <w:uiPriority w:val="99"/>
    <w:unhideWhenUsed/>
    <w:rsid w:val="000D1C7B"/>
    <w:pPr>
      <w:tabs>
        <w:tab w:val="center" w:pos="4513"/>
        <w:tab w:val="right" w:pos="9026"/>
      </w:tabs>
    </w:pPr>
  </w:style>
  <w:style w:type="character" w:customStyle="1" w:styleId="FooterChar">
    <w:name w:val="Footer Char"/>
    <w:basedOn w:val="DefaultParagraphFont"/>
    <w:link w:val="Footer"/>
    <w:uiPriority w:val="99"/>
    <w:rsid w:val="000D1C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1619</Words>
  <Characters>9297</Characters>
  <Application>Microsoft Office Word</Application>
  <DocSecurity>0</DocSecurity>
  <Lines>147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2026-03-24T13:32:00Z</dcterms:created>
  <dcterms:modified xsi:type="dcterms:W3CDTF">2026-03-24T13:32:00Z</dcterms:modified>
</cp:coreProperties>
</file>